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24AD4" w14:textId="77777777" w:rsidR="009449A9" w:rsidRDefault="009449A9" w:rsidP="009449A9">
      <w:pPr>
        <w:spacing w:after="0" w:line="240" w:lineRule="auto"/>
        <w:jc w:val="both"/>
        <w:rPr>
          <w:rFonts w:ascii="Verdana" w:eastAsia="Times New Roman" w:hAnsi="Verdana" w:cs="Arial"/>
          <w:b/>
          <w:bCs/>
          <w:bdr w:val="none" w:sz="0" w:space="0" w:color="auto" w:frame="1"/>
          <w:lang w:eastAsia="es-ES_tradnl"/>
        </w:rPr>
      </w:pPr>
      <w:bookmarkStart w:id="0" w:name="_Hlk215673488"/>
      <w:r w:rsidRPr="00C32494">
        <w:rPr>
          <w:rFonts w:ascii="Verdana" w:eastAsia="Times New Roman" w:hAnsi="Verdana" w:cs="Arial"/>
          <w:b/>
          <w:bCs/>
          <w:bdr w:val="none" w:sz="0" w:space="0" w:color="auto" w:frame="1"/>
          <w:lang w:eastAsia="es-ES_tradnl"/>
        </w:rPr>
        <w:t>CONTRATO DE PRESTACIÓN DE SERVICIOS PROFESIONALES – Naturaleza y características</w:t>
      </w:r>
    </w:p>
    <w:p w14:paraId="35BD65CE" w14:textId="77777777" w:rsidR="009449A9" w:rsidRPr="004B3DF0" w:rsidRDefault="009449A9" w:rsidP="009449A9">
      <w:pPr>
        <w:spacing w:after="0" w:line="240" w:lineRule="auto"/>
        <w:jc w:val="both"/>
        <w:rPr>
          <w:rFonts w:ascii="Verdana" w:eastAsia="Times New Roman" w:hAnsi="Verdana" w:cs="Arial"/>
          <w:b/>
          <w:bCs/>
          <w:bdr w:val="none" w:sz="0" w:space="0" w:color="auto" w:frame="1"/>
          <w:lang w:eastAsia="es-ES_tradnl"/>
        </w:rPr>
      </w:pPr>
    </w:p>
    <w:p w14:paraId="3DF771EB" w14:textId="77777777" w:rsidR="009449A9" w:rsidRDefault="009449A9" w:rsidP="009449A9">
      <w:pPr>
        <w:spacing w:after="0" w:line="240" w:lineRule="auto"/>
        <w:jc w:val="both"/>
        <w:rPr>
          <w:rFonts w:ascii="Verdana" w:eastAsia="Calibri" w:hAnsi="Verdana" w:cs="Arial"/>
          <w:sz w:val="20"/>
          <w:szCs w:val="20"/>
          <w:lang w:val="es-ES_tradnl" w:eastAsia="es-ES_tradnl"/>
        </w:rPr>
      </w:pPr>
      <w:r w:rsidRPr="00157A90">
        <w:rPr>
          <w:rFonts w:ascii="Verdana" w:eastAsia="Calibri" w:hAnsi="Verdana" w:cs="Arial"/>
          <w:sz w:val="20"/>
          <w:szCs w:val="20"/>
          <w:lang w:val="es-ES_tradnl" w:eastAsia="es-ES_tradnl"/>
        </w:rPr>
        <w:t>En síntesis, el contrato de prestación de servicios es un contrato típico, de carácter excepcional y temporal, que se celebra mediante contratación directa para atender necesidades relacionadas con la administración o funcionamiento de la Entidad Estatal, cuando estas no pueden ser satisfechas con personal de planta o requieren conocimientos especializados, sin que genere relación laboral. Este tipo contractual comprende distintas especies —entre ellas, los servicios profesionales— y se rige por reglas particulares en materia de objeto, idoneidad del contratista, modalidad de selección y requisitos formales.</w:t>
      </w:r>
    </w:p>
    <w:p w14:paraId="58DA154B" w14:textId="77777777" w:rsidR="009449A9" w:rsidRPr="003A0462" w:rsidRDefault="009449A9" w:rsidP="009449A9">
      <w:pPr>
        <w:spacing w:after="0" w:line="240" w:lineRule="auto"/>
        <w:jc w:val="both"/>
        <w:rPr>
          <w:rStyle w:val="eop"/>
          <w:rFonts w:ascii="Verdana" w:hAnsi="Verdana" w:cs="Arial"/>
          <w:sz w:val="20"/>
          <w:szCs w:val="20"/>
          <w:shd w:val="clear" w:color="auto" w:fill="FFFFFF"/>
        </w:rPr>
      </w:pPr>
    </w:p>
    <w:p w14:paraId="416FBEAE" w14:textId="77777777" w:rsidR="009449A9" w:rsidRDefault="009449A9" w:rsidP="009449A9">
      <w:pPr>
        <w:spacing w:after="0" w:line="240" w:lineRule="auto"/>
        <w:jc w:val="both"/>
        <w:rPr>
          <w:rFonts w:ascii="Verdana" w:hAnsi="Verdana"/>
          <w:b/>
          <w:bCs/>
        </w:rPr>
      </w:pPr>
      <w:r w:rsidRPr="00984640">
        <w:rPr>
          <w:rFonts w:ascii="Verdana" w:hAnsi="Verdana"/>
          <w:b/>
          <w:bCs/>
        </w:rPr>
        <w:t>ABOGADO – Licencia temporal – Alcance y límites para el ejercicio profesional</w:t>
      </w:r>
    </w:p>
    <w:p w14:paraId="76F2EA48" w14:textId="77777777" w:rsidR="009449A9" w:rsidRPr="003A0462" w:rsidRDefault="009449A9" w:rsidP="009449A9">
      <w:pPr>
        <w:spacing w:after="0" w:line="240" w:lineRule="auto"/>
        <w:jc w:val="both"/>
        <w:rPr>
          <w:rFonts w:ascii="Verdana" w:hAnsi="Verdana"/>
          <w:b/>
          <w:bCs/>
          <w:lang w:val="es-MX"/>
        </w:rPr>
      </w:pPr>
    </w:p>
    <w:p w14:paraId="6012BA86" w14:textId="77777777" w:rsidR="009449A9" w:rsidRDefault="009449A9" w:rsidP="009449A9">
      <w:pPr>
        <w:spacing w:after="0" w:line="240" w:lineRule="auto"/>
        <w:jc w:val="both"/>
        <w:rPr>
          <w:rFonts w:ascii="Verdana" w:hAnsi="Verdana"/>
          <w:sz w:val="20"/>
          <w:szCs w:val="20"/>
          <w:lang w:val="es-MX"/>
        </w:rPr>
      </w:pPr>
      <w:r w:rsidRPr="00984640">
        <w:rPr>
          <w:rFonts w:ascii="Verdana" w:hAnsi="Verdana"/>
          <w:sz w:val="20"/>
          <w:szCs w:val="20"/>
          <w:lang w:val="es-MX"/>
        </w:rPr>
        <w:t>En lo que respecta a la profesión de abogado, el régimen de habilitación para su ejercicio se encuentra regulado en el Decreto 196 de 1971 –Por el cual se dicta el estatuto del ejercicio de la abogacía–, el cual distingue entre la habilitación general derivada de la inscripción como abogado y la habilitación excepcional y temporal prevista en los artículos 31 y 32 de dicha normativa. Esta última permite ejercer la profesión sin haber obtenido el título respectivo, por un término máximo de dos años improrrogables, siempre que se cuente con la licencia temporal expedida por la autoridad judicial competente y que el ejercicio profesional se circunscriba estrictamente a los asuntos expresamente autorizados por la ley.</w:t>
      </w:r>
    </w:p>
    <w:p w14:paraId="498A95F3" w14:textId="77777777" w:rsidR="009449A9" w:rsidRPr="00984640" w:rsidRDefault="009449A9" w:rsidP="009449A9">
      <w:pPr>
        <w:spacing w:after="0" w:line="240" w:lineRule="auto"/>
        <w:jc w:val="both"/>
        <w:rPr>
          <w:rFonts w:ascii="Verdana" w:hAnsi="Verdana"/>
          <w:sz w:val="20"/>
          <w:szCs w:val="20"/>
          <w:lang w:val="es-MX"/>
        </w:rPr>
      </w:pPr>
    </w:p>
    <w:p w14:paraId="64A75B00" w14:textId="77777777" w:rsidR="009449A9" w:rsidRDefault="009449A9" w:rsidP="009449A9">
      <w:pPr>
        <w:spacing w:after="0" w:line="240" w:lineRule="auto"/>
        <w:jc w:val="both"/>
        <w:rPr>
          <w:rFonts w:ascii="Verdana" w:hAnsi="Verdana"/>
          <w:sz w:val="20"/>
          <w:szCs w:val="20"/>
          <w:lang w:val="es-MX"/>
        </w:rPr>
      </w:pPr>
      <w:r w:rsidRPr="00984640">
        <w:rPr>
          <w:rFonts w:ascii="Verdana" w:hAnsi="Verdana"/>
          <w:sz w:val="20"/>
          <w:szCs w:val="20"/>
          <w:lang w:val="es-MX"/>
        </w:rPr>
        <w:t>La licencia temporal constituye, entonces, una forma válida de habilitación legal para el ejercicio de la abogacía, aunque de carácter limitado y condicionado, tanto en el tiempo como en el ámbito material de actuación. En tal medida, dicha habilitación no equivale a la inscripción como abogado ni otorga una autorización general para el ejercicio de la profesión, sino que permite su ejercicio únicamente en los eventos, materias y actuaciones previstas en la normativa que la regula.</w:t>
      </w:r>
    </w:p>
    <w:p w14:paraId="035AF309" w14:textId="77777777" w:rsidR="009449A9" w:rsidRPr="00984640" w:rsidRDefault="009449A9" w:rsidP="009449A9">
      <w:pPr>
        <w:spacing w:after="0" w:line="240" w:lineRule="auto"/>
        <w:jc w:val="both"/>
        <w:rPr>
          <w:rFonts w:ascii="Verdana" w:hAnsi="Verdana"/>
          <w:sz w:val="20"/>
          <w:szCs w:val="20"/>
          <w:lang w:val="es-MX"/>
        </w:rPr>
      </w:pPr>
    </w:p>
    <w:p w14:paraId="532A4030" w14:textId="77777777" w:rsidR="009449A9" w:rsidRDefault="009449A9" w:rsidP="009449A9">
      <w:pPr>
        <w:spacing w:after="0" w:line="240" w:lineRule="auto"/>
        <w:jc w:val="both"/>
        <w:rPr>
          <w:rFonts w:ascii="Verdana" w:hAnsi="Verdana"/>
          <w:sz w:val="20"/>
          <w:szCs w:val="20"/>
          <w:lang w:val="es-MX"/>
        </w:rPr>
      </w:pPr>
      <w:r w:rsidRPr="00984640">
        <w:rPr>
          <w:rFonts w:ascii="Verdana" w:hAnsi="Verdana"/>
          <w:sz w:val="20"/>
          <w:szCs w:val="20"/>
          <w:lang w:val="es-MX"/>
        </w:rPr>
        <w:t>Desde la perspectiva de la contratación estatal, la celebración de contratos de prestación de servicios profesionales como abogado con personas que cuenten con licencia temporal no se encuentra prohibida de manera general por el ordenamiento jurídico. No obstante, su viabilidad jurídica se encuentra supeditada a que el objeto contractual y las obligaciones a cargo del contratista se ajusten plenamente al ámbito de ejercicio profesional permitido por la licencia temporal, de manera que no se encomienden actividades que excedan las competencias legalmente autorizadas.</w:t>
      </w:r>
    </w:p>
    <w:p w14:paraId="16ED59D1" w14:textId="77777777" w:rsidR="009449A9" w:rsidRPr="00984640" w:rsidRDefault="009449A9" w:rsidP="009449A9">
      <w:pPr>
        <w:spacing w:after="0" w:line="240" w:lineRule="auto"/>
        <w:jc w:val="both"/>
        <w:rPr>
          <w:rFonts w:ascii="Verdana" w:hAnsi="Verdana"/>
          <w:sz w:val="20"/>
          <w:szCs w:val="20"/>
          <w:lang w:val="es-MX"/>
        </w:rPr>
      </w:pPr>
    </w:p>
    <w:p w14:paraId="2A9B5B61" w14:textId="77777777" w:rsidR="009449A9" w:rsidRDefault="009449A9" w:rsidP="009449A9">
      <w:pPr>
        <w:spacing w:after="0" w:line="240" w:lineRule="auto"/>
        <w:jc w:val="both"/>
        <w:rPr>
          <w:rFonts w:ascii="Verdana" w:hAnsi="Verdana"/>
          <w:sz w:val="20"/>
          <w:szCs w:val="20"/>
          <w:lang w:val="es-MX"/>
        </w:rPr>
      </w:pPr>
      <w:r w:rsidRPr="00984640">
        <w:rPr>
          <w:rFonts w:ascii="Verdana" w:hAnsi="Verdana"/>
          <w:sz w:val="20"/>
          <w:szCs w:val="20"/>
          <w:lang w:val="es-MX"/>
        </w:rPr>
        <w:t>En este sentido, corresponde a la Entidad Estatal, en aplicación de los principios de legalidad y planeación, definir con precisión el objeto del contrato y verificar que las actividades a desarrollar se encuentren comprendidas dentro de los asuntos para los cuales el Decreto 196 de 1971 permite el ejercicio de la abogacía bajo licencia temporal. Si el objeto contractual implica el conocimiento, trámite o representación en asuntos distintos o más amplios a los expresamente autorizados, la Entidad deberá exigir que el contratista cuente con la habilitación general para el ejercicio de la profesión, esto es, la inscripción como abogado y la correspondiente tarjeta profesional vigente.</w:t>
      </w:r>
    </w:p>
    <w:p w14:paraId="250D5169" w14:textId="77777777" w:rsidR="009449A9" w:rsidRPr="00984640" w:rsidRDefault="009449A9" w:rsidP="009449A9">
      <w:pPr>
        <w:spacing w:after="0" w:line="240" w:lineRule="auto"/>
        <w:jc w:val="both"/>
        <w:rPr>
          <w:rFonts w:ascii="Verdana" w:hAnsi="Verdana"/>
          <w:sz w:val="20"/>
          <w:szCs w:val="20"/>
          <w:lang w:val="es-MX"/>
        </w:rPr>
      </w:pPr>
    </w:p>
    <w:p w14:paraId="0AF8F354" w14:textId="77777777" w:rsidR="009449A9" w:rsidRPr="003A0462" w:rsidRDefault="009449A9" w:rsidP="009449A9">
      <w:pPr>
        <w:spacing w:after="0" w:line="240" w:lineRule="auto"/>
        <w:jc w:val="both"/>
        <w:rPr>
          <w:rFonts w:ascii="Verdana" w:hAnsi="Verdana"/>
          <w:sz w:val="20"/>
          <w:szCs w:val="20"/>
          <w:lang w:val="es-MX"/>
        </w:rPr>
      </w:pPr>
      <w:r w:rsidRPr="00984640">
        <w:rPr>
          <w:rFonts w:ascii="Verdana" w:hAnsi="Verdana"/>
          <w:sz w:val="20"/>
          <w:szCs w:val="20"/>
          <w:lang w:val="es-MX"/>
        </w:rPr>
        <w:t>En conclusión, es jurídicamente viable que las Entidades Estatales celebren contratos de prestación de servicios profesionales como abogado con personas naturales que cuenten con licencia temporal, siempre que dicha habilitación haya sido expedida por la autoridad competente y que el objeto contractual y las obligaciones a cargo del contratista se encuentren estrictamente circunscritos a los asuntos en los cuales el Decreto 196 de 1971 autoriza el ejercicio de la abogacía bajo esta modalidad excepcional y temporal.</w:t>
      </w:r>
    </w:p>
    <w:p w14:paraId="0B9B8A40" w14:textId="77777777" w:rsidR="009449A9" w:rsidRPr="003A0462" w:rsidRDefault="009449A9" w:rsidP="009449A9">
      <w:pPr>
        <w:spacing w:after="0" w:line="240" w:lineRule="auto"/>
        <w:jc w:val="both"/>
        <w:rPr>
          <w:rFonts w:ascii="Verdana" w:hAnsi="Verdana"/>
          <w:b/>
          <w:bCs/>
          <w:lang w:val="es-MX"/>
        </w:rPr>
      </w:pPr>
    </w:p>
    <w:p w14:paraId="69137D95" w14:textId="77777777" w:rsidR="009449A9" w:rsidRPr="003A0462" w:rsidRDefault="009449A9" w:rsidP="009449A9">
      <w:pPr>
        <w:spacing w:after="0"/>
        <w:rPr>
          <w:rFonts w:ascii="Verdana" w:hAnsi="Verdana"/>
        </w:rPr>
      </w:pPr>
    </w:p>
    <w:p w14:paraId="2BC5B025" w14:textId="77777777" w:rsidR="009449A9" w:rsidRPr="003A0462" w:rsidRDefault="009449A9" w:rsidP="009449A9">
      <w:pPr>
        <w:spacing w:after="0"/>
        <w:rPr>
          <w:rFonts w:ascii="Verdana" w:hAnsi="Verdana"/>
        </w:rPr>
      </w:pPr>
    </w:p>
    <w:p w14:paraId="5A034E50" w14:textId="77777777" w:rsidR="009449A9" w:rsidRPr="003A0462" w:rsidRDefault="009449A9" w:rsidP="009449A9">
      <w:pPr>
        <w:spacing w:after="0"/>
        <w:rPr>
          <w:rFonts w:ascii="Verdana" w:hAnsi="Verdana"/>
        </w:rPr>
      </w:pPr>
    </w:p>
    <w:p w14:paraId="4BE028DB" w14:textId="77777777" w:rsidR="009449A9" w:rsidRPr="003A0462" w:rsidRDefault="009449A9" w:rsidP="009449A9">
      <w:pPr>
        <w:spacing w:after="0"/>
        <w:rPr>
          <w:rFonts w:ascii="Verdana" w:hAnsi="Verdana"/>
        </w:rPr>
      </w:pPr>
    </w:p>
    <w:p w14:paraId="718C3292" w14:textId="77777777" w:rsidR="009449A9" w:rsidRPr="003A0462" w:rsidRDefault="009449A9" w:rsidP="009449A9">
      <w:pPr>
        <w:spacing w:after="0"/>
        <w:rPr>
          <w:rFonts w:ascii="Verdana" w:hAnsi="Verdana"/>
        </w:rPr>
      </w:pPr>
    </w:p>
    <w:p w14:paraId="2A7D0327" w14:textId="77777777" w:rsidR="009449A9" w:rsidRPr="003A0462" w:rsidRDefault="009449A9" w:rsidP="009449A9">
      <w:pPr>
        <w:spacing w:after="0"/>
        <w:rPr>
          <w:rFonts w:ascii="Verdana" w:hAnsi="Verdana"/>
        </w:rPr>
      </w:pPr>
    </w:p>
    <w:p w14:paraId="18EEA93D" w14:textId="77777777" w:rsidR="009449A9" w:rsidRPr="003A0462" w:rsidRDefault="009449A9" w:rsidP="009449A9">
      <w:pPr>
        <w:spacing w:after="0"/>
        <w:rPr>
          <w:rFonts w:ascii="Verdana" w:hAnsi="Verdana"/>
        </w:rPr>
      </w:pPr>
    </w:p>
    <w:p w14:paraId="16DF5A3C" w14:textId="77777777" w:rsidR="009449A9" w:rsidRPr="003A0462" w:rsidRDefault="009449A9" w:rsidP="009449A9">
      <w:pPr>
        <w:spacing w:after="0"/>
        <w:rPr>
          <w:rFonts w:ascii="Verdana" w:hAnsi="Verdana"/>
        </w:rPr>
      </w:pPr>
    </w:p>
    <w:p w14:paraId="119577CE" w14:textId="77777777" w:rsidR="009449A9" w:rsidRPr="003A0462" w:rsidRDefault="009449A9" w:rsidP="009449A9">
      <w:pPr>
        <w:spacing w:after="0"/>
        <w:rPr>
          <w:rFonts w:ascii="Verdana" w:hAnsi="Verdana"/>
        </w:rPr>
      </w:pPr>
    </w:p>
    <w:p w14:paraId="2E21E2AB" w14:textId="77777777" w:rsidR="009449A9" w:rsidRPr="003A0462" w:rsidRDefault="009449A9" w:rsidP="009449A9">
      <w:pPr>
        <w:spacing w:after="0"/>
        <w:rPr>
          <w:rFonts w:ascii="Verdana" w:hAnsi="Verdana"/>
        </w:rPr>
      </w:pPr>
    </w:p>
    <w:p w14:paraId="650182E0" w14:textId="77777777" w:rsidR="009449A9" w:rsidRPr="003A0462" w:rsidRDefault="009449A9" w:rsidP="009449A9">
      <w:pPr>
        <w:spacing w:after="0"/>
        <w:rPr>
          <w:rFonts w:ascii="Verdana" w:hAnsi="Verdana"/>
        </w:rPr>
      </w:pPr>
    </w:p>
    <w:p w14:paraId="0606B387" w14:textId="77777777" w:rsidR="009449A9" w:rsidRPr="003A0462" w:rsidRDefault="009449A9" w:rsidP="009449A9">
      <w:pPr>
        <w:spacing w:after="0"/>
        <w:rPr>
          <w:rFonts w:ascii="Verdana" w:hAnsi="Verdana"/>
        </w:rPr>
      </w:pPr>
    </w:p>
    <w:p w14:paraId="4A2207F3" w14:textId="77777777" w:rsidR="009449A9" w:rsidRDefault="009449A9" w:rsidP="009449A9">
      <w:pPr>
        <w:spacing w:after="0" w:line="240" w:lineRule="auto"/>
        <w:contextualSpacing/>
        <w:jc w:val="both"/>
        <w:rPr>
          <w:rFonts w:ascii="Verdana" w:hAnsi="Verdana"/>
        </w:rPr>
      </w:pPr>
    </w:p>
    <w:p w14:paraId="1697E12D" w14:textId="77777777" w:rsidR="009449A9" w:rsidRDefault="009449A9" w:rsidP="009449A9">
      <w:pPr>
        <w:spacing w:after="0" w:line="240" w:lineRule="auto"/>
        <w:contextualSpacing/>
        <w:jc w:val="both"/>
        <w:rPr>
          <w:rFonts w:ascii="Verdana" w:hAnsi="Verdana"/>
        </w:rPr>
      </w:pPr>
    </w:p>
    <w:p w14:paraId="5BA64467" w14:textId="77777777" w:rsidR="009449A9" w:rsidRDefault="009449A9" w:rsidP="009449A9">
      <w:pPr>
        <w:spacing w:after="0" w:line="240" w:lineRule="auto"/>
        <w:contextualSpacing/>
        <w:jc w:val="both"/>
        <w:rPr>
          <w:rFonts w:ascii="Verdana" w:hAnsi="Verdana"/>
        </w:rPr>
      </w:pPr>
    </w:p>
    <w:p w14:paraId="149B0115" w14:textId="77777777" w:rsidR="009449A9" w:rsidRDefault="009449A9" w:rsidP="009449A9">
      <w:pPr>
        <w:spacing w:after="0" w:line="240" w:lineRule="auto"/>
        <w:contextualSpacing/>
        <w:jc w:val="both"/>
        <w:rPr>
          <w:rFonts w:ascii="Verdana" w:hAnsi="Verdana"/>
        </w:rPr>
      </w:pPr>
    </w:p>
    <w:p w14:paraId="1985380E" w14:textId="77777777" w:rsidR="009449A9" w:rsidRDefault="009449A9" w:rsidP="009449A9">
      <w:pPr>
        <w:spacing w:after="0" w:line="240" w:lineRule="auto"/>
        <w:contextualSpacing/>
        <w:jc w:val="both"/>
        <w:rPr>
          <w:rFonts w:ascii="Verdana" w:hAnsi="Verdana"/>
        </w:rPr>
      </w:pPr>
    </w:p>
    <w:p w14:paraId="26C4381F" w14:textId="77777777" w:rsidR="009449A9" w:rsidRDefault="009449A9" w:rsidP="009449A9">
      <w:pPr>
        <w:spacing w:after="0" w:line="240" w:lineRule="auto"/>
        <w:contextualSpacing/>
        <w:jc w:val="both"/>
        <w:rPr>
          <w:rFonts w:ascii="Verdana" w:hAnsi="Verdana"/>
        </w:rPr>
      </w:pPr>
    </w:p>
    <w:p w14:paraId="50A9B83B" w14:textId="77777777" w:rsidR="009449A9" w:rsidRDefault="009449A9" w:rsidP="009449A9">
      <w:pPr>
        <w:spacing w:after="0" w:line="240" w:lineRule="auto"/>
        <w:contextualSpacing/>
        <w:jc w:val="both"/>
        <w:rPr>
          <w:rFonts w:ascii="Verdana" w:hAnsi="Verdana"/>
        </w:rPr>
      </w:pPr>
    </w:p>
    <w:p w14:paraId="1A0D8767" w14:textId="77777777" w:rsidR="009449A9" w:rsidRDefault="009449A9" w:rsidP="009449A9">
      <w:pPr>
        <w:spacing w:after="0" w:line="240" w:lineRule="auto"/>
        <w:contextualSpacing/>
        <w:jc w:val="both"/>
        <w:rPr>
          <w:rFonts w:ascii="Verdana" w:hAnsi="Verdana"/>
        </w:rPr>
      </w:pPr>
    </w:p>
    <w:p w14:paraId="14103756" w14:textId="77777777" w:rsidR="009449A9" w:rsidRDefault="009449A9" w:rsidP="009449A9">
      <w:pPr>
        <w:spacing w:after="0" w:line="240" w:lineRule="auto"/>
        <w:contextualSpacing/>
        <w:jc w:val="both"/>
        <w:rPr>
          <w:rFonts w:ascii="Verdana" w:hAnsi="Verdana"/>
        </w:rPr>
      </w:pPr>
    </w:p>
    <w:p w14:paraId="4D27AB91" w14:textId="77777777" w:rsidR="009449A9" w:rsidRDefault="009449A9" w:rsidP="009449A9">
      <w:pPr>
        <w:spacing w:after="0" w:line="240" w:lineRule="auto"/>
        <w:contextualSpacing/>
        <w:jc w:val="both"/>
        <w:rPr>
          <w:rFonts w:ascii="Verdana" w:hAnsi="Verdana"/>
        </w:rPr>
      </w:pPr>
    </w:p>
    <w:p w14:paraId="05EDC4E7" w14:textId="77777777" w:rsidR="009449A9" w:rsidRDefault="009449A9" w:rsidP="009449A9">
      <w:pPr>
        <w:spacing w:after="0" w:line="240" w:lineRule="auto"/>
        <w:contextualSpacing/>
        <w:jc w:val="both"/>
        <w:rPr>
          <w:rFonts w:ascii="Verdana" w:hAnsi="Verdana"/>
        </w:rPr>
      </w:pPr>
    </w:p>
    <w:p w14:paraId="0DA782A0" w14:textId="77777777" w:rsidR="009449A9" w:rsidRDefault="009449A9" w:rsidP="009449A9">
      <w:pPr>
        <w:spacing w:after="0" w:line="240" w:lineRule="auto"/>
        <w:contextualSpacing/>
        <w:jc w:val="both"/>
        <w:rPr>
          <w:rFonts w:ascii="Verdana" w:hAnsi="Verdana"/>
        </w:rPr>
      </w:pPr>
    </w:p>
    <w:p w14:paraId="6E4AEA25" w14:textId="77777777" w:rsidR="009449A9" w:rsidRDefault="009449A9" w:rsidP="009449A9">
      <w:pPr>
        <w:spacing w:after="0" w:line="240" w:lineRule="auto"/>
        <w:contextualSpacing/>
        <w:jc w:val="both"/>
        <w:rPr>
          <w:rFonts w:ascii="Verdana" w:hAnsi="Verdana"/>
        </w:rPr>
      </w:pPr>
    </w:p>
    <w:p w14:paraId="4B058C38" w14:textId="77777777" w:rsidR="009449A9" w:rsidRDefault="009449A9" w:rsidP="009449A9">
      <w:pPr>
        <w:spacing w:after="0" w:line="240" w:lineRule="auto"/>
        <w:contextualSpacing/>
        <w:jc w:val="both"/>
        <w:rPr>
          <w:rFonts w:ascii="Verdana" w:hAnsi="Verdana"/>
        </w:rPr>
      </w:pPr>
    </w:p>
    <w:p w14:paraId="2EE12712" w14:textId="77777777" w:rsidR="009449A9" w:rsidRDefault="009449A9" w:rsidP="009449A9">
      <w:pPr>
        <w:spacing w:after="0" w:line="240" w:lineRule="auto"/>
        <w:contextualSpacing/>
        <w:jc w:val="both"/>
        <w:rPr>
          <w:rFonts w:ascii="Verdana" w:hAnsi="Verdana"/>
        </w:rPr>
      </w:pPr>
    </w:p>
    <w:p w14:paraId="0EA4B881" w14:textId="77777777" w:rsidR="009449A9" w:rsidRDefault="009449A9" w:rsidP="009449A9">
      <w:pPr>
        <w:spacing w:after="0" w:line="240" w:lineRule="auto"/>
        <w:contextualSpacing/>
        <w:jc w:val="both"/>
        <w:rPr>
          <w:rFonts w:ascii="Verdana" w:hAnsi="Verdana"/>
        </w:rPr>
      </w:pPr>
    </w:p>
    <w:p w14:paraId="6046F3F8" w14:textId="77777777" w:rsidR="009449A9" w:rsidRDefault="009449A9" w:rsidP="009449A9">
      <w:pPr>
        <w:spacing w:after="0" w:line="240" w:lineRule="auto"/>
        <w:contextualSpacing/>
        <w:jc w:val="both"/>
        <w:rPr>
          <w:rFonts w:ascii="Verdana" w:hAnsi="Verdana"/>
        </w:rPr>
      </w:pPr>
    </w:p>
    <w:p w14:paraId="1D0A5965" w14:textId="77777777" w:rsidR="009449A9" w:rsidRDefault="009449A9" w:rsidP="009449A9">
      <w:pPr>
        <w:spacing w:after="0" w:line="240" w:lineRule="auto"/>
        <w:contextualSpacing/>
        <w:jc w:val="both"/>
        <w:rPr>
          <w:rFonts w:ascii="Verdana" w:hAnsi="Verdana"/>
        </w:rPr>
      </w:pPr>
    </w:p>
    <w:p w14:paraId="31144B8A" w14:textId="77777777" w:rsidR="009449A9" w:rsidRDefault="009449A9" w:rsidP="009449A9">
      <w:pPr>
        <w:spacing w:after="0" w:line="240" w:lineRule="auto"/>
        <w:contextualSpacing/>
        <w:jc w:val="both"/>
        <w:rPr>
          <w:rFonts w:ascii="Verdana" w:hAnsi="Verdana"/>
        </w:rPr>
      </w:pPr>
    </w:p>
    <w:p w14:paraId="72A2AA6C" w14:textId="77777777" w:rsidR="009449A9" w:rsidRDefault="009449A9" w:rsidP="009449A9">
      <w:pPr>
        <w:spacing w:after="0" w:line="240" w:lineRule="auto"/>
        <w:contextualSpacing/>
        <w:jc w:val="both"/>
        <w:rPr>
          <w:rFonts w:ascii="Verdana" w:hAnsi="Verdana"/>
        </w:rPr>
      </w:pPr>
    </w:p>
    <w:p w14:paraId="6570E166" w14:textId="77777777" w:rsidR="009449A9" w:rsidRDefault="009449A9" w:rsidP="009449A9">
      <w:pPr>
        <w:spacing w:after="0" w:line="240" w:lineRule="auto"/>
        <w:contextualSpacing/>
        <w:jc w:val="both"/>
        <w:rPr>
          <w:rFonts w:ascii="Verdana" w:hAnsi="Verdana"/>
        </w:rPr>
      </w:pPr>
    </w:p>
    <w:p w14:paraId="3684031C" w14:textId="77777777" w:rsidR="009449A9" w:rsidRDefault="009449A9" w:rsidP="009449A9">
      <w:pPr>
        <w:spacing w:after="0" w:line="240" w:lineRule="auto"/>
        <w:contextualSpacing/>
        <w:jc w:val="both"/>
        <w:rPr>
          <w:rFonts w:ascii="Verdana" w:hAnsi="Verdana"/>
        </w:rPr>
      </w:pPr>
    </w:p>
    <w:p w14:paraId="01782916" w14:textId="77777777" w:rsidR="009449A9" w:rsidRDefault="009449A9" w:rsidP="009449A9">
      <w:pPr>
        <w:spacing w:after="0" w:line="240" w:lineRule="auto"/>
        <w:contextualSpacing/>
        <w:jc w:val="both"/>
        <w:rPr>
          <w:rFonts w:ascii="Verdana" w:hAnsi="Verdana"/>
        </w:rPr>
      </w:pPr>
    </w:p>
    <w:p w14:paraId="410B715E" w14:textId="4693426D" w:rsidR="009449A9" w:rsidRDefault="009449A9" w:rsidP="009449A9">
      <w:pPr>
        <w:spacing w:after="0" w:line="240" w:lineRule="auto"/>
        <w:contextualSpacing/>
        <w:jc w:val="both"/>
        <w:rPr>
          <w:rFonts w:ascii="Verdana" w:hAnsi="Verdana"/>
        </w:rPr>
      </w:pPr>
      <w:r w:rsidRPr="00A869FE">
        <w:rPr>
          <w:rFonts w:ascii="Verdana" w:hAnsi="Verdana"/>
        </w:rPr>
        <w:lastRenderedPageBreak/>
        <w:t xml:space="preserve">Bogotá D.C., </w:t>
      </w:r>
      <w:r w:rsidR="009403AD">
        <w:rPr>
          <w:rFonts w:ascii="Verdana" w:hAnsi="Verdana"/>
        </w:rPr>
        <w:t>22 de diciembre de 2025</w:t>
      </w:r>
    </w:p>
    <w:p w14:paraId="706D8778" w14:textId="77777777" w:rsidR="009403AD" w:rsidRPr="00A869FE" w:rsidRDefault="009403AD" w:rsidP="009449A9">
      <w:pPr>
        <w:spacing w:after="0" w:line="240" w:lineRule="auto"/>
        <w:contextualSpacing/>
        <w:jc w:val="both"/>
        <w:rPr>
          <w:rFonts w:ascii="Verdana" w:eastAsia="Times New Roman" w:hAnsi="Verdana" w:cs="Arial"/>
          <w:lang w:eastAsia="es-ES"/>
        </w:rPr>
      </w:pPr>
    </w:p>
    <w:p w14:paraId="6F08EF59" w14:textId="29D72547" w:rsidR="009449A9" w:rsidRPr="00A869FE" w:rsidRDefault="009403AD" w:rsidP="009449A9">
      <w:pPr>
        <w:spacing w:after="0" w:line="240" w:lineRule="auto"/>
        <w:jc w:val="right"/>
        <w:rPr>
          <w:rFonts w:ascii="Verdana" w:hAnsi="Verdana" w:cs="Arial"/>
          <w:color w:val="000000"/>
        </w:rPr>
      </w:pPr>
      <w:r w:rsidRPr="009403AD">
        <w:rPr>
          <w:rFonts w:ascii="Verdana" w:hAnsi="Verdana" w:cs="Arial"/>
          <w:noProof/>
          <w:color w:val="000000"/>
        </w:rPr>
        <w:drawing>
          <wp:anchor distT="0" distB="0" distL="114300" distR="114300" simplePos="0" relativeHeight="251658240" behindDoc="1" locked="0" layoutInCell="1" allowOverlap="1" wp14:anchorId="3DBDD276" wp14:editId="2700EB46">
            <wp:simplePos x="0" y="0"/>
            <wp:positionH relativeFrom="column">
              <wp:posOffset>3206115</wp:posOffset>
            </wp:positionH>
            <wp:positionV relativeFrom="paragraph">
              <wp:posOffset>-1905</wp:posOffset>
            </wp:positionV>
            <wp:extent cx="2408624" cy="688412"/>
            <wp:effectExtent l="0" t="0" r="0" b="0"/>
            <wp:wrapNone/>
            <wp:docPr id="100555260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52606" name="Imagen 1" descr="Texto&#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08624" cy="688412"/>
                    </a:xfrm>
                    <a:prstGeom prst="rect">
                      <a:avLst/>
                    </a:prstGeom>
                  </pic:spPr>
                </pic:pic>
              </a:graphicData>
            </a:graphic>
          </wp:anchor>
        </w:drawing>
      </w:r>
    </w:p>
    <w:p w14:paraId="44D31F1F" w14:textId="77777777" w:rsidR="009449A9" w:rsidRDefault="009449A9" w:rsidP="009449A9">
      <w:pPr>
        <w:spacing w:after="0" w:line="240" w:lineRule="auto"/>
        <w:jc w:val="both"/>
        <w:rPr>
          <w:rFonts w:ascii="Verdana" w:hAnsi="Verdana" w:cs="Arial"/>
          <w:lang w:eastAsia="es-ES"/>
        </w:rPr>
      </w:pPr>
    </w:p>
    <w:p w14:paraId="725DB06A" w14:textId="77777777" w:rsidR="009449A9" w:rsidRPr="00A869FE" w:rsidRDefault="009449A9" w:rsidP="009449A9">
      <w:pPr>
        <w:spacing w:after="0" w:line="240" w:lineRule="auto"/>
        <w:jc w:val="both"/>
        <w:rPr>
          <w:rFonts w:ascii="Verdana" w:hAnsi="Verdana" w:cs="Arial"/>
          <w:lang w:eastAsia="es-ES"/>
        </w:rPr>
      </w:pPr>
      <w:r w:rsidRPr="00A869FE">
        <w:rPr>
          <w:rFonts w:ascii="Verdana" w:hAnsi="Verdana" w:cs="Arial"/>
          <w:lang w:eastAsia="es-ES"/>
        </w:rPr>
        <w:t>Señor</w:t>
      </w:r>
    </w:p>
    <w:p w14:paraId="0F45CFA4" w14:textId="77777777" w:rsidR="009449A9" w:rsidRDefault="009449A9" w:rsidP="009449A9">
      <w:pPr>
        <w:tabs>
          <w:tab w:val="left" w:pos="3708"/>
        </w:tabs>
        <w:spacing w:after="0" w:line="240" w:lineRule="auto"/>
        <w:rPr>
          <w:rFonts w:ascii="Verdana" w:hAnsi="Verdana" w:cs="Arial"/>
          <w:b/>
          <w:bCs/>
          <w:lang w:eastAsia="es-ES"/>
        </w:rPr>
      </w:pPr>
      <w:r w:rsidRPr="00BF40E3">
        <w:rPr>
          <w:rFonts w:ascii="Verdana" w:hAnsi="Verdana" w:cs="Arial"/>
          <w:b/>
          <w:bCs/>
          <w:lang w:eastAsia="es-ES"/>
        </w:rPr>
        <w:t>Cesar</w:t>
      </w:r>
      <w:r>
        <w:rPr>
          <w:rFonts w:ascii="Verdana" w:hAnsi="Verdana" w:cs="Arial"/>
          <w:b/>
          <w:bCs/>
          <w:lang w:eastAsia="es-ES"/>
        </w:rPr>
        <w:t xml:space="preserve"> </w:t>
      </w:r>
      <w:r w:rsidRPr="004E5F2F">
        <w:rPr>
          <w:rFonts w:ascii="Verdana" w:hAnsi="Verdana" w:cs="Arial"/>
          <w:b/>
          <w:bCs/>
          <w:lang w:eastAsia="es-ES"/>
        </w:rPr>
        <w:t>Quintero Sanabria</w:t>
      </w:r>
    </w:p>
    <w:p w14:paraId="043B873F" w14:textId="77777777" w:rsidR="009449A9" w:rsidRPr="004E5F2F" w:rsidRDefault="009449A9" w:rsidP="009449A9">
      <w:pPr>
        <w:tabs>
          <w:tab w:val="left" w:pos="3708"/>
        </w:tabs>
        <w:spacing w:after="0" w:line="240" w:lineRule="auto"/>
        <w:rPr>
          <w:rFonts w:ascii="Verdana" w:hAnsi="Verdana" w:cs="Arial"/>
          <w:lang w:eastAsia="es-ES"/>
        </w:rPr>
      </w:pPr>
      <w:hyperlink r:id="rId11" w:history="1">
        <w:r w:rsidRPr="004E5F2F">
          <w:rPr>
            <w:rStyle w:val="Hipervnculo"/>
            <w:rFonts w:ascii="Verdana" w:hAnsi="Verdana" w:cs="Arial"/>
            <w:lang w:eastAsia="es-ES"/>
          </w:rPr>
          <w:t>kavaca@hotmail.com</w:t>
        </w:r>
      </w:hyperlink>
      <w:r w:rsidRPr="004E5F2F">
        <w:rPr>
          <w:rFonts w:ascii="Verdana" w:hAnsi="Verdana" w:cs="Arial"/>
          <w:lang w:eastAsia="es-ES"/>
        </w:rPr>
        <w:t xml:space="preserve"> </w:t>
      </w:r>
    </w:p>
    <w:p w14:paraId="7AC025FE" w14:textId="77777777" w:rsidR="009449A9" w:rsidRPr="008E0A05" w:rsidRDefault="009449A9" w:rsidP="009449A9">
      <w:pPr>
        <w:tabs>
          <w:tab w:val="left" w:pos="3708"/>
        </w:tabs>
        <w:spacing w:after="0" w:line="240" w:lineRule="auto"/>
        <w:rPr>
          <w:rFonts w:ascii="Verdana" w:hAnsi="Verdana" w:cs="Arial"/>
          <w:lang w:eastAsia="es-ES"/>
        </w:rPr>
      </w:pPr>
      <w:r w:rsidRPr="008E0A05">
        <w:rPr>
          <w:rFonts w:ascii="Verdana" w:hAnsi="Verdana" w:cs="Arial"/>
          <w:lang w:eastAsia="es-ES"/>
        </w:rPr>
        <w:t>Bogotá</w:t>
      </w:r>
      <w:r>
        <w:rPr>
          <w:rFonts w:ascii="Verdana" w:hAnsi="Verdana" w:cs="Arial"/>
          <w:lang w:eastAsia="es-ES"/>
        </w:rPr>
        <w:t>, D.C.</w:t>
      </w:r>
      <w:r w:rsidRPr="008E0A05">
        <w:rPr>
          <w:rFonts w:ascii="Verdana" w:hAnsi="Verdana" w:cs="Arial"/>
          <w:lang w:eastAsia="es-ES"/>
        </w:rPr>
        <w:tab/>
      </w:r>
    </w:p>
    <w:p w14:paraId="387E84A0" w14:textId="77777777" w:rsidR="009449A9" w:rsidRPr="008E0A05" w:rsidRDefault="009449A9" w:rsidP="009449A9">
      <w:pPr>
        <w:spacing w:after="0" w:line="240" w:lineRule="auto"/>
        <w:rPr>
          <w:rFonts w:ascii="Verdana" w:hAnsi="Verdana" w:cs="Arial"/>
          <w:b/>
          <w:bCs/>
          <w:color w:val="000000"/>
          <w:lang w:eastAsia="es-ES_tradnl"/>
        </w:rPr>
      </w:pPr>
    </w:p>
    <w:p w14:paraId="68B2B1A2" w14:textId="77777777" w:rsidR="009449A9" w:rsidRPr="008E0A05" w:rsidRDefault="009449A9" w:rsidP="009449A9">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9449A9" w:rsidRPr="00A869FE" w14:paraId="1BA3BF01" w14:textId="77777777" w:rsidTr="00093697">
        <w:trPr>
          <w:trHeight w:val="633"/>
        </w:trPr>
        <w:tc>
          <w:tcPr>
            <w:tcW w:w="2689" w:type="dxa"/>
          </w:tcPr>
          <w:p w14:paraId="2A5586F1" w14:textId="77777777" w:rsidR="009449A9" w:rsidRPr="008E0A05" w:rsidRDefault="009449A9" w:rsidP="00093697">
            <w:pPr>
              <w:jc w:val="both"/>
              <w:rPr>
                <w:rFonts w:ascii="Verdana" w:hAnsi="Verdana" w:cs="Arial"/>
                <w:b/>
                <w:bCs/>
                <w:color w:val="7030A0"/>
                <w:lang w:eastAsia="es-ES_tradnl"/>
              </w:rPr>
            </w:pPr>
          </w:p>
        </w:tc>
        <w:tc>
          <w:tcPr>
            <w:tcW w:w="6100" w:type="dxa"/>
          </w:tcPr>
          <w:p w14:paraId="2E26A564" w14:textId="77777777" w:rsidR="009449A9" w:rsidRPr="00A869FE" w:rsidRDefault="009449A9" w:rsidP="00093697">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719</w:t>
            </w:r>
            <w:r w:rsidRPr="00A869FE">
              <w:rPr>
                <w:rFonts w:ascii="Verdana" w:hAnsi="Verdana" w:cs="Arial"/>
                <w:b/>
                <w:bCs/>
                <w:lang w:eastAsia="es-ES"/>
              </w:rPr>
              <w:t xml:space="preserve"> de 2025</w:t>
            </w:r>
          </w:p>
        </w:tc>
      </w:tr>
      <w:tr w:rsidR="009449A9" w:rsidRPr="00A869FE" w14:paraId="469082A8" w14:textId="77777777" w:rsidTr="00093697">
        <w:trPr>
          <w:trHeight w:val="884"/>
        </w:trPr>
        <w:tc>
          <w:tcPr>
            <w:tcW w:w="2689" w:type="dxa"/>
          </w:tcPr>
          <w:p w14:paraId="73E33C63" w14:textId="77777777" w:rsidR="009449A9" w:rsidRPr="00A869FE" w:rsidRDefault="009449A9" w:rsidP="00093697">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6F90968D" w14:textId="77777777" w:rsidR="009449A9" w:rsidRDefault="009449A9" w:rsidP="00093697">
            <w:pPr>
              <w:jc w:val="both"/>
              <w:rPr>
                <w:rFonts w:ascii="Verdana" w:hAnsi="Verdana" w:cs="Arial"/>
                <w:lang w:eastAsia="es-ES"/>
              </w:rPr>
            </w:pPr>
            <w:r w:rsidRPr="00984640">
              <w:rPr>
                <w:rFonts w:ascii="Verdana" w:hAnsi="Verdana" w:cs="Arial"/>
                <w:lang w:eastAsia="es-ES"/>
              </w:rPr>
              <w:t>CONTRATO DE PRESTACIÓN DE SERVICIOS PROFESIONALES – Naturaleza y características</w:t>
            </w:r>
            <w:r>
              <w:rPr>
                <w:rFonts w:ascii="Verdana" w:hAnsi="Verdana" w:cs="Arial"/>
                <w:lang w:eastAsia="es-ES"/>
              </w:rPr>
              <w:t xml:space="preserve"> / </w:t>
            </w:r>
            <w:r w:rsidRPr="00984640">
              <w:rPr>
                <w:rFonts w:ascii="Verdana" w:hAnsi="Verdana" w:cs="Arial"/>
                <w:lang w:eastAsia="es-ES"/>
              </w:rPr>
              <w:t>ABOGADO – Licencia temporal – Alcance y límites para el ejercicio profesional</w:t>
            </w:r>
          </w:p>
          <w:p w14:paraId="18EC9157" w14:textId="77777777" w:rsidR="009449A9" w:rsidRPr="00F10EF0" w:rsidRDefault="009449A9" w:rsidP="00093697">
            <w:pPr>
              <w:jc w:val="both"/>
            </w:pPr>
          </w:p>
        </w:tc>
      </w:tr>
      <w:tr w:rsidR="009449A9" w:rsidRPr="00A869FE" w14:paraId="2EF57885" w14:textId="77777777" w:rsidTr="00093697">
        <w:tc>
          <w:tcPr>
            <w:tcW w:w="2689" w:type="dxa"/>
          </w:tcPr>
          <w:p w14:paraId="30F14EE2" w14:textId="77777777" w:rsidR="009449A9" w:rsidRPr="00A869FE" w:rsidRDefault="009449A9" w:rsidP="00093697">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346C0480" w14:textId="77777777" w:rsidR="009449A9" w:rsidRPr="00A869FE" w:rsidRDefault="009449A9" w:rsidP="00093697">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047C7C">
              <w:rPr>
                <w:rFonts w:ascii="Verdana" w:hAnsi="Verdana" w:cs="Arial"/>
                <w:lang w:eastAsia="es-ES_tradnl"/>
              </w:rPr>
              <w:t>1_2025_11_20_013105</w:t>
            </w:r>
          </w:p>
        </w:tc>
      </w:tr>
    </w:tbl>
    <w:p w14:paraId="1A1D4DE0" w14:textId="77777777" w:rsidR="009449A9" w:rsidRPr="00A869FE" w:rsidRDefault="009449A9" w:rsidP="009449A9">
      <w:pPr>
        <w:spacing w:after="0" w:line="240" w:lineRule="auto"/>
        <w:jc w:val="both"/>
        <w:rPr>
          <w:rFonts w:ascii="Verdana" w:hAnsi="Verdana" w:cs="Arial"/>
          <w:color w:val="000000"/>
          <w:lang w:eastAsia="es-ES_tradnl"/>
        </w:rPr>
      </w:pPr>
    </w:p>
    <w:p w14:paraId="71414FC2" w14:textId="77777777" w:rsidR="009449A9" w:rsidRPr="00A869FE" w:rsidRDefault="009449A9" w:rsidP="009449A9">
      <w:pPr>
        <w:spacing w:after="0" w:line="240" w:lineRule="auto"/>
        <w:jc w:val="both"/>
        <w:rPr>
          <w:rFonts w:ascii="Verdana" w:hAnsi="Verdana" w:cs="Arial"/>
          <w:color w:val="000000"/>
          <w:lang w:eastAsia="es-ES_tradnl"/>
        </w:rPr>
      </w:pPr>
    </w:p>
    <w:p w14:paraId="719DA6F5" w14:textId="77777777" w:rsidR="009449A9" w:rsidRPr="00A869FE" w:rsidRDefault="009449A9" w:rsidP="009449A9">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 xml:space="preserve">o señor </w:t>
      </w:r>
      <w:r w:rsidRPr="00047C7C">
        <w:rPr>
          <w:rFonts w:ascii="Verdana" w:hAnsi="Verdana" w:cs="Arial"/>
          <w:lang w:eastAsia="es-ES"/>
        </w:rPr>
        <w:t>Quintero Sanabria</w:t>
      </w:r>
      <w:r w:rsidRPr="00A869FE">
        <w:rPr>
          <w:rFonts w:ascii="Verdana" w:hAnsi="Verdana" w:cs="Arial"/>
          <w:lang w:eastAsia="es-ES"/>
        </w:rPr>
        <w:t>:</w:t>
      </w:r>
    </w:p>
    <w:p w14:paraId="481AEAFB" w14:textId="77777777" w:rsidR="009449A9" w:rsidRPr="00A869FE" w:rsidRDefault="009449A9" w:rsidP="009449A9">
      <w:pPr>
        <w:tabs>
          <w:tab w:val="left" w:pos="3768"/>
        </w:tabs>
        <w:spacing w:after="0" w:line="276" w:lineRule="auto"/>
        <w:jc w:val="both"/>
        <w:rPr>
          <w:rFonts w:ascii="Verdana" w:hAnsi="Verdana" w:cs="Arial"/>
          <w:color w:val="000000" w:themeColor="text1"/>
          <w:lang w:eastAsia="es-ES"/>
        </w:rPr>
      </w:pPr>
      <w:r w:rsidRPr="00A869FE">
        <w:rPr>
          <w:rFonts w:ascii="Verdana" w:hAnsi="Verdana" w:cs="Arial"/>
          <w:color w:val="000000" w:themeColor="text1"/>
          <w:lang w:eastAsia="es-ES"/>
        </w:rPr>
        <w:tab/>
      </w:r>
    </w:p>
    <w:p w14:paraId="4BB58144" w14:textId="77777777" w:rsidR="009449A9" w:rsidRPr="002034D9" w:rsidRDefault="009449A9" w:rsidP="009449A9">
      <w:pPr>
        <w:spacing w:after="0" w:line="276" w:lineRule="auto"/>
        <w:jc w:val="both"/>
        <w:rPr>
          <w:rFonts w:ascii="Verdana" w:hAnsi="Verdana" w:cs="Arial"/>
          <w:lang w:eastAsia="es-ES"/>
        </w:rPr>
      </w:pPr>
      <w:r w:rsidRPr="00A869FE">
        <w:rPr>
          <w:rFonts w:ascii="Verdana" w:hAnsi="Verdana" w:cs="Arial"/>
          <w:color w:val="000000" w:themeColor="text1"/>
          <w:lang w:eastAsia="es-ES"/>
        </w:rPr>
        <w:t>En ejercicio de la competencia otorgada por los artículos 3, numeral 5º, y 11, numeral 8º, del Decreto Ley 4170 de 2011,</w:t>
      </w:r>
      <w:r w:rsidRPr="00A869FE">
        <w:rPr>
          <w:rFonts w:ascii="Verdana" w:eastAsia="Arial MT" w:hAnsi="Verdana" w:cs="Arial MT"/>
          <w:lang w:eastAsia="es-ES"/>
        </w:rPr>
        <w:t xml:space="preserve"> </w:t>
      </w:r>
      <w:r w:rsidRPr="00A869FE">
        <w:rPr>
          <w:rFonts w:ascii="Verdana" w:hAnsi="Verdana" w:cs="Arial"/>
        </w:rPr>
        <w:t xml:space="preserve">así como lo establecido en la Resolución 469 de 2025 expedida por esta Entidad, </w:t>
      </w:r>
      <w:r w:rsidRPr="00A869FE">
        <w:rPr>
          <w:rFonts w:ascii="Verdana" w:hAnsi="Verdana" w:cs="Arial"/>
          <w:color w:val="000000" w:themeColor="text1"/>
          <w:lang w:eastAsia="es-ES"/>
        </w:rPr>
        <w:t>la Agencia Nacional de Contratación Pública – Colombia Compra Eficiente responde su solicitud</w:t>
      </w:r>
      <w:r>
        <w:rPr>
          <w:rFonts w:ascii="Verdana" w:hAnsi="Verdana" w:cs="Arial"/>
          <w:color w:val="000000" w:themeColor="text1"/>
          <w:lang w:eastAsia="es-ES"/>
        </w:rPr>
        <w:t xml:space="preserve"> remitida por el Departamento Administrativo de la Función Pública – DAFP y radicada el</w:t>
      </w:r>
      <w:r w:rsidRPr="00A869FE">
        <w:rPr>
          <w:rFonts w:ascii="Verdana" w:hAnsi="Verdana" w:cs="Arial"/>
          <w:lang w:eastAsia="es-ES"/>
        </w:rPr>
        <w:t xml:space="preserve"> </w:t>
      </w:r>
      <w:r>
        <w:rPr>
          <w:rFonts w:ascii="Verdana" w:hAnsi="Verdana" w:cs="Arial"/>
          <w:lang w:eastAsia="es-ES"/>
        </w:rPr>
        <w:t xml:space="preserve">20 </w:t>
      </w:r>
      <w:r w:rsidRPr="00A869FE">
        <w:rPr>
          <w:rFonts w:ascii="Verdana" w:hAnsi="Verdana" w:cs="Arial"/>
          <w:lang w:eastAsia="es-ES"/>
        </w:rPr>
        <w:t xml:space="preserve">de </w:t>
      </w:r>
      <w:r>
        <w:rPr>
          <w:rFonts w:ascii="Verdana" w:hAnsi="Verdana" w:cs="Arial"/>
          <w:lang w:eastAsia="es-ES"/>
        </w:rPr>
        <w:t>noviembre</w:t>
      </w:r>
      <w:r w:rsidRPr="00A869FE">
        <w:rPr>
          <w:rFonts w:ascii="Verdana" w:hAnsi="Verdana" w:cs="Arial"/>
          <w:lang w:eastAsia="es-ES"/>
        </w:rPr>
        <w:t xml:space="preserve"> de 2025, </w:t>
      </w:r>
      <w:r>
        <w:rPr>
          <w:rFonts w:ascii="Verdana" w:hAnsi="Verdana" w:cs="Arial"/>
          <w:lang w:eastAsia="es-ES"/>
        </w:rPr>
        <w:t>petición formulada en los siguientes términos</w:t>
      </w:r>
      <w:r w:rsidRPr="00A869FE">
        <w:rPr>
          <w:rFonts w:ascii="Verdana" w:hAnsi="Verdana" w:cs="Arial"/>
          <w:lang w:eastAsia="es-ES"/>
        </w:rPr>
        <w:t xml:space="preserve">: </w:t>
      </w:r>
    </w:p>
    <w:p w14:paraId="0D2CDEA1" w14:textId="77777777" w:rsidR="009449A9" w:rsidRPr="00A869FE" w:rsidRDefault="009449A9" w:rsidP="009449A9">
      <w:pPr>
        <w:tabs>
          <w:tab w:val="left" w:pos="142"/>
          <w:tab w:val="left" w:pos="284"/>
        </w:tabs>
        <w:spacing w:after="0" w:line="276" w:lineRule="auto"/>
        <w:contextualSpacing/>
        <w:jc w:val="both"/>
        <w:rPr>
          <w:rFonts w:ascii="Verdana" w:eastAsia="Century Gothic" w:hAnsi="Verdana" w:cs="Century Gothic"/>
          <w:b/>
          <w:bCs/>
        </w:rPr>
      </w:pPr>
    </w:p>
    <w:p w14:paraId="0D658090" w14:textId="77777777" w:rsidR="009449A9" w:rsidRDefault="009449A9" w:rsidP="009449A9">
      <w:pPr>
        <w:spacing w:after="0" w:line="240" w:lineRule="auto"/>
        <w:ind w:left="709" w:right="709"/>
        <w:jc w:val="both"/>
        <w:rPr>
          <w:rFonts w:ascii="Verdana" w:eastAsia="Century Gothic" w:hAnsi="Verdana" w:cs="Century Gothic"/>
          <w:sz w:val="20"/>
          <w:szCs w:val="20"/>
        </w:rPr>
      </w:pPr>
      <w:bookmarkStart w:id="1" w:name="_Hlk95313578"/>
      <w:r w:rsidRPr="00A869FE">
        <w:rPr>
          <w:rFonts w:ascii="Verdana" w:eastAsia="Century Gothic" w:hAnsi="Verdana" w:cs="Century Gothic"/>
          <w:sz w:val="20"/>
          <w:szCs w:val="20"/>
        </w:rPr>
        <w:t>“</w:t>
      </w:r>
      <w:bookmarkEnd w:id="1"/>
      <w:r>
        <w:rPr>
          <w:rFonts w:ascii="Verdana" w:eastAsia="Century Gothic" w:hAnsi="Verdana" w:cs="Century Gothic"/>
          <w:sz w:val="20"/>
          <w:szCs w:val="20"/>
        </w:rPr>
        <w:t>[…]</w:t>
      </w:r>
    </w:p>
    <w:p w14:paraId="0A01BF06" w14:textId="77777777" w:rsidR="009449A9" w:rsidRDefault="009449A9" w:rsidP="009449A9">
      <w:pPr>
        <w:spacing w:after="0" w:line="240" w:lineRule="auto"/>
        <w:ind w:left="709" w:right="709"/>
        <w:jc w:val="both"/>
        <w:rPr>
          <w:rFonts w:ascii="Verdana" w:eastAsia="Century Gothic" w:hAnsi="Verdana" w:cs="Century Gothic"/>
          <w:sz w:val="20"/>
          <w:szCs w:val="20"/>
        </w:rPr>
      </w:pPr>
    </w:p>
    <w:p w14:paraId="000A1131" w14:textId="77777777" w:rsidR="009449A9" w:rsidRDefault="009449A9" w:rsidP="009449A9">
      <w:pPr>
        <w:spacing w:after="0" w:line="240" w:lineRule="auto"/>
        <w:ind w:left="709" w:right="709"/>
        <w:jc w:val="both"/>
        <w:rPr>
          <w:rFonts w:ascii="Verdana" w:eastAsia="Century Gothic" w:hAnsi="Verdana" w:cs="Century Gothic"/>
          <w:sz w:val="20"/>
          <w:szCs w:val="20"/>
        </w:rPr>
      </w:pPr>
      <w:r w:rsidRPr="000871D8">
        <w:rPr>
          <w:rFonts w:ascii="Verdana" w:eastAsia="Century Gothic" w:hAnsi="Verdana" w:cs="Century Gothic"/>
          <w:sz w:val="20"/>
          <w:szCs w:val="20"/>
        </w:rPr>
        <w:t xml:space="preserve">me permito la presente con el fin de realizar una consulta sobre la viabilidad legal y administrativa de aceptar un contrato de prestación de servicios profesionales como abogado, bajo el marco de una tarjeta temporal, en el contexto de la normativa vigente sobre contratación en la función pública. </w:t>
      </w:r>
    </w:p>
    <w:p w14:paraId="1D422745" w14:textId="77777777" w:rsidR="009449A9" w:rsidRDefault="009449A9" w:rsidP="009449A9">
      <w:pPr>
        <w:spacing w:after="0" w:line="240" w:lineRule="auto"/>
        <w:ind w:left="709" w:right="709"/>
        <w:jc w:val="both"/>
        <w:rPr>
          <w:rFonts w:ascii="Verdana" w:eastAsia="Century Gothic" w:hAnsi="Verdana" w:cs="Century Gothic"/>
          <w:sz w:val="20"/>
          <w:szCs w:val="20"/>
        </w:rPr>
      </w:pPr>
    </w:p>
    <w:p w14:paraId="0DE94AD4" w14:textId="77777777" w:rsidR="009449A9" w:rsidRDefault="009449A9" w:rsidP="009449A9">
      <w:pPr>
        <w:spacing w:after="0" w:line="240" w:lineRule="auto"/>
        <w:ind w:left="709" w:right="709"/>
        <w:jc w:val="both"/>
        <w:rPr>
          <w:rFonts w:ascii="Verdana" w:eastAsia="Century Gothic" w:hAnsi="Verdana" w:cs="Century Gothic"/>
          <w:sz w:val="20"/>
          <w:szCs w:val="20"/>
        </w:rPr>
      </w:pPr>
      <w:r w:rsidRPr="000871D8">
        <w:rPr>
          <w:rFonts w:ascii="Verdana" w:eastAsia="Century Gothic" w:hAnsi="Verdana" w:cs="Century Gothic"/>
          <w:sz w:val="20"/>
          <w:szCs w:val="20"/>
        </w:rPr>
        <w:t xml:space="preserve">En particular, me gustaría conocer si la expedición y/o aceptación de una tarjeta temporal habilita a una persona para celebrar dicho contrato con entidades públicas, en el ejercicio de la profesión de abogado, y si existen restricciones o requisitos adicionales para proceder en este tipo de situaciones. </w:t>
      </w:r>
    </w:p>
    <w:p w14:paraId="49E85013" w14:textId="77777777" w:rsidR="009449A9" w:rsidRPr="00A869FE" w:rsidRDefault="009449A9" w:rsidP="009449A9">
      <w:pPr>
        <w:spacing w:after="0" w:line="240" w:lineRule="auto"/>
        <w:ind w:left="709" w:right="709"/>
        <w:jc w:val="both"/>
        <w:rPr>
          <w:rFonts w:ascii="Verdana" w:hAnsi="Verdana"/>
          <w:sz w:val="20"/>
          <w:szCs w:val="20"/>
        </w:rPr>
      </w:pPr>
      <w:r w:rsidRPr="000871D8">
        <w:rPr>
          <w:rFonts w:ascii="Verdana" w:eastAsia="Century Gothic" w:hAnsi="Verdana" w:cs="Century Gothic"/>
          <w:sz w:val="20"/>
          <w:szCs w:val="20"/>
        </w:rPr>
        <w:lastRenderedPageBreak/>
        <w:t>Dado que mi interés es prestar mis servicios profesionales a LA UNIDAD ADMINISTRATIVA DE RSTITUCIÓN DE TIERRAS DESPOJADAS (URT) y debido a que mi situación migratoria se encuentra respaldada por una tarjeta temporal, solicito que me brinden claridad sobre los procedimientos a seguir, así como sobre las condiciones que deben cumplirse para tal efecto</w:t>
      </w:r>
      <w:r>
        <w:rPr>
          <w:rFonts w:ascii="Verdana" w:eastAsia="Century Gothic" w:hAnsi="Verdana" w:cs="Century Gothic"/>
          <w:sz w:val="20"/>
          <w:szCs w:val="20"/>
        </w:rPr>
        <w:t xml:space="preserve"> […]</w:t>
      </w:r>
      <w:r w:rsidRPr="00A869FE">
        <w:rPr>
          <w:rFonts w:ascii="Verdana" w:hAnsi="Verdana"/>
          <w:sz w:val="20"/>
          <w:szCs w:val="20"/>
        </w:rPr>
        <w:t>”</w:t>
      </w:r>
    </w:p>
    <w:p w14:paraId="7054D76B" w14:textId="77777777" w:rsidR="009449A9" w:rsidRPr="00A869FE" w:rsidRDefault="009449A9" w:rsidP="009449A9">
      <w:pPr>
        <w:tabs>
          <w:tab w:val="left" w:pos="142"/>
          <w:tab w:val="left" w:pos="284"/>
        </w:tabs>
        <w:spacing w:after="0" w:line="276" w:lineRule="auto"/>
        <w:contextualSpacing/>
        <w:jc w:val="both"/>
        <w:rPr>
          <w:rFonts w:ascii="Verdana" w:eastAsia="Century Gothic" w:hAnsi="Verdana" w:cs="Century Gothic"/>
          <w:b/>
          <w:bCs/>
        </w:rPr>
      </w:pPr>
    </w:p>
    <w:p w14:paraId="01D92101" w14:textId="77777777" w:rsidR="009449A9" w:rsidRPr="00A869FE" w:rsidRDefault="009449A9" w:rsidP="009449A9">
      <w:pPr>
        <w:spacing w:after="120" w:line="276" w:lineRule="auto"/>
        <w:ind w:firstLine="709"/>
        <w:jc w:val="both"/>
        <w:rPr>
          <w:rFonts w:ascii="Verdana" w:hAnsi="Verdana" w:cs="Arial"/>
          <w:color w:val="000000"/>
          <w:lang w:eastAsia="es-ES"/>
        </w:rPr>
      </w:pPr>
      <w:r w:rsidRPr="00A869FE">
        <w:rPr>
          <w:rFonts w:ascii="Verdana" w:hAnsi="Verdana" w:cs="Arial"/>
          <w:color w:val="000000" w:themeColor="text1"/>
          <w:lang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eastAsia="es-ES"/>
        </w:rPr>
        <w:t xml:space="preserve">la Agencia Nacional de Contratación Pública – </w:t>
      </w:r>
      <w:r w:rsidRPr="00A869FE">
        <w:rPr>
          <w:rFonts w:ascii="Verdana" w:hAnsi="Verdana" w:cs="Arial"/>
          <w:color w:val="000000" w:themeColor="text1"/>
          <w:lang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9FE">
        <w:tab/>
      </w:r>
    </w:p>
    <w:p w14:paraId="01D3E408" w14:textId="77777777" w:rsidR="009449A9" w:rsidRPr="00A869FE" w:rsidRDefault="009449A9" w:rsidP="009449A9">
      <w:pPr>
        <w:spacing w:after="0" w:line="276" w:lineRule="auto"/>
        <w:ind w:firstLine="709"/>
        <w:jc w:val="both"/>
        <w:rPr>
          <w:rFonts w:ascii="Verdana" w:hAnsi="Verdana" w:cs="Arial"/>
          <w:color w:val="000000"/>
          <w:lang w:eastAsia="es-ES"/>
        </w:rPr>
      </w:pPr>
      <w:r w:rsidRPr="00A869FE">
        <w:rPr>
          <w:rFonts w:ascii="Verdana"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A869FE">
        <w:rPr>
          <w:rFonts w:ascii="Verdana" w:hAnsi="Verdana" w:cs="Arial"/>
          <w:color w:val="7030A0"/>
          <w:lang w:eastAsia="es-ES"/>
        </w:rPr>
        <w:t xml:space="preserve"> </w:t>
      </w:r>
      <w:r w:rsidRPr="00A869FE">
        <w:rPr>
          <w:rFonts w:ascii="Verdana" w:hAnsi="Verdana" w:cs="Arial"/>
          <w:color w:val="000000"/>
          <w:lang w:eastAsia="es-ES"/>
        </w:rPr>
        <w:t>problema</w:t>
      </w:r>
      <w:r w:rsidRPr="00A869FE">
        <w:rPr>
          <w:rFonts w:ascii="Verdana" w:hAnsi="Verdana" w:cs="Arial"/>
          <w:color w:val="7030A0"/>
          <w:lang w:eastAsia="es-ES"/>
        </w:rPr>
        <w:t xml:space="preserve"> </w:t>
      </w:r>
      <w:r w:rsidRPr="00A869FE">
        <w:rPr>
          <w:rFonts w:ascii="Verdana" w:hAnsi="Verdana" w:cs="Arial"/>
          <w:color w:val="000000"/>
          <w:lang w:eastAsia="es-ES"/>
        </w:rPr>
        <w:t>jurídico</w:t>
      </w:r>
      <w:r w:rsidRPr="00A869FE">
        <w:rPr>
          <w:rFonts w:ascii="Verdana" w:hAnsi="Verdana" w:cs="Arial"/>
          <w:color w:val="7030A0"/>
          <w:lang w:eastAsia="es-ES"/>
        </w:rPr>
        <w:t xml:space="preserve"> </w:t>
      </w:r>
      <w:r w:rsidRPr="00A869FE">
        <w:rPr>
          <w:rFonts w:ascii="Verdana" w:hAnsi="Verdana" w:cs="Arial"/>
          <w:color w:val="000000"/>
          <w:lang w:eastAsia="es-ES"/>
        </w:rPr>
        <w:t>de su consulta.</w:t>
      </w:r>
    </w:p>
    <w:p w14:paraId="38DFB105" w14:textId="77777777" w:rsidR="009449A9" w:rsidRPr="00A869FE" w:rsidRDefault="009449A9" w:rsidP="009449A9">
      <w:pPr>
        <w:spacing w:after="0" w:line="276" w:lineRule="auto"/>
        <w:ind w:firstLine="708"/>
        <w:jc w:val="both"/>
        <w:rPr>
          <w:rFonts w:ascii="Verdana" w:hAnsi="Verdana" w:cs="Arial"/>
          <w:lang w:eastAsia="es-ES"/>
        </w:rPr>
      </w:pPr>
    </w:p>
    <w:p w14:paraId="7896DA6F" w14:textId="77777777" w:rsidR="009449A9" w:rsidRPr="00A869FE" w:rsidRDefault="009449A9" w:rsidP="009449A9">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Problema planteado:</w:t>
      </w:r>
    </w:p>
    <w:p w14:paraId="4E46D3C7" w14:textId="77777777" w:rsidR="009449A9" w:rsidRPr="00A869FE" w:rsidRDefault="009449A9" w:rsidP="009449A9">
      <w:pPr>
        <w:tabs>
          <w:tab w:val="left" w:pos="426"/>
        </w:tabs>
        <w:spacing w:after="0" w:line="276" w:lineRule="auto"/>
        <w:jc w:val="both"/>
        <w:rPr>
          <w:rFonts w:ascii="Verdana" w:eastAsia="Century Gothic" w:hAnsi="Verdana" w:cs="Century Gothic"/>
        </w:rPr>
      </w:pPr>
    </w:p>
    <w:p w14:paraId="0E375216" w14:textId="77777777" w:rsidR="009449A9" w:rsidRPr="00A869FE" w:rsidRDefault="009449A9" w:rsidP="009449A9">
      <w:pPr>
        <w:spacing w:after="0" w:line="276" w:lineRule="auto"/>
        <w:jc w:val="both"/>
        <w:rPr>
          <w:rFonts w:ascii="Verdana" w:eastAsia="Century Gothic" w:hAnsi="Verdana" w:cs="Century Gothic"/>
        </w:rPr>
      </w:pPr>
      <w:r w:rsidRPr="00A869FE">
        <w:rPr>
          <w:rFonts w:ascii="Verdana" w:eastAsia="Century Gothic" w:hAnsi="Verdana" w:cs="Century Gothic"/>
        </w:rPr>
        <w:t xml:space="preserve">De acuerdo con el contenido de su solicitud, esta Agencia resolverá el siguiente problema jurídico: </w:t>
      </w:r>
      <w:r w:rsidRPr="009064F0">
        <w:rPr>
          <w:rFonts w:ascii="Verdana" w:eastAsia="Century Gothic" w:hAnsi="Verdana" w:cs="Century Gothic"/>
        </w:rPr>
        <w:t xml:space="preserve">¿Es jurídicamente viable que las Entidades Estatales permitan la celebración de contratos de prestación de servicios profesionales como abogado a quienes cuenten con </w:t>
      </w:r>
      <w:r>
        <w:rPr>
          <w:rFonts w:ascii="Verdana" w:eastAsia="Century Gothic" w:hAnsi="Verdana" w:cs="Century Gothic"/>
        </w:rPr>
        <w:t>licencia</w:t>
      </w:r>
      <w:r w:rsidRPr="009064F0">
        <w:rPr>
          <w:rFonts w:ascii="Verdana" w:eastAsia="Century Gothic" w:hAnsi="Verdana" w:cs="Century Gothic"/>
        </w:rPr>
        <w:t xml:space="preserve"> temporal, conforme al ordenamiento jurídico vigente?</w:t>
      </w:r>
    </w:p>
    <w:p w14:paraId="7B54D2D5" w14:textId="77777777" w:rsidR="009449A9" w:rsidRPr="00A869FE" w:rsidRDefault="009449A9" w:rsidP="009449A9">
      <w:pPr>
        <w:spacing w:after="0" w:line="276" w:lineRule="auto"/>
        <w:jc w:val="both"/>
        <w:rPr>
          <w:rFonts w:ascii="Verdana" w:hAnsi="Verdana" w:cs="Arial"/>
          <w:color w:val="7030A0"/>
        </w:rPr>
      </w:pPr>
    </w:p>
    <w:p w14:paraId="0029221B" w14:textId="77777777" w:rsidR="009449A9" w:rsidRPr="00A869FE" w:rsidRDefault="009449A9" w:rsidP="009449A9">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Respuesta:</w:t>
      </w:r>
    </w:p>
    <w:p w14:paraId="450E0880" w14:textId="77777777" w:rsidR="009449A9" w:rsidRPr="00A869FE" w:rsidRDefault="009449A9" w:rsidP="009449A9">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449A9" w:rsidRPr="00A869FE" w14:paraId="436BB311" w14:textId="77777777" w:rsidTr="00093697">
        <w:trPr>
          <w:jc w:val="center"/>
        </w:trPr>
        <w:tc>
          <w:tcPr>
            <w:tcW w:w="8828" w:type="dxa"/>
          </w:tcPr>
          <w:p w14:paraId="4668F429" w14:textId="77777777" w:rsidR="009449A9" w:rsidRPr="00465BCB" w:rsidRDefault="009449A9" w:rsidP="00093697">
            <w:pPr>
              <w:spacing w:line="276" w:lineRule="auto"/>
              <w:jc w:val="both"/>
              <w:rPr>
                <w:rFonts w:ascii="Verdana" w:eastAsia="Arial" w:hAnsi="Verdana" w:cs="Arial"/>
                <w:lang w:eastAsia="es-ES" w:bidi="es-ES"/>
              </w:rPr>
            </w:pPr>
            <w:r w:rsidRPr="006C2D84">
              <w:rPr>
                <w:rFonts w:ascii="Verdana" w:eastAsia="Arial" w:hAnsi="Verdana" w:cs="Arial"/>
                <w:lang w:eastAsia="es-ES" w:bidi="es-ES"/>
              </w:rPr>
              <w:t xml:space="preserve">Sí, es jurídicamente viable que las Entidades Estatales permitan la celebración de contratos de prestación de servicios profesionales como abogado a quienes cuenten con licencia temporal, conforme al ordenamiento jurídico vigente, </w:t>
            </w:r>
            <w:r w:rsidRPr="006C2D84">
              <w:rPr>
                <w:rFonts w:ascii="Verdana" w:eastAsia="Arial" w:hAnsi="Verdana" w:cs="Arial"/>
                <w:lang w:eastAsia="es-ES" w:bidi="es-ES"/>
              </w:rPr>
              <w:lastRenderedPageBreak/>
              <w:t>siempre que el ejercicio profesional derivado del contrato se limite a los asuntos expresamente autorizados por los artículos 31 y 32 del Decreto 196 de 1971 y que el objeto y las obligaciones contractuales no excedan el ámbito de habilitación legal conferido por dicha licencia</w:t>
            </w:r>
            <w:r>
              <w:rPr>
                <w:rFonts w:ascii="Verdana" w:eastAsia="Arial" w:hAnsi="Verdana" w:cs="Arial"/>
                <w:lang w:eastAsia="es-ES" w:bidi="es-ES"/>
              </w:rPr>
              <w:t>.</w:t>
            </w:r>
            <w:r>
              <w:rPr>
                <w:rFonts w:eastAsia="Arial"/>
                <w:lang w:eastAsia="es-ES" w:bidi="es-ES"/>
              </w:rPr>
              <w:t xml:space="preserve"> D</w:t>
            </w:r>
            <w:r w:rsidRPr="006C2D84">
              <w:rPr>
                <w:rFonts w:ascii="Verdana" w:eastAsia="Arial" w:hAnsi="Verdana" w:cs="Arial"/>
                <w:lang w:eastAsia="es-ES" w:bidi="es-ES"/>
              </w:rPr>
              <w:t>e lo contrario, deberá exigirse la inscripción como abogado y la correspondiente tarjeta profesional vigente.</w:t>
            </w:r>
          </w:p>
        </w:tc>
      </w:tr>
    </w:tbl>
    <w:p w14:paraId="15C17BC7" w14:textId="77777777" w:rsidR="009449A9" w:rsidRPr="00A869FE" w:rsidRDefault="009449A9" w:rsidP="009449A9">
      <w:pPr>
        <w:tabs>
          <w:tab w:val="left" w:pos="142"/>
          <w:tab w:val="left" w:pos="284"/>
        </w:tabs>
        <w:spacing w:after="0" w:line="276" w:lineRule="auto"/>
        <w:jc w:val="both"/>
        <w:rPr>
          <w:rFonts w:ascii="Verdana" w:eastAsia="Century Gothic" w:hAnsi="Verdana" w:cs="Century Gothic"/>
          <w:b/>
          <w:bCs/>
        </w:rPr>
      </w:pPr>
    </w:p>
    <w:p w14:paraId="3AB64AA6" w14:textId="77777777" w:rsidR="009449A9" w:rsidRPr="00A869FE" w:rsidRDefault="009449A9" w:rsidP="009449A9">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Razones de la respuesta:</w:t>
      </w:r>
    </w:p>
    <w:p w14:paraId="7E5A9579" w14:textId="77777777" w:rsidR="009449A9" w:rsidRPr="00A869FE" w:rsidRDefault="009449A9" w:rsidP="009449A9">
      <w:pPr>
        <w:spacing w:after="0" w:line="276" w:lineRule="auto"/>
        <w:jc w:val="both"/>
        <w:rPr>
          <w:rFonts w:ascii="Verdana" w:hAnsi="Verdana" w:cs="Arial"/>
          <w:color w:val="7030A0"/>
        </w:rPr>
      </w:pPr>
    </w:p>
    <w:p w14:paraId="7425349F" w14:textId="77777777" w:rsidR="009449A9" w:rsidRPr="00A869FE" w:rsidRDefault="009449A9" w:rsidP="009449A9">
      <w:pPr>
        <w:spacing w:after="0" w:line="276" w:lineRule="auto"/>
        <w:jc w:val="both"/>
        <w:rPr>
          <w:rFonts w:ascii="Verdana" w:hAnsi="Verdana" w:cs="Arial"/>
        </w:rPr>
      </w:pPr>
      <w:r w:rsidRPr="00A869FE">
        <w:rPr>
          <w:rFonts w:ascii="Verdana" w:hAnsi="Verdana" w:cs="Arial"/>
        </w:rPr>
        <w:t>Lo anterior se sustenta en las siguientes consideraciones:</w:t>
      </w:r>
    </w:p>
    <w:p w14:paraId="5260A6BB" w14:textId="77777777" w:rsidR="009449A9" w:rsidRPr="00A869FE" w:rsidRDefault="009449A9" w:rsidP="009449A9">
      <w:pPr>
        <w:spacing w:after="0" w:line="276" w:lineRule="auto"/>
        <w:ind w:firstLine="709"/>
        <w:jc w:val="both"/>
        <w:rPr>
          <w:rFonts w:ascii="Verdana" w:hAnsi="Verdana" w:cs="Arial"/>
          <w:color w:val="000000" w:themeColor="text1"/>
        </w:rPr>
      </w:pPr>
    </w:p>
    <w:p w14:paraId="60E92E38" w14:textId="77777777" w:rsidR="009449A9" w:rsidRPr="003A0462" w:rsidRDefault="009449A9" w:rsidP="009449A9">
      <w:pPr>
        <w:spacing w:after="120" w:line="276" w:lineRule="auto"/>
        <w:jc w:val="both"/>
        <w:rPr>
          <w:rFonts w:ascii="Verdana" w:eastAsia="Calibri" w:hAnsi="Verdana" w:cs="Arial"/>
          <w:lang w:val="es-ES_tradnl" w:eastAsia="es-ES_tradnl"/>
        </w:rPr>
      </w:pPr>
      <w:r w:rsidRPr="003A0462">
        <w:rPr>
          <w:rFonts w:ascii="Verdana" w:eastAsia="Calibri" w:hAnsi="Verdana" w:cs="Arial"/>
          <w:lang w:val="es-ES_tradnl" w:eastAsia="es-ES_tradnl"/>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en el artículo 32, numeral 3º, de la Ley 80 de 1993.</w:t>
      </w:r>
    </w:p>
    <w:p w14:paraId="6C9F15D3" w14:textId="77777777" w:rsidR="009449A9" w:rsidRPr="003A0462" w:rsidRDefault="009449A9" w:rsidP="009449A9">
      <w:pPr>
        <w:spacing w:after="0" w:line="276" w:lineRule="auto"/>
        <w:ind w:firstLine="709"/>
        <w:jc w:val="both"/>
        <w:rPr>
          <w:rFonts w:ascii="Verdana" w:eastAsia="Calibri" w:hAnsi="Verdana" w:cs="Arial"/>
          <w:lang w:val="es-ES" w:eastAsia="es-ES"/>
        </w:rPr>
      </w:pPr>
      <w:r w:rsidRPr="48B7B8E1">
        <w:rPr>
          <w:rFonts w:ascii="Verdana" w:eastAsia="Calibri" w:hAnsi="Verdana" w:cs="Arial"/>
          <w:lang w:val="es-ES" w:eastAsia="es-ES"/>
        </w:rPr>
        <w:t>De otro lado, la celebración de dicho contrato se debe efectuar a través de la modalidad de la contratación directa. Así lo prevé el artículo 2, numeral 4º, literal h), de la Ley 1150 de 2007, que dispone:</w:t>
      </w:r>
    </w:p>
    <w:p w14:paraId="2E1526AE" w14:textId="77777777" w:rsidR="009449A9" w:rsidRPr="003A0462" w:rsidRDefault="009449A9" w:rsidP="009449A9">
      <w:pPr>
        <w:spacing w:after="0" w:line="276" w:lineRule="auto"/>
        <w:ind w:firstLine="709"/>
        <w:jc w:val="both"/>
        <w:rPr>
          <w:rFonts w:ascii="Verdana" w:eastAsia="Calibri" w:hAnsi="Verdana" w:cs="Arial"/>
          <w:lang w:val="es-ES_tradnl" w:eastAsia="es-ES_tradnl"/>
        </w:rPr>
      </w:pPr>
    </w:p>
    <w:p w14:paraId="7C79B1C1" w14:textId="77777777" w:rsidR="009449A9" w:rsidRPr="003A0462" w:rsidRDefault="009449A9" w:rsidP="009449A9">
      <w:pPr>
        <w:spacing w:after="0" w:line="240" w:lineRule="auto"/>
        <w:ind w:left="709" w:right="709"/>
        <w:jc w:val="both"/>
        <w:rPr>
          <w:rFonts w:ascii="Verdana" w:eastAsia="Calibri" w:hAnsi="Verdana" w:cs="Arial"/>
          <w:sz w:val="20"/>
          <w:szCs w:val="20"/>
          <w:lang w:val="es-ES_tradnl" w:eastAsia="es-ES_tradnl"/>
        </w:rPr>
      </w:pPr>
      <w:r w:rsidRPr="003A0462">
        <w:rPr>
          <w:rFonts w:ascii="Verdana" w:eastAsia="Times New Roman" w:hAnsi="Verdana" w:cs="Arial"/>
          <w:sz w:val="20"/>
          <w:szCs w:val="20"/>
          <w:lang w:eastAsia="es-ES_tradnl"/>
        </w:rPr>
        <w:t>“</w:t>
      </w:r>
      <w:r w:rsidRPr="003A0462">
        <w:rPr>
          <w:rFonts w:ascii="Verdana" w:eastAsia="Calibri" w:hAnsi="Verdana" w:cs="Arial"/>
          <w:sz w:val="20"/>
          <w:szCs w:val="20"/>
          <w:lang w:val="es-ES_tradnl" w:eastAsia="es-ES_tradnl"/>
        </w:rPr>
        <w:t>[…] Contratación directa. La modalidad de selección de contratación directa solamente procederá en los siguientes casos:</w:t>
      </w:r>
    </w:p>
    <w:p w14:paraId="63A5436E" w14:textId="77777777" w:rsidR="009449A9" w:rsidRPr="003A0462" w:rsidRDefault="009449A9" w:rsidP="009449A9">
      <w:pPr>
        <w:spacing w:after="0" w:line="240" w:lineRule="auto"/>
        <w:ind w:left="709" w:right="709"/>
        <w:jc w:val="both"/>
        <w:rPr>
          <w:rFonts w:ascii="Verdana" w:eastAsia="Calibri" w:hAnsi="Verdana" w:cs="Arial"/>
          <w:sz w:val="20"/>
          <w:szCs w:val="20"/>
          <w:lang w:val="es-ES_tradnl" w:eastAsia="es-ES_tradnl"/>
        </w:rPr>
      </w:pPr>
    </w:p>
    <w:p w14:paraId="5618B8CA" w14:textId="77777777" w:rsidR="009449A9" w:rsidRPr="003A0462" w:rsidRDefault="009449A9" w:rsidP="009449A9">
      <w:pPr>
        <w:spacing w:after="0" w:line="240" w:lineRule="auto"/>
        <w:ind w:left="709" w:right="709"/>
        <w:jc w:val="both"/>
        <w:rPr>
          <w:rFonts w:ascii="Verdana" w:eastAsia="Calibri" w:hAnsi="Verdana" w:cs="Arial"/>
          <w:sz w:val="20"/>
          <w:szCs w:val="20"/>
          <w:lang w:val="es-ES_tradnl" w:eastAsia="es-ES_tradnl"/>
        </w:rPr>
      </w:pPr>
      <w:r w:rsidRPr="003A0462">
        <w:rPr>
          <w:rFonts w:ascii="Verdana" w:eastAsia="Calibri" w:hAnsi="Verdana" w:cs="Arial"/>
          <w:sz w:val="20"/>
          <w:szCs w:val="20"/>
          <w:lang w:val="es-ES_tradnl" w:eastAsia="es-ES_tradnl"/>
        </w:rPr>
        <w:t>[…]</w:t>
      </w:r>
    </w:p>
    <w:p w14:paraId="0D75F175" w14:textId="77777777" w:rsidR="009449A9" w:rsidRPr="003A0462" w:rsidRDefault="009449A9" w:rsidP="009449A9">
      <w:pPr>
        <w:spacing w:after="0" w:line="240" w:lineRule="auto"/>
        <w:ind w:left="709" w:right="709"/>
        <w:jc w:val="both"/>
        <w:rPr>
          <w:rFonts w:ascii="Verdana" w:eastAsia="Calibri" w:hAnsi="Verdana" w:cs="Arial"/>
          <w:sz w:val="20"/>
          <w:szCs w:val="20"/>
          <w:lang w:val="es-ES_tradnl" w:eastAsia="es-ES_tradnl"/>
        </w:rPr>
      </w:pPr>
    </w:p>
    <w:p w14:paraId="00BCC157" w14:textId="77777777" w:rsidR="009449A9" w:rsidRPr="003A0462" w:rsidRDefault="009449A9" w:rsidP="009449A9">
      <w:pPr>
        <w:spacing w:after="0" w:line="240" w:lineRule="auto"/>
        <w:ind w:left="709" w:right="709"/>
        <w:jc w:val="both"/>
        <w:rPr>
          <w:rFonts w:ascii="Verdana" w:eastAsia="Calibri" w:hAnsi="Verdana" w:cs="Arial"/>
          <w:sz w:val="20"/>
          <w:szCs w:val="20"/>
          <w:lang w:val="es-ES_tradnl" w:eastAsia="es-ES_tradnl"/>
        </w:rPr>
      </w:pPr>
      <w:r w:rsidRPr="003A0462">
        <w:rPr>
          <w:rFonts w:ascii="Verdana" w:eastAsia="Calibri" w:hAnsi="Verdana" w:cs="Arial"/>
          <w:sz w:val="20"/>
          <w:szCs w:val="20"/>
          <w:lang w:val="es-ES_tradnl" w:eastAsia="es-ES_tradnl"/>
        </w:rPr>
        <w:t>h) Para la prestación de servicios profesionales y de apoyo a la gestión, o para la ejecución de trabajos artísticos que sólo puedan encomendarse a determinadas personas naturales; […]</w:t>
      </w:r>
      <w:r w:rsidRPr="003A0462">
        <w:rPr>
          <w:rFonts w:ascii="Verdana" w:eastAsia="Times New Roman" w:hAnsi="Verdana" w:cs="Arial"/>
          <w:sz w:val="20"/>
          <w:szCs w:val="20"/>
          <w:lang w:eastAsia="es-ES_tradnl"/>
        </w:rPr>
        <w:t xml:space="preserve">”. </w:t>
      </w:r>
    </w:p>
    <w:p w14:paraId="6451E40B" w14:textId="77777777" w:rsidR="009449A9" w:rsidRPr="003A0462" w:rsidRDefault="009449A9" w:rsidP="009449A9">
      <w:pPr>
        <w:spacing w:after="0" w:line="276" w:lineRule="auto"/>
        <w:ind w:firstLine="709"/>
        <w:jc w:val="both"/>
        <w:rPr>
          <w:rFonts w:ascii="Verdana" w:eastAsia="Calibri" w:hAnsi="Verdana" w:cs="Arial"/>
          <w:lang w:val="es-ES_tradnl" w:eastAsia="es-ES_tradnl"/>
        </w:rPr>
      </w:pPr>
    </w:p>
    <w:p w14:paraId="34A6781A" w14:textId="77777777" w:rsidR="009449A9" w:rsidRPr="003A0462" w:rsidRDefault="009449A9" w:rsidP="009449A9">
      <w:pPr>
        <w:spacing w:after="120" w:line="276" w:lineRule="auto"/>
        <w:ind w:firstLine="709"/>
        <w:jc w:val="both"/>
        <w:rPr>
          <w:rFonts w:ascii="Verdana" w:eastAsia="Calibri" w:hAnsi="Verdana" w:cs="Arial"/>
          <w:lang w:val="es-ES_tradnl" w:eastAsia="es-ES_tradnl"/>
        </w:rPr>
      </w:pPr>
      <w:r w:rsidRPr="003A0462">
        <w:rPr>
          <w:rFonts w:ascii="Verdana" w:eastAsia="Calibri" w:hAnsi="Verdana" w:cs="Arial"/>
          <w:lang w:val="es-ES_tradnl" w:eastAsia="es-ES_tradn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715A5748" w14:textId="77777777" w:rsidR="009449A9" w:rsidRPr="003A0462" w:rsidRDefault="009449A9" w:rsidP="009449A9">
      <w:pPr>
        <w:spacing w:after="120" w:line="276" w:lineRule="auto"/>
        <w:ind w:firstLine="709"/>
        <w:jc w:val="both"/>
        <w:rPr>
          <w:rFonts w:ascii="Verdana" w:eastAsia="Calibri" w:hAnsi="Verdana" w:cs="Arial"/>
          <w:lang w:val="es-ES_tradnl" w:eastAsia="es-ES_tradnl"/>
        </w:rPr>
      </w:pPr>
      <w:r w:rsidRPr="003A0462">
        <w:rPr>
          <w:rFonts w:ascii="Verdana" w:eastAsia="Calibri" w:hAnsi="Verdana" w:cs="Arial"/>
          <w:lang w:val="es-ES_tradnl" w:eastAsia="es-ES_tradnl"/>
        </w:rPr>
        <w:t>i) Solo puede celebrarse para realizar “actividades relacionadas con la administración o funcionamiento de la entidad”, es decir, que hagan parte de su giro ordinario o quehacer cotidiano.</w:t>
      </w:r>
    </w:p>
    <w:p w14:paraId="31D35D31" w14:textId="77777777" w:rsidR="009449A9" w:rsidRPr="003A0462" w:rsidRDefault="009449A9" w:rsidP="009449A9">
      <w:pPr>
        <w:spacing w:after="120" w:line="276" w:lineRule="auto"/>
        <w:ind w:firstLine="709"/>
        <w:jc w:val="both"/>
        <w:rPr>
          <w:rFonts w:ascii="Verdana" w:eastAsia="Calibri" w:hAnsi="Verdana" w:cs="Arial"/>
          <w:lang w:val="es-ES" w:eastAsia="es-ES"/>
        </w:rPr>
      </w:pPr>
      <w:proofErr w:type="spellStart"/>
      <w:r w:rsidRPr="003A0462">
        <w:rPr>
          <w:rFonts w:ascii="Verdana" w:eastAsia="Calibri" w:hAnsi="Verdana" w:cs="Arial"/>
          <w:lang w:val="es-ES" w:eastAsia="es-ES"/>
        </w:rPr>
        <w:t>ii</w:t>
      </w:r>
      <w:proofErr w:type="spellEnd"/>
      <w:r w:rsidRPr="003A0462">
        <w:rPr>
          <w:rFonts w:ascii="Verdana" w:eastAsia="Calibri" w:hAnsi="Verdana" w:cs="Arial"/>
          <w:lang w:val="es-ES" w:eastAsia="es-ES"/>
        </w:rPr>
        <w:t xml:space="preserve">) Admite que se suscriba tanto con personas naturales como con personas jurídicas. Y requiere que la Entidad Estatal justifique en los estudios previos que las actividades que buscan encomendarse a aquella “no puedan </w:t>
      </w:r>
      <w:r w:rsidRPr="003A0462">
        <w:rPr>
          <w:rFonts w:ascii="Verdana" w:eastAsia="Calibri" w:hAnsi="Verdana" w:cs="Arial"/>
          <w:lang w:val="es-ES" w:eastAsia="es-ES"/>
        </w:rPr>
        <w:lastRenderedPageBreak/>
        <w:t>realizarse con personal de planta o requieran conocimientos especializados”.</w:t>
      </w:r>
      <w:r w:rsidRPr="003A0462">
        <w:rPr>
          <w:rFonts w:ascii="Verdana" w:eastAsia="Calibri" w:hAnsi="Verdana" w:cs="Arial"/>
          <w:vertAlign w:val="superscript"/>
          <w:lang w:val="es-ES" w:eastAsia="es-ES"/>
        </w:rPr>
        <w:footnoteReference w:id="1"/>
      </w:r>
      <w:r w:rsidRPr="003A0462">
        <w:rPr>
          <w:rFonts w:ascii="Verdana" w:eastAsia="Calibri" w:hAnsi="Verdana" w:cs="Arial"/>
          <w:lang w:val="es-ES" w:eastAsia="es-ES"/>
        </w:rPr>
        <w:t xml:space="preserve">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14AAFA58" w14:textId="77777777" w:rsidR="009449A9" w:rsidRDefault="009449A9" w:rsidP="009449A9">
      <w:pPr>
        <w:spacing w:after="120" w:line="276" w:lineRule="auto"/>
        <w:ind w:firstLine="709"/>
        <w:jc w:val="both"/>
        <w:rPr>
          <w:rFonts w:ascii="Verdana" w:eastAsia="Calibri" w:hAnsi="Verdana" w:cs="Arial"/>
          <w:lang w:val="es-ES" w:eastAsia="es-ES"/>
        </w:rPr>
      </w:pPr>
      <w:proofErr w:type="spellStart"/>
      <w:r w:rsidRPr="003A0462">
        <w:rPr>
          <w:rFonts w:ascii="Verdana" w:eastAsia="Calibri" w:hAnsi="Verdana" w:cs="Arial"/>
          <w:lang w:val="es-ES" w:eastAsia="es-ES"/>
        </w:rPr>
        <w:t>iii</w:t>
      </w:r>
      <w:proofErr w:type="spellEnd"/>
      <w:r w:rsidRPr="003A0462">
        <w:rPr>
          <w:rFonts w:ascii="Verdana" w:eastAsia="Calibri" w:hAnsi="Verdana" w:cs="Arial"/>
          <w:lang w:val="es-ES" w:eastAsia="es-ES"/>
        </w:rPr>
        <w:t>) Si bien se celebran para obtener la prestación personal de un servicio, se diferencian del contrato de trabajo</w:t>
      </w:r>
      <w:r w:rsidRPr="003A0462">
        <w:rPr>
          <w:rFonts w:ascii="Verdana" w:eastAsia="Calibri" w:hAnsi="Verdana" w:cs="Arial"/>
          <w:vertAlign w:val="superscript"/>
          <w:lang w:val="es-ES" w:eastAsia="es-ES"/>
        </w:rPr>
        <w:footnoteReference w:id="2"/>
      </w:r>
      <w:r w:rsidRPr="003A0462">
        <w:rPr>
          <w:rFonts w:ascii="Verdana" w:eastAsia="Calibri" w:hAnsi="Verdana" w:cs="Arial"/>
          <w:lang w:val="es-ES" w:eastAsia="es-ES"/>
        </w:rPr>
        <w:t xml:space="preserve"> en que quien celebra el contrato de prestación de servicios debe mantener autonomía e independencia en la ejecución de la labor, lo que significa que no puede existir la </w:t>
      </w:r>
      <w:r w:rsidRPr="003A0462">
        <w:rPr>
          <w:rFonts w:ascii="Verdana" w:eastAsia="Calibri" w:hAnsi="Verdana" w:cs="Arial"/>
          <w:i/>
          <w:lang w:val="es-ES" w:eastAsia="es-ES"/>
        </w:rPr>
        <w:t>subordinación y dependencia</w:t>
      </w:r>
      <w:r w:rsidRPr="003A0462">
        <w:rPr>
          <w:rFonts w:ascii="Verdana" w:eastAsia="Calibri" w:hAnsi="Verdana" w:cs="Arial"/>
          <w:lang w:val="es-ES" w:eastAsia="es-ES"/>
        </w:rPr>
        <w:t xml:space="preserve">, que es uno de los elementos constitutivos del vínculo laboral. Por ello, el numeral 3º del artículo 32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3A0462">
        <w:rPr>
          <w:rFonts w:ascii="Verdana" w:eastAsia="Calibri" w:hAnsi="Verdana" w:cs="Arial"/>
          <w:i/>
          <w:lang w:val="es-ES" w:eastAsia="es-ES"/>
        </w:rPr>
        <w:t>no pueden</w:t>
      </w:r>
      <w:r w:rsidRPr="003A0462">
        <w:rPr>
          <w:rFonts w:ascii="Verdana" w:eastAsia="Calibri" w:hAnsi="Verdana" w:cs="Arial"/>
          <w:lang w:val="es-ES" w:eastAsia="es-ES"/>
        </w:rPr>
        <w:t xml:space="preserve"> generar relación laboral, ni dar lugar a que las </w:t>
      </w:r>
      <w:r w:rsidRPr="003A0462">
        <w:rPr>
          <w:rFonts w:ascii="Verdana" w:eastAsia="Calibri" w:hAnsi="Verdana" w:cs="Arial"/>
          <w:lang w:val="es-ES" w:eastAsia="es-ES"/>
        </w:rPr>
        <w:lastRenderedPageBreak/>
        <w:t xml:space="preserve">Entidades Estatales paguen por su cuenta los aportes al Sistema de Seguridad Social Integral del contratista. </w:t>
      </w:r>
    </w:p>
    <w:p w14:paraId="7E52B7C4" w14:textId="77777777" w:rsidR="009449A9" w:rsidRPr="003A0462" w:rsidRDefault="009449A9" w:rsidP="009449A9">
      <w:pPr>
        <w:spacing w:after="120" w:line="276" w:lineRule="auto"/>
        <w:ind w:firstLine="709"/>
        <w:jc w:val="both"/>
        <w:rPr>
          <w:rFonts w:ascii="Verdana" w:eastAsia="Calibri" w:hAnsi="Verdana" w:cs="Arial"/>
          <w:lang w:val="es-ES" w:eastAsia="es-ES"/>
        </w:rPr>
      </w:pPr>
      <w:r w:rsidRPr="003A0462">
        <w:rPr>
          <w:rFonts w:ascii="Verdana" w:eastAsia="Calibri" w:hAnsi="Verdana" w:cs="Arial"/>
          <w:lang w:val="es-ES" w:eastAsia="es-ES"/>
        </w:rPr>
        <w:t xml:space="preserve">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w:t>
      </w:r>
      <w:r w:rsidRPr="003A0462">
        <w:rPr>
          <w:rFonts w:ascii="Verdana" w:eastAsia="Calibri" w:hAnsi="Verdana" w:cs="Arial"/>
          <w:i/>
          <w:lang w:val="es-ES" w:eastAsia="es-ES"/>
        </w:rPr>
        <w:t>contrato realidad</w:t>
      </w:r>
      <w:r w:rsidRPr="003A0462">
        <w:rPr>
          <w:rFonts w:ascii="Verdana" w:eastAsia="Calibri" w:hAnsi="Verdana" w:cs="Arial"/>
          <w:lang w:val="es-ES" w:eastAsia="es-ES"/>
        </w:rPr>
        <w:t>,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3A0462">
        <w:rPr>
          <w:rFonts w:ascii="Verdana" w:eastAsia="Calibri" w:hAnsi="Verdana" w:cs="Arial"/>
          <w:vertAlign w:val="superscript"/>
          <w:lang w:val="es-ES" w:eastAsia="es-ES"/>
        </w:rPr>
        <w:footnoteReference w:id="3"/>
      </w:r>
      <w:r w:rsidRPr="003A0462">
        <w:rPr>
          <w:rFonts w:ascii="Verdana" w:eastAsia="Calibri" w:hAnsi="Verdana" w:cs="Arial"/>
          <w:lang w:val="es-ES" w:eastAsia="es-ES"/>
        </w:rPr>
        <w:t>.</w:t>
      </w:r>
    </w:p>
    <w:p w14:paraId="4660C414" w14:textId="77777777" w:rsidR="009449A9" w:rsidRPr="003A0462" w:rsidRDefault="009449A9" w:rsidP="009449A9">
      <w:pPr>
        <w:spacing w:after="0" w:line="276" w:lineRule="auto"/>
        <w:ind w:firstLine="709"/>
        <w:jc w:val="both"/>
        <w:rPr>
          <w:rFonts w:ascii="Verdana" w:eastAsia="Calibri" w:hAnsi="Verdana" w:cs="Arial"/>
          <w:lang w:val="es-ES" w:eastAsia="es-ES"/>
        </w:rPr>
      </w:pPr>
      <w:proofErr w:type="spellStart"/>
      <w:r w:rsidRPr="003A0462">
        <w:rPr>
          <w:rFonts w:ascii="Verdana" w:eastAsia="Calibri" w:hAnsi="Verdana" w:cs="Arial"/>
          <w:lang w:val="es-ES" w:eastAsia="es-ES"/>
        </w:rPr>
        <w:t>iv</w:t>
      </w:r>
      <w:proofErr w:type="spellEnd"/>
      <w:r w:rsidRPr="003A0462">
        <w:rPr>
          <w:rFonts w:ascii="Verdana" w:eastAsia="Calibri" w:hAnsi="Verdana" w:cs="Arial"/>
          <w:lang w:val="es-ES" w:eastAsia="es-ES"/>
        </w:rPr>
        <w:t>) Deben ser temporales. Así lo señaló la Corte Constitucional en la misma providencia a la que se aludió previamente, expresando que:</w:t>
      </w:r>
    </w:p>
    <w:p w14:paraId="094F0012" w14:textId="77777777" w:rsidR="009449A9" w:rsidRPr="003A0462" w:rsidRDefault="009449A9" w:rsidP="009449A9">
      <w:pPr>
        <w:spacing w:after="0" w:line="276" w:lineRule="auto"/>
        <w:ind w:firstLine="709"/>
        <w:jc w:val="both"/>
        <w:rPr>
          <w:rFonts w:ascii="Verdana" w:eastAsia="Calibri" w:hAnsi="Verdana" w:cs="Arial"/>
          <w:lang w:val="es-ES_tradnl" w:eastAsia="es-ES_tradnl"/>
        </w:rPr>
      </w:pPr>
    </w:p>
    <w:p w14:paraId="36C26CFC" w14:textId="77777777" w:rsidR="009449A9" w:rsidRPr="003A0462" w:rsidRDefault="009449A9" w:rsidP="009449A9">
      <w:pPr>
        <w:spacing w:after="0" w:line="240" w:lineRule="auto"/>
        <w:ind w:left="709" w:right="709"/>
        <w:jc w:val="both"/>
        <w:rPr>
          <w:rFonts w:ascii="Verdana" w:eastAsia="Calibri" w:hAnsi="Verdana" w:cs="Arial"/>
          <w:sz w:val="20"/>
          <w:szCs w:val="20"/>
          <w:lang w:val="es-ES_tradnl" w:eastAsia="es-ES_tradnl"/>
        </w:rPr>
      </w:pPr>
      <w:r w:rsidRPr="003A0462">
        <w:rPr>
          <w:rFonts w:ascii="Verdana" w:eastAsia="Times New Roman" w:hAnsi="Verdana" w:cs="Arial"/>
          <w:sz w:val="20"/>
          <w:szCs w:val="20"/>
          <w:lang w:eastAsia="es-ES_tradnl"/>
        </w:rPr>
        <w:t>“</w:t>
      </w:r>
      <w:r w:rsidRPr="003A0462">
        <w:rPr>
          <w:rFonts w:ascii="Verdana" w:eastAsia="Calibri" w:hAnsi="Verdana" w:cs="Arial"/>
          <w:sz w:val="20"/>
          <w:szCs w:val="20"/>
          <w:lang w:val="es-ES_tradnl" w:eastAsia="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3A0462">
        <w:rPr>
          <w:rFonts w:ascii="Verdana" w:eastAsia="Times New Roman" w:hAnsi="Verdana" w:cs="Arial"/>
          <w:sz w:val="20"/>
          <w:szCs w:val="20"/>
          <w:lang w:eastAsia="es-ES_tradnl"/>
        </w:rPr>
        <w:t>”</w:t>
      </w:r>
      <w:r w:rsidRPr="003A0462">
        <w:rPr>
          <w:rFonts w:ascii="Verdana" w:eastAsia="Calibri" w:hAnsi="Verdana" w:cs="Arial"/>
          <w:sz w:val="20"/>
          <w:szCs w:val="20"/>
          <w:vertAlign w:val="superscript"/>
          <w:lang w:val="es-ES_tradnl" w:eastAsia="es-ES_tradnl"/>
        </w:rPr>
        <w:footnoteReference w:id="4"/>
      </w:r>
      <w:r w:rsidRPr="003A0462">
        <w:rPr>
          <w:rFonts w:ascii="Verdana" w:eastAsia="Calibri" w:hAnsi="Verdana" w:cs="Arial"/>
          <w:sz w:val="20"/>
          <w:szCs w:val="20"/>
          <w:lang w:val="es-ES_tradnl" w:eastAsia="es-ES_tradnl"/>
        </w:rPr>
        <w:t>.</w:t>
      </w:r>
    </w:p>
    <w:p w14:paraId="5BDBCD19" w14:textId="77777777" w:rsidR="009449A9" w:rsidRPr="003A0462" w:rsidRDefault="009449A9" w:rsidP="009449A9">
      <w:pPr>
        <w:spacing w:after="0" w:line="276" w:lineRule="auto"/>
        <w:ind w:firstLine="709"/>
        <w:jc w:val="both"/>
        <w:rPr>
          <w:rFonts w:ascii="Verdana" w:eastAsia="Calibri" w:hAnsi="Verdana" w:cs="Arial"/>
          <w:lang w:val="es-ES_tradnl" w:eastAsia="es-ES_tradnl"/>
        </w:rPr>
      </w:pPr>
    </w:p>
    <w:p w14:paraId="1A5811D9" w14:textId="77777777" w:rsidR="009449A9" w:rsidRPr="003A0462" w:rsidRDefault="009449A9" w:rsidP="009449A9">
      <w:pPr>
        <w:spacing w:after="0" w:line="276" w:lineRule="auto"/>
        <w:ind w:firstLine="709"/>
        <w:jc w:val="both"/>
        <w:rPr>
          <w:rFonts w:ascii="Verdana" w:eastAsia="Calibri" w:hAnsi="Verdana" w:cs="Arial"/>
          <w:lang w:val="es-ES" w:eastAsia="es-ES"/>
        </w:rPr>
      </w:pPr>
      <w:r w:rsidRPr="003A0462">
        <w:rPr>
          <w:rFonts w:ascii="Verdana" w:eastAsia="Calibri" w:hAnsi="Verdana" w:cs="Arial"/>
          <w:lang w:val="es-ES" w:eastAsia="es-ES"/>
        </w:rPr>
        <w:t xml:space="preserve">v) Los contratos de prestación de servicios constituyen un </w:t>
      </w:r>
      <w:r w:rsidRPr="003A0462">
        <w:rPr>
          <w:rFonts w:ascii="Verdana" w:eastAsia="Calibri" w:hAnsi="Verdana" w:cs="Arial"/>
          <w:i/>
          <w:lang w:val="es-ES" w:eastAsia="es-ES"/>
        </w:rPr>
        <w:t>género</w:t>
      </w:r>
      <w:r w:rsidRPr="003A0462">
        <w:rPr>
          <w:rFonts w:ascii="Verdana" w:eastAsia="Calibri" w:hAnsi="Verdana" w:cs="Arial"/>
          <w:lang w:val="es-ES" w:eastAsia="es-ES"/>
        </w:rPr>
        <w:t xml:space="preserve"> que incluye, como </w:t>
      </w:r>
      <w:r w:rsidRPr="003A0462">
        <w:rPr>
          <w:rFonts w:ascii="Verdana" w:eastAsia="Calibri" w:hAnsi="Verdana" w:cs="Arial"/>
          <w:i/>
          <w:lang w:val="es-ES" w:eastAsia="es-ES"/>
        </w:rPr>
        <w:t>especies</w:t>
      </w:r>
      <w:r w:rsidRPr="003A0462">
        <w:rPr>
          <w:rFonts w:ascii="Verdana" w:eastAsia="Calibri" w:hAnsi="Verdana" w:cs="Arial"/>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3A0462">
        <w:rPr>
          <w:rFonts w:ascii="Verdana" w:eastAsia="Calibri" w:hAnsi="Verdana" w:cs="Arial"/>
          <w:vertAlign w:val="superscript"/>
          <w:lang w:val="es-ES" w:eastAsia="es-ES"/>
        </w:rPr>
        <w:footnoteReference w:id="5"/>
      </w:r>
      <w:r w:rsidRPr="003A0462">
        <w:rPr>
          <w:rFonts w:ascii="Verdana" w:eastAsia="Calibri" w:hAnsi="Verdana" w:cs="Arial"/>
          <w:lang w:val="es-ES" w:eastAsia="es-ES"/>
        </w:rPr>
        <w:t xml:space="preserve">. La diferencia entre el contrato de prestación de servicios </w:t>
      </w:r>
      <w:r w:rsidRPr="003A0462">
        <w:rPr>
          <w:rFonts w:ascii="Verdana" w:eastAsia="Calibri" w:hAnsi="Verdana" w:cs="Arial"/>
          <w:i/>
          <w:lang w:val="es-ES" w:eastAsia="es-ES"/>
        </w:rPr>
        <w:lastRenderedPageBreak/>
        <w:t>profesionales</w:t>
      </w:r>
      <w:r w:rsidRPr="003A0462">
        <w:rPr>
          <w:rFonts w:ascii="Verdana" w:eastAsia="Calibri" w:hAnsi="Verdana" w:cs="Arial"/>
          <w:lang w:val="es-ES" w:eastAsia="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3FB17C89" w14:textId="77777777" w:rsidR="009449A9" w:rsidRPr="003A0462" w:rsidRDefault="009449A9" w:rsidP="009449A9">
      <w:pPr>
        <w:spacing w:after="0" w:line="276" w:lineRule="auto"/>
        <w:ind w:firstLine="709"/>
        <w:jc w:val="both"/>
        <w:rPr>
          <w:rFonts w:ascii="Verdana" w:eastAsia="Calibri" w:hAnsi="Verdana" w:cs="Arial"/>
          <w:lang w:val="es-ES_tradnl" w:eastAsia="es-ES_tradnl"/>
        </w:rPr>
      </w:pPr>
    </w:p>
    <w:p w14:paraId="17037148" w14:textId="77777777" w:rsidR="009449A9" w:rsidRPr="003A0462" w:rsidRDefault="009449A9" w:rsidP="009449A9">
      <w:pPr>
        <w:spacing w:after="0" w:line="240" w:lineRule="auto"/>
        <w:ind w:left="709" w:right="709"/>
        <w:jc w:val="both"/>
        <w:rPr>
          <w:rFonts w:ascii="Verdana" w:eastAsia="Calibri" w:hAnsi="Verdana" w:cs="Arial"/>
          <w:sz w:val="20"/>
          <w:szCs w:val="20"/>
          <w:lang w:val="es-ES" w:eastAsia="es-ES_tradnl"/>
        </w:rPr>
      </w:pPr>
      <w:r w:rsidRPr="003A0462">
        <w:rPr>
          <w:rFonts w:ascii="Verdana" w:eastAsia="Times New Roman" w:hAnsi="Verdana" w:cs="Arial"/>
          <w:sz w:val="20"/>
          <w:szCs w:val="20"/>
          <w:lang w:eastAsia="es-ES_tradnl"/>
        </w:rPr>
        <w:t>“</w:t>
      </w:r>
      <w:r w:rsidRPr="003A0462">
        <w:rPr>
          <w:rFonts w:ascii="Verdana" w:eastAsia="Calibri" w:hAnsi="Verdana" w:cs="Arial"/>
          <w:sz w:val="20"/>
          <w:szCs w:val="20"/>
          <w:lang w:val="es-ES" w:eastAsia="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3A0462">
        <w:rPr>
          <w:rFonts w:ascii="Verdana" w:eastAsia="Times New Roman" w:hAnsi="Verdana" w:cs="Arial"/>
          <w:sz w:val="20"/>
          <w:szCs w:val="20"/>
          <w:lang w:eastAsia="es-ES_tradnl"/>
        </w:rPr>
        <w:t>”</w:t>
      </w:r>
      <w:r w:rsidRPr="003A0462">
        <w:rPr>
          <w:rFonts w:ascii="Verdana" w:eastAsia="Calibri" w:hAnsi="Verdana" w:cs="Arial"/>
          <w:sz w:val="20"/>
          <w:szCs w:val="20"/>
          <w:vertAlign w:val="superscript"/>
          <w:lang w:val="es-ES" w:eastAsia="es-ES_tradnl"/>
        </w:rPr>
        <w:footnoteReference w:id="6"/>
      </w:r>
    </w:p>
    <w:p w14:paraId="7A1DA501" w14:textId="77777777" w:rsidR="009449A9" w:rsidRPr="003A0462" w:rsidRDefault="009449A9" w:rsidP="009449A9">
      <w:pPr>
        <w:spacing w:after="0" w:line="276" w:lineRule="auto"/>
        <w:ind w:firstLine="709"/>
        <w:jc w:val="both"/>
        <w:rPr>
          <w:rFonts w:ascii="Verdana" w:eastAsia="Calibri" w:hAnsi="Verdana" w:cs="Arial"/>
          <w:lang w:val="es-ES_tradnl" w:eastAsia="es-ES_tradnl"/>
        </w:rPr>
      </w:pPr>
    </w:p>
    <w:p w14:paraId="5E500D00" w14:textId="77777777" w:rsidR="009449A9" w:rsidRPr="003A0462" w:rsidRDefault="009449A9" w:rsidP="009449A9">
      <w:pPr>
        <w:spacing w:after="0" w:line="276" w:lineRule="auto"/>
        <w:ind w:firstLine="709"/>
        <w:jc w:val="both"/>
        <w:rPr>
          <w:rFonts w:ascii="Verdana" w:eastAsia="Calibri" w:hAnsi="Verdana" w:cs="Arial"/>
          <w:lang w:val="es-ES_tradnl" w:eastAsia="es-ES_tradnl"/>
        </w:rPr>
      </w:pPr>
      <w:r w:rsidRPr="003A0462">
        <w:rPr>
          <w:rFonts w:ascii="Verdana" w:eastAsia="Calibri" w:hAnsi="Verdana" w:cs="Arial"/>
          <w:lang w:val="es-ES_tradnl" w:eastAsia="es-ES_tradnl"/>
        </w:rPr>
        <w:t>Objeto que, según la sentencia que se cita, se diferencia del objeto del contrato de prestación de servicios de apoyo a la gestión, porque en este:</w:t>
      </w:r>
    </w:p>
    <w:p w14:paraId="400F99BC" w14:textId="77777777" w:rsidR="009449A9" w:rsidRPr="003A0462" w:rsidRDefault="009449A9" w:rsidP="009449A9">
      <w:pPr>
        <w:spacing w:after="0" w:line="276" w:lineRule="auto"/>
        <w:ind w:firstLine="709"/>
        <w:jc w:val="both"/>
        <w:rPr>
          <w:rFonts w:ascii="Verdana" w:eastAsia="Calibri" w:hAnsi="Verdana" w:cs="Arial"/>
          <w:lang w:val="es-ES_tradnl" w:eastAsia="es-ES_tradnl"/>
        </w:rPr>
      </w:pPr>
    </w:p>
    <w:p w14:paraId="318987E1" w14:textId="77777777" w:rsidR="009449A9" w:rsidRPr="003A0462" w:rsidRDefault="009449A9" w:rsidP="009449A9">
      <w:pPr>
        <w:spacing w:after="0" w:line="240" w:lineRule="auto"/>
        <w:ind w:left="709" w:right="709"/>
        <w:jc w:val="both"/>
        <w:rPr>
          <w:rFonts w:ascii="Verdana" w:eastAsia="Calibri" w:hAnsi="Verdana" w:cs="Arial"/>
          <w:sz w:val="20"/>
          <w:szCs w:val="20"/>
          <w:lang w:val="es-ES_tradnl" w:eastAsia="es-ES_tradnl"/>
        </w:rPr>
      </w:pPr>
      <w:r w:rsidRPr="003A0462">
        <w:rPr>
          <w:rFonts w:ascii="Verdana" w:eastAsia="Times New Roman" w:hAnsi="Verdana" w:cs="Arial"/>
          <w:sz w:val="20"/>
          <w:szCs w:val="20"/>
          <w:lang w:eastAsia="es-ES_tradnl"/>
        </w:rPr>
        <w:t>“</w:t>
      </w:r>
      <w:r w:rsidRPr="003A0462">
        <w:rPr>
          <w:rFonts w:ascii="Verdana" w:eastAsia="Calibri" w:hAnsi="Verdana" w:cs="Arial"/>
          <w:sz w:val="20"/>
          <w:szCs w:val="20"/>
          <w:lang w:val="es-ES_tradnl" w:eastAsia="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042EA0A1" w14:textId="77777777" w:rsidR="009449A9" w:rsidRPr="003A0462" w:rsidRDefault="009449A9" w:rsidP="009449A9">
      <w:pPr>
        <w:spacing w:after="0" w:line="240" w:lineRule="auto"/>
        <w:ind w:left="709" w:right="709"/>
        <w:jc w:val="both"/>
        <w:rPr>
          <w:rFonts w:ascii="Verdana" w:eastAsia="Calibri" w:hAnsi="Verdana" w:cs="Arial"/>
          <w:sz w:val="20"/>
          <w:szCs w:val="20"/>
          <w:lang w:val="es-ES_tradnl" w:eastAsia="es-ES_tradnl"/>
        </w:rPr>
      </w:pPr>
    </w:p>
    <w:p w14:paraId="0BD4E475" w14:textId="77777777" w:rsidR="009449A9" w:rsidRPr="003A0462" w:rsidRDefault="009449A9" w:rsidP="009449A9">
      <w:pPr>
        <w:spacing w:after="0" w:line="240" w:lineRule="auto"/>
        <w:ind w:left="709" w:right="709"/>
        <w:jc w:val="both"/>
        <w:rPr>
          <w:rFonts w:ascii="Verdana" w:eastAsia="Calibri" w:hAnsi="Verdana" w:cs="Arial"/>
          <w:sz w:val="20"/>
          <w:szCs w:val="20"/>
          <w:lang w:val="es-ES" w:eastAsia="es-ES"/>
        </w:rPr>
      </w:pPr>
      <w:r w:rsidRPr="003A0462">
        <w:rPr>
          <w:rFonts w:ascii="Verdana" w:eastAsia="Calibri" w:hAnsi="Verdana" w:cs="Arial"/>
          <w:sz w:val="20"/>
          <w:szCs w:val="20"/>
          <w:lang w:val="es-ES" w:eastAsia="es-ES"/>
        </w:rPr>
        <w:t xml:space="preserve">Aunque también se caracteriza por el desempeño de actividad intelectiva, ésta </w:t>
      </w:r>
      <w:proofErr w:type="gramStart"/>
      <w:r w:rsidRPr="003A0462">
        <w:rPr>
          <w:rFonts w:ascii="Verdana" w:eastAsia="Calibri" w:hAnsi="Verdana" w:cs="Arial"/>
          <w:sz w:val="20"/>
          <w:szCs w:val="20"/>
          <w:lang w:val="es-ES" w:eastAsia="es-ES"/>
        </w:rPr>
        <w:t>se enmarca dentro de</w:t>
      </w:r>
      <w:proofErr w:type="gramEnd"/>
      <w:r w:rsidRPr="003A0462">
        <w:rPr>
          <w:rFonts w:ascii="Verdana" w:eastAsia="Calibri" w:hAnsi="Verdana" w:cs="Arial"/>
          <w:sz w:val="20"/>
          <w:szCs w:val="20"/>
          <w:lang w:val="es-ES" w:eastAsia="es-ES"/>
        </w:rPr>
        <w:t xml:space="preserve"> un saber propiamente técnico; igualmente involucra actividades en donde prima el esfuerzo físico o mecánico, en donde no se requiere de personal profesional.</w:t>
      </w:r>
    </w:p>
    <w:p w14:paraId="014D172D" w14:textId="77777777" w:rsidR="009449A9" w:rsidRPr="003A0462" w:rsidRDefault="009449A9" w:rsidP="009449A9">
      <w:pPr>
        <w:spacing w:after="0" w:line="240" w:lineRule="auto"/>
        <w:ind w:right="709"/>
        <w:jc w:val="both"/>
        <w:rPr>
          <w:rFonts w:ascii="Verdana" w:eastAsia="Calibri" w:hAnsi="Verdana" w:cs="Arial"/>
          <w:sz w:val="20"/>
          <w:szCs w:val="20"/>
          <w:lang w:val="es-ES_tradnl" w:eastAsia="es-ES_tradnl"/>
        </w:rPr>
      </w:pPr>
    </w:p>
    <w:p w14:paraId="057ED572" w14:textId="77777777" w:rsidR="009449A9" w:rsidRPr="003A0462" w:rsidRDefault="009449A9" w:rsidP="009449A9">
      <w:pPr>
        <w:spacing w:after="0" w:line="240" w:lineRule="auto"/>
        <w:ind w:left="709" w:right="709"/>
        <w:jc w:val="both"/>
        <w:rPr>
          <w:rFonts w:ascii="Verdana" w:eastAsia="Calibri" w:hAnsi="Verdana" w:cs="Arial"/>
          <w:sz w:val="20"/>
          <w:szCs w:val="20"/>
          <w:lang w:val="es-ES_tradnl" w:eastAsia="es-ES_tradnl"/>
        </w:rPr>
      </w:pPr>
      <w:r w:rsidRPr="003A0462">
        <w:rPr>
          <w:rFonts w:ascii="Verdana" w:eastAsia="Calibri" w:hAnsi="Verdana" w:cs="Arial"/>
          <w:sz w:val="20"/>
          <w:szCs w:val="20"/>
          <w:lang w:val="es-ES_tradnl" w:eastAsia="es-ES_tradnl"/>
        </w:rPr>
        <w:t>Dentro de su objeto contractual pueden tener lugar actividades operativas, logísticas o asistenciales, siempre que satisfaga los requisitos antes mencionados y sea acorde con las necesidades de la Administración y el principio de planeación</w:t>
      </w:r>
      <w:r w:rsidRPr="003A0462">
        <w:rPr>
          <w:rFonts w:ascii="Verdana" w:eastAsia="Times New Roman" w:hAnsi="Verdana" w:cs="Arial"/>
          <w:sz w:val="20"/>
          <w:szCs w:val="20"/>
          <w:lang w:eastAsia="es-ES_tradnl"/>
        </w:rPr>
        <w:t>”</w:t>
      </w:r>
      <w:r w:rsidRPr="003A0462">
        <w:rPr>
          <w:rFonts w:ascii="Verdana" w:eastAsia="Calibri" w:hAnsi="Verdana" w:cs="Arial"/>
          <w:sz w:val="20"/>
          <w:szCs w:val="20"/>
          <w:vertAlign w:val="superscript"/>
          <w:lang w:val="es-ES_tradnl" w:eastAsia="es-ES_tradnl"/>
        </w:rPr>
        <w:footnoteReference w:id="7"/>
      </w:r>
      <w:r w:rsidRPr="003A0462">
        <w:rPr>
          <w:rFonts w:ascii="Verdana" w:eastAsia="Calibri" w:hAnsi="Verdana" w:cs="Arial"/>
          <w:sz w:val="20"/>
          <w:szCs w:val="20"/>
          <w:lang w:val="es-ES_tradnl" w:eastAsia="es-ES_tradnl"/>
        </w:rPr>
        <w:t>.</w:t>
      </w:r>
    </w:p>
    <w:p w14:paraId="6DCF1D73" w14:textId="77777777" w:rsidR="009449A9" w:rsidRPr="003A0462" w:rsidRDefault="009449A9" w:rsidP="009449A9">
      <w:pPr>
        <w:spacing w:after="0" w:line="276" w:lineRule="auto"/>
        <w:ind w:firstLine="709"/>
        <w:jc w:val="both"/>
        <w:rPr>
          <w:rFonts w:ascii="Verdana" w:eastAsia="Calibri" w:hAnsi="Verdana" w:cs="Arial"/>
          <w:lang w:val="es-ES_tradnl" w:eastAsia="es-ES_tradnl"/>
        </w:rPr>
      </w:pPr>
    </w:p>
    <w:p w14:paraId="3DA9C277" w14:textId="77777777" w:rsidR="009449A9" w:rsidRPr="003A0462" w:rsidRDefault="009449A9" w:rsidP="009449A9">
      <w:pPr>
        <w:spacing w:after="0" w:line="276" w:lineRule="auto"/>
        <w:ind w:firstLine="709"/>
        <w:jc w:val="both"/>
        <w:rPr>
          <w:rFonts w:ascii="Verdana" w:eastAsia="Calibri" w:hAnsi="Verdana" w:cs="Arial"/>
          <w:lang w:val="es-ES_tradnl" w:eastAsia="es-ES_tradnl"/>
        </w:rPr>
      </w:pPr>
      <w:r w:rsidRPr="003A0462">
        <w:rPr>
          <w:rFonts w:ascii="Verdana" w:eastAsia="Calibri" w:hAnsi="Verdana" w:cs="Arial"/>
          <w:lang w:val="es-ES_tradnl" w:eastAsia="es-ES_tradnl"/>
        </w:rPr>
        <w:t>En relación con el contrato de prestación de servicios artísticos que solo pueden encomendarse a determinadas personas naturales, señala el mencionado fallo que:</w:t>
      </w:r>
    </w:p>
    <w:p w14:paraId="34962938" w14:textId="77777777" w:rsidR="009449A9" w:rsidRPr="003A0462" w:rsidRDefault="009449A9" w:rsidP="009449A9">
      <w:pPr>
        <w:spacing w:after="0" w:line="276" w:lineRule="auto"/>
        <w:ind w:left="709" w:right="709"/>
        <w:jc w:val="both"/>
        <w:rPr>
          <w:rFonts w:ascii="Verdana" w:eastAsia="Calibri" w:hAnsi="Verdana" w:cs="Arial"/>
          <w:lang w:val="es-ES_tradnl" w:eastAsia="es-ES_tradnl"/>
        </w:rPr>
      </w:pPr>
    </w:p>
    <w:p w14:paraId="7FB828F3" w14:textId="77777777" w:rsidR="009449A9" w:rsidRPr="003A0462" w:rsidRDefault="009449A9" w:rsidP="009449A9">
      <w:pPr>
        <w:spacing w:after="0" w:line="240" w:lineRule="auto"/>
        <w:ind w:left="709" w:right="709"/>
        <w:jc w:val="both"/>
        <w:rPr>
          <w:rFonts w:ascii="Verdana" w:eastAsia="Calibri" w:hAnsi="Verdana" w:cs="Arial"/>
          <w:sz w:val="20"/>
          <w:szCs w:val="20"/>
          <w:lang w:val="es-ES_tradnl" w:eastAsia="es-ES_tradnl"/>
        </w:rPr>
      </w:pPr>
      <w:r w:rsidRPr="003A0462">
        <w:rPr>
          <w:rFonts w:ascii="Verdana" w:eastAsia="Times New Roman" w:hAnsi="Verdana" w:cs="Arial"/>
          <w:sz w:val="20"/>
          <w:szCs w:val="20"/>
          <w:lang w:eastAsia="es-ES_tradnl"/>
        </w:rPr>
        <w:t>“</w:t>
      </w:r>
      <w:r w:rsidRPr="003A0462">
        <w:rPr>
          <w:rFonts w:ascii="Verdana" w:eastAsia="Calibri" w:hAnsi="Verdana" w:cs="Arial"/>
          <w:sz w:val="20"/>
          <w:szCs w:val="20"/>
          <w:lang w:val="es-ES_tradnl" w:eastAsia="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3A0462">
        <w:rPr>
          <w:rFonts w:ascii="Verdana" w:eastAsia="Times New Roman" w:hAnsi="Verdana" w:cs="Arial"/>
          <w:sz w:val="20"/>
          <w:szCs w:val="20"/>
          <w:lang w:eastAsia="es-ES_tradnl"/>
        </w:rPr>
        <w:t>”</w:t>
      </w:r>
      <w:r w:rsidRPr="003A0462">
        <w:rPr>
          <w:rFonts w:ascii="Verdana" w:eastAsia="Calibri" w:hAnsi="Verdana" w:cs="Arial"/>
          <w:sz w:val="20"/>
          <w:szCs w:val="20"/>
          <w:vertAlign w:val="superscript"/>
          <w:lang w:val="es-ES_tradnl" w:eastAsia="es-ES_tradnl"/>
        </w:rPr>
        <w:footnoteReference w:id="8"/>
      </w:r>
      <w:r w:rsidRPr="003A0462">
        <w:rPr>
          <w:rFonts w:ascii="Verdana" w:eastAsia="Calibri" w:hAnsi="Verdana" w:cs="Arial"/>
          <w:sz w:val="20"/>
          <w:szCs w:val="20"/>
          <w:lang w:val="es-ES_tradnl" w:eastAsia="es-ES_tradnl"/>
        </w:rPr>
        <w:t>.</w:t>
      </w:r>
    </w:p>
    <w:p w14:paraId="5707E9C9" w14:textId="77777777" w:rsidR="009449A9" w:rsidRPr="003A0462" w:rsidRDefault="009449A9" w:rsidP="009449A9">
      <w:pPr>
        <w:spacing w:after="0" w:line="240" w:lineRule="auto"/>
        <w:ind w:left="709" w:right="709"/>
        <w:jc w:val="both"/>
        <w:rPr>
          <w:rFonts w:ascii="Verdana" w:eastAsia="Calibri" w:hAnsi="Verdana" w:cs="Arial"/>
          <w:sz w:val="21"/>
          <w:szCs w:val="21"/>
          <w:lang w:val="es-ES_tradnl" w:eastAsia="es-ES_tradnl"/>
        </w:rPr>
      </w:pPr>
    </w:p>
    <w:p w14:paraId="65A0B96E" w14:textId="77777777" w:rsidR="009449A9" w:rsidRPr="003A0462" w:rsidRDefault="009449A9" w:rsidP="009449A9">
      <w:pPr>
        <w:spacing w:after="120" w:line="276" w:lineRule="auto"/>
        <w:ind w:firstLine="709"/>
        <w:jc w:val="both"/>
        <w:rPr>
          <w:rFonts w:ascii="Verdana" w:eastAsia="Calibri" w:hAnsi="Verdana" w:cs="Arial"/>
          <w:lang w:val="es-ES_tradnl" w:eastAsia="es-ES_tradnl"/>
        </w:rPr>
      </w:pPr>
      <w:r w:rsidRPr="003A0462">
        <w:rPr>
          <w:rFonts w:ascii="Verdana" w:eastAsia="Calibri" w:hAnsi="Verdana" w:cs="Arial"/>
          <w:lang w:val="es-ES_tradnl" w:eastAsia="es-ES_tradnl"/>
        </w:rPr>
        <w:t>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3A0462">
        <w:rPr>
          <w:rFonts w:ascii="Verdana" w:eastAsia="Calibri" w:hAnsi="Verdana" w:cs="Arial"/>
          <w:vertAlign w:val="superscript"/>
          <w:lang w:val="es-ES_tradnl" w:eastAsia="es-ES_tradnl"/>
        </w:rPr>
        <w:footnoteReference w:id="9"/>
      </w:r>
      <w:r w:rsidRPr="003A0462">
        <w:rPr>
          <w:rFonts w:ascii="Verdana" w:eastAsia="Calibri" w:hAnsi="Verdana" w:cs="Arial"/>
          <w:lang w:val="es-ES_tradnl" w:eastAsia="es-ES_tradnl"/>
        </w:rPr>
        <w:t xml:space="preserve">. Pero, tampoco puede suscribirse un contrato de prestación de servicios profesionales para que el contratista ejecute labores que se enmarcan en los otros contratos tipificados en </w:t>
      </w:r>
      <w:r w:rsidRPr="003A0462">
        <w:rPr>
          <w:rFonts w:ascii="Verdana" w:eastAsia="Calibri" w:hAnsi="Verdana" w:cs="Arial"/>
          <w:lang w:val="es-ES_tradnl" w:eastAsia="es-ES_tradnl"/>
        </w:rPr>
        <w:lastRenderedPageBreak/>
        <w:t>el artículo 32 de la Ley 80 de 1993, como, por ejemplo, para que el contratista de prestación de servicios construya una obra.</w:t>
      </w:r>
    </w:p>
    <w:p w14:paraId="61F6A300" w14:textId="77777777" w:rsidR="009449A9" w:rsidRPr="003A0462" w:rsidRDefault="009449A9" w:rsidP="009449A9">
      <w:pPr>
        <w:spacing w:after="120" w:line="276" w:lineRule="auto"/>
        <w:ind w:firstLine="709"/>
        <w:jc w:val="both"/>
        <w:rPr>
          <w:rFonts w:ascii="Verdana" w:eastAsia="Calibri" w:hAnsi="Verdana" w:cs="Arial"/>
          <w:lang w:val="es-ES" w:eastAsia="es-ES"/>
        </w:rPr>
      </w:pPr>
      <w:proofErr w:type="spellStart"/>
      <w:r w:rsidRPr="003A0462">
        <w:rPr>
          <w:rFonts w:ascii="Verdana" w:eastAsia="Calibri" w:hAnsi="Verdana" w:cs="Arial"/>
          <w:lang w:val="es-ES" w:eastAsia="es-ES"/>
        </w:rPr>
        <w:t>vii</w:t>
      </w:r>
      <w:proofErr w:type="spellEnd"/>
      <w:r w:rsidRPr="003A0462">
        <w:rPr>
          <w:rFonts w:ascii="Verdana" w:eastAsia="Calibri" w:hAnsi="Verdana" w:cs="Arial"/>
          <w:lang w:val="es-ES" w:eastAsia="es-ES"/>
        </w:rPr>
        <w:t>) Para su celebración no se requiere en algunos casos la expedición del acto administrativo de justificación de la contratación directa</w:t>
      </w:r>
      <w:r w:rsidRPr="003A0462">
        <w:rPr>
          <w:rFonts w:ascii="Verdana" w:eastAsia="Calibri" w:hAnsi="Verdana" w:cs="Arial"/>
          <w:vertAlign w:val="superscript"/>
          <w:lang w:val="es-ES" w:eastAsia="es-ES"/>
        </w:rPr>
        <w:footnoteReference w:id="10"/>
      </w:r>
      <w:r w:rsidRPr="003A0462">
        <w:rPr>
          <w:rFonts w:ascii="Verdana" w:eastAsia="Calibri" w:hAnsi="Verdana" w:cs="Arial"/>
          <w:lang w:val="es-ES" w:eastAsia="es-ES"/>
        </w:rPr>
        <w:t xml:space="preserve">. </w:t>
      </w:r>
    </w:p>
    <w:p w14:paraId="4DD8225F" w14:textId="77777777" w:rsidR="009449A9" w:rsidRPr="003A0462" w:rsidRDefault="009449A9" w:rsidP="009449A9">
      <w:pPr>
        <w:spacing w:after="120" w:line="276" w:lineRule="auto"/>
        <w:ind w:firstLine="709"/>
        <w:jc w:val="both"/>
        <w:rPr>
          <w:rFonts w:ascii="Verdana" w:eastAsia="Calibri" w:hAnsi="Verdana" w:cs="Arial"/>
          <w:lang w:val="es-ES" w:eastAsia="es-ES"/>
        </w:rPr>
      </w:pPr>
      <w:proofErr w:type="spellStart"/>
      <w:r w:rsidRPr="003A0462">
        <w:rPr>
          <w:rFonts w:ascii="Verdana" w:eastAsia="Calibri" w:hAnsi="Verdana" w:cs="Arial"/>
          <w:lang w:val="es-ES" w:eastAsia="es-ES"/>
        </w:rPr>
        <w:t>viii</w:t>
      </w:r>
      <w:proofErr w:type="spellEnd"/>
      <w:r w:rsidRPr="003A0462">
        <w:rPr>
          <w:rFonts w:ascii="Verdana" w:eastAsia="Calibri" w:hAnsi="Verdana" w:cs="Arial"/>
          <w:lang w:val="es-ES" w:eastAsia="es-ES"/>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3A0462">
        <w:rPr>
          <w:rFonts w:ascii="Verdana" w:eastAsia="Calibri" w:hAnsi="Verdana" w:cs="Arial"/>
          <w:vertAlign w:val="superscript"/>
          <w:lang w:val="es-ES" w:eastAsia="es-ES"/>
        </w:rPr>
        <w:footnoteReference w:id="11"/>
      </w:r>
      <w:r w:rsidRPr="003A0462">
        <w:rPr>
          <w:rFonts w:ascii="Verdana" w:eastAsia="Calibri" w:hAnsi="Verdana" w:cs="Arial"/>
          <w:lang w:val="es-ES" w:eastAsia="es-ES"/>
        </w:rPr>
        <w:t>.</w:t>
      </w:r>
    </w:p>
    <w:p w14:paraId="77AB7B83" w14:textId="77777777" w:rsidR="009449A9" w:rsidRPr="003A0462" w:rsidRDefault="009449A9" w:rsidP="009449A9">
      <w:pPr>
        <w:spacing w:after="120" w:line="276" w:lineRule="auto"/>
        <w:ind w:firstLine="709"/>
        <w:jc w:val="both"/>
        <w:rPr>
          <w:rFonts w:ascii="Verdana" w:eastAsia="Calibri" w:hAnsi="Verdana" w:cs="Arial"/>
          <w:lang w:val="es-ES" w:eastAsia="es-ES"/>
        </w:rPr>
      </w:pPr>
      <w:proofErr w:type="spellStart"/>
      <w:r w:rsidRPr="003A0462">
        <w:rPr>
          <w:rFonts w:ascii="Verdana" w:eastAsia="Calibri" w:hAnsi="Verdana" w:cs="Arial"/>
          <w:lang w:val="es-ES" w:eastAsia="es-ES"/>
        </w:rPr>
        <w:t>ix</w:t>
      </w:r>
      <w:proofErr w:type="spellEnd"/>
      <w:r w:rsidRPr="003A0462">
        <w:rPr>
          <w:rFonts w:ascii="Verdana" w:eastAsia="Calibri" w:hAnsi="Verdana" w:cs="Arial"/>
          <w:lang w:val="es-ES" w:eastAsia="es-ES"/>
        </w:rPr>
        <w:t>) En algunos casos no es obligatoria la liquidación, pues así lo estableció el artículo 217 del Decreto 019 de 2012, que modificó el artículo 60 de la Ley 80 de 1993</w:t>
      </w:r>
      <w:r w:rsidRPr="003A0462">
        <w:rPr>
          <w:rFonts w:ascii="Verdana" w:eastAsia="Calibri" w:hAnsi="Verdana" w:cs="Arial"/>
          <w:vertAlign w:val="superscript"/>
          <w:lang w:val="es-ES" w:eastAsia="es-ES"/>
        </w:rPr>
        <w:footnoteReference w:id="12"/>
      </w:r>
      <w:r w:rsidRPr="003A0462">
        <w:rPr>
          <w:rFonts w:ascii="Verdana" w:eastAsia="Calibri" w:hAnsi="Verdana" w:cs="Arial"/>
          <w:lang w:val="es-ES" w:eastAsia="es-ES"/>
        </w:rPr>
        <w:t>, refiriéndose a los contratos de prestación de servicios profesionales y de apoyo a la gestión.</w:t>
      </w:r>
    </w:p>
    <w:p w14:paraId="08AE4B1A" w14:textId="77777777" w:rsidR="009449A9" w:rsidRPr="003A0462" w:rsidRDefault="009449A9" w:rsidP="009449A9">
      <w:pPr>
        <w:spacing w:after="120" w:line="276" w:lineRule="auto"/>
        <w:ind w:firstLine="709"/>
        <w:jc w:val="both"/>
        <w:rPr>
          <w:rFonts w:ascii="Verdana" w:eastAsia="Calibri" w:hAnsi="Verdana" w:cs="Arial"/>
          <w:lang w:val="es-ES_tradnl" w:eastAsia="es-ES_tradnl"/>
        </w:rPr>
      </w:pPr>
      <w:r w:rsidRPr="003A0462">
        <w:rPr>
          <w:rFonts w:ascii="Verdana" w:eastAsia="Calibri" w:hAnsi="Verdana" w:cs="Arial"/>
          <w:lang w:val="es-ES_tradnl" w:eastAsia="es-ES_tradnl"/>
        </w:rPr>
        <w:t>x) Para su celebración no se requiere inscripción en el Registro Único de Proponentes – en adelante RUP–, según lo prevé el artículo 6 de la Ley 1150 de 2007</w:t>
      </w:r>
      <w:r w:rsidRPr="003A0462">
        <w:rPr>
          <w:rFonts w:ascii="Verdana" w:eastAsia="Calibri" w:hAnsi="Verdana" w:cs="Arial"/>
          <w:vertAlign w:val="superscript"/>
          <w:lang w:val="es-ES_tradnl" w:eastAsia="es-ES_tradnl"/>
        </w:rPr>
        <w:footnoteReference w:id="13"/>
      </w:r>
      <w:r w:rsidRPr="003A0462">
        <w:rPr>
          <w:rFonts w:ascii="Verdana" w:eastAsia="Calibri" w:hAnsi="Verdana" w:cs="Arial"/>
          <w:lang w:val="es-ES_tradnl" w:eastAsia="es-ES_tradnl"/>
        </w:rPr>
        <w:t>.</w:t>
      </w:r>
    </w:p>
    <w:p w14:paraId="2183D753" w14:textId="77777777" w:rsidR="009449A9" w:rsidRDefault="009449A9" w:rsidP="009449A9">
      <w:pPr>
        <w:spacing w:before="120" w:after="120" w:line="276" w:lineRule="auto"/>
        <w:ind w:firstLine="709"/>
        <w:jc w:val="both"/>
        <w:rPr>
          <w:rFonts w:ascii="Verdana" w:eastAsia="Calibri" w:hAnsi="Verdana" w:cs="Arial"/>
          <w:lang w:val="es-ES_tradnl" w:eastAsia="es-ES_tradnl"/>
        </w:rPr>
      </w:pPr>
      <w:r w:rsidRPr="003A0462">
        <w:rPr>
          <w:rFonts w:ascii="Verdana" w:eastAsia="Calibri" w:hAnsi="Verdana" w:cs="Arial"/>
          <w:lang w:val="es-ES_tradnl" w:eastAsia="es-ES_tradnl"/>
        </w:rPr>
        <w:lastRenderedPageBreak/>
        <w:t>xi) En ellos no son necesarias las garantías</w:t>
      </w:r>
      <w:r w:rsidRPr="003A0462">
        <w:rPr>
          <w:rFonts w:ascii="Verdana" w:eastAsia="Calibri" w:hAnsi="Verdana" w:cs="Arial"/>
          <w:vertAlign w:val="superscript"/>
          <w:lang w:val="es-ES_tradnl" w:eastAsia="es-ES_tradnl"/>
        </w:rPr>
        <w:footnoteReference w:id="14"/>
      </w:r>
      <w:r w:rsidRPr="003A0462">
        <w:rPr>
          <w:rFonts w:ascii="Verdana" w:eastAsia="Calibri" w:hAnsi="Verdana" w:cs="Arial"/>
          <w:lang w:val="es-ES_tradnl" w:eastAsia="es-ES_tradnl"/>
        </w:rPr>
        <w:t>.</w:t>
      </w:r>
    </w:p>
    <w:p w14:paraId="59E84B71" w14:textId="77777777" w:rsidR="009449A9" w:rsidRPr="003A0462" w:rsidRDefault="009449A9" w:rsidP="009449A9">
      <w:pPr>
        <w:spacing w:before="120" w:after="120" w:line="276" w:lineRule="auto"/>
        <w:ind w:firstLine="709"/>
        <w:jc w:val="both"/>
        <w:rPr>
          <w:rFonts w:ascii="Verdana" w:eastAsia="Calibri" w:hAnsi="Verdana" w:cs="Arial"/>
          <w:lang w:val="es-ES_tradnl" w:eastAsia="es-ES_tradnl"/>
        </w:rPr>
      </w:pPr>
      <w:r w:rsidRPr="004C79CE">
        <w:rPr>
          <w:rFonts w:ascii="Verdana" w:eastAsia="Calibri" w:hAnsi="Verdana" w:cs="Arial"/>
          <w:lang w:eastAsia="es-ES_tradnl"/>
        </w:rPr>
        <w:t>En síntesis, el contrato de prestación de servicios es un contrato típico, de carácter excepcional y temporal, que se celebra mediante contratación directa para atender necesidades relacionadas con la administración o funcionamiento de la Entidad Estatal, cuando estas no pueden ser satisfechas con personal de planta o requieren conocimientos especializados, sin que genere relación laboral. Este tipo contractual comprende distintas especies —entre ellas, los servicios profesionales— y se rige por reglas particulares en materia de objeto, idoneidad del contratista, modalidad de selección y requisitos formales.</w:t>
      </w:r>
    </w:p>
    <w:p w14:paraId="3FA3020C" w14:textId="77777777" w:rsidR="009449A9" w:rsidRDefault="009449A9" w:rsidP="009449A9">
      <w:pPr>
        <w:spacing w:after="120" w:line="276" w:lineRule="auto"/>
        <w:ind w:firstLine="708"/>
        <w:jc w:val="both"/>
        <w:rPr>
          <w:rFonts w:ascii="Verdana" w:eastAsia="Calibri" w:hAnsi="Verdana" w:cs="Arial"/>
          <w:lang w:eastAsia="es-ES"/>
        </w:rPr>
      </w:pPr>
      <w:r w:rsidRPr="00FA079B">
        <w:rPr>
          <w:rFonts w:ascii="Verdana" w:eastAsia="Calibri" w:hAnsi="Verdana" w:cs="Arial"/>
          <w:lang w:eastAsia="es-ES"/>
        </w:rPr>
        <w:t>A partir de las anteriores consideraciones generales sobre la naturaleza y características del contrato de prestación de servicios, resulta necesario precisar los criterios aplicables para la verificación de la idoneidad del contratista cuando se trata de contratos de prestación de servicios profesionales, en particular aquellos cuyo objeto implica el ejercicio de profesiones reglamentadas. En este contexto, cobra especial relevancia el análisis del alcance de la habilitación legal para el ejercicio de la profesión de abogado y de las modalidades excepcionales previstas por el ordenamiento jurídico para dicho ejercicio, a fin de determinar su incidencia en la viabilidad jurídica de la celebración de este tipo de contratos con las Entidades Estatales.</w:t>
      </w:r>
    </w:p>
    <w:p w14:paraId="6B925196" w14:textId="77777777" w:rsidR="009449A9" w:rsidRDefault="009449A9" w:rsidP="009449A9">
      <w:pPr>
        <w:spacing w:after="120" w:line="276" w:lineRule="auto"/>
        <w:ind w:firstLine="708"/>
        <w:jc w:val="both"/>
        <w:rPr>
          <w:rFonts w:ascii="Verdana" w:eastAsia="Calibri" w:hAnsi="Verdana" w:cs="Arial"/>
          <w:lang w:val="es-MX" w:eastAsia="es-ES"/>
        </w:rPr>
      </w:pPr>
      <w:r w:rsidRPr="00FA079B">
        <w:rPr>
          <w:rFonts w:ascii="Verdana" w:eastAsia="Calibri" w:hAnsi="Verdana" w:cs="Arial"/>
          <w:lang w:eastAsia="es-ES"/>
        </w:rPr>
        <w:t xml:space="preserve">En los contratos de prestación de servicios profesionales, la exigencia de idoneidad del contratista se encuentra directamente vinculada a la habilitación legal para el ejercicio de la profesión correspondiente, en atención a lo dispuesto en el artículo 26 de la Constitución Política, conforme al cual el legislador puede exigir títulos de idoneidad cuando el ejercicio de determinadas actividades </w:t>
      </w:r>
      <w:r w:rsidRPr="00FA079B">
        <w:rPr>
          <w:rFonts w:ascii="Verdana" w:eastAsia="Calibri" w:hAnsi="Verdana" w:cs="Arial"/>
          <w:lang w:eastAsia="es-ES"/>
        </w:rPr>
        <w:lastRenderedPageBreak/>
        <w:t>implique riesgo social</w:t>
      </w:r>
      <w:r w:rsidRPr="003A0462">
        <w:rPr>
          <w:rFonts w:ascii="Verdana" w:eastAsia="Calibri" w:hAnsi="Verdana" w:cs="Arial"/>
          <w:vertAlign w:val="superscript"/>
          <w:lang w:val="es-MX" w:eastAsia="es-ES"/>
        </w:rPr>
        <w:footnoteReference w:id="15"/>
      </w:r>
      <w:r w:rsidRPr="00FA079B">
        <w:rPr>
          <w:rFonts w:ascii="Verdana" w:eastAsia="Calibri" w:hAnsi="Verdana" w:cs="Arial"/>
          <w:lang w:eastAsia="es-ES"/>
        </w:rPr>
        <w:t>. En consecuencia, corresponde a las Entidades Estatales verificar que la persona natural con la que se pretende celebrar el contrato cuente con la habilitación jurídica necesaria para desarrollar el objeto contractual.</w:t>
      </w:r>
    </w:p>
    <w:p w14:paraId="6750CF6A" w14:textId="77777777" w:rsidR="009449A9" w:rsidRDefault="009449A9" w:rsidP="009449A9">
      <w:pPr>
        <w:spacing w:after="120" w:line="276" w:lineRule="auto"/>
        <w:ind w:firstLine="709"/>
        <w:jc w:val="both"/>
        <w:rPr>
          <w:rFonts w:ascii="Verdana" w:eastAsia="Calibri" w:hAnsi="Verdana" w:cs="Arial"/>
          <w:lang w:eastAsia="es-ES"/>
        </w:rPr>
      </w:pPr>
      <w:r w:rsidRPr="00FA079B">
        <w:rPr>
          <w:rFonts w:ascii="Verdana" w:eastAsia="Calibri" w:hAnsi="Verdana" w:cs="Arial"/>
          <w:lang w:eastAsia="es-ES"/>
        </w:rPr>
        <w:t>En lo que respecta a la profesión de abogado, el régimen de habilitación para su ejercicio se encuentra regulado en el Decreto 196 de 1971</w:t>
      </w:r>
      <w:r>
        <w:rPr>
          <w:rFonts w:ascii="Verdana" w:eastAsia="Calibri" w:hAnsi="Verdana" w:cs="Arial"/>
          <w:lang w:eastAsia="es-ES"/>
        </w:rPr>
        <w:t xml:space="preserve"> </w:t>
      </w:r>
      <w:r w:rsidRPr="003A0462">
        <w:rPr>
          <w:rFonts w:ascii="Verdana" w:eastAsia="Calibri" w:hAnsi="Verdana" w:cs="Arial"/>
          <w:lang w:val="es-ES_tradnl" w:eastAsia="es-ES_tradnl"/>
        </w:rPr>
        <w:t>–</w:t>
      </w:r>
      <w:r w:rsidRPr="00FA079B">
        <w:rPr>
          <w:rFonts w:ascii="Verdana" w:eastAsia="Calibri" w:hAnsi="Verdana" w:cs="Arial"/>
          <w:lang w:eastAsia="es-ES"/>
        </w:rPr>
        <w:t>Por el cual se dicta el estatuto del ejercicio de la abogacía</w:t>
      </w:r>
      <w:r w:rsidRPr="003A0462">
        <w:rPr>
          <w:rFonts w:ascii="Verdana" w:eastAsia="Calibri" w:hAnsi="Verdana" w:cs="Arial"/>
          <w:lang w:val="es-ES_tradnl" w:eastAsia="es-ES_tradnl"/>
        </w:rPr>
        <w:t>–</w:t>
      </w:r>
      <w:r w:rsidRPr="00FA079B">
        <w:rPr>
          <w:rFonts w:ascii="Verdana" w:eastAsia="Calibri" w:hAnsi="Verdana" w:cs="Arial"/>
          <w:lang w:eastAsia="es-ES"/>
        </w:rPr>
        <w:t>, el cual distingue entre la habilitación general derivada de la inscripción como abogado</w:t>
      </w:r>
      <w:r w:rsidRPr="003A0462">
        <w:rPr>
          <w:rFonts w:ascii="Verdana" w:eastAsia="Calibri" w:hAnsi="Verdana" w:cs="Arial"/>
          <w:vertAlign w:val="superscript"/>
          <w:lang w:val="es-MX" w:eastAsia="es-ES"/>
        </w:rPr>
        <w:footnoteReference w:id="16"/>
      </w:r>
      <w:r w:rsidRPr="00FA079B">
        <w:rPr>
          <w:rFonts w:ascii="Verdana" w:eastAsia="Calibri" w:hAnsi="Verdana" w:cs="Arial"/>
          <w:lang w:eastAsia="es-ES"/>
        </w:rPr>
        <w:t xml:space="preserve"> y la habilitación excepcional y temporal prevista en los artículos 31</w:t>
      </w:r>
      <w:r>
        <w:rPr>
          <w:rStyle w:val="Refdenotaalpie"/>
          <w:rFonts w:ascii="Verdana" w:eastAsia="Calibri" w:hAnsi="Verdana" w:cs="Arial"/>
          <w:lang w:eastAsia="es-ES"/>
        </w:rPr>
        <w:footnoteReference w:id="17"/>
      </w:r>
      <w:r w:rsidRPr="00FA079B">
        <w:rPr>
          <w:rFonts w:ascii="Verdana" w:eastAsia="Calibri" w:hAnsi="Verdana" w:cs="Arial"/>
          <w:lang w:eastAsia="es-ES"/>
        </w:rPr>
        <w:t xml:space="preserve"> y 32</w:t>
      </w:r>
      <w:r>
        <w:rPr>
          <w:rStyle w:val="Refdenotaalpie"/>
          <w:rFonts w:ascii="Verdana" w:eastAsia="Calibri" w:hAnsi="Verdana" w:cs="Arial"/>
          <w:lang w:eastAsia="es-ES"/>
        </w:rPr>
        <w:footnoteReference w:id="18"/>
      </w:r>
      <w:r w:rsidRPr="00FA079B">
        <w:rPr>
          <w:rFonts w:ascii="Verdana" w:eastAsia="Calibri" w:hAnsi="Verdana" w:cs="Arial"/>
          <w:lang w:eastAsia="es-ES"/>
        </w:rPr>
        <w:t xml:space="preserve"> de dicha normativa. Esta última permite ejercer la profesión sin haber obtenido el título respectivo, por un término máximo de dos años improrrogables, siempre que se cuente con </w:t>
      </w:r>
      <w:r w:rsidRPr="00FA079B">
        <w:rPr>
          <w:rFonts w:ascii="Verdana" w:eastAsia="Calibri" w:hAnsi="Verdana" w:cs="Arial"/>
          <w:lang w:eastAsia="es-ES"/>
        </w:rPr>
        <w:lastRenderedPageBreak/>
        <w:t>la licencia temporal expedida por la autoridad judicial competente y que el ejercicio profesional se circunscriba estrictamente a los asuntos expresamente autorizados por la ley.</w:t>
      </w:r>
    </w:p>
    <w:p w14:paraId="22321351" w14:textId="77777777" w:rsidR="009449A9" w:rsidRDefault="009449A9" w:rsidP="009449A9">
      <w:pPr>
        <w:spacing w:after="120" w:line="276" w:lineRule="auto"/>
        <w:ind w:firstLine="709"/>
        <w:jc w:val="both"/>
        <w:rPr>
          <w:rFonts w:ascii="Verdana" w:eastAsia="Calibri" w:hAnsi="Verdana" w:cs="Arial"/>
          <w:lang w:eastAsia="es-ES"/>
        </w:rPr>
      </w:pPr>
      <w:r w:rsidRPr="00FA079B">
        <w:rPr>
          <w:rFonts w:ascii="Verdana" w:eastAsia="Calibri" w:hAnsi="Verdana" w:cs="Arial"/>
          <w:lang w:eastAsia="es-ES"/>
        </w:rPr>
        <w:t>La licencia temporal constituye, entonces, una forma válida de habilitación legal para el ejercicio de la abogacía, aunque de carácter limitado y condicionado, tanto en el tiempo como en el ámbito material de actuación. En tal medida, dicha habilitación no equivale a la inscripción como abogado ni otorga una autorización general para el ejercicio de la profesión, sino que permite su ejercicio únicamente en los eventos, materias y actuaciones previstas en la normativa que la regula.</w:t>
      </w:r>
    </w:p>
    <w:p w14:paraId="761BBCED" w14:textId="77777777" w:rsidR="009449A9" w:rsidRDefault="009449A9" w:rsidP="009449A9">
      <w:pPr>
        <w:spacing w:after="120" w:line="276" w:lineRule="auto"/>
        <w:ind w:firstLine="709"/>
        <w:jc w:val="both"/>
        <w:rPr>
          <w:rFonts w:ascii="Verdana" w:eastAsia="Calibri" w:hAnsi="Verdana" w:cs="Arial"/>
          <w:lang w:eastAsia="es-ES"/>
        </w:rPr>
      </w:pPr>
      <w:r w:rsidRPr="00FA079B">
        <w:rPr>
          <w:rFonts w:ascii="Verdana" w:eastAsia="Calibri" w:hAnsi="Verdana" w:cs="Arial"/>
          <w:lang w:eastAsia="es-ES"/>
        </w:rPr>
        <w:t>Desde la perspectiva de la contratación estatal, la celebración de contratos de prestación de servicios profesionales como abogado con personas que cuenten con licencia temporal no se encuentra prohibida de manera general por el ordenamiento jurídico. No obstante, su viabilidad jurídica se encuentra supeditada a que el objeto contractual y las obligaciones a cargo del contratista se ajusten plenamente al ámbito de ejercicio profesional permitido por la licencia temporal, de manera que no se encomienden actividades que excedan las competencias legalmente autorizadas.</w:t>
      </w:r>
    </w:p>
    <w:p w14:paraId="212BBA46" w14:textId="77777777" w:rsidR="009449A9" w:rsidRDefault="009449A9" w:rsidP="009449A9">
      <w:pPr>
        <w:spacing w:after="120" w:line="276" w:lineRule="auto"/>
        <w:ind w:firstLine="709"/>
        <w:jc w:val="both"/>
        <w:rPr>
          <w:rFonts w:ascii="Verdana" w:eastAsia="Calibri" w:hAnsi="Verdana" w:cs="Arial"/>
          <w:lang w:eastAsia="es-ES"/>
        </w:rPr>
      </w:pPr>
      <w:r w:rsidRPr="00FA079B">
        <w:rPr>
          <w:rFonts w:ascii="Verdana" w:eastAsia="Calibri" w:hAnsi="Verdana" w:cs="Arial"/>
          <w:lang w:eastAsia="es-ES"/>
        </w:rPr>
        <w:t>En este sentido, corresponde a la Entidad Estatal, en aplicación de los principios de legalidad y planeación, definir con precisión el objeto del contrato y verificar que las actividades a desarrollar se encuentren comprendidas dentro de los asuntos para los cuales el Decreto 196 de 1971 permite el ejercicio de la abogacía bajo licencia temporal. Si el objeto contractual implica el conocimiento, trámite o representación en asuntos distintos o más amplios a los expresamente autorizados, la Entidad deberá exigir que el contratista cuente con la habilitación general para el ejercicio de la profesión, esto es, la inscripción como abogado y la correspondiente tarjeta profesional vigente.</w:t>
      </w:r>
    </w:p>
    <w:p w14:paraId="2595D1BE" w14:textId="77777777" w:rsidR="009449A9" w:rsidRDefault="009449A9" w:rsidP="009449A9">
      <w:pPr>
        <w:spacing w:after="0" w:line="276" w:lineRule="auto"/>
        <w:ind w:firstLine="709"/>
        <w:jc w:val="both"/>
        <w:rPr>
          <w:rFonts w:ascii="Verdana" w:eastAsia="Calibri" w:hAnsi="Verdana" w:cs="Arial"/>
          <w:lang w:eastAsia="es-ES"/>
        </w:rPr>
      </w:pPr>
      <w:r>
        <w:rPr>
          <w:rFonts w:ascii="Verdana" w:eastAsia="Calibri" w:hAnsi="Verdana" w:cs="Arial"/>
          <w:lang w:eastAsia="es-ES"/>
        </w:rPr>
        <w:t>En conclusión, e</w:t>
      </w:r>
      <w:r w:rsidRPr="00FA079B">
        <w:rPr>
          <w:rFonts w:ascii="Verdana" w:eastAsia="Calibri" w:hAnsi="Verdana" w:cs="Arial"/>
          <w:lang w:eastAsia="es-ES"/>
        </w:rPr>
        <w:t>s jurídicamente viable que las Entidades Estatales celebren contratos de prestación de servicios profesionales como abogado con personas naturales que cuenten con licencia temporal, siempre que dicha habilitación haya sido expedida por la autoridad competente y que el objeto contractual y las obligaciones a cargo del contratista se encuentren estrictamente circunscritos a los asuntos en los cuales el Decreto 196 de 1971 autoriza el ejercicio de la abogacía bajo esta modalidad excepcional y temporal.</w:t>
      </w:r>
    </w:p>
    <w:p w14:paraId="7F9C3658" w14:textId="77777777" w:rsidR="009449A9" w:rsidRPr="009D7FB4" w:rsidRDefault="009449A9" w:rsidP="009449A9">
      <w:pPr>
        <w:tabs>
          <w:tab w:val="left" w:pos="426"/>
          <w:tab w:val="left" w:pos="3402"/>
        </w:tabs>
        <w:spacing w:after="0" w:line="276" w:lineRule="auto"/>
        <w:ind w:firstLine="709"/>
        <w:jc w:val="both"/>
        <w:rPr>
          <w:rFonts w:ascii="Verdana" w:hAnsi="Verdana" w:cs="Arial"/>
          <w:bCs/>
          <w:color w:val="000000" w:themeColor="text1"/>
          <w:lang w:val="es-ES"/>
        </w:rPr>
      </w:pPr>
    </w:p>
    <w:p w14:paraId="26DDC362" w14:textId="77777777" w:rsidR="009449A9" w:rsidRPr="00A869FE" w:rsidRDefault="009449A9" w:rsidP="009449A9">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Referencias normativas:</w:t>
      </w:r>
    </w:p>
    <w:p w14:paraId="249D525B" w14:textId="77777777" w:rsidR="009449A9" w:rsidRPr="00A869FE" w:rsidRDefault="009449A9" w:rsidP="009449A9">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449A9" w:rsidRPr="00A869FE" w14:paraId="041DBF09" w14:textId="77777777" w:rsidTr="00093697">
        <w:trPr>
          <w:trHeight w:val="491"/>
          <w:jc w:val="center"/>
        </w:trPr>
        <w:tc>
          <w:tcPr>
            <w:tcW w:w="8647" w:type="dxa"/>
          </w:tcPr>
          <w:p w14:paraId="426D3909" w14:textId="77777777" w:rsidR="009449A9" w:rsidRPr="00185011" w:rsidRDefault="009449A9" w:rsidP="009449A9">
            <w:pPr>
              <w:widowControl w:val="0"/>
              <w:numPr>
                <w:ilvl w:val="0"/>
                <w:numId w:val="3"/>
              </w:numPr>
              <w:autoSpaceDE w:val="0"/>
              <w:autoSpaceDN w:val="0"/>
              <w:spacing w:line="276" w:lineRule="auto"/>
              <w:jc w:val="both"/>
              <w:rPr>
                <w:rFonts w:ascii="Verdana" w:hAnsi="Verdana" w:cs="Arial"/>
              </w:rPr>
            </w:pPr>
            <w:r w:rsidRPr="00185011">
              <w:rPr>
                <w:rFonts w:ascii="Verdana" w:hAnsi="Verdana" w:cs="Arial"/>
              </w:rPr>
              <w:lastRenderedPageBreak/>
              <w:t>Constitución Política de 1991. Artículo 26.</w:t>
            </w:r>
          </w:p>
          <w:p w14:paraId="7331EF26" w14:textId="77777777" w:rsidR="009449A9" w:rsidRPr="00185011" w:rsidRDefault="009449A9" w:rsidP="009449A9">
            <w:pPr>
              <w:widowControl w:val="0"/>
              <w:numPr>
                <w:ilvl w:val="0"/>
                <w:numId w:val="3"/>
              </w:numPr>
              <w:autoSpaceDE w:val="0"/>
              <w:autoSpaceDN w:val="0"/>
              <w:spacing w:line="276" w:lineRule="auto"/>
              <w:jc w:val="both"/>
              <w:rPr>
                <w:rFonts w:ascii="Verdana" w:hAnsi="Verdana" w:cs="Arial"/>
              </w:rPr>
            </w:pPr>
            <w:r w:rsidRPr="00185011">
              <w:rPr>
                <w:rFonts w:ascii="Verdana" w:hAnsi="Verdana" w:cs="Arial"/>
              </w:rPr>
              <w:t>Ley 80 de 1993. Artículo 32. numeral 3º.</w:t>
            </w:r>
          </w:p>
          <w:p w14:paraId="5DB07FB0" w14:textId="77777777" w:rsidR="009449A9" w:rsidRPr="00185011" w:rsidRDefault="009449A9" w:rsidP="009449A9">
            <w:pPr>
              <w:widowControl w:val="0"/>
              <w:numPr>
                <w:ilvl w:val="0"/>
                <w:numId w:val="3"/>
              </w:numPr>
              <w:autoSpaceDE w:val="0"/>
              <w:autoSpaceDN w:val="0"/>
              <w:spacing w:line="276" w:lineRule="auto"/>
              <w:jc w:val="both"/>
              <w:rPr>
                <w:rFonts w:ascii="Verdana" w:hAnsi="Verdana" w:cs="Arial"/>
              </w:rPr>
            </w:pPr>
            <w:r w:rsidRPr="00185011">
              <w:rPr>
                <w:rFonts w:ascii="Verdana" w:hAnsi="Verdana" w:cs="Arial"/>
              </w:rPr>
              <w:t>Ley 1150 de 2007. Artículo 2, numeral 4º, literal h).</w:t>
            </w:r>
          </w:p>
          <w:p w14:paraId="571F5894" w14:textId="77777777" w:rsidR="009449A9" w:rsidRPr="00185011" w:rsidRDefault="009449A9" w:rsidP="009449A9">
            <w:pPr>
              <w:widowControl w:val="0"/>
              <w:numPr>
                <w:ilvl w:val="0"/>
                <w:numId w:val="3"/>
              </w:numPr>
              <w:autoSpaceDE w:val="0"/>
              <w:autoSpaceDN w:val="0"/>
              <w:spacing w:line="276" w:lineRule="auto"/>
              <w:jc w:val="both"/>
              <w:rPr>
                <w:rFonts w:ascii="Verdana" w:hAnsi="Verdana" w:cs="Arial"/>
              </w:rPr>
            </w:pPr>
            <w:r w:rsidRPr="00185011">
              <w:rPr>
                <w:rFonts w:ascii="Verdana" w:hAnsi="Verdana" w:cs="Arial"/>
              </w:rPr>
              <w:t>Código del Trabajo. Artículo 22.</w:t>
            </w:r>
          </w:p>
          <w:p w14:paraId="68961734" w14:textId="77777777" w:rsidR="009449A9" w:rsidRPr="00185011" w:rsidRDefault="009449A9" w:rsidP="009449A9">
            <w:pPr>
              <w:widowControl w:val="0"/>
              <w:numPr>
                <w:ilvl w:val="0"/>
                <w:numId w:val="3"/>
              </w:numPr>
              <w:autoSpaceDE w:val="0"/>
              <w:autoSpaceDN w:val="0"/>
              <w:spacing w:line="276" w:lineRule="auto"/>
              <w:jc w:val="both"/>
              <w:rPr>
                <w:rFonts w:ascii="Verdana" w:hAnsi="Verdana" w:cs="Arial"/>
              </w:rPr>
            </w:pPr>
            <w:r w:rsidRPr="00185011">
              <w:rPr>
                <w:rFonts w:ascii="Verdana" w:hAnsi="Verdana" w:cs="Arial"/>
              </w:rPr>
              <w:t>Decreto 196 de 1971. Artículo 15</w:t>
            </w:r>
            <w:r>
              <w:rPr>
                <w:rFonts w:ascii="Verdana" w:hAnsi="Verdana" w:cs="Arial"/>
              </w:rPr>
              <w:t>, 31 y 32.</w:t>
            </w:r>
          </w:p>
          <w:p w14:paraId="6105263E" w14:textId="77777777" w:rsidR="009449A9" w:rsidRPr="00185011" w:rsidRDefault="009449A9" w:rsidP="009449A9">
            <w:pPr>
              <w:widowControl w:val="0"/>
              <w:numPr>
                <w:ilvl w:val="0"/>
                <w:numId w:val="3"/>
              </w:numPr>
              <w:autoSpaceDE w:val="0"/>
              <w:autoSpaceDN w:val="0"/>
              <w:spacing w:line="276" w:lineRule="auto"/>
              <w:jc w:val="both"/>
              <w:rPr>
                <w:rFonts w:ascii="Verdana" w:hAnsi="Verdana" w:cs="Arial"/>
              </w:rPr>
            </w:pPr>
            <w:r w:rsidRPr="00185011">
              <w:rPr>
                <w:rFonts w:ascii="Verdana" w:hAnsi="Verdana" w:cs="Arial"/>
              </w:rPr>
              <w:t>Decreto 1068 de 2015: Artículos 2.8.4.4.5, 2.2.1.2.1.4, 2.2.1.2.1.4.1,</w:t>
            </w:r>
          </w:p>
          <w:p w14:paraId="1D98F822" w14:textId="77777777" w:rsidR="009449A9" w:rsidRPr="00185011" w:rsidRDefault="009449A9" w:rsidP="009449A9">
            <w:pPr>
              <w:widowControl w:val="0"/>
              <w:numPr>
                <w:ilvl w:val="0"/>
                <w:numId w:val="3"/>
              </w:numPr>
              <w:autoSpaceDE w:val="0"/>
              <w:autoSpaceDN w:val="0"/>
              <w:spacing w:line="276" w:lineRule="auto"/>
              <w:jc w:val="both"/>
              <w:rPr>
                <w:rFonts w:ascii="Verdana" w:hAnsi="Verdana" w:cs="Arial"/>
              </w:rPr>
            </w:pPr>
            <w:r w:rsidRPr="00185011">
              <w:rPr>
                <w:rFonts w:ascii="Verdana" w:hAnsi="Verdana" w:cs="Arial"/>
              </w:rPr>
              <w:t>2.2.1.2.1.4.5 y del 2.2.1.2.3.1.1 al 2.2.1.2.3.5.1.</w:t>
            </w:r>
          </w:p>
          <w:p w14:paraId="10740181" w14:textId="77777777" w:rsidR="009449A9" w:rsidRPr="00185011" w:rsidRDefault="009449A9" w:rsidP="009449A9">
            <w:pPr>
              <w:widowControl w:val="0"/>
              <w:numPr>
                <w:ilvl w:val="0"/>
                <w:numId w:val="3"/>
              </w:numPr>
              <w:autoSpaceDE w:val="0"/>
              <w:autoSpaceDN w:val="0"/>
              <w:spacing w:line="276" w:lineRule="auto"/>
              <w:jc w:val="both"/>
              <w:rPr>
                <w:rFonts w:ascii="Verdana" w:hAnsi="Verdana" w:cs="Arial"/>
              </w:rPr>
            </w:pPr>
            <w:r w:rsidRPr="00185011">
              <w:rPr>
                <w:rFonts w:ascii="Verdana" w:hAnsi="Verdana" w:cs="Arial"/>
                <w:lang w:val="pt-BR"/>
              </w:rPr>
              <w:t xml:space="preserve">CORTE CONSTITUCIONAL. Sentencia C-154 de 1997. </w:t>
            </w:r>
            <w:r w:rsidRPr="00185011">
              <w:rPr>
                <w:rFonts w:ascii="Verdana" w:hAnsi="Verdana" w:cs="Arial"/>
              </w:rPr>
              <w:t>Magistrado Ponente: Hernando Herrera Vergara.</w:t>
            </w:r>
          </w:p>
          <w:p w14:paraId="4D6A5A79" w14:textId="77777777" w:rsidR="009449A9" w:rsidRPr="003905DF" w:rsidRDefault="009449A9" w:rsidP="009449A9">
            <w:pPr>
              <w:widowControl w:val="0"/>
              <w:numPr>
                <w:ilvl w:val="0"/>
                <w:numId w:val="3"/>
              </w:numPr>
              <w:autoSpaceDE w:val="0"/>
              <w:autoSpaceDN w:val="0"/>
              <w:spacing w:line="276" w:lineRule="auto"/>
              <w:jc w:val="both"/>
              <w:rPr>
                <w:rFonts w:ascii="Verdana" w:hAnsi="Verdana" w:cs="Arial"/>
              </w:rPr>
            </w:pPr>
            <w:r w:rsidRPr="00185011">
              <w:rPr>
                <w:rFonts w:ascii="Verdana" w:hAnsi="Verdana" w:cs="Arial"/>
              </w:rPr>
              <w:t>CORTE CONSTITUCIONAL. Sentencia C-697 del 14 de junio de 2000.</w:t>
            </w:r>
            <w:r>
              <w:rPr>
                <w:rFonts w:ascii="Verdana" w:hAnsi="Verdana" w:cs="Arial"/>
              </w:rPr>
              <w:t xml:space="preserve"> </w:t>
            </w:r>
            <w:r w:rsidRPr="00185011">
              <w:rPr>
                <w:rFonts w:ascii="Verdana" w:hAnsi="Verdana" w:cs="Arial"/>
              </w:rPr>
              <w:t>M. P.: Eduardo Cifuentes Muñoz.</w:t>
            </w:r>
          </w:p>
        </w:tc>
      </w:tr>
    </w:tbl>
    <w:p w14:paraId="04365F0A" w14:textId="77777777" w:rsidR="009449A9" w:rsidRPr="00A869FE" w:rsidRDefault="009449A9" w:rsidP="009449A9">
      <w:pPr>
        <w:widowControl w:val="0"/>
        <w:autoSpaceDE w:val="0"/>
        <w:autoSpaceDN w:val="0"/>
        <w:spacing w:after="0" w:line="276" w:lineRule="auto"/>
        <w:jc w:val="both"/>
        <w:rPr>
          <w:rFonts w:ascii="Verdana" w:hAnsi="Verdana" w:cs="Arial"/>
        </w:rPr>
      </w:pPr>
    </w:p>
    <w:p w14:paraId="34E8C0E6" w14:textId="77777777" w:rsidR="009449A9" w:rsidRPr="00A869FE" w:rsidRDefault="009449A9" w:rsidP="009449A9">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Doctrina de la Agencia Nacional de Contratación Pública:</w:t>
      </w:r>
    </w:p>
    <w:p w14:paraId="603D0F38" w14:textId="77777777" w:rsidR="009449A9" w:rsidRPr="00A869FE" w:rsidRDefault="009449A9" w:rsidP="009449A9">
      <w:pPr>
        <w:widowControl w:val="0"/>
        <w:autoSpaceDE w:val="0"/>
        <w:autoSpaceDN w:val="0"/>
        <w:spacing w:after="0" w:line="276" w:lineRule="auto"/>
        <w:jc w:val="both"/>
        <w:rPr>
          <w:rFonts w:ascii="Verdana" w:hAnsi="Verdana" w:cs="Arial"/>
        </w:rPr>
      </w:pPr>
    </w:p>
    <w:p w14:paraId="217DC51E" w14:textId="77777777" w:rsidR="009449A9" w:rsidRPr="00B46DB7" w:rsidRDefault="009449A9" w:rsidP="009449A9">
      <w:pPr>
        <w:widowControl w:val="0"/>
        <w:autoSpaceDE w:val="0"/>
        <w:autoSpaceDN w:val="0"/>
        <w:spacing w:after="0" w:line="276" w:lineRule="auto"/>
        <w:jc w:val="both"/>
        <w:rPr>
          <w:rFonts w:ascii="Verdana" w:hAnsi="Verdana" w:cs="Arial"/>
          <w:bCs/>
          <w:shd w:val="clear" w:color="auto" w:fill="FFFFFF"/>
        </w:rPr>
      </w:pPr>
      <w:r w:rsidRPr="00B46DB7">
        <w:rPr>
          <w:rFonts w:ascii="Verdana" w:hAnsi="Verdana" w:cs="Arial"/>
          <w:bCs/>
          <w:shd w:val="clear" w:color="auto" w:fill="FFFFFF"/>
        </w:rPr>
        <w:t>Sobre los contratos de prestación de servicios, esta Subdirección se ha pronunciado en los conceptos </w:t>
      </w:r>
      <w:r w:rsidRPr="00B46DB7">
        <w:rPr>
          <w:rFonts w:ascii="Verdana" w:hAnsi="Verdana" w:cs="Arial"/>
          <w:bCs/>
          <w:shd w:val="clear" w:color="auto" w:fill="FFFFFF"/>
          <w:lang w:val="es-ES"/>
        </w:rPr>
        <w:t>se pronunció esta Subdirección en los conceptos</w:t>
      </w:r>
      <w:r w:rsidRPr="00B46DB7">
        <w:rPr>
          <w:rFonts w:ascii="Verdana" w:hAnsi="Verdana" w:cs="Arial"/>
          <w:bCs/>
          <w:shd w:val="clear" w:color="auto" w:fill="FFFFFF"/>
        </w:rPr>
        <w:t> </w:t>
      </w:r>
      <w:r w:rsidRPr="00B46DB7">
        <w:rPr>
          <w:rFonts w:ascii="Verdana" w:hAnsi="Verdana" w:cs="Arial"/>
          <w:bCs/>
          <w:shd w:val="clear" w:color="auto" w:fill="FFFFFF"/>
          <w:lang w:val="es-ES"/>
        </w:rPr>
        <w:t>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04de junio de 2020, C−379 del 30 de junio de 2020, C−414 del 30 de junio de 2020, C-661 del 17 de noviembre de 2020, C- 004 del 12 de febrero de 2021, C−106 del 7 de abril de 2021, C-181 del 07 de abril de 2022, C-214 del 22 de abril de 2022 y C-491 de 01 de agosto de 2022, C-008 del 20 de febrero de 2023, C-009 del 20 de febrero de 2023, C-286 del 2023, C-351 del 30 de agosto de 2024, C-372 del 26 de Agosto 2024, C-904 del 9 de diciembre de 2024, C-754 del 4 de diciembre de 2024, C-363 del 15 de abril de 2025, C-441 del 16 de mayo de 2025, C-517 del 27 de mayo de 2025, entre otros. </w:t>
      </w:r>
      <w:r w:rsidRPr="00B46DB7">
        <w:rPr>
          <w:rFonts w:ascii="Verdana" w:hAnsi="Verdana" w:cs="Arial"/>
          <w:bCs/>
          <w:shd w:val="clear" w:color="auto" w:fill="FFFFFF"/>
        </w:rPr>
        <w:t> </w:t>
      </w:r>
    </w:p>
    <w:p w14:paraId="70FFC758" w14:textId="77777777" w:rsidR="009449A9" w:rsidRPr="00B46DB7" w:rsidRDefault="009449A9" w:rsidP="009449A9">
      <w:pPr>
        <w:widowControl w:val="0"/>
        <w:autoSpaceDE w:val="0"/>
        <w:autoSpaceDN w:val="0"/>
        <w:spacing w:after="0" w:line="276" w:lineRule="auto"/>
        <w:jc w:val="both"/>
        <w:rPr>
          <w:rFonts w:ascii="Verdana" w:hAnsi="Verdana" w:cs="Arial"/>
          <w:bCs/>
          <w:shd w:val="clear" w:color="auto" w:fill="FFFFFF"/>
        </w:rPr>
      </w:pPr>
      <w:r w:rsidRPr="00B46DB7">
        <w:rPr>
          <w:rFonts w:ascii="Verdana" w:hAnsi="Verdana" w:cs="Arial"/>
          <w:bCs/>
          <w:shd w:val="clear" w:color="auto" w:fill="FFFFFF"/>
        </w:rPr>
        <w:t> </w:t>
      </w:r>
    </w:p>
    <w:p w14:paraId="1F8F64B2" w14:textId="77777777" w:rsidR="009449A9" w:rsidRDefault="009449A9" w:rsidP="009449A9">
      <w:pPr>
        <w:widowControl w:val="0"/>
        <w:autoSpaceDE w:val="0"/>
        <w:autoSpaceDN w:val="0"/>
        <w:spacing w:after="0" w:line="276" w:lineRule="auto"/>
        <w:jc w:val="both"/>
        <w:rPr>
          <w:rFonts w:ascii="Verdana" w:hAnsi="Verdana" w:cs="Arial"/>
          <w:shd w:val="clear" w:color="auto" w:fill="FFFFFF"/>
        </w:rPr>
      </w:pPr>
      <w:r w:rsidRPr="00A869FE">
        <w:rPr>
          <w:rFonts w:ascii="Verdana" w:hAnsi="Verdana" w:cs="Arial"/>
          <w:shd w:val="clear" w:color="auto" w:fill="FFFFFF"/>
        </w:rPr>
        <w:t>Estos conceptos se encuentran disponibles para consulta en el Sistema de relatoría de la Agencia, al cual puede accederse a través del siguiente enlace:</w:t>
      </w:r>
    </w:p>
    <w:p w14:paraId="5B16BF87" w14:textId="77777777" w:rsidR="009449A9" w:rsidRDefault="009449A9" w:rsidP="009449A9">
      <w:pPr>
        <w:widowControl w:val="0"/>
        <w:autoSpaceDE w:val="0"/>
        <w:autoSpaceDN w:val="0"/>
        <w:spacing w:after="0" w:line="276" w:lineRule="auto"/>
        <w:jc w:val="both"/>
        <w:rPr>
          <w:rFonts w:ascii="Verdana" w:hAnsi="Verdana" w:cs="Arial"/>
          <w:shd w:val="clear" w:color="auto" w:fill="FFFFFF"/>
        </w:rPr>
      </w:pPr>
    </w:p>
    <w:p w14:paraId="12BE8718" w14:textId="77777777" w:rsidR="009449A9" w:rsidRPr="00A869FE" w:rsidRDefault="009449A9" w:rsidP="009449A9">
      <w:pPr>
        <w:widowControl w:val="0"/>
        <w:autoSpaceDE w:val="0"/>
        <w:autoSpaceDN w:val="0"/>
        <w:spacing w:after="0" w:line="276" w:lineRule="auto"/>
        <w:jc w:val="both"/>
        <w:rPr>
          <w:rFonts w:ascii="Verdana" w:hAnsi="Verdana" w:cs="Arial"/>
          <w:color w:val="FF0000"/>
          <w:shd w:val="clear" w:color="auto" w:fill="FFFFFF"/>
        </w:rPr>
      </w:pPr>
      <w:hyperlink r:id="rId12" w:history="1">
        <w:r w:rsidRPr="00A869FE">
          <w:rPr>
            <w:rFonts w:ascii="Verdana" w:hAnsi="Verdana" w:cs="Arial"/>
            <w:color w:val="0000FF"/>
            <w:u w:val="single"/>
            <w:shd w:val="clear" w:color="auto" w:fill="FFFFFF"/>
          </w:rPr>
          <w:t>https://relatoria.colombiacompra.gov.co/busqueda/conceptos</w:t>
        </w:r>
      </w:hyperlink>
      <w:r w:rsidRPr="00A869FE">
        <w:rPr>
          <w:rFonts w:ascii="Verdana" w:hAnsi="Verdana" w:cs="Arial"/>
          <w:shd w:val="clear" w:color="auto" w:fill="FFFFFF"/>
        </w:rPr>
        <w:t xml:space="preserve">. </w:t>
      </w:r>
      <w:r w:rsidRPr="00A869FE">
        <w:rPr>
          <w:rFonts w:ascii="Verdana" w:hAnsi="Verdana" w:cs="Arial"/>
          <w:color w:val="FF0000"/>
          <w:shd w:val="clear" w:color="auto" w:fill="FFFFFF"/>
        </w:rPr>
        <w:t xml:space="preserve"> </w:t>
      </w:r>
    </w:p>
    <w:p w14:paraId="32517085" w14:textId="77777777" w:rsidR="009449A9" w:rsidRPr="00A869FE" w:rsidRDefault="009449A9" w:rsidP="009449A9">
      <w:pPr>
        <w:widowControl w:val="0"/>
        <w:autoSpaceDE w:val="0"/>
        <w:autoSpaceDN w:val="0"/>
        <w:spacing w:after="0" w:line="276" w:lineRule="auto"/>
        <w:jc w:val="both"/>
        <w:rPr>
          <w:rFonts w:ascii="Verdana" w:hAnsi="Verdana" w:cs="Arial"/>
          <w:color w:val="FF0000"/>
          <w:shd w:val="clear" w:color="auto" w:fill="FFFFFF"/>
        </w:rPr>
      </w:pPr>
    </w:p>
    <w:p w14:paraId="79567F1F" w14:textId="77777777" w:rsidR="009449A9" w:rsidRPr="00A869FE" w:rsidRDefault="009449A9" w:rsidP="009449A9">
      <w:pPr>
        <w:shd w:val="clear" w:color="auto" w:fill="FFFFFF"/>
        <w:spacing w:after="0" w:line="276" w:lineRule="auto"/>
        <w:jc w:val="both"/>
        <w:rPr>
          <w:rFonts w:ascii="Verdana" w:hAnsi="Verdana"/>
          <w:color w:val="467886"/>
          <w:u w:val="single"/>
        </w:rPr>
      </w:pPr>
      <w:r w:rsidRPr="00A869FE">
        <w:rPr>
          <w:rFonts w:ascii="Verdana" w:hAnsi="Verdana"/>
          <w:color w:val="000000"/>
        </w:rPr>
        <w:lastRenderedPageBreak/>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0657BC2E" w14:textId="77777777" w:rsidR="009449A9" w:rsidRPr="00A869FE" w:rsidRDefault="009449A9" w:rsidP="009449A9">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6EDAE42F" w14:textId="77777777" w:rsidR="009449A9" w:rsidRPr="00A869FE" w:rsidRDefault="009449A9" w:rsidP="009449A9">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E70D71C" w14:textId="77777777" w:rsidR="009449A9" w:rsidRPr="00A869FE" w:rsidRDefault="009449A9" w:rsidP="009449A9">
      <w:pPr>
        <w:spacing w:after="0" w:line="276" w:lineRule="auto"/>
        <w:jc w:val="both"/>
        <w:rPr>
          <w:rFonts w:ascii="Verdana" w:hAnsi="Verdana"/>
        </w:rPr>
      </w:pPr>
    </w:p>
    <w:p w14:paraId="29F926B6" w14:textId="77777777" w:rsidR="009449A9" w:rsidRPr="00A869FE" w:rsidRDefault="009449A9" w:rsidP="009449A9">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564EF047" w14:textId="77777777" w:rsidR="009449A9" w:rsidRPr="00A869FE" w:rsidRDefault="009449A9" w:rsidP="009449A9">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2D64BDAB" w14:textId="77777777" w:rsidR="009449A9" w:rsidRPr="00A869FE" w:rsidRDefault="009449A9" w:rsidP="009449A9">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4" w:history="1">
        <w:r w:rsidRPr="00A869FE">
          <w:rPr>
            <w:rFonts w:ascii="Verdana" w:eastAsia="Verdana" w:hAnsi="Verdana" w:cs="Verdana"/>
            <w:color w:val="0000FF"/>
            <w:u w:val="single"/>
          </w:rPr>
          <w:t>ventanilladeradicacion@colombiacompra.gov.co</w:t>
        </w:r>
      </w:hyperlink>
    </w:p>
    <w:p w14:paraId="0CCD15DA" w14:textId="77777777" w:rsidR="009449A9" w:rsidRPr="00A869FE" w:rsidRDefault="009449A9" w:rsidP="009449A9">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5" w:history="1">
        <w:r w:rsidRPr="00A869FE">
          <w:rPr>
            <w:rFonts w:ascii="Verdana" w:eastAsia="Verdana" w:hAnsi="Verdana" w:cs="Verdana"/>
            <w:color w:val="0000FF"/>
            <w:u w:val="single"/>
          </w:rPr>
          <w:t>https://www.colombiacompra.gov.co/pqrsd/informacion-importante-antes-de-formular-una-pqrsd</w:t>
        </w:r>
      </w:hyperlink>
    </w:p>
    <w:p w14:paraId="32CBFFAC" w14:textId="77777777" w:rsidR="009449A9" w:rsidRPr="00A869FE" w:rsidRDefault="009449A9" w:rsidP="009449A9">
      <w:pPr>
        <w:spacing w:after="0" w:line="276" w:lineRule="auto"/>
        <w:ind w:left="720"/>
        <w:jc w:val="both"/>
        <w:rPr>
          <w:rFonts w:ascii="Verdana" w:hAnsi="Verdana"/>
        </w:rPr>
      </w:pPr>
    </w:p>
    <w:p w14:paraId="571C3B28" w14:textId="77777777" w:rsidR="009449A9" w:rsidRPr="00A869FE" w:rsidRDefault="009449A9" w:rsidP="009449A9">
      <w:pPr>
        <w:spacing w:after="0" w:line="276" w:lineRule="auto"/>
        <w:rPr>
          <w:rFonts w:ascii="Verdana" w:hAnsi="Verdana"/>
        </w:rPr>
      </w:pPr>
      <w:r w:rsidRPr="00A869FE">
        <w:rPr>
          <w:rFonts w:ascii="Verdana" w:hAnsi="Verdana"/>
        </w:rPr>
        <w:t xml:space="preserve">Evalúa el servicio que ofrece la Agencia por el canal de atención de PQRSD en el siguiente </w:t>
      </w:r>
      <w:proofErr w:type="gramStart"/>
      <w:r w:rsidRPr="00A869FE">
        <w:rPr>
          <w:rFonts w:ascii="Verdana" w:hAnsi="Verdana"/>
        </w:rPr>
        <w:t>enlace :</w:t>
      </w:r>
      <w:proofErr w:type="gramEnd"/>
      <w:hyperlink r:id="rId16"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711646EB" w14:textId="77777777" w:rsidR="009449A9" w:rsidRPr="00A869FE" w:rsidRDefault="009449A9" w:rsidP="009449A9">
      <w:pPr>
        <w:spacing w:after="0" w:line="276" w:lineRule="auto"/>
        <w:rPr>
          <w:rFonts w:ascii="Verdana" w:hAnsi="Verdana"/>
        </w:rPr>
      </w:pPr>
    </w:p>
    <w:p w14:paraId="7EAB99F5" w14:textId="77777777" w:rsidR="009449A9" w:rsidRPr="00A869FE" w:rsidRDefault="009449A9" w:rsidP="009449A9">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183E3E1F" w14:textId="77777777" w:rsidR="009449A9" w:rsidRPr="00A869FE" w:rsidRDefault="009449A9" w:rsidP="009449A9">
      <w:pPr>
        <w:spacing w:after="0" w:line="276" w:lineRule="auto"/>
        <w:jc w:val="both"/>
        <w:rPr>
          <w:rFonts w:ascii="Verdana" w:hAnsi="Verdana"/>
        </w:rPr>
      </w:pPr>
    </w:p>
    <w:p w14:paraId="26E1F751" w14:textId="77777777" w:rsidR="009449A9" w:rsidRPr="00A869FE" w:rsidRDefault="009449A9" w:rsidP="009449A9">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45D99FEA" w14:textId="77777777" w:rsidR="009449A9" w:rsidRPr="00A869FE" w:rsidRDefault="009449A9" w:rsidP="009449A9">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48D8A468" w14:textId="77777777" w:rsidR="009449A9" w:rsidRPr="00A869FE" w:rsidRDefault="009449A9" w:rsidP="009449A9">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3A27FFCD" w14:textId="77777777" w:rsidR="009449A9" w:rsidRPr="00A869FE" w:rsidRDefault="009449A9" w:rsidP="009449A9">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lastRenderedPageBreak/>
        <w:t xml:space="preserve">        </w:t>
      </w:r>
    </w:p>
    <w:p w14:paraId="2B8D2308" w14:textId="77777777" w:rsidR="009449A9" w:rsidRPr="00A869FE" w:rsidRDefault="009449A9" w:rsidP="009449A9">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085AF4A" w14:textId="77777777" w:rsidR="009449A9" w:rsidRPr="00A869FE" w:rsidRDefault="009449A9" w:rsidP="009449A9">
      <w:pPr>
        <w:widowControl w:val="0"/>
        <w:autoSpaceDE w:val="0"/>
        <w:autoSpaceDN w:val="0"/>
        <w:spacing w:after="0" w:line="276" w:lineRule="auto"/>
        <w:jc w:val="both"/>
        <w:rPr>
          <w:rFonts w:ascii="Verdana" w:hAnsi="Verdana" w:cs="Arial"/>
        </w:rPr>
      </w:pPr>
    </w:p>
    <w:p w14:paraId="03A28B5E" w14:textId="77777777" w:rsidR="009449A9" w:rsidRPr="00A869FE" w:rsidRDefault="009449A9" w:rsidP="009449A9">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bookmarkEnd w:id="0"/>
    </w:p>
    <w:p w14:paraId="0DC954B1" w14:textId="1CCFA537" w:rsidR="009449A9" w:rsidRPr="00A869FE" w:rsidRDefault="0049641E" w:rsidP="009449A9">
      <w:pPr>
        <w:spacing w:after="0" w:line="240" w:lineRule="auto"/>
        <w:jc w:val="center"/>
      </w:pPr>
      <w:r w:rsidRPr="004D5C25">
        <w:rPr>
          <w:rFonts w:ascii="Century Gothic" w:hAnsi="Century Gothic"/>
          <w:noProof/>
        </w:rPr>
        <w:drawing>
          <wp:inline distT="0" distB="0" distL="0" distR="0" wp14:anchorId="6501F590" wp14:editId="17367333">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449A9" w:rsidRPr="00A869FE" w14:paraId="6D0E2B8C" w14:textId="77777777" w:rsidTr="00093697">
        <w:trPr>
          <w:trHeight w:val="315"/>
        </w:trPr>
        <w:tc>
          <w:tcPr>
            <w:tcW w:w="893" w:type="dxa"/>
            <w:vAlign w:val="center"/>
            <w:hideMark/>
          </w:tcPr>
          <w:p w14:paraId="7FC2BEF9" w14:textId="77777777" w:rsidR="009449A9" w:rsidRPr="00A869FE" w:rsidRDefault="009449A9" w:rsidP="00093697">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D254AE5" w14:textId="77777777" w:rsidR="009449A9" w:rsidRPr="00A869FE" w:rsidRDefault="009449A9" w:rsidP="00093697">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4AB71785" w14:textId="77777777" w:rsidR="009449A9" w:rsidRPr="00A869FE" w:rsidRDefault="009449A9" w:rsidP="00093697">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9449A9" w:rsidRPr="00A869FE" w14:paraId="54EF2776" w14:textId="77777777" w:rsidTr="00093697">
        <w:trPr>
          <w:trHeight w:val="330"/>
        </w:trPr>
        <w:tc>
          <w:tcPr>
            <w:tcW w:w="893" w:type="dxa"/>
            <w:vAlign w:val="center"/>
            <w:hideMark/>
          </w:tcPr>
          <w:p w14:paraId="53A978B8" w14:textId="77777777" w:rsidR="009449A9" w:rsidRPr="00A869FE" w:rsidRDefault="009449A9" w:rsidP="00093697">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890330" w14:textId="77777777" w:rsidR="009449A9" w:rsidRPr="00A869FE" w:rsidRDefault="009449A9" w:rsidP="00093697">
            <w:pPr>
              <w:spacing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4E4C01D5" w14:textId="77777777" w:rsidR="009449A9" w:rsidRPr="00A869FE" w:rsidRDefault="009449A9" w:rsidP="00093697">
            <w:pPr>
              <w:pStyle w:val="paragraph"/>
              <w:spacing w:before="0" w:beforeAutospacing="0" w:after="0" w:afterAutospacing="0"/>
              <w:contextualSpacing/>
              <w:textAlignment w:val="baseline"/>
              <w:rPr>
                <w:rFonts w:ascii="Verdana" w:hAnsi="Verdana" w:cs="Segoe UI"/>
                <w:sz w:val="16"/>
                <w:szCs w:val="16"/>
              </w:rPr>
            </w:pPr>
            <w:r w:rsidRPr="00A869FE">
              <w:rPr>
                <w:rFonts w:ascii="Verdana" w:eastAsia="Calibri" w:hAnsi="Verdana"/>
                <w:sz w:val="16"/>
                <w:szCs w:val="16"/>
              </w:rPr>
              <w:t>Contratista de la Subdirección de Gestión Contractual </w:t>
            </w:r>
          </w:p>
        </w:tc>
      </w:tr>
      <w:tr w:rsidR="009449A9" w:rsidRPr="00A869FE" w14:paraId="21518A1E" w14:textId="77777777" w:rsidTr="00093697">
        <w:trPr>
          <w:trHeight w:val="300"/>
        </w:trPr>
        <w:tc>
          <w:tcPr>
            <w:tcW w:w="893" w:type="dxa"/>
            <w:vAlign w:val="center"/>
          </w:tcPr>
          <w:p w14:paraId="75C9C6F6" w14:textId="77777777" w:rsidR="009449A9" w:rsidRPr="00A869FE" w:rsidRDefault="009449A9" w:rsidP="00093697">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8E2B730" w14:textId="77777777" w:rsidR="009449A9" w:rsidRPr="00A869FE" w:rsidRDefault="009449A9"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0C9A94F7" w14:textId="77777777" w:rsidR="009449A9" w:rsidRPr="00A869FE" w:rsidRDefault="009449A9"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502C7830" w14:textId="77777777" w:rsidR="009449A9" w:rsidRPr="00CE53B2" w:rsidRDefault="009449A9" w:rsidP="009449A9"/>
    <w:p w14:paraId="550BBABA" w14:textId="77777777" w:rsidR="009449A9" w:rsidRDefault="009449A9" w:rsidP="009449A9"/>
    <w:p w14:paraId="3E0763FC" w14:textId="77777777" w:rsidR="009449A9" w:rsidRPr="007001D3" w:rsidRDefault="009449A9" w:rsidP="009449A9"/>
    <w:p w14:paraId="3C93A266" w14:textId="77777777" w:rsidR="009449A9" w:rsidRPr="00352662" w:rsidRDefault="009449A9" w:rsidP="009449A9"/>
    <w:p w14:paraId="384D9070" w14:textId="77777777" w:rsidR="00C24FFE" w:rsidRDefault="00C24FFE"/>
    <w:sectPr w:rsidR="00C24FFE" w:rsidSect="009449A9">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7159E" w14:textId="77777777" w:rsidR="004D0130" w:rsidRDefault="004D0130" w:rsidP="009449A9">
      <w:pPr>
        <w:spacing w:after="0" w:line="240" w:lineRule="auto"/>
      </w:pPr>
      <w:r>
        <w:separator/>
      </w:r>
    </w:p>
  </w:endnote>
  <w:endnote w:type="continuationSeparator" w:id="0">
    <w:p w14:paraId="48D2C979" w14:textId="77777777" w:rsidR="004D0130" w:rsidRDefault="004D0130" w:rsidP="00944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E952B" w14:textId="77777777" w:rsidR="009449A9" w:rsidRDefault="009449A9">
    <w:pPr>
      <w:pStyle w:val="Piedepgina"/>
    </w:pPr>
  </w:p>
  <w:p w14:paraId="435D5169" w14:textId="77777777" w:rsidR="009449A9" w:rsidRPr="00174B77" w:rsidRDefault="009449A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E090B39" w14:textId="77777777" w:rsidR="009449A9" w:rsidRDefault="009449A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6C0080FE" w14:textId="77777777" w:rsidR="009449A9" w:rsidRPr="00E41027" w:rsidRDefault="009449A9" w:rsidP="00D520D8">
    <w:pPr>
      <w:spacing w:after="0"/>
      <w:jc w:val="both"/>
      <w:rPr>
        <w:rFonts w:ascii="Verdana" w:hAnsi="Verdana"/>
        <w:sz w:val="18"/>
        <w:szCs w:val="18"/>
      </w:rPr>
    </w:pPr>
    <w:r w:rsidRPr="00E41027">
      <w:rPr>
        <w:rFonts w:ascii="Verdana" w:hAnsi="Verdana"/>
        <w:sz w:val="18"/>
        <w:szCs w:val="18"/>
      </w:rPr>
      <w:t>Mesa de servicio: (+57) 601 7456788</w:t>
    </w:r>
  </w:p>
  <w:p w14:paraId="6A6170B4" w14:textId="77777777" w:rsidR="009449A9" w:rsidRPr="000E03EB" w:rsidRDefault="009449A9" w:rsidP="356CEDFD">
    <w:pPr>
      <w:pBdr>
        <w:top w:val="nil"/>
        <w:left w:val="nil"/>
        <w:bottom w:val="nil"/>
        <w:right w:val="nil"/>
        <w:between w:val="nil"/>
      </w:pBdr>
      <w:tabs>
        <w:tab w:val="center" w:pos="4419"/>
        <w:tab w:val="right" w:pos="8838"/>
        <w:tab w:val="center" w:pos="5400"/>
      </w:tabs>
      <w:spacing w:after="0"/>
      <w:jc w:val="right"/>
      <w:rPr>
        <w:lang w:val="pt-BR"/>
      </w:rPr>
    </w:pPr>
    <w:r w:rsidRPr="000E03EB">
      <w:rPr>
        <w:rFonts w:ascii="Century Gothic" w:eastAsia="Geo" w:hAnsi="Century Gothic" w:cs="Geo"/>
        <w:b/>
        <w:bCs/>
        <w:color w:val="000000" w:themeColor="text1"/>
        <w:sz w:val="16"/>
        <w:szCs w:val="16"/>
        <w:lang w:val="pt-BR" w:eastAsia="es-CO"/>
      </w:rPr>
      <w:t xml:space="preserve">Código: </w:t>
    </w:r>
    <w:r w:rsidRPr="000E03EB">
      <w:rPr>
        <w:rFonts w:ascii="Century Gothic" w:eastAsia="Geo" w:hAnsi="Century Gothic" w:cs="Geo"/>
        <w:color w:val="000000" w:themeColor="text1"/>
        <w:sz w:val="16"/>
        <w:szCs w:val="16"/>
        <w:lang w:val="pt-BR" w:eastAsia="es-CO"/>
      </w:rPr>
      <w:t xml:space="preserve">CCE-REC-FM-17 </w:t>
    </w:r>
    <w:r w:rsidRPr="000E03EB">
      <w:rPr>
        <w:rFonts w:ascii="Century Gothic" w:eastAsia="Geo" w:hAnsi="Century Gothic" w:cs="Geo"/>
        <w:b/>
        <w:bCs/>
        <w:color w:val="000000" w:themeColor="text1"/>
        <w:sz w:val="16"/>
        <w:szCs w:val="16"/>
        <w:lang w:val="pt-BR" w:eastAsia="es-CO"/>
      </w:rPr>
      <w:t>V</w:t>
    </w:r>
    <w:r w:rsidRPr="000E03EB">
      <w:rPr>
        <w:rFonts w:ascii="Century Gothic" w:eastAsia="Arial Nova" w:hAnsi="Century Gothic" w:cs="Arial Nova"/>
        <w:b/>
        <w:bCs/>
        <w:color w:val="000000" w:themeColor="text1"/>
        <w:sz w:val="16"/>
        <w:szCs w:val="16"/>
        <w:lang w:val="pt-BR" w:eastAsia="es-CO"/>
      </w:rPr>
      <w:t xml:space="preserve">: </w:t>
    </w:r>
    <w:r w:rsidRPr="000E03EB">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E400F" w14:textId="77777777" w:rsidR="004D0130" w:rsidRDefault="004D0130" w:rsidP="009449A9">
      <w:pPr>
        <w:spacing w:after="0" w:line="240" w:lineRule="auto"/>
      </w:pPr>
      <w:r>
        <w:separator/>
      </w:r>
    </w:p>
  </w:footnote>
  <w:footnote w:type="continuationSeparator" w:id="0">
    <w:p w14:paraId="4BE4B4D3" w14:textId="77777777" w:rsidR="004D0130" w:rsidRDefault="004D0130" w:rsidP="009449A9">
      <w:pPr>
        <w:spacing w:after="0" w:line="240" w:lineRule="auto"/>
      </w:pPr>
      <w:r>
        <w:continuationSeparator/>
      </w:r>
    </w:p>
  </w:footnote>
  <w:footnote w:id="1">
    <w:p w14:paraId="2B540F74" w14:textId="77777777" w:rsidR="009449A9" w:rsidRPr="00012E32" w:rsidRDefault="009449A9" w:rsidP="009449A9">
      <w:pPr>
        <w:pStyle w:val="Textonotapie"/>
        <w:ind w:firstLine="709"/>
        <w:contextualSpacing/>
        <w:jc w:val="both"/>
        <w:rPr>
          <w:rFonts w:ascii="Verdana" w:hAnsi="Verdana" w:cs="Arial"/>
          <w:color w:val="000000"/>
          <w:sz w:val="18"/>
          <w:szCs w:val="18"/>
        </w:rPr>
      </w:pPr>
      <w:r w:rsidRPr="00CA6B94">
        <w:rPr>
          <w:rStyle w:val="Refdenotaalpie"/>
          <w:rFonts w:ascii="Verdana" w:hAnsi="Verdana" w:cs="Arial"/>
          <w:sz w:val="18"/>
          <w:szCs w:val="18"/>
        </w:rPr>
        <w:footnoteRef/>
      </w:r>
      <w:r w:rsidRPr="00CA6B94">
        <w:rPr>
          <w:rFonts w:ascii="Verdana" w:hAnsi="Verdana" w:cs="Arial"/>
          <w:sz w:val="18"/>
          <w:szCs w:val="18"/>
        </w:rPr>
        <w:t xml:space="preserve"> Decreto 1068 de 2015: “</w:t>
      </w:r>
      <w:r w:rsidRPr="00CA6B94">
        <w:rPr>
          <w:rFonts w:ascii="Verdana" w:hAnsi="Verdana" w:cs="Arial"/>
          <w:color w:val="000000"/>
          <w:sz w:val="18"/>
          <w:szCs w:val="18"/>
        </w:rPr>
        <w:t xml:space="preserve">Artículo 2.8.4.4.5. </w:t>
      </w:r>
      <w:r w:rsidRPr="00012E32">
        <w:rPr>
          <w:rFonts w:ascii="Verdana" w:hAnsi="Verdana" w:cs="Arial"/>
          <w:color w:val="000000"/>
          <w:sz w:val="18"/>
          <w:szCs w:val="18"/>
        </w:rPr>
        <w:t xml:space="preserve">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52E19A86" w14:textId="77777777" w:rsidR="009449A9" w:rsidRPr="00012E32" w:rsidRDefault="009449A9" w:rsidP="009449A9">
      <w:pPr>
        <w:pStyle w:val="Textonotapie"/>
        <w:ind w:firstLine="709"/>
        <w:contextualSpacing/>
        <w:jc w:val="both"/>
        <w:rPr>
          <w:rFonts w:ascii="Verdana" w:hAnsi="Verdana" w:cs="Arial"/>
          <w:color w:val="000000"/>
          <w:sz w:val="18"/>
          <w:szCs w:val="18"/>
        </w:rPr>
      </w:pPr>
      <w:r w:rsidRPr="00012E32">
        <w:rPr>
          <w:rFonts w:ascii="Verdana" w:hAnsi="Verdana" w:cs="Arial"/>
          <w:color w:val="000000"/>
          <w:sz w:val="18"/>
          <w:szCs w:val="18"/>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33F1E82A" w14:textId="77777777" w:rsidR="009449A9" w:rsidRPr="00CA6B94" w:rsidRDefault="009449A9" w:rsidP="009449A9">
      <w:pPr>
        <w:pStyle w:val="Textonotapie"/>
        <w:ind w:firstLine="709"/>
        <w:contextualSpacing/>
        <w:jc w:val="both"/>
        <w:rPr>
          <w:rFonts w:ascii="Verdana" w:hAnsi="Verdana" w:cs="Arial"/>
          <w:sz w:val="18"/>
          <w:szCs w:val="18"/>
        </w:rPr>
      </w:pPr>
      <w:r w:rsidRPr="00012E32">
        <w:rPr>
          <w:rFonts w:ascii="Verdana" w:hAnsi="Verdana" w:cs="Arial"/>
          <w:color w:val="000000"/>
          <w:sz w:val="18"/>
          <w:szCs w:val="18"/>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r>
        <w:rPr>
          <w:rFonts w:ascii="Verdana" w:hAnsi="Verdana" w:cs="Arial"/>
          <w:color w:val="000000"/>
          <w:sz w:val="18"/>
          <w:szCs w:val="18"/>
        </w:rPr>
        <w:t>”.</w:t>
      </w:r>
    </w:p>
    <w:p w14:paraId="626452CC" w14:textId="77777777" w:rsidR="009449A9" w:rsidRPr="00CA6B94" w:rsidRDefault="009449A9" w:rsidP="009449A9">
      <w:pPr>
        <w:pStyle w:val="Textonotapie"/>
        <w:ind w:firstLine="708"/>
        <w:contextualSpacing/>
        <w:jc w:val="both"/>
        <w:rPr>
          <w:rFonts w:ascii="Verdana" w:hAnsi="Verdana" w:cs="Arial"/>
          <w:sz w:val="18"/>
          <w:szCs w:val="18"/>
        </w:rPr>
      </w:pPr>
    </w:p>
  </w:footnote>
  <w:footnote w:id="2">
    <w:p w14:paraId="3DC93726" w14:textId="77777777" w:rsidR="009449A9" w:rsidRPr="00CA6B94" w:rsidRDefault="009449A9" w:rsidP="009449A9">
      <w:pPr>
        <w:pStyle w:val="Textonotapie"/>
        <w:ind w:firstLine="708"/>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w:t>
      </w:r>
      <w:r w:rsidRPr="00CA6B94">
        <w:rPr>
          <w:rFonts w:ascii="Verdana" w:hAnsi="Verdana" w:cs="Arial"/>
          <w:color w:val="000000"/>
          <w:sz w:val="18"/>
          <w:szCs w:val="18"/>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6B557AE1"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Fonts w:ascii="Verdana" w:hAnsi="Verdana" w:cs="Arial"/>
          <w:color w:val="000000"/>
          <w:sz w:val="18"/>
          <w:szCs w:val="18"/>
          <w:lang w:val="es-ES"/>
        </w:rPr>
        <w:t>“2. Quien presta el servicio se denomina trabajador, quien lo recibe y remunera, empleador, y la remuneración, cualquiera que sea su forma, salario”.</w:t>
      </w:r>
    </w:p>
    <w:p w14:paraId="4957EDEB"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p>
  </w:footnote>
  <w:footnote w:id="3">
    <w:p w14:paraId="4D4F24AA"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lang w:val="pt-BR"/>
        </w:rPr>
        <w:t xml:space="preserve"> CORTE CONSTITUCIONAL. Sentencia C-154 de 1997. </w:t>
      </w:r>
      <w:r w:rsidRPr="00CA6B94">
        <w:rPr>
          <w:rFonts w:ascii="Verdana" w:hAnsi="Verdana" w:cs="Arial"/>
          <w:color w:val="000000"/>
          <w:sz w:val="18"/>
          <w:szCs w:val="18"/>
          <w:lang w:val="es-ES"/>
        </w:rPr>
        <w:t>Magistrado Ponente: Hernando Herrera Vergara.</w:t>
      </w:r>
    </w:p>
    <w:p w14:paraId="703E74DB"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p>
  </w:footnote>
  <w:footnote w:id="4">
    <w:p w14:paraId="2715F35D"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w:t>
      </w:r>
      <w:r w:rsidRPr="00CA6B94">
        <w:rPr>
          <w:rFonts w:ascii="Verdana" w:hAnsi="Verdana" w:cs="Arial"/>
          <w:color w:val="000000"/>
          <w:sz w:val="18"/>
          <w:szCs w:val="18"/>
          <w:lang w:val="es-ES"/>
        </w:rPr>
        <w:t>Ibid.</w:t>
      </w:r>
    </w:p>
  </w:footnote>
  <w:footnote w:id="5">
    <w:p w14:paraId="10260FBA" w14:textId="77777777" w:rsidR="009449A9" w:rsidRPr="00CA6B94" w:rsidRDefault="009449A9" w:rsidP="009449A9">
      <w:pPr>
        <w:pStyle w:val="Textonotapie"/>
        <w:ind w:firstLine="709"/>
        <w:contextualSpacing/>
        <w:jc w:val="both"/>
        <w:rPr>
          <w:rFonts w:ascii="Verdana" w:hAnsi="Verdana" w:cs="Arial"/>
          <w:color w:val="000000"/>
          <w:sz w:val="18"/>
          <w:szCs w:val="18"/>
        </w:rPr>
      </w:pPr>
    </w:p>
    <w:p w14:paraId="1F361D5A"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w:t>
      </w:r>
      <w:r w:rsidRPr="00CA6B94">
        <w:rPr>
          <w:rFonts w:ascii="Verdana" w:hAnsi="Verdana" w:cs="Arial"/>
          <w:color w:val="000000"/>
          <w:sz w:val="18"/>
          <w:szCs w:val="18"/>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7A10C3CF"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Fonts w:ascii="Verdana" w:hAnsi="Verdana" w:cs="Arial"/>
          <w:color w:val="000000"/>
          <w:sz w:val="18"/>
          <w:szCs w:val="18"/>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7034CC4A"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Fonts w:ascii="Verdana" w:hAnsi="Verdana" w:cs="Arial"/>
          <w:color w:val="000000"/>
          <w:sz w:val="18"/>
          <w:szCs w:val="18"/>
          <w:lang w:val="es-ES"/>
        </w:rPr>
        <w:t>“La Entidad Estatal, para la contratación de trabajos artísticos que solamente puedan en­comendarse a determinadas personas naturales, debe justificar esta situación en los estudios y documentos previos”.</w:t>
      </w:r>
    </w:p>
  </w:footnote>
  <w:footnote w:id="6">
    <w:p w14:paraId="348E28E5" w14:textId="77777777" w:rsidR="009449A9" w:rsidRPr="00CA6B94" w:rsidRDefault="009449A9" w:rsidP="009449A9">
      <w:pPr>
        <w:pStyle w:val="Textonotapie"/>
        <w:ind w:firstLine="709"/>
        <w:contextualSpacing/>
        <w:jc w:val="both"/>
        <w:rPr>
          <w:rFonts w:ascii="Verdana" w:hAnsi="Verdana" w:cs="Arial"/>
          <w:color w:val="000000"/>
          <w:sz w:val="18"/>
          <w:szCs w:val="18"/>
        </w:rPr>
      </w:pPr>
    </w:p>
    <w:p w14:paraId="4CC3B654"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w:t>
      </w:r>
      <w:r w:rsidRPr="00CA6B94">
        <w:rPr>
          <w:rFonts w:ascii="Verdana" w:hAnsi="Verdana" w:cs="Arial"/>
          <w:color w:val="000000"/>
          <w:sz w:val="18"/>
          <w:szCs w:val="18"/>
          <w:lang w:val="es-ES"/>
        </w:rPr>
        <w:t>CONSEJO DE ESTADO. Sección Tercera. Subsección C. Sentencia del 2 de diciembre de 2013. Exp. 41719. Consejero Ponente: Jaime Orlando Santofimio Gamboa.</w:t>
      </w:r>
    </w:p>
  </w:footnote>
  <w:footnote w:id="7">
    <w:p w14:paraId="0B3685E4" w14:textId="77777777" w:rsidR="009449A9" w:rsidRPr="00CA6B94" w:rsidRDefault="009449A9" w:rsidP="009449A9">
      <w:pPr>
        <w:pStyle w:val="Textonotapie"/>
        <w:ind w:firstLine="709"/>
        <w:contextualSpacing/>
        <w:jc w:val="both"/>
        <w:rPr>
          <w:rFonts w:ascii="Verdana" w:hAnsi="Verdana" w:cs="Arial"/>
          <w:color w:val="000000"/>
          <w:sz w:val="18"/>
          <w:szCs w:val="18"/>
        </w:rPr>
      </w:pPr>
    </w:p>
    <w:p w14:paraId="45BB3958"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w:t>
      </w:r>
      <w:r w:rsidRPr="00CA6B94">
        <w:rPr>
          <w:rFonts w:ascii="Verdana" w:hAnsi="Verdana" w:cs="Arial"/>
          <w:color w:val="000000"/>
          <w:sz w:val="18"/>
          <w:szCs w:val="18"/>
          <w:lang w:val="es-ES"/>
        </w:rPr>
        <w:t>Ibid.</w:t>
      </w:r>
    </w:p>
    <w:p w14:paraId="3A93C3AE"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p>
  </w:footnote>
  <w:footnote w:id="8">
    <w:p w14:paraId="51C6B477"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w:t>
      </w:r>
      <w:r w:rsidRPr="00CA6B94">
        <w:rPr>
          <w:rFonts w:ascii="Verdana" w:hAnsi="Verdana" w:cs="Arial"/>
          <w:color w:val="000000"/>
          <w:sz w:val="18"/>
          <w:szCs w:val="18"/>
          <w:lang w:val="es-ES"/>
        </w:rPr>
        <w:t>Ibid.</w:t>
      </w:r>
    </w:p>
    <w:p w14:paraId="4F06134B"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p>
  </w:footnote>
  <w:footnote w:id="9">
    <w:p w14:paraId="371F0AD3"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w:t>
      </w:r>
      <w:r w:rsidRPr="00CA6B94">
        <w:rPr>
          <w:rFonts w:ascii="Verdana" w:hAnsi="Verdana" w:cs="Arial"/>
          <w:color w:val="000000"/>
          <w:sz w:val="18"/>
          <w:szCs w:val="18"/>
          <w:lang w:val="es-ES"/>
        </w:rPr>
        <w:t>Ibid.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CEF0DAE"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Fonts w:ascii="Verdana" w:hAnsi="Verdana" w:cs="Arial"/>
          <w:color w:val="000000"/>
          <w:sz w:val="18"/>
          <w:szCs w:val="18"/>
          <w:lang w:val="es-ES"/>
        </w:rPr>
        <w:t>“Son también contratos de consultoría los que tienen por objeto la interventoría, asesoría, gerencia de obra o de proyectos, dirección, programación y la ejecución de diseños, planos, anteproyectos y proyectos.</w:t>
      </w:r>
    </w:p>
    <w:p w14:paraId="39EC9B90"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Fonts w:ascii="Verdana" w:hAnsi="Verdana" w:cs="Arial"/>
          <w:color w:val="000000"/>
          <w:sz w:val="18"/>
          <w:szCs w:val="18"/>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4518A480"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p>
  </w:footnote>
  <w:footnote w:id="10">
    <w:p w14:paraId="5D6B9D63"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w:t>
      </w:r>
      <w:r w:rsidRPr="00CA6B94">
        <w:rPr>
          <w:rFonts w:ascii="Verdana" w:hAnsi="Verdana" w:cs="Arial"/>
          <w:color w:val="000000"/>
          <w:sz w:val="18"/>
          <w:szCs w:val="18"/>
          <w:lang w:val="es-ES"/>
        </w:rPr>
        <w:t>Así lo prevé el artículo 2.2.1.2.1.4.1. del Decreto 1082 de 2015.</w:t>
      </w:r>
    </w:p>
    <w:p w14:paraId="0481C578"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p>
  </w:footnote>
  <w:footnote w:id="11">
    <w:p w14:paraId="018152A8" w14:textId="77777777" w:rsidR="009449A9" w:rsidRPr="00CA6B94" w:rsidRDefault="009449A9" w:rsidP="009449A9">
      <w:pPr>
        <w:pStyle w:val="Textonotapie"/>
        <w:ind w:firstLine="708"/>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w:t>
      </w:r>
      <w:r w:rsidRPr="00CA6B94">
        <w:rPr>
          <w:rFonts w:ascii="Verdana" w:hAnsi="Verdana" w:cs="Arial"/>
          <w:color w:val="000000"/>
          <w:sz w:val="18"/>
          <w:szCs w:val="18"/>
          <w:lang w:val="es-ES"/>
        </w:rPr>
        <w:t>Esta norma expresa: “</w:t>
      </w:r>
      <w:r w:rsidRPr="00CA6B94">
        <w:rPr>
          <w:rFonts w:ascii="Verdana" w:hAnsi="Verdana" w:cs="Arial"/>
          <w:color w:val="000000"/>
          <w:sz w:val="18"/>
          <w:szCs w:val="18"/>
        </w:rPr>
        <w:t>P</w:t>
      </w:r>
      <w:r w:rsidRPr="00CA6B94">
        <w:rPr>
          <w:rFonts w:ascii="Verdana" w:hAnsi="Verdana" w:cs="Arial"/>
          <w:color w:val="000000"/>
          <w:sz w:val="18"/>
          <w:szCs w:val="18"/>
          <w:lang w:val="es-ES"/>
        </w:rPr>
        <w:t>ara el cumplimiento de los fines de la contratación, las entidades estatales al celebrar un contrato:</w:t>
      </w:r>
    </w:p>
    <w:p w14:paraId="594CA423"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Fonts w:ascii="Verdana" w:hAnsi="Verdana" w:cs="Arial"/>
          <w:color w:val="000000"/>
          <w:sz w:val="18"/>
          <w:szCs w:val="18"/>
          <w:lang w:val="es-ES"/>
        </w:rPr>
        <w:t>[…]</w:t>
      </w:r>
    </w:p>
    <w:p w14:paraId="6C41B9E4"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Fonts w:ascii="Verdana" w:hAnsi="Verdana" w:cs="Arial"/>
          <w:color w:val="000000"/>
          <w:sz w:val="18"/>
          <w:szCs w:val="18"/>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08549B4"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Fonts w:ascii="Verdana" w:hAnsi="Verdana" w:cs="Arial"/>
          <w:color w:val="000000"/>
          <w:sz w:val="18"/>
          <w:szCs w:val="18"/>
          <w:lang w:val="es-ES"/>
        </w:rPr>
        <w:t>“Las entidades estatales podrán pactar estas cláusulas en los contratos de suministro y de prestación de servicios.</w:t>
      </w:r>
    </w:p>
    <w:p w14:paraId="04694B32"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Fonts w:ascii="Verdana" w:hAnsi="Verdana" w:cs="Arial"/>
          <w:color w:val="000000"/>
          <w:sz w:val="18"/>
          <w:szCs w:val="18"/>
          <w:lang w:val="es-ES"/>
        </w:rPr>
        <w:t>[…]”.</w:t>
      </w:r>
    </w:p>
  </w:footnote>
  <w:footnote w:id="12">
    <w:p w14:paraId="5676779B" w14:textId="77777777" w:rsidR="009449A9" w:rsidRPr="00CA6B94" w:rsidRDefault="009449A9" w:rsidP="009449A9">
      <w:pPr>
        <w:pStyle w:val="Textonotapie"/>
        <w:ind w:firstLine="709"/>
        <w:contextualSpacing/>
        <w:jc w:val="both"/>
        <w:rPr>
          <w:rFonts w:ascii="Verdana" w:hAnsi="Verdana" w:cs="Arial"/>
          <w:color w:val="000000"/>
          <w:sz w:val="18"/>
          <w:szCs w:val="18"/>
        </w:rPr>
      </w:pPr>
    </w:p>
    <w:p w14:paraId="19D7693A"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w:t>
      </w:r>
      <w:r w:rsidRPr="00CA6B94">
        <w:rPr>
          <w:rFonts w:ascii="Verdana" w:hAnsi="Verdana" w:cs="Arial"/>
          <w:color w:val="000000"/>
          <w:sz w:val="18"/>
          <w:szCs w:val="18"/>
          <w:lang w:val="es-ES"/>
        </w:rPr>
        <w:t>La norma dispone: “La liquidación a que se refiere el presente artículo no será obligatoria en los contratos de prestación de servicios profesionales y de apoyo a la gestión”.</w:t>
      </w:r>
    </w:p>
    <w:p w14:paraId="77EC8978"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p>
  </w:footnote>
  <w:footnote w:id="13">
    <w:p w14:paraId="4862B1A9" w14:textId="77777777" w:rsidR="009449A9" w:rsidRPr="00CA6B94" w:rsidRDefault="009449A9" w:rsidP="009449A9">
      <w:pPr>
        <w:pStyle w:val="Textonotapie"/>
        <w:ind w:firstLine="709"/>
        <w:contextualSpacing/>
        <w:jc w:val="both"/>
        <w:rPr>
          <w:rFonts w:ascii="Verdana" w:hAnsi="Verdana" w:cs="Arial"/>
          <w:color w:val="000000"/>
          <w:sz w:val="18"/>
          <w:szCs w:val="18"/>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D467DFC" w14:textId="77777777" w:rsidR="009449A9" w:rsidRPr="00CA6B94" w:rsidRDefault="009449A9" w:rsidP="009449A9">
      <w:pPr>
        <w:pStyle w:val="Textonotapie"/>
        <w:ind w:firstLine="709"/>
        <w:contextualSpacing/>
        <w:jc w:val="both"/>
        <w:rPr>
          <w:rFonts w:ascii="Verdana" w:hAnsi="Verdana" w:cs="Arial"/>
          <w:color w:val="000000"/>
          <w:sz w:val="18"/>
          <w:szCs w:val="18"/>
        </w:rPr>
      </w:pPr>
      <w:r w:rsidRPr="00CA6B94">
        <w:rPr>
          <w:rFonts w:ascii="Verdana" w:hAnsi="Verdana" w:cs="Arial"/>
          <w:color w:val="000000"/>
          <w:sz w:val="18"/>
          <w:szCs w:val="18"/>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645BDB00" w14:textId="77777777" w:rsidR="009449A9" w:rsidRPr="00CA6B94" w:rsidRDefault="009449A9" w:rsidP="009449A9">
      <w:pPr>
        <w:pStyle w:val="Textonotapie"/>
        <w:ind w:firstLine="709"/>
        <w:contextualSpacing/>
        <w:jc w:val="both"/>
        <w:rPr>
          <w:rFonts w:ascii="Verdana" w:hAnsi="Verdana" w:cs="Arial"/>
          <w:color w:val="000000"/>
          <w:sz w:val="18"/>
          <w:szCs w:val="18"/>
        </w:rPr>
      </w:pPr>
      <w:r w:rsidRPr="00CA6B94">
        <w:rPr>
          <w:rFonts w:ascii="Verdana" w:hAnsi="Verdana" w:cs="Arial"/>
          <w:color w:val="000000"/>
          <w:sz w:val="18"/>
          <w:szCs w:val="18"/>
        </w:rPr>
        <w:t>[…]”.</w:t>
      </w:r>
    </w:p>
    <w:p w14:paraId="32ED8084" w14:textId="77777777" w:rsidR="009449A9" w:rsidRPr="00CA6B94" w:rsidRDefault="009449A9" w:rsidP="009449A9">
      <w:pPr>
        <w:pStyle w:val="Textonotapie"/>
        <w:ind w:firstLine="709"/>
        <w:contextualSpacing/>
        <w:jc w:val="both"/>
        <w:rPr>
          <w:rFonts w:ascii="Verdana" w:hAnsi="Verdana" w:cs="Arial"/>
          <w:color w:val="000000"/>
          <w:sz w:val="18"/>
          <w:szCs w:val="18"/>
        </w:rPr>
      </w:pPr>
    </w:p>
  </w:footnote>
  <w:footnote w:id="14">
    <w:p w14:paraId="5C6828E9"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r w:rsidRPr="00CA6B94">
        <w:rPr>
          <w:rStyle w:val="Refdenotaalpie"/>
          <w:rFonts w:ascii="Verdana" w:hAnsi="Verdana" w:cs="Arial"/>
          <w:color w:val="000000"/>
          <w:sz w:val="18"/>
          <w:szCs w:val="18"/>
        </w:rPr>
        <w:footnoteRef/>
      </w:r>
      <w:r w:rsidRPr="00CA6B94">
        <w:rPr>
          <w:rFonts w:ascii="Verdana" w:hAnsi="Verdana" w:cs="Arial"/>
          <w:color w:val="000000"/>
          <w:sz w:val="18"/>
          <w:szCs w:val="18"/>
        </w:rPr>
        <w:t xml:space="preserve"> </w:t>
      </w:r>
      <w:r w:rsidRPr="00CA6B94">
        <w:rPr>
          <w:rFonts w:ascii="Verdana" w:hAnsi="Verdana" w:cs="Arial"/>
          <w:color w:val="000000"/>
          <w:sz w:val="18"/>
          <w:szCs w:val="18"/>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22F64E22" w14:textId="77777777" w:rsidR="009449A9" w:rsidRPr="00CA6B94" w:rsidRDefault="009449A9" w:rsidP="009449A9">
      <w:pPr>
        <w:pStyle w:val="Textonotapie"/>
        <w:ind w:firstLine="709"/>
        <w:contextualSpacing/>
        <w:jc w:val="both"/>
        <w:rPr>
          <w:rFonts w:ascii="Verdana" w:hAnsi="Verdana" w:cs="Arial"/>
          <w:color w:val="000000"/>
          <w:sz w:val="18"/>
          <w:szCs w:val="18"/>
          <w:lang w:val="es-ES"/>
        </w:rPr>
      </w:pPr>
    </w:p>
  </w:footnote>
  <w:footnote w:id="15">
    <w:p w14:paraId="5E203FDF" w14:textId="77777777" w:rsidR="009449A9" w:rsidRPr="00CA6B94" w:rsidRDefault="009449A9" w:rsidP="009449A9">
      <w:pPr>
        <w:shd w:val="clear" w:color="auto" w:fill="FFFFFF"/>
        <w:spacing w:after="0"/>
        <w:ind w:firstLine="709"/>
        <w:jc w:val="both"/>
        <w:rPr>
          <w:rFonts w:ascii="Verdana" w:hAnsi="Verdana" w:cs="Arial"/>
          <w:sz w:val="18"/>
          <w:szCs w:val="18"/>
        </w:rPr>
      </w:pPr>
      <w:r w:rsidRPr="00CA6B94">
        <w:rPr>
          <w:rStyle w:val="Refdenotaalpie"/>
          <w:rFonts w:ascii="Verdana" w:hAnsi="Verdana" w:cs="Arial"/>
          <w:sz w:val="18"/>
          <w:szCs w:val="18"/>
        </w:rPr>
        <w:footnoteRef/>
      </w:r>
      <w:r w:rsidRPr="00CA6B94">
        <w:rPr>
          <w:rFonts w:ascii="Verdana" w:hAnsi="Verdana" w:cs="Arial"/>
          <w:sz w:val="18"/>
          <w:szCs w:val="18"/>
        </w:rPr>
        <w:t xml:space="preserve"> Corte Constitucional, Sentencia C-697 del 14 de junio de 2000. M. P.: Eduardo Cifuentes Muñoz: “El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163F3FD5" w14:textId="77777777" w:rsidR="009449A9" w:rsidRPr="00CA6B94" w:rsidRDefault="009449A9" w:rsidP="009449A9">
      <w:pPr>
        <w:shd w:val="clear" w:color="auto" w:fill="FFFFFF"/>
        <w:ind w:firstLine="709"/>
        <w:jc w:val="both"/>
        <w:rPr>
          <w:rFonts w:ascii="Verdana" w:hAnsi="Verdana" w:cs="Arial"/>
          <w:sz w:val="18"/>
          <w:szCs w:val="18"/>
        </w:rPr>
      </w:pPr>
      <w:r w:rsidRPr="00CA6B94">
        <w:rPr>
          <w:rFonts w:ascii="Verdana" w:hAnsi="Verdana" w:cs="Arial"/>
          <w:sz w:val="18"/>
          <w:szCs w:val="18"/>
        </w:rPr>
        <w:t>“[…] La exigencia de títulos de idoneidad y tarjetas profesionales, constituye una excepción al principio de libertad e igualdad en materia laboral y, por lo tanto, es necesario demostrar que la formación intelectual y técnica requerida es un medio idóneo y proporción</w:t>
      </w:r>
      <w:r>
        <w:rPr>
          <w:rFonts w:ascii="Verdana" w:hAnsi="Verdana" w:cs="Arial"/>
          <w:sz w:val="18"/>
          <w:szCs w:val="18"/>
        </w:rPr>
        <w:t>”</w:t>
      </w:r>
      <w:r w:rsidRPr="00CA6B94">
        <w:rPr>
          <w:rFonts w:ascii="Verdana" w:hAnsi="Verdana" w:cs="Arial"/>
          <w:sz w:val="18"/>
          <w:szCs w:val="18"/>
        </w:rPr>
        <w:t>.</w:t>
      </w:r>
    </w:p>
  </w:footnote>
  <w:footnote w:id="16">
    <w:p w14:paraId="13807E7C" w14:textId="77777777" w:rsidR="009449A9" w:rsidRPr="00CA6B94" w:rsidRDefault="009449A9" w:rsidP="009449A9">
      <w:pPr>
        <w:pStyle w:val="Textonotapie"/>
        <w:ind w:firstLine="709"/>
        <w:jc w:val="both"/>
        <w:rPr>
          <w:rFonts w:ascii="Verdana" w:hAnsi="Verdana" w:cs="Arial"/>
          <w:sz w:val="18"/>
          <w:szCs w:val="18"/>
          <w:lang w:val="es-CO"/>
        </w:rPr>
      </w:pPr>
      <w:r w:rsidRPr="00CA6B94">
        <w:rPr>
          <w:rStyle w:val="Refdenotaalpie"/>
          <w:rFonts w:ascii="Verdana" w:hAnsi="Verdana" w:cs="Arial"/>
          <w:sz w:val="18"/>
          <w:szCs w:val="18"/>
        </w:rPr>
        <w:footnoteRef/>
      </w:r>
      <w:r w:rsidRPr="00CA6B94">
        <w:rPr>
          <w:rFonts w:ascii="Verdana" w:hAnsi="Verdana" w:cs="Arial"/>
          <w:sz w:val="18"/>
          <w:szCs w:val="18"/>
          <w:lang w:val="es-CO"/>
        </w:rPr>
        <w:t xml:space="preserve"> Decreto 196 de 1971, artículo 15: “En firme la providencia que decrete la inscripción se comunicará al Ministerio de Justicia para que incluya al interesado en el Registro Nacional de Abogados, expida la Tarjeta Profesional y publique la inscripción, a costa del interesado, en la Gaceta del Foro, o en su defecto, en un periódico de circulación nacional”.</w:t>
      </w:r>
    </w:p>
    <w:p w14:paraId="4381260D" w14:textId="77777777" w:rsidR="009449A9" w:rsidRPr="00CA6B94" w:rsidRDefault="009449A9" w:rsidP="009449A9">
      <w:pPr>
        <w:pStyle w:val="Textonotapie"/>
        <w:ind w:firstLine="709"/>
        <w:jc w:val="both"/>
        <w:rPr>
          <w:rFonts w:ascii="Verdana" w:hAnsi="Verdana" w:cs="Arial"/>
          <w:sz w:val="18"/>
          <w:szCs w:val="18"/>
          <w:lang w:val="es-CO"/>
        </w:rPr>
      </w:pPr>
    </w:p>
  </w:footnote>
  <w:footnote w:id="17">
    <w:p w14:paraId="4C9D93BE" w14:textId="77777777" w:rsidR="009449A9" w:rsidRPr="00FA079B" w:rsidRDefault="009449A9" w:rsidP="009449A9">
      <w:pPr>
        <w:pStyle w:val="Textonotapie"/>
        <w:ind w:firstLine="708"/>
        <w:jc w:val="both"/>
        <w:rPr>
          <w:rFonts w:ascii="Verdana" w:hAnsi="Verdana"/>
          <w:sz w:val="18"/>
          <w:szCs w:val="18"/>
        </w:rPr>
      </w:pPr>
      <w:r w:rsidRPr="00CA6B94">
        <w:rPr>
          <w:rStyle w:val="Refdenotaalpie"/>
          <w:rFonts w:ascii="Verdana" w:hAnsi="Verdana" w:cs="Arial"/>
          <w:sz w:val="18"/>
          <w:szCs w:val="18"/>
        </w:rPr>
        <w:footnoteRef/>
      </w:r>
      <w:r w:rsidRPr="00CA6B94">
        <w:rPr>
          <w:rStyle w:val="Refdenotaalpie"/>
          <w:rFonts w:ascii="Verdana" w:hAnsi="Verdana" w:cs="Arial"/>
          <w:sz w:val="18"/>
          <w:szCs w:val="18"/>
        </w:rPr>
        <w:t xml:space="preserve"> </w:t>
      </w:r>
      <w:r w:rsidRPr="00CA6B94">
        <w:rPr>
          <w:rFonts w:ascii="Verdana" w:hAnsi="Verdana"/>
          <w:sz w:val="18"/>
          <w:szCs w:val="18"/>
          <w:lang w:val="es-CO"/>
        </w:rPr>
        <w:t>Decreto 196 de 1971. Artículo 31. “</w:t>
      </w:r>
      <w:r w:rsidRPr="00CA6B94">
        <w:rPr>
          <w:rFonts w:ascii="Verdana" w:hAnsi="Verdana"/>
          <w:sz w:val="18"/>
          <w:szCs w:val="18"/>
        </w:rPr>
        <w:t>La persona que haya terminado y aprobado los estudios reglamentarios de derecho en universidad oficialmente reconocida podrá ejercer la profesión de abogado sin haber obtenido el título respectivo, hasta por dos años improrrogables, a partir de la fecha de terminación de sus estudios, en los siguientes asuntos: </w:t>
      </w:r>
      <w:r w:rsidRPr="00FA079B">
        <w:rPr>
          <w:rFonts w:ascii="Verdana" w:hAnsi="Verdana"/>
          <w:sz w:val="18"/>
          <w:szCs w:val="18"/>
        </w:rPr>
        <w:t> </w:t>
      </w:r>
    </w:p>
    <w:p w14:paraId="5439C3C1" w14:textId="77777777" w:rsidR="009449A9" w:rsidRPr="00FA079B" w:rsidRDefault="009449A9" w:rsidP="009449A9">
      <w:pPr>
        <w:pStyle w:val="Textonotapie"/>
        <w:ind w:firstLine="708"/>
        <w:jc w:val="both"/>
        <w:rPr>
          <w:rFonts w:ascii="Verdana" w:hAnsi="Verdana"/>
          <w:sz w:val="18"/>
          <w:szCs w:val="18"/>
        </w:rPr>
      </w:pPr>
      <w:r w:rsidRPr="00FA079B">
        <w:rPr>
          <w:rFonts w:ascii="Verdana" w:hAnsi="Verdana"/>
          <w:sz w:val="18"/>
          <w:szCs w:val="18"/>
        </w:rPr>
        <w:t>a) En la instrucción criminal y en los procesos penales, civiles y laborales de que conozcan en primera o única instancia los jueces municipales o laborales, en segunda, los de circuito y, en ambas instancias, en los de competencia de los jueces de distrito penal aduanero; </w:t>
      </w:r>
    </w:p>
    <w:p w14:paraId="471793E3" w14:textId="77777777" w:rsidR="009449A9" w:rsidRPr="00FA079B" w:rsidRDefault="009449A9" w:rsidP="009449A9">
      <w:pPr>
        <w:pStyle w:val="Textonotapie"/>
        <w:ind w:firstLine="708"/>
        <w:jc w:val="both"/>
        <w:rPr>
          <w:rFonts w:ascii="Verdana" w:hAnsi="Verdana"/>
          <w:sz w:val="18"/>
          <w:szCs w:val="18"/>
        </w:rPr>
      </w:pPr>
      <w:r w:rsidRPr="00FA079B">
        <w:rPr>
          <w:rFonts w:ascii="Verdana" w:hAnsi="Verdana"/>
          <w:sz w:val="18"/>
          <w:szCs w:val="18"/>
        </w:rPr>
        <w:t>b) De oficio, como apoderado o defensor en los procesos penales en general, salvo para sustentar el recurso de casación y,  </w:t>
      </w:r>
    </w:p>
    <w:p w14:paraId="6E913DF5" w14:textId="77777777" w:rsidR="009449A9" w:rsidRPr="00FA079B" w:rsidRDefault="009449A9" w:rsidP="009449A9">
      <w:pPr>
        <w:pStyle w:val="Textonotapie"/>
        <w:ind w:firstLine="708"/>
        <w:jc w:val="both"/>
        <w:rPr>
          <w:rFonts w:ascii="Verdana" w:hAnsi="Verdana"/>
          <w:sz w:val="18"/>
          <w:szCs w:val="18"/>
        </w:rPr>
      </w:pPr>
      <w:r w:rsidRPr="00FA079B">
        <w:rPr>
          <w:rFonts w:ascii="Verdana" w:hAnsi="Verdana"/>
          <w:sz w:val="18"/>
          <w:szCs w:val="18"/>
        </w:rPr>
        <w:t>c) En las actuaciones y procesos que se surtan ante los funcionarios de policía</w:t>
      </w:r>
      <w:r w:rsidRPr="00CA6B94">
        <w:rPr>
          <w:rFonts w:ascii="Verdana" w:hAnsi="Verdana"/>
          <w:sz w:val="18"/>
          <w:szCs w:val="18"/>
        </w:rPr>
        <w:t>”.</w:t>
      </w:r>
    </w:p>
    <w:p w14:paraId="5502DFAE" w14:textId="77777777" w:rsidR="009449A9" w:rsidRPr="00CA6B94" w:rsidRDefault="009449A9" w:rsidP="009449A9">
      <w:pPr>
        <w:pStyle w:val="Textonotapie"/>
        <w:jc w:val="both"/>
        <w:rPr>
          <w:rFonts w:ascii="Verdana" w:hAnsi="Verdana"/>
          <w:sz w:val="18"/>
          <w:szCs w:val="18"/>
          <w:lang w:val="es-CO"/>
        </w:rPr>
      </w:pPr>
    </w:p>
  </w:footnote>
  <w:footnote w:id="18">
    <w:p w14:paraId="6A4C03D4" w14:textId="77777777" w:rsidR="009449A9" w:rsidRPr="00FA079B" w:rsidRDefault="009449A9" w:rsidP="009449A9">
      <w:pPr>
        <w:pStyle w:val="Textonotapie"/>
        <w:ind w:firstLine="708"/>
        <w:jc w:val="both"/>
        <w:rPr>
          <w:rFonts w:ascii="Verdana" w:hAnsi="Verdana"/>
          <w:sz w:val="18"/>
          <w:szCs w:val="18"/>
          <w:lang w:val="es-CO"/>
        </w:rPr>
      </w:pPr>
      <w:r w:rsidRPr="00CA6B94">
        <w:rPr>
          <w:rStyle w:val="Refdenotaalpie"/>
          <w:rFonts w:ascii="Verdana" w:hAnsi="Verdana" w:cs="Arial"/>
          <w:sz w:val="18"/>
          <w:szCs w:val="18"/>
        </w:rPr>
        <w:footnoteRef/>
      </w:r>
      <w:r w:rsidRPr="00CA6B94">
        <w:rPr>
          <w:rStyle w:val="Refdenotaalpie"/>
          <w:rFonts w:ascii="Verdana" w:hAnsi="Verdana" w:cs="Arial"/>
          <w:sz w:val="18"/>
          <w:szCs w:val="18"/>
        </w:rPr>
        <w:t xml:space="preserve"> </w:t>
      </w:r>
      <w:r w:rsidRPr="00CA6B94">
        <w:rPr>
          <w:rFonts w:ascii="Verdana" w:hAnsi="Verdana"/>
          <w:sz w:val="18"/>
          <w:szCs w:val="18"/>
          <w:lang w:val="es-CO"/>
        </w:rPr>
        <w:t>Decreto 196 de 1971. Artículo 32. “Para poder ejercer la abogacía en las circunstancias y asuntos contemplados en el artículo anterior, el interesado deberá obtener la respectiva licencia temporal en la cual se indicará la fecha de su caducidad. </w:t>
      </w:r>
      <w:r w:rsidRPr="00FA079B">
        <w:rPr>
          <w:rFonts w:ascii="Verdana" w:hAnsi="Verdana"/>
          <w:sz w:val="18"/>
          <w:szCs w:val="18"/>
          <w:lang w:val="es-CO"/>
        </w:rPr>
        <w:t> </w:t>
      </w:r>
    </w:p>
    <w:p w14:paraId="013BD242" w14:textId="77777777" w:rsidR="009449A9" w:rsidRPr="00FA079B" w:rsidRDefault="009449A9" w:rsidP="009449A9">
      <w:pPr>
        <w:pStyle w:val="Textonotapie"/>
        <w:ind w:firstLine="708"/>
        <w:jc w:val="both"/>
        <w:rPr>
          <w:rFonts w:ascii="Verdana" w:hAnsi="Verdana"/>
          <w:sz w:val="18"/>
          <w:szCs w:val="18"/>
          <w:lang w:val="es-CO"/>
        </w:rPr>
      </w:pPr>
      <w:r w:rsidRPr="00FA079B">
        <w:rPr>
          <w:rFonts w:ascii="Verdana" w:hAnsi="Verdana"/>
          <w:sz w:val="18"/>
          <w:szCs w:val="18"/>
          <w:lang w:val="es-CO"/>
        </w:rPr>
        <w:t>Para este efecto, elevará solicitud al Tribunal Superior de Distrito Judicial de su domicilio, acompañada de certificación expedida por la correspondiente Universidad, en que conste que ha cursado y aprobado los estudios reglamentarios de derecho</w:t>
      </w:r>
      <w:r w:rsidRPr="00CA6B94">
        <w:rPr>
          <w:rFonts w:ascii="Verdana" w:hAnsi="Verdana"/>
          <w:sz w:val="18"/>
          <w:szCs w:val="18"/>
          <w:lang w:val="es-CO"/>
        </w:rPr>
        <w:t>”.</w:t>
      </w:r>
      <w:r w:rsidRPr="00FA079B">
        <w:rPr>
          <w:rFonts w:ascii="Verdana" w:hAnsi="Verdana"/>
          <w:sz w:val="18"/>
          <w:szCs w:val="18"/>
          <w:lang w:val="es-CO"/>
        </w:rPr>
        <w:t> </w:t>
      </w:r>
    </w:p>
    <w:p w14:paraId="6EFDD337" w14:textId="77777777" w:rsidR="009449A9" w:rsidRPr="00CA6B94" w:rsidRDefault="009449A9" w:rsidP="009449A9">
      <w:pPr>
        <w:pStyle w:val="Textonotapie"/>
        <w:ind w:firstLine="708"/>
        <w:jc w:val="both"/>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CC963" w14:textId="77777777" w:rsidR="009449A9" w:rsidRDefault="009449A9"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338601F" wp14:editId="54CC841D">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4F53A4E" wp14:editId="0ECAA026">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BE6A945" w14:textId="77777777" w:rsidR="009449A9" w:rsidRDefault="009449A9">
    <w:pPr>
      <w:pStyle w:val="Encabezado"/>
    </w:pPr>
  </w:p>
  <w:p w14:paraId="2AF8686D" w14:textId="77777777" w:rsidR="009449A9" w:rsidRPr="004A305D" w:rsidRDefault="009449A9" w:rsidP="00B01B1A">
    <w:pPr>
      <w:spacing w:after="0" w:line="120" w:lineRule="auto"/>
      <w:rPr>
        <w:rFonts w:ascii="Century Gothic" w:eastAsia="Geo" w:hAnsi="Century Gothic" w:cs="Geo"/>
        <w:sz w:val="16"/>
        <w:szCs w:val="16"/>
        <w:lang w:eastAsia="es-CO"/>
      </w:rPr>
    </w:pPr>
  </w:p>
  <w:p w14:paraId="16CAE575" w14:textId="77777777" w:rsidR="009449A9" w:rsidRDefault="009449A9" w:rsidP="00844AE9">
    <w:pPr>
      <w:spacing w:after="0" w:line="240" w:lineRule="auto"/>
      <w:rPr>
        <w:rFonts w:ascii="Verdana" w:hAnsi="Verdana"/>
        <w:sz w:val="24"/>
        <w:szCs w:val="24"/>
      </w:rPr>
    </w:pPr>
  </w:p>
  <w:p w14:paraId="00D17467" w14:textId="77777777" w:rsidR="009449A9" w:rsidRPr="00C925AC" w:rsidRDefault="009449A9"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518470888">
    <w:abstractNumId w:val="0"/>
  </w:num>
  <w:num w:numId="3" w16cid:durableId="2053143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9A9"/>
    <w:rsid w:val="00474DF4"/>
    <w:rsid w:val="00485D25"/>
    <w:rsid w:val="0049641E"/>
    <w:rsid w:val="004D0130"/>
    <w:rsid w:val="004F471F"/>
    <w:rsid w:val="008F1F25"/>
    <w:rsid w:val="00915BD7"/>
    <w:rsid w:val="009403AD"/>
    <w:rsid w:val="009449A9"/>
    <w:rsid w:val="00AA11C3"/>
    <w:rsid w:val="00C24FF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BA9BC"/>
  <w15:chartTrackingRefBased/>
  <w15:docId w15:val="{8E0BAC89-F08D-42FA-883F-9E39AD880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9A9"/>
    <w:rPr>
      <w:kern w:val="0"/>
      <w14:ligatures w14:val="none"/>
    </w:rPr>
  </w:style>
  <w:style w:type="paragraph" w:styleId="Ttulo1">
    <w:name w:val="heading 1"/>
    <w:basedOn w:val="Normal"/>
    <w:next w:val="Normal"/>
    <w:link w:val="Ttulo1Car"/>
    <w:uiPriority w:val="9"/>
    <w:qFormat/>
    <w:rsid w:val="009449A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449A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449A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449A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449A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449A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449A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449A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449A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449A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449A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449A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449A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449A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449A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449A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449A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449A9"/>
    <w:rPr>
      <w:rFonts w:eastAsiaTheme="majorEastAsia" w:cstheme="majorBidi"/>
      <w:color w:val="272727" w:themeColor="text1" w:themeTint="D8"/>
    </w:rPr>
  </w:style>
  <w:style w:type="paragraph" w:styleId="Ttulo">
    <w:name w:val="Title"/>
    <w:basedOn w:val="Normal"/>
    <w:next w:val="Normal"/>
    <w:link w:val="TtuloCar"/>
    <w:uiPriority w:val="10"/>
    <w:qFormat/>
    <w:rsid w:val="009449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449A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449A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449A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449A9"/>
    <w:pPr>
      <w:spacing w:before="160"/>
      <w:jc w:val="center"/>
    </w:pPr>
    <w:rPr>
      <w:i/>
      <w:iCs/>
      <w:color w:val="404040" w:themeColor="text1" w:themeTint="BF"/>
    </w:rPr>
  </w:style>
  <w:style w:type="character" w:customStyle="1" w:styleId="CitaCar">
    <w:name w:val="Cita Car"/>
    <w:basedOn w:val="Fuentedeprrafopredeter"/>
    <w:link w:val="Cita"/>
    <w:uiPriority w:val="29"/>
    <w:rsid w:val="009449A9"/>
    <w:rPr>
      <w:i/>
      <w:iCs/>
      <w:color w:val="404040" w:themeColor="text1" w:themeTint="BF"/>
    </w:rPr>
  </w:style>
  <w:style w:type="paragraph" w:styleId="Prrafodelista">
    <w:name w:val="List Paragraph"/>
    <w:basedOn w:val="Normal"/>
    <w:uiPriority w:val="34"/>
    <w:qFormat/>
    <w:rsid w:val="009449A9"/>
    <w:pPr>
      <w:ind w:left="720"/>
      <w:contextualSpacing/>
    </w:pPr>
  </w:style>
  <w:style w:type="character" w:styleId="nfasisintenso">
    <w:name w:val="Intense Emphasis"/>
    <w:basedOn w:val="Fuentedeprrafopredeter"/>
    <w:uiPriority w:val="21"/>
    <w:qFormat/>
    <w:rsid w:val="009449A9"/>
    <w:rPr>
      <w:i/>
      <w:iCs/>
      <w:color w:val="2F5496" w:themeColor="accent1" w:themeShade="BF"/>
    </w:rPr>
  </w:style>
  <w:style w:type="paragraph" w:styleId="Citadestacada">
    <w:name w:val="Intense Quote"/>
    <w:basedOn w:val="Normal"/>
    <w:next w:val="Normal"/>
    <w:link w:val="CitadestacadaCar"/>
    <w:uiPriority w:val="30"/>
    <w:qFormat/>
    <w:rsid w:val="009449A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449A9"/>
    <w:rPr>
      <w:i/>
      <w:iCs/>
      <w:color w:val="2F5496" w:themeColor="accent1" w:themeShade="BF"/>
    </w:rPr>
  </w:style>
  <w:style w:type="character" w:styleId="Referenciaintensa">
    <w:name w:val="Intense Reference"/>
    <w:basedOn w:val="Fuentedeprrafopredeter"/>
    <w:uiPriority w:val="32"/>
    <w:qFormat/>
    <w:rsid w:val="009449A9"/>
    <w:rPr>
      <w:b/>
      <w:bCs/>
      <w:smallCaps/>
      <w:color w:val="2F5496" w:themeColor="accent1" w:themeShade="BF"/>
      <w:spacing w:val="5"/>
    </w:rPr>
  </w:style>
  <w:style w:type="paragraph" w:styleId="Encabezado">
    <w:name w:val="header"/>
    <w:basedOn w:val="Normal"/>
    <w:link w:val="EncabezadoCar"/>
    <w:uiPriority w:val="99"/>
    <w:unhideWhenUsed/>
    <w:rsid w:val="009449A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49A9"/>
    <w:rPr>
      <w:kern w:val="0"/>
      <w14:ligatures w14:val="none"/>
    </w:rPr>
  </w:style>
  <w:style w:type="paragraph" w:styleId="Piedepgina">
    <w:name w:val="footer"/>
    <w:basedOn w:val="Normal"/>
    <w:link w:val="PiedepginaCar"/>
    <w:uiPriority w:val="99"/>
    <w:unhideWhenUsed/>
    <w:rsid w:val="009449A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449A9"/>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449A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449A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449A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449A9"/>
    <w:rPr>
      <w:vertAlign w:val="superscript"/>
    </w:rPr>
  </w:style>
  <w:style w:type="table" w:styleId="Tablaconcuadrcula">
    <w:name w:val="Table Grid"/>
    <w:basedOn w:val="Tablanormal"/>
    <w:uiPriority w:val="39"/>
    <w:qFormat/>
    <w:rsid w:val="009449A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449A9"/>
    <w:rPr>
      <w:color w:val="0000FF"/>
      <w:u w:val="single"/>
    </w:rPr>
  </w:style>
  <w:style w:type="paragraph" w:customStyle="1" w:styleId="paragraph">
    <w:name w:val="paragraph"/>
    <w:basedOn w:val="Normal"/>
    <w:rsid w:val="009449A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9449A9"/>
  </w:style>
  <w:style w:type="paragraph" w:customStyle="1" w:styleId="Appelnotedebasde">
    <w:name w:val="Appel note de bas de..."/>
    <w:basedOn w:val="Normal"/>
    <w:link w:val="Refdenotaalpie"/>
    <w:uiPriority w:val="99"/>
    <w:rsid w:val="009449A9"/>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qFormat/>
    <w:rsid w:val="009449A9"/>
    <w:pPr>
      <w:spacing w:after="0" w:line="240" w:lineRule="auto"/>
    </w:pPr>
    <w:rPr>
      <w:kern w:val="0"/>
      <w14:ligatures w14:val="none"/>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avaca@hot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C786F5-3EDF-4D42-8616-A9D3583F91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7536D6-C4B5-4A86-AFA1-2CEF3DC2A65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84323636-1760-4110-9E59-AD62BC22A6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4387</Words>
  <Characters>24305</Characters>
  <Application>Microsoft Office Word</Application>
  <DocSecurity>0</DocSecurity>
  <Lines>540</Lines>
  <Paragraphs>125</Paragraphs>
  <ScaleCrop>false</ScaleCrop>
  <Company/>
  <LinksUpToDate>false</LinksUpToDate>
  <CharactersWithSpaces>28567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4</cp:revision>
  <dcterms:created xsi:type="dcterms:W3CDTF">2025-12-22T13:37:00Z</dcterms:created>
  <dcterms:modified xsi:type="dcterms:W3CDTF">2025-12-29T19:35:00Z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