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B33CFBD" w14:textId="77777777" w:rsidR="005E0589" w:rsidRPr="00FB49A1" w:rsidRDefault="005E0589" w:rsidP="005E0589">
      <w:pPr>
        <w:tabs>
          <w:tab w:val="left" w:pos="4820"/>
        </w:tabs>
        <w:jc w:val="both"/>
        <w:rPr>
          <w:rFonts w:ascii="Verdana" w:eastAsia="Calibri" w:hAnsi="Verdana" w:cs="Arial"/>
          <w:b/>
          <w:lang w:val="es-ES"/>
        </w:rPr>
      </w:pPr>
      <w:bookmarkStart w:id="0" w:name="_Hlk186494164"/>
      <w:r w:rsidRPr="00FB49A1">
        <w:rPr>
          <w:rFonts w:ascii="Verdana" w:eastAsia="Calibri" w:hAnsi="Verdana" w:cs="Arial"/>
          <w:b/>
          <w:lang w:val="es-ES"/>
        </w:rPr>
        <w:t>GARANTÍA DE SERIEDAD – Finalidad</w:t>
      </w:r>
    </w:p>
    <w:p w14:paraId="4DB54666" w14:textId="77777777" w:rsidR="005E0589" w:rsidRPr="00FB49A1" w:rsidRDefault="005E0589" w:rsidP="005E0589">
      <w:pPr>
        <w:jc w:val="both"/>
        <w:rPr>
          <w:rFonts w:ascii="Verdana" w:eastAsia="Calibri" w:hAnsi="Verdana" w:cs="Arial"/>
          <w:sz w:val="20"/>
          <w:lang w:val="es-ES"/>
        </w:rPr>
      </w:pPr>
      <w:r w:rsidRPr="00FB49A1">
        <w:rPr>
          <w:rFonts w:ascii="Verdana" w:eastAsia="Calibri" w:hAnsi="Verdana" w:cs="Arial"/>
          <w:sz w:val="20"/>
          <w:lang w:val="es-ES"/>
        </w:rPr>
        <w:t>Esta garantía respalda al principio de irrevocabilidad de la oferta, caso en el cual los proponentes que pierdan interés en la adjudicación resarcirán los perjuicios causados por su retiro del proceso de selección. Naturalmente, esta garantía solo la constituyen quienes presenten oferta, motivo por el cual sus efectos no se extienden a personas ajenas a la actividad precontractual; sin perjuicio de que la póliza sea un mecanismo conminatorio, en la medida en que obliga a celebrar el contrato, so pena de hacerla efectiva. De esta manera, la exigencia permite que solo se presenten personas con la capacidad técnica y financiera suficiente para ejecutarlo en caso de adjudicación, desestimulando la presentación de ofertas que no son serias, cuya evaluación entorpece la buena marcha de la Administración, y en especial la celeridad y eficiencia de los procedimientos contractuales.</w:t>
      </w:r>
    </w:p>
    <w:p w14:paraId="3E5A8E7F" w14:textId="77777777" w:rsidR="005E0589" w:rsidRPr="00FB49A1" w:rsidRDefault="005E0589" w:rsidP="005E0589">
      <w:pPr>
        <w:tabs>
          <w:tab w:val="left" w:pos="4820"/>
        </w:tabs>
        <w:jc w:val="both"/>
        <w:rPr>
          <w:rFonts w:ascii="Verdana" w:eastAsia="Calibri" w:hAnsi="Verdana" w:cs="Arial"/>
          <w:b/>
          <w:lang w:val="es-ES"/>
        </w:rPr>
      </w:pPr>
      <w:r w:rsidRPr="00FB49A1">
        <w:rPr>
          <w:rFonts w:ascii="Verdana" w:eastAsia="Calibri" w:hAnsi="Verdana" w:cs="Arial"/>
          <w:b/>
          <w:lang w:val="es-ES"/>
        </w:rPr>
        <w:t>SERIEDAD DE LA OFERTA – Vigencia – Carácter estimativo</w:t>
      </w:r>
    </w:p>
    <w:p w14:paraId="33197701" w14:textId="77777777" w:rsidR="005E0589" w:rsidRPr="00FB49A1" w:rsidRDefault="005E0589" w:rsidP="005E0589">
      <w:pPr>
        <w:spacing w:after="0" w:line="240" w:lineRule="auto"/>
        <w:jc w:val="both"/>
        <w:rPr>
          <w:rFonts w:ascii="Verdana" w:eastAsia="Calibri" w:hAnsi="Verdana" w:cs="Arial"/>
          <w:sz w:val="20"/>
          <w:szCs w:val="20"/>
          <w:lang w:val="es-ES"/>
        </w:rPr>
      </w:pPr>
      <w:r w:rsidRPr="00FB49A1">
        <w:rPr>
          <w:rFonts w:ascii="Verdana" w:eastAsia="Calibri" w:hAnsi="Verdana" w:cs="Arial"/>
          <w:sz w:val="20"/>
          <w:szCs w:val="20"/>
          <w:lang w:val="es-ES"/>
        </w:rPr>
        <w:t>Respecto al tiempo, la norma dispone que debe estar vigente entre “la fecha de presentación de la propuesta” y hasta “la fecha de aprobación de la garantía única de cumplimiento”. Allí se indica la fecha de inicio –</w:t>
      </w:r>
      <w:proofErr w:type="spellStart"/>
      <w:r w:rsidRPr="00FB49A1">
        <w:rPr>
          <w:rFonts w:ascii="Verdana" w:eastAsia="Calibri" w:hAnsi="Verdana" w:cs="Arial"/>
          <w:i/>
          <w:iCs/>
          <w:sz w:val="20"/>
          <w:szCs w:val="20"/>
          <w:lang w:val="es-ES"/>
        </w:rPr>
        <w:t>dies</w:t>
      </w:r>
      <w:proofErr w:type="spellEnd"/>
      <w:r w:rsidRPr="00FB49A1">
        <w:rPr>
          <w:rFonts w:ascii="Verdana" w:eastAsia="Calibri" w:hAnsi="Verdana" w:cs="Arial"/>
          <w:i/>
          <w:iCs/>
          <w:sz w:val="20"/>
          <w:szCs w:val="20"/>
          <w:lang w:val="es-ES"/>
        </w:rPr>
        <w:t xml:space="preserve"> a quo</w:t>
      </w:r>
      <w:r w:rsidRPr="00FB49A1">
        <w:rPr>
          <w:rFonts w:ascii="Verdana" w:eastAsia="Calibri" w:hAnsi="Verdana" w:cs="Arial"/>
          <w:sz w:val="20"/>
          <w:szCs w:val="20"/>
          <w:lang w:val="es-ES"/>
        </w:rPr>
        <w:t>–, pero la fecha final –</w:t>
      </w:r>
      <w:proofErr w:type="spellStart"/>
      <w:r w:rsidRPr="00FB49A1">
        <w:rPr>
          <w:rFonts w:ascii="Verdana" w:eastAsia="Calibri" w:hAnsi="Verdana" w:cs="Arial"/>
          <w:i/>
          <w:iCs/>
          <w:sz w:val="20"/>
          <w:szCs w:val="20"/>
          <w:lang w:val="es-ES"/>
        </w:rPr>
        <w:t>dies</w:t>
      </w:r>
      <w:proofErr w:type="spellEnd"/>
      <w:r w:rsidRPr="00FB49A1">
        <w:rPr>
          <w:rFonts w:ascii="Verdana" w:eastAsia="Calibri" w:hAnsi="Verdana" w:cs="Arial"/>
          <w:i/>
          <w:iCs/>
          <w:sz w:val="20"/>
          <w:szCs w:val="20"/>
          <w:lang w:val="es-ES"/>
        </w:rPr>
        <w:t xml:space="preserve"> ad </w:t>
      </w:r>
      <w:proofErr w:type="spellStart"/>
      <w:r w:rsidRPr="00FB49A1">
        <w:rPr>
          <w:rFonts w:ascii="Verdana" w:eastAsia="Calibri" w:hAnsi="Verdana" w:cs="Arial"/>
          <w:i/>
          <w:iCs/>
          <w:sz w:val="20"/>
          <w:szCs w:val="20"/>
          <w:lang w:val="es-ES"/>
        </w:rPr>
        <w:t>quem</w:t>
      </w:r>
      <w:proofErr w:type="spellEnd"/>
      <w:r w:rsidRPr="00FB49A1">
        <w:rPr>
          <w:rFonts w:ascii="Verdana" w:eastAsia="Calibri" w:hAnsi="Verdana" w:cs="Arial"/>
          <w:sz w:val="20"/>
          <w:szCs w:val="20"/>
          <w:lang w:val="es-ES"/>
        </w:rPr>
        <w:t xml:space="preserve">– se somete a una estimación razonable sobre el tiempo que toma adelantar el procedimiento de selección y la posterior legalización del contrato, especialmente cuando la aprobación de la garantía es uno de los requisitos de ejecución. </w:t>
      </w:r>
    </w:p>
    <w:p w14:paraId="72F7252C" w14:textId="77777777" w:rsidR="005E0589" w:rsidRPr="00FB49A1" w:rsidRDefault="005E0589" w:rsidP="005E0589">
      <w:pPr>
        <w:spacing w:after="0" w:line="240" w:lineRule="auto"/>
        <w:jc w:val="both"/>
        <w:rPr>
          <w:rFonts w:ascii="Verdana" w:eastAsia="Calibri" w:hAnsi="Verdana" w:cs="Arial"/>
          <w:sz w:val="20"/>
          <w:szCs w:val="20"/>
          <w:lang w:val="es-ES"/>
        </w:rPr>
      </w:pPr>
    </w:p>
    <w:p w14:paraId="0E59F196" w14:textId="77777777" w:rsidR="005E0589" w:rsidRPr="00FB49A1" w:rsidRDefault="005E0589" w:rsidP="005E0589">
      <w:pPr>
        <w:spacing w:after="0" w:line="240" w:lineRule="auto"/>
        <w:jc w:val="both"/>
        <w:rPr>
          <w:rFonts w:ascii="Verdana" w:eastAsia="Calibri" w:hAnsi="Verdana" w:cs="Arial"/>
          <w:sz w:val="20"/>
          <w:szCs w:val="20"/>
          <w:lang w:val="es-ES"/>
        </w:rPr>
      </w:pPr>
      <w:r w:rsidRPr="00FB49A1">
        <w:rPr>
          <w:rFonts w:ascii="Verdana" w:eastAsia="Calibri" w:hAnsi="Verdana" w:cs="Arial"/>
          <w:sz w:val="20"/>
          <w:szCs w:val="20"/>
          <w:lang w:val="es-ES"/>
        </w:rPr>
        <w:t xml:space="preserve">Naturalmente, como el cronograma del procedimiento de contratación puede ampliarse, por sucesos inesperados, o por otras razones, el plazo que debe cubrir la garantía de seriedad se determina a partir de un </w:t>
      </w:r>
      <w:r w:rsidRPr="00FB49A1">
        <w:rPr>
          <w:rFonts w:ascii="Verdana" w:eastAsia="Calibri" w:hAnsi="Verdana" w:cs="Arial"/>
          <w:i/>
          <w:iCs/>
          <w:sz w:val="20"/>
          <w:szCs w:val="20"/>
          <w:lang w:val="es-ES"/>
        </w:rPr>
        <w:t>período de incertidumbre,</w:t>
      </w:r>
      <w:r w:rsidRPr="00FB49A1">
        <w:rPr>
          <w:rFonts w:ascii="Verdana" w:eastAsia="Calibri" w:hAnsi="Verdana" w:cs="Arial"/>
          <w:sz w:val="20"/>
          <w:szCs w:val="20"/>
          <w:lang w:val="es-ES"/>
        </w:rPr>
        <w:t xml:space="preserve"> bajo el cual las entidades disponen que la seriedad del ofrecimiento tenga una vigencia superior a la duración del procedimiento de selección, incluyendo tanto el plazo de suscripción del contrato como el de aprobación de la garantía única.</w:t>
      </w:r>
    </w:p>
    <w:p w14:paraId="2B95D0D9" w14:textId="77777777" w:rsidR="005E0589" w:rsidRDefault="005E0589" w:rsidP="005E0589">
      <w:pPr>
        <w:spacing w:after="0" w:line="240" w:lineRule="auto"/>
        <w:rPr>
          <w:rFonts w:ascii="Verdana" w:eastAsia="Aptos" w:hAnsi="Verdana" w:cs="Times New Roman"/>
          <w:sz w:val="20"/>
          <w:szCs w:val="20"/>
        </w:rPr>
      </w:pPr>
    </w:p>
    <w:p w14:paraId="2D79E801" w14:textId="77777777" w:rsidR="005E0589" w:rsidRPr="00FB49A1" w:rsidRDefault="005E0589" w:rsidP="005E0589">
      <w:pPr>
        <w:tabs>
          <w:tab w:val="left" w:pos="4820"/>
        </w:tabs>
        <w:jc w:val="both"/>
        <w:rPr>
          <w:rFonts w:ascii="Verdana" w:eastAsia="Calibri" w:hAnsi="Verdana" w:cs="Arial"/>
          <w:b/>
          <w:lang w:val="es-ES"/>
        </w:rPr>
      </w:pPr>
      <w:r w:rsidRPr="00427833">
        <w:rPr>
          <w:rFonts w:ascii="Verdana" w:eastAsia="Calibri" w:hAnsi="Verdana" w:cs="Arial"/>
          <w:b/>
          <w:lang w:val="es-ES"/>
        </w:rPr>
        <w:t>MÍNIMA CUANTÍA – Garantía de seriedad de la oferta – No obligatoriedad</w:t>
      </w:r>
    </w:p>
    <w:p w14:paraId="38C639AB" w14:textId="77777777" w:rsidR="005E0589" w:rsidRDefault="005E0589" w:rsidP="005E0589">
      <w:pPr>
        <w:spacing w:after="0" w:line="240" w:lineRule="auto"/>
        <w:jc w:val="both"/>
        <w:rPr>
          <w:rFonts w:ascii="Verdana" w:eastAsia="Calibri" w:hAnsi="Verdana" w:cs="Arial"/>
          <w:sz w:val="20"/>
          <w:szCs w:val="20"/>
          <w:lang w:val="es-ES"/>
        </w:rPr>
      </w:pPr>
      <w:r w:rsidRPr="00427833">
        <w:rPr>
          <w:rFonts w:ascii="Verdana" w:eastAsia="Calibri" w:hAnsi="Verdana" w:cs="Arial"/>
          <w:sz w:val="20"/>
          <w:szCs w:val="20"/>
          <w:lang w:val="es-ES"/>
        </w:rPr>
        <w:t>En ese sentido, las excepciones a la obligatoriedad de constitución de garantía de seriedad de la oferta se presentan en los procesos de selección de contratación directa y mínima cuantía (procedimiento sobre el que usted consulta), así como en los contratos de seguros, interadministrativos y empréstitos, supuestos en los cuales la entidad estatal debe justificar la necesidad de exigir la constitución de este tipo de garantías, según se desprende del inciso quinto del artículo 7 citado atrás, y el artículo 2.2.1.2.1.5.5 del Decreto 1082 de 2015 que dispone: “La Entidad Estatal es libre de exigir o no garantías en el proceso de selección de mínima cuantía y en la adquisición de "grandes almacenes"”.</w:t>
      </w:r>
    </w:p>
    <w:p w14:paraId="279F1DA7" w14:textId="77777777" w:rsidR="005E0589" w:rsidRPr="00427833" w:rsidRDefault="005E0589" w:rsidP="005E0589">
      <w:pPr>
        <w:spacing w:after="0" w:line="240" w:lineRule="auto"/>
        <w:jc w:val="both"/>
        <w:rPr>
          <w:rFonts w:ascii="Verdana" w:eastAsia="Calibri" w:hAnsi="Verdana" w:cs="Arial"/>
          <w:sz w:val="20"/>
          <w:szCs w:val="20"/>
          <w:lang w:val="es-ES"/>
        </w:rPr>
      </w:pPr>
    </w:p>
    <w:p w14:paraId="1E4162EA" w14:textId="77777777" w:rsidR="005E0589" w:rsidRPr="00427833" w:rsidRDefault="005E0589" w:rsidP="005E0589">
      <w:pPr>
        <w:spacing w:after="0" w:line="240" w:lineRule="auto"/>
        <w:jc w:val="both"/>
        <w:rPr>
          <w:rFonts w:ascii="Verdana" w:eastAsia="Calibri" w:hAnsi="Verdana" w:cs="Arial"/>
          <w:sz w:val="20"/>
          <w:szCs w:val="20"/>
          <w:lang w:val="es-ES"/>
        </w:rPr>
      </w:pPr>
      <w:r w:rsidRPr="00427833">
        <w:rPr>
          <w:rFonts w:ascii="Verdana" w:eastAsia="Calibri" w:hAnsi="Verdana" w:cs="Arial"/>
          <w:sz w:val="20"/>
          <w:szCs w:val="20"/>
          <w:lang w:val="es-ES"/>
        </w:rPr>
        <w:t xml:space="preserve">En consecuencia, de conformidad con el artículo 4 de la Ley 1150 de 2007, la entidad estatal deberá consignar en los pliegos de condiciones o sus equivalentes (en mínima cuantía será la invitación pública), la estimación, tipificación y asignación de los riesgos </w:t>
      </w:r>
      <w:r w:rsidRPr="00427833">
        <w:rPr>
          <w:rFonts w:ascii="Verdana" w:eastAsia="Calibri" w:hAnsi="Verdana" w:cs="Arial"/>
          <w:sz w:val="20"/>
          <w:szCs w:val="20"/>
          <w:lang w:val="es-ES"/>
        </w:rPr>
        <w:lastRenderedPageBreak/>
        <w:t>previsibles involucrados en la contratación. Lo anterior se encuentra regulado por el artículo 2.2.1.1.2.1.3. Decreto 1082 de 2015, incluyendo como aspectos básicos o información esencial de los pliegos de condiciones los elementos del numeral 8 (riesgos asociados al contrato, forma de mitigarlos y asignación del riesgo entre las partes) y 9 (garantías exigidas en el proceso de contratación y sus condiciones).</w:t>
      </w:r>
    </w:p>
    <w:p w14:paraId="4D7C7D47" w14:textId="77777777" w:rsidR="005E0589" w:rsidRDefault="005E0589" w:rsidP="005E0589">
      <w:pPr>
        <w:spacing w:after="0" w:line="240" w:lineRule="auto"/>
        <w:rPr>
          <w:rFonts w:ascii="Verdana" w:eastAsia="Aptos" w:hAnsi="Verdana" w:cs="Times New Roman"/>
          <w:sz w:val="20"/>
          <w:szCs w:val="20"/>
        </w:rPr>
      </w:pPr>
    </w:p>
    <w:p w14:paraId="3BDEF791" w14:textId="77777777" w:rsidR="005E0589" w:rsidRDefault="005E0589" w:rsidP="005E0589">
      <w:pPr>
        <w:spacing w:after="0" w:line="240" w:lineRule="auto"/>
        <w:rPr>
          <w:rFonts w:ascii="Verdana" w:eastAsia="Aptos" w:hAnsi="Verdana" w:cs="Times New Roman"/>
          <w:sz w:val="20"/>
          <w:szCs w:val="20"/>
        </w:rPr>
      </w:pPr>
    </w:p>
    <w:p w14:paraId="73CC494B" w14:textId="77777777" w:rsidR="005E0589" w:rsidRDefault="005E0589" w:rsidP="005E0589">
      <w:pPr>
        <w:spacing w:after="0" w:line="240" w:lineRule="auto"/>
        <w:rPr>
          <w:rFonts w:ascii="Verdana" w:eastAsia="Aptos" w:hAnsi="Verdana" w:cs="Times New Roman"/>
          <w:sz w:val="20"/>
          <w:szCs w:val="20"/>
        </w:rPr>
      </w:pPr>
    </w:p>
    <w:p w14:paraId="7F24B75B" w14:textId="77777777" w:rsidR="005E0589" w:rsidRDefault="005E0589" w:rsidP="005E0589">
      <w:pPr>
        <w:spacing w:after="0" w:line="240" w:lineRule="auto"/>
        <w:rPr>
          <w:rFonts w:ascii="Verdana" w:eastAsia="Aptos" w:hAnsi="Verdana" w:cs="Times New Roman"/>
          <w:sz w:val="20"/>
          <w:szCs w:val="20"/>
        </w:rPr>
      </w:pPr>
    </w:p>
    <w:p w14:paraId="3E9B1AAA" w14:textId="77777777" w:rsidR="005E0589" w:rsidRDefault="005E0589" w:rsidP="005E0589">
      <w:pPr>
        <w:spacing w:after="0" w:line="240" w:lineRule="auto"/>
        <w:rPr>
          <w:rFonts w:ascii="Verdana" w:eastAsia="Aptos" w:hAnsi="Verdana" w:cs="Times New Roman"/>
          <w:sz w:val="20"/>
          <w:szCs w:val="20"/>
        </w:rPr>
      </w:pPr>
    </w:p>
    <w:p w14:paraId="5F5AC84B" w14:textId="77777777" w:rsidR="005E0589" w:rsidRDefault="005E0589" w:rsidP="005E0589">
      <w:pPr>
        <w:spacing w:after="0" w:line="240" w:lineRule="auto"/>
        <w:rPr>
          <w:rFonts w:ascii="Verdana" w:eastAsia="Aptos" w:hAnsi="Verdana" w:cs="Times New Roman"/>
          <w:sz w:val="20"/>
          <w:szCs w:val="20"/>
        </w:rPr>
      </w:pPr>
    </w:p>
    <w:p w14:paraId="38C2CB99" w14:textId="77777777" w:rsidR="005E0589" w:rsidRDefault="005E0589" w:rsidP="005E0589">
      <w:pPr>
        <w:spacing w:after="0" w:line="240" w:lineRule="auto"/>
        <w:rPr>
          <w:rFonts w:ascii="Verdana" w:eastAsia="Aptos" w:hAnsi="Verdana" w:cs="Times New Roman"/>
          <w:sz w:val="20"/>
          <w:szCs w:val="20"/>
        </w:rPr>
      </w:pPr>
    </w:p>
    <w:p w14:paraId="24098B12" w14:textId="77777777" w:rsidR="005E0589" w:rsidRDefault="005E0589" w:rsidP="005E0589">
      <w:pPr>
        <w:spacing w:after="0" w:line="240" w:lineRule="auto"/>
        <w:rPr>
          <w:rFonts w:ascii="Verdana" w:eastAsia="Aptos" w:hAnsi="Verdana" w:cs="Times New Roman"/>
          <w:sz w:val="20"/>
          <w:szCs w:val="20"/>
        </w:rPr>
      </w:pPr>
    </w:p>
    <w:p w14:paraId="1D28E6E4" w14:textId="77777777" w:rsidR="005E0589" w:rsidRDefault="005E0589" w:rsidP="005E0589">
      <w:pPr>
        <w:spacing w:after="0" w:line="240" w:lineRule="auto"/>
        <w:rPr>
          <w:rFonts w:ascii="Verdana" w:eastAsia="Aptos" w:hAnsi="Verdana" w:cs="Times New Roman"/>
          <w:sz w:val="20"/>
          <w:szCs w:val="20"/>
        </w:rPr>
      </w:pPr>
    </w:p>
    <w:p w14:paraId="452E78E4" w14:textId="77777777" w:rsidR="005E0589" w:rsidRDefault="005E0589" w:rsidP="005E0589">
      <w:pPr>
        <w:spacing w:after="0" w:line="240" w:lineRule="auto"/>
        <w:rPr>
          <w:rFonts w:ascii="Verdana" w:eastAsia="Aptos" w:hAnsi="Verdana" w:cs="Times New Roman"/>
          <w:sz w:val="20"/>
          <w:szCs w:val="20"/>
        </w:rPr>
      </w:pPr>
    </w:p>
    <w:p w14:paraId="22E0A848" w14:textId="77777777" w:rsidR="005E0589" w:rsidRDefault="005E0589" w:rsidP="005E0589">
      <w:pPr>
        <w:spacing w:after="0" w:line="240" w:lineRule="auto"/>
        <w:rPr>
          <w:rFonts w:ascii="Verdana" w:eastAsia="Aptos" w:hAnsi="Verdana" w:cs="Times New Roman"/>
          <w:sz w:val="20"/>
          <w:szCs w:val="20"/>
        </w:rPr>
      </w:pPr>
    </w:p>
    <w:p w14:paraId="1FA4A9C0" w14:textId="77777777" w:rsidR="005E0589" w:rsidRDefault="005E0589" w:rsidP="005E0589">
      <w:pPr>
        <w:spacing w:after="0" w:line="240" w:lineRule="auto"/>
        <w:rPr>
          <w:rFonts w:ascii="Verdana" w:eastAsia="Aptos" w:hAnsi="Verdana" w:cs="Times New Roman"/>
          <w:sz w:val="20"/>
          <w:szCs w:val="20"/>
        </w:rPr>
      </w:pPr>
    </w:p>
    <w:p w14:paraId="0B10EB31" w14:textId="77777777" w:rsidR="005E0589" w:rsidRDefault="005E0589" w:rsidP="005E0589">
      <w:pPr>
        <w:spacing w:after="0" w:line="240" w:lineRule="auto"/>
        <w:rPr>
          <w:rFonts w:ascii="Verdana" w:eastAsia="Aptos" w:hAnsi="Verdana" w:cs="Times New Roman"/>
          <w:sz w:val="20"/>
          <w:szCs w:val="20"/>
        </w:rPr>
      </w:pPr>
    </w:p>
    <w:p w14:paraId="231B725F" w14:textId="77777777" w:rsidR="005E0589" w:rsidRDefault="005E0589" w:rsidP="005E0589">
      <w:pPr>
        <w:spacing w:after="0" w:line="240" w:lineRule="auto"/>
        <w:rPr>
          <w:rFonts w:ascii="Verdana" w:eastAsia="Aptos" w:hAnsi="Verdana" w:cs="Times New Roman"/>
          <w:sz w:val="20"/>
          <w:szCs w:val="20"/>
        </w:rPr>
      </w:pPr>
    </w:p>
    <w:p w14:paraId="6EFF697F" w14:textId="77777777" w:rsidR="005E0589" w:rsidRDefault="005E0589" w:rsidP="005E0589">
      <w:pPr>
        <w:spacing w:after="0" w:line="240" w:lineRule="auto"/>
        <w:rPr>
          <w:rFonts w:ascii="Verdana" w:eastAsia="Aptos" w:hAnsi="Verdana" w:cs="Times New Roman"/>
          <w:sz w:val="20"/>
          <w:szCs w:val="20"/>
        </w:rPr>
      </w:pPr>
    </w:p>
    <w:p w14:paraId="577F15CF" w14:textId="77777777" w:rsidR="005E0589" w:rsidRDefault="005E0589" w:rsidP="005E0589">
      <w:pPr>
        <w:spacing w:after="0" w:line="240" w:lineRule="auto"/>
        <w:rPr>
          <w:rFonts w:ascii="Verdana" w:eastAsia="Aptos" w:hAnsi="Verdana" w:cs="Times New Roman"/>
          <w:sz w:val="20"/>
          <w:szCs w:val="20"/>
        </w:rPr>
      </w:pPr>
    </w:p>
    <w:p w14:paraId="41749CF6" w14:textId="77777777" w:rsidR="005E0589" w:rsidRDefault="005E0589" w:rsidP="005E0589">
      <w:pPr>
        <w:spacing w:after="0" w:line="240" w:lineRule="auto"/>
        <w:rPr>
          <w:rFonts w:ascii="Verdana" w:eastAsia="Aptos" w:hAnsi="Verdana" w:cs="Times New Roman"/>
          <w:sz w:val="20"/>
          <w:szCs w:val="20"/>
        </w:rPr>
      </w:pPr>
    </w:p>
    <w:p w14:paraId="31B65F63" w14:textId="77777777" w:rsidR="005E0589" w:rsidRDefault="005E0589" w:rsidP="005E0589">
      <w:pPr>
        <w:spacing w:after="0" w:line="240" w:lineRule="auto"/>
        <w:rPr>
          <w:rFonts w:ascii="Verdana" w:eastAsia="Aptos" w:hAnsi="Verdana" w:cs="Times New Roman"/>
          <w:sz w:val="20"/>
          <w:szCs w:val="20"/>
        </w:rPr>
      </w:pPr>
    </w:p>
    <w:p w14:paraId="3C762086" w14:textId="77777777" w:rsidR="005E0589" w:rsidRDefault="005E0589" w:rsidP="005E0589">
      <w:pPr>
        <w:spacing w:after="0" w:line="240" w:lineRule="auto"/>
        <w:rPr>
          <w:rFonts w:ascii="Verdana" w:eastAsia="Aptos" w:hAnsi="Verdana" w:cs="Times New Roman"/>
          <w:sz w:val="20"/>
          <w:szCs w:val="20"/>
        </w:rPr>
      </w:pPr>
    </w:p>
    <w:p w14:paraId="1ACA7A11" w14:textId="77777777" w:rsidR="005E0589" w:rsidRDefault="005E0589" w:rsidP="005E0589">
      <w:pPr>
        <w:spacing w:after="0" w:line="240" w:lineRule="auto"/>
        <w:rPr>
          <w:rFonts w:ascii="Verdana" w:eastAsia="Aptos" w:hAnsi="Verdana" w:cs="Times New Roman"/>
          <w:sz w:val="20"/>
          <w:szCs w:val="20"/>
        </w:rPr>
      </w:pPr>
    </w:p>
    <w:p w14:paraId="64B9994B" w14:textId="77777777" w:rsidR="005E0589" w:rsidRDefault="005E0589" w:rsidP="005E0589">
      <w:pPr>
        <w:spacing w:after="0" w:line="240" w:lineRule="auto"/>
        <w:rPr>
          <w:rFonts w:ascii="Verdana" w:eastAsia="Aptos" w:hAnsi="Verdana" w:cs="Times New Roman"/>
          <w:sz w:val="20"/>
          <w:szCs w:val="20"/>
        </w:rPr>
      </w:pPr>
    </w:p>
    <w:p w14:paraId="3F3AB826" w14:textId="77777777" w:rsidR="005E0589" w:rsidRDefault="005E0589" w:rsidP="005E0589">
      <w:pPr>
        <w:spacing w:after="0" w:line="240" w:lineRule="auto"/>
        <w:rPr>
          <w:rFonts w:ascii="Verdana" w:eastAsia="Aptos" w:hAnsi="Verdana" w:cs="Times New Roman"/>
          <w:sz w:val="20"/>
          <w:szCs w:val="20"/>
        </w:rPr>
      </w:pPr>
    </w:p>
    <w:p w14:paraId="4AB764D8" w14:textId="77777777" w:rsidR="005E0589" w:rsidRDefault="005E0589" w:rsidP="005E0589">
      <w:pPr>
        <w:spacing w:after="0" w:line="240" w:lineRule="auto"/>
        <w:rPr>
          <w:rFonts w:ascii="Verdana" w:eastAsia="Aptos" w:hAnsi="Verdana" w:cs="Times New Roman"/>
          <w:sz w:val="20"/>
          <w:szCs w:val="20"/>
        </w:rPr>
      </w:pPr>
    </w:p>
    <w:p w14:paraId="78A4808A" w14:textId="77777777" w:rsidR="005E0589" w:rsidRDefault="005E0589" w:rsidP="005E0589">
      <w:pPr>
        <w:spacing w:after="0" w:line="240" w:lineRule="auto"/>
        <w:rPr>
          <w:rFonts w:ascii="Verdana" w:eastAsia="Aptos" w:hAnsi="Verdana" w:cs="Times New Roman"/>
          <w:sz w:val="20"/>
          <w:szCs w:val="20"/>
        </w:rPr>
      </w:pPr>
    </w:p>
    <w:p w14:paraId="59E438AD" w14:textId="77777777" w:rsidR="005E0589" w:rsidRDefault="005E0589" w:rsidP="005E0589">
      <w:pPr>
        <w:spacing w:after="0" w:line="240" w:lineRule="auto"/>
        <w:rPr>
          <w:rFonts w:ascii="Verdana" w:eastAsia="Aptos" w:hAnsi="Verdana" w:cs="Times New Roman"/>
          <w:sz w:val="20"/>
          <w:szCs w:val="20"/>
        </w:rPr>
      </w:pPr>
    </w:p>
    <w:p w14:paraId="235F1925" w14:textId="77777777" w:rsidR="005E0589" w:rsidRDefault="005E0589" w:rsidP="005E0589">
      <w:pPr>
        <w:spacing w:after="0" w:line="240" w:lineRule="auto"/>
        <w:rPr>
          <w:rFonts w:ascii="Verdana" w:eastAsia="Aptos" w:hAnsi="Verdana" w:cs="Times New Roman"/>
          <w:sz w:val="20"/>
          <w:szCs w:val="20"/>
        </w:rPr>
      </w:pPr>
    </w:p>
    <w:p w14:paraId="1254612F" w14:textId="77777777" w:rsidR="005E0589" w:rsidRDefault="005E0589" w:rsidP="005E0589">
      <w:pPr>
        <w:spacing w:after="0" w:line="240" w:lineRule="auto"/>
        <w:rPr>
          <w:rFonts w:ascii="Verdana" w:eastAsia="Aptos" w:hAnsi="Verdana" w:cs="Times New Roman"/>
          <w:sz w:val="20"/>
          <w:szCs w:val="20"/>
        </w:rPr>
      </w:pPr>
    </w:p>
    <w:p w14:paraId="4A20F927" w14:textId="77777777" w:rsidR="005E0589" w:rsidRDefault="005E0589" w:rsidP="005E0589">
      <w:pPr>
        <w:spacing w:after="0" w:line="240" w:lineRule="auto"/>
        <w:rPr>
          <w:rFonts w:ascii="Verdana" w:eastAsia="Aptos" w:hAnsi="Verdana" w:cs="Times New Roman"/>
          <w:sz w:val="20"/>
          <w:szCs w:val="20"/>
        </w:rPr>
      </w:pPr>
    </w:p>
    <w:p w14:paraId="6E032608" w14:textId="77777777" w:rsidR="005E0589" w:rsidRDefault="005E0589" w:rsidP="005E0589">
      <w:pPr>
        <w:spacing w:after="0" w:line="240" w:lineRule="auto"/>
        <w:rPr>
          <w:rFonts w:ascii="Verdana" w:eastAsia="Aptos" w:hAnsi="Verdana" w:cs="Times New Roman"/>
          <w:sz w:val="20"/>
          <w:szCs w:val="20"/>
        </w:rPr>
      </w:pPr>
    </w:p>
    <w:p w14:paraId="09D6EB15" w14:textId="77777777" w:rsidR="005E0589" w:rsidRDefault="005E0589" w:rsidP="005E0589">
      <w:pPr>
        <w:spacing w:after="0" w:line="240" w:lineRule="auto"/>
        <w:rPr>
          <w:rFonts w:ascii="Verdana" w:eastAsia="Aptos" w:hAnsi="Verdana" w:cs="Times New Roman"/>
          <w:sz w:val="20"/>
          <w:szCs w:val="20"/>
        </w:rPr>
      </w:pPr>
    </w:p>
    <w:p w14:paraId="150546F2" w14:textId="77777777" w:rsidR="005E0589" w:rsidRDefault="005E0589" w:rsidP="005E0589">
      <w:pPr>
        <w:spacing w:after="0" w:line="240" w:lineRule="auto"/>
        <w:rPr>
          <w:rFonts w:ascii="Verdana" w:eastAsia="Aptos" w:hAnsi="Verdana" w:cs="Times New Roman"/>
          <w:sz w:val="20"/>
          <w:szCs w:val="20"/>
        </w:rPr>
      </w:pPr>
    </w:p>
    <w:p w14:paraId="067F5BE1" w14:textId="77777777" w:rsidR="005E0589" w:rsidRDefault="005E0589" w:rsidP="005E0589">
      <w:pPr>
        <w:spacing w:after="0" w:line="240" w:lineRule="auto"/>
        <w:rPr>
          <w:rFonts w:ascii="Verdana" w:eastAsia="Aptos" w:hAnsi="Verdana" w:cs="Times New Roman"/>
          <w:sz w:val="20"/>
          <w:szCs w:val="20"/>
        </w:rPr>
      </w:pPr>
    </w:p>
    <w:p w14:paraId="5EF46F6C" w14:textId="77777777" w:rsidR="005E0589" w:rsidRDefault="005E0589" w:rsidP="005E0589">
      <w:pPr>
        <w:spacing w:after="0" w:line="240" w:lineRule="auto"/>
        <w:rPr>
          <w:rFonts w:ascii="Verdana" w:eastAsia="Aptos" w:hAnsi="Verdana" w:cs="Times New Roman"/>
          <w:sz w:val="20"/>
          <w:szCs w:val="20"/>
        </w:rPr>
      </w:pPr>
    </w:p>
    <w:p w14:paraId="62637446" w14:textId="77777777" w:rsidR="005E0589" w:rsidRDefault="005E0589" w:rsidP="005E0589">
      <w:pPr>
        <w:spacing w:after="0" w:line="240" w:lineRule="auto"/>
        <w:rPr>
          <w:rFonts w:ascii="Verdana" w:eastAsia="Aptos" w:hAnsi="Verdana" w:cs="Times New Roman"/>
          <w:sz w:val="20"/>
          <w:szCs w:val="20"/>
        </w:rPr>
      </w:pPr>
    </w:p>
    <w:p w14:paraId="1C708CCE" w14:textId="77777777" w:rsidR="005E0589" w:rsidRDefault="005E0589" w:rsidP="005E0589">
      <w:pPr>
        <w:spacing w:after="0" w:line="240" w:lineRule="auto"/>
        <w:rPr>
          <w:rFonts w:ascii="Verdana" w:eastAsia="Aptos" w:hAnsi="Verdana" w:cs="Times New Roman"/>
          <w:sz w:val="20"/>
          <w:szCs w:val="20"/>
        </w:rPr>
      </w:pPr>
    </w:p>
    <w:p w14:paraId="24D6797A" w14:textId="77777777" w:rsidR="005E0589" w:rsidRDefault="005E0589" w:rsidP="005E0589">
      <w:pPr>
        <w:spacing w:after="0" w:line="240" w:lineRule="auto"/>
        <w:rPr>
          <w:rFonts w:ascii="Verdana" w:eastAsia="Aptos" w:hAnsi="Verdana" w:cs="Times New Roman"/>
          <w:sz w:val="20"/>
          <w:szCs w:val="20"/>
        </w:rPr>
      </w:pPr>
    </w:p>
    <w:p w14:paraId="52FF1177" w14:textId="77777777" w:rsidR="005E0589" w:rsidRDefault="005E0589" w:rsidP="005E0589">
      <w:pPr>
        <w:spacing w:after="0" w:line="240" w:lineRule="auto"/>
        <w:rPr>
          <w:rFonts w:ascii="Verdana" w:eastAsia="Aptos" w:hAnsi="Verdana" w:cs="Times New Roman"/>
          <w:sz w:val="20"/>
          <w:szCs w:val="20"/>
        </w:rPr>
      </w:pPr>
    </w:p>
    <w:p w14:paraId="1E4DDB66" w14:textId="77777777" w:rsidR="005E0589" w:rsidRDefault="005E0589" w:rsidP="005E0589">
      <w:pPr>
        <w:spacing w:after="0" w:line="240" w:lineRule="auto"/>
        <w:rPr>
          <w:rFonts w:ascii="Verdana" w:eastAsia="Aptos" w:hAnsi="Verdana" w:cs="Times New Roman"/>
          <w:sz w:val="20"/>
          <w:szCs w:val="20"/>
        </w:rPr>
      </w:pPr>
    </w:p>
    <w:p w14:paraId="2BE69160" w14:textId="77777777" w:rsidR="005E0589" w:rsidRDefault="005E0589" w:rsidP="005E0589">
      <w:pPr>
        <w:spacing w:after="0" w:line="240" w:lineRule="auto"/>
        <w:rPr>
          <w:rFonts w:ascii="Verdana" w:eastAsia="Aptos" w:hAnsi="Verdana" w:cs="Times New Roman"/>
          <w:sz w:val="20"/>
          <w:szCs w:val="20"/>
        </w:rPr>
      </w:pPr>
    </w:p>
    <w:p w14:paraId="4763E7FE" w14:textId="77777777" w:rsidR="005E0589" w:rsidRDefault="005E0589" w:rsidP="005E0589">
      <w:pPr>
        <w:spacing w:after="0" w:line="240" w:lineRule="auto"/>
        <w:rPr>
          <w:rFonts w:ascii="Verdana" w:eastAsia="Aptos" w:hAnsi="Verdana" w:cs="Times New Roman"/>
          <w:sz w:val="20"/>
          <w:szCs w:val="20"/>
        </w:rPr>
      </w:pPr>
    </w:p>
    <w:p w14:paraId="5EC7C620" w14:textId="77777777" w:rsidR="005E0589" w:rsidRDefault="005E0589" w:rsidP="005E0589">
      <w:pPr>
        <w:spacing w:after="0" w:line="240" w:lineRule="auto"/>
        <w:rPr>
          <w:rFonts w:ascii="Verdana" w:eastAsia="Aptos" w:hAnsi="Verdana" w:cs="Times New Roman"/>
          <w:sz w:val="20"/>
          <w:szCs w:val="20"/>
        </w:rPr>
      </w:pPr>
    </w:p>
    <w:p w14:paraId="3108A513" w14:textId="297C9B1C" w:rsidR="005E0589" w:rsidRDefault="005E0589" w:rsidP="005E0589">
      <w:pPr>
        <w:spacing w:after="0" w:line="240" w:lineRule="auto"/>
        <w:jc w:val="both"/>
        <w:rPr>
          <w:rFonts w:ascii="Verdana" w:eastAsia="Geomanist Light" w:hAnsi="Verdana" w:cs="Arial"/>
          <w:color w:val="000000" w:themeColor="text1"/>
          <w:lang w:val="es-ES"/>
        </w:rPr>
      </w:pPr>
      <w:bookmarkStart w:id="1" w:name="_Hlk212050746"/>
      <w:r w:rsidRPr="1B9E0970">
        <w:rPr>
          <w:rFonts w:ascii="Verdana" w:eastAsia="Geomanist Light" w:hAnsi="Verdana" w:cs="Arial"/>
          <w:color w:val="000000" w:themeColor="text1"/>
          <w:lang w:val="es-ES"/>
        </w:rPr>
        <w:lastRenderedPageBreak/>
        <w:t xml:space="preserve">Bogotá D.C., </w:t>
      </w:r>
      <w:r w:rsidR="00110AE9">
        <w:rPr>
          <w:rFonts w:ascii="Verdana" w:eastAsia="Geomanist Light" w:hAnsi="Verdana" w:cs="Arial"/>
          <w:color w:val="000000" w:themeColor="text1"/>
          <w:lang w:val="es-ES"/>
        </w:rPr>
        <w:t>18 de diciembre de 2025</w:t>
      </w:r>
    </w:p>
    <w:p w14:paraId="2D09623F" w14:textId="77777777" w:rsidR="00110AE9" w:rsidRDefault="00110AE9" w:rsidP="005E0589">
      <w:pPr>
        <w:spacing w:after="0" w:line="240" w:lineRule="auto"/>
        <w:jc w:val="both"/>
        <w:rPr>
          <w:rFonts w:ascii="Verdana" w:eastAsia="Geomanist Light" w:hAnsi="Verdana" w:cs="Arial"/>
          <w:color w:val="000000" w:themeColor="text1"/>
          <w:lang w:val="es-ES"/>
        </w:rPr>
      </w:pPr>
    </w:p>
    <w:p w14:paraId="590717E5" w14:textId="10AC8907" w:rsidR="00110AE9" w:rsidRDefault="00110AE9" w:rsidP="00110AE9">
      <w:pPr>
        <w:spacing w:after="0" w:line="240" w:lineRule="auto"/>
        <w:jc w:val="right"/>
        <w:rPr>
          <w:rFonts w:ascii="Verdana" w:eastAsia="Geomanist Light" w:hAnsi="Verdana" w:cs="Arial"/>
          <w:color w:val="000000" w:themeColor="text1"/>
          <w:lang w:val="es-ES"/>
        </w:rPr>
      </w:pPr>
    </w:p>
    <w:bookmarkEnd w:id="1"/>
    <w:p w14:paraId="33B18F83" w14:textId="33A90DF5" w:rsidR="005E0589" w:rsidRPr="00C713D8" w:rsidRDefault="005E0589" w:rsidP="005E0589">
      <w:pPr>
        <w:spacing w:after="0" w:line="240" w:lineRule="auto"/>
        <w:jc w:val="both"/>
        <w:rPr>
          <w:rFonts w:ascii="Verdana" w:eastAsia="Calibri" w:hAnsi="Verdana" w:cs="Arial"/>
          <w:color w:val="000000"/>
          <w:lang w:val="es-ES_tradnl"/>
        </w:rPr>
      </w:pPr>
    </w:p>
    <w:p w14:paraId="3DDB649D" w14:textId="46118505" w:rsidR="005E0589" w:rsidRPr="008E0161" w:rsidRDefault="00A25230" w:rsidP="005E0589">
      <w:pPr>
        <w:spacing w:after="0" w:line="240" w:lineRule="auto"/>
        <w:jc w:val="right"/>
        <w:rPr>
          <w:rFonts w:ascii="Verdana" w:eastAsia="Calibri" w:hAnsi="Verdana" w:cs="Arial"/>
          <w:color w:val="000000"/>
        </w:rPr>
      </w:pPr>
      <w:r w:rsidRPr="00110AE9">
        <w:rPr>
          <w:rFonts w:ascii="Verdana" w:eastAsia="Geomanist Light" w:hAnsi="Verdana" w:cs="Arial"/>
          <w:noProof/>
          <w:color w:val="000000" w:themeColor="text1"/>
          <w:lang w:val="es-ES"/>
        </w:rPr>
        <w:drawing>
          <wp:anchor distT="0" distB="0" distL="114300" distR="114300" simplePos="0" relativeHeight="251658240" behindDoc="0" locked="0" layoutInCell="1" allowOverlap="1" wp14:anchorId="3ECB7876" wp14:editId="2928E27D">
            <wp:simplePos x="0" y="0"/>
            <wp:positionH relativeFrom="margin">
              <wp:align>right</wp:align>
            </wp:positionH>
            <wp:positionV relativeFrom="paragraph">
              <wp:posOffset>4445</wp:posOffset>
            </wp:positionV>
            <wp:extent cx="2864485" cy="919480"/>
            <wp:effectExtent l="0" t="0" r="0" b="0"/>
            <wp:wrapSquare wrapText="bothSides"/>
            <wp:docPr id="1019258412" name="Imagen 1"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9258412" name="Imagen 1" descr="Texto&#10;&#10;El contenido generado por IA puede ser incorrecto."/>
                    <pic:cNvPicPr/>
                  </pic:nvPicPr>
                  <pic:blipFill>
                    <a:blip r:embed="rId10">
                      <a:extLst>
                        <a:ext uri="{28A0092B-C50C-407E-A947-70E740481C1C}">
                          <a14:useLocalDpi xmlns:a14="http://schemas.microsoft.com/office/drawing/2010/main" val="0"/>
                        </a:ext>
                      </a:extLst>
                    </a:blip>
                    <a:stretch>
                      <a:fillRect/>
                    </a:stretch>
                  </pic:blipFill>
                  <pic:spPr>
                    <a:xfrm>
                      <a:off x="0" y="0"/>
                      <a:ext cx="2864485" cy="919480"/>
                    </a:xfrm>
                    <a:prstGeom prst="rect">
                      <a:avLst/>
                    </a:prstGeom>
                  </pic:spPr>
                </pic:pic>
              </a:graphicData>
            </a:graphic>
            <wp14:sizeRelH relativeFrom="margin">
              <wp14:pctWidth>0</wp14:pctWidth>
            </wp14:sizeRelH>
            <wp14:sizeRelV relativeFrom="margin">
              <wp14:pctHeight>0</wp14:pctHeight>
            </wp14:sizeRelV>
          </wp:anchor>
        </w:drawing>
      </w:r>
    </w:p>
    <w:p w14:paraId="24AFB494" w14:textId="77777777" w:rsidR="005E0589" w:rsidRPr="008E0161" w:rsidRDefault="005E0589" w:rsidP="005E0589">
      <w:pPr>
        <w:spacing w:after="0" w:line="240" w:lineRule="auto"/>
        <w:jc w:val="both"/>
        <w:rPr>
          <w:rFonts w:ascii="Verdana" w:eastAsia="Calibri" w:hAnsi="Verdana" w:cs="Arial"/>
          <w:color w:val="000000"/>
        </w:rPr>
      </w:pPr>
    </w:p>
    <w:p w14:paraId="03AF4791" w14:textId="77777777" w:rsidR="005E0589" w:rsidRPr="008E0161" w:rsidRDefault="005E0589" w:rsidP="005E0589">
      <w:pPr>
        <w:spacing w:after="0" w:line="240" w:lineRule="auto"/>
        <w:jc w:val="both"/>
        <w:rPr>
          <w:rFonts w:ascii="Verdana" w:eastAsia="Calibri" w:hAnsi="Verdana" w:cs="Arial"/>
          <w:lang w:eastAsia="es-ES"/>
        </w:rPr>
      </w:pPr>
      <w:r w:rsidRPr="008E0161">
        <w:rPr>
          <w:rFonts w:ascii="Verdana" w:eastAsia="Calibri" w:hAnsi="Verdana" w:cs="Arial"/>
          <w:lang w:eastAsia="es-ES"/>
        </w:rPr>
        <w:t>Señor</w:t>
      </w:r>
    </w:p>
    <w:p w14:paraId="7659492F" w14:textId="77777777" w:rsidR="005E0589" w:rsidRDefault="005E0589" w:rsidP="005E0589">
      <w:pPr>
        <w:spacing w:after="0" w:line="240" w:lineRule="auto"/>
        <w:jc w:val="both"/>
        <w:rPr>
          <w:rFonts w:ascii="Verdana" w:eastAsia="Calibri" w:hAnsi="Verdana" w:cs="Arial"/>
          <w:b/>
          <w:bCs/>
          <w:lang w:eastAsia="es-ES"/>
        </w:rPr>
      </w:pPr>
      <w:r>
        <w:rPr>
          <w:rFonts w:ascii="Verdana" w:eastAsia="Calibri" w:hAnsi="Verdana" w:cs="Arial"/>
          <w:b/>
          <w:bCs/>
          <w:lang w:eastAsia="es-ES"/>
        </w:rPr>
        <w:t>Alirio Carbajal Jimenez</w:t>
      </w:r>
    </w:p>
    <w:p w14:paraId="5A59832A" w14:textId="77777777" w:rsidR="005E0589" w:rsidRPr="00A066C9" w:rsidRDefault="005E0589" w:rsidP="005E0589">
      <w:pPr>
        <w:spacing w:after="0" w:line="240" w:lineRule="auto"/>
        <w:jc w:val="both"/>
        <w:rPr>
          <w:rFonts w:ascii="Verdana" w:eastAsia="Calibri" w:hAnsi="Verdana" w:cs="Arial"/>
          <w:b/>
          <w:bCs/>
          <w:lang w:eastAsia="es-ES"/>
        </w:rPr>
      </w:pPr>
      <w:r w:rsidRPr="002213D7">
        <w:rPr>
          <w:rFonts w:ascii="Verdana" w:hAnsi="Verdana"/>
        </w:rPr>
        <w:t>alirioinformacion@gmail.com</w:t>
      </w:r>
    </w:p>
    <w:p w14:paraId="3709BC19" w14:textId="77777777" w:rsidR="005E0589" w:rsidRPr="008E0161" w:rsidRDefault="005E0589" w:rsidP="005E0589">
      <w:pPr>
        <w:spacing w:after="0" w:line="240" w:lineRule="auto"/>
        <w:rPr>
          <w:rFonts w:ascii="Verdana" w:hAnsi="Verdana"/>
        </w:rPr>
      </w:pPr>
      <w:r>
        <w:rPr>
          <w:rFonts w:ascii="Verdana" w:hAnsi="Verdana"/>
        </w:rPr>
        <w:t>Ciudad</w:t>
      </w:r>
    </w:p>
    <w:p w14:paraId="0B81DCC2" w14:textId="77777777" w:rsidR="005E0589" w:rsidRPr="008E0161" w:rsidRDefault="005E0589" w:rsidP="005E0589">
      <w:pPr>
        <w:spacing w:after="0" w:line="240" w:lineRule="auto"/>
        <w:rPr>
          <w:rFonts w:ascii="Verdana" w:eastAsia="Calibri" w:hAnsi="Verdana" w:cs="Arial"/>
          <w:lang w:eastAsia="es-ES"/>
        </w:rPr>
      </w:pPr>
    </w:p>
    <w:p w14:paraId="0FFEB182" w14:textId="77777777" w:rsidR="005E0589" w:rsidRPr="008E0161" w:rsidRDefault="005E0589" w:rsidP="005E0589">
      <w:pPr>
        <w:spacing w:after="0" w:line="240" w:lineRule="auto"/>
        <w:rPr>
          <w:rFonts w:ascii="Verdana" w:eastAsia="Calibri" w:hAnsi="Verdana" w:cs="Arial"/>
          <w:b/>
          <w:bCs/>
          <w:color w:val="000000"/>
          <w:lang w:eastAsia="es-ES_tradnl"/>
        </w:rPr>
      </w:pPr>
    </w:p>
    <w:p w14:paraId="38EC7017" w14:textId="77777777" w:rsidR="005E0589" w:rsidRPr="008E0161" w:rsidRDefault="005E0589" w:rsidP="005E0589">
      <w:pPr>
        <w:spacing w:after="0" w:line="240" w:lineRule="auto"/>
        <w:jc w:val="center"/>
        <w:rPr>
          <w:rFonts w:ascii="Verdana" w:eastAsia="Calibri" w:hAnsi="Verdana" w:cs="Arial"/>
          <w:b/>
          <w:bCs/>
          <w:lang w:eastAsia="es-ES"/>
        </w:rPr>
      </w:pPr>
      <w:r w:rsidRPr="008E0161">
        <w:rPr>
          <w:rFonts w:ascii="Verdana" w:eastAsia="Calibri" w:hAnsi="Verdana" w:cs="Arial"/>
          <w:b/>
          <w:bCs/>
          <w:lang w:eastAsia="es-ES"/>
        </w:rPr>
        <w:t xml:space="preserve">Concepto C – </w:t>
      </w:r>
      <w:r>
        <w:rPr>
          <w:rFonts w:ascii="Verdana" w:eastAsia="Calibri" w:hAnsi="Verdana" w:cs="Arial"/>
          <w:b/>
          <w:bCs/>
          <w:lang w:eastAsia="es-ES"/>
        </w:rPr>
        <w:t>1723</w:t>
      </w:r>
      <w:r w:rsidRPr="008E0161">
        <w:rPr>
          <w:rFonts w:ascii="Verdana" w:eastAsia="Calibri" w:hAnsi="Verdana" w:cs="Arial"/>
          <w:b/>
          <w:bCs/>
          <w:lang w:eastAsia="es-ES"/>
        </w:rPr>
        <w:t xml:space="preserve"> de 2025</w:t>
      </w:r>
    </w:p>
    <w:p w14:paraId="6194EE1B" w14:textId="77777777" w:rsidR="005E0589" w:rsidRPr="008E0161" w:rsidRDefault="005E0589" w:rsidP="005E0589">
      <w:pPr>
        <w:spacing w:after="0" w:line="240" w:lineRule="auto"/>
        <w:rPr>
          <w:rFonts w:ascii="Verdana" w:eastAsia="Calibri" w:hAnsi="Verdana" w:cs="Arial"/>
          <w:b/>
          <w:bCs/>
          <w:color w:val="000000"/>
          <w:lang w:eastAsia="es-ES_tradnl"/>
        </w:rPr>
      </w:pPr>
    </w:p>
    <w:tbl>
      <w:tblPr>
        <w:tblStyle w:val="Tablaconcuadrcula"/>
        <w:tblW w:w="8789"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5E0589" w:rsidRPr="008E0161" w14:paraId="2D902826" w14:textId="77777777" w:rsidTr="009219FD">
        <w:trPr>
          <w:trHeight w:val="884"/>
        </w:trPr>
        <w:tc>
          <w:tcPr>
            <w:tcW w:w="2689" w:type="dxa"/>
          </w:tcPr>
          <w:p w14:paraId="297F7427" w14:textId="77777777" w:rsidR="005E0589" w:rsidRPr="008E0161" w:rsidRDefault="005E0589" w:rsidP="009219FD">
            <w:pPr>
              <w:jc w:val="both"/>
              <w:rPr>
                <w:rFonts w:ascii="Verdana" w:eastAsia="Calibri" w:hAnsi="Verdana" w:cs="Arial"/>
                <w:color w:val="000000"/>
                <w:lang w:eastAsia="es-ES_tradnl"/>
              </w:rPr>
            </w:pPr>
            <w:r w:rsidRPr="008E0161">
              <w:rPr>
                <w:rFonts w:ascii="Verdana" w:eastAsia="Calibri" w:hAnsi="Verdana" w:cs="Arial"/>
                <w:b/>
                <w:color w:val="000000"/>
                <w:lang w:eastAsia="es-ES_tradnl"/>
              </w:rPr>
              <w:t>Temas:</w:t>
            </w:r>
            <w:r w:rsidRPr="008E0161">
              <w:rPr>
                <w:rFonts w:ascii="Verdana" w:eastAsia="Calibri" w:hAnsi="Verdana" w:cs="Arial"/>
                <w:color w:val="000000"/>
                <w:lang w:eastAsia="es-ES_tradnl"/>
              </w:rPr>
              <w:t xml:space="preserve">                   </w:t>
            </w:r>
          </w:p>
        </w:tc>
        <w:tc>
          <w:tcPr>
            <w:tcW w:w="6100" w:type="dxa"/>
          </w:tcPr>
          <w:p w14:paraId="1997B6B1" w14:textId="77777777" w:rsidR="005E0589" w:rsidRPr="008E0161" w:rsidRDefault="005E0589" w:rsidP="009219FD">
            <w:pPr>
              <w:jc w:val="both"/>
              <w:rPr>
                <w:rFonts w:ascii="Verdana" w:eastAsia="Calibri" w:hAnsi="Verdana" w:cs="Arial"/>
                <w:bCs/>
                <w:lang w:val="es-ES"/>
              </w:rPr>
            </w:pPr>
            <w:r w:rsidRPr="008E0161">
              <w:rPr>
                <w:rFonts w:ascii="Verdana" w:eastAsia="Calibri" w:hAnsi="Verdana" w:cs="Arial"/>
                <w:bCs/>
                <w:lang w:val="es-ES"/>
              </w:rPr>
              <w:t xml:space="preserve">GARANTÍA DE SERIEDAD – Finalidad / SERIEDAD DE LA OFERTA – Vigencia – Carácter estimativo </w:t>
            </w:r>
            <w:r>
              <w:rPr>
                <w:rFonts w:ascii="Verdana" w:eastAsia="Calibri" w:hAnsi="Verdana" w:cs="Arial"/>
                <w:bCs/>
                <w:lang w:val="es-ES"/>
              </w:rPr>
              <w:t xml:space="preserve">/ </w:t>
            </w:r>
            <w:r w:rsidRPr="007E6660">
              <w:rPr>
                <w:rFonts w:ascii="Verdana" w:eastAsia="Calibri" w:hAnsi="Verdana" w:cs="Arial"/>
                <w:bCs/>
                <w:lang w:val="es-ES"/>
              </w:rPr>
              <w:t>MÍNIMA CUANTÍA – Garantía de seriedad de la oferta – No obligatoriedad</w:t>
            </w:r>
          </w:p>
          <w:p w14:paraId="6C485274" w14:textId="77777777" w:rsidR="005E0589" w:rsidRPr="008E0161" w:rsidRDefault="005E0589" w:rsidP="009219FD">
            <w:pPr>
              <w:spacing w:line="276" w:lineRule="auto"/>
              <w:contextualSpacing/>
              <w:jc w:val="both"/>
              <w:rPr>
                <w:rFonts w:ascii="Verdana" w:eastAsia="Calibri" w:hAnsi="Verdana" w:cs="Arial"/>
                <w:lang w:eastAsia="es-ES"/>
              </w:rPr>
            </w:pPr>
          </w:p>
        </w:tc>
      </w:tr>
      <w:tr w:rsidR="005E0589" w:rsidRPr="008E0161" w14:paraId="3EBFB7DB" w14:textId="77777777" w:rsidTr="009219FD">
        <w:tc>
          <w:tcPr>
            <w:tcW w:w="2689" w:type="dxa"/>
          </w:tcPr>
          <w:p w14:paraId="0E6104F6" w14:textId="77777777" w:rsidR="005E0589" w:rsidRPr="008E0161" w:rsidRDefault="005E0589" w:rsidP="009219FD">
            <w:pPr>
              <w:jc w:val="both"/>
              <w:rPr>
                <w:rFonts w:ascii="Verdana" w:eastAsia="Calibri" w:hAnsi="Verdana" w:cs="Arial"/>
                <w:b/>
                <w:lang w:eastAsia="es-ES_tradnl"/>
              </w:rPr>
            </w:pPr>
            <w:r w:rsidRPr="008E0161">
              <w:rPr>
                <w:rFonts w:ascii="Verdana" w:eastAsia="Calibri" w:hAnsi="Verdana" w:cs="Arial"/>
                <w:b/>
                <w:lang w:eastAsia="es-ES_tradnl"/>
              </w:rPr>
              <w:t>Radicación:</w:t>
            </w:r>
            <w:r w:rsidRPr="008E0161">
              <w:rPr>
                <w:rFonts w:ascii="Verdana" w:eastAsia="Calibri" w:hAnsi="Verdana" w:cs="Arial"/>
                <w:lang w:eastAsia="es-ES_tradnl"/>
              </w:rPr>
              <w:t xml:space="preserve">               </w:t>
            </w:r>
          </w:p>
        </w:tc>
        <w:tc>
          <w:tcPr>
            <w:tcW w:w="6100" w:type="dxa"/>
          </w:tcPr>
          <w:p w14:paraId="3B080BF6" w14:textId="77777777" w:rsidR="005E0589" w:rsidRPr="008E0161" w:rsidRDefault="005E0589" w:rsidP="009219FD">
            <w:pPr>
              <w:jc w:val="both"/>
              <w:rPr>
                <w:rFonts w:ascii="Verdana" w:eastAsia="Calibri" w:hAnsi="Verdana" w:cs="Arial"/>
                <w:lang w:eastAsia="es-ES_tradnl"/>
              </w:rPr>
            </w:pPr>
            <w:r w:rsidRPr="008E0161">
              <w:rPr>
                <w:rFonts w:ascii="Verdana" w:eastAsia="Calibri" w:hAnsi="Verdana" w:cs="Arial"/>
                <w:lang w:eastAsia="es-ES_tradnl"/>
              </w:rPr>
              <w:t>Respuesta a la consulta con radicado No.</w:t>
            </w:r>
            <w:r w:rsidRPr="008E0161">
              <w:rPr>
                <w:rFonts w:ascii="Verdana" w:hAnsi="Verdana"/>
              </w:rPr>
              <w:t xml:space="preserve"> </w:t>
            </w:r>
            <w:r w:rsidRPr="00EA0370">
              <w:rPr>
                <w:rFonts w:ascii="Verdana" w:hAnsi="Verdana"/>
              </w:rPr>
              <w:t>1_2025_11_21_013152</w:t>
            </w:r>
          </w:p>
        </w:tc>
      </w:tr>
    </w:tbl>
    <w:p w14:paraId="5BFD1E14" w14:textId="77777777" w:rsidR="005E0589" w:rsidRPr="008E0161" w:rsidRDefault="005E0589" w:rsidP="005E0589">
      <w:pPr>
        <w:spacing w:after="0" w:line="240" w:lineRule="auto"/>
        <w:jc w:val="both"/>
        <w:rPr>
          <w:rFonts w:ascii="Verdana" w:eastAsia="Calibri" w:hAnsi="Verdana" w:cs="Arial"/>
          <w:color w:val="000000"/>
          <w:lang w:eastAsia="es-ES_tradnl"/>
        </w:rPr>
      </w:pPr>
    </w:p>
    <w:p w14:paraId="1877D716" w14:textId="77777777" w:rsidR="005E0589" w:rsidRPr="008E0161" w:rsidRDefault="005E0589" w:rsidP="005E0589">
      <w:pPr>
        <w:spacing w:after="0" w:line="240" w:lineRule="auto"/>
        <w:jc w:val="both"/>
        <w:rPr>
          <w:rFonts w:ascii="Verdana" w:eastAsia="Calibri" w:hAnsi="Verdana" w:cs="Arial"/>
          <w:color w:val="000000"/>
          <w:lang w:eastAsia="es-ES_tradnl"/>
        </w:rPr>
      </w:pPr>
    </w:p>
    <w:p w14:paraId="48831719" w14:textId="77777777" w:rsidR="005E0589" w:rsidRPr="008E0161" w:rsidRDefault="005E0589" w:rsidP="005E0589">
      <w:pPr>
        <w:spacing w:after="0" w:line="276" w:lineRule="auto"/>
        <w:jc w:val="both"/>
        <w:rPr>
          <w:rFonts w:ascii="Verdana" w:eastAsia="Calibri" w:hAnsi="Verdana" w:cs="Arial"/>
          <w:lang w:eastAsia="es-ES"/>
        </w:rPr>
      </w:pPr>
      <w:r w:rsidRPr="008E0161">
        <w:rPr>
          <w:rFonts w:ascii="Verdana" w:eastAsia="Calibri" w:hAnsi="Verdana" w:cs="Arial"/>
          <w:lang w:eastAsia="es-ES"/>
        </w:rPr>
        <w:t xml:space="preserve">Estimado señor </w:t>
      </w:r>
      <w:r>
        <w:rPr>
          <w:rFonts w:ascii="Verdana" w:eastAsia="Calibri" w:hAnsi="Verdana" w:cs="Arial"/>
          <w:lang w:eastAsia="es-ES"/>
        </w:rPr>
        <w:t>Carbajal</w:t>
      </w:r>
      <w:r w:rsidRPr="008E0161">
        <w:rPr>
          <w:rFonts w:ascii="Verdana" w:eastAsia="Calibri" w:hAnsi="Verdana" w:cs="Arial"/>
          <w:lang w:eastAsia="es-ES"/>
        </w:rPr>
        <w:t xml:space="preserve">: </w:t>
      </w:r>
    </w:p>
    <w:p w14:paraId="6819E515" w14:textId="77777777" w:rsidR="005E0589" w:rsidRPr="008E0161" w:rsidRDefault="005E0589" w:rsidP="005E0589">
      <w:pPr>
        <w:tabs>
          <w:tab w:val="left" w:pos="3768"/>
        </w:tabs>
        <w:spacing w:after="0" w:line="276" w:lineRule="auto"/>
        <w:jc w:val="both"/>
        <w:rPr>
          <w:rFonts w:ascii="Verdana" w:eastAsia="Calibri" w:hAnsi="Verdana" w:cs="Arial"/>
          <w:color w:val="000000" w:themeColor="text1"/>
          <w:lang w:eastAsia="es-ES"/>
        </w:rPr>
      </w:pPr>
      <w:r w:rsidRPr="008E0161">
        <w:rPr>
          <w:rFonts w:ascii="Verdana" w:eastAsia="Calibri" w:hAnsi="Verdana" w:cs="Arial"/>
          <w:color w:val="000000" w:themeColor="text1"/>
          <w:lang w:eastAsia="es-ES"/>
        </w:rPr>
        <w:tab/>
      </w:r>
    </w:p>
    <w:p w14:paraId="44765003" w14:textId="77777777" w:rsidR="005E0589" w:rsidRPr="008E0161" w:rsidRDefault="005E0589" w:rsidP="005E0589">
      <w:pPr>
        <w:spacing w:after="120" w:line="276" w:lineRule="auto"/>
        <w:jc w:val="both"/>
        <w:rPr>
          <w:rFonts w:ascii="Verdana" w:eastAsia="Calibri" w:hAnsi="Verdana" w:cs="Arial"/>
          <w:i/>
          <w:iCs/>
          <w:lang w:eastAsia="es-ES"/>
        </w:rPr>
      </w:pPr>
      <w:r w:rsidRPr="008E0161">
        <w:rPr>
          <w:rFonts w:ascii="Verdana" w:eastAsia="Calibri" w:hAnsi="Verdana" w:cs="Arial"/>
          <w:color w:val="000000" w:themeColor="text1"/>
          <w:lang w:eastAsia="es-ES"/>
        </w:rPr>
        <w:t>En ejercicio de la competencia otorgada por los artículos 3, numeral 5º, y 11, numeral 8º, del Decreto Ley 4170 de 2011,</w:t>
      </w:r>
      <w:r w:rsidRPr="008E0161">
        <w:rPr>
          <w:rFonts w:ascii="Verdana" w:eastAsia="Arial MT" w:hAnsi="Verdana" w:cs="Arial MT"/>
          <w:lang w:eastAsia="es-ES"/>
        </w:rPr>
        <w:t xml:space="preserve"> </w:t>
      </w:r>
      <w:r w:rsidRPr="008E0161">
        <w:rPr>
          <w:rFonts w:ascii="Verdana" w:hAnsi="Verdana" w:cs="Arial"/>
        </w:rPr>
        <w:t xml:space="preserve">así como lo establecido en el artículo 4 de la Resolución 1707 de 2018 expedida por esta Entidad, </w:t>
      </w:r>
      <w:r w:rsidRPr="008E0161">
        <w:rPr>
          <w:rFonts w:ascii="Verdana" w:eastAsia="Calibri" w:hAnsi="Verdana" w:cs="Arial"/>
          <w:color w:val="000000" w:themeColor="text1"/>
          <w:lang w:eastAsia="es-ES"/>
        </w:rPr>
        <w:t xml:space="preserve">la Agencia Nacional de Contratación Pública – Colombia Compra Eficiente responde su solicitud de concepto del </w:t>
      </w:r>
      <w:r>
        <w:rPr>
          <w:rFonts w:ascii="Verdana" w:eastAsia="Calibri" w:hAnsi="Verdana" w:cs="Arial"/>
          <w:color w:val="000000" w:themeColor="text1"/>
          <w:lang w:eastAsia="es-ES"/>
        </w:rPr>
        <w:t>21</w:t>
      </w:r>
      <w:r w:rsidRPr="008E0161">
        <w:rPr>
          <w:rFonts w:ascii="Verdana" w:eastAsia="Calibri" w:hAnsi="Verdana" w:cs="Arial"/>
          <w:color w:val="000000" w:themeColor="text1"/>
          <w:lang w:eastAsia="es-ES"/>
        </w:rPr>
        <w:t xml:space="preserve"> de </w:t>
      </w:r>
      <w:r>
        <w:rPr>
          <w:rFonts w:ascii="Verdana" w:eastAsia="Calibri" w:hAnsi="Verdana" w:cs="Arial"/>
          <w:color w:val="000000" w:themeColor="text1"/>
          <w:lang w:eastAsia="es-ES"/>
        </w:rPr>
        <w:t>noviembre</w:t>
      </w:r>
      <w:r w:rsidRPr="008E0161">
        <w:rPr>
          <w:rFonts w:ascii="Verdana" w:eastAsia="Calibri" w:hAnsi="Verdana" w:cs="Arial"/>
          <w:color w:val="000000" w:themeColor="text1"/>
          <w:lang w:eastAsia="es-ES"/>
        </w:rPr>
        <w:t xml:space="preserve"> de 2025,</w:t>
      </w:r>
      <w:r>
        <w:rPr>
          <w:rFonts w:ascii="Verdana" w:eastAsia="Calibri" w:hAnsi="Verdana" w:cs="Arial"/>
          <w:color w:val="000000" w:themeColor="text1"/>
          <w:lang w:eastAsia="es-ES"/>
        </w:rPr>
        <w:t xml:space="preserve"> remitida por el Departamento Administrativo de la Función Pública mediante radicado No. </w:t>
      </w:r>
      <w:r w:rsidRPr="00EA18CF">
        <w:rPr>
          <w:rFonts w:ascii="Verdana" w:eastAsia="Calibri" w:hAnsi="Verdana" w:cs="Arial"/>
          <w:color w:val="000000" w:themeColor="text1"/>
          <w:lang w:eastAsia="es-ES"/>
        </w:rPr>
        <w:t>20252040560081</w:t>
      </w:r>
      <w:r>
        <w:rPr>
          <w:rFonts w:ascii="Verdana" w:eastAsia="Calibri" w:hAnsi="Verdana" w:cs="Arial"/>
          <w:color w:val="000000" w:themeColor="text1"/>
          <w:lang w:eastAsia="es-ES"/>
        </w:rPr>
        <w:t>,</w:t>
      </w:r>
      <w:r w:rsidRPr="008E0161">
        <w:rPr>
          <w:rFonts w:ascii="Verdana" w:eastAsia="Calibri" w:hAnsi="Verdana" w:cs="Arial"/>
          <w:lang w:eastAsia="es-ES"/>
        </w:rPr>
        <w:t xml:space="preserve"> en la cual consulta sobre lo siguiente:</w:t>
      </w:r>
      <w:r w:rsidRPr="008E0161">
        <w:rPr>
          <w:rFonts w:ascii="Verdana" w:eastAsia="Calibri" w:hAnsi="Verdana" w:cs="Arial"/>
          <w:i/>
          <w:iCs/>
          <w:lang w:eastAsia="es-ES"/>
        </w:rPr>
        <w:t xml:space="preserve"> </w:t>
      </w:r>
      <w:bookmarkStart w:id="2" w:name="_Hlk95313578"/>
    </w:p>
    <w:p w14:paraId="09E866D3" w14:textId="77777777" w:rsidR="005E0589" w:rsidRPr="008E0161" w:rsidRDefault="005E0589" w:rsidP="005E0589">
      <w:pPr>
        <w:spacing w:after="0" w:line="276" w:lineRule="auto"/>
        <w:jc w:val="both"/>
        <w:rPr>
          <w:rFonts w:ascii="Verdana" w:eastAsia="Calibri" w:hAnsi="Verdana" w:cs="Arial"/>
          <w:i/>
          <w:iCs/>
          <w:lang w:eastAsia="es-ES"/>
        </w:rPr>
      </w:pPr>
    </w:p>
    <w:bookmarkEnd w:id="2"/>
    <w:p w14:paraId="33BD5710" w14:textId="77777777" w:rsidR="005E0589" w:rsidRPr="00135928" w:rsidRDefault="005E0589" w:rsidP="005E0589">
      <w:pPr>
        <w:spacing w:after="0" w:line="240" w:lineRule="auto"/>
        <w:ind w:left="709" w:right="618"/>
        <w:jc w:val="both"/>
        <w:rPr>
          <w:rFonts w:ascii="Verdana" w:eastAsia="Arial" w:hAnsi="Verdana" w:cs="Arial"/>
          <w:i/>
          <w:color w:val="000000"/>
          <w:sz w:val="20"/>
          <w:szCs w:val="20"/>
        </w:rPr>
      </w:pPr>
      <w:r>
        <w:rPr>
          <w:rFonts w:ascii="Verdana" w:eastAsia="Arial" w:hAnsi="Verdana" w:cs="Arial"/>
          <w:i/>
          <w:color w:val="000000"/>
          <w:sz w:val="20"/>
          <w:szCs w:val="20"/>
        </w:rPr>
        <w:t>“</w:t>
      </w:r>
      <w:r w:rsidRPr="00135928">
        <w:rPr>
          <w:rFonts w:ascii="Verdana" w:eastAsia="Arial" w:hAnsi="Verdana" w:cs="Arial"/>
          <w:i/>
          <w:color w:val="000000"/>
          <w:sz w:val="20"/>
          <w:szCs w:val="20"/>
        </w:rPr>
        <w:t>Teniendo en cuenta lo dispuesto en el artículo 2.2.1.2.1.4.5 del Decreto 1082 de 2015, el cual establece</w:t>
      </w:r>
      <w:r>
        <w:rPr>
          <w:rFonts w:ascii="Verdana" w:eastAsia="Arial" w:hAnsi="Verdana" w:cs="Arial"/>
          <w:i/>
          <w:color w:val="000000"/>
          <w:sz w:val="20"/>
          <w:szCs w:val="20"/>
        </w:rPr>
        <w:t xml:space="preserve"> </w:t>
      </w:r>
      <w:r w:rsidRPr="00135928">
        <w:rPr>
          <w:rFonts w:ascii="Verdana" w:eastAsia="Arial" w:hAnsi="Verdana" w:cs="Arial"/>
          <w:i/>
          <w:color w:val="000000"/>
          <w:sz w:val="20"/>
          <w:szCs w:val="20"/>
        </w:rPr>
        <w:t>que las garantías no serán obligatorias en los contratos cuyo valor sea inferior al diez por ciento (10%) de</w:t>
      </w:r>
      <w:r>
        <w:rPr>
          <w:rFonts w:ascii="Verdana" w:eastAsia="Arial" w:hAnsi="Verdana" w:cs="Arial"/>
          <w:i/>
          <w:color w:val="000000"/>
          <w:sz w:val="20"/>
          <w:szCs w:val="20"/>
        </w:rPr>
        <w:t xml:space="preserve"> </w:t>
      </w:r>
      <w:r w:rsidRPr="00135928">
        <w:rPr>
          <w:rFonts w:ascii="Verdana" w:eastAsia="Arial" w:hAnsi="Verdana" w:cs="Arial"/>
          <w:i/>
          <w:color w:val="000000"/>
          <w:sz w:val="20"/>
          <w:szCs w:val="20"/>
        </w:rPr>
        <w:t>la menor cuantía de la entidad estatal, se solicita su concepto sobre la siguiente cuestión:</w:t>
      </w:r>
    </w:p>
    <w:p w14:paraId="01C1D350" w14:textId="77777777" w:rsidR="005E0589" w:rsidRPr="00135928" w:rsidRDefault="005E0589" w:rsidP="005E0589">
      <w:pPr>
        <w:spacing w:after="0" w:line="240" w:lineRule="auto"/>
        <w:ind w:left="709" w:right="618"/>
        <w:jc w:val="both"/>
        <w:rPr>
          <w:rFonts w:ascii="Verdana" w:eastAsia="Arial" w:hAnsi="Verdana" w:cs="Arial"/>
          <w:i/>
          <w:color w:val="000000"/>
          <w:sz w:val="20"/>
          <w:szCs w:val="20"/>
        </w:rPr>
      </w:pPr>
      <w:r w:rsidRPr="00135928">
        <w:rPr>
          <w:rFonts w:ascii="Verdana" w:eastAsia="Arial" w:hAnsi="Verdana" w:cs="Arial"/>
          <w:i/>
          <w:color w:val="000000"/>
          <w:sz w:val="20"/>
          <w:szCs w:val="20"/>
        </w:rPr>
        <w:lastRenderedPageBreak/>
        <w:t>¿Es jurídicamente viable que la Entidad exija la garantía de seriedad de la oferta en un proceso</w:t>
      </w:r>
      <w:r>
        <w:rPr>
          <w:rFonts w:ascii="Verdana" w:eastAsia="Arial" w:hAnsi="Verdana" w:cs="Arial"/>
          <w:i/>
          <w:color w:val="000000"/>
          <w:sz w:val="20"/>
          <w:szCs w:val="20"/>
        </w:rPr>
        <w:t xml:space="preserve"> </w:t>
      </w:r>
      <w:r w:rsidRPr="00135928">
        <w:rPr>
          <w:rFonts w:ascii="Verdana" w:eastAsia="Arial" w:hAnsi="Verdana" w:cs="Arial"/>
          <w:i/>
          <w:color w:val="000000"/>
          <w:sz w:val="20"/>
          <w:szCs w:val="20"/>
        </w:rPr>
        <w:t>contractual adelantado bajo la modalidad de mínima cuantía?</w:t>
      </w:r>
    </w:p>
    <w:p w14:paraId="03D45705" w14:textId="77777777" w:rsidR="005E0589" w:rsidRPr="00135928" w:rsidRDefault="005E0589" w:rsidP="005E0589">
      <w:pPr>
        <w:spacing w:after="0" w:line="240" w:lineRule="auto"/>
        <w:ind w:left="709" w:right="618"/>
        <w:jc w:val="both"/>
        <w:rPr>
          <w:rFonts w:ascii="Verdana" w:eastAsia="Arial" w:hAnsi="Verdana" w:cs="Arial"/>
          <w:i/>
          <w:color w:val="000000"/>
          <w:sz w:val="20"/>
          <w:szCs w:val="20"/>
        </w:rPr>
      </w:pPr>
      <w:r w:rsidRPr="00135928">
        <w:rPr>
          <w:rFonts w:ascii="Verdana" w:eastAsia="Arial" w:hAnsi="Verdana" w:cs="Arial"/>
          <w:i/>
          <w:color w:val="000000"/>
          <w:sz w:val="20"/>
          <w:szCs w:val="20"/>
        </w:rPr>
        <w:t>La presente consulta se formula con el fin de determinar si la solicitud de esta garantía resulta</w:t>
      </w:r>
      <w:r>
        <w:rPr>
          <w:rFonts w:ascii="Verdana" w:eastAsia="Arial" w:hAnsi="Verdana" w:cs="Arial"/>
          <w:i/>
          <w:color w:val="000000"/>
          <w:sz w:val="20"/>
          <w:szCs w:val="20"/>
        </w:rPr>
        <w:t xml:space="preserve"> </w:t>
      </w:r>
      <w:r w:rsidRPr="00135928">
        <w:rPr>
          <w:rFonts w:ascii="Verdana" w:eastAsia="Arial" w:hAnsi="Verdana" w:cs="Arial"/>
          <w:i/>
          <w:color w:val="000000"/>
          <w:sz w:val="20"/>
          <w:szCs w:val="20"/>
        </w:rPr>
        <w:t>procedente y compatible con los principios de economía, eficacia y transparencia que rigen la</w:t>
      </w:r>
      <w:r>
        <w:rPr>
          <w:rFonts w:ascii="Verdana" w:eastAsia="Arial" w:hAnsi="Verdana" w:cs="Arial"/>
          <w:i/>
          <w:color w:val="000000"/>
          <w:sz w:val="20"/>
          <w:szCs w:val="20"/>
        </w:rPr>
        <w:t xml:space="preserve"> </w:t>
      </w:r>
      <w:r w:rsidRPr="00135928">
        <w:rPr>
          <w:rFonts w:ascii="Verdana" w:eastAsia="Arial" w:hAnsi="Verdana" w:cs="Arial"/>
          <w:i/>
          <w:color w:val="000000"/>
          <w:sz w:val="20"/>
          <w:szCs w:val="20"/>
        </w:rPr>
        <w:t>contratación estatal, o si, por el contrario, su exigencia podría configurarse como una restricción</w:t>
      </w:r>
      <w:r>
        <w:rPr>
          <w:rFonts w:ascii="Verdana" w:eastAsia="Arial" w:hAnsi="Verdana" w:cs="Arial"/>
          <w:i/>
          <w:color w:val="000000"/>
          <w:sz w:val="20"/>
          <w:szCs w:val="20"/>
        </w:rPr>
        <w:t xml:space="preserve"> </w:t>
      </w:r>
      <w:r w:rsidRPr="00135928">
        <w:rPr>
          <w:rFonts w:ascii="Verdana" w:eastAsia="Arial" w:hAnsi="Verdana" w:cs="Arial"/>
          <w:i/>
          <w:color w:val="000000"/>
          <w:sz w:val="20"/>
          <w:szCs w:val="20"/>
        </w:rPr>
        <w:t>injustificada de la participación de los oferentes.</w:t>
      </w:r>
    </w:p>
    <w:p w14:paraId="041AFBB7" w14:textId="77777777" w:rsidR="005E0589" w:rsidRPr="008E0161" w:rsidRDefault="005E0589" w:rsidP="005E0589">
      <w:pPr>
        <w:spacing w:after="0" w:line="240" w:lineRule="auto"/>
        <w:ind w:left="709" w:right="618"/>
        <w:jc w:val="both"/>
        <w:rPr>
          <w:rFonts w:ascii="Verdana" w:hAnsi="Verdana"/>
          <w:i/>
        </w:rPr>
      </w:pPr>
      <w:r w:rsidRPr="00135928">
        <w:rPr>
          <w:rFonts w:ascii="Verdana" w:eastAsia="Arial" w:hAnsi="Verdana" w:cs="Arial"/>
          <w:i/>
          <w:color w:val="000000"/>
          <w:sz w:val="20"/>
          <w:szCs w:val="20"/>
        </w:rPr>
        <w:t>Asimismo, se observa que en procesos anteriores adelantados bajo la misma modalidad, la Entidad no</w:t>
      </w:r>
      <w:r>
        <w:rPr>
          <w:rFonts w:ascii="Verdana" w:eastAsia="Arial" w:hAnsi="Verdana" w:cs="Arial"/>
          <w:i/>
          <w:color w:val="000000"/>
          <w:sz w:val="20"/>
          <w:szCs w:val="20"/>
        </w:rPr>
        <w:t xml:space="preserve"> </w:t>
      </w:r>
      <w:r w:rsidRPr="00135928">
        <w:rPr>
          <w:rFonts w:ascii="Verdana" w:eastAsia="Arial" w:hAnsi="Verdana" w:cs="Arial"/>
          <w:i/>
          <w:color w:val="000000"/>
          <w:sz w:val="20"/>
          <w:szCs w:val="20"/>
        </w:rPr>
        <w:t>ha exigido este tipo de garantía</w:t>
      </w:r>
      <w:r w:rsidRPr="008E0161">
        <w:rPr>
          <w:rFonts w:ascii="Verdana" w:hAnsi="Verdana"/>
          <w:i/>
        </w:rPr>
        <w:t>”</w:t>
      </w:r>
      <w:r>
        <w:rPr>
          <w:rFonts w:ascii="Verdana" w:hAnsi="Verdana"/>
          <w:i/>
        </w:rPr>
        <w:t>.</w:t>
      </w:r>
    </w:p>
    <w:p w14:paraId="1A375BFD" w14:textId="77777777" w:rsidR="005E0589" w:rsidRPr="008E0161" w:rsidRDefault="005E0589" w:rsidP="005E0589">
      <w:pPr>
        <w:spacing w:after="0" w:line="276" w:lineRule="auto"/>
        <w:ind w:left="709" w:right="618"/>
        <w:jc w:val="both"/>
        <w:rPr>
          <w:rFonts w:ascii="Verdana" w:eastAsia="Calibri" w:hAnsi="Verdana" w:cs="Arial"/>
          <w:i/>
          <w:iCs/>
          <w:lang w:eastAsia="es-ES"/>
        </w:rPr>
      </w:pPr>
    </w:p>
    <w:p w14:paraId="58D0AC30" w14:textId="77777777" w:rsidR="005E0589" w:rsidRPr="008E0161" w:rsidRDefault="005E0589" w:rsidP="005E0589">
      <w:pPr>
        <w:spacing w:after="120" w:line="276" w:lineRule="auto"/>
        <w:ind w:firstLine="709"/>
        <w:jc w:val="both"/>
        <w:rPr>
          <w:rFonts w:ascii="Verdana" w:eastAsia="Calibri" w:hAnsi="Verdana" w:cs="Arial"/>
          <w:color w:val="000000"/>
          <w:lang w:eastAsia="es-ES"/>
        </w:rPr>
      </w:pPr>
      <w:r w:rsidRPr="008E0161">
        <w:rPr>
          <w:rFonts w:ascii="Verdana" w:eastAsia="Calibri" w:hAnsi="Verdana" w:cs="Arial"/>
          <w:color w:val="000000"/>
          <w:lang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8E0161">
        <w:rPr>
          <w:rFonts w:ascii="Verdana" w:eastAsia="Calibri" w:hAnsi="Verdana" w:cs="Arial"/>
          <w:color w:val="000000"/>
          <w:szCs w:val="24"/>
          <w:lang w:eastAsia="es-ES_tradnl"/>
        </w:rPr>
        <w:tab/>
      </w:r>
    </w:p>
    <w:p w14:paraId="586A97FC" w14:textId="77777777" w:rsidR="005E0589" w:rsidRPr="008E0161" w:rsidRDefault="005E0589" w:rsidP="005E0589">
      <w:pPr>
        <w:spacing w:after="0" w:line="276" w:lineRule="auto"/>
        <w:ind w:firstLine="709"/>
        <w:jc w:val="both"/>
        <w:rPr>
          <w:rFonts w:ascii="Verdana" w:eastAsia="Calibri" w:hAnsi="Verdana" w:cs="Arial"/>
          <w:color w:val="000000"/>
          <w:lang w:eastAsia="es-ES"/>
        </w:rPr>
      </w:pPr>
      <w:r w:rsidRPr="008E0161">
        <w:rPr>
          <w:rFonts w:ascii="Verdana" w:eastAsia="Calibri" w:hAnsi="Verdana" w:cs="Arial"/>
          <w:color w:val="000000"/>
          <w:lang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las preguntas de la petición, pero haciendo unas consideraciones sobre las normas generales relacionadas con </w:t>
      </w:r>
      <w:r>
        <w:rPr>
          <w:rFonts w:ascii="Verdana" w:eastAsia="Calibri" w:hAnsi="Verdana" w:cs="Arial"/>
          <w:color w:val="000000"/>
          <w:lang w:eastAsia="es-ES"/>
        </w:rPr>
        <w:t>el</w:t>
      </w:r>
      <w:r w:rsidRPr="008E0161">
        <w:rPr>
          <w:rFonts w:ascii="Verdana" w:eastAsia="Calibri" w:hAnsi="Verdana" w:cs="Arial"/>
          <w:color w:val="7030A0"/>
          <w:lang w:eastAsia="es-ES"/>
        </w:rPr>
        <w:t xml:space="preserve"> </w:t>
      </w:r>
      <w:r w:rsidRPr="008E0161">
        <w:rPr>
          <w:rFonts w:ascii="Verdana" w:eastAsia="Calibri" w:hAnsi="Verdana" w:cs="Arial"/>
          <w:color w:val="000000"/>
          <w:lang w:eastAsia="es-ES"/>
        </w:rPr>
        <w:t>problema</w:t>
      </w:r>
      <w:r w:rsidRPr="008E0161">
        <w:rPr>
          <w:rFonts w:ascii="Verdana" w:eastAsia="Calibri" w:hAnsi="Verdana" w:cs="Arial"/>
          <w:color w:val="7030A0"/>
          <w:lang w:eastAsia="es-ES"/>
        </w:rPr>
        <w:t xml:space="preserve"> </w:t>
      </w:r>
      <w:r w:rsidRPr="008E0161">
        <w:rPr>
          <w:rFonts w:ascii="Verdana" w:eastAsia="Calibri" w:hAnsi="Verdana" w:cs="Arial"/>
          <w:color w:val="000000"/>
          <w:lang w:eastAsia="es-ES"/>
        </w:rPr>
        <w:t>jurídico</w:t>
      </w:r>
      <w:r w:rsidRPr="008E0161">
        <w:rPr>
          <w:rFonts w:ascii="Verdana" w:eastAsia="Calibri" w:hAnsi="Verdana" w:cs="Arial"/>
          <w:color w:val="7030A0"/>
          <w:lang w:eastAsia="es-ES"/>
        </w:rPr>
        <w:t xml:space="preserve"> </w:t>
      </w:r>
      <w:r w:rsidRPr="008E0161">
        <w:rPr>
          <w:rFonts w:ascii="Verdana" w:eastAsia="Calibri" w:hAnsi="Verdana" w:cs="Arial"/>
          <w:color w:val="000000"/>
          <w:lang w:eastAsia="es-ES"/>
        </w:rPr>
        <w:t xml:space="preserve">de su consulta. </w:t>
      </w:r>
    </w:p>
    <w:p w14:paraId="0C5583A1" w14:textId="77777777" w:rsidR="005E0589" w:rsidRPr="008E0161" w:rsidRDefault="005E0589" w:rsidP="005E0589">
      <w:pPr>
        <w:spacing w:after="0" w:line="276" w:lineRule="auto"/>
        <w:ind w:firstLine="709"/>
        <w:jc w:val="both"/>
        <w:rPr>
          <w:rFonts w:ascii="Verdana" w:eastAsia="Calibri" w:hAnsi="Verdana" w:cs="Arial"/>
          <w:color w:val="000000"/>
          <w:lang w:eastAsia="es-ES"/>
        </w:rPr>
      </w:pPr>
    </w:p>
    <w:p w14:paraId="47A76C3D" w14:textId="77777777" w:rsidR="005E0589" w:rsidRPr="008E0161" w:rsidRDefault="005E0589" w:rsidP="005E0589">
      <w:pPr>
        <w:numPr>
          <w:ilvl w:val="0"/>
          <w:numId w:val="16"/>
        </w:numPr>
        <w:tabs>
          <w:tab w:val="left" w:pos="142"/>
          <w:tab w:val="left" w:pos="284"/>
        </w:tabs>
        <w:spacing w:after="0" w:line="276" w:lineRule="auto"/>
        <w:jc w:val="both"/>
        <w:rPr>
          <w:rFonts w:ascii="Verdana" w:eastAsia="Century Gothic" w:hAnsi="Verdana" w:cs="Century Gothic"/>
          <w:b/>
          <w:bCs/>
        </w:rPr>
      </w:pPr>
      <w:r w:rsidRPr="008E0161">
        <w:rPr>
          <w:rFonts w:ascii="Verdana" w:eastAsia="Century Gothic" w:hAnsi="Verdana" w:cs="Century Gothic"/>
          <w:b/>
          <w:bCs/>
        </w:rPr>
        <w:t>Problema planteado:</w:t>
      </w:r>
    </w:p>
    <w:p w14:paraId="7CF03533" w14:textId="77777777" w:rsidR="005E0589" w:rsidRPr="008E0161" w:rsidRDefault="005E0589" w:rsidP="005E0589">
      <w:pPr>
        <w:tabs>
          <w:tab w:val="left" w:pos="426"/>
        </w:tabs>
        <w:spacing w:after="0" w:line="276" w:lineRule="auto"/>
        <w:jc w:val="both"/>
        <w:rPr>
          <w:rFonts w:ascii="Verdana" w:eastAsia="Century Gothic" w:hAnsi="Verdana" w:cs="Century Gothic"/>
        </w:rPr>
      </w:pPr>
    </w:p>
    <w:p w14:paraId="2635EBF3" w14:textId="77777777" w:rsidR="005E0589" w:rsidRPr="008E0161" w:rsidRDefault="005E0589" w:rsidP="005E0589">
      <w:pPr>
        <w:spacing w:after="0" w:line="276" w:lineRule="auto"/>
        <w:jc w:val="both"/>
        <w:rPr>
          <w:rFonts w:ascii="Verdana" w:eastAsia="Century Gothic" w:hAnsi="Verdana" w:cs="Century Gothic"/>
        </w:rPr>
      </w:pPr>
      <w:r w:rsidRPr="008E0161">
        <w:rPr>
          <w:rFonts w:ascii="Verdana" w:eastAsia="Century Gothic" w:hAnsi="Verdana" w:cs="Century Gothic"/>
        </w:rPr>
        <w:t>De acuerdo con el contenido de su solicitud, esta Agencia resolverá el siguiente problema jurídico: ¿</w:t>
      </w:r>
      <w:r>
        <w:rPr>
          <w:rFonts w:ascii="Verdana" w:eastAsia="Century Gothic" w:hAnsi="Verdana" w:cs="Century Gothic"/>
          <w:lang w:val="es-ES"/>
        </w:rPr>
        <w:t>Se puede exigir la garantía de seriedad de la oferta en los procesos de selección de mínima cuantía con el Estado</w:t>
      </w:r>
      <w:r w:rsidRPr="008E0161">
        <w:rPr>
          <w:rFonts w:ascii="Verdana" w:eastAsia="Century Gothic" w:hAnsi="Verdana" w:cs="Century Gothic"/>
        </w:rPr>
        <w:t xml:space="preserve">? </w:t>
      </w:r>
    </w:p>
    <w:p w14:paraId="7DA99E05" w14:textId="77777777" w:rsidR="005E0589" w:rsidRPr="008E0161" w:rsidRDefault="005E0589" w:rsidP="005E0589">
      <w:pPr>
        <w:spacing w:after="0" w:line="276" w:lineRule="auto"/>
        <w:jc w:val="both"/>
        <w:rPr>
          <w:rFonts w:ascii="Verdana" w:eastAsia="Century Gothic" w:hAnsi="Verdana" w:cs="Century Gothic"/>
        </w:rPr>
      </w:pPr>
    </w:p>
    <w:p w14:paraId="6F20105D" w14:textId="77777777" w:rsidR="005E0589" w:rsidRPr="008E0161" w:rsidRDefault="005E0589" w:rsidP="005E0589">
      <w:pPr>
        <w:numPr>
          <w:ilvl w:val="0"/>
          <w:numId w:val="16"/>
        </w:numPr>
        <w:tabs>
          <w:tab w:val="left" w:pos="142"/>
          <w:tab w:val="left" w:pos="284"/>
        </w:tabs>
        <w:spacing w:after="0" w:line="276" w:lineRule="auto"/>
        <w:jc w:val="both"/>
        <w:rPr>
          <w:rFonts w:ascii="Verdana" w:eastAsia="Century Gothic" w:hAnsi="Verdana" w:cs="Century Gothic"/>
          <w:b/>
          <w:bCs/>
        </w:rPr>
      </w:pPr>
      <w:r w:rsidRPr="008E0161">
        <w:rPr>
          <w:rFonts w:ascii="Verdana" w:eastAsia="Century Gothic" w:hAnsi="Verdana" w:cs="Century Gothic"/>
          <w:b/>
          <w:bCs/>
        </w:rPr>
        <w:t>Respuesta:</w:t>
      </w:r>
    </w:p>
    <w:p w14:paraId="3C20A504" w14:textId="77777777" w:rsidR="005E0589" w:rsidRPr="008E0161" w:rsidRDefault="005E0589" w:rsidP="005E0589">
      <w:pPr>
        <w:tabs>
          <w:tab w:val="left" w:pos="142"/>
          <w:tab w:val="left" w:pos="284"/>
        </w:tabs>
        <w:spacing w:after="0" w:line="276" w:lineRule="auto"/>
        <w:jc w:val="both"/>
        <w:rPr>
          <w:rFonts w:ascii="Verdana" w:eastAsia="Century Gothic" w:hAnsi="Verdana" w:cs="Century Gothic"/>
          <w:b/>
          <w:bCs/>
        </w:rPr>
      </w:pPr>
    </w:p>
    <w:tbl>
      <w:tblPr>
        <w:tblStyle w:val="Tablaconcuadrcula"/>
        <w:tblW w:w="0" w:type="auto"/>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5E0589" w:rsidRPr="008E0161" w14:paraId="34AC6341" w14:textId="77777777" w:rsidTr="009219FD">
        <w:trPr>
          <w:trHeight w:val="693"/>
          <w:jc w:val="center"/>
        </w:trPr>
        <w:tc>
          <w:tcPr>
            <w:tcW w:w="8828" w:type="dxa"/>
          </w:tcPr>
          <w:p w14:paraId="4B674D37" w14:textId="77777777" w:rsidR="005E0589" w:rsidRDefault="005E0589" w:rsidP="009219FD">
            <w:pPr>
              <w:spacing w:after="120" w:line="276" w:lineRule="auto"/>
              <w:jc w:val="both"/>
              <w:rPr>
                <w:rFonts w:ascii="Verdana" w:hAnsi="Verdana"/>
              </w:rPr>
            </w:pPr>
            <w:bookmarkStart w:id="3" w:name="_Hlk171694685"/>
            <w:r>
              <w:rPr>
                <w:rFonts w:ascii="Verdana" w:hAnsi="Verdana"/>
                <w:lang w:val="es-ES"/>
              </w:rPr>
              <w:lastRenderedPageBreak/>
              <w:t xml:space="preserve">En primer lugar, es claro que, por virtud del inciso primero del artículo 7 de la Ley 1150 de 2007, </w:t>
            </w:r>
            <w:r w:rsidRPr="00B778A4">
              <w:rPr>
                <w:rFonts w:ascii="Verdana" w:hAnsi="Verdana"/>
                <w:i/>
                <w:iCs/>
                <w:lang w:val="es-ES"/>
              </w:rPr>
              <w:t>los proponentes prestarán garantía de seriedad de los ofrecimientos hechos</w:t>
            </w:r>
            <w:r w:rsidRPr="00B778A4">
              <w:rPr>
                <w:rFonts w:ascii="Verdana" w:hAnsi="Verdana"/>
                <w:lang w:val="es-ES"/>
              </w:rPr>
              <w:t>.</w:t>
            </w:r>
            <w:r>
              <w:rPr>
                <w:rFonts w:ascii="Verdana" w:hAnsi="Verdana"/>
                <w:lang w:val="es-ES"/>
              </w:rPr>
              <w:t xml:space="preserve"> Esta garantía </w:t>
            </w:r>
            <w:r w:rsidRPr="002555E9">
              <w:rPr>
                <w:rFonts w:ascii="Verdana" w:hAnsi="Verdana"/>
                <w:lang w:val="es-ES"/>
              </w:rPr>
              <w:t>es una condición que debe exigirse, en principio, en los procesos de selección plurales regulados por el Estatuto General de Contratación de la Administración Pública –salvo algunas excepciones–, con la cual se busca asegurar la vinculación de los proponentes a los ofrecimientos hechos, de manera que estos no puedan arrepentirse de la propuesta efectuada, so pena de que se haga efectiva dicha garantía y, por tanto, queden obligados a celebrar el contrato.</w:t>
            </w:r>
            <w:r>
              <w:rPr>
                <w:rFonts w:ascii="Verdana" w:hAnsi="Verdana"/>
                <w:lang w:val="es-ES"/>
              </w:rPr>
              <w:t xml:space="preserve"> En particular, en los procesos de selección de licitación pública, selección abreviada y concurso de méritos dicha exigencia es obligatoria y todos los oferentes tienen el deber y la obligación de constituirla y presentarla junto con la oferta, incluso cuando las entidades estatales no la exigen en los documentos del proceso, debido a que se trata de una exigencia de orden legal que no puede morigerarse ni atenuarse, ni mucho menos omitirse, por voluntad de las partes. Incluso, de conformidad con el parágrafo 3 del numeral 4 del artículo 5 de la Ley 1150 de 2007, </w:t>
            </w:r>
            <w:r w:rsidRPr="00A32855">
              <w:rPr>
                <w:rFonts w:ascii="Verdana" w:hAnsi="Verdana"/>
                <w:i/>
                <w:iCs/>
                <w:lang w:val="es-ES"/>
              </w:rPr>
              <w:t>[l]</w:t>
            </w:r>
            <w:r w:rsidRPr="00A32855">
              <w:rPr>
                <w:rFonts w:ascii="Verdana" w:hAnsi="Verdana"/>
                <w:i/>
                <w:iCs/>
              </w:rPr>
              <w:t xml:space="preserve">a no entrega de la garantía de seriedad junto con la propuesta no será subsanable y será causal de rechazo de </w:t>
            </w:r>
            <w:proofErr w:type="gramStart"/>
            <w:r w:rsidRPr="00A32855">
              <w:rPr>
                <w:rFonts w:ascii="Verdana" w:hAnsi="Verdana"/>
                <w:i/>
                <w:iCs/>
              </w:rPr>
              <w:t>la misma</w:t>
            </w:r>
            <w:proofErr w:type="gramEnd"/>
            <w:r w:rsidRPr="00A32855">
              <w:rPr>
                <w:rFonts w:ascii="Verdana" w:hAnsi="Verdana"/>
              </w:rPr>
              <w:t>. </w:t>
            </w:r>
          </w:p>
          <w:p w14:paraId="550A0AC0" w14:textId="77777777" w:rsidR="005E0589" w:rsidRDefault="005E0589" w:rsidP="009219FD">
            <w:pPr>
              <w:spacing w:after="120" w:line="276" w:lineRule="auto"/>
              <w:ind w:firstLine="709"/>
              <w:jc w:val="both"/>
              <w:rPr>
                <w:rFonts w:ascii="Verdana" w:hAnsi="Verdana"/>
                <w:lang w:val="es-ES"/>
              </w:rPr>
            </w:pPr>
            <w:r>
              <w:rPr>
                <w:rFonts w:ascii="Verdana" w:hAnsi="Verdana"/>
                <w:lang w:val="es-ES"/>
              </w:rPr>
              <w:t xml:space="preserve">En ese sentido, las excepciones a la obligatoriedad de constitución de garantía de seriedad de la oferta se presentan en los procesos de selección de contratación directa y </w:t>
            </w:r>
            <w:r w:rsidRPr="00875624">
              <w:rPr>
                <w:rFonts w:ascii="Verdana" w:hAnsi="Verdana"/>
                <w:i/>
                <w:iCs/>
                <w:lang w:val="es-ES"/>
              </w:rPr>
              <w:t>mínima cuantía</w:t>
            </w:r>
            <w:r>
              <w:rPr>
                <w:rFonts w:ascii="Verdana" w:hAnsi="Verdana"/>
                <w:i/>
                <w:iCs/>
                <w:lang w:val="es-ES"/>
              </w:rPr>
              <w:t xml:space="preserve"> </w:t>
            </w:r>
            <w:r w:rsidRPr="00875624">
              <w:rPr>
                <w:rFonts w:ascii="Verdana" w:hAnsi="Verdana"/>
                <w:lang w:val="es-ES"/>
              </w:rPr>
              <w:t>(procedimiento sobre el que usted consulta),</w:t>
            </w:r>
            <w:r>
              <w:rPr>
                <w:rFonts w:ascii="Verdana" w:hAnsi="Verdana"/>
                <w:lang w:val="es-ES"/>
              </w:rPr>
              <w:t xml:space="preserve"> </w:t>
            </w:r>
            <w:r w:rsidRPr="00041F33">
              <w:rPr>
                <w:rFonts w:ascii="Verdana" w:hAnsi="Verdana"/>
                <w:lang w:val="es-ES"/>
              </w:rPr>
              <w:t>así como en los contratos de seguros, interadministrativos y empréstitos, supuestos en los cuales la entidad estatal debe justificar la necesidad de exigir la constitución de este tipo de garantías</w:t>
            </w:r>
            <w:r>
              <w:rPr>
                <w:rFonts w:ascii="Verdana" w:hAnsi="Verdana"/>
                <w:lang w:val="es-ES"/>
              </w:rPr>
              <w:t xml:space="preserve">, según se desprende del inciso quinto del artículo 7 citado atrás, y el artículo </w:t>
            </w:r>
            <w:r w:rsidRPr="00114A7B">
              <w:rPr>
                <w:rFonts w:ascii="Verdana" w:hAnsi="Verdana"/>
                <w:lang w:val="es-ES"/>
              </w:rPr>
              <w:t>2.2.1.2.1.5.5</w:t>
            </w:r>
            <w:r>
              <w:rPr>
                <w:rFonts w:ascii="Verdana" w:hAnsi="Verdana"/>
                <w:lang w:val="es-ES"/>
              </w:rPr>
              <w:t xml:space="preserve"> del Decreto 1082 de 2015 que dispone: </w:t>
            </w:r>
            <w:r w:rsidRPr="00AF2CEE">
              <w:rPr>
                <w:rFonts w:ascii="Verdana" w:hAnsi="Verdana"/>
                <w:i/>
                <w:iCs/>
                <w:lang w:val="es-ES"/>
              </w:rPr>
              <w:t>“La Entidad Estatal es libre de exigir o no garantías en el proceso de selección de mínima cuantía y en la adquisición de "grandes almacenes"”</w:t>
            </w:r>
            <w:r>
              <w:rPr>
                <w:rFonts w:ascii="Verdana" w:hAnsi="Verdana"/>
                <w:lang w:val="es-ES"/>
              </w:rPr>
              <w:t>.</w:t>
            </w:r>
          </w:p>
          <w:p w14:paraId="7D4B446F" w14:textId="77777777" w:rsidR="005E0589" w:rsidRDefault="005E0589" w:rsidP="009219FD">
            <w:pPr>
              <w:spacing w:after="120" w:line="276" w:lineRule="auto"/>
              <w:ind w:firstLine="709"/>
              <w:jc w:val="both"/>
              <w:rPr>
                <w:rFonts w:ascii="Verdana" w:hAnsi="Verdana"/>
              </w:rPr>
            </w:pPr>
            <w:r>
              <w:rPr>
                <w:rFonts w:ascii="Verdana" w:hAnsi="Verdana"/>
              </w:rPr>
              <w:t xml:space="preserve">En consecuencia, de conformidad con el artículo 4 de la Ley 1150 de 2007, la entidad estatal deberá consignar en los pliegos de condiciones o sus equivalentes (en mínima cuantía será la invitación pública), la estimación, tipificación y asignación de los riesgos previsibles involucrados en la contratación. Lo anterior se encuentra regulado por el artículo </w:t>
            </w:r>
            <w:r w:rsidRPr="00DE5A6E">
              <w:rPr>
                <w:rFonts w:ascii="Verdana" w:hAnsi="Verdana"/>
              </w:rPr>
              <w:t>2.2.1.1.2.1.3.</w:t>
            </w:r>
            <w:r>
              <w:rPr>
                <w:rFonts w:ascii="Verdana" w:hAnsi="Verdana"/>
              </w:rPr>
              <w:t xml:space="preserve"> Decreto 1082 de 2015, incluyendo como aspectos básicos o información esencial de los pliegos de condiciones los elementos del numeral 8 (riesgos </w:t>
            </w:r>
            <w:r>
              <w:rPr>
                <w:rFonts w:ascii="Verdana" w:hAnsi="Verdana"/>
              </w:rPr>
              <w:lastRenderedPageBreak/>
              <w:t xml:space="preserve">asociados al contrato, forma de mitigarlos y asignación del riesgo entre las partes) y 9 (garantías exigidas en el proceso de contratación y sus condiciones). </w:t>
            </w:r>
          </w:p>
          <w:p w14:paraId="4B8D4A9D" w14:textId="77777777" w:rsidR="005E0589" w:rsidRDefault="005E0589" w:rsidP="009219FD">
            <w:pPr>
              <w:spacing w:after="120" w:line="276" w:lineRule="auto"/>
              <w:ind w:firstLine="709"/>
              <w:jc w:val="both"/>
              <w:rPr>
                <w:rFonts w:ascii="Verdana" w:eastAsia="Times New Roman" w:hAnsi="Verdana" w:cs="Arial"/>
                <w:szCs w:val="24"/>
                <w:lang w:eastAsia="es-MX"/>
              </w:rPr>
            </w:pPr>
            <w:r>
              <w:rPr>
                <w:rFonts w:ascii="Verdana" w:eastAsia="Times New Roman" w:hAnsi="Verdana" w:cs="Arial"/>
                <w:szCs w:val="24"/>
                <w:lang w:eastAsia="es-MX"/>
              </w:rPr>
              <w:t xml:space="preserve">Ante ese panorama, es claro que </w:t>
            </w:r>
            <w:r w:rsidRPr="000D37CC">
              <w:rPr>
                <w:rFonts w:ascii="Verdana" w:eastAsia="Times New Roman" w:hAnsi="Verdana" w:cs="Arial"/>
                <w:szCs w:val="24"/>
                <w:lang w:eastAsia="es-MX"/>
              </w:rPr>
              <w:t>la</w:t>
            </w:r>
            <w:r>
              <w:rPr>
                <w:rFonts w:ascii="Verdana" w:eastAsia="Times New Roman" w:hAnsi="Verdana" w:cs="Arial"/>
                <w:szCs w:val="24"/>
                <w:lang w:eastAsia="es-MX"/>
              </w:rPr>
              <w:t>s</w:t>
            </w:r>
            <w:r w:rsidRPr="000D37CC">
              <w:rPr>
                <w:rFonts w:ascii="Verdana" w:eastAsia="Times New Roman" w:hAnsi="Verdana" w:cs="Arial"/>
                <w:szCs w:val="24"/>
                <w:lang w:eastAsia="es-MX"/>
              </w:rPr>
              <w:t xml:space="preserve"> entidad</w:t>
            </w:r>
            <w:r>
              <w:rPr>
                <w:rFonts w:ascii="Verdana" w:eastAsia="Times New Roman" w:hAnsi="Verdana" w:cs="Arial"/>
                <w:szCs w:val="24"/>
                <w:lang w:eastAsia="es-MX"/>
              </w:rPr>
              <w:t xml:space="preserve">es estatales </w:t>
            </w:r>
            <w:r w:rsidRPr="000D37CC">
              <w:rPr>
                <w:rFonts w:ascii="Verdana" w:eastAsia="Times New Roman" w:hAnsi="Verdana" w:cs="Arial"/>
                <w:szCs w:val="24"/>
                <w:lang w:eastAsia="es-MX"/>
              </w:rPr>
              <w:t>debe</w:t>
            </w:r>
            <w:r>
              <w:rPr>
                <w:rFonts w:ascii="Verdana" w:eastAsia="Times New Roman" w:hAnsi="Verdana" w:cs="Arial"/>
                <w:szCs w:val="24"/>
                <w:lang w:eastAsia="es-MX"/>
              </w:rPr>
              <w:t>n</w:t>
            </w:r>
            <w:r w:rsidRPr="000D37CC">
              <w:rPr>
                <w:rFonts w:ascii="Verdana" w:eastAsia="Times New Roman" w:hAnsi="Verdana" w:cs="Arial"/>
                <w:szCs w:val="24"/>
                <w:lang w:eastAsia="es-MX"/>
              </w:rPr>
              <w:t xml:space="preserve"> incluir en los Estudios Previos la </w:t>
            </w:r>
            <w:r>
              <w:rPr>
                <w:rFonts w:ascii="Verdana" w:eastAsia="Times New Roman" w:hAnsi="Verdana" w:cs="Arial"/>
                <w:szCs w:val="24"/>
                <w:lang w:eastAsia="es-MX"/>
              </w:rPr>
              <w:t>identificación concreta</w:t>
            </w:r>
            <w:r w:rsidRPr="000D37CC">
              <w:rPr>
                <w:rFonts w:ascii="Verdana" w:eastAsia="Times New Roman" w:hAnsi="Verdana" w:cs="Arial"/>
                <w:szCs w:val="24"/>
                <w:lang w:eastAsia="es-MX"/>
              </w:rPr>
              <w:t xml:space="preserve"> de los riesgos previsibles</w:t>
            </w:r>
            <w:r>
              <w:rPr>
                <w:rFonts w:ascii="Verdana" w:eastAsia="Times New Roman" w:hAnsi="Verdana" w:cs="Arial"/>
                <w:szCs w:val="24"/>
                <w:lang w:eastAsia="es-MX"/>
              </w:rPr>
              <w:t xml:space="preserve">, </w:t>
            </w:r>
            <w:r w:rsidRPr="000D37CC">
              <w:rPr>
                <w:rFonts w:ascii="Verdana" w:eastAsia="Times New Roman" w:hAnsi="Verdana" w:cs="Arial"/>
                <w:szCs w:val="24"/>
                <w:lang w:eastAsia="es-MX"/>
              </w:rPr>
              <w:t xml:space="preserve">siendo entonces las garantías, los instrumentos de cobertura de algunos riesgos comunes en los procesos de contratación, las cuales deben ser identificadas y solicitadas de acuerdo con el objeto, el valor, la naturaleza y las obligaciones del contrato. </w:t>
            </w:r>
            <w:r>
              <w:rPr>
                <w:rFonts w:ascii="Verdana" w:eastAsia="Times New Roman" w:hAnsi="Verdana" w:cs="Arial"/>
                <w:szCs w:val="24"/>
                <w:lang w:eastAsia="es-MX"/>
              </w:rPr>
              <w:t>En otras palabras</w:t>
            </w:r>
            <w:r w:rsidRPr="000D37CC">
              <w:rPr>
                <w:rFonts w:ascii="Verdana" w:eastAsia="Times New Roman" w:hAnsi="Verdana" w:cs="Arial"/>
                <w:szCs w:val="24"/>
                <w:lang w:eastAsia="es-MX"/>
              </w:rPr>
              <w:t xml:space="preserve">, en las modalidades de selección de contratación directa y </w:t>
            </w:r>
            <w:r w:rsidRPr="00D67F57">
              <w:rPr>
                <w:rFonts w:ascii="Verdana" w:eastAsia="Times New Roman" w:hAnsi="Verdana" w:cs="Arial"/>
                <w:i/>
                <w:iCs/>
                <w:szCs w:val="24"/>
                <w:lang w:eastAsia="es-MX"/>
              </w:rPr>
              <w:t>mínima cuantía</w:t>
            </w:r>
            <w:r w:rsidRPr="000D37CC">
              <w:rPr>
                <w:rFonts w:ascii="Verdana" w:eastAsia="Times New Roman" w:hAnsi="Verdana" w:cs="Arial"/>
                <w:szCs w:val="24"/>
                <w:lang w:eastAsia="es-MX"/>
              </w:rPr>
              <w:t xml:space="preserve">, así como en </w:t>
            </w:r>
            <w:r>
              <w:rPr>
                <w:rFonts w:ascii="Verdana" w:eastAsia="Times New Roman" w:hAnsi="Verdana" w:cs="Arial"/>
                <w:szCs w:val="24"/>
                <w:lang w:eastAsia="es-MX"/>
              </w:rPr>
              <w:t>los</w:t>
            </w:r>
            <w:r w:rsidRPr="000D37CC">
              <w:rPr>
                <w:rFonts w:ascii="Verdana" w:eastAsia="Times New Roman" w:hAnsi="Verdana" w:cs="Arial"/>
                <w:szCs w:val="24"/>
                <w:lang w:eastAsia="es-MX"/>
              </w:rPr>
              <w:t xml:space="preserve"> </w:t>
            </w:r>
            <w:r w:rsidRPr="00B32A21">
              <w:rPr>
                <w:rFonts w:ascii="Verdana" w:eastAsia="Times New Roman" w:hAnsi="Verdana" w:cs="Arial"/>
                <w:szCs w:val="24"/>
                <w:lang w:eastAsia="es-MX"/>
              </w:rPr>
              <w:t>contratos de empréstito, en los interadministrativos</w:t>
            </w:r>
            <w:r>
              <w:rPr>
                <w:rFonts w:ascii="Verdana" w:eastAsia="Times New Roman" w:hAnsi="Verdana" w:cs="Arial"/>
                <w:szCs w:val="24"/>
                <w:lang w:eastAsia="es-MX"/>
              </w:rPr>
              <w:t xml:space="preserve"> y</w:t>
            </w:r>
            <w:r w:rsidRPr="00B32A21">
              <w:rPr>
                <w:rFonts w:ascii="Verdana" w:eastAsia="Times New Roman" w:hAnsi="Verdana" w:cs="Arial"/>
                <w:szCs w:val="24"/>
                <w:lang w:eastAsia="es-MX"/>
              </w:rPr>
              <w:t xml:space="preserve"> en los de seguro</w:t>
            </w:r>
            <w:r w:rsidRPr="000D37CC">
              <w:rPr>
                <w:rFonts w:ascii="Verdana" w:eastAsia="Times New Roman" w:hAnsi="Verdana" w:cs="Arial"/>
                <w:szCs w:val="24"/>
                <w:lang w:eastAsia="es-MX"/>
              </w:rPr>
              <w:t xml:space="preserve">, la entidad estatal deberá justificar la necesidad de exigir o no la constitución de garantías, </w:t>
            </w:r>
            <w:r>
              <w:rPr>
                <w:rFonts w:ascii="Verdana" w:eastAsia="Times New Roman" w:hAnsi="Verdana" w:cs="Arial"/>
                <w:szCs w:val="24"/>
                <w:lang w:eastAsia="es-MX"/>
              </w:rPr>
              <w:t xml:space="preserve">evaluando aspectos técnicos, administrativos y jurídicos que brinden </w:t>
            </w:r>
            <w:r w:rsidRPr="000D37CC">
              <w:rPr>
                <w:rFonts w:ascii="Verdana" w:eastAsia="Times New Roman" w:hAnsi="Verdana" w:cs="Arial"/>
                <w:szCs w:val="24"/>
                <w:lang w:eastAsia="es-MX"/>
              </w:rPr>
              <w:t>soporte de una necesidad de exigibilidad de garantía en los términos de suficiencia y vigencia señalados en el régimen de la contratación estatal.</w:t>
            </w:r>
          </w:p>
          <w:p w14:paraId="06743F48" w14:textId="77777777" w:rsidR="005E0589" w:rsidRPr="008E0161" w:rsidRDefault="005E0589" w:rsidP="009219FD">
            <w:pPr>
              <w:spacing w:after="120" w:line="276" w:lineRule="auto"/>
              <w:ind w:firstLine="709"/>
              <w:jc w:val="both"/>
              <w:rPr>
                <w:rFonts w:ascii="Verdana" w:hAnsi="Verdana"/>
              </w:rPr>
            </w:pPr>
            <w:r w:rsidRPr="008E0161">
              <w:rPr>
                <w:rFonts w:ascii="Verdana" w:eastAsia="Calibri" w:hAnsi="Verdana" w:cs="Arial"/>
                <w:bCs/>
                <w:color w:val="000000" w:themeColor="text1"/>
              </w:rPr>
              <w:t>Al margen de la explicación precedente debe advertirse que el análisis requerido para resolver problemas específicos en torno a la gestión contractual de las entidades públicas debe ser realizado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tc>
      </w:tr>
    </w:tbl>
    <w:p w14:paraId="546893FF" w14:textId="77777777" w:rsidR="005E0589" w:rsidRPr="008E0161" w:rsidRDefault="005E0589" w:rsidP="005E0589">
      <w:pPr>
        <w:tabs>
          <w:tab w:val="left" w:pos="142"/>
          <w:tab w:val="left" w:pos="284"/>
        </w:tabs>
        <w:spacing w:after="0" w:line="276" w:lineRule="auto"/>
        <w:jc w:val="both"/>
        <w:rPr>
          <w:rFonts w:ascii="Verdana" w:eastAsia="Century Gothic" w:hAnsi="Verdana" w:cs="Century Gothic"/>
          <w:b/>
          <w:bCs/>
        </w:rPr>
      </w:pPr>
    </w:p>
    <w:bookmarkEnd w:id="3"/>
    <w:p w14:paraId="4B02803E" w14:textId="77777777" w:rsidR="005E0589" w:rsidRPr="008E0161" w:rsidRDefault="005E0589" w:rsidP="005E0589">
      <w:pPr>
        <w:numPr>
          <w:ilvl w:val="0"/>
          <w:numId w:val="16"/>
        </w:numPr>
        <w:tabs>
          <w:tab w:val="left" w:pos="142"/>
          <w:tab w:val="left" w:pos="284"/>
        </w:tabs>
        <w:spacing w:after="0" w:line="276" w:lineRule="auto"/>
        <w:jc w:val="both"/>
        <w:rPr>
          <w:rFonts w:ascii="Verdana" w:eastAsia="Century Gothic" w:hAnsi="Verdana" w:cs="Century Gothic"/>
          <w:b/>
          <w:bCs/>
        </w:rPr>
      </w:pPr>
      <w:r w:rsidRPr="008E0161">
        <w:rPr>
          <w:rFonts w:ascii="Verdana" w:eastAsia="Century Gothic" w:hAnsi="Verdana" w:cs="Century Gothic"/>
          <w:b/>
          <w:bCs/>
        </w:rPr>
        <w:t>Razones de la respuesta:</w:t>
      </w:r>
    </w:p>
    <w:p w14:paraId="39FEA5DD" w14:textId="77777777" w:rsidR="005E0589" w:rsidRPr="008E0161" w:rsidRDefault="005E0589" w:rsidP="005E0589">
      <w:pPr>
        <w:spacing w:after="0" w:line="276" w:lineRule="auto"/>
        <w:jc w:val="both"/>
        <w:rPr>
          <w:rFonts w:ascii="Verdana" w:eastAsia="Calibri" w:hAnsi="Verdana" w:cs="Arial"/>
          <w:color w:val="7030A0"/>
        </w:rPr>
      </w:pPr>
    </w:p>
    <w:p w14:paraId="792DD2DE" w14:textId="77777777" w:rsidR="005E0589" w:rsidRPr="008E0161" w:rsidRDefault="005E0589" w:rsidP="005E0589">
      <w:pPr>
        <w:spacing w:after="0" w:line="276" w:lineRule="auto"/>
        <w:jc w:val="both"/>
        <w:rPr>
          <w:rFonts w:ascii="Verdana" w:eastAsia="Calibri" w:hAnsi="Verdana" w:cs="Arial"/>
        </w:rPr>
      </w:pPr>
      <w:r w:rsidRPr="008E0161">
        <w:rPr>
          <w:rFonts w:ascii="Verdana" w:eastAsia="Calibri" w:hAnsi="Verdana" w:cs="Arial"/>
        </w:rPr>
        <w:t>Lo anterior se sustenta en las siguientes consideraciones:</w:t>
      </w:r>
    </w:p>
    <w:p w14:paraId="6DFF88B4" w14:textId="77777777" w:rsidR="005E0589" w:rsidRPr="008E0161" w:rsidRDefault="005E0589" w:rsidP="005E0589">
      <w:pPr>
        <w:spacing w:after="0" w:line="276" w:lineRule="auto"/>
        <w:jc w:val="both"/>
        <w:rPr>
          <w:rFonts w:ascii="Verdana" w:eastAsia="Calibri" w:hAnsi="Verdana" w:cs="Arial"/>
        </w:rPr>
      </w:pPr>
    </w:p>
    <w:p w14:paraId="7F2C5D8B" w14:textId="77777777" w:rsidR="005E0589" w:rsidRPr="008E0161" w:rsidRDefault="005E0589" w:rsidP="005E0589">
      <w:pPr>
        <w:spacing w:after="120" w:line="276" w:lineRule="auto"/>
        <w:jc w:val="both"/>
        <w:rPr>
          <w:rFonts w:ascii="Verdana" w:eastAsia="Calibri" w:hAnsi="Verdana" w:cs="Arial"/>
          <w:lang w:val="es-ES"/>
        </w:rPr>
      </w:pPr>
      <w:r w:rsidRPr="008E0161">
        <w:rPr>
          <w:rFonts w:ascii="Verdana" w:eastAsia="Calibri" w:hAnsi="Verdana" w:cs="Arial"/>
          <w:lang w:val="es-ES"/>
        </w:rPr>
        <w:t xml:space="preserve">En los contratos estatales, por regla general, en la etapa precontractual y en la contractual se requiere la constitución de garantías. Mientras las garantías en la primera etapa implican una caución provisional que avala la propuesta y es una garantía precontractual –y parcialmente contractual– destinada a asegurar la suscripción del acuerdo, entre otras obligaciones; las garantías en la segunda </w:t>
      </w:r>
      <w:r w:rsidRPr="008E0161">
        <w:rPr>
          <w:rFonts w:ascii="Verdana" w:eastAsia="Calibri" w:hAnsi="Verdana" w:cs="Arial"/>
          <w:lang w:val="es-ES"/>
        </w:rPr>
        <w:lastRenderedPageBreak/>
        <w:t>etapa son un mecanismo de cobertura del riesgo derivado del incumplimiento de las obligaciones del contrato. Desde esta perspectiva, ambas constituyen una obligación de seguridad, es decir, aquella donde el interés del acreedor no consiste en una utilidad específica y tangible, sino en la tranquilidad frente a ciertos riesgos por la cobertura de sus consecuencias nocivas.</w:t>
      </w:r>
    </w:p>
    <w:p w14:paraId="640D9CF2" w14:textId="77777777" w:rsidR="005E0589" w:rsidRPr="008E0161" w:rsidRDefault="005E0589" w:rsidP="005E0589">
      <w:pPr>
        <w:spacing w:line="276" w:lineRule="auto"/>
        <w:ind w:firstLine="708"/>
        <w:jc w:val="both"/>
        <w:rPr>
          <w:rFonts w:ascii="Verdana" w:eastAsia="Calibri" w:hAnsi="Verdana" w:cs="Arial"/>
          <w:lang w:val="es-ES"/>
        </w:rPr>
      </w:pPr>
      <w:r w:rsidRPr="008E0161">
        <w:rPr>
          <w:rFonts w:ascii="Verdana" w:eastAsia="Calibri" w:hAnsi="Verdana" w:cs="Arial"/>
          <w:lang w:val="es-ES"/>
        </w:rPr>
        <w:t xml:space="preserve">Los artículos 2.2.1.2.3.1.6 y 2.2.1.2.3.1.9 del Decreto 1082 de 2015 establecen las condiciones que debe cumplir la garantía de seriedad de la oferta. Esta puede otorgarse a través de: i) un contrato de seguro contenido en una póliza, </w:t>
      </w:r>
      <w:proofErr w:type="spellStart"/>
      <w:r w:rsidRPr="008E0161">
        <w:rPr>
          <w:rFonts w:ascii="Verdana" w:eastAsia="Calibri" w:hAnsi="Verdana" w:cs="Arial"/>
          <w:lang w:val="es-ES"/>
        </w:rPr>
        <w:t>ii</w:t>
      </w:r>
      <w:proofErr w:type="spellEnd"/>
      <w:r w:rsidRPr="008E0161">
        <w:rPr>
          <w:rFonts w:ascii="Verdana" w:eastAsia="Calibri" w:hAnsi="Verdana" w:cs="Arial"/>
          <w:lang w:val="es-ES"/>
        </w:rPr>
        <w:t xml:space="preserve">) la constitución de un patrimonio autónomo, o </w:t>
      </w:r>
      <w:proofErr w:type="spellStart"/>
      <w:r w:rsidRPr="008E0161">
        <w:rPr>
          <w:rFonts w:ascii="Verdana" w:eastAsia="Calibri" w:hAnsi="Verdana" w:cs="Arial"/>
          <w:lang w:val="es-ES"/>
        </w:rPr>
        <w:t>iii</w:t>
      </w:r>
      <w:proofErr w:type="spellEnd"/>
      <w:r w:rsidRPr="008E0161">
        <w:rPr>
          <w:rFonts w:ascii="Verdana" w:eastAsia="Calibri" w:hAnsi="Verdana" w:cs="Arial"/>
          <w:lang w:val="es-ES"/>
        </w:rPr>
        <w:t xml:space="preserve">) una garantía bancaria. Allí se indica que el proponente debe presentar una garantía que cumpla con los parámetros, condiciones y requisitos señalados en ese numeral, y no requiere necesariamente que se aporten documentos adicionales, concretamente el recibo de pago de la prima, porque el artículo 7 de la Ley 1150 de 2007 establece que “[…] tratándose de pólizas, las mismas no expirarán por falta de pago de la prima o por revocatoria unilateral </w:t>
      </w:r>
      <w:bookmarkStart w:id="4" w:name="_Hlk201436931"/>
      <w:r w:rsidRPr="008E0161">
        <w:rPr>
          <w:rFonts w:ascii="Verdana" w:eastAsia="Calibri" w:hAnsi="Verdana" w:cs="Arial"/>
          <w:lang w:val="es-ES"/>
        </w:rPr>
        <w:t>[…]</w:t>
      </w:r>
      <w:bookmarkEnd w:id="4"/>
      <w:r w:rsidRPr="008E0161">
        <w:rPr>
          <w:rFonts w:ascii="Verdana" w:eastAsia="Calibri" w:hAnsi="Verdana" w:cs="Arial"/>
          <w:lang w:val="es-ES"/>
        </w:rPr>
        <w:t>”. Esta disposición excepciona la terminación automática del contrato de seguro por falta de pago, prevista en el artículo 1068 del Código de Comercio</w:t>
      </w:r>
      <w:r w:rsidRPr="008E0161">
        <w:rPr>
          <w:rFonts w:ascii="Verdana" w:eastAsia="Calibri" w:hAnsi="Verdana" w:cs="Arial"/>
          <w:vertAlign w:val="superscript"/>
          <w:lang w:val="es-ES"/>
        </w:rPr>
        <w:footnoteReference w:id="1"/>
      </w:r>
      <w:r w:rsidRPr="008E0161">
        <w:rPr>
          <w:rFonts w:ascii="Verdana" w:eastAsia="Calibri" w:hAnsi="Verdana" w:cs="Arial"/>
          <w:lang w:val="es-ES"/>
        </w:rPr>
        <w:t>.</w:t>
      </w:r>
    </w:p>
    <w:p w14:paraId="794AEF10" w14:textId="77777777" w:rsidR="005E0589" w:rsidRPr="008E0161" w:rsidRDefault="005E0589" w:rsidP="005E0589">
      <w:pPr>
        <w:spacing w:before="120" w:line="276" w:lineRule="auto"/>
        <w:jc w:val="both"/>
        <w:rPr>
          <w:rFonts w:ascii="Verdana" w:eastAsia="Calibri" w:hAnsi="Verdana" w:cs="Arial"/>
          <w:sz w:val="21"/>
          <w:szCs w:val="21"/>
          <w:lang w:val="es-ES"/>
        </w:rPr>
      </w:pPr>
      <w:r w:rsidRPr="008E0161">
        <w:rPr>
          <w:rFonts w:ascii="Verdana" w:eastAsia="Calibri" w:hAnsi="Verdana" w:cs="Arial"/>
          <w:lang w:val="es-ES"/>
        </w:rPr>
        <w:tab/>
      </w:r>
      <w:bookmarkStart w:id="5" w:name="_Hlk47893233"/>
      <w:r w:rsidRPr="008E0161">
        <w:rPr>
          <w:rFonts w:ascii="Verdana" w:eastAsia="Calibri" w:hAnsi="Verdana" w:cs="Arial"/>
          <w:lang w:val="es-ES"/>
        </w:rPr>
        <w:t xml:space="preserve">Esta garantía tiene su fundamento en el principio de irrevocabilidad de la oferta, razón por la cual los proponentes que pierdan interés en la adjudicación resarcirán los perjuicios causados por su retiro del proceso de selección. Naturalmente, esta garantía solo la constituyen quienes presenten oferta, motivo por el cual sus efectos no se extienden a personas ajenas a la actividad precontractual; sin perjuicio de que la póliza sea un mecanismo conminatorio, en la medida en que obliga a celebrar el contrato, so pena de hacerla efectiva. De esta manera, la exigencia permite que solo se presenten personas con la capacidad técnica y financiera suficiente para ejecutarlo en caso de adjudicación, desestimulando la presentación de ofertas que no son serias, cuya evaluación </w:t>
      </w:r>
      <w:r w:rsidRPr="008E0161">
        <w:rPr>
          <w:rFonts w:ascii="Verdana" w:eastAsia="Calibri" w:hAnsi="Verdana" w:cs="Arial"/>
          <w:lang w:val="es-ES"/>
        </w:rPr>
        <w:lastRenderedPageBreak/>
        <w:t>entorpece la buena marcha de la Administración, y en especial la celeridad y eficiencia de los procedimientos contractuales</w:t>
      </w:r>
      <w:bookmarkEnd w:id="5"/>
      <w:r w:rsidRPr="008E0161">
        <w:rPr>
          <w:rFonts w:ascii="Verdana" w:eastAsia="Calibri" w:hAnsi="Verdana" w:cs="Arial"/>
          <w:vertAlign w:val="superscript"/>
          <w:lang w:val="es-ES"/>
        </w:rPr>
        <w:footnoteReference w:id="2"/>
      </w:r>
      <w:r w:rsidRPr="008E0161">
        <w:rPr>
          <w:rFonts w:ascii="Verdana" w:eastAsia="Calibri" w:hAnsi="Verdana" w:cs="Arial"/>
          <w:lang w:val="es-ES"/>
        </w:rPr>
        <w:t xml:space="preserve"> </w:t>
      </w:r>
      <w:r w:rsidRPr="008E0161">
        <w:rPr>
          <w:rFonts w:ascii="Verdana" w:eastAsia="Calibri" w:hAnsi="Verdana" w:cs="Arial"/>
          <w:vertAlign w:val="superscript"/>
          <w:lang w:val="es-ES"/>
        </w:rPr>
        <w:t xml:space="preserve">- </w:t>
      </w:r>
      <w:r w:rsidRPr="008E0161">
        <w:rPr>
          <w:rFonts w:ascii="Verdana" w:eastAsia="Calibri" w:hAnsi="Verdana" w:cs="Arial"/>
          <w:vertAlign w:val="superscript"/>
          <w:lang w:val="es-ES"/>
        </w:rPr>
        <w:footnoteReference w:id="3"/>
      </w:r>
      <w:r w:rsidRPr="008E0161">
        <w:rPr>
          <w:rFonts w:ascii="Verdana" w:eastAsia="Calibri" w:hAnsi="Verdana" w:cs="Arial"/>
          <w:lang w:val="es-ES"/>
        </w:rPr>
        <w:t xml:space="preserve">. </w:t>
      </w:r>
    </w:p>
    <w:p w14:paraId="4AC24261" w14:textId="77777777" w:rsidR="005E0589" w:rsidRPr="008E0161" w:rsidRDefault="005E0589" w:rsidP="005E0589">
      <w:pPr>
        <w:spacing w:after="120" w:line="276" w:lineRule="auto"/>
        <w:ind w:firstLine="709"/>
        <w:jc w:val="both"/>
        <w:rPr>
          <w:rFonts w:ascii="Verdana" w:eastAsia="Calibri" w:hAnsi="Verdana" w:cs="Arial"/>
          <w:lang w:val="es-ES"/>
        </w:rPr>
      </w:pPr>
      <w:bookmarkStart w:id="6" w:name="_Hlk36669819"/>
      <w:bookmarkStart w:id="7" w:name="_Hlk36672441"/>
      <w:r w:rsidRPr="008E0161">
        <w:rPr>
          <w:rFonts w:ascii="Verdana" w:eastAsia="Calibri" w:hAnsi="Verdana" w:cs="Arial"/>
          <w:lang w:val="es-ES"/>
        </w:rPr>
        <w:t xml:space="preserve">Conforme a lo anterior, para que la garantía de seriedad respalde el principio de irrevocabilidad de la oferta, y que esta sirva al célere y eficiente desarrollo de los procesos de contratación, el Decreto 1082 de 2015 reglamenta varios aspectos con los que debe cumplir la garantía de seriedad. </w:t>
      </w:r>
    </w:p>
    <w:bookmarkEnd w:id="6"/>
    <w:bookmarkEnd w:id="7"/>
    <w:p w14:paraId="19796FF6" w14:textId="77777777" w:rsidR="005E0589" w:rsidRPr="008E0161" w:rsidRDefault="005E0589" w:rsidP="005E0589">
      <w:pPr>
        <w:spacing w:after="120" w:line="276" w:lineRule="auto"/>
        <w:ind w:firstLine="709"/>
        <w:jc w:val="both"/>
        <w:rPr>
          <w:rFonts w:ascii="Verdana" w:eastAsia="Calibri" w:hAnsi="Verdana" w:cs="Arial"/>
          <w:lang w:val="es-ES"/>
        </w:rPr>
      </w:pPr>
      <w:r w:rsidRPr="008E0161">
        <w:rPr>
          <w:rFonts w:ascii="Verdana" w:eastAsia="Calibri" w:hAnsi="Verdana" w:cs="Arial"/>
          <w:lang w:val="es-ES"/>
        </w:rPr>
        <w:t xml:space="preserve">En primer lugar, el artículo </w:t>
      </w:r>
      <w:bookmarkStart w:id="8" w:name="_Hlk47457215"/>
      <w:r w:rsidRPr="008E0161">
        <w:rPr>
          <w:rFonts w:ascii="Verdana" w:eastAsia="Calibri" w:hAnsi="Verdana" w:cs="Arial"/>
          <w:lang w:val="es-ES"/>
        </w:rPr>
        <w:t>2.2.1.2.3.1.9</w:t>
      </w:r>
      <w:bookmarkEnd w:id="8"/>
      <w:r w:rsidRPr="008E0161">
        <w:rPr>
          <w:rFonts w:ascii="Verdana" w:eastAsia="Calibri" w:hAnsi="Verdana" w:cs="Arial"/>
          <w:lang w:val="es-ES"/>
        </w:rPr>
        <w:t xml:space="preserve"> del Decreto 1082 de 2015 define la cobertura en términos de monto y tiempo, disponiendo que “La garantía de seriedad de la oferta debe estar vigente desde la presentación de la oferta </w:t>
      </w:r>
      <w:r w:rsidRPr="008E0161">
        <w:rPr>
          <w:rFonts w:ascii="Verdana" w:eastAsia="Calibri" w:hAnsi="Verdana" w:cs="Arial"/>
          <w:i/>
          <w:iCs/>
          <w:lang w:val="es-ES"/>
        </w:rPr>
        <w:t>y hasta la aprobación de la garantía de cumplimiento del contrato</w:t>
      </w:r>
      <w:r w:rsidRPr="008E0161">
        <w:rPr>
          <w:rFonts w:ascii="Verdana" w:eastAsia="Calibri" w:hAnsi="Verdana" w:cs="Arial"/>
          <w:lang w:val="es-ES"/>
        </w:rPr>
        <w:t xml:space="preserve"> y su valor debe ser de por lo menos el diez por ciento (10%) del valor de la oferta”. [Énfasis por fuera de texto]</w:t>
      </w:r>
    </w:p>
    <w:p w14:paraId="62C8F958" w14:textId="77777777" w:rsidR="005E0589" w:rsidRPr="008E0161" w:rsidRDefault="005E0589" w:rsidP="005E0589">
      <w:pPr>
        <w:spacing w:after="120" w:line="276" w:lineRule="auto"/>
        <w:ind w:firstLine="709"/>
        <w:jc w:val="both"/>
        <w:rPr>
          <w:rFonts w:ascii="Verdana" w:eastAsia="Calibri" w:hAnsi="Verdana" w:cs="Arial"/>
          <w:lang w:val="es-ES"/>
        </w:rPr>
      </w:pPr>
      <w:r w:rsidRPr="008E0161">
        <w:rPr>
          <w:rFonts w:ascii="Verdana" w:eastAsia="Calibri" w:hAnsi="Verdana" w:cs="Arial"/>
          <w:lang w:val="es-ES"/>
        </w:rPr>
        <w:t xml:space="preserve">Respecto al valor, dispone que tendrá un monto igual o superior al diez por ciento (10%) de la oferta, constituyendo la suma mínima que la entidad puede establecer para cumplir la exigencia, sin perjuicio de que requiera un valor superior. En todo caso, conforme a la norma citada, este principio tiene excepciones para los acuerdos marco de precios, los contratos derivados de la selección abreviada por subasta inversa y el concurso de méritos, así como para los contratos que superan un millón –1’000.000– de </w:t>
      </w:r>
      <w:proofErr w:type="spellStart"/>
      <w:r w:rsidRPr="008E0161">
        <w:rPr>
          <w:rFonts w:ascii="Verdana" w:eastAsia="Calibri" w:hAnsi="Verdana" w:cs="Arial"/>
          <w:lang w:val="es-ES"/>
        </w:rPr>
        <w:t>smlmv</w:t>
      </w:r>
      <w:proofErr w:type="spellEnd"/>
      <w:r w:rsidRPr="008E0161">
        <w:rPr>
          <w:rFonts w:ascii="Verdana" w:eastAsia="Calibri" w:hAnsi="Verdana" w:cs="Arial"/>
          <w:lang w:val="es-ES"/>
        </w:rPr>
        <w:t xml:space="preserve">. </w:t>
      </w:r>
    </w:p>
    <w:p w14:paraId="5312A206" w14:textId="77777777" w:rsidR="005E0589" w:rsidRPr="008E0161" w:rsidRDefault="005E0589" w:rsidP="005E0589">
      <w:pPr>
        <w:spacing w:after="120" w:line="276" w:lineRule="auto"/>
        <w:ind w:firstLine="709"/>
        <w:jc w:val="both"/>
        <w:rPr>
          <w:rFonts w:ascii="Verdana" w:eastAsia="Calibri" w:hAnsi="Verdana" w:cs="Arial"/>
          <w:lang w:val="es-ES"/>
        </w:rPr>
      </w:pPr>
      <w:bookmarkStart w:id="9" w:name="_Hlk47893525"/>
      <w:r w:rsidRPr="008E0161">
        <w:rPr>
          <w:rFonts w:ascii="Verdana" w:eastAsia="Calibri" w:hAnsi="Verdana" w:cs="Arial"/>
          <w:lang w:val="es-ES"/>
        </w:rPr>
        <w:t>Respecto al tiempo, la norma dispone que debe estar vigente entre “la fecha de presentación de la propuesta” y hasta “la fecha de aprobación de la garantía única de cumplimiento”. Allí se indica la fecha de inicio –</w:t>
      </w:r>
      <w:proofErr w:type="spellStart"/>
      <w:r w:rsidRPr="008E0161">
        <w:rPr>
          <w:rFonts w:ascii="Verdana" w:eastAsia="Calibri" w:hAnsi="Verdana" w:cs="Arial"/>
          <w:i/>
          <w:iCs/>
          <w:lang w:val="es-ES"/>
        </w:rPr>
        <w:t>dies</w:t>
      </w:r>
      <w:proofErr w:type="spellEnd"/>
      <w:r w:rsidRPr="008E0161">
        <w:rPr>
          <w:rFonts w:ascii="Verdana" w:eastAsia="Calibri" w:hAnsi="Verdana" w:cs="Arial"/>
          <w:i/>
          <w:iCs/>
          <w:lang w:val="es-ES"/>
        </w:rPr>
        <w:t xml:space="preserve"> a quo</w:t>
      </w:r>
      <w:r w:rsidRPr="008E0161">
        <w:rPr>
          <w:rFonts w:ascii="Verdana" w:eastAsia="Calibri" w:hAnsi="Verdana" w:cs="Arial"/>
          <w:lang w:val="es-ES"/>
        </w:rPr>
        <w:t>–, pero la fecha final –</w:t>
      </w:r>
      <w:proofErr w:type="spellStart"/>
      <w:r w:rsidRPr="008E0161">
        <w:rPr>
          <w:rFonts w:ascii="Verdana" w:eastAsia="Calibri" w:hAnsi="Verdana" w:cs="Arial"/>
          <w:i/>
          <w:iCs/>
          <w:lang w:val="es-ES"/>
        </w:rPr>
        <w:t>dies</w:t>
      </w:r>
      <w:proofErr w:type="spellEnd"/>
      <w:r w:rsidRPr="008E0161">
        <w:rPr>
          <w:rFonts w:ascii="Verdana" w:eastAsia="Calibri" w:hAnsi="Verdana" w:cs="Arial"/>
          <w:i/>
          <w:iCs/>
          <w:lang w:val="es-ES"/>
        </w:rPr>
        <w:t xml:space="preserve"> ad </w:t>
      </w:r>
      <w:proofErr w:type="spellStart"/>
      <w:r w:rsidRPr="008E0161">
        <w:rPr>
          <w:rFonts w:ascii="Verdana" w:eastAsia="Calibri" w:hAnsi="Verdana" w:cs="Arial"/>
          <w:i/>
          <w:iCs/>
          <w:lang w:val="es-ES"/>
        </w:rPr>
        <w:t>quem</w:t>
      </w:r>
      <w:proofErr w:type="spellEnd"/>
      <w:r w:rsidRPr="008E0161">
        <w:rPr>
          <w:rFonts w:ascii="Verdana" w:eastAsia="Calibri" w:hAnsi="Verdana" w:cs="Arial"/>
          <w:lang w:val="es-ES"/>
        </w:rPr>
        <w:t xml:space="preserve">– se somete a una estimación razonable sobre el tiempo que toma adelantar el procedimiento de selección y la posterior </w:t>
      </w:r>
      <w:r w:rsidRPr="008E0161">
        <w:rPr>
          <w:rFonts w:ascii="Verdana" w:eastAsia="Calibri" w:hAnsi="Verdana" w:cs="Arial"/>
          <w:lang w:val="es-ES"/>
        </w:rPr>
        <w:lastRenderedPageBreak/>
        <w:t>legalización del contrato, especialmente cuando la aprobación de la garantía es uno de los requisitos de ejecución</w:t>
      </w:r>
      <w:r w:rsidRPr="008E0161">
        <w:rPr>
          <w:rFonts w:ascii="Verdana" w:eastAsia="Calibri" w:hAnsi="Verdana" w:cs="Arial"/>
          <w:vertAlign w:val="superscript"/>
          <w:lang w:val="es-ES"/>
        </w:rPr>
        <w:footnoteReference w:id="4"/>
      </w:r>
      <w:r w:rsidRPr="008E0161">
        <w:rPr>
          <w:rFonts w:ascii="Verdana" w:eastAsia="Calibri" w:hAnsi="Verdana" w:cs="Arial"/>
          <w:lang w:val="es-ES"/>
        </w:rPr>
        <w:t xml:space="preserve">. </w:t>
      </w:r>
    </w:p>
    <w:p w14:paraId="0CDEA017" w14:textId="77777777" w:rsidR="005E0589" w:rsidRPr="008E0161" w:rsidRDefault="005E0589" w:rsidP="005E0589">
      <w:pPr>
        <w:spacing w:after="120" w:line="276" w:lineRule="auto"/>
        <w:ind w:firstLine="709"/>
        <w:jc w:val="both"/>
        <w:rPr>
          <w:rFonts w:ascii="Verdana" w:eastAsia="Calibri" w:hAnsi="Verdana" w:cs="Arial"/>
          <w:lang w:val="es-ES"/>
        </w:rPr>
      </w:pPr>
      <w:r w:rsidRPr="008E0161">
        <w:rPr>
          <w:rFonts w:ascii="Verdana" w:eastAsia="Calibri" w:hAnsi="Verdana" w:cs="Arial"/>
          <w:lang w:val="es-ES"/>
        </w:rPr>
        <w:t xml:space="preserve">Naturalmente, como el cronograma del procedimiento de contratación puede ampliarse, por sucesos inesperados, o por otras razones, el plazo que debe cubrir la garantía de seriedad se determina a partir de un </w:t>
      </w:r>
      <w:r w:rsidRPr="008E0161">
        <w:rPr>
          <w:rFonts w:ascii="Verdana" w:eastAsia="Calibri" w:hAnsi="Verdana" w:cs="Arial"/>
          <w:i/>
          <w:iCs/>
          <w:lang w:val="es-ES"/>
        </w:rPr>
        <w:t>período de incertidumbre,</w:t>
      </w:r>
      <w:r w:rsidRPr="008E0161">
        <w:rPr>
          <w:rFonts w:ascii="Verdana" w:eastAsia="Calibri" w:hAnsi="Verdana" w:cs="Arial"/>
          <w:lang w:val="es-ES"/>
        </w:rPr>
        <w:t xml:space="preserve"> bajo el cual las entidades disponen que la seriedad del ofrecimiento tenga una vigencia superior a la duración del procedimiento de selección, incluyendo tanto el plazo de suscripción del contrato como el de aprobación de la garantía única.</w:t>
      </w:r>
    </w:p>
    <w:p w14:paraId="53B05903" w14:textId="77777777" w:rsidR="005E0589" w:rsidRPr="008E0161" w:rsidRDefault="005E0589" w:rsidP="005E0589">
      <w:pPr>
        <w:spacing w:after="120" w:line="276" w:lineRule="auto"/>
        <w:ind w:firstLine="709"/>
        <w:jc w:val="both"/>
        <w:rPr>
          <w:rFonts w:ascii="Verdana" w:eastAsia="Calibri" w:hAnsi="Verdana" w:cs="Arial"/>
          <w:lang w:val="es-ES"/>
        </w:rPr>
      </w:pPr>
      <w:r w:rsidRPr="008E0161">
        <w:rPr>
          <w:rFonts w:ascii="Verdana" w:eastAsia="Calibri" w:hAnsi="Verdana" w:cs="Arial"/>
          <w:lang w:val="es-ES"/>
        </w:rPr>
        <w:t xml:space="preserve">Normalmente, en el pliego de condiciones, o en la invitación a contratar, las entidades “acostumbran” exigir a los proponentes que garanticen la seriedad de la propuesta durante 3 meses –pudiendo ser de más o menos tiempo–, para cubrir el lapso que tarda el trámite precontractual, pero también los eventuales contratiempos y hasta las eventuales ampliaciones de las distintas etapas del procedimiento de selección, así como la posterior firma del contrato y aprobación de la garantía de cumplimiento, lo que evita que la Administración solicite frecuentemente su prórroga. </w:t>
      </w:r>
    </w:p>
    <w:p w14:paraId="2F53ACF2" w14:textId="77777777" w:rsidR="005E0589" w:rsidRPr="008E0161" w:rsidRDefault="005E0589" w:rsidP="005E0589">
      <w:pPr>
        <w:spacing w:after="120" w:line="276" w:lineRule="auto"/>
        <w:ind w:firstLine="709"/>
        <w:jc w:val="both"/>
        <w:rPr>
          <w:rFonts w:ascii="Verdana" w:eastAsia="Calibri" w:hAnsi="Verdana" w:cs="Arial"/>
          <w:lang w:val="es-ES"/>
        </w:rPr>
      </w:pPr>
      <w:r w:rsidRPr="008E0161">
        <w:rPr>
          <w:rFonts w:ascii="Verdana" w:eastAsia="Calibri" w:hAnsi="Verdana" w:cs="Arial"/>
          <w:lang w:val="es-ES"/>
        </w:rPr>
        <w:t xml:space="preserve">Por tanto, la entidad calcula y establece un </w:t>
      </w:r>
      <w:r w:rsidRPr="008E0161">
        <w:rPr>
          <w:rFonts w:ascii="Verdana" w:eastAsia="Calibri" w:hAnsi="Verdana" w:cs="Arial"/>
          <w:i/>
          <w:iCs/>
          <w:lang w:val="es-ES"/>
        </w:rPr>
        <w:t xml:space="preserve">término </w:t>
      </w:r>
      <w:r w:rsidRPr="008E0161">
        <w:rPr>
          <w:rFonts w:ascii="Verdana" w:eastAsia="Calibri" w:hAnsi="Verdana" w:cs="Arial"/>
          <w:lang w:val="es-ES"/>
        </w:rPr>
        <w:t xml:space="preserve">para realizar el procedimiento de selección, firmar el contrato y aprobar la garantía de cumplimiento, contado a partir de la recepción de las propuestas, fecha que se define al elaborar el pliego o la invitación. Esta </w:t>
      </w:r>
      <w:r w:rsidRPr="008E0161">
        <w:rPr>
          <w:rFonts w:ascii="Verdana" w:eastAsia="Calibri" w:hAnsi="Verdana" w:cs="Arial"/>
          <w:i/>
          <w:iCs/>
          <w:lang w:val="es-ES"/>
        </w:rPr>
        <w:t>estimación</w:t>
      </w:r>
      <w:r w:rsidRPr="008E0161">
        <w:rPr>
          <w:rFonts w:ascii="Verdana" w:eastAsia="Calibri" w:hAnsi="Verdana" w:cs="Arial"/>
          <w:lang w:val="es-ES"/>
        </w:rPr>
        <w:t xml:space="preserve"> corresponde a la vigencia de la garantía precontractual, y las </w:t>
      </w:r>
      <w:proofErr w:type="gramStart"/>
      <w:r w:rsidRPr="008E0161">
        <w:rPr>
          <w:rFonts w:ascii="Verdana" w:eastAsia="Calibri" w:hAnsi="Verdana" w:cs="Arial"/>
          <w:lang w:val="es-ES"/>
        </w:rPr>
        <w:t>autoridades públicas</w:t>
      </w:r>
      <w:proofErr w:type="gramEnd"/>
      <w:r w:rsidRPr="008E0161">
        <w:rPr>
          <w:rFonts w:ascii="Verdana" w:eastAsia="Calibri" w:hAnsi="Verdana" w:cs="Arial"/>
          <w:lang w:val="es-ES"/>
        </w:rPr>
        <w:t xml:space="preserve"> lo fijan discrecionalmente, salvo que se trate de un procedimiento regulado por documentos tipo</w:t>
      </w:r>
      <w:bookmarkEnd w:id="9"/>
      <w:r w:rsidRPr="008E0161">
        <w:rPr>
          <w:rFonts w:ascii="Verdana" w:eastAsia="Calibri" w:hAnsi="Verdana" w:cs="Arial"/>
          <w:vertAlign w:val="superscript"/>
          <w:lang w:val="es-ES"/>
        </w:rPr>
        <w:footnoteReference w:id="5"/>
      </w:r>
      <w:r w:rsidRPr="008E0161">
        <w:rPr>
          <w:rFonts w:ascii="Verdana" w:eastAsia="Calibri" w:hAnsi="Verdana" w:cs="Arial"/>
          <w:lang w:val="es-ES"/>
        </w:rPr>
        <w:t xml:space="preserve">.    </w:t>
      </w:r>
    </w:p>
    <w:p w14:paraId="381E861F" w14:textId="77777777" w:rsidR="005E0589" w:rsidRPr="008E0161" w:rsidRDefault="005E0589" w:rsidP="005E0589">
      <w:pPr>
        <w:spacing w:after="120" w:line="276" w:lineRule="auto"/>
        <w:ind w:firstLine="709"/>
        <w:jc w:val="both"/>
        <w:rPr>
          <w:rFonts w:ascii="Verdana" w:eastAsia="Calibri" w:hAnsi="Verdana" w:cs="Arial"/>
          <w:lang w:val="es-ES"/>
        </w:rPr>
      </w:pPr>
      <w:r w:rsidRPr="008E0161">
        <w:rPr>
          <w:rFonts w:ascii="Verdana" w:eastAsia="Calibri" w:hAnsi="Verdana" w:cs="Arial"/>
          <w:lang w:val="es-ES"/>
        </w:rPr>
        <w:lastRenderedPageBreak/>
        <w:t xml:space="preserve">Esta característica diferencia la garantía de seriedad de otros amparos, pues el Decreto 1082 de 2015 define, para muchos, tanto la fecha de inicio como la fecha de terminación. Por ejemplo, el artículo 2.2.1.2.3.1.13 dispone que el amparo de pago de salarios y prestaciones sociales tiene una vigencia equivalente al plazo del contrato y tres (3) años más; para la estabilidad de la obra, el artículo 2.2.1.2.3.1.14 dispone que el amparo estará vigente por un término no inferior a cinco (5) años, contado a partir del recibo a satisfacción; y para el seguro de responsabilidad civil extracontractual, la vigencia debe ser igual o superior al plazo de ejecución del contrato. </w:t>
      </w:r>
    </w:p>
    <w:p w14:paraId="060C34AC" w14:textId="77777777" w:rsidR="005E0589" w:rsidRPr="008E0161" w:rsidRDefault="005E0589" w:rsidP="005E0589">
      <w:pPr>
        <w:spacing w:after="120" w:line="276" w:lineRule="auto"/>
        <w:ind w:firstLine="709"/>
        <w:jc w:val="both"/>
        <w:rPr>
          <w:rFonts w:ascii="Verdana" w:eastAsia="Calibri" w:hAnsi="Verdana" w:cs="Arial"/>
          <w:lang w:val="es-ES"/>
        </w:rPr>
      </w:pPr>
      <w:r w:rsidRPr="008E0161">
        <w:rPr>
          <w:rFonts w:ascii="Verdana" w:eastAsia="Calibri" w:hAnsi="Verdana" w:cs="Arial"/>
          <w:lang w:val="es-ES"/>
        </w:rPr>
        <w:t xml:space="preserve">La determinación del </w:t>
      </w:r>
      <w:r w:rsidRPr="008E0161">
        <w:rPr>
          <w:rFonts w:ascii="Verdana" w:eastAsia="Calibri" w:hAnsi="Verdana" w:cs="Arial"/>
          <w:i/>
          <w:iCs/>
          <w:lang w:val="es-ES"/>
        </w:rPr>
        <w:t>valor</w:t>
      </w:r>
      <w:r w:rsidRPr="008E0161">
        <w:rPr>
          <w:rFonts w:ascii="Verdana" w:eastAsia="Calibri" w:hAnsi="Verdana" w:cs="Arial"/>
          <w:lang w:val="es-ES"/>
        </w:rPr>
        <w:t xml:space="preserve"> y el </w:t>
      </w:r>
      <w:r w:rsidRPr="008E0161">
        <w:rPr>
          <w:rFonts w:ascii="Verdana" w:eastAsia="Calibri" w:hAnsi="Verdana" w:cs="Arial"/>
          <w:i/>
          <w:iCs/>
          <w:lang w:val="es-ES"/>
        </w:rPr>
        <w:t>tiempo</w:t>
      </w:r>
      <w:r w:rsidRPr="008E0161">
        <w:rPr>
          <w:rFonts w:ascii="Verdana" w:eastAsia="Calibri" w:hAnsi="Verdana" w:cs="Arial"/>
          <w:lang w:val="es-ES"/>
        </w:rPr>
        <w:t xml:space="preserve"> de cobertura de esta garantía precontractual es esencial en el procedimiento de selección. Respecto al primero, corresponde a la sanción por el incumplimiento de la seriedad de la propuesta, delimitando la obligación pecuniaria de la aseguradora</w:t>
      </w:r>
      <w:r w:rsidRPr="008E0161">
        <w:rPr>
          <w:rFonts w:ascii="Verdana" w:eastAsia="Calibri" w:hAnsi="Verdana" w:cs="Arial"/>
          <w:vertAlign w:val="superscript"/>
          <w:lang w:val="es-ES"/>
        </w:rPr>
        <w:footnoteReference w:id="6"/>
      </w:r>
      <w:r w:rsidRPr="008E0161">
        <w:rPr>
          <w:rFonts w:ascii="Verdana" w:eastAsia="Calibri" w:hAnsi="Verdana" w:cs="Arial"/>
          <w:lang w:val="es-ES"/>
        </w:rPr>
        <w:t xml:space="preserve">. Lo anterior es una consecuencia del principio de responsabilidad, ya que el mantenimiento de la oferta está sujeto al deber de buena fe y, por tanto, el desconocimiento de las expectativas legítimas de la Administración autoriza la reparación de los perjuicios sufridos. Respecto al segundo, el </w:t>
      </w:r>
      <w:r w:rsidRPr="008E0161">
        <w:rPr>
          <w:rFonts w:ascii="Verdana" w:eastAsia="Calibri" w:hAnsi="Verdana" w:cs="Arial"/>
          <w:i/>
          <w:iCs/>
          <w:lang w:val="es-ES"/>
        </w:rPr>
        <w:t xml:space="preserve">plazo de cobertura </w:t>
      </w:r>
      <w:r w:rsidRPr="008E0161">
        <w:rPr>
          <w:rFonts w:ascii="Verdana" w:eastAsia="Calibri" w:hAnsi="Verdana" w:cs="Arial"/>
          <w:lang w:val="es-ES"/>
        </w:rPr>
        <w:t>delimita directamente</w:t>
      </w:r>
      <w:r w:rsidRPr="008E0161">
        <w:rPr>
          <w:rFonts w:ascii="Verdana" w:eastAsia="Calibri" w:hAnsi="Verdana" w:cs="Arial"/>
          <w:i/>
          <w:iCs/>
          <w:lang w:val="es-ES"/>
        </w:rPr>
        <w:t xml:space="preserve"> </w:t>
      </w:r>
      <w:r w:rsidRPr="008E0161">
        <w:rPr>
          <w:rFonts w:ascii="Verdana" w:eastAsia="Calibri" w:hAnsi="Verdana" w:cs="Arial"/>
          <w:lang w:val="es-ES"/>
        </w:rPr>
        <w:t xml:space="preserve">el período de vigencia de la oferta. </w:t>
      </w:r>
    </w:p>
    <w:p w14:paraId="1D4D630F" w14:textId="77777777" w:rsidR="005E0589" w:rsidRPr="008E0161" w:rsidRDefault="005E0589" w:rsidP="005E0589">
      <w:pPr>
        <w:spacing w:after="120" w:line="276" w:lineRule="auto"/>
        <w:ind w:firstLine="709"/>
        <w:jc w:val="both"/>
        <w:rPr>
          <w:rFonts w:ascii="Verdana" w:eastAsia="Calibri" w:hAnsi="Verdana" w:cs="Arial"/>
          <w:lang w:val="es-ES"/>
        </w:rPr>
      </w:pPr>
      <w:r w:rsidRPr="008E0161">
        <w:rPr>
          <w:rFonts w:ascii="Verdana" w:eastAsia="Calibri" w:hAnsi="Verdana" w:cs="Arial"/>
          <w:lang w:val="es-ES"/>
        </w:rPr>
        <w:t xml:space="preserve">En ambos aspectos, es decir, tanto respecto al valor como al plazo, la garantía de seriedad tiene diferencias marcadas con el régimen de la irrevocabilidad de la oferta en el derecho privado. El inciso primero del artículo 846 del Código de Comercio dispone que “La propuesta será irrevocable, por lo tanto, una vez comunicada, no podrá retractarse el proponente, so pena de indemnizar los perjuicios que con su revocación cause al destinatario”. Aunque la contratación estatal se rige por una regla similar, son evidentes los matices introducidos en el régimen de la garantía precontractual, pues el artículo 2.2.1.2.3.2.8 del Decreto 1082 de 2015 dispone que </w:t>
      </w:r>
      <w:r w:rsidRPr="009A3615">
        <w:rPr>
          <w:rFonts w:ascii="Verdana" w:eastAsia="Calibri" w:hAnsi="Verdana" w:cs="Arial"/>
          <w:i/>
          <w:iCs/>
          <w:lang w:val="es-ES"/>
        </w:rPr>
        <w:t>“En caso de siniestro en la garantía de la seriedad de la oferta, la compañía de seguros debe responder por el total del valor asegurado a título de sanción”</w:t>
      </w:r>
      <w:r w:rsidRPr="008E0161">
        <w:rPr>
          <w:rFonts w:ascii="Verdana" w:eastAsia="Calibri" w:hAnsi="Verdana" w:cs="Arial"/>
          <w:lang w:val="es-ES"/>
        </w:rPr>
        <w:t xml:space="preserve">. </w:t>
      </w:r>
    </w:p>
    <w:p w14:paraId="3CDDEF3F" w14:textId="77777777" w:rsidR="005E0589" w:rsidRPr="008E0161" w:rsidRDefault="005E0589" w:rsidP="005E0589">
      <w:pPr>
        <w:spacing w:after="120" w:line="276" w:lineRule="auto"/>
        <w:ind w:firstLine="709"/>
        <w:jc w:val="both"/>
        <w:rPr>
          <w:rFonts w:ascii="Verdana" w:eastAsia="Calibri" w:hAnsi="Verdana" w:cs="Arial"/>
          <w:lang w:val="es-ES"/>
        </w:rPr>
      </w:pPr>
      <w:r w:rsidRPr="008E0161">
        <w:rPr>
          <w:rFonts w:ascii="Verdana" w:eastAsia="Calibri" w:hAnsi="Verdana" w:cs="Arial"/>
          <w:lang w:val="es-ES"/>
        </w:rPr>
        <w:t xml:space="preserve">De acuerdo con las anteriores consideraciones, la vigencia de la garantía de seriedad de la oferta en principio exigida por el artículo 2.2.1.2.3.1.9 del Decreto 1082 de 2015 abarca el momento de realización de la audiencia de </w:t>
      </w:r>
      <w:r w:rsidRPr="008E0161">
        <w:rPr>
          <w:rFonts w:ascii="Verdana" w:eastAsia="Calibri" w:hAnsi="Verdana" w:cs="Arial"/>
          <w:lang w:val="es-ES"/>
        </w:rPr>
        <w:lastRenderedPageBreak/>
        <w:t xml:space="preserve">adjudicación. Esto en la medida en que tal hito del </w:t>
      </w:r>
      <w:proofErr w:type="spellStart"/>
      <w:r w:rsidRPr="008E0161">
        <w:rPr>
          <w:rFonts w:ascii="Verdana" w:eastAsia="Calibri" w:hAnsi="Verdana" w:cs="Arial"/>
          <w:i/>
          <w:iCs/>
          <w:lang w:val="es-ES"/>
        </w:rPr>
        <w:t>iter</w:t>
      </w:r>
      <w:proofErr w:type="spellEnd"/>
      <w:r w:rsidRPr="008E0161">
        <w:rPr>
          <w:rFonts w:ascii="Verdana" w:eastAsia="Calibri" w:hAnsi="Verdana" w:cs="Arial"/>
          <w:i/>
          <w:iCs/>
          <w:lang w:val="es-ES"/>
        </w:rPr>
        <w:t xml:space="preserve"> </w:t>
      </w:r>
      <w:r w:rsidRPr="008E0161">
        <w:rPr>
          <w:rFonts w:ascii="Verdana" w:eastAsia="Calibri" w:hAnsi="Verdana" w:cs="Arial"/>
          <w:lang w:val="es-ES"/>
        </w:rPr>
        <w:t xml:space="preserve">precontractual es posterior a la presentación de la oferta, y, naturalmente, previo a la aprobación de la garantía única de cumplimiento, que da inicio al periodo de ejecución del contrato ya adjudicado.  </w:t>
      </w:r>
    </w:p>
    <w:p w14:paraId="29301197" w14:textId="77777777" w:rsidR="005E0589" w:rsidRPr="008E0161" w:rsidRDefault="005E0589" w:rsidP="005E0589">
      <w:pPr>
        <w:spacing w:after="120" w:line="276" w:lineRule="auto"/>
        <w:ind w:firstLine="709"/>
        <w:jc w:val="both"/>
        <w:rPr>
          <w:rFonts w:ascii="Verdana" w:eastAsia="Calibri" w:hAnsi="Verdana" w:cs="Arial"/>
          <w:lang w:val="es-ES"/>
        </w:rPr>
      </w:pPr>
      <w:r w:rsidRPr="008E0161">
        <w:rPr>
          <w:rFonts w:ascii="Verdana" w:eastAsia="Calibri" w:hAnsi="Verdana" w:cs="Arial"/>
          <w:lang w:val="es-ES"/>
        </w:rPr>
        <w:t>No obstante, no debe perderse de vista que la garantía de seriedad es constituida de manera previa a la presentación de la oferta, por un término que se supone abarca tanto una fecha de inicio como una fecha de terminación establecidas en el artículo 2.2.1.2.3.1.9</w:t>
      </w:r>
      <w:r w:rsidRPr="008E0161">
        <w:rPr>
          <w:rFonts w:ascii="Verdana" w:eastAsia="Calibri" w:hAnsi="Verdana" w:cs="Arial"/>
          <w:i/>
          <w:iCs/>
          <w:lang w:val="es-ES"/>
        </w:rPr>
        <w:t xml:space="preserve"> </w:t>
      </w:r>
      <w:proofErr w:type="spellStart"/>
      <w:r w:rsidRPr="008E0161">
        <w:rPr>
          <w:rFonts w:ascii="Verdana" w:eastAsia="Calibri" w:hAnsi="Verdana" w:cs="Arial"/>
          <w:i/>
          <w:iCs/>
          <w:lang w:val="es-ES"/>
        </w:rPr>
        <w:t>Ibídem</w:t>
      </w:r>
      <w:proofErr w:type="spellEnd"/>
      <w:r w:rsidRPr="008E0161">
        <w:rPr>
          <w:rFonts w:ascii="Verdana" w:eastAsia="Calibri" w:hAnsi="Verdana" w:cs="Arial"/>
          <w:i/>
          <w:iCs/>
          <w:lang w:val="es-ES"/>
        </w:rPr>
        <w:t>,</w:t>
      </w:r>
      <w:r w:rsidRPr="008E0161">
        <w:rPr>
          <w:rFonts w:ascii="Verdana" w:eastAsia="Calibri" w:hAnsi="Verdana" w:cs="Arial"/>
          <w:lang w:val="es-ES"/>
        </w:rPr>
        <w:t xml:space="preserve"> aterrizados en unas fechas concretas determinadas por el cronograma del proceso de selección. Esto significa que las alteraciones del cronograma del proceso de selección, que se presenten de manera sobreviniente a la constitución de la garantía de seriedad, podrían incidir en el cumplimiento de la vigencia exigida por el reglamento. </w:t>
      </w:r>
    </w:p>
    <w:p w14:paraId="39C533A0" w14:textId="77777777" w:rsidR="005E0589" w:rsidRPr="008E0161" w:rsidRDefault="005E0589" w:rsidP="005E0589">
      <w:pPr>
        <w:spacing w:after="120" w:line="276" w:lineRule="auto"/>
        <w:ind w:firstLine="709"/>
        <w:jc w:val="both"/>
        <w:rPr>
          <w:rFonts w:ascii="Verdana" w:hAnsi="Verdana"/>
        </w:rPr>
      </w:pPr>
      <w:r w:rsidRPr="008E0161">
        <w:rPr>
          <w:rFonts w:ascii="Verdana" w:eastAsia="Calibri" w:hAnsi="Verdana" w:cs="Arial"/>
          <w:bCs/>
          <w:color w:val="000000" w:themeColor="text1"/>
        </w:rPr>
        <w:t>Al margen de la explicación precedente debe advertirse que el análisis requerido para resolver problemas específicos en torno a la gestión contractual de las entidades públicas debe ser realizado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5D5A5F62" w14:textId="77777777" w:rsidR="005E0589" w:rsidRPr="008E0161" w:rsidRDefault="005E0589" w:rsidP="005E0589">
      <w:pPr>
        <w:spacing w:after="0" w:line="276" w:lineRule="auto"/>
        <w:ind w:firstLine="708"/>
        <w:jc w:val="both"/>
        <w:rPr>
          <w:rFonts w:ascii="Verdana" w:eastAsia="Calibri" w:hAnsi="Verdana" w:cs="Arial"/>
          <w:bCs/>
          <w:color w:val="000000" w:themeColor="text1"/>
        </w:rPr>
      </w:pPr>
      <w:r w:rsidRPr="008E0161">
        <w:rPr>
          <w:rFonts w:ascii="Verdana" w:eastAsia="Calibri" w:hAnsi="Verdana" w:cs="Arial"/>
          <w:bCs/>
          <w:color w:val="000000" w:themeColor="text1"/>
        </w:rPr>
        <w:t xml:space="preserve">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 </w:t>
      </w:r>
    </w:p>
    <w:p w14:paraId="6F0A1FC5" w14:textId="77777777" w:rsidR="005E0589" w:rsidRPr="008E0161" w:rsidRDefault="005E0589" w:rsidP="005E0589">
      <w:pPr>
        <w:widowControl w:val="0"/>
        <w:autoSpaceDE w:val="0"/>
        <w:autoSpaceDN w:val="0"/>
        <w:spacing w:after="0" w:line="276" w:lineRule="auto"/>
        <w:jc w:val="both"/>
        <w:rPr>
          <w:rFonts w:ascii="Verdana" w:eastAsia="Arial" w:hAnsi="Verdana" w:cs="Arial"/>
          <w:lang w:val="es-ES"/>
        </w:rPr>
      </w:pPr>
    </w:p>
    <w:p w14:paraId="7271BB5B" w14:textId="77777777" w:rsidR="005E0589" w:rsidRPr="008E0161" w:rsidRDefault="005E0589" w:rsidP="005E0589">
      <w:pPr>
        <w:numPr>
          <w:ilvl w:val="0"/>
          <w:numId w:val="16"/>
        </w:numPr>
        <w:tabs>
          <w:tab w:val="left" w:pos="142"/>
          <w:tab w:val="left" w:pos="284"/>
        </w:tabs>
        <w:spacing w:after="0" w:line="276" w:lineRule="auto"/>
        <w:jc w:val="both"/>
        <w:rPr>
          <w:rFonts w:ascii="Verdana" w:eastAsia="Century Gothic" w:hAnsi="Verdana" w:cs="Century Gothic"/>
          <w:b/>
          <w:bCs/>
        </w:rPr>
      </w:pPr>
      <w:r w:rsidRPr="008E0161">
        <w:rPr>
          <w:rFonts w:ascii="Verdana" w:eastAsia="Century Gothic" w:hAnsi="Verdana" w:cs="Century Gothic"/>
          <w:b/>
          <w:bCs/>
        </w:rPr>
        <w:t>Referencias normativas y jurisprudenciales:</w:t>
      </w:r>
    </w:p>
    <w:p w14:paraId="102D7664" w14:textId="77777777" w:rsidR="005E0589" w:rsidRPr="008E0161" w:rsidRDefault="005E0589" w:rsidP="005E0589">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5E0589" w:rsidRPr="008E0161" w14:paraId="0D872F35" w14:textId="77777777" w:rsidTr="009219FD">
        <w:trPr>
          <w:trHeight w:val="410"/>
          <w:jc w:val="center"/>
        </w:trPr>
        <w:tc>
          <w:tcPr>
            <w:tcW w:w="8647" w:type="dxa"/>
          </w:tcPr>
          <w:p w14:paraId="3B239632" w14:textId="77777777" w:rsidR="005E0589" w:rsidRPr="008E0161" w:rsidRDefault="005E0589" w:rsidP="005E0589">
            <w:pPr>
              <w:widowControl w:val="0"/>
              <w:numPr>
                <w:ilvl w:val="0"/>
                <w:numId w:val="18"/>
              </w:numPr>
              <w:autoSpaceDE w:val="0"/>
              <w:autoSpaceDN w:val="0"/>
              <w:spacing w:line="276" w:lineRule="auto"/>
              <w:ind w:left="318" w:hanging="284"/>
              <w:jc w:val="both"/>
              <w:rPr>
                <w:rFonts w:ascii="Verdana" w:eastAsia="Calibri" w:hAnsi="Verdana" w:cs="Arial"/>
              </w:rPr>
            </w:pPr>
            <w:r w:rsidRPr="008E0161">
              <w:rPr>
                <w:rFonts w:ascii="Verdana" w:eastAsia="Calibri" w:hAnsi="Verdana" w:cs="Arial"/>
              </w:rPr>
              <w:t>Ley 1150 de 2007, artículo 7.</w:t>
            </w:r>
          </w:p>
          <w:p w14:paraId="5F45DB06" w14:textId="77777777" w:rsidR="005E0589" w:rsidRPr="008E0161" w:rsidRDefault="005E0589" w:rsidP="005E0589">
            <w:pPr>
              <w:widowControl w:val="0"/>
              <w:numPr>
                <w:ilvl w:val="0"/>
                <w:numId w:val="18"/>
              </w:numPr>
              <w:autoSpaceDE w:val="0"/>
              <w:autoSpaceDN w:val="0"/>
              <w:spacing w:line="276" w:lineRule="auto"/>
              <w:ind w:left="318" w:hanging="284"/>
              <w:contextualSpacing/>
              <w:jc w:val="both"/>
              <w:rPr>
                <w:rFonts w:ascii="Verdana" w:eastAsia="Calibri" w:hAnsi="Verdana" w:cs="Arial"/>
              </w:rPr>
            </w:pPr>
            <w:r w:rsidRPr="008E0161">
              <w:rPr>
                <w:rFonts w:ascii="Verdana" w:eastAsia="Calibri" w:hAnsi="Verdana" w:cs="Arial"/>
              </w:rPr>
              <w:lastRenderedPageBreak/>
              <w:t>Decreto 1082 de 2015, artículos 2.2.1.2.3.1.9, 2.2.1.2.3.1.13, 2.2.1.2.3.1.14</w:t>
            </w:r>
            <w:r>
              <w:rPr>
                <w:rFonts w:ascii="Verdana" w:eastAsia="Calibri" w:hAnsi="Verdana" w:cs="Arial"/>
              </w:rPr>
              <w:t xml:space="preserve">, </w:t>
            </w:r>
            <w:r w:rsidRPr="008E0161">
              <w:rPr>
                <w:rFonts w:ascii="Verdana" w:eastAsia="Calibri" w:hAnsi="Verdana" w:cs="Arial"/>
              </w:rPr>
              <w:t>2.2.1.2.3.1.6</w:t>
            </w:r>
            <w:r>
              <w:rPr>
                <w:rFonts w:ascii="Verdana" w:eastAsia="Calibri" w:hAnsi="Verdana" w:cs="Arial"/>
              </w:rPr>
              <w:t xml:space="preserve"> y </w:t>
            </w:r>
            <w:r w:rsidRPr="00C66C9A">
              <w:rPr>
                <w:rFonts w:ascii="Verdana" w:eastAsia="Calibri" w:hAnsi="Verdana" w:cs="Arial"/>
              </w:rPr>
              <w:t>2.2.1.2.1.5.5</w:t>
            </w:r>
            <w:r w:rsidRPr="008E0161">
              <w:rPr>
                <w:rFonts w:ascii="Verdana" w:eastAsia="Calibri" w:hAnsi="Verdana" w:cs="Arial"/>
              </w:rPr>
              <w:t xml:space="preserve">. </w:t>
            </w:r>
          </w:p>
          <w:p w14:paraId="15F04D60" w14:textId="77777777" w:rsidR="005E0589" w:rsidRPr="008E0161" w:rsidRDefault="005E0589" w:rsidP="005E0589">
            <w:pPr>
              <w:numPr>
                <w:ilvl w:val="0"/>
                <w:numId w:val="17"/>
              </w:numPr>
              <w:spacing w:line="276" w:lineRule="auto"/>
              <w:ind w:left="318" w:hanging="284"/>
              <w:contextualSpacing/>
              <w:jc w:val="both"/>
              <w:rPr>
                <w:rFonts w:ascii="Verdana" w:hAnsi="Verdana" w:cs="Arial"/>
                <w:lang w:val="es-MX"/>
              </w:rPr>
            </w:pPr>
            <w:r w:rsidRPr="008E0161">
              <w:rPr>
                <w:rFonts w:ascii="Verdana" w:eastAsia="Calibri" w:hAnsi="Verdana" w:cs="Arial"/>
              </w:rPr>
              <w:t>Código de Comercio, artículo 1068</w:t>
            </w:r>
            <w:r>
              <w:rPr>
                <w:rFonts w:ascii="Verdana" w:eastAsia="Calibri" w:hAnsi="Verdana" w:cs="Arial"/>
              </w:rPr>
              <w:t>.</w:t>
            </w:r>
          </w:p>
          <w:p w14:paraId="3ED50755" w14:textId="77777777" w:rsidR="005E0589" w:rsidRPr="008E0161" w:rsidRDefault="005E0589" w:rsidP="005E0589">
            <w:pPr>
              <w:numPr>
                <w:ilvl w:val="0"/>
                <w:numId w:val="17"/>
              </w:numPr>
              <w:spacing w:line="276" w:lineRule="auto"/>
              <w:ind w:left="318" w:hanging="284"/>
              <w:contextualSpacing/>
              <w:jc w:val="both"/>
              <w:rPr>
                <w:rFonts w:ascii="Verdana" w:hAnsi="Verdana" w:cs="Arial"/>
                <w:lang w:val="es-MX"/>
              </w:rPr>
            </w:pPr>
            <w:r w:rsidRPr="008E0161">
              <w:rPr>
                <w:rFonts w:ascii="Verdana" w:hAnsi="Verdana" w:cs="Arial"/>
                <w:lang w:val="es-MX"/>
              </w:rPr>
              <w:t>Corte Constitucional. Sentencia C-452 de 1999. M.P. Eduardo Cifuentes Muñoz.</w:t>
            </w:r>
          </w:p>
        </w:tc>
      </w:tr>
    </w:tbl>
    <w:p w14:paraId="162ACA3D" w14:textId="77777777" w:rsidR="005E0589" w:rsidRPr="008E0161" w:rsidRDefault="005E0589" w:rsidP="005E0589">
      <w:pPr>
        <w:widowControl w:val="0"/>
        <w:autoSpaceDE w:val="0"/>
        <w:autoSpaceDN w:val="0"/>
        <w:spacing w:after="0" w:line="276" w:lineRule="auto"/>
        <w:jc w:val="both"/>
        <w:rPr>
          <w:rFonts w:ascii="Verdana" w:hAnsi="Verdana" w:cs="Arial"/>
        </w:rPr>
      </w:pPr>
    </w:p>
    <w:p w14:paraId="029D52AB" w14:textId="77777777" w:rsidR="005E0589" w:rsidRPr="008E0161" w:rsidRDefault="005E0589" w:rsidP="005E0589">
      <w:pPr>
        <w:numPr>
          <w:ilvl w:val="0"/>
          <w:numId w:val="16"/>
        </w:numPr>
        <w:tabs>
          <w:tab w:val="left" w:pos="142"/>
          <w:tab w:val="left" w:pos="284"/>
        </w:tabs>
        <w:spacing w:after="0" w:line="276" w:lineRule="auto"/>
        <w:jc w:val="both"/>
        <w:rPr>
          <w:rFonts w:ascii="Verdana" w:eastAsia="Century Gothic" w:hAnsi="Verdana" w:cs="Century Gothic"/>
          <w:b/>
          <w:bCs/>
        </w:rPr>
      </w:pPr>
      <w:r w:rsidRPr="008E0161">
        <w:rPr>
          <w:rFonts w:ascii="Verdana" w:eastAsia="Century Gothic" w:hAnsi="Verdana" w:cs="Century Gothic"/>
          <w:b/>
          <w:bCs/>
        </w:rPr>
        <w:t>Doctrina de la Agencia Nacional de Contratación Pública:</w:t>
      </w:r>
    </w:p>
    <w:p w14:paraId="687908B1" w14:textId="77777777" w:rsidR="005E0589" w:rsidRPr="008E0161" w:rsidRDefault="005E0589" w:rsidP="005E0589">
      <w:pPr>
        <w:widowControl w:val="0"/>
        <w:autoSpaceDE w:val="0"/>
        <w:autoSpaceDN w:val="0"/>
        <w:spacing w:after="0" w:line="276" w:lineRule="auto"/>
        <w:jc w:val="both"/>
        <w:rPr>
          <w:rFonts w:ascii="Verdana" w:hAnsi="Verdana" w:cs="Arial"/>
        </w:rPr>
      </w:pPr>
    </w:p>
    <w:p w14:paraId="064F4C58" w14:textId="77777777" w:rsidR="005E0589" w:rsidRPr="008E0161" w:rsidRDefault="005E0589" w:rsidP="005E0589">
      <w:pPr>
        <w:widowControl w:val="0"/>
        <w:autoSpaceDE w:val="0"/>
        <w:autoSpaceDN w:val="0"/>
        <w:spacing w:after="120" w:line="276" w:lineRule="auto"/>
        <w:jc w:val="both"/>
        <w:rPr>
          <w:rFonts w:ascii="Verdana" w:eastAsia="Calibri" w:hAnsi="Verdana" w:cs="Arial"/>
          <w:color w:val="000000" w:themeColor="text1"/>
          <w:lang w:val="es-ES_tradnl" w:eastAsia="es-ES_tradnl"/>
        </w:rPr>
      </w:pPr>
      <w:r w:rsidRPr="008E0161">
        <w:rPr>
          <w:rFonts w:ascii="Verdana" w:eastAsia="Calibri" w:hAnsi="Verdana" w:cs="Arial"/>
          <w:shd w:val="clear" w:color="auto" w:fill="FFFFFF"/>
          <w:lang w:val="es-ES"/>
        </w:rPr>
        <w:t xml:space="preserve">La Agencia Nacional de Contratación Pública – Colombia Compra Eficiente explicó </w:t>
      </w:r>
      <w:r>
        <w:rPr>
          <w:rFonts w:ascii="Verdana" w:eastAsia="Calibri" w:hAnsi="Verdana" w:cs="Arial"/>
          <w:shd w:val="clear" w:color="auto" w:fill="FFFFFF"/>
          <w:lang w:val="es-MX"/>
        </w:rPr>
        <w:t>a</w:t>
      </w:r>
      <w:r w:rsidRPr="008E0161">
        <w:rPr>
          <w:rFonts w:ascii="Verdana" w:eastAsia="Calibri" w:hAnsi="Verdana" w:cs="Arial"/>
          <w:shd w:val="clear" w:color="auto" w:fill="FFFFFF"/>
          <w:lang w:val="es-MX"/>
        </w:rPr>
        <w:t xml:space="preserve">spectos relativos a la garantía de seriedad de la oferta, su finalidad, vigencia y subsanabilidad </w:t>
      </w:r>
      <w:r w:rsidRPr="008E0161">
        <w:rPr>
          <w:rFonts w:ascii="Verdana" w:eastAsia="Calibri" w:hAnsi="Verdana" w:cs="Arial"/>
          <w:shd w:val="clear" w:color="auto" w:fill="FFFFFF"/>
          <w:lang w:val="es-ES"/>
        </w:rPr>
        <w:t>a través de los conceptos 2</w:t>
      </w:r>
      <w:r w:rsidRPr="008E0161">
        <w:rPr>
          <w:rFonts w:ascii="Verdana" w:eastAsia="Calibri" w:hAnsi="Verdana" w:cs="Arial"/>
          <w:shd w:val="clear" w:color="auto" w:fill="FFFFFF"/>
          <w:lang w:val="es-MX"/>
        </w:rPr>
        <w:t>201913000008068 del 28 de octubre del 2019, 2201913000008484 del 14 de noviembre del 2019, C-218 del 2 de abril de 2020, C-307 del 21 de mayo de 2020, C-391 del 10 de agosto de 2020, C-229 del 16 de abril de 2020, C-675 del 25 de noviembre de 2020, C-683 del 21 de noviembre de 2020, C-010 del 16 de febrero de 2021, C-487 del 30 de mayo de 2025</w:t>
      </w:r>
      <w:r>
        <w:rPr>
          <w:rFonts w:ascii="Verdana" w:eastAsia="Calibri" w:hAnsi="Verdana" w:cs="Arial"/>
          <w:shd w:val="clear" w:color="auto" w:fill="FFFFFF"/>
          <w:lang w:val="es-MX"/>
        </w:rPr>
        <w:t>, C-489 del 30 de mayo de 2025, C-608 del 24 de junio de 2025 y C-1460 del 29 de octubre de 2025</w:t>
      </w:r>
      <w:r w:rsidRPr="008E0161">
        <w:rPr>
          <w:rFonts w:ascii="Verdana" w:eastAsia="Calibri" w:hAnsi="Verdana" w:cs="Arial"/>
          <w:shd w:val="clear" w:color="auto" w:fill="FFFFFF"/>
          <w:lang w:val="es-MX"/>
        </w:rPr>
        <w:t xml:space="preserve">. </w:t>
      </w:r>
      <w:r w:rsidRPr="008E0161">
        <w:rPr>
          <w:rFonts w:ascii="Verdana" w:hAnsi="Verdana" w:cs="Arial"/>
          <w:shd w:val="clear" w:color="auto" w:fill="FFFFFF"/>
        </w:rPr>
        <w:t>Es</w:t>
      </w:r>
      <w:r w:rsidRPr="008E0161">
        <w:rPr>
          <w:rFonts w:ascii="Verdana" w:hAnsi="Verdana"/>
        </w:rPr>
        <w:t>tos conceptos se encuentran disponibles para consulta en el Sistema de relatoría de la Agencia, al cual se puede acceder a través del siguiente enlace:</w:t>
      </w:r>
      <w:r w:rsidRPr="008E0161">
        <w:rPr>
          <w:rFonts w:ascii="Verdana" w:hAnsi="Verdana" w:cs="Arial"/>
          <w:shd w:val="clear" w:color="auto" w:fill="FFFFFF"/>
        </w:rPr>
        <w:t xml:space="preserve"> </w:t>
      </w:r>
      <w:hyperlink r:id="rId11" w:history="1">
        <w:r w:rsidRPr="008E0161">
          <w:rPr>
            <w:rFonts w:ascii="Verdana" w:hAnsi="Verdana" w:cs="Arial"/>
            <w:color w:val="0563C1" w:themeColor="hyperlink"/>
            <w:u w:val="single"/>
            <w:shd w:val="clear" w:color="auto" w:fill="FFFFFF"/>
          </w:rPr>
          <w:t>https://relatoria.colombiacompra.gov.co/busqueda/conceptos</w:t>
        </w:r>
      </w:hyperlink>
      <w:r w:rsidRPr="008E0161">
        <w:rPr>
          <w:rFonts w:ascii="Verdana" w:hAnsi="Verdana" w:cs="Arial"/>
          <w:color w:val="FF0000"/>
          <w:shd w:val="clear" w:color="auto" w:fill="FFFFFF"/>
        </w:rPr>
        <w:t xml:space="preserve"> </w:t>
      </w:r>
      <w:r w:rsidRPr="008E0161">
        <w:rPr>
          <w:rFonts w:ascii="Verdana" w:hAnsi="Verdana" w:cs="Arial"/>
          <w:color w:val="000000" w:themeColor="text1"/>
          <w:shd w:val="clear" w:color="auto" w:fill="FFFFFF"/>
        </w:rPr>
        <w:t>  </w:t>
      </w:r>
    </w:p>
    <w:p w14:paraId="2B306E83" w14:textId="77777777" w:rsidR="005E0589" w:rsidRDefault="005E0589" w:rsidP="005E0589">
      <w:pPr>
        <w:widowControl w:val="0"/>
        <w:autoSpaceDE w:val="0"/>
        <w:autoSpaceDN w:val="0"/>
        <w:spacing w:after="0" w:line="276" w:lineRule="auto"/>
        <w:jc w:val="both"/>
        <w:rPr>
          <w:rFonts w:ascii="Verdana" w:eastAsia="Calibri" w:hAnsi="Verdana" w:cs="Arial"/>
          <w:color w:val="000000" w:themeColor="text1"/>
          <w:shd w:val="clear" w:color="auto" w:fill="FFFFFF"/>
        </w:rPr>
      </w:pPr>
      <w:bookmarkStart w:id="10" w:name="_Hlk212050775"/>
    </w:p>
    <w:p w14:paraId="7C0C674F" w14:textId="77777777" w:rsidR="005E0589" w:rsidRPr="00C71471" w:rsidRDefault="005E0589" w:rsidP="005E0589">
      <w:pPr>
        <w:widowControl w:val="0"/>
        <w:autoSpaceDE w:val="0"/>
        <w:autoSpaceDN w:val="0"/>
        <w:spacing w:after="0" w:line="276" w:lineRule="auto"/>
        <w:jc w:val="both"/>
        <w:rPr>
          <w:rFonts w:ascii="Verdana" w:eastAsia="Calibri" w:hAnsi="Verdana" w:cs="Arial"/>
          <w:color w:val="000000" w:themeColor="text1"/>
          <w:shd w:val="clear" w:color="auto" w:fill="FFFFFF"/>
        </w:rPr>
      </w:pPr>
      <w:r w:rsidRPr="00C71471">
        <w:rPr>
          <w:rFonts w:ascii="Verdana" w:eastAsia="Calibri" w:hAnsi="Verdana" w:cs="Arial"/>
          <w:color w:val="000000" w:themeColor="text1"/>
          <w:shd w:val="clear" w:color="auto" w:fill="FFFFFF"/>
        </w:rPr>
        <w:t>También le contamos que ya se encuentra disponible la </w:t>
      </w:r>
      <w:r w:rsidRPr="00C71471">
        <w:rPr>
          <w:rFonts w:ascii="Verdana" w:eastAsia="Calibri" w:hAnsi="Verdana" w:cs="Arial"/>
          <w:b/>
          <w:bCs/>
          <w:color w:val="000000" w:themeColor="text1"/>
          <w:shd w:val="clear" w:color="auto" w:fill="FFFFFF"/>
        </w:rPr>
        <w:t>Guía de lineamientos de transparencia y selección objetiva para el departamento de La Guajira – Objetivo sexto constitucional de la Sentencia T-302 del 2017. </w:t>
      </w:r>
      <w:r w:rsidRPr="00C71471">
        <w:rPr>
          <w:rFonts w:ascii="Verdana" w:eastAsia="Calibri" w:hAnsi="Verdana" w:cs="Arial"/>
          <w:color w:val="000000" w:themeColor="text1"/>
          <w:shd w:val="clear" w:color="auto" w:fill="FFFFFF"/>
        </w:rPr>
        <w:t xml:space="preserve">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sidRPr="00C71471">
        <w:rPr>
          <w:rFonts w:ascii="Verdana" w:eastAsia="Calibri" w:hAnsi="Verdana" w:cs="Arial"/>
          <w:color w:val="000000" w:themeColor="text1"/>
          <w:shd w:val="clear" w:color="auto" w:fill="FFFFFF"/>
        </w:rPr>
        <w:t>Wayúu</w:t>
      </w:r>
      <w:proofErr w:type="spellEnd"/>
      <w:r w:rsidRPr="00C71471">
        <w:rPr>
          <w:rFonts w:ascii="Verdana" w:eastAsia="Calibri" w:hAnsi="Verdana" w:cs="Arial"/>
          <w:color w:val="000000" w:themeColor="text1"/>
          <w:shd w:val="clear" w:color="auto" w:fill="FFFFFF"/>
        </w:rPr>
        <w:t>. Puede consultar la guía en el siguiente enlace: </w:t>
      </w:r>
      <w:hyperlink r:id="rId12" w:tgtFrame="_blank" w:tooltip="Dirección URL original: https://www.colombiacompra.gov.co/wp-content/uploads/2025/05/GUIA-DE-LINEAMIENTOS-DE-TRANSPARENCIA-Y-SELECCION-OBJETIVA-1.0.pdf. Haga clic o pulse si confía en este vínculo." w:history="1">
        <w:r w:rsidRPr="00C71471">
          <w:rPr>
            <w:rFonts w:ascii="Verdana" w:eastAsia="Calibri" w:hAnsi="Verdana" w:cs="Arial"/>
            <w:color w:val="0563C1" w:themeColor="hyperlink"/>
            <w:u w:val="single"/>
            <w:shd w:val="clear" w:color="auto" w:fill="FFFFFF"/>
          </w:rPr>
          <w:t>Guía de lineamientos de transparencia y selección objetiva para el departamento de La Guajira – Objetivo sexto constitucional de la Sentencia T-302 del 2017</w:t>
        </w:r>
      </w:hyperlink>
    </w:p>
    <w:p w14:paraId="02E44C19" w14:textId="77777777" w:rsidR="005E0589" w:rsidRPr="00C71471" w:rsidRDefault="005E0589" w:rsidP="005E0589">
      <w:pPr>
        <w:widowControl w:val="0"/>
        <w:autoSpaceDE w:val="0"/>
        <w:autoSpaceDN w:val="0"/>
        <w:spacing w:after="0" w:line="276" w:lineRule="auto"/>
        <w:jc w:val="both"/>
        <w:rPr>
          <w:rFonts w:ascii="Verdana" w:eastAsia="Calibri" w:hAnsi="Verdana" w:cs="Arial"/>
          <w:color w:val="000000" w:themeColor="text1"/>
          <w:shd w:val="clear" w:color="auto" w:fill="FFFFFF"/>
        </w:rPr>
      </w:pPr>
    </w:p>
    <w:p w14:paraId="0B47FB14" w14:textId="77777777" w:rsidR="005E0589" w:rsidRPr="00C71471" w:rsidRDefault="005E0589" w:rsidP="005E0589">
      <w:pPr>
        <w:widowControl w:val="0"/>
        <w:autoSpaceDE w:val="0"/>
        <w:autoSpaceDN w:val="0"/>
        <w:spacing w:after="0" w:line="276" w:lineRule="auto"/>
        <w:jc w:val="both"/>
        <w:rPr>
          <w:rFonts w:ascii="Verdana" w:eastAsia="Calibri" w:hAnsi="Verdana" w:cs="Arial"/>
          <w:color w:val="000000" w:themeColor="text1"/>
          <w:shd w:val="clear" w:color="auto" w:fill="FFFFFF"/>
        </w:rPr>
      </w:pPr>
      <w:r w:rsidRPr="00C71471">
        <w:rPr>
          <w:rFonts w:ascii="Verdana" w:eastAsia="Calibri" w:hAnsi="Verdana" w:cs="Arial"/>
          <w:color w:val="000000" w:themeColor="text1"/>
          <w:shd w:val="clear" w:color="auto" w:fill="FFFFFF"/>
        </w:rPr>
        <w:t xml:space="preserve">Por último, lo invitamos a seguirnos en las redes sociales en las cuales se difunde información institucional: </w:t>
      </w:r>
    </w:p>
    <w:p w14:paraId="6377F73F" w14:textId="77777777" w:rsidR="005E0589" w:rsidRPr="00C71471" w:rsidRDefault="005E0589" w:rsidP="005E0589">
      <w:pPr>
        <w:widowControl w:val="0"/>
        <w:autoSpaceDE w:val="0"/>
        <w:autoSpaceDN w:val="0"/>
        <w:spacing w:after="0" w:line="276" w:lineRule="auto"/>
        <w:jc w:val="both"/>
        <w:rPr>
          <w:rFonts w:ascii="Verdana" w:eastAsia="Calibri" w:hAnsi="Verdana" w:cs="Arial"/>
          <w:color w:val="000000" w:themeColor="text1"/>
          <w:shd w:val="clear" w:color="auto" w:fill="FFFFFF"/>
        </w:rPr>
      </w:pPr>
    </w:p>
    <w:p w14:paraId="0C551993" w14:textId="77777777" w:rsidR="005E0589" w:rsidRPr="00C71471" w:rsidRDefault="005E0589" w:rsidP="005E0589">
      <w:pPr>
        <w:widowControl w:val="0"/>
        <w:autoSpaceDE w:val="0"/>
        <w:autoSpaceDN w:val="0"/>
        <w:spacing w:after="0" w:line="276" w:lineRule="auto"/>
        <w:jc w:val="both"/>
        <w:rPr>
          <w:rFonts w:ascii="Verdana" w:eastAsia="Calibri" w:hAnsi="Verdana" w:cs="Arial"/>
          <w:color w:val="000000" w:themeColor="text1"/>
          <w:shd w:val="clear" w:color="auto" w:fill="FFFFFF"/>
        </w:rPr>
      </w:pPr>
      <w:r w:rsidRPr="00C71471">
        <w:rPr>
          <w:rFonts w:ascii="Verdana" w:eastAsia="Calibri" w:hAnsi="Verdana" w:cs="Arial"/>
          <w:color w:val="000000" w:themeColor="text1"/>
          <w:shd w:val="clear" w:color="auto" w:fill="FFFFFF"/>
        </w:rPr>
        <w:lastRenderedPageBreak/>
        <w:t xml:space="preserve">Twitter: </w:t>
      </w:r>
      <w:r w:rsidRPr="00C71471">
        <w:rPr>
          <w:rFonts w:ascii="Verdana" w:eastAsia="Calibri" w:hAnsi="Verdana" w:cs="Arial"/>
          <w:color w:val="000000" w:themeColor="text1"/>
          <w:u w:val="single"/>
          <w:shd w:val="clear" w:color="auto" w:fill="FFFFFF"/>
        </w:rPr>
        <w:t>@colombiacompra</w:t>
      </w:r>
      <w:r w:rsidRPr="00C71471">
        <w:rPr>
          <w:rFonts w:ascii="Verdana" w:eastAsia="Calibri" w:hAnsi="Verdana" w:cs="Arial"/>
          <w:color w:val="000000" w:themeColor="text1"/>
          <w:shd w:val="clear" w:color="auto" w:fill="FFFFFF"/>
        </w:rPr>
        <w:t xml:space="preserve"> </w:t>
      </w:r>
    </w:p>
    <w:p w14:paraId="37C2E3F6" w14:textId="77777777" w:rsidR="005E0589" w:rsidRPr="00C71471" w:rsidRDefault="005E0589" w:rsidP="005E0589">
      <w:pPr>
        <w:widowControl w:val="0"/>
        <w:autoSpaceDE w:val="0"/>
        <w:autoSpaceDN w:val="0"/>
        <w:spacing w:after="0" w:line="276" w:lineRule="auto"/>
        <w:jc w:val="both"/>
        <w:rPr>
          <w:rFonts w:ascii="Verdana" w:eastAsia="Calibri" w:hAnsi="Verdana" w:cs="Arial"/>
          <w:color w:val="000000" w:themeColor="text1"/>
          <w:shd w:val="clear" w:color="auto" w:fill="FFFFFF"/>
        </w:rPr>
      </w:pPr>
      <w:r w:rsidRPr="00C71471">
        <w:rPr>
          <w:rFonts w:ascii="Verdana" w:eastAsia="Calibri" w:hAnsi="Verdana" w:cs="Arial"/>
          <w:color w:val="000000" w:themeColor="text1"/>
          <w:shd w:val="clear" w:color="auto" w:fill="FFFFFF"/>
        </w:rPr>
        <w:t xml:space="preserve">Facebook: </w:t>
      </w:r>
      <w:proofErr w:type="spellStart"/>
      <w:r w:rsidRPr="00C71471">
        <w:rPr>
          <w:rFonts w:ascii="Verdana" w:eastAsia="Calibri" w:hAnsi="Verdana" w:cs="Arial"/>
          <w:color w:val="000000" w:themeColor="text1"/>
          <w:u w:val="single"/>
          <w:shd w:val="clear" w:color="auto" w:fill="FFFFFF"/>
        </w:rPr>
        <w:t>ColombiaCompraEficiente</w:t>
      </w:r>
      <w:proofErr w:type="spellEnd"/>
    </w:p>
    <w:p w14:paraId="4AB019C0" w14:textId="77777777" w:rsidR="005E0589" w:rsidRPr="00C71471" w:rsidRDefault="005E0589" w:rsidP="005E0589">
      <w:pPr>
        <w:widowControl w:val="0"/>
        <w:autoSpaceDE w:val="0"/>
        <w:autoSpaceDN w:val="0"/>
        <w:spacing w:after="0" w:line="276" w:lineRule="auto"/>
        <w:jc w:val="both"/>
        <w:rPr>
          <w:rFonts w:ascii="Verdana" w:eastAsia="Calibri" w:hAnsi="Verdana" w:cs="Arial"/>
          <w:color w:val="000000" w:themeColor="text1"/>
          <w:shd w:val="clear" w:color="auto" w:fill="FFFFFF"/>
        </w:rPr>
      </w:pPr>
      <w:r w:rsidRPr="00C71471">
        <w:rPr>
          <w:rFonts w:ascii="Verdana" w:eastAsia="Calibri" w:hAnsi="Verdana" w:cs="Arial"/>
          <w:color w:val="000000" w:themeColor="text1"/>
          <w:shd w:val="clear" w:color="auto" w:fill="FFFFFF"/>
        </w:rPr>
        <w:t xml:space="preserve">LinkedIn: </w:t>
      </w:r>
      <w:r w:rsidRPr="00C71471">
        <w:rPr>
          <w:rFonts w:ascii="Verdana" w:eastAsia="Calibri" w:hAnsi="Verdana" w:cs="Arial"/>
          <w:color w:val="000000" w:themeColor="text1"/>
          <w:u w:val="single"/>
          <w:shd w:val="clear" w:color="auto" w:fill="FFFFFF"/>
        </w:rPr>
        <w:t>Agencia Nacional de Contratación Pública - Colombia Compra Eficiente</w:t>
      </w:r>
      <w:r w:rsidRPr="00C71471">
        <w:rPr>
          <w:rFonts w:ascii="Verdana" w:eastAsia="Calibri" w:hAnsi="Verdana" w:cs="Arial"/>
          <w:color w:val="000000" w:themeColor="text1"/>
          <w:shd w:val="clear" w:color="auto" w:fill="FFFFFF"/>
        </w:rPr>
        <w:t xml:space="preserve"> Instagram: </w:t>
      </w:r>
      <w:r w:rsidRPr="00C71471">
        <w:rPr>
          <w:rFonts w:ascii="Verdana" w:eastAsia="Calibri" w:hAnsi="Verdana" w:cs="Arial"/>
          <w:color w:val="000000" w:themeColor="text1"/>
          <w:u w:val="single"/>
          <w:shd w:val="clear" w:color="auto" w:fill="FFFFFF"/>
        </w:rPr>
        <w:t>@colombiacompraeficiente_cce</w:t>
      </w:r>
    </w:p>
    <w:p w14:paraId="60D8BC3B" w14:textId="77777777" w:rsidR="005E0589" w:rsidRPr="00C71471" w:rsidRDefault="005E0589" w:rsidP="005E0589">
      <w:pPr>
        <w:widowControl w:val="0"/>
        <w:autoSpaceDE w:val="0"/>
        <w:autoSpaceDN w:val="0"/>
        <w:spacing w:after="0" w:line="276" w:lineRule="auto"/>
        <w:jc w:val="both"/>
        <w:rPr>
          <w:rFonts w:ascii="Verdana" w:eastAsia="Calibri" w:hAnsi="Verdana" w:cs="Arial"/>
        </w:rPr>
      </w:pPr>
    </w:p>
    <w:p w14:paraId="75BA0955" w14:textId="77777777" w:rsidR="005E0589" w:rsidRPr="00C71471" w:rsidRDefault="005E0589" w:rsidP="005E0589">
      <w:pPr>
        <w:widowControl w:val="0"/>
        <w:autoSpaceDE w:val="0"/>
        <w:autoSpaceDN w:val="0"/>
        <w:spacing w:after="0" w:line="276" w:lineRule="auto"/>
        <w:jc w:val="both"/>
        <w:rPr>
          <w:rFonts w:ascii="Verdana" w:eastAsia="Calibri" w:hAnsi="Verdana" w:cs="Arial"/>
          <w:lang w:val="es-ES_tradnl"/>
        </w:rPr>
      </w:pPr>
      <w:r w:rsidRPr="00C71471">
        <w:rPr>
          <w:rFonts w:ascii="Verdana" w:eastAsia="Calibri" w:hAnsi="Verdana" w:cs="Arial"/>
        </w:rPr>
        <w:t xml:space="preserve">Este concepto tiene el alcance previsto en el artículo 28 del Código de Procedimiento Administrativo y de lo Contencioso Administrativo </w:t>
      </w:r>
      <w:r w:rsidRPr="00C71471">
        <w:rPr>
          <w:rFonts w:ascii="Verdana" w:eastAsia="Calibri" w:hAnsi="Verdana" w:cs="Arial"/>
          <w:lang w:val="es-ES_tradnl"/>
        </w:rPr>
        <w:t>y las expresiones aquí utilizadas con mayúscula inicial deben ser entendidas con el significado que les otorga el artículo 2.2.1.1.1.3.1. del Decreto 1082 de 2015.</w:t>
      </w:r>
    </w:p>
    <w:p w14:paraId="7D050347" w14:textId="77777777" w:rsidR="005E0589" w:rsidRPr="00C71471" w:rsidRDefault="005E0589" w:rsidP="005E0589">
      <w:pPr>
        <w:widowControl w:val="0"/>
        <w:autoSpaceDE w:val="0"/>
        <w:autoSpaceDN w:val="0"/>
        <w:spacing w:after="0" w:line="276" w:lineRule="auto"/>
        <w:jc w:val="both"/>
        <w:rPr>
          <w:rFonts w:ascii="Verdana" w:eastAsia="Calibri" w:hAnsi="Verdana" w:cs="Arial"/>
        </w:rPr>
      </w:pPr>
    </w:p>
    <w:p w14:paraId="445BAF4E" w14:textId="77777777" w:rsidR="005E0589" w:rsidRPr="00C71471" w:rsidRDefault="005E0589" w:rsidP="005E0589">
      <w:pPr>
        <w:spacing w:after="0" w:line="240" w:lineRule="auto"/>
        <w:rPr>
          <w:rFonts w:ascii="Verdana" w:eastAsia="Calibri" w:hAnsi="Verdana" w:cs="Arial"/>
          <w:lang w:eastAsia="es-CO"/>
        </w:rPr>
      </w:pPr>
      <w:r w:rsidRPr="00C71471">
        <w:rPr>
          <w:rFonts w:ascii="Verdana" w:eastAsia="Times New Roman" w:hAnsi="Verdana" w:cs="Arial"/>
          <w:lang w:eastAsia="es-CO"/>
        </w:rPr>
        <w:t>Atentamente,</w:t>
      </w:r>
      <w:r w:rsidRPr="00C71471">
        <w:rPr>
          <w:rFonts w:ascii="Verdana" w:eastAsia="Calibri" w:hAnsi="Verdana" w:cs="Arial"/>
          <w:lang w:eastAsia="es-CO"/>
        </w:rPr>
        <w:t xml:space="preserve"> </w:t>
      </w:r>
    </w:p>
    <w:p w14:paraId="0C612E90" w14:textId="1C17F805" w:rsidR="005E0589" w:rsidRPr="00C71471" w:rsidRDefault="002D60A0" w:rsidP="005E0589">
      <w:pPr>
        <w:spacing w:line="276" w:lineRule="auto"/>
        <w:jc w:val="center"/>
        <w:rPr>
          <w:rFonts w:ascii="Verdana" w:eastAsia="Calibri" w:hAnsi="Verdana" w:cs="Arial"/>
          <w:color w:val="000000"/>
          <w:lang w:val="es-ES_tradnl" w:eastAsia="es-CO"/>
        </w:rPr>
      </w:pPr>
      <w:r w:rsidRPr="002C3AD6">
        <w:rPr>
          <w:rFonts w:ascii="Century Gothic" w:hAnsi="Century Gothic"/>
          <w:noProof/>
        </w:rPr>
        <w:drawing>
          <wp:inline distT="0" distB="0" distL="0" distR="0" wp14:anchorId="5E92934F" wp14:editId="382A2015">
            <wp:extent cx="3772426" cy="1400370"/>
            <wp:effectExtent l="0" t="0" r="0" b="9525"/>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3"/>
                    <a:stretch>
                      <a:fillRect/>
                    </a:stretch>
                  </pic:blipFill>
                  <pic:spPr>
                    <a:xfrm>
                      <a:off x="0" y="0"/>
                      <a:ext cx="3772426" cy="1400370"/>
                    </a:xfrm>
                    <a:prstGeom prst="rect">
                      <a:avLst/>
                    </a:prstGeom>
                  </pic:spPr>
                </pic:pic>
              </a:graphicData>
            </a:graphic>
          </wp:inline>
        </w:drawing>
      </w:r>
    </w:p>
    <w:tbl>
      <w:tblPr>
        <w:tblStyle w:val="Tablaconcuadrcula1"/>
        <w:tblW w:w="6521"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5E0589" w:rsidRPr="00C71471" w14:paraId="443D690B" w14:textId="77777777" w:rsidTr="009219FD">
        <w:trPr>
          <w:trHeight w:val="315"/>
        </w:trPr>
        <w:tc>
          <w:tcPr>
            <w:tcW w:w="893" w:type="dxa"/>
            <w:vAlign w:val="center"/>
            <w:hideMark/>
          </w:tcPr>
          <w:p w14:paraId="0743FB05" w14:textId="77777777" w:rsidR="005E0589" w:rsidRPr="00C71471" w:rsidRDefault="005E0589" w:rsidP="009219FD">
            <w:pPr>
              <w:spacing w:after="255"/>
              <w:contextualSpacing/>
              <w:rPr>
                <w:rFonts w:ascii="Verdana" w:hAnsi="Verdana" w:cs="Arial"/>
                <w:sz w:val="16"/>
                <w:szCs w:val="16"/>
                <w:lang w:val="es-ES" w:eastAsia="es-ES"/>
              </w:rPr>
            </w:pPr>
            <w:r w:rsidRPr="00C71471">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5601A4D7" w14:textId="77777777" w:rsidR="005E0589" w:rsidRPr="00C71471" w:rsidRDefault="005E0589" w:rsidP="009219FD">
            <w:pPr>
              <w:spacing w:after="255"/>
              <w:contextualSpacing/>
              <w:rPr>
                <w:rFonts w:ascii="Verdana" w:hAnsi="Verdana" w:cs="Arial"/>
                <w:sz w:val="16"/>
                <w:szCs w:val="16"/>
                <w:lang w:val="pt-BR" w:eastAsia="es-ES"/>
              </w:rPr>
            </w:pPr>
            <w:r w:rsidRPr="00C71471">
              <w:rPr>
                <w:rFonts w:ascii="Verdana" w:hAnsi="Verdana" w:cs="Arial"/>
                <w:sz w:val="16"/>
                <w:szCs w:val="16"/>
                <w:lang w:val="pt-BR" w:eastAsia="es-ES"/>
              </w:rPr>
              <w:t>Ximena Ríos López</w:t>
            </w:r>
          </w:p>
          <w:p w14:paraId="181DA486" w14:textId="77777777" w:rsidR="005E0589" w:rsidRPr="00C71471" w:rsidRDefault="005E0589" w:rsidP="009219FD">
            <w:pPr>
              <w:spacing w:after="255"/>
              <w:contextualSpacing/>
              <w:rPr>
                <w:rFonts w:ascii="Verdana" w:hAnsi="Verdana" w:cs="Arial"/>
                <w:sz w:val="16"/>
                <w:szCs w:val="16"/>
                <w:lang w:val="pt-BR" w:eastAsia="es-ES"/>
              </w:rPr>
            </w:pPr>
            <w:r w:rsidRPr="00C71471">
              <w:rPr>
                <w:rFonts w:ascii="Verdana" w:hAnsi="Verdana" w:cs="Arial"/>
                <w:sz w:val="16"/>
                <w:szCs w:val="16"/>
                <w:lang w:val="pt-BR" w:eastAsia="es-ES"/>
              </w:rPr>
              <w:t xml:space="preserve">Gestor T1 ‒ 11 de </w:t>
            </w:r>
            <w:proofErr w:type="spellStart"/>
            <w:r w:rsidRPr="00C71471">
              <w:rPr>
                <w:rFonts w:ascii="Verdana" w:hAnsi="Verdana" w:cs="Arial"/>
                <w:sz w:val="16"/>
                <w:szCs w:val="16"/>
                <w:lang w:val="pt-BR" w:eastAsia="es-ES"/>
              </w:rPr>
              <w:t>la</w:t>
            </w:r>
            <w:proofErr w:type="spellEnd"/>
            <w:r w:rsidRPr="00C71471">
              <w:rPr>
                <w:rFonts w:ascii="Verdana" w:hAnsi="Verdana" w:cs="Arial"/>
                <w:sz w:val="16"/>
                <w:szCs w:val="16"/>
                <w:lang w:val="pt-BR" w:eastAsia="es-ES"/>
              </w:rPr>
              <w:t xml:space="preserve"> </w:t>
            </w:r>
            <w:proofErr w:type="spellStart"/>
            <w:r w:rsidRPr="00C71471">
              <w:rPr>
                <w:rFonts w:ascii="Verdana" w:hAnsi="Verdana" w:cs="Arial"/>
                <w:sz w:val="16"/>
                <w:szCs w:val="16"/>
                <w:lang w:val="pt-BR" w:eastAsia="es-ES"/>
              </w:rPr>
              <w:t>Subdirección</w:t>
            </w:r>
            <w:proofErr w:type="spellEnd"/>
            <w:r w:rsidRPr="00C71471">
              <w:rPr>
                <w:rFonts w:ascii="Verdana" w:hAnsi="Verdana" w:cs="Arial"/>
                <w:sz w:val="16"/>
                <w:szCs w:val="16"/>
                <w:lang w:val="pt-BR" w:eastAsia="es-ES"/>
              </w:rPr>
              <w:t xml:space="preserve"> de Gestión </w:t>
            </w:r>
            <w:proofErr w:type="spellStart"/>
            <w:r w:rsidRPr="00C71471">
              <w:rPr>
                <w:rFonts w:ascii="Verdana" w:hAnsi="Verdana" w:cs="Arial"/>
                <w:sz w:val="16"/>
                <w:szCs w:val="16"/>
                <w:lang w:val="pt-BR" w:eastAsia="es-ES"/>
              </w:rPr>
              <w:t>Contractual</w:t>
            </w:r>
            <w:proofErr w:type="spellEnd"/>
          </w:p>
        </w:tc>
      </w:tr>
      <w:tr w:rsidR="005E0589" w:rsidRPr="00C71471" w14:paraId="53916DD3" w14:textId="77777777" w:rsidTr="009219FD">
        <w:trPr>
          <w:trHeight w:val="330"/>
        </w:trPr>
        <w:tc>
          <w:tcPr>
            <w:tcW w:w="893" w:type="dxa"/>
            <w:vAlign w:val="center"/>
            <w:hideMark/>
          </w:tcPr>
          <w:p w14:paraId="02F3A5F7" w14:textId="77777777" w:rsidR="005E0589" w:rsidRPr="00C71471" w:rsidRDefault="005E0589" w:rsidP="009219FD">
            <w:pPr>
              <w:spacing w:after="255"/>
              <w:contextualSpacing/>
              <w:rPr>
                <w:rFonts w:ascii="Verdana" w:hAnsi="Verdana" w:cs="Arial"/>
                <w:sz w:val="16"/>
                <w:szCs w:val="16"/>
                <w:lang w:val="es-ES" w:eastAsia="es-ES"/>
              </w:rPr>
            </w:pPr>
            <w:r w:rsidRPr="00C71471">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58329579" w14:textId="77777777" w:rsidR="005E0589" w:rsidRPr="00C71471" w:rsidRDefault="005E0589" w:rsidP="009219FD">
            <w:pPr>
              <w:spacing w:after="255"/>
              <w:contextualSpacing/>
              <w:rPr>
                <w:rFonts w:ascii="Verdana" w:hAnsi="Verdana" w:cs="Arial"/>
                <w:sz w:val="16"/>
                <w:szCs w:val="16"/>
                <w:lang w:val="pt-BR" w:eastAsia="es-ES"/>
              </w:rPr>
            </w:pPr>
            <w:r w:rsidRPr="00C71471">
              <w:rPr>
                <w:rFonts w:ascii="Verdana" w:hAnsi="Verdana" w:cs="Arial"/>
                <w:sz w:val="16"/>
                <w:szCs w:val="16"/>
                <w:lang w:val="pt-BR" w:eastAsia="es-ES"/>
              </w:rPr>
              <w:t>Juan Carlos Gonzalez</w:t>
            </w:r>
          </w:p>
          <w:p w14:paraId="279D2B43" w14:textId="77777777" w:rsidR="005E0589" w:rsidRPr="00C71471" w:rsidRDefault="005E0589" w:rsidP="009219FD">
            <w:pPr>
              <w:spacing w:after="255"/>
              <w:contextualSpacing/>
              <w:rPr>
                <w:rFonts w:ascii="Verdana" w:hAnsi="Verdana" w:cs="Arial"/>
                <w:sz w:val="16"/>
                <w:szCs w:val="16"/>
                <w:lang w:val="pt-BR" w:eastAsia="es-ES"/>
              </w:rPr>
            </w:pPr>
            <w:r w:rsidRPr="00C71471">
              <w:rPr>
                <w:rFonts w:ascii="Verdana" w:hAnsi="Verdana" w:cs="Arial"/>
                <w:sz w:val="16"/>
                <w:szCs w:val="16"/>
                <w:lang w:val="pt-BR" w:eastAsia="es-ES"/>
              </w:rPr>
              <w:t xml:space="preserve">Contratista de </w:t>
            </w:r>
            <w:proofErr w:type="spellStart"/>
            <w:r w:rsidRPr="00C71471">
              <w:rPr>
                <w:rFonts w:ascii="Verdana" w:hAnsi="Verdana" w:cs="Arial"/>
                <w:sz w:val="16"/>
                <w:szCs w:val="16"/>
                <w:lang w:val="pt-BR" w:eastAsia="es-ES"/>
              </w:rPr>
              <w:t>la</w:t>
            </w:r>
            <w:proofErr w:type="spellEnd"/>
            <w:r w:rsidRPr="00C71471">
              <w:rPr>
                <w:rFonts w:ascii="Verdana" w:hAnsi="Verdana" w:cs="Arial"/>
                <w:sz w:val="16"/>
                <w:szCs w:val="16"/>
                <w:lang w:val="pt-BR" w:eastAsia="es-ES"/>
              </w:rPr>
              <w:t xml:space="preserve"> </w:t>
            </w:r>
            <w:proofErr w:type="spellStart"/>
            <w:r w:rsidRPr="00C71471">
              <w:rPr>
                <w:rFonts w:ascii="Verdana" w:hAnsi="Verdana" w:cs="Arial"/>
                <w:sz w:val="16"/>
                <w:szCs w:val="16"/>
                <w:lang w:val="pt-BR" w:eastAsia="es-ES"/>
              </w:rPr>
              <w:t>Subdirección</w:t>
            </w:r>
            <w:proofErr w:type="spellEnd"/>
            <w:r w:rsidRPr="00C71471">
              <w:rPr>
                <w:rFonts w:ascii="Verdana" w:hAnsi="Verdana" w:cs="Arial"/>
                <w:sz w:val="16"/>
                <w:szCs w:val="16"/>
                <w:lang w:val="pt-BR" w:eastAsia="es-ES"/>
              </w:rPr>
              <w:t xml:space="preserve"> de Gestión </w:t>
            </w:r>
            <w:proofErr w:type="spellStart"/>
            <w:r w:rsidRPr="00C71471">
              <w:rPr>
                <w:rFonts w:ascii="Verdana" w:hAnsi="Verdana" w:cs="Arial"/>
                <w:sz w:val="16"/>
                <w:szCs w:val="16"/>
                <w:lang w:val="pt-BR" w:eastAsia="es-ES"/>
              </w:rPr>
              <w:t>Contractual</w:t>
            </w:r>
            <w:proofErr w:type="spellEnd"/>
            <w:r w:rsidRPr="00C71471">
              <w:rPr>
                <w:rFonts w:ascii="Verdana" w:hAnsi="Verdana" w:cs="Arial"/>
                <w:sz w:val="16"/>
                <w:szCs w:val="16"/>
                <w:lang w:val="pt-BR" w:eastAsia="es-ES"/>
              </w:rPr>
              <w:t> </w:t>
            </w:r>
          </w:p>
        </w:tc>
      </w:tr>
      <w:tr w:rsidR="005E0589" w:rsidRPr="00C71471" w14:paraId="51982517" w14:textId="77777777" w:rsidTr="009219FD">
        <w:trPr>
          <w:trHeight w:val="300"/>
        </w:trPr>
        <w:tc>
          <w:tcPr>
            <w:tcW w:w="893" w:type="dxa"/>
            <w:vAlign w:val="center"/>
            <w:hideMark/>
          </w:tcPr>
          <w:p w14:paraId="0D2F123E" w14:textId="77777777" w:rsidR="005E0589" w:rsidRPr="00C71471" w:rsidRDefault="005E0589" w:rsidP="009219FD">
            <w:pPr>
              <w:spacing w:after="255"/>
              <w:contextualSpacing/>
              <w:rPr>
                <w:rFonts w:ascii="Verdana" w:hAnsi="Verdana" w:cs="Arial"/>
                <w:sz w:val="16"/>
                <w:szCs w:val="16"/>
                <w:lang w:val="es-ES" w:eastAsia="es-ES"/>
              </w:rPr>
            </w:pPr>
            <w:r w:rsidRPr="00C71471">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61DB9F26" w14:textId="77777777" w:rsidR="005E0589" w:rsidRPr="00C71471" w:rsidRDefault="005E0589" w:rsidP="009219FD">
            <w:pPr>
              <w:spacing w:after="255"/>
              <w:contextualSpacing/>
              <w:rPr>
                <w:rFonts w:ascii="Verdana" w:hAnsi="Verdana" w:cs="Arial"/>
                <w:sz w:val="16"/>
                <w:szCs w:val="16"/>
                <w:lang w:val="pt-BR" w:eastAsia="es-ES"/>
              </w:rPr>
            </w:pPr>
            <w:r w:rsidRPr="00C71471">
              <w:rPr>
                <w:rFonts w:ascii="Verdana" w:hAnsi="Verdana" w:cs="Arial"/>
                <w:sz w:val="16"/>
                <w:szCs w:val="16"/>
                <w:lang w:val="pt-BR" w:eastAsia="es-ES"/>
              </w:rPr>
              <w:t>Carolina Quintero Gacharná</w:t>
            </w:r>
          </w:p>
          <w:p w14:paraId="417571B6" w14:textId="77777777" w:rsidR="005E0589" w:rsidRPr="00C71471" w:rsidRDefault="005E0589" w:rsidP="009219FD">
            <w:pPr>
              <w:spacing w:after="255"/>
              <w:contextualSpacing/>
              <w:rPr>
                <w:rFonts w:ascii="Verdana" w:hAnsi="Verdana" w:cs="Arial"/>
                <w:sz w:val="16"/>
                <w:szCs w:val="16"/>
                <w:lang w:val="pt-BR" w:eastAsia="es-ES"/>
              </w:rPr>
            </w:pPr>
            <w:r w:rsidRPr="00C71471">
              <w:rPr>
                <w:rFonts w:ascii="Verdana" w:hAnsi="Verdana" w:cs="Arial"/>
                <w:sz w:val="16"/>
                <w:szCs w:val="16"/>
                <w:lang w:eastAsia="es-ES"/>
              </w:rPr>
              <w:t>Subdirectora</w:t>
            </w:r>
            <w:r w:rsidRPr="00C71471">
              <w:rPr>
                <w:rFonts w:ascii="Verdana" w:hAnsi="Verdana" w:cs="Arial"/>
                <w:sz w:val="16"/>
                <w:szCs w:val="16"/>
                <w:lang w:val="pt-BR" w:eastAsia="es-ES"/>
              </w:rPr>
              <w:t xml:space="preserve"> de Gestión Contractual ANCP – CCE</w:t>
            </w:r>
          </w:p>
        </w:tc>
      </w:tr>
    </w:tbl>
    <w:p w14:paraId="54D3B241" w14:textId="77777777" w:rsidR="005E0589" w:rsidRPr="00C71471" w:rsidRDefault="005E0589" w:rsidP="005E0589">
      <w:pPr>
        <w:spacing w:after="0" w:line="240" w:lineRule="auto"/>
        <w:rPr>
          <w:rFonts w:ascii="Verdana" w:eastAsia="Times New Roman" w:hAnsi="Verdana" w:cs="Arial"/>
          <w:sz w:val="24"/>
          <w:szCs w:val="24"/>
          <w:lang w:eastAsia="es-ES"/>
        </w:rPr>
      </w:pPr>
    </w:p>
    <w:bookmarkEnd w:id="10"/>
    <w:p w14:paraId="586A4BB7" w14:textId="77777777" w:rsidR="005E0589" w:rsidRPr="00C71471" w:rsidRDefault="005E0589" w:rsidP="005E0589">
      <w:pPr>
        <w:spacing w:line="256" w:lineRule="auto"/>
        <w:rPr>
          <w:rFonts w:ascii="Calibri" w:eastAsia="Calibri" w:hAnsi="Calibri" w:cs="Times New Roman"/>
        </w:rPr>
      </w:pPr>
      <w:r w:rsidRPr="00C71471">
        <w:rPr>
          <w:rFonts w:ascii="Calibri" w:eastAsia="Calibri" w:hAnsi="Calibri" w:cs="Times New Roman"/>
        </w:rPr>
        <w:t xml:space="preserve"> </w:t>
      </w:r>
    </w:p>
    <w:bookmarkEnd w:id="0"/>
    <w:p w14:paraId="00E79F19" w14:textId="77777777" w:rsidR="005E0589" w:rsidRDefault="005E0589" w:rsidP="005E0589">
      <w:pPr>
        <w:spacing w:after="0" w:line="240" w:lineRule="auto"/>
        <w:rPr>
          <w:rFonts w:ascii="Verdana" w:eastAsia="Geomanist Light" w:hAnsi="Verdana" w:cs="Arial"/>
          <w:color w:val="000000" w:themeColor="text1"/>
        </w:rPr>
      </w:pPr>
    </w:p>
    <w:p w14:paraId="0F293BF4" w14:textId="2B1CDF53" w:rsidR="00127233" w:rsidRPr="005E0589" w:rsidRDefault="00127233" w:rsidP="005E0589"/>
    <w:sectPr w:rsidR="00127233" w:rsidRPr="005E0589" w:rsidSect="007C0C0F">
      <w:headerReference w:type="default" r:id="rId14"/>
      <w:footerReference w:type="default" r:id="rId15"/>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D47DC9F" w14:textId="77777777" w:rsidR="00D2682A" w:rsidRDefault="00D2682A" w:rsidP="004A1847">
      <w:pPr>
        <w:spacing w:after="0" w:line="240" w:lineRule="auto"/>
      </w:pPr>
      <w:r>
        <w:separator/>
      </w:r>
    </w:p>
  </w:endnote>
  <w:endnote w:type="continuationSeparator" w:id="0">
    <w:p w14:paraId="16F126A6" w14:textId="77777777" w:rsidR="00D2682A" w:rsidRDefault="00D2682A"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ptos">
    <w:charset w:val="00"/>
    <w:family w:val="swiss"/>
    <w:pitch w:val="variable"/>
    <w:sig w:usb0="20000287" w:usb1="00000003" w:usb2="0000000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B4E7DD3" w14:textId="77777777" w:rsidR="00D2682A" w:rsidRDefault="00D2682A" w:rsidP="004A1847">
      <w:pPr>
        <w:spacing w:after="0" w:line="240" w:lineRule="auto"/>
      </w:pPr>
      <w:r>
        <w:separator/>
      </w:r>
    </w:p>
  </w:footnote>
  <w:footnote w:type="continuationSeparator" w:id="0">
    <w:p w14:paraId="0D8707EA" w14:textId="77777777" w:rsidR="00D2682A" w:rsidRDefault="00D2682A" w:rsidP="004A1847">
      <w:pPr>
        <w:spacing w:after="0" w:line="240" w:lineRule="auto"/>
      </w:pPr>
      <w:r>
        <w:continuationSeparator/>
      </w:r>
    </w:p>
  </w:footnote>
  <w:footnote w:id="1">
    <w:p w14:paraId="63FCB76A" w14:textId="77777777" w:rsidR="005E0589" w:rsidRPr="00117E26" w:rsidRDefault="005E0589" w:rsidP="005E0589">
      <w:pPr>
        <w:pStyle w:val="Textonotapie"/>
        <w:ind w:firstLine="708"/>
        <w:jc w:val="both"/>
        <w:rPr>
          <w:rFonts w:ascii="Verdana" w:hAnsi="Verdana" w:cs="Arial"/>
          <w:color w:val="000000" w:themeColor="text1"/>
          <w:sz w:val="16"/>
          <w:szCs w:val="16"/>
        </w:rPr>
      </w:pPr>
    </w:p>
    <w:p w14:paraId="711557CA" w14:textId="77777777" w:rsidR="005E0589" w:rsidRPr="00117E26" w:rsidRDefault="005E0589" w:rsidP="005E0589">
      <w:pPr>
        <w:pStyle w:val="Textonotapie"/>
        <w:ind w:firstLine="708"/>
        <w:jc w:val="both"/>
        <w:rPr>
          <w:rFonts w:ascii="Verdana" w:hAnsi="Verdana" w:cs="Arial"/>
          <w:color w:val="000000" w:themeColor="text1"/>
          <w:sz w:val="16"/>
          <w:szCs w:val="16"/>
        </w:rPr>
      </w:pPr>
      <w:r w:rsidRPr="00117E26">
        <w:rPr>
          <w:rStyle w:val="Refdenotaalpie"/>
          <w:rFonts w:ascii="Verdana" w:hAnsi="Verdana" w:cs="Arial"/>
          <w:color w:val="000000" w:themeColor="text1"/>
          <w:sz w:val="16"/>
          <w:szCs w:val="16"/>
        </w:rPr>
        <w:footnoteRef/>
      </w:r>
      <w:r w:rsidRPr="00117E26">
        <w:rPr>
          <w:rFonts w:ascii="Verdana" w:hAnsi="Verdana" w:cs="Arial"/>
          <w:color w:val="000000" w:themeColor="text1"/>
          <w:sz w:val="16"/>
          <w:szCs w:val="16"/>
        </w:rPr>
        <w:t xml:space="preserve"> </w:t>
      </w:r>
      <w:r>
        <w:rPr>
          <w:rFonts w:ascii="Verdana" w:hAnsi="Verdana" w:cs="Arial"/>
          <w:color w:val="000000" w:themeColor="text1"/>
          <w:sz w:val="16"/>
          <w:szCs w:val="16"/>
        </w:rPr>
        <w:t>“</w:t>
      </w:r>
      <w:r w:rsidRPr="00117E26">
        <w:rPr>
          <w:rFonts w:ascii="Verdana" w:hAnsi="Verdana" w:cs="Arial"/>
          <w:color w:val="000000" w:themeColor="text1"/>
          <w:sz w:val="16"/>
          <w:szCs w:val="16"/>
        </w:rPr>
        <w:t>Artículo 1068. Mora en el pago de la prima: La mora en el pago de la prima de la póliza o de los certificados o anexos que se expidan con fundamento en ella, producirá la terminación automática del contrato y dará derecho al asegurador para exigir el pago de la prima devengada y de los gastos causados con ocasión de la expedición del contrato.</w:t>
      </w:r>
    </w:p>
    <w:p w14:paraId="5AD5CB01" w14:textId="77777777" w:rsidR="005E0589" w:rsidRPr="00117E26" w:rsidRDefault="005E0589" w:rsidP="005E0589">
      <w:pPr>
        <w:pStyle w:val="Textonotapie"/>
        <w:ind w:firstLine="708"/>
        <w:jc w:val="both"/>
        <w:rPr>
          <w:rFonts w:ascii="Verdana" w:hAnsi="Verdana" w:cs="Arial"/>
          <w:color w:val="000000" w:themeColor="text1"/>
          <w:sz w:val="16"/>
          <w:szCs w:val="16"/>
        </w:rPr>
      </w:pPr>
      <w:r w:rsidRPr="00117E26">
        <w:rPr>
          <w:rFonts w:ascii="Verdana" w:hAnsi="Verdana" w:cs="Arial"/>
          <w:color w:val="000000" w:themeColor="text1"/>
          <w:sz w:val="16"/>
          <w:szCs w:val="16"/>
        </w:rPr>
        <w:t>Lo dispuesto en el inciso anterior deberá consignarse por parte del asegurador en la carátula de la póliza, en caracteres destacados.</w:t>
      </w:r>
    </w:p>
    <w:p w14:paraId="56D9D17C" w14:textId="77777777" w:rsidR="005E0589" w:rsidRPr="00117E26" w:rsidRDefault="005E0589" w:rsidP="005E0589">
      <w:pPr>
        <w:pStyle w:val="Textonotapie"/>
        <w:ind w:firstLine="708"/>
        <w:jc w:val="both"/>
        <w:rPr>
          <w:rFonts w:ascii="Verdana" w:hAnsi="Verdana" w:cs="Arial"/>
          <w:color w:val="000000" w:themeColor="text1"/>
          <w:sz w:val="16"/>
          <w:szCs w:val="16"/>
        </w:rPr>
      </w:pPr>
      <w:r w:rsidRPr="00117E26">
        <w:rPr>
          <w:rFonts w:ascii="Verdana" w:hAnsi="Verdana" w:cs="Arial"/>
          <w:color w:val="000000" w:themeColor="text1"/>
          <w:sz w:val="16"/>
          <w:szCs w:val="16"/>
        </w:rPr>
        <w:t>Lo dispuesto en este artículo no podrá ser modificado por las partes”.</w:t>
      </w:r>
    </w:p>
    <w:p w14:paraId="7D466001" w14:textId="77777777" w:rsidR="005E0589" w:rsidRPr="00117E26" w:rsidRDefault="005E0589" w:rsidP="005E0589">
      <w:pPr>
        <w:pStyle w:val="Textonotapie"/>
        <w:ind w:firstLine="708"/>
        <w:jc w:val="both"/>
        <w:rPr>
          <w:rFonts w:ascii="Verdana" w:hAnsi="Verdana" w:cs="Arial"/>
          <w:color w:val="000000" w:themeColor="text1"/>
          <w:sz w:val="16"/>
          <w:szCs w:val="16"/>
        </w:rPr>
      </w:pPr>
    </w:p>
  </w:footnote>
  <w:footnote w:id="2">
    <w:p w14:paraId="0FDDFE07" w14:textId="77777777" w:rsidR="005E0589" w:rsidRPr="00117E26" w:rsidRDefault="005E0589" w:rsidP="005E0589">
      <w:pPr>
        <w:pStyle w:val="Textonotapie"/>
        <w:ind w:firstLine="708"/>
        <w:jc w:val="both"/>
        <w:rPr>
          <w:rFonts w:ascii="Verdana" w:hAnsi="Verdana" w:cs="Arial"/>
          <w:color w:val="000000" w:themeColor="text1"/>
          <w:sz w:val="16"/>
          <w:szCs w:val="16"/>
        </w:rPr>
      </w:pPr>
      <w:r w:rsidRPr="00117E26">
        <w:rPr>
          <w:rStyle w:val="Refdenotaalpie"/>
          <w:rFonts w:ascii="Verdana" w:hAnsi="Verdana" w:cs="Arial"/>
          <w:color w:val="000000" w:themeColor="text1"/>
          <w:sz w:val="16"/>
          <w:szCs w:val="16"/>
        </w:rPr>
        <w:footnoteRef/>
      </w:r>
      <w:r w:rsidRPr="00117E26">
        <w:rPr>
          <w:rFonts w:ascii="Verdana" w:hAnsi="Verdana" w:cs="Arial"/>
          <w:color w:val="000000" w:themeColor="text1"/>
          <w:sz w:val="16"/>
          <w:szCs w:val="16"/>
        </w:rPr>
        <w:t xml:space="preserve"> CORTE CONSTITUCIONAL. Sentencia C-452 de 1999. M.P. Eduardo Cifuentes Muñoz. </w:t>
      </w:r>
    </w:p>
    <w:p w14:paraId="5267092A" w14:textId="77777777" w:rsidR="005E0589" w:rsidRPr="00117E26" w:rsidRDefault="005E0589" w:rsidP="005E0589">
      <w:pPr>
        <w:pStyle w:val="Textonotapie"/>
        <w:ind w:firstLine="708"/>
        <w:jc w:val="both"/>
        <w:rPr>
          <w:rFonts w:ascii="Verdana" w:hAnsi="Verdana" w:cs="Arial"/>
          <w:color w:val="000000" w:themeColor="text1"/>
          <w:sz w:val="16"/>
          <w:szCs w:val="16"/>
        </w:rPr>
      </w:pPr>
    </w:p>
  </w:footnote>
  <w:footnote w:id="3">
    <w:p w14:paraId="55D77A0E" w14:textId="77777777" w:rsidR="005E0589" w:rsidRPr="00117E26" w:rsidRDefault="005E0589" w:rsidP="005E0589">
      <w:pPr>
        <w:pStyle w:val="Textonotapie"/>
        <w:ind w:firstLine="708"/>
        <w:jc w:val="both"/>
        <w:rPr>
          <w:rFonts w:ascii="Verdana" w:hAnsi="Verdana" w:cs="Arial"/>
          <w:color w:val="000000" w:themeColor="text1"/>
          <w:sz w:val="16"/>
          <w:szCs w:val="16"/>
        </w:rPr>
      </w:pPr>
      <w:r w:rsidRPr="00117E26">
        <w:rPr>
          <w:rStyle w:val="Refdenotaalpie"/>
          <w:rFonts w:ascii="Verdana" w:hAnsi="Verdana" w:cs="Arial"/>
          <w:sz w:val="16"/>
          <w:szCs w:val="16"/>
        </w:rPr>
        <w:footnoteRef/>
      </w:r>
      <w:r w:rsidRPr="00117E26">
        <w:rPr>
          <w:rFonts w:ascii="Verdana" w:hAnsi="Verdana" w:cs="Arial"/>
          <w:sz w:val="16"/>
          <w:szCs w:val="16"/>
        </w:rPr>
        <w:t xml:space="preserve"> Sobre este aspecto, la doctrina explica que: “Las garantías provisionales “avalan la solemnidad de la oferta por parte del contratista”; constituyen una seña </w:t>
      </w:r>
      <w:r w:rsidRPr="00117E26">
        <w:rPr>
          <w:rFonts w:ascii="Verdana" w:hAnsi="Verdana" w:cs="Arial"/>
          <w:sz w:val="16"/>
          <w:szCs w:val="16"/>
        </w:rPr>
        <w:t xml:space="preserve">pre-contractual destinada a asegurar la celebración del contrato, no su cumplimiento. La administración procede a devolver a los oferentes no adjudicatarios, y a transformar en definitiva respecto al adjudicatario, las garantías provisionales, deduciéndose entonces que las arras no forman parte del precio, ni son por tanto arras confirmatorias […], sino puramente penitenciales […] como garantías y compensación del ius poenitendi del licitante. Son, en consecuencia, “la medida de la responsabilidad pre-contractual del oferente”; o, más bien, la garantía de oferta representa en definitiva la medida de la responsabilidad” (Cursivas dentro del texto). </w:t>
      </w:r>
      <w:r w:rsidRPr="00117E26">
        <w:rPr>
          <w:rFonts w:ascii="Verdana" w:hAnsi="Verdana" w:cs="Arial"/>
          <w:color w:val="000000" w:themeColor="text1"/>
          <w:sz w:val="16"/>
          <w:szCs w:val="16"/>
        </w:rPr>
        <w:t>DROMI, José Roberto. La licitación pública. Buenos Aires: Ciudad Argentina, 1980. pp. 288-289.</w:t>
      </w:r>
    </w:p>
    <w:p w14:paraId="46725735" w14:textId="77777777" w:rsidR="005E0589" w:rsidRPr="00117E26" w:rsidRDefault="005E0589" w:rsidP="005E0589">
      <w:pPr>
        <w:pStyle w:val="Textonotapie"/>
        <w:ind w:firstLine="708"/>
        <w:jc w:val="both"/>
        <w:rPr>
          <w:rFonts w:ascii="Verdana" w:hAnsi="Verdana" w:cs="Arial"/>
          <w:sz w:val="16"/>
          <w:szCs w:val="16"/>
        </w:rPr>
      </w:pPr>
    </w:p>
  </w:footnote>
  <w:footnote w:id="4">
    <w:p w14:paraId="2B886A37" w14:textId="77777777" w:rsidR="005E0589" w:rsidRPr="00117E26" w:rsidRDefault="005E0589" w:rsidP="005E0589">
      <w:pPr>
        <w:pStyle w:val="Textonotapie"/>
        <w:ind w:firstLine="708"/>
        <w:jc w:val="both"/>
        <w:rPr>
          <w:rFonts w:ascii="Verdana" w:hAnsi="Verdana" w:cs="Arial"/>
          <w:sz w:val="16"/>
          <w:szCs w:val="16"/>
        </w:rPr>
      </w:pPr>
      <w:r w:rsidRPr="00117E26">
        <w:rPr>
          <w:rStyle w:val="Refdenotaalpie"/>
          <w:rFonts w:ascii="Verdana" w:hAnsi="Verdana" w:cs="Arial"/>
          <w:sz w:val="16"/>
          <w:szCs w:val="16"/>
        </w:rPr>
        <w:footnoteRef/>
      </w:r>
      <w:r w:rsidRPr="00117E26">
        <w:rPr>
          <w:rFonts w:ascii="Verdana" w:hAnsi="Verdana" w:cs="Arial"/>
          <w:sz w:val="16"/>
          <w:szCs w:val="16"/>
        </w:rPr>
        <w:t xml:space="preserve"> Con relación a los requisitos de ejecución del contrato, el inciso segundo del </w:t>
      </w:r>
      <w:r w:rsidRPr="00B720BE">
        <w:rPr>
          <w:rFonts w:ascii="Verdana" w:hAnsi="Verdana" w:cs="Arial"/>
          <w:sz w:val="16"/>
          <w:szCs w:val="16"/>
        </w:rPr>
        <w:t>artículo 41 de la Ley 80 de 1993 dispone que “Para la ejecución se requerirá de la aprobación de la garantía y de la existencia de</w:t>
      </w:r>
      <w:r w:rsidRPr="00117E26">
        <w:rPr>
          <w:rFonts w:ascii="Verdana" w:hAnsi="Verdana" w:cs="Arial"/>
          <w:sz w:val="16"/>
          <w:szCs w:val="16"/>
        </w:rPr>
        <w:t xml:space="preserve"> las disponibilidades presupuestales correspondientes, salvo que se trate de la contratación con recursos de vigencias fiscales futuras de conformidad con lo previsto en la ley orgánica del presupuesto. El proponente y el contratista deberán acreditar que se encuentran al día en el pago de aportes parafiscales relativos al Sistema de Seguridad Social Integral, así como los propios del Sena, ICBF y Cajas de Compensación Familiar, cuando corresponda”.</w:t>
      </w:r>
    </w:p>
    <w:p w14:paraId="2B5F9147" w14:textId="77777777" w:rsidR="005E0589" w:rsidRPr="00117E26" w:rsidRDefault="005E0589" w:rsidP="005E0589">
      <w:pPr>
        <w:pStyle w:val="Textonotapie"/>
        <w:ind w:firstLine="708"/>
        <w:jc w:val="both"/>
        <w:rPr>
          <w:rFonts w:ascii="Verdana" w:hAnsi="Verdana" w:cs="Arial"/>
          <w:sz w:val="16"/>
          <w:szCs w:val="16"/>
        </w:rPr>
      </w:pPr>
    </w:p>
  </w:footnote>
  <w:footnote w:id="5">
    <w:p w14:paraId="0C552DB5" w14:textId="77777777" w:rsidR="005E0589" w:rsidRPr="00117E26" w:rsidRDefault="005E0589" w:rsidP="005E0589">
      <w:pPr>
        <w:pStyle w:val="Textonotapie"/>
        <w:ind w:firstLine="708"/>
        <w:jc w:val="both"/>
        <w:rPr>
          <w:rFonts w:ascii="Verdana" w:hAnsi="Verdana" w:cs="Arial"/>
          <w:sz w:val="16"/>
          <w:szCs w:val="16"/>
        </w:rPr>
      </w:pPr>
      <w:r w:rsidRPr="00117E26">
        <w:rPr>
          <w:rStyle w:val="Refdenotaalpie"/>
          <w:rFonts w:ascii="Verdana" w:hAnsi="Verdana" w:cs="Arial"/>
          <w:sz w:val="16"/>
          <w:szCs w:val="16"/>
        </w:rPr>
        <w:footnoteRef/>
      </w:r>
      <w:r w:rsidRPr="00117E26">
        <w:rPr>
          <w:rFonts w:ascii="Verdana" w:hAnsi="Verdana" w:cs="Arial"/>
          <w:sz w:val="16"/>
          <w:szCs w:val="16"/>
        </w:rPr>
        <w:t xml:space="preserve"> Al respecto, el </w:t>
      </w:r>
      <w:r w:rsidRPr="00B720BE">
        <w:rPr>
          <w:rFonts w:ascii="Verdana" w:hAnsi="Verdana" w:cs="Arial"/>
          <w:sz w:val="16"/>
          <w:szCs w:val="16"/>
        </w:rPr>
        <w:t>numeral 7.</w:t>
      </w:r>
      <w:r>
        <w:rPr>
          <w:rFonts w:ascii="Verdana" w:hAnsi="Verdana" w:cs="Arial"/>
          <w:sz w:val="16"/>
          <w:szCs w:val="16"/>
        </w:rPr>
        <w:t>1</w:t>
      </w:r>
      <w:r w:rsidRPr="00B720BE">
        <w:rPr>
          <w:rFonts w:ascii="Verdana" w:hAnsi="Verdana" w:cs="Arial"/>
          <w:sz w:val="16"/>
          <w:szCs w:val="16"/>
        </w:rPr>
        <w:t xml:space="preserve"> del </w:t>
      </w:r>
      <w:r>
        <w:rPr>
          <w:rFonts w:ascii="Verdana" w:hAnsi="Verdana" w:cs="Arial"/>
          <w:sz w:val="16"/>
          <w:szCs w:val="16"/>
        </w:rPr>
        <w:t>Documento</w:t>
      </w:r>
      <w:r w:rsidRPr="00B720BE">
        <w:rPr>
          <w:rFonts w:ascii="Verdana" w:hAnsi="Verdana" w:cs="Arial"/>
          <w:sz w:val="16"/>
          <w:szCs w:val="16"/>
        </w:rPr>
        <w:t xml:space="preserve"> Tipo – Versión 4 para la licitación pública para los contratos de obra de infraestructura de transporte dispone que la garantía de seriedad de la oferta tiene una vigencia de </w:t>
      </w:r>
      <w:r>
        <w:rPr>
          <w:rFonts w:ascii="Verdana" w:hAnsi="Verdana" w:cs="Arial"/>
          <w:sz w:val="16"/>
          <w:szCs w:val="16"/>
        </w:rPr>
        <w:t>“</w:t>
      </w:r>
      <w:r w:rsidRPr="00B720BE">
        <w:rPr>
          <w:rFonts w:ascii="Verdana" w:hAnsi="Verdana" w:cs="Arial"/>
          <w:sz w:val="16"/>
          <w:szCs w:val="16"/>
        </w:rPr>
        <w:t>3 meses contados a partir de la fecha de cierre del Proceso de Contratación</w:t>
      </w:r>
      <w:r>
        <w:rPr>
          <w:rFonts w:ascii="Verdana" w:hAnsi="Verdana" w:cs="Arial"/>
          <w:sz w:val="16"/>
          <w:szCs w:val="16"/>
        </w:rPr>
        <w:t>”</w:t>
      </w:r>
      <w:r w:rsidRPr="00117E26">
        <w:rPr>
          <w:rFonts w:ascii="Verdana" w:hAnsi="Verdana" w:cs="Arial"/>
          <w:sz w:val="16"/>
          <w:szCs w:val="16"/>
        </w:rPr>
        <w:t>, lo que se reitera en el numeral 7.1 del documento base para la selección abreviada de menor cuantía</w:t>
      </w:r>
      <w:r>
        <w:rPr>
          <w:rFonts w:ascii="Verdana" w:hAnsi="Verdana" w:cs="Arial"/>
          <w:sz w:val="16"/>
          <w:szCs w:val="16"/>
        </w:rPr>
        <w:t xml:space="preserve">. </w:t>
      </w:r>
    </w:p>
    <w:p w14:paraId="3AC73539" w14:textId="77777777" w:rsidR="005E0589" w:rsidRPr="00117E26" w:rsidRDefault="005E0589" w:rsidP="005E0589">
      <w:pPr>
        <w:pStyle w:val="Textonotapie"/>
        <w:ind w:firstLine="708"/>
        <w:jc w:val="both"/>
        <w:rPr>
          <w:rFonts w:ascii="Verdana" w:hAnsi="Verdana" w:cs="Arial"/>
          <w:sz w:val="16"/>
          <w:szCs w:val="16"/>
          <w:lang w:val="es-ES"/>
        </w:rPr>
      </w:pPr>
    </w:p>
  </w:footnote>
  <w:footnote w:id="6">
    <w:p w14:paraId="07519597" w14:textId="77777777" w:rsidR="005E0589" w:rsidRPr="00117E26" w:rsidRDefault="005E0589" w:rsidP="005E0589">
      <w:pPr>
        <w:pStyle w:val="Textonotapie"/>
        <w:ind w:firstLine="708"/>
        <w:jc w:val="both"/>
        <w:rPr>
          <w:rFonts w:ascii="Verdana" w:hAnsi="Verdana" w:cs="Arial"/>
          <w:sz w:val="16"/>
          <w:szCs w:val="16"/>
        </w:rPr>
      </w:pPr>
      <w:r w:rsidRPr="00117E26">
        <w:rPr>
          <w:rStyle w:val="Refdenotaalpie"/>
          <w:rFonts w:ascii="Verdana" w:hAnsi="Verdana" w:cs="Arial"/>
          <w:sz w:val="16"/>
          <w:szCs w:val="16"/>
        </w:rPr>
        <w:footnoteRef/>
      </w:r>
      <w:r w:rsidRPr="00117E26">
        <w:rPr>
          <w:rFonts w:ascii="Verdana" w:hAnsi="Verdana" w:cs="Arial"/>
          <w:sz w:val="16"/>
          <w:szCs w:val="16"/>
        </w:rPr>
        <w:t xml:space="preserve"> Sobre el particular, el artículo 2.2.1.2.3.2.8 del Decreto 1082 de 2015 dispone lo siguiente: “En caso de siniestro en la garantía de la seriedad de la oferta, la compañía de seguros debe responder por el total del valor asegurado a título de sanción”.</w:t>
      </w:r>
    </w:p>
    <w:p w14:paraId="5FE47913" w14:textId="77777777" w:rsidR="005E0589" w:rsidRPr="00117E26" w:rsidRDefault="005E0589" w:rsidP="005E0589">
      <w:pPr>
        <w:pStyle w:val="Textonotapie"/>
        <w:ind w:firstLine="708"/>
        <w:jc w:val="both"/>
        <w:rPr>
          <w:rFonts w:ascii="Verdana" w:hAnsi="Verdana" w:cs="Arial"/>
          <w:sz w:val="16"/>
          <w:szCs w:val="16"/>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9pt;height:11.9pt" o:bullet="t">
        <v:imagedata r:id="rId1" o:title="mso1B13"/>
      </v:shape>
    </w:pict>
  </w:numPicBullet>
  <w:abstractNum w:abstractNumId="0" w15:restartNumberingAfterBreak="0">
    <w:nsid w:val="01C06310"/>
    <w:multiLevelType w:val="multilevel"/>
    <w:tmpl w:val="47FE4C7E"/>
    <w:lvl w:ilvl="0">
      <w:start w:val="1"/>
      <w:numFmt w:val="upperRoman"/>
      <w:lvlText w:val="%1."/>
      <w:lvlJc w:val="right"/>
      <w:pPr>
        <w:ind w:left="1068" w:hanging="360"/>
      </w:pPr>
      <w:rPr>
        <w:b/>
        <w:color w:val="000000" w:themeColor="text1"/>
      </w:rPr>
    </w:lvl>
    <w:lvl w:ilvl="1">
      <w:start w:val="2"/>
      <w:numFmt w:val="decimal"/>
      <w:isLgl/>
      <w:lvlText w:val="%1.%2"/>
      <w:lvlJc w:val="left"/>
      <w:pPr>
        <w:ind w:left="708" w:hanging="360"/>
      </w:pPr>
    </w:lvl>
    <w:lvl w:ilvl="2">
      <w:start w:val="1"/>
      <w:numFmt w:val="decimal"/>
      <w:isLgl/>
      <w:lvlText w:val="%1.%2.%3"/>
      <w:lvlJc w:val="left"/>
      <w:pPr>
        <w:ind w:left="1428" w:hanging="720"/>
      </w:pPr>
    </w:lvl>
    <w:lvl w:ilvl="3">
      <w:start w:val="1"/>
      <w:numFmt w:val="decimal"/>
      <w:isLgl/>
      <w:lvlText w:val="%1.%2.%3.%4"/>
      <w:lvlJc w:val="left"/>
      <w:pPr>
        <w:ind w:left="1428" w:hanging="720"/>
      </w:pPr>
    </w:lvl>
    <w:lvl w:ilvl="4">
      <w:start w:val="1"/>
      <w:numFmt w:val="decimal"/>
      <w:isLgl/>
      <w:lvlText w:val="%1.%2.%3.%4.%5"/>
      <w:lvlJc w:val="left"/>
      <w:pPr>
        <w:ind w:left="1788" w:hanging="1080"/>
      </w:pPr>
    </w:lvl>
    <w:lvl w:ilvl="5">
      <w:start w:val="1"/>
      <w:numFmt w:val="decimal"/>
      <w:isLgl/>
      <w:lvlText w:val="%1.%2.%3.%4.%5.%6"/>
      <w:lvlJc w:val="left"/>
      <w:pPr>
        <w:ind w:left="1788" w:hanging="1080"/>
      </w:pPr>
    </w:lvl>
    <w:lvl w:ilvl="6">
      <w:start w:val="1"/>
      <w:numFmt w:val="decimal"/>
      <w:isLgl/>
      <w:lvlText w:val="%1.%2.%3.%4.%5.%6.%7"/>
      <w:lvlJc w:val="left"/>
      <w:pPr>
        <w:ind w:left="2148" w:hanging="1440"/>
      </w:pPr>
    </w:lvl>
    <w:lvl w:ilvl="7">
      <w:start w:val="1"/>
      <w:numFmt w:val="decimal"/>
      <w:isLgl/>
      <w:lvlText w:val="%1.%2.%3.%4.%5.%6.%7.%8"/>
      <w:lvlJc w:val="left"/>
      <w:pPr>
        <w:ind w:left="2148" w:hanging="1440"/>
      </w:pPr>
    </w:lvl>
    <w:lvl w:ilvl="8">
      <w:start w:val="1"/>
      <w:numFmt w:val="decimal"/>
      <w:isLgl/>
      <w:lvlText w:val="%1.%2.%3.%4.%5.%6.%7.%8.%9"/>
      <w:lvlJc w:val="left"/>
      <w:pPr>
        <w:ind w:left="2508"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D471CDA"/>
    <w:multiLevelType w:val="hybridMultilevel"/>
    <w:tmpl w:val="FF68D47A"/>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14"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4"/>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5"/>
  </w:num>
  <w:num w:numId="15" w16cid:durableId="390349800">
    <w:abstractNumId w:val="10"/>
  </w:num>
  <w:num w:numId="16" w16cid:durableId="1330140246">
    <w:abstractNumId w:val="0"/>
  </w:num>
  <w:num w:numId="17" w16cid:durableId="679089576">
    <w:abstractNumId w:val="9"/>
  </w:num>
  <w:num w:numId="18" w16cid:durableId="591087840">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A683E"/>
    <w:rsid w:val="000B19B9"/>
    <w:rsid w:val="000D0334"/>
    <w:rsid w:val="000D5DA7"/>
    <w:rsid w:val="000F6486"/>
    <w:rsid w:val="00110AE9"/>
    <w:rsid w:val="00116940"/>
    <w:rsid w:val="00125105"/>
    <w:rsid w:val="00127233"/>
    <w:rsid w:val="0015699B"/>
    <w:rsid w:val="001A33BF"/>
    <w:rsid w:val="001E4177"/>
    <w:rsid w:val="001F0B24"/>
    <w:rsid w:val="001F7DC6"/>
    <w:rsid w:val="0022400B"/>
    <w:rsid w:val="002421BB"/>
    <w:rsid w:val="0025796E"/>
    <w:rsid w:val="002707A2"/>
    <w:rsid w:val="002951A0"/>
    <w:rsid w:val="002962BC"/>
    <w:rsid w:val="002A093D"/>
    <w:rsid w:val="002A0DD0"/>
    <w:rsid w:val="002A49AC"/>
    <w:rsid w:val="002A64FD"/>
    <w:rsid w:val="002C7A84"/>
    <w:rsid w:val="002D60A0"/>
    <w:rsid w:val="002E2BF8"/>
    <w:rsid w:val="002E4FD9"/>
    <w:rsid w:val="0030657A"/>
    <w:rsid w:val="00322A85"/>
    <w:rsid w:val="00324168"/>
    <w:rsid w:val="00330834"/>
    <w:rsid w:val="003448F4"/>
    <w:rsid w:val="00374F5E"/>
    <w:rsid w:val="00377E3E"/>
    <w:rsid w:val="003A779E"/>
    <w:rsid w:val="003D0F4D"/>
    <w:rsid w:val="003D5B0D"/>
    <w:rsid w:val="003E0499"/>
    <w:rsid w:val="003E4F80"/>
    <w:rsid w:val="003E6439"/>
    <w:rsid w:val="003F3941"/>
    <w:rsid w:val="00406575"/>
    <w:rsid w:val="00414C74"/>
    <w:rsid w:val="0042722E"/>
    <w:rsid w:val="0044528D"/>
    <w:rsid w:val="004467F5"/>
    <w:rsid w:val="00466E39"/>
    <w:rsid w:val="004A1847"/>
    <w:rsid w:val="004A305D"/>
    <w:rsid w:val="004F21C4"/>
    <w:rsid w:val="004F685F"/>
    <w:rsid w:val="005566E8"/>
    <w:rsid w:val="00556EBF"/>
    <w:rsid w:val="00574867"/>
    <w:rsid w:val="00591460"/>
    <w:rsid w:val="005A65E0"/>
    <w:rsid w:val="005C3777"/>
    <w:rsid w:val="005C5CDC"/>
    <w:rsid w:val="005D476C"/>
    <w:rsid w:val="005E0589"/>
    <w:rsid w:val="006200BF"/>
    <w:rsid w:val="006219F8"/>
    <w:rsid w:val="006302F7"/>
    <w:rsid w:val="0064395A"/>
    <w:rsid w:val="00646B9F"/>
    <w:rsid w:val="00665D70"/>
    <w:rsid w:val="006900D9"/>
    <w:rsid w:val="00706C16"/>
    <w:rsid w:val="007340C3"/>
    <w:rsid w:val="0075235A"/>
    <w:rsid w:val="00756841"/>
    <w:rsid w:val="007649AB"/>
    <w:rsid w:val="00771D0C"/>
    <w:rsid w:val="007833AC"/>
    <w:rsid w:val="007B268C"/>
    <w:rsid w:val="007B7171"/>
    <w:rsid w:val="007C0C0F"/>
    <w:rsid w:val="007C3DC2"/>
    <w:rsid w:val="007E5497"/>
    <w:rsid w:val="00806F5F"/>
    <w:rsid w:val="00820278"/>
    <w:rsid w:val="008258C9"/>
    <w:rsid w:val="00844AE9"/>
    <w:rsid w:val="00867F95"/>
    <w:rsid w:val="008843B6"/>
    <w:rsid w:val="00891928"/>
    <w:rsid w:val="008A446D"/>
    <w:rsid w:val="008B25F1"/>
    <w:rsid w:val="008D180B"/>
    <w:rsid w:val="008F0EA7"/>
    <w:rsid w:val="00923EEF"/>
    <w:rsid w:val="00932A9F"/>
    <w:rsid w:val="009419F9"/>
    <w:rsid w:val="0095685E"/>
    <w:rsid w:val="00961B09"/>
    <w:rsid w:val="00965334"/>
    <w:rsid w:val="0097093E"/>
    <w:rsid w:val="009A0DFA"/>
    <w:rsid w:val="009A1C6F"/>
    <w:rsid w:val="009B2D26"/>
    <w:rsid w:val="009C71FA"/>
    <w:rsid w:val="009C72E7"/>
    <w:rsid w:val="009C7F7E"/>
    <w:rsid w:val="009D3058"/>
    <w:rsid w:val="009E5370"/>
    <w:rsid w:val="009F3A13"/>
    <w:rsid w:val="00A122D3"/>
    <w:rsid w:val="00A14468"/>
    <w:rsid w:val="00A17F13"/>
    <w:rsid w:val="00A20739"/>
    <w:rsid w:val="00A23AF9"/>
    <w:rsid w:val="00A25230"/>
    <w:rsid w:val="00A33C78"/>
    <w:rsid w:val="00AB0ADB"/>
    <w:rsid w:val="00B00C0E"/>
    <w:rsid w:val="00B01B1A"/>
    <w:rsid w:val="00B0381D"/>
    <w:rsid w:val="00B44A47"/>
    <w:rsid w:val="00B72CD3"/>
    <w:rsid w:val="00B72FFF"/>
    <w:rsid w:val="00BC3D36"/>
    <w:rsid w:val="00BD54A6"/>
    <w:rsid w:val="00BD7F72"/>
    <w:rsid w:val="00BF7425"/>
    <w:rsid w:val="00C04FB3"/>
    <w:rsid w:val="00C11D8B"/>
    <w:rsid w:val="00C15139"/>
    <w:rsid w:val="00C330EB"/>
    <w:rsid w:val="00C50D69"/>
    <w:rsid w:val="00C5365C"/>
    <w:rsid w:val="00C754BE"/>
    <w:rsid w:val="00C76B1C"/>
    <w:rsid w:val="00C925AC"/>
    <w:rsid w:val="00CB6357"/>
    <w:rsid w:val="00CC1B26"/>
    <w:rsid w:val="00CC2531"/>
    <w:rsid w:val="00D2682A"/>
    <w:rsid w:val="00D361FD"/>
    <w:rsid w:val="00D423A2"/>
    <w:rsid w:val="00D44E26"/>
    <w:rsid w:val="00D520D8"/>
    <w:rsid w:val="00D63AC2"/>
    <w:rsid w:val="00D67E18"/>
    <w:rsid w:val="00D7383B"/>
    <w:rsid w:val="00D7788A"/>
    <w:rsid w:val="00DA231B"/>
    <w:rsid w:val="00DC39FC"/>
    <w:rsid w:val="00DF5254"/>
    <w:rsid w:val="00E02524"/>
    <w:rsid w:val="00E16408"/>
    <w:rsid w:val="00E20894"/>
    <w:rsid w:val="00E245AB"/>
    <w:rsid w:val="00E2764C"/>
    <w:rsid w:val="00E27F2E"/>
    <w:rsid w:val="00E50AFE"/>
    <w:rsid w:val="00E75C92"/>
    <w:rsid w:val="00E771DC"/>
    <w:rsid w:val="00E8772A"/>
    <w:rsid w:val="00E90F6B"/>
    <w:rsid w:val="00E92C27"/>
    <w:rsid w:val="00EA0E3D"/>
    <w:rsid w:val="00EC38A7"/>
    <w:rsid w:val="00EE1AA8"/>
    <w:rsid w:val="00F23FEA"/>
    <w:rsid w:val="00F31EDC"/>
    <w:rsid w:val="00F462B3"/>
    <w:rsid w:val="00F5664F"/>
    <w:rsid w:val="00F666C4"/>
    <w:rsid w:val="00F76AFC"/>
    <w:rsid w:val="00FA47C0"/>
    <w:rsid w:val="00FB5DD1"/>
    <w:rsid w:val="00FC2B5D"/>
    <w:rsid w:val="00FF1449"/>
    <w:rsid w:val="00FF7963"/>
    <w:rsid w:val="071B8F93"/>
    <w:rsid w:val="09908A09"/>
    <w:rsid w:val="0FF4CCA8"/>
    <w:rsid w:val="13CFC91B"/>
    <w:rsid w:val="19A2EC2C"/>
    <w:rsid w:val="1B9E0970"/>
    <w:rsid w:val="2859CA1B"/>
    <w:rsid w:val="32A4F9CF"/>
    <w:rsid w:val="356CEDFD"/>
    <w:rsid w:val="542B72F4"/>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5E0589"/>
    <w:pPr>
      <w:spacing w:line="240" w:lineRule="exact"/>
    </w:pPr>
    <w:rPr>
      <w:vertAlign w:val="superscript"/>
    </w:rPr>
  </w:style>
  <w:style w:type="table" w:customStyle="1" w:styleId="Tablaconcuadrcula1">
    <w:name w:val="Tabla con cuadrícula1"/>
    <w:basedOn w:val="Tablanormal"/>
    <w:next w:val="Tablaconcuadrcula"/>
    <w:uiPriority w:val="39"/>
    <w:qFormat/>
    <w:rsid w:val="005E0589"/>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comentario">
    <w:name w:val="annotation text"/>
    <w:basedOn w:val="Normal"/>
    <w:link w:val="TextocomentarioCar"/>
    <w:uiPriority w:val="99"/>
    <w:semiHidden/>
    <w:unhideWhenUsed/>
    <w:rsid w:val="00CC2531"/>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CC2531"/>
    <w:rPr>
      <w:sz w:val="20"/>
      <w:szCs w:val="20"/>
    </w:rPr>
  </w:style>
  <w:style w:type="character" w:styleId="Refdecomentario">
    <w:name w:val="annotation reference"/>
    <w:basedOn w:val="Fuentedeprrafopredeter"/>
    <w:uiPriority w:val="99"/>
    <w:semiHidden/>
    <w:unhideWhenUsed/>
    <w:rsid w:val="00CC2531"/>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3.png"/><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nam02.safelinks.protection.outlook.com/?url=https%3A%2F%2Fwww.colombiacompra.gov.co%2Fwp-content%2Fuploads%2F2025%2F05%2FGUIA-DE-LINEAMIENTOS-DE-TRANSPARENCIA-Y-SELECCION-OBJETIVA-1.0.pdf&amp;data=05%7C02%7Cximena.rios%40colombiacompra.gov.co%7C7cfff6dece924643582c08dd97bfed90%7C7b09041e245149d08cb179d5e3d8c1be%7C0%7C0%7C638833572792160509%7CUnknown%7CTWFpbGZsb3d8eyJFbXB0eU1hcGkiOnRydWUsIlYiOiIwLjAuMDAwMCIsIlAiOiJXaW4zMiIsIkFOIjoiTWFpbCIsIldUIjoyfQ%3D%3D%7C0%7C%7C%7C&amp;sdata=c9fXX0l2fbd%2FlYjjmEFFr2nh5svDqag5kY1fYvsSiKY%3D&amp;reserved=0"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relatoria.colombiacompra.gov.co/busqueda/conceptos" TargetMode="External"/><Relationship Id="rId5" Type="http://schemas.openxmlformats.org/officeDocument/2006/relationships/styles" Target="styles.xml"/><Relationship Id="rId15" Type="http://schemas.openxmlformats.org/officeDocument/2006/relationships/footer" Target="footer1.xml"/><Relationship Id="rId10" Type="http://schemas.openxmlformats.org/officeDocument/2006/relationships/image" Target="media/image2.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_Flow_SignoffStatus xmlns="9d85dbaf-23eb-4e57-a637-93dcacc8b1a1"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563816eff7b27c518f4452e301140c9d">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eb2d2e0593e1272b3512cc9bb12824ba"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a6cb9e4b-f1d1-4245-83ec-6cad768d538a"/>
    <ds:schemaRef ds:uri="9d85dbaf-23eb-4e57-a637-93dcacc8b1a1"/>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E1C4A093-58CB-493A-97A9-5520B25B8DB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TotalTime>
  <Pages>13</Pages>
  <Words>3984</Words>
  <Characters>21557</Characters>
  <Application>Microsoft Office Word</Application>
  <DocSecurity>0</DocSecurity>
  <Lines>458</Lines>
  <Paragraphs>93</Paragraphs>
  <ScaleCrop>false</ScaleCrop>
  <Company/>
  <LinksUpToDate>false</LinksUpToDate>
  <CharactersWithSpaces>25448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5</cp:revision>
  <cp:lastPrinted>2023-01-10T21:18:00Z</cp:lastPrinted>
  <dcterms:created xsi:type="dcterms:W3CDTF">2025-12-17T19:49:00Z</dcterms:created>
  <dcterms:modified xsi:type="dcterms:W3CDTF">2025-12-18T22:33:00Z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