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D21008" w14:textId="77777777" w:rsidR="0021277A" w:rsidRPr="0021277A" w:rsidRDefault="0021277A" w:rsidP="0021277A">
      <w:pPr>
        <w:spacing w:after="0" w:line="240" w:lineRule="auto"/>
        <w:jc w:val="both"/>
        <w:rPr>
          <w:rFonts w:ascii="Verdana" w:hAnsi="Verdana" w:cs="Arial"/>
          <w:b/>
          <w:lang w:val="es-MX" w:eastAsia="es-ES_tradnl"/>
        </w:rPr>
      </w:pPr>
      <w:bookmarkStart w:id="0" w:name="_Hlk143780582"/>
      <w:r w:rsidRPr="0021277A">
        <w:rPr>
          <w:rFonts w:ascii="Verdana" w:hAnsi="Verdana" w:cs="Arial"/>
          <w:b/>
          <w:lang w:val="es-MX" w:eastAsia="es-ES_tradnl"/>
        </w:rPr>
        <w:t xml:space="preserve">LEY DE GARANTÍAS ELECTORALES </w:t>
      </w:r>
      <w:r w:rsidRPr="0021277A">
        <w:rPr>
          <w:rFonts w:ascii="Verdana" w:hAnsi="Verdana" w:cs="Arial"/>
          <w:b/>
          <w:bCs/>
          <w:lang w:val="es-MX" w:eastAsia="es-ES_tradnl"/>
        </w:rPr>
        <w:t>‒</w:t>
      </w:r>
      <w:r w:rsidRPr="0021277A">
        <w:rPr>
          <w:rFonts w:ascii="Verdana" w:hAnsi="Verdana" w:cs="Arial"/>
          <w:b/>
          <w:lang w:val="es-MX" w:eastAsia="es-ES_tradnl"/>
        </w:rPr>
        <w:t xml:space="preserve"> Finalidad </w:t>
      </w:r>
    </w:p>
    <w:p w14:paraId="1ABDD94D" w14:textId="77777777" w:rsidR="0021277A" w:rsidRPr="0021277A" w:rsidRDefault="0021277A" w:rsidP="0021277A">
      <w:pPr>
        <w:spacing w:after="0" w:line="240" w:lineRule="auto"/>
        <w:jc w:val="both"/>
        <w:rPr>
          <w:rFonts w:ascii="Verdana" w:hAnsi="Verdana" w:cs="Arial"/>
          <w:b/>
          <w:lang w:val="es-MX" w:eastAsia="es-ES_tradnl"/>
        </w:rPr>
      </w:pPr>
    </w:p>
    <w:p w14:paraId="00462303" w14:textId="77777777" w:rsidR="0021277A" w:rsidRPr="0021277A" w:rsidRDefault="0021277A" w:rsidP="0021277A">
      <w:pPr>
        <w:spacing w:after="0" w:line="240" w:lineRule="auto"/>
        <w:jc w:val="both"/>
        <w:rPr>
          <w:rFonts w:ascii="Verdana" w:eastAsia="Times New Roman" w:hAnsi="Verdana" w:cs="Arial"/>
          <w:sz w:val="20"/>
          <w:lang w:val="es-MX" w:eastAsia="es-CO"/>
        </w:rPr>
      </w:pPr>
      <w:r w:rsidRPr="0021277A">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1DB9DADF" w14:textId="77777777" w:rsidR="0021277A" w:rsidRPr="0021277A" w:rsidRDefault="0021277A" w:rsidP="0021277A">
      <w:pPr>
        <w:spacing w:after="0" w:line="240" w:lineRule="auto"/>
        <w:jc w:val="both"/>
        <w:rPr>
          <w:rFonts w:ascii="Verdana" w:hAnsi="Verdana" w:cs="Arial"/>
          <w:b/>
          <w:sz w:val="20"/>
          <w:lang w:val="es-MX" w:eastAsia="es-ES_tradnl"/>
        </w:rPr>
      </w:pPr>
    </w:p>
    <w:p w14:paraId="7E0E5A00" w14:textId="77777777" w:rsidR="0021277A" w:rsidRPr="0021277A" w:rsidRDefault="0021277A" w:rsidP="0021277A">
      <w:pPr>
        <w:spacing w:after="0" w:line="240" w:lineRule="auto"/>
        <w:jc w:val="both"/>
        <w:rPr>
          <w:rFonts w:ascii="Verdana" w:hAnsi="Verdana" w:cs="Arial"/>
          <w:b/>
          <w:lang w:val="es-MX" w:eastAsia="es-ES_tradnl"/>
        </w:rPr>
      </w:pPr>
      <w:r w:rsidRPr="0021277A">
        <w:rPr>
          <w:rFonts w:ascii="Verdana" w:hAnsi="Verdana" w:cs="Arial"/>
          <w:b/>
          <w:lang w:val="es-MX" w:eastAsia="es-ES_tradnl"/>
        </w:rPr>
        <w:t xml:space="preserve">LEY DE GARANTÍAS ELECTORALES </w:t>
      </w:r>
      <w:r w:rsidRPr="0021277A">
        <w:rPr>
          <w:rFonts w:ascii="Verdana" w:hAnsi="Verdana" w:cs="Arial"/>
          <w:b/>
          <w:bCs/>
          <w:lang w:val="es-MX" w:eastAsia="es-ES_tradnl"/>
        </w:rPr>
        <w:t>‒</w:t>
      </w:r>
      <w:r w:rsidRPr="0021277A">
        <w:rPr>
          <w:rFonts w:ascii="Verdana" w:hAnsi="Verdana" w:cs="Arial"/>
          <w:b/>
          <w:lang w:val="es-MX" w:eastAsia="es-ES_tradnl"/>
        </w:rPr>
        <w:t xml:space="preserve"> Tipos de restricciones </w:t>
      </w:r>
      <w:r w:rsidRPr="0021277A">
        <w:rPr>
          <w:rFonts w:ascii="Verdana" w:hAnsi="Verdana" w:cs="Arial"/>
          <w:b/>
          <w:bCs/>
          <w:lang w:val="es-MX" w:eastAsia="es-ES_tradnl"/>
        </w:rPr>
        <w:t>‒</w:t>
      </w:r>
      <w:r w:rsidRPr="0021277A">
        <w:rPr>
          <w:rFonts w:ascii="Verdana" w:hAnsi="Verdana" w:cs="Arial"/>
          <w:b/>
          <w:lang w:val="es-MX" w:eastAsia="es-ES_tradnl"/>
        </w:rPr>
        <w:t xml:space="preserve"> Ámbito temporal – celebración- límite</w:t>
      </w:r>
    </w:p>
    <w:p w14:paraId="079FBB0C" w14:textId="77777777" w:rsidR="0021277A" w:rsidRPr="0021277A" w:rsidRDefault="0021277A" w:rsidP="0021277A">
      <w:pPr>
        <w:spacing w:after="0" w:line="240" w:lineRule="auto"/>
        <w:jc w:val="both"/>
        <w:rPr>
          <w:rFonts w:ascii="Verdana" w:hAnsi="Verdana" w:cs="Arial"/>
          <w:b/>
          <w:lang w:val="es-MX" w:eastAsia="es-ES_tradnl"/>
        </w:rPr>
      </w:pPr>
    </w:p>
    <w:p w14:paraId="15D77761" w14:textId="77777777" w:rsidR="0021277A" w:rsidRPr="0021277A" w:rsidRDefault="0021277A" w:rsidP="0021277A">
      <w:pPr>
        <w:spacing w:after="0" w:line="240" w:lineRule="auto"/>
        <w:jc w:val="both"/>
        <w:rPr>
          <w:rFonts w:ascii="Verdana" w:eastAsia="Calibri" w:hAnsi="Verdana" w:cs="Arial"/>
          <w:sz w:val="20"/>
        </w:rPr>
      </w:pPr>
      <w:r w:rsidRPr="0021277A">
        <w:rPr>
          <w:rFonts w:ascii="Verdana" w:eastAsia="Calibri" w:hAnsi="Verdana" w:cs="Arial"/>
          <w:sz w:val="20"/>
        </w:rPr>
        <w:t xml:space="preserve">Por un lado, el </w:t>
      </w:r>
      <w:r w:rsidRPr="0021277A">
        <w:rPr>
          <w:rFonts w:ascii="Verdana" w:eastAsia="Calibri" w:hAnsi="Verdana" w:cs="Arial"/>
          <w:i/>
          <w:iCs/>
          <w:sz w:val="20"/>
        </w:rPr>
        <w:t>artículo 33 de la Ley 996 de 2005</w:t>
      </w:r>
      <w:r w:rsidRPr="0021277A">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060B8AAD" w14:textId="77777777" w:rsidR="0021277A" w:rsidRPr="0021277A" w:rsidRDefault="0021277A" w:rsidP="0021277A">
      <w:pPr>
        <w:spacing w:after="0" w:line="240" w:lineRule="auto"/>
        <w:jc w:val="both"/>
        <w:rPr>
          <w:rFonts w:ascii="Verdana" w:eastAsia="Calibri" w:hAnsi="Verdana" w:cs="Arial"/>
          <w:sz w:val="20"/>
        </w:rPr>
      </w:pPr>
    </w:p>
    <w:p w14:paraId="03D3B870" w14:textId="77777777" w:rsidR="0021277A" w:rsidRPr="0021277A" w:rsidRDefault="0021277A" w:rsidP="0021277A">
      <w:pPr>
        <w:widowControl w:val="0"/>
        <w:autoSpaceDE w:val="0"/>
        <w:autoSpaceDN w:val="0"/>
        <w:spacing w:after="0" w:line="240" w:lineRule="auto"/>
        <w:ind w:right="113"/>
        <w:jc w:val="both"/>
        <w:rPr>
          <w:rFonts w:ascii="Verdana" w:eastAsia="Arial" w:hAnsi="Verdana" w:cs="Arial"/>
          <w:sz w:val="20"/>
          <w:lang w:val="es-ES" w:eastAsia="es-ES" w:bidi="es-ES"/>
        </w:rPr>
      </w:pPr>
      <w:r w:rsidRPr="0021277A">
        <w:rPr>
          <w:rFonts w:ascii="Verdana" w:eastAsia="Calibri" w:hAnsi="Verdana" w:cs="Arial"/>
          <w:sz w:val="20"/>
        </w:rPr>
        <w:t xml:space="preserve">Por otro lado, </w:t>
      </w:r>
      <w:r w:rsidRPr="0021277A">
        <w:rPr>
          <w:rFonts w:ascii="Verdana" w:eastAsia="Calibri" w:hAnsi="Verdana" w:cs="Arial"/>
          <w:i/>
          <w:iCs/>
          <w:sz w:val="20"/>
        </w:rPr>
        <w:t>el parágrafo del artículo 38 de la Ley 996 de 2005</w:t>
      </w:r>
      <w:r w:rsidRPr="0021277A">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21277A">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21277A">
        <w:rPr>
          <w:rFonts w:ascii="Verdana" w:eastAsia="Calibri" w:hAnsi="Verdana" w:cs="Arial"/>
          <w:sz w:val="20"/>
        </w:rPr>
        <w:t>”</w:t>
      </w:r>
      <w:r w:rsidRPr="0021277A">
        <w:rPr>
          <w:rFonts w:ascii="Verdana" w:eastAsia="Calibri" w:hAnsi="Verdana" w:cs="Arial"/>
          <w:sz w:val="20"/>
          <w:lang w:val="es-MX"/>
        </w:rPr>
        <w:t>.</w:t>
      </w:r>
      <w:r w:rsidRPr="0021277A">
        <w:rPr>
          <w:rFonts w:ascii="Verdana" w:eastAsia="Arial" w:hAnsi="Verdana" w:cs="Arial"/>
          <w:sz w:val="20"/>
          <w:lang w:val="es-ES" w:eastAsia="es-ES" w:bidi="es-ES"/>
        </w:rPr>
        <w:t xml:space="preserve"> </w:t>
      </w:r>
    </w:p>
    <w:p w14:paraId="6C574CE5" w14:textId="77777777" w:rsidR="0021277A" w:rsidRPr="0021277A" w:rsidRDefault="0021277A" w:rsidP="0021277A">
      <w:pPr>
        <w:widowControl w:val="0"/>
        <w:autoSpaceDE w:val="0"/>
        <w:autoSpaceDN w:val="0"/>
        <w:spacing w:after="0" w:line="240" w:lineRule="auto"/>
        <w:ind w:right="113"/>
        <w:jc w:val="both"/>
        <w:rPr>
          <w:rFonts w:ascii="Verdana" w:eastAsia="Arial" w:hAnsi="Verdana" w:cs="Arial"/>
          <w:sz w:val="20"/>
          <w:lang w:val="es-ES" w:eastAsia="es-ES" w:bidi="es-ES"/>
        </w:rPr>
      </w:pPr>
    </w:p>
    <w:p w14:paraId="6C2DCD79" w14:textId="77777777" w:rsidR="0021277A" w:rsidRPr="0021277A" w:rsidRDefault="0021277A" w:rsidP="0021277A">
      <w:pPr>
        <w:spacing w:after="0" w:line="240" w:lineRule="auto"/>
        <w:jc w:val="both"/>
        <w:rPr>
          <w:rFonts w:ascii="Verdana" w:eastAsia="Times New Roman" w:hAnsi="Verdana" w:cs="Arial"/>
          <w:bCs/>
          <w:sz w:val="20"/>
          <w:lang w:val="es-ES" w:eastAsia="es-CO"/>
        </w:rPr>
      </w:pPr>
      <w:r w:rsidRPr="0021277A">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21277A">
        <w:rPr>
          <w:rFonts w:ascii="Verdana" w:eastAsia="Times New Roman" w:hAnsi="Verdana" w:cs="Arial"/>
          <w:bCs/>
          <w:sz w:val="20"/>
          <w:lang w:val="es-ES" w:eastAsia="es-CO"/>
        </w:rPr>
        <w:t xml:space="preserve">la existencia de los contratos estatales, es decir, la producción de efectos jurídicos en los términos del artículo 1501 </w:t>
      </w:r>
      <w:r w:rsidRPr="0021277A">
        <w:rPr>
          <w:rFonts w:ascii="Verdana" w:eastAsia="Times New Roman" w:hAnsi="Verdana" w:cs="Arial"/>
          <w:bCs/>
          <w:i/>
          <w:sz w:val="20"/>
          <w:lang w:val="es-ES" w:eastAsia="es-CO"/>
        </w:rPr>
        <w:t>ibídem</w:t>
      </w:r>
      <w:r w:rsidRPr="0021277A">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34308488" w14:textId="77777777" w:rsidR="0021277A" w:rsidRPr="0021277A" w:rsidRDefault="0021277A" w:rsidP="0021277A">
      <w:pPr>
        <w:spacing w:after="0" w:line="240" w:lineRule="auto"/>
        <w:jc w:val="both"/>
        <w:rPr>
          <w:rFonts w:ascii="Verdana" w:hAnsi="Verdana" w:cs="Arial"/>
          <w:b/>
          <w:sz w:val="20"/>
          <w:lang w:val="es-MX" w:eastAsia="es-ES_tradnl"/>
        </w:rPr>
      </w:pPr>
    </w:p>
    <w:p w14:paraId="44592CB3" w14:textId="77777777" w:rsidR="0021277A" w:rsidRPr="0021277A" w:rsidRDefault="0021277A" w:rsidP="0021277A">
      <w:pPr>
        <w:spacing w:after="0" w:line="240" w:lineRule="auto"/>
        <w:jc w:val="both"/>
        <w:rPr>
          <w:rFonts w:ascii="Verdana" w:hAnsi="Verdana" w:cs="Arial"/>
          <w:b/>
          <w:lang w:val="es-MX" w:eastAsia="es-ES_tradnl"/>
        </w:rPr>
      </w:pPr>
      <w:r w:rsidRPr="0021277A">
        <w:rPr>
          <w:rFonts w:ascii="Verdana" w:hAnsi="Verdana" w:cs="Arial"/>
          <w:b/>
          <w:lang w:val="es-MX" w:eastAsia="es-ES_tradnl"/>
        </w:rPr>
        <w:lastRenderedPageBreak/>
        <w:t xml:space="preserve">LEY DE GARANTÍAS ELECTORALES – Prohibición artículo 33 – Contratación directa – Alcance </w:t>
      </w:r>
    </w:p>
    <w:p w14:paraId="2C1499F5" w14:textId="77777777" w:rsidR="0021277A" w:rsidRPr="0021277A" w:rsidRDefault="0021277A" w:rsidP="0021277A">
      <w:pPr>
        <w:spacing w:after="0" w:line="240" w:lineRule="auto"/>
        <w:jc w:val="both"/>
        <w:rPr>
          <w:rFonts w:ascii="Verdana" w:hAnsi="Verdana" w:cs="Arial"/>
          <w:b/>
          <w:lang w:val="es-MX" w:eastAsia="es-ES_tradnl"/>
        </w:rPr>
      </w:pPr>
    </w:p>
    <w:p w14:paraId="2D63180F" w14:textId="77777777" w:rsidR="0021277A" w:rsidRPr="0021277A" w:rsidRDefault="0021277A" w:rsidP="0021277A">
      <w:pPr>
        <w:spacing w:after="0" w:line="240" w:lineRule="auto"/>
        <w:jc w:val="both"/>
        <w:rPr>
          <w:rFonts w:ascii="Verdana" w:eastAsia="Times New Roman" w:hAnsi="Verdana" w:cs="Arial"/>
          <w:bCs/>
          <w:sz w:val="20"/>
          <w:lang w:eastAsia="x-none"/>
        </w:rPr>
      </w:pPr>
      <w:r w:rsidRPr="0021277A">
        <w:rPr>
          <w:rFonts w:ascii="Verdana" w:eastAsia="Times New Roman" w:hAnsi="Verdana" w:cs="Arial"/>
          <w:sz w:val="20"/>
          <w:lang w:eastAsia="x-none"/>
        </w:rPr>
        <w:t xml:space="preserve">De acuerdo con el citado concepto, la prohibición del artículo 33 de la Ley de Garantías Electorales se refiere a </w:t>
      </w:r>
      <w:r w:rsidRPr="0021277A">
        <w:rPr>
          <w:rFonts w:ascii="Verdana" w:eastAsia="Times New Roman" w:hAnsi="Verdana" w:cs="Arial"/>
          <w:sz w:val="18"/>
          <w:szCs w:val="19"/>
          <w:lang w:eastAsia="en-GB"/>
        </w:rPr>
        <w:t>“</w:t>
      </w:r>
      <w:r w:rsidRPr="0021277A">
        <w:rPr>
          <w:rFonts w:ascii="Verdana" w:eastAsia="Times New Roman" w:hAnsi="Verdana" w:cs="Arial"/>
          <w:sz w:val="20"/>
          <w:lang w:eastAsia="x-none"/>
        </w:rPr>
        <w:t>cualquier sistema que no implique convocatoria pública y posibilidad de pluralidad de oferentes</w:t>
      </w:r>
      <w:r w:rsidRPr="0021277A">
        <w:rPr>
          <w:rFonts w:ascii="Verdana" w:eastAsia="Times New Roman" w:hAnsi="Verdana" w:cs="Arial"/>
          <w:sz w:val="20"/>
          <w:lang w:eastAsia="en-GB"/>
        </w:rPr>
        <w:t>”</w:t>
      </w:r>
      <w:r w:rsidRPr="0021277A">
        <w:rPr>
          <w:rFonts w:ascii="Verdana" w:eastAsia="Times New Roman" w:hAnsi="Verdana" w:cs="Arial"/>
          <w:sz w:val="20"/>
          <w:lang w:eastAsia="x-none"/>
        </w:rPr>
        <w:t xml:space="preserve">, por lo que excluye las demás modalidades de contratación previstas en la Ley 1150 de 2007, es decir, la licitación pública, la selección abreviada, el concurso de méritos </w:t>
      </w:r>
      <w:r w:rsidRPr="0021277A">
        <w:rPr>
          <w:rFonts w:ascii="Verdana" w:eastAsia="Times New Roman" w:hAnsi="Verdana" w:cs="Arial"/>
          <w:sz w:val="20"/>
          <w:lang w:val="es-ES_tradnl" w:eastAsia="x-none"/>
        </w:rPr>
        <w:t>y la mínima cuantía</w:t>
      </w:r>
      <w:r w:rsidRPr="0021277A" w:rsidDel="00A85D9F">
        <w:rPr>
          <w:rFonts w:ascii="Verdana" w:eastAsia="Times New Roman" w:hAnsi="Verdana" w:cs="Arial"/>
          <w:sz w:val="20"/>
          <w:lang w:eastAsia="x-none"/>
        </w:rPr>
        <w:t xml:space="preserve"> </w:t>
      </w:r>
      <w:r w:rsidRPr="0021277A">
        <w:rPr>
          <w:rFonts w:ascii="Verdana" w:eastAsia="Times New Roman" w:hAnsi="Verdana" w:cs="Arial"/>
          <w:sz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21277A">
        <w:rPr>
          <w:rFonts w:ascii="Verdana" w:eastAsia="Calibri" w:hAnsi="Verdana" w:cs="Arial"/>
          <w:sz w:val="20"/>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4D9EB8F0" w14:textId="77777777" w:rsidR="0021277A" w:rsidRPr="0021277A" w:rsidRDefault="0021277A" w:rsidP="0021277A">
      <w:pPr>
        <w:spacing w:after="0" w:line="240" w:lineRule="auto"/>
        <w:jc w:val="both"/>
        <w:rPr>
          <w:rFonts w:ascii="Verdana" w:hAnsi="Verdana" w:cs="Arial"/>
          <w:b/>
          <w:lang w:eastAsia="es-ES_tradnl"/>
        </w:rPr>
      </w:pPr>
    </w:p>
    <w:p w14:paraId="5D299F96" w14:textId="77777777" w:rsidR="0021277A" w:rsidRPr="0021277A" w:rsidRDefault="0021277A" w:rsidP="0021277A">
      <w:pPr>
        <w:spacing w:after="0" w:line="240" w:lineRule="auto"/>
        <w:jc w:val="both"/>
        <w:rPr>
          <w:rFonts w:ascii="Verdana" w:hAnsi="Verdana" w:cs="Arial"/>
          <w:b/>
          <w:lang w:val="es-MX" w:eastAsia="es-ES_tradnl"/>
        </w:rPr>
      </w:pPr>
      <w:r w:rsidRPr="0021277A">
        <w:rPr>
          <w:rFonts w:ascii="Verdana" w:hAnsi="Verdana" w:cs="Arial"/>
          <w:b/>
          <w:lang w:val="es-MX" w:eastAsia="es-ES_tradnl"/>
        </w:rPr>
        <w:t>LEY DE GARANTÍAS ELECTORALES – Excepciones</w:t>
      </w:r>
    </w:p>
    <w:p w14:paraId="20DC1383" w14:textId="77777777" w:rsidR="0021277A" w:rsidRPr="0021277A" w:rsidRDefault="0021277A" w:rsidP="0021277A">
      <w:pPr>
        <w:spacing w:after="0" w:line="240" w:lineRule="auto"/>
        <w:jc w:val="both"/>
        <w:rPr>
          <w:rFonts w:ascii="Verdana" w:hAnsi="Verdana" w:cs="Arial"/>
          <w:b/>
          <w:sz w:val="20"/>
          <w:lang w:val="es-MX" w:eastAsia="es-ES_tradnl"/>
        </w:rPr>
      </w:pPr>
    </w:p>
    <w:p w14:paraId="35E55026" w14:textId="77777777" w:rsidR="0021277A" w:rsidRPr="0021277A" w:rsidRDefault="0021277A" w:rsidP="0021277A">
      <w:pPr>
        <w:spacing w:after="0" w:line="240" w:lineRule="auto"/>
        <w:jc w:val="both"/>
        <w:rPr>
          <w:rFonts w:ascii="Verdana" w:eastAsia="Times New Roman" w:hAnsi="Verdana" w:cs="Arial"/>
          <w:bCs/>
          <w:sz w:val="20"/>
          <w:lang w:val="es-MX" w:eastAsia="es-CO"/>
        </w:rPr>
      </w:pPr>
      <w:r w:rsidRPr="0021277A">
        <w:rPr>
          <w:rFonts w:ascii="Verdana" w:eastAsia="Times New Roman" w:hAnsi="Verdana" w:cs="Arial"/>
          <w:bCs/>
          <w:sz w:val="20"/>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21277A">
        <w:rPr>
          <w:rFonts w:ascii="Verdana" w:eastAsia="Times New Roman" w:hAnsi="Verdana" w:cs="Arial"/>
          <w:bCs/>
          <w:sz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39408730" w14:textId="77777777" w:rsidR="0021277A" w:rsidRPr="0021277A" w:rsidRDefault="0021277A" w:rsidP="0021277A">
      <w:pPr>
        <w:spacing w:after="0" w:line="240" w:lineRule="auto"/>
        <w:jc w:val="both"/>
        <w:rPr>
          <w:rFonts w:ascii="Verdana" w:hAnsi="Verdana" w:cs="Arial"/>
          <w:b/>
          <w:lang w:val="es-MX" w:eastAsia="es-ES_tradnl"/>
        </w:rPr>
      </w:pPr>
    </w:p>
    <w:p w14:paraId="7B8F1DEA" w14:textId="77777777" w:rsidR="0021277A" w:rsidRPr="0021277A" w:rsidRDefault="0021277A" w:rsidP="0021277A">
      <w:pPr>
        <w:spacing w:after="0" w:line="240" w:lineRule="auto"/>
        <w:jc w:val="both"/>
        <w:rPr>
          <w:rFonts w:ascii="Verdana" w:hAnsi="Verdana" w:cs="Arial"/>
          <w:b/>
          <w:lang w:val="es-MX" w:eastAsia="es-ES_tradnl"/>
        </w:rPr>
      </w:pPr>
      <w:r w:rsidRPr="0021277A">
        <w:rPr>
          <w:rFonts w:ascii="Verdana" w:hAnsi="Verdana" w:cs="Arial"/>
          <w:b/>
          <w:lang w:val="es-MX" w:eastAsia="es-ES_tradnl"/>
        </w:rPr>
        <w:t xml:space="preserve"> LEY DE GARANTÍAS ELECTORALES – Prohibición del artículo 33 – Destinatarios </w:t>
      </w:r>
    </w:p>
    <w:p w14:paraId="3C7BA646" w14:textId="77777777" w:rsidR="0021277A" w:rsidRPr="0021277A" w:rsidRDefault="0021277A" w:rsidP="0021277A">
      <w:pPr>
        <w:spacing w:after="0" w:line="240" w:lineRule="auto"/>
        <w:rPr>
          <w:rFonts w:ascii="Verdana" w:hAnsi="Verdana" w:cs="Arial"/>
          <w:lang w:val="es-MX" w:eastAsia="es-ES_tradnl"/>
        </w:rPr>
      </w:pPr>
    </w:p>
    <w:p w14:paraId="6EA6A677" w14:textId="77777777" w:rsidR="0021277A" w:rsidRPr="0021277A" w:rsidRDefault="0021277A" w:rsidP="0021277A">
      <w:pPr>
        <w:spacing w:after="0" w:line="240" w:lineRule="auto"/>
        <w:jc w:val="both"/>
        <w:rPr>
          <w:rFonts w:ascii="Verdana" w:eastAsia="Calibri" w:hAnsi="Verdana" w:cs="Arial"/>
          <w:sz w:val="20"/>
          <w:lang w:val="es-MX"/>
        </w:rPr>
      </w:pPr>
      <w:r w:rsidRPr="0021277A">
        <w:rPr>
          <w:rFonts w:ascii="Verdana" w:eastAsia="Calibri" w:hAnsi="Verdana" w:cs="Arial"/>
          <w:sz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21277A">
        <w:rPr>
          <w:rFonts w:ascii="Verdana" w:eastAsia="Times New Roman" w:hAnsi="Verdana" w:cs="Arial"/>
          <w:bCs/>
          <w:sz w:val="20"/>
          <w:lang w:val="es-MX" w:eastAsia="x-none"/>
        </w:rPr>
        <w:t>establecimientos de crédito, las sociedades de servicios financieros y las entidades aseguradoras</w:t>
      </w:r>
      <w:r w:rsidRPr="0021277A">
        <w:rPr>
          <w:rFonts w:ascii="Verdana" w:eastAsia="Calibri" w:hAnsi="Verdana" w:cs="Arial"/>
          <w:sz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21277A">
        <w:rPr>
          <w:rFonts w:ascii="Verdana" w:eastAsia="Calibri" w:hAnsi="Verdana" w:cs="Arial"/>
          <w:sz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p>
    <w:p w14:paraId="2151BBDF" w14:textId="24742C8C" w:rsidR="0021277A" w:rsidRPr="0021277A" w:rsidRDefault="0021277A" w:rsidP="0021277A">
      <w:pPr>
        <w:spacing w:after="0"/>
        <w:jc w:val="both"/>
        <w:rPr>
          <w:rFonts w:ascii="Verdana" w:hAnsi="Verdana"/>
          <w:b/>
          <w:lang w:val="es-MX"/>
        </w:rPr>
      </w:pPr>
    </w:p>
    <w:p w14:paraId="28ABABF0" w14:textId="77777777" w:rsidR="0021277A" w:rsidRPr="0021277A" w:rsidRDefault="0021277A" w:rsidP="0021277A">
      <w:pPr>
        <w:spacing w:after="0"/>
        <w:jc w:val="both"/>
        <w:rPr>
          <w:rFonts w:ascii="Verdana" w:hAnsi="Verdana" w:cs="Arial"/>
          <w:b/>
          <w:lang w:val="es-MX" w:eastAsia="es-ES_tradnl"/>
        </w:rPr>
      </w:pPr>
      <w:r w:rsidRPr="0021277A">
        <w:rPr>
          <w:rFonts w:ascii="Verdana" w:hAnsi="Verdana" w:cs="Arial"/>
          <w:b/>
          <w:lang w:val="es-MX" w:eastAsia="es-ES_tradnl"/>
        </w:rPr>
        <w:t>BOLSA DE PRODUCTOS – Caracterí</w:t>
      </w:r>
      <w:r w:rsidRPr="0021277A">
        <w:rPr>
          <w:rFonts w:ascii="Verdana" w:hAnsi="Verdana" w:cs="Arial"/>
          <w:b/>
          <w:lang w:val="es-MX" w:eastAsia="es-ES_tradnl"/>
        </w:rPr>
        <w:t>sticas – Contrato de Comisión</w:t>
      </w:r>
    </w:p>
    <w:p w14:paraId="7354A6D8" w14:textId="69DE8B06" w:rsidR="0021277A" w:rsidRDefault="0021277A" w:rsidP="0021277A">
      <w:pPr>
        <w:spacing w:after="0"/>
        <w:jc w:val="both"/>
        <w:rPr>
          <w:rFonts w:ascii="Verdana" w:hAnsi="Verdana" w:cs="Arial"/>
          <w:b/>
          <w:lang w:val="es-MX" w:eastAsia="es-ES_tradnl"/>
        </w:rPr>
      </w:pPr>
    </w:p>
    <w:p w14:paraId="6B218D41" w14:textId="3A27705A" w:rsidR="0021277A" w:rsidRPr="0021277A" w:rsidRDefault="0021277A" w:rsidP="0021277A">
      <w:pPr>
        <w:spacing w:after="0" w:line="240" w:lineRule="auto"/>
        <w:jc w:val="both"/>
        <w:rPr>
          <w:rFonts w:ascii="Verdana" w:hAnsi="Verdana" w:cs="Arial"/>
          <w:sz w:val="20"/>
          <w:lang w:val="es-MX" w:eastAsia="es-ES_tradnl"/>
        </w:rPr>
      </w:pPr>
      <w:r w:rsidRPr="0021277A">
        <w:rPr>
          <w:rFonts w:ascii="Verdana" w:hAnsi="Verdana" w:cs="Arial"/>
          <w:sz w:val="20"/>
          <w:lang w:val="es-MX" w:eastAsia="es-ES_tradnl"/>
        </w:rPr>
        <w:t>La adquisición de bienes mediante el mecanismo de bolsa de productos está regulada por el Decreto 2555 de 2010 y los artículos 2.2.1.2.1.2.11 a 2.2.1.2.1.2.19 del Decreto 1082 de 2015. Esta hace posible que vendedores y compradores concurran en un mercado organizado donde se negocian de forma dinámica bienes y servicios, a través de procesos de subasta pública, a viva voz o en línea, en un ambiente transparente y altamente competitivo. Los productos se negocian con base en una descripción detallada de los mismos, de acuerdo con una reglamentación que permite que los participantes estén en igualdad de oportunidades y que el precio de los productos sea resultado de la competencia entre los ofrecimientos.</w:t>
      </w:r>
    </w:p>
    <w:p w14:paraId="2E99887D" w14:textId="77777777" w:rsidR="0021277A" w:rsidRDefault="0021277A" w:rsidP="0021277A">
      <w:pPr>
        <w:spacing w:after="0" w:line="240" w:lineRule="auto"/>
        <w:jc w:val="both"/>
        <w:rPr>
          <w:rFonts w:ascii="Verdana" w:hAnsi="Verdana" w:cs="Arial"/>
          <w:sz w:val="20"/>
          <w:lang w:val="es-MX" w:eastAsia="es-ES_tradnl"/>
        </w:rPr>
      </w:pPr>
    </w:p>
    <w:p w14:paraId="0134D986" w14:textId="5228EC72" w:rsidR="0021277A" w:rsidRPr="0021277A" w:rsidRDefault="0021277A" w:rsidP="0021277A">
      <w:pPr>
        <w:spacing w:after="0" w:line="240" w:lineRule="auto"/>
        <w:jc w:val="both"/>
        <w:rPr>
          <w:rFonts w:ascii="Verdana" w:hAnsi="Verdana" w:cs="Arial"/>
          <w:sz w:val="20"/>
          <w:lang w:val="es-MX" w:eastAsia="es-ES_tradnl"/>
        </w:rPr>
      </w:pPr>
      <w:r w:rsidRPr="0021277A">
        <w:rPr>
          <w:rFonts w:ascii="Verdana" w:hAnsi="Verdana" w:cs="Arial"/>
          <w:sz w:val="20"/>
          <w:lang w:eastAsia="es-ES_tradnl"/>
        </w:rPr>
        <w:t xml:space="preserve">De acuerdo con lo anterior, </w:t>
      </w:r>
      <w:r w:rsidRPr="0021277A">
        <w:rPr>
          <w:rFonts w:ascii="Verdana" w:hAnsi="Verdana" w:cs="Arial"/>
          <w:sz w:val="20"/>
          <w:lang w:val="es-MX" w:eastAsia="es-ES_tradnl"/>
        </w:rPr>
        <w:t>la negociación por parte de la entidad se da a través de un comisionista, el cual debe ser contratado por la entidad de conformidad con el procedimiento y reglas de la respectiva bolsa de productos, esto es, mediante un procedimiento competitivo. Ahora bien, p</w:t>
      </w:r>
      <w:r w:rsidRPr="0021277A">
        <w:rPr>
          <w:rFonts w:ascii="Verdana" w:hAnsi="Verdana" w:cs="Arial"/>
          <w:sz w:val="20"/>
          <w:lang w:eastAsia="es-ES_tradnl"/>
        </w:rPr>
        <w:t>ara celebrar el contrato de comisión, la Entidad debe acreditar que cuenta con la disponibilidad presupuestal para el contrato de comisión, para la operación que por cuenta suya adelanta el comisionista en la bolsa de productos, para las garantías y los demás pagos que deba realizar como consecuencia de la adquisición en bolsa de productos, de conformidad con el reglamento de la bolsa en la cual la Entidad Estatal haga la negociación.</w:t>
      </w:r>
      <w:r w:rsidRPr="0021277A">
        <w:rPr>
          <w:rFonts w:ascii="Verdana" w:hAnsi="Verdana" w:cs="Arial"/>
          <w:sz w:val="20"/>
          <w:lang w:val="es-MX" w:eastAsia="es-ES_tradnl"/>
        </w:rPr>
        <w:t xml:space="preserve"> La calidad de los productos negociados y la liquidación de las operaciones celebradas debe estar respaldada por garantías. </w:t>
      </w:r>
      <w:r w:rsidRPr="0021277A">
        <w:rPr>
          <w:rFonts w:ascii="Verdana" w:hAnsi="Verdana" w:cs="Arial"/>
          <w:sz w:val="20"/>
          <w:lang w:eastAsia="es-ES_tradnl"/>
        </w:rPr>
        <w:t xml:space="preserve">Igualmente, este proceso se </w:t>
      </w:r>
      <w:r w:rsidRPr="0021277A">
        <w:rPr>
          <w:rFonts w:ascii="Verdana" w:hAnsi="Verdana" w:cs="Arial"/>
          <w:sz w:val="20"/>
          <w:lang w:val="es-ES" w:eastAsia="es-ES_tradnl"/>
        </w:rPr>
        <w:t>encuentra respaldado por el</w:t>
      </w:r>
      <w:r w:rsidRPr="0021277A">
        <w:rPr>
          <w:rFonts w:ascii="Verdana" w:hAnsi="Verdana" w:cs="Arial"/>
          <w:sz w:val="20"/>
          <w:lang w:eastAsia="es-ES_tradnl"/>
        </w:rPr>
        <w:t xml:space="preserve"> marco regulatorio en la optimización de los procedimientos de compra en el ámbito público, asegurando eficiencia y equidad en las transacciones.</w:t>
      </w:r>
    </w:p>
    <w:p w14:paraId="34DC923C" w14:textId="77777777" w:rsidR="0021277A" w:rsidRDefault="0021277A" w:rsidP="0021277A">
      <w:pPr>
        <w:spacing w:after="0"/>
        <w:jc w:val="both"/>
        <w:rPr>
          <w:rFonts w:ascii="Verdana" w:hAnsi="Verdana" w:cs="Arial"/>
          <w:sz w:val="20"/>
          <w:lang w:val="es-MX" w:eastAsia="es-ES_tradnl"/>
        </w:rPr>
      </w:pPr>
    </w:p>
    <w:p w14:paraId="17DDBCEC" w14:textId="6EE07B06" w:rsidR="0021277A" w:rsidRPr="0021277A" w:rsidRDefault="0021277A" w:rsidP="0021277A">
      <w:pPr>
        <w:spacing w:after="0"/>
        <w:jc w:val="both"/>
        <w:rPr>
          <w:rFonts w:ascii="Verdana" w:hAnsi="Verdana"/>
          <w:b/>
          <w:lang w:val="es-MX"/>
        </w:rPr>
      </w:pPr>
      <w:r w:rsidRPr="0021277A">
        <w:rPr>
          <w:rFonts w:ascii="Verdana" w:hAnsi="Verdana" w:cs="Arial"/>
          <w:b/>
          <w:lang w:val="es-MX" w:eastAsia="es-ES_tradnl"/>
        </w:rPr>
        <w:t>LEY DE GARANTÍAS ELECTORALES – Bolsa de Productos – Procedimiento Competitivo -No restricción – Artículo 33.</w:t>
      </w:r>
    </w:p>
    <w:p w14:paraId="45C8C82C" w14:textId="566BB05B" w:rsidR="0021277A" w:rsidRDefault="0021277A" w:rsidP="00AA3788">
      <w:pPr>
        <w:spacing w:after="0" w:line="240" w:lineRule="auto"/>
        <w:jc w:val="both"/>
        <w:rPr>
          <w:rFonts w:ascii="Verdana" w:hAnsi="Verdana"/>
          <w:lang w:val="es-MX"/>
        </w:rPr>
      </w:pPr>
    </w:p>
    <w:p w14:paraId="4D5AEBAD" w14:textId="77777777" w:rsidR="00AA3788" w:rsidRPr="00AA3788" w:rsidRDefault="00AA3788" w:rsidP="00AA3788">
      <w:pPr>
        <w:spacing w:after="0" w:line="240" w:lineRule="auto"/>
        <w:jc w:val="both"/>
        <w:rPr>
          <w:rFonts w:ascii="Verdana" w:hAnsi="Verdana"/>
          <w:bCs/>
          <w:lang w:val="es-MX"/>
        </w:rPr>
      </w:pPr>
      <w:r w:rsidRPr="00AA3788">
        <w:rPr>
          <w:rFonts w:ascii="Verdana" w:hAnsi="Verdana"/>
          <w:lang w:val="es-ES"/>
        </w:rPr>
        <w:t>En virtud de lo expuesto, la adquisición de bienes y servicios de características técnicas uniformes mediante la bolsa de productos, se adelanta mediante un procedimiento competitivo que no está restringido por la prohibición establecida en el artículo 33 de la Ley 996 de 2005 que aplica a todas las entidades del Estado</w:t>
      </w:r>
      <w:r w:rsidRPr="00AA3788">
        <w:rPr>
          <w:rFonts w:ascii="Verdana" w:hAnsi="Verdana"/>
          <w:bCs/>
          <w:lang w:val="es-MX"/>
        </w:rPr>
        <w:t xml:space="preserve"> dentro de los cuatro (4) meses anteriores a la celebración de los comicios presidenciales</w:t>
      </w:r>
      <w:r w:rsidRPr="00AA3788">
        <w:rPr>
          <w:rFonts w:ascii="Verdana" w:hAnsi="Verdana"/>
          <w:lang w:val="es-ES"/>
        </w:rPr>
        <w:t xml:space="preserve">. </w:t>
      </w:r>
      <w:r w:rsidRPr="00AA3788">
        <w:rPr>
          <w:rFonts w:ascii="Verdana" w:hAnsi="Verdana"/>
          <w:bCs/>
          <w:lang w:val="es-MX"/>
        </w:rPr>
        <w:t xml:space="preserve">En tal sentido, la Ley 996 de 2005 establece restricciones específicas para la contratación directa, pero, las operaciones realizadas a través de la Bolsa de Productos no constituyen contratación directa en los términos del Estatuto General de Contratación de la Administración Pública -EGCAP-, sino un mecanismo de selección con reglas propias, basado en la intermediación de comisionistas, la formación pública de precios y la regulación especial del </w:t>
      </w:r>
      <w:r w:rsidRPr="00AA3788">
        <w:rPr>
          <w:rFonts w:ascii="Verdana" w:hAnsi="Verdana"/>
          <w:bCs/>
          <w:lang w:val="es-MX"/>
        </w:rPr>
        <w:lastRenderedPageBreak/>
        <w:t>mercado de bienes y productos. Por ello, la limitación prevista en la Ley 996 debe interpretarse de manera estricta y no puede extenderse a modalidades que no encajan en el concepto de contratación directa.</w:t>
      </w:r>
    </w:p>
    <w:p w14:paraId="7C596986" w14:textId="0F97EB45" w:rsidR="00AA3788" w:rsidRDefault="00AA3788" w:rsidP="00BD31E4">
      <w:pPr>
        <w:spacing w:after="0"/>
        <w:rPr>
          <w:rFonts w:ascii="Verdana" w:hAnsi="Verdana"/>
          <w:lang w:val="es-MX"/>
        </w:rPr>
      </w:pPr>
    </w:p>
    <w:p w14:paraId="52295D1A" w14:textId="7B0511A4" w:rsidR="00AA3788" w:rsidRDefault="00AA3788" w:rsidP="00BD31E4">
      <w:pPr>
        <w:spacing w:after="0"/>
        <w:rPr>
          <w:rFonts w:ascii="Verdana" w:hAnsi="Verdana"/>
          <w:lang w:val="es-MX"/>
        </w:rPr>
      </w:pPr>
    </w:p>
    <w:p w14:paraId="0C82B04D" w14:textId="02962C2D" w:rsidR="00AA3788" w:rsidRDefault="00AA3788" w:rsidP="00BD31E4">
      <w:pPr>
        <w:spacing w:after="0"/>
        <w:rPr>
          <w:rFonts w:ascii="Verdana" w:hAnsi="Verdana"/>
          <w:lang w:val="es-MX"/>
        </w:rPr>
      </w:pPr>
    </w:p>
    <w:p w14:paraId="56297025" w14:textId="713EA3A0" w:rsidR="00AA3788" w:rsidRDefault="00AA3788" w:rsidP="00BD31E4">
      <w:pPr>
        <w:spacing w:after="0"/>
        <w:rPr>
          <w:rFonts w:ascii="Verdana" w:hAnsi="Verdana"/>
          <w:lang w:val="es-MX"/>
        </w:rPr>
      </w:pPr>
    </w:p>
    <w:p w14:paraId="0B1836CD" w14:textId="4AAEF5C7" w:rsidR="00AA3788" w:rsidRDefault="00AA3788" w:rsidP="00BD31E4">
      <w:pPr>
        <w:spacing w:after="0"/>
        <w:rPr>
          <w:rFonts w:ascii="Verdana" w:hAnsi="Verdana"/>
          <w:lang w:val="es-MX"/>
        </w:rPr>
      </w:pPr>
    </w:p>
    <w:p w14:paraId="3517A651" w14:textId="08F6C6D8" w:rsidR="00AA3788" w:rsidRDefault="00AA3788" w:rsidP="00BD31E4">
      <w:pPr>
        <w:spacing w:after="0"/>
        <w:rPr>
          <w:rFonts w:ascii="Verdana" w:hAnsi="Verdana"/>
          <w:lang w:val="es-MX"/>
        </w:rPr>
      </w:pPr>
    </w:p>
    <w:p w14:paraId="7E36FE5E" w14:textId="3054E1D4" w:rsidR="00AA3788" w:rsidRDefault="00AA3788" w:rsidP="00BD31E4">
      <w:pPr>
        <w:spacing w:after="0"/>
        <w:rPr>
          <w:rFonts w:ascii="Verdana" w:hAnsi="Verdana"/>
          <w:lang w:val="es-MX"/>
        </w:rPr>
      </w:pPr>
    </w:p>
    <w:p w14:paraId="43685B08" w14:textId="572AE18F" w:rsidR="00AA3788" w:rsidRDefault="00AA3788" w:rsidP="00BD31E4">
      <w:pPr>
        <w:spacing w:after="0"/>
        <w:rPr>
          <w:rFonts w:ascii="Verdana" w:hAnsi="Verdana"/>
          <w:lang w:val="es-MX"/>
        </w:rPr>
      </w:pPr>
    </w:p>
    <w:p w14:paraId="231C1F9D" w14:textId="68D6A070" w:rsidR="00AA3788" w:rsidRDefault="00AA3788" w:rsidP="00BD31E4">
      <w:pPr>
        <w:spacing w:after="0"/>
        <w:rPr>
          <w:rFonts w:ascii="Verdana" w:hAnsi="Verdana"/>
          <w:lang w:val="es-MX"/>
        </w:rPr>
      </w:pPr>
    </w:p>
    <w:p w14:paraId="0CD5E140" w14:textId="5696FCE1" w:rsidR="00AA3788" w:rsidRDefault="00AA3788" w:rsidP="00BD31E4">
      <w:pPr>
        <w:spacing w:after="0"/>
        <w:rPr>
          <w:rFonts w:ascii="Verdana" w:hAnsi="Verdana"/>
          <w:lang w:val="es-MX"/>
        </w:rPr>
      </w:pPr>
    </w:p>
    <w:p w14:paraId="797018B4" w14:textId="4783414D" w:rsidR="00AA3788" w:rsidRDefault="00AA3788" w:rsidP="00BD31E4">
      <w:pPr>
        <w:spacing w:after="0"/>
        <w:rPr>
          <w:rFonts w:ascii="Verdana" w:hAnsi="Verdana"/>
          <w:lang w:val="es-MX"/>
        </w:rPr>
      </w:pPr>
    </w:p>
    <w:p w14:paraId="116CFE6B" w14:textId="7FE9297C" w:rsidR="00AA3788" w:rsidRDefault="00AA3788" w:rsidP="00BD31E4">
      <w:pPr>
        <w:spacing w:after="0"/>
        <w:rPr>
          <w:rFonts w:ascii="Verdana" w:hAnsi="Verdana"/>
          <w:lang w:val="es-MX"/>
        </w:rPr>
      </w:pPr>
    </w:p>
    <w:p w14:paraId="2EE982A4" w14:textId="52E55FC0" w:rsidR="00AA3788" w:rsidRDefault="00AA3788" w:rsidP="00BD31E4">
      <w:pPr>
        <w:spacing w:after="0"/>
        <w:rPr>
          <w:rFonts w:ascii="Verdana" w:hAnsi="Verdana"/>
          <w:lang w:val="es-MX"/>
        </w:rPr>
      </w:pPr>
    </w:p>
    <w:p w14:paraId="449735C5" w14:textId="7C49A8BD" w:rsidR="00AA3788" w:rsidRDefault="00AA3788" w:rsidP="00BD31E4">
      <w:pPr>
        <w:spacing w:after="0"/>
        <w:rPr>
          <w:rFonts w:ascii="Verdana" w:hAnsi="Verdana"/>
          <w:lang w:val="es-MX"/>
        </w:rPr>
      </w:pPr>
    </w:p>
    <w:p w14:paraId="30DB483E" w14:textId="6D4B381C" w:rsidR="00AA3788" w:rsidRDefault="00AA3788" w:rsidP="00BD31E4">
      <w:pPr>
        <w:spacing w:after="0"/>
        <w:rPr>
          <w:rFonts w:ascii="Verdana" w:hAnsi="Verdana"/>
          <w:lang w:val="es-MX"/>
        </w:rPr>
      </w:pPr>
    </w:p>
    <w:p w14:paraId="79B476F7" w14:textId="4C28D127" w:rsidR="00AA3788" w:rsidRDefault="00AA3788" w:rsidP="00BD31E4">
      <w:pPr>
        <w:spacing w:after="0"/>
        <w:rPr>
          <w:rFonts w:ascii="Verdana" w:hAnsi="Verdana"/>
          <w:lang w:val="es-MX"/>
        </w:rPr>
      </w:pPr>
    </w:p>
    <w:p w14:paraId="54ECA693" w14:textId="07A8E94A" w:rsidR="00AA3788" w:rsidRDefault="00AA3788" w:rsidP="00BD31E4">
      <w:pPr>
        <w:spacing w:after="0"/>
        <w:rPr>
          <w:rFonts w:ascii="Verdana" w:hAnsi="Verdana"/>
          <w:lang w:val="es-MX"/>
        </w:rPr>
      </w:pPr>
    </w:p>
    <w:p w14:paraId="760A6C35" w14:textId="39280ABE" w:rsidR="00AA3788" w:rsidRDefault="00AA3788" w:rsidP="00BD31E4">
      <w:pPr>
        <w:spacing w:after="0"/>
        <w:rPr>
          <w:rFonts w:ascii="Verdana" w:hAnsi="Verdana"/>
          <w:lang w:val="es-MX"/>
        </w:rPr>
      </w:pPr>
    </w:p>
    <w:p w14:paraId="5030F610" w14:textId="75F4D614" w:rsidR="00AA3788" w:rsidRDefault="00AA3788" w:rsidP="00BD31E4">
      <w:pPr>
        <w:spacing w:after="0"/>
        <w:rPr>
          <w:rFonts w:ascii="Verdana" w:hAnsi="Verdana"/>
          <w:lang w:val="es-MX"/>
        </w:rPr>
      </w:pPr>
    </w:p>
    <w:p w14:paraId="4CC5B59A" w14:textId="14EA7207" w:rsidR="00AA3788" w:rsidRDefault="00AA3788" w:rsidP="00BD31E4">
      <w:pPr>
        <w:spacing w:after="0"/>
        <w:rPr>
          <w:rFonts w:ascii="Verdana" w:hAnsi="Verdana"/>
          <w:lang w:val="es-MX"/>
        </w:rPr>
      </w:pPr>
    </w:p>
    <w:p w14:paraId="012521EE" w14:textId="7173B172" w:rsidR="00AA3788" w:rsidRDefault="00AA3788" w:rsidP="00BD31E4">
      <w:pPr>
        <w:spacing w:after="0"/>
        <w:rPr>
          <w:rFonts w:ascii="Verdana" w:hAnsi="Verdana"/>
          <w:lang w:val="es-MX"/>
        </w:rPr>
      </w:pPr>
    </w:p>
    <w:p w14:paraId="7E6B58F2" w14:textId="216238D7" w:rsidR="00AA3788" w:rsidRDefault="00AA3788" w:rsidP="00BD31E4">
      <w:pPr>
        <w:spacing w:after="0"/>
        <w:rPr>
          <w:rFonts w:ascii="Verdana" w:hAnsi="Verdana"/>
          <w:lang w:val="es-MX"/>
        </w:rPr>
      </w:pPr>
    </w:p>
    <w:p w14:paraId="502B4C46" w14:textId="58323A5C" w:rsidR="00AA3788" w:rsidRDefault="00AA3788" w:rsidP="00BD31E4">
      <w:pPr>
        <w:spacing w:after="0"/>
        <w:rPr>
          <w:rFonts w:ascii="Verdana" w:hAnsi="Verdana"/>
          <w:lang w:val="es-MX"/>
        </w:rPr>
      </w:pPr>
    </w:p>
    <w:p w14:paraId="19F5CE70" w14:textId="5161EABD" w:rsidR="00AA3788" w:rsidRDefault="00AA3788" w:rsidP="00BD31E4">
      <w:pPr>
        <w:spacing w:after="0"/>
        <w:rPr>
          <w:rFonts w:ascii="Verdana" w:hAnsi="Verdana"/>
          <w:lang w:val="es-MX"/>
        </w:rPr>
      </w:pPr>
    </w:p>
    <w:p w14:paraId="34773F5C" w14:textId="4C90420D" w:rsidR="00AA3788" w:rsidRDefault="00AA3788" w:rsidP="00BD31E4">
      <w:pPr>
        <w:spacing w:after="0"/>
        <w:rPr>
          <w:rFonts w:ascii="Verdana" w:hAnsi="Verdana"/>
          <w:lang w:val="es-MX"/>
        </w:rPr>
      </w:pPr>
    </w:p>
    <w:p w14:paraId="5542B840" w14:textId="327B7A14" w:rsidR="00AA3788" w:rsidRDefault="00AA3788" w:rsidP="00BD31E4">
      <w:pPr>
        <w:spacing w:after="0"/>
        <w:rPr>
          <w:rFonts w:ascii="Verdana" w:hAnsi="Verdana"/>
          <w:lang w:val="es-MX"/>
        </w:rPr>
      </w:pPr>
    </w:p>
    <w:p w14:paraId="460717C6" w14:textId="1B43BBA3" w:rsidR="00AA3788" w:rsidRDefault="00AA3788" w:rsidP="00BD31E4">
      <w:pPr>
        <w:spacing w:after="0"/>
        <w:rPr>
          <w:rFonts w:ascii="Verdana" w:hAnsi="Verdana"/>
          <w:lang w:val="es-MX"/>
        </w:rPr>
      </w:pPr>
    </w:p>
    <w:p w14:paraId="108223ED" w14:textId="198B6470" w:rsidR="00AA3788" w:rsidRDefault="00AA3788" w:rsidP="00BD31E4">
      <w:pPr>
        <w:spacing w:after="0"/>
        <w:rPr>
          <w:rFonts w:ascii="Verdana" w:hAnsi="Verdana"/>
          <w:lang w:val="es-MX"/>
        </w:rPr>
      </w:pPr>
    </w:p>
    <w:p w14:paraId="1398E4FF" w14:textId="6FAD9F13" w:rsidR="00AA3788" w:rsidRDefault="00AA3788" w:rsidP="00BD31E4">
      <w:pPr>
        <w:spacing w:after="0"/>
        <w:rPr>
          <w:rFonts w:ascii="Verdana" w:hAnsi="Verdana"/>
          <w:lang w:val="es-MX"/>
        </w:rPr>
      </w:pPr>
    </w:p>
    <w:p w14:paraId="72BC85D9" w14:textId="7D049146" w:rsidR="00AA3788" w:rsidRDefault="00AA3788" w:rsidP="00BD31E4">
      <w:pPr>
        <w:spacing w:after="0"/>
        <w:rPr>
          <w:rFonts w:ascii="Verdana" w:hAnsi="Verdana"/>
          <w:lang w:val="es-MX"/>
        </w:rPr>
      </w:pPr>
    </w:p>
    <w:p w14:paraId="334625B0" w14:textId="1DDC5D1B" w:rsidR="00AA3788" w:rsidRDefault="00AA3788" w:rsidP="00BD31E4">
      <w:pPr>
        <w:spacing w:after="0"/>
        <w:rPr>
          <w:rFonts w:ascii="Verdana" w:hAnsi="Verdana"/>
          <w:lang w:val="es-MX"/>
        </w:rPr>
      </w:pPr>
    </w:p>
    <w:p w14:paraId="29ECA6EF" w14:textId="1C6D28D9" w:rsidR="00AA3788" w:rsidRDefault="00AA3788" w:rsidP="00BD31E4">
      <w:pPr>
        <w:spacing w:after="0"/>
        <w:rPr>
          <w:rFonts w:ascii="Verdana" w:hAnsi="Verdana"/>
          <w:lang w:val="es-MX"/>
        </w:rPr>
      </w:pPr>
    </w:p>
    <w:p w14:paraId="22C4DF55" w14:textId="1B5190AB" w:rsidR="00AA3788" w:rsidRDefault="00AA3788" w:rsidP="00BD31E4">
      <w:pPr>
        <w:spacing w:after="0"/>
        <w:rPr>
          <w:rFonts w:ascii="Verdana" w:hAnsi="Verdana"/>
          <w:lang w:val="es-MX"/>
        </w:rPr>
      </w:pPr>
    </w:p>
    <w:p w14:paraId="2327A64C" w14:textId="608A9395" w:rsidR="00AA3788" w:rsidRDefault="00AA3788" w:rsidP="00BD31E4">
      <w:pPr>
        <w:spacing w:after="0"/>
        <w:rPr>
          <w:rFonts w:ascii="Verdana" w:hAnsi="Verdana"/>
          <w:lang w:val="es-MX"/>
        </w:rPr>
      </w:pPr>
    </w:p>
    <w:p w14:paraId="3F4CAD18" w14:textId="594636F2" w:rsidR="00AA3788" w:rsidRDefault="00AA3788" w:rsidP="00BD31E4">
      <w:pPr>
        <w:spacing w:after="0"/>
        <w:rPr>
          <w:rFonts w:ascii="Verdana" w:hAnsi="Verdana"/>
          <w:lang w:val="es-MX"/>
        </w:rPr>
      </w:pPr>
    </w:p>
    <w:p w14:paraId="52800A52" w14:textId="1EF58010" w:rsidR="00AA3788" w:rsidRPr="0021277A" w:rsidRDefault="00AA3788" w:rsidP="00BD31E4">
      <w:pPr>
        <w:spacing w:after="0"/>
        <w:rPr>
          <w:rFonts w:ascii="Verdana" w:hAnsi="Verdana"/>
          <w:lang w:val="es-MX"/>
        </w:rPr>
      </w:pPr>
    </w:p>
    <w:p w14:paraId="55B20108" w14:textId="4478E1AA" w:rsidR="00BD31E4" w:rsidRDefault="00AA3788" w:rsidP="00BD31E4">
      <w:pPr>
        <w:spacing w:after="0"/>
        <w:rPr>
          <w:rFonts w:ascii="Verdana" w:eastAsia="Calibri" w:hAnsi="Verdana" w:cs="Arial"/>
          <w:color w:val="000000"/>
          <w:lang w:val="es-MX"/>
        </w:rPr>
      </w:pPr>
      <w:r w:rsidRPr="00AA3788">
        <w:rPr>
          <w:rFonts w:ascii="Verdana" w:hAnsi="Verdana"/>
          <w:noProof/>
          <w:lang w:val="en-US"/>
        </w:rPr>
        <w:lastRenderedPageBreak/>
        <w:drawing>
          <wp:anchor distT="0" distB="0" distL="114300" distR="114300" simplePos="0" relativeHeight="251658240" behindDoc="0" locked="0" layoutInCell="1" allowOverlap="1" wp14:anchorId="7CCE63BB" wp14:editId="4E6AD815">
            <wp:simplePos x="0" y="0"/>
            <wp:positionH relativeFrom="margin">
              <wp:posOffset>2606894</wp:posOffset>
            </wp:positionH>
            <wp:positionV relativeFrom="paragraph">
              <wp:posOffset>234841</wp:posOffset>
            </wp:positionV>
            <wp:extent cx="2973705" cy="800735"/>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73705" cy="8007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D31E4" w:rsidRPr="0024624F">
        <w:rPr>
          <w:rFonts w:ascii="Verdana" w:hAnsi="Verdana"/>
        </w:rPr>
        <w:t xml:space="preserve">Bogotá D.C., </w:t>
      </w:r>
      <w:r w:rsidR="0006246F">
        <w:rPr>
          <w:rFonts w:ascii="Verdana" w:hAnsi="Verdana"/>
        </w:rPr>
        <w:t>29 de diciembre de 2025</w:t>
      </w:r>
      <w:r w:rsidR="00BD31E4" w:rsidRPr="000E2B93">
        <w:rPr>
          <w:rFonts w:ascii="Verdana" w:hAnsi="Verdana"/>
        </w:rPr>
        <w:tab/>
      </w:r>
      <w:r w:rsidR="00BD31E4" w:rsidRPr="000E2B93">
        <w:rPr>
          <w:rFonts w:ascii="Verdana" w:hAnsi="Verdana"/>
        </w:rPr>
        <w:br/>
      </w:r>
    </w:p>
    <w:p w14:paraId="28DE70B7" w14:textId="7406D07B" w:rsidR="00BD31E4" w:rsidRPr="00593A5F" w:rsidRDefault="00BD31E4" w:rsidP="00BD31E4">
      <w:pPr>
        <w:spacing w:after="0" w:line="240" w:lineRule="auto"/>
        <w:jc w:val="both"/>
        <w:rPr>
          <w:rFonts w:ascii="Verdana" w:eastAsia="Calibri" w:hAnsi="Verdana" w:cs="Arial"/>
          <w:color w:val="000000"/>
          <w:lang w:val="es-ES"/>
        </w:rPr>
      </w:pPr>
    </w:p>
    <w:p w14:paraId="7896EA07" w14:textId="77777777" w:rsidR="00BD31E4" w:rsidRPr="000C555D" w:rsidRDefault="00BD31E4" w:rsidP="00BD31E4">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509D0EAB" w14:textId="77777777" w:rsidR="00BD31E4" w:rsidRDefault="00BD31E4" w:rsidP="00BD31E4">
      <w:pPr>
        <w:spacing w:after="0" w:line="240" w:lineRule="auto"/>
        <w:rPr>
          <w:rFonts w:ascii="Verdana" w:eastAsia="Calibri" w:hAnsi="Verdana" w:cs="Arial"/>
          <w:b/>
          <w:lang w:val="es-ES" w:eastAsia="es-ES"/>
        </w:rPr>
      </w:pPr>
      <w:r>
        <w:rPr>
          <w:rFonts w:ascii="Verdana" w:eastAsia="Calibri" w:hAnsi="Verdana" w:cs="Arial"/>
          <w:b/>
          <w:lang w:val="es-ES" w:eastAsia="es-ES"/>
        </w:rPr>
        <w:t xml:space="preserve">Nidia Rocío Colmenares </w:t>
      </w:r>
    </w:p>
    <w:p w14:paraId="3448A757" w14:textId="77777777" w:rsidR="00BD31E4" w:rsidRDefault="00AF619D" w:rsidP="00BD31E4">
      <w:pPr>
        <w:spacing w:after="0" w:line="240" w:lineRule="auto"/>
        <w:rPr>
          <w:rFonts w:ascii="Verdana" w:eastAsia="Calibri" w:hAnsi="Verdana" w:cs="Arial"/>
          <w:lang w:val="es-ES" w:eastAsia="es-ES"/>
        </w:rPr>
      </w:pPr>
      <w:hyperlink r:id="rId12" w:history="1">
        <w:r w:rsidR="00BD31E4" w:rsidRPr="003B7EED">
          <w:rPr>
            <w:rStyle w:val="Hipervnculo"/>
            <w:rFonts w:ascii="Verdana" w:eastAsia="Calibri" w:hAnsi="Verdana" w:cs="Arial"/>
            <w:lang w:val="es-ES" w:eastAsia="es-ES"/>
          </w:rPr>
          <w:t>nicol-425@hotmail.com</w:t>
        </w:r>
      </w:hyperlink>
    </w:p>
    <w:p w14:paraId="624879B0" w14:textId="77777777" w:rsidR="00BD31E4" w:rsidRDefault="00BD31E4" w:rsidP="00BD31E4">
      <w:pPr>
        <w:spacing w:after="0" w:line="240" w:lineRule="auto"/>
        <w:rPr>
          <w:rFonts w:ascii="Verdana" w:eastAsia="Calibri" w:hAnsi="Verdana" w:cs="Arial"/>
          <w:lang w:val="es-ES" w:eastAsia="es-ES"/>
        </w:rPr>
      </w:pPr>
      <w:r w:rsidRPr="00867D8E">
        <w:rPr>
          <w:rFonts w:ascii="Verdana" w:eastAsia="Calibri" w:hAnsi="Verdana" w:cs="Arial"/>
          <w:lang w:val="es-ES" w:eastAsia="es-ES"/>
        </w:rPr>
        <w:t>Bogotá D.C.</w:t>
      </w:r>
      <w:r>
        <w:rPr>
          <w:rFonts w:ascii="Verdana" w:eastAsia="Calibri" w:hAnsi="Verdana" w:cs="Arial"/>
          <w:lang w:val="es-ES" w:eastAsia="es-ES"/>
        </w:rPr>
        <w:t xml:space="preserve"> </w:t>
      </w:r>
    </w:p>
    <w:p w14:paraId="117140EA" w14:textId="77777777" w:rsidR="00BD31E4" w:rsidRDefault="00BD31E4" w:rsidP="00BD31E4">
      <w:pPr>
        <w:spacing w:after="0" w:line="240" w:lineRule="auto"/>
        <w:rPr>
          <w:rFonts w:ascii="Verdana" w:eastAsia="Calibri" w:hAnsi="Verdana" w:cs="Arial"/>
          <w:b/>
          <w:bCs/>
          <w:color w:val="000000"/>
          <w:lang w:val="es-ES_tradnl" w:eastAsia="es-ES_tradnl"/>
        </w:rPr>
      </w:pPr>
    </w:p>
    <w:p w14:paraId="40D3FAAB" w14:textId="77777777" w:rsidR="00BD31E4" w:rsidRPr="00A12CB6" w:rsidRDefault="00BD31E4" w:rsidP="00BD31E4">
      <w:pPr>
        <w:spacing w:after="0" w:line="240" w:lineRule="auto"/>
        <w:rPr>
          <w:rFonts w:ascii="Verdana" w:eastAsia="Calibri" w:hAnsi="Verdana" w:cs="Times New Roman"/>
        </w:rPr>
      </w:pPr>
    </w:p>
    <w:p w14:paraId="1F444BAA" w14:textId="77777777" w:rsidR="00BD31E4" w:rsidRPr="00A12CB6" w:rsidRDefault="00BD31E4" w:rsidP="00BD31E4">
      <w:p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Pr>
          <w:rFonts w:ascii="Verdana" w:eastAsia="Calibri" w:hAnsi="Verdana" w:cs="Times New Roman"/>
          <w:b/>
          <w:bCs/>
          <w:lang w:val="es-ES"/>
        </w:rPr>
        <w:t xml:space="preserve">                  Concepto C- 1728 de 2025</w:t>
      </w:r>
    </w:p>
    <w:p w14:paraId="1A176E8F" w14:textId="77777777" w:rsidR="00BD31E4" w:rsidRPr="00A12CB6" w:rsidRDefault="00BD31E4" w:rsidP="00BD31E4">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BD31E4" w:rsidRPr="00A12CB6" w14:paraId="6CF9E41E" w14:textId="77777777" w:rsidTr="007D72B3">
        <w:trPr>
          <w:trHeight w:val="645"/>
        </w:trPr>
        <w:tc>
          <w:tcPr>
            <w:tcW w:w="2685" w:type="dxa"/>
            <w:hideMark/>
          </w:tcPr>
          <w:p w14:paraId="0FF92776" w14:textId="77777777" w:rsidR="00BD31E4" w:rsidRPr="00A12CB6" w:rsidRDefault="00BD31E4" w:rsidP="007D72B3">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646BA698" w14:textId="77777777" w:rsidR="00BD31E4" w:rsidRPr="00817856" w:rsidRDefault="00BD31E4" w:rsidP="007D72B3">
            <w:pPr>
              <w:spacing w:line="276" w:lineRule="auto"/>
              <w:jc w:val="both"/>
              <w:rPr>
                <w:rFonts w:ascii="Verdana" w:hAnsi="Verdana" w:cs="Arial"/>
                <w:lang w:val="es-ES" w:eastAsia="es-ES_tradnl"/>
              </w:rPr>
            </w:pPr>
            <w:r w:rsidRPr="00273620">
              <w:rPr>
                <w:rFonts w:ascii="Verdana" w:hAnsi="Verdana" w:cs="Arial"/>
                <w:lang w:val="es-MX" w:eastAsia="es-ES_tradnl"/>
              </w:rPr>
              <w:t xml:space="preserve">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Finalidad / 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Tipos de restricciones </w:t>
            </w:r>
            <w:r w:rsidRPr="00273620">
              <w:rPr>
                <w:rFonts w:ascii="Verdana" w:hAnsi="Verdana" w:cs="Arial"/>
                <w:bCs/>
                <w:lang w:val="es-MX" w:eastAsia="es-ES_tradnl"/>
              </w:rPr>
              <w:t>‒</w:t>
            </w:r>
            <w:r w:rsidRPr="00273620">
              <w:rPr>
                <w:rFonts w:ascii="Verdana" w:hAnsi="Verdana" w:cs="Arial"/>
                <w:lang w:val="es-MX" w:eastAsia="es-ES_tradnl"/>
              </w:rPr>
              <w:t xml:space="preserve"> Ámbito temporal</w:t>
            </w:r>
            <w:r>
              <w:rPr>
                <w:rFonts w:ascii="Verdana" w:hAnsi="Verdana" w:cs="Arial"/>
                <w:lang w:val="es-MX" w:eastAsia="es-ES_tradnl"/>
              </w:rPr>
              <w:t xml:space="preserve"> – celebración- límite / LEY DE GARANTÍAS ELECTORALES – Prohibición artículo 33 – Contratación directa – Alcance / LEY DE GARANTÍAS ELECTORALES – Excepciones / LEY DE GARANTÍAS ELECTORALES – Prohibición del artículo 33 – Destinatarios / BOLSA DE PRODUCTOS – Características – Contrato de Comisión / LEY DE GARANTÍAS ELECTORALES – Bolsa de Productos – Procedimiento Competitivo -No restricción – Artículo 33. </w:t>
            </w:r>
          </w:p>
        </w:tc>
        <w:tc>
          <w:tcPr>
            <w:tcW w:w="6237" w:type="dxa"/>
          </w:tcPr>
          <w:p w14:paraId="10E2EF10" w14:textId="77777777" w:rsidR="00BD31E4" w:rsidRPr="00A12CB6" w:rsidRDefault="00BD31E4" w:rsidP="007D72B3">
            <w:pPr>
              <w:spacing w:line="256" w:lineRule="auto"/>
              <w:rPr>
                <w:rFonts w:ascii="Verdana" w:hAnsi="Verdana"/>
              </w:rPr>
            </w:pPr>
          </w:p>
        </w:tc>
      </w:tr>
    </w:tbl>
    <w:p w14:paraId="49B152A7" w14:textId="77777777" w:rsidR="00BD31E4" w:rsidRPr="009305DC" w:rsidRDefault="00BD31E4" w:rsidP="00BD31E4">
      <w:pPr>
        <w:spacing w:after="0" w:line="240" w:lineRule="auto"/>
        <w:rPr>
          <w:rFonts w:ascii="Verdana" w:eastAsia="Calibri" w:hAnsi="Verdana" w:cs="Arial"/>
          <w:b/>
          <w:bCs/>
          <w:color w:val="000000"/>
          <w:lang w:eastAsia="es-ES_tradnl"/>
        </w:rPr>
      </w:pPr>
    </w:p>
    <w:p w14:paraId="32BC9EF8" w14:textId="77777777" w:rsidR="00BD31E4" w:rsidRPr="00593A5F" w:rsidRDefault="00BD31E4" w:rsidP="00BD31E4">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D31E4" w:rsidRPr="008E6AD9" w14:paraId="5E4FE0E9" w14:textId="77777777" w:rsidTr="007D72B3">
        <w:tc>
          <w:tcPr>
            <w:tcW w:w="2689" w:type="dxa"/>
          </w:tcPr>
          <w:p w14:paraId="092B62D1" w14:textId="77777777" w:rsidR="00BD31E4" w:rsidRPr="008E6AD9" w:rsidRDefault="00BD31E4" w:rsidP="007D72B3">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607AB3C8" w14:textId="77777777" w:rsidR="00BD31E4" w:rsidRPr="00AD67E7" w:rsidRDefault="00BD31E4" w:rsidP="007D72B3">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s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F76B7B">
              <w:rPr>
                <w:rFonts w:ascii="Verdana" w:eastAsia="Calibri" w:hAnsi="Verdana" w:cs="Arial"/>
                <w:lang w:eastAsia="es-ES_tradnl"/>
              </w:rPr>
              <w:t>1_2025_11_24_013189</w:t>
            </w:r>
          </w:p>
        </w:tc>
      </w:tr>
    </w:tbl>
    <w:p w14:paraId="39744202" w14:textId="77777777" w:rsidR="00BD31E4" w:rsidRPr="00593A5F" w:rsidRDefault="00BD31E4" w:rsidP="00BD31E4">
      <w:pPr>
        <w:spacing w:after="0" w:line="240" w:lineRule="auto"/>
        <w:jc w:val="both"/>
        <w:rPr>
          <w:rFonts w:ascii="Verdana" w:eastAsia="Calibri" w:hAnsi="Verdana" w:cs="Arial"/>
          <w:color w:val="000000"/>
          <w:lang w:val="es-ES_tradnl" w:eastAsia="es-ES_tradnl"/>
        </w:rPr>
      </w:pPr>
    </w:p>
    <w:p w14:paraId="3C1507C4" w14:textId="77777777" w:rsidR="00BD31E4" w:rsidRPr="00593A5F" w:rsidRDefault="00BD31E4" w:rsidP="00BD31E4">
      <w:pPr>
        <w:spacing w:after="0" w:line="240" w:lineRule="auto"/>
        <w:jc w:val="both"/>
        <w:rPr>
          <w:rFonts w:ascii="Verdana" w:eastAsia="Calibri" w:hAnsi="Verdana" w:cs="Arial"/>
          <w:color w:val="000000"/>
          <w:lang w:val="es-ES_tradnl" w:eastAsia="es-ES_tradnl"/>
        </w:rPr>
      </w:pPr>
    </w:p>
    <w:p w14:paraId="0DD7B728" w14:textId="77777777" w:rsidR="00BD31E4" w:rsidRPr="008E6AD9" w:rsidRDefault="00BD31E4" w:rsidP="00BD31E4">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 Señora Colmenares</w:t>
      </w:r>
      <w:r w:rsidRPr="008E6AD9">
        <w:rPr>
          <w:rFonts w:ascii="Verdana" w:eastAsia="Calibri" w:hAnsi="Verdana" w:cs="Arial"/>
          <w:lang w:val="es-ES" w:eastAsia="es-ES"/>
        </w:rPr>
        <w:t xml:space="preserve">: </w:t>
      </w:r>
    </w:p>
    <w:p w14:paraId="279A41EA" w14:textId="77777777" w:rsidR="00BD31E4" w:rsidRDefault="00BD31E4" w:rsidP="00BD31E4">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3DF7351" w14:textId="77777777" w:rsidR="00BD31E4" w:rsidRPr="00102203" w:rsidRDefault="00BD31E4" w:rsidP="00BD31E4">
      <w:pPr>
        <w:spacing w:after="0" w:line="276" w:lineRule="auto"/>
        <w:jc w:val="both"/>
        <w:rPr>
          <w:rFonts w:ascii="Verdana" w:eastAsia="Calibri" w:hAnsi="Verdana" w:cs="Arial"/>
          <w:bCs/>
          <w:color w:val="000000" w:themeColor="text1"/>
          <w:lang w:val="es-ES" w:eastAsia="es-ES" w:bidi="es-ES"/>
        </w:rPr>
      </w:pPr>
      <w:r w:rsidRPr="00102203">
        <w:rPr>
          <w:rFonts w:ascii="Verdana" w:eastAsia="Calibri" w:hAnsi="Verdana" w:cs="Arial"/>
          <w:bCs/>
          <w:color w:val="000000" w:themeColor="text1"/>
          <w:lang w:val="es-ES" w:eastAsia="es-ES" w:bidi="es-ES"/>
        </w:rPr>
        <w:t xml:space="preserve">En ejercicio de la competencia otorgada por los artículos 3, numeral 5º, y 11, numeral 8º, del Decreto Ley 4170 de 2011, </w:t>
      </w:r>
      <w:r w:rsidRPr="00102203">
        <w:rPr>
          <w:rFonts w:ascii="Verdana" w:eastAsia="Calibri" w:hAnsi="Verdana" w:cs="Arial"/>
          <w:bCs/>
          <w:color w:val="000000" w:themeColor="text1"/>
          <w:lang w:eastAsia="es-ES"/>
        </w:rPr>
        <w:t xml:space="preserve">así como lo establecido por la Resolución 469 de 2025 expedida por esta Entidad, </w:t>
      </w:r>
      <w:r w:rsidRPr="00102203">
        <w:rPr>
          <w:rFonts w:ascii="Verdana" w:eastAsia="Calibri" w:hAnsi="Verdana" w:cs="Arial"/>
          <w:bCs/>
          <w:color w:val="000000" w:themeColor="text1"/>
          <w:lang w:val="es-ES" w:eastAsia="es-ES" w:bidi="es-ES"/>
        </w:rPr>
        <w:t>la Agencia Nacional de Contratación Pública – Colombia Compra Eficiente– responde l</w:t>
      </w:r>
      <w:r>
        <w:rPr>
          <w:rFonts w:ascii="Verdana" w:eastAsia="Calibri" w:hAnsi="Verdana" w:cs="Arial"/>
          <w:bCs/>
          <w:color w:val="000000" w:themeColor="text1"/>
          <w:lang w:val="es-ES" w:eastAsia="es-ES" w:bidi="es-ES"/>
        </w:rPr>
        <w:t>a solicitud de consulta del 24 de noviembre de 2025</w:t>
      </w:r>
      <w:r w:rsidRPr="00102203">
        <w:rPr>
          <w:rFonts w:ascii="Verdana" w:eastAsia="Calibri" w:hAnsi="Verdana" w:cs="Arial"/>
          <w:bCs/>
          <w:color w:val="000000" w:themeColor="text1"/>
          <w:lang w:val="es-ES" w:eastAsia="es-ES" w:bidi="es-ES"/>
        </w:rPr>
        <w:t xml:space="preserve">, en la cual manifiesta: </w:t>
      </w:r>
    </w:p>
    <w:p w14:paraId="0E57C4F1" w14:textId="77777777" w:rsidR="00BD31E4" w:rsidRPr="00272A7B" w:rsidRDefault="00BD31E4" w:rsidP="00BD31E4">
      <w:pPr>
        <w:pStyle w:val="Prrafodelista"/>
        <w:tabs>
          <w:tab w:val="left" w:pos="142"/>
          <w:tab w:val="left" w:pos="284"/>
        </w:tabs>
        <w:spacing w:after="0" w:line="240" w:lineRule="auto"/>
        <w:ind w:left="0"/>
        <w:jc w:val="both"/>
        <w:rPr>
          <w:rFonts w:ascii="Verdana" w:eastAsia="Century Gothic" w:hAnsi="Verdana" w:cs="Century Gothic"/>
          <w:b/>
          <w:bCs/>
        </w:rPr>
      </w:pPr>
    </w:p>
    <w:p w14:paraId="582B1536" w14:textId="77777777" w:rsidR="00BD31E4" w:rsidRDefault="00BD31E4" w:rsidP="00BD31E4">
      <w:pPr>
        <w:spacing w:after="0" w:line="240" w:lineRule="auto"/>
        <w:ind w:left="709" w:right="709"/>
        <w:jc w:val="both"/>
        <w:rPr>
          <w:rFonts w:ascii="Verdana" w:eastAsia="Century Gothic" w:hAnsi="Verdana" w:cs="Century Gothic"/>
          <w:sz w:val="20"/>
          <w:szCs w:val="20"/>
        </w:rPr>
      </w:pPr>
      <w:bookmarkStart w:id="1" w:name="_Hlk95313578"/>
      <w:r w:rsidRPr="00D10E3B">
        <w:rPr>
          <w:rFonts w:ascii="Verdana" w:eastAsia="Century Gothic" w:hAnsi="Verdana" w:cs="Century Gothic"/>
          <w:sz w:val="20"/>
          <w:szCs w:val="20"/>
          <w:lang w:val="es-ES"/>
        </w:rPr>
        <w:t>“</w:t>
      </w:r>
      <w:bookmarkEnd w:id="1"/>
      <w:r w:rsidRPr="00CE72C3">
        <w:rPr>
          <w:rFonts w:ascii="Verdana" w:eastAsia="Century Gothic" w:hAnsi="Verdana" w:cs="Century Gothic"/>
          <w:sz w:val="20"/>
          <w:szCs w:val="20"/>
        </w:rPr>
        <w:t>[…]</w:t>
      </w:r>
      <w:r>
        <w:rPr>
          <w:rFonts w:ascii="Verdana" w:eastAsia="Century Gothic" w:hAnsi="Verdana" w:cs="Century Gothic"/>
          <w:sz w:val="20"/>
          <w:szCs w:val="20"/>
        </w:rPr>
        <w:t xml:space="preserve"> se solicita se conceptúe y se indique si para realizar compras a través de la bolsa mercantil de Colombia operan las restricciones de contratación directa previstas por la Ley 996 de 2005 y que según la circular CONJUNTA </w:t>
      </w:r>
      <w:r>
        <w:rPr>
          <w:rFonts w:ascii="Verdana" w:eastAsia="Century Gothic" w:hAnsi="Verdana" w:cs="Century Gothic"/>
          <w:sz w:val="20"/>
          <w:szCs w:val="20"/>
        </w:rPr>
        <w:lastRenderedPageBreak/>
        <w:t>100-006-2025 expedida por la DIRECTORA DEL DEPARTAMENTO ADMINISTRATIVO DE LA PRESIDENCIA DE LA FUNCIÓN PÚBLICA, da inicio el 31 de enero de 2025, conforme al calendario electoral, y de acuerdo con las precisiones antes realizadas”.</w:t>
      </w:r>
    </w:p>
    <w:p w14:paraId="07D99349" w14:textId="77777777" w:rsidR="00BD31E4" w:rsidRPr="008E6AD9" w:rsidRDefault="00BD31E4" w:rsidP="00BD31E4">
      <w:pPr>
        <w:pStyle w:val="Prrafodelista"/>
        <w:tabs>
          <w:tab w:val="left" w:pos="142"/>
          <w:tab w:val="left" w:pos="284"/>
        </w:tabs>
        <w:spacing w:after="0" w:line="276" w:lineRule="auto"/>
        <w:ind w:left="0"/>
        <w:jc w:val="both"/>
        <w:rPr>
          <w:rFonts w:ascii="Verdana" w:eastAsia="Century Gothic" w:hAnsi="Verdana" w:cs="Century Gothic"/>
          <w:b/>
          <w:bCs/>
        </w:rPr>
      </w:pPr>
    </w:p>
    <w:p w14:paraId="40F402C1" w14:textId="77777777" w:rsidR="00BD31E4" w:rsidRPr="00A652FF" w:rsidRDefault="00BD31E4" w:rsidP="00BD31E4">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C1A7888" w14:textId="77777777" w:rsidR="00BD31E4" w:rsidRPr="00423BE7" w:rsidRDefault="00BD31E4" w:rsidP="00BD31E4">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 xml:space="preserve">los problemas jurídicos de su consulta. </w:t>
      </w:r>
    </w:p>
    <w:p w14:paraId="4E8EF21D" w14:textId="77777777" w:rsidR="00BD31E4" w:rsidRPr="00593A5F" w:rsidRDefault="00BD31E4" w:rsidP="00BD31E4">
      <w:pPr>
        <w:spacing w:after="0" w:line="276" w:lineRule="auto"/>
        <w:ind w:firstLine="709"/>
        <w:jc w:val="both"/>
        <w:rPr>
          <w:rFonts w:ascii="Verdana" w:eastAsia="Calibri" w:hAnsi="Verdana" w:cs="Arial"/>
          <w:color w:val="000000"/>
          <w:lang w:val="es-ES" w:eastAsia="es-ES"/>
        </w:rPr>
      </w:pPr>
    </w:p>
    <w:p w14:paraId="5CEB345A" w14:textId="77777777" w:rsidR="00BD31E4" w:rsidRPr="00593A5F" w:rsidRDefault="00BD31E4" w:rsidP="00BD31E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s</w:t>
      </w:r>
      <w:r w:rsidRPr="00593A5F">
        <w:rPr>
          <w:rFonts w:ascii="Verdana" w:eastAsia="Century Gothic" w:hAnsi="Verdana" w:cs="Century Gothic"/>
          <w:b/>
          <w:bCs/>
        </w:rPr>
        <w:t xml:space="preserve"> planteado</w:t>
      </w:r>
      <w:r>
        <w:rPr>
          <w:rFonts w:ascii="Verdana" w:eastAsia="Century Gothic" w:hAnsi="Verdana" w:cs="Century Gothic"/>
          <w:b/>
          <w:bCs/>
        </w:rPr>
        <w:t>s</w:t>
      </w:r>
      <w:r w:rsidRPr="00593A5F">
        <w:rPr>
          <w:rFonts w:ascii="Verdana" w:eastAsia="Century Gothic" w:hAnsi="Verdana" w:cs="Century Gothic"/>
          <w:b/>
          <w:bCs/>
        </w:rPr>
        <w:t>:</w:t>
      </w:r>
    </w:p>
    <w:p w14:paraId="4644372A" w14:textId="77777777" w:rsidR="00BD31E4" w:rsidRPr="00593A5F" w:rsidRDefault="00BD31E4" w:rsidP="00BD31E4">
      <w:pPr>
        <w:tabs>
          <w:tab w:val="left" w:pos="426"/>
        </w:tabs>
        <w:spacing w:after="0" w:line="276" w:lineRule="auto"/>
        <w:jc w:val="both"/>
        <w:rPr>
          <w:rFonts w:ascii="Verdana" w:eastAsia="Century Gothic" w:hAnsi="Verdana" w:cs="Century Gothic"/>
          <w:lang w:val="es-ES"/>
        </w:rPr>
      </w:pPr>
    </w:p>
    <w:p w14:paraId="42051143" w14:textId="77777777" w:rsidR="00BD31E4" w:rsidRDefault="00BD31E4" w:rsidP="00BD31E4">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 xml:space="preserve">el siguiente problema jurídico: </w:t>
      </w:r>
      <w:r w:rsidRPr="005E288B">
        <w:rPr>
          <w:rFonts w:ascii="Verdana" w:eastAsia="Century Gothic" w:hAnsi="Verdana" w:cs="Century Gothic"/>
        </w:rPr>
        <w:t xml:space="preserve">¿Las adquisiciones de bienes y servicios realizadas por las entidades estatales a través de la Bolsa </w:t>
      </w:r>
      <w:r>
        <w:rPr>
          <w:rFonts w:ascii="Verdana" w:eastAsia="Century Gothic" w:hAnsi="Verdana" w:cs="Century Gothic"/>
        </w:rPr>
        <w:t xml:space="preserve">de Productos </w:t>
      </w:r>
      <w:r w:rsidRPr="005E288B">
        <w:rPr>
          <w:rFonts w:ascii="Verdana" w:eastAsia="Century Gothic" w:hAnsi="Verdana" w:cs="Century Gothic"/>
        </w:rPr>
        <w:t xml:space="preserve">se encuentran sometidas a las restricciones de contratación directa previstas en </w:t>
      </w:r>
      <w:r>
        <w:rPr>
          <w:rFonts w:ascii="Verdana" w:eastAsia="Century Gothic" w:hAnsi="Verdana" w:cs="Century Gothic"/>
        </w:rPr>
        <w:t>el artículo 33 de la</w:t>
      </w:r>
      <w:r w:rsidRPr="005E288B">
        <w:rPr>
          <w:rFonts w:ascii="Verdana" w:eastAsia="Century Gothic" w:hAnsi="Verdana" w:cs="Century Gothic"/>
        </w:rPr>
        <w:t xml:space="preserve"> Ley 996 de 2005?</w:t>
      </w:r>
    </w:p>
    <w:p w14:paraId="57740A5C" w14:textId="77777777" w:rsidR="00BD31E4" w:rsidRPr="004B140F" w:rsidRDefault="00BD31E4" w:rsidP="00BD31E4">
      <w:pPr>
        <w:spacing w:after="0" w:line="276" w:lineRule="auto"/>
        <w:jc w:val="both"/>
        <w:rPr>
          <w:rFonts w:ascii="Verdana" w:eastAsia="Calibri" w:hAnsi="Verdana" w:cs="Arial"/>
          <w:color w:val="7030A0"/>
        </w:rPr>
      </w:pPr>
    </w:p>
    <w:p w14:paraId="19BE4F27" w14:textId="77777777" w:rsidR="00BD31E4" w:rsidRPr="00593A5F" w:rsidRDefault="00BD31E4" w:rsidP="00BD31E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r>
        <w:rPr>
          <w:rFonts w:ascii="Verdana" w:eastAsia="Century Gothic" w:hAnsi="Verdana" w:cs="Century Gothic"/>
          <w:b/>
          <w:bCs/>
        </w:rPr>
        <w:t>s</w:t>
      </w:r>
      <w:r w:rsidRPr="00593A5F">
        <w:rPr>
          <w:rFonts w:ascii="Verdana" w:eastAsia="Century Gothic" w:hAnsi="Verdana" w:cs="Century Gothic"/>
          <w:b/>
          <w:bCs/>
        </w:rPr>
        <w:t>:</w:t>
      </w:r>
    </w:p>
    <w:p w14:paraId="34EF5BF1" w14:textId="77777777" w:rsidR="00BD31E4" w:rsidRPr="00593A5F" w:rsidRDefault="00BD31E4" w:rsidP="00BD31E4">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D31E4" w:rsidRPr="00593A5F" w14:paraId="1E30502E" w14:textId="77777777" w:rsidTr="007D72B3">
        <w:trPr>
          <w:jc w:val="center"/>
        </w:trPr>
        <w:tc>
          <w:tcPr>
            <w:tcW w:w="8828" w:type="dxa"/>
          </w:tcPr>
          <w:p w14:paraId="5DA6FF0C" w14:textId="77777777" w:rsidR="00BD31E4" w:rsidRPr="00B31A79" w:rsidRDefault="00BD31E4" w:rsidP="007D72B3">
            <w:pPr>
              <w:spacing w:after="120" w:line="276" w:lineRule="auto"/>
              <w:jc w:val="both"/>
              <w:rPr>
                <w:rFonts w:ascii="Verdana" w:eastAsia="Calibri" w:hAnsi="Verdana" w:cs="Arial"/>
                <w:color w:val="000000" w:themeColor="text1"/>
                <w:lang w:val="es-MX"/>
              </w:rPr>
            </w:pPr>
            <w:bookmarkStart w:id="2" w:name="_Hlk171694685"/>
            <w:r>
              <w:rPr>
                <w:rFonts w:ascii="Verdana" w:eastAsia="Calibri" w:hAnsi="Verdana" w:cs="Arial"/>
                <w:lang w:val="es-MX"/>
              </w:rPr>
              <w:t>De acuerdo con el problema jurídico, objeto de consulta, se señala que l</w:t>
            </w:r>
            <w:r w:rsidRPr="004157FA">
              <w:rPr>
                <w:rFonts w:ascii="Verdana" w:eastAsia="Calibri" w:hAnsi="Verdana" w:cs="Arial"/>
                <w:color w:val="000000" w:themeColor="text1"/>
              </w:rPr>
              <w:t>a adquisición</w:t>
            </w:r>
            <w:r w:rsidRPr="004157FA">
              <w:rPr>
                <w:rFonts w:ascii="Verdana" w:eastAsia="Calibri" w:hAnsi="Verdana" w:cs="Arial"/>
                <w:color w:val="000000" w:themeColor="text1"/>
                <w:lang w:val="es-MX"/>
              </w:rPr>
              <w:t xml:space="preserve"> de estos bienes</w:t>
            </w:r>
            <w:r>
              <w:rPr>
                <w:rFonts w:ascii="Verdana" w:eastAsia="Calibri" w:hAnsi="Verdana" w:cs="Arial"/>
                <w:color w:val="000000" w:themeColor="text1"/>
                <w:lang w:val="es-MX"/>
              </w:rPr>
              <w:t xml:space="preserve"> mediante la bolsa de productos</w:t>
            </w:r>
            <w:r w:rsidRPr="004157FA">
              <w:rPr>
                <w:rFonts w:ascii="Verdana" w:eastAsia="Calibri" w:hAnsi="Verdana" w:cs="Arial"/>
                <w:color w:val="000000" w:themeColor="text1"/>
                <w:lang w:val="es-MX"/>
              </w:rPr>
              <w:t>, sin perjuicio de la aplicación de los artículos 2.2.1.2.1.2.11</w:t>
            </w:r>
            <w:r>
              <w:rPr>
                <w:rFonts w:ascii="Verdana" w:eastAsia="Calibri" w:hAnsi="Verdana" w:cs="Arial"/>
                <w:color w:val="000000" w:themeColor="text1"/>
                <w:lang w:val="es-MX"/>
              </w:rPr>
              <w:t xml:space="preserve"> </w:t>
            </w:r>
            <w:r w:rsidRPr="004157FA">
              <w:rPr>
                <w:rFonts w:ascii="Verdana" w:eastAsia="Calibri" w:hAnsi="Verdana" w:cs="Arial"/>
                <w:color w:val="000000" w:themeColor="text1"/>
                <w:lang w:val="es-MX"/>
              </w:rPr>
              <w:t>a</w:t>
            </w:r>
            <w:r>
              <w:rPr>
                <w:rFonts w:ascii="Verdana" w:eastAsia="Calibri" w:hAnsi="Verdana" w:cs="Arial"/>
                <w:color w:val="000000" w:themeColor="text1"/>
                <w:lang w:val="es-MX"/>
              </w:rPr>
              <w:t xml:space="preserve"> </w:t>
            </w:r>
            <w:r w:rsidRPr="004157FA">
              <w:rPr>
                <w:rFonts w:ascii="Verdana" w:eastAsia="Calibri" w:hAnsi="Verdana" w:cs="Arial"/>
                <w:color w:val="000000" w:themeColor="text1"/>
                <w:lang w:val="es-MX"/>
              </w:rPr>
              <w:t xml:space="preserve">2.1.2.1.2.19 del Decreto 1082 de </w:t>
            </w:r>
            <w:r w:rsidRPr="004157FA">
              <w:rPr>
                <w:rFonts w:ascii="Verdana" w:eastAsia="Calibri" w:hAnsi="Verdana" w:cs="Arial"/>
                <w:color w:val="000000" w:themeColor="text1"/>
                <w:lang w:val="es-MX"/>
              </w:rPr>
              <w:lastRenderedPageBreak/>
              <w:t xml:space="preserve">2015 en lo pertinente, se rigen principalmente por el Decreto 2555 de 2010 y los reglamentos internos de las bolsas de productos en las que se lleven a cabo las operaciones. </w:t>
            </w:r>
            <w:r>
              <w:rPr>
                <w:rFonts w:ascii="Verdana" w:eastAsia="Calibri" w:hAnsi="Verdana" w:cs="Arial"/>
                <w:color w:val="000000" w:themeColor="text1"/>
                <w:lang w:val="es-MX"/>
              </w:rPr>
              <w:t>A</w:t>
            </w:r>
            <w:r w:rsidRPr="004157FA">
              <w:rPr>
                <w:rFonts w:ascii="Verdana" w:eastAsia="Calibri" w:hAnsi="Verdana" w:cs="Arial"/>
                <w:color w:val="000000" w:themeColor="text1"/>
                <w:lang w:val="es-MX"/>
              </w:rPr>
              <w:t xml:space="preserve">l Decreto 2555 de 2010, mediante el artículo 2.11.1.1.5, habilita a las bolsas de productos para expedir sus reglamentos, estableciendo que estos deberán regular la organización, administración, funcionamiento, así como las operaciones y actividades que se realicen por conducto de los mercados que </w:t>
            </w:r>
            <w:r w:rsidRPr="004157FA">
              <w:rPr>
                <w:rFonts w:ascii="Verdana" w:hAnsi="Verdana" w:cs="Arial"/>
                <w:lang w:val="es-MX"/>
              </w:rPr>
              <w:t>administre la correspondiente bolsa</w:t>
            </w:r>
            <w:r>
              <w:rPr>
                <w:rFonts w:ascii="Verdana" w:hAnsi="Verdana" w:cs="Arial"/>
                <w:lang w:val="es-MX"/>
              </w:rPr>
              <w:t>.</w:t>
            </w:r>
            <w:r>
              <w:rPr>
                <w:rFonts w:ascii="Verdana" w:eastAsia="Calibri" w:hAnsi="Verdana" w:cs="Arial"/>
                <w:color w:val="000000" w:themeColor="text1"/>
                <w:lang w:val="es-MX"/>
              </w:rPr>
              <w:t xml:space="preserve"> </w:t>
            </w:r>
            <w:r w:rsidRPr="004157FA">
              <w:rPr>
                <w:rFonts w:ascii="Verdana" w:hAnsi="Verdana" w:cs="Arial"/>
                <w:lang w:val="es-MX"/>
              </w:rPr>
              <w:t>En el marco de</w:t>
            </w:r>
            <w:r w:rsidRPr="004157FA">
              <w:rPr>
                <w:rFonts w:ascii="Verdana" w:eastAsia="Calibri" w:hAnsi="Verdana" w:cs="Arial"/>
                <w:color w:val="000000" w:themeColor="text1"/>
                <w:lang w:val="es-MX"/>
              </w:rPr>
              <w:t xml:space="preserve"> tal ejercicio de autorregulación que implica la expedición de sus propios reglamentos, las bolsas de productos tienen la posibilidad de definir distintas modalidades para llevar a cabo las negociaciones de los productos, establecer sus requisitos, procedimientos e incluso determinar documentación que deberá </w:t>
            </w:r>
            <w:r>
              <w:rPr>
                <w:rFonts w:ascii="Verdana" w:eastAsia="Calibri" w:hAnsi="Verdana" w:cs="Arial"/>
                <w:color w:val="000000" w:themeColor="text1"/>
                <w:lang w:val="es-MX"/>
              </w:rPr>
              <w:t>producirse</w:t>
            </w:r>
            <w:r w:rsidRPr="004157FA">
              <w:rPr>
                <w:rFonts w:ascii="Verdana" w:eastAsia="Calibri" w:hAnsi="Verdana" w:cs="Arial"/>
                <w:color w:val="000000" w:themeColor="text1"/>
                <w:lang w:val="es-MX"/>
              </w:rPr>
              <w:t xml:space="preserve"> en el marco de las operaciones que se lleven a cabo. </w:t>
            </w:r>
          </w:p>
          <w:p w14:paraId="6A9348AC" w14:textId="77777777" w:rsidR="00BD31E4" w:rsidRPr="00E66DD3" w:rsidRDefault="00BD31E4" w:rsidP="007D72B3">
            <w:pPr>
              <w:spacing w:after="120" w:line="276" w:lineRule="auto"/>
              <w:ind w:firstLine="708"/>
              <w:jc w:val="both"/>
              <w:rPr>
                <w:rFonts w:ascii="Verdana" w:eastAsia="Times New Roman" w:hAnsi="Verdana" w:cs="Arial"/>
                <w:bCs/>
                <w:lang w:val="es-MX" w:eastAsia="x-none"/>
              </w:rPr>
            </w:pPr>
            <w:r w:rsidRPr="00385A72">
              <w:rPr>
                <w:rFonts w:ascii="Verdana" w:eastAsia="Times New Roman" w:hAnsi="Verdana" w:cs="Arial"/>
                <w:lang w:val="es-ES" w:eastAsia="es-ES_tradnl"/>
              </w:rPr>
              <w:t>En virtud de lo expuesto, la adquisición de bienes</w:t>
            </w:r>
            <w:r>
              <w:rPr>
                <w:rFonts w:ascii="Verdana" w:eastAsia="Times New Roman" w:hAnsi="Verdana" w:cs="Arial"/>
                <w:lang w:val="es-ES" w:eastAsia="es-ES_tradnl"/>
              </w:rPr>
              <w:t xml:space="preserve"> y servicios de características técnicas uniformes mediante la bolsa de productos</w:t>
            </w:r>
            <w:r w:rsidRPr="00385A72">
              <w:rPr>
                <w:rFonts w:ascii="Verdana" w:eastAsia="Times New Roman" w:hAnsi="Verdana" w:cs="Arial"/>
                <w:lang w:val="es-ES" w:eastAsia="es-ES_tradnl"/>
              </w:rPr>
              <w:t xml:space="preserve"> </w:t>
            </w:r>
            <w:r>
              <w:rPr>
                <w:rFonts w:ascii="Verdana" w:eastAsia="Times New Roman" w:hAnsi="Verdana" w:cs="Arial"/>
                <w:lang w:val="es-ES" w:eastAsia="es-ES_tradnl"/>
              </w:rPr>
              <w:t xml:space="preserve">se adelanta mediante </w:t>
            </w:r>
            <w:r w:rsidRPr="00385A72">
              <w:rPr>
                <w:rFonts w:ascii="Verdana" w:eastAsia="Times New Roman" w:hAnsi="Verdana" w:cs="Arial"/>
                <w:lang w:val="es-ES" w:eastAsia="es-ES_tradnl"/>
              </w:rPr>
              <w:t xml:space="preserve">un procedimiento competitivo que </w:t>
            </w:r>
            <w:r>
              <w:rPr>
                <w:rFonts w:ascii="Verdana" w:eastAsia="Times New Roman" w:hAnsi="Verdana" w:cs="Arial"/>
                <w:lang w:val="es-ES" w:eastAsia="es-ES_tradnl"/>
              </w:rPr>
              <w:t xml:space="preserve">no </w:t>
            </w:r>
            <w:r w:rsidRPr="00385A72">
              <w:rPr>
                <w:rFonts w:ascii="Verdana" w:eastAsia="Times New Roman" w:hAnsi="Verdana" w:cs="Arial"/>
                <w:lang w:val="es-ES" w:eastAsia="es-ES_tradnl"/>
              </w:rPr>
              <w:t>está restringido por la prohibición establecida en el artículo 33 de la Ley 996 de 2005 que aplica a todas las entidades del Estado</w:t>
            </w:r>
            <w:r w:rsidRPr="00385A72">
              <w:rPr>
                <w:rFonts w:ascii="Verdana" w:eastAsia="Times New Roman" w:hAnsi="Verdana" w:cs="Arial"/>
                <w:bCs/>
                <w:lang w:val="es-MX" w:eastAsia="x-none"/>
              </w:rPr>
              <w:t xml:space="preserve"> </w:t>
            </w:r>
            <w:r w:rsidRPr="00385A72">
              <w:rPr>
                <w:rFonts w:ascii="Verdana" w:eastAsia="Times New Roman" w:hAnsi="Verdana" w:cs="Arial"/>
                <w:bCs/>
                <w:lang w:val="es-MX" w:eastAsia="es-ES_tradnl"/>
              </w:rPr>
              <w:t>dentro de los cuatro (4) meses anteriores a la celebración de los comicios presidenciales</w:t>
            </w:r>
            <w:r w:rsidRPr="00385A72">
              <w:rPr>
                <w:rFonts w:ascii="Verdana" w:eastAsia="Times New Roman" w:hAnsi="Verdana" w:cs="Arial"/>
                <w:lang w:val="es-ES" w:eastAsia="es-ES_tradnl"/>
              </w:rPr>
              <w:t xml:space="preserve">. </w:t>
            </w:r>
            <w:r w:rsidRPr="00385A72">
              <w:rPr>
                <w:rFonts w:ascii="Verdana" w:eastAsia="Times New Roman" w:hAnsi="Verdana" w:cs="Arial"/>
                <w:bCs/>
                <w:lang w:val="es-MX" w:eastAsia="x-none"/>
              </w:rPr>
              <w:t xml:space="preserve">En tal sentido, </w:t>
            </w:r>
            <w:r>
              <w:rPr>
                <w:rFonts w:ascii="Verdana" w:eastAsia="Times New Roman" w:hAnsi="Verdana" w:cs="Arial"/>
                <w:bCs/>
                <w:lang w:val="es-MX" w:eastAsia="x-none"/>
              </w:rPr>
              <w:t>l</w:t>
            </w:r>
            <w:r w:rsidRPr="00E66DD3">
              <w:rPr>
                <w:rFonts w:ascii="Verdana" w:eastAsia="Times New Roman" w:hAnsi="Verdana" w:cs="Arial"/>
                <w:bCs/>
                <w:lang w:val="es-MX" w:eastAsia="x-none"/>
              </w:rPr>
              <w:t>a Ley 996 de 2005 establece restricciones específicas para la contratación directa</w:t>
            </w:r>
            <w:r>
              <w:rPr>
                <w:rFonts w:ascii="Verdana" w:eastAsia="Times New Roman" w:hAnsi="Verdana" w:cs="Arial"/>
                <w:bCs/>
                <w:lang w:val="es-MX" w:eastAsia="x-none"/>
              </w:rPr>
              <w:t>, pero</w:t>
            </w:r>
            <w:r w:rsidRPr="00E66DD3">
              <w:rPr>
                <w:rFonts w:ascii="Verdana" w:eastAsia="Times New Roman" w:hAnsi="Verdana" w:cs="Arial"/>
                <w:bCs/>
                <w:lang w:val="es-MX" w:eastAsia="x-none"/>
              </w:rPr>
              <w:t>, las operaciones realizadas a trav</w:t>
            </w:r>
            <w:r w:rsidRPr="00E66DD3">
              <w:rPr>
                <w:rFonts w:ascii="Verdana" w:eastAsia="Times New Roman" w:hAnsi="Verdana" w:cs="Verdana"/>
                <w:bCs/>
                <w:lang w:val="es-MX" w:eastAsia="x-none"/>
              </w:rPr>
              <w:t>é</w:t>
            </w:r>
            <w:r w:rsidRPr="00E66DD3">
              <w:rPr>
                <w:rFonts w:ascii="Verdana" w:eastAsia="Times New Roman" w:hAnsi="Verdana" w:cs="Arial"/>
                <w:bCs/>
                <w:lang w:val="es-MX" w:eastAsia="x-none"/>
              </w:rPr>
              <w:t xml:space="preserve">s </w:t>
            </w:r>
            <w:r>
              <w:rPr>
                <w:rFonts w:ascii="Verdana" w:eastAsia="Times New Roman" w:hAnsi="Verdana" w:cs="Arial"/>
                <w:bCs/>
                <w:lang w:val="es-MX" w:eastAsia="x-none"/>
              </w:rPr>
              <w:t xml:space="preserve">de la Bolsa de Productos </w:t>
            </w:r>
            <w:r w:rsidRPr="00E66DD3">
              <w:rPr>
                <w:rFonts w:ascii="Verdana" w:eastAsia="Times New Roman" w:hAnsi="Verdana" w:cs="Arial"/>
                <w:bCs/>
                <w:lang w:val="es-MX" w:eastAsia="x-none"/>
              </w:rPr>
              <w:t>no constituyen contrataci</w:t>
            </w:r>
            <w:r w:rsidRPr="00E66DD3">
              <w:rPr>
                <w:rFonts w:ascii="Verdana" w:eastAsia="Times New Roman" w:hAnsi="Verdana" w:cs="Verdana"/>
                <w:bCs/>
                <w:lang w:val="es-MX" w:eastAsia="x-none"/>
              </w:rPr>
              <w:t>ó</w:t>
            </w:r>
            <w:r w:rsidRPr="00E66DD3">
              <w:rPr>
                <w:rFonts w:ascii="Verdana" w:eastAsia="Times New Roman" w:hAnsi="Verdana" w:cs="Arial"/>
                <w:bCs/>
                <w:lang w:val="es-MX" w:eastAsia="x-none"/>
              </w:rPr>
              <w:t>n directa en los t</w:t>
            </w:r>
            <w:r w:rsidRPr="00E66DD3">
              <w:rPr>
                <w:rFonts w:ascii="Verdana" w:eastAsia="Times New Roman" w:hAnsi="Verdana" w:cs="Verdana"/>
                <w:bCs/>
                <w:lang w:val="es-MX" w:eastAsia="x-none"/>
              </w:rPr>
              <w:t>é</w:t>
            </w:r>
            <w:r w:rsidRPr="00E66DD3">
              <w:rPr>
                <w:rFonts w:ascii="Verdana" w:eastAsia="Times New Roman" w:hAnsi="Verdana" w:cs="Arial"/>
                <w:bCs/>
                <w:lang w:val="es-MX" w:eastAsia="x-none"/>
              </w:rPr>
              <w:t>rminos del Estatuto General de Contrataci</w:t>
            </w:r>
            <w:r w:rsidRPr="00E66DD3">
              <w:rPr>
                <w:rFonts w:ascii="Verdana" w:eastAsia="Times New Roman" w:hAnsi="Verdana" w:cs="Verdana"/>
                <w:bCs/>
                <w:lang w:val="es-MX" w:eastAsia="x-none"/>
              </w:rPr>
              <w:t>ó</w:t>
            </w:r>
            <w:r w:rsidRPr="00E66DD3">
              <w:rPr>
                <w:rFonts w:ascii="Verdana" w:eastAsia="Times New Roman" w:hAnsi="Verdana" w:cs="Arial"/>
                <w:bCs/>
                <w:lang w:val="es-MX" w:eastAsia="x-none"/>
              </w:rPr>
              <w:t>n</w:t>
            </w:r>
            <w:r>
              <w:rPr>
                <w:rFonts w:ascii="Verdana" w:eastAsia="Times New Roman" w:hAnsi="Verdana" w:cs="Arial"/>
                <w:bCs/>
                <w:lang w:val="es-MX" w:eastAsia="x-none"/>
              </w:rPr>
              <w:t xml:space="preserve"> de la Administración Pública -EGCAP-</w:t>
            </w:r>
            <w:r w:rsidRPr="00E66DD3">
              <w:rPr>
                <w:rFonts w:ascii="Verdana" w:eastAsia="Times New Roman" w:hAnsi="Verdana" w:cs="Arial"/>
                <w:bCs/>
                <w:lang w:val="es-MX" w:eastAsia="x-none"/>
              </w:rPr>
              <w:t>, sino un mecanismo de selecci</w:t>
            </w:r>
            <w:r w:rsidRPr="00E66DD3">
              <w:rPr>
                <w:rFonts w:ascii="Verdana" w:eastAsia="Times New Roman" w:hAnsi="Verdana" w:cs="Verdana"/>
                <w:bCs/>
                <w:lang w:val="es-MX" w:eastAsia="x-none"/>
              </w:rPr>
              <w:t>ó</w:t>
            </w:r>
            <w:r w:rsidRPr="00E66DD3">
              <w:rPr>
                <w:rFonts w:ascii="Verdana" w:eastAsia="Times New Roman" w:hAnsi="Verdana" w:cs="Arial"/>
                <w:bCs/>
                <w:lang w:val="es-MX" w:eastAsia="x-none"/>
              </w:rPr>
              <w:t>n con reglas propias, basado en la intermediaci</w:t>
            </w:r>
            <w:r w:rsidRPr="00E66DD3">
              <w:rPr>
                <w:rFonts w:ascii="Verdana" w:eastAsia="Times New Roman" w:hAnsi="Verdana" w:cs="Verdana"/>
                <w:bCs/>
                <w:lang w:val="es-MX" w:eastAsia="x-none"/>
              </w:rPr>
              <w:t>ó</w:t>
            </w:r>
            <w:r w:rsidRPr="00E66DD3">
              <w:rPr>
                <w:rFonts w:ascii="Verdana" w:eastAsia="Times New Roman" w:hAnsi="Verdana" w:cs="Arial"/>
                <w:bCs/>
                <w:lang w:val="es-MX" w:eastAsia="x-none"/>
              </w:rPr>
              <w:t>n de comisionistas, la formaci</w:t>
            </w:r>
            <w:r w:rsidRPr="00E66DD3">
              <w:rPr>
                <w:rFonts w:ascii="Verdana" w:eastAsia="Times New Roman" w:hAnsi="Verdana" w:cs="Verdana"/>
                <w:bCs/>
                <w:lang w:val="es-MX" w:eastAsia="x-none"/>
              </w:rPr>
              <w:t>ó</w:t>
            </w:r>
            <w:r w:rsidRPr="00E66DD3">
              <w:rPr>
                <w:rFonts w:ascii="Verdana" w:eastAsia="Times New Roman" w:hAnsi="Verdana" w:cs="Arial"/>
                <w:bCs/>
                <w:lang w:val="es-MX" w:eastAsia="x-none"/>
              </w:rPr>
              <w:t>n p</w:t>
            </w:r>
            <w:r w:rsidRPr="00E66DD3">
              <w:rPr>
                <w:rFonts w:ascii="Verdana" w:eastAsia="Times New Roman" w:hAnsi="Verdana" w:cs="Verdana"/>
                <w:bCs/>
                <w:lang w:val="es-MX" w:eastAsia="x-none"/>
              </w:rPr>
              <w:t>ú</w:t>
            </w:r>
            <w:r w:rsidRPr="00E66DD3">
              <w:rPr>
                <w:rFonts w:ascii="Verdana" w:eastAsia="Times New Roman" w:hAnsi="Verdana" w:cs="Arial"/>
                <w:bCs/>
                <w:lang w:val="es-MX" w:eastAsia="x-none"/>
              </w:rPr>
              <w:t>blica de precios y la regulaci</w:t>
            </w:r>
            <w:r w:rsidRPr="00E66DD3">
              <w:rPr>
                <w:rFonts w:ascii="Verdana" w:eastAsia="Times New Roman" w:hAnsi="Verdana" w:cs="Verdana"/>
                <w:bCs/>
                <w:lang w:val="es-MX" w:eastAsia="x-none"/>
              </w:rPr>
              <w:t>ó</w:t>
            </w:r>
            <w:r w:rsidRPr="00E66DD3">
              <w:rPr>
                <w:rFonts w:ascii="Verdana" w:eastAsia="Times New Roman" w:hAnsi="Verdana" w:cs="Arial"/>
                <w:bCs/>
                <w:lang w:val="es-MX" w:eastAsia="x-none"/>
              </w:rPr>
              <w:t xml:space="preserve">n especial del mercado de bienes y productos. Por ello, la limitación prevista en la Ley 996 debe interpretarse de manera estricta y no puede extenderse a modalidades que no encajan en </w:t>
            </w:r>
            <w:r>
              <w:rPr>
                <w:rFonts w:ascii="Verdana" w:eastAsia="Times New Roman" w:hAnsi="Verdana" w:cs="Arial"/>
                <w:bCs/>
                <w:lang w:val="es-MX" w:eastAsia="x-none"/>
              </w:rPr>
              <w:t>el concepto de contratación directa</w:t>
            </w:r>
            <w:r w:rsidRPr="00E66DD3">
              <w:rPr>
                <w:rFonts w:ascii="Verdana" w:eastAsia="Times New Roman" w:hAnsi="Verdana" w:cs="Arial"/>
                <w:bCs/>
                <w:lang w:val="es-MX" w:eastAsia="x-none"/>
              </w:rPr>
              <w:t>.</w:t>
            </w:r>
          </w:p>
          <w:p w14:paraId="2F57DC1B" w14:textId="77777777" w:rsidR="00BD31E4" w:rsidRDefault="00BD31E4" w:rsidP="007D72B3">
            <w:pPr>
              <w:spacing w:after="120" w:line="276" w:lineRule="auto"/>
              <w:ind w:firstLine="708"/>
              <w:jc w:val="both"/>
              <w:rPr>
                <w:rFonts w:ascii="Verdana" w:eastAsia="Times New Roman" w:hAnsi="Verdana" w:cs="Arial"/>
                <w:bCs/>
                <w:lang w:val="es-MX" w:eastAsia="x-none"/>
              </w:rPr>
            </w:pPr>
            <w:r w:rsidRPr="00E66DD3">
              <w:rPr>
                <w:rFonts w:ascii="Verdana" w:eastAsia="Times New Roman" w:hAnsi="Verdana" w:cs="Arial"/>
                <w:bCs/>
                <w:lang w:val="es-MX" w:eastAsia="x-none"/>
              </w:rPr>
              <w:t xml:space="preserve">En consecuencia, las compras efectuadas mediante la Bolsa Mercantil no se encuentran sujetas a las prohibiciones de contratación directa previstas para el periodo preelectoral. Las entidades pueden continuar utilizando la </w:t>
            </w:r>
            <w:r>
              <w:rPr>
                <w:rFonts w:ascii="Verdana" w:eastAsia="Times New Roman" w:hAnsi="Verdana" w:cs="Arial"/>
                <w:bCs/>
                <w:lang w:val="es-MX" w:eastAsia="x-none"/>
              </w:rPr>
              <w:t xml:space="preserve">adquisición de bienes y servicios </w:t>
            </w:r>
            <w:r w:rsidRPr="00E66DD3">
              <w:rPr>
                <w:rFonts w:ascii="Verdana" w:eastAsia="Times New Roman" w:hAnsi="Verdana" w:cs="Arial"/>
                <w:bCs/>
                <w:lang w:val="es-MX" w:eastAsia="x-none"/>
              </w:rPr>
              <w:t xml:space="preserve">durante este periodo, siempre que se garantice la planeación adecuada, la transparencia del proceso y el cumplimiento de los principios </w:t>
            </w:r>
            <w:r>
              <w:rPr>
                <w:rFonts w:ascii="Verdana" w:eastAsia="Times New Roman" w:hAnsi="Verdana" w:cs="Arial"/>
                <w:bCs/>
                <w:lang w:val="es-MX" w:eastAsia="x-none"/>
              </w:rPr>
              <w:t>de la función administrativa, la gestión fiscal y la contratación estatal.</w:t>
            </w:r>
          </w:p>
          <w:p w14:paraId="58A3C7AE" w14:textId="77777777" w:rsidR="00BD31E4" w:rsidRPr="008377DE" w:rsidRDefault="00BD31E4" w:rsidP="007D72B3">
            <w:pPr>
              <w:spacing w:after="120" w:line="276" w:lineRule="auto"/>
              <w:ind w:firstLine="708"/>
              <w:jc w:val="both"/>
              <w:rPr>
                <w:rFonts w:ascii="Verdana" w:eastAsia="Times New Roman" w:hAnsi="Verdana" w:cs="Arial"/>
                <w:bCs/>
                <w:lang w:val="es-MX" w:eastAsia="x-none"/>
              </w:rPr>
            </w:pPr>
            <w:r w:rsidRPr="00F4158D">
              <w:rPr>
                <w:rFonts w:ascii="Verdana" w:eastAsia="Calibri" w:hAnsi="Verdana" w:cs="Arial"/>
                <w:bCs/>
                <w:color w:val="000000" w:themeColor="text1"/>
              </w:rPr>
              <w:lastRenderedPageBreak/>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3E80B2C1" w14:textId="77777777" w:rsidR="00BD31E4" w:rsidRPr="00593A5F" w:rsidRDefault="00BD31E4" w:rsidP="00BD31E4">
      <w:pPr>
        <w:tabs>
          <w:tab w:val="left" w:pos="142"/>
          <w:tab w:val="left" w:pos="284"/>
        </w:tabs>
        <w:spacing w:after="0" w:line="276" w:lineRule="auto"/>
        <w:jc w:val="both"/>
        <w:rPr>
          <w:rFonts w:ascii="Verdana" w:eastAsia="Century Gothic" w:hAnsi="Verdana" w:cs="Century Gothic"/>
          <w:b/>
          <w:bCs/>
          <w:lang w:val="es-ES"/>
        </w:rPr>
      </w:pPr>
    </w:p>
    <w:bookmarkEnd w:id="2"/>
    <w:p w14:paraId="6A5658DF" w14:textId="77777777" w:rsidR="00BD31E4" w:rsidRPr="00593A5F" w:rsidRDefault="00BD31E4" w:rsidP="00BD31E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w:t>
      </w:r>
      <w:r>
        <w:rPr>
          <w:rFonts w:ascii="Verdana" w:eastAsia="Century Gothic" w:hAnsi="Verdana" w:cs="Century Gothic"/>
          <w:b/>
          <w:bCs/>
        </w:rPr>
        <w:t>s</w:t>
      </w:r>
      <w:r w:rsidRPr="00593A5F">
        <w:rPr>
          <w:rFonts w:ascii="Verdana" w:eastAsia="Century Gothic" w:hAnsi="Verdana" w:cs="Century Gothic"/>
          <w:b/>
          <w:bCs/>
        </w:rPr>
        <w:t xml:space="preserve"> respuesta</w:t>
      </w:r>
      <w:r>
        <w:rPr>
          <w:rFonts w:ascii="Verdana" w:eastAsia="Century Gothic" w:hAnsi="Verdana" w:cs="Century Gothic"/>
          <w:b/>
          <w:bCs/>
        </w:rPr>
        <w:t>s</w:t>
      </w:r>
      <w:r w:rsidRPr="00593A5F">
        <w:rPr>
          <w:rFonts w:ascii="Verdana" w:eastAsia="Century Gothic" w:hAnsi="Verdana" w:cs="Century Gothic"/>
          <w:b/>
          <w:bCs/>
        </w:rPr>
        <w:t>:</w:t>
      </w:r>
    </w:p>
    <w:p w14:paraId="0D9C5D26" w14:textId="77777777" w:rsidR="00BD31E4" w:rsidRPr="00593A5F" w:rsidRDefault="00BD31E4" w:rsidP="00BD31E4">
      <w:pPr>
        <w:spacing w:after="0" w:line="276" w:lineRule="auto"/>
        <w:jc w:val="both"/>
        <w:rPr>
          <w:rFonts w:ascii="Verdana" w:eastAsia="Calibri" w:hAnsi="Verdana" w:cs="Arial"/>
          <w:color w:val="7030A0"/>
          <w:lang w:val="es-ES"/>
        </w:rPr>
      </w:pPr>
    </w:p>
    <w:p w14:paraId="42AE3121" w14:textId="77777777" w:rsidR="00BD31E4" w:rsidRDefault="00BD31E4" w:rsidP="00BD31E4">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2F9F8CEA" w14:textId="77777777" w:rsidR="00BD31E4" w:rsidRDefault="00BD31E4" w:rsidP="00BD31E4">
      <w:pPr>
        <w:spacing w:after="0" w:line="276" w:lineRule="auto"/>
        <w:jc w:val="both"/>
        <w:rPr>
          <w:rFonts w:ascii="Verdana" w:eastAsia="Calibri" w:hAnsi="Verdana" w:cs="Arial"/>
          <w:lang w:val="es-ES"/>
        </w:rPr>
      </w:pPr>
    </w:p>
    <w:p w14:paraId="16EDC341" w14:textId="77777777" w:rsidR="00BD31E4" w:rsidRPr="002D6B43" w:rsidRDefault="00BD31E4" w:rsidP="00BD31E4">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i. 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2"/>
      </w:r>
      <w:r w:rsidRPr="002D6B43">
        <w:rPr>
          <w:rFonts w:ascii="Verdana" w:eastAsia="Calibri" w:hAnsi="Verdana" w:cs="Arial"/>
        </w:rPr>
        <w:t xml:space="preserve">. </w:t>
      </w:r>
    </w:p>
    <w:p w14:paraId="3A684AB6" w14:textId="77777777" w:rsidR="00BD31E4" w:rsidRPr="006B14B5" w:rsidRDefault="00BD31E4" w:rsidP="00BD31E4">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4"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3"/>
      </w:r>
      <w:r w:rsidRPr="00E2397D">
        <w:rPr>
          <w:rFonts w:ascii="Verdana" w:eastAsia="Times New Roman" w:hAnsi="Verdana" w:cs="Arial"/>
          <w:lang w:val="es-MX" w:eastAsia="es-CO"/>
        </w:rPr>
        <w:t xml:space="preserve">. En esta medida, introduce limitaciones para realizar nombramientos, postulaciones, </w:t>
      </w:r>
      <w:r w:rsidRPr="00E2397D">
        <w:rPr>
          <w:rFonts w:ascii="Verdana" w:eastAsia="Times New Roman" w:hAnsi="Verdana" w:cs="Arial"/>
          <w:lang w:val="es-MX" w:eastAsia="es-CO"/>
        </w:rPr>
        <w:lastRenderedPageBreak/>
        <w:t>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4"/>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4E070780" w14:textId="77777777" w:rsidR="00BD31E4" w:rsidRPr="00E2397D" w:rsidRDefault="00BD31E4" w:rsidP="00BD31E4">
      <w:pPr>
        <w:spacing w:after="0" w:line="276" w:lineRule="auto"/>
        <w:ind w:right="709"/>
        <w:contextualSpacing/>
        <w:jc w:val="both"/>
        <w:rPr>
          <w:rFonts w:ascii="Verdana" w:eastAsia="Times New Roman" w:hAnsi="Verdana" w:cs="Arial"/>
          <w:lang w:val="es-ES" w:eastAsia="es-CO"/>
        </w:rPr>
      </w:pPr>
    </w:p>
    <w:p w14:paraId="7EB79C1A" w14:textId="77777777" w:rsidR="00BD31E4" w:rsidRPr="00E2397D" w:rsidRDefault="00BD31E4" w:rsidP="00BD31E4">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64EC9325" w14:textId="77777777" w:rsidR="00BD31E4" w:rsidRDefault="00BD31E4" w:rsidP="00BD31E4">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62D5DC77" w14:textId="77777777" w:rsidR="00BD31E4" w:rsidRPr="000B35C5" w:rsidRDefault="00BD31E4" w:rsidP="00BD31E4">
      <w:pPr>
        <w:spacing w:after="0" w:line="240" w:lineRule="auto"/>
        <w:ind w:left="709" w:right="709"/>
        <w:contextualSpacing/>
        <w:jc w:val="both"/>
        <w:rPr>
          <w:rFonts w:ascii="Verdana" w:eastAsia="Times New Roman" w:hAnsi="Verdana" w:cs="Arial"/>
          <w:sz w:val="12"/>
          <w:szCs w:val="12"/>
          <w:lang w:val="es-MX" w:eastAsia="es-CO"/>
        </w:rPr>
      </w:pPr>
    </w:p>
    <w:p w14:paraId="41779BE5" w14:textId="77777777" w:rsidR="00BD31E4" w:rsidRPr="00E2397D" w:rsidRDefault="00BD31E4" w:rsidP="00BD31E4">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p>
    <w:p w14:paraId="24A471CA" w14:textId="77777777" w:rsidR="00BD31E4" w:rsidRPr="00E2397D" w:rsidRDefault="00BD31E4" w:rsidP="00BD31E4">
      <w:pPr>
        <w:spacing w:after="0" w:line="276" w:lineRule="auto"/>
        <w:ind w:firstLine="709"/>
        <w:jc w:val="both"/>
        <w:rPr>
          <w:rFonts w:ascii="Verdana" w:eastAsia="Times New Roman" w:hAnsi="Verdana" w:cs="Arial"/>
          <w:lang w:val="es-MX" w:eastAsia="es-CO"/>
        </w:rPr>
      </w:pPr>
      <w:bookmarkStart w:id="5" w:name="_Hlk78818186"/>
    </w:p>
    <w:p w14:paraId="53AE24CE" w14:textId="77777777" w:rsidR="00BD31E4" w:rsidRPr="00E2397D" w:rsidRDefault="00BD31E4" w:rsidP="00BD31E4">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5"/>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5AC6C52E" w14:textId="77777777" w:rsidR="00BD31E4" w:rsidRPr="00886C02" w:rsidRDefault="00BD31E4" w:rsidP="00BD31E4">
      <w:pPr>
        <w:spacing w:after="0" w:line="276" w:lineRule="auto"/>
        <w:ind w:firstLine="709"/>
        <w:jc w:val="both"/>
        <w:rPr>
          <w:rFonts w:ascii="Verdana" w:eastAsia="Times New Roman" w:hAnsi="Verdana" w:cs="Arial"/>
          <w:lang w:val="es-MX" w:eastAsia="es-CO"/>
        </w:rPr>
      </w:pPr>
    </w:p>
    <w:p w14:paraId="16876774" w14:textId="77777777" w:rsidR="00BD31E4" w:rsidRPr="00E2397D" w:rsidRDefault="00BD31E4" w:rsidP="00BD31E4">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63989CA3" w14:textId="77777777" w:rsidR="00BD31E4" w:rsidRPr="000B35C5" w:rsidRDefault="00BD31E4" w:rsidP="00BD31E4">
      <w:pPr>
        <w:spacing w:after="0" w:line="240" w:lineRule="auto"/>
        <w:ind w:right="709"/>
        <w:contextualSpacing/>
        <w:jc w:val="both"/>
        <w:rPr>
          <w:rFonts w:ascii="Verdana" w:eastAsia="Times New Roman" w:hAnsi="Verdana" w:cs="Arial"/>
          <w:sz w:val="12"/>
          <w:szCs w:val="12"/>
          <w:lang w:val="es-MX" w:eastAsia="es-CO"/>
        </w:rPr>
      </w:pPr>
    </w:p>
    <w:p w14:paraId="70BE0EB3" w14:textId="77777777" w:rsidR="00BD31E4" w:rsidRPr="00E2397D" w:rsidRDefault="00BD31E4" w:rsidP="00BD31E4">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4646E209" w14:textId="77777777" w:rsidR="00BD31E4" w:rsidRPr="00E2397D" w:rsidRDefault="00BD31E4" w:rsidP="00BD31E4">
      <w:pPr>
        <w:spacing w:after="0" w:line="276" w:lineRule="auto"/>
        <w:jc w:val="both"/>
        <w:rPr>
          <w:rFonts w:ascii="Verdana" w:eastAsia="Calibri" w:hAnsi="Verdana" w:cs="Arial"/>
          <w:bCs/>
          <w:lang w:val="es-ES_tradnl"/>
        </w:rPr>
      </w:pPr>
    </w:p>
    <w:p w14:paraId="285A5A99" w14:textId="77777777" w:rsidR="00BD31E4" w:rsidRDefault="00BD31E4" w:rsidP="00BD31E4">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6" w:name="_Hlk77236098"/>
      <w:bookmarkStart w:id="7"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2D526591" w14:textId="77777777" w:rsidR="00BD31E4" w:rsidRPr="00E2397D" w:rsidRDefault="00BD31E4" w:rsidP="00BD31E4">
      <w:pPr>
        <w:spacing w:after="0" w:line="276" w:lineRule="auto"/>
        <w:ind w:firstLine="709"/>
        <w:jc w:val="both"/>
        <w:rPr>
          <w:rFonts w:ascii="Verdana" w:eastAsia="Arial" w:hAnsi="Verdana" w:cs="Arial"/>
          <w:lang w:val="es-ES" w:eastAsia="es-ES" w:bidi="es-ES"/>
        </w:rPr>
      </w:pPr>
    </w:p>
    <w:p w14:paraId="4D0F382D" w14:textId="77777777" w:rsidR="00BD31E4" w:rsidRPr="00E2397D" w:rsidRDefault="00BD31E4" w:rsidP="00BD31E4">
      <w:pPr>
        <w:spacing w:after="120" w:line="276" w:lineRule="auto"/>
        <w:jc w:val="both"/>
        <w:rPr>
          <w:rFonts w:ascii="Verdana" w:eastAsia="Arial" w:hAnsi="Verdana" w:cs="Arial"/>
          <w:lang w:val="es-ES" w:eastAsia="es-ES" w:bidi="es-ES"/>
        </w:rPr>
      </w:pPr>
      <w:r w:rsidRPr="00E2397D">
        <w:rPr>
          <w:rFonts w:ascii="Verdana" w:eastAsia="Arial" w:hAnsi="Verdana" w:cs="Arial"/>
          <w:lang w:val="es-ES" w:eastAsia="es-ES" w:bidi="es-ES"/>
        </w:rPr>
        <w:t>ii.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6"/>
    </w:p>
    <w:p w14:paraId="5BEB01A5" w14:textId="77777777" w:rsidR="00BD31E4" w:rsidRPr="00E2397D" w:rsidRDefault="00BD31E4" w:rsidP="00BD31E4">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w:t>
      </w:r>
      <w:r w:rsidRPr="00E2397D">
        <w:rPr>
          <w:rFonts w:ascii="Verdana" w:eastAsia="Calibri" w:hAnsi="Verdana" w:cs="Arial"/>
        </w:rPr>
        <w:lastRenderedPageBreak/>
        <w:t>energética y de comunicaciones, en caso de que hayan sido objeto de atentados, acciones terroristas, desastres naturales o casos de fuerza mayor, y los que deban realizar las entidades sanitarias y hospitalarias”.</w:t>
      </w:r>
    </w:p>
    <w:p w14:paraId="61AAF4FA" w14:textId="77777777" w:rsidR="00BD31E4" w:rsidRDefault="00BD31E4" w:rsidP="00BD31E4">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7"/>
      <w:r w:rsidRPr="00E2397D">
        <w:rPr>
          <w:rFonts w:ascii="Verdana" w:eastAsia="Calibri" w:hAnsi="Verdana" w:cs="Arial"/>
          <w:vertAlign w:val="superscript"/>
        </w:rPr>
        <w:footnoteReference w:id="8"/>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7684F315" w14:textId="77777777" w:rsidR="00BD31E4" w:rsidRDefault="00BD31E4" w:rsidP="00BD31E4">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656E6BC8" w14:textId="77777777" w:rsidR="00BD31E4" w:rsidRDefault="00BD31E4" w:rsidP="00BD31E4">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proofErr w:type="spellStart"/>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proofErr w:type="spellEnd"/>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xml:space="preserve">.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w:t>
      </w:r>
      <w:r w:rsidRPr="00447D82">
        <w:rPr>
          <w:rFonts w:ascii="Verdana" w:eastAsia="Times New Roman" w:hAnsi="Verdana" w:cs="Arial"/>
          <w:bCs/>
          <w:lang w:val="es-ES" w:eastAsia="es-CO"/>
        </w:rPr>
        <w:lastRenderedPageBreak/>
        <w:t>perfeccionan cuando se logre acuerdo sobre el objeto y la contraprestación y éste se eleve a escrito”.</w:t>
      </w:r>
      <w:r>
        <w:rPr>
          <w:rFonts w:ascii="Verdana" w:eastAsia="Times New Roman" w:hAnsi="Verdana" w:cs="Arial"/>
          <w:bCs/>
          <w:lang w:val="es-ES" w:eastAsia="es-CO"/>
        </w:rPr>
        <w:t xml:space="preserve"> </w:t>
      </w:r>
    </w:p>
    <w:p w14:paraId="5829BAEF" w14:textId="77777777" w:rsidR="00BD31E4" w:rsidRDefault="00BD31E4" w:rsidP="00BD31E4">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53F55683" w14:textId="77777777" w:rsidR="00BD31E4" w:rsidRPr="00894384" w:rsidRDefault="00BD31E4" w:rsidP="00BD31E4">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9"/>
      </w:r>
      <w:r w:rsidRPr="00894384">
        <w:rPr>
          <w:rFonts w:ascii="Verdana" w:eastAsia="Times New Roman" w:hAnsi="Verdana" w:cs="Arial"/>
          <w:bCs/>
          <w:lang w:val="es-MX" w:eastAsia="es-CO"/>
        </w:rPr>
        <w:t xml:space="preserve">. </w:t>
      </w:r>
    </w:p>
    <w:p w14:paraId="0604CAD1" w14:textId="77777777" w:rsidR="00BD31E4" w:rsidRPr="00E2397D" w:rsidRDefault="00BD31E4" w:rsidP="00BD31E4">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00E564A2" w14:textId="77777777" w:rsidR="00BD31E4" w:rsidRPr="00E2397D" w:rsidRDefault="00BD31E4" w:rsidP="00BD31E4">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7B5250DF" w14:textId="77777777" w:rsidR="00BD31E4" w:rsidRPr="00E2397D" w:rsidRDefault="00BD31E4" w:rsidP="00BD31E4">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9" w:name="_Hlk76109421"/>
      <w:r w:rsidRPr="00E2397D">
        <w:rPr>
          <w:rFonts w:ascii="Verdana" w:eastAsia="Arial" w:hAnsi="Verdana" w:cs="Arial"/>
          <w:sz w:val="20"/>
          <w:szCs w:val="20"/>
          <w:lang w:eastAsia="es-ES" w:bidi="es-ES"/>
        </w:rPr>
        <w:t>se integran parcialmente</w:t>
      </w:r>
      <w:bookmarkEnd w:id="9"/>
      <w:r w:rsidRPr="00E2397D">
        <w:rPr>
          <w:rFonts w:ascii="Verdana" w:eastAsia="Arial" w:hAnsi="Verdana" w:cs="Arial"/>
          <w:sz w:val="20"/>
          <w:szCs w:val="20"/>
          <w:lang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0"/>
      </w:r>
    </w:p>
    <w:p w14:paraId="1FF579CB" w14:textId="77777777" w:rsidR="00BD31E4" w:rsidRPr="00E2397D" w:rsidRDefault="00BD31E4" w:rsidP="00BD31E4">
      <w:pPr>
        <w:widowControl w:val="0"/>
        <w:autoSpaceDE w:val="0"/>
        <w:autoSpaceDN w:val="0"/>
        <w:spacing w:after="0" w:line="276" w:lineRule="auto"/>
        <w:contextualSpacing/>
        <w:rPr>
          <w:rFonts w:ascii="Verdana" w:eastAsia="Arial" w:hAnsi="Verdana" w:cs="Arial"/>
          <w:lang w:val="es-ES" w:eastAsia="es-ES" w:bidi="es-ES"/>
        </w:rPr>
      </w:pPr>
    </w:p>
    <w:p w14:paraId="274E2CA6" w14:textId="77777777" w:rsidR="00BD31E4" w:rsidRPr="00E2397D" w:rsidRDefault="00BD31E4" w:rsidP="00BD31E4">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10" w:name="_Hlk77236420"/>
      <w:bookmarkStart w:id="11" w:name="_Hlk78818435"/>
      <w:bookmarkStart w:id="12"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0"/>
    </w:p>
    <w:bookmarkEnd w:id="11"/>
    <w:p w14:paraId="7D13B637" w14:textId="77777777" w:rsidR="00BD31E4" w:rsidRPr="00E2397D" w:rsidRDefault="00BD31E4" w:rsidP="00BD31E4">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2"/>
    <w:p w14:paraId="78425AFB" w14:textId="77777777" w:rsidR="00BD31E4" w:rsidRDefault="00BD31E4" w:rsidP="00BD31E4">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w:t>
      </w:r>
      <w:r w:rsidRPr="00E2397D">
        <w:rPr>
          <w:rFonts w:ascii="Verdana" w:eastAsia="Arial" w:hAnsi="Verdana" w:cs="Arial"/>
          <w:lang w:val="es-ES" w:eastAsia="es-ES" w:bidi="es-ES"/>
        </w:rPr>
        <w:lastRenderedPageBreak/>
        <w:t xml:space="preserve">ejercido por un tiempo inferior a tres (3) meses durante el respectivo cuatrienio, en forma continua o discontinua, conforme al artículo 197 de la Constitución Política. </w:t>
      </w:r>
    </w:p>
    <w:p w14:paraId="24A94AE4" w14:textId="77777777" w:rsidR="00BD31E4" w:rsidRPr="00E2397D" w:rsidRDefault="00BD31E4" w:rsidP="00BD31E4">
      <w:pPr>
        <w:spacing w:after="0" w:line="276" w:lineRule="auto"/>
        <w:ind w:firstLine="708"/>
        <w:jc w:val="both"/>
        <w:rPr>
          <w:rFonts w:ascii="Verdana" w:eastAsia="Arial" w:hAnsi="Verdana" w:cs="Arial"/>
          <w:lang w:val="es-ES" w:eastAsia="es-ES" w:bidi="es-ES"/>
        </w:rPr>
      </w:pPr>
      <w:r w:rsidRPr="00E2397D">
        <w:rPr>
          <w:rFonts w:ascii="Verdana" w:eastAsia="Arial" w:hAnsi="Verdana" w:cs="Arial"/>
          <w:lang w:val="es-ES" w:eastAsia="es-ES" w:bidi="es-ES"/>
        </w:rPr>
        <w:t xml:space="preserve"> </w:t>
      </w:r>
      <w:bookmarkStart w:id="13" w:name="_Hlk78820161"/>
    </w:p>
    <w:p w14:paraId="0DAAE279" w14:textId="77777777" w:rsidR="00BD31E4" w:rsidRPr="0057193B" w:rsidRDefault="00BD31E4" w:rsidP="00BD31E4">
      <w:pPr>
        <w:spacing w:line="276" w:lineRule="auto"/>
        <w:jc w:val="both"/>
        <w:rPr>
          <w:rFonts w:ascii="Verdana" w:eastAsia="Times New Roman" w:hAnsi="Verdana" w:cs="Arial"/>
          <w:bCs/>
          <w:lang w:val="es-MX" w:eastAsia="es-CO"/>
        </w:rPr>
      </w:pPr>
      <w:r>
        <w:rPr>
          <w:rFonts w:ascii="Verdana" w:eastAsia="Arial" w:hAnsi="Verdana" w:cs="Arial"/>
          <w:lang w:val="es-ES" w:eastAsia="es-ES" w:bidi="es-ES"/>
        </w:rPr>
        <w:t>iii.</w:t>
      </w:r>
      <w:r w:rsidRPr="0057193B">
        <w:rPr>
          <w:rFonts w:ascii="Verdana" w:eastAsia="Arial" w:hAnsi="Verdana" w:cs="Arial"/>
          <w:lang w:val="es-ES" w:eastAsia="es-ES" w:bidi="es-ES"/>
        </w:rPr>
        <w:t xml:space="preserve"> </w:t>
      </w:r>
      <w:bookmarkEnd w:id="13"/>
      <w:r w:rsidRPr="0057193B">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 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6FBF0708" w14:textId="77777777" w:rsidR="00BD31E4" w:rsidRPr="00817856" w:rsidRDefault="00BD31E4" w:rsidP="00BD31E4">
      <w:pPr>
        <w:spacing w:after="0" w:line="240" w:lineRule="auto"/>
        <w:ind w:left="708" w:right="709"/>
        <w:jc w:val="both"/>
        <w:rPr>
          <w:rFonts w:ascii="Verdana" w:eastAsia="Calibri" w:hAnsi="Verdana" w:cs="Arial"/>
          <w:sz w:val="20"/>
          <w:szCs w:val="20"/>
          <w:lang w:val="es-MX"/>
        </w:rPr>
      </w:pPr>
    </w:p>
    <w:p w14:paraId="0E7DBE43" w14:textId="77777777" w:rsidR="00BD31E4" w:rsidRPr="00817856" w:rsidRDefault="00BD31E4" w:rsidP="00BD31E4">
      <w:pPr>
        <w:spacing w:after="120" w:line="240" w:lineRule="auto"/>
        <w:ind w:left="709" w:right="709"/>
        <w:jc w:val="both"/>
        <w:rPr>
          <w:rFonts w:ascii="Verdana" w:eastAsia="Calibri" w:hAnsi="Verdana" w:cs="Arial"/>
          <w:sz w:val="20"/>
          <w:szCs w:val="20"/>
          <w:lang w:val="es-MX"/>
        </w:rPr>
      </w:pPr>
      <w:r w:rsidRPr="00817856">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817856">
        <w:rPr>
          <w:rFonts w:ascii="Verdana" w:eastAsia="Times New Roman" w:hAnsi="Verdana" w:cs="Arial"/>
          <w:sz w:val="20"/>
          <w:szCs w:val="20"/>
          <w:vertAlign w:val="superscript"/>
          <w:lang w:eastAsia="es-CO"/>
        </w:rPr>
        <w:footnoteReference w:id="11"/>
      </w:r>
      <w:r w:rsidRPr="00817856">
        <w:rPr>
          <w:rFonts w:ascii="Verdana" w:eastAsia="Calibri" w:hAnsi="Verdana" w:cs="Arial"/>
          <w:sz w:val="20"/>
          <w:szCs w:val="20"/>
          <w:lang w:val="es-MX"/>
        </w:rPr>
        <w:t>.</w:t>
      </w:r>
    </w:p>
    <w:p w14:paraId="08F8C9AA" w14:textId="77777777" w:rsidR="00BD31E4" w:rsidRPr="00817856" w:rsidRDefault="00BD31E4" w:rsidP="00BD31E4">
      <w:pPr>
        <w:spacing w:after="0" w:line="240" w:lineRule="auto"/>
        <w:ind w:left="708" w:right="709"/>
        <w:jc w:val="both"/>
        <w:rPr>
          <w:rFonts w:ascii="Verdana" w:eastAsia="Calibri" w:hAnsi="Verdana" w:cs="Arial"/>
          <w:sz w:val="20"/>
          <w:szCs w:val="20"/>
          <w:lang w:val="es-MX"/>
        </w:rPr>
      </w:pPr>
      <w:r w:rsidRPr="00817856">
        <w:rPr>
          <w:rFonts w:ascii="Verdana" w:eastAsia="Calibri"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817856">
        <w:rPr>
          <w:rFonts w:ascii="Verdana" w:eastAsia="Times New Roman" w:hAnsi="Verdana" w:cs="Arial"/>
          <w:sz w:val="20"/>
          <w:szCs w:val="20"/>
          <w:vertAlign w:val="superscript"/>
          <w:lang w:val="es-MX"/>
        </w:rPr>
        <w:footnoteReference w:id="12"/>
      </w:r>
      <w:r w:rsidRPr="00817856">
        <w:rPr>
          <w:rFonts w:ascii="Verdana" w:eastAsia="Times New Roman" w:hAnsi="Verdana" w:cs="Arial"/>
          <w:sz w:val="20"/>
          <w:szCs w:val="20"/>
          <w:vertAlign w:val="superscript"/>
          <w:lang w:val="es-MX"/>
        </w:rPr>
        <w:t>.</w:t>
      </w:r>
      <w:r w:rsidRPr="00817856">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817856">
        <w:rPr>
          <w:rFonts w:ascii="Verdana" w:eastAsia="Times New Roman" w:hAnsi="Verdana" w:cs="Arial"/>
          <w:sz w:val="20"/>
          <w:szCs w:val="20"/>
          <w:vertAlign w:val="superscript"/>
          <w:lang w:eastAsia="es-CO"/>
        </w:rPr>
        <w:footnoteReference w:id="13"/>
      </w:r>
      <w:r w:rsidRPr="00817856">
        <w:rPr>
          <w:rFonts w:ascii="Verdana" w:eastAsia="Calibri" w:hAnsi="Verdana" w:cs="Arial"/>
          <w:sz w:val="20"/>
          <w:szCs w:val="20"/>
          <w:lang w:val="es-MX"/>
        </w:rPr>
        <w:t xml:space="preserve"> .</w:t>
      </w:r>
    </w:p>
    <w:p w14:paraId="4B5D3083" w14:textId="77777777" w:rsidR="00BD31E4" w:rsidRPr="0057193B" w:rsidRDefault="00BD31E4" w:rsidP="00BD31E4">
      <w:pPr>
        <w:shd w:val="clear" w:color="auto" w:fill="FFFFFF"/>
        <w:spacing w:after="0" w:line="276" w:lineRule="auto"/>
        <w:ind w:firstLine="709"/>
        <w:jc w:val="both"/>
        <w:rPr>
          <w:rFonts w:ascii="Verdana" w:eastAsia="Times New Roman" w:hAnsi="Verdana" w:cs="Arial"/>
          <w:lang w:eastAsia="x-none"/>
        </w:rPr>
      </w:pPr>
    </w:p>
    <w:p w14:paraId="511ADC71" w14:textId="77777777" w:rsidR="00BD31E4" w:rsidRPr="0057193B" w:rsidRDefault="00BD31E4" w:rsidP="00BD31E4">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 xml:space="preserve">u otros previstos en normas especiales. Esta posición es </w:t>
      </w:r>
      <w:r w:rsidRPr="0057193B">
        <w:rPr>
          <w:rFonts w:ascii="Verdana" w:eastAsia="Times New Roman" w:hAnsi="Verdana" w:cs="Arial"/>
          <w:lang w:eastAsia="x-none"/>
        </w:rPr>
        <w:lastRenderedPageBreak/>
        <w:t>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14"/>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15"/>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0E87C680" w14:textId="77777777" w:rsidR="00BD31E4" w:rsidRPr="0057193B" w:rsidRDefault="00BD31E4" w:rsidP="00BD31E4">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Pr>
          <w:rFonts w:ascii="Verdana" w:eastAsia="Times New Roman" w:hAnsi="Verdana" w:cs="Arial"/>
          <w:lang w:eastAsia="en-GB"/>
        </w:rPr>
        <w:t>”</w:t>
      </w:r>
      <w:r w:rsidRPr="0057193B">
        <w:rPr>
          <w:rFonts w:ascii="Verdana" w:eastAsia="Times New Roman" w:hAnsi="Verdana" w:cs="Arial"/>
          <w:lang w:eastAsia="x-none"/>
        </w:rPr>
        <w:t>, precisando el Consejo de Estad</w:t>
      </w:r>
      <w:r>
        <w:rPr>
          <w:rFonts w:ascii="Verdana" w:eastAsia="Times New Roman" w:hAnsi="Verdana" w:cs="Arial"/>
          <w:lang w:eastAsia="x-none"/>
        </w:rPr>
        <w:t>o –en el concepto citado– que, “</w:t>
      </w:r>
      <w:r w:rsidRPr="0057193B">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57193B">
        <w:rPr>
          <w:rFonts w:ascii="Verdana" w:eastAsia="Times New Roman" w:hAnsi="Verdana" w:cs="Arial"/>
          <w:vertAlign w:val="superscript"/>
          <w:lang w:val="en-GB" w:eastAsia="x-none"/>
        </w:rPr>
        <w:footnoteReference w:id="16"/>
      </w:r>
      <w:r w:rsidRPr="0057193B">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09D6E21D" w14:textId="77777777" w:rsidR="00BD31E4" w:rsidRPr="0057193B" w:rsidRDefault="00BD31E4" w:rsidP="00BD31E4">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E</w:t>
      </w:r>
      <w:r w:rsidRPr="0057193B">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7"/>
      </w:r>
      <w:r w:rsidRPr="0057193B">
        <w:rPr>
          <w:rFonts w:ascii="Verdana" w:eastAsia="Times New Roman" w:hAnsi="Verdana" w:cs="Arial"/>
          <w:lang w:eastAsia="x-none"/>
        </w:rPr>
        <w:t xml:space="preserve">. </w:t>
      </w:r>
    </w:p>
    <w:p w14:paraId="13AD1C33" w14:textId="77777777" w:rsidR="00BD31E4" w:rsidRPr="0057193B" w:rsidRDefault="00BD31E4" w:rsidP="00BD31E4">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w:t>
      </w:r>
      <w:r w:rsidRPr="0057193B">
        <w:rPr>
          <w:rFonts w:ascii="Verdana" w:eastAsia="Times New Roman" w:hAnsi="Verdana" w:cs="Arial"/>
          <w:bCs/>
          <w:lang w:val="es-MX" w:eastAsia="es-CO"/>
        </w:rPr>
        <w:lastRenderedPageBreak/>
        <w:t>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731F83B3" w14:textId="77777777" w:rsidR="00BD31E4" w:rsidRPr="0057193B" w:rsidRDefault="00BD31E4" w:rsidP="00BD31E4">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18"/>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1B0C6C8E" w14:textId="77777777" w:rsidR="00BD31E4" w:rsidRPr="0057193B" w:rsidRDefault="00BD31E4" w:rsidP="00BD31E4">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46AD473F" w14:textId="77777777" w:rsidR="00BD31E4" w:rsidRPr="00447D82" w:rsidRDefault="00BD31E4" w:rsidP="00BD31E4">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19"/>
      </w:r>
      <w:r w:rsidRPr="0057193B">
        <w:rPr>
          <w:rFonts w:ascii="Verdana" w:eastAsia="Times New Roman" w:hAnsi="Verdana" w:cs="Arial"/>
          <w:bCs/>
          <w:lang w:val="es-MX" w:eastAsia="es-CO"/>
        </w:rPr>
        <w:t>. Además, también es posible que contratos celebrados previamente se continúen ejecutando con normalidad.</w:t>
      </w:r>
      <w:r>
        <w:rPr>
          <w:rFonts w:ascii="Verdana" w:eastAsia="Times New Roman" w:hAnsi="Verdana" w:cs="Arial"/>
          <w:bCs/>
          <w:lang w:val="es-MX" w:eastAsia="es-CO"/>
        </w:rPr>
        <w:t xml:space="preserve"> </w:t>
      </w:r>
    </w:p>
    <w:p w14:paraId="0093168E" w14:textId="77777777" w:rsidR="00BD31E4" w:rsidRPr="0057193B" w:rsidRDefault="00BD31E4" w:rsidP="00BD31E4">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w:t>
      </w:r>
      <w:r w:rsidRPr="0057193B">
        <w:rPr>
          <w:rFonts w:ascii="Verdana" w:eastAsia="Times New Roman" w:hAnsi="Verdana" w:cs="Arial"/>
          <w:bCs/>
          <w:lang w:val="es-MX" w:eastAsia="x-none"/>
        </w:rPr>
        <w:lastRenderedPageBreak/>
        <w:t>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5D4F0D2" w14:textId="77777777" w:rsidR="00BD31E4" w:rsidRPr="0057193B" w:rsidRDefault="00BD31E4" w:rsidP="00BD31E4">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si bien la limitación garantiza la igualdad de condiciones, también es necesario que tal limitación que pretende la igualdad no termine yendo en detrimento de intereses públicos, cuya garantía está en cabeza del ejecutivo, como son los inmersos en 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20"/>
      </w:r>
      <w:r w:rsidRPr="0057193B">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75277AB5" w14:textId="77777777" w:rsidR="00BD31E4" w:rsidRPr="0057193B" w:rsidRDefault="00BD31E4" w:rsidP="00BD31E4">
      <w:pPr>
        <w:spacing w:after="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En relación con los destinatarios de la restricción analizada, el artículo 33 de la Ley 996 de 2005 los señala expresamente</w:t>
      </w:r>
      <w:r>
        <w:rPr>
          <w:rFonts w:ascii="Verdana" w:eastAsia="Times New Roman" w:hAnsi="Verdana" w:cs="Arial"/>
          <w:bCs/>
          <w:lang w:val="es-MX" w:eastAsia="x-none"/>
        </w:rPr>
        <w:t>, en el sentido de que son “todos 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57193B">
        <w:rPr>
          <w:rFonts w:ascii="Verdana" w:eastAsia="Times New Roman" w:hAnsi="Verdana" w:cs="Arial"/>
          <w:bCs/>
          <w:lang w:val="es-ES_tradnl" w:eastAsia="x-none"/>
        </w:rPr>
        <w:t xml:space="preserve">La Sala de </w:t>
      </w:r>
      <w:r w:rsidRPr="0057193B">
        <w:rPr>
          <w:rFonts w:ascii="Verdana" w:eastAsia="Times New Roman" w:hAnsi="Verdana" w:cs="Arial"/>
          <w:bCs/>
          <w:lang w:val="es-ES_tradnl" w:eastAsia="x-none"/>
        </w:rPr>
        <w:lastRenderedPageBreak/>
        <w:t xml:space="preserve">Consulta y Servicio Civil del Consejo de Estado, en Concepto 1727 de fecha 20 de febrero de 2006, consideró que: </w:t>
      </w:r>
    </w:p>
    <w:p w14:paraId="069B75F8" w14:textId="77777777" w:rsidR="00BD31E4" w:rsidRPr="0057193B" w:rsidRDefault="00BD31E4" w:rsidP="00BD31E4">
      <w:pPr>
        <w:spacing w:after="0" w:line="276" w:lineRule="auto"/>
        <w:jc w:val="both"/>
        <w:rPr>
          <w:rFonts w:ascii="Verdana" w:eastAsia="Times New Roman" w:hAnsi="Verdana" w:cs="Arial"/>
          <w:bCs/>
          <w:lang w:val="es-MX" w:eastAsia="x-none"/>
        </w:rPr>
      </w:pPr>
    </w:p>
    <w:p w14:paraId="15095EDF" w14:textId="77777777" w:rsidR="00BD31E4" w:rsidRPr="0057193B" w:rsidRDefault="00BD31E4" w:rsidP="00BD31E4">
      <w:pPr>
        <w:spacing w:after="0" w:line="240" w:lineRule="auto"/>
        <w:ind w:left="708" w:right="709"/>
        <w:jc w:val="both"/>
        <w:rPr>
          <w:rFonts w:ascii="Verdana" w:eastAsia="Times New Roman" w:hAnsi="Verdana" w:cs="Arial"/>
          <w:bCs/>
          <w:sz w:val="21"/>
          <w:szCs w:val="21"/>
          <w:lang w:val="es-MX" w:eastAsia="es-CO"/>
        </w:rPr>
      </w:pPr>
      <w:r w:rsidRPr="0057193B">
        <w:rPr>
          <w:rFonts w:ascii="Verdana" w:eastAsia="Times New Roman" w:hAnsi="Verdana" w:cs="Arial"/>
          <w:bCs/>
          <w:sz w:val="21"/>
          <w:szCs w:val="21"/>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57193B">
        <w:rPr>
          <w:rFonts w:ascii="Verdana" w:eastAsia="Times New Roman" w:hAnsi="Verdana" w:cs="Arial"/>
          <w:bCs/>
          <w:sz w:val="21"/>
          <w:szCs w:val="21"/>
          <w:vertAlign w:val="superscript"/>
          <w:lang w:val="es-MX" w:eastAsia="x-none"/>
        </w:rPr>
        <w:footnoteReference w:id="21"/>
      </w:r>
      <w:r w:rsidRPr="0057193B">
        <w:rPr>
          <w:rFonts w:ascii="Verdana" w:eastAsia="Times New Roman" w:hAnsi="Verdana" w:cs="Arial"/>
          <w:bCs/>
          <w:sz w:val="21"/>
          <w:szCs w:val="21"/>
          <w:lang w:val="es-MX" w:eastAsia="x-none"/>
        </w:rPr>
        <w:t>.</w:t>
      </w:r>
      <w:r w:rsidRPr="0057193B">
        <w:rPr>
          <w:rFonts w:ascii="Verdana" w:eastAsia="Times New Roman" w:hAnsi="Verdana" w:cs="Arial"/>
          <w:bCs/>
          <w:sz w:val="21"/>
          <w:szCs w:val="21"/>
          <w:lang w:val="es-MX" w:eastAsia="es-CO"/>
        </w:rPr>
        <w:t xml:space="preserve"> </w:t>
      </w:r>
    </w:p>
    <w:p w14:paraId="23895832" w14:textId="77777777" w:rsidR="00BD31E4" w:rsidRPr="0057193B" w:rsidRDefault="00BD31E4" w:rsidP="00BD31E4">
      <w:pPr>
        <w:spacing w:after="0" w:line="276" w:lineRule="auto"/>
        <w:ind w:firstLine="708"/>
        <w:jc w:val="both"/>
        <w:rPr>
          <w:rFonts w:ascii="Verdana" w:eastAsia="Times New Roman" w:hAnsi="Verdana" w:cs="Arial"/>
          <w:bCs/>
          <w:lang w:val="es-MX" w:eastAsia="es-CO"/>
        </w:rPr>
      </w:pPr>
    </w:p>
    <w:p w14:paraId="67093F11" w14:textId="77777777" w:rsidR="00BD31E4" w:rsidRPr="0057193B" w:rsidRDefault="00BD31E4" w:rsidP="00BD31E4">
      <w:pPr>
        <w:spacing w:after="0" w:line="276" w:lineRule="auto"/>
        <w:ind w:firstLine="708"/>
        <w:jc w:val="both"/>
        <w:rPr>
          <w:rFonts w:ascii="Verdana" w:eastAsia="Calibri" w:hAnsi="Verdana" w:cs="Arial"/>
          <w:lang w:val="es-MX"/>
        </w:rPr>
      </w:pPr>
      <w:r w:rsidRPr="0057193B">
        <w:rPr>
          <w:rFonts w:ascii="Verdana" w:eastAsia="Times New Roman" w:hAnsi="Verdana" w:cs="Arial"/>
          <w:bCs/>
          <w:lang w:val="es-MX" w:eastAsia="x-none"/>
        </w:rPr>
        <w:t>De igual forma, en Concepto con radicado 1738 del 6 de abril de 2006, esa m</w:t>
      </w:r>
      <w:r>
        <w:rPr>
          <w:rFonts w:ascii="Verdana" w:eastAsia="Times New Roman" w:hAnsi="Verdana" w:cs="Arial"/>
          <w:bCs/>
          <w:lang w:val="es-MX" w:eastAsia="x-none"/>
        </w:rPr>
        <w:t>isma Corporación manifestó que “</w:t>
      </w:r>
      <w:r w:rsidRPr="0057193B">
        <w:rPr>
          <w:rFonts w:ascii="Verdana" w:eastAsia="Times New Roman"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w:t>
      </w:r>
      <w:r>
        <w:rPr>
          <w:rFonts w:ascii="Verdana" w:eastAsia="Times New Roman" w:hAnsi="Verdana" w:cs="Arial"/>
          <w:bCs/>
          <w:lang w:val="es-MX" w:eastAsia="x-none"/>
        </w:rPr>
        <w:t>ambas partes, por el Legislador”</w:t>
      </w:r>
      <w:r w:rsidRPr="0057193B">
        <w:rPr>
          <w:rFonts w:ascii="Verdana" w:eastAsia="Calibri" w:hAnsi="Verdana" w:cs="Arial"/>
          <w:sz w:val="24"/>
          <w:vertAlign w:val="superscript"/>
          <w:lang w:val="es-MX"/>
        </w:rPr>
        <w:footnoteReference w:id="22"/>
      </w:r>
      <w:r w:rsidRPr="0057193B">
        <w:rPr>
          <w:rFonts w:ascii="Verdana" w:eastAsia="Times New Roman" w:hAnsi="Verdana" w:cs="Arial"/>
          <w:bCs/>
          <w:lang w:val="es-MX" w:eastAsia="x-none"/>
        </w:rPr>
        <w:t>.</w:t>
      </w:r>
      <w:r w:rsidRPr="0057193B">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68C56543" w14:textId="77777777" w:rsidR="00BD31E4" w:rsidRPr="0057193B" w:rsidRDefault="00BD31E4" w:rsidP="00BD31E4">
      <w:pPr>
        <w:spacing w:after="0" w:line="276" w:lineRule="auto"/>
        <w:jc w:val="both"/>
        <w:rPr>
          <w:rFonts w:ascii="Verdana" w:eastAsia="Calibri" w:hAnsi="Verdana" w:cs="Arial"/>
          <w:lang w:val="es-MX"/>
        </w:rPr>
      </w:pPr>
    </w:p>
    <w:p w14:paraId="77CA9F5E" w14:textId="77777777" w:rsidR="00BD31E4" w:rsidRPr="001924B7" w:rsidRDefault="00BD31E4" w:rsidP="00BD31E4">
      <w:pPr>
        <w:spacing w:after="0" w:line="240" w:lineRule="auto"/>
        <w:ind w:left="708" w:right="709"/>
        <w:jc w:val="both"/>
        <w:rPr>
          <w:rFonts w:ascii="Verdana" w:eastAsia="Calibri" w:hAnsi="Verdana" w:cs="Arial"/>
          <w:sz w:val="20"/>
          <w:szCs w:val="20"/>
          <w:lang w:val="es-MX"/>
        </w:rPr>
      </w:pPr>
      <w:r w:rsidRPr="001924B7">
        <w:rPr>
          <w:rFonts w:ascii="Verdana" w:eastAsia="Calibri" w:hAnsi="Verdana" w:cs="Arial"/>
          <w:sz w:val="20"/>
          <w:szCs w:val="20"/>
          <w:lang w:val="es-MX"/>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w:t>
      </w:r>
      <w:r w:rsidRPr="001924B7">
        <w:rPr>
          <w:rFonts w:ascii="Verdana" w:eastAsia="Calibri" w:hAnsi="Verdana" w:cs="Arial"/>
          <w:sz w:val="20"/>
          <w:szCs w:val="20"/>
          <w:lang w:val="es-MX"/>
        </w:rPr>
        <w:lastRenderedPageBreak/>
        <w:t>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3350C5CC" w14:textId="77777777" w:rsidR="00BD31E4" w:rsidRPr="001924B7" w:rsidRDefault="00BD31E4" w:rsidP="00BD31E4">
      <w:pPr>
        <w:spacing w:after="0" w:line="240" w:lineRule="auto"/>
        <w:ind w:left="708" w:right="709"/>
        <w:jc w:val="both"/>
        <w:rPr>
          <w:rFonts w:ascii="Verdana" w:eastAsia="Calibri" w:hAnsi="Verdana" w:cs="Arial"/>
          <w:sz w:val="20"/>
          <w:szCs w:val="20"/>
          <w:lang w:val="es-MX"/>
        </w:rPr>
      </w:pPr>
    </w:p>
    <w:p w14:paraId="3CC0E546" w14:textId="77777777" w:rsidR="00BD31E4" w:rsidRPr="001924B7" w:rsidRDefault="00BD31E4" w:rsidP="00BD31E4">
      <w:pPr>
        <w:spacing w:after="0" w:line="240" w:lineRule="auto"/>
        <w:ind w:left="708" w:right="709"/>
        <w:jc w:val="both"/>
        <w:rPr>
          <w:rFonts w:ascii="Verdana" w:eastAsia="Calibri" w:hAnsi="Verdana" w:cs="Arial"/>
          <w:sz w:val="20"/>
          <w:szCs w:val="20"/>
          <w:lang w:val="es-MX"/>
        </w:rPr>
      </w:pPr>
      <w:r w:rsidRPr="001924B7">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1924B7">
        <w:rPr>
          <w:rFonts w:ascii="Verdana" w:eastAsia="Calibri" w:hAnsi="Verdana" w:cs="Arial"/>
          <w:sz w:val="20"/>
          <w:szCs w:val="20"/>
          <w:vertAlign w:val="superscript"/>
          <w:lang w:val="es-MX"/>
        </w:rPr>
        <w:footnoteReference w:id="23"/>
      </w:r>
      <w:r w:rsidRPr="001924B7">
        <w:rPr>
          <w:rFonts w:ascii="Verdana" w:eastAsia="Times New Roman" w:hAnsi="Verdana" w:cs="Arial"/>
          <w:bCs/>
          <w:sz w:val="20"/>
          <w:szCs w:val="20"/>
          <w:lang w:val="es-MX" w:eastAsia="x-none"/>
        </w:rPr>
        <w:t>.</w:t>
      </w:r>
    </w:p>
    <w:p w14:paraId="4F2870D1" w14:textId="77777777" w:rsidR="00BD31E4" w:rsidRPr="0057193B" w:rsidRDefault="00BD31E4" w:rsidP="00BD31E4">
      <w:pPr>
        <w:spacing w:after="0" w:line="276" w:lineRule="auto"/>
        <w:jc w:val="both"/>
        <w:rPr>
          <w:rFonts w:ascii="Verdana" w:eastAsia="Calibri" w:hAnsi="Verdana" w:cs="Arial"/>
          <w:lang w:val="es-MX"/>
        </w:rPr>
      </w:pPr>
    </w:p>
    <w:p w14:paraId="5D7CD937" w14:textId="77777777" w:rsidR="00BD31E4" w:rsidRPr="0057193B" w:rsidRDefault="00BD31E4" w:rsidP="00BD31E4">
      <w:pPr>
        <w:spacing w:after="120" w:line="276" w:lineRule="auto"/>
        <w:ind w:firstLine="709"/>
        <w:jc w:val="both"/>
        <w:rPr>
          <w:rFonts w:ascii="Verdana" w:eastAsia="Times New Roman" w:hAnsi="Verdana" w:cs="Arial"/>
          <w:lang w:eastAsia="es-CO"/>
        </w:rPr>
      </w:pPr>
      <w:r w:rsidRPr="0057193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57193B">
        <w:rPr>
          <w:rFonts w:ascii="Verdana" w:eastAsia="Times New Roman" w:hAnsi="Verdana" w:cs="Arial"/>
          <w:bCs/>
          <w:lang w:val="es-MX" w:eastAsia="x-none"/>
        </w:rPr>
        <w:t>establecimientos de crédito, las sociedades de servicios financieros y las entidades aseguradoras</w:t>
      </w:r>
      <w:r w:rsidRPr="0057193B">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w:t>
      </w:r>
      <w:r>
        <w:rPr>
          <w:rFonts w:ascii="Verdana" w:eastAsia="Calibri" w:hAnsi="Verdana" w:cs="Arial"/>
          <w:lang w:val="es-MX"/>
        </w:rPr>
        <w:t>“</w:t>
      </w:r>
      <w:r w:rsidRPr="0057193B">
        <w:rPr>
          <w:rFonts w:ascii="Verdana" w:eastAsia="Calibri" w:hAnsi="Verdana" w:cs="Arial"/>
          <w:lang w:val="es-MX"/>
        </w:rPr>
        <w:t>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lang w:val="es-MX"/>
        </w:rPr>
        <w:t>”</w:t>
      </w:r>
      <w:r w:rsidRPr="0057193B">
        <w:rPr>
          <w:rFonts w:ascii="Verdana" w:eastAsia="Calibri" w:hAnsi="Verdana" w:cs="Arial"/>
          <w:vertAlign w:val="superscript"/>
          <w:lang w:val="es-MX"/>
        </w:rPr>
        <w:footnoteReference w:id="24"/>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19A60446" w14:textId="77777777" w:rsidR="00BD31E4" w:rsidRDefault="00BD31E4" w:rsidP="00BD31E4">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lang w:eastAsia="es-CO"/>
        </w:rPr>
        <w:t>Sin perjuicio de estos pronunciamientos de la Sala de Consulta y Servicio Civil</w:t>
      </w:r>
      <w:r w:rsidRPr="0057193B">
        <w:rPr>
          <w:rFonts w:ascii="Verdana" w:eastAsia="Calibri" w:hAnsi="Verdana" w:cs="Arial"/>
          <w:lang w:val="es-MX"/>
        </w:rPr>
        <w:t xml:space="preserve">, como la ha señalado esa misma Corporación, la restricción prevista en la Ley 996 de 2005 </w:t>
      </w:r>
      <w:r w:rsidRPr="0057193B">
        <w:rPr>
          <w:rFonts w:ascii="Verdana" w:eastAsia="Times New Roman" w:hAnsi="Verdana" w:cs="Arial"/>
          <w:bCs/>
          <w:lang w:val="es-MX" w:eastAsia="x-none"/>
        </w:rPr>
        <w:t xml:space="preserve">cobija a cualquier entidad pública independiente del régimen jurídico, que pueda mediante la contratación directa romper el equilibrio entre </w:t>
      </w:r>
      <w:r w:rsidRPr="0057193B">
        <w:rPr>
          <w:rFonts w:ascii="Verdana" w:eastAsia="Times New Roman" w:hAnsi="Verdana" w:cs="Arial"/>
          <w:bCs/>
          <w:lang w:val="es-MX" w:eastAsia="x-none"/>
        </w:rPr>
        <w:lastRenderedPageBreak/>
        <w:t>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10FEBD7C" w14:textId="77777777" w:rsidR="00BD31E4" w:rsidRDefault="00BD31E4" w:rsidP="00BD31E4">
      <w:pPr>
        <w:spacing w:after="120" w:line="276" w:lineRule="auto"/>
        <w:ind w:firstLine="709"/>
        <w:jc w:val="both"/>
        <w:rPr>
          <w:rFonts w:ascii="Verdana" w:eastAsia="Times New Roman" w:hAnsi="Verdana" w:cs="Arial"/>
          <w:bCs/>
          <w:lang w:val="es-MX" w:eastAsia="x-none" w:bidi="es-ES"/>
        </w:rPr>
      </w:pPr>
      <w:r>
        <w:rPr>
          <w:rFonts w:ascii="Verdana" w:eastAsia="Times New Roman" w:hAnsi="Verdana" w:cs="Arial"/>
          <w:bCs/>
          <w:lang w:val="es-MX" w:eastAsia="x-none"/>
        </w:rPr>
        <w:t xml:space="preserve">Teniendo en cuenta lo expuesto previamente, todos </w:t>
      </w:r>
      <w:proofErr w:type="spellStart"/>
      <w:r>
        <w:rPr>
          <w:rFonts w:ascii="Verdana" w:eastAsia="Times New Roman" w:hAnsi="Verdana" w:cs="Arial"/>
          <w:bCs/>
          <w:lang w:val="es-MX" w:eastAsia="x-none"/>
        </w:rPr>
        <w:t>lo</w:t>
      </w:r>
      <w:proofErr w:type="spellEnd"/>
      <w:r>
        <w:rPr>
          <w:rFonts w:ascii="Verdana" w:eastAsia="Times New Roman" w:hAnsi="Verdana" w:cs="Arial"/>
          <w:bCs/>
          <w:lang w:val="es-MX" w:eastAsia="x-none"/>
        </w:rPr>
        <w:t xml:space="preserve"> entes del Estado, independiente del régimen jurídico aplicable, están sujetos a la restricción del artículo 33 de la Ley 996 de 2005, es decir, no podrán adelantar sistema que implique contratación directa respecto de </w:t>
      </w:r>
      <w:r w:rsidRPr="00355EA0">
        <w:rPr>
          <w:rFonts w:ascii="Verdana" w:eastAsia="Times New Roman" w:hAnsi="Verdana" w:cs="Arial"/>
          <w:bCs/>
          <w:lang w:val="es-MX" w:eastAsia="x-none" w:bidi="es-ES"/>
        </w:rPr>
        <w:t xml:space="preserve">las elecciones presidenciales, dentro de los cuatro (4) meses anteriores a la celebración de los comicios, salvo </w:t>
      </w:r>
      <w:r>
        <w:rPr>
          <w:rFonts w:ascii="Verdana" w:eastAsia="Times New Roman" w:hAnsi="Verdana" w:cs="Arial"/>
          <w:bCs/>
          <w:lang w:val="es-MX" w:eastAsia="x-none" w:bidi="es-ES"/>
        </w:rPr>
        <w:t xml:space="preserve">las </w:t>
      </w:r>
      <w:r w:rsidRPr="00355EA0">
        <w:rPr>
          <w:rFonts w:ascii="Verdana" w:eastAsia="Times New Roman" w:hAnsi="Verdana" w:cs="Arial"/>
          <w:bCs/>
          <w:lang w:val="es-MX" w:eastAsia="x-none" w:bidi="es-ES"/>
        </w:rPr>
        <w:t>excepciones</w:t>
      </w:r>
      <w:r>
        <w:rPr>
          <w:rFonts w:ascii="Verdana" w:eastAsia="Times New Roman" w:hAnsi="Verdana" w:cs="Arial"/>
          <w:bCs/>
          <w:lang w:val="es-MX" w:eastAsia="x-none" w:bidi="es-ES"/>
        </w:rPr>
        <w:t xml:space="preserve"> dispuestas en esta</w:t>
      </w:r>
      <w:r w:rsidRPr="00355EA0">
        <w:rPr>
          <w:rFonts w:ascii="Verdana" w:eastAsia="Times New Roman" w:hAnsi="Verdana" w:cs="Arial"/>
          <w:bCs/>
          <w:lang w:val="es-MX" w:eastAsia="x-none" w:bidi="es-ES"/>
        </w:rPr>
        <w:t xml:space="preserve">. </w:t>
      </w:r>
      <w:r>
        <w:rPr>
          <w:rFonts w:ascii="Verdana" w:eastAsia="Times New Roman" w:hAnsi="Verdana" w:cs="Arial"/>
          <w:bCs/>
          <w:lang w:val="es-MX" w:eastAsia="x-none"/>
        </w:rPr>
        <w:t xml:space="preserve">En este sentido, los entes del Estado independiente de su régimen especial no podrán celebrar contratos de forma directa desde el 31 de enero de 2026, teniendo en cuenta que la Resolución 02580 del 5 de marzo de 2025 de la </w:t>
      </w:r>
      <w:proofErr w:type="spellStart"/>
      <w:r>
        <w:rPr>
          <w:rFonts w:ascii="Verdana" w:eastAsia="Times New Roman" w:hAnsi="Verdana" w:cs="Arial"/>
          <w:bCs/>
          <w:lang w:val="es-MX" w:eastAsia="x-none"/>
        </w:rPr>
        <w:t>Registraduría</w:t>
      </w:r>
      <w:proofErr w:type="spellEnd"/>
      <w:r>
        <w:rPr>
          <w:rFonts w:ascii="Verdana" w:eastAsia="Times New Roman" w:hAnsi="Verdana" w:cs="Arial"/>
          <w:bCs/>
          <w:lang w:val="es-MX" w:eastAsia="x-none"/>
        </w:rPr>
        <w:t xml:space="preserve"> Nacional del Estado Civil dispuso que las elecciones presidenciales se celebrarán el 31 de mayo de 2026.</w:t>
      </w:r>
    </w:p>
    <w:p w14:paraId="17B7FF89" w14:textId="77777777" w:rsidR="00BD31E4" w:rsidRPr="00A63F17" w:rsidRDefault="00BD31E4" w:rsidP="00BD31E4">
      <w:pPr>
        <w:spacing w:after="120" w:line="276" w:lineRule="auto"/>
        <w:ind w:firstLine="709"/>
        <w:jc w:val="both"/>
        <w:rPr>
          <w:rFonts w:ascii="Verdana" w:eastAsia="Times New Roman" w:hAnsi="Verdana" w:cs="Arial"/>
          <w:bCs/>
          <w:lang w:val="es-MX" w:eastAsia="x-none"/>
        </w:rPr>
      </w:pPr>
      <w:r w:rsidRPr="00355EA0">
        <w:rPr>
          <w:rFonts w:ascii="Verdana" w:eastAsia="Times New Roman" w:hAnsi="Verdana" w:cs="Arial"/>
          <w:bCs/>
          <w:lang w:val="es-MX" w:eastAsia="x-none" w:bidi="es-ES"/>
        </w:rPr>
        <w:t>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w:t>
      </w:r>
      <w:r>
        <w:rPr>
          <w:rFonts w:ascii="Verdana" w:eastAsia="Times New Roman" w:hAnsi="Verdana" w:cs="Arial"/>
          <w:bCs/>
          <w:lang w:val="es-MX" w:eastAsia="x-none" w:bidi="es-ES"/>
        </w:rPr>
        <w:t>, que, de acuerdo con lo expuesto, se celebraría el 21 de junio de 2026.</w:t>
      </w:r>
    </w:p>
    <w:p w14:paraId="08D2FB2C" w14:textId="77777777" w:rsidR="00BD31E4" w:rsidRPr="003B7D6C" w:rsidRDefault="00BD31E4" w:rsidP="00BD31E4">
      <w:pPr>
        <w:spacing w:after="120" w:line="276" w:lineRule="auto"/>
        <w:ind w:firstLine="709"/>
        <w:jc w:val="both"/>
        <w:rPr>
          <w:rFonts w:ascii="Verdana" w:eastAsia="Times New Roman" w:hAnsi="Verdana" w:cs="Arial"/>
          <w:bCs/>
          <w:lang w:eastAsia="x-none"/>
        </w:rPr>
      </w:pPr>
      <w:r>
        <w:rPr>
          <w:rFonts w:ascii="Verdana" w:eastAsia="Times New Roman" w:hAnsi="Verdana" w:cs="Arial"/>
          <w:bCs/>
          <w:lang w:val="es-MX" w:eastAsia="x-none"/>
        </w:rPr>
        <w:t xml:space="preserve">Esto, sin perjuicio de </w:t>
      </w:r>
      <w:r w:rsidRPr="0057193B">
        <w:rPr>
          <w:rFonts w:ascii="Verdana" w:eastAsia="Times New Roman" w:hAnsi="Verdana" w:cs="Arial"/>
          <w:bCs/>
          <w:lang w:val="es-MX" w:eastAsia="x-none"/>
        </w:rPr>
        <w:t>las excepciones a la prohibición establecidas en el inciso</w:t>
      </w:r>
      <w:r>
        <w:rPr>
          <w:rFonts w:ascii="Verdana" w:eastAsia="Times New Roman" w:hAnsi="Verdana" w:cs="Arial"/>
          <w:bCs/>
          <w:lang w:val="es-MX" w:eastAsia="x-none"/>
        </w:rPr>
        <w:t xml:space="preserve"> segundo del mismo artículo 33, como son: </w:t>
      </w:r>
      <w:r w:rsidRPr="00333EDB">
        <w:rPr>
          <w:rFonts w:ascii="Verdana" w:eastAsia="Times New Roman" w:hAnsi="Verdana" w:cs="Arial"/>
          <w:bCs/>
          <w:lang w:val="es-MX" w:eastAsia="x-none"/>
        </w:rPr>
        <w:t xml:space="preserve">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w:t>
      </w:r>
      <w:r w:rsidRPr="00333EDB">
        <w:rPr>
          <w:rFonts w:ascii="Verdana" w:eastAsia="Times New Roman" w:hAnsi="Verdana" w:cs="Arial"/>
          <w:bCs/>
          <w:lang w:val="es-MX" w:eastAsia="x-none"/>
        </w:rPr>
        <w:lastRenderedPageBreak/>
        <w:t>excepciones, de manera que se le permita realizar la contratación que necesite en forma directa.</w:t>
      </w:r>
    </w:p>
    <w:p w14:paraId="20FA76A4" w14:textId="77777777" w:rsidR="00BD31E4" w:rsidRPr="004C2E9A" w:rsidRDefault="00BD31E4" w:rsidP="00BD31E4">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Finalmente, se reitera, c</w:t>
      </w:r>
      <w:r w:rsidRPr="0057193B">
        <w:rPr>
          <w:rFonts w:ascii="Verdana" w:eastAsia="Times New Roman" w:hAnsi="Verdana" w:cs="Arial"/>
          <w:bCs/>
          <w:lang w:val="es-MX" w:eastAsia="es-CO"/>
        </w:rPr>
        <w:t>omo en otras oportunidades lo ha manifestado esta Agencia, que las prórrogas, modificaciones o adiciones de los contratos suscritos antes de la entrada en vigor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5"/>
      </w:r>
      <w:r w:rsidRPr="0057193B">
        <w:rPr>
          <w:rFonts w:ascii="Verdana" w:eastAsia="Times New Roman" w:hAnsi="Verdana" w:cs="Arial"/>
          <w:bCs/>
          <w:lang w:val="es-MX" w:eastAsia="es-CO"/>
        </w:rPr>
        <w:t>. Además, también es posible que contratos celebrados previamente se continúen ejecutando con normalidad.</w:t>
      </w:r>
    </w:p>
    <w:p w14:paraId="43A63922" w14:textId="77777777" w:rsidR="00BD31E4" w:rsidRDefault="00BD31E4" w:rsidP="00BD31E4">
      <w:pPr>
        <w:pStyle w:val="paragraph"/>
        <w:shd w:val="clear" w:color="auto" w:fill="FFFFFF"/>
        <w:spacing w:before="0" w:beforeAutospacing="0" w:after="120" w:afterAutospacing="0" w:line="276" w:lineRule="auto"/>
        <w:jc w:val="both"/>
        <w:textAlignment w:val="baseline"/>
        <w:rPr>
          <w:rFonts w:ascii="Verdana" w:eastAsia="Calibri" w:hAnsi="Verdana" w:cs="Arial"/>
          <w:bCs/>
          <w:color w:val="000000" w:themeColor="text1"/>
          <w:sz w:val="22"/>
          <w:szCs w:val="22"/>
        </w:rPr>
      </w:pPr>
    </w:p>
    <w:p w14:paraId="5AEAB919" w14:textId="77777777" w:rsidR="00BD31E4" w:rsidRPr="00B523E8" w:rsidRDefault="00BD31E4" w:rsidP="00BD31E4">
      <w:pPr>
        <w:spacing w:after="120" w:line="276" w:lineRule="auto"/>
        <w:jc w:val="both"/>
        <w:rPr>
          <w:rFonts w:ascii="Verdana" w:eastAsia="Calibri" w:hAnsi="Verdana" w:cs="Arial"/>
          <w:lang w:val="es-MX"/>
        </w:rPr>
      </w:pPr>
      <w:bookmarkStart w:id="14" w:name="OLE_LINK1"/>
      <w:r>
        <w:rPr>
          <w:rFonts w:ascii="Verdana" w:eastAsia="Calibri" w:hAnsi="Verdana" w:cs="Arial"/>
          <w:lang w:val="es-MX"/>
        </w:rPr>
        <w:t xml:space="preserve">iv. </w:t>
      </w:r>
      <w:r w:rsidRPr="00844B92">
        <w:rPr>
          <w:rFonts w:ascii="Verdana" w:eastAsia="Calibri" w:hAnsi="Verdana" w:cs="Arial"/>
          <w:lang w:val="es-MX"/>
        </w:rPr>
        <w:t>Las compras en bolsa de productos son un mecanismo contemplado en el segundo inciso del literal a), numeral 2 del artículo 2 de la Ley 1150 de 2007, en el marco de la modalidad de selección abreviada, para la adquisición o suministro de bienes y servicios de características técnicas uniformes y de común utilización por parte de las entidades estatales</w:t>
      </w:r>
      <w:r w:rsidRPr="00844B92">
        <w:rPr>
          <w:rStyle w:val="Refdenotaalpie"/>
          <w:rFonts w:ascii="Verdana" w:eastAsia="Calibri" w:hAnsi="Verdana" w:cs="Arial"/>
          <w:lang w:val="es-MX"/>
        </w:rPr>
        <w:footnoteReference w:id="26"/>
      </w:r>
      <w:r w:rsidRPr="00844B92">
        <w:rPr>
          <w:rFonts w:ascii="Verdana" w:eastAsia="Calibri" w:hAnsi="Verdana" w:cs="Arial"/>
          <w:lang w:val="es-MX"/>
        </w:rPr>
        <w:t>.</w:t>
      </w:r>
      <w:r>
        <w:rPr>
          <w:rFonts w:ascii="Verdana" w:eastAsia="Calibri" w:hAnsi="Verdana" w:cs="Arial"/>
          <w:lang w:val="es-MX"/>
        </w:rPr>
        <w:t xml:space="preserve"> </w:t>
      </w:r>
      <w:r>
        <w:rPr>
          <w:rFonts w:ascii="Verdana" w:eastAsia="Calibri" w:hAnsi="Verdana" w:cs="Arial"/>
        </w:rPr>
        <w:t>Sin embargo, c</w:t>
      </w:r>
      <w:r w:rsidRPr="00B523E8">
        <w:rPr>
          <w:rFonts w:ascii="Verdana" w:eastAsia="Calibri" w:hAnsi="Verdana" w:cs="Arial"/>
        </w:rPr>
        <w:t xml:space="preserve">uando no exista un Acuerdo Marco de Precios para el bien o servicio requerido, las entidades estatales deben estudiar, comparar e identificar las ventajas de utilizar la bolsa de productos para la adquisición respectiva frente a la subasta inversa o a la promoción de un nuevo Acuerdo Marco de Precios con la Agencia Nacional </w:t>
      </w:r>
      <w:r w:rsidRPr="00B523E8">
        <w:rPr>
          <w:rFonts w:ascii="Verdana" w:eastAsia="Calibri" w:hAnsi="Verdana" w:cs="Arial"/>
        </w:rPr>
        <w:lastRenderedPageBreak/>
        <w:t>de Contratación Pública -Colombia Compra Eficiente para tales bienes o servicios, incluyendo el análisis del Proceso de Selección del comisionista, los costos asociados a la selección, el valor de la comisión y de las garantías.</w:t>
      </w:r>
    </w:p>
    <w:p w14:paraId="79CBD58F" w14:textId="7F25257B" w:rsidR="00BD31E4" w:rsidRPr="00844B92" w:rsidRDefault="00BD31E4" w:rsidP="00BD31E4">
      <w:pPr>
        <w:spacing w:after="120" w:line="276" w:lineRule="auto"/>
        <w:ind w:firstLine="709"/>
        <w:jc w:val="both"/>
        <w:rPr>
          <w:rFonts w:ascii="Verdana" w:eastAsia="Calibri" w:hAnsi="Verdana" w:cs="Arial"/>
          <w:lang w:val="es-MX"/>
        </w:rPr>
      </w:pPr>
      <w:r>
        <w:rPr>
          <w:rFonts w:ascii="Verdana" w:eastAsia="Calibri" w:hAnsi="Verdana" w:cs="Arial"/>
          <w:lang w:val="es-MX"/>
        </w:rPr>
        <w:t xml:space="preserve">La </w:t>
      </w:r>
      <w:r w:rsidRPr="00844B92">
        <w:rPr>
          <w:rFonts w:ascii="Verdana" w:eastAsia="Calibri" w:hAnsi="Verdana" w:cs="Arial"/>
          <w:lang w:val="es-MX"/>
        </w:rPr>
        <w:t xml:space="preserve">adquisición de bienes mediante el mecanismo de bolsa de productos </w:t>
      </w:r>
      <w:r>
        <w:rPr>
          <w:rFonts w:ascii="Verdana" w:eastAsia="Calibri" w:hAnsi="Verdana" w:cs="Arial"/>
          <w:lang w:val="es-MX"/>
        </w:rPr>
        <w:t xml:space="preserve">está </w:t>
      </w:r>
      <w:r w:rsidR="0021277A">
        <w:rPr>
          <w:rFonts w:ascii="Verdana" w:eastAsia="Calibri" w:hAnsi="Verdana" w:cs="Arial"/>
          <w:lang w:val="es-MX"/>
        </w:rPr>
        <w:t>regulada</w:t>
      </w:r>
      <w:r>
        <w:rPr>
          <w:rFonts w:ascii="Verdana" w:eastAsia="Calibri" w:hAnsi="Verdana" w:cs="Arial"/>
          <w:lang w:val="es-MX"/>
        </w:rPr>
        <w:t xml:space="preserve"> </w:t>
      </w:r>
      <w:r w:rsidRPr="00844B92">
        <w:rPr>
          <w:rFonts w:ascii="Verdana" w:eastAsia="Calibri" w:hAnsi="Verdana" w:cs="Arial"/>
          <w:lang w:val="es-MX"/>
        </w:rPr>
        <w:t>por el Decreto 2555 de 2010 y los artículos 2.2.1.2.1.2.11 a 2.2.1.2.1.2.19 del Decreto 1082 de 2015. Esta hace posible que vendedores y compradores concurran en un mercado organizado donde se negocian de forma dinámica bienes y servicios, a través de procesos de subasta pública, a viva voz o en línea, en un ambiente transparente y altamente competitivo</w:t>
      </w:r>
      <w:r w:rsidRPr="00844B92">
        <w:rPr>
          <w:rFonts w:ascii="Verdana" w:eastAsia="Calibri" w:hAnsi="Verdana" w:cs="Arial"/>
          <w:vertAlign w:val="superscript"/>
          <w:lang w:val="es-MX"/>
        </w:rPr>
        <w:footnoteReference w:id="27"/>
      </w:r>
      <w:r w:rsidRPr="00844B92">
        <w:rPr>
          <w:rFonts w:ascii="Verdana" w:eastAsia="Calibri" w:hAnsi="Verdana" w:cs="Arial"/>
          <w:lang w:val="es-MX"/>
        </w:rPr>
        <w:t>. Los productos se negocian con base en una descripción detallada de los mismos, de acuerdo con una reglamentación que permite que los participantes estén en igualdad de oportunidades y que el precio de los productos sea resultado de la competencia entre los ofrecimientos</w:t>
      </w:r>
      <w:r w:rsidRPr="00844B92">
        <w:rPr>
          <w:rStyle w:val="Refdenotaalpie"/>
          <w:rFonts w:ascii="Verdana" w:eastAsia="Calibri" w:hAnsi="Verdana" w:cs="Arial"/>
          <w:lang w:val="es-MX"/>
        </w:rPr>
        <w:footnoteReference w:id="28"/>
      </w:r>
      <w:r w:rsidRPr="00844B92">
        <w:rPr>
          <w:rFonts w:ascii="Verdana" w:eastAsia="Calibri" w:hAnsi="Verdana" w:cs="Arial"/>
          <w:lang w:val="es-MX"/>
        </w:rPr>
        <w:t>.</w:t>
      </w:r>
    </w:p>
    <w:p w14:paraId="1BCCDB38" w14:textId="77777777" w:rsidR="00BD31E4" w:rsidRPr="00844B92" w:rsidRDefault="00BD31E4" w:rsidP="00BD31E4">
      <w:pPr>
        <w:spacing w:after="120" w:line="276" w:lineRule="auto"/>
        <w:jc w:val="both"/>
        <w:rPr>
          <w:rFonts w:ascii="Verdana" w:eastAsia="Calibri" w:hAnsi="Verdana" w:cs="Arial"/>
          <w:lang w:val="es-MX"/>
        </w:rPr>
      </w:pPr>
      <w:r w:rsidRPr="00844B92">
        <w:rPr>
          <w:rFonts w:ascii="Verdana" w:eastAsia="Calibri" w:hAnsi="Verdana" w:cs="Arial"/>
          <w:lang w:val="es-MX"/>
        </w:rPr>
        <w:tab/>
      </w:r>
      <w:r>
        <w:rPr>
          <w:rFonts w:ascii="Verdana" w:eastAsia="Calibri" w:hAnsi="Verdana" w:cs="Arial"/>
          <w:color w:val="000000" w:themeColor="text1"/>
        </w:rPr>
        <w:t xml:space="preserve">De acuerdo con lo anterior, </w:t>
      </w:r>
      <w:r>
        <w:rPr>
          <w:rFonts w:ascii="Verdana" w:eastAsia="Calibri" w:hAnsi="Verdana" w:cs="Arial"/>
          <w:lang w:val="es-MX"/>
        </w:rPr>
        <w:t>l</w:t>
      </w:r>
      <w:r w:rsidRPr="00844B92">
        <w:rPr>
          <w:rFonts w:ascii="Verdana" w:eastAsia="Calibri" w:hAnsi="Verdana" w:cs="Arial"/>
          <w:lang w:val="es-MX"/>
        </w:rPr>
        <w:t>a negociación por parte de la entidad se da a través de un comisionista, el cual debe ser contratado por la entidad de conformidad con el procedimiento y reglas de la respectiva bolsa de productos</w:t>
      </w:r>
      <w:r>
        <w:rPr>
          <w:rFonts w:ascii="Verdana" w:eastAsia="Calibri" w:hAnsi="Verdana" w:cs="Arial"/>
          <w:lang w:val="es-MX"/>
        </w:rPr>
        <w:t>, esto es, mediante un procedimiento competitivo</w:t>
      </w:r>
      <w:r w:rsidRPr="00844B92">
        <w:rPr>
          <w:rStyle w:val="Refdenotaalpie"/>
          <w:rFonts w:ascii="Verdana" w:eastAsia="Calibri" w:hAnsi="Verdana" w:cs="Arial"/>
          <w:lang w:val="es-MX"/>
        </w:rPr>
        <w:footnoteReference w:id="29"/>
      </w:r>
      <w:r w:rsidRPr="00844B92">
        <w:rPr>
          <w:rFonts w:ascii="Verdana" w:eastAsia="Calibri" w:hAnsi="Verdana" w:cs="Arial"/>
          <w:lang w:val="es-MX"/>
        </w:rPr>
        <w:t>.</w:t>
      </w:r>
      <w:r>
        <w:rPr>
          <w:rFonts w:ascii="Verdana" w:eastAsia="Calibri" w:hAnsi="Verdana" w:cs="Arial"/>
          <w:lang w:val="es-MX"/>
        </w:rPr>
        <w:t xml:space="preserve"> Ahora bien, p</w:t>
      </w:r>
      <w:r w:rsidRPr="00804180">
        <w:rPr>
          <w:rFonts w:ascii="Verdana" w:eastAsia="Calibri" w:hAnsi="Verdana" w:cs="Arial"/>
        </w:rPr>
        <w:t xml:space="preserve">ara celebrar el contrato de comisión, la Entidad debe acreditar que cuenta con la disponibilidad presupuestal para el contrato de comisión, para la operación que por cuenta suya adelanta el comisionista en la bolsa de productos, para las garantías y los demás pagos que </w:t>
      </w:r>
      <w:r>
        <w:rPr>
          <w:rFonts w:ascii="Verdana" w:eastAsia="Calibri" w:hAnsi="Verdana" w:cs="Arial"/>
        </w:rPr>
        <w:t xml:space="preserve">deba realizar </w:t>
      </w:r>
      <w:r w:rsidRPr="00804180">
        <w:rPr>
          <w:rFonts w:ascii="Verdana" w:eastAsia="Calibri" w:hAnsi="Verdana" w:cs="Arial"/>
        </w:rPr>
        <w:t xml:space="preserve">como consecuencia de la adquisición en bolsa de productos, de </w:t>
      </w:r>
      <w:r>
        <w:rPr>
          <w:rFonts w:ascii="Verdana" w:eastAsia="Calibri" w:hAnsi="Verdana" w:cs="Arial"/>
        </w:rPr>
        <w:t xml:space="preserve">conformidad </w:t>
      </w:r>
      <w:r w:rsidRPr="00804180">
        <w:rPr>
          <w:rFonts w:ascii="Verdana" w:eastAsia="Calibri" w:hAnsi="Verdana" w:cs="Arial"/>
        </w:rPr>
        <w:t>con el reglamento de la bolsa en la cual la Entidad Estatal haga la negociación.</w:t>
      </w:r>
      <w:r>
        <w:rPr>
          <w:rFonts w:ascii="Verdana" w:eastAsia="Calibri" w:hAnsi="Verdana" w:cs="Arial"/>
          <w:lang w:val="es-MX"/>
        </w:rPr>
        <w:t xml:space="preserve"> La </w:t>
      </w:r>
      <w:r w:rsidRPr="00844B92">
        <w:rPr>
          <w:rFonts w:ascii="Verdana" w:eastAsia="Calibri" w:hAnsi="Verdana" w:cs="Arial"/>
          <w:lang w:val="es-MX"/>
        </w:rPr>
        <w:t>calidad de los productos negociados y la liquidación de las operaciones celebradas debe estar respaldada por garantías</w:t>
      </w:r>
      <w:r w:rsidRPr="00844B92">
        <w:rPr>
          <w:rStyle w:val="Refdenotaalpie"/>
          <w:rFonts w:ascii="Verdana" w:eastAsia="Calibri" w:hAnsi="Verdana" w:cs="Arial"/>
          <w:lang w:val="es-MX"/>
        </w:rPr>
        <w:footnoteReference w:id="30"/>
      </w:r>
      <w:r w:rsidRPr="00844B92">
        <w:rPr>
          <w:rFonts w:ascii="Verdana" w:eastAsia="Calibri" w:hAnsi="Verdana" w:cs="Arial"/>
          <w:lang w:val="es-MX"/>
        </w:rPr>
        <w:t>.</w:t>
      </w:r>
      <w:r>
        <w:rPr>
          <w:rFonts w:ascii="Verdana" w:eastAsia="Calibri" w:hAnsi="Verdana" w:cs="Arial"/>
          <w:lang w:val="es-MX"/>
        </w:rPr>
        <w:t xml:space="preserve"> </w:t>
      </w:r>
      <w:r>
        <w:rPr>
          <w:rFonts w:ascii="Verdana" w:eastAsia="Calibri" w:hAnsi="Verdana" w:cs="Arial"/>
          <w:color w:val="000000" w:themeColor="text1"/>
        </w:rPr>
        <w:lastRenderedPageBreak/>
        <w:t xml:space="preserve">Igualmente, este proceso se </w:t>
      </w:r>
      <w:r>
        <w:rPr>
          <w:rFonts w:ascii="Verdana" w:eastAsia="Calibri" w:hAnsi="Verdana" w:cs="Arial"/>
          <w:color w:val="000000" w:themeColor="text1"/>
          <w:lang w:val="es-ES"/>
        </w:rPr>
        <w:t>encuentra respaldado por el</w:t>
      </w:r>
      <w:r w:rsidRPr="00F10CF5">
        <w:rPr>
          <w:rFonts w:ascii="Verdana" w:eastAsia="Calibri" w:hAnsi="Verdana" w:cs="Arial"/>
          <w:color w:val="000000" w:themeColor="text1"/>
        </w:rPr>
        <w:t xml:space="preserve"> marco regulatorio en la optimización de los procedimientos de compra en el ámbito público, asegurando eficiencia y equidad en las transacciones.</w:t>
      </w:r>
    </w:p>
    <w:p w14:paraId="1D02A805" w14:textId="77777777" w:rsidR="00BD31E4" w:rsidRDefault="00BD31E4" w:rsidP="00BD31E4">
      <w:pPr>
        <w:spacing w:after="120" w:line="276" w:lineRule="auto"/>
        <w:jc w:val="both"/>
        <w:rPr>
          <w:rFonts w:ascii="Verdana" w:eastAsia="Calibri" w:hAnsi="Verdana" w:cs="Arial"/>
          <w:lang w:val="es-MX"/>
        </w:rPr>
      </w:pPr>
      <w:r w:rsidRPr="00844B92">
        <w:rPr>
          <w:rFonts w:ascii="Verdana" w:eastAsia="Calibri" w:hAnsi="Verdana" w:cs="Arial"/>
          <w:lang w:val="es-MX"/>
        </w:rPr>
        <w:tab/>
        <w:t>De conformidad con el artículo 2.2.1.2.1.2.12 del Decreto 1082 de 2015, modificado por el artículo 2 del Decreto 310 del 25 de marzo de 2021, las entidades reali</w:t>
      </w:r>
      <w:r>
        <w:rPr>
          <w:rFonts w:ascii="Verdana" w:eastAsia="Calibri" w:hAnsi="Verdana" w:cs="Arial"/>
          <w:lang w:val="es-MX"/>
        </w:rPr>
        <w:t>zan</w:t>
      </w:r>
      <w:r w:rsidRPr="00844B92">
        <w:rPr>
          <w:rFonts w:ascii="Verdana" w:eastAsia="Calibri" w:hAnsi="Verdana" w:cs="Arial"/>
          <w:lang w:val="es-MX"/>
        </w:rPr>
        <w:t xml:space="preserve"> un estudio comparativo en el que determinen las ventajas de utilizar el mecanismo. La disposición indicada además expresa que este estudio debe señalar la forma en que la entidad estatal garantiza los principios y objetivos del sistema de compras, contratación pública, los postulados de la función administrativa y de la gestión fiscal. De otro lado, expresamente se establece en el inciso segundo de la norma analizada que: “</w:t>
      </w:r>
      <w:r>
        <w:rPr>
          <w:rFonts w:ascii="Verdana" w:eastAsia="Calibri" w:hAnsi="Verdana" w:cs="Arial"/>
          <w:lang w:val="es-MX"/>
        </w:rPr>
        <w:t>[</w:t>
      </w:r>
      <w:r w:rsidRPr="00844B92">
        <w:rPr>
          <w:rFonts w:ascii="Verdana" w:eastAsia="Calibri" w:hAnsi="Verdana" w:cs="Arial"/>
          <w:lang w:val="es-MX"/>
        </w:rPr>
        <w:t>…</w:t>
      </w:r>
      <w:r>
        <w:rPr>
          <w:rFonts w:ascii="Verdana" w:eastAsia="Calibri" w:hAnsi="Verdana" w:cs="Arial"/>
          <w:lang w:val="es-MX"/>
        </w:rPr>
        <w:t xml:space="preserve">] </w:t>
      </w:r>
      <w:r w:rsidRPr="00844B92">
        <w:rPr>
          <w:rFonts w:ascii="Verdana" w:eastAsia="Calibri" w:hAnsi="Verdana" w:cs="Arial"/>
          <w:lang w:val="es-MX"/>
        </w:rPr>
        <w:t>este estudio deberá consignarse expresamente en los documentos del Proceso de Selección y se deberá garantizar su oportuna publicidad a través del SECOP”.</w:t>
      </w:r>
    </w:p>
    <w:p w14:paraId="09F495E5" w14:textId="77777777" w:rsidR="00BD31E4" w:rsidRDefault="00BD31E4" w:rsidP="00BD31E4">
      <w:pPr>
        <w:spacing w:after="120" w:line="276" w:lineRule="auto"/>
        <w:ind w:firstLine="709"/>
        <w:jc w:val="both"/>
        <w:rPr>
          <w:rFonts w:ascii="Verdana" w:eastAsia="Calibri" w:hAnsi="Verdana" w:cs="Arial"/>
          <w:color w:val="000000" w:themeColor="text1"/>
          <w:lang w:val="es-MX"/>
        </w:rPr>
      </w:pPr>
      <w:bookmarkStart w:id="16" w:name="OLE_LINK6"/>
      <w:r w:rsidRPr="004157FA">
        <w:rPr>
          <w:rFonts w:ascii="Verdana" w:hAnsi="Verdana" w:cs="Arial"/>
          <w:lang w:val="es-MX"/>
        </w:rPr>
        <w:t>No obstante</w:t>
      </w:r>
      <w:r w:rsidRPr="004157FA">
        <w:rPr>
          <w:rFonts w:ascii="Verdana" w:eastAsia="Calibri" w:hAnsi="Verdana" w:cs="Arial"/>
          <w:color w:val="000000" w:themeColor="text1"/>
          <w:lang w:val="es-MX"/>
        </w:rPr>
        <w:t xml:space="preserve">, los incisos tercero y cuarto de la disposición analizada también permiten a las entidades estatales acudir a las bolsas de productos cuando a pesar de la existencia de un acuerdo marco de precios, mediante aquel mecanismo se obtengan precios inferiores, incluyendo los costos generados por concepto de comisionistas de bolsa y los gastos de operación indicados en el artículo 2.2.1.2.1.2.15. del Decreto 1082 de 2015 y no se desmejoren las condiciones técnicas y de calidad. </w:t>
      </w:r>
      <w:r>
        <w:rPr>
          <w:rFonts w:ascii="Verdana" w:eastAsia="Calibri" w:hAnsi="Verdana" w:cs="Arial"/>
          <w:color w:val="000000" w:themeColor="text1"/>
          <w:lang w:val="es-MX"/>
        </w:rPr>
        <w:t>L</w:t>
      </w:r>
      <w:r w:rsidRPr="004A37D8">
        <w:rPr>
          <w:rFonts w:ascii="Verdana" w:eastAsia="Calibri" w:hAnsi="Verdana" w:cs="Arial"/>
          <w:color w:val="000000" w:themeColor="text1"/>
          <w:lang w:val="es-MX"/>
        </w:rPr>
        <w:t>o anterior, sin perjuicio de qué cada entidad verifique lo previsto en el parágrafo tercero</w:t>
      </w:r>
      <w:r>
        <w:rPr>
          <w:rFonts w:ascii="Verdana" w:eastAsia="Calibri" w:hAnsi="Verdana" w:cs="Arial"/>
          <w:color w:val="000000" w:themeColor="text1"/>
          <w:lang w:val="es-MX"/>
        </w:rPr>
        <w:t xml:space="preserve"> respecto de la obligatoriedad del Acuerdo Marco para las entidades estatales de la Rama Ejecutiva del Poder Público del orden Nacional. </w:t>
      </w:r>
    </w:p>
    <w:bookmarkEnd w:id="16"/>
    <w:p w14:paraId="07273003" w14:textId="77777777" w:rsidR="00BD31E4" w:rsidRDefault="00BD31E4" w:rsidP="00BD31E4">
      <w:pPr>
        <w:spacing w:after="120" w:line="276" w:lineRule="auto"/>
        <w:ind w:firstLine="709"/>
        <w:jc w:val="both"/>
        <w:rPr>
          <w:rFonts w:ascii="Verdana" w:eastAsia="Calibri" w:hAnsi="Verdana" w:cs="Arial"/>
          <w:color w:val="000000" w:themeColor="text1"/>
          <w:lang w:val="es-MX"/>
        </w:rPr>
      </w:pPr>
      <w:r w:rsidRPr="004157FA">
        <w:rPr>
          <w:rFonts w:ascii="Verdana" w:eastAsia="Calibri" w:hAnsi="Verdana" w:cs="Arial"/>
          <w:color w:val="000000" w:themeColor="text1"/>
          <w:lang w:val="es-MX"/>
        </w:rPr>
        <w:t>Este análisis comparativo se debe realizar con el “promedio de los valores finales de las operaciones secundarias materializadas con ocasión de las órdenes de compra colocadas por las Entidades compradoras a través de la Tienda Virtual del Estado, administrada por la Agencia Nacional de Contratación Pública -Colombia Compra Eficiente- durante los últimos seis (6) meses</w:t>
      </w:r>
      <w:r>
        <w:rPr>
          <w:rStyle w:val="Refdenotaalpie"/>
          <w:rFonts w:ascii="Verdana" w:eastAsia="Calibri" w:hAnsi="Verdana" w:cs="Arial"/>
          <w:color w:val="000000" w:themeColor="text1"/>
          <w:lang w:val="es-MX"/>
        </w:rPr>
        <w:footnoteReference w:id="31"/>
      </w:r>
      <w:r>
        <w:rPr>
          <w:rFonts w:ascii="Verdana" w:eastAsia="Calibri" w:hAnsi="Verdana" w:cs="Arial"/>
          <w:color w:val="000000" w:themeColor="text1"/>
          <w:lang w:val="es-MX"/>
        </w:rPr>
        <w:t>.</w:t>
      </w:r>
    </w:p>
    <w:p w14:paraId="056990F3" w14:textId="77777777" w:rsidR="00BD31E4" w:rsidRDefault="00BD31E4" w:rsidP="00BD31E4">
      <w:pPr>
        <w:spacing w:after="120" w:line="276" w:lineRule="auto"/>
        <w:ind w:firstLine="708"/>
        <w:jc w:val="both"/>
        <w:rPr>
          <w:rFonts w:ascii="Verdana" w:eastAsia="Calibri" w:hAnsi="Verdana" w:cs="Arial"/>
          <w:color w:val="000000" w:themeColor="text1"/>
        </w:rPr>
      </w:pPr>
      <w:r w:rsidRPr="004157FA">
        <w:rPr>
          <w:rFonts w:ascii="Verdana" w:eastAsia="Calibri" w:hAnsi="Verdana" w:cs="Arial"/>
          <w:color w:val="000000" w:themeColor="text1"/>
          <w:lang w:val="es-MX"/>
        </w:rPr>
        <w:lastRenderedPageBreak/>
        <w:t xml:space="preserve">Desde una perspectiva general, en principio la adquisición de bienes y servicios de características técnicas uniformes a través del mecanismo de bolsa de productos, conduce a interpretar que las operaciones a las que se refiere la norma son operaciones de compraventa de productos, específicamente para la compra de bienes y servicios de características técnicas uniformes y de común utilización, única finalidad para la que se contempla el mecanismo de bolsa de productos en el EGCAP, a las que </w:t>
      </w:r>
      <w:r w:rsidRPr="004157FA">
        <w:rPr>
          <w:rFonts w:ascii="Verdana" w:eastAsia="Calibri" w:hAnsi="Verdana" w:cs="Arial"/>
          <w:color w:val="000000" w:themeColor="text1"/>
        </w:rPr>
        <w:t>pueden acceder las entidades estatales en los términos analizados previamente.</w:t>
      </w:r>
    </w:p>
    <w:p w14:paraId="3DEA740C" w14:textId="77777777" w:rsidR="00BD31E4" w:rsidRPr="00B31A79" w:rsidRDefault="00BD31E4" w:rsidP="00BD31E4">
      <w:pPr>
        <w:spacing w:after="120" w:line="276" w:lineRule="auto"/>
        <w:ind w:firstLine="709"/>
        <w:jc w:val="both"/>
        <w:rPr>
          <w:rFonts w:ascii="Verdana" w:eastAsia="Calibri" w:hAnsi="Verdana" w:cs="Arial"/>
          <w:color w:val="000000" w:themeColor="text1"/>
          <w:lang w:val="es-MX"/>
        </w:rPr>
      </w:pPr>
      <w:r w:rsidRPr="004157FA">
        <w:rPr>
          <w:rFonts w:ascii="Verdana" w:eastAsia="Calibri" w:hAnsi="Verdana" w:cs="Arial"/>
          <w:color w:val="000000" w:themeColor="text1"/>
        </w:rPr>
        <w:t>La adquisición</w:t>
      </w:r>
      <w:r w:rsidRPr="004157FA">
        <w:rPr>
          <w:rFonts w:ascii="Verdana" w:eastAsia="Calibri" w:hAnsi="Verdana" w:cs="Arial"/>
          <w:color w:val="000000" w:themeColor="text1"/>
          <w:lang w:val="es-MX"/>
        </w:rPr>
        <w:t xml:space="preserve"> de estos bienes</w:t>
      </w:r>
      <w:r>
        <w:rPr>
          <w:rFonts w:ascii="Verdana" w:eastAsia="Calibri" w:hAnsi="Verdana" w:cs="Arial"/>
          <w:color w:val="000000" w:themeColor="text1"/>
          <w:lang w:val="es-MX"/>
        </w:rPr>
        <w:t xml:space="preserve"> mediante la bolsa de productos</w:t>
      </w:r>
      <w:r w:rsidRPr="004157FA">
        <w:rPr>
          <w:rFonts w:ascii="Verdana" w:eastAsia="Calibri" w:hAnsi="Verdana" w:cs="Arial"/>
          <w:color w:val="000000" w:themeColor="text1"/>
          <w:lang w:val="es-MX"/>
        </w:rPr>
        <w:t>, sin perjuicio de la aplicación de los artículos 2.2.1.2.1.2.11</w:t>
      </w:r>
      <w:r>
        <w:rPr>
          <w:rFonts w:ascii="Verdana" w:eastAsia="Calibri" w:hAnsi="Verdana" w:cs="Arial"/>
          <w:color w:val="000000" w:themeColor="text1"/>
          <w:lang w:val="es-MX"/>
        </w:rPr>
        <w:t xml:space="preserve"> </w:t>
      </w:r>
      <w:r w:rsidRPr="004157FA">
        <w:rPr>
          <w:rFonts w:ascii="Verdana" w:eastAsia="Calibri" w:hAnsi="Verdana" w:cs="Arial"/>
          <w:color w:val="000000" w:themeColor="text1"/>
          <w:lang w:val="es-MX"/>
        </w:rPr>
        <w:t>a</w:t>
      </w:r>
      <w:r>
        <w:rPr>
          <w:rFonts w:ascii="Verdana" w:eastAsia="Calibri" w:hAnsi="Verdana" w:cs="Arial"/>
          <w:color w:val="000000" w:themeColor="text1"/>
          <w:lang w:val="es-MX"/>
        </w:rPr>
        <w:t xml:space="preserve"> </w:t>
      </w:r>
      <w:r w:rsidRPr="004157FA">
        <w:rPr>
          <w:rFonts w:ascii="Verdana" w:eastAsia="Calibri" w:hAnsi="Verdana" w:cs="Arial"/>
          <w:color w:val="000000" w:themeColor="text1"/>
          <w:lang w:val="es-MX"/>
        </w:rPr>
        <w:t xml:space="preserve">2.1.2.1.2.19 del Decreto 1082 de 2015 en lo pertinente, se rigen principalmente por el Decreto 2555 de 2010 y los reglamentos internos de las bolsas de productos en las que se lleven a cabo las operaciones. </w:t>
      </w:r>
      <w:r>
        <w:rPr>
          <w:rFonts w:ascii="Verdana" w:eastAsia="Calibri" w:hAnsi="Verdana" w:cs="Arial"/>
          <w:color w:val="000000" w:themeColor="text1"/>
          <w:lang w:val="es-MX"/>
        </w:rPr>
        <w:t>A</w:t>
      </w:r>
      <w:r w:rsidRPr="004157FA">
        <w:rPr>
          <w:rFonts w:ascii="Verdana" w:eastAsia="Calibri" w:hAnsi="Verdana" w:cs="Arial"/>
          <w:color w:val="000000" w:themeColor="text1"/>
          <w:lang w:val="es-MX"/>
        </w:rPr>
        <w:t xml:space="preserve">l Decreto 2555 de 2010, mediante el artículo 2.11.1.1.5, habilita a las bolsas de productos para expedir sus reglamentos, </w:t>
      </w:r>
      <w:r w:rsidRPr="004157FA">
        <w:rPr>
          <w:rFonts w:ascii="Verdana" w:eastAsia="Calibri" w:hAnsi="Verdana" w:cs="Arial"/>
          <w:color w:val="000000" w:themeColor="text1"/>
          <w:lang w:val="es-MX"/>
        </w:rPr>
        <w:lastRenderedPageBreak/>
        <w:t xml:space="preserve">estableciendo que estos deberán regular la organización, administración, funcionamiento, así como las operaciones y actividades que se realicen por conducto de los mercados que </w:t>
      </w:r>
      <w:r w:rsidRPr="004157FA">
        <w:rPr>
          <w:rFonts w:ascii="Verdana" w:hAnsi="Verdana" w:cs="Arial"/>
          <w:lang w:val="es-MX"/>
        </w:rPr>
        <w:t>administre la correspondiente bolsa</w:t>
      </w:r>
      <w:r>
        <w:rPr>
          <w:rStyle w:val="Refdenotaalpie"/>
          <w:rFonts w:ascii="Verdana" w:hAnsi="Verdana" w:cs="Arial"/>
          <w:lang w:val="es-MX"/>
        </w:rPr>
        <w:footnoteReference w:id="32"/>
      </w:r>
      <w:r>
        <w:rPr>
          <w:rFonts w:ascii="Verdana" w:hAnsi="Verdana" w:cs="Arial"/>
          <w:lang w:val="es-MX"/>
        </w:rPr>
        <w:t>.</w:t>
      </w:r>
      <w:r>
        <w:rPr>
          <w:rFonts w:ascii="Verdana" w:eastAsia="Calibri" w:hAnsi="Verdana" w:cs="Arial"/>
          <w:color w:val="000000" w:themeColor="text1"/>
          <w:lang w:val="es-MX"/>
        </w:rPr>
        <w:t xml:space="preserve"> </w:t>
      </w:r>
      <w:r w:rsidRPr="004157FA">
        <w:rPr>
          <w:rFonts w:ascii="Verdana" w:hAnsi="Verdana" w:cs="Arial"/>
          <w:lang w:val="es-MX"/>
        </w:rPr>
        <w:t>En el marco de</w:t>
      </w:r>
      <w:r w:rsidRPr="004157FA">
        <w:rPr>
          <w:rFonts w:ascii="Verdana" w:eastAsia="Calibri" w:hAnsi="Verdana" w:cs="Arial"/>
          <w:color w:val="000000" w:themeColor="text1"/>
          <w:lang w:val="es-MX"/>
        </w:rPr>
        <w:t xml:space="preserve"> tal ejercicio de autorregulación que implica la expedición de sus propios reglamentos, las bolsas de productos tienen la posibilidad de definir distintas modalidades para llevar a cabo las negociaciones de los productos, establecer sus requisitos, procedimientos e incluso determinar documentación que deberá </w:t>
      </w:r>
      <w:r>
        <w:rPr>
          <w:rFonts w:ascii="Verdana" w:eastAsia="Calibri" w:hAnsi="Verdana" w:cs="Arial"/>
          <w:color w:val="000000" w:themeColor="text1"/>
          <w:lang w:val="es-MX"/>
        </w:rPr>
        <w:t>producirse</w:t>
      </w:r>
      <w:r w:rsidRPr="004157FA">
        <w:rPr>
          <w:rFonts w:ascii="Verdana" w:eastAsia="Calibri" w:hAnsi="Verdana" w:cs="Arial"/>
          <w:color w:val="000000" w:themeColor="text1"/>
          <w:lang w:val="es-MX"/>
        </w:rPr>
        <w:t xml:space="preserve"> en el marco de las operaciones que se lleven a cabo. </w:t>
      </w:r>
    </w:p>
    <w:bookmarkEnd w:id="14"/>
    <w:p w14:paraId="6672CBEB" w14:textId="77777777" w:rsidR="00BD31E4" w:rsidRPr="00E66DD3" w:rsidRDefault="00BD31E4" w:rsidP="00BD31E4">
      <w:pPr>
        <w:spacing w:after="120" w:line="276" w:lineRule="auto"/>
        <w:ind w:firstLine="708"/>
        <w:jc w:val="both"/>
        <w:rPr>
          <w:rFonts w:ascii="Verdana" w:eastAsia="Times New Roman" w:hAnsi="Verdana" w:cs="Arial"/>
          <w:bCs/>
          <w:lang w:val="es-MX" w:eastAsia="x-none"/>
        </w:rPr>
      </w:pPr>
      <w:r w:rsidRPr="00385A72">
        <w:rPr>
          <w:rFonts w:ascii="Verdana" w:eastAsia="Times New Roman" w:hAnsi="Verdana" w:cs="Arial"/>
          <w:lang w:val="es-ES" w:eastAsia="es-ES_tradnl"/>
        </w:rPr>
        <w:t>En virtud de lo expuesto, la adquisición de bienes</w:t>
      </w:r>
      <w:r>
        <w:rPr>
          <w:rFonts w:ascii="Verdana" w:eastAsia="Times New Roman" w:hAnsi="Verdana" w:cs="Arial"/>
          <w:lang w:val="es-ES" w:eastAsia="es-ES_tradnl"/>
        </w:rPr>
        <w:t xml:space="preserve"> y servicios de características técnicas uniformes mediante la bolsa de productos</w:t>
      </w:r>
      <w:r w:rsidRPr="00385A72">
        <w:rPr>
          <w:rFonts w:ascii="Verdana" w:eastAsia="Times New Roman" w:hAnsi="Verdana" w:cs="Arial"/>
          <w:lang w:val="es-ES" w:eastAsia="es-ES_tradnl"/>
        </w:rPr>
        <w:t xml:space="preserve">, </w:t>
      </w:r>
      <w:r>
        <w:rPr>
          <w:rFonts w:ascii="Verdana" w:eastAsia="Times New Roman" w:hAnsi="Verdana" w:cs="Arial"/>
          <w:lang w:val="es-ES" w:eastAsia="es-ES_tradnl"/>
        </w:rPr>
        <w:t xml:space="preserve">se adelanta mediante </w:t>
      </w:r>
      <w:r w:rsidRPr="00385A72">
        <w:rPr>
          <w:rFonts w:ascii="Verdana" w:eastAsia="Times New Roman" w:hAnsi="Verdana" w:cs="Arial"/>
          <w:lang w:val="es-ES" w:eastAsia="es-ES_tradnl"/>
        </w:rPr>
        <w:t xml:space="preserve">un procedimiento competitivo que </w:t>
      </w:r>
      <w:r>
        <w:rPr>
          <w:rFonts w:ascii="Verdana" w:eastAsia="Times New Roman" w:hAnsi="Verdana" w:cs="Arial"/>
          <w:lang w:val="es-ES" w:eastAsia="es-ES_tradnl"/>
        </w:rPr>
        <w:t xml:space="preserve">no </w:t>
      </w:r>
      <w:r w:rsidRPr="00385A72">
        <w:rPr>
          <w:rFonts w:ascii="Verdana" w:eastAsia="Times New Roman" w:hAnsi="Verdana" w:cs="Arial"/>
          <w:lang w:val="es-ES" w:eastAsia="es-ES_tradnl"/>
        </w:rPr>
        <w:t>está restringido por la prohibición establecida en el artículo 33 de la Ley 996 de 2005 que aplica a todas las entidades del Estado</w:t>
      </w:r>
      <w:r w:rsidRPr="00385A72">
        <w:rPr>
          <w:rFonts w:ascii="Verdana" w:eastAsia="Times New Roman" w:hAnsi="Verdana" w:cs="Arial"/>
          <w:bCs/>
          <w:lang w:val="es-MX" w:eastAsia="x-none"/>
        </w:rPr>
        <w:t xml:space="preserve"> </w:t>
      </w:r>
      <w:r w:rsidRPr="00385A72">
        <w:rPr>
          <w:rFonts w:ascii="Verdana" w:eastAsia="Times New Roman" w:hAnsi="Verdana" w:cs="Arial"/>
          <w:bCs/>
          <w:lang w:val="es-MX" w:eastAsia="es-ES_tradnl"/>
        </w:rPr>
        <w:t>dentro de los cuatro (4) meses anteriores a la celebración de los comicios presidenciales</w:t>
      </w:r>
      <w:r w:rsidRPr="00385A72">
        <w:rPr>
          <w:rFonts w:ascii="Verdana" w:eastAsia="Times New Roman" w:hAnsi="Verdana" w:cs="Arial"/>
          <w:lang w:val="es-ES" w:eastAsia="es-ES_tradnl"/>
        </w:rPr>
        <w:t xml:space="preserve">. </w:t>
      </w:r>
      <w:r w:rsidRPr="00385A72">
        <w:rPr>
          <w:rFonts w:ascii="Verdana" w:eastAsia="Times New Roman" w:hAnsi="Verdana" w:cs="Arial"/>
          <w:bCs/>
          <w:lang w:val="es-MX" w:eastAsia="x-none"/>
        </w:rPr>
        <w:t xml:space="preserve">En tal sentido, </w:t>
      </w:r>
      <w:r>
        <w:rPr>
          <w:rFonts w:ascii="Verdana" w:eastAsia="Times New Roman" w:hAnsi="Verdana" w:cs="Arial"/>
          <w:bCs/>
          <w:lang w:val="es-MX" w:eastAsia="x-none"/>
        </w:rPr>
        <w:t>l</w:t>
      </w:r>
      <w:r w:rsidRPr="00E66DD3">
        <w:rPr>
          <w:rFonts w:ascii="Verdana" w:eastAsia="Times New Roman" w:hAnsi="Verdana" w:cs="Arial"/>
          <w:bCs/>
          <w:lang w:val="es-MX" w:eastAsia="x-none"/>
        </w:rPr>
        <w:t>a Ley 996 de 2005 establece restricciones específicas para la contratación directa</w:t>
      </w:r>
      <w:r>
        <w:rPr>
          <w:rFonts w:ascii="Verdana" w:eastAsia="Times New Roman" w:hAnsi="Verdana" w:cs="Arial"/>
          <w:bCs/>
          <w:lang w:val="es-MX" w:eastAsia="x-none"/>
        </w:rPr>
        <w:t>, pero</w:t>
      </w:r>
      <w:r w:rsidRPr="00E66DD3">
        <w:rPr>
          <w:rFonts w:ascii="Verdana" w:eastAsia="Times New Roman" w:hAnsi="Verdana" w:cs="Arial"/>
          <w:bCs/>
          <w:lang w:val="es-MX" w:eastAsia="x-none"/>
        </w:rPr>
        <w:t>, las operaciones realizadas a trav</w:t>
      </w:r>
      <w:r w:rsidRPr="00E66DD3">
        <w:rPr>
          <w:rFonts w:ascii="Verdana" w:eastAsia="Times New Roman" w:hAnsi="Verdana" w:cs="Verdana"/>
          <w:bCs/>
          <w:lang w:val="es-MX" w:eastAsia="x-none"/>
        </w:rPr>
        <w:t>é</w:t>
      </w:r>
      <w:r w:rsidRPr="00E66DD3">
        <w:rPr>
          <w:rFonts w:ascii="Verdana" w:eastAsia="Times New Roman" w:hAnsi="Verdana" w:cs="Arial"/>
          <w:bCs/>
          <w:lang w:val="es-MX" w:eastAsia="x-none"/>
        </w:rPr>
        <w:t xml:space="preserve">s </w:t>
      </w:r>
      <w:r>
        <w:rPr>
          <w:rFonts w:ascii="Verdana" w:eastAsia="Times New Roman" w:hAnsi="Verdana" w:cs="Arial"/>
          <w:bCs/>
          <w:lang w:val="es-MX" w:eastAsia="x-none"/>
        </w:rPr>
        <w:t xml:space="preserve">de la Bolsa de Productos </w:t>
      </w:r>
      <w:r w:rsidRPr="00E66DD3">
        <w:rPr>
          <w:rFonts w:ascii="Verdana" w:eastAsia="Times New Roman" w:hAnsi="Verdana" w:cs="Arial"/>
          <w:bCs/>
          <w:lang w:val="es-MX" w:eastAsia="x-none"/>
        </w:rPr>
        <w:t>no constituyen contrataci</w:t>
      </w:r>
      <w:r w:rsidRPr="00E66DD3">
        <w:rPr>
          <w:rFonts w:ascii="Verdana" w:eastAsia="Times New Roman" w:hAnsi="Verdana" w:cs="Verdana"/>
          <w:bCs/>
          <w:lang w:val="es-MX" w:eastAsia="x-none"/>
        </w:rPr>
        <w:t>ó</w:t>
      </w:r>
      <w:r w:rsidRPr="00E66DD3">
        <w:rPr>
          <w:rFonts w:ascii="Verdana" w:eastAsia="Times New Roman" w:hAnsi="Verdana" w:cs="Arial"/>
          <w:bCs/>
          <w:lang w:val="es-MX" w:eastAsia="x-none"/>
        </w:rPr>
        <w:t>n directa en los t</w:t>
      </w:r>
      <w:r w:rsidRPr="00E66DD3">
        <w:rPr>
          <w:rFonts w:ascii="Verdana" w:eastAsia="Times New Roman" w:hAnsi="Verdana" w:cs="Verdana"/>
          <w:bCs/>
          <w:lang w:val="es-MX" w:eastAsia="x-none"/>
        </w:rPr>
        <w:t>é</w:t>
      </w:r>
      <w:r w:rsidRPr="00E66DD3">
        <w:rPr>
          <w:rFonts w:ascii="Verdana" w:eastAsia="Times New Roman" w:hAnsi="Verdana" w:cs="Arial"/>
          <w:bCs/>
          <w:lang w:val="es-MX" w:eastAsia="x-none"/>
        </w:rPr>
        <w:t>rminos del Estatuto General de Contrataci</w:t>
      </w:r>
      <w:r w:rsidRPr="00E66DD3">
        <w:rPr>
          <w:rFonts w:ascii="Verdana" w:eastAsia="Times New Roman" w:hAnsi="Verdana" w:cs="Verdana"/>
          <w:bCs/>
          <w:lang w:val="es-MX" w:eastAsia="x-none"/>
        </w:rPr>
        <w:t>ó</w:t>
      </w:r>
      <w:r w:rsidRPr="00E66DD3">
        <w:rPr>
          <w:rFonts w:ascii="Verdana" w:eastAsia="Times New Roman" w:hAnsi="Verdana" w:cs="Arial"/>
          <w:bCs/>
          <w:lang w:val="es-MX" w:eastAsia="x-none"/>
        </w:rPr>
        <w:t>n</w:t>
      </w:r>
      <w:r>
        <w:rPr>
          <w:rFonts w:ascii="Verdana" w:eastAsia="Times New Roman" w:hAnsi="Verdana" w:cs="Arial"/>
          <w:bCs/>
          <w:lang w:val="es-MX" w:eastAsia="x-none"/>
        </w:rPr>
        <w:t xml:space="preserve"> de la Administración Pública -EGCAP-</w:t>
      </w:r>
      <w:r w:rsidRPr="00E66DD3">
        <w:rPr>
          <w:rFonts w:ascii="Verdana" w:eastAsia="Times New Roman" w:hAnsi="Verdana" w:cs="Arial"/>
          <w:bCs/>
          <w:lang w:val="es-MX" w:eastAsia="x-none"/>
        </w:rPr>
        <w:t>, sino un mecanismo de selecci</w:t>
      </w:r>
      <w:r w:rsidRPr="00E66DD3">
        <w:rPr>
          <w:rFonts w:ascii="Verdana" w:eastAsia="Times New Roman" w:hAnsi="Verdana" w:cs="Verdana"/>
          <w:bCs/>
          <w:lang w:val="es-MX" w:eastAsia="x-none"/>
        </w:rPr>
        <w:t>ó</w:t>
      </w:r>
      <w:r w:rsidRPr="00E66DD3">
        <w:rPr>
          <w:rFonts w:ascii="Verdana" w:eastAsia="Times New Roman" w:hAnsi="Verdana" w:cs="Arial"/>
          <w:bCs/>
          <w:lang w:val="es-MX" w:eastAsia="x-none"/>
        </w:rPr>
        <w:t>n con reglas propias, basado en la intermediaci</w:t>
      </w:r>
      <w:r w:rsidRPr="00E66DD3">
        <w:rPr>
          <w:rFonts w:ascii="Verdana" w:eastAsia="Times New Roman" w:hAnsi="Verdana" w:cs="Verdana"/>
          <w:bCs/>
          <w:lang w:val="es-MX" w:eastAsia="x-none"/>
        </w:rPr>
        <w:t>ó</w:t>
      </w:r>
      <w:r w:rsidRPr="00E66DD3">
        <w:rPr>
          <w:rFonts w:ascii="Verdana" w:eastAsia="Times New Roman" w:hAnsi="Verdana" w:cs="Arial"/>
          <w:bCs/>
          <w:lang w:val="es-MX" w:eastAsia="x-none"/>
        </w:rPr>
        <w:t>n de comisionistas, la formaci</w:t>
      </w:r>
      <w:r w:rsidRPr="00E66DD3">
        <w:rPr>
          <w:rFonts w:ascii="Verdana" w:eastAsia="Times New Roman" w:hAnsi="Verdana" w:cs="Verdana"/>
          <w:bCs/>
          <w:lang w:val="es-MX" w:eastAsia="x-none"/>
        </w:rPr>
        <w:t>ó</w:t>
      </w:r>
      <w:r w:rsidRPr="00E66DD3">
        <w:rPr>
          <w:rFonts w:ascii="Verdana" w:eastAsia="Times New Roman" w:hAnsi="Verdana" w:cs="Arial"/>
          <w:bCs/>
          <w:lang w:val="es-MX" w:eastAsia="x-none"/>
        </w:rPr>
        <w:t>n p</w:t>
      </w:r>
      <w:r w:rsidRPr="00E66DD3">
        <w:rPr>
          <w:rFonts w:ascii="Verdana" w:eastAsia="Times New Roman" w:hAnsi="Verdana" w:cs="Verdana"/>
          <w:bCs/>
          <w:lang w:val="es-MX" w:eastAsia="x-none"/>
        </w:rPr>
        <w:t>ú</w:t>
      </w:r>
      <w:r w:rsidRPr="00E66DD3">
        <w:rPr>
          <w:rFonts w:ascii="Verdana" w:eastAsia="Times New Roman" w:hAnsi="Verdana" w:cs="Arial"/>
          <w:bCs/>
          <w:lang w:val="es-MX" w:eastAsia="x-none"/>
        </w:rPr>
        <w:t>blica de precios y la regulaci</w:t>
      </w:r>
      <w:r w:rsidRPr="00E66DD3">
        <w:rPr>
          <w:rFonts w:ascii="Verdana" w:eastAsia="Times New Roman" w:hAnsi="Verdana" w:cs="Verdana"/>
          <w:bCs/>
          <w:lang w:val="es-MX" w:eastAsia="x-none"/>
        </w:rPr>
        <w:t>ó</w:t>
      </w:r>
      <w:r w:rsidRPr="00E66DD3">
        <w:rPr>
          <w:rFonts w:ascii="Verdana" w:eastAsia="Times New Roman" w:hAnsi="Verdana" w:cs="Arial"/>
          <w:bCs/>
          <w:lang w:val="es-MX" w:eastAsia="x-none"/>
        </w:rPr>
        <w:t xml:space="preserve">n especial del mercado de bienes y productos. Por ello, la limitación prevista en la Ley 996 debe interpretarse de manera estricta y no puede extenderse a modalidades que no encajan en </w:t>
      </w:r>
      <w:r>
        <w:rPr>
          <w:rFonts w:ascii="Verdana" w:eastAsia="Times New Roman" w:hAnsi="Verdana" w:cs="Arial"/>
          <w:bCs/>
          <w:lang w:val="es-MX" w:eastAsia="x-none"/>
        </w:rPr>
        <w:t>el concepto de contratación directa</w:t>
      </w:r>
      <w:r w:rsidRPr="00E66DD3">
        <w:rPr>
          <w:rFonts w:ascii="Verdana" w:eastAsia="Times New Roman" w:hAnsi="Verdana" w:cs="Arial"/>
          <w:bCs/>
          <w:lang w:val="es-MX" w:eastAsia="x-none"/>
        </w:rPr>
        <w:t>.</w:t>
      </w:r>
    </w:p>
    <w:p w14:paraId="5D05F539" w14:textId="77777777" w:rsidR="00BD31E4" w:rsidRPr="0013401F" w:rsidRDefault="00BD31E4" w:rsidP="00BD31E4">
      <w:pPr>
        <w:spacing w:after="120" w:line="276" w:lineRule="auto"/>
        <w:ind w:firstLine="708"/>
        <w:jc w:val="both"/>
        <w:rPr>
          <w:rFonts w:ascii="Verdana" w:eastAsia="Times New Roman" w:hAnsi="Verdana" w:cs="Arial"/>
          <w:bCs/>
          <w:lang w:val="es-MX" w:eastAsia="es-CO"/>
        </w:rPr>
      </w:pPr>
      <w:r w:rsidRPr="00E66DD3">
        <w:rPr>
          <w:rFonts w:ascii="Verdana" w:eastAsia="Times New Roman" w:hAnsi="Verdana" w:cs="Arial"/>
          <w:bCs/>
          <w:lang w:val="es-MX" w:eastAsia="x-none"/>
        </w:rPr>
        <w:t xml:space="preserve">En consecuencia, las compras efectuadas mediante la Bolsa Mercantil no se encuentran sujetas a las prohibiciones de contratación directa previstas para el periodo preelectoral. Las entidades pueden continuar utilizando la </w:t>
      </w:r>
      <w:r>
        <w:rPr>
          <w:rFonts w:ascii="Verdana" w:eastAsia="Times New Roman" w:hAnsi="Verdana" w:cs="Arial"/>
          <w:bCs/>
          <w:lang w:val="es-MX" w:eastAsia="x-none"/>
        </w:rPr>
        <w:t xml:space="preserve">adquisición </w:t>
      </w:r>
      <w:r>
        <w:rPr>
          <w:rFonts w:ascii="Verdana" w:eastAsia="Times New Roman" w:hAnsi="Verdana" w:cs="Arial"/>
          <w:bCs/>
          <w:lang w:val="es-MX" w:eastAsia="x-none"/>
        </w:rPr>
        <w:lastRenderedPageBreak/>
        <w:t xml:space="preserve">de bienes y servicios </w:t>
      </w:r>
      <w:r w:rsidRPr="00E66DD3">
        <w:rPr>
          <w:rFonts w:ascii="Verdana" w:eastAsia="Times New Roman" w:hAnsi="Verdana" w:cs="Arial"/>
          <w:bCs/>
          <w:lang w:val="es-MX" w:eastAsia="x-none"/>
        </w:rPr>
        <w:t xml:space="preserve">durante este periodo, siempre que se garantice la planeación adecuada, la transparencia del proceso y el cumplimiento de los principios </w:t>
      </w:r>
      <w:r>
        <w:rPr>
          <w:rFonts w:ascii="Verdana" w:eastAsia="Times New Roman" w:hAnsi="Verdana" w:cs="Arial"/>
          <w:bCs/>
          <w:lang w:val="es-MX" w:eastAsia="x-none"/>
        </w:rPr>
        <w:t xml:space="preserve">de la función administrativa, la gestión fiscal y la contratación estatal. </w:t>
      </w:r>
    </w:p>
    <w:p w14:paraId="489D7967" w14:textId="77777777" w:rsidR="00BD31E4" w:rsidRPr="004151A8" w:rsidRDefault="00BD31E4" w:rsidP="00BD31E4">
      <w:pPr>
        <w:pStyle w:val="paragraph"/>
        <w:shd w:val="clear" w:color="auto" w:fill="FFFFFF"/>
        <w:spacing w:before="0" w:beforeAutospacing="0" w:after="120" w:afterAutospacing="0" w:line="276" w:lineRule="auto"/>
        <w:jc w:val="both"/>
        <w:textAlignment w:val="baseline"/>
        <w:rPr>
          <w:rFonts w:ascii="Verdana" w:eastAsia="Calibri" w:hAnsi="Verdana" w:cs="Arial"/>
          <w:bCs/>
          <w:color w:val="000000" w:themeColor="text1"/>
          <w:sz w:val="22"/>
          <w:szCs w:val="22"/>
          <w:lang w:val="es-MX"/>
        </w:rPr>
      </w:pPr>
    </w:p>
    <w:p w14:paraId="5C473B42" w14:textId="77777777" w:rsidR="00BD31E4" w:rsidRPr="00F4158D" w:rsidRDefault="00BD31E4" w:rsidP="00BD31E4">
      <w:pPr>
        <w:pStyle w:val="paragraph"/>
        <w:shd w:val="clear" w:color="auto" w:fill="FFFFFF"/>
        <w:spacing w:before="0" w:beforeAutospacing="0" w:after="120" w:afterAutospacing="0" w:line="276" w:lineRule="auto"/>
        <w:jc w:val="both"/>
        <w:textAlignment w:val="baseline"/>
        <w:rPr>
          <w:rFonts w:ascii="Verdana" w:eastAsia="Calibri" w:hAnsi="Verdana" w:cs="Arial"/>
          <w:bCs/>
          <w:color w:val="000000" w:themeColor="text1"/>
          <w:sz w:val="22"/>
          <w:szCs w:val="22"/>
        </w:rPr>
      </w:pPr>
      <w:r>
        <w:rPr>
          <w:rFonts w:ascii="Verdana" w:eastAsia="Calibri" w:hAnsi="Verdana" w:cs="Arial"/>
          <w:bCs/>
          <w:color w:val="000000" w:themeColor="text1"/>
          <w:sz w:val="22"/>
          <w:szCs w:val="22"/>
        </w:rPr>
        <w:t xml:space="preserve">v. </w:t>
      </w:r>
      <w:r w:rsidRPr="00F4158D">
        <w:rPr>
          <w:rFonts w:ascii="Verdana" w:eastAsia="Calibri" w:hAnsi="Verdana" w:cs="Arial"/>
          <w:bCs/>
          <w:color w:val="000000" w:themeColor="text1"/>
          <w:sz w:val="22"/>
          <w:szCs w:val="22"/>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3B940D3" w14:textId="77777777" w:rsidR="00BD31E4" w:rsidRPr="00F4158D" w:rsidRDefault="00BD31E4" w:rsidP="00BD31E4">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4F89D11" w14:textId="77777777" w:rsidR="00BD31E4" w:rsidRPr="00F4158D" w:rsidRDefault="00BD31E4" w:rsidP="00BD31E4">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30AE7AC8" w14:textId="77777777" w:rsidR="00BD31E4" w:rsidRPr="00593A5F" w:rsidRDefault="00BD31E4" w:rsidP="00BD31E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30A909D2" w14:textId="77777777" w:rsidR="00BD31E4" w:rsidRPr="00593A5F" w:rsidRDefault="00BD31E4" w:rsidP="00BD31E4">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D31E4" w:rsidRPr="002407CE" w14:paraId="6F303023" w14:textId="77777777" w:rsidTr="007D72B3">
        <w:trPr>
          <w:trHeight w:val="311"/>
          <w:jc w:val="center"/>
        </w:trPr>
        <w:tc>
          <w:tcPr>
            <w:tcW w:w="8647" w:type="dxa"/>
          </w:tcPr>
          <w:p w14:paraId="5FEA9BD9" w14:textId="77777777" w:rsidR="00BD31E4" w:rsidRDefault="00BD31E4" w:rsidP="007D72B3">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Constitución Política de 1991, artículos 69, 127, 190, 197 y 286.</w:t>
            </w:r>
          </w:p>
          <w:p w14:paraId="4669B683" w14:textId="77777777" w:rsidR="00BD31E4" w:rsidRDefault="00BD31E4" w:rsidP="007D72B3">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80 de 1993, artículos 2, 39 y 41.</w:t>
            </w:r>
          </w:p>
          <w:p w14:paraId="608BA1E5" w14:textId="77777777" w:rsidR="00BD31E4" w:rsidRDefault="00BD31E4" w:rsidP="007D72B3">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996 de 2005, artículos 33 y 38.</w:t>
            </w:r>
          </w:p>
          <w:p w14:paraId="67CEB404" w14:textId="77777777" w:rsidR="00BD31E4" w:rsidRDefault="00BD31E4" w:rsidP="007D72B3">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1150 de 2007, artículo 2.</w:t>
            </w:r>
          </w:p>
          <w:p w14:paraId="7FDCF7E2" w14:textId="77777777" w:rsidR="00BD31E4" w:rsidRDefault="00BD31E4" w:rsidP="007D72B3">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Código Civil, artículos 31 y 1501.</w:t>
            </w:r>
          </w:p>
          <w:p w14:paraId="5B1E91A9" w14:textId="77777777" w:rsidR="00BD31E4" w:rsidRPr="008377DE" w:rsidRDefault="00BD31E4" w:rsidP="007D72B3">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127474">
              <w:rPr>
                <w:rFonts w:ascii="Verdana" w:hAnsi="Verdana" w:cs="Arial"/>
              </w:rPr>
              <w:t xml:space="preserve">Decreto 1082 de 2015. Artículo </w:t>
            </w:r>
            <w:r w:rsidRPr="008377DE">
              <w:rPr>
                <w:rFonts w:ascii="Verdana" w:hAnsi="Verdana" w:cs="Arial"/>
                <w:lang w:val="es-CO"/>
              </w:rPr>
              <w:t>2.2.1.2.1.2.11. a 2.2.1.2.1.2.19.</w:t>
            </w:r>
            <w:r>
              <w:rPr>
                <w:rFonts w:ascii="Verdana" w:hAnsi="Verdana" w:cs="Arial"/>
                <w:b/>
                <w:bCs/>
                <w:lang w:val="es-CO"/>
              </w:rPr>
              <w:t xml:space="preserve"> </w:t>
            </w:r>
          </w:p>
          <w:p w14:paraId="3EC6E446" w14:textId="77777777" w:rsidR="00BD31E4" w:rsidRPr="008377DE" w:rsidRDefault="00BD31E4" w:rsidP="007D72B3">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8377DE">
              <w:rPr>
                <w:rFonts w:ascii="Verdana" w:hAnsi="Verdana" w:cs="Arial"/>
                <w:lang w:val="es-CO"/>
              </w:rPr>
              <w:lastRenderedPageBreak/>
              <w:t xml:space="preserve">Decreto 2555 de 2010. </w:t>
            </w:r>
          </w:p>
        </w:tc>
      </w:tr>
    </w:tbl>
    <w:p w14:paraId="26B39F55" w14:textId="77777777" w:rsidR="00BD31E4" w:rsidRPr="002407CE" w:rsidRDefault="00BD31E4" w:rsidP="00BD31E4">
      <w:pPr>
        <w:widowControl w:val="0"/>
        <w:autoSpaceDE w:val="0"/>
        <w:autoSpaceDN w:val="0"/>
        <w:spacing w:after="0" w:line="276" w:lineRule="auto"/>
        <w:jc w:val="both"/>
        <w:rPr>
          <w:rFonts w:ascii="Verdana" w:hAnsi="Verdana" w:cs="Arial"/>
        </w:rPr>
      </w:pPr>
    </w:p>
    <w:p w14:paraId="53F45A04" w14:textId="77777777" w:rsidR="00BD31E4" w:rsidRPr="00593A5F" w:rsidRDefault="00BD31E4" w:rsidP="00BD31E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02E38FF" w14:textId="77777777" w:rsidR="00BD31E4" w:rsidRPr="00593A5F" w:rsidRDefault="00BD31E4" w:rsidP="00BD31E4">
      <w:pPr>
        <w:widowControl w:val="0"/>
        <w:autoSpaceDE w:val="0"/>
        <w:autoSpaceDN w:val="0"/>
        <w:spacing w:after="0" w:line="276" w:lineRule="auto"/>
        <w:jc w:val="both"/>
        <w:rPr>
          <w:rFonts w:ascii="Verdana" w:hAnsi="Verdana" w:cs="Arial"/>
        </w:rPr>
      </w:pPr>
    </w:p>
    <w:p w14:paraId="684D7DE7" w14:textId="77777777" w:rsidR="00BD31E4" w:rsidRPr="007D6CC8" w:rsidRDefault="00BD31E4" w:rsidP="00BD31E4">
      <w:pPr>
        <w:widowControl w:val="0"/>
        <w:autoSpaceDE w:val="0"/>
        <w:autoSpaceDN w:val="0"/>
        <w:spacing w:after="0" w:line="276" w:lineRule="auto"/>
        <w:jc w:val="both"/>
        <w:rPr>
          <w:rFonts w:ascii="Verdana" w:hAnsi="Verdana" w:cs="Arial"/>
          <w:shd w:val="clear" w:color="auto" w:fill="FFFFFF"/>
        </w:rPr>
      </w:pPr>
      <w:r w:rsidRPr="00177E85">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w:t>
      </w:r>
      <w:r>
        <w:rPr>
          <w:rFonts w:ascii="Verdana" w:hAnsi="Verdana" w:cs="Arial"/>
          <w:shd w:val="clear" w:color="auto" w:fill="FFFFFF"/>
        </w:rPr>
        <w:t xml:space="preserve">C-1343 del 20 de octubre de 2025, C-1350 del 1˚ de octubre de 2025, C-1401 del 22 de octubre de 2025, C-1512 del 27 de octubre de 2025, C-1488 del 30 de octubre de 2025, C-1596 del 6 de noviembre de 2025, C-1509 del 19 de noviembre de 2025, C-1773 del 5 de diciembre de 2025, C-1646 del 17 de diciembre de 2025, </w:t>
      </w:r>
      <w:r w:rsidRPr="00177E85">
        <w:rPr>
          <w:rFonts w:ascii="Verdana" w:hAnsi="Verdana" w:cs="Arial"/>
          <w:shd w:val="clear" w:color="auto" w:fill="FFFFFF"/>
        </w:rPr>
        <w:t>entre otros</w:t>
      </w:r>
      <w:r>
        <w:rPr>
          <w:rFonts w:ascii="Verdana" w:hAnsi="Verdana"/>
        </w:rPr>
        <w:t>.</w:t>
      </w:r>
      <w:r>
        <w:rPr>
          <w:rFonts w:ascii="Verdana" w:hAnsi="Verdana" w:cs="Arial"/>
          <w:shd w:val="clear" w:color="auto" w:fill="FFFFFF"/>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7FE3FD00" w14:textId="77777777" w:rsidR="00BD31E4" w:rsidRPr="00185EE9" w:rsidRDefault="00AF619D" w:rsidP="00BD31E4">
      <w:pPr>
        <w:spacing w:after="0" w:line="256" w:lineRule="auto"/>
        <w:jc w:val="both"/>
        <w:rPr>
          <w:rFonts w:ascii="Verdana" w:eastAsia="Calibri" w:hAnsi="Verdana" w:cs="Times New Roman"/>
        </w:rPr>
      </w:pPr>
      <w:hyperlink r:id="rId13" w:history="1">
        <w:r w:rsidR="00BD31E4" w:rsidRPr="00F14AAD">
          <w:rPr>
            <w:rStyle w:val="Hipervnculo"/>
            <w:rFonts w:ascii="Verdana" w:eastAsia="Calibri" w:hAnsi="Verdana" w:cs="Times New Roman"/>
            <w:lang w:val="es-ES"/>
          </w:rPr>
          <w:t>https://relatoria.colombiacompra.gov.co/busqueda/conceptos</w:t>
        </w:r>
      </w:hyperlink>
      <w:r w:rsidR="00BD31E4" w:rsidRPr="00185EE9">
        <w:rPr>
          <w:rFonts w:ascii="Verdana" w:eastAsia="Calibri" w:hAnsi="Verdana" w:cs="Times New Roman"/>
        </w:rPr>
        <w:t xml:space="preserve">. </w:t>
      </w:r>
    </w:p>
    <w:p w14:paraId="686DF364" w14:textId="77777777" w:rsidR="00BD31E4" w:rsidRPr="00096788" w:rsidRDefault="00BD31E4" w:rsidP="00BD31E4">
      <w:pPr>
        <w:widowControl w:val="0"/>
        <w:autoSpaceDE w:val="0"/>
        <w:autoSpaceDN w:val="0"/>
        <w:spacing w:after="0" w:line="276" w:lineRule="auto"/>
        <w:jc w:val="both"/>
        <w:rPr>
          <w:rFonts w:ascii="Verdana" w:hAnsi="Verdana" w:cs="Arial"/>
          <w:color w:val="000000" w:themeColor="text1"/>
          <w:shd w:val="clear" w:color="auto" w:fill="FFFFFF"/>
        </w:rPr>
      </w:pPr>
    </w:p>
    <w:p w14:paraId="5D1F300C" w14:textId="77777777" w:rsidR="00BD31E4" w:rsidRDefault="00BD31E4" w:rsidP="00BD31E4">
      <w:pPr>
        <w:shd w:val="clear" w:color="auto" w:fill="FFFFFF"/>
        <w:spacing w:after="0" w:line="276" w:lineRule="auto"/>
        <w:jc w:val="both"/>
        <w:rPr>
          <w:rFonts w:ascii="Verdana" w:hAnsi="Verdana"/>
          <w:color w:val="000000"/>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w:t>
      </w:r>
      <w:proofErr w:type="spellStart"/>
      <w:r w:rsidRPr="00032009">
        <w:rPr>
          <w:rFonts w:ascii="Verdana" w:hAnsi="Verdana"/>
          <w:color w:val="000000"/>
        </w:rPr>
        <w:t>expedide</w:t>
      </w:r>
      <w:proofErr w:type="spellEnd"/>
      <w:r w:rsidRPr="00032009">
        <w:rPr>
          <w:rFonts w:ascii="Verdana" w:hAnsi="Verdana"/>
          <w:color w:val="000000"/>
        </w:rPr>
        <w:t xml:space="preserve"> en el marco del cumplimiento de la orden proferida por la Honorable </w:t>
      </w:r>
      <w:r w:rsidRPr="00032009">
        <w:rPr>
          <w:rFonts w:ascii="Verdana" w:hAnsi="Verdana"/>
          <w:color w:val="000000"/>
        </w:rPr>
        <w:lastRenderedPageBreak/>
        <w:t xml:space="preserve">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10832BB5" w14:textId="77777777" w:rsidR="00BD31E4" w:rsidRDefault="00BD31E4" w:rsidP="00BD31E4">
      <w:pPr>
        <w:shd w:val="clear" w:color="auto" w:fill="FFFFFF"/>
        <w:spacing w:after="0" w:line="276" w:lineRule="auto"/>
        <w:jc w:val="both"/>
        <w:rPr>
          <w:rFonts w:ascii="Verdana" w:hAnsi="Verdana"/>
          <w:color w:val="000000"/>
          <w:u w:val="single"/>
        </w:rPr>
      </w:pPr>
    </w:p>
    <w:p w14:paraId="13306F16" w14:textId="77777777" w:rsidR="00BD31E4" w:rsidRPr="00593A5F" w:rsidRDefault="00BD31E4" w:rsidP="00BD31E4">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4422588A" w14:textId="77777777" w:rsidR="00BD31E4" w:rsidRPr="00593A5F" w:rsidRDefault="00BD31E4" w:rsidP="00BD31E4">
      <w:pPr>
        <w:widowControl w:val="0"/>
        <w:autoSpaceDE w:val="0"/>
        <w:autoSpaceDN w:val="0"/>
        <w:spacing w:after="0" w:line="276" w:lineRule="auto"/>
        <w:jc w:val="both"/>
        <w:rPr>
          <w:rFonts w:ascii="Verdana" w:hAnsi="Verdana" w:cs="Arial"/>
        </w:rPr>
      </w:pPr>
    </w:p>
    <w:p w14:paraId="74AB6CCA" w14:textId="77777777" w:rsidR="00BD31E4" w:rsidRDefault="00BD31E4" w:rsidP="00BD31E4">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6F79663C" w14:textId="77777777" w:rsidR="00BD31E4" w:rsidRPr="005C2A0C" w:rsidRDefault="00BD31E4" w:rsidP="00BD31E4">
      <w:pPr>
        <w:spacing w:after="0" w:line="240" w:lineRule="auto"/>
        <w:rPr>
          <w:rFonts w:ascii="Verdana" w:hAnsi="Verdana" w:cs="Arial"/>
          <w:lang w:eastAsia="es-CO"/>
        </w:rPr>
      </w:pPr>
    </w:p>
    <w:p w14:paraId="69E2EC8A" w14:textId="0CBC2A14" w:rsidR="0021277A" w:rsidRPr="005C2A0C" w:rsidRDefault="0021277A" w:rsidP="0021277A">
      <w:pPr>
        <w:spacing w:line="276" w:lineRule="auto"/>
        <w:jc w:val="center"/>
        <w:rPr>
          <w:rFonts w:ascii="Verdana" w:hAnsi="Verdana" w:cs="Arial"/>
          <w:color w:val="000000"/>
          <w:lang w:val="es-ES_tradnl" w:eastAsia="es-CO"/>
        </w:rPr>
      </w:pPr>
      <w:r w:rsidRPr="002C3AD6">
        <w:rPr>
          <w:rFonts w:ascii="Century Gothic" w:hAnsi="Century Gothic"/>
          <w:noProof/>
          <w:lang w:val="en-US"/>
        </w:rPr>
        <w:drawing>
          <wp:inline distT="0" distB="0" distL="0" distR="0" wp14:anchorId="29A705C0" wp14:editId="07947158">
            <wp:extent cx="3279697" cy="1217463"/>
            <wp:effectExtent l="0" t="0" r="0" b="1905"/>
            <wp:docPr id="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312722" cy="122972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D31E4" w:rsidRPr="00593A5F" w14:paraId="4CBD6EC7" w14:textId="77777777" w:rsidTr="007D72B3">
        <w:trPr>
          <w:trHeight w:val="315"/>
        </w:trPr>
        <w:tc>
          <w:tcPr>
            <w:tcW w:w="893" w:type="dxa"/>
            <w:vAlign w:val="center"/>
            <w:hideMark/>
          </w:tcPr>
          <w:p w14:paraId="7371CF5E" w14:textId="77777777" w:rsidR="00BD31E4" w:rsidRPr="003751C7" w:rsidRDefault="00BD31E4" w:rsidP="007D72B3">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02D4D2B" w14:textId="77777777" w:rsidR="00BD31E4" w:rsidRPr="00254A7A" w:rsidRDefault="00BD31E4" w:rsidP="007D72B3">
            <w:pPr>
              <w:contextualSpacing/>
              <w:rPr>
                <w:rStyle w:val="normaltextrun"/>
                <w:rFonts w:ascii="Verdana" w:hAnsi="Verdana"/>
                <w:sz w:val="16"/>
                <w:szCs w:val="16"/>
              </w:rPr>
            </w:pPr>
            <w:r>
              <w:rPr>
                <w:rStyle w:val="normaltextrun"/>
                <w:rFonts w:ascii="Verdana" w:hAnsi="Verdana"/>
                <w:sz w:val="16"/>
                <w:szCs w:val="16"/>
              </w:rPr>
              <w:t>José Luis Sánchez Cardona</w:t>
            </w:r>
          </w:p>
          <w:p w14:paraId="14F66CED" w14:textId="77777777" w:rsidR="00BD31E4" w:rsidRPr="00254A7A" w:rsidRDefault="00BD31E4" w:rsidP="007D72B3">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BD31E4" w:rsidRPr="00593A5F" w14:paraId="5C29F718" w14:textId="77777777" w:rsidTr="007D72B3">
        <w:trPr>
          <w:trHeight w:val="330"/>
        </w:trPr>
        <w:tc>
          <w:tcPr>
            <w:tcW w:w="893" w:type="dxa"/>
            <w:vAlign w:val="center"/>
            <w:hideMark/>
          </w:tcPr>
          <w:p w14:paraId="1A4FA85B" w14:textId="77777777" w:rsidR="00BD31E4" w:rsidRPr="003751C7" w:rsidRDefault="00BD31E4" w:rsidP="007D72B3">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CFA5949" w14:textId="77777777" w:rsidR="00BD31E4" w:rsidRPr="001B6B73" w:rsidRDefault="00BD31E4" w:rsidP="007D72B3">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2B40487F" w14:textId="77777777" w:rsidR="00BD31E4" w:rsidRPr="00254A7A" w:rsidRDefault="00BD31E4" w:rsidP="007D72B3">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BD31E4" w:rsidRPr="00593A5F" w14:paraId="6E9608D0" w14:textId="77777777" w:rsidTr="007D72B3">
        <w:trPr>
          <w:trHeight w:val="300"/>
        </w:trPr>
        <w:tc>
          <w:tcPr>
            <w:tcW w:w="893" w:type="dxa"/>
            <w:vAlign w:val="center"/>
          </w:tcPr>
          <w:p w14:paraId="50F92E15" w14:textId="77777777" w:rsidR="00BD31E4" w:rsidRPr="003751C7" w:rsidRDefault="00BD31E4" w:rsidP="007D72B3">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269B7B8" w14:textId="77777777" w:rsidR="00BD31E4" w:rsidRPr="003751C7" w:rsidRDefault="00BD31E4" w:rsidP="007D72B3">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2CB9CA63" w14:textId="77777777" w:rsidR="00BD31E4" w:rsidRPr="003751C7" w:rsidRDefault="00BD31E4" w:rsidP="007D72B3">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w:t>
            </w:r>
            <w:proofErr w:type="spellStart"/>
            <w:r w:rsidRPr="003751C7">
              <w:rPr>
                <w:rFonts w:ascii="Verdana" w:eastAsia="Calibri" w:hAnsi="Verdana" w:cs="Arial"/>
                <w:sz w:val="16"/>
                <w:szCs w:val="16"/>
                <w:lang w:val="pt-BR" w:eastAsia="es-ES"/>
              </w:rPr>
              <w:t>Gestión</w:t>
            </w:r>
            <w:proofErr w:type="spellEnd"/>
            <w:r w:rsidRPr="003751C7">
              <w:rPr>
                <w:rFonts w:ascii="Verdana" w:eastAsia="Calibri" w:hAnsi="Verdana" w:cs="Arial"/>
                <w:sz w:val="16"/>
                <w:szCs w:val="16"/>
                <w:lang w:val="pt-BR" w:eastAsia="es-ES"/>
              </w:rPr>
              <w:t xml:space="preserve">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0CDD0409" w14:textId="77777777" w:rsidR="00BD31E4" w:rsidRPr="0024624F" w:rsidRDefault="00BD31E4" w:rsidP="00BD31E4">
      <w:pPr>
        <w:spacing w:after="0"/>
        <w:rPr>
          <w:rFonts w:ascii="Verdana" w:hAnsi="Verdana"/>
        </w:rPr>
      </w:pPr>
    </w:p>
    <w:bookmarkEnd w:id="0"/>
    <w:p w14:paraId="0F293BF4" w14:textId="02C7939D" w:rsidR="00127233" w:rsidRPr="00BD31E4" w:rsidRDefault="00127233" w:rsidP="00BD31E4"/>
    <w:sectPr w:rsidR="00127233" w:rsidRPr="00BD31E4"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E404FA" w14:textId="77777777" w:rsidR="00AF619D" w:rsidRDefault="00AF619D" w:rsidP="004A1847">
      <w:pPr>
        <w:spacing w:after="0" w:line="240" w:lineRule="auto"/>
      </w:pPr>
      <w:r>
        <w:separator/>
      </w:r>
    </w:p>
  </w:endnote>
  <w:endnote w:type="continuationSeparator" w:id="0">
    <w:p w14:paraId="38F04223" w14:textId="77777777" w:rsidR="00AF619D" w:rsidRDefault="00AF619D" w:rsidP="004A1847">
      <w:pPr>
        <w:spacing w:after="0" w:line="240" w:lineRule="auto"/>
      </w:pPr>
      <w:r>
        <w:continuationSeparator/>
      </w:r>
    </w:p>
  </w:endnote>
  <w:endnote w:type="continuationNotice" w:id="1">
    <w:p w14:paraId="71CE1856" w14:textId="77777777" w:rsidR="00AF619D" w:rsidRDefault="00AF619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4A1847" w:rsidRDefault="004A1847">
    <w:pPr>
      <w:pStyle w:val="Piedepgina"/>
    </w:pPr>
  </w:p>
  <w:p w14:paraId="594D6D9F" w14:textId="0E9CDFE6"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D078F7" w:rsidRPr="00D078F7">
      <w:rPr>
        <w:rFonts w:ascii="Verdana" w:eastAsiaTheme="minorEastAsia" w:hAnsi="Verdana"/>
        <w:b/>
        <w:bCs/>
        <w:noProof/>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70BAB8" w14:textId="77777777" w:rsidR="00AF619D" w:rsidRDefault="00AF619D" w:rsidP="004A1847">
      <w:pPr>
        <w:spacing w:after="0" w:line="240" w:lineRule="auto"/>
      </w:pPr>
      <w:r>
        <w:separator/>
      </w:r>
    </w:p>
  </w:footnote>
  <w:footnote w:type="continuationSeparator" w:id="0">
    <w:p w14:paraId="5C42E454" w14:textId="77777777" w:rsidR="00AF619D" w:rsidRDefault="00AF619D" w:rsidP="004A1847">
      <w:pPr>
        <w:spacing w:after="0" w:line="240" w:lineRule="auto"/>
      </w:pPr>
      <w:r>
        <w:continuationSeparator/>
      </w:r>
    </w:p>
  </w:footnote>
  <w:footnote w:type="continuationNotice" w:id="1">
    <w:p w14:paraId="2B3B2CED" w14:textId="77777777" w:rsidR="00AF619D" w:rsidRDefault="00AF619D">
      <w:pPr>
        <w:spacing w:after="0" w:line="240" w:lineRule="auto"/>
      </w:pPr>
    </w:p>
  </w:footnote>
  <w:footnote w:id="2">
    <w:p w14:paraId="02285DBE" w14:textId="77777777" w:rsidR="00BD31E4" w:rsidRPr="00D078F7" w:rsidRDefault="00BD31E4" w:rsidP="00BD31E4">
      <w:pPr>
        <w:pStyle w:val="Textonotapie"/>
        <w:ind w:firstLine="709"/>
        <w:jc w:val="both"/>
        <w:rPr>
          <w:rFonts w:ascii="Verdana" w:hAnsi="Verdana" w:cs="Arial"/>
          <w:sz w:val="16"/>
          <w:szCs w:val="16"/>
        </w:rPr>
      </w:pPr>
      <w:r w:rsidRPr="00D078F7">
        <w:rPr>
          <w:rStyle w:val="Refdenotaalpie"/>
          <w:rFonts w:ascii="Verdana" w:hAnsi="Verdana" w:cs="Arial"/>
          <w:sz w:val="16"/>
          <w:szCs w:val="16"/>
        </w:rPr>
        <w:footnoteRef/>
      </w:r>
      <w:r w:rsidRPr="00D078F7">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61A0F26D" w14:textId="77777777" w:rsidR="00BD31E4" w:rsidRPr="00D078F7" w:rsidRDefault="00BD31E4" w:rsidP="00BD31E4">
      <w:pPr>
        <w:pStyle w:val="Textonotapie"/>
        <w:ind w:firstLine="709"/>
        <w:jc w:val="both"/>
        <w:rPr>
          <w:rFonts w:ascii="Verdana" w:hAnsi="Verdana" w:cs="Arial"/>
          <w:sz w:val="16"/>
          <w:szCs w:val="16"/>
        </w:rPr>
      </w:pPr>
      <w:r w:rsidRPr="00D078F7">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bookmarkStart w:id="3" w:name="_GoBack"/>
      <w:bookmarkEnd w:id="3"/>
    </w:p>
  </w:footnote>
  <w:footnote w:id="3">
    <w:p w14:paraId="76812679" w14:textId="77777777" w:rsidR="00BD31E4" w:rsidRPr="00D078F7" w:rsidRDefault="00BD31E4" w:rsidP="00BD31E4">
      <w:pPr>
        <w:pStyle w:val="Textonotapie"/>
        <w:ind w:firstLine="709"/>
        <w:jc w:val="both"/>
        <w:rPr>
          <w:rFonts w:ascii="Verdana" w:hAnsi="Verdana" w:cs="Arial"/>
          <w:sz w:val="16"/>
          <w:szCs w:val="16"/>
        </w:rPr>
      </w:pPr>
      <w:r w:rsidRPr="00D078F7">
        <w:rPr>
          <w:rStyle w:val="Refdenotaalpie"/>
          <w:rFonts w:ascii="Verdana" w:hAnsi="Verdana" w:cs="Arial"/>
          <w:sz w:val="16"/>
          <w:szCs w:val="16"/>
        </w:rPr>
        <w:footnoteRef/>
      </w:r>
      <w:r w:rsidRPr="00D078F7">
        <w:rPr>
          <w:rFonts w:ascii="Verdana" w:hAnsi="Verdana" w:cs="Arial"/>
          <w:sz w:val="16"/>
          <w:szCs w:val="16"/>
        </w:rPr>
        <w:t xml:space="preserve"> Gaceta del Congreso de la República No. 71 del 2005.</w:t>
      </w:r>
    </w:p>
  </w:footnote>
  <w:footnote w:id="4">
    <w:p w14:paraId="53ADEFDC" w14:textId="77777777" w:rsidR="00BD31E4" w:rsidRPr="00D078F7" w:rsidRDefault="00BD31E4" w:rsidP="00BD31E4">
      <w:pPr>
        <w:pStyle w:val="Textonotapie"/>
        <w:ind w:firstLine="709"/>
        <w:jc w:val="both"/>
        <w:rPr>
          <w:rFonts w:ascii="Verdana" w:hAnsi="Verdana" w:cs="Arial"/>
          <w:sz w:val="16"/>
          <w:szCs w:val="16"/>
          <w:lang w:val="pt-BR"/>
        </w:rPr>
      </w:pPr>
      <w:r w:rsidRPr="00D078F7">
        <w:rPr>
          <w:rStyle w:val="Refdenotaalpie"/>
          <w:rFonts w:ascii="Verdana" w:hAnsi="Verdana" w:cs="Arial"/>
          <w:sz w:val="16"/>
          <w:szCs w:val="16"/>
        </w:rPr>
        <w:footnoteRef/>
      </w:r>
      <w:r w:rsidRPr="00D078F7">
        <w:rPr>
          <w:rFonts w:ascii="Verdana" w:hAnsi="Verdana" w:cs="Arial"/>
          <w:sz w:val="16"/>
          <w:szCs w:val="16"/>
          <w:lang w:val="pt-BR"/>
        </w:rPr>
        <w:t xml:space="preserve"> Corte Constitucional, Sentencia C- 1153 de 2005, M.P. Marco Gerardo </w:t>
      </w:r>
      <w:proofErr w:type="spellStart"/>
      <w:r w:rsidRPr="00D078F7">
        <w:rPr>
          <w:rFonts w:ascii="Verdana" w:hAnsi="Verdana" w:cs="Arial"/>
          <w:sz w:val="16"/>
          <w:szCs w:val="16"/>
          <w:lang w:val="pt-BR"/>
        </w:rPr>
        <w:t>Monroy</w:t>
      </w:r>
      <w:proofErr w:type="spellEnd"/>
      <w:r w:rsidRPr="00D078F7">
        <w:rPr>
          <w:rFonts w:ascii="Verdana" w:hAnsi="Verdana" w:cs="Arial"/>
          <w:sz w:val="16"/>
          <w:szCs w:val="16"/>
          <w:lang w:val="pt-BR"/>
        </w:rPr>
        <w:t xml:space="preserve"> Cabra.</w:t>
      </w:r>
    </w:p>
  </w:footnote>
  <w:footnote w:id="5">
    <w:p w14:paraId="52D7A728" w14:textId="77777777" w:rsidR="00BD31E4" w:rsidRPr="00D078F7" w:rsidRDefault="00BD31E4" w:rsidP="00BD31E4">
      <w:pPr>
        <w:pStyle w:val="Textonotapie"/>
        <w:ind w:firstLine="709"/>
        <w:jc w:val="both"/>
        <w:rPr>
          <w:rFonts w:ascii="Verdana" w:hAnsi="Verdana" w:cs="Arial"/>
          <w:sz w:val="16"/>
          <w:szCs w:val="16"/>
          <w:lang w:val="pt-BR"/>
        </w:rPr>
      </w:pPr>
      <w:r w:rsidRPr="00D078F7">
        <w:rPr>
          <w:rStyle w:val="Refdenotaalpie"/>
          <w:rFonts w:ascii="Verdana" w:hAnsi="Verdana" w:cs="Arial"/>
          <w:sz w:val="16"/>
          <w:szCs w:val="16"/>
        </w:rPr>
        <w:footnoteRef/>
      </w:r>
      <w:r w:rsidRPr="00D078F7">
        <w:rPr>
          <w:rFonts w:ascii="Verdana" w:hAnsi="Verdana" w:cs="Arial"/>
          <w:sz w:val="16"/>
          <w:szCs w:val="16"/>
          <w:lang w:val="pt-BR"/>
        </w:rPr>
        <w:t xml:space="preserve"> Corte Constitucional. Sentencias: C-233 de 4 de abril de 2002, expediente: D-3704; C-551 de 9 de </w:t>
      </w:r>
      <w:proofErr w:type="spellStart"/>
      <w:r w:rsidRPr="00D078F7">
        <w:rPr>
          <w:rFonts w:ascii="Verdana" w:hAnsi="Verdana" w:cs="Arial"/>
          <w:sz w:val="16"/>
          <w:szCs w:val="16"/>
          <w:lang w:val="pt-BR"/>
        </w:rPr>
        <w:t>julio</w:t>
      </w:r>
      <w:proofErr w:type="spellEnd"/>
      <w:r w:rsidRPr="00D078F7">
        <w:rPr>
          <w:rFonts w:ascii="Verdana" w:hAnsi="Verdana" w:cs="Arial"/>
          <w:sz w:val="16"/>
          <w:szCs w:val="16"/>
          <w:lang w:val="pt-BR"/>
        </w:rPr>
        <w:t xml:space="preserve"> de 2003, expediente: CRF-001 de 9 de </w:t>
      </w:r>
      <w:proofErr w:type="spellStart"/>
      <w:r w:rsidRPr="00D078F7">
        <w:rPr>
          <w:rFonts w:ascii="Verdana" w:hAnsi="Verdana" w:cs="Arial"/>
          <w:sz w:val="16"/>
          <w:szCs w:val="16"/>
          <w:lang w:val="pt-BR"/>
        </w:rPr>
        <w:t>julio</w:t>
      </w:r>
      <w:proofErr w:type="spellEnd"/>
      <w:r w:rsidRPr="00D078F7">
        <w:rPr>
          <w:rFonts w:ascii="Verdana" w:hAnsi="Verdana" w:cs="Arial"/>
          <w:sz w:val="16"/>
          <w:szCs w:val="16"/>
          <w:lang w:val="pt-BR"/>
        </w:rPr>
        <w:t xml:space="preserve"> de 2003; C-652 de 5 de agosto de 2003, expediente: D-4330; C-353 de 20 de </w:t>
      </w:r>
      <w:proofErr w:type="spellStart"/>
      <w:r w:rsidRPr="00D078F7">
        <w:rPr>
          <w:rFonts w:ascii="Verdana" w:hAnsi="Verdana" w:cs="Arial"/>
          <w:sz w:val="16"/>
          <w:szCs w:val="16"/>
          <w:lang w:val="pt-BR"/>
        </w:rPr>
        <w:t>mayo</w:t>
      </w:r>
      <w:proofErr w:type="spellEnd"/>
      <w:r w:rsidRPr="00D078F7">
        <w:rPr>
          <w:rFonts w:ascii="Verdana" w:hAnsi="Verdana" w:cs="Arial"/>
          <w:sz w:val="16"/>
          <w:szCs w:val="16"/>
          <w:lang w:val="pt-BR"/>
        </w:rPr>
        <w:t xml:space="preserve"> de 2009, expediente: D-7518, C-541 de 30 de </w:t>
      </w:r>
      <w:proofErr w:type="spellStart"/>
      <w:r w:rsidRPr="00D078F7">
        <w:rPr>
          <w:rFonts w:ascii="Verdana" w:hAnsi="Verdana" w:cs="Arial"/>
          <w:sz w:val="16"/>
          <w:szCs w:val="16"/>
          <w:lang w:val="pt-BR"/>
        </w:rPr>
        <w:t>junio</w:t>
      </w:r>
      <w:proofErr w:type="spellEnd"/>
      <w:r w:rsidRPr="00D078F7">
        <w:rPr>
          <w:rFonts w:ascii="Verdana" w:hAnsi="Verdana" w:cs="Arial"/>
          <w:sz w:val="16"/>
          <w:szCs w:val="16"/>
          <w:lang w:val="pt-BR"/>
        </w:rPr>
        <w:t xml:space="preserve"> de 2010, expediente: DD7966; entre </w:t>
      </w:r>
      <w:proofErr w:type="spellStart"/>
      <w:r w:rsidRPr="00D078F7">
        <w:rPr>
          <w:rFonts w:ascii="Verdana" w:hAnsi="Verdana" w:cs="Arial"/>
          <w:sz w:val="16"/>
          <w:szCs w:val="16"/>
          <w:lang w:val="pt-BR"/>
        </w:rPr>
        <w:t>otras</w:t>
      </w:r>
      <w:proofErr w:type="spellEnd"/>
      <w:r w:rsidRPr="00D078F7">
        <w:rPr>
          <w:rFonts w:ascii="Verdana" w:hAnsi="Verdana" w:cs="Arial"/>
          <w:sz w:val="16"/>
          <w:szCs w:val="16"/>
          <w:lang w:val="pt-BR"/>
        </w:rPr>
        <w:t>.</w:t>
      </w:r>
    </w:p>
  </w:footnote>
  <w:footnote w:id="6">
    <w:p w14:paraId="36349A60" w14:textId="77777777" w:rsidR="00BD31E4" w:rsidRPr="00D078F7" w:rsidRDefault="00BD31E4" w:rsidP="00BD31E4">
      <w:pPr>
        <w:pStyle w:val="Textonotapie"/>
        <w:ind w:firstLine="709"/>
        <w:jc w:val="both"/>
        <w:rPr>
          <w:rFonts w:ascii="Verdana" w:hAnsi="Verdana" w:cs="Arial"/>
          <w:sz w:val="16"/>
          <w:szCs w:val="16"/>
          <w:lang w:val="es-CO"/>
        </w:rPr>
      </w:pPr>
      <w:r w:rsidRPr="00D078F7">
        <w:rPr>
          <w:rStyle w:val="Refdenotaalpie"/>
          <w:rFonts w:ascii="Verdana" w:hAnsi="Verdana" w:cs="Arial"/>
          <w:sz w:val="16"/>
          <w:szCs w:val="16"/>
        </w:rPr>
        <w:footnoteRef/>
      </w:r>
      <w:r w:rsidRPr="00D078F7">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1B131D7C" w14:textId="77777777" w:rsidR="00BD31E4" w:rsidRPr="00D078F7" w:rsidRDefault="00BD31E4" w:rsidP="00BD31E4">
      <w:pPr>
        <w:pStyle w:val="Textonotapie"/>
        <w:ind w:firstLine="709"/>
        <w:jc w:val="both"/>
        <w:rPr>
          <w:rFonts w:ascii="Verdana" w:hAnsi="Verdana" w:cs="Arial"/>
          <w:sz w:val="16"/>
          <w:szCs w:val="16"/>
        </w:rPr>
      </w:pPr>
      <w:r w:rsidRPr="00D078F7">
        <w:rPr>
          <w:rStyle w:val="Refdenotaalpie"/>
          <w:rFonts w:ascii="Verdana" w:hAnsi="Verdana" w:cs="Arial"/>
          <w:sz w:val="16"/>
          <w:szCs w:val="16"/>
        </w:rPr>
        <w:footnoteRef/>
      </w:r>
      <w:r w:rsidRPr="00D078F7">
        <w:rPr>
          <w:rFonts w:ascii="Verdana" w:hAnsi="Verdana" w:cs="Arial"/>
          <w:sz w:val="16"/>
          <w:szCs w:val="16"/>
        </w:rPr>
        <w:t xml:space="preserve"> Consejo de Estado, Sala de Consulta y Servicio Civil de fecha 24 de julio de 2013, radicado 2166, C. P. Álvaro </w:t>
      </w:r>
      <w:proofErr w:type="spellStart"/>
      <w:r w:rsidRPr="00D078F7">
        <w:rPr>
          <w:rFonts w:ascii="Verdana" w:hAnsi="Verdana" w:cs="Arial"/>
          <w:sz w:val="16"/>
          <w:szCs w:val="16"/>
        </w:rPr>
        <w:t>Namén</w:t>
      </w:r>
      <w:proofErr w:type="spellEnd"/>
      <w:r w:rsidRPr="00D078F7">
        <w:rPr>
          <w:rFonts w:ascii="Verdana" w:hAnsi="Verdana" w:cs="Arial"/>
          <w:sz w:val="16"/>
          <w:szCs w:val="16"/>
        </w:rPr>
        <w:t xml:space="preserve"> Vargas.  </w:t>
      </w:r>
    </w:p>
  </w:footnote>
  <w:footnote w:id="8">
    <w:p w14:paraId="475ED1E6" w14:textId="77777777" w:rsidR="00BD31E4" w:rsidRPr="00D078F7" w:rsidRDefault="00BD31E4" w:rsidP="00BD31E4">
      <w:pPr>
        <w:pStyle w:val="NormalWeb"/>
        <w:spacing w:before="0" w:beforeAutospacing="0" w:after="0" w:afterAutospacing="0"/>
        <w:ind w:firstLine="709"/>
        <w:jc w:val="both"/>
        <w:rPr>
          <w:rFonts w:ascii="Verdana" w:hAnsi="Verdana" w:cs="Arial"/>
          <w:sz w:val="16"/>
          <w:szCs w:val="16"/>
          <w:lang w:val="es-MX"/>
        </w:rPr>
      </w:pPr>
      <w:r w:rsidRPr="00D078F7">
        <w:rPr>
          <w:rStyle w:val="Refdenotaalpie"/>
          <w:rFonts w:ascii="Verdana" w:hAnsi="Verdana" w:cs="Arial"/>
          <w:sz w:val="16"/>
          <w:szCs w:val="16"/>
        </w:rPr>
        <w:footnoteRef/>
      </w:r>
      <w:r w:rsidRPr="00D078F7">
        <w:rPr>
          <w:rFonts w:ascii="Verdana" w:hAnsi="Verdana" w:cs="Arial"/>
          <w:sz w:val="16"/>
          <w:szCs w:val="16"/>
        </w:rPr>
        <w:t xml:space="preserve"> </w:t>
      </w:r>
      <w:bookmarkStart w:id="8" w:name="38"/>
      <w:r w:rsidRPr="00D078F7">
        <w:rPr>
          <w:rFonts w:ascii="Verdana" w:eastAsia="Calibri" w:hAnsi="Verdana" w:cs="Arial"/>
          <w:color w:val="000000"/>
          <w:sz w:val="16"/>
          <w:szCs w:val="16"/>
        </w:rPr>
        <w:t>“</w:t>
      </w:r>
      <w:r w:rsidRPr="00D078F7">
        <w:rPr>
          <w:rFonts w:ascii="Verdana" w:hAnsi="Verdana" w:cs="Arial"/>
          <w:sz w:val="16"/>
          <w:szCs w:val="16"/>
          <w:lang w:val="es-MX"/>
        </w:rPr>
        <w:t>Artículo 38. Prohibiciones para los servidores públicos. A los empleados del Estado les está prohibido:</w:t>
      </w:r>
      <w:bookmarkEnd w:id="8"/>
      <w:r w:rsidRPr="00D078F7">
        <w:rPr>
          <w:rFonts w:ascii="Verdana" w:hAnsi="Verdana" w:cs="Arial"/>
          <w:sz w:val="16"/>
          <w:szCs w:val="16"/>
          <w:lang w:val="es-MX"/>
        </w:rPr>
        <w:t xml:space="preserve"> […]</w:t>
      </w:r>
    </w:p>
    <w:p w14:paraId="1BA732B5" w14:textId="77777777" w:rsidR="00BD31E4" w:rsidRPr="00D078F7" w:rsidRDefault="00BD31E4" w:rsidP="00BD31E4">
      <w:pPr>
        <w:pStyle w:val="NormalWeb"/>
        <w:spacing w:before="0" w:beforeAutospacing="0" w:after="0" w:afterAutospacing="0"/>
        <w:ind w:firstLine="709"/>
        <w:jc w:val="both"/>
        <w:rPr>
          <w:rFonts w:ascii="Verdana" w:hAnsi="Verdana" w:cs="Arial"/>
          <w:sz w:val="16"/>
          <w:szCs w:val="16"/>
          <w:lang w:val="es-MX"/>
        </w:rPr>
      </w:pPr>
      <w:r w:rsidRPr="00D078F7">
        <w:rPr>
          <w:rStyle w:val="baj"/>
          <w:rFonts w:ascii="Verdana" w:hAnsi="Verdana" w:cs="Arial"/>
          <w:sz w:val="16"/>
          <w:szCs w:val="16"/>
          <w:lang w:val="es-MX"/>
        </w:rPr>
        <w:t>Parágrafo.</w:t>
      </w:r>
      <w:r w:rsidRPr="00D078F7">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D078F7">
        <w:rPr>
          <w:rFonts w:ascii="Verdana" w:eastAsia="Calibri" w:hAnsi="Verdana" w:cs="Arial"/>
          <w:color w:val="000000"/>
          <w:sz w:val="16"/>
          <w:szCs w:val="16"/>
        </w:rPr>
        <w:t>”</w:t>
      </w:r>
      <w:r w:rsidRPr="00D078F7">
        <w:rPr>
          <w:rFonts w:ascii="Verdana" w:hAnsi="Verdana" w:cs="Arial"/>
          <w:sz w:val="16"/>
          <w:szCs w:val="16"/>
          <w:lang w:val="es-MX"/>
        </w:rPr>
        <w:t>.</w:t>
      </w:r>
    </w:p>
  </w:footnote>
  <w:footnote w:id="9">
    <w:p w14:paraId="78510E89" w14:textId="77777777" w:rsidR="00BD31E4" w:rsidRPr="00D078F7" w:rsidRDefault="00BD31E4" w:rsidP="00BD31E4">
      <w:pPr>
        <w:pStyle w:val="Textonotapie"/>
        <w:ind w:firstLine="708"/>
        <w:jc w:val="both"/>
        <w:rPr>
          <w:rFonts w:ascii="Verdana" w:hAnsi="Verdana" w:cs="Arial"/>
          <w:sz w:val="16"/>
          <w:szCs w:val="16"/>
        </w:rPr>
      </w:pPr>
      <w:r w:rsidRPr="00D078F7">
        <w:rPr>
          <w:rStyle w:val="Refdenotaalpie"/>
          <w:rFonts w:ascii="Verdana" w:hAnsi="Verdana" w:cs="Arial"/>
          <w:sz w:val="16"/>
          <w:szCs w:val="16"/>
        </w:rPr>
        <w:footnoteRef/>
      </w:r>
      <w:r w:rsidRPr="00D078F7">
        <w:rPr>
          <w:rFonts w:ascii="Verdana" w:hAnsi="Verdana" w:cs="Arial"/>
          <w:sz w:val="16"/>
          <w:szCs w:val="16"/>
        </w:rPr>
        <w:t xml:space="preserve"> Colombia Compra Eficiente. Circular Externa Única. Numeral 16.5. </w:t>
      </w:r>
    </w:p>
  </w:footnote>
  <w:footnote w:id="10">
    <w:p w14:paraId="58A7943B" w14:textId="77777777" w:rsidR="00BD31E4" w:rsidRPr="00D078F7" w:rsidRDefault="00BD31E4" w:rsidP="00BD31E4">
      <w:pPr>
        <w:spacing w:after="0" w:line="240" w:lineRule="auto"/>
        <w:ind w:left="100" w:right="244" w:firstLine="608"/>
        <w:jc w:val="both"/>
        <w:rPr>
          <w:rFonts w:ascii="Verdana" w:hAnsi="Verdana" w:cs="Arial"/>
          <w:sz w:val="16"/>
          <w:szCs w:val="16"/>
          <w:lang w:val="es-ES"/>
        </w:rPr>
      </w:pPr>
      <w:r w:rsidRPr="00D078F7">
        <w:rPr>
          <w:rStyle w:val="Refdenotaalpie"/>
          <w:rFonts w:ascii="Verdana" w:hAnsi="Verdana" w:cs="Arial"/>
          <w:sz w:val="16"/>
          <w:szCs w:val="16"/>
        </w:rPr>
        <w:footnoteRef/>
      </w:r>
      <w:r w:rsidRPr="00D078F7">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2FEE7C04" w14:textId="77777777" w:rsidR="00BD31E4" w:rsidRPr="00D078F7" w:rsidRDefault="00BD31E4" w:rsidP="00BD31E4">
      <w:pPr>
        <w:pStyle w:val="Textonotapie"/>
        <w:ind w:right="51" w:firstLine="709"/>
        <w:jc w:val="both"/>
        <w:rPr>
          <w:rFonts w:ascii="Verdana" w:hAnsi="Verdana" w:cs="Arial"/>
          <w:sz w:val="16"/>
          <w:szCs w:val="16"/>
        </w:rPr>
      </w:pPr>
      <w:r w:rsidRPr="00D078F7">
        <w:rPr>
          <w:rStyle w:val="Refdenotaalpie"/>
          <w:rFonts w:ascii="Verdana" w:hAnsi="Verdana" w:cs="Arial"/>
          <w:sz w:val="16"/>
          <w:szCs w:val="16"/>
        </w:rPr>
        <w:footnoteRef/>
      </w:r>
      <w:r w:rsidRPr="00D078F7">
        <w:rPr>
          <w:rFonts w:ascii="Verdana" w:hAnsi="Verdana" w:cs="Arial"/>
          <w:sz w:val="16"/>
          <w:szCs w:val="16"/>
        </w:rPr>
        <w:t xml:space="preserve"> “</w:t>
      </w:r>
      <w:r w:rsidRPr="00D078F7">
        <w:rPr>
          <w:rFonts w:ascii="Verdana" w:hAnsi="Verdana" w:cs="Arial"/>
          <w:sz w:val="16"/>
          <w:szCs w:val="16"/>
          <w:lang w:val="es-ES"/>
        </w:rPr>
        <w:t xml:space="preserve">[25] </w:t>
      </w:r>
      <w:r w:rsidRPr="00D078F7">
        <w:rPr>
          <w:rFonts w:ascii="Verdana" w:hAnsi="Verdana" w:cs="Arial"/>
          <w:sz w:val="16"/>
          <w:szCs w:val="16"/>
        </w:rPr>
        <w:t>Cfr. Consejo de Estado. Sección Tercera. Sentencia de 3 de diciembre de 2007. Radicados: 24.715, 25.206, 25.409, 24.524, 27.834, 25.410, 26.105, 28.244, 31.447 -acumulados-“.</w:t>
      </w:r>
    </w:p>
  </w:footnote>
  <w:footnote w:id="12">
    <w:p w14:paraId="6B188476" w14:textId="77777777" w:rsidR="00BD31E4" w:rsidRPr="00D078F7" w:rsidRDefault="00BD31E4" w:rsidP="00BD31E4">
      <w:pPr>
        <w:pStyle w:val="Textonotapie"/>
        <w:ind w:right="51" w:firstLine="709"/>
        <w:jc w:val="both"/>
        <w:rPr>
          <w:rFonts w:ascii="Verdana" w:hAnsi="Verdana" w:cs="Arial"/>
          <w:sz w:val="16"/>
          <w:szCs w:val="16"/>
        </w:rPr>
      </w:pPr>
      <w:r w:rsidRPr="00D078F7">
        <w:rPr>
          <w:rStyle w:val="Refdenotaalpie"/>
          <w:rFonts w:ascii="Verdana" w:hAnsi="Verdana" w:cs="Arial"/>
          <w:sz w:val="16"/>
          <w:szCs w:val="16"/>
        </w:rPr>
        <w:footnoteRef/>
      </w:r>
      <w:r w:rsidRPr="00D078F7">
        <w:rPr>
          <w:rFonts w:ascii="Verdana" w:hAnsi="Verdana" w:cs="Arial"/>
          <w:sz w:val="16"/>
          <w:szCs w:val="16"/>
        </w:rPr>
        <w:t xml:space="preserve"> “</w:t>
      </w:r>
      <w:r w:rsidRPr="00D078F7">
        <w:rPr>
          <w:rFonts w:ascii="Verdana" w:hAnsi="Verdana" w:cs="Arial"/>
          <w:sz w:val="16"/>
          <w:szCs w:val="16"/>
          <w:lang w:val="es-ES"/>
        </w:rPr>
        <w:t xml:space="preserve">[26] </w:t>
      </w:r>
      <w:r w:rsidRPr="00D078F7">
        <w:rPr>
          <w:rFonts w:ascii="Verdana" w:hAnsi="Verdana" w:cs="Arial"/>
          <w:sz w:val="16"/>
          <w:szCs w:val="16"/>
        </w:rPr>
        <w:t>Al respecto ver el concepto 1712 de 2 de febrero de 2006. Consejo de Estado Sala de Consulta y Servicio Civil”.</w:t>
      </w:r>
    </w:p>
  </w:footnote>
  <w:footnote w:id="13">
    <w:p w14:paraId="269E88FF" w14:textId="77777777" w:rsidR="00BD31E4" w:rsidRPr="00D078F7" w:rsidRDefault="00BD31E4" w:rsidP="00BD31E4">
      <w:pPr>
        <w:pStyle w:val="Textonotapie"/>
        <w:ind w:firstLine="709"/>
        <w:jc w:val="both"/>
        <w:rPr>
          <w:rFonts w:ascii="Verdana" w:hAnsi="Verdana" w:cs="Arial"/>
          <w:sz w:val="16"/>
          <w:szCs w:val="16"/>
        </w:rPr>
      </w:pPr>
      <w:r w:rsidRPr="00D078F7">
        <w:rPr>
          <w:rStyle w:val="Refdenotaalpie"/>
          <w:rFonts w:ascii="Verdana" w:hAnsi="Verdana" w:cs="Arial"/>
          <w:sz w:val="16"/>
          <w:szCs w:val="16"/>
        </w:rPr>
        <w:footnoteRef/>
      </w:r>
      <w:r w:rsidRPr="00D078F7">
        <w:rPr>
          <w:rFonts w:ascii="Verdana" w:hAnsi="Verdana" w:cs="Arial"/>
          <w:sz w:val="16"/>
          <w:szCs w:val="16"/>
        </w:rPr>
        <w:t xml:space="preserve"> Consejo de Estado. Sala de Consulta y Servicio Civil. Concepto del 2 de septiembre de 2013. Radicación número: 11001-03-06-000-2013-00412-00 (2168). Consejero Ponente: Álvaro </w:t>
      </w:r>
      <w:proofErr w:type="spellStart"/>
      <w:r w:rsidRPr="00D078F7">
        <w:rPr>
          <w:rFonts w:ascii="Verdana" w:hAnsi="Verdana" w:cs="Arial"/>
          <w:sz w:val="16"/>
          <w:szCs w:val="16"/>
        </w:rPr>
        <w:t>Namén</w:t>
      </w:r>
      <w:proofErr w:type="spellEnd"/>
      <w:r w:rsidRPr="00D078F7">
        <w:rPr>
          <w:rFonts w:ascii="Verdana" w:hAnsi="Verdana" w:cs="Arial"/>
          <w:sz w:val="16"/>
          <w:szCs w:val="16"/>
        </w:rPr>
        <w:t xml:space="preserve"> Vargas.</w:t>
      </w:r>
    </w:p>
  </w:footnote>
  <w:footnote w:id="14">
    <w:p w14:paraId="2AFA684B" w14:textId="77777777" w:rsidR="00BD31E4" w:rsidRPr="00D078F7" w:rsidRDefault="00BD31E4" w:rsidP="00BD31E4">
      <w:pPr>
        <w:pStyle w:val="Textonotapie"/>
        <w:ind w:firstLine="709"/>
        <w:jc w:val="both"/>
        <w:rPr>
          <w:rFonts w:ascii="Verdana" w:hAnsi="Verdana" w:cs="Arial"/>
          <w:sz w:val="16"/>
          <w:szCs w:val="16"/>
          <w:lang w:val="es-ES"/>
        </w:rPr>
      </w:pPr>
      <w:r w:rsidRPr="00D078F7">
        <w:rPr>
          <w:rStyle w:val="Refdenotaalpie"/>
          <w:rFonts w:ascii="Verdana" w:hAnsi="Verdana" w:cs="Arial"/>
          <w:sz w:val="16"/>
          <w:szCs w:val="16"/>
        </w:rPr>
        <w:footnoteRef/>
      </w:r>
      <w:r w:rsidRPr="00D078F7">
        <w:rPr>
          <w:rFonts w:ascii="Verdana" w:hAnsi="Verdana" w:cs="Arial"/>
          <w:sz w:val="16"/>
          <w:szCs w:val="16"/>
        </w:rPr>
        <w:t xml:space="preserve"> </w:t>
      </w:r>
      <w:r w:rsidRPr="00D078F7">
        <w:rPr>
          <w:rFonts w:ascii="Verdana" w:hAnsi="Verdana" w:cs="Arial"/>
          <w:sz w:val="16"/>
          <w:szCs w:val="16"/>
          <w:lang w:val="es-ES"/>
        </w:rPr>
        <w:t xml:space="preserve">Artículo 2. </w:t>
      </w:r>
    </w:p>
  </w:footnote>
  <w:footnote w:id="15">
    <w:p w14:paraId="637FCDED" w14:textId="77777777" w:rsidR="00BD31E4" w:rsidRPr="00D078F7" w:rsidRDefault="00BD31E4" w:rsidP="00BD31E4">
      <w:pPr>
        <w:pStyle w:val="Textonotapie"/>
        <w:ind w:firstLine="709"/>
        <w:jc w:val="both"/>
        <w:rPr>
          <w:rFonts w:ascii="Verdana" w:hAnsi="Verdana" w:cs="Arial"/>
          <w:sz w:val="16"/>
          <w:szCs w:val="16"/>
          <w:lang w:val="es-ES"/>
        </w:rPr>
      </w:pPr>
      <w:r w:rsidRPr="00D078F7">
        <w:rPr>
          <w:rStyle w:val="Refdenotaalpie"/>
          <w:rFonts w:ascii="Verdana" w:hAnsi="Verdana" w:cs="Arial"/>
          <w:sz w:val="16"/>
          <w:szCs w:val="16"/>
        </w:rPr>
        <w:footnoteRef/>
      </w:r>
      <w:r w:rsidRPr="00D078F7">
        <w:rPr>
          <w:rFonts w:ascii="Verdana" w:hAnsi="Verdana" w:cs="Arial"/>
          <w:sz w:val="16"/>
          <w:szCs w:val="16"/>
        </w:rPr>
        <w:t xml:space="preserve"> </w:t>
      </w:r>
      <w:r w:rsidRPr="00D078F7">
        <w:rPr>
          <w:rFonts w:ascii="Verdana" w:hAnsi="Verdana" w:cs="Arial"/>
          <w:i/>
          <w:sz w:val="16"/>
          <w:szCs w:val="16"/>
          <w:lang w:val="es-ES"/>
        </w:rPr>
        <w:t>Ídem</w:t>
      </w:r>
      <w:r w:rsidRPr="00D078F7">
        <w:rPr>
          <w:rFonts w:ascii="Verdana" w:hAnsi="Verdana" w:cs="Arial"/>
          <w:sz w:val="16"/>
          <w:szCs w:val="16"/>
          <w:lang w:val="es-ES"/>
        </w:rPr>
        <w:t>.</w:t>
      </w:r>
    </w:p>
  </w:footnote>
  <w:footnote w:id="16">
    <w:p w14:paraId="390BDE48" w14:textId="77777777" w:rsidR="00BD31E4" w:rsidRPr="00D078F7" w:rsidRDefault="00BD31E4" w:rsidP="00BD31E4">
      <w:pPr>
        <w:pStyle w:val="Textonotapie"/>
        <w:ind w:firstLine="709"/>
        <w:jc w:val="both"/>
        <w:rPr>
          <w:rFonts w:ascii="Verdana" w:hAnsi="Verdana" w:cs="Arial"/>
          <w:sz w:val="16"/>
          <w:szCs w:val="16"/>
          <w:lang w:val="es-ES"/>
        </w:rPr>
      </w:pPr>
      <w:r w:rsidRPr="00D078F7">
        <w:rPr>
          <w:rStyle w:val="Refdenotaalpie"/>
          <w:rFonts w:ascii="Verdana" w:hAnsi="Verdana" w:cs="Arial"/>
          <w:sz w:val="16"/>
          <w:szCs w:val="16"/>
        </w:rPr>
        <w:footnoteRef/>
      </w:r>
      <w:r w:rsidRPr="00D078F7">
        <w:rPr>
          <w:rStyle w:val="Refdenotaalpie"/>
          <w:rFonts w:ascii="Verdana" w:hAnsi="Verdana" w:cs="Arial"/>
          <w:sz w:val="16"/>
          <w:szCs w:val="16"/>
        </w:rPr>
        <w:t xml:space="preserve"> </w:t>
      </w:r>
      <w:r w:rsidRPr="00D078F7">
        <w:rPr>
          <w:rFonts w:ascii="Verdana" w:hAnsi="Verdana" w:cs="Arial"/>
          <w:sz w:val="16"/>
          <w:szCs w:val="16"/>
          <w:lang w:val="es-ES"/>
        </w:rPr>
        <w:t xml:space="preserve">“[…] A este respecto, cabe recordar que el artículo 860 del Código de Comercio regula la licitación en el derecho privado”. </w:t>
      </w:r>
    </w:p>
  </w:footnote>
  <w:footnote w:id="17">
    <w:p w14:paraId="175B3A30" w14:textId="77777777" w:rsidR="00BD31E4" w:rsidRPr="00D078F7" w:rsidRDefault="00BD31E4" w:rsidP="00BD31E4">
      <w:pPr>
        <w:shd w:val="clear" w:color="auto" w:fill="FFFFFF"/>
        <w:spacing w:after="0" w:line="240" w:lineRule="auto"/>
        <w:ind w:firstLine="709"/>
        <w:jc w:val="both"/>
        <w:rPr>
          <w:rFonts w:ascii="Verdana" w:hAnsi="Verdana" w:cs="Arial"/>
          <w:sz w:val="16"/>
          <w:szCs w:val="16"/>
          <w:lang w:val="es-ES"/>
        </w:rPr>
      </w:pPr>
      <w:r w:rsidRPr="00D078F7">
        <w:rPr>
          <w:rStyle w:val="Refdenotaalpie"/>
          <w:rFonts w:ascii="Verdana" w:hAnsi="Verdana" w:cs="Arial"/>
          <w:sz w:val="16"/>
          <w:szCs w:val="16"/>
        </w:rPr>
        <w:footnoteRef/>
      </w:r>
      <w:r w:rsidRPr="00D078F7">
        <w:rPr>
          <w:rStyle w:val="Refdenotaalpie"/>
          <w:rFonts w:ascii="Verdana" w:hAnsi="Verdana" w:cs="Arial"/>
          <w:sz w:val="16"/>
          <w:szCs w:val="16"/>
        </w:rPr>
        <w:t xml:space="preserve"> </w:t>
      </w:r>
      <w:r w:rsidRPr="00D078F7">
        <w:rPr>
          <w:rFonts w:ascii="Verdana" w:hAnsi="Verdana" w:cs="Arial"/>
          <w:sz w:val="16"/>
          <w:szCs w:val="16"/>
          <w:lang w:val="es-ES"/>
        </w:rPr>
        <w:t xml:space="preserve">Consejo de Estado. Sala de Consulta y Servicio Civil, Concepto de 8 de mayo de 2018. C.P. Álvaro </w:t>
      </w:r>
      <w:proofErr w:type="spellStart"/>
      <w:r w:rsidRPr="00D078F7">
        <w:rPr>
          <w:rFonts w:ascii="Verdana" w:hAnsi="Verdana" w:cs="Arial"/>
          <w:sz w:val="16"/>
          <w:szCs w:val="16"/>
          <w:lang w:val="es-ES"/>
        </w:rPr>
        <w:t>Namén</w:t>
      </w:r>
      <w:proofErr w:type="spellEnd"/>
      <w:r w:rsidRPr="00D078F7">
        <w:rPr>
          <w:rFonts w:ascii="Verdana" w:hAnsi="Verdana" w:cs="Arial"/>
          <w:sz w:val="16"/>
          <w:szCs w:val="16"/>
          <w:lang w:val="es-ES"/>
        </w:rPr>
        <w:t xml:space="preserve"> Vargas. Rad. 2382.</w:t>
      </w:r>
    </w:p>
  </w:footnote>
  <w:footnote w:id="18">
    <w:p w14:paraId="21D40899" w14:textId="77777777" w:rsidR="00BD31E4" w:rsidRPr="00D078F7" w:rsidRDefault="00BD31E4" w:rsidP="00BD31E4">
      <w:pPr>
        <w:pStyle w:val="Textonotapie"/>
        <w:ind w:firstLine="709"/>
        <w:jc w:val="both"/>
        <w:rPr>
          <w:rFonts w:ascii="Verdana" w:hAnsi="Verdana" w:cs="Arial"/>
          <w:sz w:val="16"/>
          <w:szCs w:val="16"/>
        </w:rPr>
      </w:pPr>
      <w:r w:rsidRPr="00D078F7">
        <w:rPr>
          <w:rStyle w:val="Refdenotaalpie"/>
          <w:rFonts w:ascii="Verdana" w:hAnsi="Verdana" w:cs="Arial"/>
          <w:sz w:val="16"/>
          <w:szCs w:val="16"/>
        </w:rPr>
        <w:footnoteRef/>
      </w:r>
      <w:r w:rsidRPr="00D078F7">
        <w:rPr>
          <w:rFonts w:ascii="Verdana" w:hAnsi="Verdana" w:cs="Arial"/>
          <w:sz w:val="16"/>
          <w:szCs w:val="16"/>
        </w:rPr>
        <w:t xml:space="preserve"> Consejo de Estado. Sala de Consulta y Servicio Civil. Concepto del 08 de mayo de 2018.</w:t>
      </w:r>
      <w:r w:rsidRPr="00D078F7">
        <w:rPr>
          <w:rFonts w:ascii="Verdana" w:hAnsi="Verdana" w:cs="Arial"/>
          <w:sz w:val="16"/>
          <w:szCs w:val="16"/>
          <w:lang w:val="es-CO"/>
        </w:rPr>
        <w:t xml:space="preserve"> C.P. Álvaro </w:t>
      </w:r>
      <w:proofErr w:type="spellStart"/>
      <w:r w:rsidRPr="00D078F7">
        <w:rPr>
          <w:rFonts w:ascii="Verdana" w:hAnsi="Verdana" w:cs="Arial"/>
          <w:sz w:val="16"/>
          <w:szCs w:val="16"/>
          <w:lang w:val="es-CO"/>
        </w:rPr>
        <w:t>Namén</w:t>
      </w:r>
      <w:proofErr w:type="spellEnd"/>
      <w:r w:rsidRPr="00D078F7">
        <w:rPr>
          <w:rFonts w:ascii="Verdana" w:hAnsi="Verdana" w:cs="Arial"/>
          <w:sz w:val="16"/>
          <w:szCs w:val="16"/>
          <w:lang w:val="es-CO"/>
        </w:rPr>
        <w:t xml:space="preserve"> Vargas.</w:t>
      </w:r>
      <w:r w:rsidRPr="00D078F7">
        <w:rPr>
          <w:rFonts w:ascii="Verdana" w:hAnsi="Verdana" w:cs="Arial"/>
          <w:sz w:val="16"/>
          <w:szCs w:val="16"/>
        </w:rPr>
        <w:t xml:space="preserve"> </w:t>
      </w:r>
      <w:proofErr w:type="spellStart"/>
      <w:r w:rsidRPr="00D078F7">
        <w:rPr>
          <w:rFonts w:ascii="Verdana" w:hAnsi="Verdana" w:cs="Arial"/>
          <w:sz w:val="16"/>
          <w:szCs w:val="16"/>
        </w:rPr>
        <w:t>Exp</w:t>
      </w:r>
      <w:proofErr w:type="spellEnd"/>
      <w:r w:rsidRPr="00D078F7">
        <w:rPr>
          <w:rFonts w:ascii="Verdana" w:hAnsi="Verdana" w:cs="Arial"/>
          <w:sz w:val="16"/>
          <w:szCs w:val="16"/>
        </w:rPr>
        <w:t>. 2.382.</w:t>
      </w:r>
    </w:p>
  </w:footnote>
  <w:footnote w:id="19">
    <w:p w14:paraId="5E5AA228" w14:textId="77777777" w:rsidR="00BD31E4" w:rsidRPr="00D078F7" w:rsidRDefault="00BD31E4" w:rsidP="00BD31E4">
      <w:pPr>
        <w:pStyle w:val="Textonotapie"/>
        <w:ind w:firstLine="708"/>
        <w:jc w:val="both"/>
        <w:rPr>
          <w:rFonts w:ascii="Verdana" w:hAnsi="Verdana" w:cs="Arial"/>
          <w:sz w:val="16"/>
          <w:szCs w:val="16"/>
        </w:rPr>
      </w:pPr>
      <w:r w:rsidRPr="00D078F7">
        <w:rPr>
          <w:rStyle w:val="Refdenotaalpie"/>
          <w:rFonts w:ascii="Verdana" w:hAnsi="Verdana" w:cs="Arial"/>
          <w:sz w:val="16"/>
          <w:szCs w:val="16"/>
        </w:rPr>
        <w:footnoteRef/>
      </w:r>
      <w:r w:rsidRPr="00D078F7">
        <w:rPr>
          <w:rFonts w:ascii="Verdana" w:hAnsi="Verdana" w:cs="Arial"/>
          <w:sz w:val="16"/>
          <w:szCs w:val="16"/>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0">
    <w:p w14:paraId="560BCACC" w14:textId="77777777" w:rsidR="00BD31E4" w:rsidRPr="00D078F7" w:rsidRDefault="00BD31E4" w:rsidP="00BD31E4">
      <w:pPr>
        <w:pStyle w:val="Textonotapie"/>
        <w:ind w:firstLine="709"/>
        <w:jc w:val="both"/>
        <w:rPr>
          <w:rFonts w:ascii="Verdana" w:hAnsi="Verdana" w:cs="Arial"/>
          <w:sz w:val="16"/>
          <w:szCs w:val="16"/>
        </w:rPr>
      </w:pPr>
      <w:r w:rsidRPr="00D078F7">
        <w:rPr>
          <w:rStyle w:val="Refdenotaalpie"/>
          <w:rFonts w:ascii="Verdana" w:hAnsi="Verdana" w:cs="Arial"/>
          <w:sz w:val="16"/>
          <w:szCs w:val="16"/>
        </w:rPr>
        <w:footnoteRef/>
      </w:r>
      <w:r w:rsidRPr="00D078F7">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1">
    <w:p w14:paraId="1D6FCE07" w14:textId="77777777" w:rsidR="00BD31E4" w:rsidRPr="00D078F7" w:rsidRDefault="00BD31E4" w:rsidP="00BD31E4">
      <w:pPr>
        <w:spacing w:after="0" w:line="240" w:lineRule="auto"/>
        <w:ind w:firstLine="709"/>
        <w:jc w:val="both"/>
        <w:rPr>
          <w:rFonts w:ascii="Verdana" w:hAnsi="Verdana" w:cs="Arial"/>
          <w:sz w:val="16"/>
          <w:szCs w:val="16"/>
        </w:rPr>
      </w:pPr>
      <w:r w:rsidRPr="00D078F7">
        <w:rPr>
          <w:rStyle w:val="Refdenotaalpie"/>
          <w:rFonts w:ascii="Verdana" w:hAnsi="Verdana" w:cs="Arial"/>
          <w:sz w:val="16"/>
          <w:szCs w:val="16"/>
        </w:rPr>
        <w:footnoteRef/>
      </w:r>
      <w:r w:rsidRPr="00D078F7">
        <w:rPr>
          <w:rFonts w:ascii="Verdana" w:hAnsi="Verdana" w:cs="Arial"/>
          <w:sz w:val="16"/>
          <w:szCs w:val="16"/>
        </w:rPr>
        <w:t xml:space="preserve"> Consejo de Estado. Sala de Consulta y Servicio Civil. Concepto de 20 de febrero de 2006. C.P. Enrique José Arboleda Perdomo. Rad. 1727.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2">
    <w:p w14:paraId="653F94D1" w14:textId="77777777" w:rsidR="00BD31E4" w:rsidRPr="00D078F7" w:rsidRDefault="00BD31E4" w:rsidP="00BD31E4">
      <w:pPr>
        <w:pStyle w:val="Textonotapie"/>
        <w:ind w:right="51" w:firstLine="709"/>
        <w:jc w:val="both"/>
        <w:rPr>
          <w:rFonts w:ascii="Verdana" w:eastAsia="Times New Roman" w:hAnsi="Verdana" w:cs="Arial"/>
          <w:bCs/>
          <w:sz w:val="16"/>
          <w:szCs w:val="16"/>
          <w:lang w:eastAsia="x-none"/>
        </w:rPr>
      </w:pPr>
      <w:r w:rsidRPr="00D078F7">
        <w:rPr>
          <w:rStyle w:val="Refdenotaalpie"/>
          <w:rFonts w:ascii="Verdana" w:hAnsi="Verdana" w:cs="Arial"/>
          <w:sz w:val="16"/>
          <w:szCs w:val="16"/>
        </w:rPr>
        <w:footnoteRef/>
      </w:r>
      <w:r w:rsidRPr="00D078F7">
        <w:rPr>
          <w:rFonts w:ascii="Verdana" w:hAnsi="Verdana" w:cs="Arial"/>
          <w:sz w:val="16"/>
          <w:szCs w:val="16"/>
        </w:rPr>
        <w:t xml:space="preserve"> Consejo de Estado. Sala de Consulta y Servicio Civil. Concepto de 6 de abril de 2006.C.P. Enrique José Arboleda Perdomo. </w:t>
      </w:r>
      <w:r w:rsidRPr="00D078F7">
        <w:rPr>
          <w:rFonts w:ascii="Verdana" w:hAnsi="Verdana" w:cs="Arial"/>
          <w:sz w:val="16"/>
          <w:szCs w:val="16"/>
          <w:lang w:val="es-CO"/>
        </w:rPr>
        <w:t>Rad. 1738</w:t>
      </w:r>
      <w:r w:rsidRPr="00D078F7">
        <w:rPr>
          <w:rFonts w:ascii="Verdana" w:eastAsia="Times New Roman" w:hAnsi="Verdana" w:cs="Arial"/>
          <w:bCs/>
          <w:sz w:val="16"/>
          <w:szCs w:val="16"/>
          <w:lang w:eastAsia="x-none"/>
        </w:rPr>
        <w:t xml:space="preserve"> “</w:t>
      </w:r>
      <w:r w:rsidRPr="00D078F7">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D078F7">
        <w:rPr>
          <w:rFonts w:ascii="Verdana" w:eastAsia="Times New Roman" w:hAnsi="Verdana" w:cs="Arial"/>
          <w:bCs/>
          <w:sz w:val="16"/>
          <w:szCs w:val="16"/>
          <w:lang w:eastAsia="x-none"/>
        </w:rPr>
        <w:t>”.</w:t>
      </w:r>
    </w:p>
  </w:footnote>
  <w:footnote w:id="23">
    <w:p w14:paraId="533D118E" w14:textId="77777777" w:rsidR="00BD31E4" w:rsidRPr="00D078F7" w:rsidRDefault="00BD31E4" w:rsidP="00BD31E4">
      <w:pPr>
        <w:spacing w:after="0" w:line="240" w:lineRule="auto"/>
        <w:ind w:firstLine="708"/>
        <w:jc w:val="both"/>
        <w:rPr>
          <w:rFonts w:ascii="Verdana" w:hAnsi="Verdana" w:cs="Arial"/>
          <w:sz w:val="16"/>
          <w:szCs w:val="16"/>
        </w:rPr>
      </w:pPr>
      <w:r w:rsidRPr="00D078F7">
        <w:rPr>
          <w:rStyle w:val="Refdenotaalpie"/>
          <w:rFonts w:ascii="Verdana" w:hAnsi="Verdana" w:cs="Arial"/>
          <w:sz w:val="16"/>
          <w:szCs w:val="16"/>
        </w:rPr>
        <w:footnoteRef/>
      </w:r>
      <w:r w:rsidRPr="00D078F7">
        <w:rPr>
          <w:rFonts w:ascii="Verdana" w:hAnsi="Verdana" w:cs="Arial"/>
          <w:sz w:val="16"/>
          <w:szCs w:val="16"/>
        </w:rPr>
        <w:t xml:space="preserve"> Consejo de Estado. Sala de Consulta y Servicio Civil. Concepto de 6 de abril de 2006. C.P. Enrique José Arboleda Perdomo. Rad. 1738. </w:t>
      </w:r>
    </w:p>
  </w:footnote>
  <w:footnote w:id="24">
    <w:p w14:paraId="68D7698C" w14:textId="77777777" w:rsidR="00BD31E4" w:rsidRPr="00D078F7" w:rsidRDefault="00BD31E4" w:rsidP="00BD31E4">
      <w:pPr>
        <w:pStyle w:val="Textonotapie"/>
        <w:ind w:right="51" w:firstLine="709"/>
        <w:jc w:val="both"/>
        <w:rPr>
          <w:rFonts w:ascii="Verdana" w:hAnsi="Verdana" w:cs="Arial"/>
          <w:sz w:val="16"/>
          <w:szCs w:val="16"/>
        </w:rPr>
      </w:pPr>
      <w:r w:rsidRPr="00D078F7">
        <w:rPr>
          <w:rStyle w:val="Refdenotaalpie"/>
          <w:rFonts w:ascii="Verdana" w:hAnsi="Verdana" w:cs="Arial"/>
          <w:sz w:val="16"/>
          <w:szCs w:val="16"/>
        </w:rPr>
        <w:footnoteRef/>
      </w:r>
      <w:r w:rsidRPr="00D078F7">
        <w:rPr>
          <w:rFonts w:ascii="Verdana" w:hAnsi="Verdana" w:cs="Arial"/>
          <w:sz w:val="16"/>
          <w:szCs w:val="16"/>
        </w:rPr>
        <w:t xml:space="preserve"> Consejo de Estado. Sala de Consulta y Servicio Civil, ídem.</w:t>
      </w:r>
    </w:p>
  </w:footnote>
  <w:footnote w:id="25">
    <w:p w14:paraId="2AF90E75" w14:textId="77777777" w:rsidR="00BD31E4" w:rsidRPr="00D078F7" w:rsidRDefault="00BD31E4" w:rsidP="00BD31E4">
      <w:pPr>
        <w:pStyle w:val="Textonotapie"/>
        <w:ind w:firstLine="708"/>
        <w:jc w:val="both"/>
        <w:rPr>
          <w:rFonts w:ascii="Arial" w:hAnsi="Arial" w:cs="Arial"/>
          <w:sz w:val="16"/>
          <w:szCs w:val="16"/>
        </w:rPr>
      </w:pPr>
      <w:r w:rsidRPr="00D078F7">
        <w:rPr>
          <w:rStyle w:val="Refdenotaalpie"/>
          <w:rFonts w:ascii="Verdana" w:hAnsi="Verdana" w:cs="Arial"/>
          <w:sz w:val="16"/>
          <w:szCs w:val="16"/>
        </w:rPr>
        <w:footnoteRef/>
      </w:r>
      <w:r w:rsidRPr="00D078F7">
        <w:rPr>
          <w:rFonts w:ascii="Verdana" w:hAnsi="Verdana" w:cs="Arial"/>
          <w:sz w:val="16"/>
          <w:szCs w:val="16"/>
        </w:rPr>
        <w:t xml:space="preserve"> Colombia Compra Eficiente. Circular Externa Única. Numeral 15.5.</w:t>
      </w:r>
    </w:p>
  </w:footnote>
  <w:footnote w:id="26">
    <w:p w14:paraId="2FAC55E1" w14:textId="77777777" w:rsidR="00BD31E4" w:rsidRPr="00D078F7" w:rsidRDefault="00BD31E4" w:rsidP="00BD31E4">
      <w:pPr>
        <w:pStyle w:val="Textonotapie"/>
        <w:spacing w:line="276" w:lineRule="auto"/>
        <w:ind w:firstLine="709"/>
        <w:jc w:val="both"/>
        <w:rPr>
          <w:rFonts w:ascii="Verdana" w:hAnsi="Verdana" w:cs="Arial"/>
          <w:color w:val="000000"/>
          <w:sz w:val="16"/>
          <w:szCs w:val="16"/>
        </w:rPr>
      </w:pPr>
      <w:r w:rsidRPr="00D078F7">
        <w:rPr>
          <w:rStyle w:val="Refdenotaalpie"/>
          <w:rFonts w:ascii="Verdana" w:hAnsi="Verdana"/>
          <w:sz w:val="16"/>
          <w:szCs w:val="16"/>
        </w:rPr>
        <w:footnoteRef/>
      </w:r>
      <w:r w:rsidRPr="00D078F7">
        <w:rPr>
          <w:rFonts w:ascii="Verdana" w:hAnsi="Verdana"/>
          <w:sz w:val="16"/>
          <w:szCs w:val="16"/>
        </w:rPr>
        <w:t xml:space="preserve"> </w:t>
      </w:r>
      <w:r w:rsidRPr="00D078F7">
        <w:rPr>
          <w:rFonts w:ascii="Verdana" w:hAnsi="Verdana" w:cs="Arial"/>
          <w:sz w:val="16"/>
          <w:szCs w:val="16"/>
        </w:rPr>
        <w:t>Ley 1150 de 2007 “</w:t>
      </w:r>
      <w:r w:rsidRPr="00D078F7">
        <w:rPr>
          <w:rStyle w:val="Textoennegrita"/>
          <w:rFonts w:ascii="Verdana" w:hAnsi="Verdana" w:cs="Arial"/>
          <w:color w:val="000000"/>
          <w:sz w:val="16"/>
          <w:szCs w:val="16"/>
        </w:rPr>
        <w:t>Artículo 2.</w:t>
      </w:r>
      <w:r w:rsidRPr="00D078F7">
        <w:rPr>
          <w:rStyle w:val="nfasis"/>
          <w:rFonts w:ascii="Verdana" w:hAnsi="Verdana" w:cs="Arial"/>
          <w:b/>
          <w:bCs/>
          <w:color w:val="000000"/>
          <w:sz w:val="16"/>
          <w:szCs w:val="16"/>
        </w:rPr>
        <w:t xml:space="preserve"> </w:t>
      </w:r>
      <w:r w:rsidRPr="00D078F7">
        <w:rPr>
          <w:rStyle w:val="nfasis"/>
          <w:rFonts w:ascii="Verdana" w:hAnsi="Verdana" w:cs="Arial"/>
          <w:color w:val="000000"/>
          <w:sz w:val="16"/>
          <w:szCs w:val="16"/>
        </w:rPr>
        <w:t>De las modalidades de selección. </w:t>
      </w:r>
      <w:r w:rsidRPr="00D078F7">
        <w:rPr>
          <w:rFonts w:ascii="Verdana" w:hAnsi="Verdana" w:cs="Arial"/>
          <w:color w:val="000000"/>
          <w:sz w:val="16"/>
          <w:szCs w:val="16"/>
        </w:rPr>
        <w:t>La escogencia del contratista se efectuará con arreglo a las modalidades de selección de licitación pública, selección abreviada, concurso de méritos y contratación directa, con base en las siguientes reglas:</w:t>
      </w:r>
    </w:p>
    <w:p w14:paraId="01675522" w14:textId="77777777" w:rsidR="00BD31E4" w:rsidRPr="00D078F7" w:rsidRDefault="00BD31E4" w:rsidP="00BD31E4">
      <w:pPr>
        <w:pStyle w:val="Textonotapie"/>
        <w:spacing w:line="276" w:lineRule="auto"/>
        <w:ind w:firstLine="709"/>
        <w:jc w:val="both"/>
        <w:rPr>
          <w:rFonts w:ascii="Verdana" w:hAnsi="Verdana" w:cs="Arial"/>
          <w:color w:val="000000"/>
          <w:sz w:val="16"/>
          <w:szCs w:val="16"/>
        </w:rPr>
      </w:pPr>
      <w:r w:rsidRPr="00D078F7">
        <w:rPr>
          <w:rFonts w:ascii="Verdana" w:hAnsi="Verdana" w:cs="Arial"/>
          <w:color w:val="000000"/>
          <w:sz w:val="16"/>
          <w:szCs w:val="16"/>
        </w:rPr>
        <w:t>(…)</w:t>
      </w:r>
    </w:p>
    <w:p w14:paraId="7439BC42" w14:textId="77777777" w:rsidR="00BD31E4" w:rsidRPr="00D078F7" w:rsidRDefault="00BD31E4" w:rsidP="00BD31E4">
      <w:pPr>
        <w:pStyle w:val="Textonotapie"/>
        <w:spacing w:line="276" w:lineRule="auto"/>
        <w:ind w:firstLine="709"/>
        <w:jc w:val="both"/>
        <w:rPr>
          <w:rFonts w:ascii="Verdana" w:hAnsi="Verdana" w:cs="Arial"/>
          <w:sz w:val="16"/>
          <w:szCs w:val="16"/>
        </w:rPr>
      </w:pPr>
      <w:r w:rsidRPr="00D078F7">
        <w:rPr>
          <w:rFonts w:ascii="Verdana" w:hAnsi="Verdana" w:cs="Arial"/>
          <w:sz w:val="16"/>
          <w:szCs w:val="16"/>
        </w:rPr>
        <w:t xml:space="preserve">2. Selección abreviada. La Selección abreviada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  El Gobierno Nacional reglamentará la materia. </w:t>
      </w:r>
    </w:p>
    <w:p w14:paraId="65F8380C" w14:textId="77777777" w:rsidR="00BD31E4" w:rsidRPr="00D078F7" w:rsidRDefault="00BD31E4" w:rsidP="00BD31E4">
      <w:pPr>
        <w:pStyle w:val="Textonotapie"/>
        <w:spacing w:line="276" w:lineRule="auto"/>
        <w:ind w:firstLine="709"/>
        <w:jc w:val="both"/>
        <w:rPr>
          <w:rFonts w:ascii="Verdana" w:hAnsi="Verdana" w:cs="Arial"/>
          <w:sz w:val="16"/>
          <w:szCs w:val="16"/>
        </w:rPr>
      </w:pPr>
      <w:r w:rsidRPr="00D078F7">
        <w:rPr>
          <w:rFonts w:ascii="Verdana" w:hAnsi="Verdana" w:cs="Arial"/>
          <w:sz w:val="16"/>
          <w:szCs w:val="16"/>
        </w:rPr>
        <w:t xml:space="preserve">Serán causales de selección abreviada las siguientes: </w:t>
      </w:r>
    </w:p>
    <w:p w14:paraId="7E8B0457" w14:textId="77777777" w:rsidR="00BD31E4" w:rsidRPr="00D078F7" w:rsidRDefault="00BD31E4" w:rsidP="00BD31E4">
      <w:pPr>
        <w:pStyle w:val="Textonotapie"/>
        <w:spacing w:line="276" w:lineRule="auto"/>
        <w:ind w:firstLine="709"/>
        <w:jc w:val="both"/>
        <w:rPr>
          <w:rFonts w:ascii="Verdana" w:hAnsi="Verdana" w:cs="Arial"/>
          <w:sz w:val="16"/>
          <w:szCs w:val="16"/>
        </w:rPr>
      </w:pPr>
      <w:r w:rsidRPr="00D078F7">
        <w:rPr>
          <w:rFonts w:ascii="Verdana" w:hAnsi="Verdana" w:cs="Arial"/>
          <w:sz w:val="16"/>
          <w:szCs w:val="16"/>
        </w:rPr>
        <w:t xml:space="preserve">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 </w:t>
      </w:r>
    </w:p>
    <w:p w14:paraId="36327198" w14:textId="77777777" w:rsidR="00BD31E4" w:rsidRPr="00D078F7" w:rsidRDefault="00BD31E4" w:rsidP="00BD31E4">
      <w:pPr>
        <w:pStyle w:val="Textonotapie"/>
        <w:spacing w:line="276" w:lineRule="auto"/>
        <w:ind w:firstLine="709"/>
        <w:jc w:val="both"/>
        <w:rPr>
          <w:rFonts w:ascii="Arial" w:hAnsi="Arial" w:cs="Arial"/>
          <w:sz w:val="16"/>
          <w:szCs w:val="16"/>
        </w:rPr>
      </w:pPr>
      <w:r w:rsidRPr="00D078F7">
        <w:rPr>
          <w:rFonts w:ascii="Verdana" w:hAnsi="Verdana" w:cs="Arial"/>
          <w:sz w:val="16"/>
          <w:szCs w:val="16"/>
        </w:rPr>
        <w:t>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r w:rsidRPr="00D078F7">
        <w:rPr>
          <w:rFonts w:ascii="Arial" w:hAnsi="Arial" w:cs="Arial"/>
          <w:color w:val="000000"/>
          <w:sz w:val="16"/>
          <w:szCs w:val="16"/>
        </w:rPr>
        <w:t> </w:t>
      </w:r>
    </w:p>
  </w:footnote>
  <w:footnote w:id="27">
    <w:p w14:paraId="483CB4F3" w14:textId="77777777" w:rsidR="00BD31E4" w:rsidRPr="00D078F7" w:rsidRDefault="00BD31E4" w:rsidP="00BD31E4">
      <w:pPr>
        <w:pStyle w:val="Textonotapie"/>
        <w:ind w:firstLine="708"/>
        <w:jc w:val="both"/>
        <w:rPr>
          <w:rFonts w:ascii="Verdana" w:hAnsi="Verdana" w:cs="Arial"/>
          <w:color w:val="000000" w:themeColor="text1"/>
          <w:sz w:val="16"/>
          <w:szCs w:val="16"/>
          <w:lang w:val="es-CO"/>
        </w:rPr>
      </w:pPr>
      <w:r w:rsidRPr="00D078F7">
        <w:rPr>
          <w:rStyle w:val="Refdenotaalpie"/>
          <w:rFonts w:ascii="Verdana" w:hAnsi="Verdana" w:cs="Arial"/>
          <w:color w:val="000000" w:themeColor="text1"/>
          <w:sz w:val="16"/>
          <w:szCs w:val="16"/>
        </w:rPr>
        <w:footnoteRef/>
      </w:r>
      <w:r w:rsidRPr="00D078F7">
        <w:rPr>
          <w:rFonts w:ascii="Verdana" w:hAnsi="Verdana" w:cs="Arial"/>
          <w:color w:val="000000" w:themeColor="text1"/>
          <w:sz w:val="16"/>
          <w:szCs w:val="16"/>
        </w:rPr>
        <w:t xml:space="preserve"> DÁVILA VINUEZA, Luis Guillermo. Régimen jurídico de la contratación estatal. Tercera edición. Bogotá: </w:t>
      </w:r>
      <w:proofErr w:type="spellStart"/>
      <w:r w:rsidRPr="00D078F7">
        <w:rPr>
          <w:rFonts w:ascii="Verdana" w:hAnsi="Verdana" w:cs="Arial"/>
          <w:color w:val="000000" w:themeColor="text1"/>
          <w:sz w:val="16"/>
          <w:szCs w:val="16"/>
        </w:rPr>
        <w:t>Legis</w:t>
      </w:r>
      <w:proofErr w:type="spellEnd"/>
      <w:r w:rsidRPr="00D078F7">
        <w:rPr>
          <w:rFonts w:ascii="Verdana" w:hAnsi="Verdana" w:cs="Arial"/>
          <w:color w:val="000000" w:themeColor="text1"/>
          <w:sz w:val="16"/>
          <w:szCs w:val="16"/>
        </w:rPr>
        <w:t xml:space="preserve">, 2016. p. 469. </w:t>
      </w:r>
    </w:p>
  </w:footnote>
  <w:footnote w:id="28">
    <w:p w14:paraId="5BF6BB39" w14:textId="77777777" w:rsidR="00BD31E4" w:rsidRPr="00D078F7" w:rsidRDefault="00BD31E4" w:rsidP="00BD31E4">
      <w:pPr>
        <w:pStyle w:val="Textonotapie"/>
        <w:ind w:firstLine="709"/>
        <w:rPr>
          <w:rFonts w:ascii="Verdana" w:hAnsi="Verdana"/>
          <w:sz w:val="16"/>
          <w:szCs w:val="16"/>
          <w:lang w:val="es-ES"/>
        </w:rPr>
      </w:pPr>
      <w:r w:rsidRPr="00D078F7">
        <w:rPr>
          <w:rStyle w:val="Refdenotaalpie"/>
          <w:rFonts w:ascii="Verdana" w:hAnsi="Verdana"/>
          <w:sz w:val="16"/>
          <w:szCs w:val="16"/>
        </w:rPr>
        <w:footnoteRef/>
      </w:r>
      <w:r w:rsidRPr="00D078F7">
        <w:rPr>
          <w:rFonts w:ascii="Verdana" w:hAnsi="Verdana"/>
          <w:sz w:val="16"/>
          <w:szCs w:val="16"/>
        </w:rPr>
        <w:t xml:space="preserve"> </w:t>
      </w:r>
      <w:r w:rsidRPr="00D078F7">
        <w:rPr>
          <w:rFonts w:ascii="Verdana" w:hAnsi="Verdana" w:cs="Arial"/>
          <w:i/>
          <w:iCs/>
          <w:sz w:val="16"/>
          <w:szCs w:val="16"/>
        </w:rPr>
        <w:t>Ibídem.</w:t>
      </w:r>
    </w:p>
  </w:footnote>
  <w:footnote w:id="29">
    <w:p w14:paraId="23795798" w14:textId="77777777" w:rsidR="00BD31E4" w:rsidRPr="00D078F7" w:rsidRDefault="00BD31E4" w:rsidP="00BD31E4">
      <w:pPr>
        <w:pStyle w:val="Textonotapie"/>
        <w:ind w:firstLine="708"/>
        <w:jc w:val="both"/>
        <w:rPr>
          <w:rFonts w:ascii="Verdana" w:hAnsi="Verdana" w:cs="Arial"/>
          <w:sz w:val="16"/>
          <w:szCs w:val="16"/>
        </w:rPr>
      </w:pPr>
      <w:r w:rsidRPr="00D078F7">
        <w:rPr>
          <w:rStyle w:val="Refdenotaalpie"/>
          <w:rFonts w:ascii="Verdana" w:hAnsi="Verdana"/>
          <w:sz w:val="16"/>
          <w:szCs w:val="16"/>
        </w:rPr>
        <w:footnoteRef/>
      </w:r>
      <w:r w:rsidRPr="00D078F7">
        <w:rPr>
          <w:rFonts w:ascii="Verdana" w:hAnsi="Verdana"/>
          <w:sz w:val="16"/>
          <w:szCs w:val="16"/>
        </w:rPr>
        <w:t xml:space="preserve"> </w:t>
      </w:r>
      <w:r w:rsidRPr="00D078F7">
        <w:rPr>
          <w:rFonts w:ascii="Verdana" w:hAnsi="Verdana" w:cs="Arial"/>
          <w:sz w:val="16"/>
          <w:szCs w:val="16"/>
        </w:rPr>
        <w:t>Decreto 1082 de 2015 “Artículo 2.2.1.2.1.2.14. Selección del comisionista. La Entidad Estatal debe seleccionar al comisionista de acuerdo con el procedimiento interno aplicable en la bolsa de productos, el cual debe ser competitivo.</w:t>
      </w:r>
    </w:p>
    <w:p w14:paraId="01222C8D" w14:textId="77777777" w:rsidR="00BD31E4" w:rsidRPr="00D078F7" w:rsidRDefault="00BD31E4" w:rsidP="00BD31E4">
      <w:pPr>
        <w:pStyle w:val="Textonotapie"/>
        <w:ind w:firstLine="708"/>
        <w:jc w:val="both"/>
        <w:rPr>
          <w:rFonts w:ascii="Verdana" w:hAnsi="Verdana" w:cs="Arial"/>
          <w:sz w:val="16"/>
          <w:szCs w:val="16"/>
        </w:rPr>
      </w:pPr>
      <w:r w:rsidRPr="00D078F7">
        <w:rPr>
          <w:rFonts w:ascii="Verdana" w:hAnsi="Verdana" w:cs="Arial"/>
          <w:sz w:val="16"/>
          <w:szCs w:val="16"/>
        </w:rPr>
        <w:t xml:space="preserve">“Entidad Estatal debe publicar el contrato suscrito con el comisionista seleccionado y sus modificaciones en el </w:t>
      </w:r>
      <w:proofErr w:type="spellStart"/>
      <w:r w:rsidRPr="00D078F7">
        <w:rPr>
          <w:rFonts w:ascii="Verdana" w:hAnsi="Verdana" w:cs="Arial"/>
          <w:sz w:val="16"/>
          <w:szCs w:val="16"/>
        </w:rPr>
        <w:t>Secop</w:t>
      </w:r>
      <w:proofErr w:type="spellEnd"/>
      <w:r w:rsidRPr="00D078F7">
        <w:rPr>
          <w:rFonts w:ascii="Verdana" w:hAnsi="Verdana" w:cs="Arial"/>
          <w:sz w:val="16"/>
          <w:szCs w:val="16"/>
        </w:rPr>
        <w:t>”.</w:t>
      </w:r>
    </w:p>
  </w:footnote>
  <w:footnote w:id="30">
    <w:p w14:paraId="1713D7E5" w14:textId="77777777" w:rsidR="00BD31E4" w:rsidRPr="00D078F7" w:rsidRDefault="00BD31E4" w:rsidP="00BD31E4">
      <w:pPr>
        <w:pStyle w:val="NormalWeb"/>
        <w:spacing w:before="0" w:beforeAutospacing="0" w:after="0" w:afterAutospacing="0"/>
        <w:ind w:firstLine="708"/>
        <w:jc w:val="both"/>
        <w:rPr>
          <w:rFonts w:ascii="Verdana" w:hAnsi="Verdana" w:cs="Arial"/>
          <w:color w:val="000000"/>
          <w:sz w:val="16"/>
          <w:szCs w:val="16"/>
        </w:rPr>
      </w:pPr>
      <w:r w:rsidRPr="00D078F7">
        <w:rPr>
          <w:rStyle w:val="Refdenotaalpie"/>
          <w:rFonts w:ascii="Verdana" w:hAnsi="Verdana"/>
          <w:sz w:val="16"/>
          <w:szCs w:val="16"/>
        </w:rPr>
        <w:footnoteRef/>
      </w:r>
      <w:r w:rsidRPr="00D078F7">
        <w:rPr>
          <w:rFonts w:ascii="Verdana" w:hAnsi="Verdana" w:cs="Arial"/>
          <w:sz w:val="16"/>
          <w:szCs w:val="16"/>
        </w:rPr>
        <w:t xml:space="preserve"> Decreto 1082 de 2015 “</w:t>
      </w:r>
      <w:r w:rsidRPr="00D078F7">
        <w:rPr>
          <w:rFonts w:ascii="Verdana" w:hAnsi="Verdana" w:cs="Arial"/>
          <w:color w:val="000000"/>
          <w:sz w:val="16"/>
          <w:szCs w:val="16"/>
        </w:rPr>
        <w:t>Artículo 2.2.1.2.1.2.17. Garantía única a favor de la Entidad Estatal. Como requisito para la ejecución del contrato de comisión, el comisionista seleccionado debe constituir a favor de la entidad estatal comitente la garantía única de cumplimiento, en relación con el valor de la comisión que la Entidad Estatal pagará al comisionista por sus servicios. </w:t>
      </w:r>
    </w:p>
    <w:p w14:paraId="6F4E2848" w14:textId="77777777" w:rsidR="00BD31E4" w:rsidRPr="00D078F7" w:rsidRDefault="00BD31E4" w:rsidP="00BD31E4">
      <w:pPr>
        <w:spacing w:after="0"/>
        <w:ind w:firstLine="709"/>
        <w:jc w:val="both"/>
        <w:rPr>
          <w:rFonts w:ascii="Verdana" w:eastAsia="Times New Roman" w:hAnsi="Verdana" w:cs="Arial"/>
          <w:color w:val="000000"/>
          <w:sz w:val="16"/>
          <w:szCs w:val="16"/>
          <w:lang w:eastAsia="es-CO"/>
        </w:rPr>
      </w:pPr>
      <w:bookmarkStart w:id="15" w:name="ver_30051355"/>
      <w:bookmarkEnd w:id="15"/>
      <w:r w:rsidRPr="00D078F7">
        <w:rPr>
          <w:rFonts w:ascii="Verdana" w:eastAsia="Times New Roman" w:hAnsi="Verdana" w:cs="Arial"/>
          <w:color w:val="000000"/>
          <w:sz w:val="16"/>
          <w:szCs w:val="16"/>
          <w:lang w:eastAsia="es-CO"/>
        </w:rPr>
        <w:t>“Artículo 2.2.1.2.1.2.18. Garantías de cumplimiento a favor del organismo de compensación de la bolsa de productos. La Entidad Estatal y el comitente vendedor deben constituir a favor del organismo de compensación de la bolsa de productos las garantías establecidas en su reglamento, para garantizar el cumplimiento de las negociaciones mediante las cuales la Entidad Estatal adquiere Bienes y Servicios de Características Técnicas Uniformes.</w:t>
      </w:r>
    </w:p>
    <w:p w14:paraId="246C516D" w14:textId="77777777" w:rsidR="00BD31E4" w:rsidRPr="00D078F7" w:rsidRDefault="00BD31E4" w:rsidP="00BD31E4">
      <w:pPr>
        <w:spacing w:after="0"/>
        <w:ind w:firstLine="709"/>
        <w:jc w:val="both"/>
        <w:rPr>
          <w:rFonts w:ascii="Arial" w:eastAsia="Times New Roman" w:hAnsi="Arial" w:cs="Arial"/>
          <w:color w:val="000000"/>
          <w:sz w:val="16"/>
          <w:szCs w:val="16"/>
          <w:lang w:eastAsia="es-CO"/>
        </w:rPr>
      </w:pPr>
      <w:r w:rsidRPr="00D078F7">
        <w:rPr>
          <w:rFonts w:ascii="Verdana" w:eastAsia="Times New Roman" w:hAnsi="Verdana" w:cs="Arial"/>
          <w:color w:val="000000"/>
          <w:sz w:val="16"/>
          <w:szCs w:val="16"/>
          <w:lang w:eastAsia="es-CO"/>
        </w:rPr>
        <w:t>Las Entidades Estatales pueden exigir al comitente vendedor garantías adicionales a las señaladas en el presente artículo, siempre y cuando resulten adecuadas y proporcionales al objeto a contratar y a su valor”.</w:t>
      </w:r>
    </w:p>
  </w:footnote>
  <w:footnote w:id="31">
    <w:p w14:paraId="6A7C76D2" w14:textId="77777777" w:rsidR="00BD31E4" w:rsidRPr="00D078F7" w:rsidRDefault="00BD31E4" w:rsidP="00BD31E4">
      <w:pPr>
        <w:pStyle w:val="Textonotapie"/>
        <w:ind w:firstLine="708"/>
        <w:jc w:val="both"/>
        <w:rPr>
          <w:rFonts w:ascii="Verdana" w:hAnsi="Verdana" w:cs="Arial"/>
          <w:sz w:val="16"/>
          <w:szCs w:val="16"/>
        </w:rPr>
      </w:pPr>
      <w:r w:rsidRPr="00D078F7">
        <w:rPr>
          <w:rStyle w:val="Refdenotaalpie"/>
          <w:rFonts w:ascii="Verdana" w:hAnsi="Verdana"/>
          <w:sz w:val="16"/>
          <w:szCs w:val="16"/>
        </w:rPr>
        <w:footnoteRef/>
      </w:r>
      <w:r w:rsidRPr="00D078F7">
        <w:rPr>
          <w:rFonts w:ascii="Verdana" w:hAnsi="Verdana"/>
          <w:sz w:val="16"/>
          <w:szCs w:val="16"/>
        </w:rPr>
        <w:t xml:space="preserve"> </w:t>
      </w:r>
      <w:r w:rsidRPr="00D078F7">
        <w:rPr>
          <w:rFonts w:ascii="Verdana" w:hAnsi="Verdana" w:cs="Arial"/>
          <w:sz w:val="16"/>
          <w:szCs w:val="16"/>
        </w:rPr>
        <w:t>El artículo 2.2.1.2.1.2.12. del Decreto 1082 de 2015, modificado por el artículo 2 del Decreto 310 del 25 de marzo de 2021 establece: “Planeación de una adquisición en la bolsa de productos.</w:t>
      </w:r>
      <w:r w:rsidRPr="00D078F7">
        <w:rPr>
          <w:rFonts w:ascii="Arial" w:hAnsi="Arial" w:cs="Arial"/>
          <w:sz w:val="16"/>
          <w:szCs w:val="16"/>
        </w:rPr>
        <w:t>​</w:t>
      </w:r>
      <w:r w:rsidRPr="00D078F7">
        <w:rPr>
          <w:rFonts w:ascii="Verdana" w:hAnsi="Verdana" w:cs="Arial"/>
          <w:sz w:val="16"/>
          <w:szCs w:val="16"/>
        </w:rPr>
        <w:t xml:space="preserve"> Cuando no exista un Acuerdo Marco de Precios para el bien o servicio requerido, las entidades estatales deben estudiar, comparar e identificar las ventajas de utilizar la bolsa de productos para la adquisición respectiva frente a la subasta inversa o a la promoción de un nuevo Acuerdo Marco de Precios con la Agencia Nacional de Contratación Pública -Colombia Compra Eficiente- para tales bienes o servicios, incluyendo el análisis del Proceso de Selección del comisionista, los costos asociados a la selección, el valor de la comisión y de las garantías. </w:t>
      </w:r>
    </w:p>
    <w:p w14:paraId="43E74748" w14:textId="77777777" w:rsidR="00BD31E4" w:rsidRPr="00D078F7" w:rsidRDefault="00BD31E4" w:rsidP="00BD31E4">
      <w:pPr>
        <w:pStyle w:val="Textonotapie"/>
        <w:ind w:firstLine="708"/>
        <w:jc w:val="both"/>
        <w:rPr>
          <w:rFonts w:ascii="Verdana" w:hAnsi="Verdana" w:cs="Arial"/>
          <w:sz w:val="16"/>
          <w:szCs w:val="16"/>
        </w:rPr>
      </w:pPr>
      <w:r w:rsidRPr="00D078F7">
        <w:rPr>
          <w:rFonts w:ascii="Verdana" w:hAnsi="Verdana" w:cs="Arial"/>
          <w:sz w:val="16"/>
          <w:szCs w:val="16"/>
        </w:rPr>
        <w:t xml:space="preserve">“El estudio mencionado deberá dar cuenta de la forma en que la Entidad Estatal garantiza los principios y objetivos del sistema de compras, contratación pública, los postulados de la función administrativa y de la gestión fiscal. Este estudio deberá consignarse expresamente en los documentos del Proceso de Selección y se deberá garantizar su oportuna publicidad a través del SECOP. </w:t>
      </w:r>
    </w:p>
    <w:p w14:paraId="1AA66BB3" w14:textId="77777777" w:rsidR="00BD31E4" w:rsidRPr="00D078F7" w:rsidRDefault="00BD31E4" w:rsidP="00BD31E4">
      <w:pPr>
        <w:pStyle w:val="Textonotapie"/>
        <w:ind w:firstLine="708"/>
        <w:jc w:val="both"/>
        <w:rPr>
          <w:rFonts w:ascii="Verdana" w:hAnsi="Verdana" w:cs="Arial"/>
          <w:sz w:val="16"/>
          <w:szCs w:val="16"/>
        </w:rPr>
      </w:pPr>
      <w:r w:rsidRPr="00D078F7">
        <w:rPr>
          <w:rFonts w:ascii="Verdana" w:hAnsi="Verdana" w:cs="Arial"/>
          <w:sz w:val="16"/>
          <w:szCs w:val="16"/>
        </w:rPr>
        <w:t xml:space="preserve">“Aun existiendo un Acuerdo Marco de Precios, las entidades estatales podrán acudir a las bolsas de productos, siempre que a través de este mecanismo se obtengan precios inferiores al promedio de los valores finales de las operaciones secundarias materializadas con ocasión de las órdenes de compra colocadas por las Entidades compradoras a través de la Tienda Virtual del Estado, administrada por la Agencia Nacional de Contratación Pública -Colombia Compra Eficiente- durante los últimos seis (6) meses, incluyendo los costos generados por concepto de comisionistas de bolsa y gastos de operación de qué trata el artículo 2.2.1.2.1.2.1.5 del presente Decreto, valores que deberán ser verificados por el respectivo ordenador del gasto en el último boletín de precios que, para el efecto, expida el órgano rector de la contratación estatal. </w:t>
      </w:r>
    </w:p>
    <w:p w14:paraId="7D7E83FF" w14:textId="77777777" w:rsidR="00BD31E4" w:rsidRPr="00D078F7" w:rsidRDefault="00BD31E4" w:rsidP="00BD31E4">
      <w:pPr>
        <w:pStyle w:val="Textonotapie"/>
        <w:ind w:firstLine="708"/>
        <w:jc w:val="both"/>
        <w:rPr>
          <w:rFonts w:ascii="Verdana" w:hAnsi="Verdana" w:cs="Arial"/>
          <w:sz w:val="16"/>
          <w:szCs w:val="16"/>
        </w:rPr>
      </w:pPr>
      <w:r w:rsidRPr="00D078F7">
        <w:rPr>
          <w:rFonts w:ascii="Verdana" w:hAnsi="Verdana" w:cs="Arial"/>
          <w:sz w:val="16"/>
          <w:szCs w:val="16"/>
        </w:rPr>
        <w:t xml:space="preserve">“Estas adquisiciones, no podrán desmejorar las condiciones técnicas y de calidad definidas para los bienes y servicios que conforman los catálogos de los acuerdos marco de precios de la Agencia Nacional de Contratación Pública como ente rector en la materia o quien haga sus veces. </w:t>
      </w:r>
    </w:p>
    <w:p w14:paraId="799AC2E5" w14:textId="77777777" w:rsidR="00BD31E4" w:rsidRPr="00D078F7" w:rsidRDefault="00BD31E4" w:rsidP="00BD31E4">
      <w:pPr>
        <w:pStyle w:val="Textonotapie"/>
        <w:ind w:firstLine="708"/>
        <w:jc w:val="both"/>
        <w:rPr>
          <w:rFonts w:ascii="Verdana" w:hAnsi="Verdana" w:cs="Arial"/>
          <w:sz w:val="16"/>
          <w:szCs w:val="16"/>
        </w:rPr>
      </w:pPr>
      <w:r w:rsidRPr="00D078F7">
        <w:rPr>
          <w:rFonts w:ascii="Verdana" w:hAnsi="Verdana" w:cs="Arial"/>
          <w:sz w:val="16"/>
          <w:szCs w:val="16"/>
        </w:rPr>
        <w:t xml:space="preserve">“Parágrafo 1. La Agencia Nacional de contratación Pública - Colombia Compra Eficiente, a través de la circular de que trata el numeral 2 del parágrafo 1 del artículo 2.2.1.2.1.2.7. del presente Decreto definirá los lineamientos generales, así como los criterios objetivos y medibles a los cuales deberán sujetarse las entidades estatales para la adquisición de bienes o servicios de características técnicas uniformes a través de Bolsas de Productos, independientemente de que exista o no un Acuerdo Marco de Precios vigente. </w:t>
      </w:r>
    </w:p>
    <w:p w14:paraId="4133D5BC" w14:textId="77777777" w:rsidR="00BD31E4" w:rsidRPr="00D078F7" w:rsidRDefault="00BD31E4" w:rsidP="00BD31E4">
      <w:pPr>
        <w:pStyle w:val="Textonotapie"/>
        <w:ind w:firstLine="708"/>
        <w:jc w:val="both"/>
        <w:rPr>
          <w:rFonts w:ascii="Verdana" w:hAnsi="Verdana" w:cs="Arial"/>
          <w:sz w:val="16"/>
          <w:szCs w:val="16"/>
        </w:rPr>
      </w:pPr>
      <w:r w:rsidRPr="00D078F7">
        <w:rPr>
          <w:rFonts w:ascii="Verdana" w:hAnsi="Verdana" w:cs="Arial"/>
          <w:sz w:val="16"/>
          <w:szCs w:val="16"/>
        </w:rPr>
        <w:t>“Parágrafo 2. Para los efectos de este Decreto, entiéndase por Bolsa de Productos, las sociedades vigiladas por la Superintendencia Financiera de Colombia y definidas en el artículo 2.11.1.1.1 del Decreto 2555 de 2010 o la norma que la modifique, adicione o sustituya.</w:t>
      </w:r>
    </w:p>
    <w:p w14:paraId="7C9B6196" w14:textId="77777777" w:rsidR="00BD31E4" w:rsidRPr="00D078F7" w:rsidRDefault="00BD31E4" w:rsidP="00BD31E4">
      <w:pPr>
        <w:pStyle w:val="Textonotapie"/>
        <w:ind w:firstLine="708"/>
        <w:jc w:val="both"/>
        <w:rPr>
          <w:rFonts w:ascii="Verdana" w:hAnsi="Verdana" w:cs="Arial"/>
          <w:sz w:val="16"/>
          <w:szCs w:val="16"/>
        </w:rPr>
      </w:pPr>
      <w:r w:rsidRPr="00D078F7">
        <w:rPr>
          <w:rFonts w:ascii="Verdana" w:hAnsi="Verdana" w:cs="Arial"/>
          <w:sz w:val="16"/>
          <w:szCs w:val="16"/>
        </w:rPr>
        <w:t>“Parágrafo 3. Lo previsto en el parágrafo 1 de este artículo no será aplicable a las Entidades Estatales de la Rama Ejecutiva del Poder Público del orden nacional, obligadas a aplicar la Ley 80 de 1993 y la Ley 1150 de 2007, o las normas que las modifiquen, aclaren, adicionen o sustituyan, las cuales en todo caso están obligadas a adquirir Bienes y Servicios de Características Técnicas Uniformes a través de los Acuerdos Marco de Precios vigentes estructurados por la Agencia Nacional de Contratación Pública -Colombia Compra Eficiente”.</w:t>
      </w:r>
    </w:p>
  </w:footnote>
  <w:footnote w:id="32">
    <w:p w14:paraId="6FFBC4F4" w14:textId="77777777" w:rsidR="00BD31E4" w:rsidRPr="00D078F7" w:rsidRDefault="00BD31E4" w:rsidP="00BD31E4">
      <w:pPr>
        <w:spacing w:after="0" w:line="240" w:lineRule="auto"/>
        <w:ind w:firstLine="709"/>
        <w:jc w:val="both"/>
        <w:rPr>
          <w:rFonts w:ascii="Verdana" w:hAnsi="Verdana"/>
          <w:sz w:val="16"/>
          <w:szCs w:val="16"/>
        </w:rPr>
      </w:pPr>
      <w:r w:rsidRPr="00D078F7">
        <w:rPr>
          <w:rStyle w:val="Refdenotaalpie"/>
          <w:sz w:val="16"/>
          <w:szCs w:val="16"/>
        </w:rPr>
        <w:footnoteRef/>
      </w:r>
      <w:r w:rsidRPr="00D078F7">
        <w:rPr>
          <w:sz w:val="16"/>
          <w:szCs w:val="16"/>
        </w:rPr>
        <w:t xml:space="preserve"> </w:t>
      </w:r>
      <w:r w:rsidRPr="00D078F7">
        <w:rPr>
          <w:rFonts w:ascii="Verdana" w:hAnsi="Verdana"/>
          <w:sz w:val="16"/>
          <w:szCs w:val="16"/>
        </w:rPr>
        <w:t>Decreto 2555 de 2010 “Artículo 2.11.1.1.5. Reglamentos generales de las bolsas.   </w:t>
      </w:r>
      <w:r w:rsidRPr="00D078F7">
        <w:rPr>
          <w:rFonts w:ascii="Verdana" w:hAnsi="Verdana"/>
          <w:sz w:val="16"/>
          <w:szCs w:val="16"/>
        </w:rPr>
        <w:tab/>
        <w:t xml:space="preserve">“Las bolsas de bienes y productos agropecuarios, agroindustriales o de otros </w:t>
      </w:r>
      <w:proofErr w:type="spellStart"/>
      <w:r w:rsidRPr="00D078F7">
        <w:rPr>
          <w:rFonts w:ascii="Verdana" w:hAnsi="Verdana"/>
          <w:sz w:val="16"/>
          <w:szCs w:val="16"/>
        </w:rPr>
        <w:t>commodities</w:t>
      </w:r>
      <w:proofErr w:type="spellEnd"/>
      <w:r w:rsidRPr="00D078F7">
        <w:rPr>
          <w:rFonts w:ascii="Verdana" w:hAnsi="Verdana"/>
          <w:sz w:val="16"/>
          <w:szCs w:val="16"/>
        </w:rPr>
        <w:t xml:space="preserve"> deberán contar con reglamentos que rijan su organización, administración, funcionamiento, así como las operaciones y actividades que se realicen por conducto de los mercados que administren. </w:t>
      </w:r>
    </w:p>
    <w:p w14:paraId="28BFC272" w14:textId="77777777" w:rsidR="00BD31E4" w:rsidRPr="00D078F7" w:rsidRDefault="00BD31E4" w:rsidP="00BD31E4">
      <w:pPr>
        <w:spacing w:after="0" w:line="240" w:lineRule="auto"/>
        <w:ind w:firstLine="709"/>
        <w:jc w:val="both"/>
        <w:rPr>
          <w:rFonts w:ascii="Verdana" w:hAnsi="Verdana"/>
          <w:sz w:val="16"/>
          <w:szCs w:val="16"/>
        </w:rPr>
      </w:pPr>
      <w:r w:rsidRPr="00D078F7">
        <w:rPr>
          <w:rFonts w:ascii="Verdana" w:hAnsi="Verdana"/>
          <w:sz w:val="16"/>
          <w:szCs w:val="16"/>
        </w:rPr>
        <w:t xml:space="preserve">“Las bolsas de bienes y productos agropecuarios, agroindustriales o de otros </w:t>
      </w:r>
      <w:proofErr w:type="spellStart"/>
      <w:r w:rsidRPr="00D078F7">
        <w:rPr>
          <w:rFonts w:ascii="Verdana" w:hAnsi="Verdana"/>
          <w:sz w:val="16"/>
          <w:szCs w:val="16"/>
        </w:rPr>
        <w:t>commodities</w:t>
      </w:r>
      <w:proofErr w:type="spellEnd"/>
      <w:r w:rsidRPr="00D078F7">
        <w:rPr>
          <w:rFonts w:ascii="Verdana" w:hAnsi="Verdana"/>
          <w:sz w:val="16"/>
          <w:szCs w:val="16"/>
        </w:rPr>
        <w:t xml:space="preserve"> que administren sistemas de registro de operaciones, deberán establecer las normas que regulen la organización, administración y funcionamiento de dichos sistemas. </w:t>
      </w:r>
    </w:p>
    <w:p w14:paraId="5F93685A" w14:textId="77777777" w:rsidR="00BD31E4" w:rsidRPr="00D078F7" w:rsidRDefault="00BD31E4" w:rsidP="00BD31E4">
      <w:pPr>
        <w:spacing w:after="0" w:line="240" w:lineRule="auto"/>
        <w:ind w:firstLine="709"/>
        <w:jc w:val="both"/>
        <w:rPr>
          <w:rFonts w:ascii="Verdana" w:hAnsi="Verdana"/>
          <w:sz w:val="16"/>
          <w:szCs w:val="16"/>
        </w:rPr>
      </w:pPr>
      <w:r w:rsidRPr="00D078F7">
        <w:rPr>
          <w:rFonts w:ascii="Verdana" w:hAnsi="Verdana"/>
          <w:sz w:val="16"/>
          <w:szCs w:val="16"/>
        </w:rPr>
        <w:t> “Estos reglamentos y sus modificaciones deberán ser aprobados por la junta directiva y autorizados por la Superintendencia Financiera de Colombia.</w:t>
      </w:r>
    </w:p>
    <w:p w14:paraId="351735D7" w14:textId="77777777" w:rsidR="00BD31E4" w:rsidRPr="00F33A6C" w:rsidRDefault="00BD31E4" w:rsidP="00BD31E4">
      <w:pPr>
        <w:spacing w:after="0" w:line="240" w:lineRule="auto"/>
        <w:ind w:firstLine="709"/>
        <w:jc w:val="both"/>
        <w:rPr>
          <w:rFonts w:ascii="Verdana" w:hAnsi="Verdana"/>
          <w:sz w:val="16"/>
          <w:szCs w:val="16"/>
        </w:rPr>
      </w:pPr>
      <w:r w:rsidRPr="00D078F7">
        <w:rPr>
          <w:rFonts w:ascii="Verdana" w:hAnsi="Verdana"/>
          <w:sz w:val="16"/>
          <w:szCs w:val="16"/>
        </w:rPr>
        <w:t>“Parágrafo 1°. Cuando se trate de las subastas y los servicios a cargo del gestor del mercado de gas natural realizados en desarrollo de la regulación establecida por la Comisión de Regulación de Energía y Gas Combustible (CREG) respecto del funcionamiento del mercado mayorista de gas combustible, no será necesario que las bolsas de bienes y productos agropecuarios, agroindustriales o de otros </w:t>
      </w:r>
      <w:proofErr w:type="spellStart"/>
      <w:r w:rsidRPr="00D078F7">
        <w:rPr>
          <w:rFonts w:ascii="Verdana" w:hAnsi="Verdana"/>
          <w:sz w:val="16"/>
          <w:szCs w:val="16"/>
        </w:rPr>
        <w:t>commodities</w:t>
      </w:r>
      <w:proofErr w:type="spellEnd"/>
      <w:r w:rsidRPr="00D078F7">
        <w:rPr>
          <w:rFonts w:ascii="Verdana" w:hAnsi="Verdana"/>
          <w:sz w:val="16"/>
          <w:szCs w:val="16"/>
        </w:rPr>
        <w:t> tengan reglamentos autorizados por la Superintendencia Financiera de Colombia”.</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14" type="#_x0000_t75" style="width:11.6pt;height:11.6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4CA4EFE"/>
    <w:multiLevelType w:val="hybridMultilevel"/>
    <w:tmpl w:val="535A062C"/>
    <w:lvl w:ilvl="0" w:tplc="0C0A52FC">
      <w:start w:val="1"/>
      <w:numFmt w:val="bullet"/>
      <w:lvlText w:val="•"/>
      <w:lvlJc w:val="left"/>
      <w:pPr>
        <w:tabs>
          <w:tab w:val="num" w:pos="720"/>
        </w:tabs>
        <w:ind w:left="720" w:hanging="360"/>
      </w:pPr>
      <w:rPr>
        <w:rFonts w:ascii="Arial" w:hAnsi="Arial" w:hint="default"/>
      </w:rPr>
    </w:lvl>
    <w:lvl w:ilvl="1" w:tplc="ECE23108" w:tentative="1">
      <w:start w:val="1"/>
      <w:numFmt w:val="bullet"/>
      <w:lvlText w:val="•"/>
      <w:lvlJc w:val="left"/>
      <w:pPr>
        <w:tabs>
          <w:tab w:val="num" w:pos="1440"/>
        </w:tabs>
        <w:ind w:left="1440" w:hanging="360"/>
      </w:pPr>
      <w:rPr>
        <w:rFonts w:ascii="Arial" w:hAnsi="Arial" w:hint="default"/>
      </w:rPr>
    </w:lvl>
    <w:lvl w:ilvl="2" w:tplc="5E0E9E88" w:tentative="1">
      <w:start w:val="1"/>
      <w:numFmt w:val="bullet"/>
      <w:lvlText w:val="•"/>
      <w:lvlJc w:val="left"/>
      <w:pPr>
        <w:tabs>
          <w:tab w:val="num" w:pos="2160"/>
        </w:tabs>
        <w:ind w:left="2160" w:hanging="360"/>
      </w:pPr>
      <w:rPr>
        <w:rFonts w:ascii="Arial" w:hAnsi="Arial" w:hint="default"/>
      </w:rPr>
    </w:lvl>
    <w:lvl w:ilvl="3" w:tplc="35927F38" w:tentative="1">
      <w:start w:val="1"/>
      <w:numFmt w:val="bullet"/>
      <w:lvlText w:val="•"/>
      <w:lvlJc w:val="left"/>
      <w:pPr>
        <w:tabs>
          <w:tab w:val="num" w:pos="2880"/>
        </w:tabs>
        <w:ind w:left="2880" w:hanging="360"/>
      </w:pPr>
      <w:rPr>
        <w:rFonts w:ascii="Arial" w:hAnsi="Arial" w:hint="default"/>
      </w:rPr>
    </w:lvl>
    <w:lvl w:ilvl="4" w:tplc="1CAC6EF0" w:tentative="1">
      <w:start w:val="1"/>
      <w:numFmt w:val="bullet"/>
      <w:lvlText w:val="•"/>
      <w:lvlJc w:val="left"/>
      <w:pPr>
        <w:tabs>
          <w:tab w:val="num" w:pos="3600"/>
        </w:tabs>
        <w:ind w:left="3600" w:hanging="360"/>
      </w:pPr>
      <w:rPr>
        <w:rFonts w:ascii="Arial" w:hAnsi="Arial" w:hint="default"/>
      </w:rPr>
    </w:lvl>
    <w:lvl w:ilvl="5" w:tplc="664865F0" w:tentative="1">
      <w:start w:val="1"/>
      <w:numFmt w:val="bullet"/>
      <w:lvlText w:val="•"/>
      <w:lvlJc w:val="left"/>
      <w:pPr>
        <w:tabs>
          <w:tab w:val="num" w:pos="4320"/>
        </w:tabs>
        <w:ind w:left="4320" w:hanging="360"/>
      </w:pPr>
      <w:rPr>
        <w:rFonts w:ascii="Arial" w:hAnsi="Arial" w:hint="default"/>
      </w:rPr>
    </w:lvl>
    <w:lvl w:ilvl="6" w:tplc="29840596" w:tentative="1">
      <w:start w:val="1"/>
      <w:numFmt w:val="bullet"/>
      <w:lvlText w:val="•"/>
      <w:lvlJc w:val="left"/>
      <w:pPr>
        <w:tabs>
          <w:tab w:val="num" w:pos="5040"/>
        </w:tabs>
        <w:ind w:left="5040" w:hanging="360"/>
      </w:pPr>
      <w:rPr>
        <w:rFonts w:ascii="Arial" w:hAnsi="Arial" w:hint="default"/>
      </w:rPr>
    </w:lvl>
    <w:lvl w:ilvl="7" w:tplc="B95EFAC0" w:tentative="1">
      <w:start w:val="1"/>
      <w:numFmt w:val="bullet"/>
      <w:lvlText w:val="•"/>
      <w:lvlJc w:val="left"/>
      <w:pPr>
        <w:tabs>
          <w:tab w:val="num" w:pos="5760"/>
        </w:tabs>
        <w:ind w:left="5760" w:hanging="360"/>
      </w:pPr>
      <w:rPr>
        <w:rFonts w:ascii="Arial" w:hAnsi="Arial" w:hint="default"/>
      </w:rPr>
    </w:lvl>
    <w:lvl w:ilvl="8" w:tplc="2DAC8E9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6F022D9"/>
    <w:multiLevelType w:val="hybridMultilevel"/>
    <w:tmpl w:val="EDA4693E"/>
    <w:lvl w:ilvl="0" w:tplc="405EC3D8">
      <w:start w:val="1"/>
      <w:numFmt w:val="low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45D54189"/>
    <w:multiLevelType w:val="hybridMultilevel"/>
    <w:tmpl w:val="41C698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2"/>
  </w:num>
  <w:num w:numId="3">
    <w:abstractNumId w:val="6"/>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6"/>
  </w:num>
  <w:num w:numId="7">
    <w:abstractNumId w:val="7"/>
  </w:num>
  <w:num w:numId="8">
    <w:abstractNumId w:val="15"/>
  </w:num>
  <w:num w:numId="9">
    <w:abstractNumId w:val="9"/>
  </w:num>
  <w:num w:numId="10">
    <w:abstractNumId w:val="14"/>
  </w:num>
  <w:num w:numId="11">
    <w:abstractNumId w:val="10"/>
  </w:num>
  <w:num w:numId="12">
    <w:abstractNumId w:val="1"/>
  </w:num>
  <w:num w:numId="13">
    <w:abstractNumId w:val="5"/>
  </w:num>
  <w:num w:numId="14">
    <w:abstractNumId w:val="17"/>
  </w:num>
  <w:num w:numId="15">
    <w:abstractNumId w:val="13"/>
  </w:num>
  <w:num w:numId="16">
    <w:abstractNumId w:val="0"/>
  </w:num>
  <w:num w:numId="17">
    <w:abstractNumId w:val="11"/>
  </w:num>
  <w:num w:numId="18">
    <w:abstractNumId w:val="12"/>
  </w:num>
  <w:num w:numId="19">
    <w:abstractNumId w:val="3"/>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proofState w:spelling="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1041D"/>
    <w:rsid w:val="00016F78"/>
    <w:rsid w:val="00046945"/>
    <w:rsid w:val="00061B2A"/>
    <w:rsid w:val="0006246F"/>
    <w:rsid w:val="00081367"/>
    <w:rsid w:val="00082362"/>
    <w:rsid w:val="000825A6"/>
    <w:rsid w:val="00095DAE"/>
    <w:rsid w:val="000A683E"/>
    <w:rsid w:val="000B19B9"/>
    <w:rsid w:val="000D0334"/>
    <w:rsid w:val="000D5DA7"/>
    <w:rsid w:val="000F6486"/>
    <w:rsid w:val="00102203"/>
    <w:rsid w:val="00116940"/>
    <w:rsid w:val="00125105"/>
    <w:rsid w:val="00127233"/>
    <w:rsid w:val="00127474"/>
    <w:rsid w:val="0013401F"/>
    <w:rsid w:val="0015699B"/>
    <w:rsid w:val="001A33BF"/>
    <w:rsid w:val="001E194B"/>
    <w:rsid w:val="001E4177"/>
    <w:rsid w:val="001E5EA0"/>
    <w:rsid w:val="001F0B24"/>
    <w:rsid w:val="001F7DC6"/>
    <w:rsid w:val="0020079E"/>
    <w:rsid w:val="0021277A"/>
    <w:rsid w:val="0022400B"/>
    <w:rsid w:val="002421BB"/>
    <w:rsid w:val="0024692A"/>
    <w:rsid w:val="0025796E"/>
    <w:rsid w:val="00261121"/>
    <w:rsid w:val="002707A2"/>
    <w:rsid w:val="002826F0"/>
    <w:rsid w:val="002845F4"/>
    <w:rsid w:val="002857D9"/>
    <w:rsid w:val="00293441"/>
    <w:rsid w:val="002951A0"/>
    <w:rsid w:val="002962BC"/>
    <w:rsid w:val="002A093D"/>
    <w:rsid w:val="002A0DD0"/>
    <w:rsid w:val="002A49AC"/>
    <w:rsid w:val="002A64FD"/>
    <w:rsid w:val="002A760C"/>
    <w:rsid w:val="002C5725"/>
    <w:rsid w:val="002C7A84"/>
    <w:rsid w:val="002E2BF8"/>
    <w:rsid w:val="002E4FD9"/>
    <w:rsid w:val="002F3CDF"/>
    <w:rsid w:val="0030657A"/>
    <w:rsid w:val="00322A85"/>
    <w:rsid w:val="00324168"/>
    <w:rsid w:val="00330834"/>
    <w:rsid w:val="003318AB"/>
    <w:rsid w:val="00335987"/>
    <w:rsid w:val="003448F4"/>
    <w:rsid w:val="00355EA0"/>
    <w:rsid w:val="003604F5"/>
    <w:rsid w:val="00374F5E"/>
    <w:rsid w:val="00377E3E"/>
    <w:rsid w:val="003A1A0B"/>
    <w:rsid w:val="003A779E"/>
    <w:rsid w:val="003C5B9E"/>
    <w:rsid w:val="003C64B8"/>
    <w:rsid w:val="003D0F4D"/>
    <w:rsid w:val="003D1CF9"/>
    <w:rsid w:val="003D5B0D"/>
    <w:rsid w:val="003E0499"/>
    <w:rsid w:val="003E4F80"/>
    <w:rsid w:val="003E6439"/>
    <w:rsid w:val="003E6646"/>
    <w:rsid w:val="003F3941"/>
    <w:rsid w:val="00406575"/>
    <w:rsid w:val="00414C74"/>
    <w:rsid w:val="004151A8"/>
    <w:rsid w:val="00417B5B"/>
    <w:rsid w:val="0042722E"/>
    <w:rsid w:val="00437377"/>
    <w:rsid w:val="0044528D"/>
    <w:rsid w:val="004473CC"/>
    <w:rsid w:val="00466302"/>
    <w:rsid w:val="00466E39"/>
    <w:rsid w:val="00473BEB"/>
    <w:rsid w:val="004A1847"/>
    <w:rsid w:val="004A305D"/>
    <w:rsid w:val="004B7D74"/>
    <w:rsid w:val="004F21C4"/>
    <w:rsid w:val="004F685F"/>
    <w:rsid w:val="0053199F"/>
    <w:rsid w:val="005566E8"/>
    <w:rsid w:val="00557199"/>
    <w:rsid w:val="00574867"/>
    <w:rsid w:val="00580BC6"/>
    <w:rsid w:val="0058142F"/>
    <w:rsid w:val="00591460"/>
    <w:rsid w:val="00597A19"/>
    <w:rsid w:val="005A39E6"/>
    <w:rsid w:val="005A65E0"/>
    <w:rsid w:val="005B0452"/>
    <w:rsid w:val="005C2A0C"/>
    <w:rsid w:val="005C3777"/>
    <w:rsid w:val="005C5CDC"/>
    <w:rsid w:val="005C6BC8"/>
    <w:rsid w:val="005D476C"/>
    <w:rsid w:val="005E288B"/>
    <w:rsid w:val="005E6B20"/>
    <w:rsid w:val="005F181C"/>
    <w:rsid w:val="006200BF"/>
    <w:rsid w:val="006219F8"/>
    <w:rsid w:val="006302F7"/>
    <w:rsid w:val="00646B9F"/>
    <w:rsid w:val="00662D62"/>
    <w:rsid w:val="00665485"/>
    <w:rsid w:val="00665D70"/>
    <w:rsid w:val="006900D9"/>
    <w:rsid w:val="006C04F1"/>
    <w:rsid w:val="00706C16"/>
    <w:rsid w:val="00715041"/>
    <w:rsid w:val="00721364"/>
    <w:rsid w:val="007317FA"/>
    <w:rsid w:val="00731E59"/>
    <w:rsid w:val="007340C3"/>
    <w:rsid w:val="0075235A"/>
    <w:rsid w:val="00756841"/>
    <w:rsid w:val="007649AB"/>
    <w:rsid w:val="00771D0C"/>
    <w:rsid w:val="007744FB"/>
    <w:rsid w:val="007829E1"/>
    <w:rsid w:val="007833AC"/>
    <w:rsid w:val="0078433B"/>
    <w:rsid w:val="007A153F"/>
    <w:rsid w:val="007B268C"/>
    <w:rsid w:val="007B7171"/>
    <w:rsid w:val="007C0C0F"/>
    <w:rsid w:val="007C3DC2"/>
    <w:rsid w:val="007D3968"/>
    <w:rsid w:val="007E5497"/>
    <w:rsid w:val="00804180"/>
    <w:rsid w:val="00806F5F"/>
    <w:rsid w:val="00815B83"/>
    <w:rsid w:val="00817856"/>
    <w:rsid w:val="00820169"/>
    <w:rsid w:val="00820278"/>
    <w:rsid w:val="008258C9"/>
    <w:rsid w:val="00826EE8"/>
    <w:rsid w:val="008377DE"/>
    <w:rsid w:val="00844AE9"/>
    <w:rsid w:val="00867F95"/>
    <w:rsid w:val="008835B4"/>
    <w:rsid w:val="008843B6"/>
    <w:rsid w:val="00891928"/>
    <w:rsid w:val="008934CB"/>
    <w:rsid w:val="00895356"/>
    <w:rsid w:val="008A446D"/>
    <w:rsid w:val="008B104D"/>
    <w:rsid w:val="008B25F1"/>
    <w:rsid w:val="008C571F"/>
    <w:rsid w:val="008C5A84"/>
    <w:rsid w:val="008D180B"/>
    <w:rsid w:val="008E72AF"/>
    <w:rsid w:val="008F0EA7"/>
    <w:rsid w:val="008F327E"/>
    <w:rsid w:val="00923EEF"/>
    <w:rsid w:val="009305DC"/>
    <w:rsid w:val="009419F9"/>
    <w:rsid w:val="0095685E"/>
    <w:rsid w:val="00961B09"/>
    <w:rsid w:val="00965334"/>
    <w:rsid w:val="0097093E"/>
    <w:rsid w:val="00990BF1"/>
    <w:rsid w:val="009A027F"/>
    <w:rsid w:val="009A0DFA"/>
    <w:rsid w:val="009A1C6F"/>
    <w:rsid w:val="009B2D26"/>
    <w:rsid w:val="009C71FA"/>
    <w:rsid w:val="009C72E7"/>
    <w:rsid w:val="009C7F7E"/>
    <w:rsid w:val="009D3058"/>
    <w:rsid w:val="009E6333"/>
    <w:rsid w:val="009F35DD"/>
    <w:rsid w:val="009F3A13"/>
    <w:rsid w:val="00A07EBF"/>
    <w:rsid w:val="00A122D3"/>
    <w:rsid w:val="00A14468"/>
    <w:rsid w:val="00A17F13"/>
    <w:rsid w:val="00A20739"/>
    <w:rsid w:val="00A23AF9"/>
    <w:rsid w:val="00A33C78"/>
    <w:rsid w:val="00A63F17"/>
    <w:rsid w:val="00A83161"/>
    <w:rsid w:val="00A86E5C"/>
    <w:rsid w:val="00AA3788"/>
    <w:rsid w:val="00AB0ADB"/>
    <w:rsid w:val="00AD67E7"/>
    <w:rsid w:val="00AF619D"/>
    <w:rsid w:val="00B00C0E"/>
    <w:rsid w:val="00B01B1A"/>
    <w:rsid w:val="00B0381D"/>
    <w:rsid w:val="00B13882"/>
    <w:rsid w:val="00B14F36"/>
    <w:rsid w:val="00B31A79"/>
    <w:rsid w:val="00B44A47"/>
    <w:rsid w:val="00B72CD3"/>
    <w:rsid w:val="00B72FFF"/>
    <w:rsid w:val="00B7443D"/>
    <w:rsid w:val="00B944AA"/>
    <w:rsid w:val="00B95ED8"/>
    <w:rsid w:val="00BA15D8"/>
    <w:rsid w:val="00BA7A2E"/>
    <w:rsid w:val="00BC3D36"/>
    <w:rsid w:val="00BD31E4"/>
    <w:rsid w:val="00BD54A6"/>
    <w:rsid w:val="00BD7F72"/>
    <w:rsid w:val="00BF6651"/>
    <w:rsid w:val="00BF7425"/>
    <w:rsid w:val="00C04FB3"/>
    <w:rsid w:val="00C11D8B"/>
    <w:rsid w:val="00C15139"/>
    <w:rsid w:val="00C330EB"/>
    <w:rsid w:val="00C50D69"/>
    <w:rsid w:val="00C5365C"/>
    <w:rsid w:val="00C67C8B"/>
    <w:rsid w:val="00C754BE"/>
    <w:rsid w:val="00C76B1C"/>
    <w:rsid w:val="00C925AC"/>
    <w:rsid w:val="00C946BF"/>
    <w:rsid w:val="00C958D1"/>
    <w:rsid w:val="00CA0E68"/>
    <w:rsid w:val="00CB6357"/>
    <w:rsid w:val="00CC1B26"/>
    <w:rsid w:val="00CD6067"/>
    <w:rsid w:val="00CE4589"/>
    <w:rsid w:val="00CE72C3"/>
    <w:rsid w:val="00CF4861"/>
    <w:rsid w:val="00D078F7"/>
    <w:rsid w:val="00D13C5D"/>
    <w:rsid w:val="00D31EC6"/>
    <w:rsid w:val="00D350D3"/>
    <w:rsid w:val="00D361FD"/>
    <w:rsid w:val="00D423A2"/>
    <w:rsid w:val="00D439FC"/>
    <w:rsid w:val="00D44E26"/>
    <w:rsid w:val="00D520D8"/>
    <w:rsid w:val="00D53F94"/>
    <w:rsid w:val="00D63AC2"/>
    <w:rsid w:val="00D7383B"/>
    <w:rsid w:val="00D7788A"/>
    <w:rsid w:val="00DA231B"/>
    <w:rsid w:val="00DC39FC"/>
    <w:rsid w:val="00DD0992"/>
    <w:rsid w:val="00DF3F1B"/>
    <w:rsid w:val="00DF5254"/>
    <w:rsid w:val="00E02524"/>
    <w:rsid w:val="00E16408"/>
    <w:rsid w:val="00E20894"/>
    <w:rsid w:val="00E245AB"/>
    <w:rsid w:val="00E2764C"/>
    <w:rsid w:val="00E27F2E"/>
    <w:rsid w:val="00E5016B"/>
    <w:rsid w:val="00E50AFE"/>
    <w:rsid w:val="00E56EE8"/>
    <w:rsid w:val="00E60AD8"/>
    <w:rsid w:val="00E66DD3"/>
    <w:rsid w:val="00E75C92"/>
    <w:rsid w:val="00E760D9"/>
    <w:rsid w:val="00E771DC"/>
    <w:rsid w:val="00E8252C"/>
    <w:rsid w:val="00E83EFE"/>
    <w:rsid w:val="00E8772A"/>
    <w:rsid w:val="00E90AC3"/>
    <w:rsid w:val="00E90F6B"/>
    <w:rsid w:val="00E92C27"/>
    <w:rsid w:val="00EA0E3D"/>
    <w:rsid w:val="00EA4B5D"/>
    <w:rsid w:val="00EC38A7"/>
    <w:rsid w:val="00EE1AA8"/>
    <w:rsid w:val="00F04FFA"/>
    <w:rsid w:val="00F163B0"/>
    <w:rsid w:val="00F16BC8"/>
    <w:rsid w:val="00F23FEA"/>
    <w:rsid w:val="00F31A4A"/>
    <w:rsid w:val="00F31EDC"/>
    <w:rsid w:val="00F462B3"/>
    <w:rsid w:val="00F5664F"/>
    <w:rsid w:val="00F624DD"/>
    <w:rsid w:val="00F666C4"/>
    <w:rsid w:val="00F7339B"/>
    <w:rsid w:val="00F76AFC"/>
    <w:rsid w:val="00F76B7B"/>
    <w:rsid w:val="00FA3E17"/>
    <w:rsid w:val="00FA47C0"/>
    <w:rsid w:val="00FB2271"/>
    <w:rsid w:val="00FB5DD1"/>
    <w:rsid w:val="00FC2B5D"/>
    <w:rsid w:val="00FD63E7"/>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31E4"/>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3F9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3F94"/>
    <w:rPr>
      <w:rFonts w:ascii="Geomanist Light" w:hAnsi="Geomanist Light"/>
      <w:lang w:val="es-ES"/>
    </w:rPr>
  </w:style>
  <w:style w:type="character" w:customStyle="1" w:styleId="s15">
    <w:name w:val="s15"/>
    <w:basedOn w:val="Fuentedeprrafopredeter"/>
    <w:rsid w:val="00D53F94"/>
  </w:style>
  <w:style w:type="paragraph" w:styleId="Textoindependiente">
    <w:name w:val="Body Text"/>
    <w:basedOn w:val="Normal"/>
    <w:link w:val="TextoindependienteCar"/>
    <w:uiPriority w:val="1"/>
    <w:qFormat/>
    <w:rsid w:val="00D53F9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53F94"/>
    <w:rPr>
      <w:rFonts w:ascii="Verdana" w:eastAsia="Verdana" w:hAnsi="Verdana" w:cs="Verdana"/>
      <w:lang w:val="es-ES"/>
    </w:rPr>
  </w:style>
  <w:style w:type="character" w:customStyle="1" w:styleId="NormalWebCar">
    <w:name w:val="Normal (Web) Car"/>
    <w:link w:val="NormalWeb"/>
    <w:uiPriority w:val="99"/>
    <w:locked/>
    <w:rsid w:val="00D53F94"/>
    <w:rPr>
      <w:rFonts w:ascii="Times New Roman" w:eastAsia="Times New Roman" w:hAnsi="Times New Roman" w:cs="Times New Roman"/>
      <w:sz w:val="24"/>
      <w:szCs w:val="24"/>
      <w:lang w:eastAsia="es-CO"/>
    </w:rPr>
  </w:style>
  <w:style w:type="character" w:customStyle="1" w:styleId="baj">
    <w:name w:val="b_aj"/>
    <w:basedOn w:val="Fuentedeprrafopredeter"/>
    <w:rsid w:val="00D53F94"/>
  </w:style>
  <w:style w:type="character" w:styleId="Refdecomentario">
    <w:name w:val="annotation reference"/>
    <w:basedOn w:val="Fuentedeprrafopredeter"/>
    <w:uiPriority w:val="99"/>
    <w:semiHidden/>
    <w:unhideWhenUsed/>
    <w:rsid w:val="008F327E"/>
    <w:rPr>
      <w:sz w:val="16"/>
      <w:szCs w:val="16"/>
    </w:rPr>
  </w:style>
  <w:style w:type="paragraph" w:styleId="Textocomentario">
    <w:name w:val="annotation text"/>
    <w:basedOn w:val="Normal"/>
    <w:link w:val="TextocomentarioCar"/>
    <w:uiPriority w:val="99"/>
    <w:unhideWhenUsed/>
    <w:rsid w:val="008F327E"/>
    <w:pPr>
      <w:spacing w:line="240" w:lineRule="auto"/>
    </w:pPr>
    <w:rPr>
      <w:sz w:val="20"/>
      <w:szCs w:val="20"/>
    </w:rPr>
  </w:style>
  <w:style w:type="character" w:customStyle="1" w:styleId="TextocomentarioCar">
    <w:name w:val="Texto comentario Car"/>
    <w:basedOn w:val="Fuentedeprrafopredeter"/>
    <w:link w:val="Textocomentario"/>
    <w:uiPriority w:val="99"/>
    <w:rsid w:val="008F327E"/>
    <w:rPr>
      <w:sz w:val="20"/>
      <w:szCs w:val="20"/>
    </w:rPr>
  </w:style>
  <w:style w:type="paragraph" w:styleId="Asuntodelcomentario">
    <w:name w:val="annotation subject"/>
    <w:basedOn w:val="Textocomentario"/>
    <w:next w:val="Textocomentario"/>
    <w:link w:val="AsuntodelcomentarioCar"/>
    <w:uiPriority w:val="99"/>
    <w:semiHidden/>
    <w:unhideWhenUsed/>
    <w:rsid w:val="008F327E"/>
    <w:rPr>
      <w:b/>
      <w:bCs/>
    </w:rPr>
  </w:style>
  <w:style w:type="character" w:customStyle="1" w:styleId="AsuntodelcomentarioCar">
    <w:name w:val="Asunto del comentario Car"/>
    <w:basedOn w:val="TextocomentarioCar"/>
    <w:link w:val="Asuntodelcomentario"/>
    <w:uiPriority w:val="99"/>
    <w:semiHidden/>
    <w:rsid w:val="008F327E"/>
    <w:rPr>
      <w:b/>
      <w:bCs/>
      <w:sz w:val="20"/>
      <w:szCs w:val="20"/>
    </w:rPr>
  </w:style>
  <w:style w:type="table" w:customStyle="1" w:styleId="Tablaconcuadrcula1">
    <w:name w:val="Tabla con cuadrícula1"/>
    <w:basedOn w:val="Tablanormal"/>
    <w:next w:val="Tablaconcuadrcula"/>
    <w:uiPriority w:val="39"/>
    <w:qFormat/>
    <w:rsid w:val="009305D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Fuentedeprrafopredeter"/>
    <w:uiPriority w:val="99"/>
    <w:semiHidden/>
    <w:unhideWhenUsed/>
    <w:rsid w:val="00CE72C3"/>
    <w:rPr>
      <w:color w:val="605E5C"/>
      <w:shd w:val="clear" w:color="auto" w:fill="E1DFDD"/>
    </w:rPr>
  </w:style>
  <w:style w:type="character" w:styleId="Textoennegrita">
    <w:name w:val="Strong"/>
    <w:basedOn w:val="Fuentedeprrafopredeter"/>
    <w:uiPriority w:val="22"/>
    <w:qFormat/>
    <w:rsid w:val="004151A8"/>
    <w:rPr>
      <w:b/>
      <w:bCs/>
    </w:rPr>
  </w:style>
  <w:style w:type="character" w:styleId="nfasis">
    <w:name w:val="Emphasis"/>
    <w:basedOn w:val="Fuentedeprrafopredeter"/>
    <w:uiPriority w:val="20"/>
    <w:qFormat/>
    <w:rsid w:val="004151A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nicol-425@hot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2.xml><?xml version="1.0" encoding="utf-8"?>
<ds:datastoreItem xmlns:ds="http://schemas.openxmlformats.org/officeDocument/2006/customXml" ds:itemID="{C861E8CE-A2C0-4B1A-BD51-76ACD25795BB}"/>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DE8FC156-17DA-4222-92C8-B203B57DAE93}">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TotalTime>
  <Pages>28</Pages>
  <Words>8852</Words>
  <Characters>50463</Characters>
  <Application>Microsoft Office Word</Application>
  <DocSecurity>0</DocSecurity>
  <Lines>420</Lines>
  <Paragraphs>118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4</cp:revision>
  <cp:lastPrinted>2023-01-10T21:18:00Z</cp:lastPrinted>
  <dcterms:created xsi:type="dcterms:W3CDTF">2025-12-29T13:01:00Z</dcterms:created>
  <dcterms:modified xsi:type="dcterms:W3CDTF">2025-12-30T02:12:00Z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