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BE0C2" w14:textId="373775C2" w:rsidR="00D0685A" w:rsidRPr="00B54FFB" w:rsidRDefault="00D0685A" w:rsidP="00D0685A">
      <w:pPr>
        <w:spacing w:line="276" w:lineRule="auto"/>
        <w:jc w:val="both"/>
        <w:rPr>
          <w:rFonts w:ascii="Verdana" w:eastAsia="Times New Roman" w:hAnsi="Verdana"/>
          <w:b/>
          <w:bCs/>
          <w:lang w:eastAsia="es-ES_tradnl"/>
        </w:rPr>
      </w:pPr>
      <w:bookmarkStart w:id="0" w:name="_Hlk133229831"/>
      <w:bookmarkStart w:id="1" w:name="_Hlk133404182"/>
      <w:bookmarkStart w:id="2" w:name="_Hlk186494164"/>
      <w:r w:rsidRPr="00B54FFB">
        <w:rPr>
          <w:rFonts w:ascii="Verdana" w:eastAsia="Times New Roman" w:hAnsi="Verdana"/>
          <w:b/>
          <w:bCs/>
          <w:lang w:val="es-ES_tradnl" w:eastAsia="es-ES_tradnl"/>
        </w:rPr>
        <w:t>CONVENIOS Y CONTRATOS INTERADMINISTRATIVOS –</w:t>
      </w:r>
      <w:r w:rsidRPr="00B54FFB">
        <w:rPr>
          <w:rFonts w:ascii="Verdana" w:eastAsia="Times New Roman" w:hAnsi="Verdana"/>
          <w:b/>
          <w:bCs/>
          <w:lang w:eastAsia="es-ES_tradnl"/>
        </w:rPr>
        <w:t xml:space="preserve"> Noción y Características – Diferencias</w:t>
      </w:r>
    </w:p>
    <w:p w14:paraId="116A4414" w14:textId="77777777" w:rsidR="00D0685A" w:rsidRPr="009A5983" w:rsidRDefault="00D0685A" w:rsidP="00D0685A">
      <w:pPr>
        <w:spacing w:after="0" w:line="240" w:lineRule="auto"/>
        <w:jc w:val="both"/>
        <w:rPr>
          <w:rFonts w:ascii="Verdana" w:eastAsia="Times New Roman" w:hAnsi="Verdana" w:cs="Arial"/>
          <w:sz w:val="20"/>
          <w:szCs w:val="20"/>
          <w:lang w:val="es-ES" w:eastAsia="es-ES_tradnl"/>
        </w:rPr>
      </w:pPr>
      <w:r w:rsidRPr="009A5983">
        <w:rPr>
          <w:rFonts w:ascii="Verdana" w:eastAsia="Times New Roman" w:hAnsi="Verdana" w:cs="Arial"/>
          <w:sz w:val="20"/>
          <w:szCs w:val="20"/>
          <w:lang w:val="es-ES" w:eastAsia="es-ES_tradnl"/>
        </w:rPr>
        <w:t>La tipología contractual referente al contrato interadministrativo fue creada en la Ley 80 de 1993 y, aunque en esta preceptiva no la definió ni desarrolló, el Decreto 1082 de 2015</w:t>
      </w:r>
      <w:r w:rsidRPr="009A5983">
        <w:rPr>
          <w:rFonts w:ascii="Verdana" w:eastAsia="Times New Roman" w:hAnsi="Verdana" w:cs="Arial"/>
          <w:i/>
          <w:iCs/>
          <w:sz w:val="20"/>
          <w:szCs w:val="20"/>
          <w:lang w:val="es-ES" w:eastAsia="es-ES_tradnl"/>
        </w:rPr>
        <w:t>”,</w:t>
      </w:r>
      <w:r w:rsidRPr="009A5983">
        <w:rPr>
          <w:rFonts w:ascii="Verdana" w:eastAsia="Times New Roman" w:hAnsi="Verdana" w:cs="Arial"/>
          <w:sz w:val="20"/>
          <w:szCs w:val="20"/>
          <w:lang w:val="es-ES" w:eastAsia="es-ES_tradnl"/>
        </w:rPr>
        <w:t xml:space="preserve"> establece que los contratos o convenios interadministrativos hacen parte de la contratación entre entidades estatales. Como se puede apreciar, la disposición reglamentaria parece equiparar las nociones de contrato y convenio interadministrativo, bajo el concepto general de acuerdo en el que concurre la voluntad de dos o más personas jurídicas de derecho público a fin de cumplir, en el marco de sus objetivos misionales y sus competencias, con los fines y cometidos del Estado.</w:t>
      </w:r>
    </w:p>
    <w:p w14:paraId="34C25F53" w14:textId="77777777" w:rsidR="00D0685A" w:rsidRDefault="00D0685A" w:rsidP="00D0685A">
      <w:pPr>
        <w:spacing w:after="0" w:line="240" w:lineRule="auto"/>
        <w:jc w:val="both"/>
        <w:rPr>
          <w:rFonts w:ascii="Verdana" w:eastAsia="Times New Roman" w:hAnsi="Verdana" w:cs="Arial"/>
          <w:bCs/>
          <w:sz w:val="20"/>
          <w:szCs w:val="20"/>
          <w:lang w:eastAsia="es-ES_tradnl"/>
        </w:rPr>
      </w:pPr>
    </w:p>
    <w:p w14:paraId="1FCFC580" w14:textId="77777777" w:rsidR="00D0685A" w:rsidRPr="009A5983" w:rsidRDefault="00D0685A" w:rsidP="00D0685A">
      <w:pPr>
        <w:spacing w:after="0" w:line="240" w:lineRule="auto"/>
        <w:jc w:val="both"/>
        <w:rPr>
          <w:rFonts w:ascii="Verdana" w:eastAsia="Times New Roman" w:hAnsi="Verdana" w:cs="Arial"/>
          <w:sz w:val="20"/>
          <w:szCs w:val="20"/>
          <w:lang w:val="es-ES_tradnl" w:eastAsia="es-ES_tradnl"/>
        </w:rPr>
      </w:pPr>
      <w:r w:rsidRPr="009A5983">
        <w:rPr>
          <w:rFonts w:ascii="Verdana" w:eastAsia="Times New Roman" w:hAnsi="Verdana" w:cs="Arial"/>
          <w:bCs/>
          <w:sz w:val="20"/>
          <w:szCs w:val="20"/>
          <w:lang w:eastAsia="es-ES_tradnl"/>
        </w:rPr>
        <w:t>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r w:rsidRPr="009A5983">
        <w:rPr>
          <w:rFonts w:ascii="Verdana" w:eastAsia="Times New Roman" w:hAnsi="Verdana" w:cs="Arial"/>
          <w:sz w:val="20"/>
          <w:szCs w:val="20"/>
          <w:lang w:val="es-ES_tradnl" w:eastAsia="es-ES_tradnl"/>
        </w:rPr>
        <w:t xml:space="preserve"> </w:t>
      </w:r>
    </w:p>
    <w:p w14:paraId="00D88AE2" w14:textId="77777777" w:rsidR="00D0685A" w:rsidRPr="009A5983" w:rsidRDefault="00D0685A" w:rsidP="00D0685A">
      <w:pPr>
        <w:snapToGrid w:val="0"/>
        <w:spacing w:after="0" w:line="240" w:lineRule="auto"/>
        <w:jc w:val="both"/>
        <w:rPr>
          <w:rFonts w:ascii="Verdana" w:eastAsia="Calibri" w:hAnsi="Verdana" w:cs="Arial"/>
          <w:color w:val="000000" w:themeColor="text1"/>
          <w:sz w:val="20"/>
          <w:szCs w:val="20"/>
          <w:lang w:val="es-ES_tradnl"/>
        </w:rPr>
      </w:pPr>
      <w:r w:rsidRPr="009A5983">
        <w:rPr>
          <w:rFonts w:ascii="Verdana" w:eastAsia="Calibri" w:hAnsi="Verdana" w:cs="Arial"/>
          <w:color w:val="000000" w:themeColor="text1"/>
          <w:sz w:val="20"/>
          <w:szCs w:val="20"/>
          <w:lang w:val="es-ES_tradnl"/>
        </w:rPr>
        <w:t>Sin embargo, tanto jurisprudencial como doctrinariamente, se han hecho diferenciaciones conceptuales entre las dos figuras comentadas.</w:t>
      </w:r>
    </w:p>
    <w:p w14:paraId="0E54A93E" w14:textId="77777777" w:rsidR="00D0685A" w:rsidRPr="009A5983" w:rsidRDefault="00D0685A" w:rsidP="00D0685A">
      <w:pPr>
        <w:snapToGrid w:val="0"/>
        <w:spacing w:after="0" w:line="240" w:lineRule="auto"/>
        <w:jc w:val="both"/>
        <w:rPr>
          <w:rFonts w:ascii="Verdana" w:eastAsia="Calibri" w:hAnsi="Verdana" w:cs="Arial"/>
          <w:bCs/>
          <w:color w:val="000000" w:themeColor="text1"/>
          <w:sz w:val="20"/>
          <w:szCs w:val="20"/>
          <w:lang w:eastAsia="es-ES_tradnl" w:bidi="es-ES"/>
        </w:rPr>
      </w:pPr>
      <w:r w:rsidRPr="009A5983">
        <w:rPr>
          <w:rFonts w:ascii="Verdana" w:eastAsia="Geomanist Light" w:hAnsi="Verdana" w:cs="Arial"/>
          <w:color w:val="201F1E"/>
          <w:sz w:val="20"/>
          <w:szCs w:val="20"/>
        </w:rPr>
        <w:t>[…]</w:t>
      </w:r>
    </w:p>
    <w:p w14:paraId="60ED5849" w14:textId="77777777" w:rsidR="00D0685A" w:rsidRDefault="00D0685A" w:rsidP="00D0685A">
      <w:pPr>
        <w:snapToGrid w:val="0"/>
        <w:spacing w:after="0" w:line="240" w:lineRule="auto"/>
        <w:jc w:val="both"/>
        <w:rPr>
          <w:rFonts w:ascii="Verdana" w:eastAsia="Calibri" w:hAnsi="Verdana" w:cs="Arial"/>
          <w:bCs/>
          <w:color w:val="000000" w:themeColor="text1"/>
          <w:sz w:val="20"/>
          <w:szCs w:val="20"/>
          <w:lang w:eastAsia="es-ES_tradnl" w:bidi="es-ES"/>
        </w:rPr>
      </w:pPr>
    </w:p>
    <w:p w14:paraId="77B25DB1" w14:textId="088386E7" w:rsidR="00D0685A" w:rsidRDefault="00D0685A" w:rsidP="004A35FB">
      <w:pPr>
        <w:snapToGrid w:val="0"/>
        <w:spacing w:after="0" w:line="240" w:lineRule="auto"/>
        <w:jc w:val="both"/>
        <w:rPr>
          <w:rFonts w:ascii="Verdana" w:eastAsia="Calibri" w:hAnsi="Verdana" w:cs="Arial"/>
          <w:bCs/>
          <w:color w:val="000000" w:themeColor="text1"/>
          <w:sz w:val="20"/>
          <w:szCs w:val="20"/>
          <w:lang w:eastAsia="es-ES_tradnl" w:bidi="es-ES"/>
        </w:rPr>
      </w:pPr>
      <w:r w:rsidRPr="009A5983">
        <w:rPr>
          <w:rFonts w:ascii="Verdana" w:eastAsia="Calibri" w:hAnsi="Verdana" w:cs="Arial"/>
          <w:bCs/>
          <w:color w:val="000000" w:themeColor="text1"/>
          <w:sz w:val="20"/>
          <w:szCs w:val="20"/>
          <w:lang w:eastAsia="es-ES_tradnl" w:bidi="es-ES"/>
        </w:rPr>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476A35FF" w14:textId="77777777" w:rsidR="004A35FB" w:rsidRPr="004A35FB" w:rsidRDefault="004A35FB" w:rsidP="004A35FB">
      <w:pPr>
        <w:snapToGrid w:val="0"/>
        <w:spacing w:after="0" w:line="240" w:lineRule="auto"/>
        <w:jc w:val="both"/>
        <w:rPr>
          <w:rFonts w:ascii="Verdana" w:eastAsia="Calibri" w:hAnsi="Verdana" w:cs="Arial"/>
          <w:bCs/>
          <w:color w:val="000000" w:themeColor="text1"/>
          <w:sz w:val="20"/>
          <w:szCs w:val="20"/>
          <w:lang w:eastAsia="es-ES_tradnl" w:bidi="es-ES"/>
        </w:rPr>
      </w:pPr>
    </w:p>
    <w:p w14:paraId="4AB777F3" w14:textId="77777777" w:rsidR="009B4600" w:rsidRPr="009B4600" w:rsidRDefault="009B4600" w:rsidP="009B4600">
      <w:pPr>
        <w:spacing w:line="276" w:lineRule="auto"/>
        <w:jc w:val="both"/>
        <w:rPr>
          <w:rFonts w:ascii="Verdana" w:eastAsia="Calibri" w:hAnsi="Verdana" w:cs="Arial"/>
          <w:b/>
          <w:bCs/>
          <w:lang w:eastAsia="es-ES"/>
        </w:rPr>
      </w:pPr>
      <w:r w:rsidRPr="009B4600">
        <w:rPr>
          <w:rFonts w:ascii="Verdana" w:eastAsia="Calibri" w:hAnsi="Verdana" w:cs="Arial"/>
          <w:b/>
          <w:bCs/>
          <w:lang w:eastAsia="es-ES"/>
        </w:rPr>
        <w:t>CONTRATO INTERADMINISTRATIVO – Alcance –</w:t>
      </w:r>
      <w:r w:rsidRPr="009B4600">
        <w:rPr>
          <w:rFonts w:ascii="Verdana" w:hAnsi="Verdana" w:cs="Arial"/>
          <w:b/>
          <w:bCs/>
        </w:rPr>
        <w:t xml:space="preserve"> Literal c) numeral 4 del artículo 2 de la Ley 1150 de 2007 </w:t>
      </w:r>
    </w:p>
    <w:p w14:paraId="39EB5241" w14:textId="77777777" w:rsidR="009B4600" w:rsidRPr="009B4600" w:rsidRDefault="009B4600" w:rsidP="009B4600">
      <w:pPr>
        <w:spacing w:after="0" w:line="240" w:lineRule="auto"/>
        <w:jc w:val="both"/>
        <w:rPr>
          <w:rFonts w:ascii="Verdana" w:hAnsi="Verdana" w:cs="Arial"/>
          <w:sz w:val="20"/>
          <w:szCs w:val="20"/>
        </w:rPr>
      </w:pPr>
      <w:r w:rsidRPr="009B4600">
        <w:rPr>
          <w:rFonts w:ascii="Verdana" w:eastAsia="Aptos" w:hAnsi="Verdana" w:cs="Arial"/>
          <w:sz w:val="20"/>
          <w:szCs w:val="20"/>
        </w:rPr>
        <w:t xml:space="preserve">El </w:t>
      </w:r>
      <w:r w:rsidRPr="009B4600">
        <w:rPr>
          <w:rFonts w:ascii="Verdana" w:hAnsi="Verdana" w:cs="Arial"/>
          <w:sz w:val="20"/>
          <w:szCs w:val="20"/>
        </w:rPr>
        <w:t xml:space="preserve">literal c) numeral 4 del artículo 2 </w:t>
      </w:r>
      <w:r w:rsidRPr="009B4600">
        <w:rPr>
          <w:rFonts w:ascii="Verdana" w:eastAsia="Aptos" w:hAnsi="Verdana" w:cs="Arial"/>
          <w:sz w:val="20"/>
          <w:szCs w:val="20"/>
        </w:rPr>
        <w:t xml:space="preserve">de </w:t>
      </w:r>
      <w:r w:rsidRPr="009B4600">
        <w:rPr>
          <w:rFonts w:ascii="Verdana" w:hAnsi="Verdana" w:cs="Arial"/>
          <w:sz w:val="20"/>
          <w:szCs w:val="20"/>
        </w:rPr>
        <w:t xml:space="preserve">la Ley 1150 de 2007 –modificado por el artículo 92 de la Ley 1474 de 2011– establece que las Entidades Estatales pueden suscribirlos de manera directa, siempre que las obligaciones derivadas de los mismos tengan relación con el objeto de la entidad ejecutora. Sin embargo, esa misma Ley establece excepciones concretas a esta facultad. Según el inciso primero del literal trascrito, la suscripción de contratos interadministrativos de forma directa, conforme a dicha causal, está sujeta a que las obligaciones del negocio jurídico tengan relación directa con el objeto de la entidad ejecutora, establecido en la ley o en sus reglamentos. La condición impuesta por el legislador para la suscripción de estos contratos se establece a efectos de constatar </w:t>
      </w:r>
      <w:r w:rsidRPr="009B4600">
        <w:rPr>
          <w:rFonts w:ascii="Verdana" w:hAnsi="Verdana" w:cs="Arial"/>
          <w:sz w:val="20"/>
          <w:szCs w:val="20"/>
        </w:rPr>
        <w:lastRenderedPageBreak/>
        <w:t>que el ejecutante cuente con la capacidad jurídica para contraer las obligaciones establecidas en el contrato.</w:t>
      </w:r>
    </w:p>
    <w:p w14:paraId="56A7DBDA" w14:textId="77777777" w:rsidR="009B4600" w:rsidRDefault="009B4600" w:rsidP="009B4600">
      <w:pPr>
        <w:jc w:val="both"/>
        <w:rPr>
          <w:rFonts w:ascii="Verdana" w:hAnsi="Verdana" w:cs="Arial"/>
          <w:sz w:val="20"/>
          <w:szCs w:val="20"/>
        </w:rPr>
      </w:pPr>
    </w:p>
    <w:p w14:paraId="35210F1A" w14:textId="31591A55" w:rsidR="009B4600" w:rsidRDefault="009B4600" w:rsidP="009B4600">
      <w:pPr>
        <w:jc w:val="both"/>
        <w:rPr>
          <w:rFonts w:ascii="Verdana" w:hAnsi="Verdana" w:cs="Arial"/>
          <w:sz w:val="20"/>
          <w:szCs w:val="20"/>
        </w:rPr>
      </w:pPr>
      <w:r w:rsidRPr="009B4600">
        <w:rPr>
          <w:rFonts w:ascii="Verdana" w:hAnsi="Verdana" w:cs="Arial"/>
          <w:sz w:val="20"/>
          <w:szCs w:val="20"/>
        </w:rPr>
        <w:t>De otro lado, debe tenerse en cuenta que el inciso segundo establece una limitación a la contratación directa mediante la causal del literal c) –transcrito arriba– dirigido a los supuestos en que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De manera que cuando dichas entidades sean las ejecutoras, no se pueden celebrar contratos interadministrativos de manera directa, utilizando la causal del literal c), en tratándose de “contratos de obra, suministro, prestación de servicios de evaluación de conformidad respecto de las normas o reglamentos técnicos, encargos fiduciarios y fiducia pública”.</w:t>
      </w:r>
    </w:p>
    <w:p w14:paraId="2B1D70C2" w14:textId="77777777" w:rsidR="009B4600" w:rsidRPr="009B4600" w:rsidRDefault="009B4600" w:rsidP="009B4600">
      <w:pPr>
        <w:spacing w:after="0" w:line="240" w:lineRule="auto"/>
        <w:jc w:val="both"/>
        <w:rPr>
          <w:rFonts w:ascii="Verdana" w:hAnsi="Verdana" w:cs="Arial"/>
          <w:sz w:val="20"/>
          <w:szCs w:val="20"/>
        </w:rPr>
      </w:pPr>
    </w:p>
    <w:p w14:paraId="3AAD58CE" w14:textId="7B81943E" w:rsidR="009B4600" w:rsidRPr="009B4600" w:rsidRDefault="009B4600" w:rsidP="009B4600">
      <w:pPr>
        <w:spacing w:line="276" w:lineRule="auto"/>
        <w:jc w:val="both"/>
        <w:rPr>
          <w:rFonts w:ascii="Verdana" w:eastAsia="Calibri" w:hAnsi="Verdana" w:cs="Arial"/>
          <w:b/>
          <w:bCs/>
          <w:lang w:eastAsia="es-ES"/>
        </w:rPr>
      </w:pPr>
      <w:r w:rsidRPr="009B4600">
        <w:rPr>
          <w:rFonts w:ascii="Verdana" w:eastAsia="Calibri" w:hAnsi="Verdana" w:cs="Arial"/>
          <w:b/>
          <w:bCs/>
          <w:color w:val="000000"/>
          <w:szCs w:val="24"/>
          <w:lang w:val="es-ES_tradnl" w:eastAsia="es-ES_tradnl"/>
        </w:rPr>
        <w:t>ADMINISTRACIÓN DELEGADA – Aplicación</w:t>
      </w:r>
    </w:p>
    <w:bookmarkEnd w:id="0"/>
    <w:bookmarkEnd w:id="1"/>
    <w:p w14:paraId="1AEAE2A6" w14:textId="20B3C46F" w:rsidR="002E6C45" w:rsidRPr="002E6C45" w:rsidRDefault="000602CD" w:rsidP="002E6C45">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C</w:t>
      </w:r>
      <w:r w:rsidR="002E6C45" w:rsidRPr="002E6C45">
        <w:rPr>
          <w:rFonts w:ascii="Verdana" w:hAnsi="Verdana" w:cs="Arial"/>
          <w:color w:val="000000" w:themeColor="text1"/>
          <w:sz w:val="20"/>
          <w:szCs w:val="20"/>
          <w:lang w:val="es-ES"/>
        </w:rPr>
        <w:t>onforme al principio de autonomía de la voluntad del artículo 1602 del Código Civil, las entidades podrán incluir la administración delegada, bien como forma de mandato o como modalidad de administración de los recursos destinados a la obra. En efecto,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p>
    <w:p w14:paraId="73B71EB3" w14:textId="77777777" w:rsidR="000602CD" w:rsidRDefault="000602CD" w:rsidP="000602CD">
      <w:pPr>
        <w:jc w:val="both"/>
        <w:rPr>
          <w:rFonts w:ascii="Verdana" w:eastAsia="Century Gothic" w:hAnsi="Verdana" w:cs="Century Gothic"/>
          <w:sz w:val="20"/>
          <w:szCs w:val="20"/>
        </w:rPr>
      </w:pPr>
    </w:p>
    <w:p w14:paraId="4005C083" w14:textId="2B83A0A8" w:rsidR="002E6C45" w:rsidRPr="002E6C45" w:rsidRDefault="002E6C45" w:rsidP="000602CD">
      <w:pPr>
        <w:spacing w:after="0" w:line="240" w:lineRule="auto"/>
        <w:jc w:val="both"/>
        <w:rPr>
          <w:rFonts w:ascii="Verdana" w:eastAsia="Century Gothic" w:hAnsi="Verdana" w:cs="Century Gothic"/>
          <w:sz w:val="20"/>
          <w:szCs w:val="20"/>
        </w:rPr>
      </w:pPr>
      <w:r w:rsidRPr="002E6C45">
        <w:rPr>
          <w:rFonts w:ascii="Verdana" w:eastAsia="Century Gothic" w:hAnsi="Verdana" w:cs="Century Gothic"/>
          <w:sz w:val="20"/>
          <w:szCs w:val="20"/>
        </w:rPr>
        <w:t>La administración delegada asociada a un mandato implica que la entidad ejecutora realice todas las actividades necesarias para la ejecución del objeto convenido, por cuenta y riesgo del mandante. Se sigue entonces que la administración delegada puede requerir que el contratista adelante procesos de selección para subcontratar de actividades que sean necesarias para el cumplimiento del objeto del contrato.</w:t>
      </w:r>
    </w:p>
    <w:p w14:paraId="4FBA9EF5" w14:textId="77777777" w:rsidR="000602CD" w:rsidRDefault="000602CD" w:rsidP="002E6C45">
      <w:pPr>
        <w:spacing w:after="0" w:line="240" w:lineRule="auto"/>
        <w:jc w:val="both"/>
        <w:rPr>
          <w:rFonts w:ascii="Verdana" w:hAnsi="Verdana" w:cs="Arial"/>
          <w:color w:val="000000" w:themeColor="text1"/>
          <w:sz w:val="20"/>
          <w:szCs w:val="20"/>
          <w:lang w:val="es-ES"/>
        </w:rPr>
      </w:pPr>
    </w:p>
    <w:p w14:paraId="61E9DA03" w14:textId="4B4753BD" w:rsidR="00D0685A" w:rsidRPr="002E6C45" w:rsidRDefault="002E6C45" w:rsidP="002E6C45">
      <w:pPr>
        <w:spacing w:after="0" w:line="240" w:lineRule="auto"/>
        <w:jc w:val="both"/>
        <w:rPr>
          <w:rFonts w:ascii="Verdana" w:eastAsia="Geomanist Light" w:hAnsi="Verdana" w:cs="Arial"/>
          <w:color w:val="000000" w:themeColor="text1"/>
          <w:sz w:val="20"/>
          <w:szCs w:val="20"/>
        </w:rPr>
      </w:pPr>
      <w:r w:rsidRPr="002E6C45">
        <w:rPr>
          <w:rFonts w:ascii="Verdana" w:hAnsi="Verdana" w:cs="Arial"/>
          <w:color w:val="000000" w:themeColor="text1"/>
          <w:sz w:val="20"/>
          <w:szCs w:val="20"/>
          <w:lang w:val="es-ES"/>
        </w:rPr>
        <w:t xml:space="preserve">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 ya sea enmarcado en la ejecución de proyecto u obra. En el marco de este contrato, con fundamento en la autonomía de la voluntad, </w:t>
      </w:r>
      <w:r w:rsidRPr="002E6C45">
        <w:rPr>
          <w:rFonts w:ascii="Verdana" w:hAnsi="Verdana" w:cs="Arial"/>
          <w:color w:val="000000" w:themeColor="text1"/>
          <w:sz w:val="20"/>
          <w:szCs w:val="20"/>
        </w:rPr>
        <w:t>las partes pueden pactar todas las condiciones necesarias para la adecuada ejecución del proyecto, incluyendo cláusulas que regulen el pago a terceros</w:t>
      </w:r>
      <w:r w:rsidR="002E2858">
        <w:rPr>
          <w:rFonts w:ascii="Verdana" w:hAnsi="Verdana" w:cs="Arial"/>
          <w:color w:val="000000" w:themeColor="text1"/>
          <w:sz w:val="20"/>
          <w:szCs w:val="20"/>
        </w:rPr>
        <w:t>.</w:t>
      </w:r>
    </w:p>
    <w:p w14:paraId="635D87B2" w14:textId="77777777" w:rsidR="00D0685A" w:rsidRDefault="00D0685A" w:rsidP="00D0685A">
      <w:pPr>
        <w:spacing w:after="0" w:line="240" w:lineRule="auto"/>
        <w:rPr>
          <w:rFonts w:ascii="Verdana" w:eastAsia="Geomanist Light" w:hAnsi="Verdana" w:cs="Arial"/>
          <w:color w:val="000000" w:themeColor="text1"/>
        </w:rPr>
      </w:pPr>
    </w:p>
    <w:p w14:paraId="238586A8" w14:textId="77777777" w:rsidR="00EA37D7" w:rsidRDefault="00EA37D7" w:rsidP="005A5095">
      <w:pPr>
        <w:spacing w:after="0" w:line="240" w:lineRule="auto"/>
        <w:rPr>
          <w:rFonts w:ascii="Verdana" w:eastAsia="Geomanist Light" w:hAnsi="Verdana" w:cs="Arial"/>
          <w:color w:val="000000" w:themeColor="text1"/>
        </w:rPr>
      </w:pPr>
    </w:p>
    <w:p w14:paraId="0E47E632" w14:textId="77777777" w:rsidR="000602CD" w:rsidRDefault="000602CD" w:rsidP="00814F26">
      <w:pPr>
        <w:spacing w:after="0" w:line="240" w:lineRule="auto"/>
        <w:rPr>
          <w:rFonts w:ascii="Verdana" w:eastAsia="Geomanist Light" w:hAnsi="Verdana" w:cs="Arial"/>
          <w:color w:val="000000" w:themeColor="text1"/>
        </w:rPr>
      </w:pPr>
    </w:p>
    <w:p w14:paraId="6B7D6869" w14:textId="4A468422" w:rsidR="00814F26" w:rsidRPr="00214793" w:rsidRDefault="00814F26" w:rsidP="00814F26">
      <w:pPr>
        <w:spacing w:after="0" w:line="240" w:lineRule="auto"/>
        <w:rPr>
          <w:rFonts w:ascii="Verdana" w:eastAsia="Geomanist Light" w:hAnsi="Verdana" w:cs="Arial"/>
          <w:color w:val="201F1E"/>
        </w:rPr>
      </w:pPr>
      <w:r w:rsidRPr="00214793">
        <w:rPr>
          <w:rFonts w:ascii="Verdana" w:eastAsia="Geomanist Light" w:hAnsi="Verdana" w:cs="Arial"/>
          <w:color w:val="000000" w:themeColor="text1"/>
        </w:rPr>
        <w:lastRenderedPageBreak/>
        <w:t>Bogotá D.C., </w:t>
      </w:r>
      <w:r w:rsidR="00C37D9F">
        <w:rPr>
          <w:rFonts w:ascii="Verdana" w:eastAsia="Geomanist Light" w:hAnsi="Verdana" w:cs="Arial"/>
          <w:color w:val="201F1E"/>
        </w:rPr>
        <w:t>22 de diciembre de 2025</w:t>
      </w:r>
    </w:p>
    <w:p w14:paraId="451B7643" w14:textId="5A1E54C4" w:rsidR="00814F26" w:rsidRPr="00214793" w:rsidRDefault="00814F26" w:rsidP="00C37D9F">
      <w:pPr>
        <w:spacing w:after="0" w:line="240" w:lineRule="auto"/>
        <w:jc w:val="right"/>
        <w:rPr>
          <w:rFonts w:ascii="Verdana" w:eastAsia="Calibri" w:hAnsi="Verdana" w:cs="Arial"/>
          <w:color w:val="000000"/>
        </w:rPr>
      </w:pPr>
    </w:p>
    <w:p w14:paraId="4994B464" w14:textId="545047EA" w:rsidR="00814F26" w:rsidRPr="00214793" w:rsidRDefault="00814F26" w:rsidP="00814F26">
      <w:pPr>
        <w:spacing w:after="0" w:line="240" w:lineRule="auto"/>
        <w:jc w:val="both"/>
        <w:rPr>
          <w:rFonts w:ascii="Verdana" w:eastAsia="Calibri" w:hAnsi="Verdana" w:cs="Arial"/>
          <w:color w:val="000000"/>
        </w:rPr>
      </w:pPr>
    </w:p>
    <w:p w14:paraId="68D9482D" w14:textId="26E3C356" w:rsidR="00814F26" w:rsidRPr="00214793" w:rsidRDefault="002E2858" w:rsidP="00814F26">
      <w:pPr>
        <w:spacing w:after="0" w:line="240" w:lineRule="auto"/>
        <w:jc w:val="both"/>
        <w:rPr>
          <w:rFonts w:ascii="Verdana" w:eastAsia="Calibri" w:hAnsi="Verdana" w:cs="Arial"/>
          <w:lang w:eastAsia="es-ES"/>
        </w:rPr>
      </w:pPr>
      <w:r w:rsidRPr="00C37D9F">
        <w:rPr>
          <w:rFonts w:ascii="Verdana" w:eastAsia="Calibri" w:hAnsi="Verdana" w:cs="Arial"/>
          <w:noProof/>
          <w:color w:val="000000"/>
        </w:rPr>
        <w:drawing>
          <wp:anchor distT="0" distB="0" distL="114300" distR="114300" simplePos="0" relativeHeight="251658240" behindDoc="0" locked="0" layoutInCell="1" allowOverlap="1" wp14:anchorId="76272298" wp14:editId="24F7A6D4">
            <wp:simplePos x="0" y="0"/>
            <wp:positionH relativeFrom="margin">
              <wp:posOffset>3404235</wp:posOffset>
            </wp:positionH>
            <wp:positionV relativeFrom="paragraph">
              <wp:posOffset>9525</wp:posOffset>
            </wp:positionV>
            <wp:extent cx="2209165" cy="969645"/>
            <wp:effectExtent l="0" t="0" r="635" b="1905"/>
            <wp:wrapSquare wrapText="bothSides"/>
            <wp:docPr id="13702651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9165" cy="969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14F26" w:rsidRPr="00214793">
        <w:rPr>
          <w:rFonts w:ascii="Verdana" w:eastAsia="Calibri" w:hAnsi="Verdana" w:cs="Arial"/>
          <w:lang w:eastAsia="es-ES"/>
        </w:rPr>
        <w:t>Señor</w:t>
      </w:r>
    </w:p>
    <w:p w14:paraId="72B2DD1B" w14:textId="77777777" w:rsidR="00814F26" w:rsidRPr="00214793" w:rsidRDefault="00814F26" w:rsidP="00814F26">
      <w:pPr>
        <w:spacing w:after="0" w:line="240" w:lineRule="auto"/>
        <w:rPr>
          <w:rFonts w:ascii="Verdana" w:eastAsia="Calibri" w:hAnsi="Verdana" w:cs="Arial"/>
          <w:b/>
          <w:lang w:eastAsia="es-ES"/>
        </w:rPr>
      </w:pPr>
      <w:r w:rsidRPr="00214793">
        <w:rPr>
          <w:rFonts w:ascii="Verdana" w:eastAsia="Calibri" w:hAnsi="Verdana" w:cs="Arial"/>
          <w:b/>
          <w:lang w:eastAsia="es-ES"/>
        </w:rPr>
        <w:t>Javier Alexander Montaña Sánchez</w:t>
      </w:r>
    </w:p>
    <w:p w14:paraId="52D95130" w14:textId="77777777" w:rsidR="00814F26" w:rsidRPr="00214793" w:rsidRDefault="00814F26" w:rsidP="00814F26">
      <w:pPr>
        <w:spacing w:after="0" w:line="240" w:lineRule="auto"/>
        <w:rPr>
          <w:rFonts w:ascii="Verdana" w:eastAsia="Calibri" w:hAnsi="Verdana" w:cs="Arial"/>
          <w:b/>
          <w:lang w:eastAsia="es-ES"/>
        </w:rPr>
      </w:pPr>
      <w:r w:rsidRPr="00214793">
        <w:rPr>
          <w:rFonts w:ascii="Verdana" w:eastAsia="Calibri" w:hAnsi="Verdana" w:cs="Arial"/>
          <w:b/>
          <w:lang w:eastAsia="es-ES"/>
        </w:rPr>
        <w:t>técnico de Apoyo en Seguridad y Defensa</w:t>
      </w:r>
    </w:p>
    <w:p w14:paraId="760C8C5B" w14:textId="77777777" w:rsidR="00814F26" w:rsidRPr="00214793" w:rsidRDefault="00814F26" w:rsidP="00814F26">
      <w:pPr>
        <w:spacing w:after="0" w:line="240" w:lineRule="auto"/>
        <w:rPr>
          <w:rFonts w:ascii="Verdana" w:eastAsia="Calibri" w:hAnsi="Verdana" w:cs="Arial"/>
          <w:b/>
          <w:lang w:eastAsia="es-ES"/>
        </w:rPr>
      </w:pPr>
      <w:r w:rsidRPr="00214793">
        <w:rPr>
          <w:rFonts w:ascii="Verdana" w:eastAsia="Calibri" w:hAnsi="Verdana" w:cs="Arial"/>
          <w:b/>
          <w:lang w:eastAsia="es-ES"/>
        </w:rPr>
        <w:t>Subdirección de Contratación</w:t>
      </w:r>
    </w:p>
    <w:p w14:paraId="5A716ACE" w14:textId="77777777" w:rsidR="00814F26" w:rsidRPr="00214793" w:rsidRDefault="00814F26" w:rsidP="00814F26">
      <w:pPr>
        <w:spacing w:after="0" w:line="240" w:lineRule="auto"/>
        <w:rPr>
          <w:rFonts w:ascii="Verdana" w:eastAsia="Calibri" w:hAnsi="Verdana" w:cs="Arial"/>
          <w:b/>
          <w:lang w:eastAsia="es-ES"/>
        </w:rPr>
      </w:pPr>
      <w:r w:rsidRPr="00214793">
        <w:rPr>
          <w:rFonts w:ascii="Verdana" w:eastAsia="Calibri" w:hAnsi="Verdana" w:cs="Arial"/>
          <w:b/>
          <w:lang w:eastAsia="es-ES"/>
        </w:rPr>
        <w:t xml:space="preserve">Agencia Logística Fuerzas Militares </w:t>
      </w:r>
    </w:p>
    <w:p w14:paraId="4C1B4278" w14:textId="77777777" w:rsidR="00814F26" w:rsidRPr="00214793" w:rsidRDefault="00814F26" w:rsidP="00814F26">
      <w:pPr>
        <w:spacing w:after="0" w:line="240" w:lineRule="auto"/>
        <w:rPr>
          <w:rFonts w:ascii="Verdana" w:eastAsia="Calibri" w:hAnsi="Verdana" w:cs="Arial"/>
          <w:lang w:eastAsia="es-ES"/>
        </w:rPr>
      </w:pPr>
      <w:hyperlink r:id="rId12" w:history="1">
        <w:r w:rsidRPr="00214793">
          <w:rPr>
            <w:rFonts w:ascii="Verdana" w:hAnsi="Verdana"/>
            <w:color w:val="0563C1" w:themeColor="hyperlink"/>
            <w:u w:val="single"/>
          </w:rPr>
          <w:t>javier.montana@agencialogistica.gov.co</w:t>
        </w:r>
      </w:hyperlink>
      <w:r w:rsidRPr="00214793">
        <w:rPr>
          <w:rFonts w:ascii="Verdana" w:hAnsi="Verdana"/>
        </w:rPr>
        <w:t xml:space="preserve"> </w:t>
      </w:r>
    </w:p>
    <w:p w14:paraId="4CD1C312" w14:textId="77777777" w:rsidR="00814F26" w:rsidRPr="00214793" w:rsidRDefault="00814F26" w:rsidP="00814F26">
      <w:pPr>
        <w:spacing w:after="0" w:line="240" w:lineRule="auto"/>
        <w:rPr>
          <w:rFonts w:ascii="Verdana" w:hAnsi="Verdana"/>
        </w:rPr>
      </w:pPr>
      <w:r w:rsidRPr="00214793">
        <w:rPr>
          <w:rFonts w:ascii="Verdana" w:hAnsi="Verdana"/>
        </w:rPr>
        <w:t>Bogotá D.C</w:t>
      </w:r>
    </w:p>
    <w:p w14:paraId="26355C56" w14:textId="77777777" w:rsidR="00814F26" w:rsidRPr="00214793" w:rsidRDefault="00814F26" w:rsidP="00814F26">
      <w:pPr>
        <w:spacing w:after="0" w:line="240" w:lineRule="auto"/>
        <w:rPr>
          <w:rFonts w:ascii="Verdana" w:eastAsia="Calibri" w:hAnsi="Verdana" w:cs="Arial"/>
          <w:lang w:eastAsia="es-ES"/>
        </w:rPr>
      </w:pPr>
    </w:p>
    <w:p w14:paraId="68241E11" w14:textId="77777777" w:rsidR="00814F26" w:rsidRPr="00214793" w:rsidRDefault="00814F26" w:rsidP="00814F26">
      <w:pPr>
        <w:spacing w:after="0" w:line="240" w:lineRule="auto"/>
        <w:rPr>
          <w:rFonts w:ascii="Verdana" w:eastAsia="Calibri" w:hAnsi="Verdana" w:cs="Arial"/>
          <w:b/>
          <w:bCs/>
          <w:color w:val="000000"/>
          <w:lang w:eastAsia="es-ES_tradnl"/>
        </w:rPr>
      </w:pPr>
    </w:p>
    <w:p w14:paraId="4CA24F50" w14:textId="77777777" w:rsidR="00814F26" w:rsidRPr="00214793" w:rsidRDefault="00814F26" w:rsidP="00814F26">
      <w:pPr>
        <w:spacing w:after="0" w:line="240" w:lineRule="auto"/>
        <w:jc w:val="center"/>
        <w:rPr>
          <w:rFonts w:ascii="Verdana" w:eastAsia="Calibri" w:hAnsi="Verdana" w:cs="Arial"/>
          <w:b/>
          <w:bCs/>
          <w:lang w:eastAsia="es-ES"/>
        </w:rPr>
      </w:pPr>
      <w:r w:rsidRPr="00214793">
        <w:rPr>
          <w:rFonts w:ascii="Verdana" w:eastAsia="Calibri" w:hAnsi="Verdana" w:cs="Arial"/>
          <w:b/>
          <w:bCs/>
          <w:lang w:eastAsia="es-ES"/>
        </w:rPr>
        <w:t>Concepto C – 1729 de 2025</w:t>
      </w:r>
    </w:p>
    <w:p w14:paraId="09C98170" w14:textId="77777777" w:rsidR="00814F26" w:rsidRPr="00214793" w:rsidRDefault="00814F26" w:rsidP="00814F26">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14F26" w:rsidRPr="00214793" w14:paraId="1FBAC498" w14:textId="77777777" w:rsidTr="00831131">
        <w:trPr>
          <w:trHeight w:val="884"/>
        </w:trPr>
        <w:tc>
          <w:tcPr>
            <w:tcW w:w="2689" w:type="dxa"/>
          </w:tcPr>
          <w:p w14:paraId="12776335" w14:textId="77777777" w:rsidR="00814F26" w:rsidRPr="00214793" w:rsidRDefault="00814F26" w:rsidP="00831131">
            <w:pPr>
              <w:jc w:val="both"/>
              <w:rPr>
                <w:rFonts w:ascii="Verdana" w:eastAsia="Calibri" w:hAnsi="Verdana" w:cs="Arial"/>
                <w:color w:val="000000"/>
                <w:lang w:eastAsia="es-ES_tradnl"/>
              </w:rPr>
            </w:pPr>
            <w:r w:rsidRPr="00214793">
              <w:rPr>
                <w:rFonts w:ascii="Verdana" w:eastAsia="Calibri" w:hAnsi="Verdana" w:cs="Arial"/>
                <w:b/>
                <w:color w:val="000000"/>
                <w:lang w:eastAsia="es-ES_tradnl"/>
              </w:rPr>
              <w:t>Temas:</w:t>
            </w:r>
            <w:r w:rsidRPr="00214793">
              <w:rPr>
                <w:rFonts w:ascii="Verdana" w:eastAsia="Calibri" w:hAnsi="Verdana" w:cs="Arial"/>
                <w:color w:val="000000"/>
                <w:lang w:eastAsia="es-ES_tradnl"/>
              </w:rPr>
              <w:t xml:space="preserve">                   </w:t>
            </w:r>
          </w:p>
        </w:tc>
        <w:tc>
          <w:tcPr>
            <w:tcW w:w="6100" w:type="dxa"/>
          </w:tcPr>
          <w:p w14:paraId="0925A09B" w14:textId="77777777" w:rsidR="00814F26" w:rsidRPr="00214793" w:rsidRDefault="00814F26" w:rsidP="00831131">
            <w:pPr>
              <w:spacing w:line="276" w:lineRule="auto"/>
              <w:jc w:val="both"/>
              <w:rPr>
                <w:rFonts w:ascii="Verdana" w:eastAsia="Calibri" w:hAnsi="Verdana" w:cs="Arial"/>
                <w:lang w:eastAsia="es-ES"/>
              </w:rPr>
            </w:pPr>
            <w:r w:rsidRPr="00214793">
              <w:rPr>
                <w:rFonts w:ascii="Verdana" w:eastAsia="Times New Roman" w:hAnsi="Verdana"/>
                <w:lang w:val="es-ES_tradnl" w:eastAsia="es-ES_tradnl"/>
              </w:rPr>
              <w:t>CONVENIOS Y CONTRATOS INTERADMINISTRATIVOS –</w:t>
            </w:r>
            <w:r w:rsidRPr="00214793">
              <w:rPr>
                <w:rFonts w:ascii="Verdana" w:eastAsia="Times New Roman" w:hAnsi="Verdana"/>
                <w:lang w:eastAsia="es-ES_tradnl"/>
              </w:rPr>
              <w:t xml:space="preserve"> Noción y Características – Diferencias /</w:t>
            </w:r>
            <w:r w:rsidRPr="00214793">
              <w:rPr>
                <w:rFonts w:ascii="Verdana" w:eastAsia="Calibri" w:hAnsi="Verdana" w:cs="Arial"/>
                <w:lang w:eastAsia="es-ES"/>
              </w:rPr>
              <w:t xml:space="preserve"> CONTRATO INTERADMINISTRATIVO – Alcance –</w:t>
            </w:r>
            <w:r w:rsidRPr="00214793">
              <w:rPr>
                <w:rFonts w:ascii="Verdana" w:hAnsi="Verdana" w:cs="Arial"/>
              </w:rPr>
              <w:t xml:space="preserve"> Literal c) numeral 4 del artículo 2 de la Ley 1150 de 2007</w:t>
            </w:r>
            <w:r>
              <w:rPr>
                <w:rFonts w:ascii="Verdana" w:hAnsi="Verdana" w:cs="Arial"/>
              </w:rPr>
              <w:t xml:space="preserve"> </w:t>
            </w:r>
            <w:r>
              <w:rPr>
                <w:rFonts w:ascii="Verdana" w:eastAsia="Calibri" w:hAnsi="Verdana" w:cs="Arial"/>
                <w:lang w:eastAsia="es-ES"/>
              </w:rPr>
              <w:t xml:space="preserve">/ </w:t>
            </w:r>
            <w:r w:rsidRPr="00214793">
              <w:rPr>
                <w:rFonts w:ascii="Verdana" w:eastAsia="Calibri" w:hAnsi="Verdana" w:cs="Arial"/>
                <w:color w:val="000000"/>
                <w:szCs w:val="24"/>
                <w:lang w:val="es-ES_tradnl" w:eastAsia="es-ES_tradnl"/>
              </w:rPr>
              <w:t>ADMINISTRACIÓN DELEGADA – Aplicación</w:t>
            </w:r>
          </w:p>
          <w:p w14:paraId="038EFE34" w14:textId="77777777" w:rsidR="00814F26" w:rsidRPr="00214793" w:rsidRDefault="00814F26" w:rsidP="00831131">
            <w:pPr>
              <w:spacing w:line="276" w:lineRule="auto"/>
              <w:jc w:val="both"/>
              <w:rPr>
                <w:rFonts w:ascii="Verdana" w:eastAsia="Calibri" w:hAnsi="Verdana" w:cs="Arial"/>
                <w:lang w:eastAsia="es-ES"/>
              </w:rPr>
            </w:pPr>
          </w:p>
        </w:tc>
      </w:tr>
      <w:tr w:rsidR="00814F26" w:rsidRPr="00214793" w14:paraId="299B720C" w14:textId="77777777" w:rsidTr="00831131">
        <w:tc>
          <w:tcPr>
            <w:tcW w:w="2689" w:type="dxa"/>
          </w:tcPr>
          <w:p w14:paraId="5B14BB6E" w14:textId="77777777" w:rsidR="00814F26" w:rsidRPr="00214793" w:rsidRDefault="00814F26" w:rsidP="00831131">
            <w:pPr>
              <w:jc w:val="both"/>
              <w:rPr>
                <w:rFonts w:ascii="Verdana" w:eastAsia="Calibri" w:hAnsi="Verdana" w:cs="Arial"/>
                <w:b/>
                <w:lang w:eastAsia="es-ES_tradnl"/>
              </w:rPr>
            </w:pPr>
            <w:r w:rsidRPr="00214793">
              <w:rPr>
                <w:rFonts w:ascii="Verdana" w:eastAsia="Calibri" w:hAnsi="Verdana" w:cs="Arial"/>
                <w:b/>
                <w:lang w:eastAsia="es-ES_tradnl"/>
              </w:rPr>
              <w:t>Radicación:</w:t>
            </w:r>
            <w:r w:rsidRPr="00214793">
              <w:rPr>
                <w:rFonts w:ascii="Verdana" w:eastAsia="Calibri" w:hAnsi="Verdana" w:cs="Arial"/>
                <w:lang w:eastAsia="es-ES_tradnl"/>
              </w:rPr>
              <w:t xml:space="preserve">               </w:t>
            </w:r>
          </w:p>
        </w:tc>
        <w:tc>
          <w:tcPr>
            <w:tcW w:w="6100" w:type="dxa"/>
          </w:tcPr>
          <w:p w14:paraId="45675E5A" w14:textId="77777777" w:rsidR="00814F26" w:rsidRPr="00214793" w:rsidRDefault="00814F26" w:rsidP="00831131">
            <w:pPr>
              <w:jc w:val="both"/>
              <w:rPr>
                <w:rFonts w:ascii="Verdana" w:eastAsia="Calibri" w:hAnsi="Verdana" w:cs="Arial"/>
                <w:lang w:eastAsia="es-ES_tradnl"/>
              </w:rPr>
            </w:pPr>
            <w:r w:rsidRPr="00214793">
              <w:rPr>
                <w:rFonts w:ascii="Verdana" w:eastAsia="Calibri" w:hAnsi="Verdana" w:cs="Arial"/>
                <w:lang w:eastAsia="es-ES_tradnl"/>
              </w:rPr>
              <w:t xml:space="preserve">Respuesta a la consulta con radicado No. 1_2025_11_24_013206 </w:t>
            </w:r>
          </w:p>
        </w:tc>
      </w:tr>
    </w:tbl>
    <w:p w14:paraId="4B72F78C" w14:textId="77777777" w:rsidR="00814F26" w:rsidRPr="00214793" w:rsidRDefault="00814F26" w:rsidP="00814F26">
      <w:pPr>
        <w:spacing w:after="0" w:line="240" w:lineRule="auto"/>
        <w:jc w:val="both"/>
        <w:rPr>
          <w:rFonts w:ascii="Verdana" w:eastAsia="Calibri" w:hAnsi="Verdana" w:cs="Arial"/>
          <w:color w:val="000000"/>
          <w:lang w:eastAsia="es-ES_tradnl"/>
        </w:rPr>
      </w:pPr>
    </w:p>
    <w:p w14:paraId="148F90C0" w14:textId="77777777" w:rsidR="00814F26" w:rsidRPr="00214793" w:rsidRDefault="00814F26" w:rsidP="00814F26">
      <w:pPr>
        <w:spacing w:after="0" w:line="240" w:lineRule="auto"/>
        <w:jc w:val="both"/>
        <w:rPr>
          <w:rFonts w:ascii="Verdana" w:eastAsia="Calibri" w:hAnsi="Verdana" w:cs="Arial"/>
          <w:color w:val="000000"/>
          <w:lang w:eastAsia="es-ES_tradnl"/>
        </w:rPr>
      </w:pPr>
    </w:p>
    <w:p w14:paraId="62B0D5E3" w14:textId="77777777" w:rsidR="00814F26" w:rsidRPr="00214793" w:rsidRDefault="00814F26" w:rsidP="00814F26">
      <w:pPr>
        <w:spacing w:after="0" w:line="276" w:lineRule="auto"/>
        <w:jc w:val="both"/>
        <w:rPr>
          <w:rFonts w:ascii="Verdana" w:eastAsia="Calibri" w:hAnsi="Verdana" w:cs="Arial"/>
          <w:lang w:eastAsia="es-ES"/>
        </w:rPr>
      </w:pPr>
      <w:r w:rsidRPr="00214793">
        <w:rPr>
          <w:rFonts w:ascii="Verdana" w:eastAsia="Calibri" w:hAnsi="Verdana" w:cs="Arial"/>
          <w:lang w:eastAsia="es-ES"/>
        </w:rPr>
        <w:t xml:space="preserve">Estimado señor Montaña Sánchez: </w:t>
      </w:r>
    </w:p>
    <w:p w14:paraId="350A51E3" w14:textId="77777777" w:rsidR="00814F26" w:rsidRPr="00214793" w:rsidRDefault="00814F26" w:rsidP="00814F26">
      <w:pPr>
        <w:tabs>
          <w:tab w:val="left" w:pos="3768"/>
        </w:tabs>
        <w:spacing w:after="0" w:line="276" w:lineRule="auto"/>
        <w:jc w:val="both"/>
        <w:rPr>
          <w:rFonts w:ascii="Verdana" w:eastAsia="Calibri" w:hAnsi="Verdana" w:cs="Arial"/>
          <w:color w:val="000000" w:themeColor="text1"/>
          <w:lang w:eastAsia="es-ES"/>
        </w:rPr>
      </w:pPr>
      <w:r w:rsidRPr="00214793">
        <w:rPr>
          <w:rFonts w:ascii="Verdana" w:eastAsia="Calibri" w:hAnsi="Verdana" w:cs="Arial"/>
          <w:color w:val="000000" w:themeColor="text1"/>
          <w:lang w:eastAsia="es-ES"/>
        </w:rPr>
        <w:tab/>
      </w:r>
    </w:p>
    <w:p w14:paraId="67F444EF" w14:textId="77777777" w:rsidR="00814F26" w:rsidRPr="00214793" w:rsidRDefault="00814F26" w:rsidP="00814F26">
      <w:pPr>
        <w:spacing w:after="0" w:line="276" w:lineRule="auto"/>
        <w:jc w:val="both"/>
        <w:rPr>
          <w:rFonts w:ascii="Verdana" w:eastAsia="Calibri" w:hAnsi="Verdana" w:cs="Arial"/>
          <w:i/>
          <w:iCs/>
          <w:lang w:eastAsia="es-ES"/>
        </w:rPr>
      </w:pPr>
      <w:r w:rsidRPr="00214793">
        <w:rPr>
          <w:rFonts w:ascii="Verdana" w:eastAsia="Calibri" w:hAnsi="Verdana" w:cs="Arial"/>
          <w:color w:val="000000" w:themeColor="text1"/>
          <w:lang w:eastAsia="es-ES"/>
        </w:rPr>
        <w:t>En ejercicio de la competencia otorgada por los artículos 3, numeral 5º, y 11, numeral 8º, del Decreto Ley 4170 de 2011,</w:t>
      </w:r>
      <w:r w:rsidRPr="00214793">
        <w:rPr>
          <w:rFonts w:ascii="Verdana" w:eastAsia="Arial MT" w:hAnsi="Verdana" w:cs="Arial MT"/>
          <w:lang w:eastAsia="es-ES"/>
        </w:rPr>
        <w:t xml:space="preserve"> </w:t>
      </w:r>
      <w:r w:rsidRPr="00214793">
        <w:rPr>
          <w:rFonts w:ascii="Verdana" w:hAnsi="Verdana" w:cs="Arial"/>
          <w:lang w:val="es-ES_tradnl"/>
        </w:rPr>
        <w:t>así como lo establecido en</w:t>
      </w:r>
      <w:r w:rsidRPr="00214793">
        <w:rPr>
          <w:rFonts w:ascii="Verdana" w:hAnsi="Verdana" w:cs="Arial"/>
        </w:rPr>
        <w:t xml:space="preserve"> la Resolución 469 de 2025 expedida por esta Entidad, </w:t>
      </w:r>
      <w:r w:rsidRPr="00214793">
        <w:rPr>
          <w:rFonts w:ascii="Verdana" w:eastAsia="Calibri" w:hAnsi="Verdana" w:cs="Arial"/>
          <w:color w:val="000000" w:themeColor="text1"/>
          <w:lang w:eastAsia="es-ES"/>
        </w:rPr>
        <w:t>la Agencia Nacional de Contratación Pública – Colombia Compra Eficiente responde su solicitud de concepto del 24 de noviembre de 2025,</w:t>
      </w:r>
      <w:r w:rsidRPr="00214793">
        <w:rPr>
          <w:rFonts w:ascii="Verdana" w:eastAsia="Calibri" w:hAnsi="Verdana" w:cs="Arial"/>
          <w:lang w:eastAsia="es-ES"/>
        </w:rPr>
        <w:t xml:space="preserve"> en la cual consulta sobre lo siguiente:</w:t>
      </w:r>
      <w:r w:rsidRPr="00214793">
        <w:rPr>
          <w:rFonts w:ascii="Verdana" w:eastAsia="Calibri" w:hAnsi="Verdana" w:cs="Arial"/>
          <w:i/>
          <w:iCs/>
          <w:lang w:eastAsia="es-ES"/>
        </w:rPr>
        <w:t xml:space="preserve"> </w:t>
      </w:r>
      <w:bookmarkStart w:id="3" w:name="_Hlk95313578"/>
    </w:p>
    <w:p w14:paraId="21056C01" w14:textId="77777777" w:rsidR="00814F26" w:rsidRPr="00214793" w:rsidRDefault="00814F26" w:rsidP="00814F26">
      <w:pPr>
        <w:spacing w:after="0" w:line="276" w:lineRule="auto"/>
        <w:jc w:val="both"/>
        <w:rPr>
          <w:rFonts w:ascii="Verdana" w:eastAsia="Calibri" w:hAnsi="Verdana" w:cs="Arial"/>
          <w:i/>
          <w:iCs/>
          <w:lang w:eastAsia="es-ES"/>
        </w:rPr>
      </w:pPr>
    </w:p>
    <w:p w14:paraId="680D1A68" w14:textId="77777777" w:rsidR="00814F26" w:rsidRPr="00214793" w:rsidRDefault="00814F26" w:rsidP="00814F26">
      <w:pPr>
        <w:spacing w:after="0" w:line="240" w:lineRule="auto"/>
        <w:ind w:left="709" w:right="709"/>
        <w:jc w:val="both"/>
        <w:rPr>
          <w:rFonts w:ascii="Verdana" w:eastAsia="Arial" w:hAnsi="Verdana" w:cs="Arial"/>
          <w:i/>
          <w:color w:val="000000"/>
          <w:sz w:val="20"/>
          <w:szCs w:val="20"/>
        </w:rPr>
      </w:pPr>
      <w:r w:rsidRPr="00214793">
        <w:rPr>
          <w:rFonts w:ascii="Verdana" w:eastAsia="Arial" w:hAnsi="Verdana" w:cs="Arial"/>
          <w:i/>
          <w:color w:val="000000"/>
          <w:sz w:val="20"/>
          <w:szCs w:val="20"/>
        </w:rPr>
        <w:t>“</w:t>
      </w:r>
      <w:bookmarkEnd w:id="3"/>
      <w:r w:rsidRPr="00214793">
        <w:rPr>
          <w:rFonts w:ascii="Verdana" w:eastAsia="Arial" w:hAnsi="Verdana" w:cs="Arial"/>
          <w:i/>
          <w:color w:val="000000"/>
          <w:sz w:val="20"/>
          <w:szCs w:val="20"/>
        </w:rPr>
        <w:t>Ante este escenario, donde convergen órdenes jerárquicas, limitaciones estatutarias y normas de contratación pública, solicito su concepto sobre los siguientes puntos:</w:t>
      </w:r>
    </w:p>
    <w:p w14:paraId="59BB02E3" w14:textId="77777777" w:rsidR="00814F26" w:rsidRPr="00214793" w:rsidRDefault="00814F26" w:rsidP="00814F26">
      <w:pPr>
        <w:spacing w:after="0" w:line="240" w:lineRule="auto"/>
        <w:ind w:left="709" w:right="709"/>
        <w:jc w:val="both"/>
        <w:rPr>
          <w:rFonts w:ascii="Verdana" w:eastAsia="Arial" w:hAnsi="Verdana" w:cs="Arial"/>
          <w:i/>
          <w:color w:val="000000"/>
          <w:sz w:val="20"/>
          <w:szCs w:val="20"/>
        </w:rPr>
      </w:pPr>
      <w:r w:rsidRPr="00214793">
        <w:rPr>
          <w:rFonts w:ascii="Verdana" w:eastAsia="Arial" w:hAnsi="Verdana" w:cs="Arial"/>
          <w:b/>
          <w:bCs/>
          <w:i/>
          <w:color w:val="000000"/>
          <w:sz w:val="20"/>
          <w:szCs w:val="20"/>
        </w:rPr>
        <w:t>A. Sobre la Idoneidad en Contratos con Sociedades de Economía Mixta:</w:t>
      </w:r>
      <w:r w:rsidRPr="00214793">
        <w:rPr>
          <w:rFonts w:ascii="Verdana" w:eastAsia="Arial" w:hAnsi="Verdana" w:cs="Arial"/>
          <w:i/>
          <w:color w:val="000000"/>
          <w:sz w:val="20"/>
          <w:szCs w:val="20"/>
        </w:rPr>
        <w:t xml:space="preserve"> ¿Es jurídicamente viable celebrar un contrato o convenio interadministrativo con una Sociedad de Economía Mixta participación mayoritaria del Estado para ejecutar una consultoría especializada (Prospectiva), cuando su objeto social principal no guarda relación directa </w:t>
      </w:r>
      <w:r w:rsidRPr="00214793">
        <w:rPr>
          <w:rFonts w:ascii="Verdana" w:eastAsia="Arial" w:hAnsi="Verdana" w:cs="Arial"/>
          <w:i/>
          <w:color w:val="000000"/>
          <w:sz w:val="20"/>
          <w:szCs w:val="20"/>
        </w:rPr>
        <w:lastRenderedPageBreak/>
        <w:t>con actividades científicas o académicas? ¿El hecho de pertenecer al mismo Grupo Empresarial (GSED) subsana la falta de idoneidad técnica directa exigida por el literal c) del numeral 4 del artículo 2 de la Ley 1150 de 2007?</w:t>
      </w:r>
    </w:p>
    <w:p w14:paraId="766AA903" w14:textId="77777777" w:rsidR="00814F26" w:rsidRPr="00214793" w:rsidRDefault="00814F26" w:rsidP="00814F26">
      <w:pPr>
        <w:spacing w:after="0" w:line="240" w:lineRule="auto"/>
        <w:ind w:left="709" w:right="709"/>
        <w:jc w:val="both"/>
        <w:rPr>
          <w:rFonts w:ascii="Verdana" w:eastAsia="Arial" w:hAnsi="Verdana" w:cs="Arial"/>
          <w:i/>
          <w:color w:val="000000"/>
          <w:sz w:val="20"/>
          <w:szCs w:val="20"/>
        </w:rPr>
      </w:pPr>
      <w:r w:rsidRPr="00214793">
        <w:rPr>
          <w:rFonts w:ascii="Verdana" w:eastAsia="Arial" w:hAnsi="Verdana" w:cs="Arial"/>
          <w:b/>
          <w:bCs/>
          <w:i/>
          <w:color w:val="000000"/>
          <w:sz w:val="20"/>
          <w:szCs w:val="20"/>
        </w:rPr>
        <w:t>B. Sobre la "Facturación para Terceros" como Indicio de Intermediación:</w:t>
      </w:r>
      <w:r w:rsidRPr="00214793">
        <w:rPr>
          <w:rFonts w:ascii="Verdana" w:eastAsia="Arial" w:hAnsi="Verdana" w:cs="Arial"/>
          <w:i/>
          <w:color w:val="000000"/>
          <w:sz w:val="20"/>
          <w:szCs w:val="20"/>
        </w:rPr>
        <w:t xml:space="preserve"> ¿Constituye una violación a la prohibición de intermediación el pactar una cláusula que permita a la Entidad Ejecutora (SHT) facturar bajo la modalidad de </w:t>
      </w:r>
      <w:r w:rsidRPr="00214793">
        <w:rPr>
          <w:rFonts w:ascii="Verdana" w:eastAsia="Arial" w:hAnsi="Verdana" w:cs="Arial"/>
          <w:b/>
          <w:bCs/>
          <w:i/>
          <w:color w:val="000000"/>
          <w:sz w:val="20"/>
          <w:szCs w:val="20"/>
        </w:rPr>
        <w:t>"ingresos recibidos para terceros"</w:t>
      </w:r>
      <w:r w:rsidRPr="00214793">
        <w:rPr>
          <w:rFonts w:ascii="Verdana" w:eastAsia="Arial" w:hAnsi="Verdana" w:cs="Arial"/>
          <w:i/>
          <w:color w:val="000000"/>
          <w:sz w:val="20"/>
          <w:szCs w:val="20"/>
        </w:rPr>
        <w:t>? ¿Se desvirtúa la naturaleza del contrato interadministrativo si la entidad estatal contratada actúa simplemente como un administrador de recursos (pasamanos) para pagarle a un tercero privado que realizará la labor intelectual?</w:t>
      </w:r>
    </w:p>
    <w:p w14:paraId="74E2BD2A" w14:textId="77777777" w:rsidR="00814F26" w:rsidRPr="00214793" w:rsidRDefault="00814F26" w:rsidP="00814F26">
      <w:pPr>
        <w:spacing w:after="0" w:line="240" w:lineRule="auto"/>
        <w:ind w:left="709" w:right="709"/>
        <w:jc w:val="both"/>
        <w:rPr>
          <w:rFonts w:ascii="Verdana" w:eastAsia="Arial" w:hAnsi="Verdana" w:cs="Arial"/>
          <w:i/>
          <w:color w:val="000000"/>
          <w:sz w:val="20"/>
          <w:szCs w:val="20"/>
        </w:rPr>
      </w:pPr>
      <w:r w:rsidRPr="00214793">
        <w:rPr>
          <w:rFonts w:ascii="Verdana" w:eastAsia="Arial" w:hAnsi="Verdana" w:cs="Arial"/>
          <w:b/>
          <w:bCs/>
          <w:i/>
          <w:color w:val="000000"/>
          <w:sz w:val="20"/>
          <w:szCs w:val="20"/>
        </w:rPr>
        <w:t>C. Alcance de las Circulares Ministeriales frente a la Ley:</w:t>
      </w:r>
      <w:r w:rsidRPr="00214793">
        <w:rPr>
          <w:rFonts w:ascii="Verdana" w:eastAsia="Arial" w:hAnsi="Verdana" w:cs="Arial"/>
          <w:i/>
          <w:color w:val="000000"/>
          <w:sz w:val="20"/>
          <w:szCs w:val="20"/>
        </w:rPr>
        <w:t xml:space="preserve"> ¿Puede un ordenador del gasto justificar la celebración de un contrato directo con una entidad que carece de la capacidad de ejecución directa (y que subcontratará el objeto), amparándose en el cumplimiento de una </w:t>
      </w:r>
      <w:r w:rsidRPr="00214793">
        <w:rPr>
          <w:rFonts w:ascii="Verdana" w:eastAsia="Arial" w:hAnsi="Verdana" w:cs="Arial"/>
          <w:b/>
          <w:bCs/>
          <w:i/>
          <w:color w:val="000000"/>
          <w:sz w:val="20"/>
          <w:szCs w:val="20"/>
        </w:rPr>
        <w:t>Circular Ministerial</w:t>
      </w:r>
      <w:r w:rsidRPr="00214793">
        <w:rPr>
          <w:rFonts w:ascii="Verdana" w:eastAsia="Arial" w:hAnsi="Verdana" w:cs="Arial"/>
          <w:i/>
          <w:color w:val="000000"/>
          <w:sz w:val="20"/>
          <w:szCs w:val="20"/>
        </w:rPr>
        <w:t xml:space="preserve"> que ordena priorizar la contratación con empresas del mismo sector, o debe prevalecer el deber de selección objetiva y la prohibición de intermediación contenida en la Ley 80 de 1993 y Ley 1150 de 2007?</w:t>
      </w:r>
    </w:p>
    <w:p w14:paraId="397FF5CF" w14:textId="77777777" w:rsidR="00814F26" w:rsidRPr="00214793" w:rsidRDefault="00814F26" w:rsidP="00814F26">
      <w:pPr>
        <w:spacing w:after="0" w:line="240" w:lineRule="auto"/>
        <w:ind w:left="709" w:right="709"/>
        <w:jc w:val="both"/>
        <w:rPr>
          <w:rFonts w:ascii="Verdana" w:eastAsia="Arial" w:hAnsi="Verdana" w:cs="Arial"/>
          <w:i/>
          <w:color w:val="000000"/>
          <w:sz w:val="20"/>
          <w:szCs w:val="20"/>
        </w:rPr>
      </w:pPr>
      <w:r w:rsidRPr="00214793">
        <w:rPr>
          <w:rFonts w:ascii="Verdana" w:eastAsia="Arial" w:hAnsi="Verdana" w:cs="Arial"/>
          <w:b/>
          <w:bCs/>
          <w:i/>
          <w:color w:val="000000"/>
          <w:sz w:val="20"/>
          <w:szCs w:val="20"/>
        </w:rPr>
        <w:t>D. Diferencia Sustancial entre Contrato y Convenio:</w:t>
      </w:r>
      <w:r w:rsidRPr="00214793">
        <w:rPr>
          <w:rFonts w:ascii="Verdana" w:eastAsia="Arial" w:hAnsi="Verdana" w:cs="Arial"/>
          <w:i/>
          <w:color w:val="000000"/>
          <w:sz w:val="20"/>
          <w:szCs w:val="20"/>
        </w:rPr>
        <w:t xml:space="preserve"> En un escenario donde la entidad contratante paga un precio determinado a cambio de un producto específico (estudio), ¿es procedente utilizar la figura del "</w:t>
      </w:r>
      <w:proofErr w:type="gramStart"/>
      <w:r w:rsidRPr="00214793">
        <w:rPr>
          <w:rFonts w:ascii="Verdana" w:eastAsia="Arial" w:hAnsi="Verdana" w:cs="Arial"/>
          <w:i/>
          <w:color w:val="000000"/>
          <w:sz w:val="20"/>
          <w:szCs w:val="20"/>
        </w:rPr>
        <w:t>Convenio Interadministrativo" argumentando "flexibilidad operativa", o debe tratarse imperativamente como un Contrato Interadministrativo sujeto a las reglas de mercado y precio?</w:t>
      </w:r>
      <w:proofErr w:type="gramEnd"/>
      <w:r w:rsidRPr="00214793">
        <w:rPr>
          <w:rFonts w:ascii="Verdana" w:eastAsia="Arial" w:hAnsi="Verdana" w:cs="Arial"/>
          <w:i/>
          <w:color w:val="000000"/>
          <w:sz w:val="20"/>
          <w:szCs w:val="20"/>
        </w:rPr>
        <w:t xml:space="preserve"> que en lugar de obligaciones diga compromisos y demás similares </w:t>
      </w:r>
    </w:p>
    <w:p w14:paraId="7D05E248" w14:textId="77777777" w:rsidR="00814F26" w:rsidRPr="00214793" w:rsidRDefault="00814F26" w:rsidP="00814F26">
      <w:pPr>
        <w:spacing w:after="0" w:line="240" w:lineRule="auto"/>
        <w:ind w:left="709" w:right="709"/>
        <w:jc w:val="both"/>
        <w:rPr>
          <w:rFonts w:ascii="Verdana" w:eastAsia="Arial" w:hAnsi="Verdana" w:cs="Arial"/>
          <w:i/>
          <w:color w:val="000000"/>
          <w:sz w:val="20"/>
          <w:szCs w:val="20"/>
        </w:rPr>
      </w:pPr>
      <w:r w:rsidRPr="00214793">
        <w:rPr>
          <w:rFonts w:ascii="Verdana" w:eastAsia="Arial" w:hAnsi="Verdana" w:cs="Arial"/>
          <w:b/>
          <w:bCs/>
          <w:i/>
          <w:color w:val="000000"/>
          <w:sz w:val="20"/>
          <w:szCs w:val="20"/>
        </w:rPr>
        <w:t>E. Modificación del Objeto para Ajuste Formal:</w:t>
      </w:r>
      <w:r w:rsidRPr="00214793">
        <w:rPr>
          <w:rFonts w:ascii="Verdana" w:eastAsia="Arial" w:hAnsi="Verdana" w:cs="Arial"/>
          <w:i/>
          <w:color w:val="000000"/>
          <w:sz w:val="20"/>
          <w:szCs w:val="20"/>
        </w:rPr>
        <w:t xml:space="preserve"> ¿Constituye una práctica restrictiva de la competencia o una desviación de poder el modificar la denominación de un objeto contractual (de "</w:t>
      </w:r>
      <w:proofErr w:type="gramStart"/>
      <w:r w:rsidRPr="00214793">
        <w:rPr>
          <w:rFonts w:ascii="Verdana" w:eastAsia="Arial" w:hAnsi="Verdana" w:cs="Arial"/>
          <w:i/>
          <w:color w:val="000000"/>
          <w:sz w:val="20"/>
          <w:szCs w:val="20"/>
        </w:rPr>
        <w:t>Consultoría" a "Logística") con el único fin de habilitar la contratación directa con una entidad estatal específica, cuando la necesidad técnica real sigue siendo la entrega de productos de consultoría?</w:t>
      </w:r>
      <w:proofErr w:type="gramEnd"/>
      <w:r w:rsidRPr="00214793">
        <w:rPr>
          <w:rFonts w:ascii="Verdana" w:eastAsia="Arial" w:hAnsi="Verdana" w:cs="Arial"/>
          <w:i/>
          <w:color w:val="000000"/>
          <w:sz w:val="20"/>
          <w:szCs w:val="20"/>
        </w:rPr>
        <w:t>”</w:t>
      </w:r>
    </w:p>
    <w:p w14:paraId="65C6ED6C" w14:textId="77777777" w:rsidR="00814F26" w:rsidRPr="00214793" w:rsidRDefault="00814F26" w:rsidP="00814F26">
      <w:pPr>
        <w:spacing w:after="0" w:line="240" w:lineRule="auto"/>
        <w:ind w:left="709" w:right="709"/>
        <w:jc w:val="both"/>
      </w:pPr>
    </w:p>
    <w:p w14:paraId="1B8F3F73" w14:textId="77777777" w:rsidR="00814F26" w:rsidRPr="00214793" w:rsidRDefault="00814F26" w:rsidP="00814F26">
      <w:pPr>
        <w:spacing w:after="120" w:line="276" w:lineRule="auto"/>
        <w:ind w:firstLine="709"/>
        <w:jc w:val="both"/>
        <w:rPr>
          <w:rFonts w:ascii="Verdana" w:eastAsia="Calibri" w:hAnsi="Verdana" w:cs="Arial"/>
          <w:color w:val="000000"/>
          <w:lang w:eastAsia="es-ES"/>
        </w:rPr>
      </w:pPr>
      <w:r w:rsidRPr="00214793">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214793">
        <w:rPr>
          <w:rFonts w:ascii="Verdana" w:eastAsia="Calibri" w:hAnsi="Verdana" w:cs="Arial"/>
          <w:color w:val="000000"/>
          <w:lang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214793">
        <w:rPr>
          <w:rFonts w:ascii="Verdana" w:eastAsia="Calibri" w:hAnsi="Verdana" w:cs="Arial"/>
          <w:color w:val="000000"/>
          <w:szCs w:val="24"/>
          <w:lang w:eastAsia="es-ES_tradnl"/>
        </w:rPr>
        <w:tab/>
      </w:r>
    </w:p>
    <w:p w14:paraId="6181D1E0" w14:textId="77777777" w:rsidR="00814F26" w:rsidRPr="00214793" w:rsidRDefault="00814F26" w:rsidP="00814F26">
      <w:pPr>
        <w:spacing w:after="0" w:line="276" w:lineRule="auto"/>
        <w:ind w:firstLine="709"/>
        <w:jc w:val="both"/>
        <w:rPr>
          <w:rFonts w:ascii="Verdana" w:eastAsia="Calibri" w:hAnsi="Verdana" w:cs="Arial"/>
          <w:color w:val="000000"/>
          <w:lang w:eastAsia="es-ES"/>
        </w:rPr>
      </w:pPr>
      <w:r w:rsidRPr="00214793">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214793">
        <w:rPr>
          <w:rFonts w:ascii="Verdana" w:eastAsia="Calibri" w:hAnsi="Verdana" w:cs="Arial"/>
          <w:color w:val="7030A0"/>
          <w:lang w:eastAsia="es-ES"/>
        </w:rPr>
        <w:t xml:space="preserve"> </w:t>
      </w:r>
      <w:r w:rsidRPr="00214793">
        <w:rPr>
          <w:rFonts w:ascii="Verdana" w:eastAsia="Calibri" w:hAnsi="Verdana" w:cs="Arial"/>
          <w:color w:val="000000"/>
          <w:lang w:eastAsia="es-ES"/>
        </w:rPr>
        <w:t>problema</w:t>
      </w:r>
      <w:r w:rsidRPr="00214793">
        <w:rPr>
          <w:rFonts w:ascii="Verdana" w:eastAsia="Calibri" w:hAnsi="Verdana" w:cs="Arial"/>
          <w:color w:val="7030A0"/>
          <w:lang w:eastAsia="es-ES"/>
        </w:rPr>
        <w:t xml:space="preserve"> </w:t>
      </w:r>
      <w:r w:rsidRPr="00214793">
        <w:rPr>
          <w:rFonts w:ascii="Verdana" w:eastAsia="Calibri" w:hAnsi="Verdana" w:cs="Arial"/>
          <w:color w:val="000000"/>
          <w:lang w:eastAsia="es-ES"/>
        </w:rPr>
        <w:t>jurídico</w:t>
      </w:r>
      <w:r w:rsidRPr="00214793">
        <w:rPr>
          <w:rFonts w:ascii="Verdana" w:eastAsia="Calibri" w:hAnsi="Verdana" w:cs="Arial"/>
          <w:color w:val="7030A0"/>
          <w:lang w:eastAsia="es-ES"/>
        </w:rPr>
        <w:t xml:space="preserve"> </w:t>
      </w:r>
      <w:r w:rsidRPr="00214793">
        <w:rPr>
          <w:rFonts w:ascii="Verdana" w:eastAsia="Calibri" w:hAnsi="Verdana" w:cs="Arial"/>
          <w:color w:val="000000"/>
          <w:lang w:eastAsia="es-ES"/>
        </w:rPr>
        <w:t xml:space="preserve">de su consulta. </w:t>
      </w:r>
    </w:p>
    <w:p w14:paraId="4C5D79EE" w14:textId="77777777" w:rsidR="00814F26" w:rsidRPr="00214793" w:rsidRDefault="00814F26" w:rsidP="00814F26">
      <w:pPr>
        <w:spacing w:after="0" w:line="276" w:lineRule="auto"/>
        <w:ind w:firstLine="709"/>
        <w:jc w:val="both"/>
        <w:rPr>
          <w:rFonts w:ascii="Verdana" w:eastAsia="Calibri" w:hAnsi="Verdana" w:cs="Arial"/>
          <w:color w:val="000000"/>
          <w:lang w:eastAsia="es-ES"/>
        </w:rPr>
      </w:pPr>
    </w:p>
    <w:p w14:paraId="391B8D75" w14:textId="77777777" w:rsidR="00814F26" w:rsidRPr="00214793" w:rsidRDefault="00814F26" w:rsidP="00814F26">
      <w:pPr>
        <w:numPr>
          <w:ilvl w:val="0"/>
          <w:numId w:val="1"/>
        </w:numPr>
        <w:tabs>
          <w:tab w:val="left" w:pos="142"/>
          <w:tab w:val="left" w:pos="284"/>
        </w:tabs>
        <w:spacing w:after="0" w:line="276" w:lineRule="auto"/>
        <w:jc w:val="both"/>
        <w:rPr>
          <w:rFonts w:ascii="Verdana" w:eastAsia="Century Gothic" w:hAnsi="Verdana" w:cs="Century Gothic"/>
          <w:b/>
          <w:bCs/>
        </w:rPr>
      </w:pPr>
      <w:r w:rsidRPr="00214793">
        <w:rPr>
          <w:rFonts w:ascii="Verdana" w:eastAsia="Century Gothic" w:hAnsi="Verdana" w:cs="Century Gothic"/>
          <w:b/>
          <w:bCs/>
        </w:rPr>
        <w:t>Problemas planteados:</w:t>
      </w:r>
    </w:p>
    <w:p w14:paraId="710E8DDA" w14:textId="77777777" w:rsidR="00814F26" w:rsidRPr="00214793" w:rsidRDefault="00814F26" w:rsidP="00814F26">
      <w:pPr>
        <w:tabs>
          <w:tab w:val="left" w:pos="426"/>
        </w:tabs>
        <w:spacing w:after="0" w:line="276" w:lineRule="auto"/>
        <w:jc w:val="both"/>
        <w:rPr>
          <w:rFonts w:ascii="Verdana" w:eastAsia="Century Gothic" w:hAnsi="Verdana" w:cs="Century Gothic"/>
        </w:rPr>
      </w:pPr>
    </w:p>
    <w:p w14:paraId="5664E7EB" w14:textId="77777777" w:rsidR="00814F26" w:rsidRPr="00214793" w:rsidRDefault="00814F26" w:rsidP="00814F26">
      <w:pPr>
        <w:spacing w:after="0" w:line="276" w:lineRule="auto"/>
        <w:jc w:val="both"/>
        <w:rPr>
          <w:rFonts w:ascii="Verdana" w:eastAsia="Calibri" w:hAnsi="Verdana" w:cs="Arial"/>
          <w:lang w:eastAsia="es-ES"/>
        </w:rPr>
      </w:pPr>
      <w:r w:rsidRPr="00214793">
        <w:rPr>
          <w:rFonts w:ascii="Verdana" w:eastAsia="Century Gothic" w:hAnsi="Verdana" w:cs="Century Gothic"/>
        </w:rPr>
        <w:t xml:space="preserve">De acuerdo con el contenido de su solicitud, esta Agencia resolverá los siguientes problemas jurídicos: i) ¿En los convenios y contratos interadministrativos es viable establecer costos y pactarse un precio o remuneración?, </w:t>
      </w:r>
      <w:proofErr w:type="spellStart"/>
      <w:r w:rsidRPr="00214793">
        <w:rPr>
          <w:rFonts w:ascii="Verdana" w:eastAsia="Calibri" w:hAnsi="Verdana" w:cs="Arial"/>
          <w:lang w:eastAsia="es-ES"/>
        </w:rPr>
        <w:t>ii</w:t>
      </w:r>
      <w:proofErr w:type="spellEnd"/>
      <w:r w:rsidRPr="00214793">
        <w:rPr>
          <w:rFonts w:ascii="Verdana" w:eastAsia="Calibri" w:hAnsi="Verdana" w:cs="Arial"/>
          <w:lang w:eastAsia="es-ES"/>
        </w:rPr>
        <w:t>) ¿Cuál</w:t>
      </w:r>
      <w:r w:rsidRPr="00214793">
        <w:rPr>
          <w:rFonts w:ascii="Verdana" w:hAnsi="Verdana" w:cs="Arial"/>
        </w:rPr>
        <w:t xml:space="preserve"> es el alcance del literal c) numeral 4 del artículo 2 de la Ley 1150 de 2007 –modificado por el artículo 92 de la Ley 1474 de 2011- para la celebración de contratos interadministrativos?</w:t>
      </w:r>
      <w:r w:rsidRPr="00214793">
        <w:rPr>
          <w:rFonts w:ascii="Verdana" w:eastAsia="Calibri" w:hAnsi="Verdana" w:cs="Arial"/>
          <w:lang w:eastAsia="es-ES"/>
        </w:rPr>
        <w:t xml:space="preserve">, y </w:t>
      </w:r>
      <w:proofErr w:type="spellStart"/>
      <w:r w:rsidRPr="00214793">
        <w:rPr>
          <w:rFonts w:ascii="Verdana" w:eastAsia="Calibri" w:hAnsi="Verdana" w:cs="Arial"/>
          <w:lang w:eastAsia="es-ES"/>
        </w:rPr>
        <w:t>iii</w:t>
      </w:r>
      <w:proofErr w:type="spellEnd"/>
      <w:r w:rsidRPr="00214793">
        <w:rPr>
          <w:rFonts w:ascii="Verdana" w:eastAsia="Calibri" w:hAnsi="Verdana" w:cs="Arial"/>
          <w:lang w:eastAsia="es-ES"/>
        </w:rPr>
        <w:t>) ¿Es posible la celebración de los contratos interadministrativos de administración delegada de recursos?</w:t>
      </w:r>
    </w:p>
    <w:p w14:paraId="782208CC" w14:textId="77777777" w:rsidR="00814F26" w:rsidRPr="00214793" w:rsidRDefault="00814F26" w:rsidP="00814F26">
      <w:pPr>
        <w:spacing w:after="0" w:line="276" w:lineRule="auto"/>
        <w:jc w:val="both"/>
        <w:rPr>
          <w:rFonts w:ascii="Verdana" w:eastAsia="Calibri" w:hAnsi="Verdana" w:cs="Arial"/>
          <w:color w:val="7030A0"/>
        </w:rPr>
      </w:pPr>
    </w:p>
    <w:p w14:paraId="4CB85F90" w14:textId="77777777" w:rsidR="00814F26" w:rsidRPr="00214793" w:rsidRDefault="00814F26" w:rsidP="00814F26">
      <w:pPr>
        <w:numPr>
          <w:ilvl w:val="0"/>
          <w:numId w:val="1"/>
        </w:numPr>
        <w:tabs>
          <w:tab w:val="left" w:pos="142"/>
          <w:tab w:val="left" w:pos="284"/>
        </w:tabs>
        <w:spacing w:after="0" w:line="276" w:lineRule="auto"/>
        <w:jc w:val="both"/>
        <w:rPr>
          <w:rFonts w:ascii="Verdana" w:eastAsia="Century Gothic" w:hAnsi="Verdana" w:cs="Century Gothic"/>
          <w:b/>
          <w:bCs/>
        </w:rPr>
      </w:pPr>
      <w:r w:rsidRPr="00214793">
        <w:rPr>
          <w:rFonts w:ascii="Verdana" w:eastAsia="Century Gothic" w:hAnsi="Verdana" w:cs="Century Gothic"/>
          <w:b/>
          <w:bCs/>
        </w:rPr>
        <w:t>Respuestas:</w:t>
      </w:r>
    </w:p>
    <w:p w14:paraId="5836EF0D" w14:textId="77777777" w:rsidR="00814F26" w:rsidRPr="00214793" w:rsidRDefault="00814F26" w:rsidP="00814F2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14F26" w:rsidRPr="00214793" w14:paraId="61314EAC" w14:textId="77777777" w:rsidTr="00831131">
        <w:trPr>
          <w:jc w:val="center"/>
        </w:trPr>
        <w:tc>
          <w:tcPr>
            <w:tcW w:w="8828" w:type="dxa"/>
          </w:tcPr>
          <w:p w14:paraId="4E7DBA76" w14:textId="77777777" w:rsidR="00814F26" w:rsidRPr="00214793" w:rsidRDefault="00814F26" w:rsidP="00831131">
            <w:pPr>
              <w:snapToGrid w:val="0"/>
              <w:spacing w:before="120" w:line="276" w:lineRule="auto"/>
              <w:jc w:val="both"/>
              <w:rPr>
                <w:rFonts w:ascii="Verdana" w:hAnsi="Verdana" w:cs="Arial"/>
                <w:bCs/>
                <w:color w:val="000000" w:themeColor="text1"/>
                <w:szCs w:val="24"/>
                <w:lang w:eastAsia="es-ES_tradnl" w:bidi="es-ES"/>
              </w:rPr>
            </w:pPr>
            <w:bookmarkStart w:id="4" w:name="_Hlk171694685"/>
            <w:r w:rsidRPr="00214793">
              <w:rPr>
                <w:rFonts w:ascii="Verdana" w:eastAsia="Calibri" w:hAnsi="Verdana" w:cs="Arial"/>
                <w:bCs/>
                <w:color w:val="000000" w:themeColor="text1"/>
                <w:lang w:eastAsia="es-ES_tradnl" w:bidi="es-ES"/>
              </w:rPr>
              <w:t>i. Si bien el Estatuto General de Contratación de la Administración Pública hace referencia de manera expresa al contrato interadministrativo o, en términos generales, a los interadministrativos y no al convenio,</w:t>
            </w:r>
            <w:r w:rsidRPr="00214793">
              <w:rPr>
                <w:rFonts w:ascii="Verdana" w:eastAsia="Calibri" w:hAnsi="Verdana" w:cs="Arial"/>
                <w:color w:val="000000" w:themeColor="text1"/>
                <w:lang w:val="es-ES_tradnl"/>
              </w:rPr>
              <w:t xml:space="preserve"> tanto jurisprudencial como doctrinariamente, se han hecho diferenciaciones conceptuales entre </w:t>
            </w:r>
            <w:r w:rsidRPr="00214793">
              <w:rPr>
                <w:rFonts w:ascii="Verdana" w:hAnsi="Verdana" w:cs="Arial"/>
                <w:bCs/>
                <w:color w:val="000000" w:themeColor="text1"/>
                <w:szCs w:val="24"/>
                <w:lang w:eastAsia="es-ES_tradnl" w:bidi="es-ES"/>
              </w:rPr>
              <w:t xml:space="preserve">los </w:t>
            </w:r>
            <w:proofErr w:type="gramStart"/>
            <w:r w:rsidRPr="00214793">
              <w:rPr>
                <w:rFonts w:ascii="Verdana" w:hAnsi="Verdana" w:cs="Arial"/>
                <w:bCs/>
                <w:color w:val="000000" w:themeColor="text1"/>
                <w:szCs w:val="24"/>
                <w:lang w:eastAsia="es-ES_tradnl" w:bidi="es-ES"/>
              </w:rPr>
              <w:t>contratos interadministrativos y los convenios interadministrativos</w:t>
            </w:r>
            <w:proofErr w:type="gramEnd"/>
            <w:r w:rsidRPr="00214793">
              <w:rPr>
                <w:rFonts w:ascii="Verdana" w:hAnsi="Verdana" w:cs="Arial"/>
                <w:bCs/>
                <w:color w:val="000000" w:themeColor="text1"/>
                <w:szCs w:val="24"/>
                <w:lang w:eastAsia="es-ES_tradnl" w:bidi="es-ES"/>
              </w:rPr>
              <w:t xml:space="preserve"> de que trata el artículo 95 de la Ley 489 de 1998, que para efectos de la consulta planteada resultan determinantes. </w:t>
            </w:r>
          </w:p>
          <w:p w14:paraId="48671A8E" w14:textId="77777777" w:rsidR="00814F26" w:rsidRPr="00214793" w:rsidRDefault="00814F26" w:rsidP="00831131">
            <w:pPr>
              <w:snapToGrid w:val="0"/>
              <w:spacing w:before="120" w:line="276" w:lineRule="auto"/>
              <w:ind w:firstLine="601"/>
              <w:jc w:val="both"/>
              <w:rPr>
                <w:rFonts w:ascii="Verdana" w:eastAsia="Calibri" w:hAnsi="Verdana" w:cs="Arial"/>
                <w:bCs/>
                <w:color w:val="000000" w:themeColor="text1"/>
                <w:lang w:eastAsia="es-ES_tradnl" w:bidi="es-ES"/>
              </w:rPr>
            </w:pPr>
            <w:r w:rsidRPr="00214793">
              <w:rPr>
                <w:rFonts w:ascii="Verdana" w:hAnsi="Verdana" w:cs="Arial"/>
                <w:bCs/>
                <w:color w:val="000000" w:themeColor="text1"/>
                <w:szCs w:val="24"/>
                <w:lang w:eastAsia="es-ES_tradnl" w:bidi="es-ES"/>
              </w:rPr>
              <w:t xml:space="preserve">En este sentido, la jurisprudencia del Consejo de Estado ha resaltado que aunque </w:t>
            </w:r>
            <w:r w:rsidRPr="00214793">
              <w:rPr>
                <w:rFonts w:ascii="Verdana" w:eastAsia="Calibri" w:hAnsi="Verdana" w:cs="Arial"/>
                <w:bCs/>
                <w:color w:val="000000" w:themeColor="text1"/>
                <w:lang w:eastAsia="es-ES_tradnl" w:bidi="es-ES"/>
              </w:rPr>
              <w:t xml:space="preserve">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w:t>
            </w:r>
            <w:r w:rsidRPr="00214793">
              <w:rPr>
                <w:rFonts w:ascii="Verdana" w:eastAsia="Calibri" w:hAnsi="Verdana" w:cs="Arial"/>
                <w:bCs/>
                <w:color w:val="000000" w:themeColor="text1"/>
                <w:lang w:eastAsia="es-ES_tradnl" w:bidi="es-ES"/>
              </w:rPr>
              <w:lastRenderedPageBreak/>
              <w:t xml:space="preserve">interadministrativos involucran la ejecución de actividades en función de un interés común para las partes; en esencia se pretende el cumplimiento de fines coincidentes entre quienes lo ejecutan. </w:t>
            </w:r>
          </w:p>
          <w:p w14:paraId="3672A3AF" w14:textId="77777777" w:rsidR="00814F26" w:rsidRPr="00214793" w:rsidRDefault="00814F26" w:rsidP="00831131">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66FE5234" w14:textId="77777777" w:rsidR="00814F26" w:rsidRPr="00214793" w:rsidRDefault="00814F26" w:rsidP="00831131">
            <w:pPr>
              <w:snapToGrid w:val="0"/>
              <w:spacing w:after="120" w:line="276" w:lineRule="auto"/>
              <w:ind w:firstLine="709"/>
              <w:jc w:val="both"/>
              <w:rPr>
                <w:rFonts w:ascii="Verdana" w:eastAsia="Times New Roman" w:hAnsi="Verdana" w:cs="Arial"/>
                <w:lang w:eastAsia="es-ES_tradnl"/>
              </w:rPr>
            </w:pPr>
            <w:r w:rsidRPr="00214793">
              <w:rPr>
                <w:rFonts w:ascii="Verdana" w:eastAsia="Times New Roman" w:hAnsi="Verdana" w:cs="Arial"/>
                <w:szCs w:val="24"/>
                <w:lang w:eastAsia="es-ES_tradnl"/>
              </w:rPr>
              <w:t xml:space="preserve">En la práctica, en los convenios interadministrativos que las entidades celebran no suele pactarse un precio o remuneración, lo que no significa que, para la ejecución de sus compromisos, no puedan </w:t>
            </w:r>
            <w:r w:rsidRPr="00214793">
              <w:rPr>
                <w:rFonts w:ascii="Verdana" w:eastAsia="Times New Roman" w:hAnsi="Verdana" w:cs="Arial"/>
                <w:lang w:eastAsia="es-ES_tradnl"/>
              </w:rPr>
              <w:t>afectar sus respectivos presupuestos y ejecutar recursos públicos.</w:t>
            </w:r>
          </w:p>
          <w:p w14:paraId="45A488BB" w14:textId="77777777" w:rsidR="00814F26" w:rsidRPr="00214793" w:rsidRDefault="00814F26" w:rsidP="00831131">
            <w:pPr>
              <w:snapToGrid w:val="0"/>
              <w:spacing w:after="120" w:line="276" w:lineRule="auto"/>
              <w:ind w:firstLine="709"/>
              <w:jc w:val="both"/>
              <w:rPr>
                <w:rFonts w:ascii="Verdana" w:eastAsia="Times New Roman" w:hAnsi="Verdana" w:cs="Arial"/>
                <w:b/>
                <w:bCs/>
                <w:iCs/>
                <w:lang w:eastAsia="es-ES_tradnl"/>
              </w:rPr>
            </w:pPr>
            <w:r w:rsidRPr="00214793">
              <w:rPr>
                <w:rFonts w:ascii="Verdana" w:eastAsia="Calibri" w:hAnsi="Verdana" w:cs="Arial"/>
                <w:bCs/>
                <w:color w:val="000000" w:themeColor="text1"/>
                <w:lang w:eastAsia="es-ES_tradnl" w:bidi="es-ES"/>
              </w:rPr>
              <w:t xml:space="preserve">En este contexto, </w:t>
            </w:r>
            <w:r w:rsidRPr="00214793">
              <w:rPr>
                <w:rFonts w:ascii="Verdana" w:eastAsia="Times New Roman" w:hAnsi="Verdana" w:cs="Arial"/>
                <w:iCs/>
                <w:lang w:eastAsia="es-ES_tradnl"/>
              </w:rPr>
              <w:t xml:space="preserve">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 </w:t>
            </w:r>
          </w:p>
          <w:p w14:paraId="541E40BA" w14:textId="77777777" w:rsidR="00814F26" w:rsidRPr="00214793" w:rsidRDefault="00814F26" w:rsidP="00831131">
            <w:pPr>
              <w:snapToGrid w:val="0"/>
              <w:spacing w:after="120" w:line="276" w:lineRule="auto"/>
              <w:ind w:firstLine="709"/>
              <w:jc w:val="both"/>
              <w:rPr>
                <w:rFonts w:ascii="Verdana" w:eastAsia="Aptos" w:hAnsi="Verdana" w:cs="Arial"/>
                <w:b/>
                <w:bCs/>
              </w:rPr>
            </w:pPr>
            <w:r w:rsidRPr="00214793">
              <w:rPr>
                <w:rFonts w:ascii="Verdana" w:eastAsia="Times New Roman" w:hAnsi="Verdana" w:cs="Arial"/>
                <w:lang w:eastAsia="es-ES_tradnl"/>
              </w:rPr>
              <w:t xml:space="preserve">Se aclara que la determinación de estos costos o gastos administrativos en los convenios no pueden ocultar una remuneración verdadera o una utilidad en favor de alguna de las entidades que concurre a su suscripción, así como tampoco pueden emplearse para aspectos distintos del cumplimiento de los compromisos asumidos, pues en tal evento no se trataría de un </w:t>
            </w:r>
            <w:proofErr w:type="gramStart"/>
            <w:r w:rsidRPr="00214793">
              <w:rPr>
                <w:rFonts w:ascii="Verdana" w:eastAsia="Times New Roman" w:hAnsi="Verdana" w:cs="Arial"/>
                <w:lang w:eastAsia="es-ES_tradnl"/>
              </w:rPr>
              <w:t>convenio</w:t>
            </w:r>
            <w:proofErr w:type="gramEnd"/>
            <w:r w:rsidRPr="00214793">
              <w:rPr>
                <w:rFonts w:ascii="Verdana" w:eastAsia="Times New Roman" w:hAnsi="Verdana" w:cs="Arial"/>
                <w:lang w:eastAsia="es-ES_tradnl"/>
              </w:rPr>
              <w:t xml:space="preserve"> sino </w:t>
            </w:r>
            <w:r w:rsidRPr="00214793">
              <w:rPr>
                <w:rFonts w:ascii="Verdana" w:eastAsia="Times New Roman" w:hAnsi="Verdana" w:cs="Arial"/>
                <w:lang w:eastAsia="es-ES_tradnl"/>
              </w:rPr>
              <w:lastRenderedPageBreak/>
              <w:t>que su connotación transmutaría a un contrato interadministrativo</w:t>
            </w:r>
            <w:r w:rsidRPr="00214793">
              <w:rPr>
                <w:rFonts w:ascii="Verdana" w:eastAsia="Aptos" w:hAnsi="Verdana" w:cs="Arial"/>
              </w:rPr>
              <w:t xml:space="preserve">. </w:t>
            </w:r>
            <w:r w:rsidRPr="00214793">
              <w:rPr>
                <w:rFonts w:ascii="Verdana" w:eastAsia="Aptos" w:hAnsi="Verdana" w:cs="Arial"/>
                <w:b/>
                <w:bCs/>
              </w:rPr>
              <w:t>(Interrogantes D y E)</w:t>
            </w:r>
          </w:p>
          <w:p w14:paraId="27A614C3" w14:textId="77777777" w:rsidR="00814F26" w:rsidRPr="00214793" w:rsidRDefault="00814F26" w:rsidP="00831131">
            <w:pPr>
              <w:spacing w:after="120" w:line="276" w:lineRule="auto"/>
              <w:jc w:val="both"/>
              <w:rPr>
                <w:rFonts w:ascii="Verdana" w:hAnsi="Verdana" w:cs="Arial"/>
              </w:rPr>
            </w:pPr>
            <w:proofErr w:type="spellStart"/>
            <w:r w:rsidRPr="00214793">
              <w:rPr>
                <w:rFonts w:ascii="Verdana" w:eastAsia="Aptos" w:hAnsi="Verdana" w:cs="Arial"/>
              </w:rPr>
              <w:t>ii</w:t>
            </w:r>
            <w:proofErr w:type="spellEnd"/>
            <w:r w:rsidRPr="00214793">
              <w:rPr>
                <w:rFonts w:ascii="Verdana" w:eastAsia="Aptos" w:hAnsi="Verdana" w:cs="Arial"/>
              </w:rPr>
              <w:t xml:space="preserve">. </w:t>
            </w:r>
            <w:bookmarkStart w:id="5" w:name="_Hlk217334919"/>
            <w:r w:rsidRPr="00214793">
              <w:rPr>
                <w:rFonts w:ascii="Verdana" w:eastAsia="Aptos" w:hAnsi="Verdana" w:cs="Arial"/>
              </w:rPr>
              <w:t xml:space="preserve">El </w:t>
            </w:r>
            <w:r w:rsidRPr="00214793">
              <w:rPr>
                <w:rFonts w:ascii="Verdana" w:hAnsi="Verdana" w:cs="Arial"/>
              </w:rPr>
              <w:t xml:space="preserve">literal c) numeral 4 del artículo 2 </w:t>
            </w:r>
            <w:r w:rsidRPr="00214793">
              <w:rPr>
                <w:rFonts w:ascii="Verdana" w:eastAsia="Aptos" w:hAnsi="Verdana" w:cs="Arial"/>
              </w:rPr>
              <w:t xml:space="preserve">de </w:t>
            </w:r>
            <w:r w:rsidRPr="00214793">
              <w:rPr>
                <w:rFonts w:ascii="Verdana" w:hAnsi="Verdana" w:cs="Arial"/>
              </w:rPr>
              <w:t>la Ley 1150 de 2007 –modificado por el artículo 92 de la Ley 1474 de 2011– establece que las Entidades Estatales pueden suscribirlos de manera directa, siempre que las obligaciones derivadas de los mismos tengan relación con el objeto de la entidad ejecutora. Sin embargo, esa misma Ley establece excepciones concretas a esta facultad. Según el inciso primero del literal trascrito, la suscripción de contratos interadministrativos de forma directa, conforme a dicha causal, está sujeta a que las obligaciones del negocio jurídico tengan relación directa con el objeto de la entidad ejecutora, establecido en la ley o en sus reglamentos. La condición impuesta por el legislador para la suscripción de estos contratos se establece a efectos de constatar que el ejecutante cuente con la capacidad jurídica para contraer las obligaciones establecidas en el contrato.</w:t>
            </w:r>
          </w:p>
          <w:p w14:paraId="2977339D" w14:textId="77777777" w:rsidR="00814F26" w:rsidRPr="00214793" w:rsidRDefault="00814F26" w:rsidP="00831131">
            <w:pPr>
              <w:spacing w:after="120" w:line="276" w:lineRule="auto"/>
              <w:ind w:firstLine="709"/>
              <w:jc w:val="both"/>
              <w:rPr>
                <w:rFonts w:ascii="Verdana" w:hAnsi="Verdana" w:cs="Arial"/>
              </w:rPr>
            </w:pPr>
            <w:r w:rsidRPr="00214793">
              <w:rPr>
                <w:rFonts w:ascii="Verdana" w:hAnsi="Verdana" w:cs="Arial"/>
              </w:rPr>
              <w:t>De otro lado, debe tenerse en cuenta que el inciso segundo establece una limitación a la contratación directa mediante la causal del literal c) –transcrito arriba– dirigido a los supuestos en que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De manera que cuando dichas entidades sean las ejecutoras, no se pueden celebrar contratos interadministrativos de manera directa, utilizando la causal del literal c), en tratándose de “contratos de obra, suministro, prestación de servicios de evaluación de conformidad respecto de las normas o reglamentos técnicos, encargos fiduciarios y fiducia pública”.</w:t>
            </w:r>
          </w:p>
          <w:bookmarkEnd w:id="5"/>
          <w:p w14:paraId="5D03DF68" w14:textId="77777777" w:rsidR="00814F26" w:rsidRPr="00214793" w:rsidRDefault="00814F26" w:rsidP="00831131">
            <w:pPr>
              <w:spacing w:after="120" w:line="276" w:lineRule="auto"/>
              <w:ind w:right="108" w:firstLine="709"/>
              <w:jc w:val="both"/>
              <w:rPr>
                <w:rFonts w:ascii="Verdana" w:eastAsia="Times New Roman" w:hAnsi="Verdana" w:cs="Arial"/>
                <w:iCs/>
                <w:lang w:eastAsia="es-ES_tradnl"/>
              </w:rPr>
            </w:pPr>
            <w:r w:rsidRPr="00214793">
              <w:rPr>
                <w:rFonts w:ascii="Verdana" w:eastAsia="Times New Roman" w:hAnsi="Verdana" w:cs="Arial"/>
                <w:lang w:val="es-ES" w:eastAsia="es-CO"/>
              </w:rPr>
              <w:t xml:space="preserve">Bajo este contexto, </w:t>
            </w:r>
            <w:r w:rsidRPr="00214793">
              <w:rPr>
                <w:rFonts w:ascii="Verdana" w:eastAsia="Times New Roman" w:hAnsi="Verdana" w:cs="Arial"/>
                <w:iCs/>
                <w:lang w:eastAsia="es-ES_tradnl"/>
              </w:rPr>
              <w:t>las entidades estatales pueden contratar bajo la figura de un contrato interadministrativo con una Sociedad de Economía Mixta siempre que las obligaciones derivadas del mismo tengan relación directa con el objeto de la entidad ejecutora señalado en la ley o en sus reglamentos y teniendo en cuenta las excepciones establecidas. Lo anterior, en razón a que estas hacen parte de la rama ejecutiva del poder público</w:t>
            </w:r>
            <w:r w:rsidRPr="00214793">
              <w:rPr>
                <w:rFonts w:ascii="Verdana" w:eastAsia="Times New Roman" w:hAnsi="Verdana" w:cs="Arial"/>
                <w:iCs/>
                <w:vertAlign w:val="superscript"/>
                <w:lang w:eastAsia="es-ES_tradnl"/>
              </w:rPr>
              <w:footnoteReference w:id="2"/>
            </w:r>
            <w:r w:rsidRPr="00214793">
              <w:rPr>
                <w:rFonts w:ascii="Verdana" w:eastAsia="Times New Roman" w:hAnsi="Verdana" w:cs="Arial"/>
                <w:iCs/>
                <w:lang w:eastAsia="es-ES_tradnl"/>
              </w:rPr>
              <w:t xml:space="preserve"> y, en consecuencia, </w:t>
            </w:r>
            <w:r w:rsidRPr="00214793">
              <w:rPr>
                <w:rFonts w:ascii="Verdana" w:eastAsia="Times New Roman" w:hAnsi="Verdana" w:cs="Arial"/>
                <w:iCs/>
                <w:lang w:eastAsia="es-ES_tradnl"/>
              </w:rPr>
              <w:lastRenderedPageBreak/>
              <w:t>atendiendo al criterio orgánico, el contrato celebrado entre estas y una entidad estatal sometida al Estatuto General de Contratación de la Administración Pública es interadministrativo. Así, de acuerdo con el</w:t>
            </w:r>
            <w:r w:rsidRPr="00214793">
              <w:rPr>
                <w:rFonts w:ascii="Verdana" w:hAnsi="Verdana" w:cs="Arial"/>
              </w:rPr>
              <w:t xml:space="preserve"> </w:t>
            </w:r>
            <w:r w:rsidRPr="00214793">
              <w:rPr>
                <w:rFonts w:ascii="Verdana" w:eastAsia="Times New Roman" w:hAnsi="Verdana" w:cs="Arial"/>
                <w:iCs/>
                <w:lang w:eastAsia="es-ES_tradnl"/>
              </w:rPr>
              <w:t xml:space="preserve">literal c) del numeral 4 del artículo 2 de la Ley 1150 de 2007, el objeto de la entidad ejecutora del contrato, señalado en la ley o en sus reglamentos, debe permitir cumplir las obligaciones y realizar las actividades que se derivan del acuerdo de voluntades. Por tanto, cuando las SEM actúen como ejecutoras, dicha capacidad deberá ser confirmada de acuerdo con lo establecido en la ley y su reglamento. </w:t>
            </w:r>
            <w:r w:rsidRPr="00214793">
              <w:rPr>
                <w:rFonts w:ascii="Verdana" w:eastAsia="Times New Roman" w:hAnsi="Verdana" w:cs="Arial"/>
                <w:b/>
                <w:bCs/>
                <w:iCs/>
                <w:lang w:eastAsia="es-ES_tradnl"/>
              </w:rPr>
              <w:t>(Interrogantes A y C)</w:t>
            </w:r>
          </w:p>
          <w:p w14:paraId="789E7CA8" w14:textId="77777777" w:rsidR="00814F26" w:rsidRPr="00214793" w:rsidRDefault="00814F26" w:rsidP="00831131">
            <w:pPr>
              <w:spacing w:after="120" w:line="276" w:lineRule="auto"/>
              <w:jc w:val="both"/>
              <w:rPr>
                <w:rFonts w:ascii="Verdana" w:eastAsia="Century Gothic" w:hAnsi="Verdana" w:cs="Century Gothic"/>
              </w:rPr>
            </w:pPr>
            <w:proofErr w:type="spellStart"/>
            <w:r w:rsidRPr="00214793">
              <w:rPr>
                <w:rFonts w:ascii="Verdana" w:hAnsi="Verdana" w:cs="Arial"/>
                <w:iCs/>
                <w:lang w:eastAsia="es-ES_tradnl"/>
              </w:rPr>
              <w:t>iii</w:t>
            </w:r>
            <w:proofErr w:type="spellEnd"/>
            <w:r w:rsidRPr="00214793">
              <w:rPr>
                <w:rFonts w:ascii="Verdana" w:hAnsi="Verdana" w:cs="Arial"/>
                <w:iCs/>
                <w:lang w:eastAsia="es-ES_tradnl"/>
              </w:rPr>
              <w:t>. E</w:t>
            </w:r>
            <w:r w:rsidRPr="00214793">
              <w:rPr>
                <w:rFonts w:ascii="Verdana" w:eastAsia="Century Gothic" w:hAnsi="Verdana" w:cs="Century Gothic"/>
              </w:rPr>
              <w:t xml:space="preserve">n atención al tercer problema jurídico planteado, y teniendo en cuenta que la consulta alude al contrato para administración de recursos, resulta pertinente hacer referencia a la figura del contrato de administración delegada, sin perjuicio del análisis de viabilidad de otras figuras jurídicas. </w:t>
            </w:r>
          </w:p>
          <w:p w14:paraId="73213E1A" w14:textId="77777777" w:rsidR="00814F26" w:rsidRPr="00214793" w:rsidRDefault="00814F26" w:rsidP="00831131">
            <w:pPr>
              <w:spacing w:after="120" w:line="276" w:lineRule="auto"/>
              <w:ind w:firstLine="743"/>
              <w:jc w:val="both"/>
              <w:rPr>
                <w:rFonts w:ascii="Verdana" w:hAnsi="Verdana" w:cs="Arial"/>
                <w:color w:val="000000" w:themeColor="text1"/>
                <w:lang w:val="es-ES"/>
              </w:rPr>
            </w:pPr>
            <w:r w:rsidRPr="00214793">
              <w:rPr>
                <w:rFonts w:ascii="Verdana" w:hAnsi="Verdana" w:cs="Arial"/>
                <w:color w:val="000000" w:themeColor="text1"/>
                <w:lang w:val="es-ES"/>
              </w:rPr>
              <w:t>Así, conforme al principio de autonomía de la voluntad del artículo 1602 del Código Civil, las entidades podrán incluir la administración delegada, bien como forma de mandato o como modalidad de administración de los recursos destinados a la obra. En efecto,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p>
          <w:p w14:paraId="5D585C10" w14:textId="77777777" w:rsidR="00814F26" w:rsidRPr="00214793" w:rsidRDefault="00814F26" w:rsidP="00831131">
            <w:pPr>
              <w:spacing w:after="120" w:line="276" w:lineRule="auto"/>
              <w:ind w:firstLine="743"/>
              <w:jc w:val="both"/>
              <w:rPr>
                <w:rFonts w:ascii="Verdana" w:eastAsia="Century Gothic" w:hAnsi="Verdana" w:cs="Century Gothic"/>
              </w:rPr>
            </w:pPr>
            <w:r w:rsidRPr="00214793">
              <w:rPr>
                <w:rFonts w:ascii="Verdana" w:eastAsia="Century Gothic" w:hAnsi="Verdana" w:cs="Century Gothic"/>
              </w:rPr>
              <w:t>La administración delegada asociada a un mandato implica que la entidad ejecutora realice todas las actividades necesarias para la ejecución del objeto convenido, por cuenta y riesgo del mandante. Se sigue entonces que la administración delegada puede requerir que el contratista adelante procesos de selección para subcontratar de actividades que sean necesarias para el cumplimiento del objeto del contrato.</w:t>
            </w:r>
          </w:p>
          <w:p w14:paraId="21D0ABF4" w14:textId="77777777" w:rsidR="00814F26" w:rsidRPr="00214793" w:rsidRDefault="00814F26" w:rsidP="00831131">
            <w:pPr>
              <w:tabs>
                <w:tab w:val="left" w:pos="0"/>
              </w:tabs>
              <w:spacing w:after="120" w:line="276" w:lineRule="auto"/>
              <w:ind w:firstLine="709"/>
              <w:jc w:val="both"/>
              <w:rPr>
                <w:rFonts w:ascii="Verdana" w:hAnsi="Verdana" w:cs="Arial"/>
                <w:color w:val="000000" w:themeColor="text1"/>
              </w:rPr>
            </w:pPr>
            <w:r w:rsidRPr="00214793">
              <w:rPr>
                <w:rFonts w:ascii="Verdana" w:hAnsi="Verdana" w:cs="Arial"/>
                <w:color w:val="000000" w:themeColor="text1"/>
                <w:lang w:val="es-ES"/>
              </w:rPr>
              <w:t xml:space="preserve">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 ya sea enmarcado en la </w:t>
            </w:r>
            <w:r w:rsidRPr="00214793">
              <w:rPr>
                <w:rFonts w:ascii="Verdana" w:hAnsi="Verdana" w:cs="Arial"/>
                <w:color w:val="000000" w:themeColor="text1"/>
                <w:lang w:val="es-ES"/>
              </w:rPr>
              <w:lastRenderedPageBreak/>
              <w:t xml:space="preserve">ejecución de proyecto u obra. En el marco de este contrato, con fundamento en la autonomía de la voluntad, </w:t>
            </w:r>
            <w:r w:rsidRPr="00214793">
              <w:rPr>
                <w:rFonts w:ascii="Verdana" w:hAnsi="Verdana" w:cs="Arial"/>
                <w:color w:val="000000" w:themeColor="text1"/>
              </w:rPr>
              <w:t xml:space="preserve">las partes pueden pactar todas las condiciones necesarias para la adecuada ejecución del proyecto, incluyendo cláusulas que regulen el pago a terceros. </w:t>
            </w:r>
            <w:r w:rsidRPr="00214793">
              <w:rPr>
                <w:rFonts w:ascii="Verdana" w:hAnsi="Verdana" w:cs="Arial"/>
                <w:b/>
                <w:bCs/>
                <w:color w:val="000000" w:themeColor="text1"/>
              </w:rPr>
              <w:t>(Interrogante B)</w:t>
            </w:r>
          </w:p>
          <w:p w14:paraId="5D6176D2" w14:textId="77777777" w:rsidR="00814F26" w:rsidRPr="00214793" w:rsidRDefault="00814F26" w:rsidP="00831131">
            <w:pPr>
              <w:widowControl w:val="0"/>
              <w:autoSpaceDE w:val="0"/>
              <w:autoSpaceDN w:val="0"/>
              <w:spacing w:after="120" w:line="276" w:lineRule="auto"/>
              <w:ind w:firstLine="708"/>
              <w:jc w:val="both"/>
              <w:rPr>
                <w:rFonts w:ascii="Verdana" w:eastAsia="Calibri" w:hAnsi="Verdana" w:cs="Arial"/>
              </w:rPr>
            </w:pPr>
            <w:r w:rsidRPr="00214793">
              <w:rPr>
                <w:rFonts w:ascii="Verdana" w:eastAsia="Calibri" w:hAnsi="Verdana" w:cs="Arial"/>
              </w:rPr>
              <w:t>Sin perjuicio de lo anterior,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F18458E" w14:textId="77777777" w:rsidR="00814F26" w:rsidRPr="00214793" w:rsidRDefault="00814F26" w:rsidP="00831131">
            <w:pPr>
              <w:spacing w:after="120" w:line="276" w:lineRule="auto"/>
              <w:ind w:right="108" w:firstLine="743"/>
              <w:jc w:val="both"/>
              <w:rPr>
                <w:rFonts w:ascii="Verdana" w:eastAsia="Times New Roman" w:hAnsi="Verdana" w:cs="Arial"/>
                <w:iCs/>
                <w:lang w:eastAsia="es-ES_tradnl"/>
              </w:rPr>
            </w:pPr>
            <w:r w:rsidRPr="00214793">
              <w:rPr>
                <w:rFonts w:ascii="Verdana" w:eastAsia="Calibri" w:hAnsi="Verdana" w:cs="Arial"/>
                <w:lang w:eastAsia="es-CO"/>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p>
        </w:tc>
      </w:tr>
    </w:tbl>
    <w:p w14:paraId="3BA40084" w14:textId="77777777" w:rsidR="00814F26" w:rsidRPr="00214793" w:rsidRDefault="00814F26" w:rsidP="00814F26">
      <w:pPr>
        <w:tabs>
          <w:tab w:val="left" w:pos="142"/>
          <w:tab w:val="left" w:pos="284"/>
        </w:tabs>
        <w:spacing w:after="0" w:line="276" w:lineRule="auto"/>
        <w:jc w:val="both"/>
        <w:rPr>
          <w:rFonts w:ascii="Verdana" w:eastAsia="Century Gothic" w:hAnsi="Verdana" w:cs="Century Gothic"/>
          <w:b/>
          <w:bCs/>
        </w:rPr>
      </w:pPr>
    </w:p>
    <w:bookmarkEnd w:id="4"/>
    <w:p w14:paraId="1DB48E3D" w14:textId="77777777" w:rsidR="00814F26" w:rsidRPr="00214793" w:rsidRDefault="00814F26" w:rsidP="00814F26">
      <w:pPr>
        <w:numPr>
          <w:ilvl w:val="0"/>
          <w:numId w:val="1"/>
        </w:numPr>
        <w:tabs>
          <w:tab w:val="left" w:pos="142"/>
          <w:tab w:val="left" w:pos="284"/>
        </w:tabs>
        <w:spacing w:after="0" w:line="276" w:lineRule="auto"/>
        <w:jc w:val="both"/>
        <w:rPr>
          <w:rFonts w:ascii="Verdana" w:eastAsia="Century Gothic" w:hAnsi="Verdana" w:cs="Century Gothic"/>
          <w:b/>
          <w:bCs/>
        </w:rPr>
      </w:pPr>
      <w:r w:rsidRPr="00214793">
        <w:rPr>
          <w:rFonts w:ascii="Verdana" w:eastAsia="Century Gothic" w:hAnsi="Verdana" w:cs="Century Gothic"/>
          <w:b/>
          <w:bCs/>
        </w:rPr>
        <w:t>Razones de las respuestas:</w:t>
      </w:r>
    </w:p>
    <w:p w14:paraId="32C17C2C" w14:textId="77777777" w:rsidR="00814F26" w:rsidRPr="00214793" w:rsidRDefault="00814F26" w:rsidP="00814F26">
      <w:pPr>
        <w:spacing w:after="0" w:line="276" w:lineRule="auto"/>
        <w:jc w:val="both"/>
        <w:rPr>
          <w:rFonts w:ascii="Verdana" w:eastAsia="Calibri" w:hAnsi="Verdana" w:cs="Arial"/>
          <w:color w:val="7030A0"/>
        </w:rPr>
      </w:pPr>
    </w:p>
    <w:p w14:paraId="43C57ECC" w14:textId="77777777" w:rsidR="00814F26" w:rsidRPr="00214793" w:rsidRDefault="00814F26" w:rsidP="00814F26">
      <w:pPr>
        <w:spacing w:after="0" w:line="276" w:lineRule="auto"/>
        <w:jc w:val="both"/>
        <w:rPr>
          <w:rFonts w:ascii="Verdana" w:eastAsia="Calibri" w:hAnsi="Verdana" w:cs="Arial"/>
        </w:rPr>
      </w:pPr>
      <w:r w:rsidRPr="00214793">
        <w:rPr>
          <w:rFonts w:ascii="Verdana" w:eastAsia="Calibri" w:hAnsi="Verdana" w:cs="Arial"/>
        </w:rPr>
        <w:t>Lo anterior se sustenta en las siguientes consideraciones:</w:t>
      </w:r>
    </w:p>
    <w:p w14:paraId="0A9E37A6" w14:textId="77777777" w:rsidR="00814F26" w:rsidRPr="00214793" w:rsidRDefault="00814F26" w:rsidP="00814F26">
      <w:pPr>
        <w:spacing w:after="120" w:line="276" w:lineRule="auto"/>
        <w:jc w:val="both"/>
        <w:rPr>
          <w:rFonts w:ascii="Verdana" w:eastAsia="Calibri" w:hAnsi="Verdana" w:cs="Arial"/>
          <w:b/>
          <w:lang w:val="es-ES_tradnl" w:eastAsia="es-CO"/>
        </w:rPr>
      </w:pPr>
      <w:bookmarkStart w:id="6" w:name="_Hlk136184980"/>
    </w:p>
    <w:p w14:paraId="72C97F1E" w14:textId="77777777" w:rsidR="00814F26" w:rsidRPr="00214793" w:rsidRDefault="00814F26" w:rsidP="00814F26">
      <w:pPr>
        <w:spacing w:after="120" w:line="276" w:lineRule="auto"/>
        <w:jc w:val="both"/>
        <w:rPr>
          <w:rFonts w:ascii="Verdana" w:eastAsia="Times New Roman" w:hAnsi="Verdana" w:cs="Arial"/>
          <w:lang w:val="es-ES" w:eastAsia="es-ES_tradnl"/>
        </w:rPr>
      </w:pPr>
      <w:r w:rsidRPr="00214793">
        <w:rPr>
          <w:rFonts w:ascii="Verdana" w:eastAsia="Times New Roman" w:hAnsi="Verdana" w:cs="Arial"/>
          <w:lang w:eastAsia="es-ES_tradnl"/>
        </w:rPr>
        <w:t xml:space="preserve">i. </w:t>
      </w:r>
      <w:bookmarkEnd w:id="6"/>
      <w:r w:rsidRPr="00214793">
        <w:rPr>
          <w:rFonts w:ascii="Verdana" w:eastAsia="Times New Roman" w:hAnsi="Verdana" w:cs="Arial"/>
          <w:lang w:val="es-ES" w:eastAsia="es-ES_tradnl"/>
        </w:rPr>
        <w:t>La tipología contractual referente al contrato interadministrativo fue creada en la Ley 80 de 1993 y, aunque en esta preceptiva no la definió ni desarrolló, el Decreto 1082 de 2015</w:t>
      </w:r>
      <w:r w:rsidRPr="00214793">
        <w:rPr>
          <w:rFonts w:ascii="Verdana" w:eastAsia="Times New Roman" w:hAnsi="Verdana" w:cs="Arial"/>
          <w:i/>
          <w:iCs/>
          <w:lang w:val="es-ES" w:eastAsia="es-ES_tradnl"/>
        </w:rPr>
        <w:t>”,</w:t>
      </w:r>
      <w:r w:rsidRPr="00214793">
        <w:rPr>
          <w:rFonts w:ascii="Verdana" w:eastAsia="Times New Roman" w:hAnsi="Verdana" w:cs="Arial"/>
          <w:lang w:val="es-ES" w:eastAsia="es-ES_tradnl"/>
        </w:rPr>
        <w:t xml:space="preserve"> establece que los contratos o convenios interadministrativos hacen parte de la contratación entre entidades estatales</w:t>
      </w:r>
      <w:r w:rsidRPr="00214793">
        <w:rPr>
          <w:rFonts w:ascii="Verdana" w:eastAsia="Times New Roman" w:hAnsi="Verdana" w:cs="Arial"/>
          <w:vertAlign w:val="superscript"/>
          <w:lang w:val="es-ES" w:eastAsia="es-ES_tradnl"/>
        </w:rPr>
        <w:footnoteReference w:id="3"/>
      </w:r>
      <w:r w:rsidRPr="00214793">
        <w:rPr>
          <w:rFonts w:ascii="Verdana" w:eastAsia="Times New Roman" w:hAnsi="Verdana" w:cs="Arial"/>
          <w:lang w:val="es-ES" w:eastAsia="es-ES_tradnl"/>
        </w:rPr>
        <w:t>.</w:t>
      </w:r>
      <w:bookmarkStart w:id="7" w:name="_Hlk136168432"/>
      <w:r w:rsidRPr="00214793">
        <w:rPr>
          <w:rFonts w:ascii="Verdana" w:eastAsia="Times New Roman" w:hAnsi="Verdana" w:cs="Arial"/>
          <w:lang w:val="es-ES" w:eastAsia="es-ES_tradnl"/>
        </w:rPr>
        <w:t xml:space="preserve"> Como se puede apreciar, la disposición reglamentaria parece equiparar las nociones de contrato y convenio interadministrativo, bajo el concepto general de acuerdo en el que concurre la voluntad de dos o más personas jurídicas de derecho público a fin de cumplir, en el marco de sus objetivos misionales y sus competencias, con los fines y cometidos del Estado.</w:t>
      </w:r>
    </w:p>
    <w:p w14:paraId="371E9B5C" w14:textId="77777777" w:rsidR="00814F26" w:rsidRPr="00214793" w:rsidRDefault="00814F26" w:rsidP="00814F26">
      <w:pPr>
        <w:spacing w:after="120" w:line="276" w:lineRule="auto"/>
        <w:ind w:firstLine="708"/>
        <w:jc w:val="both"/>
        <w:rPr>
          <w:rFonts w:ascii="Verdana" w:eastAsia="Times New Roman" w:hAnsi="Verdana" w:cs="Arial"/>
          <w:lang w:val="es-ES_tradnl" w:eastAsia="es-ES_tradnl"/>
        </w:rPr>
      </w:pPr>
      <w:r w:rsidRPr="00214793">
        <w:rPr>
          <w:rFonts w:ascii="Verdana" w:eastAsia="Times New Roman" w:hAnsi="Verdana" w:cs="Arial"/>
          <w:bCs/>
          <w:lang w:eastAsia="es-ES_tradnl"/>
        </w:rPr>
        <w:t xml:space="preserve">Por este motivo, puede entenderse que cuando la Ley 80 de 1993 se refiere a contratos interadministrativos de la misma forma lo hace frente a los </w:t>
      </w:r>
      <w:r w:rsidRPr="00214793">
        <w:rPr>
          <w:rFonts w:ascii="Verdana" w:eastAsia="Times New Roman" w:hAnsi="Verdana" w:cs="Arial"/>
          <w:bCs/>
          <w:lang w:eastAsia="es-ES_tradnl"/>
        </w:rPr>
        <w:lastRenderedPageBreak/>
        <w:t>convenios, entre otras razones, porque este cuerpo normativo faculta a las entidades públicas a celebrar los demás acuerdos que permitan la autonomía de la voluntad y requieran el cumplimiento de los fines estatales.</w:t>
      </w:r>
      <w:r w:rsidRPr="00214793">
        <w:rPr>
          <w:rFonts w:ascii="Verdana" w:eastAsia="Times New Roman" w:hAnsi="Verdana" w:cs="Arial"/>
          <w:lang w:val="es-ES_tradnl" w:eastAsia="es-ES_tradnl"/>
        </w:rPr>
        <w:t xml:space="preserve"> </w:t>
      </w:r>
    </w:p>
    <w:p w14:paraId="2C3ADCD5" w14:textId="77777777" w:rsidR="00814F26" w:rsidRPr="00214793" w:rsidRDefault="00814F26" w:rsidP="00814F26">
      <w:pPr>
        <w:spacing w:after="120" w:line="276" w:lineRule="auto"/>
        <w:ind w:firstLine="709"/>
        <w:jc w:val="both"/>
        <w:rPr>
          <w:rFonts w:ascii="Verdana" w:eastAsia="Calibri" w:hAnsi="Verdana" w:cs="Arial"/>
          <w:color w:val="000000" w:themeColor="text1"/>
          <w:lang w:val="es-ES"/>
        </w:rPr>
      </w:pPr>
      <w:r w:rsidRPr="00214793">
        <w:rPr>
          <w:rFonts w:ascii="Verdana" w:eastAsia="Calibri" w:hAnsi="Verdana" w:cs="Arial"/>
          <w:color w:val="000000" w:themeColor="text1"/>
          <w:lang w:val="es-ES"/>
        </w:rPr>
        <w:t xml:space="preserve">Sin embargo, tanto jurisprudencial como doctrinariamente, se han hecho diferenciaciones conceptuales entre las dos figuras comentadas. Así, para efectos de dar respuesta a las consultas plantadas, es necesario dejar claro que existen algunos supuestos bajo las cuales las diferencias entre las características propias de los contratos y convenios interadministrativos resultan definitorias de la aplicación o inaplicación de ciertas normas, ante lo cual, entonces, no podrán ser </w:t>
      </w:r>
      <w:proofErr w:type="gramStart"/>
      <w:r w:rsidRPr="00214793">
        <w:rPr>
          <w:rFonts w:ascii="Verdana" w:eastAsia="Calibri" w:hAnsi="Verdana" w:cs="Arial"/>
          <w:color w:val="000000" w:themeColor="text1"/>
          <w:lang w:val="es-ES"/>
        </w:rPr>
        <w:t>equiparables</w:t>
      </w:r>
      <w:proofErr w:type="gramEnd"/>
      <w:r w:rsidRPr="00214793">
        <w:rPr>
          <w:rFonts w:ascii="Verdana" w:eastAsia="Calibri" w:hAnsi="Verdana" w:cs="Arial"/>
          <w:color w:val="000000" w:themeColor="text1"/>
          <w:lang w:val="es-ES"/>
        </w:rPr>
        <w:t xml:space="preserve"> sino que deben ser vistos como instituciones negociales </w:t>
      </w:r>
      <w:proofErr w:type="gramStart"/>
      <w:r w:rsidRPr="00214793">
        <w:rPr>
          <w:rFonts w:ascii="Verdana" w:eastAsia="Calibri" w:hAnsi="Verdana" w:cs="Arial"/>
          <w:color w:val="000000" w:themeColor="text1"/>
          <w:lang w:val="es-ES"/>
        </w:rPr>
        <w:t>disímiles</w:t>
      </w:r>
      <w:proofErr w:type="gramEnd"/>
      <w:r w:rsidRPr="00214793">
        <w:rPr>
          <w:rFonts w:ascii="Verdana" w:eastAsia="Calibri" w:hAnsi="Verdana" w:cs="Arial"/>
          <w:color w:val="000000" w:themeColor="text1"/>
          <w:lang w:val="es-ES"/>
        </w:rPr>
        <w:t xml:space="preserve"> aunque, indudablemente, con algunos atributos comunes. En otras palabras, diferenciar entre los conceptos de convenio y contrato interadministrativos, así como establecer con precisión las características y elementos esenciales de cada uno, resulta necesario de cara a definir la aplicación de ciertas figuras contractuales y normativas a cada uno de ellos, como las que se plantean en esta consulta. </w:t>
      </w:r>
    </w:p>
    <w:p w14:paraId="6936AAFF" w14:textId="77777777" w:rsidR="00814F26" w:rsidRPr="00214793" w:rsidRDefault="00814F26" w:rsidP="00814F26">
      <w:pPr>
        <w:spacing w:after="120" w:line="276" w:lineRule="auto"/>
        <w:ind w:firstLine="708"/>
        <w:jc w:val="both"/>
        <w:rPr>
          <w:rFonts w:ascii="Verdana" w:eastAsia="Calibri" w:hAnsi="Verdana" w:cs="Arial"/>
        </w:rPr>
      </w:pPr>
      <w:r w:rsidRPr="00214793">
        <w:rPr>
          <w:rFonts w:ascii="Verdana" w:eastAsia="Times New Roman" w:hAnsi="Verdana" w:cs="Arial"/>
          <w:lang w:val="es-ES" w:eastAsia="es-ES_tradnl"/>
        </w:rPr>
        <w:t>P</w:t>
      </w:r>
      <w:r w:rsidRPr="00214793">
        <w:rPr>
          <w:rFonts w:ascii="Verdana" w:eastAsia="Times New Roman" w:hAnsi="Verdana" w:cs="Arial"/>
          <w:lang w:val="es-ES_tradnl" w:eastAsia="es-ES_tradnl"/>
        </w:rPr>
        <w:t xml:space="preserve">ara precisar </w:t>
      </w:r>
      <w:r w:rsidRPr="00214793">
        <w:rPr>
          <w:rFonts w:ascii="Verdana" w:eastAsia="Times New Roman" w:hAnsi="Verdana" w:cs="Arial"/>
          <w:lang w:val="es-ES" w:eastAsia="es-ES_tradnl"/>
        </w:rPr>
        <w:t>el alcance que tiene cada una de estas figuras, resulta pertinente resaltar que, en consonancia con el artículo 209 de la Constitución Política</w:t>
      </w:r>
      <w:r w:rsidRPr="00214793">
        <w:rPr>
          <w:rFonts w:ascii="Verdana" w:eastAsia="Times New Roman" w:hAnsi="Verdana" w:cs="Arial"/>
          <w:vertAlign w:val="superscript"/>
          <w:lang w:val="es-ES" w:eastAsia="es-ES_tradnl"/>
        </w:rPr>
        <w:footnoteReference w:id="4"/>
      </w:r>
      <w:r w:rsidRPr="00214793">
        <w:rPr>
          <w:rFonts w:ascii="Verdana" w:eastAsia="Times New Roman" w:hAnsi="Verdana" w:cs="Arial"/>
          <w:lang w:val="es-ES" w:eastAsia="es-ES_tradnl"/>
        </w:rPr>
        <w:t>, del que se desprenden los deberes de coordinación y colaboración a cargo de todas las autoridades administrativas,</w:t>
      </w:r>
      <w:r w:rsidRPr="00214793">
        <w:rPr>
          <w:rFonts w:ascii="Verdana" w:eastAsia="Calibri" w:hAnsi="Verdana" w:cs="Arial"/>
        </w:rPr>
        <w:t xml:space="preserve"> el artículo 95 de la Ley 489 de 1998</w:t>
      </w:r>
      <w:r w:rsidRPr="00214793">
        <w:rPr>
          <w:rFonts w:ascii="Verdana" w:eastAsia="Calibri" w:hAnsi="Verdana" w:cs="Arial"/>
          <w:vertAlign w:val="superscript"/>
        </w:rPr>
        <w:footnoteReference w:id="5"/>
      </w:r>
      <w:r w:rsidRPr="00214793">
        <w:rPr>
          <w:rFonts w:ascii="Verdana" w:eastAsia="Calibri" w:hAnsi="Verdana" w:cs="Arial"/>
        </w:rPr>
        <w:t xml:space="preserve"> dispone que “las entidades públicas podrán asociarse con el fin de cooperar en el cumplimiento de funciones administrativas o de prestar conjuntamente servicios que se hallen a su cargo mediante la celebración de convenios interadministrativos (…)”</w:t>
      </w:r>
      <w:r w:rsidRPr="00214793">
        <w:rPr>
          <w:rFonts w:ascii="Verdana" w:eastAsia="Calibri" w:hAnsi="Verdana" w:cs="Arial"/>
          <w:vertAlign w:val="superscript"/>
        </w:rPr>
        <w:footnoteReference w:id="6"/>
      </w:r>
      <w:r w:rsidRPr="00214793">
        <w:rPr>
          <w:rFonts w:ascii="Verdana" w:eastAsia="Calibri" w:hAnsi="Verdana" w:cs="Arial"/>
        </w:rPr>
        <w:t>.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714AEDBF" w14:textId="77777777" w:rsidR="00814F26" w:rsidRPr="00214793" w:rsidRDefault="00814F26" w:rsidP="00814F26">
      <w:pPr>
        <w:spacing w:after="120" w:line="276" w:lineRule="auto"/>
        <w:ind w:firstLine="708"/>
        <w:jc w:val="both"/>
        <w:rPr>
          <w:rFonts w:ascii="Verdana" w:eastAsia="Calibri" w:hAnsi="Verdana" w:cs="Arial"/>
        </w:rPr>
      </w:pPr>
      <w:r w:rsidRPr="00214793">
        <w:rPr>
          <w:rFonts w:ascii="Verdana" w:eastAsia="Calibri" w:hAnsi="Verdana" w:cs="Arial"/>
        </w:rPr>
        <w:lastRenderedPageBreak/>
        <w:t>Sobre el alcance de los convenios interadministrativos, el Consejo de Estado ha dejado en claro lo siguiente:</w:t>
      </w:r>
    </w:p>
    <w:p w14:paraId="628FB4EA" w14:textId="77777777" w:rsidR="00814F26" w:rsidRPr="00214793" w:rsidRDefault="00814F26" w:rsidP="00814F26">
      <w:pPr>
        <w:spacing w:after="0" w:line="240" w:lineRule="auto"/>
        <w:ind w:left="709" w:right="714"/>
        <w:jc w:val="both"/>
        <w:rPr>
          <w:rFonts w:ascii="Verdana" w:eastAsia="Calibri" w:hAnsi="Verdana" w:cs="Arial"/>
          <w:bCs/>
          <w:sz w:val="20"/>
          <w:szCs w:val="20"/>
          <w:lang w:val="es-ES_tradnl"/>
        </w:rPr>
      </w:pPr>
      <w:r w:rsidRPr="00214793">
        <w:rPr>
          <w:rFonts w:ascii="Verdana" w:eastAsia="Calibri" w:hAnsi="Verdana" w:cs="Arial"/>
          <w:bCs/>
          <w:sz w:val="20"/>
          <w:szCs w:val="20"/>
          <w:lang w:eastAsia="es-ES_tradnl"/>
        </w:rPr>
        <w:t xml:space="preserve">“(…) </w:t>
      </w:r>
      <w:r w:rsidRPr="00214793">
        <w:rPr>
          <w:rFonts w:ascii="Verdana" w:eastAsia="Calibri" w:hAnsi="Verdana" w:cs="Arial"/>
          <w:bCs/>
          <w:sz w:val="20"/>
          <w:szCs w:val="20"/>
          <w:lang w:val="es-ES_tradnl"/>
        </w:rPr>
        <w:t xml:space="preserve">i) Constituyen verdaderos contratos en los términos del Código de Comercio cuando su objeto lo constituyen obligaciones patrimoniales. </w:t>
      </w:r>
      <w:proofErr w:type="spellStart"/>
      <w:r w:rsidRPr="00214793">
        <w:rPr>
          <w:rFonts w:ascii="Verdana" w:eastAsia="Calibri" w:hAnsi="Verdana" w:cs="Arial"/>
          <w:bCs/>
          <w:sz w:val="20"/>
          <w:szCs w:val="20"/>
          <w:lang w:val="es-ES_tradnl"/>
        </w:rPr>
        <w:t>ii</w:t>
      </w:r>
      <w:proofErr w:type="spellEnd"/>
      <w:r w:rsidRPr="00214793">
        <w:rPr>
          <w:rFonts w:ascii="Verdana" w:eastAsia="Calibri" w:hAnsi="Verdana" w:cs="Arial"/>
          <w:bCs/>
          <w:sz w:val="20"/>
          <w:szCs w:val="20"/>
          <w:lang w:val="es-ES_tradnl"/>
        </w:rPr>
        <w:t xml:space="preserve">) Tienen como fuente la autonomía contractual. </w:t>
      </w:r>
      <w:proofErr w:type="spellStart"/>
      <w:r w:rsidRPr="00214793">
        <w:rPr>
          <w:rFonts w:ascii="Verdana" w:eastAsia="Calibri" w:hAnsi="Verdana" w:cs="Arial"/>
          <w:bCs/>
          <w:sz w:val="20"/>
          <w:szCs w:val="20"/>
          <w:lang w:val="es-ES_tradnl"/>
        </w:rPr>
        <w:t>iii</w:t>
      </w:r>
      <w:proofErr w:type="spellEnd"/>
      <w:r w:rsidRPr="00214793">
        <w:rPr>
          <w:rFonts w:ascii="Verdana" w:eastAsia="Calibri" w:hAnsi="Verdana" w:cs="Arial"/>
          <w:bCs/>
          <w:sz w:val="20"/>
          <w:szCs w:val="20"/>
          <w:lang w:val="es-ES_tradnl"/>
        </w:rPr>
        <w:t xml:space="preserve">) Son contratos nominados, puesto que están mencionados por la ley. </w:t>
      </w:r>
      <w:proofErr w:type="spellStart"/>
      <w:r w:rsidRPr="00214793">
        <w:rPr>
          <w:rFonts w:ascii="Verdana" w:eastAsia="Calibri" w:hAnsi="Verdana" w:cs="Arial"/>
          <w:bCs/>
          <w:sz w:val="20"/>
          <w:szCs w:val="20"/>
          <w:lang w:val="es-ES_tradnl"/>
        </w:rPr>
        <w:t>iv</w:t>
      </w:r>
      <w:proofErr w:type="spellEnd"/>
      <w:r w:rsidRPr="00214793">
        <w:rPr>
          <w:rFonts w:ascii="Verdana" w:eastAsia="Calibri" w:hAnsi="Verdana" w:cs="Arial"/>
          <w:bCs/>
          <w:sz w:val="20"/>
          <w:szCs w:val="20"/>
          <w:lang w:val="es-ES_tradnl"/>
        </w:rPr>
        <w:t xml:space="preserve">)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w:t>
      </w:r>
      <w:proofErr w:type="spellStart"/>
      <w:r w:rsidRPr="00214793">
        <w:rPr>
          <w:rFonts w:ascii="Verdana" w:eastAsia="Calibri" w:hAnsi="Verdana" w:cs="Arial"/>
          <w:bCs/>
          <w:sz w:val="20"/>
          <w:szCs w:val="20"/>
          <w:lang w:val="es-ES_tradnl"/>
        </w:rPr>
        <w:t>vii</w:t>
      </w:r>
      <w:proofErr w:type="spellEnd"/>
      <w:r w:rsidRPr="00214793">
        <w:rPr>
          <w:rFonts w:ascii="Verdana" w:eastAsia="Calibri" w:hAnsi="Verdana" w:cs="Arial"/>
          <w:bCs/>
          <w:sz w:val="20"/>
          <w:szCs w:val="20"/>
          <w:lang w:val="es-ES_tradnl"/>
        </w:rPr>
        <w:t xml:space="preserve">) Persiguen una finalidad común a través de la realización de intereses compartidos entre las entidades vinculadas. </w:t>
      </w:r>
      <w:proofErr w:type="spellStart"/>
      <w:r w:rsidRPr="00214793">
        <w:rPr>
          <w:rFonts w:ascii="Verdana" w:eastAsia="Calibri" w:hAnsi="Verdana" w:cs="Arial"/>
          <w:bCs/>
          <w:sz w:val="20"/>
          <w:szCs w:val="20"/>
          <w:lang w:val="es-ES_tradnl"/>
        </w:rPr>
        <w:t>viii</w:t>
      </w:r>
      <w:proofErr w:type="spellEnd"/>
      <w:r w:rsidRPr="00214793">
        <w:rPr>
          <w:rFonts w:ascii="Verdana" w:eastAsia="Calibri" w:hAnsi="Verdana" w:cs="Arial"/>
          <w:bCs/>
          <w:sz w:val="20"/>
          <w:szCs w:val="20"/>
          <w:lang w:val="es-ES_tradnl"/>
        </w:rPr>
        <w:t>) La acción mediante la cual se deben ventilar las diferencias que sobre el particular surjan es la de controversias contractuales”</w:t>
      </w:r>
      <w:r w:rsidRPr="00214793">
        <w:rPr>
          <w:rFonts w:ascii="Verdana" w:eastAsia="Times New Roman" w:hAnsi="Verdana" w:cs="Arial"/>
          <w:sz w:val="20"/>
          <w:szCs w:val="20"/>
          <w:vertAlign w:val="superscript"/>
          <w:lang w:val="es-ES" w:eastAsia="es-ES_tradnl"/>
        </w:rPr>
        <w:footnoteReference w:id="7"/>
      </w:r>
      <w:r w:rsidRPr="00214793">
        <w:rPr>
          <w:rFonts w:ascii="Verdana" w:eastAsia="Calibri" w:hAnsi="Verdana" w:cs="Arial"/>
          <w:bCs/>
          <w:sz w:val="20"/>
          <w:szCs w:val="20"/>
          <w:lang w:val="es-ES_tradnl"/>
        </w:rPr>
        <w:t>.</w:t>
      </w:r>
    </w:p>
    <w:p w14:paraId="3E1C7104" w14:textId="77777777" w:rsidR="00814F26" w:rsidRPr="00214793" w:rsidRDefault="00814F26" w:rsidP="00814F26">
      <w:pPr>
        <w:spacing w:after="0" w:line="276" w:lineRule="auto"/>
        <w:ind w:right="713"/>
        <w:jc w:val="both"/>
        <w:rPr>
          <w:rFonts w:ascii="Verdana" w:eastAsia="Times New Roman" w:hAnsi="Verdana" w:cs="Arial"/>
          <w:lang w:val="es-ES" w:eastAsia="es-ES_tradnl"/>
        </w:rPr>
      </w:pPr>
    </w:p>
    <w:p w14:paraId="64287188" w14:textId="77777777" w:rsidR="00814F26" w:rsidRPr="00214793" w:rsidRDefault="00814F26" w:rsidP="00814F26">
      <w:pPr>
        <w:spacing w:after="120" w:line="276" w:lineRule="auto"/>
        <w:ind w:firstLine="708"/>
        <w:jc w:val="both"/>
        <w:rPr>
          <w:rFonts w:ascii="Verdana" w:eastAsia="Times New Roman" w:hAnsi="Verdana" w:cs="Arial"/>
          <w:lang w:val="es-ES" w:eastAsia="es-ES_tradnl"/>
        </w:rPr>
      </w:pPr>
      <w:r w:rsidRPr="00214793">
        <w:rPr>
          <w:rFonts w:ascii="Verdana" w:eastAsia="Times New Roman"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214793">
        <w:rPr>
          <w:rFonts w:ascii="Verdana" w:eastAsia="Times New Roman" w:hAnsi="Verdana" w:cs="Arial"/>
          <w:vertAlign w:val="superscript"/>
          <w:lang w:val="es-ES" w:eastAsia="es-ES_tradnl"/>
        </w:rPr>
        <w:footnoteReference w:id="8"/>
      </w:r>
      <w:r w:rsidRPr="00214793">
        <w:rPr>
          <w:rFonts w:ascii="Verdana" w:eastAsia="Times New Roman"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214793">
        <w:rPr>
          <w:rFonts w:ascii="Verdana" w:eastAsia="Times New Roman" w:hAnsi="Verdana" w:cs="Arial"/>
          <w:vertAlign w:val="superscript"/>
          <w:lang w:val="es-ES" w:eastAsia="es-ES_tradnl"/>
        </w:rPr>
        <w:footnoteReference w:id="9"/>
      </w:r>
      <w:r w:rsidRPr="00214793">
        <w:rPr>
          <w:rFonts w:ascii="Verdana" w:eastAsia="Times New Roman" w:hAnsi="Verdana" w:cs="Arial"/>
          <w:lang w:val="es-ES" w:eastAsia="es-ES_tradnl"/>
        </w:rPr>
        <w:t xml:space="preserve">. Con todo, según se advierte, “(…) basta agregar un ingrediente subjetivo para poder deducir la existencia del contrato de la administración, cual es la necesaria e imprescindible presencia de un sujeto especial de derecho </w:t>
      </w:r>
      <w:r w:rsidRPr="00214793">
        <w:rPr>
          <w:rFonts w:ascii="Verdana" w:eastAsia="Times New Roman" w:hAnsi="Verdana" w:cs="Arial"/>
          <w:lang w:val="es-ES" w:eastAsia="es-ES_tradnl"/>
        </w:rPr>
        <w:lastRenderedPageBreak/>
        <w:t>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214793">
        <w:rPr>
          <w:rFonts w:ascii="Verdana" w:eastAsia="Times New Roman" w:hAnsi="Verdana" w:cs="Arial"/>
          <w:vertAlign w:val="superscript"/>
          <w:lang w:val="es-ES" w:eastAsia="es-ES_tradnl"/>
        </w:rPr>
        <w:footnoteReference w:id="10"/>
      </w:r>
      <w:r w:rsidRPr="00214793">
        <w:rPr>
          <w:rFonts w:ascii="Verdana" w:eastAsia="Times New Roman" w:hAnsi="Verdana" w:cs="Arial"/>
          <w:lang w:val="es-ES" w:eastAsia="es-ES_tradnl"/>
        </w:rPr>
        <w:t>.</w:t>
      </w:r>
    </w:p>
    <w:p w14:paraId="7E984864" w14:textId="77777777" w:rsidR="00814F26" w:rsidRPr="00214793" w:rsidRDefault="00814F26" w:rsidP="00814F26">
      <w:pPr>
        <w:spacing w:before="120" w:after="0" w:line="276" w:lineRule="auto"/>
        <w:ind w:firstLine="709"/>
        <w:jc w:val="both"/>
        <w:rPr>
          <w:rFonts w:ascii="Verdana" w:eastAsia="Calibri" w:hAnsi="Verdana" w:cs="Arial"/>
          <w:color w:val="000000" w:themeColor="text1"/>
          <w:lang w:val="es-ES_tradnl"/>
        </w:rPr>
      </w:pPr>
      <w:r w:rsidRPr="00214793">
        <w:rPr>
          <w:rFonts w:ascii="Verdana" w:eastAsia="Calibri" w:hAnsi="Verdana" w:cs="Arial"/>
          <w:bCs/>
          <w:color w:val="000000" w:themeColor="text1"/>
          <w:lang w:eastAsia="es-ES_tradnl" w:bidi="es-ES"/>
        </w:rPr>
        <w:t xml:space="preserve">En relación con las diferencias entre los </w:t>
      </w:r>
      <w:proofErr w:type="gramStart"/>
      <w:r w:rsidRPr="00214793">
        <w:rPr>
          <w:rFonts w:ascii="Verdana" w:eastAsia="Calibri" w:hAnsi="Verdana" w:cs="Arial"/>
          <w:bCs/>
          <w:color w:val="000000" w:themeColor="text1"/>
          <w:lang w:eastAsia="es-ES_tradnl" w:bidi="es-ES"/>
        </w:rPr>
        <w:t>contratos interadministrativos y los convenios interadministrativos</w:t>
      </w:r>
      <w:proofErr w:type="gramEnd"/>
      <w:r w:rsidRPr="00214793">
        <w:rPr>
          <w:rFonts w:ascii="Verdana" w:eastAsia="Calibri" w:hAnsi="Verdana" w:cs="Arial"/>
          <w:bCs/>
          <w:color w:val="000000" w:themeColor="text1"/>
          <w:lang w:eastAsia="es-ES_tradnl" w:bidi="es-ES"/>
        </w:rPr>
        <w:t xml:space="preserve"> de que trata el artículo 95 de la Ley 489 de 1998, la Sala de Consulta y Servicio Civil del Consejo de Estado expresó lo siguiente: </w:t>
      </w:r>
    </w:p>
    <w:p w14:paraId="331E2A4D" w14:textId="77777777" w:rsidR="00814F26" w:rsidRPr="00214793" w:rsidRDefault="00814F26" w:rsidP="00814F26">
      <w:pPr>
        <w:spacing w:beforeLines="120" w:before="288" w:afterLines="120" w:after="288" w:line="276" w:lineRule="auto"/>
        <w:ind w:firstLine="709"/>
        <w:contextualSpacing/>
        <w:jc w:val="both"/>
        <w:rPr>
          <w:rFonts w:ascii="Verdana" w:eastAsia="Calibri" w:hAnsi="Verdana" w:cs="Arial"/>
          <w:bCs/>
          <w:color w:val="000000" w:themeColor="text1"/>
          <w:sz w:val="20"/>
          <w:szCs w:val="20"/>
          <w:lang w:eastAsia="es-ES_tradnl" w:bidi="es-ES"/>
        </w:rPr>
      </w:pPr>
    </w:p>
    <w:p w14:paraId="27499D1F" w14:textId="77777777" w:rsidR="00814F26" w:rsidRPr="00214793" w:rsidRDefault="00814F26" w:rsidP="00814F26">
      <w:pPr>
        <w:spacing w:after="0" w:line="240" w:lineRule="auto"/>
        <w:ind w:left="709"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214793">
        <w:rPr>
          <w:rFonts w:ascii="Verdana" w:eastAsia="Calibri" w:hAnsi="Verdana" w:cs="Arial"/>
          <w:bCs/>
          <w:color w:val="000000" w:themeColor="text1"/>
          <w:sz w:val="20"/>
          <w:szCs w:val="20"/>
          <w:vertAlign w:val="superscript"/>
          <w:lang w:val="es-ES_tradnl" w:eastAsia="es-ES_tradnl" w:bidi="es-ES"/>
        </w:rPr>
        <w:t xml:space="preserve"> </w:t>
      </w:r>
      <w:r w:rsidRPr="00214793">
        <w:rPr>
          <w:rFonts w:ascii="Verdana" w:eastAsia="Calibri" w:hAnsi="Verdana" w:cs="Arial"/>
          <w:bCs/>
          <w:color w:val="000000" w:themeColor="text1"/>
          <w:sz w:val="20"/>
          <w:szCs w:val="20"/>
          <w:vertAlign w:val="superscript"/>
          <w:lang w:val="es-ES_tradnl" w:eastAsia="es-ES_tradnl" w:bidi="es-ES"/>
        </w:rPr>
        <w:footnoteReference w:id="11"/>
      </w:r>
    </w:p>
    <w:p w14:paraId="4E1D7D3C" w14:textId="77777777" w:rsidR="00814F26" w:rsidRPr="00214793" w:rsidRDefault="00814F26" w:rsidP="00814F26">
      <w:pPr>
        <w:spacing w:beforeLines="120" w:before="288" w:afterLines="120" w:after="288" w:line="276" w:lineRule="auto"/>
        <w:ind w:firstLine="708"/>
        <w:contextualSpacing/>
        <w:jc w:val="both"/>
        <w:rPr>
          <w:rFonts w:ascii="Verdana" w:eastAsia="Calibri" w:hAnsi="Verdana" w:cs="Arial"/>
          <w:bCs/>
          <w:color w:val="000000" w:themeColor="text1"/>
          <w:sz w:val="20"/>
          <w:szCs w:val="20"/>
          <w:lang w:eastAsia="es-ES_tradnl" w:bidi="es-ES"/>
        </w:rPr>
      </w:pPr>
    </w:p>
    <w:p w14:paraId="5C5A51DE" w14:textId="77777777" w:rsidR="00814F26" w:rsidRPr="00214793" w:rsidRDefault="00814F26" w:rsidP="00814F26">
      <w:pPr>
        <w:spacing w:line="276" w:lineRule="auto"/>
        <w:ind w:firstLine="709"/>
        <w:contextualSpacing/>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1003A125" w14:textId="77777777" w:rsidR="00814F26" w:rsidRPr="00214793" w:rsidRDefault="00814F26" w:rsidP="00814F26">
      <w:pPr>
        <w:spacing w:beforeLines="120" w:before="288" w:afterLines="120" w:after="288" w:line="276" w:lineRule="auto"/>
        <w:contextualSpacing/>
        <w:rPr>
          <w:rFonts w:ascii="Verdana" w:eastAsia="Calibri" w:hAnsi="Verdana" w:cs="Arial"/>
          <w:bCs/>
          <w:color w:val="000000" w:themeColor="text1"/>
          <w:lang w:eastAsia="es-ES_tradnl" w:bidi="es-ES"/>
        </w:rPr>
      </w:pPr>
    </w:p>
    <w:p w14:paraId="7649C6B4" w14:textId="77777777" w:rsidR="00814F26" w:rsidRPr="00214793" w:rsidRDefault="00814F26" w:rsidP="00814F26">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r w:rsidRPr="00214793">
        <w:rPr>
          <w:rFonts w:ascii="Verdana" w:eastAsia="Calibri" w:hAnsi="Verdana" w:cs="Arial"/>
          <w:bCs/>
          <w:color w:val="000000" w:themeColor="text1"/>
          <w:sz w:val="20"/>
          <w:szCs w:val="20"/>
          <w:lang w:val="es-ES_tradnl" w:eastAsia="es-ES_tradnl" w:bidi="es-ES"/>
        </w:rPr>
        <w:t>“La Sala de Consulta y Servicio Civil</w:t>
      </w:r>
      <w:r w:rsidRPr="00214793">
        <w:rPr>
          <w:rFonts w:ascii="Verdana" w:eastAsia="Calibri" w:hAnsi="Verdana" w:cs="Arial"/>
          <w:bCs/>
          <w:color w:val="000000" w:themeColor="text1"/>
          <w:sz w:val="20"/>
          <w:szCs w:val="20"/>
          <w:vertAlign w:val="superscript"/>
          <w:lang w:val="es-ES_tradnl" w:eastAsia="es-ES_tradnl" w:bidi="es-ES"/>
        </w:rPr>
        <w:footnoteReference w:id="12"/>
      </w:r>
      <w:r w:rsidRPr="00214793">
        <w:rPr>
          <w:rFonts w:ascii="Verdana" w:eastAsia="Calibri" w:hAnsi="Verdana" w:cs="Arial"/>
          <w:bCs/>
          <w:color w:val="000000" w:themeColor="text1"/>
          <w:sz w:val="20"/>
          <w:szCs w:val="20"/>
          <w:lang w:val="es-ES_tradnl" w:eastAsia="es-ES_tradnl" w:bidi="es-ES"/>
        </w:rPr>
        <w:t xml:space="preserve"> de esta Corporación se ha referido a los </w:t>
      </w:r>
      <w:r w:rsidRPr="00214793">
        <w:rPr>
          <w:rFonts w:ascii="Verdana" w:eastAsia="Calibri" w:hAnsi="Verdana" w:cs="Arial"/>
          <w:bCs/>
          <w:i/>
          <w:color w:val="000000" w:themeColor="text1"/>
          <w:sz w:val="20"/>
          <w:szCs w:val="20"/>
          <w:lang w:val="es-ES_tradnl" w:eastAsia="es-ES_tradnl" w:bidi="es-ES"/>
        </w:rPr>
        <w:t>“convenios interadministrativos”</w:t>
      </w:r>
      <w:r w:rsidRPr="00214793">
        <w:rPr>
          <w:rFonts w:ascii="Verdana" w:eastAsia="Calibri" w:hAnsi="Verdana" w:cs="Arial"/>
          <w:bCs/>
          <w:color w:val="000000" w:themeColor="text1"/>
          <w:sz w:val="20"/>
          <w:szCs w:val="20"/>
          <w:lang w:val="es-ES_tradnl" w:eastAsia="es-ES_tradnl" w:bidi="es-ES"/>
        </w:rPr>
        <w:t xml:space="preserve"> a los cuales alude el artículo 95 de la Ley 489 de 1998, calificándolos de </w:t>
      </w:r>
      <w:r w:rsidRPr="00214793">
        <w:rPr>
          <w:rFonts w:ascii="Verdana" w:eastAsia="Calibri" w:hAnsi="Verdana" w:cs="Arial"/>
          <w:bCs/>
          <w:i/>
          <w:color w:val="000000" w:themeColor="text1"/>
          <w:sz w:val="20"/>
          <w:szCs w:val="20"/>
          <w:lang w:val="es-ES_tradnl" w:eastAsia="es-ES_tradnl" w:bidi="es-ES"/>
        </w:rPr>
        <w:t xml:space="preserve">“puros” </w:t>
      </w:r>
      <w:r w:rsidRPr="00214793">
        <w:rPr>
          <w:rFonts w:ascii="Verdana" w:eastAsia="Calibri" w:hAnsi="Verdana" w:cs="Arial"/>
          <w:bCs/>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214793">
        <w:rPr>
          <w:rFonts w:ascii="Verdana" w:eastAsia="Calibri" w:hAnsi="Verdana" w:cs="Arial"/>
          <w:bCs/>
          <w:i/>
          <w:color w:val="000000" w:themeColor="text1"/>
          <w:sz w:val="20"/>
          <w:szCs w:val="20"/>
          <w:lang w:val="es-ES_tradnl" w:eastAsia="es-ES_tradnl" w:bidi="es-ES"/>
        </w:rPr>
        <w:t>“intercambio patrimonial”</w:t>
      </w:r>
      <w:r w:rsidRPr="00214793">
        <w:rPr>
          <w:rFonts w:ascii="Verdana" w:eastAsia="Calibri" w:hAnsi="Verdana" w:cs="Arial"/>
          <w:bCs/>
          <w:color w:val="000000" w:themeColor="text1"/>
          <w:sz w:val="20"/>
          <w:szCs w:val="20"/>
          <w:lang w:val="es-ES_tradnl" w:eastAsia="es-ES_tradnl" w:bidi="es-ES"/>
        </w:rPr>
        <w:t>. Sin perjuicio de lo anterior, en otra oportunidad, la misma Sala</w:t>
      </w:r>
      <w:r w:rsidRPr="00214793">
        <w:rPr>
          <w:rFonts w:ascii="Verdana" w:eastAsia="Calibri" w:hAnsi="Verdana" w:cs="Arial"/>
          <w:bCs/>
          <w:color w:val="000000" w:themeColor="text1"/>
          <w:sz w:val="20"/>
          <w:szCs w:val="20"/>
          <w:vertAlign w:val="superscript"/>
          <w:lang w:val="es-ES_tradnl" w:eastAsia="es-ES_tradnl" w:bidi="es-ES"/>
        </w:rPr>
        <w:footnoteReference w:id="13"/>
      </w:r>
      <w:r w:rsidRPr="00214793">
        <w:rPr>
          <w:rFonts w:ascii="Verdana" w:eastAsia="Calibri" w:hAnsi="Verdana" w:cs="Arial"/>
          <w:bCs/>
          <w:color w:val="000000" w:themeColor="text1"/>
          <w:sz w:val="20"/>
          <w:szCs w:val="20"/>
          <w:lang w:val="es-ES_tradnl" w:eastAsia="es-ES_tradnl" w:bidi="es-ES"/>
        </w:rPr>
        <w:t xml:space="preserve"> había indicado que, si bien en dichos convenios no se daba un </w:t>
      </w:r>
      <w:r w:rsidRPr="00214793">
        <w:rPr>
          <w:rFonts w:ascii="Verdana" w:eastAsia="Calibri" w:hAnsi="Verdana" w:cs="Arial"/>
          <w:bCs/>
          <w:i/>
          <w:color w:val="000000" w:themeColor="text1"/>
          <w:sz w:val="20"/>
          <w:szCs w:val="20"/>
          <w:lang w:val="es-ES_tradnl" w:eastAsia="es-ES_tradnl" w:bidi="es-ES"/>
        </w:rPr>
        <w:t xml:space="preserve">“verdadero intercambio de bienes o servicios </w:t>
      </w:r>
      <w:r w:rsidRPr="00214793">
        <w:rPr>
          <w:rFonts w:ascii="Verdana" w:eastAsia="Calibri" w:hAnsi="Verdana" w:cs="Arial"/>
          <w:bCs/>
          <w:i/>
          <w:color w:val="000000" w:themeColor="text1"/>
          <w:sz w:val="20"/>
          <w:szCs w:val="20"/>
          <w:lang w:val="es-ES_tradnl" w:eastAsia="es-ES_tradnl" w:bidi="es-ES"/>
        </w:rPr>
        <w:lastRenderedPageBreak/>
        <w:t>(contrato conmutativo)”</w:t>
      </w:r>
      <w:r w:rsidRPr="00214793">
        <w:rPr>
          <w:rFonts w:ascii="Verdana" w:eastAsia="Calibri" w:hAnsi="Verdana" w:cs="Arial"/>
          <w:bCs/>
          <w:color w:val="000000" w:themeColor="text1"/>
          <w:sz w:val="20"/>
          <w:szCs w:val="20"/>
          <w:lang w:val="es-ES_tradnl" w:eastAsia="es-ES_tradnl" w:bidi="es-ES"/>
        </w:rPr>
        <w:t>, ello no impedía que se conviniera una remuneración a cargo de alguna(s) entidad(es).</w:t>
      </w:r>
    </w:p>
    <w:p w14:paraId="0758E56C" w14:textId="77777777" w:rsidR="00814F26" w:rsidRPr="00214793" w:rsidRDefault="00814F26" w:rsidP="00814F26">
      <w:pPr>
        <w:spacing w:beforeLines="120" w:before="288" w:afterLines="120" w:after="288" w:line="276" w:lineRule="auto"/>
        <w:ind w:left="708" w:right="709" w:firstLine="708"/>
        <w:contextualSpacing/>
        <w:jc w:val="both"/>
        <w:rPr>
          <w:rFonts w:ascii="Verdana" w:eastAsia="Calibri" w:hAnsi="Verdana" w:cs="Arial"/>
          <w:bCs/>
          <w:color w:val="000000" w:themeColor="text1"/>
          <w:sz w:val="20"/>
          <w:szCs w:val="20"/>
          <w:lang w:val="es-ES_tradnl" w:eastAsia="es-ES_tradnl" w:bidi="es-ES"/>
        </w:rPr>
      </w:pPr>
    </w:p>
    <w:p w14:paraId="786627CA" w14:textId="77777777" w:rsidR="00814F26" w:rsidRPr="00214793" w:rsidRDefault="00814F26" w:rsidP="00814F26">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val="es-ES_tradnl" w:eastAsia="es-ES_tradnl" w:bidi="es-ES"/>
        </w:rPr>
        <w:t xml:space="preserve">Lo expuesto evidencia que, en general, las interpretaciones en torno a los </w:t>
      </w:r>
      <w:r w:rsidRPr="00214793">
        <w:rPr>
          <w:rFonts w:ascii="Verdana" w:eastAsia="Calibri" w:hAnsi="Verdana" w:cs="Arial"/>
          <w:bCs/>
          <w:i/>
          <w:color w:val="000000" w:themeColor="text1"/>
          <w:sz w:val="20"/>
          <w:szCs w:val="20"/>
          <w:lang w:val="es-ES_tradnl" w:eastAsia="es-ES_tradnl" w:bidi="es-ES"/>
        </w:rPr>
        <w:t>“convenios interadministrativos”</w:t>
      </w:r>
      <w:r w:rsidRPr="00214793">
        <w:rPr>
          <w:rFonts w:ascii="Verdana" w:eastAsia="Calibri" w:hAnsi="Verdana" w:cs="Arial"/>
          <w:bCs/>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214793">
        <w:rPr>
          <w:rFonts w:ascii="Verdana" w:eastAsia="Calibri" w:hAnsi="Verdana" w:cs="Arial"/>
          <w:bCs/>
          <w:color w:val="000000" w:themeColor="text1"/>
          <w:sz w:val="20"/>
          <w:szCs w:val="20"/>
          <w:vertAlign w:val="superscript"/>
          <w:lang w:val="es-ES_tradnl" w:eastAsia="es-ES_tradnl" w:bidi="es-ES"/>
        </w:rPr>
        <w:footnoteReference w:id="14"/>
      </w:r>
      <w:r w:rsidRPr="00214793">
        <w:rPr>
          <w:rFonts w:ascii="Verdana" w:eastAsia="Calibri" w:hAnsi="Verdana" w:cs="Arial"/>
          <w:bCs/>
          <w:color w:val="000000" w:themeColor="text1"/>
          <w:sz w:val="20"/>
          <w:szCs w:val="20"/>
          <w:lang w:val="es-ES_tradnl" w:eastAsia="es-ES_tradnl" w:bidi="es-ES"/>
        </w:rPr>
        <w:t>.</w:t>
      </w:r>
      <w:r w:rsidRPr="00214793">
        <w:rPr>
          <w:rFonts w:ascii="Verdana" w:eastAsia="Calibri" w:hAnsi="Verdana" w:cs="Arial"/>
          <w:bCs/>
          <w:color w:val="000000" w:themeColor="text1"/>
          <w:sz w:val="20"/>
          <w:szCs w:val="20"/>
          <w:vertAlign w:val="superscript"/>
          <w:lang w:eastAsia="es-ES_tradnl" w:bidi="es-ES"/>
        </w:rPr>
        <w:footnoteReference w:id="15"/>
      </w:r>
      <w:r w:rsidRPr="00214793">
        <w:rPr>
          <w:rFonts w:ascii="Verdana" w:eastAsia="Calibri" w:hAnsi="Verdana" w:cs="Arial"/>
          <w:bCs/>
          <w:color w:val="000000" w:themeColor="text1"/>
          <w:sz w:val="20"/>
          <w:szCs w:val="20"/>
          <w:lang w:val="es-ES_tradnl" w:eastAsia="es-ES_tradnl" w:bidi="es-ES"/>
        </w:rPr>
        <w:t xml:space="preserve"> </w:t>
      </w:r>
    </w:p>
    <w:p w14:paraId="02115C22" w14:textId="77777777" w:rsidR="00814F26" w:rsidRPr="00214793" w:rsidRDefault="00814F26" w:rsidP="00814F26">
      <w:pPr>
        <w:snapToGrid w:val="0"/>
        <w:spacing w:after="0" w:line="276" w:lineRule="auto"/>
        <w:ind w:firstLine="709"/>
        <w:jc w:val="both"/>
        <w:rPr>
          <w:rFonts w:ascii="Verdana" w:eastAsia="Calibri" w:hAnsi="Verdana" w:cs="Arial"/>
          <w:bCs/>
          <w:color w:val="000000" w:themeColor="text1"/>
          <w:lang w:eastAsia="es-ES_tradnl" w:bidi="es-ES"/>
        </w:rPr>
      </w:pPr>
    </w:p>
    <w:p w14:paraId="6F083F9E" w14:textId="77777777" w:rsidR="00814F26" w:rsidRPr="00214793" w:rsidRDefault="00814F26" w:rsidP="00814F26">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En esta ocasión la referida corporación judicial resaltó la finalidad del acuerdo de voluntades como un factor de diferenciación entre las dos figuras. Si 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2A7D843E" w14:textId="77777777" w:rsidR="00814F26" w:rsidRPr="00214793" w:rsidRDefault="00814F26" w:rsidP="00814F26">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w:t>
      </w:r>
      <w:r w:rsidRPr="00214793">
        <w:rPr>
          <w:rFonts w:ascii="Verdana" w:eastAsia="Calibri" w:hAnsi="Verdana" w:cs="Arial"/>
          <w:bCs/>
          <w:color w:val="000000" w:themeColor="text1"/>
          <w:lang w:eastAsia="es-ES_tradnl" w:bidi="es-ES"/>
        </w:rPr>
        <w:lastRenderedPageBreak/>
        <w:t>y restricciones normativas adicionales, de manera que, en efecto, dista de la naturaleza y esencia del convenio interadministrativo.</w:t>
      </w:r>
    </w:p>
    <w:p w14:paraId="2C470209" w14:textId="77777777" w:rsidR="00814F26" w:rsidRPr="00214793" w:rsidRDefault="00814F26" w:rsidP="00814F26">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Times New Roman" w:hAnsi="Verdana" w:cs="Arial"/>
          <w:lang w:val="es-ES" w:eastAsia="es-ES_tradnl"/>
        </w:rPr>
        <w:t xml:space="preserve">Visto lo anterior,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w:t>
      </w:r>
      <w:r w:rsidRPr="00214793">
        <w:rPr>
          <w:rFonts w:ascii="Verdana" w:eastAsia="Times New Roman" w:hAnsi="Verdana" w:cs="Arial"/>
          <w:i/>
          <w:iCs/>
          <w:lang w:val="es-ES" w:eastAsia="es-ES_tradnl"/>
        </w:rPr>
        <w:t>(i)</w:t>
      </w:r>
      <w:r w:rsidRPr="00214793">
        <w:rPr>
          <w:rFonts w:ascii="Verdana" w:eastAsia="Times New Roman" w:hAnsi="Verdana" w:cs="Arial"/>
          <w:lang w:val="es-ES" w:eastAsia="es-ES_tradnl"/>
        </w:rPr>
        <w:t xml:space="preserve"> se celebra entre dos entidades públicas que se encuentran en pie de igualdad con el objeto de cumplir competencias de ambas entidades dirigidas a un propósito común; </w:t>
      </w:r>
      <w:r w:rsidRPr="00214793">
        <w:rPr>
          <w:rFonts w:ascii="Verdana" w:eastAsia="Times New Roman" w:hAnsi="Verdana" w:cs="Arial"/>
          <w:i/>
          <w:iCs/>
          <w:lang w:val="es-ES" w:eastAsia="es-ES_tradnl"/>
        </w:rPr>
        <w:t>(</w:t>
      </w:r>
      <w:proofErr w:type="spellStart"/>
      <w:r w:rsidRPr="00214793">
        <w:rPr>
          <w:rFonts w:ascii="Verdana" w:eastAsia="Times New Roman" w:hAnsi="Verdana" w:cs="Arial"/>
          <w:i/>
          <w:iCs/>
          <w:lang w:val="es-ES" w:eastAsia="es-ES_tradnl"/>
        </w:rPr>
        <w:t>ii</w:t>
      </w:r>
      <w:proofErr w:type="spellEnd"/>
      <w:r w:rsidRPr="00214793">
        <w:rPr>
          <w:rFonts w:ascii="Verdana" w:eastAsia="Times New Roman" w:hAnsi="Verdana" w:cs="Arial"/>
          <w:i/>
          <w:iCs/>
          <w:lang w:val="es-ES" w:eastAsia="es-ES_tradnl"/>
        </w:rPr>
        <w:t>)</w:t>
      </w:r>
      <w:r w:rsidRPr="00214793">
        <w:rPr>
          <w:rFonts w:ascii="Verdana" w:eastAsia="Times New Roman" w:hAnsi="Verdana" w:cs="Arial"/>
          <w:lang w:val="es-ES" w:eastAsia="es-ES_tradnl"/>
        </w:rPr>
        <w:t xml:space="preserve"> la modalidad para su celebración es la contratación directa; </w:t>
      </w:r>
      <w:r w:rsidRPr="00214793">
        <w:rPr>
          <w:rFonts w:ascii="Verdana" w:eastAsia="Times New Roman" w:hAnsi="Verdana" w:cs="Arial"/>
          <w:i/>
          <w:iCs/>
          <w:lang w:val="es-ES" w:eastAsia="es-ES_tradnl"/>
        </w:rPr>
        <w:t>(</w:t>
      </w:r>
      <w:proofErr w:type="spellStart"/>
      <w:r w:rsidRPr="00214793">
        <w:rPr>
          <w:rFonts w:ascii="Verdana" w:eastAsia="Times New Roman" w:hAnsi="Verdana" w:cs="Arial"/>
          <w:i/>
          <w:iCs/>
          <w:lang w:val="es-ES" w:eastAsia="es-ES_tradnl"/>
        </w:rPr>
        <w:t>iii</w:t>
      </w:r>
      <w:proofErr w:type="spellEnd"/>
      <w:r w:rsidRPr="00214793">
        <w:rPr>
          <w:rFonts w:ascii="Verdana" w:eastAsia="Times New Roman" w:hAnsi="Verdana" w:cs="Arial"/>
          <w:i/>
          <w:iCs/>
          <w:lang w:val="es-ES" w:eastAsia="es-ES_tradnl"/>
        </w:rPr>
        <w:t>)</w:t>
      </w:r>
      <w:r w:rsidRPr="00214793">
        <w:rPr>
          <w:rFonts w:ascii="Verdana" w:eastAsia="Times New Roman" w:hAnsi="Verdana" w:cs="Arial"/>
          <w:lang w:val="es-ES" w:eastAsia="es-ES_tradnl"/>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w:t>
      </w:r>
      <w:proofErr w:type="spellStart"/>
      <w:r w:rsidRPr="00214793">
        <w:rPr>
          <w:rFonts w:ascii="Verdana" w:eastAsia="Times New Roman" w:hAnsi="Verdana" w:cs="Arial"/>
          <w:lang w:val="es-ES" w:eastAsia="es-ES_tradnl"/>
        </w:rPr>
        <w:t>co-contratantes</w:t>
      </w:r>
      <w:proofErr w:type="spellEnd"/>
      <w:r w:rsidRPr="00214793">
        <w:rPr>
          <w:rFonts w:ascii="Verdana" w:eastAsia="Times New Roman" w:hAnsi="Verdana" w:cs="Arial"/>
          <w:lang w:val="es-ES" w:eastAsia="es-ES_tradnl"/>
        </w:rPr>
        <w:t xml:space="preserve"> y a cargo de otro u otros.</w:t>
      </w:r>
    </w:p>
    <w:p w14:paraId="3B25DFFF" w14:textId="77777777" w:rsidR="00814F26" w:rsidRPr="00214793" w:rsidRDefault="00814F26" w:rsidP="00814F26">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370F137A" w14:textId="77777777" w:rsidR="00814F26" w:rsidRPr="00214793" w:rsidRDefault="00814F26" w:rsidP="00814F26">
      <w:pPr>
        <w:snapToGrid w:val="0"/>
        <w:spacing w:before="120" w:after="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De ahí que la Sala de Consulta y Servicio Civil del Consejo de Estado</w:t>
      </w:r>
      <w:r w:rsidRPr="00214793">
        <w:rPr>
          <w:rFonts w:ascii="Verdana" w:eastAsia="Calibri" w:hAnsi="Verdana" w:cs="Arial"/>
          <w:bCs/>
          <w:color w:val="000000" w:themeColor="text1"/>
          <w:vertAlign w:val="superscript"/>
          <w:lang w:eastAsia="es-ES_tradnl" w:bidi="es-ES"/>
        </w:rPr>
        <w:footnoteReference w:id="16"/>
      </w:r>
      <w:r w:rsidRPr="00214793">
        <w:rPr>
          <w:rFonts w:ascii="Verdana" w:eastAsia="Calibri" w:hAnsi="Verdana" w:cs="Arial"/>
          <w:bCs/>
          <w:color w:val="000000" w:themeColor="text1"/>
          <w:lang w:eastAsia="es-ES_tradnl" w:bidi="es-ES"/>
        </w:rPr>
        <w:t xml:space="preserve"> haya señalado la necesidad de diferenciar el régimen jurídico aplicable a ciertas situaciones específicas del convenio interadministrativo que se separan del régimen jurídico común:</w:t>
      </w:r>
    </w:p>
    <w:p w14:paraId="586B00FE" w14:textId="77777777" w:rsidR="00814F26" w:rsidRPr="00214793" w:rsidRDefault="00814F26" w:rsidP="00814F26">
      <w:pPr>
        <w:spacing w:beforeLines="120" w:before="288" w:afterLines="120" w:after="288" w:line="276" w:lineRule="auto"/>
        <w:ind w:firstLine="708"/>
        <w:contextualSpacing/>
        <w:rPr>
          <w:rFonts w:ascii="Verdana" w:eastAsia="Calibri" w:hAnsi="Verdana" w:cs="Arial"/>
          <w:bCs/>
          <w:color w:val="000000" w:themeColor="text1"/>
          <w:lang w:eastAsia="es-ES_tradnl" w:bidi="es-ES"/>
        </w:rPr>
      </w:pPr>
    </w:p>
    <w:p w14:paraId="1C11E9AA" w14:textId="77777777" w:rsidR="00814F26" w:rsidRPr="00214793" w:rsidRDefault="00814F26" w:rsidP="00814F26">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eastAsia="es-ES_tradnl" w:bidi="es-ES"/>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w:t>
      </w:r>
      <w:r w:rsidRPr="00214793">
        <w:rPr>
          <w:rFonts w:ascii="Verdana" w:eastAsia="Calibri" w:hAnsi="Verdana" w:cs="Arial"/>
          <w:bCs/>
          <w:color w:val="000000" w:themeColor="text1"/>
          <w:sz w:val="20"/>
          <w:szCs w:val="20"/>
          <w:lang w:eastAsia="es-ES_tradnl" w:bidi="es-ES"/>
        </w:rPr>
        <w:lastRenderedPageBreak/>
        <w:t xml:space="preserve">vinculante de los mismos, dentro del contexto de un ánimo de cooperación que se refleja en el plano de igualdad o equivalencia en que se celebran y ejecutan, lo que significa ausencia de prerrogativas en favor de una parte a costa de la otra. </w:t>
      </w:r>
    </w:p>
    <w:p w14:paraId="763DECFB" w14:textId="77777777" w:rsidR="00814F26" w:rsidRPr="00214793" w:rsidRDefault="00814F26" w:rsidP="00814F26">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p>
    <w:p w14:paraId="40B94B4D" w14:textId="77777777" w:rsidR="00814F26" w:rsidRPr="00214793" w:rsidRDefault="00814F26" w:rsidP="00814F26">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214793">
        <w:rPr>
          <w:rFonts w:ascii="Verdana" w:eastAsia="Calibri" w:hAnsi="Verdana" w:cs="Arial"/>
          <w:bCs/>
          <w:color w:val="000000" w:themeColor="text1"/>
          <w:sz w:val="20"/>
          <w:szCs w:val="20"/>
          <w:lang w:eastAsia="es-ES_tradnl" w:bidi="es-ES"/>
        </w:rPr>
        <w:t>Ahora, dada la naturaleza jurídica explicada de los convenios interadministrativos</w:t>
      </w:r>
      <w:r w:rsidRPr="00214793">
        <w:rPr>
          <w:rFonts w:ascii="Verdana" w:eastAsia="Calibri" w:hAnsi="Verdana" w:cs="Arial"/>
          <w:bCs/>
          <w:i/>
          <w:iCs/>
          <w:color w:val="000000" w:themeColor="text1"/>
          <w:sz w:val="20"/>
          <w:szCs w:val="20"/>
          <w:lang w:eastAsia="es-ES_tradnl" w:bidi="es-ES"/>
        </w:rPr>
        <w:t>, 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 En tal sentido, en cada caso concreto deberá analizarse, de conformidad con la naturaleza jurídica, objeto y finalidad que se pretende cumplir o desarrollar con el respectivo convenio, si la disposición correspondiente del Estatuto Contractual es aplicable o no”</w:t>
      </w:r>
      <w:r w:rsidRPr="00214793">
        <w:rPr>
          <w:rFonts w:ascii="Verdana" w:eastAsia="Calibri" w:hAnsi="Verdana" w:cs="Arial"/>
          <w:bCs/>
          <w:color w:val="000000" w:themeColor="text1"/>
          <w:sz w:val="20"/>
          <w:szCs w:val="20"/>
          <w:lang w:eastAsia="es-ES_tradnl" w:bidi="es-ES"/>
        </w:rPr>
        <w:t xml:space="preserve">. </w:t>
      </w:r>
      <w:r w:rsidRPr="00214793">
        <w:rPr>
          <w:rFonts w:ascii="Verdana" w:eastAsia="Calibri" w:hAnsi="Verdana" w:cs="Arial"/>
          <w:bCs/>
          <w:iCs/>
          <w:sz w:val="20"/>
          <w:szCs w:val="20"/>
        </w:rPr>
        <w:t>[Énfasis por fuera de texto]</w:t>
      </w:r>
      <w:r w:rsidRPr="00214793">
        <w:rPr>
          <w:rFonts w:ascii="Verdana" w:eastAsia="Calibri" w:hAnsi="Verdana" w:cs="Arial"/>
          <w:bCs/>
          <w:color w:val="000000" w:themeColor="text1"/>
          <w:sz w:val="20"/>
          <w:szCs w:val="20"/>
          <w:lang w:eastAsia="es-ES_tradnl" w:bidi="es-ES"/>
        </w:rPr>
        <w:t xml:space="preserve"> </w:t>
      </w:r>
    </w:p>
    <w:p w14:paraId="1F8A9507" w14:textId="77777777" w:rsidR="00814F26" w:rsidRPr="00214793" w:rsidRDefault="00814F26" w:rsidP="00814F26">
      <w:pPr>
        <w:spacing w:beforeLines="120" w:before="288" w:afterLines="120" w:after="288" w:line="276" w:lineRule="auto"/>
        <w:ind w:firstLine="708"/>
        <w:contextualSpacing/>
        <w:rPr>
          <w:rFonts w:ascii="Verdana" w:eastAsia="Calibri" w:hAnsi="Verdana" w:cs="Arial"/>
          <w:bCs/>
          <w:color w:val="000000" w:themeColor="text1"/>
          <w:lang w:eastAsia="es-ES_tradnl" w:bidi="es-ES"/>
        </w:rPr>
      </w:pPr>
    </w:p>
    <w:p w14:paraId="2283EF08" w14:textId="77777777" w:rsidR="00814F26" w:rsidRPr="00214793" w:rsidRDefault="00814F26" w:rsidP="00814F26">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A juicio de la citada sala si bien existe un régimen jurídico común compuesto por las normas del EGCAP que ordenan las declaraciones de voluntad negocial de las entidades estatales -el consentimiento y los efectos de las obligaciones-, y las normas de derecho público relacionadas con la capacidad o competencia de las entidades estatales para celebrar acuerdos de voluntades -que incluyen el régimen de inhabilidades, incompatibilidades y conflictos de interés-, para el resto de asuntos regulados en el EGCAP será necesario tener en cuenta el plano de igualdad o equivalencia en el que se encuentran las partes del convenio y, por ende, la aplicabilidad de cada disposición al caso concreto. </w:t>
      </w:r>
    </w:p>
    <w:p w14:paraId="3A75D64E" w14:textId="77777777" w:rsidR="00814F26" w:rsidRPr="00214793" w:rsidRDefault="00814F26" w:rsidP="00814F26">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En ese orden, por ejemplo, no serán aplicables, en principio, para los convenios interadministrativos, las cláusulas excepcionales al derecho común</w:t>
      </w:r>
      <w:r w:rsidRPr="00214793">
        <w:rPr>
          <w:rFonts w:ascii="Verdana" w:eastAsia="Calibri" w:hAnsi="Verdana" w:cs="Arial"/>
          <w:bCs/>
          <w:color w:val="000000" w:themeColor="text1"/>
          <w:vertAlign w:val="superscript"/>
          <w:lang w:eastAsia="es-ES_tradnl" w:bidi="es-ES"/>
        </w:rPr>
        <w:footnoteReference w:id="17"/>
      </w:r>
      <w:r w:rsidRPr="00214793">
        <w:rPr>
          <w:rFonts w:ascii="Verdana" w:eastAsia="Calibri" w:hAnsi="Verdana" w:cs="Arial"/>
          <w:bCs/>
          <w:color w:val="000000" w:themeColor="text1"/>
          <w:lang w:eastAsia="es-ES_tradnl" w:bidi="es-ES"/>
        </w:rPr>
        <w:t xml:space="preserve"> y tampoco sería procedente la inclusión de figuras contractuales como liquidación unilateral</w:t>
      </w:r>
      <w:r w:rsidRPr="00214793">
        <w:rPr>
          <w:rFonts w:ascii="Verdana" w:eastAsia="Calibri" w:hAnsi="Verdana" w:cs="Arial"/>
          <w:bCs/>
          <w:color w:val="000000" w:themeColor="text1"/>
          <w:vertAlign w:val="superscript"/>
          <w:lang w:eastAsia="es-ES_tradnl" w:bidi="es-ES"/>
        </w:rPr>
        <w:footnoteReference w:id="18"/>
      </w:r>
      <w:r w:rsidRPr="00214793">
        <w:rPr>
          <w:rFonts w:ascii="Verdana" w:eastAsia="Calibri" w:hAnsi="Verdana" w:cs="Arial"/>
          <w:bCs/>
          <w:color w:val="000000" w:themeColor="text1"/>
          <w:lang w:eastAsia="es-ES_tradnl" w:bidi="es-ES"/>
        </w:rPr>
        <w:t xml:space="preserve">. En todo caso, siguiendo la senda interpretativa expuesta por la Sala de Consulta y Servicio Civil en el concepto que acaba de citarse, la </w:t>
      </w:r>
      <w:r w:rsidRPr="00214793">
        <w:rPr>
          <w:rFonts w:ascii="Verdana" w:eastAsia="Calibri" w:hAnsi="Verdana" w:cs="Arial"/>
          <w:bCs/>
          <w:color w:val="000000" w:themeColor="text1"/>
          <w:lang w:eastAsia="es-ES_tradnl" w:bidi="es-ES"/>
        </w:rPr>
        <w:lastRenderedPageBreak/>
        <w:t xml:space="preserve">aplicación o inaplicación de estas y otras instituciones contractuales deberá definirse al analizar el contenido preciso de cada convenio interadministrativo celebrado y tal cuestión no puede concluirse </w:t>
      </w:r>
      <w:r w:rsidRPr="00214793">
        <w:rPr>
          <w:rFonts w:ascii="Verdana" w:eastAsia="Calibri" w:hAnsi="Verdana" w:cs="Arial"/>
          <w:bCs/>
          <w:i/>
          <w:iCs/>
          <w:color w:val="000000" w:themeColor="text1"/>
          <w:lang w:eastAsia="es-ES_tradnl" w:bidi="es-ES"/>
        </w:rPr>
        <w:t>a priori</w:t>
      </w:r>
      <w:r w:rsidRPr="00214793">
        <w:rPr>
          <w:rFonts w:ascii="Verdana" w:eastAsia="Calibri" w:hAnsi="Verdana" w:cs="Arial"/>
          <w:bCs/>
          <w:color w:val="000000" w:themeColor="text1"/>
          <w:lang w:eastAsia="es-ES_tradnl" w:bidi="es-ES"/>
        </w:rPr>
        <w:t xml:space="preserve"> o de manera automática. </w:t>
      </w:r>
    </w:p>
    <w:p w14:paraId="55AB445A" w14:textId="77777777" w:rsidR="00814F26" w:rsidRPr="00214793" w:rsidRDefault="00814F26" w:rsidP="00814F26">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Esto por cuanto, por una parte, el carácter de convenio interadministrativo no se deriva de su simple denominación como tal, sino de que el acuerdo de voluntades respectivo cumpla a cabalidad con las características que la normativa, la jurisprudencia y la doctrina le han atribuido y que han sido explicados en este concepto. Así, aun si el negocio jurídico de que se trate se suscriba bajo la denominación de “convenio interadministrativo” o algo similar, pero de la lectura de sus cláusulas se concluya una relación conmutativa y claramente onerosa entre las partes y se nota ausente la finalidad asociativa o colaborativa entre las entidades suscribientes, entonces, tal acuerdo no podría corresponder a la figura de convenio interadministrativo por carecer de sus elementos esenciales. En ese sentido, en tal caso, será distinto el análisis sobre la aplicación de institutos como la liquidación unilateral y de las demás figuras contractuales que se analicen en determinado caso.</w:t>
      </w:r>
    </w:p>
    <w:p w14:paraId="266A1E9E" w14:textId="77777777" w:rsidR="00814F26" w:rsidRPr="00214793" w:rsidRDefault="00814F26" w:rsidP="00814F26">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Además, para efectos de definir si la respectiva figura es o no aplicable al convenio interadministrativo, habrá que determinar si la misma es o no compatible con la naturaleza y contenido de dicho convenio, es decir, si es acorde con su finalidad asociativa, su carácter no oneroso o la ausencia de un objeto o finalidad patrimonial. </w:t>
      </w:r>
    </w:p>
    <w:p w14:paraId="502558C8" w14:textId="77777777" w:rsidR="00814F26" w:rsidRPr="00214793" w:rsidRDefault="00814F26" w:rsidP="00814F26">
      <w:pPr>
        <w:snapToGrid w:val="0"/>
        <w:spacing w:after="120" w:line="276" w:lineRule="auto"/>
        <w:ind w:firstLine="709"/>
        <w:jc w:val="both"/>
        <w:rPr>
          <w:rFonts w:ascii="Verdana" w:eastAsia="Calibri" w:hAnsi="Verdana" w:cs="Arial"/>
          <w:bCs/>
          <w:color w:val="000000" w:themeColor="text1"/>
          <w:lang w:eastAsia="es-ES_tradnl" w:bidi="es-ES"/>
        </w:rPr>
      </w:pPr>
      <w:r w:rsidRPr="00214793">
        <w:rPr>
          <w:rFonts w:ascii="Verdana" w:eastAsia="Calibri" w:hAnsi="Verdana" w:cs="Arial"/>
          <w:bCs/>
          <w:color w:val="000000" w:themeColor="text1"/>
          <w:lang w:eastAsia="es-ES_tradnl" w:bidi="es-ES"/>
        </w:rPr>
        <w:t xml:space="preserve">En suma, si bien tanto los contratos como convenios interadministrativos comparten características comunes, entre ellas que ambos se celebran entre entidades públicas, difieren en cuanto a ciertas características esenciales, según lo ha venido señalando el Consejo de Estado. Así, mientras que el contrato interadministrativo se caracteriza por su naturaleza onerosa, patrimonial y se conforma por intereses básicamente contrapuestos, los convenios interadministrativos,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 </w:t>
      </w:r>
      <w:bookmarkEnd w:id="7"/>
    </w:p>
    <w:p w14:paraId="43CBD223" w14:textId="77777777" w:rsidR="00814F26" w:rsidRPr="00214793" w:rsidRDefault="00814F26" w:rsidP="00814F26">
      <w:pPr>
        <w:snapToGrid w:val="0"/>
        <w:spacing w:after="120" w:line="276" w:lineRule="auto"/>
        <w:jc w:val="both"/>
        <w:rPr>
          <w:rFonts w:ascii="Verdana" w:eastAsia="Times New Roman" w:hAnsi="Verdana" w:cs="Arial"/>
          <w:lang w:val="es-ES" w:eastAsia="es-ES_tradnl"/>
        </w:rPr>
      </w:pPr>
      <w:proofErr w:type="spellStart"/>
      <w:r w:rsidRPr="00214793">
        <w:rPr>
          <w:rFonts w:ascii="Verdana" w:eastAsia="Calibri" w:hAnsi="Verdana" w:cs="Arial"/>
          <w:bCs/>
          <w:color w:val="000000" w:themeColor="text1"/>
          <w:lang w:eastAsia="es-ES_tradnl" w:bidi="es-ES"/>
        </w:rPr>
        <w:t>ii</w:t>
      </w:r>
      <w:proofErr w:type="spellEnd"/>
      <w:r w:rsidRPr="00214793">
        <w:rPr>
          <w:rFonts w:ascii="Verdana" w:eastAsia="Calibri" w:hAnsi="Verdana" w:cs="Arial"/>
          <w:bCs/>
          <w:color w:val="000000" w:themeColor="text1"/>
          <w:lang w:eastAsia="es-ES_tradnl" w:bidi="es-ES"/>
        </w:rPr>
        <w:t xml:space="preserve">. </w:t>
      </w:r>
      <w:r w:rsidRPr="00214793">
        <w:rPr>
          <w:rFonts w:ascii="Verdana" w:eastAsia="Calibri" w:hAnsi="Verdana" w:cs="Arial"/>
          <w:color w:val="000000" w:themeColor="text1"/>
          <w:lang w:val="es-ES"/>
        </w:rPr>
        <w:t>Teniendo en cuenta las consideraciones anteriores, puede afirmarse</w:t>
      </w:r>
      <w:r w:rsidRPr="00214793">
        <w:rPr>
          <w:rFonts w:ascii="Verdana" w:eastAsia="Calibri" w:hAnsi="Verdana" w:cs="Arial"/>
          <w:bCs/>
          <w:color w:val="000000" w:themeColor="text1"/>
          <w:lang w:eastAsia="es-ES_tradnl" w:bidi="es-ES"/>
        </w:rPr>
        <w:t xml:space="preserve"> </w:t>
      </w:r>
      <w:r w:rsidRPr="00214793">
        <w:rPr>
          <w:rFonts w:ascii="Verdana" w:eastAsia="Times New Roman" w:hAnsi="Verdana" w:cs="Arial"/>
          <w:lang w:val="es-ES" w:eastAsia="es-ES_tradnl"/>
        </w:rPr>
        <w:t xml:space="preserve">que los convenios interadministrativos no pueden ser sinalagmáticos, debido a que en ellos no se involucran intereses contrapuestos, sino un interés común. Esto </w:t>
      </w:r>
      <w:r w:rsidRPr="00214793">
        <w:rPr>
          <w:rFonts w:ascii="Verdana" w:eastAsia="Times New Roman" w:hAnsi="Verdana" w:cs="Arial"/>
          <w:lang w:val="es-ES" w:eastAsia="es-ES_tradnl"/>
        </w:rPr>
        <w:lastRenderedPageBreak/>
        <w:t xml:space="preserve">implica que, en los eventos en que su celebración comporte el compromiso y la ejecución de recursos públicos, el valor de estos no puede destinarse al pago o remuneración de ninguna de las partes, sino que debe corresponder necesariamente a la asunción de costos y gastos para cumplir las funciones de la respectiva entidad, así como para atender los compromisos adquiridos para con la otra, pues las entidades cooperan entre sí, no se prestan servicios ni se ofrecen bienes a cambio de una remuneración y, por esa razón, los recursos comprometidos a través de los convenios interadministrativos no constituyen un pago, sino un aporte para lograr el cometido común. </w:t>
      </w:r>
    </w:p>
    <w:p w14:paraId="7D496E9D" w14:textId="77777777" w:rsidR="00814F26" w:rsidRPr="00214793" w:rsidRDefault="00814F26" w:rsidP="00814F26">
      <w:pPr>
        <w:spacing w:after="120" w:line="276" w:lineRule="auto"/>
        <w:ind w:firstLine="709"/>
        <w:jc w:val="both"/>
        <w:rPr>
          <w:rFonts w:ascii="Verdana" w:eastAsia="Times New Roman" w:hAnsi="Verdana" w:cs="Arial"/>
          <w:szCs w:val="24"/>
          <w:lang w:eastAsia="es-ES_tradnl"/>
        </w:rPr>
      </w:pPr>
      <w:r w:rsidRPr="00214793">
        <w:rPr>
          <w:rFonts w:ascii="Verdana" w:eastAsia="Times New Roman" w:hAnsi="Verdana" w:cs="Arial"/>
          <w:szCs w:val="24"/>
          <w:lang w:eastAsia="es-ES_tradnl"/>
        </w:rPr>
        <w:t>Así, tal y como se ha expuesto en líneas anteriores, en atención a su naturaleza particular, a los convenios interadministrativos no les subyace un interés puramente económico, en tanto no se celebran para obtener una ganancia, sino con el propósito de ejecutar actividades que contribuyen directamente al fin común de los sujetos vinculados al convenio. De hecho, las partes presentan intereses convergentes, coincidentes o comunes y cooperan en procura de alcanzar en forma eficaz el cometido estatal previsto en la Constitución o en la ley, sin que por esto se reciba por ninguna de ellas el pago de un precio o contraprestación.</w:t>
      </w:r>
      <w:r w:rsidRPr="00214793">
        <w:rPr>
          <w:rFonts w:ascii="Verdana" w:eastAsia="Times New Roman" w:hAnsi="Verdana" w:cs="Arial"/>
          <w:lang w:val="es-ES" w:eastAsia="es-ES_tradnl"/>
        </w:rPr>
        <w:t xml:space="preserve"> Por ello, no es adecuado referirse a “propuesta económica” en el marco de un convenio interadministrativo, lo cual es propio de los contratos onerosos en lo que hay una contraprestación económica.  </w:t>
      </w:r>
    </w:p>
    <w:p w14:paraId="05257E71" w14:textId="77777777" w:rsidR="00814F26" w:rsidRPr="00214793" w:rsidRDefault="00814F26" w:rsidP="00814F26">
      <w:pPr>
        <w:spacing w:after="120" w:line="276" w:lineRule="auto"/>
        <w:ind w:firstLine="709"/>
        <w:jc w:val="both"/>
        <w:rPr>
          <w:rFonts w:ascii="Verdana" w:eastAsia="Times New Roman" w:hAnsi="Verdana" w:cs="Arial"/>
          <w:lang w:eastAsia="es-ES_tradnl"/>
        </w:rPr>
      </w:pPr>
      <w:r w:rsidRPr="00214793">
        <w:rPr>
          <w:rFonts w:ascii="Verdana" w:eastAsia="Times New Roman" w:hAnsi="Verdana" w:cs="Arial"/>
          <w:szCs w:val="24"/>
          <w:lang w:eastAsia="es-ES_tradnl"/>
        </w:rPr>
        <w:t xml:space="preserve">En la práctica, en los convenios interadministrativos que las entidades celebran no suele pactarse un precio o remuneración, lo que no significa que, para la ejecución de sus compromisos, no puedan </w:t>
      </w:r>
      <w:r w:rsidRPr="00214793">
        <w:rPr>
          <w:rFonts w:ascii="Verdana" w:eastAsia="Times New Roman" w:hAnsi="Verdana" w:cs="Arial"/>
          <w:lang w:eastAsia="es-ES_tradnl"/>
        </w:rPr>
        <w:t>afectar sus respectivos presupuestos y ejecutar recursos públicos. Recuérdese que ese contenido económico, incluso, puede estar presente de forma implícita en el caso de las obligaciones de hacer</w:t>
      </w:r>
      <w:r w:rsidRPr="00214793">
        <w:rPr>
          <w:rFonts w:ascii="Verdana" w:eastAsia="Calibri" w:hAnsi="Verdana" w:cs="Arial"/>
          <w:vertAlign w:val="superscript"/>
          <w:lang w:val="es-ES_tradnl"/>
        </w:rPr>
        <w:footnoteReference w:id="19"/>
      </w:r>
      <w:r w:rsidRPr="00214793">
        <w:rPr>
          <w:rFonts w:ascii="Verdana" w:eastAsia="Times New Roman" w:hAnsi="Verdana" w:cs="Arial"/>
          <w:lang w:eastAsia="es-ES_tradnl"/>
        </w:rPr>
        <w:t xml:space="preserve">. </w:t>
      </w:r>
    </w:p>
    <w:p w14:paraId="0A705CD7" w14:textId="77777777" w:rsidR="00814F26" w:rsidRPr="00214793" w:rsidRDefault="00814F26" w:rsidP="00814F26">
      <w:pPr>
        <w:spacing w:after="120" w:line="276" w:lineRule="auto"/>
        <w:ind w:firstLine="709"/>
        <w:jc w:val="both"/>
        <w:rPr>
          <w:rFonts w:ascii="Verdana" w:eastAsia="Times New Roman" w:hAnsi="Verdana" w:cs="Arial"/>
          <w:lang w:eastAsia="es-ES_tradnl"/>
        </w:rPr>
      </w:pPr>
      <w:r w:rsidRPr="00214793">
        <w:rPr>
          <w:rFonts w:ascii="Verdana" w:eastAsia="Times New Roman" w:hAnsi="Verdana" w:cs="Arial"/>
          <w:lang w:eastAsia="es-ES_tradnl"/>
        </w:rPr>
        <w:t xml:space="preserve">Sobre este aspecto, la Sala de Consulta y Servicio Civil del Consejo de Estado, resaltó la posibilidad de asunción de aportes económicos en el marco de un convenio interadministrativo, en el cual se pueden determinar costos y gastos para el cumplimiento de sus objetivos: </w:t>
      </w:r>
    </w:p>
    <w:p w14:paraId="13A668E5" w14:textId="77777777" w:rsidR="00814F26" w:rsidRPr="00214793" w:rsidRDefault="00814F26" w:rsidP="00814F26">
      <w:pPr>
        <w:spacing w:after="0" w:line="276" w:lineRule="auto"/>
        <w:ind w:firstLine="709"/>
        <w:jc w:val="both"/>
        <w:rPr>
          <w:rFonts w:ascii="Verdana" w:eastAsia="Times New Roman" w:hAnsi="Verdana" w:cs="Arial"/>
          <w:lang w:eastAsia="es-ES_tradnl"/>
        </w:rPr>
      </w:pPr>
    </w:p>
    <w:p w14:paraId="7212C2EC" w14:textId="77777777" w:rsidR="00814F26" w:rsidRPr="00214793" w:rsidRDefault="00814F26" w:rsidP="00814F26">
      <w:pPr>
        <w:spacing w:after="0" w:line="240" w:lineRule="auto"/>
        <w:ind w:left="709" w:right="714"/>
        <w:jc w:val="both"/>
        <w:rPr>
          <w:rFonts w:ascii="Verdana" w:eastAsia="Calibri" w:hAnsi="Verdana" w:cs="Arial"/>
          <w:bCs/>
          <w:iCs/>
          <w:sz w:val="20"/>
          <w:szCs w:val="20"/>
        </w:rPr>
      </w:pPr>
      <w:r w:rsidRPr="00214793">
        <w:rPr>
          <w:rFonts w:ascii="Verdana" w:eastAsia="Calibri" w:hAnsi="Verdana" w:cs="Arial"/>
          <w:iCs/>
          <w:sz w:val="20"/>
          <w:szCs w:val="20"/>
        </w:rPr>
        <w:t>“</w:t>
      </w:r>
      <w:r w:rsidRPr="00214793">
        <w:rPr>
          <w:rFonts w:ascii="Verdana" w:eastAsia="Calibri" w:hAnsi="Verdana" w:cs="Arial"/>
          <w:i/>
          <w:sz w:val="20"/>
          <w:szCs w:val="20"/>
        </w:rPr>
        <w:t>Lógicamente,</w:t>
      </w:r>
      <w:r w:rsidRPr="00214793">
        <w:rPr>
          <w:rFonts w:ascii="Verdana" w:eastAsia="Calibri" w:hAnsi="Verdana" w:cs="Arial"/>
          <w:b/>
          <w:i/>
          <w:sz w:val="20"/>
          <w:szCs w:val="20"/>
        </w:rPr>
        <w:t xml:space="preserve"> </w:t>
      </w:r>
      <w:r w:rsidRPr="00214793">
        <w:rPr>
          <w:rFonts w:ascii="Verdana" w:eastAsia="Calibri" w:hAnsi="Verdana" w:cs="Arial"/>
          <w:bCs/>
          <w:i/>
          <w:sz w:val="20"/>
          <w:szCs w:val="20"/>
        </w:rPr>
        <w:t>en los convenios interadministrativos propiamente dichos, es posible,</w:t>
      </w:r>
      <w:r w:rsidRPr="00214793">
        <w:rPr>
          <w:rFonts w:ascii="Verdana" w:eastAsia="Calibri" w:hAnsi="Verdana" w:cs="Arial"/>
          <w:bCs/>
          <w:iCs/>
          <w:sz w:val="20"/>
          <w:szCs w:val="20"/>
        </w:rPr>
        <w:t xml:space="preserve"> </w:t>
      </w:r>
      <w:r w:rsidRPr="00214793">
        <w:rPr>
          <w:rFonts w:ascii="Verdana" w:eastAsia="Calibri" w:hAnsi="Verdana" w:cs="Arial"/>
          <w:bCs/>
          <w:i/>
          <w:sz w:val="20"/>
          <w:szCs w:val="20"/>
        </w:rPr>
        <w:t xml:space="preserve">que cada entidad incurra en costos y gastos y en ejecución de </w:t>
      </w:r>
      <w:r w:rsidRPr="00214793">
        <w:rPr>
          <w:rFonts w:ascii="Verdana" w:eastAsia="Calibri" w:hAnsi="Verdana" w:cs="Arial"/>
          <w:bCs/>
          <w:i/>
          <w:sz w:val="20"/>
          <w:szCs w:val="20"/>
        </w:rPr>
        <w:lastRenderedPageBreak/>
        <w:t>su propio presupuesto para cumplir sus funciones y los compromisos adquiridos para con la otra</w:t>
      </w:r>
      <w:r w:rsidRPr="00214793">
        <w:rPr>
          <w:rFonts w:ascii="Verdana" w:eastAsia="Calibri" w:hAnsi="Verdana" w:cs="Arial"/>
          <w:bCs/>
          <w:iCs/>
          <w:sz w:val="20"/>
          <w:szCs w:val="20"/>
        </w:rPr>
        <w:t>, razón por la cual bien pueden comprender la asunción de aportes económicos o financieros, pero sin que su objeto esencial lo constituyan prestaciones propias de los contratos interadministrativos, o el pago de un precio o una remuneración por un servicio prestado o por un bien adquirido o por una obra realizada por una a favor de la otra, pues en tales eventos se estará en presencia de verdaderos contratos”</w:t>
      </w:r>
      <w:r w:rsidRPr="00214793">
        <w:rPr>
          <w:rFonts w:ascii="Verdana" w:eastAsia="Calibri" w:hAnsi="Verdana" w:cs="Arial"/>
          <w:bCs/>
          <w:iCs/>
          <w:sz w:val="20"/>
          <w:szCs w:val="20"/>
          <w:vertAlign w:val="superscript"/>
        </w:rPr>
        <w:footnoteReference w:id="20"/>
      </w:r>
      <w:r w:rsidRPr="00214793">
        <w:rPr>
          <w:rFonts w:ascii="Verdana" w:eastAsia="Calibri" w:hAnsi="Verdana" w:cs="Arial"/>
          <w:bCs/>
          <w:iCs/>
          <w:sz w:val="20"/>
          <w:szCs w:val="20"/>
        </w:rPr>
        <w:t>. [Énfasis por fuera de texto]</w:t>
      </w:r>
    </w:p>
    <w:p w14:paraId="54CCDE9B" w14:textId="77777777" w:rsidR="00814F26" w:rsidRPr="00214793" w:rsidRDefault="00814F26" w:rsidP="00814F26">
      <w:pPr>
        <w:spacing w:after="0" w:line="240" w:lineRule="auto"/>
        <w:ind w:left="709" w:right="714"/>
        <w:jc w:val="both"/>
        <w:rPr>
          <w:rFonts w:ascii="Verdana" w:eastAsia="Calibri" w:hAnsi="Verdana" w:cs="Arial"/>
          <w:iCs/>
          <w:sz w:val="18"/>
          <w:szCs w:val="18"/>
        </w:rPr>
      </w:pPr>
    </w:p>
    <w:p w14:paraId="5284B859" w14:textId="77777777" w:rsidR="00814F26" w:rsidRPr="00214793" w:rsidRDefault="00814F26" w:rsidP="00814F26">
      <w:pPr>
        <w:spacing w:after="120" w:line="276" w:lineRule="auto"/>
        <w:ind w:firstLine="709"/>
        <w:jc w:val="both"/>
        <w:rPr>
          <w:rFonts w:ascii="Verdana" w:eastAsia="Times New Roman" w:hAnsi="Verdana" w:cs="Arial"/>
          <w:lang w:eastAsia="es-ES_tradnl"/>
        </w:rPr>
      </w:pPr>
      <w:r w:rsidRPr="00214793">
        <w:rPr>
          <w:rFonts w:ascii="Verdana" w:eastAsia="Times New Roman" w:hAnsi="Verdana" w:cs="Arial"/>
          <w:lang w:eastAsia="es-ES_tradnl"/>
        </w:rPr>
        <w:t xml:space="preserve">En reciente pronunciamiento, la Sala de lo Contencioso Administrativo, Sección Tercera del Consejo de Estado reiteró </w:t>
      </w:r>
      <w:proofErr w:type="gramStart"/>
      <w:r w:rsidRPr="00214793">
        <w:rPr>
          <w:rFonts w:ascii="Verdana" w:eastAsia="Times New Roman" w:hAnsi="Verdana" w:cs="Arial"/>
          <w:lang w:eastAsia="es-ES_tradnl"/>
        </w:rPr>
        <w:t>que</w:t>
      </w:r>
      <w:proofErr w:type="gramEnd"/>
      <w:r w:rsidRPr="00214793">
        <w:rPr>
          <w:rFonts w:ascii="Verdana" w:eastAsia="Times New Roman" w:hAnsi="Verdana" w:cs="Arial"/>
          <w:lang w:eastAsia="es-ES_tradnl"/>
        </w:rPr>
        <w:t xml:space="preserve"> si bien en el marco de los convenios interadministrativos no se generar relaciones conmutativas sinalagmáticas en la medida que no se obligan a dar o a hacer algo a cambio de una prestación equivalente o remuneración, no significa que no se pueden realizar aportes de naturaleza técnica, administrativa, financiera o económica para ejecutar el objetivo común: </w:t>
      </w:r>
    </w:p>
    <w:p w14:paraId="48A11895" w14:textId="77777777" w:rsidR="00814F26" w:rsidRPr="00214793" w:rsidRDefault="00814F26" w:rsidP="00814F26">
      <w:pPr>
        <w:spacing w:after="0" w:line="276" w:lineRule="auto"/>
        <w:ind w:firstLine="709"/>
        <w:jc w:val="both"/>
        <w:rPr>
          <w:rFonts w:ascii="Verdana" w:eastAsia="Times New Roman" w:hAnsi="Verdana" w:cs="Arial"/>
          <w:lang w:eastAsia="es-ES_tradnl"/>
        </w:rPr>
      </w:pPr>
    </w:p>
    <w:p w14:paraId="6738D555" w14:textId="77777777" w:rsidR="00814F26" w:rsidRPr="00214793" w:rsidRDefault="00814F26" w:rsidP="00814F26">
      <w:pPr>
        <w:spacing w:after="0" w:line="240" w:lineRule="auto"/>
        <w:ind w:left="709" w:right="714"/>
        <w:jc w:val="both"/>
        <w:rPr>
          <w:rFonts w:ascii="Verdana" w:eastAsia="Calibri" w:hAnsi="Verdana" w:cs="Arial"/>
          <w:bCs/>
          <w:iCs/>
          <w:sz w:val="20"/>
          <w:szCs w:val="20"/>
        </w:rPr>
      </w:pPr>
      <w:r w:rsidRPr="00214793">
        <w:rPr>
          <w:rFonts w:ascii="Verdana" w:eastAsia="Calibri" w:hAnsi="Verdana" w:cs="Arial"/>
          <w:iCs/>
          <w:sz w:val="20"/>
          <w:szCs w:val="20"/>
        </w:rPr>
        <w:t xml:space="preserve">“Lo anterior no significa que en el marco de los convenios </w:t>
      </w:r>
      <w:r w:rsidRPr="00214793">
        <w:rPr>
          <w:rFonts w:ascii="Verdana" w:eastAsia="Calibri" w:hAnsi="Verdana" w:cs="Arial"/>
          <w:i/>
          <w:sz w:val="20"/>
          <w:szCs w:val="20"/>
        </w:rPr>
        <w:t>interadministrativos las partes no puedan asumir obligaciones de tipo económico, en tanto, desde el ámbito que corresponde a sus competencias, pueden contribuir a la realización del objetivo común a través de aportes de naturaleza técnica, administrativa, financiera o económica</w:t>
      </w:r>
      <w:r w:rsidRPr="00214793">
        <w:rPr>
          <w:rFonts w:ascii="Verdana" w:eastAsia="Calibri" w:hAnsi="Verdana" w:cs="Arial"/>
          <w:iCs/>
          <w:sz w:val="20"/>
          <w:szCs w:val="20"/>
        </w:rPr>
        <w:t>. Es por esto que un aporte económico no puede entenderse ni aplicarse a la relación negocial como una retribución por contraprestación de la otra parte, o por el desempeño de las funciones administrativas o técnicas que otro contrayente, en el ámbito de sus competencias, se obliga a ejecutar, pues de ser ello así, se desnaturalizaría la principal y más esencial característica de este tipo de negocios, la cual está dada por la conjunción de esfuerzos para el logro de una finalidad común a todos los intervinientes”</w:t>
      </w:r>
      <w:r w:rsidRPr="00214793">
        <w:rPr>
          <w:rFonts w:ascii="Verdana" w:eastAsia="Calibri" w:hAnsi="Verdana" w:cs="Arial"/>
          <w:iCs/>
          <w:sz w:val="20"/>
          <w:szCs w:val="20"/>
          <w:vertAlign w:val="superscript"/>
        </w:rPr>
        <w:footnoteReference w:id="21"/>
      </w:r>
      <w:r w:rsidRPr="00214793">
        <w:rPr>
          <w:rFonts w:ascii="Verdana" w:eastAsia="Calibri" w:hAnsi="Verdana" w:cs="Arial"/>
          <w:iCs/>
          <w:sz w:val="20"/>
          <w:szCs w:val="20"/>
        </w:rPr>
        <w:t>.</w:t>
      </w:r>
      <w:r w:rsidRPr="00214793">
        <w:rPr>
          <w:rFonts w:ascii="Verdana" w:eastAsia="Geomanist Light" w:hAnsi="Verdana" w:cs="Arial"/>
          <w:color w:val="201F1E"/>
        </w:rPr>
        <w:t xml:space="preserve"> </w:t>
      </w:r>
      <w:r w:rsidRPr="00214793">
        <w:rPr>
          <w:rFonts w:ascii="Verdana" w:eastAsia="Calibri" w:hAnsi="Verdana" w:cs="Arial"/>
          <w:bCs/>
          <w:iCs/>
          <w:sz w:val="20"/>
          <w:szCs w:val="20"/>
        </w:rPr>
        <w:t>[Énfasis por fuera de texto]</w:t>
      </w:r>
    </w:p>
    <w:p w14:paraId="0A5D097B" w14:textId="77777777" w:rsidR="00814F26" w:rsidRPr="00214793" w:rsidRDefault="00814F26" w:rsidP="00814F26">
      <w:pPr>
        <w:spacing w:after="0" w:line="276" w:lineRule="auto"/>
        <w:ind w:right="714"/>
        <w:jc w:val="both"/>
        <w:rPr>
          <w:rFonts w:ascii="Verdana" w:eastAsia="Calibri" w:hAnsi="Verdana" w:cs="Arial"/>
          <w:iCs/>
          <w:sz w:val="20"/>
          <w:szCs w:val="20"/>
        </w:rPr>
      </w:pPr>
    </w:p>
    <w:p w14:paraId="2E4160DE" w14:textId="77777777" w:rsidR="00814F26" w:rsidRPr="00214793" w:rsidRDefault="00814F26" w:rsidP="00814F26">
      <w:pPr>
        <w:spacing w:after="120" w:line="276" w:lineRule="auto"/>
        <w:ind w:firstLine="709"/>
        <w:jc w:val="both"/>
        <w:rPr>
          <w:rFonts w:ascii="Verdana" w:eastAsia="Times New Roman" w:hAnsi="Verdana" w:cs="Arial"/>
          <w:lang w:eastAsia="es-ES_tradnl"/>
        </w:rPr>
      </w:pPr>
      <w:r w:rsidRPr="00214793">
        <w:rPr>
          <w:rFonts w:ascii="Verdana" w:eastAsia="Times New Roman" w:hAnsi="Verdana" w:cs="Arial"/>
          <w:lang w:eastAsia="es-ES_tradnl"/>
        </w:rPr>
        <w:t xml:space="preserve">De esta manera, </w:t>
      </w:r>
      <w:r w:rsidRPr="00214793">
        <w:rPr>
          <w:rFonts w:ascii="Verdana" w:eastAsia="Calibri" w:hAnsi="Verdana" w:cs="Arial"/>
          <w:bCs/>
          <w:iCs/>
        </w:rPr>
        <w:t xml:space="preserve">es posible y lógico que para efectos de la ejecución del convenio interadministrativo las entidades públicas incurran en costos y gastos administrativos lo que se puede reflejar en los respectivos </w:t>
      </w:r>
      <w:r w:rsidRPr="00214793">
        <w:rPr>
          <w:rFonts w:ascii="Verdana" w:eastAsia="Times New Roman" w:hAnsi="Verdana" w:cs="Arial"/>
          <w:lang w:eastAsia="es-ES_tradnl"/>
        </w:rPr>
        <w:t>aportes de naturaleza técnica, administrativa, financiera o económica, sin que ello signifique el pago de un precio o una remuneración por servicio prestado o bien adquirido. Estos costos o gastos de administración pueden incluirse válidamente</w:t>
      </w:r>
      <w:r w:rsidRPr="00214793">
        <w:rPr>
          <w:rFonts w:ascii="Verdana" w:eastAsia="Times New Roman" w:hAnsi="Verdana" w:cs="Arial"/>
          <w:b/>
          <w:bCs/>
          <w:lang w:eastAsia="es-ES_tradnl"/>
        </w:rPr>
        <w:t xml:space="preserve"> </w:t>
      </w:r>
      <w:r w:rsidRPr="00214793">
        <w:rPr>
          <w:rFonts w:ascii="Verdana" w:eastAsia="Times New Roman" w:hAnsi="Verdana" w:cs="Arial"/>
          <w:lang w:eastAsia="es-ES_tradnl"/>
        </w:rPr>
        <w:t xml:space="preserve">siempre que se </w:t>
      </w:r>
      <w:r w:rsidRPr="00214793">
        <w:rPr>
          <w:rFonts w:ascii="Verdana" w:eastAsia="Times New Roman" w:hAnsi="Verdana" w:cs="Arial"/>
          <w:lang w:eastAsia="es-ES_tradnl"/>
        </w:rPr>
        <w:lastRenderedPageBreak/>
        <w:t xml:space="preserve">justifique técnica y financieramente que son necesarios y razonables para el desarrollo del objeto convenido y que se trate de aspectos operativos, logísticos o de administración </w:t>
      </w:r>
      <w:r w:rsidRPr="00214793">
        <w:rPr>
          <w:rFonts w:ascii="Verdana" w:eastAsia="Calibri" w:hAnsi="Verdana" w:cs="Arial"/>
          <w:bCs/>
          <w:iCs/>
        </w:rPr>
        <w:t>que permitan cumplir los compromisos adquiridos en el marco del convenio</w:t>
      </w:r>
      <w:r w:rsidRPr="00214793">
        <w:rPr>
          <w:rFonts w:ascii="Verdana" w:eastAsia="Times New Roman" w:hAnsi="Verdana" w:cs="Arial"/>
          <w:lang w:eastAsia="es-ES_tradnl"/>
        </w:rPr>
        <w:t xml:space="preserve"> y que, por tanto, no representan una utilidad o una contraprestación en favor de una de las partes. </w:t>
      </w:r>
    </w:p>
    <w:p w14:paraId="1D2DEC6F" w14:textId="77777777" w:rsidR="00814F26" w:rsidRPr="00214793" w:rsidRDefault="00814F26" w:rsidP="00814F26">
      <w:pPr>
        <w:spacing w:after="120" w:line="276" w:lineRule="auto"/>
        <w:ind w:firstLine="708"/>
        <w:jc w:val="both"/>
        <w:rPr>
          <w:rFonts w:ascii="Verdana" w:eastAsia="Times New Roman" w:hAnsi="Verdana" w:cs="Arial"/>
          <w:lang w:eastAsia="es-ES_tradnl"/>
        </w:rPr>
      </w:pPr>
      <w:r w:rsidRPr="00214793">
        <w:rPr>
          <w:rFonts w:ascii="Verdana" w:eastAsia="Times New Roman" w:hAnsi="Verdana" w:cs="Arial"/>
          <w:lang w:eastAsia="es-ES_tradnl"/>
        </w:rPr>
        <w:t xml:space="preserve">En este sentido, se precisa que la posibilidad de que un convenio interadministrativo incluya compromisos con contenido económico no puede ir en contravía de su naturaleza y finalidad, ni mucho menos desconocer los elementos esenciales de este tipo negocial que se desprenden del artículo 95 de la Ley 489 de 1998. Por ende, la determinación de estos costos o gastos administrativos no pueden ocultar una remuneración verdadera o una utilidad en favor de alguna de las entidades que concurre a su suscripción, así como tampoco pueden emplearse para aspectos distintos del cumplimiento de los compromisos asumidos, pues no se trataría de un </w:t>
      </w:r>
      <w:proofErr w:type="gramStart"/>
      <w:r w:rsidRPr="00214793">
        <w:rPr>
          <w:rFonts w:ascii="Verdana" w:eastAsia="Times New Roman" w:hAnsi="Verdana" w:cs="Arial"/>
          <w:lang w:eastAsia="es-ES_tradnl"/>
        </w:rPr>
        <w:t>convenio</w:t>
      </w:r>
      <w:proofErr w:type="gramEnd"/>
      <w:r w:rsidRPr="00214793">
        <w:rPr>
          <w:rFonts w:ascii="Verdana" w:eastAsia="Times New Roman" w:hAnsi="Verdana" w:cs="Arial"/>
          <w:lang w:eastAsia="es-ES_tradnl"/>
        </w:rPr>
        <w:t xml:space="preserve"> sino que su connotación transmutaría a un contrato interadministrativo. </w:t>
      </w:r>
    </w:p>
    <w:p w14:paraId="05D41241" w14:textId="77777777" w:rsidR="00814F26" w:rsidRPr="00214793" w:rsidRDefault="00814F26" w:rsidP="00814F26">
      <w:pPr>
        <w:spacing w:after="120" w:line="276" w:lineRule="auto"/>
        <w:ind w:firstLine="708"/>
        <w:jc w:val="both"/>
        <w:rPr>
          <w:rFonts w:ascii="Verdana" w:eastAsia="Times New Roman" w:hAnsi="Verdana" w:cs="Arial"/>
          <w:iCs/>
          <w:lang w:eastAsia="es-ES_tradnl"/>
        </w:rPr>
      </w:pPr>
      <w:r w:rsidRPr="00214793">
        <w:rPr>
          <w:rFonts w:ascii="Verdana" w:eastAsia="Times New Roman" w:hAnsi="Verdana" w:cs="Arial"/>
          <w:iCs/>
          <w:lang w:eastAsia="es-ES_tradnl"/>
        </w:rPr>
        <w:t>Esta claridad resulta importante para efectos de la consulta planteada ya que, 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w:t>
      </w:r>
    </w:p>
    <w:p w14:paraId="33CCF65F" w14:textId="77777777" w:rsidR="00814F26" w:rsidRPr="00214793" w:rsidRDefault="00814F26" w:rsidP="00814F26">
      <w:pPr>
        <w:spacing w:after="120" w:line="276" w:lineRule="auto"/>
        <w:ind w:firstLine="708"/>
        <w:jc w:val="both"/>
        <w:rPr>
          <w:rFonts w:ascii="Verdana" w:eastAsia="Times New Roman" w:hAnsi="Verdana" w:cs="Arial"/>
          <w:iCs/>
          <w:lang w:eastAsia="es-ES_tradnl"/>
        </w:rPr>
      </w:pPr>
      <w:r w:rsidRPr="00214793">
        <w:rPr>
          <w:rFonts w:ascii="Verdana" w:eastAsia="Times New Roman" w:hAnsi="Verdana" w:cs="Arial"/>
          <w:iCs/>
          <w:lang w:eastAsia="es-ES_tradnl"/>
        </w:rPr>
        <w:t xml:space="preserve">Lo anterior reviste especial importancia, ya que, como se explicó, la naturaleza del negocio jurídico determina el régimen jurídico aplicable, así como la procedencia y el alcance de determinadas figuras contractuales. En este sentido, la determinación de los costos o gastos administrativos en uno u otro negocio jurídico debe corresponden con la naturaleza, finalidad y alcance de cada uno de ellos. En todo caso, debe recordarse que la aplicación o el alcance de estas y otras instituciones debe evaluarse con base en el contenido específico </w:t>
      </w:r>
      <w:r w:rsidRPr="00214793">
        <w:rPr>
          <w:rFonts w:ascii="Verdana" w:eastAsia="Times New Roman" w:hAnsi="Verdana" w:cs="Arial"/>
          <w:iCs/>
          <w:lang w:eastAsia="es-ES_tradnl"/>
        </w:rPr>
        <w:lastRenderedPageBreak/>
        <w:t>de cada convenio interadministrativo celebrado, por lo que no es posible establecer conclusiones de manera automática o anticipada con la simple denominación que las partes le asignen.</w:t>
      </w:r>
    </w:p>
    <w:p w14:paraId="59145B2C" w14:textId="77777777" w:rsidR="00814F26" w:rsidRPr="00214793" w:rsidRDefault="00814F26" w:rsidP="00814F26">
      <w:pPr>
        <w:spacing w:after="120" w:line="276" w:lineRule="auto"/>
        <w:jc w:val="both"/>
        <w:rPr>
          <w:rFonts w:ascii="Verdana" w:eastAsia="Times New Roman" w:hAnsi="Verdana" w:cs="Arial"/>
          <w:iCs/>
          <w:lang w:eastAsia="es-ES_tradnl"/>
        </w:rPr>
      </w:pPr>
      <w:proofErr w:type="spellStart"/>
      <w:r w:rsidRPr="00214793">
        <w:rPr>
          <w:rFonts w:ascii="Verdana" w:eastAsia="Times New Roman" w:hAnsi="Verdana" w:cs="Arial"/>
          <w:iCs/>
          <w:sz w:val="24"/>
          <w:szCs w:val="24"/>
          <w:lang w:eastAsia="es-ES_tradnl"/>
        </w:rPr>
        <w:t>iii</w:t>
      </w:r>
      <w:proofErr w:type="spellEnd"/>
      <w:r w:rsidRPr="00214793">
        <w:rPr>
          <w:rFonts w:ascii="Verdana" w:eastAsia="Times New Roman" w:hAnsi="Verdana" w:cs="Arial"/>
          <w:iCs/>
          <w:sz w:val="24"/>
          <w:szCs w:val="24"/>
          <w:lang w:eastAsia="es-ES_tradnl"/>
        </w:rPr>
        <w:t xml:space="preserve">. </w:t>
      </w:r>
      <w:r w:rsidRPr="00214793">
        <w:rPr>
          <w:rFonts w:ascii="Verdana" w:eastAsia="Times New Roman" w:hAnsi="Verdana" w:cs="Arial"/>
          <w:iCs/>
          <w:lang w:eastAsia="es-ES_tradnl"/>
        </w:rPr>
        <w:t>Es importante aclarar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o contratos interadministrativos solo pueden ser celebrados entre entidades públicas, pues a éstas corresponde la realización de los fines y tareas que el legislador les ha asignado</w:t>
      </w:r>
      <w:r w:rsidRPr="00214793">
        <w:rPr>
          <w:rFonts w:ascii="Verdana" w:eastAsia="Times New Roman" w:hAnsi="Verdana" w:cs="Times New Roman"/>
          <w:iCs/>
          <w:vertAlign w:val="superscript"/>
          <w:lang w:eastAsia="es-ES_tradnl"/>
        </w:rPr>
        <w:footnoteReference w:id="22"/>
      </w:r>
      <w:r w:rsidRPr="00214793">
        <w:rPr>
          <w:rFonts w:ascii="Verdana" w:eastAsia="Times New Roman" w:hAnsi="Verdana" w:cs="Arial"/>
          <w:iCs/>
          <w:lang w:eastAsia="es-ES_tradnl"/>
        </w:rPr>
        <w:t>.</w:t>
      </w:r>
    </w:p>
    <w:p w14:paraId="7CFA9DD1" w14:textId="77777777" w:rsidR="00814F26" w:rsidRPr="00214793" w:rsidRDefault="00814F26" w:rsidP="00814F26">
      <w:pPr>
        <w:spacing w:after="0" w:line="276" w:lineRule="auto"/>
        <w:ind w:firstLine="708"/>
        <w:jc w:val="both"/>
        <w:rPr>
          <w:rFonts w:ascii="Verdana" w:hAnsi="Verdana" w:cs="Arial"/>
        </w:rPr>
      </w:pPr>
      <w:r w:rsidRPr="00214793">
        <w:rPr>
          <w:rFonts w:ascii="Verdana" w:hAnsi="Verdana" w:cs="Arial"/>
          <w:iCs/>
          <w:lang w:eastAsia="es-ES_tradnl"/>
        </w:rPr>
        <w:t>Al respecto, se precisa que</w:t>
      </w:r>
      <w:r w:rsidRPr="00214793">
        <w:rPr>
          <w:rFonts w:ascii="Verdana" w:hAnsi="Verdana" w:cs="Arial"/>
        </w:rPr>
        <w:t xml:space="preserve">, en relación con la modalidad de selección aplicable a la celebración de contratos interadministrativos que, </w:t>
      </w:r>
      <w:bookmarkStart w:id="8" w:name="_Hlk174539333"/>
      <w:r w:rsidRPr="00214793">
        <w:rPr>
          <w:rFonts w:ascii="Verdana" w:hAnsi="Verdana" w:cs="Arial"/>
        </w:rPr>
        <w:t xml:space="preserve">la Ley 1150 de 2007 establece que las Entidades Estatales pueden suscribirlos de manera directa, siempre que las obligaciones derivadas de los mismos tengan relación con el objeto de la entidad ejecutora. Sin embargo, esa misma Ley establece excepciones concretas a esta facultad, aplicable a los supuestos en que ciertas tipologías contractuales sean ejecutadas por alguna de las Entidades Estatales enlistadas en dicha restricción. </w:t>
      </w:r>
      <w:bookmarkEnd w:id="8"/>
      <w:r w:rsidRPr="00214793">
        <w:rPr>
          <w:rFonts w:ascii="Verdana" w:hAnsi="Verdana" w:cs="Arial"/>
        </w:rPr>
        <w:t xml:space="preserve">De esta manera, el artículo 2, numeral 4, literal c), de la mencionada ley –modificado por el artículo 92 de la Ley 1474 de 2011– estableció lo siguiente: </w:t>
      </w:r>
    </w:p>
    <w:p w14:paraId="35855E47" w14:textId="77777777" w:rsidR="00814F26" w:rsidRPr="00214793" w:rsidRDefault="00814F26" w:rsidP="00814F26">
      <w:pPr>
        <w:spacing w:after="0" w:line="276" w:lineRule="auto"/>
        <w:ind w:firstLine="709"/>
        <w:jc w:val="both"/>
        <w:rPr>
          <w:rFonts w:ascii="Verdana" w:eastAsia="Calibri" w:hAnsi="Verdana" w:cs="Arial"/>
          <w:color w:val="000000" w:themeColor="text1"/>
          <w:lang w:val="es-ES_tradnl" w:eastAsia="es-ES_tradnl"/>
        </w:rPr>
      </w:pPr>
    </w:p>
    <w:p w14:paraId="587E8D4D" w14:textId="77777777" w:rsidR="00814F26" w:rsidRPr="00214793" w:rsidRDefault="00814F26" w:rsidP="00814F26">
      <w:pPr>
        <w:spacing w:after="0" w:line="240" w:lineRule="auto"/>
        <w:ind w:left="709" w:right="709"/>
        <w:jc w:val="both"/>
        <w:rPr>
          <w:rFonts w:ascii="Verdana" w:eastAsia="Times New Roman" w:hAnsi="Verdana" w:cs="Arial"/>
          <w:sz w:val="20"/>
          <w:szCs w:val="20"/>
          <w:lang w:eastAsia="es-CO"/>
        </w:rPr>
      </w:pPr>
      <w:r w:rsidRPr="00214793">
        <w:rPr>
          <w:rFonts w:ascii="Verdana" w:eastAsia="Times New Roman" w:hAnsi="Verdana" w:cs="Arial"/>
          <w:sz w:val="20"/>
          <w:szCs w:val="20"/>
          <w:lang w:eastAsia="es-CO"/>
        </w:rPr>
        <w:t>“c) Contratos interadministrativos, siempre que las obligaciones derivadas del mismo tengan relación directa con el objeto de la entidad ejecutora señalado en la ley o en sus reglamentos.</w:t>
      </w:r>
    </w:p>
    <w:p w14:paraId="09FFB611" w14:textId="77777777" w:rsidR="00814F26" w:rsidRPr="00214793" w:rsidRDefault="00814F26" w:rsidP="00814F26">
      <w:pPr>
        <w:spacing w:after="0" w:line="240" w:lineRule="auto"/>
        <w:ind w:left="709" w:right="709"/>
        <w:jc w:val="both"/>
        <w:rPr>
          <w:rFonts w:ascii="Verdana" w:eastAsia="Times New Roman" w:hAnsi="Verdana" w:cs="Arial"/>
          <w:sz w:val="20"/>
          <w:szCs w:val="20"/>
          <w:lang w:eastAsia="es-CO"/>
        </w:rPr>
      </w:pPr>
    </w:p>
    <w:p w14:paraId="31F85DA7" w14:textId="77777777" w:rsidR="00814F26" w:rsidRPr="00214793" w:rsidRDefault="00814F26" w:rsidP="00814F26">
      <w:pPr>
        <w:spacing w:after="0" w:line="240" w:lineRule="auto"/>
        <w:ind w:left="709" w:right="709"/>
        <w:jc w:val="both"/>
        <w:rPr>
          <w:rFonts w:ascii="Verdana" w:eastAsia="Times New Roman" w:hAnsi="Verdana" w:cs="Arial"/>
          <w:sz w:val="20"/>
          <w:szCs w:val="20"/>
          <w:lang w:eastAsia="es-CO"/>
        </w:rPr>
      </w:pPr>
      <w:r w:rsidRPr="00214793">
        <w:rPr>
          <w:rFonts w:ascii="Verdana" w:eastAsia="Times New Roman" w:hAnsi="Verdana" w:cs="Arial"/>
          <w:sz w:val="20"/>
          <w:szCs w:val="20"/>
          <w:lang w:eastAsia="es-CO"/>
        </w:rPr>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02DA158" w14:textId="77777777" w:rsidR="00814F26" w:rsidRPr="00214793" w:rsidRDefault="00814F26" w:rsidP="00814F26">
      <w:pPr>
        <w:spacing w:after="0" w:line="276" w:lineRule="auto"/>
        <w:ind w:left="709" w:right="709"/>
        <w:jc w:val="both"/>
        <w:rPr>
          <w:rFonts w:ascii="Verdana" w:eastAsia="Times New Roman" w:hAnsi="Verdana" w:cs="Arial"/>
          <w:lang w:eastAsia="es-CO"/>
        </w:rPr>
      </w:pPr>
    </w:p>
    <w:p w14:paraId="11936000" w14:textId="77777777" w:rsidR="00814F26" w:rsidRPr="00214793" w:rsidRDefault="00814F26" w:rsidP="00814F26">
      <w:pPr>
        <w:spacing w:after="120" w:line="276" w:lineRule="auto"/>
        <w:ind w:firstLine="708"/>
        <w:jc w:val="both"/>
        <w:rPr>
          <w:rFonts w:ascii="Verdana" w:hAnsi="Verdana" w:cs="Arial"/>
        </w:rPr>
      </w:pPr>
      <w:bookmarkStart w:id="9" w:name="_Hlk174539405"/>
      <w:r w:rsidRPr="00214793">
        <w:rPr>
          <w:rFonts w:ascii="Verdana" w:hAnsi="Verdana" w:cs="Arial"/>
        </w:rPr>
        <w:lastRenderedPageBreak/>
        <w:t>Según el inciso primero del literal trascrito, la suscripción de contratos interadministrativos de forma directa, conforme a dicha causal, está sujeta a que las obligaciones del negocio jurídico tengan relación directa con el objeto de la entidad ejecutora, establecido en la ley o en sus reglamentos. La condición impuesta por el legislador para la suscripción de estos contratos se establece a efectos de constatar que el ejecutante cuente con la capacidad jurídica para contraer las obligaciones establecidas en el contrato.</w:t>
      </w:r>
      <w:bookmarkEnd w:id="9"/>
    </w:p>
    <w:p w14:paraId="5DD687DC" w14:textId="77777777" w:rsidR="00814F26" w:rsidRPr="00214793" w:rsidRDefault="00814F26" w:rsidP="00814F26">
      <w:pPr>
        <w:spacing w:after="120" w:line="276" w:lineRule="auto"/>
        <w:ind w:firstLine="708"/>
        <w:jc w:val="both"/>
        <w:rPr>
          <w:rFonts w:ascii="Verdana" w:hAnsi="Verdana" w:cs="Arial"/>
          <w:lang w:val="es-ES"/>
        </w:rPr>
      </w:pPr>
      <w:bookmarkStart w:id="10" w:name="_Hlk174539459"/>
      <w:r w:rsidRPr="00214793">
        <w:rPr>
          <w:rFonts w:ascii="Verdana" w:hAnsi="Verdana" w:cs="Arial"/>
        </w:rPr>
        <w:t>De otro lado, debe tenerse en cuenta que el inciso segundo establece una limitación a la contratación directa mediante la causal del literal c) –transcrito arriba– dirigido a los supuestos en que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De manera que cuando dichas entidades sean las ejecutoras, no se pueden celebrar contratos interadministrativos de manera directa, utilizando la causal del literal c), en tratándose de “contratos de obra, suministro, prestación de servicios de evaluación de conformidad respecto de las normas o reglamentos técnicos, encargos fiduciarios y fiducia pública”, sin que se advierta dentro de ellos los contratos de arrendamiento.</w:t>
      </w:r>
      <w:bookmarkEnd w:id="10"/>
    </w:p>
    <w:p w14:paraId="0A26F50B" w14:textId="46307555" w:rsidR="00814F26" w:rsidRPr="00214793" w:rsidRDefault="00814F26" w:rsidP="00814F26">
      <w:pPr>
        <w:spacing w:after="120" w:line="276" w:lineRule="auto"/>
        <w:ind w:firstLine="708"/>
        <w:jc w:val="both"/>
        <w:rPr>
          <w:rFonts w:ascii="Verdana" w:hAnsi="Verdana" w:cs="Arial"/>
          <w:lang w:val="es-ES"/>
        </w:rPr>
      </w:pPr>
      <w:r w:rsidRPr="00214793">
        <w:rPr>
          <w:rFonts w:ascii="Verdana" w:hAnsi="Verdana" w:cs="Arial"/>
          <w:lang w:val="es-ES"/>
        </w:rPr>
        <w:t xml:space="preserve">Además, </w:t>
      </w:r>
      <w:r w:rsidR="004A35FB">
        <w:rPr>
          <w:rFonts w:ascii="Verdana" w:hAnsi="Verdana" w:cs="Arial"/>
          <w:lang w:val="es-ES"/>
        </w:rPr>
        <w:t xml:space="preserve">conviene </w:t>
      </w:r>
      <w:r w:rsidRPr="00214793">
        <w:rPr>
          <w:rFonts w:ascii="Verdana" w:hAnsi="Verdana" w:cs="Arial"/>
        </w:rPr>
        <w:t xml:space="preserve">señalar que la excepción contenida en la norma mencionada –concretamente el inciso segundo– determina de manera explícita los sujetos a los cuales les es aplicable la restricción contenida en dicho artículo, que incluye la celebración de contratos o convenios interadministrativos cuando se trate de ese tipo de contratos enlistados en el párrafo precedente. Esta disposición exceptuó celebrar de manera directa contratos o convenios interadministrativos cuando se trate de encargos fiduciarios o fiducia pública cuya entidad ejecutora sea una institución de educación superior pública o una Sociedad de Economía Mixta con participación mayoritaria del Estado, o una persona jurídica sin ánimo de lucro conformada por la asociación de Entidades Públicas, o una federación de entidades territoriales. </w:t>
      </w:r>
    </w:p>
    <w:p w14:paraId="13934C9D" w14:textId="77777777" w:rsidR="00814F26" w:rsidRPr="00214793" w:rsidRDefault="00814F26" w:rsidP="00814F26">
      <w:pPr>
        <w:spacing w:after="0" w:line="276" w:lineRule="auto"/>
        <w:ind w:firstLine="708"/>
        <w:jc w:val="both"/>
        <w:rPr>
          <w:rFonts w:ascii="Verdana" w:hAnsi="Verdana" w:cs="Arial"/>
        </w:rPr>
      </w:pPr>
      <w:r w:rsidRPr="00214793">
        <w:rPr>
          <w:rFonts w:ascii="Verdana" w:hAnsi="Verdana" w:cs="Arial"/>
        </w:rPr>
        <w:t>En esta línea, la Sala de Consulta y Servicio Civil</w:t>
      </w:r>
      <w:r w:rsidRPr="00214793">
        <w:rPr>
          <w:rFonts w:ascii="Verdana" w:hAnsi="Verdana" w:cs="Arial"/>
          <w:vertAlign w:val="superscript"/>
        </w:rPr>
        <w:footnoteReference w:id="23"/>
      </w:r>
      <w:r w:rsidRPr="00214793">
        <w:rPr>
          <w:rFonts w:ascii="Verdana" w:hAnsi="Verdana" w:cs="Arial"/>
        </w:rPr>
        <w:t xml:space="preserve"> precisó sobre el alcance de la modificación introducida por el artículo 92 de la Ley 1474 de 2011 al literal </w:t>
      </w:r>
      <w:r w:rsidRPr="00214793">
        <w:rPr>
          <w:rFonts w:ascii="Verdana" w:hAnsi="Verdana" w:cs="Arial"/>
        </w:rPr>
        <w:lastRenderedPageBreak/>
        <w:t xml:space="preserve">c) del numeral 4 del artículo 2 de la Ley 1150 de 2007, y en particular, sobre la restricción establecida en el inciso segundo de la norma referida, lo siguiente: </w:t>
      </w:r>
    </w:p>
    <w:p w14:paraId="14EEDD8F" w14:textId="77777777" w:rsidR="00814F26" w:rsidRPr="00214793" w:rsidRDefault="00814F26" w:rsidP="00814F26">
      <w:pPr>
        <w:spacing w:after="0" w:line="276" w:lineRule="auto"/>
        <w:ind w:firstLine="708"/>
        <w:jc w:val="both"/>
        <w:rPr>
          <w:rFonts w:ascii="Verdana" w:eastAsia="Arial" w:hAnsi="Verdana" w:cs="Arial"/>
          <w:lang w:val="es-ES" w:eastAsia="es-ES" w:bidi="es-ES"/>
        </w:rPr>
      </w:pPr>
    </w:p>
    <w:p w14:paraId="2AB6651B" w14:textId="77777777" w:rsidR="00814F26" w:rsidRPr="00214793" w:rsidRDefault="00814F26" w:rsidP="00814F2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214793">
        <w:rPr>
          <w:rFonts w:ascii="Verdana" w:eastAsia="Arial" w:hAnsi="Verdana" w:cs="Arial"/>
          <w:sz w:val="20"/>
          <w:szCs w:val="20"/>
          <w:lang w:val="es-ES" w:eastAsia="es-ES" w:bidi="es-ES"/>
        </w:rPr>
        <w:t xml:space="preserve">“[...] La suscripción de contratos interadministrativos </w:t>
      </w:r>
      <w:r w:rsidRPr="00214793">
        <w:rPr>
          <w:rFonts w:ascii="Verdana" w:eastAsia="Calibri" w:hAnsi="Verdana" w:cs="Arial"/>
          <w:color w:val="000000" w:themeColor="text1"/>
          <w:sz w:val="20"/>
          <w:szCs w:val="20"/>
          <w:lang w:val="es-ES_tradnl" w:eastAsia="es-ES" w:bidi="es-ES"/>
        </w:rPr>
        <w:t>“</w:t>
      </w:r>
      <w:r w:rsidRPr="00214793">
        <w:rPr>
          <w:rFonts w:ascii="Verdana" w:eastAsia="Arial" w:hAnsi="Verdana" w:cs="Arial"/>
          <w:sz w:val="20"/>
          <w:szCs w:val="20"/>
          <w:lang w:val="es-ES" w:eastAsia="es-ES" w:bidi="es-ES"/>
        </w:rPr>
        <w:t>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w:t>
      </w:r>
      <w:r w:rsidRPr="00214793">
        <w:rPr>
          <w:rFonts w:ascii="Verdana" w:eastAsia="Calibri" w:hAnsi="Verdana" w:cs="Arial"/>
          <w:color w:val="000000" w:themeColor="text1"/>
          <w:sz w:val="20"/>
          <w:szCs w:val="20"/>
          <w:lang w:val="es-ES_tradnl" w:eastAsia="es-ES" w:bidi="es-ES"/>
        </w:rPr>
        <w:t>”</w:t>
      </w:r>
      <w:r w:rsidRPr="00214793">
        <w:rPr>
          <w:rFonts w:ascii="Verdana" w:eastAsia="Arial" w:hAnsi="Verdana" w:cs="Arial"/>
          <w:sz w:val="20"/>
          <w:szCs w:val="20"/>
          <w:lang w:val="es-ES" w:eastAsia="es-ES" w:bidi="es-ES"/>
        </w:rPr>
        <w:t>, debe estar precedida de licitación pública o selección abreviada; solamente en los demás casos, podrá acudirse al sistema de contratación directa (literal c, inciso 2).</w:t>
      </w:r>
    </w:p>
    <w:p w14:paraId="32519274" w14:textId="77777777" w:rsidR="00814F26" w:rsidRPr="00214793" w:rsidRDefault="00814F26" w:rsidP="00814F2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7E6C3737" w14:textId="77777777" w:rsidR="00814F26" w:rsidRPr="00214793" w:rsidRDefault="00814F26" w:rsidP="00814F2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214793">
        <w:rPr>
          <w:rFonts w:ascii="Verdana" w:eastAsia="Arial" w:hAnsi="Verdana" w:cs="Arial"/>
          <w:sz w:val="20"/>
          <w:szCs w:val="20"/>
          <w:lang w:val="es-ES" w:eastAsia="es-ES" w:bidi="es-ES"/>
        </w:rPr>
        <w:t xml:space="preserve">La Sala aclara que, en todo caso y aún en los eventos de licitación pública o selección abreviada, el contrato debe tener relación directa con el objeto de la entidad ejecutora; en ese sentido, el inciso segundo de la norma en </w:t>
      </w:r>
      <w:proofErr w:type="gramStart"/>
      <w:r w:rsidRPr="00214793">
        <w:rPr>
          <w:rFonts w:ascii="Verdana" w:eastAsia="Arial" w:hAnsi="Verdana" w:cs="Arial"/>
          <w:sz w:val="20"/>
          <w:szCs w:val="20"/>
          <w:lang w:val="es-ES" w:eastAsia="es-ES" w:bidi="es-ES"/>
        </w:rPr>
        <w:t>cita,</w:t>
      </w:r>
      <w:proofErr w:type="gramEnd"/>
      <w:r w:rsidRPr="00214793">
        <w:rPr>
          <w:rFonts w:ascii="Verdana" w:eastAsia="Arial" w:hAnsi="Verdana" w:cs="Arial"/>
          <w:sz w:val="20"/>
          <w:szCs w:val="20"/>
          <w:lang w:val="es-ES" w:eastAsia="es-ES" w:bidi="es-ES"/>
        </w:rPr>
        <w:t xml:space="preserve"> no puede ser interpretado como una autorización para celebrar contratos que no tengan relación con el objeto de la entidad ejecutora. La excepción que consagra dicho inciso se refiere solamente a que los contratos allí referidos no pueden celebrarse por contratación </w:t>
      </w:r>
      <w:proofErr w:type="gramStart"/>
      <w:r w:rsidRPr="00214793">
        <w:rPr>
          <w:rFonts w:ascii="Verdana" w:eastAsia="Arial" w:hAnsi="Verdana" w:cs="Arial"/>
          <w:sz w:val="20"/>
          <w:szCs w:val="20"/>
          <w:lang w:val="es-ES" w:eastAsia="es-ES" w:bidi="es-ES"/>
        </w:rPr>
        <w:t>directa</w:t>
      </w:r>
      <w:proofErr w:type="gramEnd"/>
      <w:r w:rsidRPr="00214793">
        <w:rPr>
          <w:rFonts w:ascii="Verdana" w:eastAsia="Arial" w:hAnsi="Verdana" w:cs="Arial"/>
          <w:sz w:val="20"/>
          <w:szCs w:val="20"/>
          <w:lang w:val="es-ES" w:eastAsia="es-ES" w:bidi="es-ES"/>
        </w:rPr>
        <w:t xml:space="preserve"> sino que requieren agotar un proceso previo de licitación pública o selección abreviada”.</w:t>
      </w:r>
    </w:p>
    <w:p w14:paraId="188F3956" w14:textId="77777777" w:rsidR="00814F26" w:rsidRPr="00214793" w:rsidRDefault="00814F26" w:rsidP="00814F26">
      <w:pPr>
        <w:spacing w:after="0" w:line="276" w:lineRule="auto"/>
        <w:ind w:firstLine="709"/>
        <w:jc w:val="both"/>
        <w:rPr>
          <w:rFonts w:ascii="Verdana" w:eastAsia="Calibri" w:hAnsi="Verdana" w:cs="Arial"/>
          <w:color w:val="000000" w:themeColor="text1"/>
          <w:lang w:val="es-ES_tradnl" w:eastAsia="es-ES_tradnl"/>
        </w:rPr>
      </w:pPr>
    </w:p>
    <w:p w14:paraId="49975190" w14:textId="77777777" w:rsidR="00814F26" w:rsidRPr="00214793" w:rsidRDefault="00814F26" w:rsidP="00814F26">
      <w:pPr>
        <w:spacing w:after="120" w:line="276" w:lineRule="auto"/>
        <w:ind w:firstLine="708"/>
        <w:jc w:val="both"/>
        <w:rPr>
          <w:rFonts w:ascii="Verdana" w:hAnsi="Verdana" w:cs="Arial"/>
        </w:rPr>
      </w:pPr>
      <w:bookmarkStart w:id="11" w:name="_Hlk145336541"/>
      <w:r w:rsidRPr="00214793">
        <w:rPr>
          <w:rFonts w:ascii="Verdana" w:hAnsi="Verdana" w:cs="Arial"/>
        </w:rPr>
        <w:t xml:space="preserve">Así las cosas, de conformidad con lo establecido por el artículo 92 de la Ley 1474 de 2011, al modificar el literal c) del numeral 4 del artículo 2 de la Ley 1150 de 2007, sin perjuicio de lo dispuesto en otras disposiciones normativas que resulten aplicables, el alcance de la excepción establecida en la norma referida se circunscribe a las entidades mencionadas en el inciso segundo de este artículo. De modo que, estas entidades, cuando sean las ejecutoras, no podrán celebrar bajo la modalidad de contratación directa contratos interadministrativos cuyo objeto consista, entre otros, obra pública, encargos fiduciarios o fiducias públicas, sin perjuicio de que dichas entidades participen y, eventualmente, celebren dichos contratos luego de ser seleccionados a través de modalidades como la licitación pública, selección abreviada o mínima cuantía, según corresponda. </w:t>
      </w:r>
    </w:p>
    <w:bookmarkEnd w:id="11"/>
    <w:p w14:paraId="4D20D96D" w14:textId="77777777" w:rsidR="00814F26" w:rsidRPr="00214793" w:rsidRDefault="00814F26" w:rsidP="00814F26">
      <w:pPr>
        <w:spacing w:after="120" w:line="276" w:lineRule="auto"/>
        <w:ind w:firstLine="708"/>
        <w:jc w:val="both"/>
        <w:rPr>
          <w:rFonts w:ascii="Verdana" w:hAnsi="Verdana" w:cs="Arial"/>
          <w:lang w:val="es-ES"/>
        </w:rPr>
      </w:pPr>
      <w:r w:rsidRPr="00214793">
        <w:rPr>
          <w:rFonts w:ascii="Verdana" w:hAnsi="Verdana" w:cs="Arial"/>
        </w:rPr>
        <w:t xml:space="preserve">Por tanto, para esta Agencia, el ámbito de aplicación de la regla referida es de alcance restrictivo, dado que se circunscribe a los contratos y entidades señaladas en el inciso segundo del literal c) analizado, por lo que la prohibición aplica cuando confluyan ambos elementos. En este sentido, cuando se trate de </w:t>
      </w:r>
      <w:r w:rsidRPr="00214793">
        <w:rPr>
          <w:rFonts w:ascii="Verdana" w:hAnsi="Verdana" w:cs="Arial"/>
        </w:rPr>
        <w:lastRenderedPageBreak/>
        <w:t>otros objetos contractuales o cuando sean celebrados por entidades distintas a las enlistadas en el inciso segundo, no aplicará la excepción establecida en la regla referida y, en consecuencia, las entidades podrían celebrar los contratos o convenios interadministrativos bajo la modalidad de contratación directa, sin perjuicio de observar las demás disposiciones del ordenamiento jurídico, correspondiendo a cada entidad definir la conveniencia y procedencia jurídica, técnica y financiera de su celebración.</w:t>
      </w:r>
    </w:p>
    <w:p w14:paraId="00421BD2" w14:textId="77777777" w:rsidR="00814F26" w:rsidRPr="00214793" w:rsidRDefault="00814F26" w:rsidP="00814F26">
      <w:pPr>
        <w:spacing w:after="120" w:line="276" w:lineRule="auto"/>
        <w:ind w:right="108" w:firstLine="709"/>
        <w:jc w:val="both"/>
        <w:rPr>
          <w:rFonts w:ascii="Verdana" w:eastAsia="Times New Roman" w:hAnsi="Verdana" w:cs="Arial"/>
          <w:iCs/>
          <w:lang w:eastAsia="es-ES_tradnl"/>
        </w:rPr>
      </w:pPr>
      <w:r w:rsidRPr="00214793">
        <w:rPr>
          <w:rFonts w:ascii="Verdana" w:eastAsia="Times New Roman" w:hAnsi="Verdana" w:cs="Arial"/>
          <w:iCs/>
          <w:lang w:eastAsia="es-ES_tradnl"/>
        </w:rPr>
        <w:t>De esta manera, las entidades estatales pueden contratar bajo la figura de un contrato interadministrativo con una sociedad de economía mixta siempre que las obligaciones derivadas del mismo tengan relación directa con el objeto de la entidad ejecutora señalado en la ley o en sus reglamentos y teniendo en cuenta las excepciones establecidas. Lo anterior, en razón a que estas hacen parte de la rama ejecutiva del poder público</w:t>
      </w:r>
      <w:r w:rsidRPr="00214793">
        <w:rPr>
          <w:rFonts w:ascii="Verdana" w:eastAsia="Times New Roman" w:hAnsi="Verdana" w:cs="Arial"/>
          <w:iCs/>
          <w:vertAlign w:val="superscript"/>
          <w:lang w:eastAsia="es-ES_tradnl"/>
        </w:rPr>
        <w:footnoteReference w:id="24"/>
      </w:r>
      <w:r w:rsidRPr="00214793">
        <w:rPr>
          <w:rFonts w:ascii="Verdana" w:eastAsia="Times New Roman" w:hAnsi="Verdana" w:cs="Arial"/>
          <w:iCs/>
          <w:lang w:eastAsia="es-ES_tradnl"/>
        </w:rPr>
        <w:t xml:space="preserve"> y, en consecuencia, atendiendo al criterio orgánico, el contrato celebrado entre estas y una entidad estatal sometida al Estatuto General de Contratación de la Administración Pública es interadministrativo. Así, de acuerdo con el</w:t>
      </w:r>
      <w:r w:rsidRPr="00214793">
        <w:rPr>
          <w:rFonts w:ascii="Verdana" w:hAnsi="Verdana" w:cs="Arial"/>
        </w:rPr>
        <w:t xml:space="preserve"> </w:t>
      </w:r>
      <w:r w:rsidRPr="00214793">
        <w:rPr>
          <w:rFonts w:ascii="Verdana" w:eastAsia="Times New Roman" w:hAnsi="Verdana" w:cs="Arial"/>
          <w:iCs/>
          <w:lang w:eastAsia="es-ES_tradnl"/>
        </w:rPr>
        <w:t xml:space="preserve">literal c) del numeral 4 del artículo 2 de la Ley 1150 de 2007, el objeto de la entidad ejecutora del contrato, señalado en la ley o en sus reglamentos, debe permitir cumplir las obligaciones y realizar las actividades que se derivan del acuerdo de voluntades. Cuando las SEM actúen como ejecutoras, dicha capacidad deberá ser confirmada de acuerdo con lo establecido en la ley y su reglamento. </w:t>
      </w:r>
    </w:p>
    <w:p w14:paraId="0331E604" w14:textId="77777777" w:rsidR="00814F26" w:rsidRPr="00214793" w:rsidRDefault="00814F26" w:rsidP="00814F26">
      <w:pPr>
        <w:spacing w:after="120" w:line="276" w:lineRule="auto"/>
        <w:jc w:val="both"/>
        <w:rPr>
          <w:rFonts w:ascii="Verdana" w:eastAsia="Calibri" w:hAnsi="Verdana" w:cs="Arial"/>
          <w:bCs/>
          <w:lang w:val="es-ES_tradnl"/>
        </w:rPr>
      </w:pPr>
      <w:proofErr w:type="spellStart"/>
      <w:r w:rsidRPr="00214793">
        <w:rPr>
          <w:rFonts w:ascii="Verdana" w:hAnsi="Verdana" w:cs="Arial"/>
          <w:iCs/>
          <w:lang w:eastAsia="es-ES_tradnl"/>
        </w:rPr>
        <w:t>iv</w:t>
      </w:r>
      <w:proofErr w:type="spellEnd"/>
      <w:r w:rsidRPr="00214793">
        <w:rPr>
          <w:rFonts w:ascii="Verdana" w:hAnsi="Verdana" w:cs="Arial"/>
          <w:iCs/>
          <w:lang w:eastAsia="es-ES_tradnl"/>
        </w:rPr>
        <w:t xml:space="preserve">. </w:t>
      </w:r>
      <w:r w:rsidRPr="00214793">
        <w:rPr>
          <w:rFonts w:ascii="Verdana" w:eastAsia="Century Gothic" w:hAnsi="Verdana" w:cs="Century Gothic"/>
        </w:rPr>
        <w:t xml:space="preserve">Finalmente, en atención al tercer problema jurídico planteado, y teniendo en cuenta que la consulta alude al contrato para administración de recursos, resulta pertinente hacer referencia a la figura del contrato de administración delegada, sin perjuicio del análisis de viabilidad de otras figuras jurídicas. </w:t>
      </w:r>
    </w:p>
    <w:p w14:paraId="2C51C6B4" w14:textId="77777777" w:rsidR="00814F26" w:rsidRPr="00214793" w:rsidRDefault="00814F26" w:rsidP="00814F26">
      <w:pPr>
        <w:spacing w:after="120" w:line="276" w:lineRule="auto"/>
        <w:ind w:firstLine="709"/>
        <w:jc w:val="both"/>
        <w:rPr>
          <w:rFonts w:ascii="Verdana" w:hAnsi="Verdana" w:cs="Arial"/>
          <w:color w:val="000000" w:themeColor="text1"/>
          <w:sz w:val="24"/>
          <w:szCs w:val="24"/>
          <w:lang w:val="es-ES"/>
        </w:rPr>
      </w:pPr>
      <w:r w:rsidRPr="00214793">
        <w:rPr>
          <w:rFonts w:ascii="Verdana" w:eastAsia="Calibri" w:hAnsi="Verdana" w:cs="Arial"/>
          <w:bCs/>
          <w:lang w:val="es-ES_tradnl"/>
        </w:rPr>
        <w:t>Así,</w:t>
      </w:r>
      <w:r w:rsidRPr="00214793">
        <w:rPr>
          <w:rFonts w:ascii="Verdana" w:hAnsi="Verdana" w:cs="Arial"/>
          <w:color w:val="000000" w:themeColor="text1"/>
          <w:lang w:val="es-ES"/>
        </w:rPr>
        <w:t xml:space="preserve"> conforme al principio de autonomía de la voluntad del artículo 1602 del Código Civil, las entidades podrán incluir la administración delegada, bien como forma de mandato o como modalidad de administración de los recursos destinados a la obra. En efecto,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w:t>
      </w:r>
      <w:r w:rsidRPr="00214793">
        <w:rPr>
          <w:rFonts w:ascii="Verdana" w:hAnsi="Verdana" w:cs="Arial"/>
          <w:color w:val="000000" w:themeColor="text1"/>
          <w:lang w:val="es-ES"/>
        </w:rPr>
        <w:lastRenderedPageBreak/>
        <w:t>siempre que no sean contrarias a la Constitución, la ley, el orden público y a los principios y finalidades de esta Ley y a los de la buena administración.</w:t>
      </w:r>
    </w:p>
    <w:p w14:paraId="58409F6D" w14:textId="77777777" w:rsidR="00814F26" w:rsidRPr="00214793" w:rsidRDefault="00814F26" w:rsidP="00814F26">
      <w:pPr>
        <w:spacing w:after="120" w:line="276" w:lineRule="auto"/>
        <w:ind w:firstLine="709"/>
        <w:jc w:val="both"/>
        <w:rPr>
          <w:rFonts w:ascii="Verdana" w:hAnsi="Verdana" w:cs="Arial"/>
          <w:bCs/>
          <w:lang w:eastAsia="es-ES" w:bidi="es-ES"/>
        </w:rPr>
      </w:pPr>
      <w:r w:rsidRPr="00214793">
        <w:rPr>
          <w:rFonts w:ascii="Verdana" w:hAnsi="Verdana" w:cs="Arial"/>
          <w:color w:val="000000" w:themeColor="text1"/>
          <w:lang w:val="es-ES"/>
        </w:rPr>
        <w:t xml:space="preserve">Frente a la </w:t>
      </w:r>
      <w:r w:rsidRPr="00214793">
        <w:rPr>
          <w:rFonts w:ascii="Verdana" w:hAnsi="Verdana" w:cs="Arial"/>
          <w:i/>
          <w:iCs/>
          <w:color w:val="000000" w:themeColor="text1"/>
          <w:lang w:val="es-ES"/>
        </w:rPr>
        <w:t>“administración delegada”</w:t>
      </w:r>
      <w:r w:rsidRPr="00214793">
        <w:rPr>
          <w:rFonts w:ascii="Verdana" w:hAnsi="Verdana" w:cs="Arial"/>
          <w:color w:val="000000" w:themeColor="text1"/>
          <w:lang w:val="es-ES"/>
        </w:rPr>
        <w:t xml:space="preserve"> vale anotar que, </w:t>
      </w:r>
      <w:r w:rsidRPr="00214793">
        <w:rPr>
          <w:rFonts w:ascii="Verdana" w:hAnsi="Verdana" w:cs="Arial"/>
          <w:bCs/>
          <w:lang w:val="es-ES_tradnl" w:eastAsia="es-ES" w:bidi="es-ES"/>
        </w:rPr>
        <w:t xml:space="preserve">tal como lo ha conceptuado anteriormente esta Agencia, </w:t>
      </w:r>
      <w:r w:rsidRPr="00214793">
        <w:rPr>
          <w:rFonts w:ascii="Verdana" w:hAnsi="Verdana" w:cs="Arial"/>
          <w:bCs/>
          <w:lang w:eastAsia="es-ES" w:bidi="es-ES"/>
        </w:rPr>
        <w:t xml:space="preserve">corresponde a un contrato atípico que, de acuerdo con la jurisprudencia del Consejo de Estado, puede ser entendido de dos formas: (i) </w:t>
      </w:r>
      <w:r w:rsidRPr="00214793">
        <w:rPr>
          <w:rFonts w:ascii="Verdana" w:hAnsi="Verdana" w:cs="Arial"/>
          <w:bCs/>
          <w:i/>
          <w:iCs/>
          <w:lang w:eastAsia="es-ES" w:bidi="es-ES"/>
        </w:rPr>
        <w:t>como un contrato de mandato</w:t>
      </w:r>
      <w:r w:rsidRPr="00214793">
        <w:rPr>
          <w:rFonts w:ascii="Verdana" w:hAnsi="Verdana" w:cs="Arial"/>
          <w:bCs/>
          <w:lang w:eastAsia="es-ES" w:bidi="es-ES"/>
        </w:rPr>
        <w:t>,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0214793">
        <w:rPr>
          <w:rFonts w:ascii="Verdana" w:hAnsi="Verdana" w:cs="Arial"/>
          <w:bCs/>
          <w:lang w:eastAsia="es-ES" w:bidi="es-ES"/>
        </w:rPr>
        <w:t>ii</w:t>
      </w:r>
      <w:proofErr w:type="spellEnd"/>
      <w:r w:rsidRPr="00214793">
        <w:rPr>
          <w:rFonts w:ascii="Verdana" w:hAnsi="Verdana" w:cs="Arial"/>
          <w:bCs/>
          <w:lang w:eastAsia="es-ES" w:bidi="es-ES"/>
        </w:rPr>
        <w:t xml:space="preserve">) como una </w:t>
      </w:r>
      <w:r w:rsidRPr="00214793">
        <w:rPr>
          <w:rFonts w:ascii="Verdana" w:hAnsi="Verdana" w:cs="Arial"/>
          <w:bCs/>
          <w:i/>
          <w:iCs/>
          <w:lang w:eastAsia="es-ES" w:bidi="es-ES"/>
        </w:rPr>
        <w:t>modalidad de administración y pago</w:t>
      </w:r>
      <w:r w:rsidRPr="00214793">
        <w:rPr>
          <w:rFonts w:ascii="Verdana" w:hAnsi="Verdana" w:cs="Arial"/>
          <w:bCs/>
          <w:lang w:eastAsia="es-ES" w:bidi="es-ES"/>
        </w:rPr>
        <w:t>, no necesariamente asociada al mandato.</w:t>
      </w:r>
    </w:p>
    <w:p w14:paraId="4230ED74" w14:textId="77777777" w:rsidR="00814F26" w:rsidRPr="00214793" w:rsidRDefault="00814F26" w:rsidP="00814F26">
      <w:pPr>
        <w:spacing w:after="120" w:line="276" w:lineRule="auto"/>
        <w:ind w:firstLine="708"/>
        <w:jc w:val="both"/>
        <w:rPr>
          <w:rFonts w:ascii="Verdana" w:eastAsia="Arial" w:hAnsi="Verdana" w:cs="Arial"/>
          <w:lang w:val="es-ES"/>
        </w:rPr>
      </w:pPr>
      <w:r w:rsidRPr="00214793">
        <w:rPr>
          <w:rFonts w:ascii="Verdana" w:eastAsia="Calibri" w:hAnsi="Verdana" w:cs="Arial"/>
        </w:rPr>
        <w:t>La administración delegada asociada a un mandato implica que la entidad ejecutora realice todas las actividades necesarias para la ejecución del objeto convenido, por cuenta y riesgo del mandante. Se sigue entonces que la administración delegada puede requerir que el contratista adelante procesos de selección para subcontratar de actividades que sean necesarias para el cumplimiento del objeto del contrato.</w:t>
      </w:r>
      <w:r w:rsidRPr="00214793">
        <w:rPr>
          <w:rFonts w:ascii="Verdana" w:hAnsi="Verdana" w:cs="Arial"/>
          <w:bCs/>
        </w:rPr>
        <w:t xml:space="preserve"> Por otro lado, </w:t>
      </w:r>
      <w:r w:rsidRPr="00214793">
        <w:rPr>
          <w:rFonts w:ascii="Verdana" w:eastAsia="Arial" w:hAnsi="Verdana" w:cs="Arial"/>
          <w:lang w:val="es-ES"/>
        </w:rPr>
        <w:t>la administración delegada como un sistema de pago consistente 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la administración.</w:t>
      </w:r>
    </w:p>
    <w:p w14:paraId="6A125CFF" w14:textId="77777777" w:rsidR="00814F26" w:rsidRPr="00214793" w:rsidRDefault="00814F26" w:rsidP="00814F26">
      <w:pPr>
        <w:tabs>
          <w:tab w:val="left" w:pos="0"/>
        </w:tabs>
        <w:spacing w:after="120" w:line="276" w:lineRule="auto"/>
        <w:ind w:firstLine="709"/>
        <w:jc w:val="both"/>
        <w:rPr>
          <w:rFonts w:ascii="Verdana" w:hAnsi="Verdana" w:cs="Arial"/>
          <w:color w:val="000000" w:themeColor="text1"/>
          <w:lang w:val="es-ES"/>
        </w:rPr>
      </w:pPr>
      <w:r w:rsidRPr="00214793">
        <w:rPr>
          <w:rFonts w:ascii="Verdana" w:hAnsi="Verdana" w:cs="Arial"/>
          <w:color w:val="000000" w:themeColor="text1"/>
          <w:lang w:val="es-ES"/>
        </w:rPr>
        <w:t xml:space="preserve">En consecuencia, con fundamento en el principio de autonomía de la voluntad de las partes, reconocido en los artículos 13, 32 y 40 de la Ley 80 de 1993, así como en el artículo 1602 del Código Civil, es viable que las Entidades Estatales celebren contratos en los que se pacte la administración delegada de los recursos, como forma de administración o modalidad de pago, incluso con o sin representación. De acuerdo con ello, si la entidad estatal requiere contratar con otra entidad pública, podrá celebrar un contrato interadministrativo, en el que se puede incluir la administración delegada, bien como forma de mandato o como modalidad de administración de los recursos de inversión de una obra o proyecto y de pago también de los honorarios. </w:t>
      </w:r>
    </w:p>
    <w:p w14:paraId="5D868504" w14:textId="77777777" w:rsidR="00814F26" w:rsidRPr="00214793" w:rsidRDefault="00814F26" w:rsidP="00814F26">
      <w:pPr>
        <w:tabs>
          <w:tab w:val="left" w:pos="0"/>
        </w:tabs>
        <w:spacing w:after="120" w:line="276" w:lineRule="auto"/>
        <w:ind w:firstLine="709"/>
        <w:jc w:val="both"/>
        <w:rPr>
          <w:rFonts w:ascii="Verdana" w:hAnsi="Verdana" w:cs="Arial"/>
          <w:color w:val="000000" w:themeColor="text1"/>
        </w:rPr>
      </w:pPr>
      <w:r w:rsidRPr="00214793">
        <w:rPr>
          <w:rFonts w:ascii="Verdana" w:hAnsi="Verdana" w:cs="Arial"/>
          <w:color w:val="000000" w:themeColor="text1"/>
          <w:lang w:val="es-ES"/>
        </w:rPr>
        <w:t xml:space="preserve">En todo caso, para la celebración de los contratos interadministrativos es indispensable que la entidad ejecutora cuente con un objeto que, de acuerdo con la ley o el reglamento, sea idóneo para la ejecución de la actividad </w:t>
      </w:r>
      <w:r w:rsidRPr="00214793">
        <w:rPr>
          <w:rFonts w:ascii="Verdana" w:hAnsi="Verdana" w:cs="Arial"/>
          <w:color w:val="000000" w:themeColor="text1"/>
          <w:lang w:val="es-ES"/>
        </w:rPr>
        <w:lastRenderedPageBreak/>
        <w:t xml:space="preserve">contratada, y que la administración delegada este definida o concertada en la ejecución de un objeto contractual específico, ya sea enmarcado en la ejecución de proyecto u obra. En el marco de este contrato, con fundamento en la autonomía de la voluntad, </w:t>
      </w:r>
      <w:r w:rsidRPr="00214793">
        <w:rPr>
          <w:rFonts w:ascii="Verdana" w:hAnsi="Verdana" w:cs="Arial"/>
          <w:color w:val="000000" w:themeColor="text1"/>
        </w:rPr>
        <w:t xml:space="preserve">las partes pueden pactar todas las condiciones necesarias para la adecuada ejecución del proyecto, incluyendo cláusulas que regulen el pago a terceros. </w:t>
      </w:r>
    </w:p>
    <w:p w14:paraId="0CA9D741" w14:textId="77777777" w:rsidR="00814F26" w:rsidRPr="00214793" w:rsidRDefault="00814F26" w:rsidP="00814F26">
      <w:pPr>
        <w:widowControl w:val="0"/>
        <w:autoSpaceDE w:val="0"/>
        <w:autoSpaceDN w:val="0"/>
        <w:spacing w:after="120" w:line="276" w:lineRule="auto"/>
        <w:ind w:firstLine="708"/>
        <w:jc w:val="both"/>
        <w:rPr>
          <w:rFonts w:ascii="Verdana" w:eastAsia="Calibri" w:hAnsi="Verdana" w:cs="Arial"/>
        </w:rPr>
      </w:pPr>
      <w:r w:rsidRPr="00214793">
        <w:rPr>
          <w:rFonts w:ascii="Verdana" w:eastAsia="Calibri" w:hAnsi="Verdana" w:cs="Arial"/>
        </w:rPr>
        <w:t>Sin perjuicio de lo anterior,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AB38232" w14:textId="77777777" w:rsidR="00814F26" w:rsidRPr="00214793" w:rsidRDefault="00814F26" w:rsidP="00814F26">
      <w:pPr>
        <w:widowControl w:val="0"/>
        <w:autoSpaceDE w:val="0"/>
        <w:autoSpaceDN w:val="0"/>
        <w:spacing w:after="0" w:line="276" w:lineRule="auto"/>
        <w:ind w:firstLine="709"/>
        <w:jc w:val="both"/>
        <w:rPr>
          <w:rFonts w:ascii="Verdana" w:eastAsia="Times New Roman" w:hAnsi="Verdana" w:cs="Arial"/>
          <w:iCs/>
          <w:lang w:eastAsia="es-ES_tradnl"/>
        </w:rPr>
      </w:pPr>
      <w:r w:rsidRPr="00214793">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396B11A" w14:textId="77777777" w:rsidR="00814F26" w:rsidRPr="00214793" w:rsidRDefault="00814F26" w:rsidP="00814F26">
      <w:pPr>
        <w:widowControl w:val="0"/>
        <w:autoSpaceDE w:val="0"/>
        <w:autoSpaceDN w:val="0"/>
        <w:spacing w:after="0" w:line="276" w:lineRule="auto"/>
        <w:jc w:val="both"/>
        <w:rPr>
          <w:rFonts w:ascii="Verdana" w:eastAsia="Arial" w:hAnsi="Verdana" w:cs="Arial"/>
          <w:lang w:val="es-ES"/>
        </w:rPr>
      </w:pPr>
    </w:p>
    <w:p w14:paraId="4714EC5D" w14:textId="77777777" w:rsidR="00814F26" w:rsidRPr="00214793" w:rsidRDefault="00814F26" w:rsidP="00814F26">
      <w:pPr>
        <w:numPr>
          <w:ilvl w:val="0"/>
          <w:numId w:val="1"/>
        </w:numPr>
        <w:tabs>
          <w:tab w:val="left" w:pos="142"/>
          <w:tab w:val="left" w:pos="284"/>
        </w:tabs>
        <w:spacing w:after="0" w:line="276" w:lineRule="auto"/>
        <w:jc w:val="both"/>
        <w:rPr>
          <w:rFonts w:ascii="Verdana" w:eastAsia="Century Gothic" w:hAnsi="Verdana" w:cs="Century Gothic"/>
          <w:b/>
          <w:bCs/>
        </w:rPr>
      </w:pPr>
      <w:r w:rsidRPr="00214793">
        <w:rPr>
          <w:rFonts w:ascii="Verdana" w:eastAsia="Century Gothic" w:hAnsi="Verdana" w:cs="Century Gothic"/>
          <w:b/>
          <w:bCs/>
        </w:rPr>
        <w:t>Referencias normativas y jurisprudenciales:</w:t>
      </w:r>
    </w:p>
    <w:p w14:paraId="08BC954A" w14:textId="77777777" w:rsidR="00814F26" w:rsidRPr="00214793" w:rsidRDefault="00814F26" w:rsidP="00814F2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14F26" w:rsidRPr="00214793" w14:paraId="31666942" w14:textId="77777777" w:rsidTr="00831131">
        <w:trPr>
          <w:trHeight w:val="410"/>
          <w:jc w:val="center"/>
        </w:trPr>
        <w:tc>
          <w:tcPr>
            <w:tcW w:w="8647" w:type="dxa"/>
          </w:tcPr>
          <w:p w14:paraId="45B7E1C5" w14:textId="77777777" w:rsidR="00814F26" w:rsidRPr="00214793" w:rsidRDefault="00814F26" w:rsidP="00831131">
            <w:pPr>
              <w:ind w:firstLine="720"/>
              <w:jc w:val="both"/>
              <w:rPr>
                <w:rFonts w:ascii="Verdana" w:hAnsi="Verdana" w:cs="Arial"/>
                <w:sz w:val="16"/>
                <w:szCs w:val="16"/>
              </w:rPr>
            </w:pPr>
          </w:p>
          <w:p w14:paraId="3A5D0AA6"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lang w:val="es-ES"/>
              </w:rPr>
            </w:pPr>
            <w:r w:rsidRPr="00214793">
              <w:rPr>
                <w:rFonts w:ascii="Verdana" w:hAnsi="Verdana" w:cs="Arial"/>
                <w:lang w:val="es-ES"/>
              </w:rPr>
              <w:t>Decreto 1082 de 2015. Artículo 2.2.1.2.1.4.4</w:t>
            </w:r>
          </w:p>
          <w:p w14:paraId="1E6E521B"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lang w:val="es-ES"/>
              </w:rPr>
            </w:pPr>
            <w:r w:rsidRPr="00214793">
              <w:rPr>
                <w:rFonts w:ascii="Verdana" w:hAnsi="Verdana" w:cs="Arial"/>
                <w:lang w:val="es-ES"/>
              </w:rPr>
              <w:t>Consejo de Estado, Sala de lo Contencioso Administrativo, Sección Tercera, sentencia de 23 de junio de 2010, exp.17860.</w:t>
            </w:r>
          </w:p>
          <w:p w14:paraId="09509A72"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lang w:val="es-ES"/>
              </w:rPr>
            </w:pPr>
            <w:r w:rsidRPr="00214793">
              <w:rPr>
                <w:rFonts w:ascii="Verdana" w:hAnsi="Verdana" w:cs="Arial"/>
                <w:lang w:val="es-ES"/>
              </w:rPr>
              <w:t xml:space="preserve">Consejo de Estado. Sala de Consulta y Servicio Civil. Concepto 26 de julio de 2016. </w:t>
            </w:r>
            <w:proofErr w:type="spellStart"/>
            <w:r w:rsidRPr="00214793">
              <w:rPr>
                <w:rFonts w:ascii="Verdana" w:hAnsi="Verdana" w:cs="Arial"/>
                <w:lang w:val="es-ES"/>
              </w:rPr>
              <w:t>Exp</w:t>
            </w:r>
            <w:proofErr w:type="spellEnd"/>
            <w:r w:rsidRPr="00214793">
              <w:rPr>
                <w:rFonts w:ascii="Verdana" w:hAnsi="Verdana" w:cs="Arial"/>
                <w:lang w:val="es-ES"/>
              </w:rPr>
              <w:t xml:space="preserve">. 2.257. C.P. Álvaro </w:t>
            </w:r>
            <w:proofErr w:type="spellStart"/>
            <w:r w:rsidRPr="00214793">
              <w:rPr>
                <w:rFonts w:ascii="Verdana" w:hAnsi="Verdana" w:cs="Arial"/>
                <w:lang w:val="es-ES"/>
              </w:rPr>
              <w:t>Namén</w:t>
            </w:r>
            <w:proofErr w:type="spellEnd"/>
            <w:r w:rsidRPr="00214793">
              <w:rPr>
                <w:rFonts w:ascii="Verdana" w:hAnsi="Verdana" w:cs="Arial"/>
                <w:lang w:val="es-ES"/>
              </w:rPr>
              <w:t xml:space="preserve"> Vargas.</w:t>
            </w:r>
          </w:p>
          <w:p w14:paraId="7441C993"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lang w:val="es-ES"/>
              </w:rPr>
            </w:pPr>
            <w:r w:rsidRPr="00214793">
              <w:rPr>
                <w:rFonts w:ascii="Verdana" w:hAnsi="Verdana" w:cs="Arial"/>
                <w:lang w:val="es-ES"/>
              </w:rPr>
              <w:t xml:space="preserve">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Estado, Sala de lo Contencioso Administrativo, Sección Tercera, Subsección A, Sentencia del </w:t>
            </w:r>
            <w:r w:rsidRPr="00214793">
              <w:rPr>
                <w:rFonts w:ascii="Verdana" w:hAnsi="Verdana" w:cs="Arial"/>
                <w:lang w:val="es-ES"/>
              </w:rPr>
              <w:lastRenderedPageBreak/>
              <w:t xml:space="preserve">21 de mayo de 2021, Rad. 66756, M.P. José Roberto Sáchica Méndez; Consejo de Estado, Sala de lo Contencioso Administrativo, Sección Tercera, Subsección C, Auto del 30 de septiembre de 2020, Rad. 65358, M.P. Guillermo Sánchez Luque. </w:t>
            </w:r>
          </w:p>
          <w:p w14:paraId="1ADEF528"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lang w:val="es-ES"/>
              </w:rPr>
            </w:pPr>
            <w:r w:rsidRPr="00214793">
              <w:rPr>
                <w:rFonts w:ascii="Verdana" w:hAnsi="Verdana" w:cs="Arial"/>
                <w:lang w:val="es-ES"/>
              </w:rPr>
              <w:t xml:space="preserve">Consejo de Estado, Sección Tercera, Sentencia del 05 de febrero de 2021, rad. 25000-23-26-000-2011-00144-01(49792), M.P. María Adriana Marín. </w:t>
            </w:r>
          </w:p>
          <w:p w14:paraId="766FB09B"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lang w:val="es-ES"/>
              </w:rPr>
            </w:pPr>
            <w:r w:rsidRPr="00214793">
              <w:rPr>
                <w:rFonts w:ascii="Verdana" w:hAnsi="Verdana" w:cs="Arial"/>
                <w:lang w:val="es-ES"/>
              </w:rPr>
              <w:t>Consejo de Estado -Sección Tercera-. Sentencia del 14 de junio del 2019, Radicación Número: 25000-23-37-000-2010-02552-01(AP).</w:t>
            </w:r>
          </w:p>
          <w:p w14:paraId="35D7298A"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lang w:val="es-ES"/>
              </w:rPr>
            </w:pPr>
            <w:r w:rsidRPr="00214793">
              <w:rPr>
                <w:rFonts w:ascii="Verdana" w:hAnsi="Verdana" w:cs="Arial"/>
                <w:lang w:val="es-ES"/>
              </w:rPr>
              <w:t xml:space="preserve">Consejo de Estado -Sección Tercera-. Sentencia del 21 de febrero de 2025. Radicación Número: 68.280. CP: José Roberto Sáchica Méndez. </w:t>
            </w:r>
          </w:p>
          <w:p w14:paraId="1A615718"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lang w:val="es-ES"/>
              </w:rPr>
            </w:pPr>
            <w:r w:rsidRPr="00214793">
              <w:rPr>
                <w:rFonts w:ascii="Verdana" w:hAnsi="Verdana" w:cs="Arial"/>
                <w:lang w:val="es-ES"/>
              </w:rPr>
              <w:t xml:space="preserve">Corte Constitucional, Sentencia C-768 de 23 de septiembre de 2010. M.P.: Juan Carlos Henao Pérez </w:t>
            </w:r>
          </w:p>
          <w:p w14:paraId="235703E5"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sz w:val="24"/>
                <w:lang w:val="es-ES"/>
              </w:rPr>
            </w:pPr>
            <w:r w:rsidRPr="00214793">
              <w:rPr>
                <w:rFonts w:ascii="Verdana" w:hAnsi="Verdana" w:cs="Arial"/>
                <w:lang w:val="es-ES"/>
              </w:rPr>
              <w:t>Corte Constitucional, Sentencia C-221 de 22 de mayo de 2019. M.P. Carlos Bernal Pulido.</w:t>
            </w:r>
          </w:p>
          <w:p w14:paraId="5C3D294D" w14:textId="77777777" w:rsidR="00814F26" w:rsidRPr="00214793" w:rsidRDefault="00814F26" w:rsidP="00814F26">
            <w:pPr>
              <w:widowControl w:val="0"/>
              <w:numPr>
                <w:ilvl w:val="0"/>
                <w:numId w:val="3"/>
              </w:numPr>
              <w:autoSpaceDE w:val="0"/>
              <w:autoSpaceDN w:val="0"/>
              <w:spacing w:line="276" w:lineRule="auto"/>
              <w:ind w:left="176" w:hanging="176"/>
              <w:jc w:val="both"/>
              <w:rPr>
                <w:rFonts w:ascii="Verdana" w:hAnsi="Verdana" w:cs="Arial"/>
                <w:lang w:val="es-ES"/>
              </w:rPr>
            </w:pPr>
            <w:r w:rsidRPr="00214793">
              <w:rPr>
                <w:rFonts w:ascii="Verdana" w:hAnsi="Verdana" w:cs="Arial"/>
                <w:lang w:val="es-ES"/>
              </w:rPr>
              <w:t>Corte Constitucional. Sentencia C-671 de 1999, M.P. Alfredo Beltrán Sierra.</w:t>
            </w:r>
          </w:p>
        </w:tc>
      </w:tr>
    </w:tbl>
    <w:p w14:paraId="40E0CD3D" w14:textId="77777777" w:rsidR="00814F26" w:rsidRPr="00214793" w:rsidRDefault="00814F26" w:rsidP="00814F26">
      <w:pPr>
        <w:widowControl w:val="0"/>
        <w:autoSpaceDE w:val="0"/>
        <w:autoSpaceDN w:val="0"/>
        <w:spacing w:after="0" w:line="276" w:lineRule="auto"/>
        <w:jc w:val="both"/>
        <w:rPr>
          <w:rFonts w:ascii="Verdana" w:hAnsi="Verdana" w:cs="Arial"/>
        </w:rPr>
      </w:pPr>
    </w:p>
    <w:p w14:paraId="0B2E62D9" w14:textId="77777777" w:rsidR="00814F26" w:rsidRPr="00214793" w:rsidRDefault="00814F26" w:rsidP="00814F26">
      <w:pPr>
        <w:numPr>
          <w:ilvl w:val="0"/>
          <w:numId w:val="1"/>
        </w:numPr>
        <w:tabs>
          <w:tab w:val="left" w:pos="142"/>
          <w:tab w:val="left" w:pos="284"/>
        </w:tabs>
        <w:spacing w:after="0" w:line="276" w:lineRule="auto"/>
        <w:jc w:val="both"/>
        <w:rPr>
          <w:rFonts w:ascii="Verdana" w:eastAsia="Century Gothic" w:hAnsi="Verdana" w:cs="Century Gothic"/>
          <w:b/>
          <w:bCs/>
        </w:rPr>
      </w:pPr>
      <w:r w:rsidRPr="00214793">
        <w:rPr>
          <w:rFonts w:ascii="Verdana" w:eastAsia="Century Gothic" w:hAnsi="Verdana" w:cs="Century Gothic"/>
          <w:b/>
          <w:bCs/>
        </w:rPr>
        <w:t>Doctrina de la Agencia Nacional de Contratación Pública:</w:t>
      </w:r>
    </w:p>
    <w:p w14:paraId="0D92CF77" w14:textId="77777777" w:rsidR="00814F26" w:rsidRPr="00214793" w:rsidRDefault="00814F26" w:rsidP="00814F26">
      <w:pPr>
        <w:widowControl w:val="0"/>
        <w:autoSpaceDE w:val="0"/>
        <w:autoSpaceDN w:val="0"/>
        <w:spacing w:after="0" w:line="276" w:lineRule="auto"/>
        <w:jc w:val="both"/>
        <w:rPr>
          <w:rFonts w:ascii="Verdana" w:hAnsi="Verdana" w:cs="Arial"/>
        </w:rPr>
      </w:pPr>
    </w:p>
    <w:p w14:paraId="542DB749" w14:textId="77777777" w:rsidR="00814F26" w:rsidRPr="00214793" w:rsidRDefault="00814F26" w:rsidP="00814F26">
      <w:pPr>
        <w:widowControl w:val="0"/>
        <w:autoSpaceDE w:val="0"/>
        <w:autoSpaceDN w:val="0"/>
        <w:spacing w:after="120" w:line="276" w:lineRule="auto"/>
        <w:jc w:val="both"/>
        <w:rPr>
          <w:rFonts w:ascii="Verdana" w:hAnsi="Verdana" w:cs="Arial"/>
          <w:shd w:val="clear" w:color="auto" w:fill="FFFFFF"/>
        </w:rPr>
      </w:pPr>
      <w:r w:rsidRPr="00214793">
        <w:rPr>
          <w:rFonts w:ascii="Verdana" w:hAnsi="Verdana" w:cs="Arial"/>
          <w:lang w:eastAsia="es-ES_tradnl"/>
        </w:rPr>
        <w:t xml:space="preserve">La Agencia Nacional de Contratación Pública -Colombia Compra Eficiente- se ha referido previamente a la noción y características de los convenios y contratos interadministrativos en los conceptos </w:t>
      </w:r>
      <w:r w:rsidRPr="00214793">
        <w:rPr>
          <w:rFonts w:ascii="Verdana" w:eastAsia="Calibri" w:hAnsi="Verdana" w:cs="Arial"/>
          <w:color w:val="000000"/>
          <w:lang w:eastAsia="es-ES_tradnl"/>
        </w:rPr>
        <w:t>4201913000004536 del 27 de julio del 2019, C-023 del 13 de febrero del 2020, C-220 del 13 de abril del 2020, C-681 del 19 de noviembre del 2020, C-552 del 5 de octubre del 2021, C-387 del 15 de junio de 2022, C-562 del 7 de septiembre del 2022</w:t>
      </w:r>
      <w:r w:rsidRPr="00214793">
        <w:rPr>
          <w:rFonts w:ascii="Verdana" w:eastAsia="Calibri" w:hAnsi="Verdana" w:cs="Arial"/>
          <w:bCs/>
          <w:color w:val="000000"/>
          <w:lang w:eastAsia="es-ES_tradnl"/>
        </w:rPr>
        <w:t>, C-114 del 4 de mayo de 2023, C-771 del 29 de diciembre de 2022 y C-490 del 23 de mayo de 2025</w:t>
      </w:r>
      <w:r w:rsidRPr="00214793">
        <w:rPr>
          <w:rFonts w:ascii="Verdana" w:eastAsia="Aptos" w:hAnsi="Verdana" w:cs="Arial"/>
          <w:shd w:val="clear" w:color="auto" w:fill="FFFFFF"/>
        </w:rPr>
        <w:t xml:space="preserve">. </w:t>
      </w:r>
      <w:r w:rsidRPr="00214793">
        <w:rPr>
          <w:rFonts w:ascii="Verdana" w:hAnsi="Verdana" w:cs="Arial"/>
          <w:shd w:val="clear" w:color="auto" w:fill="FFFFFF"/>
        </w:rPr>
        <w:t>Es</w:t>
      </w:r>
      <w:r w:rsidRPr="00214793">
        <w:rPr>
          <w:rFonts w:ascii="Verdana" w:hAnsi="Verdana"/>
        </w:rPr>
        <w:t>te y otros conceptos se encuentran disponibles para consulta en el Sistema de relatoría de la Agencia, al cual se puede acceder a través del siguiente enlace:</w:t>
      </w:r>
      <w:r w:rsidRPr="00214793">
        <w:rPr>
          <w:rFonts w:ascii="Verdana" w:hAnsi="Verdana" w:cs="Arial"/>
          <w:shd w:val="clear" w:color="auto" w:fill="FFFFFF"/>
        </w:rPr>
        <w:t xml:space="preserve"> </w:t>
      </w:r>
      <w:hyperlink r:id="rId13" w:history="1">
        <w:r w:rsidRPr="00214793">
          <w:rPr>
            <w:rFonts w:ascii="Verdana" w:hAnsi="Verdana" w:cs="Arial"/>
            <w:color w:val="0000FF"/>
            <w:u w:val="single"/>
            <w:shd w:val="clear" w:color="auto" w:fill="FFFFFF"/>
          </w:rPr>
          <w:t>https://relatoria.colombiacompra.gov.co/</w:t>
        </w:r>
      </w:hyperlink>
      <w:r w:rsidRPr="00214793">
        <w:rPr>
          <w:rFonts w:ascii="Verdana" w:hAnsi="Verdana" w:cs="Arial"/>
          <w:shd w:val="clear" w:color="auto" w:fill="FFFFFF"/>
        </w:rPr>
        <w:t xml:space="preserve"> .</w:t>
      </w:r>
    </w:p>
    <w:p w14:paraId="78DD480E" w14:textId="77777777" w:rsidR="00814F26" w:rsidRPr="00214793" w:rsidRDefault="00814F26" w:rsidP="00814F26">
      <w:pPr>
        <w:shd w:val="clear" w:color="auto" w:fill="FFFFFF"/>
        <w:spacing w:after="0" w:line="276" w:lineRule="auto"/>
        <w:jc w:val="both"/>
        <w:rPr>
          <w:rFonts w:ascii="Verdana" w:hAnsi="Verdana"/>
          <w:color w:val="467886"/>
          <w:u w:val="single"/>
        </w:rPr>
      </w:pPr>
      <w:r w:rsidRPr="00214793">
        <w:rPr>
          <w:rFonts w:ascii="Verdana" w:hAnsi="Verdana"/>
          <w:color w:val="000000"/>
        </w:rPr>
        <w:t>Te informamos que ya se encuentra disponible la </w:t>
      </w:r>
      <w:r w:rsidRPr="00214793">
        <w:rPr>
          <w:rFonts w:ascii="Verdana" w:hAnsi="Verdana"/>
          <w:b/>
          <w:bCs/>
          <w:color w:val="000000"/>
        </w:rPr>
        <w:t>Guía de lineamientos de transparencia y selección objetiva para el departamento de La Guajira – Objetivo sexto constitucional de la Sentencia T-302 del 2017. </w:t>
      </w:r>
      <w:r w:rsidRPr="00214793">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14793">
        <w:rPr>
          <w:rFonts w:ascii="Verdana" w:hAnsi="Verdana"/>
          <w:color w:val="000000"/>
        </w:rPr>
        <w:t>Wayúu</w:t>
      </w:r>
      <w:proofErr w:type="spellEnd"/>
      <w:r w:rsidRPr="00214793">
        <w:rPr>
          <w:rFonts w:ascii="Verdana" w:hAnsi="Verdana"/>
          <w:color w:val="000000"/>
        </w:rPr>
        <w:t xml:space="preserve">. Puede consultar la </w:t>
      </w:r>
      <w:r w:rsidRPr="00214793">
        <w:rPr>
          <w:rFonts w:ascii="Verdana" w:hAnsi="Verdana"/>
          <w:color w:val="000000"/>
        </w:rPr>
        <w:lastRenderedPageBreak/>
        <w:t>guía en el siguiente enlace: </w:t>
      </w:r>
      <w:hyperlink r:id="rId14" w:tgtFrame="_blank" w:tooltip="Dirección URL original: https://www.colombiacompra.gov.co/wp-content/uploads/2025/05/GUIA-DE-LINEAMIENTOS-DE-TRANSPARENCIA-Y-SELECCION-OBJETIVA-1.0.pdf. Haga clic o pulse si confía en este vínculo." w:history="1">
        <w:r w:rsidRPr="00214793">
          <w:rPr>
            <w:rFonts w:ascii="Verdana" w:hAnsi="Verdana"/>
            <w:color w:val="0000FF"/>
            <w:u w:val="single"/>
          </w:rPr>
          <w:t>Guía de lineamientos de transparencia y selección objetiva para el departamento de La Guajira – Objetivo sexto constitucional de la Sentencia T-302 del 2017</w:t>
        </w:r>
      </w:hyperlink>
      <w:r w:rsidRPr="00214793">
        <w:rPr>
          <w:rFonts w:ascii="Verdana" w:hAnsi="Verdana"/>
          <w:color w:val="000000"/>
          <w:u w:val="single"/>
        </w:rPr>
        <w:t>.</w:t>
      </w:r>
    </w:p>
    <w:p w14:paraId="5C222770" w14:textId="77777777" w:rsidR="00814F26" w:rsidRPr="00214793" w:rsidRDefault="00814F26" w:rsidP="00814F26">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214793">
        <w:rPr>
          <w:rFonts w:ascii="Verdana" w:hAnsi="Verdana" w:cs="Arial"/>
          <w:color w:val="000000" w:themeColor="text1"/>
          <w:shd w:val="clear" w:color="auto" w:fill="FFFFFF"/>
          <w:lang w:val="es-ES_tradnl"/>
        </w:rPr>
        <w:t xml:space="preserve"> </w:t>
      </w:r>
    </w:p>
    <w:p w14:paraId="254FD253" w14:textId="77777777" w:rsidR="00814F26" w:rsidRPr="00214793" w:rsidRDefault="00814F26" w:rsidP="00814F26">
      <w:pPr>
        <w:spacing w:after="0"/>
        <w:jc w:val="both"/>
        <w:rPr>
          <w:rFonts w:ascii="Verdana" w:hAnsi="Verdana"/>
        </w:rPr>
      </w:pPr>
      <w:r w:rsidRPr="00214793">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2447D71" w14:textId="77777777" w:rsidR="00814F26" w:rsidRPr="00214793" w:rsidRDefault="00814F26" w:rsidP="00814F26">
      <w:pPr>
        <w:spacing w:after="0"/>
        <w:jc w:val="both"/>
        <w:rPr>
          <w:rFonts w:ascii="Verdana" w:hAnsi="Verdana"/>
        </w:rPr>
      </w:pPr>
    </w:p>
    <w:p w14:paraId="188D0FE0" w14:textId="77777777" w:rsidR="00814F26" w:rsidRPr="00214793" w:rsidRDefault="00814F26" w:rsidP="00814F26">
      <w:pPr>
        <w:numPr>
          <w:ilvl w:val="0"/>
          <w:numId w:val="35"/>
        </w:numPr>
        <w:spacing w:after="0" w:line="240" w:lineRule="auto"/>
        <w:contextualSpacing/>
        <w:jc w:val="both"/>
        <w:rPr>
          <w:rFonts w:ascii="Verdana" w:eastAsia="Verdana" w:hAnsi="Verdana" w:cs="Verdana"/>
          <w:color w:val="4472C4" w:themeColor="accent1"/>
          <w:u w:val="single"/>
          <w:lang w:val="es-MX"/>
        </w:rPr>
      </w:pPr>
      <w:r w:rsidRPr="00214793">
        <w:rPr>
          <w:rFonts w:ascii="Verdana" w:eastAsia="Verdana" w:hAnsi="Verdana" w:cs="Verdana"/>
          <w:lang w:val="es-MX"/>
        </w:rPr>
        <w:t xml:space="preserve">Línea nacional gratuita o servicio a la ciudadanía (Mesa de servicio): </w:t>
      </w:r>
      <w:r w:rsidRPr="00214793">
        <w:rPr>
          <w:rFonts w:ascii="Verdana" w:hAnsi="Verdana"/>
          <w:color w:val="0000FF"/>
          <w:u w:val="single"/>
          <w:lang w:val="es-ES"/>
        </w:rPr>
        <w:t>01800 0520808</w:t>
      </w:r>
    </w:p>
    <w:p w14:paraId="76A6C437" w14:textId="77777777" w:rsidR="00814F26" w:rsidRPr="00214793" w:rsidRDefault="00814F26" w:rsidP="00814F26">
      <w:pPr>
        <w:numPr>
          <w:ilvl w:val="0"/>
          <w:numId w:val="35"/>
        </w:numPr>
        <w:spacing w:after="0" w:line="256" w:lineRule="auto"/>
        <w:contextualSpacing/>
        <w:rPr>
          <w:rFonts w:ascii="Verdana" w:eastAsia="Verdana" w:hAnsi="Verdana" w:cs="Verdana"/>
          <w:color w:val="4472C4" w:themeColor="accent1"/>
          <w:u w:val="single"/>
          <w:lang w:val="es-MX"/>
        </w:rPr>
      </w:pPr>
      <w:r w:rsidRPr="00214793">
        <w:rPr>
          <w:rFonts w:ascii="Verdana" w:eastAsia="Verdana" w:hAnsi="Verdana" w:cs="Verdana"/>
          <w:lang w:val="es-MX"/>
        </w:rPr>
        <w:t>Línea en Bogotá (Mesa de servicio</w:t>
      </w:r>
      <w:proofErr w:type="gramStart"/>
      <w:r w:rsidRPr="00214793">
        <w:rPr>
          <w:rFonts w:ascii="Verdana" w:eastAsia="Verdana" w:hAnsi="Verdana" w:cs="Verdana"/>
          <w:lang w:val="es-MX"/>
        </w:rPr>
        <w:t>):</w:t>
      </w:r>
      <w:r w:rsidRPr="00214793">
        <w:rPr>
          <w:rFonts w:ascii="Verdana" w:hAnsi="Verdana"/>
          <w:color w:val="0000FF"/>
          <w:u w:val="single"/>
          <w:lang w:val="es-ES"/>
        </w:rPr>
        <w:t>+</w:t>
      </w:r>
      <w:proofErr w:type="gramEnd"/>
      <w:r w:rsidRPr="00214793">
        <w:rPr>
          <w:rFonts w:ascii="Verdana" w:hAnsi="Verdana"/>
          <w:color w:val="0000FF"/>
          <w:u w:val="single"/>
          <w:lang w:val="es-ES"/>
        </w:rPr>
        <w:t>57 601 7456788</w:t>
      </w:r>
    </w:p>
    <w:p w14:paraId="76C25987" w14:textId="77777777" w:rsidR="00814F26" w:rsidRPr="00214793" w:rsidRDefault="00814F26" w:rsidP="00814F26">
      <w:pPr>
        <w:numPr>
          <w:ilvl w:val="0"/>
          <w:numId w:val="35"/>
        </w:numPr>
        <w:spacing w:after="0" w:line="256" w:lineRule="auto"/>
        <w:contextualSpacing/>
        <w:rPr>
          <w:rFonts w:ascii="Verdana" w:eastAsia="Verdana" w:hAnsi="Verdana" w:cs="Verdana"/>
          <w:color w:val="0000FF"/>
          <w:u w:val="single"/>
          <w:lang w:val="es-MX"/>
        </w:rPr>
      </w:pPr>
      <w:r w:rsidRPr="00214793">
        <w:rPr>
          <w:rFonts w:ascii="Verdana" w:eastAsia="Verdana" w:hAnsi="Verdana" w:cs="Verdana"/>
          <w:lang w:val="es-MX"/>
        </w:rPr>
        <w:t xml:space="preserve">Correo de radicación de correspondencia: </w:t>
      </w:r>
      <w:hyperlink r:id="rId15" w:history="1">
        <w:r w:rsidRPr="00214793">
          <w:rPr>
            <w:rFonts w:ascii="Verdana" w:eastAsia="Verdana" w:hAnsi="Verdana" w:cs="Verdana"/>
            <w:color w:val="0000FF"/>
            <w:u w:val="single"/>
            <w:lang w:val="es-MX"/>
          </w:rPr>
          <w:t>ventanilladeradicacion@colombiacompra.gov.co</w:t>
        </w:r>
      </w:hyperlink>
    </w:p>
    <w:p w14:paraId="18F19172" w14:textId="77777777" w:rsidR="00814F26" w:rsidRPr="00214793" w:rsidRDefault="00814F26" w:rsidP="00814F26">
      <w:pPr>
        <w:numPr>
          <w:ilvl w:val="0"/>
          <w:numId w:val="35"/>
        </w:numPr>
        <w:spacing w:after="0" w:line="256" w:lineRule="auto"/>
        <w:contextualSpacing/>
        <w:rPr>
          <w:rFonts w:ascii="Verdana" w:eastAsia="Verdana" w:hAnsi="Verdana" w:cs="Verdana"/>
          <w:color w:val="0000FF"/>
          <w:u w:val="single"/>
          <w:lang w:val="es-MX"/>
        </w:rPr>
      </w:pPr>
      <w:r w:rsidRPr="00214793">
        <w:rPr>
          <w:rFonts w:ascii="Verdana" w:eastAsia="Verdana" w:hAnsi="Verdana" w:cs="Verdana"/>
          <w:lang w:val="es-ES"/>
        </w:rPr>
        <w:t xml:space="preserve">Formulario web para PQRSD: </w:t>
      </w:r>
      <w:hyperlink r:id="rId16" w:history="1">
        <w:r w:rsidRPr="00214793">
          <w:rPr>
            <w:rFonts w:ascii="Verdana" w:eastAsia="Verdana" w:hAnsi="Verdana" w:cs="Verdana"/>
            <w:color w:val="0000FF"/>
            <w:u w:val="single"/>
            <w:lang w:val="es-MX"/>
          </w:rPr>
          <w:t>https://www.colombiacompra.gov.co/pqrsd/informacion-importante-antes-de-formular-una-pqrsd</w:t>
        </w:r>
      </w:hyperlink>
    </w:p>
    <w:p w14:paraId="06659091" w14:textId="77777777" w:rsidR="00814F26" w:rsidRPr="00214793" w:rsidRDefault="00814F26" w:rsidP="00814F26">
      <w:pPr>
        <w:spacing w:after="0" w:line="240" w:lineRule="auto"/>
        <w:ind w:left="720"/>
        <w:jc w:val="both"/>
        <w:rPr>
          <w:rFonts w:ascii="Verdana" w:hAnsi="Verdana"/>
        </w:rPr>
      </w:pPr>
    </w:p>
    <w:p w14:paraId="0167CF77" w14:textId="77777777" w:rsidR="00814F26" w:rsidRPr="00214793" w:rsidRDefault="00814F26" w:rsidP="00814F26">
      <w:pPr>
        <w:spacing w:after="0" w:line="240" w:lineRule="auto"/>
        <w:rPr>
          <w:rFonts w:ascii="Verdana" w:hAnsi="Verdana"/>
        </w:rPr>
      </w:pPr>
      <w:r w:rsidRPr="00214793">
        <w:rPr>
          <w:rFonts w:ascii="Verdana" w:hAnsi="Verdana"/>
        </w:rPr>
        <w:t xml:space="preserve">Evalúa el servicio que ofrece la Agencia por el canal de atención de PQRSD en el siguiente </w:t>
      </w:r>
      <w:proofErr w:type="gramStart"/>
      <w:r w:rsidRPr="00214793">
        <w:rPr>
          <w:rFonts w:ascii="Verdana" w:hAnsi="Verdana"/>
        </w:rPr>
        <w:t>enlace :</w:t>
      </w:r>
      <w:proofErr w:type="gramEnd"/>
      <w:hyperlink r:id="rId17" w:tgtFrame="_blank" w:tooltip="https://forms.office.com/r/pphywvs2sz" w:history="1">
        <w:r w:rsidRPr="00214793">
          <w:rPr>
            <w:rFonts w:ascii="Verdana" w:hAnsi="Verdana"/>
            <w:color w:val="0000FF"/>
            <w:u w:val="single"/>
          </w:rPr>
          <w:t>https://forms.office.com/r/pPHyWVs2SZ</w:t>
        </w:r>
      </w:hyperlink>
      <w:r w:rsidRPr="00214793">
        <w:rPr>
          <w:rFonts w:ascii="Verdana" w:hAnsi="Verdana"/>
        </w:rPr>
        <w:t xml:space="preserve"> .¡Ayúdanos a mejorar porque el compromiso es de todos!</w:t>
      </w:r>
    </w:p>
    <w:p w14:paraId="068EB1F8" w14:textId="77777777" w:rsidR="00814F26" w:rsidRPr="00214793" w:rsidRDefault="00814F26" w:rsidP="00814F26">
      <w:pPr>
        <w:spacing w:after="0" w:line="240" w:lineRule="auto"/>
        <w:rPr>
          <w:rFonts w:ascii="Verdana" w:hAnsi="Verdana"/>
        </w:rPr>
      </w:pPr>
    </w:p>
    <w:p w14:paraId="2B4E313E" w14:textId="77777777" w:rsidR="00814F26" w:rsidRPr="00214793" w:rsidRDefault="00814F26" w:rsidP="00814F26">
      <w:pPr>
        <w:spacing w:after="0" w:line="240" w:lineRule="auto"/>
        <w:jc w:val="both"/>
        <w:rPr>
          <w:rFonts w:ascii="Verdana" w:hAnsi="Verdana"/>
        </w:rPr>
      </w:pPr>
      <w:r w:rsidRPr="00214793">
        <w:rPr>
          <w:rFonts w:ascii="Verdana" w:hAnsi="Verdana"/>
        </w:rPr>
        <w:t xml:space="preserve">Por último, lo invitamos a seguirnos en las redes sociales en las cuales se difunde información institucional: </w:t>
      </w:r>
    </w:p>
    <w:p w14:paraId="71C3D4B2" w14:textId="77777777" w:rsidR="00814F26" w:rsidRPr="00214793" w:rsidRDefault="00814F26" w:rsidP="00814F26">
      <w:pPr>
        <w:spacing w:after="0" w:line="240" w:lineRule="auto"/>
        <w:jc w:val="both"/>
        <w:rPr>
          <w:rFonts w:ascii="Verdana" w:hAnsi="Verdana"/>
        </w:rPr>
      </w:pPr>
    </w:p>
    <w:p w14:paraId="00C3A1EC" w14:textId="77777777" w:rsidR="00814F26" w:rsidRPr="00214793" w:rsidRDefault="00814F26" w:rsidP="00814F26">
      <w:pPr>
        <w:spacing w:after="0" w:line="240" w:lineRule="auto"/>
        <w:jc w:val="both"/>
        <w:rPr>
          <w:rFonts w:ascii="Verdana" w:hAnsi="Verdana"/>
        </w:rPr>
      </w:pPr>
      <w:r w:rsidRPr="00214793">
        <w:rPr>
          <w:rFonts w:ascii="Verdana" w:hAnsi="Verdana"/>
        </w:rPr>
        <w:t xml:space="preserve">Twitter: </w:t>
      </w:r>
      <w:r w:rsidRPr="00214793">
        <w:rPr>
          <w:rFonts w:ascii="Verdana" w:hAnsi="Verdana"/>
          <w:color w:val="0000FF"/>
          <w:u w:val="single"/>
        </w:rPr>
        <w:t>@colombiacompra</w:t>
      </w:r>
      <w:r w:rsidRPr="00214793">
        <w:rPr>
          <w:rFonts w:ascii="Verdana" w:hAnsi="Verdana"/>
        </w:rPr>
        <w:t xml:space="preserve"> </w:t>
      </w:r>
    </w:p>
    <w:p w14:paraId="6C279028" w14:textId="77777777" w:rsidR="00814F26" w:rsidRPr="00214793" w:rsidRDefault="00814F26" w:rsidP="00814F26">
      <w:pPr>
        <w:spacing w:after="0" w:line="240" w:lineRule="auto"/>
        <w:jc w:val="both"/>
        <w:rPr>
          <w:rFonts w:ascii="Verdana" w:hAnsi="Verdana"/>
        </w:rPr>
      </w:pPr>
      <w:r w:rsidRPr="00214793">
        <w:rPr>
          <w:rFonts w:ascii="Verdana" w:hAnsi="Verdana"/>
        </w:rPr>
        <w:t xml:space="preserve">Facebook: </w:t>
      </w:r>
      <w:proofErr w:type="spellStart"/>
      <w:r w:rsidRPr="00214793">
        <w:rPr>
          <w:rFonts w:ascii="Verdana" w:hAnsi="Verdana"/>
          <w:color w:val="0000FF"/>
          <w:u w:val="single"/>
        </w:rPr>
        <w:t>ColombiaCompraEficiente</w:t>
      </w:r>
      <w:proofErr w:type="spellEnd"/>
    </w:p>
    <w:p w14:paraId="44D23BEE" w14:textId="77777777" w:rsidR="00814F26" w:rsidRPr="00214793" w:rsidRDefault="00814F26" w:rsidP="00814F26">
      <w:pPr>
        <w:spacing w:after="0" w:line="240" w:lineRule="auto"/>
        <w:jc w:val="both"/>
        <w:rPr>
          <w:rFonts w:ascii="Verdana" w:hAnsi="Verdana"/>
        </w:rPr>
      </w:pPr>
      <w:r w:rsidRPr="00214793">
        <w:rPr>
          <w:rFonts w:ascii="Verdana" w:hAnsi="Verdana"/>
        </w:rPr>
        <w:t xml:space="preserve">LinkedIn: </w:t>
      </w:r>
      <w:r w:rsidRPr="00214793">
        <w:rPr>
          <w:rFonts w:ascii="Verdana" w:hAnsi="Verdana"/>
          <w:color w:val="0000FF"/>
          <w:u w:val="single"/>
        </w:rPr>
        <w:t>Agencia Nacional de Contratación Pública - Colombia Compra Eficiente</w:t>
      </w:r>
      <w:r w:rsidRPr="00214793">
        <w:rPr>
          <w:rFonts w:ascii="Verdana" w:hAnsi="Verdana"/>
        </w:rPr>
        <w:t xml:space="preserve"> Instagram: </w:t>
      </w:r>
      <w:r w:rsidRPr="00214793">
        <w:rPr>
          <w:rFonts w:ascii="Verdana" w:hAnsi="Verdana"/>
          <w:color w:val="0000FF"/>
          <w:u w:val="single"/>
        </w:rPr>
        <w:t>@colombiacompraeficiente_cce</w:t>
      </w:r>
    </w:p>
    <w:p w14:paraId="5051DFF8" w14:textId="77777777" w:rsidR="00814F26" w:rsidRPr="00214793" w:rsidRDefault="00814F26" w:rsidP="00814F26">
      <w:pPr>
        <w:widowControl w:val="0"/>
        <w:autoSpaceDE w:val="0"/>
        <w:autoSpaceDN w:val="0"/>
        <w:spacing w:after="120" w:line="276" w:lineRule="auto"/>
        <w:jc w:val="both"/>
        <w:rPr>
          <w:rFonts w:ascii="Verdana" w:hAnsi="Verdana" w:cs="Arial"/>
          <w:color w:val="FF0000"/>
          <w:shd w:val="clear" w:color="auto" w:fill="FFFFFF"/>
          <w:lang w:val="es-ES_tradnl"/>
        </w:rPr>
      </w:pPr>
      <w:r w:rsidRPr="00214793">
        <w:rPr>
          <w:rFonts w:ascii="Verdana" w:hAnsi="Verdana" w:cs="Arial"/>
          <w:color w:val="FF0000"/>
          <w:shd w:val="clear" w:color="auto" w:fill="FFFFFF"/>
          <w:lang w:val="es-ES_tradnl"/>
        </w:rPr>
        <w:t xml:space="preserve">        </w:t>
      </w:r>
    </w:p>
    <w:p w14:paraId="700A0402" w14:textId="77777777" w:rsidR="00814F26" w:rsidRPr="00214793" w:rsidRDefault="00814F26" w:rsidP="00814F26">
      <w:pPr>
        <w:widowControl w:val="0"/>
        <w:autoSpaceDE w:val="0"/>
        <w:autoSpaceDN w:val="0"/>
        <w:spacing w:after="0" w:line="276" w:lineRule="auto"/>
        <w:jc w:val="both"/>
        <w:rPr>
          <w:rFonts w:ascii="Verdana" w:hAnsi="Verdana" w:cs="Arial"/>
          <w:lang w:val="es-ES_tradnl"/>
        </w:rPr>
      </w:pPr>
      <w:r w:rsidRPr="00214793">
        <w:rPr>
          <w:rFonts w:ascii="Verdana" w:hAnsi="Verdana" w:cs="Arial"/>
        </w:rPr>
        <w:t xml:space="preserve">Este concepto tiene el alcance previsto en el artículo 28 del Código de Procedimiento Administrativo y de lo Contencioso Administrativo </w:t>
      </w:r>
      <w:r w:rsidRPr="00214793">
        <w:rPr>
          <w:rFonts w:ascii="Verdana" w:hAnsi="Verdana" w:cs="Arial"/>
          <w:lang w:val="es-ES_tradnl"/>
        </w:rPr>
        <w:t>y las expresiones aquí utilizadas con mayúscula inicial deben ser entendidas con el significado que les otorga el artículo 2.2.1.1.1.3.1. del Decreto 1082 de 2015.</w:t>
      </w:r>
    </w:p>
    <w:p w14:paraId="4B48B58A" w14:textId="77777777" w:rsidR="00814F26" w:rsidRPr="00214793" w:rsidRDefault="00814F26" w:rsidP="00814F26">
      <w:pPr>
        <w:widowControl w:val="0"/>
        <w:autoSpaceDE w:val="0"/>
        <w:autoSpaceDN w:val="0"/>
        <w:spacing w:after="0" w:line="276" w:lineRule="auto"/>
        <w:jc w:val="both"/>
        <w:rPr>
          <w:rFonts w:ascii="Verdana" w:hAnsi="Verdana" w:cs="Arial"/>
          <w:lang w:val="es-ES_tradnl"/>
        </w:rPr>
      </w:pPr>
    </w:p>
    <w:p w14:paraId="3F694FDE" w14:textId="77777777" w:rsidR="00814F26" w:rsidRPr="00214793" w:rsidRDefault="00814F26" w:rsidP="00814F26">
      <w:pPr>
        <w:widowControl w:val="0"/>
        <w:autoSpaceDE w:val="0"/>
        <w:autoSpaceDN w:val="0"/>
        <w:spacing w:after="0" w:line="276" w:lineRule="auto"/>
        <w:jc w:val="both"/>
        <w:rPr>
          <w:rFonts w:ascii="Verdana" w:hAnsi="Verdana" w:cs="Arial"/>
          <w:lang w:val="es-ES_tradnl"/>
        </w:rPr>
      </w:pPr>
      <w:r w:rsidRPr="00214793">
        <w:rPr>
          <w:rFonts w:ascii="Verdana" w:hAnsi="Verdana" w:cs="Arial"/>
          <w:lang w:val="es-ES_tradnl"/>
        </w:rPr>
        <w:t xml:space="preserve">Este concepto tiene el alcance previsto en el artículo 28 del Código de Procedimiento Administrativo y de lo Contencioso Administrativo y las </w:t>
      </w:r>
      <w:r w:rsidRPr="00214793">
        <w:rPr>
          <w:rFonts w:ascii="Verdana" w:hAnsi="Verdana" w:cs="Arial"/>
          <w:lang w:val="es-ES_tradnl"/>
        </w:rPr>
        <w:lastRenderedPageBreak/>
        <w:t xml:space="preserve">expresiones aquí utilizadas con mayúscula inicial deben ser entendidas con el significado que les otorga el artículo 2.2.1.1.1.3.1. del Decreto 1082 de 2015. </w:t>
      </w:r>
    </w:p>
    <w:p w14:paraId="4629BE3B" w14:textId="77777777" w:rsidR="00814F26" w:rsidRPr="00214793" w:rsidRDefault="00814F26" w:rsidP="00814F26">
      <w:pPr>
        <w:widowControl w:val="0"/>
        <w:autoSpaceDE w:val="0"/>
        <w:autoSpaceDN w:val="0"/>
        <w:spacing w:after="0" w:line="276" w:lineRule="auto"/>
        <w:jc w:val="both"/>
        <w:rPr>
          <w:rFonts w:ascii="Verdana" w:hAnsi="Verdana" w:cs="Arial"/>
          <w:lang w:val="es-ES_tradnl"/>
        </w:rPr>
      </w:pPr>
    </w:p>
    <w:p w14:paraId="4A73BB52" w14:textId="77777777" w:rsidR="00814F26" w:rsidRPr="00214793" w:rsidRDefault="00814F26" w:rsidP="00814F26">
      <w:pPr>
        <w:spacing w:after="0" w:line="240" w:lineRule="auto"/>
        <w:rPr>
          <w:rFonts w:ascii="Verdana" w:hAnsi="Verdana" w:cs="Arial"/>
          <w:lang w:val="es-ES_tradnl" w:eastAsia="es-CO"/>
        </w:rPr>
      </w:pPr>
      <w:r w:rsidRPr="00214793">
        <w:rPr>
          <w:rFonts w:ascii="Verdana" w:eastAsia="Times New Roman" w:hAnsi="Verdana" w:cs="Arial"/>
          <w:lang w:val="es-ES" w:eastAsia="es-CO"/>
        </w:rPr>
        <w:t>Atentamente,</w:t>
      </w:r>
      <w:r w:rsidRPr="00214793">
        <w:rPr>
          <w:rFonts w:ascii="Verdana" w:hAnsi="Verdana" w:cs="Arial"/>
          <w:lang w:val="es-ES" w:eastAsia="es-CO"/>
        </w:rPr>
        <w:t xml:space="preserve"> </w:t>
      </w:r>
    </w:p>
    <w:p w14:paraId="54E6031E" w14:textId="4EC3864C" w:rsidR="00814F26" w:rsidRPr="00214793" w:rsidRDefault="009B4600" w:rsidP="00814F26">
      <w:pPr>
        <w:spacing w:line="276" w:lineRule="auto"/>
        <w:jc w:val="center"/>
        <w:rPr>
          <w:rFonts w:ascii="Verdana" w:eastAsia="Calibri" w:hAnsi="Verdana" w:cs="Arial"/>
          <w:color w:val="000000"/>
          <w:lang w:val="es-ES_tradnl" w:eastAsia="es-CO"/>
        </w:rPr>
      </w:pPr>
      <w:r>
        <w:rPr>
          <w:noProof/>
        </w:rPr>
        <w:drawing>
          <wp:inline distT="0" distB="0" distL="0" distR="0" wp14:anchorId="3E0400BA" wp14:editId="3A9CC7B9">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814F26" w:rsidRPr="00214793" w14:paraId="623A25C1" w14:textId="77777777" w:rsidTr="00831131">
        <w:trPr>
          <w:trHeight w:val="315"/>
        </w:trPr>
        <w:tc>
          <w:tcPr>
            <w:tcW w:w="893" w:type="dxa"/>
            <w:vAlign w:val="center"/>
            <w:hideMark/>
          </w:tcPr>
          <w:p w14:paraId="171276EF" w14:textId="77777777" w:rsidR="00814F26" w:rsidRPr="00214793" w:rsidRDefault="00814F26" w:rsidP="00831131">
            <w:pPr>
              <w:spacing w:after="255" w:line="254" w:lineRule="auto"/>
              <w:contextualSpacing/>
              <w:rPr>
                <w:rFonts w:ascii="Verdana" w:eastAsia="Calibri" w:hAnsi="Verdana"/>
                <w:sz w:val="16"/>
                <w:szCs w:val="16"/>
                <w:lang w:eastAsia="es-ES"/>
              </w:rPr>
            </w:pPr>
            <w:r w:rsidRPr="00214793">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A696AEB" w14:textId="77777777" w:rsidR="00814F26" w:rsidRPr="00214793" w:rsidRDefault="00814F26" w:rsidP="00831131">
            <w:pPr>
              <w:spacing w:after="255" w:line="254" w:lineRule="auto"/>
              <w:contextualSpacing/>
              <w:rPr>
                <w:rFonts w:ascii="Verdana" w:eastAsia="Calibri" w:hAnsi="Verdana" w:cs="Times New Roman"/>
                <w:sz w:val="16"/>
                <w:szCs w:val="16"/>
              </w:rPr>
            </w:pPr>
            <w:r w:rsidRPr="00214793">
              <w:rPr>
                <w:rFonts w:ascii="Verdana" w:eastAsia="Calibri" w:hAnsi="Verdana" w:cs="Times New Roman"/>
                <w:sz w:val="16"/>
                <w:szCs w:val="16"/>
              </w:rPr>
              <w:t>Tatiana Baquero Iguarán</w:t>
            </w:r>
          </w:p>
          <w:p w14:paraId="793786C5" w14:textId="77777777" w:rsidR="00814F26" w:rsidRPr="00214793" w:rsidRDefault="00814F26" w:rsidP="00831131">
            <w:pPr>
              <w:spacing w:after="255" w:line="254" w:lineRule="auto"/>
              <w:contextualSpacing/>
              <w:rPr>
                <w:rFonts w:ascii="Verdana" w:hAnsi="Verdana"/>
                <w:sz w:val="16"/>
                <w:szCs w:val="16"/>
              </w:rPr>
            </w:pPr>
            <w:r w:rsidRPr="00214793">
              <w:rPr>
                <w:rFonts w:ascii="Verdana" w:eastAsia="Calibri" w:hAnsi="Verdana" w:cs="Times New Roman"/>
                <w:sz w:val="16"/>
                <w:szCs w:val="16"/>
              </w:rPr>
              <w:t>Contratista de la Subdirección de Gestión Contractual</w:t>
            </w:r>
          </w:p>
        </w:tc>
      </w:tr>
      <w:tr w:rsidR="00814F26" w:rsidRPr="00214793" w14:paraId="38554345" w14:textId="77777777" w:rsidTr="00831131">
        <w:trPr>
          <w:trHeight w:val="330"/>
        </w:trPr>
        <w:tc>
          <w:tcPr>
            <w:tcW w:w="893" w:type="dxa"/>
            <w:vAlign w:val="center"/>
            <w:hideMark/>
          </w:tcPr>
          <w:p w14:paraId="6BC7566B" w14:textId="77777777" w:rsidR="00814F26" w:rsidRPr="00214793" w:rsidRDefault="00814F26" w:rsidP="00831131">
            <w:pPr>
              <w:spacing w:after="255" w:line="254" w:lineRule="auto"/>
              <w:contextualSpacing/>
              <w:rPr>
                <w:rFonts w:ascii="Verdana" w:eastAsia="Calibri" w:hAnsi="Verdana"/>
                <w:sz w:val="16"/>
                <w:szCs w:val="16"/>
                <w:lang w:eastAsia="es-ES"/>
              </w:rPr>
            </w:pPr>
            <w:r w:rsidRPr="00214793">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4B49FF" w14:textId="77777777" w:rsidR="00814F26" w:rsidRPr="00214793" w:rsidRDefault="00814F26" w:rsidP="00831131">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214793">
              <w:rPr>
                <w:rFonts w:ascii="Verdana" w:eastAsia="Times New Roman" w:hAnsi="Verdana"/>
                <w:sz w:val="16"/>
                <w:szCs w:val="16"/>
                <w:lang w:eastAsia="es-ES_tradnl"/>
              </w:rPr>
              <w:t>Alejandro Sarmiento Cantillo</w:t>
            </w:r>
          </w:p>
          <w:p w14:paraId="386290AE" w14:textId="77777777" w:rsidR="00814F26" w:rsidRPr="00214793" w:rsidRDefault="00814F26" w:rsidP="00831131">
            <w:pPr>
              <w:spacing w:after="255" w:line="254" w:lineRule="auto"/>
              <w:contextualSpacing/>
              <w:textAlignment w:val="baseline"/>
              <w:rPr>
                <w:rFonts w:ascii="Verdana" w:eastAsia="Times New Roman" w:hAnsi="Verdana" w:cs="Segoe UI"/>
                <w:sz w:val="16"/>
                <w:szCs w:val="16"/>
                <w:lang w:eastAsia="es-ES_tradnl"/>
              </w:rPr>
            </w:pPr>
            <w:r w:rsidRPr="00214793">
              <w:rPr>
                <w:rFonts w:ascii="Verdana" w:eastAsia="Times New Roman" w:hAnsi="Verdana"/>
                <w:sz w:val="16"/>
                <w:szCs w:val="16"/>
                <w:lang w:eastAsia="es-ES_tradnl"/>
              </w:rPr>
              <w:t>Gestor T1 ‒ 15 de la Subdirección de Gestión Contractual </w:t>
            </w:r>
          </w:p>
        </w:tc>
      </w:tr>
      <w:tr w:rsidR="00814F26" w:rsidRPr="00214793" w14:paraId="6FC134EF" w14:textId="77777777" w:rsidTr="00831131">
        <w:trPr>
          <w:trHeight w:val="300"/>
        </w:trPr>
        <w:tc>
          <w:tcPr>
            <w:tcW w:w="893" w:type="dxa"/>
            <w:vAlign w:val="center"/>
            <w:hideMark/>
          </w:tcPr>
          <w:p w14:paraId="3A0282A9" w14:textId="77777777" w:rsidR="00814F26" w:rsidRPr="00214793" w:rsidRDefault="00814F26" w:rsidP="00831131">
            <w:pPr>
              <w:spacing w:after="255" w:line="254" w:lineRule="auto"/>
              <w:contextualSpacing/>
              <w:rPr>
                <w:rFonts w:ascii="Verdana" w:eastAsia="Calibri" w:hAnsi="Verdana"/>
                <w:sz w:val="16"/>
                <w:szCs w:val="16"/>
                <w:lang w:eastAsia="es-ES"/>
              </w:rPr>
            </w:pPr>
            <w:r w:rsidRPr="00214793">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5B6A02" w14:textId="77777777" w:rsidR="00814F26" w:rsidRPr="00214793" w:rsidRDefault="00814F26" w:rsidP="00831131">
            <w:pPr>
              <w:spacing w:after="255" w:line="254" w:lineRule="auto"/>
              <w:contextualSpacing/>
              <w:rPr>
                <w:rFonts w:ascii="Verdana" w:eastAsia="Calibri" w:hAnsi="Verdana"/>
                <w:sz w:val="16"/>
                <w:szCs w:val="16"/>
                <w:lang w:val="pt-BR" w:eastAsia="es-ES"/>
              </w:rPr>
            </w:pPr>
            <w:r w:rsidRPr="00214793">
              <w:rPr>
                <w:rFonts w:ascii="Verdana" w:eastAsia="Calibri" w:hAnsi="Verdana"/>
                <w:sz w:val="16"/>
                <w:szCs w:val="16"/>
                <w:lang w:val="pt-BR" w:eastAsia="es-ES"/>
              </w:rPr>
              <w:t xml:space="preserve">Carolina Quintero </w:t>
            </w:r>
            <w:proofErr w:type="spellStart"/>
            <w:r w:rsidRPr="00214793">
              <w:rPr>
                <w:rFonts w:ascii="Verdana" w:eastAsia="Calibri" w:hAnsi="Verdana"/>
                <w:sz w:val="16"/>
                <w:szCs w:val="16"/>
                <w:lang w:val="pt-BR" w:eastAsia="es-ES"/>
              </w:rPr>
              <w:t>Gacharná</w:t>
            </w:r>
            <w:proofErr w:type="spellEnd"/>
          </w:p>
          <w:p w14:paraId="06FE95B0" w14:textId="77777777" w:rsidR="00814F26" w:rsidRPr="00214793" w:rsidRDefault="00814F26" w:rsidP="00831131">
            <w:pPr>
              <w:spacing w:after="255" w:line="254" w:lineRule="auto"/>
              <w:contextualSpacing/>
              <w:rPr>
                <w:rFonts w:ascii="Verdana" w:eastAsia="Calibri" w:hAnsi="Verdana"/>
                <w:sz w:val="16"/>
                <w:szCs w:val="16"/>
                <w:lang w:val="pt-BR" w:eastAsia="es-ES"/>
              </w:rPr>
            </w:pPr>
            <w:r w:rsidRPr="00214793">
              <w:rPr>
                <w:rFonts w:ascii="Verdana" w:eastAsia="Calibri" w:hAnsi="Verdana"/>
                <w:sz w:val="16"/>
                <w:szCs w:val="16"/>
                <w:lang w:eastAsia="es-ES"/>
              </w:rPr>
              <w:t>Subdirectora</w:t>
            </w:r>
            <w:r w:rsidRPr="00214793">
              <w:rPr>
                <w:rFonts w:ascii="Verdana" w:eastAsia="Calibri" w:hAnsi="Verdana"/>
                <w:sz w:val="16"/>
                <w:szCs w:val="16"/>
                <w:lang w:val="pt-BR" w:eastAsia="es-ES"/>
              </w:rPr>
              <w:t xml:space="preserve"> de Gestión Contratual ANCP – CCE</w:t>
            </w:r>
          </w:p>
        </w:tc>
      </w:tr>
    </w:tbl>
    <w:p w14:paraId="6218B746" w14:textId="77777777" w:rsidR="00814F26" w:rsidRPr="00214793" w:rsidRDefault="00814F26" w:rsidP="00814F26">
      <w:pPr>
        <w:spacing w:after="0" w:line="240" w:lineRule="auto"/>
        <w:rPr>
          <w:rFonts w:ascii="Verdana" w:eastAsia="Times New Roman" w:hAnsi="Verdana" w:cs="Arial"/>
          <w:sz w:val="24"/>
          <w:szCs w:val="24"/>
          <w:lang w:eastAsia="es-ES"/>
        </w:rPr>
      </w:pPr>
    </w:p>
    <w:p w14:paraId="693BDB68" w14:textId="77777777" w:rsidR="00814F26" w:rsidRPr="00214793" w:rsidRDefault="00814F26" w:rsidP="00814F26"/>
    <w:p w14:paraId="385D22F6" w14:textId="77777777" w:rsidR="00814F26" w:rsidRPr="00214793" w:rsidRDefault="00814F26" w:rsidP="00814F26">
      <w:pPr>
        <w:spacing w:after="0" w:line="240" w:lineRule="auto"/>
        <w:rPr>
          <w:rFonts w:ascii="Verdana" w:eastAsia="Calibri" w:hAnsi="Verdana" w:cs="Arial"/>
          <w:b/>
          <w:bCs/>
          <w:lang w:val="es-ES" w:eastAsia="es-ES"/>
        </w:rPr>
      </w:pPr>
    </w:p>
    <w:p w14:paraId="68130CB5" w14:textId="77777777" w:rsidR="00814F26" w:rsidRPr="00214793" w:rsidRDefault="00814F26" w:rsidP="00814F26"/>
    <w:p w14:paraId="3DDB77B0" w14:textId="77777777" w:rsidR="00814F26" w:rsidRPr="00214793" w:rsidRDefault="00814F26" w:rsidP="00814F26">
      <w:pPr>
        <w:spacing w:after="0"/>
        <w:rPr>
          <w:rFonts w:ascii="Verdana" w:eastAsia="Times New Roman" w:hAnsi="Verdana" w:cs="Segoe UI"/>
          <w:lang w:val="es-ES" w:eastAsia="es-CO"/>
        </w:rPr>
      </w:pPr>
    </w:p>
    <w:p w14:paraId="278B5F0D" w14:textId="77777777" w:rsidR="00814F26" w:rsidRPr="00214793" w:rsidRDefault="00814F26" w:rsidP="00814F26">
      <w:pPr>
        <w:widowControl w:val="0"/>
        <w:autoSpaceDE w:val="0"/>
        <w:autoSpaceDN w:val="0"/>
        <w:spacing w:after="120" w:line="276" w:lineRule="auto"/>
        <w:jc w:val="both"/>
        <w:rPr>
          <w:rFonts w:ascii="Verdana" w:hAnsi="Verdana" w:cs="Arial"/>
          <w:shd w:val="clear" w:color="auto" w:fill="FFFFFF"/>
        </w:rPr>
      </w:pPr>
    </w:p>
    <w:p w14:paraId="28CA2D79" w14:textId="77777777" w:rsidR="00814F26" w:rsidRPr="00214793" w:rsidRDefault="00814F26" w:rsidP="00814F26"/>
    <w:bookmarkEnd w:id="2"/>
    <w:p w14:paraId="3296C46B" w14:textId="77777777" w:rsidR="00EA37D7" w:rsidRDefault="00EA37D7" w:rsidP="005A5095">
      <w:pPr>
        <w:spacing w:after="0" w:line="240" w:lineRule="auto"/>
        <w:rPr>
          <w:rFonts w:ascii="Verdana" w:eastAsia="Geomanist Light" w:hAnsi="Verdana" w:cs="Arial"/>
          <w:color w:val="000000" w:themeColor="text1"/>
        </w:rPr>
      </w:pPr>
    </w:p>
    <w:sectPr w:rsidR="00EA37D7"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DFF72" w14:textId="77777777" w:rsidR="002C0356" w:rsidRPr="009B7987" w:rsidRDefault="002C0356" w:rsidP="00B30448">
      <w:pPr>
        <w:spacing w:after="0" w:line="240" w:lineRule="auto"/>
      </w:pPr>
      <w:r w:rsidRPr="009B7987">
        <w:separator/>
      </w:r>
    </w:p>
  </w:endnote>
  <w:endnote w:type="continuationSeparator" w:id="0">
    <w:p w14:paraId="1540C4CC" w14:textId="77777777" w:rsidR="002C0356" w:rsidRPr="009B7987" w:rsidRDefault="002C0356" w:rsidP="00B30448">
      <w:pPr>
        <w:spacing w:after="0" w:line="240" w:lineRule="auto"/>
      </w:pPr>
      <w:r w:rsidRPr="009B7987">
        <w:continuationSeparator/>
      </w:r>
    </w:p>
  </w:endnote>
  <w:endnote w:type="continuationNotice" w:id="1">
    <w:p w14:paraId="25D1DCB2" w14:textId="77777777" w:rsidR="002C0356" w:rsidRPr="009B7987" w:rsidRDefault="002C03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2F23E" w14:textId="77777777" w:rsidR="002C0356" w:rsidRPr="009B7987" w:rsidRDefault="002C0356" w:rsidP="00B30448">
      <w:pPr>
        <w:spacing w:after="0" w:line="240" w:lineRule="auto"/>
      </w:pPr>
      <w:r w:rsidRPr="009B7987">
        <w:separator/>
      </w:r>
    </w:p>
  </w:footnote>
  <w:footnote w:type="continuationSeparator" w:id="0">
    <w:p w14:paraId="29F4E2C8" w14:textId="77777777" w:rsidR="002C0356" w:rsidRPr="009B7987" w:rsidRDefault="002C0356" w:rsidP="00B30448">
      <w:pPr>
        <w:spacing w:after="0" w:line="240" w:lineRule="auto"/>
      </w:pPr>
      <w:r w:rsidRPr="009B7987">
        <w:continuationSeparator/>
      </w:r>
    </w:p>
  </w:footnote>
  <w:footnote w:type="continuationNotice" w:id="1">
    <w:p w14:paraId="2ED4377E" w14:textId="77777777" w:rsidR="002C0356" w:rsidRPr="009B7987" w:rsidRDefault="002C0356">
      <w:pPr>
        <w:spacing w:after="0" w:line="240" w:lineRule="auto"/>
      </w:pPr>
    </w:p>
  </w:footnote>
  <w:footnote w:id="2">
    <w:p w14:paraId="2756BD4E" w14:textId="77777777" w:rsidR="00814F26" w:rsidRDefault="00814F26" w:rsidP="00814F26">
      <w:pPr>
        <w:pStyle w:val="Textonotapie"/>
        <w:ind w:firstLine="709"/>
        <w:jc w:val="both"/>
        <w:rPr>
          <w:lang w:val="es-CO"/>
        </w:rPr>
      </w:pPr>
      <w:r>
        <w:rPr>
          <w:rStyle w:val="Refdenotaalpie"/>
        </w:rPr>
        <w:footnoteRef/>
      </w:r>
      <w:r>
        <w:t xml:space="preserve"> </w:t>
      </w:r>
      <w:r>
        <w:rPr>
          <w:rFonts w:ascii="Verdana" w:hAnsi="Verdana"/>
          <w:sz w:val="16"/>
          <w:szCs w:val="16"/>
        </w:rPr>
        <w:t>De conformidad con el literal a numeral 1 del artículo 2 de la Ley 80 de 1993, se denominan entidades estatales</w:t>
      </w:r>
      <w:r w:rsidRPr="006B3CF1">
        <w:rPr>
          <w:rFonts w:ascii="Verdana" w:hAnsi="Verdana"/>
          <w:sz w:val="16"/>
          <w:szCs w:val="16"/>
          <w:lang w:val="es-CO"/>
        </w:rPr>
        <w:t xml:space="preserve"> las sociedades de economía mixta en las que el Estado tenga participación superior al cincuenta por ciento (50%).</w:t>
      </w:r>
    </w:p>
  </w:footnote>
  <w:footnote w:id="3">
    <w:p w14:paraId="45A92A1C" w14:textId="77777777" w:rsidR="00814F26" w:rsidRPr="00B95CFD" w:rsidRDefault="00814F26" w:rsidP="00814F26">
      <w:pPr>
        <w:pStyle w:val="Textonotapie"/>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Artículo 2.2.1.2.1.4.4 del Decreto 1082 de 2015.</w:t>
      </w:r>
    </w:p>
  </w:footnote>
  <w:footnote w:id="4">
    <w:p w14:paraId="05C146AC" w14:textId="77777777" w:rsidR="00814F26" w:rsidRPr="00B95CFD" w:rsidRDefault="00814F26" w:rsidP="00814F26">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i/>
          <w:iCs/>
          <w:sz w:val="16"/>
          <w:szCs w:val="16"/>
          <w:lang w:val="es-ES"/>
        </w:rPr>
        <w:t>“</w:t>
      </w:r>
      <w:r w:rsidRPr="00B95CFD">
        <w:rPr>
          <w:rFonts w:ascii="Verdana" w:hAnsi="Verdana" w:cs="Arial"/>
          <w:bCs/>
          <w:i/>
          <w:iCs/>
          <w:sz w:val="16"/>
          <w:szCs w:val="16"/>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5">
    <w:p w14:paraId="62C0E76F" w14:textId="77777777" w:rsidR="00814F26" w:rsidRPr="00B95CFD" w:rsidRDefault="00814F26" w:rsidP="00814F26">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color w:val="000000" w:themeColor="text1"/>
          <w:sz w:val="16"/>
          <w:szCs w:val="16"/>
        </w:rPr>
        <w:t>“</w:t>
      </w:r>
      <w:r w:rsidRPr="00B95CFD">
        <w:rPr>
          <w:rStyle w:val="nfasis"/>
          <w:rFonts w:ascii="Verdana" w:hAnsi="Verdana" w:cs="Arial"/>
          <w:color w:val="000000" w:themeColor="text1"/>
          <w:sz w:val="16"/>
          <w:szCs w:val="16"/>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6">
    <w:p w14:paraId="1D7B7AF2" w14:textId="77777777" w:rsidR="00814F26" w:rsidRPr="00B95CFD" w:rsidRDefault="00814F26" w:rsidP="00814F26">
      <w:pPr>
        <w:pStyle w:val="Textonotapie"/>
        <w:ind w:firstLine="709"/>
        <w:jc w:val="both"/>
        <w:rPr>
          <w:rFonts w:ascii="Verdana" w:hAnsi="Verdana"/>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Este artículo fue declarado exequible por la Corte Constitucional mediante la Sentencia C-671 de 1999, M.P. Alfredo Beltrán Sierra.</w:t>
      </w:r>
    </w:p>
  </w:footnote>
  <w:footnote w:id="7">
    <w:p w14:paraId="252865CA" w14:textId="77777777" w:rsidR="00814F26" w:rsidRPr="00B95CFD" w:rsidRDefault="00814F26" w:rsidP="00814F26">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Sala de lo Contencioso Administrativo, Sección Tercera, sentencia de 23 de junio de 2010, exp.17860.</w:t>
      </w:r>
    </w:p>
  </w:footnote>
  <w:footnote w:id="8">
    <w:p w14:paraId="19D5C1FD" w14:textId="77777777" w:rsidR="00814F26" w:rsidRPr="00B95CFD" w:rsidRDefault="00814F26" w:rsidP="00814F26">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Santos Rodríguez, Jorge Enrique. </w:t>
      </w:r>
      <w:r w:rsidRPr="00B95CFD">
        <w:rPr>
          <w:rFonts w:ascii="Verdana" w:hAnsi="Verdana" w:cs="Arial"/>
          <w:i/>
          <w:iCs/>
          <w:sz w:val="16"/>
          <w:szCs w:val="16"/>
        </w:rPr>
        <w:t>“Consideraciones sobre los convenios y contratos interadministrativos”</w:t>
      </w:r>
      <w:r w:rsidRPr="00B95CFD">
        <w:rPr>
          <w:rFonts w:ascii="Verdana" w:hAnsi="Verdana" w:cs="Arial"/>
          <w:sz w:val="16"/>
          <w:szCs w:val="16"/>
        </w:rPr>
        <w:t>. Universidad Externado de Colombia, Revista Digital de Derecho Administrativo, Bogotá 2009.</w:t>
      </w:r>
    </w:p>
  </w:footnote>
  <w:footnote w:id="9">
    <w:p w14:paraId="387FC4F4" w14:textId="77777777" w:rsidR="00814F26" w:rsidRPr="00B95CFD" w:rsidRDefault="00814F26" w:rsidP="00814F26">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10">
    <w:p w14:paraId="18B38768" w14:textId="77777777" w:rsidR="00814F26" w:rsidRPr="00B95CFD" w:rsidRDefault="00814F26" w:rsidP="00814F26">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Expósito Vélez, Juan Carlos. </w:t>
      </w:r>
      <w:r w:rsidRPr="00B95CFD">
        <w:rPr>
          <w:rFonts w:ascii="Verdana" w:hAnsi="Verdana" w:cs="Arial"/>
          <w:i/>
          <w:iCs/>
          <w:sz w:val="16"/>
          <w:szCs w:val="16"/>
        </w:rPr>
        <w:t>“La configuración del contrato de la administración pública en derecho colombiano y español”</w:t>
      </w:r>
      <w:r w:rsidRPr="00B95CFD">
        <w:rPr>
          <w:rFonts w:ascii="Verdana" w:hAnsi="Verdana" w:cs="Arial"/>
          <w:sz w:val="16"/>
          <w:szCs w:val="16"/>
        </w:rPr>
        <w:t>. Bogotá, universidad Externado de Colombia, 2003, p. 25.</w:t>
      </w:r>
    </w:p>
  </w:footnote>
  <w:footnote w:id="11">
    <w:p w14:paraId="3A5E4E30" w14:textId="77777777" w:rsidR="00814F26" w:rsidRPr="00B95CFD" w:rsidRDefault="00814F26" w:rsidP="00814F26">
      <w:pPr>
        <w:ind w:firstLine="708"/>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Sala de Consulta y Servicio Civil. Concepto 26 de julio de 2016. Exp. 2.257. C.P. Álvaro Namén Vargas.</w:t>
      </w:r>
    </w:p>
  </w:footnote>
  <w:footnote w:id="12">
    <w:p w14:paraId="4EEA6420" w14:textId="77777777" w:rsidR="00814F26" w:rsidRPr="00B95CFD" w:rsidRDefault="00814F26" w:rsidP="00814F26">
      <w:pPr>
        <w:ind w:firstLine="708"/>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«CE. SCSC. Concepto de 1 de noviembre de 2016 [Rad. 11001-03-06-000-2016-00125-00(2305)]. MP. Germán Alberto Bula Escobar».</w:t>
      </w:r>
    </w:p>
  </w:footnote>
  <w:footnote w:id="13">
    <w:p w14:paraId="110FED8E" w14:textId="77777777" w:rsidR="00814F26" w:rsidRPr="00B95CFD" w:rsidRDefault="00814F26" w:rsidP="00814F26">
      <w:pPr>
        <w:ind w:firstLine="708"/>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«CE. SCSC. Concepto de 30 de abril de 2008 [Rad. 11001-03-06-000-2008-00013-00(1881)]. MP. Enrique José Arboleda Perdomo. En esta oportunidad, la Sala indicó que el contenido </w:t>
      </w:r>
      <w:r w:rsidRPr="00B95CFD">
        <w:rPr>
          <w:rFonts w:ascii="Verdana" w:hAnsi="Verdana" w:cs="Arial"/>
          <w:i/>
          <w:sz w:val="16"/>
          <w:szCs w:val="16"/>
        </w:rPr>
        <w:t>“obligacional”</w:t>
      </w:r>
      <w:r w:rsidRPr="00B95CFD">
        <w:rPr>
          <w:rFonts w:ascii="Verdana" w:hAnsi="Verdana" w:cs="Arial"/>
          <w:sz w:val="16"/>
          <w:szCs w:val="16"/>
        </w:rPr>
        <w:t xml:space="preserve"> de los convenios se estructura definiendo el resultado querido por las partes y los medios que cada entidad despliega para la obtención del respectivo objeto».</w:t>
      </w:r>
    </w:p>
  </w:footnote>
  <w:footnote w:id="14">
    <w:p w14:paraId="2B191077" w14:textId="77777777" w:rsidR="00814F26" w:rsidRPr="00B95CFD" w:rsidRDefault="00814F26" w:rsidP="00814F26">
      <w:pPr>
        <w:spacing w:line="240" w:lineRule="auto"/>
        <w:ind w:firstLine="709"/>
        <w:contextualSpacing/>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[Referencia propia de la cita] «La normativa vigente del EGCAP </w:t>
      </w:r>
      <w:r w:rsidRPr="00B95CFD">
        <w:rPr>
          <w:rFonts w:ascii="Verdana" w:hAnsi="Verdana" w:cs="Arial"/>
          <w:i/>
          <w:sz w:val="16"/>
          <w:szCs w:val="16"/>
        </w:rPr>
        <w:t>[literal c) del numeral 4. del artículo 2 de la Ley 1150/07]</w:t>
      </w:r>
      <w:r w:rsidRPr="00B95CFD">
        <w:rPr>
          <w:rFonts w:ascii="Verdana" w:hAnsi="Verdana" w:cs="Arial"/>
          <w:sz w:val="16"/>
          <w:szCs w:val="16"/>
        </w:rPr>
        <w:t xml:space="preserve"> se refiere a </w:t>
      </w:r>
      <w:r w:rsidRPr="00B95CFD">
        <w:rPr>
          <w:rFonts w:ascii="Verdana" w:hAnsi="Verdana" w:cs="Arial"/>
          <w:i/>
          <w:sz w:val="16"/>
          <w:szCs w:val="16"/>
        </w:rPr>
        <w:t>“contratos interadministrativos”</w:t>
      </w:r>
      <w:r w:rsidRPr="00B95CFD">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15">
    <w:p w14:paraId="7B9981B0" w14:textId="77777777" w:rsidR="00814F26" w:rsidRPr="00B95CFD" w:rsidRDefault="00814F26" w:rsidP="00814F26">
      <w:pPr>
        <w:pStyle w:val="Textonotapie"/>
        <w:ind w:firstLine="709"/>
        <w:jc w:val="both"/>
        <w:rPr>
          <w:rFonts w:ascii="Verdana" w:hAnsi="Verdana" w:cs="Arial"/>
          <w:sz w:val="16"/>
          <w:szCs w:val="16"/>
          <w:lang w:val="es-ES"/>
        </w:rPr>
      </w:pPr>
      <w:r w:rsidRPr="00B95CFD">
        <w:rPr>
          <w:rStyle w:val="Refdenotaalpie"/>
          <w:rFonts w:ascii="Verdana" w:hAnsi="Verdana" w:cs="Arial"/>
          <w:sz w:val="16"/>
          <w:szCs w:val="16"/>
        </w:rPr>
        <w:footnoteRef/>
      </w:r>
      <w:r w:rsidRPr="00B95CFD">
        <w:rPr>
          <w:rFonts w:ascii="Verdana" w:hAnsi="Verdana" w:cs="Arial"/>
          <w:sz w:val="16"/>
          <w:szCs w:val="16"/>
        </w:rPr>
        <w:t xml:space="preserve"> En sentido similar </w:t>
      </w:r>
      <w:r w:rsidRPr="00B95CFD">
        <w:rPr>
          <w:rFonts w:ascii="Verdana" w:hAnsi="Verdana" w:cs="Arial"/>
          <w:sz w:val="16"/>
          <w:szCs w:val="16"/>
          <w:lang w:val="es-ES"/>
        </w:rPr>
        <w:t xml:space="preserve">ver, entre otras, al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sentencia del 22 de octubre de 2021, Rad. 65978, M.P. Martha Nubia Velásquez;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A, Sentencia del 23 de abril de 2021, Rad. 49148, M.P. María Adriana Marín;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A, Sentencia del 21 de mayo de 2021, Rad. 66756, M.P. José Roberto Sáchica Méndez; </w:t>
      </w:r>
      <w:r>
        <w:rPr>
          <w:rFonts w:ascii="Verdana" w:hAnsi="Verdana" w:cs="Arial"/>
          <w:sz w:val="16"/>
          <w:szCs w:val="16"/>
          <w:lang w:val="es-ES"/>
        </w:rPr>
        <w:t>Consejo de Estado</w:t>
      </w:r>
      <w:r w:rsidRPr="00B95CFD">
        <w:rPr>
          <w:rFonts w:ascii="Verdana" w:hAnsi="Verdana" w:cs="Arial"/>
          <w:sz w:val="16"/>
          <w:szCs w:val="16"/>
          <w:lang w:val="es-ES"/>
        </w:rPr>
        <w:t xml:space="preserve">, Sala de lo Contencioso Administrativo, Sección Tercera, Subsección C, Auto del 30 de septiembre de 2020, Rad. 65358, M.P. Guillermo Sánchez Luque. </w:t>
      </w:r>
    </w:p>
    <w:p w14:paraId="4B1142AF" w14:textId="77777777" w:rsidR="00814F26" w:rsidRPr="00B95CFD" w:rsidRDefault="00814F26" w:rsidP="00814F26">
      <w:pPr>
        <w:pStyle w:val="Textonotapie"/>
        <w:ind w:firstLine="709"/>
        <w:jc w:val="both"/>
        <w:rPr>
          <w:rFonts w:ascii="Verdana" w:hAnsi="Verdana" w:cs="Arial"/>
          <w:sz w:val="16"/>
          <w:szCs w:val="16"/>
          <w:lang w:val="es-ES"/>
        </w:rPr>
      </w:pPr>
    </w:p>
  </w:footnote>
  <w:footnote w:id="16">
    <w:p w14:paraId="70381641" w14:textId="77777777" w:rsidR="00814F26" w:rsidRPr="00B95CFD" w:rsidRDefault="00814F26" w:rsidP="00814F26">
      <w:pPr>
        <w:pStyle w:val="Textonotapie"/>
        <w:ind w:firstLine="708"/>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Sala de Consulta y Servicio Civil. Concepto 26 de julio de 2016. Exp. 2.257. C.P. Álvaro Namén Vargas.</w:t>
      </w:r>
    </w:p>
  </w:footnote>
  <w:footnote w:id="17">
    <w:p w14:paraId="32BA9DEC" w14:textId="77777777" w:rsidR="00814F26" w:rsidRPr="00B95CFD" w:rsidRDefault="00814F26" w:rsidP="00814F26">
      <w:pPr>
        <w:pStyle w:val="Textonotapie"/>
        <w:ind w:firstLine="708"/>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Si bien el parágrafo de artículo 14 de la Ley 80 de 1993 establece que se deberá prescindir de las cláusulas excepcionales en los ‘contratos interadministrativos’, el Consejo de Estado ha señalado que tal disposición aplica indiscutiblemente para los convenios, pero, para el caso de los contratos administrativos “dado el ámbito de subordinación, no puede descartarse </w:t>
      </w:r>
      <w:r w:rsidRPr="00B95CFD">
        <w:rPr>
          <w:rFonts w:ascii="Verdana" w:hAnsi="Verdana" w:cs="Arial"/>
          <w:i/>
          <w:iCs/>
          <w:sz w:val="16"/>
          <w:szCs w:val="16"/>
        </w:rPr>
        <w:t>prima facie</w:t>
      </w:r>
      <w:r w:rsidRPr="00B95CFD">
        <w:rPr>
          <w:rFonts w:ascii="Verdana" w:hAnsi="Verdana" w:cs="Arial"/>
          <w:sz w:val="16"/>
          <w:szCs w:val="16"/>
        </w:rPr>
        <w:t xml:space="preserve">”. De hecho, se ha referido en concreto a la procedencia de la imposición de multas, sanciones y declaratorias de incumplimiento en contratos interadministrativos. (Consejo de Estado. Sala de Consulta y Servicio Civil, </w:t>
      </w:r>
      <w:r w:rsidRPr="00B95CFD">
        <w:rPr>
          <w:rFonts w:ascii="Verdana" w:hAnsi="Verdana" w:cs="Arial"/>
          <w:i/>
          <w:iCs/>
          <w:sz w:val="16"/>
          <w:szCs w:val="16"/>
        </w:rPr>
        <w:t>ibídem</w:t>
      </w:r>
      <w:r w:rsidRPr="00B95CFD">
        <w:rPr>
          <w:rFonts w:ascii="Verdana" w:hAnsi="Verdana" w:cs="Arial"/>
          <w:sz w:val="16"/>
          <w:szCs w:val="16"/>
        </w:rPr>
        <w:t>). Cfr. SANTOS Rodríguez Jorge Enrique. “Consideraciones sobre los contratos y convenios interadministrativos”. Revista Digital de Derecho Administrativo, Núm. 1, Universidad Externado de Colombia, Bogotá, 2009. Pág. 19.</w:t>
      </w:r>
    </w:p>
    <w:p w14:paraId="3C492633" w14:textId="77777777" w:rsidR="00814F26" w:rsidRPr="00B95CFD" w:rsidRDefault="00814F26" w:rsidP="00814F26">
      <w:pPr>
        <w:pStyle w:val="Textonotapie"/>
        <w:ind w:firstLine="708"/>
        <w:jc w:val="both"/>
        <w:rPr>
          <w:rFonts w:ascii="Verdana" w:hAnsi="Verdana" w:cs="Arial"/>
          <w:sz w:val="16"/>
          <w:szCs w:val="16"/>
        </w:rPr>
      </w:pPr>
    </w:p>
  </w:footnote>
  <w:footnote w:id="18">
    <w:p w14:paraId="5D4B4698" w14:textId="77777777" w:rsidR="00814F26" w:rsidRPr="00B95CFD" w:rsidRDefault="00814F26" w:rsidP="00814F26">
      <w:pPr>
        <w:pStyle w:val="Textonotapie"/>
        <w:ind w:firstLine="708"/>
        <w:jc w:val="both"/>
        <w:rPr>
          <w:rFonts w:ascii="Verdana" w:hAnsi="Verdana" w:cs="Arial"/>
          <w:sz w:val="16"/>
          <w:szCs w:val="16"/>
          <w:lang w:val="es-ES"/>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sz w:val="16"/>
          <w:szCs w:val="16"/>
          <w:lang w:val="es-ES"/>
        </w:rPr>
        <w:t>C</w:t>
      </w:r>
      <w:r>
        <w:rPr>
          <w:rFonts w:ascii="Verdana" w:hAnsi="Verdana" w:cs="Arial"/>
          <w:sz w:val="16"/>
          <w:szCs w:val="16"/>
          <w:lang w:val="es-ES"/>
        </w:rPr>
        <w:t>onsejo de Estado</w:t>
      </w:r>
      <w:r w:rsidRPr="00B95CFD">
        <w:rPr>
          <w:rFonts w:ascii="Verdana" w:hAnsi="Verdana" w:cs="Arial"/>
          <w:sz w:val="16"/>
          <w:szCs w:val="16"/>
          <w:lang w:val="es-ES"/>
        </w:rPr>
        <w:t xml:space="preserve"> Sección Tercera, Sentencia del 05 de febrero de 2021, rad. </w:t>
      </w:r>
      <w:r w:rsidRPr="00B95CFD">
        <w:rPr>
          <w:rFonts w:ascii="Verdana" w:hAnsi="Verdana" w:cs="Arial"/>
          <w:sz w:val="16"/>
          <w:szCs w:val="16"/>
        </w:rPr>
        <w:t>25000-23-26-000-2011-00144-01(49792), M.P. María Adriana Marín.</w:t>
      </w:r>
      <w:r w:rsidRPr="00B95CFD">
        <w:rPr>
          <w:rFonts w:ascii="Verdana" w:hAnsi="Verdana" w:cs="Arial"/>
          <w:b/>
          <w:sz w:val="16"/>
          <w:szCs w:val="16"/>
        </w:rPr>
        <w:t xml:space="preserve"> </w:t>
      </w:r>
      <w:r w:rsidRPr="00B95CFD">
        <w:rPr>
          <w:rFonts w:ascii="Verdana" w:hAnsi="Verdana" w:cs="Arial"/>
          <w:bCs/>
          <w:sz w:val="16"/>
          <w:szCs w:val="16"/>
        </w:rPr>
        <w:t>Esta posición fue acogida por esta Subdirección a través del Concepto C-168 del 29 de abril de 2021.</w:t>
      </w:r>
      <w:r w:rsidRPr="00B95CFD">
        <w:rPr>
          <w:rFonts w:ascii="Verdana" w:hAnsi="Verdana" w:cs="Arial"/>
          <w:b/>
          <w:sz w:val="16"/>
          <w:szCs w:val="16"/>
        </w:rPr>
        <w:t xml:space="preserve"> </w:t>
      </w:r>
    </w:p>
  </w:footnote>
  <w:footnote w:id="19">
    <w:p w14:paraId="2BE02DC8" w14:textId="77777777" w:rsidR="00814F26" w:rsidRPr="00B95CFD" w:rsidRDefault="00814F26" w:rsidP="00814F26">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Consejo de Estado -Sección Tercera-. Sentencia del </w:t>
      </w:r>
      <w:r w:rsidRPr="00B95CFD">
        <w:rPr>
          <w:rFonts w:ascii="Verdana" w:hAnsi="Verdana" w:cs="Arial"/>
          <w:bCs/>
          <w:iCs/>
          <w:sz w:val="16"/>
          <w:szCs w:val="16"/>
        </w:rPr>
        <w:t>14 de junio del 2019, Radicación Número: 25000-23-37-000-2010-02552-01(AP).</w:t>
      </w:r>
    </w:p>
  </w:footnote>
  <w:footnote w:id="20">
    <w:p w14:paraId="52490F19" w14:textId="77777777" w:rsidR="00814F26" w:rsidRPr="00B95CFD" w:rsidRDefault="00814F26" w:rsidP="00814F26">
      <w:pPr>
        <w:pStyle w:val="Textonotapie"/>
        <w:ind w:firstLine="709"/>
        <w:rPr>
          <w:rFonts w:ascii="Verdana" w:hAnsi="Verdana"/>
          <w:sz w:val="16"/>
          <w:szCs w:val="16"/>
          <w:lang w:val="es-CO"/>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C</w:t>
      </w:r>
      <w:r>
        <w:rPr>
          <w:rFonts w:ascii="Verdana" w:hAnsi="Verdana" w:cs="Arial"/>
          <w:sz w:val="16"/>
          <w:szCs w:val="16"/>
        </w:rPr>
        <w:t>onsejo de Estado</w:t>
      </w:r>
      <w:r w:rsidRPr="00B95CFD">
        <w:rPr>
          <w:rFonts w:ascii="Verdana" w:hAnsi="Verdana" w:cs="Arial"/>
          <w:sz w:val="16"/>
          <w:szCs w:val="16"/>
        </w:rPr>
        <w:t>. Sala de Consulta y Servicio Civil. Concepto 26 de julio de 2016. Exp. 2.257. C.P. Álvaro Namén Vargas.</w:t>
      </w:r>
    </w:p>
  </w:footnote>
  <w:footnote w:id="21">
    <w:p w14:paraId="57D509D2" w14:textId="77777777" w:rsidR="00814F26" w:rsidRPr="00B95CFD" w:rsidRDefault="00814F26" w:rsidP="00814F26">
      <w:pPr>
        <w:pStyle w:val="Textonotapie"/>
        <w:rPr>
          <w:rFonts w:ascii="Verdana" w:hAnsi="Verdana"/>
          <w:sz w:val="16"/>
          <w:szCs w:val="16"/>
          <w:lang w:val="es-CO"/>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 xml:space="preserve">Consejo de Estado -Sección Tercera-. Sentencia del </w:t>
      </w:r>
      <w:r w:rsidRPr="00B95CFD">
        <w:rPr>
          <w:rFonts w:ascii="Verdana" w:hAnsi="Verdana" w:cs="Arial"/>
          <w:bCs/>
          <w:iCs/>
          <w:sz w:val="16"/>
          <w:szCs w:val="16"/>
        </w:rPr>
        <w:t xml:space="preserve">21 de febrero de 2025. Radicación Número: 68.280. CP: José Roberto Sáchica Méndez. </w:t>
      </w:r>
    </w:p>
  </w:footnote>
  <w:footnote w:id="22">
    <w:p w14:paraId="22E6B208" w14:textId="77777777" w:rsidR="00814F26" w:rsidRDefault="00814F26" w:rsidP="00814F26">
      <w:pPr>
        <w:pStyle w:val="Textonotapie"/>
        <w:ind w:firstLine="709"/>
        <w:rPr>
          <w:sz w:val="14"/>
          <w:szCs w:val="14"/>
          <w:lang w:val="es-CO"/>
        </w:rPr>
      </w:pPr>
      <w:r>
        <w:rPr>
          <w:rStyle w:val="Refdenotaalpie"/>
          <w:sz w:val="14"/>
          <w:szCs w:val="14"/>
        </w:rPr>
        <w:footnoteRef/>
      </w:r>
      <w:r>
        <w:rPr>
          <w:sz w:val="14"/>
          <w:szCs w:val="14"/>
        </w:rPr>
        <w:t xml:space="preserve"> </w:t>
      </w:r>
      <w:r>
        <w:rPr>
          <w:rFonts w:ascii="Verdana" w:hAnsi="Verdana" w:cs="Arial"/>
          <w:sz w:val="14"/>
          <w:szCs w:val="14"/>
        </w:rPr>
        <w:t xml:space="preserve">Consejo de Estado -Sección Tercera-. Sentencia del </w:t>
      </w:r>
      <w:r>
        <w:rPr>
          <w:rFonts w:ascii="Verdana" w:hAnsi="Verdana" w:cs="Arial"/>
          <w:bCs/>
          <w:iCs/>
          <w:sz w:val="14"/>
          <w:szCs w:val="14"/>
        </w:rPr>
        <w:t>21 de febrero de 2025. Radicación Número: 68.280. CP: José Roberto Sáchica Méndez.</w:t>
      </w:r>
    </w:p>
  </w:footnote>
  <w:footnote w:id="23">
    <w:p w14:paraId="0748903C" w14:textId="77777777" w:rsidR="00814F26" w:rsidRPr="000F51F9" w:rsidRDefault="00814F26" w:rsidP="00814F26">
      <w:pPr>
        <w:pStyle w:val="Textonotapie"/>
        <w:ind w:firstLine="709"/>
        <w:contextualSpacing/>
        <w:jc w:val="both"/>
        <w:rPr>
          <w:rFonts w:ascii="Verdana" w:hAnsi="Verdana" w:cs="Arial"/>
          <w:sz w:val="12"/>
          <w:szCs w:val="12"/>
        </w:rPr>
      </w:pPr>
      <w:r w:rsidRPr="000F51F9">
        <w:rPr>
          <w:rStyle w:val="Refdenotaalpie"/>
          <w:rFonts w:ascii="Verdana" w:hAnsi="Verdana" w:cs="Arial"/>
          <w:sz w:val="12"/>
          <w:szCs w:val="12"/>
        </w:rPr>
        <w:footnoteRef/>
      </w:r>
      <w:r w:rsidRPr="000F51F9">
        <w:rPr>
          <w:rFonts w:ascii="Verdana" w:hAnsi="Verdana" w:cs="Arial"/>
          <w:sz w:val="12"/>
          <w:szCs w:val="12"/>
        </w:rPr>
        <w:t xml:space="preserve"> Consejo de Estado. Sala de Consulta y Servicio Civil. Concepto de 28 de junio de 2012. Rad: 11001-03-06-000-2012-00016-00(2092). CP: William Zambrano Cetina. </w:t>
      </w:r>
    </w:p>
  </w:footnote>
  <w:footnote w:id="24">
    <w:p w14:paraId="05D21189" w14:textId="77777777" w:rsidR="00814F26" w:rsidRDefault="00814F26" w:rsidP="00814F26">
      <w:pPr>
        <w:pStyle w:val="Textonotapie"/>
        <w:ind w:firstLine="709"/>
        <w:jc w:val="both"/>
        <w:rPr>
          <w:lang w:val="es-CO"/>
        </w:rPr>
      </w:pPr>
      <w:r>
        <w:rPr>
          <w:rStyle w:val="Refdenotaalpie"/>
        </w:rPr>
        <w:footnoteRef/>
      </w:r>
      <w:r>
        <w:t xml:space="preserve"> </w:t>
      </w:r>
      <w:r>
        <w:rPr>
          <w:rFonts w:ascii="Verdana" w:hAnsi="Verdana"/>
          <w:sz w:val="16"/>
          <w:szCs w:val="16"/>
        </w:rPr>
        <w:t>De conformidad con el literal a numeral 1 del artículo 2 de la Ley 80 de 1993, se denominan entidades estatales</w:t>
      </w:r>
      <w:r w:rsidRPr="006B3CF1">
        <w:rPr>
          <w:rFonts w:ascii="Verdana" w:hAnsi="Verdana"/>
          <w:sz w:val="16"/>
          <w:szCs w:val="16"/>
          <w:lang w:val="es-CO"/>
        </w:rPr>
        <w:t xml:space="preserve"> las sociedades de economía mixta en las que el Estado tenga participación superior al cincuenta por ciento (50%).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5"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209B2511"/>
    <w:multiLevelType w:val="hybridMultilevel"/>
    <w:tmpl w:val="6BA88B06"/>
    <w:lvl w:ilvl="0" w:tplc="FB98BED6">
      <w:start w:val="1"/>
      <w:numFmt w:val="decimal"/>
      <w:lvlText w:val="%1."/>
      <w:lvlJc w:val="left"/>
      <w:pPr>
        <w:ind w:left="120" w:hanging="278"/>
      </w:pPr>
      <w:rPr>
        <w:rFonts w:ascii="Arial" w:eastAsia="Arial" w:hAnsi="Arial" w:cs="Arial" w:hint="default"/>
        <w:color w:val="4E4D4D"/>
        <w:spacing w:val="-30"/>
        <w:w w:val="100"/>
        <w:sz w:val="22"/>
        <w:szCs w:val="22"/>
        <w:lang w:val="es-ES" w:eastAsia="en-US" w:bidi="ar-SA"/>
      </w:rPr>
    </w:lvl>
    <w:lvl w:ilvl="1" w:tplc="90B4F5DA">
      <w:numFmt w:val="bullet"/>
      <w:lvlText w:val="•"/>
      <w:lvlJc w:val="left"/>
      <w:pPr>
        <w:ind w:left="1024" w:hanging="278"/>
      </w:pPr>
      <w:rPr>
        <w:rFonts w:hint="default"/>
        <w:lang w:val="es-ES" w:eastAsia="en-US" w:bidi="ar-SA"/>
      </w:rPr>
    </w:lvl>
    <w:lvl w:ilvl="2" w:tplc="392A6C6A">
      <w:numFmt w:val="bullet"/>
      <w:lvlText w:val="•"/>
      <w:lvlJc w:val="left"/>
      <w:pPr>
        <w:ind w:left="1928" w:hanging="278"/>
      </w:pPr>
      <w:rPr>
        <w:rFonts w:hint="default"/>
        <w:lang w:val="es-ES" w:eastAsia="en-US" w:bidi="ar-SA"/>
      </w:rPr>
    </w:lvl>
    <w:lvl w:ilvl="3" w:tplc="A58EC564">
      <w:numFmt w:val="bullet"/>
      <w:lvlText w:val="•"/>
      <w:lvlJc w:val="left"/>
      <w:pPr>
        <w:ind w:left="2832" w:hanging="278"/>
      </w:pPr>
      <w:rPr>
        <w:rFonts w:hint="default"/>
        <w:lang w:val="es-ES" w:eastAsia="en-US" w:bidi="ar-SA"/>
      </w:rPr>
    </w:lvl>
    <w:lvl w:ilvl="4" w:tplc="49ACBAE2">
      <w:numFmt w:val="bullet"/>
      <w:lvlText w:val="•"/>
      <w:lvlJc w:val="left"/>
      <w:pPr>
        <w:ind w:left="3736" w:hanging="278"/>
      </w:pPr>
      <w:rPr>
        <w:rFonts w:hint="default"/>
        <w:lang w:val="es-ES" w:eastAsia="en-US" w:bidi="ar-SA"/>
      </w:rPr>
    </w:lvl>
    <w:lvl w:ilvl="5" w:tplc="133E9E1C">
      <w:numFmt w:val="bullet"/>
      <w:lvlText w:val="•"/>
      <w:lvlJc w:val="left"/>
      <w:pPr>
        <w:ind w:left="4640" w:hanging="278"/>
      </w:pPr>
      <w:rPr>
        <w:rFonts w:hint="default"/>
        <w:lang w:val="es-ES" w:eastAsia="en-US" w:bidi="ar-SA"/>
      </w:rPr>
    </w:lvl>
    <w:lvl w:ilvl="6" w:tplc="31A87F98">
      <w:numFmt w:val="bullet"/>
      <w:lvlText w:val="•"/>
      <w:lvlJc w:val="left"/>
      <w:pPr>
        <w:ind w:left="5544" w:hanging="278"/>
      </w:pPr>
      <w:rPr>
        <w:rFonts w:hint="default"/>
        <w:lang w:val="es-ES" w:eastAsia="en-US" w:bidi="ar-SA"/>
      </w:rPr>
    </w:lvl>
    <w:lvl w:ilvl="7" w:tplc="5EC29D5C">
      <w:numFmt w:val="bullet"/>
      <w:lvlText w:val="•"/>
      <w:lvlJc w:val="left"/>
      <w:pPr>
        <w:ind w:left="6448" w:hanging="278"/>
      </w:pPr>
      <w:rPr>
        <w:rFonts w:hint="default"/>
        <w:lang w:val="es-ES" w:eastAsia="en-US" w:bidi="ar-SA"/>
      </w:rPr>
    </w:lvl>
    <w:lvl w:ilvl="8" w:tplc="7DF6C630">
      <w:numFmt w:val="bullet"/>
      <w:lvlText w:val="•"/>
      <w:lvlJc w:val="left"/>
      <w:pPr>
        <w:ind w:left="7352" w:hanging="278"/>
      </w:pPr>
      <w:rPr>
        <w:rFonts w:hint="default"/>
        <w:lang w:val="es-ES" w:eastAsia="en-US" w:bidi="ar-SA"/>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98B4302"/>
    <w:multiLevelType w:val="hybridMultilevel"/>
    <w:tmpl w:val="F09E694E"/>
    <w:lvl w:ilvl="0" w:tplc="A894A56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4"/>
  </w:num>
  <w:num w:numId="6" w16cid:durableId="130758360">
    <w:abstractNumId w:val="19"/>
  </w:num>
  <w:num w:numId="7" w16cid:durableId="262541512">
    <w:abstractNumId w:val="31"/>
  </w:num>
  <w:num w:numId="8" w16cid:durableId="1947226218">
    <w:abstractNumId w:val="15"/>
  </w:num>
  <w:num w:numId="9" w16cid:durableId="1180706126">
    <w:abstractNumId w:val="18"/>
  </w:num>
  <w:num w:numId="10" w16cid:durableId="2097506960">
    <w:abstractNumId w:val="24"/>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5"/>
  </w:num>
  <w:num w:numId="19" w16cid:durableId="1910656144">
    <w:abstractNumId w:val="3"/>
  </w:num>
  <w:num w:numId="20" w16cid:durableId="947545103">
    <w:abstractNumId w:val="13"/>
  </w:num>
  <w:num w:numId="21" w16cid:durableId="1851335222">
    <w:abstractNumId w:val="33"/>
  </w:num>
  <w:num w:numId="22" w16cid:durableId="578707994">
    <w:abstractNumId w:val="4"/>
  </w:num>
  <w:num w:numId="23" w16cid:durableId="876742304">
    <w:abstractNumId w:val="11"/>
  </w:num>
  <w:num w:numId="24" w16cid:durableId="1994095851">
    <w:abstractNumId w:val="5"/>
  </w:num>
  <w:num w:numId="25" w16cid:durableId="1567109325">
    <w:abstractNumId w:val="27"/>
  </w:num>
  <w:num w:numId="26" w16cid:durableId="1116487847">
    <w:abstractNumId w:val="20"/>
  </w:num>
  <w:num w:numId="27" w16cid:durableId="611326471">
    <w:abstractNumId w:val="29"/>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2"/>
  </w:num>
  <w:num w:numId="30" w16cid:durableId="363991975">
    <w:abstractNumId w:val="30"/>
  </w:num>
  <w:num w:numId="31" w16cid:durableId="1509440290">
    <w:abstractNumId w:val="23"/>
  </w:num>
  <w:num w:numId="32" w16cid:durableId="1601723362">
    <w:abstractNumId w:val="6"/>
  </w:num>
  <w:num w:numId="33" w16cid:durableId="2082553841">
    <w:abstractNumId w:val="28"/>
  </w:num>
  <w:num w:numId="34" w16cid:durableId="340086393">
    <w:abstractNumId w:val="7"/>
  </w:num>
  <w:num w:numId="35" w16cid:durableId="12109926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0E88"/>
    <w:rsid w:val="00001B12"/>
    <w:rsid w:val="00001B99"/>
    <w:rsid w:val="00001E39"/>
    <w:rsid w:val="00002920"/>
    <w:rsid w:val="00002D55"/>
    <w:rsid w:val="0000399A"/>
    <w:rsid w:val="00004011"/>
    <w:rsid w:val="00005225"/>
    <w:rsid w:val="000054DB"/>
    <w:rsid w:val="0000587D"/>
    <w:rsid w:val="000059AE"/>
    <w:rsid w:val="00005BB0"/>
    <w:rsid w:val="00006F59"/>
    <w:rsid w:val="00007086"/>
    <w:rsid w:val="00007382"/>
    <w:rsid w:val="00007576"/>
    <w:rsid w:val="0001025F"/>
    <w:rsid w:val="0001155E"/>
    <w:rsid w:val="00011613"/>
    <w:rsid w:val="00011D3C"/>
    <w:rsid w:val="0001222D"/>
    <w:rsid w:val="00012679"/>
    <w:rsid w:val="00012EDA"/>
    <w:rsid w:val="00013B3F"/>
    <w:rsid w:val="00014981"/>
    <w:rsid w:val="00014B0D"/>
    <w:rsid w:val="00016280"/>
    <w:rsid w:val="000165C5"/>
    <w:rsid w:val="0001672C"/>
    <w:rsid w:val="00016F04"/>
    <w:rsid w:val="00017870"/>
    <w:rsid w:val="00021068"/>
    <w:rsid w:val="00021595"/>
    <w:rsid w:val="000219D1"/>
    <w:rsid w:val="00021C3A"/>
    <w:rsid w:val="0002202D"/>
    <w:rsid w:val="00022C23"/>
    <w:rsid w:val="00023DF7"/>
    <w:rsid w:val="00025AF1"/>
    <w:rsid w:val="000267DD"/>
    <w:rsid w:val="0002692E"/>
    <w:rsid w:val="000273EA"/>
    <w:rsid w:val="00027B63"/>
    <w:rsid w:val="00027CA9"/>
    <w:rsid w:val="00030B3D"/>
    <w:rsid w:val="00030BC5"/>
    <w:rsid w:val="00030BFB"/>
    <w:rsid w:val="00031DA1"/>
    <w:rsid w:val="00031EAF"/>
    <w:rsid w:val="00033390"/>
    <w:rsid w:val="000361EA"/>
    <w:rsid w:val="000369C0"/>
    <w:rsid w:val="00036FCC"/>
    <w:rsid w:val="0003731A"/>
    <w:rsid w:val="00037A8B"/>
    <w:rsid w:val="00040372"/>
    <w:rsid w:val="000408AD"/>
    <w:rsid w:val="00041469"/>
    <w:rsid w:val="0004180C"/>
    <w:rsid w:val="000419D7"/>
    <w:rsid w:val="00042DD7"/>
    <w:rsid w:val="00043EE5"/>
    <w:rsid w:val="000442CC"/>
    <w:rsid w:val="000442DE"/>
    <w:rsid w:val="00044B24"/>
    <w:rsid w:val="00044B26"/>
    <w:rsid w:val="00044B3E"/>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6AA0"/>
    <w:rsid w:val="00057392"/>
    <w:rsid w:val="000577A2"/>
    <w:rsid w:val="000577D3"/>
    <w:rsid w:val="00057963"/>
    <w:rsid w:val="000579AB"/>
    <w:rsid w:val="000602CD"/>
    <w:rsid w:val="000606F2"/>
    <w:rsid w:val="00060AE4"/>
    <w:rsid w:val="000622B9"/>
    <w:rsid w:val="000631E9"/>
    <w:rsid w:val="00063B4B"/>
    <w:rsid w:val="00064721"/>
    <w:rsid w:val="00064D60"/>
    <w:rsid w:val="00065973"/>
    <w:rsid w:val="00065C6D"/>
    <w:rsid w:val="000665D3"/>
    <w:rsid w:val="00066646"/>
    <w:rsid w:val="00066C7A"/>
    <w:rsid w:val="00066CF1"/>
    <w:rsid w:val="0007050D"/>
    <w:rsid w:val="0007144A"/>
    <w:rsid w:val="000716AB"/>
    <w:rsid w:val="00071AB8"/>
    <w:rsid w:val="0007243A"/>
    <w:rsid w:val="000762C0"/>
    <w:rsid w:val="00076737"/>
    <w:rsid w:val="00076C2B"/>
    <w:rsid w:val="00076C73"/>
    <w:rsid w:val="00076F81"/>
    <w:rsid w:val="000772B1"/>
    <w:rsid w:val="000779DE"/>
    <w:rsid w:val="000800B6"/>
    <w:rsid w:val="00081B03"/>
    <w:rsid w:val="000820B7"/>
    <w:rsid w:val="000847A0"/>
    <w:rsid w:val="00084BB0"/>
    <w:rsid w:val="00084BFD"/>
    <w:rsid w:val="00086777"/>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02AA"/>
    <w:rsid w:val="000A1828"/>
    <w:rsid w:val="000A1D06"/>
    <w:rsid w:val="000A1F38"/>
    <w:rsid w:val="000A2030"/>
    <w:rsid w:val="000A37F5"/>
    <w:rsid w:val="000A413A"/>
    <w:rsid w:val="000A4498"/>
    <w:rsid w:val="000A4F1E"/>
    <w:rsid w:val="000A5881"/>
    <w:rsid w:val="000A66A1"/>
    <w:rsid w:val="000A67F2"/>
    <w:rsid w:val="000A69FB"/>
    <w:rsid w:val="000B0E08"/>
    <w:rsid w:val="000B1087"/>
    <w:rsid w:val="000B199A"/>
    <w:rsid w:val="000B1FF7"/>
    <w:rsid w:val="000B2529"/>
    <w:rsid w:val="000B2B50"/>
    <w:rsid w:val="000B2B7C"/>
    <w:rsid w:val="000B377E"/>
    <w:rsid w:val="000B381D"/>
    <w:rsid w:val="000B3DD4"/>
    <w:rsid w:val="000B4024"/>
    <w:rsid w:val="000B44BA"/>
    <w:rsid w:val="000B4C9C"/>
    <w:rsid w:val="000B5311"/>
    <w:rsid w:val="000B5313"/>
    <w:rsid w:val="000B5C65"/>
    <w:rsid w:val="000B5F1D"/>
    <w:rsid w:val="000B6BE9"/>
    <w:rsid w:val="000B77B5"/>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7FF8"/>
    <w:rsid w:val="000D0372"/>
    <w:rsid w:val="000D06A3"/>
    <w:rsid w:val="000D0ADE"/>
    <w:rsid w:val="000D1A8F"/>
    <w:rsid w:val="000D2914"/>
    <w:rsid w:val="000D2E60"/>
    <w:rsid w:val="000D2F50"/>
    <w:rsid w:val="000D3275"/>
    <w:rsid w:val="000D3A1B"/>
    <w:rsid w:val="000D3B3D"/>
    <w:rsid w:val="000D3B86"/>
    <w:rsid w:val="000D4E64"/>
    <w:rsid w:val="000D5008"/>
    <w:rsid w:val="000D570C"/>
    <w:rsid w:val="000D5A0F"/>
    <w:rsid w:val="000D5B1E"/>
    <w:rsid w:val="000D5D9B"/>
    <w:rsid w:val="000D5E3F"/>
    <w:rsid w:val="000D5FF0"/>
    <w:rsid w:val="000D6532"/>
    <w:rsid w:val="000D6E33"/>
    <w:rsid w:val="000E0622"/>
    <w:rsid w:val="000E07AA"/>
    <w:rsid w:val="000E194D"/>
    <w:rsid w:val="000E1D6F"/>
    <w:rsid w:val="000E2D0D"/>
    <w:rsid w:val="000E3381"/>
    <w:rsid w:val="000E3744"/>
    <w:rsid w:val="000E3867"/>
    <w:rsid w:val="000E3CD9"/>
    <w:rsid w:val="000E481D"/>
    <w:rsid w:val="000E4DBF"/>
    <w:rsid w:val="000E4DF2"/>
    <w:rsid w:val="000E5844"/>
    <w:rsid w:val="000E6CB2"/>
    <w:rsid w:val="000E7349"/>
    <w:rsid w:val="000E762D"/>
    <w:rsid w:val="000E77CC"/>
    <w:rsid w:val="000F0144"/>
    <w:rsid w:val="000F022C"/>
    <w:rsid w:val="000F0807"/>
    <w:rsid w:val="000F080D"/>
    <w:rsid w:val="000F0B3C"/>
    <w:rsid w:val="000F13D5"/>
    <w:rsid w:val="000F175F"/>
    <w:rsid w:val="000F1AD8"/>
    <w:rsid w:val="000F2F4C"/>
    <w:rsid w:val="000F3888"/>
    <w:rsid w:val="000F38D9"/>
    <w:rsid w:val="000F3CED"/>
    <w:rsid w:val="000F414C"/>
    <w:rsid w:val="000F64FC"/>
    <w:rsid w:val="000F696E"/>
    <w:rsid w:val="000F6C10"/>
    <w:rsid w:val="000F718E"/>
    <w:rsid w:val="001001F2"/>
    <w:rsid w:val="00100207"/>
    <w:rsid w:val="001003C6"/>
    <w:rsid w:val="00100682"/>
    <w:rsid w:val="00100815"/>
    <w:rsid w:val="001010D3"/>
    <w:rsid w:val="0010144A"/>
    <w:rsid w:val="00101C11"/>
    <w:rsid w:val="00102F4F"/>
    <w:rsid w:val="001034DD"/>
    <w:rsid w:val="00104425"/>
    <w:rsid w:val="00104B4C"/>
    <w:rsid w:val="00105135"/>
    <w:rsid w:val="001055A2"/>
    <w:rsid w:val="0010682A"/>
    <w:rsid w:val="00106C4C"/>
    <w:rsid w:val="00107DEF"/>
    <w:rsid w:val="0011037E"/>
    <w:rsid w:val="00110404"/>
    <w:rsid w:val="001109E8"/>
    <w:rsid w:val="00110F73"/>
    <w:rsid w:val="00111C5D"/>
    <w:rsid w:val="00111E35"/>
    <w:rsid w:val="001128B4"/>
    <w:rsid w:val="00112EBD"/>
    <w:rsid w:val="001132C2"/>
    <w:rsid w:val="0011382D"/>
    <w:rsid w:val="00113AF2"/>
    <w:rsid w:val="00113C17"/>
    <w:rsid w:val="00113FDD"/>
    <w:rsid w:val="00114051"/>
    <w:rsid w:val="001142AF"/>
    <w:rsid w:val="00114973"/>
    <w:rsid w:val="00114CFF"/>
    <w:rsid w:val="00114FDF"/>
    <w:rsid w:val="0011650B"/>
    <w:rsid w:val="00116616"/>
    <w:rsid w:val="00116FC5"/>
    <w:rsid w:val="00117163"/>
    <w:rsid w:val="0011753B"/>
    <w:rsid w:val="00117BBD"/>
    <w:rsid w:val="001202DF"/>
    <w:rsid w:val="00120F1B"/>
    <w:rsid w:val="001213E7"/>
    <w:rsid w:val="001224BA"/>
    <w:rsid w:val="001238BC"/>
    <w:rsid w:val="00124518"/>
    <w:rsid w:val="001248AB"/>
    <w:rsid w:val="00124981"/>
    <w:rsid w:val="00124B2E"/>
    <w:rsid w:val="001256A1"/>
    <w:rsid w:val="00125D81"/>
    <w:rsid w:val="00126301"/>
    <w:rsid w:val="0012661F"/>
    <w:rsid w:val="0012668C"/>
    <w:rsid w:val="00126966"/>
    <w:rsid w:val="001269B0"/>
    <w:rsid w:val="00126B24"/>
    <w:rsid w:val="00127234"/>
    <w:rsid w:val="001276C4"/>
    <w:rsid w:val="00127C68"/>
    <w:rsid w:val="00127D5B"/>
    <w:rsid w:val="00130918"/>
    <w:rsid w:val="00131373"/>
    <w:rsid w:val="001314A0"/>
    <w:rsid w:val="00131A1F"/>
    <w:rsid w:val="00131A66"/>
    <w:rsid w:val="00131F9C"/>
    <w:rsid w:val="00132336"/>
    <w:rsid w:val="00132425"/>
    <w:rsid w:val="00132765"/>
    <w:rsid w:val="0013280A"/>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61A7"/>
    <w:rsid w:val="00146946"/>
    <w:rsid w:val="00146E7C"/>
    <w:rsid w:val="00147F8C"/>
    <w:rsid w:val="00150492"/>
    <w:rsid w:val="0015077E"/>
    <w:rsid w:val="001513CE"/>
    <w:rsid w:val="00151465"/>
    <w:rsid w:val="00151AD8"/>
    <w:rsid w:val="00151E77"/>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41B1"/>
    <w:rsid w:val="00164803"/>
    <w:rsid w:val="00164AE0"/>
    <w:rsid w:val="00165BF5"/>
    <w:rsid w:val="00165F2E"/>
    <w:rsid w:val="0016646A"/>
    <w:rsid w:val="0016793B"/>
    <w:rsid w:val="00167C43"/>
    <w:rsid w:val="00170282"/>
    <w:rsid w:val="001706C9"/>
    <w:rsid w:val="001706F6"/>
    <w:rsid w:val="00170D3D"/>
    <w:rsid w:val="0017120C"/>
    <w:rsid w:val="0017150D"/>
    <w:rsid w:val="001727D7"/>
    <w:rsid w:val="00172C96"/>
    <w:rsid w:val="00172DDC"/>
    <w:rsid w:val="00172F3A"/>
    <w:rsid w:val="00172F93"/>
    <w:rsid w:val="00173477"/>
    <w:rsid w:val="0017414F"/>
    <w:rsid w:val="00174285"/>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F50"/>
    <w:rsid w:val="00184BD9"/>
    <w:rsid w:val="00184ED6"/>
    <w:rsid w:val="00184F13"/>
    <w:rsid w:val="00184FD9"/>
    <w:rsid w:val="00185361"/>
    <w:rsid w:val="00186037"/>
    <w:rsid w:val="00186AE4"/>
    <w:rsid w:val="00186D14"/>
    <w:rsid w:val="001876D8"/>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7205"/>
    <w:rsid w:val="00197632"/>
    <w:rsid w:val="0019793F"/>
    <w:rsid w:val="00197A9D"/>
    <w:rsid w:val="001A045D"/>
    <w:rsid w:val="001A08E7"/>
    <w:rsid w:val="001A17D7"/>
    <w:rsid w:val="001A1A67"/>
    <w:rsid w:val="001A1FDD"/>
    <w:rsid w:val="001A2D8F"/>
    <w:rsid w:val="001A31DA"/>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4D9"/>
    <w:rsid w:val="001B6810"/>
    <w:rsid w:val="001B6E89"/>
    <w:rsid w:val="001B74F3"/>
    <w:rsid w:val="001B7572"/>
    <w:rsid w:val="001B791C"/>
    <w:rsid w:val="001B7B5E"/>
    <w:rsid w:val="001B7D70"/>
    <w:rsid w:val="001C0125"/>
    <w:rsid w:val="001C0AFA"/>
    <w:rsid w:val="001C1074"/>
    <w:rsid w:val="001C190D"/>
    <w:rsid w:val="001C21C8"/>
    <w:rsid w:val="001C25F5"/>
    <w:rsid w:val="001C34D0"/>
    <w:rsid w:val="001C4249"/>
    <w:rsid w:val="001C46E3"/>
    <w:rsid w:val="001C4F27"/>
    <w:rsid w:val="001C6573"/>
    <w:rsid w:val="001C7D03"/>
    <w:rsid w:val="001D00BE"/>
    <w:rsid w:val="001D079B"/>
    <w:rsid w:val="001D09FC"/>
    <w:rsid w:val="001D0D32"/>
    <w:rsid w:val="001D17C9"/>
    <w:rsid w:val="001D1AB9"/>
    <w:rsid w:val="001D1F20"/>
    <w:rsid w:val="001D3795"/>
    <w:rsid w:val="001D4006"/>
    <w:rsid w:val="001D54BD"/>
    <w:rsid w:val="001D5C72"/>
    <w:rsid w:val="001D626E"/>
    <w:rsid w:val="001D733B"/>
    <w:rsid w:val="001D73CF"/>
    <w:rsid w:val="001D7E8C"/>
    <w:rsid w:val="001E0902"/>
    <w:rsid w:val="001E1801"/>
    <w:rsid w:val="001E1C73"/>
    <w:rsid w:val="001E1E05"/>
    <w:rsid w:val="001E2254"/>
    <w:rsid w:val="001E22D2"/>
    <w:rsid w:val="001E2343"/>
    <w:rsid w:val="001E3838"/>
    <w:rsid w:val="001E3A17"/>
    <w:rsid w:val="001E3FCB"/>
    <w:rsid w:val="001E52DF"/>
    <w:rsid w:val="001E5500"/>
    <w:rsid w:val="001E69A6"/>
    <w:rsid w:val="001E6AB8"/>
    <w:rsid w:val="001E6BCB"/>
    <w:rsid w:val="001E783B"/>
    <w:rsid w:val="001E7FBC"/>
    <w:rsid w:val="001F0822"/>
    <w:rsid w:val="001F08CB"/>
    <w:rsid w:val="001F105B"/>
    <w:rsid w:val="001F15F6"/>
    <w:rsid w:val="001F179C"/>
    <w:rsid w:val="001F17F6"/>
    <w:rsid w:val="001F24B7"/>
    <w:rsid w:val="001F2649"/>
    <w:rsid w:val="001F3496"/>
    <w:rsid w:val="001F4099"/>
    <w:rsid w:val="001F41CA"/>
    <w:rsid w:val="001F4355"/>
    <w:rsid w:val="001F4819"/>
    <w:rsid w:val="001F48BD"/>
    <w:rsid w:val="001F5034"/>
    <w:rsid w:val="001F61DE"/>
    <w:rsid w:val="001F63AA"/>
    <w:rsid w:val="001F65AD"/>
    <w:rsid w:val="001F69C8"/>
    <w:rsid w:val="001F7054"/>
    <w:rsid w:val="001F77E5"/>
    <w:rsid w:val="001F7DB7"/>
    <w:rsid w:val="002000AA"/>
    <w:rsid w:val="00201502"/>
    <w:rsid w:val="00202A77"/>
    <w:rsid w:val="0020302A"/>
    <w:rsid w:val="002032A0"/>
    <w:rsid w:val="00203532"/>
    <w:rsid w:val="00203AE0"/>
    <w:rsid w:val="00204106"/>
    <w:rsid w:val="00204109"/>
    <w:rsid w:val="0020503A"/>
    <w:rsid w:val="00205041"/>
    <w:rsid w:val="0020524C"/>
    <w:rsid w:val="002059E3"/>
    <w:rsid w:val="00207EBF"/>
    <w:rsid w:val="002100FF"/>
    <w:rsid w:val="00210543"/>
    <w:rsid w:val="002107BA"/>
    <w:rsid w:val="00210B9B"/>
    <w:rsid w:val="002118D1"/>
    <w:rsid w:val="00211DCE"/>
    <w:rsid w:val="00212390"/>
    <w:rsid w:val="00212897"/>
    <w:rsid w:val="00213071"/>
    <w:rsid w:val="0021386A"/>
    <w:rsid w:val="00213C44"/>
    <w:rsid w:val="002146E8"/>
    <w:rsid w:val="002147EE"/>
    <w:rsid w:val="002148E5"/>
    <w:rsid w:val="00215516"/>
    <w:rsid w:val="002155C9"/>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50D1"/>
    <w:rsid w:val="002267D2"/>
    <w:rsid w:val="00227523"/>
    <w:rsid w:val="00227CE8"/>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1998"/>
    <w:rsid w:val="00241CE5"/>
    <w:rsid w:val="00242325"/>
    <w:rsid w:val="002428E9"/>
    <w:rsid w:val="00243A38"/>
    <w:rsid w:val="00243F20"/>
    <w:rsid w:val="0024474F"/>
    <w:rsid w:val="00244761"/>
    <w:rsid w:val="002450F2"/>
    <w:rsid w:val="00245B7F"/>
    <w:rsid w:val="002469C2"/>
    <w:rsid w:val="00247BDE"/>
    <w:rsid w:val="00247DE2"/>
    <w:rsid w:val="002505DE"/>
    <w:rsid w:val="002514FA"/>
    <w:rsid w:val="00251DAF"/>
    <w:rsid w:val="00252503"/>
    <w:rsid w:val="00252A30"/>
    <w:rsid w:val="00252ED7"/>
    <w:rsid w:val="0025393C"/>
    <w:rsid w:val="002549E7"/>
    <w:rsid w:val="00254A7A"/>
    <w:rsid w:val="00254EA4"/>
    <w:rsid w:val="0025509C"/>
    <w:rsid w:val="002552F8"/>
    <w:rsid w:val="0025575F"/>
    <w:rsid w:val="002571E3"/>
    <w:rsid w:val="002573DA"/>
    <w:rsid w:val="00260496"/>
    <w:rsid w:val="00260542"/>
    <w:rsid w:val="00260BAD"/>
    <w:rsid w:val="0026224C"/>
    <w:rsid w:val="00264C7C"/>
    <w:rsid w:val="0026650F"/>
    <w:rsid w:val="00266DC3"/>
    <w:rsid w:val="00270227"/>
    <w:rsid w:val="0027029D"/>
    <w:rsid w:val="00270443"/>
    <w:rsid w:val="0027081F"/>
    <w:rsid w:val="00270EE2"/>
    <w:rsid w:val="0027138C"/>
    <w:rsid w:val="0027165A"/>
    <w:rsid w:val="00272787"/>
    <w:rsid w:val="00272826"/>
    <w:rsid w:val="00272A7B"/>
    <w:rsid w:val="00272C44"/>
    <w:rsid w:val="00272F05"/>
    <w:rsid w:val="00273527"/>
    <w:rsid w:val="00273C95"/>
    <w:rsid w:val="00273F6B"/>
    <w:rsid w:val="002747EF"/>
    <w:rsid w:val="00274B06"/>
    <w:rsid w:val="002751D6"/>
    <w:rsid w:val="002754D3"/>
    <w:rsid w:val="00276261"/>
    <w:rsid w:val="00276944"/>
    <w:rsid w:val="00276964"/>
    <w:rsid w:val="002769AE"/>
    <w:rsid w:val="00276CA7"/>
    <w:rsid w:val="002816DD"/>
    <w:rsid w:val="002817A6"/>
    <w:rsid w:val="002821E8"/>
    <w:rsid w:val="00282F1D"/>
    <w:rsid w:val="00283215"/>
    <w:rsid w:val="002833F3"/>
    <w:rsid w:val="00284203"/>
    <w:rsid w:val="00284BE9"/>
    <w:rsid w:val="00285237"/>
    <w:rsid w:val="00285E35"/>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123"/>
    <w:rsid w:val="00291CB7"/>
    <w:rsid w:val="00292E91"/>
    <w:rsid w:val="002930AD"/>
    <w:rsid w:val="00293254"/>
    <w:rsid w:val="00295002"/>
    <w:rsid w:val="0029568E"/>
    <w:rsid w:val="00295E8C"/>
    <w:rsid w:val="00296A62"/>
    <w:rsid w:val="002971C7"/>
    <w:rsid w:val="002971F2"/>
    <w:rsid w:val="00297785"/>
    <w:rsid w:val="00297E05"/>
    <w:rsid w:val="002A0444"/>
    <w:rsid w:val="002A0765"/>
    <w:rsid w:val="002A0F8D"/>
    <w:rsid w:val="002A1311"/>
    <w:rsid w:val="002A1377"/>
    <w:rsid w:val="002A211A"/>
    <w:rsid w:val="002A264B"/>
    <w:rsid w:val="002A4A82"/>
    <w:rsid w:val="002A4B33"/>
    <w:rsid w:val="002A4C00"/>
    <w:rsid w:val="002A5311"/>
    <w:rsid w:val="002A5863"/>
    <w:rsid w:val="002A6E9B"/>
    <w:rsid w:val="002A6FBB"/>
    <w:rsid w:val="002A792B"/>
    <w:rsid w:val="002B0197"/>
    <w:rsid w:val="002B05D1"/>
    <w:rsid w:val="002B1933"/>
    <w:rsid w:val="002B1F71"/>
    <w:rsid w:val="002B20BD"/>
    <w:rsid w:val="002B2611"/>
    <w:rsid w:val="002B27D8"/>
    <w:rsid w:val="002B35B9"/>
    <w:rsid w:val="002B38D2"/>
    <w:rsid w:val="002B3A46"/>
    <w:rsid w:val="002B3F1C"/>
    <w:rsid w:val="002B401B"/>
    <w:rsid w:val="002B4ED9"/>
    <w:rsid w:val="002B4EF4"/>
    <w:rsid w:val="002B51BB"/>
    <w:rsid w:val="002B58C5"/>
    <w:rsid w:val="002B6686"/>
    <w:rsid w:val="002B6CA2"/>
    <w:rsid w:val="002B6E44"/>
    <w:rsid w:val="002B6E8A"/>
    <w:rsid w:val="002B726F"/>
    <w:rsid w:val="002B744E"/>
    <w:rsid w:val="002B7909"/>
    <w:rsid w:val="002C000B"/>
    <w:rsid w:val="002C016F"/>
    <w:rsid w:val="002C0356"/>
    <w:rsid w:val="002C09A8"/>
    <w:rsid w:val="002C103C"/>
    <w:rsid w:val="002C1109"/>
    <w:rsid w:val="002C12C7"/>
    <w:rsid w:val="002C1ADB"/>
    <w:rsid w:val="002C1E93"/>
    <w:rsid w:val="002C29EB"/>
    <w:rsid w:val="002C30F0"/>
    <w:rsid w:val="002C401A"/>
    <w:rsid w:val="002C479B"/>
    <w:rsid w:val="002C4EC8"/>
    <w:rsid w:val="002C532B"/>
    <w:rsid w:val="002C5571"/>
    <w:rsid w:val="002C6AF5"/>
    <w:rsid w:val="002C6D15"/>
    <w:rsid w:val="002C72F4"/>
    <w:rsid w:val="002C7E5B"/>
    <w:rsid w:val="002D0907"/>
    <w:rsid w:val="002D0996"/>
    <w:rsid w:val="002D0E9E"/>
    <w:rsid w:val="002D1381"/>
    <w:rsid w:val="002D19F4"/>
    <w:rsid w:val="002D2780"/>
    <w:rsid w:val="002D2D68"/>
    <w:rsid w:val="002D2F69"/>
    <w:rsid w:val="002D3016"/>
    <w:rsid w:val="002D3067"/>
    <w:rsid w:val="002D38D9"/>
    <w:rsid w:val="002D3CE3"/>
    <w:rsid w:val="002D4298"/>
    <w:rsid w:val="002D43BD"/>
    <w:rsid w:val="002D47E8"/>
    <w:rsid w:val="002D4FCC"/>
    <w:rsid w:val="002D5FD5"/>
    <w:rsid w:val="002D68F4"/>
    <w:rsid w:val="002D7395"/>
    <w:rsid w:val="002D7417"/>
    <w:rsid w:val="002D782B"/>
    <w:rsid w:val="002E0D9C"/>
    <w:rsid w:val="002E1247"/>
    <w:rsid w:val="002E26E8"/>
    <w:rsid w:val="002E2858"/>
    <w:rsid w:val="002E3DD8"/>
    <w:rsid w:val="002E3ED8"/>
    <w:rsid w:val="002E4687"/>
    <w:rsid w:val="002E5A01"/>
    <w:rsid w:val="002E5EA3"/>
    <w:rsid w:val="002E6C45"/>
    <w:rsid w:val="002E717C"/>
    <w:rsid w:val="002E7533"/>
    <w:rsid w:val="002E7A61"/>
    <w:rsid w:val="002F00B8"/>
    <w:rsid w:val="002F0106"/>
    <w:rsid w:val="002F03C8"/>
    <w:rsid w:val="002F188D"/>
    <w:rsid w:val="002F18A5"/>
    <w:rsid w:val="002F26F3"/>
    <w:rsid w:val="002F317F"/>
    <w:rsid w:val="002F51A2"/>
    <w:rsid w:val="002F5BA8"/>
    <w:rsid w:val="002F5E95"/>
    <w:rsid w:val="002F5F68"/>
    <w:rsid w:val="002F63CA"/>
    <w:rsid w:val="002F67B4"/>
    <w:rsid w:val="002F6F73"/>
    <w:rsid w:val="002F7AA9"/>
    <w:rsid w:val="00300054"/>
    <w:rsid w:val="003004E3"/>
    <w:rsid w:val="00300FF1"/>
    <w:rsid w:val="00301C0D"/>
    <w:rsid w:val="00301D7B"/>
    <w:rsid w:val="00301E19"/>
    <w:rsid w:val="003023DE"/>
    <w:rsid w:val="00303DC4"/>
    <w:rsid w:val="00304676"/>
    <w:rsid w:val="00306BE7"/>
    <w:rsid w:val="00306F35"/>
    <w:rsid w:val="003070E8"/>
    <w:rsid w:val="003110A2"/>
    <w:rsid w:val="00311655"/>
    <w:rsid w:val="00311B66"/>
    <w:rsid w:val="00311F29"/>
    <w:rsid w:val="00312518"/>
    <w:rsid w:val="003131D3"/>
    <w:rsid w:val="00314036"/>
    <w:rsid w:val="00314347"/>
    <w:rsid w:val="00314C4F"/>
    <w:rsid w:val="00314FAF"/>
    <w:rsid w:val="003162A5"/>
    <w:rsid w:val="00316591"/>
    <w:rsid w:val="00316B71"/>
    <w:rsid w:val="00320553"/>
    <w:rsid w:val="00320C6D"/>
    <w:rsid w:val="003213A8"/>
    <w:rsid w:val="00321FA8"/>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0D86"/>
    <w:rsid w:val="00331894"/>
    <w:rsid w:val="00332CB8"/>
    <w:rsid w:val="00333428"/>
    <w:rsid w:val="003350B6"/>
    <w:rsid w:val="003358EB"/>
    <w:rsid w:val="0033595E"/>
    <w:rsid w:val="0033601B"/>
    <w:rsid w:val="003364B6"/>
    <w:rsid w:val="0033764C"/>
    <w:rsid w:val="00337DF3"/>
    <w:rsid w:val="00337F8E"/>
    <w:rsid w:val="00340039"/>
    <w:rsid w:val="003400D3"/>
    <w:rsid w:val="0034024F"/>
    <w:rsid w:val="003402C5"/>
    <w:rsid w:val="00340A77"/>
    <w:rsid w:val="00340D39"/>
    <w:rsid w:val="00340DFB"/>
    <w:rsid w:val="003412E4"/>
    <w:rsid w:val="00341941"/>
    <w:rsid w:val="0034207A"/>
    <w:rsid w:val="0034278F"/>
    <w:rsid w:val="0034281F"/>
    <w:rsid w:val="00343B47"/>
    <w:rsid w:val="0034404F"/>
    <w:rsid w:val="00344ACC"/>
    <w:rsid w:val="003453EF"/>
    <w:rsid w:val="00345F01"/>
    <w:rsid w:val="0034654F"/>
    <w:rsid w:val="00346B28"/>
    <w:rsid w:val="00347685"/>
    <w:rsid w:val="003509A5"/>
    <w:rsid w:val="003515FD"/>
    <w:rsid w:val="003518A4"/>
    <w:rsid w:val="00351E21"/>
    <w:rsid w:val="00352327"/>
    <w:rsid w:val="003526A9"/>
    <w:rsid w:val="00354062"/>
    <w:rsid w:val="00354405"/>
    <w:rsid w:val="00355A76"/>
    <w:rsid w:val="00355DEC"/>
    <w:rsid w:val="0035635F"/>
    <w:rsid w:val="00356E0F"/>
    <w:rsid w:val="0035700C"/>
    <w:rsid w:val="003607EE"/>
    <w:rsid w:val="00360BC8"/>
    <w:rsid w:val="00360E35"/>
    <w:rsid w:val="00361106"/>
    <w:rsid w:val="003617AE"/>
    <w:rsid w:val="0036215C"/>
    <w:rsid w:val="00362BAE"/>
    <w:rsid w:val="003630F7"/>
    <w:rsid w:val="0036332B"/>
    <w:rsid w:val="00363589"/>
    <w:rsid w:val="00363636"/>
    <w:rsid w:val="003651AC"/>
    <w:rsid w:val="003653AA"/>
    <w:rsid w:val="00366120"/>
    <w:rsid w:val="003661FF"/>
    <w:rsid w:val="003665A5"/>
    <w:rsid w:val="00366A0C"/>
    <w:rsid w:val="00367238"/>
    <w:rsid w:val="00367462"/>
    <w:rsid w:val="003677D5"/>
    <w:rsid w:val="00367F34"/>
    <w:rsid w:val="0037034B"/>
    <w:rsid w:val="00370507"/>
    <w:rsid w:val="00370682"/>
    <w:rsid w:val="00370F0B"/>
    <w:rsid w:val="003718D8"/>
    <w:rsid w:val="00372A01"/>
    <w:rsid w:val="003733DF"/>
    <w:rsid w:val="00373865"/>
    <w:rsid w:val="003739DA"/>
    <w:rsid w:val="00373CE8"/>
    <w:rsid w:val="00374DB0"/>
    <w:rsid w:val="003751C7"/>
    <w:rsid w:val="00375BE0"/>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53B1"/>
    <w:rsid w:val="003853ED"/>
    <w:rsid w:val="0038628F"/>
    <w:rsid w:val="00386421"/>
    <w:rsid w:val="00386A88"/>
    <w:rsid w:val="0038704C"/>
    <w:rsid w:val="00387AA1"/>
    <w:rsid w:val="0039082A"/>
    <w:rsid w:val="0039101F"/>
    <w:rsid w:val="00391DFC"/>
    <w:rsid w:val="00392EDB"/>
    <w:rsid w:val="00392FAE"/>
    <w:rsid w:val="003931AA"/>
    <w:rsid w:val="00393EEE"/>
    <w:rsid w:val="003941C0"/>
    <w:rsid w:val="00394D45"/>
    <w:rsid w:val="00395132"/>
    <w:rsid w:val="00395247"/>
    <w:rsid w:val="00395D99"/>
    <w:rsid w:val="003968DF"/>
    <w:rsid w:val="00396D4F"/>
    <w:rsid w:val="003976C3"/>
    <w:rsid w:val="00397A03"/>
    <w:rsid w:val="00397A64"/>
    <w:rsid w:val="003A00B2"/>
    <w:rsid w:val="003A099A"/>
    <w:rsid w:val="003A1372"/>
    <w:rsid w:val="003A1D46"/>
    <w:rsid w:val="003A2447"/>
    <w:rsid w:val="003A2B82"/>
    <w:rsid w:val="003A36D3"/>
    <w:rsid w:val="003A3927"/>
    <w:rsid w:val="003A3D2E"/>
    <w:rsid w:val="003A3FF7"/>
    <w:rsid w:val="003A43D1"/>
    <w:rsid w:val="003A6A51"/>
    <w:rsid w:val="003A6E29"/>
    <w:rsid w:val="003A7FEA"/>
    <w:rsid w:val="003B0BDB"/>
    <w:rsid w:val="003B0E88"/>
    <w:rsid w:val="003B106E"/>
    <w:rsid w:val="003B153F"/>
    <w:rsid w:val="003B17B0"/>
    <w:rsid w:val="003B1844"/>
    <w:rsid w:val="003B1A5C"/>
    <w:rsid w:val="003B211E"/>
    <w:rsid w:val="003B23E0"/>
    <w:rsid w:val="003B24EA"/>
    <w:rsid w:val="003B2DA7"/>
    <w:rsid w:val="003B3AB7"/>
    <w:rsid w:val="003B3ABC"/>
    <w:rsid w:val="003B3CDD"/>
    <w:rsid w:val="003B3D8E"/>
    <w:rsid w:val="003B3FED"/>
    <w:rsid w:val="003B3FF1"/>
    <w:rsid w:val="003B4217"/>
    <w:rsid w:val="003B4A61"/>
    <w:rsid w:val="003B59A1"/>
    <w:rsid w:val="003B6D11"/>
    <w:rsid w:val="003B74F1"/>
    <w:rsid w:val="003B7541"/>
    <w:rsid w:val="003B7966"/>
    <w:rsid w:val="003B7F07"/>
    <w:rsid w:val="003B7FCE"/>
    <w:rsid w:val="003C0F87"/>
    <w:rsid w:val="003C141E"/>
    <w:rsid w:val="003C1B83"/>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13F8"/>
    <w:rsid w:val="003D239F"/>
    <w:rsid w:val="003D28DE"/>
    <w:rsid w:val="003D29B9"/>
    <w:rsid w:val="003D3500"/>
    <w:rsid w:val="003D37B6"/>
    <w:rsid w:val="003D3C68"/>
    <w:rsid w:val="003D450D"/>
    <w:rsid w:val="003D4766"/>
    <w:rsid w:val="003D4D96"/>
    <w:rsid w:val="003D503A"/>
    <w:rsid w:val="003D6505"/>
    <w:rsid w:val="003D68C6"/>
    <w:rsid w:val="003D71A6"/>
    <w:rsid w:val="003D7709"/>
    <w:rsid w:val="003E004C"/>
    <w:rsid w:val="003E0BAF"/>
    <w:rsid w:val="003E0E25"/>
    <w:rsid w:val="003E1409"/>
    <w:rsid w:val="003E16F2"/>
    <w:rsid w:val="003E2195"/>
    <w:rsid w:val="003E2A5B"/>
    <w:rsid w:val="003E36A5"/>
    <w:rsid w:val="003E4040"/>
    <w:rsid w:val="003E4A52"/>
    <w:rsid w:val="003E590D"/>
    <w:rsid w:val="003E5CBA"/>
    <w:rsid w:val="003E6B4A"/>
    <w:rsid w:val="003E78A9"/>
    <w:rsid w:val="003E7912"/>
    <w:rsid w:val="003F04E6"/>
    <w:rsid w:val="003F2CDD"/>
    <w:rsid w:val="003F45D7"/>
    <w:rsid w:val="003F5660"/>
    <w:rsid w:val="003F5717"/>
    <w:rsid w:val="003F5A39"/>
    <w:rsid w:val="003F5B56"/>
    <w:rsid w:val="003F5B9F"/>
    <w:rsid w:val="003F5BE2"/>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592"/>
    <w:rsid w:val="00404B58"/>
    <w:rsid w:val="0040544F"/>
    <w:rsid w:val="00405537"/>
    <w:rsid w:val="0040625C"/>
    <w:rsid w:val="004069D2"/>
    <w:rsid w:val="004076FF"/>
    <w:rsid w:val="00411B17"/>
    <w:rsid w:val="00411FFF"/>
    <w:rsid w:val="0041222D"/>
    <w:rsid w:val="00412293"/>
    <w:rsid w:val="004124F2"/>
    <w:rsid w:val="00412E6F"/>
    <w:rsid w:val="0041331B"/>
    <w:rsid w:val="00413C5C"/>
    <w:rsid w:val="0041413F"/>
    <w:rsid w:val="004150DC"/>
    <w:rsid w:val="0041567A"/>
    <w:rsid w:val="00415856"/>
    <w:rsid w:val="00415BAB"/>
    <w:rsid w:val="00415BCF"/>
    <w:rsid w:val="00416297"/>
    <w:rsid w:val="00417083"/>
    <w:rsid w:val="00417E36"/>
    <w:rsid w:val="0042057C"/>
    <w:rsid w:val="00420BDF"/>
    <w:rsid w:val="00421608"/>
    <w:rsid w:val="00421C23"/>
    <w:rsid w:val="0042261E"/>
    <w:rsid w:val="00422749"/>
    <w:rsid w:val="004228F2"/>
    <w:rsid w:val="00423164"/>
    <w:rsid w:val="004233DC"/>
    <w:rsid w:val="00424888"/>
    <w:rsid w:val="00425340"/>
    <w:rsid w:val="004255D9"/>
    <w:rsid w:val="00425763"/>
    <w:rsid w:val="00425C3C"/>
    <w:rsid w:val="00427D1B"/>
    <w:rsid w:val="00427E40"/>
    <w:rsid w:val="004306AB"/>
    <w:rsid w:val="0043159D"/>
    <w:rsid w:val="0043171D"/>
    <w:rsid w:val="00432F78"/>
    <w:rsid w:val="004334A2"/>
    <w:rsid w:val="004335BC"/>
    <w:rsid w:val="004339E6"/>
    <w:rsid w:val="00434723"/>
    <w:rsid w:val="00434729"/>
    <w:rsid w:val="0043617B"/>
    <w:rsid w:val="00437D17"/>
    <w:rsid w:val="00437D2F"/>
    <w:rsid w:val="0044046D"/>
    <w:rsid w:val="004410D3"/>
    <w:rsid w:val="00441720"/>
    <w:rsid w:val="00441A5B"/>
    <w:rsid w:val="00441DAF"/>
    <w:rsid w:val="0044270D"/>
    <w:rsid w:val="00442E8C"/>
    <w:rsid w:val="0044312A"/>
    <w:rsid w:val="00443310"/>
    <w:rsid w:val="004435D5"/>
    <w:rsid w:val="00443939"/>
    <w:rsid w:val="00443A34"/>
    <w:rsid w:val="00443D38"/>
    <w:rsid w:val="00444140"/>
    <w:rsid w:val="00444BF5"/>
    <w:rsid w:val="00444F43"/>
    <w:rsid w:val="00446C52"/>
    <w:rsid w:val="0044733C"/>
    <w:rsid w:val="00447C23"/>
    <w:rsid w:val="00450744"/>
    <w:rsid w:val="00450BE7"/>
    <w:rsid w:val="00450FE8"/>
    <w:rsid w:val="004518D0"/>
    <w:rsid w:val="0045213A"/>
    <w:rsid w:val="0045230E"/>
    <w:rsid w:val="004528FA"/>
    <w:rsid w:val="00452D67"/>
    <w:rsid w:val="00452E53"/>
    <w:rsid w:val="0045418C"/>
    <w:rsid w:val="004542C6"/>
    <w:rsid w:val="00454EDC"/>
    <w:rsid w:val="00455B00"/>
    <w:rsid w:val="00455B97"/>
    <w:rsid w:val="0045614D"/>
    <w:rsid w:val="00456635"/>
    <w:rsid w:val="00456BFD"/>
    <w:rsid w:val="004575D5"/>
    <w:rsid w:val="00457657"/>
    <w:rsid w:val="004600BF"/>
    <w:rsid w:val="004607D0"/>
    <w:rsid w:val="00460CE3"/>
    <w:rsid w:val="00460F25"/>
    <w:rsid w:val="004612A4"/>
    <w:rsid w:val="0046153C"/>
    <w:rsid w:val="004624D2"/>
    <w:rsid w:val="004625C8"/>
    <w:rsid w:val="00462AB6"/>
    <w:rsid w:val="00462DCE"/>
    <w:rsid w:val="0046442A"/>
    <w:rsid w:val="00464BF1"/>
    <w:rsid w:val="00465D73"/>
    <w:rsid w:val="00466078"/>
    <w:rsid w:val="0046626B"/>
    <w:rsid w:val="004676E4"/>
    <w:rsid w:val="00467AFF"/>
    <w:rsid w:val="00470183"/>
    <w:rsid w:val="004708C9"/>
    <w:rsid w:val="00470C48"/>
    <w:rsid w:val="0047139F"/>
    <w:rsid w:val="00471429"/>
    <w:rsid w:val="004722B1"/>
    <w:rsid w:val="00473A47"/>
    <w:rsid w:val="00473A4F"/>
    <w:rsid w:val="00473C0A"/>
    <w:rsid w:val="00473EEF"/>
    <w:rsid w:val="00474415"/>
    <w:rsid w:val="00474BC1"/>
    <w:rsid w:val="004763EC"/>
    <w:rsid w:val="00476791"/>
    <w:rsid w:val="0047722F"/>
    <w:rsid w:val="00477459"/>
    <w:rsid w:val="00477541"/>
    <w:rsid w:val="00477CC9"/>
    <w:rsid w:val="0048026E"/>
    <w:rsid w:val="00480303"/>
    <w:rsid w:val="004807A9"/>
    <w:rsid w:val="00480A8A"/>
    <w:rsid w:val="00480F76"/>
    <w:rsid w:val="004810A5"/>
    <w:rsid w:val="004810E0"/>
    <w:rsid w:val="00481318"/>
    <w:rsid w:val="00481363"/>
    <w:rsid w:val="004813EE"/>
    <w:rsid w:val="00481835"/>
    <w:rsid w:val="00481F86"/>
    <w:rsid w:val="00482CDC"/>
    <w:rsid w:val="00482FB0"/>
    <w:rsid w:val="00483B03"/>
    <w:rsid w:val="0048444C"/>
    <w:rsid w:val="00485058"/>
    <w:rsid w:val="00485702"/>
    <w:rsid w:val="00485722"/>
    <w:rsid w:val="004867EC"/>
    <w:rsid w:val="00486A37"/>
    <w:rsid w:val="00487662"/>
    <w:rsid w:val="004876C6"/>
    <w:rsid w:val="00487D7B"/>
    <w:rsid w:val="00490F7A"/>
    <w:rsid w:val="00490FD5"/>
    <w:rsid w:val="00491241"/>
    <w:rsid w:val="00491813"/>
    <w:rsid w:val="0049198E"/>
    <w:rsid w:val="00493278"/>
    <w:rsid w:val="00493855"/>
    <w:rsid w:val="00495148"/>
    <w:rsid w:val="004951D8"/>
    <w:rsid w:val="004952C1"/>
    <w:rsid w:val="00497575"/>
    <w:rsid w:val="004A078B"/>
    <w:rsid w:val="004A12C0"/>
    <w:rsid w:val="004A169A"/>
    <w:rsid w:val="004A18C9"/>
    <w:rsid w:val="004A191A"/>
    <w:rsid w:val="004A1A70"/>
    <w:rsid w:val="004A35FB"/>
    <w:rsid w:val="004A4027"/>
    <w:rsid w:val="004A419E"/>
    <w:rsid w:val="004A4688"/>
    <w:rsid w:val="004A6463"/>
    <w:rsid w:val="004A6483"/>
    <w:rsid w:val="004A6B58"/>
    <w:rsid w:val="004A6BA2"/>
    <w:rsid w:val="004B06C3"/>
    <w:rsid w:val="004B0917"/>
    <w:rsid w:val="004B0B09"/>
    <w:rsid w:val="004B123E"/>
    <w:rsid w:val="004B140F"/>
    <w:rsid w:val="004B14EB"/>
    <w:rsid w:val="004B21CF"/>
    <w:rsid w:val="004B2DE3"/>
    <w:rsid w:val="004B3FEA"/>
    <w:rsid w:val="004B4E68"/>
    <w:rsid w:val="004B53F1"/>
    <w:rsid w:val="004B5D6E"/>
    <w:rsid w:val="004B5E9B"/>
    <w:rsid w:val="004B60BA"/>
    <w:rsid w:val="004B6946"/>
    <w:rsid w:val="004B6D89"/>
    <w:rsid w:val="004B6E81"/>
    <w:rsid w:val="004C0FFE"/>
    <w:rsid w:val="004C136D"/>
    <w:rsid w:val="004C1619"/>
    <w:rsid w:val="004C177F"/>
    <w:rsid w:val="004C19E4"/>
    <w:rsid w:val="004C1B59"/>
    <w:rsid w:val="004C27BA"/>
    <w:rsid w:val="004C3C25"/>
    <w:rsid w:val="004C3EEA"/>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502C"/>
    <w:rsid w:val="004D5FB2"/>
    <w:rsid w:val="004D60A3"/>
    <w:rsid w:val="004D6DC3"/>
    <w:rsid w:val="004D71CA"/>
    <w:rsid w:val="004E016A"/>
    <w:rsid w:val="004E0461"/>
    <w:rsid w:val="004E1CC8"/>
    <w:rsid w:val="004E29B1"/>
    <w:rsid w:val="004E3F87"/>
    <w:rsid w:val="004E461B"/>
    <w:rsid w:val="004E477D"/>
    <w:rsid w:val="004E5890"/>
    <w:rsid w:val="004E74CB"/>
    <w:rsid w:val="004E79EF"/>
    <w:rsid w:val="004E7B33"/>
    <w:rsid w:val="004F0368"/>
    <w:rsid w:val="004F0D19"/>
    <w:rsid w:val="004F121B"/>
    <w:rsid w:val="004F140F"/>
    <w:rsid w:val="004F1600"/>
    <w:rsid w:val="004F185F"/>
    <w:rsid w:val="004F2811"/>
    <w:rsid w:val="004F2CA4"/>
    <w:rsid w:val="004F30BB"/>
    <w:rsid w:val="004F3326"/>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6EDA"/>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2F3"/>
    <w:rsid w:val="005165FE"/>
    <w:rsid w:val="00516890"/>
    <w:rsid w:val="0051690E"/>
    <w:rsid w:val="00516942"/>
    <w:rsid w:val="00516CB2"/>
    <w:rsid w:val="00516DC0"/>
    <w:rsid w:val="00516DC5"/>
    <w:rsid w:val="00520BBA"/>
    <w:rsid w:val="005225AC"/>
    <w:rsid w:val="005226FA"/>
    <w:rsid w:val="005233F3"/>
    <w:rsid w:val="0052365C"/>
    <w:rsid w:val="005245D2"/>
    <w:rsid w:val="005247F4"/>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556"/>
    <w:rsid w:val="00535673"/>
    <w:rsid w:val="00535784"/>
    <w:rsid w:val="00535D6B"/>
    <w:rsid w:val="00535ED9"/>
    <w:rsid w:val="00536442"/>
    <w:rsid w:val="005374FE"/>
    <w:rsid w:val="005403E5"/>
    <w:rsid w:val="0054053D"/>
    <w:rsid w:val="0054126C"/>
    <w:rsid w:val="00541368"/>
    <w:rsid w:val="005415DD"/>
    <w:rsid w:val="00541D12"/>
    <w:rsid w:val="005423F3"/>
    <w:rsid w:val="005426DB"/>
    <w:rsid w:val="005442F1"/>
    <w:rsid w:val="00544A24"/>
    <w:rsid w:val="00544F60"/>
    <w:rsid w:val="0054583C"/>
    <w:rsid w:val="00546227"/>
    <w:rsid w:val="005468E2"/>
    <w:rsid w:val="00546D83"/>
    <w:rsid w:val="005478D9"/>
    <w:rsid w:val="005500C6"/>
    <w:rsid w:val="00550113"/>
    <w:rsid w:val="0055019B"/>
    <w:rsid w:val="005504BE"/>
    <w:rsid w:val="0055082B"/>
    <w:rsid w:val="0055093A"/>
    <w:rsid w:val="00550F00"/>
    <w:rsid w:val="00551BDF"/>
    <w:rsid w:val="00551ED7"/>
    <w:rsid w:val="0055211C"/>
    <w:rsid w:val="005521D8"/>
    <w:rsid w:val="0055263A"/>
    <w:rsid w:val="005526EE"/>
    <w:rsid w:val="00552B57"/>
    <w:rsid w:val="00552E53"/>
    <w:rsid w:val="00553E34"/>
    <w:rsid w:val="005547B7"/>
    <w:rsid w:val="005551E9"/>
    <w:rsid w:val="0055680D"/>
    <w:rsid w:val="00557670"/>
    <w:rsid w:val="00557C2D"/>
    <w:rsid w:val="00560094"/>
    <w:rsid w:val="00560C62"/>
    <w:rsid w:val="00562A61"/>
    <w:rsid w:val="00562E78"/>
    <w:rsid w:val="005638A2"/>
    <w:rsid w:val="00564E45"/>
    <w:rsid w:val="005652D5"/>
    <w:rsid w:val="00565E52"/>
    <w:rsid w:val="00567227"/>
    <w:rsid w:val="00567CD0"/>
    <w:rsid w:val="00570C7B"/>
    <w:rsid w:val="00571C77"/>
    <w:rsid w:val="00572D5B"/>
    <w:rsid w:val="00574614"/>
    <w:rsid w:val="00574A70"/>
    <w:rsid w:val="00574D35"/>
    <w:rsid w:val="00575C75"/>
    <w:rsid w:val="005762CA"/>
    <w:rsid w:val="005770CF"/>
    <w:rsid w:val="00577904"/>
    <w:rsid w:val="00577922"/>
    <w:rsid w:val="00577AC3"/>
    <w:rsid w:val="00580577"/>
    <w:rsid w:val="00581364"/>
    <w:rsid w:val="005815A8"/>
    <w:rsid w:val="00581915"/>
    <w:rsid w:val="00583431"/>
    <w:rsid w:val="005846C0"/>
    <w:rsid w:val="00584D04"/>
    <w:rsid w:val="005853F5"/>
    <w:rsid w:val="0058567E"/>
    <w:rsid w:val="00585DE1"/>
    <w:rsid w:val="0058659E"/>
    <w:rsid w:val="005869EE"/>
    <w:rsid w:val="00586BFF"/>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7108"/>
    <w:rsid w:val="005976DB"/>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62AE"/>
    <w:rsid w:val="005B6551"/>
    <w:rsid w:val="005B71A8"/>
    <w:rsid w:val="005B744B"/>
    <w:rsid w:val="005C0A6F"/>
    <w:rsid w:val="005C0FA7"/>
    <w:rsid w:val="005C155F"/>
    <w:rsid w:val="005C1C0E"/>
    <w:rsid w:val="005C36E2"/>
    <w:rsid w:val="005C3E9E"/>
    <w:rsid w:val="005C400C"/>
    <w:rsid w:val="005C410C"/>
    <w:rsid w:val="005C4BF1"/>
    <w:rsid w:val="005C4BF2"/>
    <w:rsid w:val="005C52D4"/>
    <w:rsid w:val="005C5BED"/>
    <w:rsid w:val="005C5D86"/>
    <w:rsid w:val="005C6167"/>
    <w:rsid w:val="005C6A8B"/>
    <w:rsid w:val="005C6ADB"/>
    <w:rsid w:val="005C6EE2"/>
    <w:rsid w:val="005C7A07"/>
    <w:rsid w:val="005C7DDC"/>
    <w:rsid w:val="005C7F7C"/>
    <w:rsid w:val="005D0BAD"/>
    <w:rsid w:val="005D0C0A"/>
    <w:rsid w:val="005D107D"/>
    <w:rsid w:val="005D123A"/>
    <w:rsid w:val="005D2506"/>
    <w:rsid w:val="005D2BB5"/>
    <w:rsid w:val="005D3677"/>
    <w:rsid w:val="005D46C5"/>
    <w:rsid w:val="005D4E4C"/>
    <w:rsid w:val="005D5B5E"/>
    <w:rsid w:val="005D5C85"/>
    <w:rsid w:val="005D5CA0"/>
    <w:rsid w:val="005D69AB"/>
    <w:rsid w:val="005D72FC"/>
    <w:rsid w:val="005D7DFC"/>
    <w:rsid w:val="005E0190"/>
    <w:rsid w:val="005E035A"/>
    <w:rsid w:val="005E0464"/>
    <w:rsid w:val="005E0681"/>
    <w:rsid w:val="005E1218"/>
    <w:rsid w:val="005E18EC"/>
    <w:rsid w:val="005E1A55"/>
    <w:rsid w:val="005E1B6B"/>
    <w:rsid w:val="005E1F61"/>
    <w:rsid w:val="005E21FC"/>
    <w:rsid w:val="005E2281"/>
    <w:rsid w:val="005E236C"/>
    <w:rsid w:val="005E29C8"/>
    <w:rsid w:val="005E2FAE"/>
    <w:rsid w:val="005E32C9"/>
    <w:rsid w:val="005E351B"/>
    <w:rsid w:val="005E38A8"/>
    <w:rsid w:val="005E39F9"/>
    <w:rsid w:val="005E3D9B"/>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7C0"/>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61D"/>
    <w:rsid w:val="00611816"/>
    <w:rsid w:val="00611A3B"/>
    <w:rsid w:val="006120CA"/>
    <w:rsid w:val="00612389"/>
    <w:rsid w:val="00612570"/>
    <w:rsid w:val="006127BD"/>
    <w:rsid w:val="00612871"/>
    <w:rsid w:val="00612929"/>
    <w:rsid w:val="006129A1"/>
    <w:rsid w:val="00612A44"/>
    <w:rsid w:val="00612A8E"/>
    <w:rsid w:val="00613098"/>
    <w:rsid w:val="006134D9"/>
    <w:rsid w:val="006135DA"/>
    <w:rsid w:val="00613BDC"/>
    <w:rsid w:val="00613DAF"/>
    <w:rsid w:val="00614921"/>
    <w:rsid w:val="00615564"/>
    <w:rsid w:val="006155E2"/>
    <w:rsid w:val="00615F26"/>
    <w:rsid w:val="00616CCC"/>
    <w:rsid w:val="00617A81"/>
    <w:rsid w:val="00617C11"/>
    <w:rsid w:val="00617DEC"/>
    <w:rsid w:val="00620573"/>
    <w:rsid w:val="00620579"/>
    <w:rsid w:val="006208AA"/>
    <w:rsid w:val="0062128D"/>
    <w:rsid w:val="006218F3"/>
    <w:rsid w:val="00621C96"/>
    <w:rsid w:val="0062228D"/>
    <w:rsid w:val="006224D1"/>
    <w:rsid w:val="0062258F"/>
    <w:rsid w:val="00622732"/>
    <w:rsid w:val="00622E6D"/>
    <w:rsid w:val="00623477"/>
    <w:rsid w:val="00623579"/>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66"/>
    <w:rsid w:val="006318A4"/>
    <w:rsid w:val="00631A11"/>
    <w:rsid w:val="00631D4F"/>
    <w:rsid w:val="006321B6"/>
    <w:rsid w:val="00632721"/>
    <w:rsid w:val="006327C6"/>
    <w:rsid w:val="00633496"/>
    <w:rsid w:val="006338D2"/>
    <w:rsid w:val="00633F92"/>
    <w:rsid w:val="0063435E"/>
    <w:rsid w:val="00634CB2"/>
    <w:rsid w:val="006357E2"/>
    <w:rsid w:val="00635FD8"/>
    <w:rsid w:val="00636651"/>
    <w:rsid w:val="006368E4"/>
    <w:rsid w:val="00636E0E"/>
    <w:rsid w:val="00636F7B"/>
    <w:rsid w:val="006378D8"/>
    <w:rsid w:val="00640140"/>
    <w:rsid w:val="0064019C"/>
    <w:rsid w:val="00640288"/>
    <w:rsid w:val="006405AC"/>
    <w:rsid w:val="0064099D"/>
    <w:rsid w:val="006412CD"/>
    <w:rsid w:val="006413D8"/>
    <w:rsid w:val="00641610"/>
    <w:rsid w:val="00641B7B"/>
    <w:rsid w:val="00641C55"/>
    <w:rsid w:val="00642405"/>
    <w:rsid w:val="00642645"/>
    <w:rsid w:val="00642674"/>
    <w:rsid w:val="006437E8"/>
    <w:rsid w:val="006438E0"/>
    <w:rsid w:val="00644BED"/>
    <w:rsid w:val="006455CB"/>
    <w:rsid w:val="00646674"/>
    <w:rsid w:val="00646FD5"/>
    <w:rsid w:val="006472F8"/>
    <w:rsid w:val="00647680"/>
    <w:rsid w:val="00647743"/>
    <w:rsid w:val="006510C0"/>
    <w:rsid w:val="00652092"/>
    <w:rsid w:val="00652472"/>
    <w:rsid w:val="00652C8F"/>
    <w:rsid w:val="00652F31"/>
    <w:rsid w:val="006535E5"/>
    <w:rsid w:val="0065394E"/>
    <w:rsid w:val="00653B38"/>
    <w:rsid w:val="00653B41"/>
    <w:rsid w:val="00654D37"/>
    <w:rsid w:val="00656385"/>
    <w:rsid w:val="00656F19"/>
    <w:rsid w:val="00657BB7"/>
    <w:rsid w:val="00660299"/>
    <w:rsid w:val="00660552"/>
    <w:rsid w:val="00660DBE"/>
    <w:rsid w:val="00661113"/>
    <w:rsid w:val="0066127D"/>
    <w:rsid w:val="00661AB0"/>
    <w:rsid w:val="006623A4"/>
    <w:rsid w:val="006627B5"/>
    <w:rsid w:val="0066351C"/>
    <w:rsid w:val="006635BF"/>
    <w:rsid w:val="00664498"/>
    <w:rsid w:val="00664693"/>
    <w:rsid w:val="00664DC0"/>
    <w:rsid w:val="006651CC"/>
    <w:rsid w:val="006653B5"/>
    <w:rsid w:val="0066582B"/>
    <w:rsid w:val="006658DA"/>
    <w:rsid w:val="00665CA1"/>
    <w:rsid w:val="00667421"/>
    <w:rsid w:val="0066780E"/>
    <w:rsid w:val="00667A31"/>
    <w:rsid w:val="006702C4"/>
    <w:rsid w:val="00670702"/>
    <w:rsid w:val="006708EB"/>
    <w:rsid w:val="0067147C"/>
    <w:rsid w:val="00671A12"/>
    <w:rsid w:val="00672895"/>
    <w:rsid w:val="00672A8A"/>
    <w:rsid w:val="00673524"/>
    <w:rsid w:val="00673E96"/>
    <w:rsid w:val="00673F50"/>
    <w:rsid w:val="00674EEA"/>
    <w:rsid w:val="0067549D"/>
    <w:rsid w:val="006759B0"/>
    <w:rsid w:val="00677012"/>
    <w:rsid w:val="006771EA"/>
    <w:rsid w:val="00680D0E"/>
    <w:rsid w:val="00680F00"/>
    <w:rsid w:val="00681213"/>
    <w:rsid w:val="006825A6"/>
    <w:rsid w:val="006825B4"/>
    <w:rsid w:val="006829BA"/>
    <w:rsid w:val="006829E7"/>
    <w:rsid w:val="00682AF2"/>
    <w:rsid w:val="00682E8A"/>
    <w:rsid w:val="00682FB7"/>
    <w:rsid w:val="006837DE"/>
    <w:rsid w:val="00683CE0"/>
    <w:rsid w:val="0068537F"/>
    <w:rsid w:val="00686104"/>
    <w:rsid w:val="006862C7"/>
    <w:rsid w:val="00686334"/>
    <w:rsid w:val="00686C3A"/>
    <w:rsid w:val="00686EEB"/>
    <w:rsid w:val="00687628"/>
    <w:rsid w:val="00687CFE"/>
    <w:rsid w:val="0069035A"/>
    <w:rsid w:val="00690EB8"/>
    <w:rsid w:val="0069109D"/>
    <w:rsid w:val="006915E5"/>
    <w:rsid w:val="00691EAA"/>
    <w:rsid w:val="00692401"/>
    <w:rsid w:val="00693B7A"/>
    <w:rsid w:val="006941CC"/>
    <w:rsid w:val="006942BA"/>
    <w:rsid w:val="006945D4"/>
    <w:rsid w:val="00694EC0"/>
    <w:rsid w:val="00695688"/>
    <w:rsid w:val="00695852"/>
    <w:rsid w:val="00695F56"/>
    <w:rsid w:val="0069758B"/>
    <w:rsid w:val="00697F88"/>
    <w:rsid w:val="006A0A70"/>
    <w:rsid w:val="006A0B6C"/>
    <w:rsid w:val="006A1692"/>
    <w:rsid w:val="006A16E1"/>
    <w:rsid w:val="006A179F"/>
    <w:rsid w:val="006A188D"/>
    <w:rsid w:val="006A3293"/>
    <w:rsid w:val="006A32A1"/>
    <w:rsid w:val="006A36DF"/>
    <w:rsid w:val="006A3C8A"/>
    <w:rsid w:val="006A3E61"/>
    <w:rsid w:val="006A5213"/>
    <w:rsid w:val="006A6003"/>
    <w:rsid w:val="006A6737"/>
    <w:rsid w:val="006B0AE6"/>
    <w:rsid w:val="006B179A"/>
    <w:rsid w:val="006B1E08"/>
    <w:rsid w:val="006B2099"/>
    <w:rsid w:val="006B26B1"/>
    <w:rsid w:val="006B2E45"/>
    <w:rsid w:val="006B341B"/>
    <w:rsid w:val="006B3875"/>
    <w:rsid w:val="006B3CF1"/>
    <w:rsid w:val="006B425B"/>
    <w:rsid w:val="006B545C"/>
    <w:rsid w:val="006B5AC8"/>
    <w:rsid w:val="006B5D32"/>
    <w:rsid w:val="006B5DCF"/>
    <w:rsid w:val="006B6836"/>
    <w:rsid w:val="006B758B"/>
    <w:rsid w:val="006B7BF8"/>
    <w:rsid w:val="006C0E54"/>
    <w:rsid w:val="006C0F11"/>
    <w:rsid w:val="006C23E1"/>
    <w:rsid w:val="006C25D5"/>
    <w:rsid w:val="006C25F9"/>
    <w:rsid w:val="006C262B"/>
    <w:rsid w:val="006C2866"/>
    <w:rsid w:val="006C31C6"/>
    <w:rsid w:val="006C3A2D"/>
    <w:rsid w:val="006C4666"/>
    <w:rsid w:val="006C49BF"/>
    <w:rsid w:val="006C63D7"/>
    <w:rsid w:val="006C6894"/>
    <w:rsid w:val="006C6898"/>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5303"/>
    <w:rsid w:val="006D5E84"/>
    <w:rsid w:val="006D6859"/>
    <w:rsid w:val="006D71EE"/>
    <w:rsid w:val="006D7A4C"/>
    <w:rsid w:val="006D7C99"/>
    <w:rsid w:val="006E0443"/>
    <w:rsid w:val="006E0AF7"/>
    <w:rsid w:val="006E0C50"/>
    <w:rsid w:val="006E0DCF"/>
    <w:rsid w:val="006E14D6"/>
    <w:rsid w:val="006E1647"/>
    <w:rsid w:val="006E1BA2"/>
    <w:rsid w:val="006E2209"/>
    <w:rsid w:val="006E2298"/>
    <w:rsid w:val="006E2F3A"/>
    <w:rsid w:val="006E310A"/>
    <w:rsid w:val="006E3C3E"/>
    <w:rsid w:val="006E3FBD"/>
    <w:rsid w:val="006E40C7"/>
    <w:rsid w:val="006E429F"/>
    <w:rsid w:val="006E47E0"/>
    <w:rsid w:val="006E50E4"/>
    <w:rsid w:val="006E6074"/>
    <w:rsid w:val="006E6F30"/>
    <w:rsid w:val="006E6FE9"/>
    <w:rsid w:val="006E7082"/>
    <w:rsid w:val="006E709F"/>
    <w:rsid w:val="006E7F73"/>
    <w:rsid w:val="006F030F"/>
    <w:rsid w:val="006F193C"/>
    <w:rsid w:val="006F1A1A"/>
    <w:rsid w:val="006F1B58"/>
    <w:rsid w:val="006F27DC"/>
    <w:rsid w:val="006F2B89"/>
    <w:rsid w:val="006F36F1"/>
    <w:rsid w:val="006F3B81"/>
    <w:rsid w:val="006F4D59"/>
    <w:rsid w:val="006F4F79"/>
    <w:rsid w:val="006F4F80"/>
    <w:rsid w:val="006F5532"/>
    <w:rsid w:val="006F5ADA"/>
    <w:rsid w:val="006F62CC"/>
    <w:rsid w:val="006F644B"/>
    <w:rsid w:val="006F66C1"/>
    <w:rsid w:val="006F6760"/>
    <w:rsid w:val="006F681D"/>
    <w:rsid w:val="006F731E"/>
    <w:rsid w:val="006F78E9"/>
    <w:rsid w:val="0070235F"/>
    <w:rsid w:val="00702BC3"/>
    <w:rsid w:val="00702C08"/>
    <w:rsid w:val="00702FF3"/>
    <w:rsid w:val="007032AC"/>
    <w:rsid w:val="00703496"/>
    <w:rsid w:val="007036FE"/>
    <w:rsid w:val="00703AB1"/>
    <w:rsid w:val="00704614"/>
    <w:rsid w:val="00704C5F"/>
    <w:rsid w:val="00704DEB"/>
    <w:rsid w:val="00705623"/>
    <w:rsid w:val="00705B37"/>
    <w:rsid w:val="0070658A"/>
    <w:rsid w:val="00706AC0"/>
    <w:rsid w:val="00706B65"/>
    <w:rsid w:val="007071AF"/>
    <w:rsid w:val="00707C1A"/>
    <w:rsid w:val="00710023"/>
    <w:rsid w:val="00710207"/>
    <w:rsid w:val="0071023D"/>
    <w:rsid w:val="007103CD"/>
    <w:rsid w:val="007104CB"/>
    <w:rsid w:val="00710530"/>
    <w:rsid w:val="007107BD"/>
    <w:rsid w:val="00711E77"/>
    <w:rsid w:val="00712912"/>
    <w:rsid w:val="00713AAC"/>
    <w:rsid w:val="00713E75"/>
    <w:rsid w:val="007141DC"/>
    <w:rsid w:val="00714B04"/>
    <w:rsid w:val="00714F75"/>
    <w:rsid w:val="00715539"/>
    <w:rsid w:val="007155CE"/>
    <w:rsid w:val="007168A0"/>
    <w:rsid w:val="00716BC6"/>
    <w:rsid w:val="00716C95"/>
    <w:rsid w:val="00717762"/>
    <w:rsid w:val="00717F1A"/>
    <w:rsid w:val="0072026B"/>
    <w:rsid w:val="007204DA"/>
    <w:rsid w:val="00721A63"/>
    <w:rsid w:val="00721DED"/>
    <w:rsid w:val="00721FF9"/>
    <w:rsid w:val="0072229E"/>
    <w:rsid w:val="00722DF6"/>
    <w:rsid w:val="00722F53"/>
    <w:rsid w:val="0072337E"/>
    <w:rsid w:val="00723696"/>
    <w:rsid w:val="0072406E"/>
    <w:rsid w:val="0072442F"/>
    <w:rsid w:val="00725189"/>
    <w:rsid w:val="0072541E"/>
    <w:rsid w:val="00725735"/>
    <w:rsid w:val="0072630D"/>
    <w:rsid w:val="00726A2A"/>
    <w:rsid w:val="007271E9"/>
    <w:rsid w:val="007273BC"/>
    <w:rsid w:val="007275FD"/>
    <w:rsid w:val="007276E5"/>
    <w:rsid w:val="00730943"/>
    <w:rsid w:val="00731D5E"/>
    <w:rsid w:val="00732492"/>
    <w:rsid w:val="00733E5A"/>
    <w:rsid w:val="00733F25"/>
    <w:rsid w:val="00734948"/>
    <w:rsid w:val="00735EA0"/>
    <w:rsid w:val="00736395"/>
    <w:rsid w:val="00736459"/>
    <w:rsid w:val="0073685F"/>
    <w:rsid w:val="00737821"/>
    <w:rsid w:val="0074058F"/>
    <w:rsid w:val="00740E86"/>
    <w:rsid w:val="00741175"/>
    <w:rsid w:val="007419FB"/>
    <w:rsid w:val="00742606"/>
    <w:rsid w:val="007441FF"/>
    <w:rsid w:val="00744EE8"/>
    <w:rsid w:val="00744F42"/>
    <w:rsid w:val="007459F5"/>
    <w:rsid w:val="00746713"/>
    <w:rsid w:val="007467E4"/>
    <w:rsid w:val="00746B08"/>
    <w:rsid w:val="00747569"/>
    <w:rsid w:val="00750238"/>
    <w:rsid w:val="0075023C"/>
    <w:rsid w:val="0075090C"/>
    <w:rsid w:val="007518E3"/>
    <w:rsid w:val="007518E9"/>
    <w:rsid w:val="00752247"/>
    <w:rsid w:val="007523E7"/>
    <w:rsid w:val="007524C4"/>
    <w:rsid w:val="007531CA"/>
    <w:rsid w:val="00754252"/>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240"/>
    <w:rsid w:val="00764AF5"/>
    <w:rsid w:val="00764AF9"/>
    <w:rsid w:val="007650AD"/>
    <w:rsid w:val="00765D18"/>
    <w:rsid w:val="0076640B"/>
    <w:rsid w:val="007673DE"/>
    <w:rsid w:val="00770C54"/>
    <w:rsid w:val="00771344"/>
    <w:rsid w:val="0077213A"/>
    <w:rsid w:val="00772613"/>
    <w:rsid w:val="00772728"/>
    <w:rsid w:val="00772B41"/>
    <w:rsid w:val="00772CED"/>
    <w:rsid w:val="00773EA1"/>
    <w:rsid w:val="00775215"/>
    <w:rsid w:val="00775748"/>
    <w:rsid w:val="007768A2"/>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448"/>
    <w:rsid w:val="007875D7"/>
    <w:rsid w:val="007901C3"/>
    <w:rsid w:val="007906B2"/>
    <w:rsid w:val="0079134E"/>
    <w:rsid w:val="007925F0"/>
    <w:rsid w:val="0079278E"/>
    <w:rsid w:val="00792DCA"/>
    <w:rsid w:val="00792E3C"/>
    <w:rsid w:val="007930C1"/>
    <w:rsid w:val="0079315D"/>
    <w:rsid w:val="00793B45"/>
    <w:rsid w:val="0079477A"/>
    <w:rsid w:val="00795706"/>
    <w:rsid w:val="00795ECD"/>
    <w:rsid w:val="007960E3"/>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4968"/>
    <w:rsid w:val="007A5ACE"/>
    <w:rsid w:val="007A5C5C"/>
    <w:rsid w:val="007A6528"/>
    <w:rsid w:val="007A7B48"/>
    <w:rsid w:val="007A7FD7"/>
    <w:rsid w:val="007B18C6"/>
    <w:rsid w:val="007B20C2"/>
    <w:rsid w:val="007B25D5"/>
    <w:rsid w:val="007B27E4"/>
    <w:rsid w:val="007B2910"/>
    <w:rsid w:val="007B301D"/>
    <w:rsid w:val="007B3264"/>
    <w:rsid w:val="007B35F6"/>
    <w:rsid w:val="007B3BF6"/>
    <w:rsid w:val="007B3C17"/>
    <w:rsid w:val="007B3F87"/>
    <w:rsid w:val="007B404F"/>
    <w:rsid w:val="007B429C"/>
    <w:rsid w:val="007B44A6"/>
    <w:rsid w:val="007B494E"/>
    <w:rsid w:val="007B4C5E"/>
    <w:rsid w:val="007B5858"/>
    <w:rsid w:val="007B7462"/>
    <w:rsid w:val="007B7B52"/>
    <w:rsid w:val="007B7EFC"/>
    <w:rsid w:val="007C02A3"/>
    <w:rsid w:val="007C0C55"/>
    <w:rsid w:val="007C1507"/>
    <w:rsid w:val="007C2F60"/>
    <w:rsid w:val="007C3202"/>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267F"/>
    <w:rsid w:val="007D2CC3"/>
    <w:rsid w:val="007D3341"/>
    <w:rsid w:val="007D3A3E"/>
    <w:rsid w:val="007D400A"/>
    <w:rsid w:val="007D4B0E"/>
    <w:rsid w:val="007D4DD2"/>
    <w:rsid w:val="007D5D0F"/>
    <w:rsid w:val="007D6EA8"/>
    <w:rsid w:val="007D7945"/>
    <w:rsid w:val="007D7B3C"/>
    <w:rsid w:val="007E0129"/>
    <w:rsid w:val="007E05DB"/>
    <w:rsid w:val="007E1247"/>
    <w:rsid w:val="007E1A0A"/>
    <w:rsid w:val="007E1A44"/>
    <w:rsid w:val="007E2419"/>
    <w:rsid w:val="007E2DE2"/>
    <w:rsid w:val="007E3545"/>
    <w:rsid w:val="007E3FF5"/>
    <w:rsid w:val="007E4219"/>
    <w:rsid w:val="007E577E"/>
    <w:rsid w:val="007E635E"/>
    <w:rsid w:val="007E6A9C"/>
    <w:rsid w:val="007E6C0C"/>
    <w:rsid w:val="007E7300"/>
    <w:rsid w:val="007E767B"/>
    <w:rsid w:val="007E7B54"/>
    <w:rsid w:val="007F038C"/>
    <w:rsid w:val="007F0428"/>
    <w:rsid w:val="007F0F24"/>
    <w:rsid w:val="007F1755"/>
    <w:rsid w:val="007F222B"/>
    <w:rsid w:val="007F2CBC"/>
    <w:rsid w:val="007F3092"/>
    <w:rsid w:val="007F30F9"/>
    <w:rsid w:val="007F39B8"/>
    <w:rsid w:val="007F3C03"/>
    <w:rsid w:val="007F3E3F"/>
    <w:rsid w:val="007F45DF"/>
    <w:rsid w:val="007F4A6F"/>
    <w:rsid w:val="007F4FBC"/>
    <w:rsid w:val="007F4FE6"/>
    <w:rsid w:val="007F5975"/>
    <w:rsid w:val="007F5AB9"/>
    <w:rsid w:val="007F6497"/>
    <w:rsid w:val="007F6836"/>
    <w:rsid w:val="007F7D22"/>
    <w:rsid w:val="007F7DF2"/>
    <w:rsid w:val="008005E6"/>
    <w:rsid w:val="00800A35"/>
    <w:rsid w:val="00800B3C"/>
    <w:rsid w:val="00800D91"/>
    <w:rsid w:val="008015F2"/>
    <w:rsid w:val="0080174C"/>
    <w:rsid w:val="0080184D"/>
    <w:rsid w:val="00801A0E"/>
    <w:rsid w:val="00803362"/>
    <w:rsid w:val="00803C65"/>
    <w:rsid w:val="00804BC0"/>
    <w:rsid w:val="00804E3C"/>
    <w:rsid w:val="00804E4C"/>
    <w:rsid w:val="00804F4D"/>
    <w:rsid w:val="0080662C"/>
    <w:rsid w:val="008070B2"/>
    <w:rsid w:val="00807D79"/>
    <w:rsid w:val="00810102"/>
    <w:rsid w:val="008102BC"/>
    <w:rsid w:val="008116F3"/>
    <w:rsid w:val="008117C4"/>
    <w:rsid w:val="00811E4C"/>
    <w:rsid w:val="0081222E"/>
    <w:rsid w:val="00812461"/>
    <w:rsid w:val="008127E0"/>
    <w:rsid w:val="00812810"/>
    <w:rsid w:val="00812DFB"/>
    <w:rsid w:val="0081398E"/>
    <w:rsid w:val="00813F02"/>
    <w:rsid w:val="008149D8"/>
    <w:rsid w:val="00814F26"/>
    <w:rsid w:val="00815714"/>
    <w:rsid w:val="00815A2A"/>
    <w:rsid w:val="00816D20"/>
    <w:rsid w:val="0081724D"/>
    <w:rsid w:val="0081788A"/>
    <w:rsid w:val="00817927"/>
    <w:rsid w:val="00817CFC"/>
    <w:rsid w:val="00817E82"/>
    <w:rsid w:val="008206C7"/>
    <w:rsid w:val="008207C6"/>
    <w:rsid w:val="00820A3F"/>
    <w:rsid w:val="00820C34"/>
    <w:rsid w:val="00821D81"/>
    <w:rsid w:val="00822A52"/>
    <w:rsid w:val="00823654"/>
    <w:rsid w:val="008237F3"/>
    <w:rsid w:val="00823A90"/>
    <w:rsid w:val="00823B2D"/>
    <w:rsid w:val="00824021"/>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49A"/>
    <w:rsid w:val="008354B9"/>
    <w:rsid w:val="00835DCB"/>
    <w:rsid w:val="00836090"/>
    <w:rsid w:val="00836921"/>
    <w:rsid w:val="0083708C"/>
    <w:rsid w:val="00837237"/>
    <w:rsid w:val="008374E5"/>
    <w:rsid w:val="008376C0"/>
    <w:rsid w:val="0084035D"/>
    <w:rsid w:val="008405F9"/>
    <w:rsid w:val="0084060B"/>
    <w:rsid w:val="0084139B"/>
    <w:rsid w:val="0084143B"/>
    <w:rsid w:val="008417D4"/>
    <w:rsid w:val="00842547"/>
    <w:rsid w:val="008427D3"/>
    <w:rsid w:val="008429CF"/>
    <w:rsid w:val="0084324C"/>
    <w:rsid w:val="00843B9B"/>
    <w:rsid w:val="008451F8"/>
    <w:rsid w:val="008457D2"/>
    <w:rsid w:val="00846212"/>
    <w:rsid w:val="008468E0"/>
    <w:rsid w:val="0084767E"/>
    <w:rsid w:val="0084790F"/>
    <w:rsid w:val="00847BE7"/>
    <w:rsid w:val="00847DCC"/>
    <w:rsid w:val="00850EAB"/>
    <w:rsid w:val="00851C80"/>
    <w:rsid w:val="00851D70"/>
    <w:rsid w:val="0085277B"/>
    <w:rsid w:val="008529B3"/>
    <w:rsid w:val="00852ADD"/>
    <w:rsid w:val="00853883"/>
    <w:rsid w:val="00853EB9"/>
    <w:rsid w:val="00854CF7"/>
    <w:rsid w:val="00854DA7"/>
    <w:rsid w:val="008557A0"/>
    <w:rsid w:val="00856607"/>
    <w:rsid w:val="0085710B"/>
    <w:rsid w:val="00857A11"/>
    <w:rsid w:val="008604A8"/>
    <w:rsid w:val="00860ADD"/>
    <w:rsid w:val="008616A2"/>
    <w:rsid w:val="00861C6C"/>
    <w:rsid w:val="008636AC"/>
    <w:rsid w:val="00863862"/>
    <w:rsid w:val="00863AAD"/>
    <w:rsid w:val="00864644"/>
    <w:rsid w:val="008658DE"/>
    <w:rsid w:val="00866296"/>
    <w:rsid w:val="008665C7"/>
    <w:rsid w:val="008707A3"/>
    <w:rsid w:val="00870A36"/>
    <w:rsid w:val="008711AE"/>
    <w:rsid w:val="008717FA"/>
    <w:rsid w:val="00871A36"/>
    <w:rsid w:val="00872F21"/>
    <w:rsid w:val="00872FBB"/>
    <w:rsid w:val="00873736"/>
    <w:rsid w:val="0087378E"/>
    <w:rsid w:val="008737DF"/>
    <w:rsid w:val="00874478"/>
    <w:rsid w:val="008755E7"/>
    <w:rsid w:val="00875A46"/>
    <w:rsid w:val="00875E16"/>
    <w:rsid w:val="00876AD8"/>
    <w:rsid w:val="00876C34"/>
    <w:rsid w:val="00877D03"/>
    <w:rsid w:val="00877E96"/>
    <w:rsid w:val="0088023D"/>
    <w:rsid w:val="008803CE"/>
    <w:rsid w:val="00882077"/>
    <w:rsid w:val="008820D9"/>
    <w:rsid w:val="00883613"/>
    <w:rsid w:val="0088557F"/>
    <w:rsid w:val="00886393"/>
    <w:rsid w:val="00886579"/>
    <w:rsid w:val="00886F19"/>
    <w:rsid w:val="00887865"/>
    <w:rsid w:val="00887B37"/>
    <w:rsid w:val="00890598"/>
    <w:rsid w:val="0089065A"/>
    <w:rsid w:val="00890DEB"/>
    <w:rsid w:val="008911D8"/>
    <w:rsid w:val="0089177A"/>
    <w:rsid w:val="00891BF1"/>
    <w:rsid w:val="00891D7A"/>
    <w:rsid w:val="00891DFC"/>
    <w:rsid w:val="00892B98"/>
    <w:rsid w:val="008945D2"/>
    <w:rsid w:val="008949A3"/>
    <w:rsid w:val="008959FC"/>
    <w:rsid w:val="0089605E"/>
    <w:rsid w:val="008961DF"/>
    <w:rsid w:val="00896668"/>
    <w:rsid w:val="00896AC0"/>
    <w:rsid w:val="00896E9A"/>
    <w:rsid w:val="008979BD"/>
    <w:rsid w:val="00897D99"/>
    <w:rsid w:val="008A0CCC"/>
    <w:rsid w:val="008A1D0E"/>
    <w:rsid w:val="008A25EA"/>
    <w:rsid w:val="008A276E"/>
    <w:rsid w:val="008A31C7"/>
    <w:rsid w:val="008A3215"/>
    <w:rsid w:val="008A3630"/>
    <w:rsid w:val="008A3E8B"/>
    <w:rsid w:val="008A47BE"/>
    <w:rsid w:val="008A4AEC"/>
    <w:rsid w:val="008A5609"/>
    <w:rsid w:val="008A5697"/>
    <w:rsid w:val="008A6206"/>
    <w:rsid w:val="008A62F3"/>
    <w:rsid w:val="008A6DD5"/>
    <w:rsid w:val="008A6DF0"/>
    <w:rsid w:val="008A6EEC"/>
    <w:rsid w:val="008A6FA0"/>
    <w:rsid w:val="008B05E6"/>
    <w:rsid w:val="008B105C"/>
    <w:rsid w:val="008B15CE"/>
    <w:rsid w:val="008B1C8F"/>
    <w:rsid w:val="008B21F8"/>
    <w:rsid w:val="008B2570"/>
    <w:rsid w:val="008B2B19"/>
    <w:rsid w:val="008B2F40"/>
    <w:rsid w:val="008B2FCD"/>
    <w:rsid w:val="008B3627"/>
    <w:rsid w:val="008B3EAD"/>
    <w:rsid w:val="008B49B6"/>
    <w:rsid w:val="008B4AFB"/>
    <w:rsid w:val="008B56A0"/>
    <w:rsid w:val="008B5AA1"/>
    <w:rsid w:val="008B5E61"/>
    <w:rsid w:val="008B64CE"/>
    <w:rsid w:val="008B68B4"/>
    <w:rsid w:val="008B756F"/>
    <w:rsid w:val="008B7914"/>
    <w:rsid w:val="008C0D0C"/>
    <w:rsid w:val="008C127A"/>
    <w:rsid w:val="008C18BD"/>
    <w:rsid w:val="008C1932"/>
    <w:rsid w:val="008C1CC8"/>
    <w:rsid w:val="008C2C7F"/>
    <w:rsid w:val="008C2F0D"/>
    <w:rsid w:val="008C3364"/>
    <w:rsid w:val="008C364D"/>
    <w:rsid w:val="008C500C"/>
    <w:rsid w:val="008C5D2A"/>
    <w:rsid w:val="008C6754"/>
    <w:rsid w:val="008C6C16"/>
    <w:rsid w:val="008C74FB"/>
    <w:rsid w:val="008C77F1"/>
    <w:rsid w:val="008C7AF4"/>
    <w:rsid w:val="008C7DA4"/>
    <w:rsid w:val="008C7F6E"/>
    <w:rsid w:val="008D0210"/>
    <w:rsid w:val="008D033E"/>
    <w:rsid w:val="008D0851"/>
    <w:rsid w:val="008D0DEF"/>
    <w:rsid w:val="008D0FCD"/>
    <w:rsid w:val="008D1074"/>
    <w:rsid w:val="008D1079"/>
    <w:rsid w:val="008D1741"/>
    <w:rsid w:val="008D2643"/>
    <w:rsid w:val="008D280F"/>
    <w:rsid w:val="008D2885"/>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0847"/>
    <w:rsid w:val="008E1267"/>
    <w:rsid w:val="008E19FD"/>
    <w:rsid w:val="008E22F8"/>
    <w:rsid w:val="008E25EC"/>
    <w:rsid w:val="008E39D8"/>
    <w:rsid w:val="008E3FEC"/>
    <w:rsid w:val="008E5D73"/>
    <w:rsid w:val="008E606F"/>
    <w:rsid w:val="008E6AD9"/>
    <w:rsid w:val="008E7B2A"/>
    <w:rsid w:val="008F022A"/>
    <w:rsid w:val="008F063B"/>
    <w:rsid w:val="008F06FD"/>
    <w:rsid w:val="008F1172"/>
    <w:rsid w:val="008F27E3"/>
    <w:rsid w:val="008F3485"/>
    <w:rsid w:val="008F3AC3"/>
    <w:rsid w:val="008F42C1"/>
    <w:rsid w:val="008F51FF"/>
    <w:rsid w:val="008F52FC"/>
    <w:rsid w:val="008F5DEF"/>
    <w:rsid w:val="008F61F2"/>
    <w:rsid w:val="008F636D"/>
    <w:rsid w:val="008F6CC6"/>
    <w:rsid w:val="008F7C0A"/>
    <w:rsid w:val="00901DBB"/>
    <w:rsid w:val="009026CB"/>
    <w:rsid w:val="00902876"/>
    <w:rsid w:val="009036E9"/>
    <w:rsid w:val="009038F6"/>
    <w:rsid w:val="00903FB2"/>
    <w:rsid w:val="00904038"/>
    <w:rsid w:val="009041AF"/>
    <w:rsid w:val="009042AA"/>
    <w:rsid w:val="009049AB"/>
    <w:rsid w:val="009050B7"/>
    <w:rsid w:val="0090510D"/>
    <w:rsid w:val="00905130"/>
    <w:rsid w:val="009053BD"/>
    <w:rsid w:val="00905728"/>
    <w:rsid w:val="009061B8"/>
    <w:rsid w:val="009064BF"/>
    <w:rsid w:val="009069B8"/>
    <w:rsid w:val="00907A1F"/>
    <w:rsid w:val="00907F54"/>
    <w:rsid w:val="009130CC"/>
    <w:rsid w:val="009133EC"/>
    <w:rsid w:val="00913AF7"/>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23BD"/>
    <w:rsid w:val="0092383B"/>
    <w:rsid w:val="00923DCE"/>
    <w:rsid w:val="00924119"/>
    <w:rsid w:val="00925120"/>
    <w:rsid w:val="009255FA"/>
    <w:rsid w:val="009262E4"/>
    <w:rsid w:val="009266D2"/>
    <w:rsid w:val="00927D4E"/>
    <w:rsid w:val="00927F89"/>
    <w:rsid w:val="00930AC2"/>
    <w:rsid w:val="00930D2A"/>
    <w:rsid w:val="009312BF"/>
    <w:rsid w:val="00931680"/>
    <w:rsid w:val="00931B84"/>
    <w:rsid w:val="009322B2"/>
    <w:rsid w:val="009328DA"/>
    <w:rsid w:val="00932E7E"/>
    <w:rsid w:val="0093442D"/>
    <w:rsid w:val="00934CD2"/>
    <w:rsid w:val="00935A35"/>
    <w:rsid w:val="009360E8"/>
    <w:rsid w:val="009375E5"/>
    <w:rsid w:val="00937BC5"/>
    <w:rsid w:val="00937D30"/>
    <w:rsid w:val="00941848"/>
    <w:rsid w:val="0094337A"/>
    <w:rsid w:val="009437F2"/>
    <w:rsid w:val="009442E8"/>
    <w:rsid w:val="0094488D"/>
    <w:rsid w:val="00944BA7"/>
    <w:rsid w:val="00945783"/>
    <w:rsid w:val="0094636D"/>
    <w:rsid w:val="00947222"/>
    <w:rsid w:val="0094759C"/>
    <w:rsid w:val="00947A47"/>
    <w:rsid w:val="009503FE"/>
    <w:rsid w:val="00950448"/>
    <w:rsid w:val="009507D4"/>
    <w:rsid w:val="00950ACD"/>
    <w:rsid w:val="00950E37"/>
    <w:rsid w:val="00951666"/>
    <w:rsid w:val="0095182F"/>
    <w:rsid w:val="00951976"/>
    <w:rsid w:val="00952524"/>
    <w:rsid w:val="0095278F"/>
    <w:rsid w:val="00953BB3"/>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6C7"/>
    <w:rsid w:val="0096086A"/>
    <w:rsid w:val="00961453"/>
    <w:rsid w:val="009616D4"/>
    <w:rsid w:val="0096182D"/>
    <w:rsid w:val="00962150"/>
    <w:rsid w:val="00962CCD"/>
    <w:rsid w:val="00962E97"/>
    <w:rsid w:val="00963A05"/>
    <w:rsid w:val="00964166"/>
    <w:rsid w:val="009645AD"/>
    <w:rsid w:val="0096475C"/>
    <w:rsid w:val="0096546E"/>
    <w:rsid w:val="0096562A"/>
    <w:rsid w:val="00965865"/>
    <w:rsid w:val="00966096"/>
    <w:rsid w:val="00966A13"/>
    <w:rsid w:val="00967411"/>
    <w:rsid w:val="00967473"/>
    <w:rsid w:val="00967730"/>
    <w:rsid w:val="00970D56"/>
    <w:rsid w:val="00970E50"/>
    <w:rsid w:val="00971074"/>
    <w:rsid w:val="00971AB8"/>
    <w:rsid w:val="0097208F"/>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0FDD"/>
    <w:rsid w:val="00981E09"/>
    <w:rsid w:val="00983094"/>
    <w:rsid w:val="00983599"/>
    <w:rsid w:val="009843DE"/>
    <w:rsid w:val="0098544F"/>
    <w:rsid w:val="009856CF"/>
    <w:rsid w:val="00985B04"/>
    <w:rsid w:val="0098661B"/>
    <w:rsid w:val="00986A6D"/>
    <w:rsid w:val="00986BEF"/>
    <w:rsid w:val="00987298"/>
    <w:rsid w:val="009872B4"/>
    <w:rsid w:val="00987470"/>
    <w:rsid w:val="00987B34"/>
    <w:rsid w:val="00990769"/>
    <w:rsid w:val="00990954"/>
    <w:rsid w:val="00991DF8"/>
    <w:rsid w:val="00992499"/>
    <w:rsid w:val="00992986"/>
    <w:rsid w:val="009936E2"/>
    <w:rsid w:val="00994B55"/>
    <w:rsid w:val="00995D86"/>
    <w:rsid w:val="00995FB2"/>
    <w:rsid w:val="009960C6"/>
    <w:rsid w:val="0099781E"/>
    <w:rsid w:val="00997A68"/>
    <w:rsid w:val="009A0071"/>
    <w:rsid w:val="009A00EA"/>
    <w:rsid w:val="009A0587"/>
    <w:rsid w:val="009A0DA2"/>
    <w:rsid w:val="009A1F6B"/>
    <w:rsid w:val="009A2616"/>
    <w:rsid w:val="009A2C4C"/>
    <w:rsid w:val="009A2DD8"/>
    <w:rsid w:val="009A30DE"/>
    <w:rsid w:val="009A3D29"/>
    <w:rsid w:val="009A509F"/>
    <w:rsid w:val="009A5453"/>
    <w:rsid w:val="009A6A7B"/>
    <w:rsid w:val="009A7532"/>
    <w:rsid w:val="009A7883"/>
    <w:rsid w:val="009B0596"/>
    <w:rsid w:val="009B1BCD"/>
    <w:rsid w:val="009B1D50"/>
    <w:rsid w:val="009B237F"/>
    <w:rsid w:val="009B2760"/>
    <w:rsid w:val="009B308D"/>
    <w:rsid w:val="009B38D5"/>
    <w:rsid w:val="009B3B62"/>
    <w:rsid w:val="009B3C8D"/>
    <w:rsid w:val="009B4600"/>
    <w:rsid w:val="009B4FFB"/>
    <w:rsid w:val="009B53C7"/>
    <w:rsid w:val="009B7489"/>
    <w:rsid w:val="009B7987"/>
    <w:rsid w:val="009B7B0A"/>
    <w:rsid w:val="009C07C9"/>
    <w:rsid w:val="009C08D7"/>
    <w:rsid w:val="009C0DC5"/>
    <w:rsid w:val="009C1866"/>
    <w:rsid w:val="009C1FDE"/>
    <w:rsid w:val="009C23FE"/>
    <w:rsid w:val="009C24C8"/>
    <w:rsid w:val="009C375C"/>
    <w:rsid w:val="009C4E0D"/>
    <w:rsid w:val="009C4F1B"/>
    <w:rsid w:val="009C503B"/>
    <w:rsid w:val="009C5793"/>
    <w:rsid w:val="009C5816"/>
    <w:rsid w:val="009C61EA"/>
    <w:rsid w:val="009C63EC"/>
    <w:rsid w:val="009C6AB4"/>
    <w:rsid w:val="009C7DAC"/>
    <w:rsid w:val="009D077D"/>
    <w:rsid w:val="009D08A6"/>
    <w:rsid w:val="009D1915"/>
    <w:rsid w:val="009D1B69"/>
    <w:rsid w:val="009D1EB3"/>
    <w:rsid w:val="009D2579"/>
    <w:rsid w:val="009D25DE"/>
    <w:rsid w:val="009D2ABF"/>
    <w:rsid w:val="009D3AD2"/>
    <w:rsid w:val="009D3E06"/>
    <w:rsid w:val="009D4FE7"/>
    <w:rsid w:val="009D53B4"/>
    <w:rsid w:val="009D5843"/>
    <w:rsid w:val="009D638D"/>
    <w:rsid w:val="009D6393"/>
    <w:rsid w:val="009D6B6C"/>
    <w:rsid w:val="009E0885"/>
    <w:rsid w:val="009E1888"/>
    <w:rsid w:val="009E1CC8"/>
    <w:rsid w:val="009E2827"/>
    <w:rsid w:val="009E2863"/>
    <w:rsid w:val="009E2FC3"/>
    <w:rsid w:val="009E30D2"/>
    <w:rsid w:val="009E4885"/>
    <w:rsid w:val="009E500C"/>
    <w:rsid w:val="009E508B"/>
    <w:rsid w:val="009E5FBE"/>
    <w:rsid w:val="009E6A00"/>
    <w:rsid w:val="009F0086"/>
    <w:rsid w:val="009F03AB"/>
    <w:rsid w:val="009F0619"/>
    <w:rsid w:val="009F068A"/>
    <w:rsid w:val="009F08C5"/>
    <w:rsid w:val="009F0A85"/>
    <w:rsid w:val="009F1260"/>
    <w:rsid w:val="009F15CA"/>
    <w:rsid w:val="009F1B71"/>
    <w:rsid w:val="009F1EF1"/>
    <w:rsid w:val="009F220A"/>
    <w:rsid w:val="009F36D6"/>
    <w:rsid w:val="009F6575"/>
    <w:rsid w:val="009F7ADC"/>
    <w:rsid w:val="00A0002A"/>
    <w:rsid w:val="00A0236D"/>
    <w:rsid w:val="00A02985"/>
    <w:rsid w:val="00A02B2B"/>
    <w:rsid w:val="00A02B6D"/>
    <w:rsid w:val="00A02FA8"/>
    <w:rsid w:val="00A03F1A"/>
    <w:rsid w:val="00A03F74"/>
    <w:rsid w:val="00A03F88"/>
    <w:rsid w:val="00A046BF"/>
    <w:rsid w:val="00A05B25"/>
    <w:rsid w:val="00A05C04"/>
    <w:rsid w:val="00A05EC0"/>
    <w:rsid w:val="00A06254"/>
    <w:rsid w:val="00A06842"/>
    <w:rsid w:val="00A07459"/>
    <w:rsid w:val="00A07D78"/>
    <w:rsid w:val="00A07DB6"/>
    <w:rsid w:val="00A10972"/>
    <w:rsid w:val="00A11406"/>
    <w:rsid w:val="00A11A51"/>
    <w:rsid w:val="00A13205"/>
    <w:rsid w:val="00A132A1"/>
    <w:rsid w:val="00A13422"/>
    <w:rsid w:val="00A15132"/>
    <w:rsid w:val="00A1554D"/>
    <w:rsid w:val="00A15792"/>
    <w:rsid w:val="00A158E3"/>
    <w:rsid w:val="00A1591A"/>
    <w:rsid w:val="00A1595D"/>
    <w:rsid w:val="00A16865"/>
    <w:rsid w:val="00A172E0"/>
    <w:rsid w:val="00A17527"/>
    <w:rsid w:val="00A211C5"/>
    <w:rsid w:val="00A221A3"/>
    <w:rsid w:val="00A223D5"/>
    <w:rsid w:val="00A235E4"/>
    <w:rsid w:val="00A23F41"/>
    <w:rsid w:val="00A25547"/>
    <w:rsid w:val="00A25F76"/>
    <w:rsid w:val="00A3003E"/>
    <w:rsid w:val="00A31E14"/>
    <w:rsid w:val="00A3292F"/>
    <w:rsid w:val="00A3325E"/>
    <w:rsid w:val="00A34276"/>
    <w:rsid w:val="00A34524"/>
    <w:rsid w:val="00A345B6"/>
    <w:rsid w:val="00A3502D"/>
    <w:rsid w:val="00A352DB"/>
    <w:rsid w:val="00A357A4"/>
    <w:rsid w:val="00A35AF5"/>
    <w:rsid w:val="00A35CDF"/>
    <w:rsid w:val="00A36453"/>
    <w:rsid w:val="00A37970"/>
    <w:rsid w:val="00A37A68"/>
    <w:rsid w:val="00A37B0C"/>
    <w:rsid w:val="00A37CE6"/>
    <w:rsid w:val="00A37D1C"/>
    <w:rsid w:val="00A37FFE"/>
    <w:rsid w:val="00A40419"/>
    <w:rsid w:val="00A404BE"/>
    <w:rsid w:val="00A40ECF"/>
    <w:rsid w:val="00A411C9"/>
    <w:rsid w:val="00A41FEF"/>
    <w:rsid w:val="00A42476"/>
    <w:rsid w:val="00A42E16"/>
    <w:rsid w:val="00A430C9"/>
    <w:rsid w:val="00A433CA"/>
    <w:rsid w:val="00A43A1A"/>
    <w:rsid w:val="00A43D48"/>
    <w:rsid w:val="00A43F3C"/>
    <w:rsid w:val="00A447A5"/>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764"/>
    <w:rsid w:val="00A54A3E"/>
    <w:rsid w:val="00A556B7"/>
    <w:rsid w:val="00A564A6"/>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A0D"/>
    <w:rsid w:val="00A65C27"/>
    <w:rsid w:val="00A65F3C"/>
    <w:rsid w:val="00A661FD"/>
    <w:rsid w:val="00A66FB3"/>
    <w:rsid w:val="00A67DF5"/>
    <w:rsid w:val="00A709A3"/>
    <w:rsid w:val="00A71216"/>
    <w:rsid w:val="00A714A3"/>
    <w:rsid w:val="00A71B8B"/>
    <w:rsid w:val="00A7296A"/>
    <w:rsid w:val="00A74456"/>
    <w:rsid w:val="00A75089"/>
    <w:rsid w:val="00A75EDC"/>
    <w:rsid w:val="00A80404"/>
    <w:rsid w:val="00A80548"/>
    <w:rsid w:val="00A8085F"/>
    <w:rsid w:val="00A80A3D"/>
    <w:rsid w:val="00A817A8"/>
    <w:rsid w:val="00A81E50"/>
    <w:rsid w:val="00A81F1C"/>
    <w:rsid w:val="00A82241"/>
    <w:rsid w:val="00A82602"/>
    <w:rsid w:val="00A8264E"/>
    <w:rsid w:val="00A82DA0"/>
    <w:rsid w:val="00A83E49"/>
    <w:rsid w:val="00A8401C"/>
    <w:rsid w:val="00A8415A"/>
    <w:rsid w:val="00A841A6"/>
    <w:rsid w:val="00A84221"/>
    <w:rsid w:val="00A843CA"/>
    <w:rsid w:val="00A84B7A"/>
    <w:rsid w:val="00A85063"/>
    <w:rsid w:val="00A85367"/>
    <w:rsid w:val="00A8610D"/>
    <w:rsid w:val="00A86359"/>
    <w:rsid w:val="00A865DC"/>
    <w:rsid w:val="00A86FBC"/>
    <w:rsid w:val="00A879C5"/>
    <w:rsid w:val="00A902AD"/>
    <w:rsid w:val="00A90302"/>
    <w:rsid w:val="00A9099E"/>
    <w:rsid w:val="00A91FB7"/>
    <w:rsid w:val="00A9298F"/>
    <w:rsid w:val="00A9301E"/>
    <w:rsid w:val="00A93E3A"/>
    <w:rsid w:val="00A95186"/>
    <w:rsid w:val="00A951AD"/>
    <w:rsid w:val="00A95EBD"/>
    <w:rsid w:val="00A961BD"/>
    <w:rsid w:val="00A9652F"/>
    <w:rsid w:val="00A973B1"/>
    <w:rsid w:val="00AA027E"/>
    <w:rsid w:val="00AA1224"/>
    <w:rsid w:val="00AA1334"/>
    <w:rsid w:val="00AA14F2"/>
    <w:rsid w:val="00AA180B"/>
    <w:rsid w:val="00AA1D43"/>
    <w:rsid w:val="00AA2358"/>
    <w:rsid w:val="00AA2469"/>
    <w:rsid w:val="00AA2CD7"/>
    <w:rsid w:val="00AA2FA4"/>
    <w:rsid w:val="00AA3301"/>
    <w:rsid w:val="00AA3360"/>
    <w:rsid w:val="00AA386B"/>
    <w:rsid w:val="00AA4C2E"/>
    <w:rsid w:val="00AA6384"/>
    <w:rsid w:val="00AA6849"/>
    <w:rsid w:val="00AA6B93"/>
    <w:rsid w:val="00AA7A06"/>
    <w:rsid w:val="00AA7A7F"/>
    <w:rsid w:val="00AA7F56"/>
    <w:rsid w:val="00AB1984"/>
    <w:rsid w:val="00AB1CBB"/>
    <w:rsid w:val="00AB215B"/>
    <w:rsid w:val="00AB266D"/>
    <w:rsid w:val="00AB2E7D"/>
    <w:rsid w:val="00AB3146"/>
    <w:rsid w:val="00AB333E"/>
    <w:rsid w:val="00AB35B9"/>
    <w:rsid w:val="00AB37DB"/>
    <w:rsid w:val="00AB3ECC"/>
    <w:rsid w:val="00AB54B5"/>
    <w:rsid w:val="00AB5A73"/>
    <w:rsid w:val="00AB5F48"/>
    <w:rsid w:val="00AB7156"/>
    <w:rsid w:val="00AB716D"/>
    <w:rsid w:val="00AB72BB"/>
    <w:rsid w:val="00AB7472"/>
    <w:rsid w:val="00AB7BF3"/>
    <w:rsid w:val="00AC09D5"/>
    <w:rsid w:val="00AC0D8E"/>
    <w:rsid w:val="00AC175B"/>
    <w:rsid w:val="00AC1AA3"/>
    <w:rsid w:val="00AC1F8E"/>
    <w:rsid w:val="00AC22C1"/>
    <w:rsid w:val="00AC374B"/>
    <w:rsid w:val="00AC3798"/>
    <w:rsid w:val="00AC3ED5"/>
    <w:rsid w:val="00AC4A48"/>
    <w:rsid w:val="00AC4CB3"/>
    <w:rsid w:val="00AC4D7C"/>
    <w:rsid w:val="00AC53B0"/>
    <w:rsid w:val="00AC5CE3"/>
    <w:rsid w:val="00AC6EF2"/>
    <w:rsid w:val="00AC71A6"/>
    <w:rsid w:val="00AC742F"/>
    <w:rsid w:val="00AC7664"/>
    <w:rsid w:val="00AC774F"/>
    <w:rsid w:val="00AC780D"/>
    <w:rsid w:val="00AC787B"/>
    <w:rsid w:val="00AC78A0"/>
    <w:rsid w:val="00AC7956"/>
    <w:rsid w:val="00AC7E18"/>
    <w:rsid w:val="00AD0CCD"/>
    <w:rsid w:val="00AD1B79"/>
    <w:rsid w:val="00AD3208"/>
    <w:rsid w:val="00AD3C00"/>
    <w:rsid w:val="00AD4E07"/>
    <w:rsid w:val="00AD4EB6"/>
    <w:rsid w:val="00AD50F8"/>
    <w:rsid w:val="00AD56EB"/>
    <w:rsid w:val="00AD719F"/>
    <w:rsid w:val="00AD7447"/>
    <w:rsid w:val="00AD752A"/>
    <w:rsid w:val="00AD7D36"/>
    <w:rsid w:val="00AD7D8C"/>
    <w:rsid w:val="00AD7FD7"/>
    <w:rsid w:val="00AE0A0E"/>
    <w:rsid w:val="00AE0DED"/>
    <w:rsid w:val="00AE1D05"/>
    <w:rsid w:val="00AE2780"/>
    <w:rsid w:val="00AE284A"/>
    <w:rsid w:val="00AE291F"/>
    <w:rsid w:val="00AE307E"/>
    <w:rsid w:val="00AE3450"/>
    <w:rsid w:val="00AE392E"/>
    <w:rsid w:val="00AE3E11"/>
    <w:rsid w:val="00AE40B3"/>
    <w:rsid w:val="00AE4BAB"/>
    <w:rsid w:val="00AE4BDC"/>
    <w:rsid w:val="00AE4CFD"/>
    <w:rsid w:val="00AE4EA6"/>
    <w:rsid w:val="00AE51FF"/>
    <w:rsid w:val="00AE55AD"/>
    <w:rsid w:val="00AE5D8F"/>
    <w:rsid w:val="00AE67D5"/>
    <w:rsid w:val="00AE69EC"/>
    <w:rsid w:val="00AE78ED"/>
    <w:rsid w:val="00AE7AC2"/>
    <w:rsid w:val="00AE7EC9"/>
    <w:rsid w:val="00AF01AD"/>
    <w:rsid w:val="00AF1117"/>
    <w:rsid w:val="00AF1555"/>
    <w:rsid w:val="00AF174E"/>
    <w:rsid w:val="00AF18BA"/>
    <w:rsid w:val="00AF1CA5"/>
    <w:rsid w:val="00AF228C"/>
    <w:rsid w:val="00AF2DB9"/>
    <w:rsid w:val="00AF3928"/>
    <w:rsid w:val="00AF3B55"/>
    <w:rsid w:val="00AF3D62"/>
    <w:rsid w:val="00AF4146"/>
    <w:rsid w:val="00AF56FE"/>
    <w:rsid w:val="00AF62A7"/>
    <w:rsid w:val="00AF6443"/>
    <w:rsid w:val="00AF6AC5"/>
    <w:rsid w:val="00AF7809"/>
    <w:rsid w:val="00AF7CA7"/>
    <w:rsid w:val="00AF7F7B"/>
    <w:rsid w:val="00B00BDE"/>
    <w:rsid w:val="00B0104B"/>
    <w:rsid w:val="00B0210F"/>
    <w:rsid w:val="00B021E0"/>
    <w:rsid w:val="00B03A30"/>
    <w:rsid w:val="00B03A35"/>
    <w:rsid w:val="00B04F99"/>
    <w:rsid w:val="00B057B6"/>
    <w:rsid w:val="00B05A7C"/>
    <w:rsid w:val="00B06361"/>
    <w:rsid w:val="00B0651D"/>
    <w:rsid w:val="00B06955"/>
    <w:rsid w:val="00B07BEA"/>
    <w:rsid w:val="00B07F41"/>
    <w:rsid w:val="00B102F9"/>
    <w:rsid w:val="00B10A81"/>
    <w:rsid w:val="00B10BBE"/>
    <w:rsid w:val="00B11C80"/>
    <w:rsid w:val="00B11F33"/>
    <w:rsid w:val="00B12152"/>
    <w:rsid w:val="00B12DCA"/>
    <w:rsid w:val="00B13ECB"/>
    <w:rsid w:val="00B1524F"/>
    <w:rsid w:val="00B15A54"/>
    <w:rsid w:val="00B15ECF"/>
    <w:rsid w:val="00B169CD"/>
    <w:rsid w:val="00B16C0A"/>
    <w:rsid w:val="00B17851"/>
    <w:rsid w:val="00B17F60"/>
    <w:rsid w:val="00B2011A"/>
    <w:rsid w:val="00B2039A"/>
    <w:rsid w:val="00B20738"/>
    <w:rsid w:val="00B20AC8"/>
    <w:rsid w:val="00B215D5"/>
    <w:rsid w:val="00B21D55"/>
    <w:rsid w:val="00B225CB"/>
    <w:rsid w:val="00B22870"/>
    <w:rsid w:val="00B22A22"/>
    <w:rsid w:val="00B22AA6"/>
    <w:rsid w:val="00B22E14"/>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2"/>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4489"/>
    <w:rsid w:val="00B45528"/>
    <w:rsid w:val="00B46B6E"/>
    <w:rsid w:val="00B478FA"/>
    <w:rsid w:val="00B50156"/>
    <w:rsid w:val="00B501E8"/>
    <w:rsid w:val="00B502A3"/>
    <w:rsid w:val="00B506D4"/>
    <w:rsid w:val="00B507AA"/>
    <w:rsid w:val="00B50953"/>
    <w:rsid w:val="00B509AE"/>
    <w:rsid w:val="00B50E13"/>
    <w:rsid w:val="00B5124E"/>
    <w:rsid w:val="00B51581"/>
    <w:rsid w:val="00B518AD"/>
    <w:rsid w:val="00B51BB6"/>
    <w:rsid w:val="00B52056"/>
    <w:rsid w:val="00B52B0E"/>
    <w:rsid w:val="00B52D81"/>
    <w:rsid w:val="00B5355B"/>
    <w:rsid w:val="00B5402E"/>
    <w:rsid w:val="00B540E8"/>
    <w:rsid w:val="00B54681"/>
    <w:rsid w:val="00B54FFB"/>
    <w:rsid w:val="00B55852"/>
    <w:rsid w:val="00B560A9"/>
    <w:rsid w:val="00B56866"/>
    <w:rsid w:val="00B56CC4"/>
    <w:rsid w:val="00B604BB"/>
    <w:rsid w:val="00B6062A"/>
    <w:rsid w:val="00B60A96"/>
    <w:rsid w:val="00B60DD7"/>
    <w:rsid w:val="00B60EB6"/>
    <w:rsid w:val="00B60EE5"/>
    <w:rsid w:val="00B616A5"/>
    <w:rsid w:val="00B628BE"/>
    <w:rsid w:val="00B62B67"/>
    <w:rsid w:val="00B637F4"/>
    <w:rsid w:val="00B637FB"/>
    <w:rsid w:val="00B6386F"/>
    <w:rsid w:val="00B65295"/>
    <w:rsid w:val="00B65D9B"/>
    <w:rsid w:val="00B66E51"/>
    <w:rsid w:val="00B66E68"/>
    <w:rsid w:val="00B67346"/>
    <w:rsid w:val="00B6793A"/>
    <w:rsid w:val="00B67AC3"/>
    <w:rsid w:val="00B70880"/>
    <w:rsid w:val="00B71422"/>
    <w:rsid w:val="00B71486"/>
    <w:rsid w:val="00B71607"/>
    <w:rsid w:val="00B71EF7"/>
    <w:rsid w:val="00B72361"/>
    <w:rsid w:val="00B73CFB"/>
    <w:rsid w:val="00B74AB0"/>
    <w:rsid w:val="00B75345"/>
    <w:rsid w:val="00B76327"/>
    <w:rsid w:val="00B76400"/>
    <w:rsid w:val="00B7649A"/>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90351"/>
    <w:rsid w:val="00B906F2"/>
    <w:rsid w:val="00B90D9B"/>
    <w:rsid w:val="00B91259"/>
    <w:rsid w:val="00B91B81"/>
    <w:rsid w:val="00B91E7D"/>
    <w:rsid w:val="00B91FF0"/>
    <w:rsid w:val="00B926A8"/>
    <w:rsid w:val="00B927C2"/>
    <w:rsid w:val="00B92FFF"/>
    <w:rsid w:val="00B93538"/>
    <w:rsid w:val="00B936F8"/>
    <w:rsid w:val="00B9492E"/>
    <w:rsid w:val="00B95CFD"/>
    <w:rsid w:val="00B960DB"/>
    <w:rsid w:val="00B96799"/>
    <w:rsid w:val="00B96DE5"/>
    <w:rsid w:val="00B97A76"/>
    <w:rsid w:val="00BA0166"/>
    <w:rsid w:val="00BA0584"/>
    <w:rsid w:val="00BA0755"/>
    <w:rsid w:val="00BA1E9D"/>
    <w:rsid w:val="00BA249D"/>
    <w:rsid w:val="00BA3C66"/>
    <w:rsid w:val="00BA4D00"/>
    <w:rsid w:val="00BA4F9B"/>
    <w:rsid w:val="00BA5665"/>
    <w:rsid w:val="00BA6825"/>
    <w:rsid w:val="00BA72D9"/>
    <w:rsid w:val="00BB0AB5"/>
    <w:rsid w:val="00BB195B"/>
    <w:rsid w:val="00BB1BBA"/>
    <w:rsid w:val="00BB204A"/>
    <w:rsid w:val="00BB2BD1"/>
    <w:rsid w:val="00BB31DF"/>
    <w:rsid w:val="00BB33E9"/>
    <w:rsid w:val="00BB34B7"/>
    <w:rsid w:val="00BB3BE4"/>
    <w:rsid w:val="00BB44DB"/>
    <w:rsid w:val="00BB57D3"/>
    <w:rsid w:val="00BB58EE"/>
    <w:rsid w:val="00BB64EC"/>
    <w:rsid w:val="00BB7589"/>
    <w:rsid w:val="00BB7668"/>
    <w:rsid w:val="00BB7E42"/>
    <w:rsid w:val="00BC077E"/>
    <w:rsid w:val="00BC0DE5"/>
    <w:rsid w:val="00BC0E57"/>
    <w:rsid w:val="00BC1F5F"/>
    <w:rsid w:val="00BC21BE"/>
    <w:rsid w:val="00BC2465"/>
    <w:rsid w:val="00BC3E36"/>
    <w:rsid w:val="00BC4B2D"/>
    <w:rsid w:val="00BC4CE8"/>
    <w:rsid w:val="00BC4D54"/>
    <w:rsid w:val="00BC6E0D"/>
    <w:rsid w:val="00BC6E2F"/>
    <w:rsid w:val="00BC728A"/>
    <w:rsid w:val="00BC7632"/>
    <w:rsid w:val="00BC77A4"/>
    <w:rsid w:val="00BC7C9E"/>
    <w:rsid w:val="00BC7FB3"/>
    <w:rsid w:val="00BD0E70"/>
    <w:rsid w:val="00BD1E79"/>
    <w:rsid w:val="00BD23A5"/>
    <w:rsid w:val="00BD2937"/>
    <w:rsid w:val="00BD2AFC"/>
    <w:rsid w:val="00BD2CD4"/>
    <w:rsid w:val="00BD3143"/>
    <w:rsid w:val="00BD330C"/>
    <w:rsid w:val="00BD351A"/>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05A"/>
    <w:rsid w:val="00BE063A"/>
    <w:rsid w:val="00BE0FF2"/>
    <w:rsid w:val="00BE1345"/>
    <w:rsid w:val="00BE1739"/>
    <w:rsid w:val="00BE18BC"/>
    <w:rsid w:val="00BE2147"/>
    <w:rsid w:val="00BE239E"/>
    <w:rsid w:val="00BE38A1"/>
    <w:rsid w:val="00BE3B83"/>
    <w:rsid w:val="00BE3C67"/>
    <w:rsid w:val="00BE3CF7"/>
    <w:rsid w:val="00BE42FC"/>
    <w:rsid w:val="00BE4B2E"/>
    <w:rsid w:val="00BE6085"/>
    <w:rsid w:val="00BE66FC"/>
    <w:rsid w:val="00BE73FA"/>
    <w:rsid w:val="00BE7741"/>
    <w:rsid w:val="00BF00D1"/>
    <w:rsid w:val="00BF0353"/>
    <w:rsid w:val="00BF090A"/>
    <w:rsid w:val="00BF0918"/>
    <w:rsid w:val="00BF2001"/>
    <w:rsid w:val="00BF2575"/>
    <w:rsid w:val="00BF31A0"/>
    <w:rsid w:val="00BF323A"/>
    <w:rsid w:val="00BF36C0"/>
    <w:rsid w:val="00BF3F0A"/>
    <w:rsid w:val="00BF4E35"/>
    <w:rsid w:val="00BF5ED2"/>
    <w:rsid w:val="00BF5FB3"/>
    <w:rsid w:val="00BF6979"/>
    <w:rsid w:val="00BF6F82"/>
    <w:rsid w:val="00BF7B9B"/>
    <w:rsid w:val="00C0083F"/>
    <w:rsid w:val="00C00976"/>
    <w:rsid w:val="00C020CD"/>
    <w:rsid w:val="00C02232"/>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1BA1"/>
    <w:rsid w:val="00C1211E"/>
    <w:rsid w:val="00C132F7"/>
    <w:rsid w:val="00C13607"/>
    <w:rsid w:val="00C137B1"/>
    <w:rsid w:val="00C13811"/>
    <w:rsid w:val="00C13B43"/>
    <w:rsid w:val="00C15E81"/>
    <w:rsid w:val="00C174C9"/>
    <w:rsid w:val="00C177E8"/>
    <w:rsid w:val="00C178AF"/>
    <w:rsid w:val="00C17B6E"/>
    <w:rsid w:val="00C200BA"/>
    <w:rsid w:val="00C20748"/>
    <w:rsid w:val="00C20754"/>
    <w:rsid w:val="00C21378"/>
    <w:rsid w:val="00C220A5"/>
    <w:rsid w:val="00C22307"/>
    <w:rsid w:val="00C22BB2"/>
    <w:rsid w:val="00C22EAF"/>
    <w:rsid w:val="00C22FAA"/>
    <w:rsid w:val="00C23150"/>
    <w:rsid w:val="00C231E0"/>
    <w:rsid w:val="00C24580"/>
    <w:rsid w:val="00C24908"/>
    <w:rsid w:val="00C250E8"/>
    <w:rsid w:val="00C25150"/>
    <w:rsid w:val="00C2515F"/>
    <w:rsid w:val="00C25B30"/>
    <w:rsid w:val="00C25DCF"/>
    <w:rsid w:val="00C26AEA"/>
    <w:rsid w:val="00C276EC"/>
    <w:rsid w:val="00C27C0A"/>
    <w:rsid w:val="00C305D9"/>
    <w:rsid w:val="00C3077C"/>
    <w:rsid w:val="00C31AD4"/>
    <w:rsid w:val="00C31C63"/>
    <w:rsid w:val="00C31C8C"/>
    <w:rsid w:val="00C31CD9"/>
    <w:rsid w:val="00C32481"/>
    <w:rsid w:val="00C332F6"/>
    <w:rsid w:val="00C3387D"/>
    <w:rsid w:val="00C3394C"/>
    <w:rsid w:val="00C34581"/>
    <w:rsid w:val="00C34AD7"/>
    <w:rsid w:val="00C3516D"/>
    <w:rsid w:val="00C351E4"/>
    <w:rsid w:val="00C353D8"/>
    <w:rsid w:val="00C361A6"/>
    <w:rsid w:val="00C365C5"/>
    <w:rsid w:val="00C3670F"/>
    <w:rsid w:val="00C36E1A"/>
    <w:rsid w:val="00C371DF"/>
    <w:rsid w:val="00C37818"/>
    <w:rsid w:val="00C37D9F"/>
    <w:rsid w:val="00C37EFC"/>
    <w:rsid w:val="00C37FF9"/>
    <w:rsid w:val="00C40126"/>
    <w:rsid w:val="00C41099"/>
    <w:rsid w:val="00C41425"/>
    <w:rsid w:val="00C41B4A"/>
    <w:rsid w:val="00C4213A"/>
    <w:rsid w:val="00C42B3E"/>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42"/>
    <w:rsid w:val="00C647DF"/>
    <w:rsid w:val="00C64C63"/>
    <w:rsid w:val="00C64F45"/>
    <w:rsid w:val="00C64F8E"/>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74C9"/>
    <w:rsid w:val="00C77F1B"/>
    <w:rsid w:val="00C80902"/>
    <w:rsid w:val="00C80987"/>
    <w:rsid w:val="00C80A3F"/>
    <w:rsid w:val="00C8180E"/>
    <w:rsid w:val="00C818A9"/>
    <w:rsid w:val="00C82436"/>
    <w:rsid w:val="00C82933"/>
    <w:rsid w:val="00C82BE2"/>
    <w:rsid w:val="00C84BBF"/>
    <w:rsid w:val="00C84BE9"/>
    <w:rsid w:val="00C85DEF"/>
    <w:rsid w:val="00C85E40"/>
    <w:rsid w:val="00C86D76"/>
    <w:rsid w:val="00C87A64"/>
    <w:rsid w:val="00C90850"/>
    <w:rsid w:val="00C910F8"/>
    <w:rsid w:val="00C91106"/>
    <w:rsid w:val="00C9117B"/>
    <w:rsid w:val="00C91D19"/>
    <w:rsid w:val="00C93B58"/>
    <w:rsid w:val="00C93C2F"/>
    <w:rsid w:val="00C9437C"/>
    <w:rsid w:val="00C946E4"/>
    <w:rsid w:val="00C946FF"/>
    <w:rsid w:val="00C94A14"/>
    <w:rsid w:val="00C94CDA"/>
    <w:rsid w:val="00C953C6"/>
    <w:rsid w:val="00C95BED"/>
    <w:rsid w:val="00C9617D"/>
    <w:rsid w:val="00C96725"/>
    <w:rsid w:val="00C97A66"/>
    <w:rsid w:val="00CA007B"/>
    <w:rsid w:val="00CA01BB"/>
    <w:rsid w:val="00CA0AA4"/>
    <w:rsid w:val="00CA15B0"/>
    <w:rsid w:val="00CA1C71"/>
    <w:rsid w:val="00CA1D4C"/>
    <w:rsid w:val="00CA1D50"/>
    <w:rsid w:val="00CA1DAB"/>
    <w:rsid w:val="00CA20E0"/>
    <w:rsid w:val="00CA2598"/>
    <w:rsid w:val="00CA3347"/>
    <w:rsid w:val="00CA4D89"/>
    <w:rsid w:val="00CA523D"/>
    <w:rsid w:val="00CA6FDA"/>
    <w:rsid w:val="00CA72F8"/>
    <w:rsid w:val="00CA77CF"/>
    <w:rsid w:val="00CA7A83"/>
    <w:rsid w:val="00CA7B58"/>
    <w:rsid w:val="00CA7F63"/>
    <w:rsid w:val="00CB0836"/>
    <w:rsid w:val="00CB0CB9"/>
    <w:rsid w:val="00CB1059"/>
    <w:rsid w:val="00CB1413"/>
    <w:rsid w:val="00CB18D4"/>
    <w:rsid w:val="00CB2518"/>
    <w:rsid w:val="00CB3920"/>
    <w:rsid w:val="00CB40C6"/>
    <w:rsid w:val="00CB41E4"/>
    <w:rsid w:val="00CB4C4C"/>
    <w:rsid w:val="00CB6413"/>
    <w:rsid w:val="00CB696F"/>
    <w:rsid w:val="00CB6A00"/>
    <w:rsid w:val="00CB7097"/>
    <w:rsid w:val="00CB77F4"/>
    <w:rsid w:val="00CB780D"/>
    <w:rsid w:val="00CC0B99"/>
    <w:rsid w:val="00CC0F1C"/>
    <w:rsid w:val="00CC1411"/>
    <w:rsid w:val="00CC1983"/>
    <w:rsid w:val="00CC2521"/>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C7FAB"/>
    <w:rsid w:val="00CD081C"/>
    <w:rsid w:val="00CD0D9A"/>
    <w:rsid w:val="00CD14DA"/>
    <w:rsid w:val="00CD1B5A"/>
    <w:rsid w:val="00CD1E9C"/>
    <w:rsid w:val="00CD2738"/>
    <w:rsid w:val="00CD27DB"/>
    <w:rsid w:val="00CD2E70"/>
    <w:rsid w:val="00CD386B"/>
    <w:rsid w:val="00CD3D06"/>
    <w:rsid w:val="00CD4A09"/>
    <w:rsid w:val="00CD4C67"/>
    <w:rsid w:val="00CD4C7B"/>
    <w:rsid w:val="00CD5397"/>
    <w:rsid w:val="00CD5428"/>
    <w:rsid w:val="00CD5B5F"/>
    <w:rsid w:val="00CD5E93"/>
    <w:rsid w:val="00CD74E4"/>
    <w:rsid w:val="00CD79F4"/>
    <w:rsid w:val="00CE03D9"/>
    <w:rsid w:val="00CE0EA0"/>
    <w:rsid w:val="00CE15AE"/>
    <w:rsid w:val="00CE1CFC"/>
    <w:rsid w:val="00CE235A"/>
    <w:rsid w:val="00CE2A29"/>
    <w:rsid w:val="00CE37A3"/>
    <w:rsid w:val="00CE3814"/>
    <w:rsid w:val="00CE3BC0"/>
    <w:rsid w:val="00CE4AC7"/>
    <w:rsid w:val="00CE56B7"/>
    <w:rsid w:val="00CE6660"/>
    <w:rsid w:val="00CE6855"/>
    <w:rsid w:val="00CE6B6F"/>
    <w:rsid w:val="00CE7033"/>
    <w:rsid w:val="00CE7075"/>
    <w:rsid w:val="00CE7256"/>
    <w:rsid w:val="00CE770A"/>
    <w:rsid w:val="00CF02A6"/>
    <w:rsid w:val="00CF05A6"/>
    <w:rsid w:val="00CF06CF"/>
    <w:rsid w:val="00CF101C"/>
    <w:rsid w:val="00CF15C5"/>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CF7BDD"/>
    <w:rsid w:val="00D00175"/>
    <w:rsid w:val="00D00223"/>
    <w:rsid w:val="00D0045E"/>
    <w:rsid w:val="00D008D8"/>
    <w:rsid w:val="00D00DBF"/>
    <w:rsid w:val="00D0149B"/>
    <w:rsid w:val="00D01F5D"/>
    <w:rsid w:val="00D01FA9"/>
    <w:rsid w:val="00D03DBE"/>
    <w:rsid w:val="00D03EED"/>
    <w:rsid w:val="00D0597D"/>
    <w:rsid w:val="00D06274"/>
    <w:rsid w:val="00D066D8"/>
    <w:rsid w:val="00D0685A"/>
    <w:rsid w:val="00D0796D"/>
    <w:rsid w:val="00D07FB9"/>
    <w:rsid w:val="00D1021F"/>
    <w:rsid w:val="00D11949"/>
    <w:rsid w:val="00D11A69"/>
    <w:rsid w:val="00D12C98"/>
    <w:rsid w:val="00D12FFC"/>
    <w:rsid w:val="00D133D0"/>
    <w:rsid w:val="00D13CA3"/>
    <w:rsid w:val="00D1484F"/>
    <w:rsid w:val="00D14BA0"/>
    <w:rsid w:val="00D14D7B"/>
    <w:rsid w:val="00D1516D"/>
    <w:rsid w:val="00D158B0"/>
    <w:rsid w:val="00D1707A"/>
    <w:rsid w:val="00D17CC2"/>
    <w:rsid w:val="00D20EED"/>
    <w:rsid w:val="00D212A6"/>
    <w:rsid w:val="00D21435"/>
    <w:rsid w:val="00D2242C"/>
    <w:rsid w:val="00D224FA"/>
    <w:rsid w:val="00D23033"/>
    <w:rsid w:val="00D237DA"/>
    <w:rsid w:val="00D2402F"/>
    <w:rsid w:val="00D245C2"/>
    <w:rsid w:val="00D25660"/>
    <w:rsid w:val="00D2569B"/>
    <w:rsid w:val="00D258EB"/>
    <w:rsid w:val="00D25AEB"/>
    <w:rsid w:val="00D271CD"/>
    <w:rsid w:val="00D3064E"/>
    <w:rsid w:val="00D306FE"/>
    <w:rsid w:val="00D315CC"/>
    <w:rsid w:val="00D31DDA"/>
    <w:rsid w:val="00D32067"/>
    <w:rsid w:val="00D327A3"/>
    <w:rsid w:val="00D33B6C"/>
    <w:rsid w:val="00D3466E"/>
    <w:rsid w:val="00D34C82"/>
    <w:rsid w:val="00D36550"/>
    <w:rsid w:val="00D36D57"/>
    <w:rsid w:val="00D379EC"/>
    <w:rsid w:val="00D37C94"/>
    <w:rsid w:val="00D40D88"/>
    <w:rsid w:val="00D41E42"/>
    <w:rsid w:val="00D41F6B"/>
    <w:rsid w:val="00D42380"/>
    <w:rsid w:val="00D42C9B"/>
    <w:rsid w:val="00D4348D"/>
    <w:rsid w:val="00D436D7"/>
    <w:rsid w:val="00D43829"/>
    <w:rsid w:val="00D43A43"/>
    <w:rsid w:val="00D44E42"/>
    <w:rsid w:val="00D44FC3"/>
    <w:rsid w:val="00D450E2"/>
    <w:rsid w:val="00D453D7"/>
    <w:rsid w:val="00D4552D"/>
    <w:rsid w:val="00D462D6"/>
    <w:rsid w:val="00D46FE3"/>
    <w:rsid w:val="00D474AB"/>
    <w:rsid w:val="00D4754E"/>
    <w:rsid w:val="00D50460"/>
    <w:rsid w:val="00D50961"/>
    <w:rsid w:val="00D50A02"/>
    <w:rsid w:val="00D5122F"/>
    <w:rsid w:val="00D512A1"/>
    <w:rsid w:val="00D518D6"/>
    <w:rsid w:val="00D52AB4"/>
    <w:rsid w:val="00D52F26"/>
    <w:rsid w:val="00D531F5"/>
    <w:rsid w:val="00D538C1"/>
    <w:rsid w:val="00D538D5"/>
    <w:rsid w:val="00D53B5C"/>
    <w:rsid w:val="00D54594"/>
    <w:rsid w:val="00D54640"/>
    <w:rsid w:val="00D55208"/>
    <w:rsid w:val="00D55455"/>
    <w:rsid w:val="00D559B5"/>
    <w:rsid w:val="00D56420"/>
    <w:rsid w:val="00D5658A"/>
    <w:rsid w:val="00D56A94"/>
    <w:rsid w:val="00D56C0C"/>
    <w:rsid w:val="00D56F9E"/>
    <w:rsid w:val="00D570B4"/>
    <w:rsid w:val="00D5798B"/>
    <w:rsid w:val="00D60736"/>
    <w:rsid w:val="00D6170E"/>
    <w:rsid w:val="00D61972"/>
    <w:rsid w:val="00D61B58"/>
    <w:rsid w:val="00D6307D"/>
    <w:rsid w:val="00D63632"/>
    <w:rsid w:val="00D63732"/>
    <w:rsid w:val="00D63925"/>
    <w:rsid w:val="00D6405D"/>
    <w:rsid w:val="00D6568E"/>
    <w:rsid w:val="00D65893"/>
    <w:rsid w:val="00D658EC"/>
    <w:rsid w:val="00D6684E"/>
    <w:rsid w:val="00D67055"/>
    <w:rsid w:val="00D6742A"/>
    <w:rsid w:val="00D67B9B"/>
    <w:rsid w:val="00D71733"/>
    <w:rsid w:val="00D718AC"/>
    <w:rsid w:val="00D719A3"/>
    <w:rsid w:val="00D71E7A"/>
    <w:rsid w:val="00D72DE7"/>
    <w:rsid w:val="00D7302F"/>
    <w:rsid w:val="00D73BB2"/>
    <w:rsid w:val="00D74575"/>
    <w:rsid w:val="00D74D14"/>
    <w:rsid w:val="00D74F3B"/>
    <w:rsid w:val="00D752E7"/>
    <w:rsid w:val="00D7574B"/>
    <w:rsid w:val="00D75E82"/>
    <w:rsid w:val="00D76270"/>
    <w:rsid w:val="00D767C6"/>
    <w:rsid w:val="00D769C5"/>
    <w:rsid w:val="00D76E76"/>
    <w:rsid w:val="00D80631"/>
    <w:rsid w:val="00D818EC"/>
    <w:rsid w:val="00D81A20"/>
    <w:rsid w:val="00D81F55"/>
    <w:rsid w:val="00D8321A"/>
    <w:rsid w:val="00D83F57"/>
    <w:rsid w:val="00D84A86"/>
    <w:rsid w:val="00D85152"/>
    <w:rsid w:val="00D85F2C"/>
    <w:rsid w:val="00D861BD"/>
    <w:rsid w:val="00D86A97"/>
    <w:rsid w:val="00D86D55"/>
    <w:rsid w:val="00D8789C"/>
    <w:rsid w:val="00D8789D"/>
    <w:rsid w:val="00D87B3F"/>
    <w:rsid w:val="00D9003D"/>
    <w:rsid w:val="00D90558"/>
    <w:rsid w:val="00D9082F"/>
    <w:rsid w:val="00D90C79"/>
    <w:rsid w:val="00D912E4"/>
    <w:rsid w:val="00D914EB"/>
    <w:rsid w:val="00D91B36"/>
    <w:rsid w:val="00D9305B"/>
    <w:rsid w:val="00D94085"/>
    <w:rsid w:val="00D944D2"/>
    <w:rsid w:val="00D96D4F"/>
    <w:rsid w:val="00DA1040"/>
    <w:rsid w:val="00DA1806"/>
    <w:rsid w:val="00DA1BD1"/>
    <w:rsid w:val="00DA212B"/>
    <w:rsid w:val="00DA3A76"/>
    <w:rsid w:val="00DA5713"/>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3F8F"/>
    <w:rsid w:val="00DB41CB"/>
    <w:rsid w:val="00DB489B"/>
    <w:rsid w:val="00DB5114"/>
    <w:rsid w:val="00DB681B"/>
    <w:rsid w:val="00DB7E24"/>
    <w:rsid w:val="00DC0445"/>
    <w:rsid w:val="00DC0ECC"/>
    <w:rsid w:val="00DC115F"/>
    <w:rsid w:val="00DC2082"/>
    <w:rsid w:val="00DC225F"/>
    <w:rsid w:val="00DC2883"/>
    <w:rsid w:val="00DC2C48"/>
    <w:rsid w:val="00DC46B5"/>
    <w:rsid w:val="00DC4B28"/>
    <w:rsid w:val="00DC4B5D"/>
    <w:rsid w:val="00DC4EBC"/>
    <w:rsid w:val="00DC525E"/>
    <w:rsid w:val="00DC535C"/>
    <w:rsid w:val="00DC5DCB"/>
    <w:rsid w:val="00DC608E"/>
    <w:rsid w:val="00DC6C0D"/>
    <w:rsid w:val="00DC75D8"/>
    <w:rsid w:val="00DC75E7"/>
    <w:rsid w:val="00DD074A"/>
    <w:rsid w:val="00DD0D70"/>
    <w:rsid w:val="00DD1941"/>
    <w:rsid w:val="00DD26A5"/>
    <w:rsid w:val="00DD2812"/>
    <w:rsid w:val="00DD2DBA"/>
    <w:rsid w:val="00DD34F2"/>
    <w:rsid w:val="00DD3C6B"/>
    <w:rsid w:val="00DD54ED"/>
    <w:rsid w:val="00DD697F"/>
    <w:rsid w:val="00DD699C"/>
    <w:rsid w:val="00DD739F"/>
    <w:rsid w:val="00DD7481"/>
    <w:rsid w:val="00DD7631"/>
    <w:rsid w:val="00DD7762"/>
    <w:rsid w:val="00DD778A"/>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E7F5F"/>
    <w:rsid w:val="00DF00F9"/>
    <w:rsid w:val="00DF0576"/>
    <w:rsid w:val="00DF1981"/>
    <w:rsid w:val="00DF1D07"/>
    <w:rsid w:val="00DF1E89"/>
    <w:rsid w:val="00DF2144"/>
    <w:rsid w:val="00DF24D9"/>
    <w:rsid w:val="00DF2EA5"/>
    <w:rsid w:val="00DF310B"/>
    <w:rsid w:val="00DF3E47"/>
    <w:rsid w:val="00DF4054"/>
    <w:rsid w:val="00DF4693"/>
    <w:rsid w:val="00DF56E8"/>
    <w:rsid w:val="00DF5899"/>
    <w:rsid w:val="00DF5C01"/>
    <w:rsid w:val="00DF6655"/>
    <w:rsid w:val="00DF6EB6"/>
    <w:rsid w:val="00DF7133"/>
    <w:rsid w:val="00DF722A"/>
    <w:rsid w:val="00DF764C"/>
    <w:rsid w:val="00DF7FBF"/>
    <w:rsid w:val="00E00108"/>
    <w:rsid w:val="00E00BB4"/>
    <w:rsid w:val="00E00CAA"/>
    <w:rsid w:val="00E01441"/>
    <w:rsid w:val="00E01682"/>
    <w:rsid w:val="00E01D20"/>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26B2"/>
    <w:rsid w:val="00E127E3"/>
    <w:rsid w:val="00E13B08"/>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E84"/>
    <w:rsid w:val="00E23F9B"/>
    <w:rsid w:val="00E24D23"/>
    <w:rsid w:val="00E26285"/>
    <w:rsid w:val="00E26649"/>
    <w:rsid w:val="00E26B95"/>
    <w:rsid w:val="00E2703D"/>
    <w:rsid w:val="00E271F9"/>
    <w:rsid w:val="00E27F0A"/>
    <w:rsid w:val="00E30712"/>
    <w:rsid w:val="00E309B0"/>
    <w:rsid w:val="00E30E67"/>
    <w:rsid w:val="00E31932"/>
    <w:rsid w:val="00E32143"/>
    <w:rsid w:val="00E325F3"/>
    <w:rsid w:val="00E326E9"/>
    <w:rsid w:val="00E32B61"/>
    <w:rsid w:val="00E33106"/>
    <w:rsid w:val="00E345C2"/>
    <w:rsid w:val="00E34D99"/>
    <w:rsid w:val="00E352C3"/>
    <w:rsid w:val="00E35476"/>
    <w:rsid w:val="00E355C0"/>
    <w:rsid w:val="00E359A5"/>
    <w:rsid w:val="00E35C28"/>
    <w:rsid w:val="00E35DAE"/>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90F"/>
    <w:rsid w:val="00E459EA"/>
    <w:rsid w:val="00E45B2D"/>
    <w:rsid w:val="00E468F2"/>
    <w:rsid w:val="00E47A20"/>
    <w:rsid w:val="00E5084C"/>
    <w:rsid w:val="00E50871"/>
    <w:rsid w:val="00E50AD9"/>
    <w:rsid w:val="00E50B4C"/>
    <w:rsid w:val="00E512FE"/>
    <w:rsid w:val="00E52063"/>
    <w:rsid w:val="00E53533"/>
    <w:rsid w:val="00E537ED"/>
    <w:rsid w:val="00E5384D"/>
    <w:rsid w:val="00E53F2E"/>
    <w:rsid w:val="00E54004"/>
    <w:rsid w:val="00E546C9"/>
    <w:rsid w:val="00E54BB9"/>
    <w:rsid w:val="00E54D3F"/>
    <w:rsid w:val="00E55F1F"/>
    <w:rsid w:val="00E56735"/>
    <w:rsid w:val="00E56866"/>
    <w:rsid w:val="00E56904"/>
    <w:rsid w:val="00E57724"/>
    <w:rsid w:val="00E57DFD"/>
    <w:rsid w:val="00E60423"/>
    <w:rsid w:val="00E60545"/>
    <w:rsid w:val="00E607E5"/>
    <w:rsid w:val="00E60A16"/>
    <w:rsid w:val="00E610CB"/>
    <w:rsid w:val="00E6125B"/>
    <w:rsid w:val="00E6170A"/>
    <w:rsid w:val="00E62816"/>
    <w:rsid w:val="00E62ADF"/>
    <w:rsid w:val="00E62FA7"/>
    <w:rsid w:val="00E637A3"/>
    <w:rsid w:val="00E654F8"/>
    <w:rsid w:val="00E659FD"/>
    <w:rsid w:val="00E65B0C"/>
    <w:rsid w:val="00E66B16"/>
    <w:rsid w:val="00E66BA2"/>
    <w:rsid w:val="00E66E28"/>
    <w:rsid w:val="00E677DB"/>
    <w:rsid w:val="00E700F8"/>
    <w:rsid w:val="00E71C2D"/>
    <w:rsid w:val="00E71D5E"/>
    <w:rsid w:val="00E7266C"/>
    <w:rsid w:val="00E72BB6"/>
    <w:rsid w:val="00E72CD0"/>
    <w:rsid w:val="00E730AC"/>
    <w:rsid w:val="00E7310C"/>
    <w:rsid w:val="00E7327A"/>
    <w:rsid w:val="00E733ED"/>
    <w:rsid w:val="00E734CE"/>
    <w:rsid w:val="00E73D33"/>
    <w:rsid w:val="00E750CB"/>
    <w:rsid w:val="00E7586E"/>
    <w:rsid w:val="00E778DC"/>
    <w:rsid w:val="00E801A6"/>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3DF3"/>
    <w:rsid w:val="00E848F0"/>
    <w:rsid w:val="00E84D1C"/>
    <w:rsid w:val="00E84D9C"/>
    <w:rsid w:val="00E85069"/>
    <w:rsid w:val="00E8628F"/>
    <w:rsid w:val="00E86888"/>
    <w:rsid w:val="00E92C96"/>
    <w:rsid w:val="00E942B8"/>
    <w:rsid w:val="00E944ED"/>
    <w:rsid w:val="00E945AF"/>
    <w:rsid w:val="00E94A0B"/>
    <w:rsid w:val="00E94A2C"/>
    <w:rsid w:val="00E9544C"/>
    <w:rsid w:val="00E95799"/>
    <w:rsid w:val="00E95D93"/>
    <w:rsid w:val="00E9683D"/>
    <w:rsid w:val="00E970B7"/>
    <w:rsid w:val="00E97D95"/>
    <w:rsid w:val="00EA0035"/>
    <w:rsid w:val="00EA010D"/>
    <w:rsid w:val="00EA04C5"/>
    <w:rsid w:val="00EA0507"/>
    <w:rsid w:val="00EA0BB5"/>
    <w:rsid w:val="00EA1485"/>
    <w:rsid w:val="00EA1A8A"/>
    <w:rsid w:val="00EA21FA"/>
    <w:rsid w:val="00EA25EB"/>
    <w:rsid w:val="00EA26D5"/>
    <w:rsid w:val="00EA2775"/>
    <w:rsid w:val="00EA305D"/>
    <w:rsid w:val="00EA3106"/>
    <w:rsid w:val="00EA37D7"/>
    <w:rsid w:val="00EA3874"/>
    <w:rsid w:val="00EA5AB6"/>
    <w:rsid w:val="00EA5FB0"/>
    <w:rsid w:val="00EA612E"/>
    <w:rsid w:val="00EA761C"/>
    <w:rsid w:val="00EA7D7F"/>
    <w:rsid w:val="00EB0810"/>
    <w:rsid w:val="00EB0B5F"/>
    <w:rsid w:val="00EB1CF7"/>
    <w:rsid w:val="00EB25C2"/>
    <w:rsid w:val="00EB2B6F"/>
    <w:rsid w:val="00EB2CAD"/>
    <w:rsid w:val="00EB2FA2"/>
    <w:rsid w:val="00EB3272"/>
    <w:rsid w:val="00EB37B2"/>
    <w:rsid w:val="00EB3FF9"/>
    <w:rsid w:val="00EB4347"/>
    <w:rsid w:val="00EB5F0B"/>
    <w:rsid w:val="00EB6695"/>
    <w:rsid w:val="00EB6F7D"/>
    <w:rsid w:val="00EB7352"/>
    <w:rsid w:val="00EB769A"/>
    <w:rsid w:val="00EC11E4"/>
    <w:rsid w:val="00EC14E1"/>
    <w:rsid w:val="00EC2A3F"/>
    <w:rsid w:val="00EC2E64"/>
    <w:rsid w:val="00EC3543"/>
    <w:rsid w:val="00EC3A35"/>
    <w:rsid w:val="00EC3C52"/>
    <w:rsid w:val="00EC3E5B"/>
    <w:rsid w:val="00EC3E69"/>
    <w:rsid w:val="00EC41A7"/>
    <w:rsid w:val="00EC4257"/>
    <w:rsid w:val="00EC5554"/>
    <w:rsid w:val="00EC572B"/>
    <w:rsid w:val="00EC5B8E"/>
    <w:rsid w:val="00EC7356"/>
    <w:rsid w:val="00EC75F6"/>
    <w:rsid w:val="00ED0065"/>
    <w:rsid w:val="00ED17B5"/>
    <w:rsid w:val="00ED1BA0"/>
    <w:rsid w:val="00ED1D2D"/>
    <w:rsid w:val="00ED337D"/>
    <w:rsid w:val="00ED353D"/>
    <w:rsid w:val="00ED588C"/>
    <w:rsid w:val="00ED6E7A"/>
    <w:rsid w:val="00ED6EA1"/>
    <w:rsid w:val="00ED7A7F"/>
    <w:rsid w:val="00ED7D72"/>
    <w:rsid w:val="00EE060B"/>
    <w:rsid w:val="00EE07AC"/>
    <w:rsid w:val="00EE0891"/>
    <w:rsid w:val="00EE1062"/>
    <w:rsid w:val="00EE17F2"/>
    <w:rsid w:val="00EE188A"/>
    <w:rsid w:val="00EE1B01"/>
    <w:rsid w:val="00EE1C62"/>
    <w:rsid w:val="00EE1DB8"/>
    <w:rsid w:val="00EE2746"/>
    <w:rsid w:val="00EE3256"/>
    <w:rsid w:val="00EE4759"/>
    <w:rsid w:val="00EE4C20"/>
    <w:rsid w:val="00EE4F2D"/>
    <w:rsid w:val="00EE524C"/>
    <w:rsid w:val="00EE6755"/>
    <w:rsid w:val="00EE78D6"/>
    <w:rsid w:val="00EF03DC"/>
    <w:rsid w:val="00EF0437"/>
    <w:rsid w:val="00EF0BFE"/>
    <w:rsid w:val="00EF1DE8"/>
    <w:rsid w:val="00EF2AC7"/>
    <w:rsid w:val="00EF3397"/>
    <w:rsid w:val="00EF40BF"/>
    <w:rsid w:val="00EF4557"/>
    <w:rsid w:val="00EF493F"/>
    <w:rsid w:val="00EF4F39"/>
    <w:rsid w:val="00EF5947"/>
    <w:rsid w:val="00EF5D0D"/>
    <w:rsid w:val="00EF5E22"/>
    <w:rsid w:val="00EF60CA"/>
    <w:rsid w:val="00EF63C1"/>
    <w:rsid w:val="00EF6557"/>
    <w:rsid w:val="00EF6663"/>
    <w:rsid w:val="00EF69B7"/>
    <w:rsid w:val="00EF6C2B"/>
    <w:rsid w:val="00EF7426"/>
    <w:rsid w:val="00F00059"/>
    <w:rsid w:val="00F006D8"/>
    <w:rsid w:val="00F008BD"/>
    <w:rsid w:val="00F01E7E"/>
    <w:rsid w:val="00F021A9"/>
    <w:rsid w:val="00F02C54"/>
    <w:rsid w:val="00F02CD0"/>
    <w:rsid w:val="00F02D03"/>
    <w:rsid w:val="00F035DB"/>
    <w:rsid w:val="00F0448C"/>
    <w:rsid w:val="00F0553C"/>
    <w:rsid w:val="00F06BA7"/>
    <w:rsid w:val="00F06C50"/>
    <w:rsid w:val="00F071BA"/>
    <w:rsid w:val="00F1284F"/>
    <w:rsid w:val="00F136A4"/>
    <w:rsid w:val="00F1377B"/>
    <w:rsid w:val="00F13C5E"/>
    <w:rsid w:val="00F14108"/>
    <w:rsid w:val="00F148D5"/>
    <w:rsid w:val="00F1601A"/>
    <w:rsid w:val="00F160BF"/>
    <w:rsid w:val="00F16173"/>
    <w:rsid w:val="00F1675C"/>
    <w:rsid w:val="00F16A3C"/>
    <w:rsid w:val="00F16F6C"/>
    <w:rsid w:val="00F17428"/>
    <w:rsid w:val="00F20046"/>
    <w:rsid w:val="00F201C5"/>
    <w:rsid w:val="00F20CC1"/>
    <w:rsid w:val="00F20D22"/>
    <w:rsid w:val="00F21A58"/>
    <w:rsid w:val="00F2302A"/>
    <w:rsid w:val="00F23048"/>
    <w:rsid w:val="00F239CD"/>
    <w:rsid w:val="00F23DCC"/>
    <w:rsid w:val="00F24294"/>
    <w:rsid w:val="00F2477C"/>
    <w:rsid w:val="00F24E5D"/>
    <w:rsid w:val="00F24EBB"/>
    <w:rsid w:val="00F25C51"/>
    <w:rsid w:val="00F271D4"/>
    <w:rsid w:val="00F27696"/>
    <w:rsid w:val="00F2777F"/>
    <w:rsid w:val="00F27F06"/>
    <w:rsid w:val="00F314E8"/>
    <w:rsid w:val="00F316A2"/>
    <w:rsid w:val="00F323A2"/>
    <w:rsid w:val="00F332D4"/>
    <w:rsid w:val="00F33B57"/>
    <w:rsid w:val="00F33CA8"/>
    <w:rsid w:val="00F33D5C"/>
    <w:rsid w:val="00F349B3"/>
    <w:rsid w:val="00F356D6"/>
    <w:rsid w:val="00F372DB"/>
    <w:rsid w:val="00F3785D"/>
    <w:rsid w:val="00F378BE"/>
    <w:rsid w:val="00F37D37"/>
    <w:rsid w:val="00F400E3"/>
    <w:rsid w:val="00F4021A"/>
    <w:rsid w:val="00F40876"/>
    <w:rsid w:val="00F40C9A"/>
    <w:rsid w:val="00F416BF"/>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F92"/>
    <w:rsid w:val="00F5480F"/>
    <w:rsid w:val="00F54AA5"/>
    <w:rsid w:val="00F552F7"/>
    <w:rsid w:val="00F553A7"/>
    <w:rsid w:val="00F554EB"/>
    <w:rsid w:val="00F5562D"/>
    <w:rsid w:val="00F55BC7"/>
    <w:rsid w:val="00F566EA"/>
    <w:rsid w:val="00F567A4"/>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6F58"/>
    <w:rsid w:val="00F672BD"/>
    <w:rsid w:val="00F677CB"/>
    <w:rsid w:val="00F67E15"/>
    <w:rsid w:val="00F67FCA"/>
    <w:rsid w:val="00F70815"/>
    <w:rsid w:val="00F709F4"/>
    <w:rsid w:val="00F71019"/>
    <w:rsid w:val="00F710A9"/>
    <w:rsid w:val="00F7198D"/>
    <w:rsid w:val="00F722E0"/>
    <w:rsid w:val="00F7284D"/>
    <w:rsid w:val="00F72CFE"/>
    <w:rsid w:val="00F72FB0"/>
    <w:rsid w:val="00F73423"/>
    <w:rsid w:val="00F7365E"/>
    <w:rsid w:val="00F737A4"/>
    <w:rsid w:val="00F73950"/>
    <w:rsid w:val="00F75481"/>
    <w:rsid w:val="00F75C75"/>
    <w:rsid w:val="00F76664"/>
    <w:rsid w:val="00F76A4C"/>
    <w:rsid w:val="00F76AB3"/>
    <w:rsid w:val="00F76EA4"/>
    <w:rsid w:val="00F77F67"/>
    <w:rsid w:val="00F80257"/>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613"/>
    <w:rsid w:val="00F906F4"/>
    <w:rsid w:val="00F915F3"/>
    <w:rsid w:val="00F91800"/>
    <w:rsid w:val="00F91853"/>
    <w:rsid w:val="00F91987"/>
    <w:rsid w:val="00F9208E"/>
    <w:rsid w:val="00F92571"/>
    <w:rsid w:val="00F93B2F"/>
    <w:rsid w:val="00F93CAE"/>
    <w:rsid w:val="00F94FD8"/>
    <w:rsid w:val="00F954E4"/>
    <w:rsid w:val="00F95CCE"/>
    <w:rsid w:val="00F9692D"/>
    <w:rsid w:val="00F978BE"/>
    <w:rsid w:val="00F97D7B"/>
    <w:rsid w:val="00FA0013"/>
    <w:rsid w:val="00FA0154"/>
    <w:rsid w:val="00FA0288"/>
    <w:rsid w:val="00FA0C62"/>
    <w:rsid w:val="00FA0F71"/>
    <w:rsid w:val="00FA23E2"/>
    <w:rsid w:val="00FA26BC"/>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36D4"/>
    <w:rsid w:val="00FB3E96"/>
    <w:rsid w:val="00FB4048"/>
    <w:rsid w:val="00FB446E"/>
    <w:rsid w:val="00FB4629"/>
    <w:rsid w:val="00FB577F"/>
    <w:rsid w:val="00FB5E5D"/>
    <w:rsid w:val="00FB5FC4"/>
    <w:rsid w:val="00FB6A07"/>
    <w:rsid w:val="00FB6FB1"/>
    <w:rsid w:val="00FB7460"/>
    <w:rsid w:val="00FB7747"/>
    <w:rsid w:val="00FB7A10"/>
    <w:rsid w:val="00FC0F81"/>
    <w:rsid w:val="00FC1865"/>
    <w:rsid w:val="00FC2265"/>
    <w:rsid w:val="00FC3798"/>
    <w:rsid w:val="00FC59AF"/>
    <w:rsid w:val="00FC5C43"/>
    <w:rsid w:val="00FC5F72"/>
    <w:rsid w:val="00FC62B5"/>
    <w:rsid w:val="00FC6D4E"/>
    <w:rsid w:val="00FC7073"/>
    <w:rsid w:val="00FC736F"/>
    <w:rsid w:val="00FD0CDB"/>
    <w:rsid w:val="00FD1FA7"/>
    <w:rsid w:val="00FD2BCE"/>
    <w:rsid w:val="00FD2D42"/>
    <w:rsid w:val="00FD30B5"/>
    <w:rsid w:val="00FD3453"/>
    <w:rsid w:val="00FD39CF"/>
    <w:rsid w:val="00FD4B7B"/>
    <w:rsid w:val="00FD4D84"/>
    <w:rsid w:val="00FD5468"/>
    <w:rsid w:val="00FD58F5"/>
    <w:rsid w:val="00FD5C4F"/>
    <w:rsid w:val="00FD6287"/>
    <w:rsid w:val="00FD754C"/>
    <w:rsid w:val="00FE0DAE"/>
    <w:rsid w:val="00FE1370"/>
    <w:rsid w:val="00FE1510"/>
    <w:rsid w:val="00FE2121"/>
    <w:rsid w:val="00FE2334"/>
    <w:rsid w:val="00FE254A"/>
    <w:rsid w:val="00FE321B"/>
    <w:rsid w:val="00FE3D07"/>
    <w:rsid w:val="00FE3F0F"/>
    <w:rsid w:val="00FE4411"/>
    <w:rsid w:val="00FE4B6F"/>
    <w:rsid w:val="00FE6818"/>
    <w:rsid w:val="00FE6BFB"/>
    <w:rsid w:val="00FF0CF5"/>
    <w:rsid w:val="00FF0D6F"/>
    <w:rsid w:val="00FF0E9E"/>
    <w:rsid w:val="00FF1103"/>
    <w:rsid w:val="00FF1712"/>
    <w:rsid w:val="00FF1A42"/>
    <w:rsid w:val="00FF213D"/>
    <w:rsid w:val="00FF251D"/>
    <w:rsid w:val="00FF280E"/>
    <w:rsid w:val="00FF2FB3"/>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table" w:customStyle="1" w:styleId="Tablaconcuadrcula11">
    <w:name w:val="Tabla con cuadrícula11"/>
    <w:basedOn w:val="Tablanormal"/>
    <w:next w:val="Tablaconcuadrcula"/>
    <w:uiPriority w:val="39"/>
    <w:qFormat/>
    <w:rsid w:val="00CE7256"/>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405654">
      <w:bodyDiv w:val="1"/>
      <w:marLeft w:val="0"/>
      <w:marRight w:val="0"/>
      <w:marTop w:val="0"/>
      <w:marBottom w:val="0"/>
      <w:divBdr>
        <w:top w:val="none" w:sz="0" w:space="0" w:color="auto"/>
        <w:left w:val="none" w:sz="0" w:space="0" w:color="auto"/>
        <w:bottom w:val="none" w:sz="0" w:space="0" w:color="auto"/>
        <w:right w:val="none" w:sz="0" w:space="0" w:color="auto"/>
      </w:divBdr>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53562324">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5342120">
      <w:bodyDiv w:val="1"/>
      <w:marLeft w:val="0"/>
      <w:marRight w:val="0"/>
      <w:marTop w:val="0"/>
      <w:marBottom w:val="0"/>
      <w:divBdr>
        <w:top w:val="none" w:sz="0" w:space="0" w:color="auto"/>
        <w:left w:val="none" w:sz="0" w:space="0" w:color="auto"/>
        <w:bottom w:val="none" w:sz="0" w:space="0" w:color="auto"/>
        <w:right w:val="none" w:sz="0" w:space="0" w:color="auto"/>
      </w:divBdr>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5543881">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893929577">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956179120">
      <w:bodyDiv w:val="1"/>
      <w:marLeft w:val="0"/>
      <w:marRight w:val="0"/>
      <w:marTop w:val="0"/>
      <w:marBottom w:val="0"/>
      <w:divBdr>
        <w:top w:val="none" w:sz="0" w:space="0" w:color="auto"/>
        <w:left w:val="none" w:sz="0" w:space="0" w:color="auto"/>
        <w:bottom w:val="none" w:sz="0" w:space="0" w:color="auto"/>
        <w:right w:val="none" w:sz="0" w:space="0" w:color="auto"/>
      </w:divBdr>
      <w:divsChild>
        <w:div w:id="642855425">
          <w:marLeft w:val="0"/>
          <w:marRight w:val="0"/>
          <w:marTop w:val="0"/>
          <w:marBottom w:val="0"/>
          <w:divBdr>
            <w:top w:val="none" w:sz="0" w:space="0" w:color="auto"/>
            <w:left w:val="none" w:sz="0" w:space="0" w:color="auto"/>
            <w:bottom w:val="none" w:sz="0" w:space="0" w:color="auto"/>
            <w:right w:val="none" w:sz="0" w:space="0" w:color="auto"/>
          </w:divBdr>
        </w:div>
        <w:div w:id="1520270985">
          <w:marLeft w:val="0"/>
          <w:marRight w:val="0"/>
          <w:marTop w:val="0"/>
          <w:marBottom w:val="0"/>
          <w:divBdr>
            <w:top w:val="none" w:sz="0" w:space="0" w:color="auto"/>
            <w:left w:val="none" w:sz="0" w:space="0" w:color="auto"/>
            <w:bottom w:val="none" w:sz="0" w:space="0" w:color="auto"/>
            <w:right w:val="none" w:sz="0" w:space="0" w:color="auto"/>
          </w:divBdr>
        </w:div>
        <w:div w:id="67307232">
          <w:marLeft w:val="0"/>
          <w:marRight w:val="0"/>
          <w:marTop w:val="0"/>
          <w:marBottom w:val="0"/>
          <w:divBdr>
            <w:top w:val="none" w:sz="0" w:space="0" w:color="auto"/>
            <w:left w:val="none" w:sz="0" w:space="0" w:color="auto"/>
            <w:bottom w:val="none" w:sz="0" w:space="0" w:color="auto"/>
            <w:right w:val="none" w:sz="0" w:space="0" w:color="auto"/>
          </w:divBdr>
        </w:div>
        <w:div w:id="1514956992">
          <w:marLeft w:val="0"/>
          <w:marRight w:val="0"/>
          <w:marTop w:val="240"/>
          <w:marBottom w:val="240"/>
          <w:divBdr>
            <w:top w:val="none" w:sz="0" w:space="0" w:color="auto"/>
            <w:left w:val="none" w:sz="0" w:space="0" w:color="auto"/>
            <w:bottom w:val="none" w:sz="0" w:space="0" w:color="auto"/>
            <w:right w:val="none" w:sz="0" w:space="0" w:color="auto"/>
          </w:divBdr>
        </w:div>
      </w:divsChild>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69770290">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02551049">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27382975">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44181378">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avier.montana@agencialogistica.gov.c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5FF4969A-629C-448F-9649-83DECCFB46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28</Pages>
  <Words>9727</Words>
  <Characters>54282</Characters>
  <Application>Microsoft Office Word</Application>
  <DocSecurity>0</DocSecurity>
  <Lines>986</Lines>
  <Paragraphs>177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63832</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8</cp:revision>
  <dcterms:created xsi:type="dcterms:W3CDTF">2025-12-23T03:23:00Z</dcterms:created>
  <dcterms:modified xsi:type="dcterms:W3CDTF">2025-12-23T14:26:00Z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