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E16543" w14:textId="1C1EA413" w:rsidR="005B4190" w:rsidRPr="000A3547" w:rsidRDefault="005B4190" w:rsidP="005B4190">
      <w:pPr>
        <w:spacing w:before="120" w:after="120" w:line="276" w:lineRule="auto"/>
        <w:jc w:val="both"/>
        <w:rPr>
          <w:rFonts w:ascii="Verdana" w:hAnsi="Verdana" w:cs="Arial"/>
          <w:b/>
          <w:bCs/>
          <w:color w:val="000000" w:themeColor="text1"/>
        </w:rPr>
      </w:pPr>
      <w:bookmarkStart w:id="0" w:name="_Hlk143780582"/>
      <w:r w:rsidRPr="001119CA">
        <w:rPr>
          <w:rFonts w:ascii="Verdana" w:hAnsi="Verdana" w:cs="Arial"/>
          <w:b/>
          <w:bCs/>
          <w:color w:val="000000" w:themeColor="text1"/>
        </w:rPr>
        <w:t xml:space="preserve">TIPOS DE LIQUIDACIÓN – Liquidación unilateral </w:t>
      </w:r>
    </w:p>
    <w:p w14:paraId="40897A19" w14:textId="04FCB3F9" w:rsidR="005B4190" w:rsidRPr="000A3547" w:rsidRDefault="005B4190" w:rsidP="005B4190">
      <w:pPr>
        <w:spacing w:before="120" w:after="120" w:line="276" w:lineRule="auto"/>
        <w:jc w:val="both"/>
        <w:rPr>
          <w:rFonts w:ascii="Verdana" w:hAnsi="Verdana" w:cs="Arial"/>
          <w:color w:val="000000" w:themeColor="text1"/>
          <w:sz w:val="20"/>
          <w:szCs w:val="20"/>
          <w:lang w:val="es-MX"/>
        </w:rPr>
      </w:pPr>
      <w:r w:rsidRPr="001119CA">
        <w:rPr>
          <w:rFonts w:ascii="Verdana" w:hAnsi="Verdana" w:cs="Arial"/>
          <w:color w:val="000000" w:themeColor="text1"/>
          <w:sz w:val="20"/>
          <w:szCs w:val="20"/>
        </w:rPr>
        <w:t>La Entidad Estatal tiene la facultad de liquidar unilateralmente dentro del término de 2 meses contados a partir del vencimiento del plazo que acuerden las partes para liquidar bilateralmente o, ante el silencio de estas, del vencimiento de los 4 meses supletivo establecido por la ley. Finalmente, transcurridos estos meses, la liquidación podrá ser realizada 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 de mutuo acuerdo, unilateralmente por la entidad, o podrá ser solicitada judicialmente por el interesado.</w:t>
      </w:r>
    </w:p>
    <w:p w14:paraId="751DF449" w14:textId="3CB459F2" w:rsidR="005B4190" w:rsidRPr="000A79D0" w:rsidRDefault="005B4190" w:rsidP="005B4190">
      <w:pPr>
        <w:spacing w:line="276" w:lineRule="auto"/>
        <w:jc w:val="both"/>
        <w:rPr>
          <w:rFonts w:ascii="Verdana" w:eastAsia="Calibri" w:hAnsi="Verdana" w:cs="Arial"/>
          <w:b/>
          <w:bCs/>
          <w:lang w:val="es-ES" w:eastAsia="es-ES"/>
        </w:rPr>
      </w:pPr>
      <w:r w:rsidRPr="009E743B">
        <w:rPr>
          <w:rFonts w:ascii="Verdana" w:hAnsi="Verdana" w:cs="Arial"/>
          <w:b/>
          <w:bCs/>
          <w:color w:val="000000" w:themeColor="text1"/>
          <w:lang w:val="es-MX"/>
        </w:rPr>
        <w:t>TERMINACIÓN UNILATERAL</w:t>
      </w:r>
      <w:r>
        <w:rPr>
          <w:rFonts w:ascii="Verdana" w:hAnsi="Verdana" w:cs="Arial"/>
          <w:b/>
          <w:bCs/>
          <w:color w:val="000000" w:themeColor="text1"/>
          <w:lang w:val="es-MX"/>
        </w:rPr>
        <w:t xml:space="preserve"> </w:t>
      </w:r>
      <w:r w:rsidR="00801BCF" w:rsidRPr="00801BCF">
        <w:rPr>
          <w:rFonts w:ascii="Verdana" w:hAnsi="Verdana" w:cs="Arial"/>
          <w:b/>
          <w:bCs/>
          <w:color w:val="000000" w:themeColor="text1"/>
          <w:lang w:val="es-ES"/>
        </w:rPr>
        <w:t>–</w:t>
      </w:r>
      <w:r w:rsidRPr="009E743B">
        <w:rPr>
          <w:rFonts w:ascii="Verdana" w:hAnsi="Verdana" w:cs="Arial"/>
          <w:b/>
          <w:bCs/>
          <w:color w:val="000000" w:themeColor="text1"/>
          <w:lang w:val="es-MX"/>
        </w:rPr>
        <w:t xml:space="preserve"> </w:t>
      </w:r>
      <w:r w:rsidRPr="009E743B">
        <w:rPr>
          <w:rFonts w:ascii="Verdana" w:eastAsia="Calibri" w:hAnsi="Verdana" w:cs="Arial"/>
          <w:b/>
          <w:bCs/>
          <w:lang w:val="es-ES" w:eastAsia="es-ES"/>
        </w:rPr>
        <w:t>Muerte o incapacidad física permanente del contratista – Persona natural – Persona jurídica</w:t>
      </w:r>
    </w:p>
    <w:p w14:paraId="1931813E" w14:textId="77777777" w:rsidR="005B4190" w:rsidRPr="005E598C" w:rsidRDefault="005B4190" w:rsidP="005B4190">
      <w:pPr>
        <w:spacing w:before="120" w:after="120" w:line="276" w:lineRule="auto"/>
        <w:jc w:val="both"/>
        <w:rPr>
          <w:rFonts w:ascii="Verdana" w:hAnsi="Verdana" w:cs="Arial"/>
          <w:color w:val="000000" w:themeColor="text1"/>
          <w:sz w:val="20"/>
          <w:szCs w:val="20"/>
          <w:lang w:val="es-MX"/>
        </w:rPr>
      </w:pPr>
      <w:r w:rsidRPr="005E598C">
        <w:rPr>
          <w:rFonts w:ascii="Verdana" w:hAnsi="Verdana" w:cs="Arial"/>
          <w:color w:val="000000" w:themeColor="text1"/>
          <w:sz w:val="20"/>
          <w:szCs w:val="20"/>
          <w:lang w:val="es-MX"/>
        </w:rPr>
        <w:t xml:space="preserve">La terminación unilateral del contrato, si bien la ley otorga a las entidades públicas la potestad de actuar en ejercicio de una faculta exorbitante, les impone el cumplimiento de presupuestos de forzosa aplicación y a la vez restringe la medida a los eventos previstos en la misma. Efectivamente, para declarar la terminación unilateral se requiere i) que la manifestación de la voluntad de la administración se materialice en un acto administrativo, </w:t>
      </w:r>
      <w:proofErr w:type="spellStart"/>
      <w:r w:rsidRPr="005E598C">
        <w:rPr>
          <w:rFonts w:ascii="Verdana" w:hAnsi="Verdana" w:cs="Arial"/>
          <w:color w:val="000000" w:themeColor="text1"/>
          <w:sz w:val="20"/>
          <w:szCs w:val="20"/>
          <w:lang w:val="es-MX"/>
        </w:rPr>
        <w:t>ii</w:t>
      </w:r>
      <w:proofErr w:type="spellEnd"/>
      <w:r w:rsidRPr="005E598C">
        <w:rPr>
          <w:rFonts w:ascii="Verdana" w:hAnsi="Verdana" w:cs="Arial"/>
          <w:color w:val="000000" w:themeColor="text1"/>
          <w:sz w:val="20"/>
          <w:szCs w:val="20"/>
          <w:lang w:val="es-MX"/>
        </w:rPr>
        <w:t xml:space="preserve">) que dicho acto debe ser el resultado de un análisis soportado en la realidad del contrato, es decir, debe estar debidamente motivado y </w:t>
      </w:r>
      <w:proofErr w:type="spellStart"/>
      <w:r w:rsidRPr="005E598C">
        <w:rPr>
          <w:rFonts w:ascii="Verdana" w:hAnsi="Verdana" w:cs="Arial"/>
          <w:color w:val="000000" w:themeColor="text1"/>
          <w:sz w:val="20"/>
          <w:szCs w:val="20"/>
          <w:lang w:val="es-MX"/>
        </w:rPr>
        <w:t>iii</w:t>
      </w:r>
      <w:proofErr w:type="spellEnd"/>
      <w:r w:rsidRPr="005E598C">
        <w:rPr>
          <w:rFonts w:ascii="Verdana" w:hAnsi="Verdana" w:cs="Arial"/>
          <w:color w:val="000000" w:themeColor="text1"/>
          <w:sz w:val="20"/>
          <w:szCs w:val="20"/>
          <w:lang w:val="es-MX"/>
        </w:rPr>
        <w:t>) que la causal que se alegue en la decisión se encuentre enmarcada en los eventos que la ley ha dispuesto.</w:t>
      </w:r>
    </w:p>
    <w:p w14:paraId="1B37F095" w14:textId="77777777" w:rsidR="005B4190" w:rsidRPr="005E598C" w:rsidRDefault="005B4190" w:rsidP="005B4190">
      <w:pPr>
        <w:spacing w:before="120" w:after="200" w:line="276" w:lineRule="auto"/>
        <w:jc w:val="both"/>
        <w:rPr>
          <w:rFonts w:ascii="Verdana" w:hAnsi="Verdana" w:cs="Arial"/>
          <w:color w:val="000000" w:themeColor="text1"/>
          <w:sz w:val="20"/>
          <w:szCs w:val="20"/>
          <w:lang w:val="es-MX"/>
        </w:rPr>
      </w:pPr>
      <w:r w:rsidRPr="005E598C">
        <w:rPr>
          <w:rFonts w:ascii="Verdana" w:hAnsi="Verdana" w:cs="Arial"/>
          <w:color w:val="000000" w:themeColor="text1"/>
          <w:sz w:val="20"/>
          <w:szCs w:val="20"/>
          <w:lang w:val="es-MX"/>
        </w:rPr>
        <w:t>El artículo 17 de la Ley 80 de 1993 establece expresamente en que eventos procede la terminación unilateral del contrato. Al efecto, la norma establece las siguientes causales:</w:t>
      </w:r>
    </w:p>
    <w:p w14:paraId="4C153B6D" w14:textId="77777777" w:rsidR="005B4190" w:rsidRPr="005E598C" w:rsidRDefault="005B4190" w:rsidP="005B4190">
      <w:pPr>
        <w:pStyle w:val="Prrafodelista"/>
        <w:rPr>
          <w:rFonts w:ascii="Verdana" w:hAnsi="Verdana" w:cs="Arial"/>
          <w:color w:val="000000" w:themeColor="text1"/>
          <w:sz w:val="20"/>
          <w:szCs w:val="20"/>
          <w:lang w:val="es-MX"/>
        </w:rPr>
      </w:pPr>
    </w:p>
    <w:p w14:paraId="6595A062" w14:textId="77777777" w:rsidR="005B4190" w:rsidRPr="000A3547" w:rsidRDefault="005B4190" w:rsidP="000A3547">
      <w:pPr>
        <w:spacing w:after="200" w:line="240" w:lineRule="auto"/>
        <w:ind w:right="357"/>
        <w:jc w:val="both"/>
        <w:rPr>
          <w:rFonts w:ascii="Verdana" w:hAnsi="Verdana" w:cs="Arial"/>
          <w:color w:val="000000"/>
          <w:sz w:val="20"/>
          <w:szCs w:val="20"/>
          <w:lang w:val="es-MX" w:eastAsia="es-CO"/>
        </w:rPr>
      </w:pPr>
      <w:r w:rsidRPr="000A3547">
        <w:rPr>
          <w:rFonts w:ascii="Verdana" w:hAnsi="Verdana" w:cs="Arial"/>
          <w:color w:val="000000"/>
          <w:sz w:val="20"/>
          <w:szCs w:val="20"/>
          <w:lang w:val="es-MX" w:eastAsia="es-CO"/>
        </w:rPr>
        <w:t>Artículo 17. De la terminación unilateral</w:t>
      </w:r>
      <w:r w:rsidRPr="000A3547">
        <w:rPr>
          <w:rFonts w:ascii="Verdana" w:hAnsi="Verdana" w:cs="Arial"/>
          <w:b/>
          <w:bCs/>
          <w:color w:val="000000"/>
          <w:sz w:val="20"/>
          <w:szCs w:val="20"/>
          <w:lang w:val="es-MX" w:eastAsia="es-CO"/>
        </w:rPr>
        <w:t>.</w:t>
      </w:r>
      <w:r w:rsidRPr="000A3547">
        <w:rPr>
          <w:rFonts w:ascii="Verdana" w:hAnsi="Verdana" w:cs="Arial"/>
          <w:color w:val="000000"/>
          <w:sz w:val="20"/>
          <w:szCs w:val="20"/>
          <w:lang w:val="es-MX" w:eastAsia="es-CO"/>
        </w:rPr>
        <w:t> La entidad en acto administrativo debidamente motivado dispondrá la terminación anticipada del contrato en los siguientes eventos: </w:t>
      </w:r>
    </w:p>
    <w:p w14:paraId="3836BCFF" w14:textId="77777777" w:rsidR="005B4190" w:rsidRPr="000A3547" w:rsidRDefault="005B4190" w:rsidP="000A3547">
      <w:pPr>
        <w:spacing w:after="200" w:line="240" w:lineRule="auto"/>
        <w:ind w:right="357"/>
        <w:jc w:val="both"/>
        <w:rPr>
          <w:rFonts w:ascii="Verdana" w:hAnsi="Verdana" w:cs="Arial"/>
          <w:color w:val="000000"/>
          <w:sz w:val="20"/>
          <w:szCs w:val="20"/>
          <w:lang w:val="es-MX" w:eastAsia="es-CO"/>
        </w:rPr>
      </w:pPr>
      <w:r w:rsidRPr="000A3547">
        <w:rPr>
          <w:rFonts w:ascii="Verdana" w:hAnsi="Verdana" w:cs="Arial"/>
          <w:color w:val="000000"/>
          <w:sz w:val="20"/>
          <w:szCs w:val="20"/>
          <w:lang w:val="es-MX" w:eastAsia="es-CO"/>
        </w:rPr>
        <w:t>1o. Cuando las exigencias del servicio público lo requieran o la situación de orden público lo imponga. </w:t>
      </w:r>
    </w:p>
    <w:p w14:paraId="26FD63F8" w14:textId="77777777" w:rsidR="005B4190" w:rsidRPr="000A3547" w:rsidRDefault="005B4190" w:rsidP="000A3547">
      <w:pPr>
        <w:spacing w:after="200" w:line="240" w:lineRule="auto"/>
        <w:ind w:right="357"/>
        <w:jc w:val="both"/>
        <w:rPr>
          <w:rFonts w:ascii="Verdana" w:hAnsi="Verdana" w:cs="Arial"/>
          <w:i/>
          <w:iCs/>
          <w:color w:val="000000"/>
          <w:sz w:val="20"/>
          <w:szCs w:val="20"/>
          <w:u w:val="single"/>
          <w:lang w:val="es-MX" w:eastAsia="es-CO"/>
        </w:rPr>
      </w:pPr>
      <w:r w:rsidRPr="000A3547">
        <w:rPr>
          <w:rFonts w:ascii="Verdana" w:hAnsi="Verdana" w:cs="Arial"/>
          <w:i/>
          <w:iCs/>
          <w:color w:val="000000"/>
          <w:sz w:val="20"/>
          <w:szCs w:val="20"/>
          <w:u w:val="single"/>
          <w:lang w:val="es-MX" w:eastAsia="es-CO"/>
        </w:rPr>
        <w:t>2o. Por muerte o incapacidad física permanente del contratista, si es persona natural, o por disolución de la persona jurídica del contratista. </w:t>
      </w:r>
    </w:p>
    <w:p w14:paraId="61F0F90F" w14:textId="77777777" w:rsidR="005B4190" w:rsidRPr="000A3547" w:rsidRDefault="005B4190" w:rsidP="000A3547">
      <w:pPr>
        <w:spacing w:after="200" w:line="240" w:lineRule="auto"/>
        <w:ind w:right="357"/>
        <w:jc w:val="both"/>
        <w:rPr>
          <w:rFonts w:ascii="Verdana" w:hAnsi="Verdana" w:cs="Arial"/>
          <w:color w:val="000000"/>
          <w:sz w:val="20"/>
          <w:szCs w:val="20"/>
          <w:lang w:val="es-MX" w:eastAsia="es-CO"/>
        </w:rPr>
      </w:pPr>
      <w:r w:rsidRPr="000A3547">
        <w:rPr>
          <w:rFonts w:ascii="Verdana" w:hAnsi="Verdana" w:cs="Arial"/>
          <w:color w:val="000000"/>
          <w:sz w:val="20"/>
          <w:szCs w:val="20"/>
          <w:lang w:val="es-MX" w:eastAsia="es-CO"/>
        </w:rPr>
        <w:t>3o. Por interdicción judicial o declaración de quiebra del contratista. </w:t>
      </w:r>
    </w:p>
    <w:p w14:paraId="748F97BA" w14:textId="77777777" w:rsidR="005B4190" w:rsidRPr="000A3547" w:rsidRDefault="005B4190" w:rsidP="000A3547">
      <w:pPr>
        <w:spacing w:after="200" w:line="240" w:lineRule="auto"/>
        <w:ind w:right="357"/>
        <w:jc w:val="both"/>
        <w:rPr>
          <w:rFonts w:ascii="Verdana" w:hAnsi="Verdana" w:cs="Arial"/>
          <w:color w:val="000000"/>
          <w:sz w:val="20"/>
          <w:szCs w:val="20"/>
          <w:lang w:val="es-MX" w:eastAsia="es-CO"/>
        </w:rPr>
      </w:pPr>
      <w:r w:rsidRPr="000A3547">
        <w:rPr>
          <w:rFonts w:ascii="Verdana" w:hAnsi="Verdana" w:cs="Arial"/>
          <w:color w:val="000000"/>
          <w:sz w:val="20"/>
          <w:szCs w:val="20"/>
          <w:lang w:val="es-MX" w:eastAsia="es-CO"/>
        </w:rPr>
        <w:t>4o. Por cesación de pagos, concurso de acreedores o embargos judiciales del contratista que afecten de manera grave el cumplimiento del contrato. </w:t>
      </w:r>
    </w:p>
    <w:p w14:paraId="43BCAE42" w14:textId="77777777" w:rsidR="005B4190" w:rsidRPr="000A3547" w:rsidRDefault="005B4190" w:rsidP="000A3547">
      <w:pPr>
        <w:spacing w:after="200" w:line="240" w:lineRule="auto"/>
        <w:ind w:right="357"/>
        <w:jc w:val="both"/>
        <w:rPr>
          <w:rFonts w:ascii="Verdana" w:hAnsi="Verdana" w:cs="Arial"/>
          <w:color w:val="000000"/>
          <w:sz w:val="20"/>
          <w:szCs w:val="20"/>
          <w:lang w:val="es-MX" w:eastAsia="es-CO"/>
        </w:rPr>
      </w:pPr>
      <w:r w:rsidRPr="000A3547">
        <w:rPr>
          <w:rFonts w:ascii="Verdana" w:hAnsi="Verdana" w:cs="Arial"/>
          <w:color w:val="000000"/>
          <w:sz w:val="20"/>
          <w:szCs w:val="20"/>
          <w:lang w:val="es-MX" w:eastAsia="es-CO"/>
        </w:rPr>
        <w:lastRenderedPageBreak/>
        <w:t>Sin embargo, en los casos a que se refieren los numerales 2o. y 3o. de este artículo podrá continuarse la ejecución con el garante de la obligación. </w:t>
      </w:r>
    </w:p>
    <w:p w14:paraId="38760533" w14:textId="77777777" w:rsidR="005B4190" w:rsidRPr="000A3547" w:rsidRDefault="005B4190" w:rsidP="000A3547">
      <w:pPr>
        <w:spacing w:after="200" w:line="240" w:lineRule="auto"/>
        <w:ind w:right="357"/>
        <w:jc w:val="both"/>
        <w:rPr>
          <w:rFonts w:ascii="Verdana" w:hAnsi="Verdana" w:cs="Arial"/>
          <w:color w:val="000000"/>
          <w:sz w:val="20"/>
          <w:szCs w:val="20"/>
          <w:lang w:val="es-MX" w:eastAsia="es-CO"/>
        </w:rPr>
      </w:pPr>
      <w:r w:rsidRPr="000A3547">
        <w:rPr>
          <w:rFonts w:ascii="Verdana" w:hAnsi="Verdana" w:cs="Arial"/>
          <w:color w:val="000000"/>
          <w:sz w:val="20"/>
          <w:szCs w:val="20"/>
          <w:lang w:val="es-MX" w:eastAsia="es-CO"/>
        </w:rPr>
        <w:t>La iniciación de trámite concordatario no dará lugar a la declaratoria de terminación unilateral. En tal evento la ejecución se hará con sujeción a las normas sobre administración de negocios del deudor en concordato. La entidad dispondrá las medidas de inspección, control y vigilancia necesarias para asegurar el cumplimiento del objeto contractual e impedir la paralización del servicio. [Énfasis fuera de texto]</w:t>
      </w:r>
    </w:p>
    <w:p w14:paraId="22B24C99" w14:textId="77777777" w:rsidR="005B4190" w:rsidRPr="005E598C" w:rsidRDefault="005B4190" w:rsidP="005B4190">
      <w:pPr>
        <w:spacing w:before="120" w:after="120" w:line="276" w:lineRule="auto"/>
        <w:jc w:val="both"/>
        <w:rPr>
          <w:rFonts w:ascii="Verdana" w:hAnsi="Verdana" w:cs="Arial"/>
          <w:color w:val="000000" w:themeColor="text1"/>
          <w:sz w:val="20"/>
          <w:szCs w:val="20"/>
          <w:lang w:val="es-MX"/>
        </w:rPr>
      </w:pPr>
    </w:p>
    <w:p w14:paraId="35970AC9" w14:textId="77777777" w:rsidR="005B4190" w:rsidRDefault="005B4190" w:rsidP="00C15139">
      <w:pPr>
        <w:spacing w:after="0"/>
        <w:rPr>
          <w:rFonts w:ascii="Verdana" w:hAnsi="Verdana"/>
          <w:lang w:val="es-MX"/>
        </w:rPr>
      </w:pPr>
    </w:p>
    <w:p w14:paraId="64EF0E79" w14:textId="77777777" w:rsidR="005B4190" w:rsidRDefault="005B4190" w:rsidP="00C15139">
      <w:pPr>
        <w:spacing w:after="0"/>
        <w:rPr>
          <w:rFonts w:ascii="Verdana" w:hAnsi="Verdana"/>
          <w:lang w:val="es-MX"/>
        </w:rPr>
      </w:pPr>
    </w:p>
    <w:p w14:paraId="4193644B" w14:textId="77777777" w:rsidR="005B4190" w:rsidRDefault="005B4190" w:rsidP="00C15139">
      <w:pPr>
        <w:spacing w:after="0"/>
        <w:rPr>
          <w:rFonts w:ascii="Verdana" w:hAnsi="Verdana"/>
          <w:lang w:val="es-MX"/>
        </w:rPr>
      </w:pPr>
    </w:p>
    <w:p w14:paraId="6FFBBA55" w14:textId="77777777" w:rsidR="005B4190" w:rsidRDefault="005B4190" w:rsidP="00C15139">
      <w:pPr>
        <w:spacing w:after="0"/>
        <w:rPr>
          <w:rFonts w:ascii="Verdana" w:hAnsi="Verdana"/>
          <w:lang w:val="es-MX"/>
        </w:rPr>
      </w:pPr>
    </w:p>
    <w:p w14:paraId="50BF26C1" w14:textId="77777777" w:rsidR="005B4190" w:rsidRDefault="005B4190" w:rsidP="00C15139">
      <w:pPr>
        <w:spacing w:after="0"/>
        <w:rPr>
          <w:rFonts w:ascii="Verdana" w:hAnsi="Verdana"/>
          <w:lang w:val="es-MX"/>
        </w:rPr>
      </w:pPr>
    </w:p>
    <w:p w14:paraId="0CAD5E95" w14:textId="77777777" w:rsidR="005B4190" w:rsidRDefault="005B4190" w:rsidP="00C15139">
      <w:pPr>
        <w:spacing w:after="0"/>
        <w:rPr>
          <w:rFonts w:ascii="Verdana" w:hAnsi="Verdana"/>
          <w:lang w:val="es-MX"/>
        </w:rPr>
      </w:pPr>
    </w:p>
    <w:p w14:paraId="3ED6C032" w14:textId="77777777" w:rsidR="005B4190" w:rsidRDefault="005B4190" w:rsidP="00C15139">
      <w:pPr>
        <w:spacing w:after="0"/>
        <w:rPr>
          <w:rFonts w:ascii="Verdana" w:hAnsi="Verdana"/>
          <w:lang w:val="es-MX"/>
        </w:rPr>
      </w:pPr>
    </w:p>
    <w:p w14:paraId="18F4AF01" w14:textId="77777777" w:rsidR="005B4190" w:rsidRDefault="005B4190" w:rsidP="00C15139">
      <w:pPr>
        <w:spacing w:after="0"/>
        <w:rPr>
          <w:rFonts w:ascii="Verdana" w:hAnsi="Verdana"/>
          <w:lang w:val="es-MX"/>
        </w:rPr>
      </w:pPr>
    </w:p>
    <w:p w14:paraId="261BFD3E" w14:textId="77777777" w:rsidR="005B4190" w:rsidRDefault="005B4190" w:rsidP="00C15139">
      <w:pPr>
        <w:spacing w:after="0"/>
        <w:rPr>
          <w:rFonts w:ascii="Verdana" w:hAnsi="Verdana"/>
          <w:lang w:val="es-MX"/>
        </w:rPr>
      </w:pPr>
    </w:p>
    <w:p w14:paraId="13AB012F" w14:textId="77777777" w:rsidR="005B4190" w:rsidRDefault="005B4190" w:rsidP="00C15139">
      <w:pPr>
        <w:spacing w:after="0"/>
        <w:rPr>
          <w:rFonts w:ascii="Verdana" w:hAnsi="Verdana"/>
          <w:lang w:val="es-MX"/>
        </w:rPr>
      </w:pPr>
    </w:p>
    <w:p w14:paraId="52CFDBDF" w14:textId="77777777" w:rsidR="005B4190" w:rsidRDefault="005B4190" w:rsidP="00C15139">
      <w:pPr>
        <w:spacing w:after="0"/>
        <w:rPr>
          <w:rFonts w:ascii="Verdana" w:hAnsi="Verdana"/>
          <w:lang w:val="es-MX"/>
        </w:rPr>
      </w:pPr>
    </w:p>
    <w:p w14:paraId="3A4C08F8" w14:textId="77777777" w:rsidR="005B4190" w:rsidRDefault="005B4190" w:rsidP="00C15139">
      <w:pPr>
        <w:spacing w:after="0"/>
        <w:rPr>
          <w:rFonts w:ascii="Verdana" w:hAnsi="Verdana"/>
          <w:lang w:val="es-MX"/>
        </w:rPr>
      </w:pPr>
    </w:p>
    <w:p w14:paraId="465CD909" w14:textId="77777777" w:rsidR="005B4190" w:rsidRDefault="005B4190" w:rsidP="00C15139">
      <w:pPr>
        <w:spacing w:after="0"/>
        <w:rPr>
          <w:rFonts w:ascii="Verdana" w:hAnsi="Verdana"/>
          <w:lang w:val="es-MX"/>
        </w:rPr>
      </w:pPr>
    </w:p>
    <w:p w14:paraId="3A408A5E" w14:textId="77777777" w:rsidR="005B4190" w:rsidRDefault="005B4190" w:rsidP="00C15139">
      <w:pPr>
        <w:spacing w:after="0"/>
        <w:rPr>
          <w:rFonts w:ascii="Verdana" w:hAnsi="Verdana"/>
          <w:lang w:val="es-MX"/>
        </w:rPr>
      </w:pPr>
    </w:p>
    <w:p w14:paraId="483E1409" w14:textId="77777777" w:rsidR="005B4190" w:rsidRDefault="005B4190" w:rsidP="00C15139">
      <w:pPr>
        <w:spacing w:after="0"/>
        <w:rPr>
          <w:rFonts w:ascii="Verdana" w:hAnsi="Verdana"/>
          <w:lang w:val="es-MX"/>
        </w:rPr>
      </w:pPr>
    </w:p>
    <w:p w14:paraId="04C5F96A" w14:textId="77777777" w:rsidR="005B4190" w:rsidRDefault="005B4190" w:rsidP="00C15139">
      <w:pPr>
        <w:spacing w:after="0"/>
        <w:rPr>
          <w:rFonts w:ascii="Verdana" w:hAnsi="Verdana"/>
          <w:lang w:val="es-MX"/>
        </w:rPr>
      </w:pPr>
    </w:p>
    <w:p w14:paraId="64B597A9" w14:textId="77777777" w:rsidR="005B4190" w:rsidRDefault="005B4190" w:rsidP="00C15139">
      <w:pPr>
        <w:spacing w:after="0"/>
        <w:rPr>
          <w:rFonts w:ascii="Verdana" w:hAnsi="Verdana"/>
          <w:lang w:val="es-MX"/>
        </w:rPr>
      </w:pPr>
    </w:p>
    <w:p w14:paraId="7328C3FF" w14:textId="77777777" w:rsidR="005B4190" w:rsidRDefault="005B4190" w:rsidP="00C15139">
      <w:pPr>
        <w:spacing w:after="0"/>
        <w:rPr>
          <w:rFonts w:ascii="Verdana" w:hAnsi="Verdana"/>
          <w:lang w:val="es-MX"/>
        </w:rPr>
      </w:pPr>
    </w:p>
    <w:p w14:paraId="125CF58D" w14:textId="77777777" w:rsidR="005B4190" w:rsidRDefault="005B4190" w:rsidP="00C15139">
      <w:pPr>
        <w:spacing w:after="0"/>
        <w:rPr>
          <w:rFonts w:ascii="Verdana" w:hAnsi="Verdana"/>
          <w:lang w:val="es-MX"/>
        </w:rPr>
      </w:pPr>
    </w:p>
    <w:p w14:paraId="5464F313" w14:textId="77777777" w:rsidR="005B4190" w:rsidRDefault="005B4190" w:rsidP="00C15139">
      <w:pPr>
        <w:spacing w:after="0"/>
        <w:rPr>
          <w:rFonts w:ascii="Verdana" w:hAnsi="Verdana"/>
          <w:lang w:val="es-MX"/>
        </w:rPr>
      </w:pPr>
    </w:p>
    <w:p w14:paraId="5EEF5D4B" w14:textId="77777777" w:rsidR="005B4190" w:rsidRDefault="005B4190" w:rsidP="00C15139">
      <w:pPr>
        <w:spacing w:after="0"/>
        <w:rPr>
          <w:rFonts w:ascii="Verdana" w:hAnsi="Verdana"/>
          <w:lang w:val="es-MX"/>
        </w:rPr>
      </w:pPr>
    </w:p>
    <w:p w14:paraId="2D34E240" w14:textId="77777777" w:rsidR="005B4190" w:rsidRDefault="005B4190" w:rsidP="00C15139">
      <w:pPr>
        <w:spacing w:after="0"/>
        <w:rPr>
          <w:rFonts w:ascii="Verdana" w:hAnsi="Verdana"/>
          <w:lang w:val="es-MX"/>
        </w:rPr>
      </w:pPr>
    </w:p>
    <w:p w14:paraId="69D93704" w14:textId="77777777" w:rsidR="005B4190" w:rsidRDefault="005B4190" w:rsidP="00C15139">
      <w:pPr>
        <w:spacing w:after="0"/>
        <w:rPr>
          <w:rFonts w:ascii="Verdana" w:hAnsi="Verdana"/>
          <w:lang w:val="es-MX"/>
        </w:rPr>
      </w:pPr>
    </w:p>
    <w:p w14:paraId="7130F989" w14:textId="77777777" w:rsidR="005B4190" w:rsidRDefault="005B4190" w:rsidP="00C15139">
      <w:pPr>
        <w:spacing w:after="0"/>
        <w:rPr>
          <w:rFonts w:ascii="Verdana" w:hAnsi="Verdana"/>
          <w:lang w:val="es-MX"/>
        </w:rPr>
      </w:pPr>
    </w:p>
    <w:p w14:paraId="3C068CFC" w14:textId="77777777" w:rsidR="005B4190" w:rsidRDefault="005B4190" w:rsidP="00C15139">
      <w:pPr>
        <w:spacing w:after="0"/>
        <w:rPr>
          <w:rFonts w:ascii="Verdana" w:hAnsi="Verdana"/>
          <w:lang w:val="es-MX"/>
        </w:rPr>
      </w:pPr>
    </w:p>
    <w:p w14:paraId="68CB6DF7" w14:textId="77777777" w:rsidR="005B4190" w:rsidRDefault="005B4190" w:rsidP="00C15139">
      <w:pPr>
        <w:spacing w:after="0"/>
        <w:rPr>
          <w:rFonts w:ascii="Verdana" w:hAnsi="Verdana"/>
          <w:lang w:val="es-MX"/>
        </w:rPr>
      </w:pPr>
    </w:p>
    <w:p w14:paraId="2F72F75D" w14:textId="77777777" w:rsidR="005B4190" w:rsidRDefault="005B4190" w:rsidP="00C15139">
      <w:pPr>
        <w:spacing w:after="0"/>
        <w:rPr>
          <w:rFonts w:ascii="Verdana" w:hAnsi="Verdana"/>
          <w:lang w:val="es-MX"/>
        </w:rPr>
      </w:pPr>
    </w:p>
    <w:p w14:paraId="14C5EA22" w14:textId="77777777" w:rsidR="000A3547" w:rsidRDefault="000A3547" w:rsidP="006F5516">
      <w:pPr>
        <w:spacing w:after="0"/>
        <w:ind w:right="758"/>
        <w:rPr>
          <w:rFonts w:ascii="Verdana" w:hAnsi="Verdana"/>
        </w:rPr>
      </w:pPr>
    </w:p>
    <w:p w14:paraId="1895A80F" w14:textId="77777777" w:rsidR="000A3547" w:rsidRDefault="000A3547" w:rsidP="006F5516">
      <w:pPr>
        <w:spacing w:after="0"/>
        <w:ind w:right="758"/>
        <w:rPr>
          <w:rFonts w:ascii="Verdana" w:hAnsi="Verdana"/>
        </w:rPr>
      </w:pPr>
    </w:p>
    <w:p w14:paraId="1468C46D" w14:textId="07B3D240" w:rsidR="00C15139" w:rsidRDefault="00C15139" w:rsidP="006F5516">
      <w:pPr>
        <w:spacing w:after="0"/>
        <w:ind w:right="758"/>
        <w:rPr>
          <w:rFonts w:ascii="Verdana" w:hAnsi="Verdana"/>
        </w:rPr>
      </w:pPr>
      <w:r w:rsidRPr="0024624F">
        <w:rPr>
          <w:rFonts w:ascii="Verdana" w:hAnsi="Verdana"/>
        </w:rPr>
        <w:lastRenderedPageBreak/>
        <w:t xml:space="preserve">Bogotá D.C., </w:t>
      </w:r>
      <w:r w:rsidR="004024F9">
        <w:rPr>
          <w:rFonts w:ascii="Verdana" w:hAnsi="Verdana"/>
        </w:rPr>
        <w:t>29 de diciembre de 2025</w:t>
      </w:r>
      <w:r w:rsidRPr="000E2B93">
        <w:rPr>
          <w:rFonts w:ascii="Verdana" w:hAnsi="Verdana"/>
        </w:rPr>
        <w:tab/>
      </w:r>
      <w:r w:rsidRPr="000E2B93">
        <w:rPr>
          <w:rFonts w:ascii="Verdana" w:hAnsi="Verdana"/>
        </w:rPr>
        <w:br/>
      </w:r>
    </w:p>
    <w:p w14:paraId="7269C461" w14:textId="37B5BEE9" w:rsidR="00E60BF9" w:rsidRPr="0071334E" w:rsidRDefault="00E60BF9" w:rsidP="00E60BF9">
      <w:pPr>
        <w:spacing w:after="0" w:line="240" w:lineRule="auto"/>
        <w:rPr>
          <w:rFonts w:ascii="Verdana" w:eastAsia="Geomanist Light" w:hAnsi="Verdana" w:cs="Arial"/>
          <w:color w:val="201F1E"/>
          <w:lang w:val="es-MX"/>
        </w:rPr>
      </w:pPr>
      <w:bookmarkStart w:id="1" w:name="_Hlk181029960"/>
    </w:p>
    <w:p w14:paraId="5E9F9FC4" w14:textId="5269BF05" w:rsidR="00E60BF9" w:rsidRPr="0071334E" w:rsidRDefault="004024F9" w:rsidP="00E60BF9">
      <w:pPr>
        <w:spacing w:after="0" w:line="240" w:lineRule="auto"/>
        <w:jc w:val="both"/>
        <w:rPr>
          <w:rFonts w:ascii="Verdana" w:eastAsia="Calibri" w:hAnsi="Verdana" w:cs="Arial"/>
          <w:color w:val="000000"/>
          <w:lang w:val="es-ES"/>
        </w:rPr>
      </w:pPr>
      <w:r w:rsidRPr="004024F9">
        <w:rPr>
          <w:rFonts w:ascii="Verdana" w:eastAsia="Calibri" w:hAnsi="Verdana" w:cs="Arial"/>
          <w:noProof/>
          <w:color w:val="000000"/>
          <w:lang w:val="es-ES"/>
        </w:rPr>
        <w:drawing>
          <wp:anchor distT="0" distB="0" distL="114300" distR="114300" simplePos="0" relativeHeight="251658240" behindDoc="1" locked="0" layoutInCell="1" allowOverlap="1" wp14:anchorId="3A821D6B" wp14:editId="31297D1E">
            <wp:simplePos x="0" y="0"/>
            <wp:positionH relativeFrom="column">
              <wp:posOffset>2373842</wp:posOffset>
            </wp:positionH>
            <wp:positionV relativeFrom="paragraph">
              <wp:posOffset>84667</wp:posOffset>
            </wp:positionV>
            <wp:extent cx="3277057" cy="1095528"/>
            <wp:effectExtent l="0" t="0" r="0" b="9525"/>
            <wp:wrapNone/>
            <wp:docPr id="32129311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293112"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277057" cy="1095528"/>
                    </a:xfrm>
                    <a:prstGeom prst="rect">
                      <a:avLst/>
                    </a:prstGeom>
                  </pic:spPr>
                </pic:pic>
              </a:graphicData>
            </a:graphic>
          </wp:anchor>
        </w:drawing>
      </w:r>
    </w:p>
    <w:p w14:paraId="2CC11D03" w14:textId="77777777" w:rsidR="00E60BF9" w:rsidRPr="009813F5" w:rsidRDefault="00E60BF9" w:rsidP="009813F5">
      <w:pPr>
        <w:spacing w:after="0" w:line="240" w:lineRule="auto"/>
        <w:jc w:val="both"/>
        <w:rPr>
          <w:rFonts w:ascii="Verdana" w:eastAsia="Calibri" w:hAnsi="Verdana" w:cs="Arial"/>
          <w:lang w:val="es-ES" w:eastAsia="es-ES"/>
        </w:rPr>
      </w:pPr>
      <w:r w:rsidRPr="009813F5">
        <w:rPr>
          <w:rFonts w:ascii="Verdana" w:eastAsia="Calibri" w:hAnsi="Verdana" w:cs="Arial"/>
          <w:lang w:val="es-ES" w:eastAsia="es-ES"/>
        </w:rPr>
        <w:t>Señor</w:t>
      </w:r>
    </w:p>
    <w:p w14:paraId="0782CAC5" w14:textId="77777777" w:rsidR="00E60BF9" w:rsidRPr="009813F5" w:rsidRDefault="00E60BF9" w:rsidP="003407E1">
      <w:pPr>
        <w:spacing w:after="0" w:line="240" w:lineRule="auto"/>
        <w:jc w:val="both"/>
        <w:rPr>
          <w:rFonts w:ascii="Verdana" w:eastAsia="Calibri" w:hAnsi="Verdana" w:cs="Arial"/>
          <w:b/>
          <w:lang w:val="es-ES_tradnl" w:eastAsia="es-ES_tradnl"/>
        </w:rPr>
      </w:pPr>
      <w:r w:rsidRPr="009813F5">
        <w:rPr>
          <w:rFonts w:ascii="Verdana" w:eastAsia="Calibri" w:hAnsi="Verdana" w:cs="Arial"/>
          <w:b/>
          <w:lang w:val="es-ES_tradnl" w:eastAsia="es-ES_tradnl"/>
        </w:rPr>
        <w:t>Nicolás Darío Romero Reyes</w:t>
      </w:r>
    </w:p>
    <w:p w14:paraId="3FA99067" w14:textId="77777777" w:rsidR="00E60BF9" w:rsidRPr="009813F5" w:rsidRDefault="00E60BF9" w:rsidP="003407E1">
      <w:pPr>
        <w:spacing w:after="0" w:line="240" w:lineRule="auto"/>
        <w:jc w:val="both"/>
        <w:rPr>
          <w:rFonts w:ascii="Verdana" w:hAnsi="Verdana"/>
        </w:rPr>
      </w:pPr>
      <w:hyperlink r:id="rId11" w:history="1">
        <w:r w:rsidRPr="009813F5">
          <w:rPr>
            <w:rStyle w:val="Hipervnculo"/>
            <w:rFonts w:ascii="Verdana" w:hAnsi="Verdana"/>
          </w:rPr>
          <w:t>nromero1997180@gmail.com</w:t>
        </w:r>
      </w:hyperlink>
    </w:p>
    <w:p w14:paraId="67159908" w14:textId="77777777" w:rsidR="00E60BF9" w:rsidRPr="009813F5" w:rsidRDefault="00E60BF9" w:rsidP="003407E1">
      <w:pPr>
        <w:spacing w:after="0" w:line="240" w:lineRule="auto"/>
        <w:jc w:val="both"/>
        <w:rPr>
          <w:rFonts w:ascii="Verdana" w:eastAsia="Calibri" w:hAnsi="Verdana" w:cs="Arial"/>
          <w:u w:val="single"/>
          <w:lang w:val="es-ES" w:eastAsia="es-ES"/>
        </w:rPr>
      </w:pPr>
      <w:r w:rsidRPr="009813F5">
        <w:rPr>
          <w:rFonts w:ascii="Verdana" w:hAnsi="Verdana"/>
        </w:rPr>
        <w:t>eva@funcionpublica.gov.co</w:t>
      </w:r>
      <w:r w:rsidRPr="009813F5">
        <w:rPr>
          <w:rFonts w:ascii="Verdana" w:eastAsia="Calibri" w:hAnsi="Verdana" w:cs="Arial"/>
          <w:u w:val="single"/>
          <w:lang w:val="es-ES" w:eastAsia="es-ES"/>
        </w:rPr>
        <w:t xml:space="preserve"> </w:t>
      </w:r>
    </w:p>
    <w:p w14:paraId="429CAB09" w14:textId="77777777" w:rsidR="00E60BF9" w:rsidRPr="009813F5" w:rsidRDefault="00E60BF9" w:rsidP="003407E1">
      <w:pPr>
        <w:spacing w:after="0" w:line="240" w:lineRule="auto"/>
        <w:jc w:val="both"/>
        <w:rPr>
          <w:rFonts w:ascii="Verdana" w:eastAsia="Calibri" w:hAnsi="Verdana" w:cs="Arial"/>
          <w:b/>
          <w:bCs/>
          <w:lang w:val="es-ES" w:eastAsia="es-ES"/>
        </w:rPr>
      </w:pPr>
      <w:r w:rsidRPr="009813F5">
        <w:rPr>
          <w:rFonts w:ascii="Verdana" w:eastAsia="Calibri" w:hAnsi="Verdana" w:cs="Arial"/>
          <w:lang w:val="es-ES" w:eastAsia="es-ES"/>
        </w:rPr>
        <w:t>Bogotá, D.C.</w:t>
      </w:r>
    </w:p>
    <w:p w14:paraId="0F5A5E07" w14:textId="77777777" w:rsidR="00E60BF9" w:rsidRPr="009813F5" w:rsidRDefault="00E60BF9" w:rsidP="003407E1">
      <w:pPr>
        <w:spacing w:after="0" w:line="240" w:lineRule="auto"/>
        <w:jc w:val="both"/>
        <w:rPr>
          <w:rFonts w:ascii="Verdana" w:eastAsia="Calibri" w:hAnsi="Verdana" w:cs="Arial"/>
          <w:b/>
          <w:bCs/>
          <w:color w:val="000000"/>
          <w:lang w:val="es-ES_tradnl" w:eastAsia="es-ES_tradnl"/>
        </w:rPr>
      </w:pPr>
    </w:p>
    <w:p w14:paraId="18D5D949" w14:textId="77777777" w:rsidR="00E60BF9" w:rsidRPr="009813F5" w:rsidRDefault="00E60BF9" w:rsidP="003407E1">
      <w:pPr>
        <w:spacing w:after="0" w:line="240" w:lineRule="auto"/>
        <w:jc w:val="both"/>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60BF9" w:rsidRPr="009813F5" w14:paraId="0F805F3B" w14:textId="77777777" w:rsidTr="003407E1">
        <w:trPr>
          <w:trHeight w:val="290"/>
        </w:trPr>
        <w:tc>
          <w:tcPr>
            <w:tcW w:w="2689" w:type="dxa"/>
          </w:tcPr>
          <w:p w14:paraId="5EFD7579" w14:textId="77777777" w:rsidR="00E60BF9" w:rsidRPr="009813F5" w:rsidRDefault="00E60BF9" w:rsidP="009813F5">
            <w:pPr>
              <w:jc w:val="both"/>
              <w:rPr>
                <w:rFonts w:ascii="Verdana" w:eastAsia="Calibri" w:hAnsi="Verdana" w:cs="Arial"/>
                <w:b/>
                <w:bCs/>
                <w:lang w:val="es-ES_tradnl" w:eastAsia="es-ES_tradnl"/>
              </w:rPr>
            </w:pPr>
          </w:p>
        </w:tc>
        <w:tc>
          <w:tcPr>
            <w:tcW w:w="6100" w:type="dxa"/>
          </w:tcPr>
          <w:p w14:paraId="3B159D6C" w14:textId="77777777" w:rsidR="00E60BF9" w:rsidRDefault="00E60BF9" w:rsidP="009813F5">
            <w:pPr>
              <w:jc w:val="both"/>
              <w:rPr>
                <w:rFonts w:ascii="Verdana" w:eastAsia="Calibri" w:hAnsi="Verdana" w:cs="Arial"/>
                <w:b/>
                <w:bCs/>
                <w:lang w:val="es-ES" w:eastAsia="es-ES"/>
              </w:rPr>
            </w:pPr>
            <w:r w:rsidRPr="009813F5">
              <w:rPr>
                <w:rFonts w:ascii="Verdana" w:eastAsia="Calibri" w:hAnsi="Verdana" w:cs="Arial"/>
                <w:b/>
                <w:bCs/>
                <w:lang w:val="es-ES" w:eastAsia="es-ES"/>
              </w:rPr>
              <w:t>Concepto C-1730 de 202</w:t>
            </w:r>
            <w:r w:rsidRPr="00FB7CA9">
              <w:rPr>
                <w:rFonts w:ascii="Verdana" w:eastAsia="Calibri" w:hAnsi="Verdana" w:cs="Arial"/>
                <w:b/>
                <w:bCs/>
                <w:lang w:val="es-ES" w:eastAsia="es-ES"/>
              </w:rPr>
              <w:t>5</w:t>
            </w:r>
          </w:p>
          <w:p w14:paraId="535747C3" w14:textId="77777777" w:rsidR="00B6035A" w:rsidRDefault="00B6035A" w:rsidP="009813F5">
            <w:pPr>
              <w:jc w:val="both"/>
              <w:rPr>
                <w:rFonts w:ascii="Verdana" w:eastAsia="Calibri" w:hAnsi="Verdana" w:cs="Arial"/>
                <w:b/>
                <w:bCs/>
                <w:lang w:val="es-ES" w:eastAsia="es-ES"/>
              </w:rPr>
            </w:pPr>
          </w:p>
          <w:p w14:paraId="3C908663" w14:textId="1159BF89" w:rsidR="009813F5" w:rsidRPr="009813F5" w:rsidRDefault="009813F5" w:rsidP="009813F5">
            <w:pPr>
              <w:jc w:val="both"/>
              <w:rPr>
                <w:rFonts w:ascii="Verdana" w:eastAsia="Calibri" w:hAnsi="Verdana" w:cs="Arial"/>
                <w:b/>
                <w:bCs/>
                <w:lang w:val="es-ES" w:eastAsia="es-ES"/>
              </w:rPr>
            </w:pPr>
          </w:p>
        </w:tc>
      </w:tr>
      <w:tr w:rsidR="00E60BF9" w:rsidRPr="009813F5" w14:paraId="36E0971F" w14:textId="77777777" w:rsidTr="000D4731">
        <w:trPr>
          <w:trHeight w:val="884"/>
        </w:trPr>
        <w:tc>
          <w:tcPr>
            <w:tcW w:w="2689" w:type="dxa"/>
          </w:tcPr>
          <w:p w14:paraId="4AD2170D" w14:textId="77777777" w:rsidR="00E60BF9" w:rsidRPr="009813F5" w:rsidRDefault="00E60BF9" w:rsidP="009813F5">
            <w:pPr>
              <w:jc w:val="both"/>
              <w:rPr>
                <w:rFonts w:ascii="Verdana" w:eastAsia="Calibri" w:hAnsi="Verdana" w:cs="Arial"/>
                <w:lang w:val="es-ES_tradnl" w:eastAsia="es-ES_tradnl"/>
              </w:rPr>
            </w:pPr>
            <w:r w:rsidRPr="009813F5">
              <w:rPr>
                <w:rFonts w:ascii="Verdana" w:eastAsia="Calibri" w:hAnsi="Verdana" w:cs="Arial"/>
                <w:b/>
                <w:lang w:val="es-ES_tradnl" w:eastAsia="es-ES_tradnl"/>
              </w:rPr>
              <w:t>Temas:</w:t>
            </w:r>
            <w:r w:rsidRPr="009813F5">
              <w:rPr>
                <w:rFonts w:ascii="Verdana" w:eastAsia="Calibri" w:hAnsi="Verdana" w:cs="Arial"/>
                <w:lang w:val="es-ES_tradnl" w:eastAsia="es-ES_tradnl"/>
              </w:rPr>
              <w:t xml:space="preserve">                   </w:t>
            </w:r>
          </w:p>
        </w:tc>
        <w:tc>
          <w:tcPr>
            <w:tcW w:w="6100" w:type="dxa"/>
          </w:tcPr>
          <w:p w14:paraId="78CB2589" w14:textId="77777777" w:rsidR="00E60BF9" w:rsidRPr="009813F5" w:rsidRDefault="00E60BF9" w:rsidP="003407E1">
            <w:pPr>
              <w:jc w:val="both"/>
              <w:rPr>
                <w:rFonts w:ascii="Verdana" w:eastAsia="Calibri" w:hAnsi="Verdana" w:cs="Arial"/>
                <w:lang w:val="es-ES" w:eastAsia="es-ES"/>
              </w:rPr>
            </w:pPr>
            <w:r w:rsidRPr="009813F5">
              <w:rPr>
                <w:rFonts w:ascii="Verdana" w:eastAsia="Calibri" w:hAnsi="Verdana" w:cs="Arial"/>
                <w:lang w:val="es-ES" w:eastAsia="es-ES"/>
              </w:rPr>
              <w:t>TIPOS DE LIQUIDACIÓN – Liquidación unilateral /</w:t>
            </w:r>
          </w:p>
          <w:p w14:paraId="246BF47A" w14:textId="77777777" w:rsidR="00E60BF9" w:rsidRPr="009813F5" w:rsidRDefault="00E60BF9" w:rsidP="003407E1">
            <w:pPr>
              <w:jc w:val="both"/>
              <w:rPr>
                <w:rFonts w:ascii="Verdana" w:eastAsia="Calibri" w:hAnsi="Verdana" w:cs="Arial"/>
                <w:lang w:val="es-ES" w:eastAsia="es-ES"/>
              </w:rPr>
            </w:pPr>
            <w:r w:rsidRPr="009813F5">
              <w:rPr>
                <w:rFonts w:ascii="Verdana" w:eastAsia="Calibri" w:hAnsi="Verdana" w:cs="Arial"/>
                <w:lang w:val="es-ES" w:eastAsia="es-ES"/>
              </w:rPr>
              <w:t>TERMINACIÓN UNILATERAL – Muerte o incapacidad</w:t>
            </w:r>
          </w:p>
          <w:p w14:paraId="5C8EC1F6" w14:textId="77777777" w:rsidR="00E60BF9" w:rsidRPr="009813F5" w:rsidRDefault="00E60BF9" w:rsidP="003407E1">
            <w:pPr>
              <w:jc w:val="both"/>
              <w:rPr>
                <w:rFonts w:ascii="Verdana" w:eastAsia="Calibri" w:hAnsi="Verdana" w:cs="Arial"/>
                <w:lang w:val="es-ES" w:eastAsia="es-ES"/>
              </w:rPr>
            </w:pPr>
            <w:r w:rsidRPr="009813F5">
              <w:rPr>
                <w:rFonts w:ascii="Verdana" w:eastAsia="Calibri" w:hAnsi="Verdana" w:cs="Arial"/>
                <w:lang w:val="es-ES" w:eastAsia="es-ES"/>
              </w:rPr>
              <w:t>física permanente del contratista – Persona natural –</w:t>
            </w:r>
          </w:p>
          <w:p w14:paraId="6BB3EBCE" w14:textId="77777777" w:rsidR="00E60BF9" w:rsidRPr="009813F5" w:rsidRDefault="00E60BF9" w:rsidP="003407E1">
            <w:pPr>
              <w:jc w:val="both"/>
              <w:rPr>
                <w:rFonts w:ascii="Verdana" w:eastAsia="Calibri" w:hAnsi="Verdana" w:cs="Arial"/>
                <w:lang w:val="es-ES" w:eastAsia="es-ES"/>
              </w:rPr>
            </w:pPr>
            <w:r w:rsidRPr="009813F5">
              <w:rPr>
                <w:rFonts w:ascii="Verdana" w:eastAsia="Calibri" w:hAnsi="Verdana" w:cs="Arial"/>
                <w:lang w:val="es-ES" w:eastAsia="es-ES"/>
              </w:rPr>
              <w:t>Persona jurídica</w:t>
            </w:r>
          </w:p>
          <w:p w14:paraId="706A3E2F" w14:textId="77777777" w:rsidR="00E60BF9" w:rsidRPr="00FB7CA9" w:rsidRDefault="00E60BF9" w:rsidP="003407E1">
            <w:pPr>
              <w:jc w:val="both"/>
              <w:rPr>
                <w:rFonts w:ascii="Verdana" w:eastAsia="Calibri" w:hAnsi="Verdana" w:cs="Arial"/>
                <w:lang w:val="es-ES" w:eastAsia="es-ES"/>
              </w:rPr>
            </w:pPr>
          </w:p>
        </w:tc>
      </w:tr>
      <w:tr w:rsidR="00E60BF9" w:rsidRPr="009813F5" w14:paraId="5B1B63B1" w14:textId="77777777" w:rsidTr="000D4731">
        <w:tc>
          <w:tcPr>
            <w:tcW w:w="2689" w:type="dxa"/>
          </w:tcPr>
          <w:p w14:paraId="61125873" w14:textId="77777777" w:rsidR="00E60BF9" w:rsidRPr="009813F5" w:rsidRDefault="00E60BF9" w:rsidP="009813F5">
            <w:pPr>
              <w:jc w:val="both"/>
              <w:rPr>
                <w:rFonts w:ascii="Verdana" w:eastAsia="Calibri" w:hAnsi="Verdana" w:cs="Arial"/>
                <w:b/>
                <w:lang w:val="es-ES_tradnl" w:eastAsia="es-ES_tradnl"/>
              </w:rPr>
            </w:pPr>
            <w:r w:rsidRPr="009813F5">
              <w:rPr>
                <w:rFonts w:ascii="Verdana" w:eastAsia="Calibri" w:hAnsi="Verdana" w:cs="Arial"/>
                <w:b/>
                <w:lang w:val="es-ES_tradnl" w:eastAsia="es-ES_tradnl"/>
              </w:rPr>
              <w:t>Radicación:</w:t>
            </w:r>
            <w:r w:rsidRPr="009813F5">
              <w:rPr>
                <w:rFonts w:ascii="Verdana" w:eastAsia="Calibri" w:hAnsi="Verdana" w:cs="Arial"/>
                <w:lang w:val="es-ES_tradnl" w:eastAsia="es-ES_tradnl"/>
              </w:rPr>
              <w:t xml:space="preserve">               </w:t>
            </w:r>
          </w:p>
        </w:tc>
        <w:tc>
          <w:tcPr>
            <w:tcW w:w="6100" w:type="dxa"/>
          </w:tcPr>
          <w:p w14:paraId="17D82BF7" w14:textId="73A29DBF" w:rsidR="00E60BF9" w:rsidRPr="009813F5" w:rsidRDefault="00E60BF9" w:rsidP="009813F5">
            <w:pPr>
              <w:jc w:val="both"/>
              <w:rPr>
                <w:rFonts w:ascii="Verdana" w:eastAsia="Calibri" w:hAnsi="Verdana" w:cs="Arial"/>
                <w:lang w:val="es-ES_tradnl" w:eastAsia="es-ES_tradnl"/>
              </w:rPr>
            </w:pPr>
            <w:r w:rsidRPr="009813F5">
              <w:rPr>
                <w:rFonts w:ascii="Verdana" w:eastAsia="Calibri" w:hAnsi="Verdana" w:cs="Arial"/>
                <w:lang w:val="es-ES_tradnl" w:eastAsia="es-ES_tradnl"/>
              </w:rPr>
              <w:t>Respuesta a consulta con radicado No. 1_2025_11_24_013216</w:t>
            </w:r>
          </w:p>
        </w:tc>
      </w:tr>
    </w:tbl>
    <w:p w14:paraId="44CC69A6" w14:textId="77777777" w:rsidR="00E60BF9" w:rsidRPr="009813F5" w:rsidRDefault="00E60BF9" w:rsidP="003407E1">
      <w:pPr>
        <w:spacing w:after="0" w:line="276" w:lineRule="auto"/>
        <w:jc w:val="both"/>
        <w:rPr>
          <w:rFonts w:ascii="Verdana" w:eastAsia="Calibri" w:hAnsi="Verdana" w:cs="Arial"/>
          <w:lang w:val="es-ES_tradnl" w:eastAsia="es-ES_tradnl"/>
        </w:rPr>
      </w:pPr>
    </w:p>
    <w:p w14:paraId="70FDD1CE" w14:textId="77777777" w:rsidR="00E60BF9" w:rsidRPr="009813F5" w:rsidRDefault="00E60BF9" w:rsidP="003407E1">
      <w:pPr>
        <w:spacing w:after="0" w:line="276" w:lineRule="auto"/>
        <w:jc w:val="both"/>
        <w:rPr>
          <w:rFonts w:ascii="Verdana" w:eastAsia="Calibri" w:hAnsi="Verdana" w:cs="Arial"/>
          <w:lang w:val="es-ES_tradnl" w:eastAsia="es-ES_tradnl"/>
        </w:rPr>
      </w:pPr>
    </w:p>
    <w:p w14:paraId="5466B722" w14:textId="77777777" w:rsidR="00E60BF9" w:rsidRPr="00DC7EB7" w:rsidRDefault="00E60BF9" w:rsidP="009813F5">
      <w:pPr>
        <w:spacing w:after="0" w:line="276" w:lineRule="auto"/>
        <w:jc w:val="both"/>
        <w:rPr>
          <w:rFonts w:ascii="Verdana" w:eastAsia="Calibri" w:hAnsi="Verdana" w:cs="Arial"/>
          <w:lang w:val="es-ES" w:eastAsia="es-ES"/>
        </w:rPr>
      </w:pPr>
      <w:r w:rsidRPr="00DC7EB7">
        <w:rPr>
          <w:rFonts w:ascii="Verdana" w:eastAsia="Calibri" w:hAnsi="Verdana" w:cs="Arial"/>
          <w:lang w:val="es-ES" w:eastAsia="es-ES"/>
        </w:rPr>
        <w:t>Estimad</w:t>
      </w:r>
      <w:r>
        <w:rPr>
          <w:rFonts w:ascii="Verdana" w:eastAsia="Calibri" w:hAnsi="Verdana" w:cs="Arial"/>
          <w:lang w:val="es-ES" w:eastAsia="es-ES"/>
        </w:rPr>
        <w:t>o</w:t>
      </w:r>
      <w:r w:rsidRPr="00DC7EB7">
        <w:rPr>
          <w:rFonts w:ascii="Verdana" w:eastAsia="Calibri" w:hAnsi="Verdana" w:cs="Arial"/>
          <w:lang w:val="es-ES" w:eastAsia="es-ES"/>
        </w:rPr>
        <w:t xml:space="preserve"> señor</w:t>
      </w:r>
      <w:r>
        <w:rPr>
          <w:rFonts w:ascii="Verdana" w:eastAsia="Calibri" w:hAnsi="Verdana" w:cs="Arial"/>
          <w:lang w:val="es-ES" w:eastAsia="es-ES"/>
        </w:rPr>
        <w:t xml:space="preserve"> Nicolás</w:t>
      </w:r>
      <w:r w:rsidRPr="00DC7EB7">
        <w:rPr>
          <w:rFonts w:ascii="Verdana" w:eastAsia="Calibri" w:hAnsi="Verdana" w:cs="Arial"/>
          <w:lang w:val="es-ES" w:eastAsia="es-ES"/>
        </w:rPr>
        <w:t xml:space="preserve">: </w:t>
      </w:r>
    </w:p>
    <w:p w14:paraId="038C7164" w14:textId="77777777" w:rsidR="00E60BF9" w:rsidRPr="00DC7EB7" w:rsidRDefault="00E60BF9" w:rsidP="00FB7CA9">
      <w:pPr>
        <w:tabs>
          <w:tab w:val="left" w:pos="3768"/>
        </w:tabs>
        <w:spacing w:after="0" w:line="276" w:lineRule="auto"/>
        <w:jc w:val="both"/>
        <w:rPr>
          <w:rFonts w:ascii="Verdana" w:eastAsia="Calibri" w:hAnsi="Verdana" w:cs="Arial"/>
          <w:lang w:val="es-ES" w:eastAsia="es-ES"/>
        </w:rPr>
      </w:pPr>
      <w:r w:rsidRPr="00DC7EB7">
        <w:rPr>
          <w:rFonts w:ascii="Verdana" w:eastAsia="Calibri" w:hAnsi="Verdana" w:cs="Arial"/>
          <w:lang w:val="es-ES" w:eastAsia="es-ES"/>
        </w:rPr>
        <w:tab/>
      </w:r>
    </w:p>
    <w:p w14:paraId="3DE6BB3B" w14:textId="56253835" w:rsidR="00E60BF9" w:rsidRDefault="00E60BF9" w:rsidP="009813F5">
      <w:pPr>
        <w:spacing w:after="0" w:line="276" w:lineRule="auto"/>
        <w:jc w:val="both"/>
        <w:rPr>
          <w:rFonts w:ascii="Verdana" w:eastAsia="Calibri" w:hAnsi="Verdana" w:cs="Arial"/>
          <w:lang w:val="es-ES" w:eastAsia="es-ES"/>
        </w:rPr>
      </w:pPr>
      <w:r w:rsidRPr="00152C0F">
        <w:rPr>
          <w:rFonts w:ascii="Verdana" w:eastAsia="Calibri" w:hAnsi="Verdana" w:cs="Arial"/>
          <w:color w:val="000000" w:themeColor="text1"/>
          <w:lang w:eastAsia="es-ES"/>
        </w:rPr>
        <w:t>En ejercicio de la competencia otorgada por los artículos 3, numeral 5º, y 11, numeral 8º, del Decreto Ley 4170 de 2011, y de conformidad con las modalidades del derecho de petición contempladas en la Ley 1755 de 2015, así como lo establecido en la resolución </w:t>
      </w:r>
      <w:proofErr w:type="spellStart"/>
      <w:r w:rsidRPr="00152C0F">
        <w:rPr>
          <w:rFonts w:ascii="Verdana" w:eastAsia="Calibri" w:hAnsi="Verdana" w:cs="Arial"/>
          <w:color w:val="000000" w:themeColor="text1"/>
          <w:lang w:eastAsia="es-ES"/>
        </w:rPr>
        <w:t>N°</w:t>
      </w:r>
      <w:proofErr w:type="spellEnd"/>
      <w:r w:rsidRPr="00152C0F">
        <w:rPr>
          <w:rFonts w:ascii="Verdana" w:eastAsia="Calibri" w:hAnsi="Verdana" w:cs="Arial"/>
          <w:color w:val="000000" w:themeColor="text1"/>
          <w:lang w:eastAsia="es-ES"/>
        </w:rPr>
        <w:t xml:space="preserve"> 469 del 2025</w:t>
      </w:r>
      <w:r>
        <w:rPr>
          <w:rFonts w:ascii="Verdana" w:eastAsia="Calibri" w:hAnsi="Verdana" w:cs="Arial"/>
          <w:color w:val="000000" w:themeColor="text1"/>
          <w:lang w:eastAsia="es-ES"/>
        </w:rPr>
        <w:t xml:space="preserve"> </w:t>
      </w:r>
      <w:r w:rsidRPr="00DC7EB7">
        <w:rPr>
          <w:rFonts w:ascii="Verdana" w:hAnsi="Verdana" w:cs="Arial"/>
        </w:rPr>
        <w:t xml:space="preserve">expedida por esta Entidad, </w:t>
      </w:r>
      <w:r w:rsidRPr="00DC7EB7">
        <w:rPr>
          <w:rFonts w:ascii="Verdana" w:eastAsia="Calibri" w:hAnsi="Verdana" w:cs="Arial"/>
          <w:lang w:val="es-ES" w:eastAsia="es-ES"/>
        </w:rPr>
        <w:t xml:space="preserve">la Agencia Nacional de Contratación Pública – Colombia Compra Eficiente– </w:t>
      </w:r>
      <w:r w:rsidRPr="006A09D6">
        <w:rPr>
          <w:rFonts w:ascii="Verdana" w:eastAsia="Calibri" w:hAnsi="Verdana" w:cs="Arial"/>
          <w:lang w:eastAsia="es-ES_tradnl"/>
        </w:rPr>
        <w:t xml:space="preserve">responde su consulta </w:t>
      </w:r>
      <w:r>
        <w:rPr>
          <w:rFonts w:ascii="Verdana" w:eastAsia="Calibri" w:hAnsi="Verdana" w:cs="Arial"/>
          <w:lang w:eastAsia="es-ES_tradnl"/>
        </w:rPr>
        <w:t xml:space="preserve">remitida por el Departamento Administrativo de la Función Pública – DAFP </w:t>
      </w:r>
      <w:r w:rsidRPr="006A09D6">
        <w:rPr>
          <w:rFonts w:ascii="Verdana" w:eastAsia="Calibri" w:hAnsi="Verdana" w:cs="Arial"/>
          <w:lang w:eastAsia="es-ES_tradnl"/>
        </w:rPr>
        <w:t xml:space="preserve">el </w:t>
      </w:r>
      <w:r>
        <w:rPr>
          <w:rFonts w:ascii="Verdana" w:eastAsia="Calibri" w:hAnsi="Verdana" w:cs="Arial"/>
          <w:lang w:eastAsia="es-ES_tradnl"/>
        </w:rPr>
        <w:t>20 de noviembre d</w:t>
      </w:r>
      <w:r w:rsidRPr="006A09D6">
        <w:rPr>
          <w:rFonts w:ascii="Verdana" w:eastAsia="Calibri" w:hAnsi="Verdana" w:cs="Arial"/>
          <w:lang w:eastAsia="es-ES_tradnl"/>
        </w:rPr>
        <w:t>e 2025 con número de radicado</w:t>
      </w:r>
      <w:r>
        <w:rPr>
          <w:rFonts w:ascii="Verdana" w:eastAsia="Calibri" w:hAnsi="Verdana" w:cs="Arial"/>
          <w:lang w:eastAsia="es-ES_tradnl"/>
        </w:rPr>
        <w:t xml:space="preserve"> interno </w:t>
      </w:r>
      <w:r w:rsidRPr="00026373">
        <w:rPr>
          <w:rFonts w:ascii="Verdana" w:eastAsia="Calibri" w:hAnsi="Verdana" w:cs="Arial"/>
          <w:lang w:eastAsia="es-ES"/>
        </w:rPr>
        <w:t>20252040562201</w:t>
      </w:r>
      <w:r w:rsidRPr="006A09D6">
        <w:rPr>
          <w:rFonts w:ascii="Verdana" w:eastAsia="Calibri" w:hAnsi="Verdana" w:cs="Arial"/>
          <w:lang w:eastAsia="es-ES_tradnl"/>
        </w:rPr>
        <w:t xml:space="preserve"> y radicada en el sistema de gestión documental de esta Agencia el </w:t>
      </w:r>
      <w:r>
        <w:rPr>
          <w:rFonts w:ascii="Verdana" w:eastAsia="Calibri" w:hAnsi="Verdana" w:cs="Arial"/>
          <w:lang w:eastAsia="es-ES_tradnl"/>
        </w:rPr>
        <w:t>24 de noviembre  de 2025</w:t>
      </w:r>
      <w:r w:rsidRPr="00843FED">
        <w:rPr>
          <w:rFonts w:ascii="Verdana" w:eastAsia="Calibri" w:hAnsi="Verdana" w:cs="Arial"/>
          <w:lang w:val="es-ES" w:eastAsia="es-ES"/>
        </w:rPr>
        <w:t xml:space="preserve">, en la cual manifiesta lo siguiente: </w:t>
      </w:r>
    </w:p>
    <w:p w14:paraId="6CEA2CAE" w14:textId="77777777" w:rsidR="009813F5" w:rsidRDefault="009813F5" w:rsidP="003407E1">
      <w:pPr>
        <w:spacing w:after="0" w:line="276" w:lineRule="auto"/>
        <w:jc w:val="both"/>
        <w:rPr>
          <w:rFonts w:ascii="Verdana" w:eastAsia="Calibri" w:hAnsi="Verdana" w:cs="Arial"/>
          <w:lang w:val="es-ES" w:eastAsia="es-ES"/>
        </w:rPr>
      </w:pPr>
    </w:p>
    <w:p w14:paraId="57A99F39" w14:textId="77777777" w:rsidR="00E60BF9" w:rsidRPr="00DC7EB7" w:rsidRDefault="00E60BF9" w:rsidP="00B6035A">
      <w:pPr>
        <w:spacing w:after="0" w:line="240" w:lineRule="auto"/>
        <w:ind w:left="709" w:right="616"/>
        <w:jc w:val="both"/>
        <w:rPr>
          <w:rFonts w:ascii="Verdana" w:eastAsia="Century Gothic" w:hAnsi="Verdana" w:cs="Century Gothic"/>
          <w:sz w:val="20"/>
          <w:szCs w:val="20"/>
          <w:lang w:val="es-ES"/>
        </w:rPr>
      </w:pPr>
      <w:bookmarkStart w:id="2" w:name="_Hlk95313578"/>
      <w:r w:rsidRPr="00DC7EB7">
        <w:rPr>
          <w:rFonts w:ascii="Verdana" w:eastAsia="Century Gothic" w:hAnsi="Verdana" w:cs="Century Gothic"/>
          <w:sz w:val="20"/>
          <w:szCs w:val="20"/>
          <w:lang w:val="es-ES"/>
        </w:rPr>
        <w:t>“</w:t>
      </w:r>
      <w:r w:rsidRPr="00026373">
        <w:rPr>
          <w:rFonts w:ascii="Verdana" w:hAnsi="Verdana" w:cs="Arial"/>
          <w:sz w:val="20"/>
          <w:szCs w:val="20"/>
          <w:shd w:val="clear" w:color="auto" w:fill="FFFFFF"/>
        </w:rPr>
        <w:t xml:space="preserve">La Agencia Nacional de Tierras celebro contrato de prestación de servicios profesionales y/o de apoyo a la gestión con un contratista. Dicho contrato se </w:t>
      </w:r>
      <w:proofErr w:type="spellStart"/>
      <w:r w:rsidRPr="00026373">
        <w:rPr>
          <w:rFonts w:ascii="Verdana" w:hAnsi="Verdana" w:cs="Arial"/>
          <w:sz w:val="20"/>
          <w:szCs w:val="20"/>
          <w:shd w:val="clear" w:color="auto" w:fill="FFFFFF"/>
        </w:rPr>
        <w:t>celebro</w:t>
      </w:r>
      <w:proofErr w:type="spellEnd"/>
      <w:r w:rsidRPr="00026373">
        <w:rPr>
          <w:rFonts w:ascii="Verdana" w:hAnsi="Verdana" w:cs="Arial"/>
          <w:sz w:val="20"/>
          <w:szCs w:val="20"/>
          <w:shd w:val="clear" w:color="auto" w:fill="FFFFFF"/>
        </w:rPr>
        <w:t xml:space="preserve"> en el mes de octubre de 2025, y la persona fallece en diciembre de 2025. No Obstante, el contratista nunca presentó informes de ejecución, ni aporto planillas de seguridad social, correspondiente a los meses de </w:t>
      </w:r>
      <w:r w:rsidRPr="00026373">
        <w:rPr>
          <w:rFonts w:ascii="Verdana" w:hAnsi="Verdana" w:cs="Arial"/>
          <w:sz w:val="20"/>
          <w:szCs w:val="20"/>
          <w:shd w:val="clear" w:color="auto" w:fill="FFFFFF"/>
        </w:rPr>
        <w:lastRenderedPageBreak/>
        <w:t xml:space="preserve">octubre y noviembre, meses que estuvo en vida. En ese caso, como debe tramitarse la liquidación del contrato, teniendo en cuenta que no se tienen los informes de ejecución y no realizó los aportes a seguridad social el contratista, lo anterior, teniendo en cuenta que </w:t>
      </w:r>
      <w:proofErr w:type="gramStart"/>
      <w:r w:rsidRPr="00026373">
        <w:rPr>
          <w:rFonts w:ascii="Verdana" w:hAnsi="Verdana" w:cs="Arial"/>
          <w:sz w:val="20"/>
          <w:szCs w:val="20"/>
          <w:shd w:val="clear" w:color="auto" w:fill="FFFFFF"/>
        </w:rPr>
        <w:t>los familiares busca</w:t>
      </w:r>
      <w:proofErr w:type="gramEnd"/>
      <w:r w:rsidRPr="00026373">
        <w:rPr>
          <w:rFonts w:ascii="Verdana" w:hAnsi="Verdana" w:cs="Arial"/>
          <w:sz w:val="20"/>
          <w:szCs w:val="20"/>
          <w:shd w:val="clear" w:color="auto" w:fill="FFFFFF"/>
        </w:rPr>
        <w:t xml:space="preserve"> que se paguen los meses de octubre, noviembre y los </w:t>
      </w:r>
      <w:proofErr w:type="spellStart"/>
      <w:r w:rsidRPr="00026373">
        <w:rPr>
          <w:rFonts w:ascii="Verdana" w:hAnsi="Verdana" w:cs="Arial"/>
          <w:sz w:val="20"/>
          <w:szCs w:val="20"/>
          <w:shd w:val="clear" w:color="auto" w:fill="FFFFFF"/>
        </w:rPr>
        <w:t>dias</w:t>
      </w:r>
      <w:proofErr w:type="spellEnd"/>
      <w:r w:rsidRPr="00026373">
        <w:rPr>
          <w:rFonts w:ascii="Verdana" w:hAnsi="Verdana" w:cs="Arial"/>
          <w:sz w:val="20"/>
          <w:szCs w:val="20"/>
          <w:shd w:val="clear" w:color="auto" w:fill="FFFFFF"/>
        </w:rPr>
        <w:t xml:space="preserve"> ejecutados en diciembre hasta su deceso</w:t>
      </w:r>
      <w:r w:rsidRPr="00DC7EB7">
        <w:rPr>
          <w:rFonts w:ascii="Verdana" w:eastAsia="Century Gothic" w:hAnsi="Verdana" w:cs="Century Gothic"/>
          <w:sz w:val="20"/>
          <w:szCs w:val="20"/>
          <w:lang w:val="es-ES"/>
        </w:rPr>
        <w:t>”</w:t>
      </w:r>
      <w:bookmarkEnd w:id="2"/>
      <w:r w:rsidRPr="00DC7EB7">
        <w:rPr>
          <w:rFonts w:ascii="Verdana" w:eastAsia="Century Gothic" w:hAnsi="Verdana" w:cs="Century Gothic"/>
          <w:sz w:val="20"/>
          <w:szCs w:val="20"/>
          <w:lang w:val="es-ES"/>
        </w:rPr>
        <w:t>.</w:t>
      </w:r>
      <w:r>
        <w:rPr>
          <w:rFonts w:ascii="Verdana" w:eastAsia="Century Gothic" w:hAnsi="Verdana" w:cs="Century Gothic"/>
          <w:sz w:val="20"/>
          <w:szCs w:val="20"/>
          <w:lang w:val="es-ES"/>
        </w:rPr>
        <w:t xml:space="preserve"> (sic)</w:t>
      </w:r>
    </w:p>
    <w:p w14:paraId="214E30EA" w14:textId="77777777" w:rsidR="00E60BF9" w:rsidRPr="00DC7EB7" w:rsidRDefault="00E60BF9" w:rsidP="003407E1">
      <w:pPr>
        <w:pStyle w:val="Prrafodelista"/>
        <w:tabs>
          <w:tab w:val="left" w:pos="142"/>
          <w:tab w:val="left" w:pos="284"/>
        </w:tabs>
        <w:spacing w:after="0" w:line="276" w:lineRule="auto"/>
        <w:ind w:left="0"/>
        <w:jc w:val="both"/>
        <w:rPr>
          <w:rFonts w:ascii="Verdana" w:eastAsia="Century Gothic" w:hAnsi="Verdana" w:cs="Century Gothic"/>
          <w:b/>
          <w:bCs/>
        </w:rPr>
      </w:pPr>
    </w:p>
    <w:p w14:paraId="4FB7475D" w14:textId="77777777" w:rsidR="00E60BF9" w:rsidRPr="0071334E" w:rsidRDefault="00E60BF9" w:rsidP="00E60BF9">
      <w:pPr>
        <w:spacing w:after="120" w:line="276" w:lineRule="auto"/>
        <w:ind w:firstLine="709"/>
        <w:jc w:val="both"/>
        <w:rPr>
          <w:rFonts w:ascii="Verdana" w:eastAsia="Calibri" w:hAnsi="Verdana" w:cs="Arial"/>
          <w:color w:val="000000"/>
          <w:szCs w:val="24"/>
          <w:lang w:val="es-ES_tradnl" w:eastAsia="es-ES_tradnl"/>
        </w:rPr>
      </w:pPr>
      <w:r w:rsidRPr="00DC7EB7">
        <w:rPr>
          <w:rFonts w:ascii="Verdana" w:eastAsia="Calibri" w:hAnsi="Verdana" w:cs="Arial"/>
          <w:lang w:val="es-ES" w:eastAsia="es-ES"/>
        </w:rPr>
        <w:t xml:space="preserve">De manera preliminar, resulta necesario acotar que esta entidad solo tiene competencia para responder consultas </w:t>
      </w:r>
      <w:r w:rsidRPr="0071334E">
        <w:rPr>
          <w:rFonts w:ascii="Verdana" w:eastAsia="Calibri" w:hAnsi="Verdana" w:cs="Arial"/>
          <w:color w:val="000000"/>
          <w:lang w:val="es-ES" w:eastAsia="es-ES"/>
        </w:rPr>
        <w:t xml:space="preserve">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1334E">
        <w:rPr>
          <w:rFonts w:ascii="Verdana" w:eastAsia="Calibri" w:hAnsi="Verdana" w:cs="Arial"/>
          <w:color w:val="000000"/>
          <w:szCs w:val="24"/>
          <w:lang w:val="es-ES_tradnl" w:eastAsia="es-ES_tradnl"/>
        </w:rPr>
        <w:tab/>
      </w:r>
    </w:p>
    <w:p w14:paraId="4539AA21" w14:textId="77777777" w:rsidR="00E60BF9" w:rsidRPr="0071334E" w:rsidRDefault="00E60BF9" w:rsidP="00E60BF9">
      <w:pPr>
        <w:spacing w:after="0" w:line="276" w:lineRule="auto"/>
        <w:ind w:firstLine="709"/>
        <w:jc w:val="both"/>
        <w:rPr>
          <w:rFonts w:ascii="Verdana" w:eastAsia="Calibri" w:hAnsi="Verdana" w:cs="Arial"/>
          <w:color w:val="000000"/>
          <w:lang w:val="es-ES" w:eastAsia="es-ES"/>
        </w:rPr>
      </w:pPr>
      <w:r w:rsidRPr="0071334E">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71334E">
        <w:rPr>
          <w:rFonts w:ascii="Verdana" w:eastAsia="Calibri" w:hAnsi="Verdana" w:cs="Arial"/>
          <w:color w:val="7030A0"/>
          <w:lang w:val="es-ES" w:eastAsia="es-ES"/>
        </w:rPr>
        <w:t xml:space="preserve"> </w:t>
      </w:r>
      <w:r w:rsidRPr="0071334E">
        <w:rPr>
          <w:rFonts w:ascii="Verdana" w:eastAsia="Calibri" w:hAnsi="Verdana" w:cs="Arial"/>
          <w:color w:val="000000"/>
          <w:lang w:val="es-ES" w:eastAsia="es-ES"/>
        </w:rPr>
        <w:t>jurídico</w:t>
      </w:r>
      <w:r w:rsidRPr="0071334E">
        <w:rPr>
          <w:rFonts w:ascii="Verdana" w:eastAsia="Calibri" w:hAnsi="Verdana" w:cs="Arial"/>
          <w:color w:val="7030A0"/>
          <w:lang w:val="es-ES" w:eastAsia="es-ES"/>
        </w:rPr>
        <w:t xml:space="preserve"> </w:t>
      </w:r>
      <w:r w:rsidRPr="0071334E">
        <w:rPr>
          <w:rFonts w:ascii="Verdana" w:eastAsia="Calibri" w:hAnsi="Verdana" w:cs="Arial"/>
          <w:color w:val="000000"/>
          <w:lang w:val="es-ES" w:eastAsia="es-ES"/>
        </w:rPr>
        <w:t xml:space="preserve">de su consulta. </w:t>
      </w:r>
    </w:p>
    <w:p w14:paraId="50408AAE" w14:textId="77777777" w:rsidR="00E60BF9" w:rsidRPr="0071334E" w:rsidRDefault="00E60BF9" w:rsidP="00E60BF9">
      <w:pPr>
        <w:spacing w:after="0" w:line="276" w:lineRule="auto"/>
        <w:ind w:firstLine="709"/>
        <w:jc w:val="both"/>
        <w:rPr>
          <w:rFonts w:ascii="Verdana" w:eastAsia="Calibri" w:hAnsi="Verdana" w:cs="Arial"/>
          <w:color w:val="000000"/>
          <w:lang w:val="es-ES" w:eastAsia="es-ES"/>
        </w:rPr>
      </w:pPr>
    </w:p>
    <w:p w14:paraId="5715151E" w14:textId="77777777" w:rsidR="00E60BF9" w:rsidRPr="0071334E" w:rsidRDefault="00E60BF9" w:rsidP="00E60BF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71334E">
        <w:rPr>
          <w:rFonts w:ascii="Verdana" w:eastAsia="Century Gothic" w:hAnsi="Verdana" w:cs="Century Gothic"/>
          <w:b/>
          <w:bCs/>
        </w:rPr>
        <w:t>Problema planteado:</w:t>
      </w:r>
    </w:p>
    <w:p w14:paraId="5ED80CEB" w14:textId="77777777" w:rsidR="00E60BF9" w:rsidRPr="0071334E" w:rsidRDefault="00E60BF9" w:rsidP="00E60BF9">
      <w:pPr>
        <w:tabs>
          <w:tab w:val="left" w:pos="426"/>
        </w:tabs>
        <w:spacing w:after="0" w:line="276" w:lineRule="auto"/>
        <w:jc w:val="both"/>
        <w:rPr>
          <w:rFonts w:ascii="Verdana" w:eastAsia="Century Gothic" w:hAnsi="Verdana" w:cs="Century Gothic"/>
          <w:lang w:val="es-ES"/>
        </w:rPr>
      </w:pPr>
    </w:p>
    <w:p w14:paraId="2174783A" w14:textId="50A951B5" w:rsidR="00E60BF9" w:rsidRPr="00DC7EB7" w:rsidRDefault="00E60BF9" w:rsidP="00E60BF9">
      <w:pPr>
        <w:spacing w:after="0" w:line="276" w:lineRule="auto"/>
        <w:jc w:val="both"/>
        <w:rPr>
          <w:rFonts w:ascii="Verdana" w:eastAsia="Century Gothic" w:hAnsi="Verdana" w:cs="Century Gothic"/>
        </w:rPr>
      </w:pPr>
      <w:r w:rsidRPr="0071334E">
        <w:rPr>
          <w:rFonts w:ascii="Verdana" w:eastAsia="Century Gothic" w:hAnsi="Verdana" w:cs="Century Gothic"/>
        </w:rPr>
        <w:t xml:space="preserve">De acuerdo con el contenido de su solicitud, esta Agencia resolverá el siguiente </w:t>
      </w:r>
      <w:r w:rsidRPr="00DC7EB7">
        <w:rPr>
          <w:rFonts w:ascii="Verdana" w:eastAsia="Century Gothic" w:hAnsi="Verdana" w:cs="Century Gothic"/>
        </w:rPr>
        <w:t>problema jurídico: ¿</w:t>
      </w:r>
      <w:r>
        <w:rPr>
          <w:rFonts w:ascii="Verdana" w:eastAsia="Century Gothic" w:hAnsi="Verdana" w:cs="Century Gothic"/>
        </w:rPr>
        <w:t xml:space="preserve">Qué procedimiento debe seguir la entidad </w:t>
      </w:r>
      <w:r w:rsidR="009813F5">
        <w:rPr>
          <w:rFonts w:ascii="Verdana" w:eastAsia="Century Gothic" w:hAnsi="Verdana" w:cs="Century Gothic"/>
        </w:rPr>
        <w:t>frente a la</w:t>
      </w:r>
      <w:r w:rsidR="009813F5" w:rsidRPr="00DC7EB7">
        <w:rPr>
          <w:rFonts w:ascii="Verdana" w:eastAsia="Century Gothic" w:hAnsi="Verdana" w:cs="Century Gothic"/>
        </w:rPr>
        <w:t xml:space="preserve"> </w:t>
      </w:r>
      <w:r w:rsidRPr="00DC7EB7">
        <w:rPr>
          <w:rFonts w:ascii="Verdana" w:eastAsia="Century Gothic" w:hAnsi="Verdana" w:cs="Century Gothic"/>
        </w:rPr>
        <w:t>muerte del contratista</w:t>
      </w:r>
      <w:r>
        <w:rPr>
          <w:rFonts w:ascii="Verdana" w:eastAsia="Century Gothic" w:hAnsi="Verdana" w:cs="Century Gothic"/>
        </w:rPr>
        <w:t xml:space="preserve"> </w:t>
      </w:r>
      <w:r w:rsidRPr="00DC7EB7">
        <w:rPr>
          <w:rFonts w:ascii="Verdana" w:eastAsia="Century Gothic" w:hAnsi="Verdana" w:cs="Century Gothic"/>
        </w:rPr>
        <w:t>de prestación de servicios c</w:t>
      </w:r>
      <w:r w:rsidR="009813F5">
        <w:rPr>
          <w:rFonts w:ascii="Verdana" w:eastAsia="Century Gothic" w:hAnsi="Verdana" w:cs="Century Gothic"/>
        </w:rPr>
        <w:t>uando se presentan</w:t>
      </w:r>
      <w:r w:rsidRPr="00DC7EB7">
        <w:rPr>
          <w:rFonts w:ascii="Verdana" w:eastAsia="Century Gothic" w:hAnsi="Verdana" w:cs="Century Gothic"/>
        </w:rPr>
        <w:t xml:space="preserve"> saldos a favor</w:t>
      </w:r>
      <w:r w:rsidR="009813F5">
        <w:rPr>
          <w:rFonts w:ascii="Verdana" w:eastAsia="Century Gothic" w:hAnsi="Verdana" w:cs="Century Gothic"/>
        </w:rPr>
        <w:t xml:space="preserve"> </w:t>
      </w:r>
      <w:proofErr w:type="gramStart"/>
      <w:r w:rsidR="009813F5">
        <w:rPr>
          <w:rFonts w:ascii="Verdana" w:eastAsia="Century Gothic" w:hAnsi="Verdana" w:cs="Century Gothic"/>
        </w:rPr>
        <w:t>del mismo</w:t>
      </w:r>
      <w:proofErr w:type="gramEnd"/>
      <w:r w:rsidRPr="00DC7EB7">
        <w:rPr>
          <w:rFonts w:ascii="Verdana" w:eastAsia="Century Gothic" w:hAnsi="Verdana" w:cs="Century Gothic"/>
        </w:rPr>
        <w:t xml:space="preserve">? </w:t>
      </w:r>
    </w:p>
    <w:p w14:paraId="0C350F48" w14:textId="77777777" w:rsidR="00E60BF9" w:rsidRPr="00DC7EB7" w:rsidRDefault="00E60BF9" w:rsidP="00E60BF9">
      <w:pPr>
        <w:spacing w:after="0" w:line="276" w:lineRule="auto"/>
        <w:jc w:val="both"/>
        <w:rPr>
          <w:rFonts w:ascii="Verdana" w:eastAsia="Calibri" w:hAnsi="Verdana" w:cs="Arial"/>
          <w:lang w:val="es-ES"/>
        </w:rPr>
      </w:pPr>
    </w:p>
    <w:p w14:paraId="6A97F833" w14:textId="77777777" w:rsidR="00E60BF9" w:rsidRPr="00DC7EB7" w:rsidRDefault="00E60BF9" w:rsidP="00E60BF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C7EB7">
        <w:rPr>
          <w:rFonts w:ascii="Verdana" w:eastAsia="Century Gothic" w:hAnsi="Verdana" w:cs="Century Gothic"/>
          <w:b/>
          <w:bCs/>
        </w:rPr>
        <w:t>Respuesta:</w:t>
      </w:r>
    </w:p>
    <w:p w14:paraId="63199B76" w14:textId="77777777" w:rsidR="00E60BF9" w:rsidRPr="00DC7EB7" w:rsidRDefault="00E60BF9" w:rsidP="00E60BF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60BF9" w:rsidRPr="00DC7EB7" w14:paraId="7AE5E939" w14:textId="77777777" w:rsidTr="000D4731">
        <w:tc>
          <w:tcPr>
            <w:tcW w:w="8828" w:type="dxa"/>
          </w:tcPr>
          <w:p w14:paraId="686DDD06" w14:textId="2DCF7636" w:rsidR="00E60BF9" w:rsidRPr="00F530F3" w:rsidRDefault="00E60BF9" w:rsidP="003407E1">
            <w:pPr>
              <w:spacing w:after="120" w:line="278" w:lineRule="auto"/>
              <w:jc w:val="both"/>
              <w:rPr>
                <w:rFonts w:ascii="Verdana" w:hAnsi="Verdana"/>
              </w:rPr>
            </w:pPr>
            <w:r w:rsidRPr="00F530F3">
              <w:rPr>
                <w:rFonts w:ascii="Verdana" w:hAnsi="Verdana"/>
              </w:rPr>
              <w:t xml:space="preserve">Ante el fallecimiento del contratista, la entidad </w:t>
            </w:r>
            <w:r>
              <w:rPr>
                <w:rFonts w:ascii="Verdana" w:hAnsi="Verdana"/>
              </w:rPr>
              <w:t>puede hacer uso de la facultad excepcional de terminación unilateral</w:t>
            </w:r>
            <w:r w:rsidR="00FB7CA9">
              <w:rPr>
                <w:rFonts w:ascii="Verdana" w:hAnsi="Verdana"/>
              </w:rPr>
              <w:t>,</w:t>
            </w:r>
            <w:r>
              <w:rPr>
                <w:rFonts w:ascii="Verdana" w:hAnsi="Verdana"/>
              </w:rPr>
              <w:t xml:space="preserve"> si de acuerdo con el</w:t>
            </w:r>
            <w:r w:rsidRPr="00F530F3">
              <w:rPr>
                <w:rFonts w:ascii="Verdana" w:hAnsi="Verdana"/>
              </w:rPr>
              <w:t xml:space="preserve"> artículo 14 de la Ley 80 de 1993, </w:t>
            </w:r>
            <w:r>
              <w:rPr>
                <w:rFonts w:ascii="Verdana" w:hAnsi="Verdana"/>
              </w:rPr>
              <w:t>fue pactada en el contrato de prestación de servicios</w:t>
            </w:r>
            <w:r w:rsidRPr="00F530F3">
              <w:rPr>
                <w:rFonts w:ascii="Verdana" w:hAnsi="Verdana"/>
              </w:rPr>
              <w:t xml:space="preserve">. </w:t>
            </w:r>
            <w:r w:rsidR="00FB7CA9">
              <w:rPr>
                <w:rFonts w:ascii="Verdana" w:hAnsi="Verdana"/>
              </w:rPr>
              <w:t xml:space="preserve">En el </w:t>
            </w:r>
            <w:r w:rsidR="00FB7CA9">
              <w:rPr>
                <w:rFonts w:ascii="Verdana" w:hAnsi="Verdana"/>
              </w:rPr>
              <w:lastRenderedPageBreak/>
              <w:t>caso de que haya sido</w:t>
            </w:r>
            <w:r>
              <w:rPr>
                <w:rFonts w:ascii="Verdana" w:hAnsi="Verdana"/>
              </w:rPr>
              <w:t xml:space="preserve"> pactada, la entidad puede hacer uso de </w:t>
            </w:r>
            <w:r w:rsidR="00FB7CA9">
              <w:rPr>
                <w:rFonts w:ascii="Verdana" w:hAnsi="Verdana"/>
              </w:rPr>
              <w:t xml:space="preserve">la </w:t>
            </w:r>
            <w:r>
              <w:rPr>
                <w:rFonts w:ascii="Verdana" w:hAnsi="Verdana"/>
              </w:rPr>
              <w:t>facultad</w:t>
            </w:r>
            <w:r w:rsidR="00FB7CA9">
              <w:rPr>
                <w:rFonts w:ascii="Verdana" w:hAnsi="Verdana"/>
              </w:rPr>
              <w:t xml:space="preserve"> de terminación unilateral,</w:t>
            </w:r>
            <w:r>
              <w:rPr>
                <w:rFonts w:ascii="Verdana" w:hAnsi="Verdana"/>
              </w:rPr>
              <w:t xml:space="preserve"> ya que de acuerdo con e</w:t>
            </w:r>
            <w:r w:rsidRPr="00F530F3">
              <w:rPr>
                <w:rFonts w:ascii="Verdana" w:hAnsi="Verdana"/>
              </w:rPr>
              <w:t>l numeral 2 del artículo 17</w:t>
            </w:r>
            <w:r w:rsidR="00FB7CA9">
              <w:rPr>
                <w:rFonts w:ascii="Verdana" w:hAnsi="Verdana"/>
              </w:rPr>
              <w:t xml:space="preserve"> </w:t>
            </w:r>
            <w:r w:rsidR="00FB7CA9" w:rsidRPr="003407E1">
              <w:rPr>
                <w:rFonts w:ascii="Verdana" w:hAnsi="Verdana"/>
                <w:i/>
                <w:iCs/>
              </w:rPr>
              <w:t>ibidem</w:t>
            </w:r>
            <w:r w:rsidRPr="00F530F3">
              <w:rPr>
                <w:rFonts w:ascii="Verdana" w:hAnsi="Verdana"/>
              </w:rPr>
              <w:t xml:space="preserve"> el contrato puede ser terminado </w:t>
            </w:r>
            <w:r>
              <w:rPr>
                <w:rFonts w:ascii="Verdana" w:hAnsi="Verdana"/>
              </w:rPr>
              <w:t>unilateralmente</w:t>
            </w:r>
            <w:r w:rsidRPr="00F530F3">
              <w:rPr>
                <w:rFonts w:ascii="Verdana" w:hAnsi="Verdana"/>
              </w:rPr>
              <w:t xml:space="preserve"> por "muerte o incapacidad física permanente del contratista, si es persona natural, o por disolución de la persona jurídica del contratista".</w:t>
            </w:r>
          </w:p>
          <w:p w14:paraId="59C5233E" w14:textId="1CDA46A8" w:rsidR="00E60BF9" w:rsidRPr="00FB7CA9" w:rsidRDefault="00FB7CA9" w:rsidP="003407E1">
            <w:pPr>
              <w:spacing w:after="120" w:line="276" w:lineRule="auto"/>
              <w:ind w:firstLine="709"/>
              <w:jc w:val="both"/>
              <w:rPr>
                <w:rFonts w:ascii="Verdana" w:eastAsia="Calibri" w:hAnsi="Verdana" w:cs="Arial"/>
                <w:i/>
                <w:iCs/>
                <w:highlight w:val="yellow"/>
              </w:rPr>
            </w:pPr>
            <w:r w:rsidRPr="00FB7CA9">
              <w:rPr>
                <w:rFonts w:ascii="Verdana" w:hAnsi="Verdana"/>
              </w:rPr>
              <w:t>En caso contrario, s</w:t>
            </w:r>
            <w:r w:rsidR="00E60BF9" w:rsidRPr="00FB7CA9">
              <w:rPr>
                <w:rFonts w:ascii="Verdana" w:hAnsi="Verdana"/>
              </w:rPr>
              <w:t xml:space="preserve">i el contrato no incluye estas cláusulas exorbitantes, se aplicará lo previsto en el artículo 13 de la misma </w:t>
            </w:r>
            <w:r w:rsidRPr="00FB7CA9">
              <w:rPr>
                <w:rFonts w:ascii="Verdana" w:hAnsi="Verdana"/>
              </w:rPr>
              <w:t>L</w:t>
            </w:r>
            <w:r w:rsidR="00E60BF9" w:rsidRPr="00FB7CA9">
              <w:rPr>
                <w:rFonts w:ascii="Verdana" w:hAnsi="Verdana"/>
              </w:rPr>
              <w:t xml:space="preserve">ey, que indica que los contratos de las entidades se regirán por las disposiciones civiles y comerciales pertinentes, salvo en lo que esté específicamente regulado por la Ley 80 de 1993. </w:t>
            </w:r>
            <w:r w:rsidRPr="00FB7CA9">
              <w:rPr>
                <w:rFonts w:ascii="Verdana" w:hAnsi="Verdana"/>
              </w:rPr>
              <w:t>En ese sentido,</w:t>
            </w:r>
            <w:r w:rsidR="00E60BF9" w:rsidRPr="00FB7CA9">
              <w:rPr>
                <w:rFonts w:ascii="Verdana" w:hAnsi="Verdana"/>
              </w:rPr>
              <w:t xml:space="preserve"> el Código Civil establece que los herederos suceden al fallecido en todos sus bienes, derechos y obligaciones transmisibles. Por lo tanto, la entidad estatal puede optar por terminar el contrato conforme a las disposiciones civiles y proceder a su liquidación de acuerdo con las normas establecidas en la Ley 1150 de 2007</w:t>
            </w:r>
            <w:r w:rsidR="00E60BF9" w:rsidRPr="003407E1">
              <w:rPr>
                <w:rFonts w:ascii="Verdana" w:hAnsi="Verdana"/>
              </w:rPr>
              <w:t>.</w:t>
            </w:r>
          </w:p>
        </w:tc>
      </w:tr>
    </w:tbl>
    <w:p w14:paraId="61311888" w14:textId="77777777" w:rsidR="00E60BF9" w:rsidRPr="0071334E" w:rsidRDefault="00E60BF9" w:rsidP="00FB7CA9">
      <w:pPr>
        <w:tabs>
          <w:tab w:val="left" w:pos="142"/>
          <w:tab w:val="left" w:pos="284"/>
        </w:tabs>
        <w:spacing w:after="0" w:line="276" w:lineRule="auto"/>
        <w:jc w:val="both"/>
        <w:rPr>
          <w:rFonts w:ascii="Verdana" w:eastAsia="Century Gothic" w:hAnsi="Verdana" w:cs="Century Gothic"/>
          <w:b/>
          <w:bCs/>
          <w:lang w:val="es-ES"/>
        </w:rPr>
      </w:pPr>
    </w:p>
    <w:p w14:paraId="3386F7BE" w14:textId="77777777" w:rsidR="00E60BF9" w:rsidRPr="0071334E" w:rsidRDefault="00E60BF9" w:rsidP="003407E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1334E">
        <w:rPr>
          <w:rFonts w:ascii="Verdana" w:eastAsia="Century Gothic" w:hAnsi="Verdana" w:cs="Century Gothic"/>
          <w:b/>
          <w:bCs/>
        </w:rPr>
        <w:t>Razones de la respuesta:</w:t>
      </w:r>
    </w:p>
    <w:p w14:paraId="5BDB01CC" w14:textId="77777777" w:rsidR="00E60BF9" w:rsidRPr="0071334E" w:rsidRDefault="00E60BF9">
      <w:pPr>
        <w:spacing w:after="0" w:line="276" w:lineRule="auto"/>
        <w:jc w:val="both"/>
        <w:rPr>
          <w:rFonts w:ascii="Verdana" w:eastAsia="Calibri" w:hAnsi="Verdana" w:cs="Arial"/>
          <w:color w:val="7030A0"/>
          <w:lang w:val="es-ES"/>
        </w:rPr>
      </w:pPr>
    </w:p>
    <w:p w14:paraId="7BE0DDC6" w14:textId="77777777" w:rsidR="00E60BF9" w:rsidRPr="0071334E" w:rsidRDefault="00E60BF9">
      <w:pPr>
        <w:spacing w:after="0" w:line="276" w:lineRule="auto"/>
        <w:jc w:val="both"/>
        <w:rPr>
          <w:rFonts w:ascii="Verdana" w:eastAsia="Calibri" w:hAnsi="Verdana" w:cs="Arial"/>
          <w:lang w:val="es-ES"/>
        </w:rPr>
      </w:pPr>
      <w:r w:rsidRPr="0071334E">
        <w:rPr>
          <w:rFonts w:ascii="Verdana" w:eastAsia="Calibri" w:hAnsi="Verdana" w:cs="Arial"/>
          <w:lang w:val="es-ES"/>
        </w:rPr>
        <w:t xml:space="preserve">Lo anterior se sustenta en las siguientes consideraciones: </w:t>
      </w:r>
    </w:p>
    <w:p w14:paraId="7CA8FFFE" w14:textId="77777777" w:rsidR="00E60BF9" w:rsidRPr="0071334E" w:rsidRDefault="00E60BF9" w:rsidP="003407E1">
      <w:pPr>
        <w:spacing w:after="0" w:line="276" w:lineRule="auto"/>
        <w:ind w:firstLine="709"/>
        <w:jc w:val="both"/>
        <w:rPr>
          <w:rFonts w:ascii="Verdana" w:hAnsi="Verdana" w:cs="Arial"/>
        </w:rPr>
      </w:pPr>
    </w:p>
    <w:p w14:paraId="7A71B845" w14:textId="77777777" w:rsidR="00E60BF9" w:rsidRPr="001119CA" w:rsidRDefault="00E60BF9" w:rsidP="003407E1">
      <w:pPr>
        <w:spacing w:after="120" w:line="276" w:lineRule="auto"/>
        <w:jc w:val="both"/>
        <w:rPr>
          <w:rFonts w:ascii="Verdana" w:hAnsi="Verdana" w:cs="Arial"/>
          <w:color w:val="000000" w:themeColor="text1"/>
          <w:lang w:val="es-MX"/>
        </w:rPr>
      </w:pPr>
      <w:r w:rsidRPr="001119CA">
        <w:rPr>
          <w:rFonts w:ascii="Verdana" w:hAnsi="Verdana" w:cs="Arial"/>
          <w:color w:val="000000" w:themeColor="text1"/>
          <w:lang w:val="es-MX"/>
        </w:rPr>
        <w:t>El artículo 3 de la Ley 80 de 1993 dispone que en la celebración de los contratos y en la ejecución de estos, las entidades y los servidores públicos deben tener en cuenta el cumplimiento de los fines estatales, la continua y eficiente prestación de los servicios públicos y la efectividad de los derechos e intereses de los administrados que colaboran con ellas en la consecución de dichos fines. Los particulares, por su parte, también deben contribuir al logro y satisfacción del interés general, cumpliendo de esta forma una función social en desarrollo de sus obligaciones contractuales como colaboradores del Estado.</w:t>
      </w:r>
    </w:p>
    <w:p w14:paraId="5357A425" w14:textId="77777777" w:rsidR="000A7286" w:rsidRDefault="00E60BF9" w:rsidP="00E60BF9">
      <w:pPr>
        <w:spacing w:before="120" w:after="120" w:line="276" w:lineRule="auto"/>
        <w:ind w:firstLine="709"/>
        <w:jc w:val="both"/>
        <w:rPr>
          <w:rFonts w:ascii="Verdana" w:hAnsi="Verdana" w:cs="Arial"/>
          <w:color w:val="000000" w:themeColor="text1"/>
          <w:lang w:val="es-MX"/>
        </w:rPr>
      </w:pPr>
      <w:r w:rsidRPr="001119CA">
        <w:rPr>
          <w:rFonts w:ascii="Verdana" w:hAnsi="Verdana" w:cs="Arial"/>
          <w:color w:val="000000" w:themeColor="text1"/>
          <w:lang w:val="es-MX"/>
        </w:rPr>
        <w:t xml:space="preserve">Para el cumplimiento de los fines de la contratación, las entidades estatales tendrán la dirección general y la responsabilidad de ejercer el control y vigilancia de la ejecución del contrato. En consecuencia, en el marco de lo señalado en el artículo 14 de la Ley 80 de 1993 y con el único objeto de evitar la paralización o la afectación grave de los servicios públicos y asegurar la inmediata, continua y adecuada prestación de los mismos, dichas entidades podrán interpretar los documentos contractuales y las estipulaciones en ellos contenidas, introducir modificaciones a lo pactado y, cuando las condiciones </w:t>
      </w:r>
      <w:r w:rsidRPr="001119CA">
        <w:rPr>
          <w:rFonts w:ascii="Verdana" w:hAnsi="Verdana" w:cs="Arial"/>
          <w:color w:val="000000" w:themeColor="text1"/>
          <w:lang w:val="es-MX"/>
        </w:rPr>
        <w:lastRenderedPageBreak/>
        <w:t>particulares de la prestación así lo exijan, terminar unilateralmente el contrato celebrado.</w:t>
      </w:r>
    </w:p>
    <w:p w14:paraId="463EE29C" w14:textId="7CD56103" w:rsidR="00E60BF9" w:rsidRPr="001119CA" w:rsidRDefault="00E60BF9" w:rsidP="00E60BF9">
      <w:pPr>
        <w:spacing w:before="120" w:after="120" w:line="276" w:lineRule="auto"/>
        <w:ind w:firstLine="709"/>
        <w:jc w:val="both"/>
        <w:rPr>
          <w:rFonts w:ascii="Verdana" w:hAnsi="Verdana" w:cs="Arial"/>
          <w:color w:val="000000" w:themeColor="text1"/>
          <w:lang w:val="es-MX"/>
        </w:rPr>
      </w:pPr>
      <w:r w:rsidRPr="001119CA">
        <w:rPr>
          <w:rFonts w:ascii="Verdana" w:hAnsi="Verdana" w:cs="Arial"/>
          <w:color w:val="000000" w:themeColor="text1"/>
          <w:lang w:val="es-MX"/>
        </w:rPr>
        <w:t xml:space="preserve">Es decir, las entidades estatales pueden usar estas potestades “[…] como manifestación de su </w:t>
      </w:r>
      <w:proofErr w:type="spellStart"/>
      <w:r w:rsidRPr="001119CA">
        <w:rPr>
          <w:rFonts w:ascii="Verdana" w:hAnsi="Verdana" w:cs="Arial"/>
          <w:i/>
          <w:iCs/>
          <w:color w:val="000000" w:themeColor="text1"/>
          <w:lang w:val="es-MX"/>
        </w:rPr>
        <w:t>imperium</w:t>
      </w:r>
      <w:proofErr w:type="spellEnd"/>
      <w:r w:rsidRPr="001119CA">
        <w:rPr>
          <w:rFonts w:ascii="Verdana" w:hAnsi="Verdana" w:cs="Arial"/>
          <w:i/>
          <w:iCs/>
          <w:color w:val="000000" w:themeColor="text1"/>
          <w:lang w:val="es-MX"/>
        </w:rPr>
        <w:t xml:space="preserve"> </w:t>
      </w:r>
      <w:r w:rsidRPr="001119CA">
        <w:rPr>
          <w:rFonts w:ascii="Verdana" w:hAnsi="Verdana" w:cs="Arial"/>
          <w:color w:val="000000" w:themeColor="text1"/>
          <w:lang w:val="es-MX"/>
        </w:rPr>
        <w:t>o poder de Estado, que se concreta en el poder jurídico para imponer coactivamente su voluntad, lo cual debe matizarse, dado que estás prerrogativas solo podrán ser ejercidas en las situaciones en las situaciones de hecho previamente establecidas por la ley y dentro de los limites señalados por la misma”</w:t>
      </w:r>
      <w:r w:rsidRPr="0071334E">
        <w:rPr>
          <w:vertAlign w:val="superscript"/>
          <w:lang w:val="es-MX"/>
        </w:rPr>
        <w:footnoteReference w:id="1"/>
      </w:r>
      <w:r w:rsidRPr="001119CA">
        <w:rPr>
          <w:rFonts w:ascii="Verdana" w:hAnsi="Verdana" w:cs="Arial"/>
          <w:color w:val="000000" w:themeColor="text1"/>
          <w:lang w:val="es-MX"/>
        </w:rPr>
        <w:t xml:space="preserve">.  </w:t>
      </w:r>
    </w:p>
    <w:p w14:paraId="758863CB" w14:textId="77777777" w:rsidR="00E60BF9" w:rsidRPr="001119CA" w:rsidRDefault="00E60BF9" w:rsidP="00E60BF9">
      <w:pPr>
        <w:spacing w:before="120" w:after="120" w:line="276" w:lineRule="auto"/>
        <w:ind w:firstLine="709"/>
        <w:jc w:val="both"/>
        <w:rPr>
          <w:rFonts w:ascii="Verdana" w:hAnsi="Verdana" w:cs="Arial"/>
          <w:color w:val="000000" w:themeColor="text1"/>
          <w:lang w:val="es-MX"/>
        </w:rPr>
      </w:pPr>
      <w:r w:rsidRPr="001119CA">
        <w:rPr>
          <w:rFonts w:ascii="Verdana" w:hAnsi="Verdana" w:cs="Arial"/>
          <w:color w:val="000000" w:themeColor="text1"/>
          <w:lang w:val="es-MX"/>
        </w:rPr>
        <w:t>En lo relacionado con las cláusulas excepcionales al derecho común de terminación, interpretación y modificación unilaterales, el numeral 2 del mencionado artículo 14 regula su ejercicio en atención al tipo de contrato de que se trate. En la exposición de motivos de la Ley 80 de 1993</w:t>
      </w:r>
      <w:r w:rsidRPr="0071334E">
        <w:rPr>
          <w:vertAlign w:val="superscript"/>
          <w:lang w:val="es-MX"/>
        </w:rPr>
        <w:footnoteReference w:id="2"/>
      </w:r>
      <w:r w:rsidRPr="001119CA">
        <w:rPr>
          <w:rFonts w:ascii="Verdana" w:hAnsi="Verdana" w:cs="Arial"/>
          <w:color w:val="000000" w:themeColor="text1"/>
          <w:lang w:val="es-MX"/>
        </w:rPr>
        <w:t xml:space="preserve"> se establece que la administración debe estar dotada de mecanismos eficaces, así fueren excepcionales, que contribuyan a la adecuada realización de la finalidad contractual y de los fines estatales. Es por eso por lo que, cuando se presenten circunstancias que amenacen la paralización de los servicios, las entidades públicas pueden tomar medidas que conduzcan a garantizar la continua y adecuada prestación del servicio, con fundamento en la prevalencia del interés público sobre el particular.</w:t>
      </w:r>
    </w:p>
    <w:p w14:paraId="0C695CE2" w14:textId="77777777" w:rsidR="00E60BF9" w:rsidRPr="001119CA" w:rsidRDefault="00E60BF9" w:rsidP="00E60BF9">
      <w:pPr>
        <w:spacing w:before="120" w:after="120" w:line="276" w:lineRule="auto"/>
        <w:ind w:firstLine="709"/>
        <w:jc w:val="both"/>
        <w:rPr>
          <w:rFonts w:ascii="Verdana" w:hAnsi="Verdana" w:cs="Arial"/>
          <w:color w:val="000000" w:themeColor="text1"/>
          <w:lang w:val="es-MX"/>
        </w:rPr>
      </w:pPr>
      <w:r w:rsidRPr="001119CA">
        <w:rPr>
          <w:rFonts w:ascii="Verdana" w:hAnsi="Verdana" w:cs="Arial"/>
          <w:color w:val="000000" w:themeColor="text1"/>
          <w:lang w:val="es-MX"/>
        </w:rPr>
        <w:t>En este sentido, los motivos aducidos por la entidad estatal para ejercer las cláusulas excepcionales deben ser graves, ya que no cualquier hecho puede provocarla pues son inescindibles al interés general, sin que se pueda desconocer las compensaciones e indemnizaciones a que tendrán derecho las personas objeto de tales medidas, traducida en la contraprestación necesaria para mantener la igualdad contractual.</w:t>
      </w:r>
    </w:p>
    <w:p w14:paraId="411D0093" w14:textId="77777777" w:rsidR="00E60BF9" w:rsidRDefault="00E60BF9" w:rsidP="00E60BF9">
      <w:pPr>
        <w:spacing w:before="120" w:after="120" w:line="276" w:lineRule="auto"/>
        <w:ind w:firstLine="709"/>
        <w:jc w:val="both"/>
        <w:rPr>
          <w:rFonts w:ascii="Verdana" w:hAnsi="Verdana" w:cs="Arial"/>
          <w:color w:val="000000" w:themeColor="text1"/>
          <w:lang w:val="es-MX"/>
        </w:rPr>
      </w:pPr>
      <w:r w:rsidRPr="001119CA">
        <w:rPr>
          <w:rFonts w:ascii="Verdana" w:hAnsi="Verdana" w:cs="Arial"/>
          <w:color w:val="000000" w:themeColor="text1"/>
          <w:lang w:val="es-MX"/>
        </w:rPr>
        <w:t>En particular, sobre el pacto de estas cláusulas excepcionales al derecho común, el artículo 14</w:t>
      </w:r>
      <w:r>
        <w:rPr>
          <w:rFonts w:ascii="Verdana" w:hAnsi="Verdana" w:cs="Arial"/>
          <w:color w:val="000000" w:themeColor="text1"/>
          <w:lang w:val="es-MX"/>
        </w:rPr>
        <w:t xml:space="preserve"> </w:t>
      </w:r>
      <w:r w:rsidRPr="000D4731">
        <w:rPr>
          <w:rFonts w:ascii="Verdana" w:hAnsi="Verdana" w:cs="Arial"/>
          <w:color w:val="000000" w:themeColor="text1"/>
          <w:lang w:val="es-MX"/>
        </w:rPr>
        <w:t>de la Ley 80 de 1993</w:t>
      </w:r>
      <w:r w:rsidRPr="001119CA">
        <w:rPr>
          <w:rFonts w:ascii="Verdana" w:hAnsi="Verdana" w:cs="Arial"/>
          <w:color w:val="000000" w:themeColor="text1"/>
          <w:lang w:val="es-MX"/>
        </w:rPr>
        <w:t>, respecto del contrato de prestación de servicios señala que las entidades las podrán pactar, no solo en este contrato, sino también en el de suministro. Esto significa que no se entienden incluidas y la entidad las deberá pactar en estos contratos para poder hacer uso de ellas.</w:t>
      </w:r>
    </w:p>
    <w:p w14:paraId="6BAFE99F" w14:textId="77777777" w:rsidR="00144B84" w:rsidRPr="001119CA" w:rsidRDefault="00144B84" w:rsidP="00E60BF9">
      <w:pPr>
        <w:spacing w:before="120" w:after="120" w:line="276" w:lineRule="auto"/>
        <w:ind w:firstLine="709"/>
        <w:jc w:val="both"/>
        <w:rPr>
          <w:rFonts w:ascii="Verdana" w:hAnsi="Verdana" w:cs="Arial"/>
          <w:color w:val="000000" w:themeColor="text1"/>
          <w:lang w:val="es-MX"/>
        </w:rPr>
      </w:pPr>
    </w:p>
    <w:p w14:paraId="10ABE345" w14:textId="77777777" w:rsidR="00E60BF9" w:rsidRPr="001119CA" w:rsidRDefault="00E60BF9" w:rsidP="00E60BF9">
      <w:pPr>
        <w:spacing w:before="120" w:after="120" w:line="276" w:lineRule="auto"/>
        <w:ind w:firstLine="709"/>
        <w:jc w:val="both"/>
        <w:rPr>
          <w:rFonts w:ascii="Verdana" w:hAnsi="Verdana" w:cs="Arial"/>
          <w:color w:val="000000" w:themeColor="text1"/>
          <w:lang w:val="es-MX"/>
        </w:rPr>
      </w:pPr>
      <w:r w:rsidRPr="001119CA">
        <w:rPr>
          <w:rFonts w:ascii="Verdana" w:hAnsi="Verdana" w:cs="Arial"/>
          <w:color w:val="000000" w:themeColor="text1"/>
          <w:lang w:val="es-MX"/>
        </w:rPr>
        <w:lastRenderedPageBreak/>
        <w:t xml:space="preserve">En lo atinente a la terminación unilateral del contrato, si bien la ley otorga a las entidades públicas la potestad de actuar en ejercicio de una facultad exorbitante, les impone el cumplimiento de presupuestos de forzosa aplicación y a la vez restringe la medida a los eventos previstos en la misma. Efectivamente, para declarar la terminación unilateral se requiere i) que la manifestación de la voluntad de la administración se materialice en un acto administrativo, </w:t>
      </w:r>
      <w:proofErr w:type="spellStart"/>
      <w:r w:rsidRPr="001119CA">
        <w:rPr>
          <w:rFonts w:ascii="Verdana" w:hAnsi="Verdana" w:cs="Arial"/>
          <w:color w:val="000000" w:themeColor="text1"/>
          <w:lang w:val="es-MX"/>
        </w:rPr>
        <w:t>ii</w:t>
      </w:r>
      <w:proofErr w:type="spellEnd"/>
      <w:r w:rsidRPr="001119CA">
        <w:rPr>
          <w:rFonts w:ascii="Verdana" w:hAnsi="Verdana" w:cs="Arial"/>
          <w:color w:val="000000" w:themeColor="text1"/>
          <w:lang w:val="es-MX"/>
        </w:rPr>
        <w:t xml:space="preserve">) que dicho acto debe ser el resultado de un análisis soportado en la realidad del contrato, es decir, debe estar debidamente motivado y </w:t>
      </w:r>
      <w:proofErr w:type="spellStart"/>
      <w:r w:rsidRPr="001119CA">
        <w:rPr>
          <w:rFonts w:ascii="Verdana" w:hAnsi="Verdana" w:cs="Arial"/>
          <w:color w:val="000000" w:themeColor="text1"/>
          <w:lang w:val="es-MX"/>
        </w:rPr>
        <w:t>iii</w:t>
      </w:r>
      <w:proofErr w:type="spellEnd"/>
      <w:r w:rsidRPr="001119CA">
        <w:rPr>
          <w:rFonts w:ascii="Verdana" w:hAnsi="Verdana" w:cs="Arial"/>
          <w:color w:val="000000" w:themeColor="text1"/>
          <w:lang w:val="es-MX"/>
        </w:rPr>
        <w:t>) que la causal que se alegue en la decisión se encuentre enmarcada en los eventos que la ley ha dispuesto.</w:t>
      </w:r>
    </w:p>
    <w:p w14:paraId="2D3A75B4" w14:textId="3D993776" w:rsidR="00E60BF9" w:rsidRPr="001119CA" w:rsidRDefault="000A7286" w:rsidP="003407E1">
      <w:pPr>
        <w:tabs>
          <w:tab w:val="left" w:pos="709"/>
        </w:tabs>
        <w:spacing w:before="120" w:after="0" w:line="276" w:lineRule="auto"/>
        <w:ind w:right="51" w:firstLine="709"/>
        <w:jc w:val="both"/>
        <w:rPr>
          <w:rFonts w:ascii="Verdana" w:hAnsi="Verdana" w:cs="Arial"/>
          <w:color w:val="000000" w:themeColor="text1"/>
          <w:lang w:val="es-MX"/>
        </w:rPr>
      </w:pPr>
      <w:r>
        <w:rPr>
          <w:rFonts w:ascii="Verdana" w:hAnsi="Verdana" w:cs="Arial"/>
          <w:color w:val="000000" w:themeColor="text1"/>
          <w:lang w:val="es-MX"/>
        </w:rPr>
        <w:t>Ahora bien, teniendo en cuenta el contenido de su consulta, e</w:t>
      </w:r>
      <w:r w:rsidR="00E60BF9" w:rsidRPr="001119CA">
        <w:rPr>
          <w:rFonts w:ascii="Verdana" w:hAnsi="Verdana" w:cs="Arial"/>
          <w:color w:val="000000" w:themeColor="text1"/>
          <w:lang w:val="es-MX"/>
        </w:rPr>
        <w:t>l artículo 17 de la Ley 80 de 1993 establece expresamente en que eventos procede la terminación unilateral del contrato. Al efecto, la norma establece las siguientes causales:</w:t>
      </w:r>
    </w:p>
    <w:p w14:paraId="36C2579A" w14:textId="77777777" w:rsidR="00E60BF9" w:rsidRPr="0071334E" w:rsidRDefault="00E60BF9" w:rsidP="003407E1">
      <w:pPr>
        <w:pStyle w:val="Prrafodelista"/>
        <w:tabs>
          <w:tab w:val="left" w:pos="709"/>
        </w:tabs>
        <w:spacing w:after="0"/>
        <w:ind w:left="709" w:right="758"/>
        <w:rPr>
          <w:rFonts w:ascii="Verdana" w:hAnsi="Verdana" w:cs="Arial"/>
          <w:color w:val="000000" w:themeColor="text1"/>
          <w:lang w:val="es-MX"/>
        </w:rPr>
      </w:pPr>
    </w:p>
    <w:p w14:paraId="58A78749" w14:textId="777F1F25" w:rsidR="00E60BF9" w:rsidRDefault="00E60BF9" w:rsidP="000A7286">
      <w:pPr>
        <w:pStyle w:val="Prrafodelista"/>
        <w:tabs>
          <w:tab w:val="left" w:pos="709"/>
        </w:tabs>
        <w:spacing w:after="0"/>
        <w:ind w:left="709" w:right="709"/>
        <w:jc w:val="both"/>
        <w:rPr>
          <w:rFonts w:ascii="Verdana" w:hAnsi="Verdana" w:cs="Arial"/>
          <w:color w:val="000000"/>
          <w:sz w:val="20"/>
          <w:szCs w:val="20"/>
          <w:lang w:val="es-MX" w:eastAsia="es-CO"/>
        </w:rPr>
      </w:pPr>
      <w:r w:rsidRPr="0071334E">
        <w:rPr>
          <w:rFonts w:ascii="Verdana" w:hAnsi="Verdana" w:cs="Arial"/>
          <w:color w:val="000000"/>
          <w:sz w:val="20"/>
          <w:szCs w:val="20"/>
          <w:lang w:val="es-MX" w:eastAsia="es-CO"/>
        </w:rPr>
        <w:t>Artículo 17. De la terminación unilateral</w:t>
      </w:r>
      <w:r w:rsidRPr="0071334E">
        <w:rPr>
          <w:rFonts w:ascii="Verdana" w:hAnsi="Verdana" w:cs="Arial"/>
          <w:b/>
          <w:bCs/>
          <w:color w:val="000000"/>
          <w:sz w:val="20"/>
          <w:szCs w:val="20"/>
          <w:lang w:val="es-MX" w:eastAsia="es-CO"/>
        </w:rPr>
        <w:t>.</w:t>
      </w:r>
      <w:r w:rsidRPr="0071334E">
        <w:rPr>
          <w:rFonts w:ascii="Verdana" w:hAnsi="Verdana" w:cs="Arial"/>
          <w:color w:val="000000"/>
          <w:sz w:val="20"/>
          <w:szCs w:val="20"/>
          <w:lang w:val="es-MX" w:eastAsia="es-CO"/>
        </w:rPr>
        <w:t> La entidad en acto administrativo debidamente motivado dispondrá la terminación anticipada del contrato en los siguientes eventos: </w:t>
      </w:r>
    </w:p>
    <w:p w14:paraId="62DAC5BA" w14:textId="77777777" w:rsidR="000A7286" w:rsidRPr="0071334E" w:rsidRDefault="000A7286" w:rsidP="003407E1">
      <w:pPr>
        <w:pStyle w:val="Prrafodelista"/>
        <w:tabs>
          <w:tab w:val="left" w:pos="709"/>
        </w:tabs>
        <w:spacing w:after="0"/>
        <w:ind w:left="709" w:right="709"/>
        <w:jc w:val="both"/>
        <w:rPr>
          <w:rFonts w:ascii="Verdana" w:hAnsi="Verdana" w:cs="Arial"/>
          <w:color w:val="000000"/>
          <w:sz w:val="20"/>
          <w:szCs w:val="20"/>
          <w:lang w:val="es-MX" w:eastAsia="es-CO"/>
        </w:rPr>
      </w:pPr>
    </w:p>
    <w:p w14:paraId="2DFDDB48" w14:textId="77777777" w:rsidR="00E60BF9" w:rsidRPr="0071334E" w:rsidRDefault="00E60BF9" w:rsidP="003407E1">
      <w:pPr>
        <w:pStyle w:val="Prrafodelista"/>
        <w:tabs>
          <w:tab w:val="left" w:pos="709"/>
        </w:tabs>
        <w:spacing w:after="0"/>
        <w:ind w:left="709" w:right="709"/>
        <w:jc w:val="both"/>
        <w:rPr>
          <w:rFonts w:ascii="Verdana" w:hAnsi="Verdana" w:cs="Arial"/>
          <w:color w:val="000000"/>
          <w:sz w:val="20"/>
          <w:szCs w:val="20"/>
          <w:lang w:val="es-MX" w:eastAsia="es-CO"/>
        </w:rPr>
      </w:pPr>
      <w:r w:rsidRPr="0071334E">
        <w:rPr>
          <w:rFonts w:ascii="Verdana" w:hAnsi="Verdana" w:cs="Arial"/>
          <w:color w:val="000000"/>
          <w:sz w:val="20"/>
          <w:szCs w:val="20"/>
          <w:lang w:val="es-MX" w:eastAsia="es-CO"/>
        </w:rPr>
        <w:t>1o. Cuando las exigencias del servicio público lo requieran o la situación de orden público lo imponga. </w:t>
      </w:r>
    </w:p>
    <w:p w14:paraId="21906470" w14:textId="77777777" w:rsidR="000A7286" w:rsidRDefault="000A7286" w:rsidP="000A7286">
      <w:pPr>
        <w:pStyle w:val="Prrafodelista"/>
        <w:tabs>
          <w:tab w:val="left" w:pos="709"/>
        </w:tabs>
        <w:spacing w:after="0"/>
        <w:ind w:left="709" w:right="709"/>
        <w:jc w:val="both"/>
        <w:rPr>
          <w:rFonts w:ascii="Verdana" w:hAnsi="Verdana" w:cs="Arial"/>
          <w:i/>
          <w:iCs/>
          <w:color w:val="000000"/>
          <w:sz w:val="20"/>
          <w:szCs w:val="20"/>
          <w:u w:val="single"/>
          <w:lang w:val="es-MX" w:eastAsia="es-CO"/>
        </w:rPr>
      </w:pPr>
    </w:p>
    <w:p w14:paraId="7ED211E0" w14:textId="7DE05100" w:rsidR="00E60BF9" w:rsidRPr="0071334E" w:rsidRDefault="00E60BF9" w:rsidP="003407E1">
      <w:pPr>
        <w:pStyle w:val="Prrafodelista"/>
        <w:tabs>
          <w:tab w:val="left" w:pos="709"/>
        </w:tabs>
        <w:spacing w:after="0"/>
        <w:ind w:left="709" w:right="709"/>
        <w:jc w:val="both"/>
        <w:rPr>
          <w:rFonts w:ascii="Verdana" w:hAnsi="Verdana" w:cs="Arial"/>
          <w:i/>
          <w:iCs/>
          <w:color w:val="000000"/>
          <w:sz w:val="20"/>
          <w:szCs w:val="20"/>
          <w:u w:val="single"/>
          <w:lang w:val="es-MX" w:eastAsia="es-CO"/>
        </w:rPr>
      </w:pPr>
      <w:r w:rsidRPr="0071334E">
        <w:rPr>
          <w:rFonts w:ascii="Verdana" w:hAnsi="Verdana" w:cs="Arial"/>
          <w:i/>
          <w:iCs/>
          <w:color w:val="000000"/>
          <w:sz w:val="20"/>
          <w:szCs w:val="20"/>
          <w:u w:val="single"/>
          <w:lang w:val="es-MX" w:eastAsia="es-CO"/>
        </w:rPr>
        <w:t>2o. Por muerte o incapacidad física permanente del contratista, si es persona natural, o por disolución de la persona jurídica del contratista. </w:t>
      </w:r>
    </w:p>
    <w:p w14:paraId="687D093C" w14:textId="77777777" w:rsidR="000A7286" w:rsidRDefault="000A7286" w:rsidP="000A7286">
      <w:pPr>
        <w:pStyle w:val="Prrafodelista"/>
        <w:tabs>
          <w:tab w:val="left" w:pos="709"/>
        </w:tabs>
        <w:spacing w:after="0"/>
        <w:ind w:left="709" w:right="709"/>
        <w:jc w:val="both"/>
        <w:rPr>
          <w:rFonts w:ascii="Verdana" w:hAnsi="Verdana" w:cs="Arial"/>
          <w:color w:val="000000"/>
          <w:sz w:val="20"/>
          <w:szCs w:val="20"/>
          <w:lang w:val="es-MX" w:eastAsia="es-CO"/>
        </w:rPr>
      </w:pPr>
    </w:p>
    <w:p w14:paraId="5C04AB78" w14:textId="3B69E4D8" w:rsidR="00E60BF9" w:rsidRPr="0071334E" w:rsidRDefault="00E60BF9" w:rsidP="003407E1">
      <w:pPr>
        <w:pStyle w:val="Prrafodelista"/>
        <w:tabs>
          <w:tab w:val="left" w:pos="709"/>
        </w:tabs>
        <w:spacing w:after="0"/>
        <w:ind w:left="709" w:right="709"/>
        <w:jc w:val="both"/>
        <w:rPr>
          <w:rFonts w:ascii="Verdana" w:hAnsi="Verdana" w:cs="Arial"/>
          <w:color w:val="000000"/>
          <w:sz w:val="20"/>
          <w:szCs w:val="20"/>
          <w:lang w:val="es-MX" w:eastAsia="es-CO"/>
        </w:rPr>
      </w:pPr>
      <w:r w:rsidRPr="0071334E">
        <w:rPr>
          <w:rFonts w:ascii="Verdana" w:hAnsi="Verdana" w:cs="Arial"/>
          <w:color w:val="000000"/>
          <w:sz w:val="20"/>
          <w:szCs w:val="20"/>
          <w:lang w:val="es-MX" w:eastAsia="es-CO"/>
        </w:rPr>
        <w:t>3o. Por interdicción judicial o declaración de quiebra del contratista. </w:t>
      </w:r>
    </w:p>
    <w:p w14:paraId="42C39462" w14:textId="77777777" w:rsidR="000A7286" w:rsidRDefault="000A7286" w:rsidP="000A7286">
      <w:pPr>
        <w:pStyle w:val="Prrafodelista"/>
        <w:tabs>
          <w:tab w:val="left" w:pos="709"/>
        </w:tabs>
        <w:spacing w:after="0"/>
        <w:ind w:left="709" w:right="709"/>
        <w:jc w:val="both"/>
        <w:rPr>
          <w:rFonts w:ascii="Verdana" w:hAnsi="Verdana" w:cs="Arial"/>
          <w:color w:val="000000"/>
          <w:sz w:val="20"/>
          <w:szCs w:val="20"/>
          <w:lang w:val="es-MX" w:eastAsia="es-CO"/>
        </w:rPr>
      </w:pPr>
    </w:p>
    <w:p w14:paraId="3A33066B" w14:textId="1FD829AD" w:rsidR="00E60BF9" w:rsidRPr="0071334E" w:rsidRDefault="00E60BF9" w:rsidP="003407E1">
      <w:pPr>
        <w:pStyle w:val="Prrafodelista"/>
        <w:tabs>
          <w:tab w:val="left" w:pos="709"/>
        </w:tabs>
        <w:spacing w:after="0"/>
        <w:ind w:left="709" w:right="709"/>
        <w:jc w:val="both"/>
        <w:rPr>
          <w:rFonts w:ascii="Verdana" w:hAnsi="Verdana" w:cs="Arial"/>
          <w:color w:val="000000"/>
          <w:sz w:val="20"/>
          <w:szCs w:val="20"/>
          <w:lang w:val="es-MX" w:eastAsia="es-CO"/>
        </w:rPr>
      </w:pPr>
      <w:r w:rsidRPr="0071334E">
        <w:rPr>
          <w:rFonts w:ascii="Verdana" w:hAnsi="Verdana" w:cs="Arial"/>
          <w:color w:val="000000"/>
          <w:sz w:val="20"/>
          <w:szCs w:val="20"/>
          <w:lang w:val="es-MX" w:eastAsia="es-CO"/>
        </w:rPr>
        <w:t>4o. Por cesación de pagos, concurso de acreedores o embargos judiciales del contratista que afecten de manera grave el cumplimiento del contrato. </w:t>
      </w:r>
    </w:p>
    <w:p w14:paraId="47FCA611" w14:textId="77777777" w:rsidR="000A7286" w:rsidRDefault="000A7286" w:rsidP="000A7286">
      <w:pPr>
        <w:pStyle w:val="Prrafodelista"/>
        <w:tabs>
          <w:tab w:val="left" w:pos="709"/>
        </w:tabs>
        <w:spacing w:after="0" w:line="240" w:lineRule="auto"/>
        <w:ind w:left="709" w:right="709"/>
        <w:jc w:val="both"/>
        <w:rPr>
          <w:rFonts w:ascii="Verdana" w:hAnsi="Verdana" w:cs="Arial"/>
          <w:color w:val="000000"/>
          <w:sz w:val="20"/>
          <w:szCs w:val="20"/>
          <w:lang w:val="es-MX" w:eastAsia="es-CO"/>
        </w:rPr>
      </w:pPr>
    </w:p>
    <w:p w14:paraId="5289F8F5" w14:textId="642058D4" w:rsidR="00E60BF9" w:rsidRDefault="00E60BF9" w:rsidP="003407E1">
      <w:pPr>
        <w:pStyle w:val="Prrafodelista"/>
        <w:tabs>
          <w:tab w:val="left" w:pos="709"/>
        </w:tabs>
        <w:spacing w:after="0" w:line="240" w:lineRule="auto"/>
        <w:ind w:left="709" w:right="709"/>
        <w:jc w:val="both"/>
        <w:rPr>
          <w:rFonts w:ascii="Verdana" w:hAnsi="Verdana" w:cs="Arial"/>
          <w:color w:val="000000"/>
          <w:sz w:val="20"/>
          <w:szCs w:val="20"/>
          <w:lang w:val="es-MX" w:eastAsia="es-CO"/>
        </w:rPr>
      </w:pPr>
      <w:r w:rsidRPr="0071334E">
        <w:rPr>
          <w:rFonts w:ascii="Verdana" w:hAnsi="Verdana" w:cs="Arial"/>
          <w:color w:val="000000"/>
          <w:sz w:val="20"/>
          <w:szCs w:val="20"/>
          <w:lang w:val="es-MX" w:eastAsia="es-CO"/>
        </w:rPr>
        <w:t>Sin embargo, en los casos a que se refieren los numerales 2o. y 3o. de este artículo podrá continuarse la ejecución con el garante de la obligación. </w:t>
      </w:r>
    </w:p>
    <w:p w14:paraId="1CC1A5A1" w14:textId="77777777" w:rsidR="000A7286" w:rsidRPr="0071334E" w:rsidRDefault="000A7286" w:rsidP="003407E1">
      <w:pPr>
        <w:pStyle w:val="Prrafodelista"/>
        <w:tabs>
          <w:tab w:val="left" w:pos="709"/>
        </w:tabs>
        <w:spacing w:after="0"/>
        <w:ind w:left="709" w:right="709"/>
        <w:jc w:val="both"/>
        <w:rPr>
          <w:rFonts w:ascii="Verdana" w:hAnsi="Verdana" w:cs="Arial"/>
          <w:color w:val="000000"/>
          <w:sz w:val="20"/>
          <w:szCs w:val="20"/>
          <w:lang w:val="es-MX" w:eastAsia="es-CO"/>
        </w:rPr>
      </w:pPr>
    </w:p>
    <w:p w14:paraId="18A85C66" w14:textId="77777777" w:rsidR="000A7286" w:rsidRDefault="00E60BF9" w:rsidP="000A7286">
      <w:pPr>
        <w:pStyle w:val="Prrafodelista"/>
        <w:tabs>
          <w:tab w:val="left" w:pos="709"/>
        </w:tabs>
        <w:spacing w:after="0"/>
        <w:ind w:left="709" w:right="709"/>
        <w:jc w:val="both"/>
        <w:rPr>
          <w:rFonts w:ascii="Verdana" w:hAnsi="Verdana" w:cs="Arial"/>
          <w:color w:val="000000"/>
          <w:sz w:val="20"/>
          <w:szCs w:val="20"/>
          <w:lang w:val="es-MX" w:eastAsia="es-CO"/>
        </w:rPr>
      </w:pPr>
      <w:r w:rsidRPr="0071334E">
        <w:rPr>
          <w:rFonts w:ascii="Verdana" w:hAnsi="Verdana" w:cs="Arial"/>
          <w:color w:val="000000"/>
          <w:sz w:val="20"/>
          <w:szCs w:val="20"/>
          <w:lang w:val="es-MX" w:eastAsia="es-CO"/>
        </w:rPr>
        <w:t xml:space="preserve">La iniciación de trámite concordatario no dará lugar a la declaratoria de terminación unilateral. En tal evento la ejecución se hará con sujeción a las normas sobre administración de negocios del deudor en concordato. </w:t>
      </w:r>
    </w:p>
    <w:p w14:paraId="6B4B12FC" w14:textId="77777777" w:rsidR="000A7286" w:rsidRDefault="000A7286" w:rsidP="000A7286">
      <w:pPr>
        <w:pStyle w:val="Prrafodelista"/>
        <w:tabs>
          <w:tab w:val="left" w:pos="709"/>
        </w:tabs>
        <w:spacing w:after="0"/>
        <w:ind w:left="709" w:right="709"/>
        <w:jc w:val="both"/>
        <w:rPr>
          <w:rFonts w:ascii="Verdana" w:hAnsi="Verdana" w:cs="Arial"/>
          <w:color w:val="000000"/>
          <w:sz w:val="20"/>
          <w:szCs w:val="20"/>
          <w:lang w:val="es-MX" w:eastAsia="es-CO"/>
        </w:rPr>
      </w:pPr>
    </w:p>
    <w:p w14:paraId="0B2AEA70" w14:textId="0DED7FC3" w:rsidR="00E60BF9" w:rsidRPr="0071334E" w:rsidRDefault="00E60BF9" w:rsidP="003407E1">
      <w:pPr>
        <w:pStyle w:val="Prrafodelista"/>
        <w:tabs>
          <w:tab w:val="left" w:pos="709"/>
        </w:tabs>
        <w:spacing w:after="0"/>
        <w:ind w:left="709" w:right="709"/>
        <w:jc w:val="both"/>
        <w:rPr>
          <w:rFonts w:ascii="Verdana" w:hAnsi="Verdana" w:cs="Arial"/>
          <w:color w:val="000000"/>
          <w:sz w:val="20"/>
          <w:szCs w:val="20"/>
          <w:lang w:val="es-MX" w:eastAsia="es-CO"/>
        </w:rPr>
      </w:pPr>
      <w:r w:rsidRPr="0071334E">
        <w:rPr>
          <w:rFonts w:ascii="Verdana" w:hAnsi="Verdana" w:cs="Arial"/>
          <w:color w:val="000000"/>
          <w:sz w:val="20"/>
          <w:szCs w:val="20"/>
          <w:lang w:val="es-MX" w:eastAsia="es-CO"/>
        </w:rPr>
        <w:lastRenderedPageBreak/>
        <w:t>La entidad dispondrá las medidas de inspección, control y vigilancia necesarias para asegurar el cumplimiento del objeto contractual e impedir la paralización del servicio. [Énfasis fuera de texto]</w:t>
      </w:r>
    </w:p>
    <w:p w14:paraId="08706EE2" w14:textId="77777777" w:rsidR="00E60BF9" w:rsidRPr="000A7286" w:rsidRDefault="00E60BF9" w:rsidP="003407E1">
      <w:pPr>
        <w:pStyle w:val="Prrafodelista"/>
        <w:spacing w:after="0" w:line="276" w:lineRule="auto"/>
        <w:ind w:left="0" w:firstLine="709"/>
        <w:jc w:val="both"/>
        <w:rPr>
          <w:rFonts w:ascii="Verdana" w:hAnsi="Verdana" w:cs="Arial"/>
          <w:color w:val="000000"/>
          <w:sz w:val="21"/>
          <w:szCs w:val="21"/>
          <w:lang w:val="es-MX" w:eastAsia="es-CO"/>
        </w:rPr>
      </w:pPr>
    </w:p>
    <w:p w14:paraId="5C5A7D50" w14:textId="61EF5A88" w:rsidR="00E60BF9" w:rsidRDefault="00E60BF9" w:rsidP="000A7286">
      <w:pPr>
        <w:spacing w:after="0" w:line="276" w:lineRule="auto"/>
        <w:ind w:firstLine="709"/>
        <w:jc w:val="both"/>
        <w:rPr>
          <w:rFonts w:ascii="Verdana" w:hAnsi="Verdana" w:cs="Arial"/>
          <w:color w:val="000000" w:themeColor="text1"/>
          <w:lang w:val="es-MX"/>
        </w:rPr>
      </w:pPr>
      <w:r w:rsidRPr="000A7286">
        <w:rPr>
          <w:rFonts w:ascii="Verdana" w:hAnsi="Verdana" w:cs="Arial"/>
          <w:color w:val="000000" w:themeColor="text1"/>
          <w:lang w:val="es-MX"/>
        </w:rPr>
        <w:t>Esta figura no tiene como finalidad sancionar al contratista, sino que se encuentra dirigida a evitar la paralización del contrato estatal y garantizar su correcta ejecución. La doctrina ha considerado que “[…] el artículo 17 de la Ley 80 de 1993 consagra, en virtud del principio de legalidad regente para toda la actividad administrativa, la potestad de las entidades estatales de finiquitar la relación contractual con su contratista a partir de la configuración de cualquiera de las causales expresadas en dicha norma […]”</w:t>
      </w:r>
      <w:r w:rsidRPr="003407E1">
        <w:rPr>
          <w:rFonts w:ascii="Verdana" w:hAnsi="Verdana"/>
          <w:vertAlign w:val="superscript"/>
          <w:lang w:val="es-MX"/>
        </w:rPr>
        <w:footnoteReference w:id="3"/>
      </w:r>
      <w:r w:rsidRPr="000A7286">
        <w:rPr>
          <w:rFonts w:ascii="Verdana" w:hAnsi="Verdana" w:cs="Arial"/>
          <w:color w:val="000000" w:themeColor="text1"/>
          <w:lang w:val="es-MX"/>
        </w:rPr>
        <w:t>. En igual sentido</w:t>
      </w:r>
      <w:r w:rsidRPr="001119CA">
        <w:rPr>
          <w:rFonts w:ascii="Verdana" w:hAnsi="Verdana" w:cs="Arial"/>
          <w:color w:val="000000" w:themeColor="text1"/>
          <w:lang w:val="es-MX"/>
        </w:rPr>
        <w:t xml:space="preserve"> lo ha reconocido el Consejo de Estado al poner de presente que: </w:t>
      </w:r>
    </w:p>
    <w:p w14:paraId="36710633" w14:textId="77777777" w:rsidR="000A7286" w:rsidRPr="001119CA" w:rsidRDefault="000A7286" w:rsidP="003407E1">
      <w:pPr>
        <w:spacing w:after="0" w:line="276" w:lineRule="auto"/>
        <w:ind w:firstLine="709"/>
        <w:jc w:val="both"/>
        <w:rPr>
          <w:rFonts w:ascii="Verdana" w:hAnsi="Verdana" w:cs="Arial"/>
          <w:color w:val="000000" w:themeColor="text1"/>
          <w:lang w:val="es-MX"/>
        </w:rPr>
      </w:pPr>
    </w:p>
    <w:p w14:paraId="36BE990F" w14:textId="359AD390" w:rsidR="00E60BF9" w:rsidRPr="005141DF" w:rsidRDefault="00E60BF9" w:rsidP="003407E1">
      <w:pPr>
        <w:pStyle w:val="Prrafodelista"/>
        <w:spacing w:after="0" w:line="240" w:lineRule="auto"/>
        <w:ind w:left="709" w:right="709"/>
        <w:contextualSpacing w:val="0"/>
        <w:jc w:val="both"/>
        <w:rPr>
          <w:rFonts w:ascii="Verdana" w:eastAsia="Times New Roman" w:hAnsi="Verdana" w:cs="Arial"/>
          <w:sz w:val="20"/>
          <w:szCs w:val="20"/>
          <w:lang w:eastAsia="es-CO"/>
        </w:rPr>
      </w:pPr>
      <w:r>
        <w:rPr>
          <w:rFonts w:ascii="Verdana" w:eastAsia="Times New Roman" w:hAnsi="Verdana" w:cs="Arial"/>
          <w:sz w:val="20"/>
          <w:szCs w:val="20"/>
          <w:lang w:eastAsia="es-CO"/>
        </w:rPr>
        <w:t>“</w:t>
      </w:r>
      <w:r w:rsidRPr="005141DF">
        <w:rPr>
          <w:rFonts w:ascii="Verdana" w:eastAsia="Times New Roman" w:hAnsi="Verdana" w:cs="Arial"/>
          <w:sz w:val="20"/>
          <w:szCs w:val="20"/>
          <w:lang w:eastAsia="es-CO"/>
        </w:rPr>
        <w:t xml:space="preserve">Según los explícitos dictados de la referida Ley 80, es claro que dicha forma de terminación unilateral tiene </w:t>
      </w:r>
      <w:r w:rsidRPr="005141DF">
        <w:rPr>
          <w:rFonts w:ascii="Verdana" w:eastAsia="Times New Roman" w:hAnsi="Verdana" w:cs="Arial"/>
          <w:i/>
          <w:iCs/>
          <w:sz w:val="20"/>
          <w:szCs w:val="20"/>
          <w:lang w:eastAsia="es-CO"/>
        </w:rPr>
        <w:t xml:space="preserve">“(...) el exclusivo objeto de evitar la paralización o la afectación grave de los servicios públicos a su cargo </w:t>
      </w:r>
      <w:r w:rsidRPr="005141DF">
        <w:rPr>
          <w:rFonts w:ascii="Verdana" w:eastAsia="Times New Roman" w:hAnsi="Verdana" w:cs="Arial"/>
          <w:sz w:val="20"/>
          <w:szCs w:val="20"/>
          <w:lang w:eastAsia="es-CO"/>
        </w:rPr>
        <w:t xml:space="preserve">[se refiere a la entidad estatal contratante] </w:t>
      </w:r>
      <w:r w:rsidRPr="005141DF">
        <w:rPr>
          <w:rFonts w:ascii="Verdana" w:eastAsia="Times New Roman" w:hAnsi="Verdana" w:cs="Arial"/>
          <w:i/>
          <w:iCs/>
          <w:sz w:val="20"/>
          <w:szCs w:val="20"/>
          <w:lang w:eastAsia="es-CO"/>
        </w:rPr>
        <w:t xml:space="preserve">y asegurar la inmediata, continua y adecuada prestación (...)” </w:t>
      </w:r>
      <w:r w:rsidRPr="005141DF">
        <w:rPr>
          <w:rFonts w:ascii="Verdana" w:eastAsia="Times New Roman" w:hAnsi="Verdana" w:cs="Arial"/>
          <w:sz w:val="20"/>
          <w:szCs w:val="20"/>
          <w:lang w:eastAsia="es-CO"/>
        </w:rPr>
        <w:t xml:space="preserve">de los mismos. </w:t>
      </w:r>
    </w:p>
    <w:p w14:paraId="490295B6" w14:textId="77777777" w:rsidR="00E60BF9" w:rsidRPr="005141DF" w:rsidRDefault="00E60BF9" w:rsidP="003407E1">
      <w:pPr>
        <w:pStyle w:val="Prrafodelista"/>
        <w:spacing w:after="0" w:line="240" w:lineRule="auto"/>
        <w:ind w:left="709" w:right="709"/>
        <w:contextualSpacing w:val="0"/>
        <w:jc w:val="both"/>
        <w:rPr>
          <w:rFonts w:ascii="Verdana" w:eastAsia="Times New Roman" w:hAnsi="Verdana" w:cs="Arial"/>
          <w:sz w:val="20"/>
          <w:szCs w:val="20"/>
          <w:lang w:eastAsia="es-CO"/>
        </w:rPr>
      </w:pPr>
      <w:r w:rsidRPr="005141DF">
        <w:rPr>
          <w:rFonts w:ascii="Verdana" w:eastAsia="Times New Roman" w:hAnsi="Verdana" w:cs="Arial"/>
          <w:sz w:val="20"/>
          <w:szCs w:val="20"/>
          <w:lang w:eastAsia="es-CO"/>
        </w:rPr>
        <w:t xml:space="preserve">Esta modalidad de terminación unilateral únicamente puede tener aplicación respecto de aquellos específicos contratos estatales señalados en el numeral 2o del artículo 14 de la Ley 80, esto es: </w:t>
      </w:r>
      <w:r w:rsidRPr="005141DF">
        <w:rPr>
          <w:rFonts w:ascii="Verdana" w:eastAsia="Times New Roman" w:hAnsi="Verdana" w:cs="Arial"/>
          <w:i/>
          <w:iCs/>
          <w:sz w:val="20"/>
          <w:szCs w:val="20"/>
          <w:lang w:eastAsia="es-CO"/>
        </w:rPr>
        <w:t xml:space="preserve">a) “en los contratos que tengan por objeto el ejercicio de una actividad que constituya monopolio estatal”; b) </w:t>
      </w:r>
      <w:r w:rsidRPr="005141DF">
        <w:rPr>
          <w:rFonts w:ascii="Verdana" w:eastAsia="Times New Roman" w:hAnsi="Verdana" w:cs="Arial"/>
          <w:sz w:val="20"/>
          <w:szCs w:val="20"/>
          <w:lang w:eastAsia="es-CO"/>
        </w:rPr>
        <w:t xml:space="preserve">en los contratos que tengan por objeto </w:t>
      </w:r>
      <w:r w:rsidRPr="005141DF">
        <w:rPr>
          <w:rFonts w:ascii="Verdana" w:eastAsia="Times New Roman" w:hAnsi="Verdana" w:cs="Arial"/>
          <w:i/>
          <w:iCs/>
          <w:sz w:val="20"/>
          <w:szCs w:val="20"/>
          <w:lang w:eastAsia="es-CO"/>
        </w:rPr>
        <w:t xml:space="preserve">“la prestación de servicios públicos”; c) </w:t>
      </w:r>
      <w:r w:rsidRPr="005141DF">
        <w:rPr>
          <w:rFonts w:ascii="Verdana" w:eastAsia="Times New Roman" w:hAnsi="Verdana" w:cs="Arial"/>
          <w:sz w:val="20"/>
          <w:szCs w:val="20"/>
          <w:lang w:eastAsia="es-CO"/>
        </w:rPr>
        <w:t xml:space="preserve">en los contratos que tengan por objeto </w:t>
      </w:r>
      <w:r w:rsidRPr="005141DF">
        <w:rPr>
          <w:rFonts w:ascii="Verdana" w:eastAsia="Times New Roman" w:hAnsi="Verdana" w:cs="Arial"/>
          <w:i/>
          <w:iCs/>
          <w:sz w:val="20"/>
          <w:szCs w:val="20"/>
          <w:lang w:eastAsia="es-CO"/>
        </w:rPr>
        <w:t xml:space="preserve">“la explotación y concesión de bienes del Estado” </w:t>
      </w:r>
      <w:r w:rsidRPr="005141DF">
        <w:rPr>
          <w:rFonts w:ascii="Verdana" w:eastAsia="Times New Roman" w:hAnsi="Verdana" w:cs="Arial"/>
          <w:sz w:val="20"/>
          <w:szCs w:val="20"/>
          <w:lang w:eastAsia="es-CO"/>
        </w:rPr>
        <w:t xml:space="preserve">y </w:t>
      </w:r>
      <w:r w:rsidRPr="005141DF">
        <w:rPr>
          <w:rFonts w:ascii="Verdana" w:eastAsia="Times New Roman" w:hAnsi="Verdana" w:cs="Arial"/>
          <w:i/>
          <w:iCs/>
          <w:sz w:val="20"/>
          <w:szCs w:val="20"/>
          <w:lang w:eastAsia="es-CO"/>
        </w:rPr>
        <w:t>d) “en los contratos de obra”</w:t>
      </w:r>
      <w:r w:rsidRPr="005141DF">
        <w:rPr>
          <w:rFonts w:ascii="Verdana" w:eastAsia="Times New Roman" w:hAnsi="Verdana" w:cs="Arial"/>
          <w:sz w:val="20"/>
          <w:szCs w:val="20"/>
          <w:lang w:eastAsia="es-CO"/>
        </w:rPr>
        <w:t xml:space="preserve">, en cuanto en todos ellos resulta imperativa la inclusión de la cláusula excepcional de terminación unilateral; así́ mismo podría aplicarse en aquellos </w:t>
      </w:r>
      <w:r w:rsidRPr="005141DF">
        <w:rPr>
          <w:rFonts w:ascii="Verdana" w:eastAsia="Times New Roman" w:hAnsi="Verdana" w:cs="Arial"/>
          <w:i/>
          <w:iCs/>
          <w:sz w:val="20"/>
          <w:szCs w:val="20"/>
          <w:lang w:eastAsia="es-CO"/>
        </w:rPr>
        <w:t xml:space="preserve">f) “contratos de suministro” </w:t>
      </w:r>
      <w:r w:rsidRPr="005141DF">
        <w:rPr>
          <w:rFonts w:ascii="Verdana" w:eastAsia="Times New Roman" w:hAnsi="Verdana" w:cs="Arial"/>
          <w:sz w:val="20"/>
          <w:szCs w:val="20"/>
          <w:lang w:eastAsia="es-CO"/>
        </w:rPr>
        <w:t xml:space="preserve">y </w:t>
      </w:r>
      <w:r w:rsidRPr="005141DF">
        <w:rPr>
          <w:rFonts w:ascii="Verdana" w:eastAsia="Times New Roman" w:hAnsi="Verdana" w:cs="Arial"/>
          <w:i/>
          <w:iCs/>
          <w:sz w:val="20"/>
          <w:szCs w:val="20"/>
          <w:lang w:eastAsia="es-CO"/>
        </w:rPr>
        <w:t xml:space="preserve">g) </w:t>
      </w:r>
      <w:r w:rsidRPr="005141DF">
        <w:rPr>
          <w:rFonts w:ascii="Verdana" w:eastAsia="Times New Roman" w:hAnsi="Verdana" w:cs="Arial"/>
          <w:sz w:val="20"/>
          <w:szCs w:val="20"/>
          <w:lang w:eastAsia="es-CO"/>
        </w:rPr>
        <w:t xml:space="preserve">contratos </w:t>
      </w:r>
      <w:r w:rsidRPr="005141DF">
        <w:rPr>
          <w:rFonts w:ascii="Verdana" w:eastAsia="Times New Roman" w:hAnsi="Verdana" w:cs="Arial"/>
          <w:i/>
          <w:iCs/>
          <w:sz w:val="20"/>
          <w:szCs w:val="20"/>
          <w:lang w:eastAsia="es-CO"/>
        </w:rPr>
        <w:t xml:space="preserve">“de prestación de servicios”, </w:t>
      </w:r>
      <w:r w:rsidRPr="005141DF">
        <w:rPr>
          <w:rFonts w:ascii="Verdana" w:eastAsia="Times New Roman" w:hAnsi="Verdana" w:cs="Arial"/>
          <w:sz w:val="20"/>
          <w:szCs w:val="20"/>
          <w:lang w:eastAsia="es-CO"/>
        </w:rPr>
        <w:t xml:space="preserve">en los cuales se hubiere incluido expresamente esa cláusula excepcional, comoquiera que en estos dos (2) últimos dicha estipulación resulta facultativa y, por tanto, se encuentra expresamente autorizada por la ley su inclusión. </w:t>
      </w:r>
    </w:p>
    <w:p w14:paraId="033648FA" w14:textId="77777777" w:rsidR="00E60BF9" w:rsidRPr="005141DF" w:rsidRDefault="00E60BF9" w:rsidP="003407E1">
      <w:pPr>
        <w:pStyle w:val="Prrafodelista"/>
        <w:spacing w:after="0" w:line="240" w:lineRule="auto"/>
        <w:ind w:left="709" w:right="709"/>
        <w:contextualSpacing w:val="0"/>
        <w:jc w:val="both"/>
        <w:rPr>
          <w:rFonts w:ascii="Verdana" w:eastAsia="Times New Roman" w:hAnsi="Verdana" w:cs="Arial"/>
          <w:sz w:val="20"/>
          <w:szCs w:val="20"/>
          <w:lang w:eastAsia="es-CO"/>
        </w:rPr>
      </w:pPr>
    </w:p>
    <w:p w14:paraId="0F545416" w14:textId="77777777" w:rsidR="00AD46B0" w:rsidRDefault="00E60BF9" w:rsidP="003407E1">
      <w:pPr>
        <w:pStyle w:val="Prrafodelista"/>
        <w:spacing w:after="0" w:line="240" w:lineRule="auto"/>
        <w:ind w:left="709" w:right="709"/>
        <w:contextualSpacing w:val="0"/>
        <w:jc w:val="both"/>
        <w:rPr>
          <w:rFonts w:ascii="Verdana" w:eastAsia="Times New Roman" w:hAnsi="Verdana" w:cs="Arial"/>
          <w:i/>
          <w:iCs/>
          <w:sz w:val="20"/>
          <w:szCs w:val="20"/>
          <w:lang w:eastAsia="es-CO"/>
        </w:rPr>
      </w:pPr>
      <w:r w:rsidRPr="005141DF">
        <w:rPr>
          <w:rFonts w:ascii="Verdana" w:eastAsia="Times New Roman" w:hAnsi="Verdana" w:cs="Arial"/>
          <w:sz w:val="20"/>
          <w:szCs w:val="20"/>
          <w:lang w:eastAsia="es-CO"/>
        </w:rPr>
        <w:t xml:space="preserve">Tal como lo ordena el inciso 2o del numeral 1o del citado artículo 14 de la Ley 80, cada vez que una entidad estatal ejerza esta potestad excepcional de terminación unilateral </w:t>
      </w:r>
      <w:r w:rsidRPr="005141DF">
        <w:rPr>
          <w:rFonts w:ascii="Verdana" w:eastAsia="Times New Roman" w:hAnsi="Verdana" w:cs="Arial"/>
          <w:i/>
          <w:iCs/>
          <w:sz w:val="20"/>
          <w:szCs w:val="20"/>
          <w:lang w:eastAsia="es-CO"/>
        </w:rPr>
        <w:t xml:space="preserve">“(...) deberá́ procederse al reconocimiento y orden de pago de las compensación e indemnizaciones a que tengan derecho las personas objeto de tales medidas y se aplicarán los mecanismos de ajuste de las condiciones y términos contractuales a que </w:t>
      </w:r>
    </w:p>
    <w:p w14:paraId="46C8E6DA" w14:textId="77777777" w:rsidR="00AD46B0" w:rsidRDefault="00AD46B0" w:rsidP="003407E1">
      <w:pPr>
        <w:pStyle w:val="Prrafodelista"/>
        <w:spacing w:after="0" w:line="240" w:lineRule="auto"/>
        <w:ind w:left="709" w:right="709"/>
        <w:contextualSpacing w:val="0"/>
        <w:jc w:val="both"/>
        <w:rPr>
          <w:rFonts w:ascii="Verdana" w:eastAsia="Times New Roman" w:hAnsi="Verdana" w:cs="Arial"/>
          <w:i/>
          <w:iCs/>
          <w:sz w:val="20"/>
          <w:szCs w:val="20"/>
          <w:lang w:eastAsia="es-CO"/>
        </w:rPr>
      </w:pPr>
    </w:p>
    <w:p w14:paraId="549A5AD6" w14:textId="312A81F8" w:rsidR="00E60BF9" w:rsidRDefault="00E60BF9" w:rsidP="003407E1">
      <w:pPr>
        <w:pStyle w:val="Prrafodelista"/>
        <w:spacing w:after="0" w:line="240" w:lineRule="auto"/>
        <w:ind w:left="709" w:right="709"/>
        <w:contextualSpacing w:val="0"/>
        <w:jc w:val="both"/>
        <w:rPr>
          <w:rFonts w:ascii="Verdana" w:eastAsia="Times New Roman" w:hAnsi="Verdana" w:cs="Arial"/>
          <w:i/>
          <w:iCs/>
          <w:sz w:val="20"/>
          <w:szCs w:val="20"/>
          <w:lang w:eastAsia="es-CO"/>
        </w:rPr>
      </w:pPr>
      <w:r w:rsidRPr="005141DF">
        <w:rPr>
          <w:rFonts w:ascii="Verdana" w:eastAsia="Times New Roman" w:hAnsi="Verdana" w:cs="Arial"/>
          <w:i/>
          <w:iCs/>
          <w:sz w:val="20"/>
          <w:szCs w:val="20"/>
          <w:lang w:eastAsia="es-CO"/>
        </w:rPr>
        <w:lastRenderedPageBreak/>
        <w:t xml:space="preserve">haya lugar, todo ello con el fin de mantener la ecuación o equilibrio inicial”. </w:t>
      </w:r>
    </w:p>
    <w:p w14:paraId="45D690F8" w14:textId="77777777" w:rsidR="00AD46B0" w:rsidRPr="005141DF" w:rsidRDefault="00AD46B0" w:rsidP="003407E1">
      <w:pPr>
        <w:pStyle w:val="Prrafodelista"/>
        <w:spacing w:after="0" w:line="240" w:lineRule="auto"/>
        <w:ind w:left="709" w:right="709"/>
        <w:contextualSpacing w:val="0"/>
        <w:jc w:val="both"/>
        <w:rPr>
          <w:rFonts w:ascii="Verdana" w:eastAsia="Times New Roman" w:hAnsi="Verdana" w:cs="Arial"/>
          <w:sz w:val="20"/>
          <w:szCs w:val="20"/>
          <w:lang w:eastAsia="es-CO"/>
        </w:rPr>
      </w:pPr>
    </w:p>
    <w:p w14:paraId="409BB08A" w14:textId="77777777" w:rsidR="00E60BF9" w:rsidRPr="005141DF" w:rsidRDefault="00E60BF9" w:rsidP="003407E1">
      <w:pPr>
        <w:pStyle w:val="Prrafodelista"/>
        <w:spacing w:after="0" w:line="240" w:lineRule="auto"/>
        <w:ind w:right="758"/>
        <w:contextualSpacing w:val="0"/>
        <w:jc w:val="both"/>
        <w:rPr>
          <w:rFonts w:ascii="Verdana" w:eastAsia="Times New Roman" w:hAnsi="Verdana" w:cs="Arial"/>
          <w:sz w:val="20"/>
          <w:szCs w:val="20"/>
          <w:lang w:eastAsia="es-CO"/>
        </w:rPr>
      </w:pPr>
    </w:p>
    <w:p w14:paraId="2FD08516" w14:textId="77777777" w:rsidR="00E60BF9" w:rsidRPr="005141DF" w:rsidRDefault="00E60BF9" w:rsidP="003407E1">
      <w:pPr>
        <w:pStyle w:val="Prrafodelista"/>
        <w:spacing w:after="0" w:line="240" w:lineRule="auto"/>
        <w:ind w:right="758"/>
        <w:contextualSpacing w:val="0"/>
        <w:jc w:val="both"/>
        <w:rPr>
          <w:rFonts w:ascii="Verdana" w:eastAsia="Times New Roman" w:hAnsi="Verdana" w:cs="Arial"/>
          <w:sz w:val="20"/>
          <w:szCs w:val="20"/>
          <w:lang w:eastAsia="es-CO"/>
        </w:rPr>
      </w:pPr>
      <w:r w:rsidRPr="005141DF">
        <w:rPr>
          <w:rFonts w:ascii="Verdana" w:eastAsia="Times New Roman" w:hAnsi="Verdana" w:cs="Arial"/>
          <w:sz w:val="20"/>
          <w:szCs w:val="20"/>
          <w:lang w:eastAsia="es-CO"/>
        </w:rPr>
        <w:t>El aspecto que se acaba de destacar pone de manifiesto que esta especie o modalidad de terminación unilateral de los contratos estatales no comporta la imposición de sanción alguna y, por tanto, a partir de su ejecutoria no se genera inhabilidad alguna en relación con el contratista afectado, lo cual, además, encuentra explicación suficiente en las causales, expresamente consagradas en la ley, que dan lugar a su aplicación</w:t>
      </w:r>
      <w:r>
        <w:rPr>
          <w:rFonts w:ascii="Verdana" w:eastAsia="Times New Roman" w:hAnsi="Verdana" w:cs="Arial"/>
          <w:sz w:val="20"/>
          <w:szCs w:val="20"/>
          <w:lang w:eastAsia="es-CO"/>
        </w:rPr>
        <w:t>”</w:t>
      </w:r>
      <w:r w:rsidRPr="005141DF">
        <w:rPr>
          <w:rFonts w:ascii="Verdana" w:eastAsia="Times New Roman" w:hAnsi="Verdana" w:cs="Arial"/>
          <w:sz w:val="20"/>
          <w:szCs w:val="20"/>
          <w:lang w:eastAsia="es-CO"/>
        </w:rPr>
        <w:t>.</w:t>
      </w:r>
      <w:r w:rsidRPr="005141DF">
        <w:rPr>
          <w:rFonts w:ascii="Verdana" w:hAnsi="Verdana"/>
          <w:sz w:val="20"/>
          <w:szCs w:val="20"/>
          <w:vertAlign w:val="superscript"/>
          <w:lang w:eastAsia="es-CO"/>
        </w:rPr>
        <w:footnoteReference w:id="4"/>
      </w:r>
    </w:p>
    <w:p w14:paraId="6D8E667F" w14:textId="77777777" w:rsidR="00E60BF9" w:rsidRDefault="00E60BF9" w:rsidP="003407E1">
      <w:pPr>
        <w:spacing w:after="0" w:line="240" w:lineRule="auto"/>
        <w:ind w:firstLine="709"/>
        <w:jc w:val="both"/>
        <w:rPr>
          <w:rFonts w:ascii="Verdana" w:hAnsi="Verdana" w:cs="Arial"/>
          <w:lang w:val="es-MX"/>
        </w:rPr>
      </w:pPr>
    </w:p>
    <w:p w14:paraId="0AFEF73F" w14:textId="77777777" w:rsidR="00E60BF9" w:rsidRDefault="00E60BF9" w:rsidP="00E60BF9">
      <w:pPr>
        <w:spacing w:after="120" w:line="276" w:lineRule="auto"/>
        <w:ind w:firstLine="709"/>
        <w:jc w:val="both"/>
        <w:rPr>
          <w:rFonts w:ascii="Verdana" w:hAnsi="Verdana" w:cs="Arial"/>
          <w:color w:val="000000"/>
          <w:shd w:val="clear" w:color="auto" w:fill="FFFFFF"/>
          <w:lang w:val="es-MX" w:eastAsia="es-CO"/>
        </w:rPr>
      </w:pPr>
      <w:r w:rsidRPr="001119CA">
        <w:rPr>
          <w:rFonts w:ascii="Verdana" w:hAnsi="Verdana" w:cs="Arial"/>
          <w:lang w:val="es-MX"/>
        </w:rPr>
        <w:t xml:space="preserve">Conforme a lo anterior, la terminación unilateral del contrato </w:t>
      </w:r>
      <w:r w:rsidRPr="001119CA">
        <w:rPr>
          <w:rFonts w:ascii="Verdana" w:hAnsi="Verdana" w:cs="Arial"/>
          <w:color w:val="000000"/>
          <w:shd w:val="clear" w:color="auto" w:fill="FFFFFF"/>
          <w:lang w:val="es-MX"/>
        </w:rPr>
        <w:t xml:space="preserve">es una prerrogativa excepcional que, lejos de fungir como un acto represivo contra el contratista o en contra de la ejecución del contrato mismo, constituye una herramienta cuyo fin exclusivo es el de lograr el cabal cumplimiento de los cometidos estatales. En todo caso, el ejercicio de esta potestad supone el reconocimiento y pago de las compensaciones e indemnizaciones a las que haya lugar, así como la aplicación de los mecanismos de reajuste. </w:t>
      </w:r>
      <w:r w:rsidRPr="001119CA">
        <w:rPr>
          <w:rFonts w:ascii="Verdana" w:hAnsi="Verdana" w:cs="Arial"/>
          <w:color w:val="000000"/>
          <w:shd w:val="clear" w:color="auto" w:fill="FFFFFF"/>
          <w:lang w:val="es-MX" w:eastAsia="es-CO"/>
        </w:rPr>
        <w:t xml:space="preserve">Lo anterior indica que la terminación unilateral del contrato estatal no entraña una sanción, por lo que, a partir de su ejecutoria no se genera inhabilidad para el contratista por este solo hecho. </w:t>
      </w:r>
    </w:p>
    <w:p w14:paraId="3CA948E4" w14:textId="77777777" w:rsidR="00AD46B0" w:rsidRPr="001119CA" w:rsidRDefault="00AD46B0" w:rsidP="00E60BF9">
      <w:pPr>
        <w:spacing w:after="120" w:line="276" w:lineRule="auto"/>
        <w:ind w:firstLine="709"/>
        <w:jc w:val="both"/>
        <w:rPr>
          <w:rFonts w:ascii="Verdana" w:hAnsi="Verdana" w:cs="Arial"/>
          <w:color w:val="000000"/>
          <w:shd w:val="clear" w:color="auto" w:fill="FFFFFF"/>
          <w:lang w:val="es-MX" w:eastAsia="es-CO"/>
        </w:rPr>
      </w:pPr>
    </w:p>
    <w:p w14:paraId="725FEEF2" w14:textId="77777777" w:rsidR="00E60BF9" w:rsidRPr="001119CA" w:rsidRDefault="00E60BF9" w:rsidP="00E60BF9">
      <w:pPr>
        <w:spacing w:after="120" w:line="276" w:lineRule="auto"/>
        <w:ind w:firstLine="709"/>
        <w:jc w:val="both"/>
        <w:rPr>
          <w:rFonts w:ascii="Verdana" w:eastAsia="Times New Roman" w:hAnsi="Verdana" w:cs="Arial"/>
          <w:lang w:eastAsia="es-CO"/>
        </w:rPr>
      </w:pPr>
      <w:r w:rsidRPr="001119CA">
        <w:rPr>
          <w:rFonts w:ascii="Verdana" w:eastAsia="Times New Roman" w:hAnsi="Verdana" w:cs="Arial"/>
          <w:lang w:eastAsia="es-CO"/>
        </w:rPr>
        <w:t xml:space="preserve">Ahora bien, la causal de terminación unilateral consagrada en el numeral 2 del artículo 17 de la Ley 80 de 1993, prevé “[…] muerte o incapacidad física permanente del contratista, si es persona natural, o por disolución de la persona jurídica del contratista”. Esta causal se explica, tanto para la persona natural como para la persona jurídica, por la naturaleza </w:t>
      </w:r>
      <w:r w:rsidRPr="001119CA">
        <w:rPr>
          <w:rFonts w:ascii="Verdana" w:eastAsia="Times New Roman" w:hAnsi="Verdana" w:cs="Arial"/>
          <w:i/>
          <w:iCs/>
          <w:lang w:eastAsia="es-CO"/>
        </w:rPr>
        <w:t xml:space="preserve">intuito </w:t>
      </w:r>
      <w:proofErr w:type="spellStart"/>
      <w:r w:rsidRPr="001119CA">
        <w:rPr>
          <w:rFonts w:ascii="Verdana" w:eastAsia="Times New Roman" w:hAnsi="Verdana" w:cs="Arial"/>
          <w:i/>
          <w:iCs/>
          <w:lang w:eastAsia="es-CO"/>
        </w:rPr>
        <w:t>personae</w:t>
      </w:r>
      <w:proofErr w:type="spellEnd"/>
      <w:r w:rsidRPr="001119CA">
        <w:rPr>
          <w:rFonts w:ascii="Verdana" w:eastAsia="Times New Roman" w:hAnsi="Verdana" w:cs="Arial"/>
          <w:lang w:eastAsia="es-CO"/>
        </w:rPr>
        <w:t xml:space="preserve"> del contrato estatal, según lo previsto en el inciso tercero del artículo 41 de la Ley 80 de 1993</w:t>
      </w:r>
      <w:r w:rsidRPr="0071334E">
        <w:rPr>
          <w:vertAlign w:val="superscript"/>
          <w:lang w:eastAsia="es-CO"/>
        </w:rPr>
        <w:footnoteReference w:id="5"/>
      </w:r>
      <w:r w:rsidRPr="001119CA">
        <w:rPr>
          <w:rFonts w:ascii="Verdana" w:eastAsia="Times New Roman" w:hAnsi="Verdana" w:cs="Arial"/>
          <w:lang w:eastAsia="es-CO"/>
        </w:rPr>
        <w:t xml:space="preserve">. Por ello, la muerte o discapacidad permanente de la persona natural, así como la disolución de la persona jurídica, constituyen hechos que impiden que los sujetos que en virtud de sus calidades fueron escogidos para desarrollar el contrato puedan seguirlo haciendo, por lo que justifican la terminación del </w:t>
      </w:r>
      <w:r w:rsidRPr="001119CA">
        <w:rPr>
          <w:rFonts w:ascii="Verdana" w:eastAsia="Times New Roman" w:hAnsi="Verdana" w:cs="Arial"/>
          <w:lang w:eastAsia="es-CO"/>
        </w:rPr>
        <w:lastRenderedPageBreak/>
        <w:t>contrato, máxime aun considerado que tales calidades no se trasmiten a sus herederos o causahabientes</w:t>
      </w:r>
      <w:r w:rsidRPr="0071334E">
        <w:rPr>
          <w:vertAlign w:val="superscript"/>
          <w:lang w:eastAsia="es-CO"/>
        </w:rPr>
        <w:footnoteReference w:id="6"/>
      </w:r>
      <w:r w:rsidRPr="001119CA">
        <w:rPr>
          <w:rFonts w:ascii="Verdana" w:eastAsia="Times New Roman" w:hAnsi="Verdana" w:cs="Arial"/>
          <w:lang w:eastAsia="es-CO"/>
        </w:rPr>
        <w:t>.</w:t>
      </w:r>
    </w:p>
    <w:p w14:paraId="655EA98E" w14:textId="737B3EC1" w:rsidR="00E60BF9" w:rsidRDefault="00E60BF9" w:rsidP="00EB5091">
      <w:pPr>
        <w:spacing w:after="0" w:line="276" w:lineRule="auto"/>
        <w:ind w:firstLine="709"/>
        <w:jc w:val="both"/>
        <w:rPr>
          <w:rFonts w:ascii="Verdana" w:eastAsia="Times New Roman" w:hAnsi="Verdana" w:cs="Arial"/>
          <w:lang w:eastAsia="es-CO"/>
        </w:rPr>
      </w:pPr>
      <w:r w:rsidRPr="001119CA">
        <w:rPr>
          <w:rFonts w:ascii="Verdana" w:eastAsia="Times New Roman" w:hAnsi="Verdana" w:cs="Arial"/>
          <w:lang w:eastAsia="es-CO"/>
        </w:rPr>
        <w:t>El artículo 13 de la Ley 80 de 1993, cita que:</w:t>
      </w:r>
    </w:p>
    <w:p w14:paraId="5A236AE5" w14:textId="77777777" w:rsidR="00EB5091" w:rsidRPr="001119CA" w:rsidRDefault="00EB5091" w:rsidP="003407E1">
      <w:pPr>
        <w:spacing w:after="0" w:line="276" w:lineRule="auto"/>
        <w:ind w:firstLine="709"/>
        <w:jc w:val="both"/>
        <w:rPr>
          <w:rFonts w:ascii="Verdana" w:hAnsi="Verdana" w:cs="Arial"/>
          <w:lang w:val="es-MX"/>
        </w:rPr>
      </w:pPr>
    </w:p>
    <w:p w14:paraId="7B9B9F4C" w14:textId="77777777" w:rsidR="00E60BF9" w:rsidRPr="007F6730" w:rsidRDefault="00E60BF9" w:rsidP="003407E1">
      <w:pPr>
        <w:spacing w:after="0" w:line="240" w:lineRule="auto"/>
        <w:ind w:left="709" w:right="709"/>
        <w:jc w:val="both"/>
        <w:rPr>
          <w:rFonts w:ascii="Verdana" w:hAnsi="Verdana" w:cs="Arial"/>
          <w:iCs/>
          <w:sz w:val="20"/>
          <w:szCs w:val="20"/>
          <w:lang w:val="es-MX"/>
        </w:rPr>
      </w:pPr>
      <w:r w:rsidRPr="007F6730">
        <w:rPr>
          <w:rFonts w:ascii="Verdana" w:eastAsia="Times New Roman" w:hAnsi="Verdana" w:cs="Arial"/>
          <w:iCs/>
          <w:sz w:val="20"/>
          <w:szCs w:val="20"/>
          <w:lang w:eastAsia="es-CO"/>
        </w:rPr>
        <w:t>“</w:t>
      </w:r>
      <w:r w:rsidRPr="007F6730">
        <w:rPr>
          <w:rFonts w:ascii="Verdana" w:hAnsi="Verdana" w:cs="Arial"/>
          <w:iCs/>
          <w:sz w:val="20"/>
          <w:szCs w:val="20"/>
          <w:lang w:val="es-MX"/>
        </w:rPr>
        <w:t>Los contratos que celebren las entidades a que se refiere el artículo 2 del presente estatuto se regirán por las disposiciones comerciales y civiles pertinentes, salvo en las materias particularmente reguladas en esta Ley.</w:t>
      </w:r>
    </w:p>
    <w:p w14:paraId="1C3B2A56" w14:textId="1BC8CBE7" w:rsidR="00E60BF9" w:rsidRDefault="00E60BF9" w:rsidP="00EB5091">
      <w:pPr>
        <w:spacing w:after="0" w:line="240" w:lineRule="auto"/>
        <w:ind w:left="709" w:right="709"/>
        <w:jc w:val="both"/>
        <w:rPr>
          <w:rFonts w:ascii="Verdana" w:eastAsia="Times New Roman" w:hAnsi="Verdana" w:cs="Arial"/>
          <w:iCs/>
          <w:sz w:val="20"/>
          <w:szCs w:val="20"/>
          <w:lang w:val="es-MX" w:eastAsia="es-CO"/>
        </w:rPr>
      </w:pPr>
      <w:r w:rsidRPr="007F6730">
        <w:rPr>
          <w:rFonts w:ascii="Verdana" w:eastAsia="Times New Roman" w:hAnsi="Verdana" w:cs="Arial"/>
          <w:iCs/>
          <w:sz w:val="20"/>
          <w:szCs w:val="20"/>
          <w:lang w:val="es-MX" w:eastAsia="es-CO"/>
        </w:rPr>
        <w:t>Los contratos celebrados en el exterior se podrán regir en su ejecución por las reglas del país en donde se hayan suscrito, a menos que deban cumplirse en Colombia”</w:t>
      </w:r>
    </w:p>
    <w:p w14:paraId="0143284D" w14:textId="77777777" w:rsidR="00EB5091" w:rsidRPr="007F6730" w:rsidRDefault="00EB5091" w:rsidP="003407E1">
      <w:pPr>
        <w:spacing w:after="0" w:line="240" w:lineRule="auto"/>
        <w:ind w:left="709" w:right="709"/>
        <w:jc w:val="both"/>
        <w:rPr>
          <w:rFonts w:ascii="Verdana" w:eastAsia="Times New Roman" w:hAnsi="Verdana" w:cs="Arial"/>
          <w:iCs/>
          <w:sz w:val="20"/>
          <w:szCs w:val="20"/>
          <w:lang w:val="es-MX" w:eastAsia="es-CO"/>
        </w:rPr>
      </w:pPr>
    </w:p>
    <w:p w14:paraId="24D3E54F" w14:textId="77777777" w:rsidR="00E60BF9" w:rsidRPr="001119CA" w:rsidRDefault="00E60BF9" w:rsidP="003407E1">
      <w:pPr>
        <w:spacing w:after="120" w:line="276" w:lineRule="auto"/>
        <w:ind w:firstLine="709"/>
        <w:jc w:val="both"/>
        <w:rPr>
          <w:rFonts w:ascii="Verdana" w:hAnsi="Verdana" w:cs="Arial"/>
          <w:color w:val="000000" w:themeColor="text1"/>
          <w:lang w:val="es-MX"/>
        </w:rPr>
      </w:pPr>
      <w:r w:rsidRPr="001119CA">
        <w:rPr>
          <w:rFonts w:ascii="Verdana" w:hAnsi="Verdana" w:cs="Arial"/>
          <w:lang w:val="es-MX"/>
        </w:rPr>
        <w:t>Con todo, en aplicación del derecho civil, la muerte de una persona natural puede implicar la apertura de un proceso de sucesión, mediante el cual se transmiten todos los derechos y obligaciones que estaban a nombre del causante</w:t>
      </w:r>
      <w:r w:rsidRPr="0071334E">
        <w:rPr>
          <w:vertAlign w:val="superscript"/>
          <w:lang w:val="es-MX"/>
        </w:rPr>
        <w:footnoteReference w:id="7"/>
      </w:r>
      <w:r w:rsidRPr="001119CA">
        <w:rPr>
          <w:rFonts w:ascii="Verdana" w:hAnsi="Verdana" w:cs="Arial"/>
          <w:lang w:val="es-MX"/>
        </w:rPr>
        <w:t>, es decir, si el causante tenía un contrato vigente al momento de fallecer, esta posición podría llegar a ser ocupada por sus herederos, si cumplen con las condiciones necesarias para ejecutar el contrato.</w:t>
      </w:r>
      <w:r w:rsidRPr="001119CA">
        <w:rPr>
          <w:rFonts w:ascii="Verdana" w:hAnsi="Verdana" w:cs="Arial"/>
          <w:color w:val="000000" w:themeColor="text1"/>
          <w:lang w:val="es-MX"/>
        </w:rPr>
        <w:t xml:space="preserve"> Lo anterior ha sido reconocido por parte del Consejo de Estado, donde ha puesto de presente: “[…] </w:t>
      </w:r>
      <w:r w:rsidRPr="001119CA">
        <w:rPr>
          <w:rFonts w:ascii="Verdana" w:hAnsi="Verdana" w:cs="Arial"/>
          <w:lang w:val="es-MX"/>
        </w:rPr>
        <w:t>en la sucesión por causa de muerte a título universal, “se sucede al difunto en todos sus bienes, derechos y obligaciones transmisibles” con lo cual los herederos pueden ocupar la posición contractual del causante en el contrato y convertirse en los titulares de los derechos y las obligaciones pactadas en el mismo […]</w:t>
      </w:r>
      <w:r w:rsidRPr="001119CA">
        <w:rPr>
          <w:rFonts w:ascii="Verdana" w:hAnsi="Verdana" w:cs="Arial"/>
          <w:noProof/>
          <w:lang w:val="es-ES_tradnl"/>
        </w:rPr>
        <w:t>”.</w:t>
      </w:r>
      <w:r w:rsidRPr="0071334E">
        <w:rPr>
          <w:vertAlign w:val="superscript"/>
          <w:lang w:val="es-MX"/>
        </w:rPr>
        <w:footnoteReference w:id="8"/>
      </w:r>
    </w:p>
    <w:p w14:paraId="7010C6C9" w14:textId="77777777" w:rsidR="00E60BF9" w:rsidRPr="001119CA" w:rsidRDefault="00E60BF9" w:rsidP="00E60BF9">
      <w:pPr>
        <w:spacing w:after="120" w:line="276" w:lineRule="auto"/>
        <w:ind w:firstLine="709"/>
        <w:jc w:val="both"/>
        <w:rPr>
          <w:rFonts w:ascii="Verdana" w:hAnsi="Verdana" w:cs="Arial"/>
          <w:noProof/>
          <w:lang w:val="es-ES_tradnl"/>
        </w:rPr>
      </w:pPr>
      <w:r w:rsidRPr="001119CA">
        <w:rPr>
          <w:rFonts w:ascii="Verdana" w:hAnsi="Verdana" w:cs="Arial"/>
          <w:lang w:val="es-MX"/>
        </w:rPr>
        <w:t xml:space="preserve">Además, sea para contratistas persona natural o persona jurídica, el inciso final del artículo 17 de la Ley 80 de 1993 dispone que “[…] </w:t>
      </w:r>
      <w:r w:rsidRPr="001119CA">
        <w:rPr>
          <w:rFonts w:ascii="Verdana" w:hAnsi="Verdana" w:cs="Arial"/>
          <w:color w:val="000000" w:themeColor="text1"/>
          <w:lang w:val="es-MX"/>
        </w:rPr>
        <w:t>en los casos a que se refieren los numerales 2o. y 3o. de este artículo podrá continuarse la ejecución con el garante de la obligación</w:t>
      </w:r>
      <w:r w:rsidRPr="001119CA">
        <w:rPr>
          <w:rFonts w:ascii="Verdana" w:hAnsi="Verdana" w:cs="Arial"/>
          <w:noProof/>
          <w:lang w:val="es-ES_tradnl"/>
        </w:rPr>
        <w:t xml:space="preserve">”. Es decir, si la persona natural muere o es declarada con incapacidad fisica permanente o si la persona jurídica se </w:t>
      </w:r>
      <w:r w:rsidRPr="001119CA">
        <w:rPr>
          <w:rFonts w:ascii="Verdana" w:hAnsi="Verdana" w:cs="Arial"/>
          <w:noProof/>
          <w:lang w:val="es-ES_tradnl"/>
        </w:rPr>
        <w:lastRenderedPageBreak/>
        <w:t xml:space="preserve">disuelve, la ejecución contractual puede continuar con el garante de la obligación. </w:t>
      </w:r>
    </w:p>
    <w:p w14:paraId="4EA70AF9" w14:textId="76219431" w:rsidR="00E60BF9" w:rsidRDefault="00E60BF9" w:rsidP="00EB5091">
      <w:pPr>
        <w:spacing w:after="0" w:line="276" w:lineRule="auto"/>
        <w:ind w:firstLine="709"/>
        <w:jc w:val="both"/>
        <w:rPr>
          <w:rFonts w:ascii="Verdana" w:hAnsi="Verdana" w:cs="Arial"/>
          <w:noProof/>
          <w:lang w:val="es-ES_tradnl"/>
        </w:rPr>
      </w:pPr>
      <w:r w:rsidRPr="001119CA">
        <w:rPr>
          <w:rFonts w:ascii="Verdana" w:hAnsi="Verdana" w:cs="Arial"/>
          <w:lang w:val="es-MX"/>
        </w:rPr>
        <w:t>Sobre la muerte del contratista persona natural</w:t>
      </w:r>
      <w:r w:rsidRPr="001119CA">
        <w:rPr>
          <w:rFonts w:ascii="Verdana" w:hAnsi="Verdana" w:cs="Arial"/>
          <w:noProof/>
          <w:lang w:val="es-ES_tradnl"/>
        </w:rPr>
        <w:t>, la doctrina se ha pronunciado en el sentido de avalar la procedencia de la aplicación de esta causal en los casos en los que se presenta la muerte del contratista. En este sentido el autor Pino Ricci ha manifestado:</w:t>
      </w:r>
    </w:p>
    <w:p w14:paraId="013F2526" w14:textId="77777777" w:rsidR="00EB5091" w:rsidRPr="001119CA" w:rsidRDefault="00EB5091" w:rsidP="003407E1">
      <w:pPr>
        <w:spacing w:after="0" w:line="276" w:lineRule="auto"/>
        <w:ind w:firstLine="709"/>
        <w:jc w:val="both"/>
        <w:rPr>
          <w:rFonts w:ascii="Verdana" w:hAnsi="Verdana" w:cs="Arial"/>
          <w:noProof/>
          <w:lang w:val="es-ES_tradnl"/>
        </w:rPr>
      </w:pPr>
    </w:p>
    <w:p w14:paraId="7A0A7AC6" w14:textId="77777777" w:rsidR="00E60BF9" w:rsidRPr="00A621F7" w:rsidRDefault="00E60BF9" w:rsidP="003407E1">
      <w:pPr>
        <w:pStyle w:val="Prrafodelista"/>
        <w:spacing w:after="0" w:line="240" w:lineRule="auto"/>
        <w:ind w:left="709" w:right="709"/>
        <w:jc w:val="both"/>
        <w:rPr>
          <w:rFonts w:ascii="Verdana" w:hAnsi="Verdana" w:cs="Arial"/>
          <w:sz w:val="20"/>
          <w:szCs w:val="20"/>
          <w:lang w:val="es-MX"/>
        </w:rPr>
      </w:pPr>
      <w:r>
        <w:rPr>
          <w:rFonts w:ascii="Verdana" w:hAnsi="Verdana" w:cs="Arial"/>
          <w:sz w:val="20"/>
          <w:szCs w:val="20"/>
          <w:lang w:val="es-MX"/>
        </w:rPr>
        <w:t>“</w:t>
      </w:r>
      <w:r w:rsidRPr="00A621F7">
        <w:rPr>
          <w:rFonts w:ascii="Verdana" w:hAnsi="Verdana" w:cs="Arial"/>
          <w:noProof/>
          <w:sz w:val="20"/>
          <w:szCs w:val="20"/>
          <w:lang w:val="es-ES_tradnl"/>
        </w:rPr>
        <w:t>La muerte del contratista genera la terminación unilateral del contrato. Las entidades estatales no pueden asumir las consecuencias de la muerte del contratista frente a sus derechos y obligaciones, particularmente lo relacionado con el juicio o trámite de la sucesión. En el caso de los consorcios y uniones temporales, la muerte de uno de sus integrantes también genera la terminación unilateral del contrato.</w:t>
      </w:r>
      <w:r>
        <w:rPr>
          <w:rFonts w:ascii="Verdana" w:hAnsi="Verdana" w:cs="Arial"/>
          <w:sz w:val="20"/>
          <w:szCs w:val="20"/>
          <w:lang w:val="es-MX"/>
        </w:rPr>
        <w:t>”</w:t>
      </w:r>
      <w:r w:rsidRPr="00A621F7">
        <w:rPr>
          <w:rFonts w:ascii="Verdana" w:hAnsi="Verdana"/>
          <w:noProof/>
          <w:sz w:val="20"/>
          <w:szCs w:val="20"/>
          <w:vertAlign w:val="superscript"/>
          <w:lang w:val="es-ES_tradnl"/>
        </w:rPr>
        <w:footnoteReference w:id="9"/>
      </w:r>
    </w:p>
    <w:p w14:paraId="7F150984" w14:textId="77777777" w:rsidR="00E60BF9" w:rsidRPr="0071334E" w:rsidRDefault="00E60BF9" w:rsidP="003407E1">
      <w:pPr>
        <w:pStyle w:val="Prrafodelista"/>
        <w:spacing w:after="0"/>
        <w:ind w:right="709" w:firstLine="709"/>
        <w:jc w:val="both"/>
        <w:rPr>
          <w:rFonts w:ascii="Verdana" w:hAnsi="Verdana" w:cs="Arial"/>
          <w:noProof/>
          <w:sz w:val="21"/>
          <w:szCs w:val="21"/>
          <w:lang w:val="es-ES_tradnl"/>
        </w:rPr>
      </w:pPr>
    </w:p>
    <w:p w14:paraId="651B1C70" w14:textId="26E0B2A0" w:rsidR="00E60BF9" w:rsidRDefault="00E60BF9" w:rsidP="0055353F">
      <w:pPr>
        <w:spacing w:after="0" w:line="276" w:lineRule="auto"/>
        <w:ind w:firstLine="709"/>
        <w:jc w:val="both"/>
        <w:rPr>
          <w:rFonts w:ascii="Verdana" w:hAnsi="Verdana" w:cs="Arial"/>
          <w:noProof/>
          <w:lang w:val="es-ES_tradnl"/>
        </w:rPr>
      </w:pPr>
      <w:r w:rsidRPr="001119CA">
        <w:rPr>
          <w:rFonts w:ascii="Verdana" w:hAnsi="Verdana" w:cs="Arial"/>
          <w:noProof/>
          <w:lang w:val="es-ES_tradnl"/>
        </w:rPr>
        <w:t>En el mismo sentido, Palacio Hincapié sostiene que la muerte justifica la terminación del contrato, así:</w:t>
      </w:r>
    </w:p>
    <w:p w14:paraId="15316ED5" w14:textId="77777777" w:rsidR="0055353F" w:rsidRPr="0071334E" w:rsidRDefault="0055353F" w:rsidP="003407E1">
      <w:pPr>
        <w:spacing w:after="0" w:line="276" w:lineRule="auto"/>
        <w:ind w:firstLine="709"/>
        <w:jc w:val="both"/>
        <w:rPr>
          <w:rFonts w:ascii="Verdana" w:hAnsi="Verdana" w:cs="Arial"/>
          <w:noProof/>
          <w:lang w:val="es-ES_tradnl"/>
        </w:rPr>
      </w:pPr>
    </w:p>
    <w:p w14:paraId="5C1EEEE5" w14:textId="77777777" w:rsidR="00E60BF9" w:rsidRPr="00A621F7" w:rsidRDefault="00E60BF9" w:rsidP="00E60BF9">
      <w:pPr>
        <w:pStyle w:val="Prrafodelista"/>
        <w:ind w:right="758"/>
        <w:jc w:val="both"/>
        <w:rPr>
          <w:rFonts w:ascii="Verdana" w:hAnsi="Verdana" w:cs="Arial"/>
          <w:sz w:val="20"/>
          <w:szCs w:val="20"/>
          <w:lang w:val="es-MX"/>
        </w:rPr>
      </w:pPr>
      <w:r>
        <w:rPr>
          <w:rFonts w:ascii="Verdana" w:hAnsi="Verdana" w:cs="Arial"/>
          <w:sz w:val="20"/>
          <w:szCs w:val="20"/>
          <w:lang w:val="es-MX"/>
        </w:rPr>
        <w:t>“</w:t>
      </w:r>
      <w:r w:rsidRPr="00A621F7">
        <w:rPr>
          <w:rFonts w:ascii="Verdana" w:hAnsi="Verdana" w:cs="Arial"/>
          <w:noProof/>
          <w:sz w:val="20"/>
          <w:szCs w:val="20"/>
          <w:lang w:val="es-ES_tradnl"/>
        </w:rPr>
        <w:t>La terminación unilateral en este evento no es una sanción al contratista, sino la simple reafirmación de que un contrato es intuito personae y no, como lo sostienen algunos, que es por la reducción a una sola parte, dando lugar a la terminación del vínculo; y no lo es porque las partes continúan para los efectos de la liquidación del contrato y para la responsabilidad a que haya lugar, ya que la Administración tendrá derechos y deberes en relación con los causahabientes del contratista</w:t>
      </w:r>
      <w:r>
        <w:rPr>
          <w:rFonts w:ascii="Verdana" w:hAnsi="Verdana" w:cs="Arial"/>
          <w:sz w:val="20"/>
          <w:szCs w:val="20"/>
          <w:lang w:val="es-MX"/>
        </w:rPr>
        <w:t>”</w:t>
      </w:r>
      <w:r w:rsidRPr="00A621F7">
        <w:rPr>
          <w:rFonts w:ascii="Verdana" w:hAnsi="Verdana" w:cs="Arial"/>
          <w:sz w:val="20"/>
          <w:szCs w:val="20"/>
          <w:lang w:val="es-MX"/>
        </w:rPr>
        <w:t>.</w:t>
      </w:r>
      <w:r w:rsidRPr="00A621F7">
        <w:rPr>
          <w:rFonts w:ascii="Verdana" w:hAnsi="Verdana"/>
          <w:noProof/>
          <w:sz w:val="20"/>
          <w:szCs w:val="20"/>
          <w:vertAlign w:val="superscript"/>
          <w:lang w:val="es-ES_tradnl"/>
        </w:rPr>
        <w:footnoteReference w:id="10"/>
      </w:r>
    </w:p>
    <w:p w14:paraId="29BFAAD9" w14:textId="77777777" w:rsidR="00E60BF9" w:rsidRPr="0071334E" w:rsidRDefault="00E60BF9" w:rsidP="00E60BF9">
      <w:pPr>
        <w:pStyle w:val="Prrafodelista"/>
        <w:spacing w:after="0" w:line="240" w:lineRule="auto"/>
        <w:ind w:right="709"/>
        <w:jc w:val="both"/>
        <w:rPr>
          <w:rFonts w:ascii="Verdana" w:hAnsi="Verdana" w:cs="Arial"/>
          <w:noProof/>
          <w:sz w:val="21"/>
          <w:szCs w:val="21"/>
          <w:lang w:val="es-ES_tradnl"/>
        </w:rPr>
      </w:pPr>
    </w:p>
    <w:p w14:paraId="390A10A3" w14:textId="77777777" w:rsidR="00E60BF9" w:rsidRPr="001119CA" w:rsidRDefault="00E60BF9" w:rsidP="00E60BF9">
      <w:pPr>
        <w:spacing w:after="120" w:line="276" w:lineRule="auto"/>
        <w:ind w:firstLine="709"/>
        <w:jc w:val="both"/>
        <w:rPr>
          <w:rFonts w:ascii="Verdana" w:hAnsi="Verdana" w:cs="Arial"/>
          <w:lang w:val="es-MX"/>
        </w:rPr>
      </w:pPr>
      <w:r w:rsidRPr="001119CA">
        <w:rPr>
          <w:rFonts w:ascii="Verdana" w:hAnsi="Verdana" w:cs="Arial"/>
          <w:noProof/>
          <w:lang w:val="es-ES_tradnl"/>
        </w:rPr>
        <w:t xml:space="preserve">Según estas consideraciones, la causal del numeral 2 del artículo 17 de la Ley 80 de 1993 resulta aplicable en aquellos eventos de deceso del contratista en virtud del carácter </w:t>
      </w:r>
      <w:r w:rsidRPr="001119CA">
        <w:rPr>
          <w:rFonts w:ascii="Verdana" w:hAnsi="Verdana" w:cs="Arial"/>
          <w:i/>
          <w:iCs/>
          <w:lang w:val="es-MX"/>
        </w:rPr>
        <w:t xml:space="preserve">intuito </w:t>
      </w:r>
      <w:proofErr w:type="spellStart"/>
      <w:r w:rsidRPr="001119CA">
        <w:rPr>
          <w:rFonts w:ascii="Verdana" w:hAnsi="Verdana" w:cs="Arial"/>
          <w:i/>
          <w:iCs/>
          <w:lang w:val="es-MX"/>
        </w:rPr>
        <w:t>personae</w:t>
      </w:r>
      <w:proofErr w:type="spellEnd"/>
      <w:r w:rsidRPr="001119CA">
        <w:rPr>
          <w:rFonts w:ascii="Verdana" w:hAnsi="Verdana" w:cs="Arial"/>
          <w:i/>
          <w:iCs/>
          <w:lang w:val="es-MX"/>
        </w:rPr>
        <w:t xml:space="preserve"> </w:t>
      </w:r>
      <w:r w:rsidRPr="001119CA">
        <w:rPr>
          <w:rFonts w:ascii="Verdana" w:hAnsi="Verdana" w:cs="Arial"/>
          <w:lang w:val="es-MX"/>
        </w:rPr>
        <w:t>del</w:t>
      </w:r>
      <w:r w:rsidRPr="001119CA">
        <w:rPr>
          <w:rFonts w:ascii="Verdana" w:hAnsi="Verdana" w:cs="Arial"/>
          <w:i/>
          <w:iCs/>
          <w:lang w:val="es-MX"/>
        </w:rPr>
        <w:t xml:space="preserve"> </w:t>
      </w:r>
      <w:r w:rsidRPr="001119CA">
        <w:rPr>
          <w:rFonts w:ascii="Verdana" w:hAnsi="Verdana" w:cs="Arial"/>
          <w:lang w:val="es-MX"/>
        </w:rPr>
        <w:t xml:space="preserve">contrato, que se vería afectado por la falta de una de las personas cuyas calidades, determinaron la escogencia como contratista. </w:t>
      </w:r>
    </w:p>
    <w:p w14:paraId="522D13D5" w14:textId="77777777" w:rsidR="00E60BF9" w:rsidRPr="001119CA" w:rsidRDefault="00E60BF9" w:rsidP="00E60BF9">
      <w:pPr>
        <w:spacing w:after="120" w:line="276" w:lineRule="auto"/>
        <w:ind w:firstLine="709"/>
        <w:jc w:val="both"/>
        <w:rPr>
          <w:rFonts w:ascii="Verdana" w:hAnsi="Verdana" w:cs="Arial"/>
          <w:noProof/>
          <w:lang w:val="es-ES_tradnl"/>
        </w:rPr>
      </w:pPr>
      <w:r w:rsidRPr="001119CA">
        <w:rPr>
          <w:rFonts w:ascii="Verdana" w:hAnsi="Verdana" w:cs="Arial"/>
          <w:lang w:val="es-MX"/>
        </w:rPr>
        <w:t xml:space="preserve">Lo anterior permite concluir, con apoyo en la doctrina, que, ante el deceso del contratista resultaría procedente el ejercicio de la potestad de terminación unilateral, considerando </w:t>
      </w:r>
      <w:r w:rsidRPr="001119CA">
        <w:rPr>
          <w:rFonts w:ascii="Verdana" w:hAnsi="Verdana" w:cs="Arial"/>
          <w:noProof/>
          <w:lang w:val="es-ES_tradnl"/>
        </w:rPr>
        <w:t xml:space="preserve">que la prestación de un servicio y el desarrollo de un contrato podrían afectarse gravemente por este hecho, el cual supone la ausencia de la persona encargada de ejecutar el contrato. En ese sentido, la </w:t>
      </w:r>
      <w:r w:rsidRPr="001119CA">
        <w:rPr>
          <w:rFonts w:ascii="Verdana" w:hAnsi="Verdana" w:cs="Arial"/>
          <w:noProof/>
          <w:lang w:val="es-ES_tradnl"/>
        </w:rPr>
        <w:lastRenderedPageBreak/>
        <w:t>facultad de dar por terminado de manera unilateral y anticipada el contrato se ofrece como una herramienta para que las entidades estatales puedan garantizar la continua prestación de servicios a su cargo y el cumplimiento de los fines del contrato.</w:t>
      </w:r>
    </w:p>
    <w:p w14:paraId="265EAB52" w14:textId="77777777" w:rsidR="00E60BF9" w:rsidRPr="001119CA" w:rsidRDefault="00E60BF9" w:rsidP="00E60BF9">
      <w:pPr>
        <w:spacing w:after="120" w:line="276" w:lineRule="auto"/>
        <w:ind w:firstLine="709"/>
        <w:jc w:val="both"/>
        <w:rPr>
          <w:rFonts w:ascii="Verdana" w:hAnsi="Verdana" w:cs="Arial"/>
          <w:noProof/>
          <w:lang w:val="es-ES_tradnl"/>
        </w:rPr>
      </w:pPr>
      <w:r w:rsidRPr="001119CA">
        <w:rPr>
          <w:rFonts w:ascii="Verdana" w:hAnsi="Verdana" w:cs="Arial"/>
          <w:noProof/>
          <w:lang w:val="es-ES_tradnl"/>
        </w:rPr>
        <w:t>Ahora bien, para efectos de la consulta realizada, es menester precisar que la normativa del Sistema de Compra Pública no establece un procedimiento reglado especificamente para la liquidación unilateral en eventos de muerte del contratista, ni la forma de realizar el pago de las sumas debidas a un contratista fallecido.</w:t>
      </w:r>
    </w:p>
    <w:p w14:paraId="18DF3392" w14:textId="24759887" w:rsidR="00E60BF9" w:rsidRDefault="00E60BF9" w:rsidP="0055353F">
      <w:pPr>
        <w:spacing w:after="0" w:line="276" w:lineRule="auto"/>
        <w:ind w:firstLine="709"/>
        <w:jc w:val="both"/>
        <w:rPr>
          <w:rFonts w:ascii="Verdana" w:hAnsi="Verdana" w:cs="Arial"/>
          <w:lang w:val="es-MX"/>
        </w:rPr>
      </w:pPr>
      <w:r w:rsidRPr="001119CA">
        <w:rPr>
          <w:rFonts w:ascii="Verdana" w:hAnsi="Verdana" w:cs="Arial"/>
          <w:lang w:val="es-ES_tradnl"/>
        </w:rPr>
        <w:t xml:space="preserve">De este modo, y concordancia con lo dispuesto en el artículo </w:t>
      </w:r>
      <w:r w:rsidRPr="001119CA">
        <w:rPr>
          <w:rFonts w:ascii="Verdana" w:hAnsi="Verdana" w:cs="Arial"/>
          <w:lang w:val="es-MX"/>
        </w:rPr>
        <w:t xml:space="preserve">8 de la Ley 153 de 1887, </w:t>
      </w:r>
      <w:r w:rsidRPr="001119CA">
        <w:rPr>
          <w:rFonts w:ascii="Verdana" w:hAnsi="Verdana" w:cs="Arial"/>
          <w:lang w:val="es-ES_tradnl"/>
        </w:rPr>
        <w:t xml:space="preserve">es viable que, ante el </w:t>
      </w:r>
      <w:r w:rsidRPr="001119CA">
        <w:rPr>
          <w:rFonts w:ascii="Verdana" w:hAnsi="Verdana" w:cs="Arial"/>
          <w:lang w:val="es-MX"/>
        </w:rPr>
        <w:t xml:space="preserve">vacío de regulación concreta en el planteamiento de la consulta, se acuda a la </w:t>
      </w:r>
      <w:proofErr w:type="spellStart"/>
      <w:r w:rsidRPr="001119CA">
        <w:rPr>
          <w:rFonts w:ascii="Verdana" w:hAnsi="Verdana" w:cs="Arial"/>
          <w:i/>
          <w:lang w:val="es-MX"/>
        </w:rPr>
        <w:t>analogia</w:t>
      </w:r>
      <w:proofErr w:type="spellEnd"/>
      <w:r w:rsidRPr="001119CA">
        <w:rPr>
          <w:rFonts w:ascii="Verdana" w:hAnsi="Verdana" w:cs="Arial"/>
          <w:i/>
          <w:lang w:val="es-MX"/>
        </w:rPr>
        <w:t xml:space="preserve"> </w:t>
      </w:r>
      <w:proofErr w:type="spellStart"/>
      <w:r w:rsidRPr="001119CA">
        <w:rPr>
          <w:rFonts w:ascii="Verdana" w:hAnsi="Verdana" w:cs="Arial"/>
          <w:i/>
          <w:lang w:val="es-MX"/>
        </w:rPr>
        <w:t>legis</w:t>
      </w:r>
      <w:proofErr w:type="spellEnd"/>
      <w:r w:rsidRPr="001119CA">
        <w:rPr>
          <w:rFonts w:ascii="Verdana" w:hAnsi="Verdana" w:cs="Arial"/>
          <w:i/>
          <w:lang w:val="es-MX"/>
        </w:rPr>
        <w:t xml:space="preserve">, </w:t>
      </w:r>
      <w:r w:rsidRPr="001119CA">
        <w:rPr>
          <w:rFonts w:ascii="Verdana" w:hAnsi="Verdana" w:cs="Arial"/>
          <w:lang w:val="es-MX"/>
        </w:rPr>
        <w:t xml:space="preserve">analizada por la Corte Constitucional, en los siguientes términos: </w:t>
      </w:r>
    </w:p>
    <w:p w14:paraId="4E6940E5" w14:textId="77777777" w:rsidR="0055353F" w:rsidRPr="001119CA" w:rsidRDefault="0055353F" w:rsidP="003407E1">
      <w:pPr>
        <w:spacing w:after="0" w:line="276" w:lineRule="auto"/>
        <w:ind w:firstLine="709"/>
        <w:jc w:val="both"/>
        <w:rPr>
          <w:rFonts w:ascii="Verdana" w:hAnsi="Verdana" w:cs="Arial"/>
          <w:lang w:val="es-MX"/>
        </w:rPr>
      </w:pPr>
    </w:p>
    <w:p w14:paraId="45CA2628" w14:textId="77777777" w:rsidR="00E60BF9" w:rsidRPr="00A621F7" w:rsidRDefault="00E60BF9" w:rsidP="003407E1">
      <w:pPr>
        <w:pStyle w:val="Prrafodelista"/>
        <w:spacing w:after="0"/>
        <w:ind w:left="709" w:right="709"/>
        <w:jc w:val="both"/>
        <w:rPr>
          <w:rFonts w:ascii="Verdana" w:hAnsi="Verdana" w:cs="Arial"/>
          <w:sz w:val="20"/>
          <w:szCs w:val="20"/>
          <w:lang w:val="es-MX"/>
        </w:rPr>
      </w:pPr>
      <w:r>
        <w:rPr>
          <w:rFonts w:ascii="Verdana" w:hAnsi="Verdana" w:cs="Arial"/>
          <w:sz w:val="20"/>
          <w:szCs w:val="20"/>
          <w:lang w:val="es-MX"/>
        </w:rPr>
        <w:t>“</w:t>
      </w:r>
      <w:r w:rsidRPr="00A621F7">
        <w:rPr>
          <w:rFonts w:ascii="Verdana" w:hAnsi="Verdana" w:cs="Arial"/>
          <w:sz w:val="20"/>
          <w:szCs w:val="20"/>
          <w:lang w:val="es-MX"/>
        </w:rPr>
        <w:t xml:space="preserve">La analogía es la aplicación de la ley a situaciones no contempladas expresamente en ella, pero que sólo difieren de las que sí lo están en aspectos jurídicamente irrelevantes, es decir, ajenos a aquéllos que explican y fundamentan la ratio </w:t>
      </w:r>
      <w:proofErr w:type="spellStart"/>
      <w:r w:rsidRPr="00A621F7">
        <w:rPr>
          <w:rFonts w:ascii="Verdana" w:hAnsi="Verdana" w:cs="Arial"/>
          <w:sz w:val="20"/>
          <w:szCs w:val="20"/>
          <w:lang w:val="es-MX"/>
        </w:rPr>
        <w:t>juris</w:t>
      </w:r>
      <w:proofErr w:type="spellEnd"/>
      <w:r w:rsidRPr="00A621F7">
        <w:rPr>
          <w:rFonts w:ascii="Verdana" w:hAnsi="Verdana" w:cs="Arial"/>
          <w:sz w:val="20"/>
          <w:szCs w:val="20"/>
          <w:lang w:val="es-MX"/>
        </w:rPr>
        <w:t xml:space="preserve"> o razón de ser de la norma. La consagración positiva de la analogía halla su justificación en el principio de igualdad, base a la vez de la justicia, pues, en función de ésta, los seres y las situaciones iguales deben recibir un tratamiento igual. Discernir los aspectos relevantes de los irrelevantes implica, desde luego, un esfuerzo interpretativo que en nada difiere del que ordinariamente tiene que realizar el juez para determinar si un caso particular es o no subsumible en una norma de carácter general. La analogía no constituye una fuente autónoma, diferente de la legislación. El juez que acude a ella no hace nada distinto de atenerse al imperio de la ley. Su consagración en la disposición que se examina resulta, pues, a tono con el artículo 230 de la Constitución (…) Cuando el juez razona por analogía, aplica la ley a una situación no contemplada explícitamente en ella, pero esencialmente igual, para los efectos de su regulación jurídica, a la que sí lo está. Esta modalidad se conoce en doctrina como </w:t>
      </w:r>
      <w:proofErr w:type="spellStart"/>
      <w:r w:rsidRPr="00A621F7">
        <w:rPr>
          <w:rFonts w:ascii="Verdana" w:hAnsi="Verdana" w:cs="Arial"/>
          <w:sz w:val="20"/>
          <w:szCs w:val="20"/>
          <w:lang w:val="es-MX"/>
        </w:rPr>
        <w:t>analogia</w:t>
      </w:r>
      <w:proofErr w:type="spellEnd"/>
      <w:r w:rsidRPr="00A621F7">
        <w:rPr>
          <w:rFonts w:ascii="Verdana" w:hAnsi="Verdana" w:cs="Arial"/>
          <w:sz w:val="20"/>
          <w:szCs w:val="20"/>
          <w:lang w:val="es-MX"/>
        </w:rPr>
        <w:t xml:space="preserve"> </w:t>
      </w:r>
      <w:proofErr w:type="spellStart"/>
      <w:r w:rsidRPr="00A621F7">
        <w:rPr>
          <w:rFonts w:ascii="Verdana" w:hAnsi="Verdana" w:cs="Arial"/>
          <w:sz w:val="20"/>
          <w:szCs w:val="20"/>
          <w:lang w:val="es-MX"/>
        </w:rPr>
        <w:t>legis</w:t>
      </w:r>
      <w:proofErr w:type="spellEnd"/>
      <w:r w:rsidRPr="00A621F7">
        <w:rPr>
          <w:rFonts w:ascii="Verdana" w:hAnsi="Verdana" w:cs="Arial"/>
          <w:sz w:val="20"/>
          <w:szCs w:val="20"/>
          <w:lang w:val="es-MX"/>
        </w:rPr>
        <w:t xml:space="preserve">, y se la contrasta con la </w:t>
      </w:r>
      <w:proofErr w:type="spellStart"/>
      <w:r w:rsidRPr="00A621F7">
        <w:rPr>
          <w:rFonts w:ascii="Verdana" w:hAnsi="Verdana" w:cs="Arial"/>
          <w:sz w:val="20"/>
          <w:szCs w:val="20"/>
          <w:lang w:val="es-MX"/>
        </w:rPr>
        <w:t>analogia</w:t>
      </w:r>
      <w:proofErr w:type="spellEnd"/>
      <w:r w:rsidRPr="00A621F7">
        <w:rPr>
          <w:rFonts w:ascii="Verdana" w:hAnsi="Verdana" w:cs="Arial"/>
          <w:sz w:val="20"/>
          <w:szCs w:val="20"/>
          <w:lang w:val="es-MX"/>
        </w:rPr>
        <w:t xml:space="preserve"> </w:t>
      </w:r>
      <w:proofErr w:type="spellStart"/>
      <w:r w:rsidRPr="00A621F7">
        <w:rPr>
          <w:rFonts w:ascii="Verdana" w:hAnsi="Verdana" w:cs="Arial"/>
          <w:sz w:val="20"/>
          <w:szCs w:val="20"/>
          <w:lang w:val="es-MX"/>
        </w:rPr>
        <w:t>juris</w:t>
      </w:r>
      <w:proofErr w:type="spellEnd"/>
      <w:r w:rsidRPr="00A621F7">
        <w:rPr>
          <w:rFonts w:ascii="Verdana" w:hAnsi="Verdana" w:cs="Arial"/>
          <w:sz w:val="20"/>
          <w:szCs w:val="20"/>
          <w:lang w:val="es-MX"/>
        </w:rPr>
        <w:t xml:space="preserve"> en la cual, a partir de diversas disposiciones del ordenamiento, se extraen los principios generales que las informan, por una suerte de inducción, y se aplican a casos o situaciones no previstas de modo expreso en una norma determinada</w:t>
      </w:r>
      <w:r>
        <w:rPr>
          <w:rFonts w:ascii="Verdana" w:hAnsi="Verdana" w:cs="Arial"/>
          <w:sz w:val="20"/>
          <w:szCs w:val="20"/>
          <w:lang w:val="es-MX"/>
        </w:rPr>
        <w:t>”</w:t>
      </w:r>
      <w:r w:rsidRPr="00A621F7">
        <w:rPr>
          <w:rFonts w:ascii="Verdana" w:hAnsi="Verdana"/>
          <w:sz w:val="20"/>
          <w:szCs w:val="20"/>
          <w:vertAlign w:val="superscript"/>
          <w:lang w:val="es-MX"/>
        </w:rPr>
        <w:footnoteReference w:id="11"/>
      </w:r>
      <w:r w:rsidRPr="00A621F7">
        <w:rPr>
          <w:rFonts w:ascii="Verdana" w:hAnsi="Verdana" w:cs="Arial"/>
          <w:sz w:val="20"/>
          <w:szCs w:val="20"/>
          <w:lang w:val="es-MX"/>
        </w:rPr>
        <w:t>.</w:t>
      </w:r>
    </w:p>
    <w:p w14:paraId="7EE095CF" w14:textId="77777777" w:rsidR="0055353F" w:rsidRDefault="0055353F" w:rsidP="003407E1">
      <w:pPr>
        <w:spacing w:after="0" w:line="276" w:lineRule="auto"/>
        <w:ind w:firstLine="709"/>
        <w:jc w:val="both"/>
        <w:rPr>
          <w:rFonts w:ascii="Verdana" w:hAnsi="Verdana" w:cs="Arial"/>
          <w:noProof/>
          <w:lang w:val="es-ES_tradnl"/>
        </w:rPr>
      </w:pPr>
    </w:p>
    <w:p w14:paraId="77269642" w14:textId="36EB6077" w:rsidR="00E60BF9" w:rsidRPr="001119CA" w:rsidRDefault="00E60BF9" w:rsidP="003407E1">
      <w:pPr>
        <w:spacing w:after="0" w:line="276" w:lineRule="auto"/>
        <w:ind w:firstLine="709"/>
        <w:jc w:val="both"/>
        <w:rPr>
          <w:rFonts w:ascii="Verdana" w:hAnsi="Verdana" w:cs="Arial"/>
          <w:lang w:val="es-ES_tradnl"/>
        </w:rPr>
      </w:pPr>
      <w:r w:rsidRPr="001119CA">
        <w:rPr>
          <w:rFonts w:ascii="Verdana" w:hAnsi="Verdana" w:cs="Arial"/>
          <w:noProof/>
          <w:lang w:val="es-ES_tradnl"/>
        </w:rPr>
        <w:lastRenderedPageBreak/>
        <w:t xml:space="preserve">Lo anterior, en concordancia con lo dispuesto en los artículos 1008 y 1155 del Código Civil, ya que los sucesores, sean herederos y/o legatarios, se convierten en acreedores de los deudores que tuviera el causante al momento de su muerte, pues representan al difunto para sucederle en todos sus bienes, derechos y obligaciones transmisibles. De este modo, en aquellos eventos en los cuales con ocasión de la liquidación se generen saldos a favor del contratista, estos integran su masa sucesoral y por lo tanto, sus herederos y/o legatarios podrían tener derecho a reclamar dichas sumas de dinero. </w:t>
      </w:r>
      <w:r w:rsidRPr="001119CA">
        <w:rPr>
          <w:rFonts w:ascii="Verdana" w:hAnsi="Verdana" w:cs="Arial"/>
          <w:lang w:val="es-ES_tradnl"/>
        </w:rPr>
        <w:t xml:space="preserve">Al respecto, la </w:t>
      </w:r>
      <w:r w:rsidRPr="001119CA">
        <w:rPr>
          <w:rFonts w:ascii="Verdana" w:hAnsi="Verdana" w:cs="Arial"/>
          <w:lang w:val="es-MX"/>
        </w:rPr>
        <w:t>Sala de lo Contencioso Administrativo del Consejo de Estado expresó:</w:t>
      </w:r>
    </w:p>
    <w:p w14:paraId="1E5F57FE" w14:textId="77777777" w:rsidR="00E60BF9" w:rsidRPr="0071334E" w:rsidRDefault="00E60BF9" w:rsidP="003407E1">
      <w:pPr>
        <w:pStyle w:val="Prrafodelista"/>
        <w:spacing w:after="0"/>
        <w:ind w:left="0"/>
        <w:rPr>
          <w:rFonts w:ascii="Verdana" w:hAnsi="Verdana" w:cs="Arial"/>
          <w:lang w:val="es-ES_tradnl"/>
        </w:rPr>
      </w:pPr>
    </w:p>
    <w:p w14:paraId="4ABF620C" w14:textId="77777777" w:rsidR="00E60BF9" w:rsidRDefault="00E60BF9" w:rsidP="003407E1">
      <w:pPr>
        <w:pStyle w:val="Prrafodelista"/>
        <w:tabs>
          <w:tab w:val="left" w:pos="426"/>
        </w:tabs>
        <w:spacing w:after="0"/>
        <w:ind w:left="709" w:right="709"/>
        <w:jc w:val="both"/>
        <w:rPr>
          <w:rFonts w:ascii="Verdana" w:hAnsi="Verdana" w:cs="Arial"/>
          <w:sz w:val="20"/>
          <w:szCs w:val="20"/>
          <w:lang w:val="es-MX"/>
        </w:rPr>
      </w:pPr>
      <w:r>
        <w:rPr>
          <w:rFonts w:ascii="Verdana" w:hAnsi="Verdana" w:cs="Arial"/>
          <w:sz w:val="20"/>
          <w:szCs w:val="20"/>
          <w:lang w:val="es-MX"/>
        </w:rPr>
        <w:t>“</w:t>
      </w:r>
      <w:r w:rsidRPr="0071334E">
        <w:rPr>
          <w:rFonts w:ascii="Verdana" w:hAnsi="Verdana" w:cs="Arial"/>
          <w:sz w:val="20"/>
          <w:szCs w:val="20"/>
          <w:lang w:val="es-MX"/>
        </w:rPr>
        <w:t>En relación con lo anterior la Sala advierte que, en efecto, en la sucesión por causa de muerte a título universal, “se sucede al difunto en todos sus bienes, derechos y obligaciones transmisibles” con lo cual los herederos pueden ocupar la posición contractual del causante en el contrato y convertirse en los titulares de los derechos y las obligaciones pactadas en el mismo. Ello no podía ocurrir en este caso, porque el contrato terminó como consecuencia de un acto administrativo vigente proferido por la entidad estatal Contratante como consecuencia de la muerte del causante. Sus herederos no podían incluir como activo transmisible en la sucesión los derechos del causante en el contrato; lo que podían haber incluido eran los derechos resultantes de la liquidación del contrato</w:t>
      </w:r>
      <w:r>
        <w:rPr>
          <w:rFonts w:ascii="Verdana" w:hAnsi="Verdana" w:cs="Arial"/>
          <w:sz w:val="20"/>
          <w:szCs w:val="20"/>
          <w:lang w:val="es-MX"/>
        </w:rPr>
        <w:t>”</w:t>
      </w:r>
      <w:r w:rsidRPr="0071334E">
        <w:rPr>
          <w:rFonts w:ascii="Verdana" w:hAnsi="Verdana"/>
          <w:sz w:val="20"/>
          <w:szCs w:val="20"/>
          <w:vertAlign w:val="superscript"/>
          <w:lang w:val="es-MX"/>
        </w:rPr>
        <w:footnoteReference w:id="12"/>
      </w:r>
      <w:r w:rsidRPr="0071334E">
        <w:rPr>
          <w:rFonts w:ascii="Verdana" w:hAnsi="Verdana" w:cs="Arial"/>
          <w:sz w:val="20"/>
          <w:szCs w:val="20"/>
          <w:lang w:val="es-MX"/>
        </w:rPr>
        <w:t>.</w:t>
      </w:r>
    </w:p>
    <w:p w14:paraId="2B2137BC" w14:textId="77777777" w:rsidR="00E60BF9" w:rsidRDefault="00E60BF9" w:rsidP="003407E1">
      <w:pPr>
        <w:pStyle w:val="Prrafodelista"/>
        <w:tabs>
          <w:tab w:val="left" w:pos="426"/>
        </w:tabs>
        <w:spacing w:after="0" w:line="276" w:lineRule="auto"/>
        <w:ind w:left="1491" w:right="357" w:firstLine="709"/>
        <w:jc w:val="both"/>
        <w:rPr>
          <w:rFonts w:ascii="Verdana" w:hAnsi="Verdana" w:cs="Arial"/>
          <w:sz w:val="20"/>
          <w:szCs w:val="20"/>
          <w:lang w:val="es-MX"/>
        </w:rPr>
      </w:pPr>
    </w:p>
    <w:p w14:paraId="3463E4D0" w14:textId="66279E6A" w:rsidR="00E60BF9" w:rsidRPr="001119CA" w:rsidRDefault="00E60BF9" w:rsidP="00E60BF9">
      <w:pPr>
        <w:spacing w:after="120" w:line="276" w:lineRule="auto"/>
        <w:ind w:firstLine="709"/>
        <w:jc w:val="both"/>
        <w:rPr>
          <w:rFonts w:ascii="Verdana" w:hAnsi="Verdana" w:cs="Arial"/>
          <w:lang w:val="es-ES_tradnl" w:eastAsia="es-ES"/>
        </w:rPr>
      </w:pPr>
      <w:r w:rsidRPr="001119CA">
        <w:rPr>
          <w:rFonts w:ascii="Verdana" w:hAnsi="Verdana" w:cs="Arial"/>
          <w:lang w:val="es-MX"/>
        </w:rPr>
        <w:t xml:space="preserve">Finalmente, se puede afirmar que </w:t>
      </w:r>
      <w:r w:rsidRPr="001119CA">
        <w:rPr>
          <w:rFonts w:ascii="Verdana" w:hAnsi="Verdana" w:cs="Arial"/>
          <w:lang w:val="es-ES_tradnl" w:eastAsia="es-ES"/>
        </w:rPr>
        <w:t xml:space="preserve">la </w:t>
      </w:r>
      <w:r w:rsidRPr="001119CA">
        <w:rPr>
          <w:rFonts w:ascii="Verdana" w:hAnsi="Verdana" w:cs="Arial"/>
          <w:iCs/>
          <w:color w:val="000000"/>
          <w:lang w:val="es-MX" w:eastAsia="es-CO"/>
        </w:rPr>
        <w:t xml:space="preserve">muerte o incapacidad física permanente del contratista, si es persona natural </w:t>
      </w:r>
      <w:r w:rsidRPr="001119CA">
        <w:rPr>
          <w:rFonts w:ascii="Verdana" w:hAnsi="Verdana" w:cs="Arial"/>
          <w:lang w:val="es-ES_tradnl" w:eastAsia="es-ES"/>
        </w:rPr>
        <w:t xml:space="preserve">constituye un hecho que impide la liquidación bilateral por las razones ya expuestas en el desarrollo de este concepto para la terminación unilateral y tal sentido la entidad estatal tiene la facultad de liquidarlo unilateralmente durante el término de </w:t>
      </w:r>
      <w:r w:rsidR="0055353F">
        <w:rPr>
          <w:rFonts w:ascii="Verdana" w:hAnsi="Verdana" w:cs="Arial"/>
          <w:lang w:val="es-ES_tradnl" w:eastAsia="es-ES"/>
        </w:rPr>
        <w:t>dos (</w:t>
      </w:r>
      <w:r w:rsidRPr="001119CA">
        <w:rPr>
          <w:rFonts w:ascii="Verdana" w:hAnsi="Verdana" w:cs="Arial"/>
          <w:lang w:val="es-ES_tradnl" w:eastAsia="es-ES"/>
        </w:rPr>
        <w:t>2</w:t>
      </w:r>
      <w:r w:rsidR="0055353F">
        <w:rPr>
          <w:rFonts w:ascii="Verdana" w:hAnsi="Verdana" w:cs="Arial"/>
          <w:lang w:val="es-ES_tradnl" w:eastAsia="es-ES"/>
        </w:rPr>
        <w:t>)</w:t>
      </w:r>
      <w:r w:rsidRPr="001119CA">
        <w:rPr>
          <w:rFonts w:ascii="Verdana" w:hAnsi="Verdana" w:cs="Arial"/>
          <w:lang w:val="es-ES_tradnl" w:eastAsia="es-ES"/>
        </w:rPr>
        <w:t xml:space="preserve"> meses contados a partir del vencimiento del plazo que acuerden las partes para efectuar la liquidación bilateralmente, o ante el silencio de estas, del vencimiento de los </w:t>
      </w:r>
      <w:r w:rsidR="0055353F">
        <w:rPr>
          <w:rFonts w:ascii="Verdana" w:hAnsi="Verdana" w:cs="Arial"/>
          <w:lang w:val="es-ES_tradnl" w:eastAsia="es-ES"/>
        </w:rPr>
        <w:t>cuatro (</w:t>
      </w:r>
      <w:r w:rsidRPr="001119CA">
        <w:rPr>
          <w:rFonts w:ascii="Verdana" w:hAnsi="Verdana" w:cs="Arial"/>
          <w:lang w:val="es-ES_tradnl" w:eastAsia="es-ES"/>
        </w:rPr>
        <w:t>4</w:t>
      </w:r>
      <w:r w:rsidR="0055353F">
        <w:rPr>
          <w:rFonts w:ascii="Verdana" w:hAnsi="Verdana" w:cs="Arial"/>
          <w:lang w:val="es-ES_tradnl" w:eastAsia="es-ES"/>
        </w:rPr>
        <w:t>)</w:t>
      </w:r>
      <w:r w:rsidRPr="001119CA">
        <w:rPr>
          <w:rFonts w:ascii="Verdana" w:hAnsi="Verdana" w:cs="Arial"/>
          <w:lang w:val="es-ES_tradnl" w:eastAsia="es-ES"/>
        </w:rPr>
        <w:t xml:space="preserve"> meses supletivos establecidos en la Ley. En todo caso, transcurridos estos </w:t>
      </w:r>
      <w:r w:rsidR="0055353F">
        <w:rPr>
          <w:rFonts w:ascii="Verdana" w:hAnsi="Verdana" w:cs="Arial"/>
          <w:lang w:val="es-ES_tradnl" w:eastAsia="es-ES"/>
        </w:rPr>
        <w:t>dos (</w:t>
      </w:r>
      <w:r w:rsidRPr="001119CA">
        <w:rPr>
          <w:rFonts w:ascii="Verdana" w:hAnsi="Verdana" w:cs="Arial"/>
          <w:lang w:val="es-ES_tradnl" w:eastAsia="es-ES"/>
        </w:rPr>
        <w:t>2</w:t>
      </w:r>
      <w:r w:rsidR="0055353F">
        <w:rPr>
          <w:rFonts w:ascii="Verdana" w:hAnsi="Verdana" w:cs="Arial"/>
          <w:lang w:val="es-ES_tradnl" w:eastAsia="es-ES"/>
        </w:rPr>
        <w:t>)</w:t>
      </w:r>
      <w:r w:rsidRPr="001119CA">
        <w:rPr>
          <w:rFonts w:ascii="Verdana" w:hAnsi="Verdana" w:cs="Arial"/>
          <w:lang w:val="es-ES_tradnl" w:eastAsia="es-ES"/>
        </w:rPr>
        <w:t xml:space="preserve"> meses, la liquidación podrá ser realizada en cualquier tiempo, dentro de los dos años siguientes al vencimiento del término referido. </w:t>
      </w:r>
    </w:p>
    <w:p w14:paraId="774DDE45" w14:textId="77777777" w:rsidR="00E60BF9" w:rsidRPr="001119CA" w:rsidRDefault="00E60BF9" w:rsidP="003407E1">
      <w:pPr>
        <w:spacing w:after="0" w:line="276" w:lineRule="auto"/>
        <w:ind w:firstLine="709"/>
        <w:jc w:val="both"/>
        <w:rPr>
          <w:rFonts w:ascii="Verdana" w:hAnsi="Verdana" w:cs="Arial"/>
          <w:noProof/>
          <w:lang w:val="es-ES_tradnl"/>
        </w:rPr>
      </w:pPr>
      <w:r w:rsidRPr="001119CA">
        <w:rPr>
          <w:rFonts w:ascii="Verdana" w:hAnsi="Verdana" w:cs="Arial"/>
          <w:noProof/>
          <w:lang w:val="es-ES_tradnl"/>
        </w:rPr>
        <w:t>De este modo, conforme a lo considerado en el presente concepto, en la liquidación unilteral se deberá proceder a realizar las respectivas indemnizaciones, compensaciones y reajustes a los que haya lugar en favor de los involucrados, como, por ejemplo, los causababientes del fallecido.</w:t>
      </w:r>
    </w:p>
    <w:p w14:paraId="0154EDB0" w14:textId="77777777" w:rsidR="00E60BF9" w:rsidRPr="0071334E" w:rsidRDefault="00E60BF9" w:rsidP="003407E1">
      <w:pPr>
        <w:pStyle w:val="Prrafodelista"/>
        <w:tabs>
          <w:tab w:val="left" w:pos="426"/>
        </w:tabs>
        <w:spacing w:after="0" w:line="240" w:lineRule="auto"/>
        <w:ind w:right="357"/>
        <w:jc w:val="both"/>
        <w:rPr>
          <w:rFonts w:ascii="Verdana" w:hAnsi="Verdana" w:cs="Arial"/>
          <w:sz w:val="20"/>
          <w:szCs w:val="20"/>
          <w:lang w:val="es-MX"/>
        </w:rPr>
      </w:pPr>
    </w:p>
    <w:p w14:paraId="322F2CB7" w14:textId="77777777" w:rsidR="00E60BF9" w:rsidRPr="0071334E" w:rsidRDefault="00E60BF9" w:rsidP="003407E1">
      <w:pPr>
        <w:pStyle w:val="Prrafodelista"/>
        <w:numPr>
          <w:ilvl w:val="0"/>
          <w:numId w:val="16"/>
        </w:numPr>
        <w:tabs>
          <w:tab w:val="left" w:pos="142"/>
          <w:tab w:val="left" w:pos="284"/>
        </w:tabs>
        <w:spacing w:after="0" w:line="276" w:lineRule="auto"/>
        <w:ind w:left="720" w:firstLine="0"/>
        <w:contextualSpacing w:val="0"/>
        <w:jc w:val="both"/>
        <w:rPr>
          <w:rFonts w:ascii="Verdana" w:eastAsia="Century Gothic" w:hAnsi="Verdana" w:cs="Century Gothic"/>
          <w:b/>
          <w:bCs/>
        </w:rPr>
      </w:pPr>
      <w:r w:rsidRPr="0071334E">
        <w:rPr>
          <w:rFonts w:ascii="Verdana" w:eastAsia="Century Gothic" w:hAnsi="Verdana" w:cs="Century Gothic"/>
          <w:b/>
          <w:bCs/>
        </w:rPr>
        <w:t>Referencias normativas, jurisprudenciales y otras fuentes:</w:t>
      </w:r>
    </w:p>
    <w:p w14:paraId="56D32FAA" w14:textId="77777777" w:rsidR="00E60BF9" w:rsidRPr="0071334E" w:rsidRDefault="00E60BF9" w:rsidP="003407E1">
      <w:pPr>
        <w:widowControl w:val="0"/>
        <w:autoSpaceDE w:val="0"/>
        <w:autoSpaceDN w:val="0"/>
        <w:spacing w:after="0" w:line="276" w:lineRule="auto"/>
        <w:ind w:left="720"/>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60BF9" w:rsidRPr="0071334E" w14:paraId="3C41D5A1" w14:textId="77777777" w:rsidTr="000D4731">
        <w:trPr>
          <w:trHeight w:val="870"/>
        </w:trPr>
        <w:tc>
          <w:tcPr>
            <w:tcW w:w="8647" w:type="dxa"/>
          </w:tcPr>
          <w:p w14:paraId="7ED86129" w14:textId="77777777" w:rsidR="00E60BF9" w:rsidRPr="00291D8F" w:rsidRDefault="00E60BF9" w:rsidP="003407E1">
            <w:pPr>
              <w:pStyle w:val="Prrafodelista"/>
              <w:widowControl w:val="0"/>
              <w:numPr>
                <w:ilvl w:val="0"/>
                <w:numId w:val="17"/>
              </w:numPr>
              <w:autoSpaceDE w:val="0"/>
              <w:autoSpaceDN w:val="0"/>
              <w:spacing w:line="276" w:lineRule="auto"/>
              <w:jc w:val="both"/>
              <w:rPr>
                <w:rFonts w:ascii="Verdana" w:hAnsi="Verdana" w:cs="Arial"/>
              </w:rPr>
            </w:pPr>
            <w:r w:rsidRPr="00272E0E">
              <w:rPr>
                <w:rFonts w:ascii="Verdana" w:hAnsi="Verdana" w:cs="Arial"/>
              </w:rPr>
              <w:t>Código Civil: artículos 1008 y 1155.</w:t>
            </w:r>
          </w:p>
          <w:p w14:paraId="4E1466AB" w14:textId="77777777" w:rsidR="00E60BF9" w:rsidRPr="00291D8F" w:rsidRDefault="00E60BF9" w:rsidP="003407E1">
            <w:pPr>
              <w:pStyle w:val="Prrafodelista"/>
              <w:widowControl w:val="0"/>
              <w:numPr>
                <w:ilvl w:val="0"/>
                <w:numId w:val="17"/>
              </w:numPr>
              <w:autoSpaceDE w:val="0"/>
              <w:autoSpaceDN w:val="0"/>
              <w:spacing w:line="276" w:lineRule="auto"/>
              <w:jc w:val="both"/>
              <w:rPr>
                <w:rFonts w:ascii="Verdana" w:hAnsi="Verdana" w:cs="Arial"/>
              </w:rPr>
            </w:pPr>
            <w:r w:rsidRPr="00272E0E">
              <w:rPr>
                <w:rFonts w:ascii="Verdana" w:hAnsi="Verdana" w:cs="Arial"/>
                <w:lang w:val="es-MX"/>
              </w:rPr>
              <w:t xml:space="preserve">Ley 153 de 1887: </w:t>
            </w:r>
            <w:r w:rsidRPr="00272E0E">
              <w:rPr>
                <w:rFonts w:ascii="Verdana" w:hAnsi="Verdana" w:cs="Arial"/>
                <w:lang w:val="es-ES_tradnl"/>
              </w:rPr>
              <w:t xml:space="preserve">artículo </w:t>
            </w:r>
            <w:r w:rsidRPr="00272E0E">
              <w:rPr>
                <w:rFonts w:ascii="Verdana" w:hAnsi="Verdana" w:cs="Arial"/>
                <w:lang w:val="es-MX"/>
              </w:rPr>
              <w:t>8.</w:t>
            </w:r>
          </w:p>
          <w:p w14:paraId="7FB382DD" w14:textId="77777777" w:rsidR="00E60BF9" w:rsidRPr="00272E0E" w:rsidRDefault="00E60BF9" w:rsidP="003407E1">
            <w:pPr>
              <w:pStyle w:val="Prrafodelista"/>
              <w:widowControl w:val="0"/>
              <w:numPr>
                <w:ilvl w:val="0"/>
                <w:numId w:val="17"/>
              </w:numPr>
              <w:autoSpaceDE w:val="0"/>
              <w:autoSpaceDN w:val="0"/>
              <w:spacing w:line="276" w:lineRule="auto"/>
              <w:jc w:val="both"/>
              <w:rPr>
                <w:rFonts w:ascii="Verdana" w:hAnsi="Verdana" w:cs="Arial"/>
              </w:rPr>
            </w:pPr>
            <w:r w:rsidRPr="00272E0E">
              <w:rPr>
                <w:rFonts w:ascii="Verdana" w:hAnsi="Verdana" w:cs="Arial"/>
              </w:rPr>
              <w:t xml:space="preserve">Ley </w:t>
            </w:r>
            <w:r w:rsidRPr="00272E0E">
              <w:rPr>
                <w:rFonts w:ascii="Verdana" w:hAnsi="Verdana" w:cs="Arial"/>
                <w:lang w:val="es-MX"/>
              </w:rPr>
              <w:t xml:space="preserve">80 de 1993: artículos 3, </w:t>
            </w:r>
            <w:r>
              <w:rPr>
                <w:rFonts w:ascii="Verdana" w:hAnsi="Verdana" w:cs="Arial"/>
                <w:lang w:val="es-MX"/>
              </w:rPr>
              <w:t xml:space="preserve">13, </w:t>
            </w:r>
            <w:r w:rsidRPr="00272E0E">
              <w:rPr>
                <w:rFonts w:ascii="Verdana" w:hAnsi="Verdana" w:cs="Arial"/>
                <w:lang w:val="es-MX"/>
              </w:rPr>
              <w:t xml:space="preserve">14 numeral 2, 17, y </w:t>
            </w:r>
            <w:r w:rsidRPr="00272E0E">
              <w:rPr>
                <w:rFonts w:ascii="Verdana" w:hAnsi="Verdana" w:cs="Arial"/>
              </w:rPr>
              <w:t>41</w:t>
            </w:r>
            <w:r w:rsidRPr="00272E0E">
              <w:rPr>
                <w:rFonts w:ascii="Verdana" w:hAnsi="Verdana" w:cs="Arial"/>
                <w:lang w:val="es-MX"/>
              </w:rPr>
              <w:t xml:space="preserve"> </w:t>
            </w:r>
            <w:r w:rsidRPr="00272E0E">
              <w:rPr>
                <w:rFonts w:ascii="Verdana" w:hAnsi="Verdana" w:cs="Arial"/>
              </w:rPr>
              <w:t>inciso 3º.</w:t>
            </w:r>
          </w:p>
          <w:p w14:paraId="24B042D6" w14:textId="77777777" w:rsidR="00E60BF9" w:rsidRPr="00272E0E" w:rsidRDefault="00E60BF9" w:rsidP="003407E1">
            <w:pPr>
              <w:pStyle w:val="Prrafodelista"/>
              <w:widowControl w:val="0"/>
              <w:numPr>
                <w:ilvl w:val="0"/>
                <w:numId w:val="17"/>
              </w:numPr>
              <w:autoSpaceDE w:val="0"/>
              <w:autoSpaceDN w:val="0"/>
              <w:spacing w:line="276" w:lineRule="auto"/>
              <w:jc w:val="both"/>
              <w:rPr>
                <w:rFonts w:ascii="Verdana" w:hAnsi="Verdana" w:cs="Arial"/>
              </w:rPr>
            </w:pPr>
            <w:r w:rsidRPr="00272E0E">
              <w:rPr>
                <w:rFonts w:ascii="Verdana" w:hAnsi="Verdana" w:cs="Arial"/>
              </w:rPr>
              <w:t xml:space="preserve">CONSEJO DE ESTADO. Sección Tercera. Subsección B. Sentencia de 8 de mayo de 2019. </w:t>
            </w:r>
            <w:proofErr w:type="spellStart"/>
            <w:r w:rsidRPr="00272E0E">
              <w:rPr>
                <w:rFonts w:ascii="Verdana" w:hAnsi="Verdana" w:cs="Arial"/>
              </w:rPr>
              <w:t>Exp</w:t>
            </w:r>
            <w:proofErr w:type="spellEnd"/>
            <w:r w:rsidRPr="00272E0E">
              <w:rPr>
                <w:rFonts w:ascii="Verdana" w:hAnsi="Verdana" w:cs="Arial"/>
              </w:rPr>
              <w:t>: 56343. MP: Martin Bermúdez Muñoz.</w:t>
            </w:r>
          </w:p>
          <w:p w14:paraId="1900CA9C" w14:textId="77777777" w:rsidR="00E60BF9" w:rsidRPr="00272E0E" w:rsidRDefault="00E60BF9" w:rsidP="003407E1">
            <w:pPr>
              <w:pStyle w:val="Prrafodelista"/>
              <w:widowControl w:val="0"/>
              <w:numPr>
                <w:ilvl w:val="0"/>
                <w:numId w:val="17"/>
              </w:numPr>
              <w:autoSpaceDE w:val="0"/>
              <w:autoSpaceDN w:val="0"/>
              <w:spacing w:line="276" w:lineRule="auto"/>
              <w:jc w:val="both"/>
              <w:rPr>
                <w:rFonts w:ascii="Verdana" w:hAnsi="Verdana" w:cs="Arial"/>
              </w:rPr>
            </w:pPr>
            <w:r w:rsidRPr="00272E0E">
              <w:rPr>
                <w:rFonts w:ascii="Verdana" w:hAnsi="Verdana" w:cs="Arial"/>
              </w:rPr>
              <w:t>PINO RICCI, Jorge. El régimen jurídico de los contratos estatales. Primera edición, 2005, Universidad Externado de Colombia. pp. 354.</w:t>
            </w:r>
          </w:p>
          <w:p w14:paraId="4E69855C" w14:textId="77777777" w:rsidR="00E60BF9" w:rsidRPr="00272E0E" w:rsidRDefault="00E60BF9" w:rsidP="003407E1">
            <w:pPr>
              <w:pStyle w:val="Prrafodelista"/>
              <w:widowControl w:val="0"/>
              <w:numPr>
                <w:ilvl w:val="0"/>
                <w:numId w:val="17"/>
              </w:numPr>
              <w:autoSpaceDE w:val="0"/>
              <w:autoSpaceDN w:val="0"/>
              <w:spacing w:line="276" w:lineRule="auto"/>
              <w:jc w:val="both"/>
              <w:rPr>
                <w:rFonts w:ascii="Verdana" w:hAnsi="Verdana" w:cs="Arial"/>
              </w:rPr>
            </w:pPr>
            <w:r w:rsidRPr="00272E0E">
              <w:rPr>
                <w:rFonts w:ascii="Verdana" w:hAnsi="Verdana" w:cs="Arial"/>
              </w:rPr>
              <w:t>EXPÓSITO VÉLEZ, Juan Carlos. Forma y contenido del contrato estatal, Bogotá: Universidad Externado de Colombia, 2013, p. 190, 202, 203, y 207 a 210.</w:t>
            </w:r>
          </w:p>
          <w:p w14:paraId="412DE739" w14:textId="77777777" w:rsidR="00E60BF9" w:rsidRPr="00272E0E" w:rsidRDefault="00E60BF9" w:rsidP="003407E1">
            <w:pPr>
              <w:pStyle w:val="Prrafodelista"/>
              <w:widowControl w:val="0"/>
              <w:numPr>
                <w:ilvl w:val="0"/>
                <w:numId w:val="17"/>
              </w:numPr>
              <w:autoSpaceDE w:val="0"/>
              <w:autoSpaceDN w:val="0"/>
              <w:spacing w:line="276" w:lineRule="auto"/>
              <w:jc w:val="both"/>
              <w:rPr>
                <w:rFonts w:ascii="Verdana" w:hAnsi="Verdana" w:cs="Arial"/>
              </w:rPr>
            </w:pPr>
            <w:r w:rsidRPr="00272E0E">
              <w:rPr>
                <w:rFonts w:ascii="Verdana" w:hAnsi="Verdana" w:cs="Arial"/>
              </w:rPr>
              <w:t xml:space="preserve">PALACIO HINCAPIÉ, Juan A. La contratación de entidades estatales. Octava edición. 2020. Librería Jurídica Sánchez. p 565-566.  </w:t>
            </w:r>
          </w:p>
          <w:p w14:paraId="190C5684" w14:textId="77777777" w:rsidR="00E60BF9" w:rsidRPr="0071334E" w:rsidRDefault="00E60BF9" w:rsidP="003407E1">
            <w:pPr>
              <w:pStyle w:val="Prrafodelista"/>
              <w:widowControl w:val="0"/>
              <w:numPr>
                <w:ilvl w:val="0"/>
                <w:numId w:val="17"/>
              </w:numPr>
              <w:autoSpaceDE w:val="0"/>
              <w:autoSpaceDN w:val="0"/>
              <w:spacing w:line="276" w:lineRule="auto"/>
              <w:contextualSpacing w:val="0"/>
              <w:jc w:val="both"/>
              <w:rPr>
                <w:rFonts w:ascii="Verdana" w:hAnsi="Verdana" w:cs="Arial"/>
              </w:rPr>
            </w:pPr>
            <w:r w:rsidRPr="00C26FA4">
              <w:rPr>
                <w:rFonts w:ascii="Verdana" w:hAnsi="Verdana" w:cs="Arial"/>
              </w:rPr>
              <w:t xml:space="preserve">Jurisprudencia del Consejo de Estado. Disponible en: </w:t>
            </w:r>
            <w:hyperlink r:id="rId12" w:history="1">
              <w:r w:rsidRPr="0071334E">
                <w:rPr>
                  <w:rStyle w:val="Hipervnculo"/>
                  <w:rFonts w:ascii="Verdana" w:hAnsi="Verdana" w:cs="Arial"/>
                </w:rPr>
                <w:t>https://relatoria.colombiacompra.gov.co/providencias-consejo-de-estado/</w:t>
              </w:r>
            </w:hyperlink>
            <w:r w:rsidRPr="0071334E">
              <w:rPr>
                <w:rFonts w:ascii="Verdana" w:hAnsi="Verdana" w:cs="Arial"/>
              </w:rPr>
              <w:t xml:space="preserve"> </w:t>
            </w:r>
          </w:p>
          <w:p w14:paraId="095FD382" w14:textId="77777777" w:rsidR="00E60BF9" w:rsidRPr="00062A55" w:rsidRDefault="00E60BF9" w:rsidP="003407E1">
            <w:pPr>
              <w:pStyle w:val="Prrafodelista"/>
              <w:widowControl w:val="0"/>
              <w:numPr>
                <w:ilvl w:val="0"/>
                <w:numId w:val="17"/>
              </w:numPr>
              <w:autoSpaceDE w:val="0"/>
              <w:autoSpaceDN w:val="0"/>
              <w:spacing w:line="276" w:lineRule="auto"/>
              <w:contextualSpacing w:val="0"/>
              <w:jc w:val="both"/>
              <w:rPr>
                <w:rFonts w:ascii="Verdana" w:hAnsi="Verdana" w:cs="Arial"/>
              </w:rPr>
            </w:pPr>
            <w:r w:rsidRPr="00C26FA4">
              <w:rPr>
                <w:rFonts w:ascii="Verdana" w:hAnsi="Verdana" w:cs="Arial"/>
              </w:rPr>
              <w:t>Guías y manuales expedidos por la ANCP-CCE. Disponible en:</w:t>
            </w:r>
            <w:r w:rsidRPr="00C26FA4">
              <w:rPr>
                <w:rFonts w:ascii="Verdana" w:hAnsi="Verdana"/>
              </w:rPr>
              <w:t xml:space="preserve"> </w:t>
            </w:r>
            <w:hyperlink r:id="rId13" w:history="1">
              <w:r w:rsidRPr="0071334E">
                <w:rPr>
                  <w:rStyle w:val="Hipervnculo"/>
                  <w:rFonts w:ascii="Verdana" w:hAnsi="Verdana" w:cs="Arial"/>
                </w:rPr>
                <w:t>https://www.colombiacompra.gov.co/manuales-guias-y-pliegos-tipo/manuales-y-guias</w:t>
              </w:r>
            </w:hyperlink>
            <w:r w:rsidRPr="0071334E">
              <w:rPr>
                <w:rFonts w:ascii="Verdana" w:hAnsi="Verdana" w:cs="Arial"/>
              </w:rPr>
              <w:t xml:space="preserve"> </w:t>
            </w:r>
          </w:p>
        </w:tc>
      </w:tr>
    </w:tbl>
    <w:p w14:paraId="44AD4C31" w14:textId="77777777" w:rsidR="00E60BF9" w:rsidRPr="0071334E" w:rsidRDefault="00E60BF9" w:rsidP="003407E1">
      <w:pPr>
        <w:widowControl w:val="0"/>
        <w:autoSpaceDE w:val="0"/>
        <w:autoSpaceDN w:val="0"/>
        <w:spacing w:after="0" w:line="276" w:lineRule="auto"/>
        <w:ind w:left="720"/>
        <w:jc w:val="both"/>
        <w:rPr>
          <w:rFonts w:ascii="Verdana" w:hAnsi="Verdana" w:cs="Arial"/>
        </w:rPr>
      </w:pPr>
    </w:p>
    <w:p w14:paraId="4750D150" w14:textId="77777777" w:rsidR="00E60BF9" w:rsidRPr="0071334E" w:rsidRDefault="00E60BF9" w:rsidP="003407E1">
      <w:pPr>
        <w:pStyle w:val="Prrafodelista"/>
        <w:numPr>
          <w:ilvl w:val="0"/>
          <w:numId w:val="16"/>
        </w:numPr>
        <w:tabs>
          <w:tab w:val="left" w:pos="142"/>
          <w:tab w:val="left" w:pos="284"/>
        </w:tabs>
        <w:spacing w:after="0" w:line="276" w:lineRule="auto"/>
        <w:ind w:left="720" w:firstLine="0"/>
        <w:contextualSpacing w:val="0"/>
        <w:jc w:val="both"/>
        <w:rPr>
          <w:rFonts w:ascii="Verdana" w:eastAsia="Century Gothic" w:hAnsi="Verdana" w:cs="Century Gothic"/>
          <w:b/>
          <w:bCs/>
        </w:rPr>
      </w:pPr>
      <w:r w:rsidRPr="0071334E">
        <w:rPr>
          <w:rFonts w:ascii="Verdana" w:eastAsia="Century Gothic" w:hAnsi="Verdana" w:cs="Century Gothic"/>
          <w:b/>
          <w:bCs/>
        </w:rPr>
        <w:t>Doctrina de la Agencia Nacional de Contratación Pública:</w:t>
      </w:r>
    </w:p>
    <w:p w14:paraId="027AB7EB" w14:textId="77777777" w:rsidR="00E60BF9" w:rsidRPr="0071334E" w:rsidRDefault="00E60BF9" w:rsidP="003407E1">
      <w:pPr>
        <w:widowControl w:val="0"/>
        <w:autoSpaceDE w:val="0"/>
        <w:autoSpaceDN w:val="0"/>
        <w:spacing w:after="0" w:line="276" w:lineRule="auto"/>
        <w:ind w:left="720"/>
        <w:jc w:val="both"/>
        <w:rPr>
          <w:rFonts w:ascii="Verdana" w:hAnsi="Verdana" w:cs="Arial"/>
        </w:rPr>
      </w:pPr>
    </w:p>
    <w:p w14:paraId="38EE5B48" w14:textId="77777777" w:rsidR="00E60BF9" w:rsidRPr="0071334E" w:rsidRDefault="00E60BF9" w:rsidP="003407E1">
      <w:pPr>
        <w:widowControl w:val="0"/>
        <w:autoSpaceDE w:val="0"/>
        <w:autoSpaceDN w:val="0"/>
        <w:spacing w:after="0" w:line="276" w:lineRule="auto"/>
        <w:ind w:left="720"/>
        <w:jc w:val="both"/>
        <w:rPr>
          <w:rStyle w:val="normaltextrun"/>
          <w:rFonts w:ascii="Verdana" w:hAnsi="Verdana" w:cs="Arial"/>
          <w:color w:val="FF0000"/>
          <w:shd w:val="clear" w:color="auto" w:fill="FFFFFF"/>
          <w:lang w:val="es-ES"/>
        </w:rPr>
      </w:pPr>
      <w:r w:rsidRPr="00623C09">
        <w:rPr>
          <w:rStyle w:val="normaltextrun"/>
          <w:rFonts w:ascii="Verdana" w:hAnsi="Verdana" w:cs="Arial"/>
          <w:shd w:val="clear" w:color="auto" w:fill="FFFFFF"/>
        </w:rPr>
        <w:t>Sobre la liquidación de los contratos estatales esta Subdirección se pronunció en los conceptos No. 4201912000004908 del 27 de septiembre de 2019, CU-028 de 25 de febrero de 2020, C-221 de 21 de abril de 2020, C-078 del 17 de marzo de 2021 y C-220 del 18 de mayo de 2021, C-739 del 29 de noviembre del 2022, C-015 del 24 de febrero del 2023, C-158 del 06 de junio del 2023, C-176 del 03 de mayo del 2023</w:t>
      </w:r>
      <w:r>
        <w:rPr>
          <w:rStyle w:val="normaltextrun"/>
          <w:rFonts w:ascii="Verdana" w:hAnsi="Verdana" w:cs="Arial"/>
          <w:shd w:val="clear" w:color="auto" w:fill="FFFFFF"/>
        </w:rPr>
        <w:t>,</w:t>
      </w:r>
      <w:r w:rsidRPr="00623C09">
        <w:rPr>
          <w:rStyle w:val="normaltextrun"/>
          <w:rFonts w:ascii="Verdana" w:hAnsi="Verdana" w:cs="Arial"/>
          <w:shd w:val="clear" w:color="auto" w:fill="FFFFFF"/>
        </w:rPr>
        <w:t xml:space="preserve"> C-427 del 27 de noviembre del 2023</w:t>
      </w:r>
      <w:r>
        <w:rPr>
          <w:rStyle w:val="normaltextrun"/>
          <w:rFonts w:ascii="Verdana" w:hAnsi="Verdana" w:cs="Arial"/>
          <w:shd w:val="clear" w:color="auto" w:fill="FFFFFF"/>
        </w:rPr>
        <w:t xml:space="preserve"> y C-346 del 29 de agosto de 2024, entre otros</w:t>
      </w:r>
      <w:r w:rsidRPr="0071334E">
        <w:rPr>
          <w:rStyle w:val="normaltextrun"/>
          <w:rFonts w:ascii="Verdana" w:hAnsi="Verdana" w:cs="Arial"/>
          <w:color w:val="7030A0"/>
          <w:shd w:val="clear" w:color="auto" w:fill="FFFFFF"/>
          <w:lang w:val="es-ES"/>
        </w:rPr>
        <w:t xml:space="preserve">. </w:t>
      </w:r>
      <w:r w:rsidRPr="00FB3675">
        <w:rPr>
          <w:rStyle w:val="normaltextrun"/>
          <w:rFonts w:ascii="Verdana" w:hAnsi="Verdana" w:cs="Arial"/>
          <w:shd w:val="clear" w:color="auto" w:fill="FFFFFF"/>
          <w:lang w:val="es-ES"/>
        </w:rPr>
        <w:t>En particular, en los conceptos C-286 del 12 de mayo de 2022, C-805 del 23 de noviembre de 2022, C-514 del 10 de agosto del 2022, y C-873 del 21 de diciembre de 2022</w:t>
      </w:r>
      <w:r>
        <w:rPr>
          <w:rStyle w:val="normaltextrun"/>
          <w:rFonts w:ascii="Verdana" w:hAnsi="Verdana" w:cs="Arial"/>
          <w:shd w:val="clear" w:color="auto" w:fill="FFFFFF"/>
          <w:lang w:val="es-ES"/>
        </w:rPr>
        <w:t xml:space="preserve"> </w:t>
      </w:r>
      <w:r w:rsidRPr="00026373">
        <w:rPr>
          <w:rStyle w:val="normaltextrun"/>
          <w:rFonts w:ascii="Verdana" w:hAnsi="Verdana" w:cs="Arial"/>
          <w:shd w:val="clear" w:color="auto" w:fill="FFFFFF"/>
          <w:lang w:val="es-ES"/>
        </w:rPr>
        <w:t xml:space="preserve">y </w:t>
      </w:r>
      <w:r w:rsidRPr="00026373">
        <w:rPr>
          <w:rFonts w:ascii="Verdana" w:eastAsia="Calibri" w:hAnsi="Verdana" w:cs="Arial"/>
          <w:lang w:val="es-ES" w:eastAsia="es-ES"/>
        </w:rPr>
        <w:t>C-608 del 28 de octubre de 2024</w:t>
      </w:r>
      <w:r w:rsidRPr="00FB3675">
        <w:rPr>
          <w:rStyle w:val="normaltextrun"/>
          <w:rFonts w:ascii="Verdana" w:hAnsi="Verdana" w:cs="Arial"/>
          <w:shd w:val="clear" w:color="auto" w:fill="FFFFFF"/>
          <w:lang w:val="es-ES"/>
        </w:rPr>
        <w:t xml:space="preserve"> se estudió la causal de </w:t>
      </w:r>
      <w:r>
        <w:rPr>
          <w:rStyle w:val="normaltextrun"/>
          <w:rFonts w:ascii="Verdana" w:hAnsi="Verdana" w:cs="Arial"/>
          <w:shd w:val="clear" w:color="auto" w:fill="FFFFFF"/>
          <w:lang w:val="es-ES"/>
        </w:rPr>
        <w:t>termin</w:t>
      </w:r>
      <w:r w:rsidRPr="00FB3675">
        <w:rPr>
          <w:rStyle w:val="normaltextrun"/>
          <w:rFonts w:ascii="Verdana" w:hAnsi="Verdana" w:cs="Arial"/>
          <w:shd w:val="clear" w:color="auto" w:fill="FFFFFF"/>
          <w:lang w:val="es-ES"/>
        </w:rPr>
        <w:t xml:space="preserve">ación </w:t>
      </w:r>
      <w:r>
        <w:rPr>
          <w:rStyle w:val="normaltextrun"/>
          <w:rFonts w:ascii="Verdana" w:hAnsi="Verdana" w:cs="Arial"/>
          <w:shd w:val="clear" w:color="auto" w:fill="FFFFFF"/>
          <w:lang w:val="es-ES"/>
        </w:rPr>
        <w:t>u</w:t>
      </w:r>
      <w:r w:rsidRPr="00FB3675">
        <w:rPr>
          <w:rStyle w:val="normaltextrun"/>
          <w:rFonts w:ascii="Verdana" w:hAnsi="Verdana" w:cs="Arial"/>
          <w:shd w:val="clear" w:color="auto" w:fill="FFFFFF"/>
          <w:lang w:val="es-ES"/>
        </w:rPr>
        <w:t xml:space="preserve">nilateral contenida en el numeral 2° del artículo 17 de la Ley 80 de 1993. </w:t>
      </w:r>
      <w:r w:rsidRPr="0071334E">
        <w:rPr>
          <w:rStyle w:val="normaltextrun"/>
          <w:rFonts w:ascii="Verdana" w:hAnsi="Verdana" w:cs="Arial"/>
          <w:shd w:val="clear" w:color="auto" w:fill="FFFFFF"/>
          <w:lang w:val="es-ES"/>
        </w:rPr>
        <w:t>Es</w:t>
      </w:r>
      <w:r w:rsidRPr="0071334E">
        <w:rPr>
          <w:rFonts w:ascii="Verdana" w:hAnsi="Verdana"/>
        </w:rPr>
        <w:t xml:space="preserve">tos y otros conceptos se encuentran </w:t>
      </w:r>
      <w:r w:rsidRPr="0071334E">
        <w:rPr>
          <w:rFonts w:ascii="Verdana" w:hAnsi="Verdana"/>
        </w:rPr>
        <w:lastRenderedPageBreak/>
        <w:t>disponibles para consulta en el Sistema de relatoría de la Agencia, al cual se puede acceder a través del siguiente enlace:</w:t>
      </w:r>
      <w:r w:rsidRPr="0071334E">
        <w:rPr>
          <w:rStyle w:val="normaltextrun"/>
          <w:rFonts w:ascii="Verdana" w:hAnsi="Verdana" w:cs="Arial"/>
          <w:shd w:val="clear" w:color="auto" w:fill="FFFFFF"/>
          <w:lang w:val="es-ES"/>
        </w:rPr>
        <w:t xml:space="preserve"> </w:t>
      </w:r>
      <w:hyperlink r:id="rId14" w:history="1">
        <w:r w:rsidRPr="0071334E">
          <w:rPr>
            <w:rStyle w:val="Hipervnculo"/>
            <w:rFonts w:ascii="Verdana" w:hAnsi="Verdana" w:cs="Arial"/>
            <w:shd w:val="clear" w:color="auto" w:fill="FFFFFF"/>
            <w:lang w:val="es-ES"/>
          </w:rPr>
          <w:t>https://relatoria.colombiacompra.gov.co/busqueda/conceptos</w:t>
        </w:r>
      </w:hyperlink>
      <w:r w:rsidRPr="0071334E">
        <w:rPr>
          <w:rStyle w:val="normaltextrun"/>
          <w:rFonts w:ascii="Verdana" w:hAnsi="Verdana" w:cs="Arial"/>
          <w:color w:val="FF0000"/>
          <w:shd w:val="clear" w:color="auto" w:fill="FFFFFF"/>
          <w:lang w:val="es-ES"/>
        </w:rPr>
        <w:t xml:space="preserve">. </w:t>
      </w:r>
    </w:p>
    <w:p w14:paraId="2B30B9BE" w14:textId="77777777" w:rsidR="00E60BF9" w:rsidRPr="0071334E" w:rsidRDefault="00E60BF9" w:rsidP="003407E1">
      <w:pPr>
        <w:widowControl w:val="0"/>
        <w:autoSpaceDE w:val="0"/>
        <w:autoSpaceDN w:val="0"/>
        <w:spacing w:after="0" w:line="276" w:lineRule="auto"/>
        <w:ind w:left="720"/>
        <w:jc w:val="both"/>
        <w:rPr>
          <w:rStyle w:val="normaltextrun"/>
          <w:rFonts w:ascii="Verdana" w:hAnsi="Verdana" w:cs="Arial"/>
          <w:color w:val="FF0000"/>
          <w:shd w:val="clear" w:color="auto" w:fill="FFFFFF"/>
          <w:lang w:val="es-ES"/>
        </w:rPr>
      </w:pPr>
    </w:p>
    <w:bookmarkEnd w:id="1"/>
    <w:p w14:paraId="07527DAD" w14:textId="77777777" w:rsidR="00E60BF9" w:rsidRPr="00067BB4" w:rsidRDefault="00E60BF9" w:rsidP="003407E1">
      <w:pPr>
        <w:spacing w:after="0" w:line="276" w:lineRule="auto"/>
        <w:ind w:left="720"/>
        <w:jc w:val="both"/>
        <w:rPr>
          <w:rFonts w:ascii="Verdana" w:hAnsi="Verdana"/>
        </w:rPr>
      </w:pPr>
      <w:r w:rsidRPr="00067BB4">
        <w:rPr>
          <w:rFonts w:ascii="Verdana" w:hAnsi="Verdana"/>
        </w:rPr>
        <w:t>También le contamos que ya se encuentra disponible la </w:t>
      </w:r>
      <w:r w:rsidRPr="00067BB4">
        <w:rPr>
          <w:rFonts w:ascii="Verdana" w:hAnsi="Verdana"/>
          <w:b/>
          <w:bCs/>
        </w:rPr>
        <w:t>Guía de lineamientos de transparencia y selección objetiva para el departamento de La Guajira – Objetivo sexto constitucional de la Sentencia T-302 del 2017. </w:t>
      </w:r>
      <w:r w:rsidRPr="00067BB4">
        <w:rPr>
          <w:rFonts w:ascii="Verdana" w:hAnsi="Verdana"/>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67BB4">
        <w:rPr>
          <w:rFonts w:ascii="Verdana" w:hAnsi="Verdana"/>
        </w:rPr>
        <w:t>Wayúu</w:t>
      </w:r>
      <w:proofErr w:type="spellEnd"/>
      <w:r w:rsidRPr="00067BB4">
        <w:rPr>
          <w:rFonts w:ascii="Verdana" w:hAnsi="Verdana"/>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067BB4">
          <w:rPr>
            <w:rStyle w:val="Hipervnculo"/>
            <w:rFonts w:ascii="Verdana" w:hAnsi="Verdana"/>
          </w:rPr>
          <w:t>Guía de lineamientos de transparencia y selección objetiva para el departamento de La Guajira – Objetivo sexto constitucional de la Sentencia T-302 del 2017</w:t>
        </w:r>
      </w:hyperlink>
    </w:p>
    <w:p w14:paraId="02AC0C8D" w14:textId="77777777" w:rsidR="00E60BF9" w:rsidRPr="00CC5C68" w:rsidRDefault="00E60BF9" w:rsidP="003407E1">
      <w:pPr>
        <w:spacing w:after="0" w:line="240" w:lineRule="auto"/>
        <w:ind w:left="720"/>
        <w:jc w:val="both"/>
        <w:rPr>
          <w:rFonts w:ascii="Verdana" w:hAnsi="Verdana"/>
        </w:rPr>
      </w:pPr>
    </w:p>
    <w:p w14:paraId="1D6A2144" w14:textId="77777777" w:rsidR="00E60BF9" w:rsidRPr="00116940" w:rsidRDefault="00E60BF9" w:rsidP="003407E1">
      <w:pPr>
        <w:spacing w:after="0"/>
        <w:ind w:left="72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0B8AEF59" w14:textId="77777777" w:rsidR="00E60BF9" w:rsidRPr="00116940" w:rsidRDefault="00E60BF9" w:rsidP="003407E1">
      <w:pPr>
        <w:spacing w:after="0"/>
        <w:ind w:left="720"/>
        <w:jc w:val="both"/>
        <w:rPr>
          <w:rFonts w:ascii="Verdana" w:hAnsi="Verdana"/>
        </w:rPr>
      </w:pPr>
    </w:p>
    <w:p w14:paraId="6C0CD1F1" w14:textId="77777777" w:rsidR="00E60BF9" w:rsidRPr="00116940" w:rsidRDefault="00E60BF9" w:rsidP="003407E1">
      <w:pPr>
        <w:pStyle w:val="Prrafodelista"/>
        <w:numPr>
          <w:ilvl w:val="0"/>
          <w:numId w:val="15"/>
        </w:numPr>
        <w:spacing w:after="0" w:line="240" w:lineRule="auto"/>
        <w:ind w:left="72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42DEF5A0" w14:textId="77777777" w:rsidR="00E60BF9" w:rsidRPr="00116940" w:rsidRDefault="00E60BF9" w:rsidP="003407E1">
      <w:pPr>
        <w:pStyle w:val="Prrafodelista"/>
        <w:numPr>
          <w:ilvl w:val="0"/>
          <w:numId w:val="15"/>
        </w:numPr>
        <w:spacing w:after="0"/>
        <w:ind w:left="72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7E81C454" w14:textId="77777777" w:rsidR="00E60BF9" w:rsidRPr="00116940" w:rsidRDefault="00E60BF9" w:rsidP="003407E1">
      <w:pPr>
        <w:pStyle w:val="Prrafodelista"/>
        <w:numPr>
          <w:ilvl w:val="0"/>
          <w:numId w:val="15"/>
        </w:numPr>
        <w:spacing w:after="0"/>
        <w:ind w:left="72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5355B61D" w14:textId="77777777" w:rsidR="00E60BF9" w:rsidRPr="00116940" w:rsidRDefault="00E60BF9" w:rsidP="003407E1">
      <w:pPr>
        <w:pStyle w:val="Prrafodelista"/>
        <w:numPr>
          <w:ilvl w:val="0"/>
          <w:numId w:val="15"/>
        </w:numPr>
        <w:spacing w:after="0"/>
        <w:ind w:left="72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1A384A15" w14:textId="77777777" w:rsidR="00E60BF9" w:rsidRPr="00116940" w:rsidRDefault="00E60BF9" w:rsidP="0055353F">
      <w:pPr>
        <w:spacing w:after="0" w:line="240" w:lineRule="auto"/>
        <w:ind w:left="720"/>
        <w:jc w:val="both"/>
        <w:rPr>
          <w:rFonts w:ascii="Verdana" w:hAnsi="Verdana"/>
        </w:rPr>
      </w:pPr>
    </w:p>
    <w:p w14:paraId="7C7ECF68" w14:textId="77777777" w:rsidR="00E60BF9" w:rsidRPr="00116940" w:rsidRDefault="00E60BF9" w:rsidP="003407E1">
      <w:pPr>
        <w:spacing w:after="0" w:line="240" w:lineRule="auto"/>
        <w:ind w:left="720"/>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27E7C96F" w14:textId="77777777" w:rsidR="00E60BF9" w:rsidRPr="00116940" w:rsidRDefault="00E60BF9" w:rsidP="003407E1">
      <w:pPr>
        <w:spacing w:after="0" w:line="240" w:lineRule="auto"/>
        <w:ind w:left="720"/>
        <w:rPr>
          <w:rFonts w:ascii="Verdana" w:hAnsi="Verdana"/>
        </w:rPr>
      </w:pPr>
    </w:p>
    <w:p w14:paraId="02277C86" w14:textId="77777777" w:rsidR="00E60BF9" w:rsidRPr="00116940" w:rsidRDefault="00E60BF9" w:rsidP="003407E1">
      <w:pPr>
        <w:spacing w:after="0" w:line="240" w:lineRule="auto"/>
        <w:ind w:left="720"/>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FE0C1F3" w14:textId="77777777" w:rsidR="00E60BF9" w:rsidRPr="00116940" w:rsidRDefault="00E60BF9" w:rsidP="003407E1">
      <w:pPr>
        <w:spacing w:after="0" w:line="240" w:lineRule="auto"/>
        <w:ind w:left="720"/>
        <w:jc w:val="both"/>
        <w:rPr>
          <w:rFonts w:ascii="Verdana" w:hAnsi="Verdana"/>
        </w:rPr>
      </w:pPr>
    </w:p>
    <w:p w14:paraId="2C7D53A2" w14:textId="77777777" w:rsidR="00E60BF9" w:rsidRPr="00116940" w:rsidRDefault="00E60BF9" w:rsidP="003407E1">
      <w:pPr>
        <w:spacing w:after="0" w:line="240" w:lineRule="auto"/>
        <w:ind w:left="720"/>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EFE3BDA" w14:textId="77777777" w:rsidR="00E60BF9" w:rsidRPr="00116940" w:rsidRDefault="00E60BF9" w:rsidP="003407E1">
      <w:pPr>
        <w:spacing w:after="0" w:line="240" w:lineRule="auto"/>
        <w:ind w:left="720"/>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5A4AF768" w14:textId="77777777" w:rsidR="00E60BF9" w:rsidRPr="00116940" w:rsidRDefault="00E60BF9" w:rsidP="003407E1">
      <w:pPr>
        <w:spacing w:after="0" w:line="240" w:lineRule="auto"/>
        <w:ind w:left="720"/>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2F06A05" w14:textId="77777777" w:rsidR="00E60BF9" w:rsidRPr="00CF2D08" w:rsidRDefault="00E60BF9" w:rsidP="0055353F">
      <w:pPr>
        <w:spacing w:after="0" w:line="256" w:lineRule="auto"/>
        <w:jc w:val="both"/>
        <w:rPr>
          <w:rFonts w:ascii="Verdana" w:eastAsia="Calibri" w:hAnsi="Verdana" w:cs="Times New Roman"/>
        </w:rPr>
      </w:pPr>
    </w:p>
    <w:p w14:paraId="4C2020E6" w14:textId="77777777" w:rsidR="00E60BF9" w:rsidRPr="00AB70DD" w:rsidRDefault="00E60BF9" w:rsidP="003407E1">
      <w:pPr>
        <w:spacing w:after="0" w:line="256" w:lineRule="auto"/>
        <w:ind w:left="720"/>
        <w:jc w:val="both"/>
        <w:rPr>
          <w:rFonts w:ascii="Verdana" w:eastAsia="Calibri" w:hAnsi="Verdana" w:cs="Times New Roman"/>
          <w:bCs/>
          <w:lang w:val="es-ES_tradnl"/>
        </w:rPr>
      </w:pPr>
      <w:r w:rsidRPr="00AB70DD">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79B04A7" w14:textId="77777777" w:rsidR="00E60BF9" w:rsidRDefault="00E60BF9" w:rsidP="003407E1">
      <w:pPr>
        <w:spacing w:after="0" w:line="256" w:lineRule="auto"/>
        <w:ind w:left="720"/>
        <w:jc w:val="both"/>
        <w:rPr>
          <w:rFonts w:ascii="Verdana" w:eastAsia="Calibri" w:hAnsi="Verdana" w:cs="Times New Roman"/>
        </w:rPr>
      </w:pPr>
    </w:p>
    <w:p w14:paraId="610E4020" w14:textId="77777777" w:rsidR="00E60BF9" w:rsidRPr="005B7C42" w:rsidRDefault="00E60BF9" w:rsidP="003407E1">
      <w:pPr>
        <w:spacing w:after="0" w:line="276" w:lineRule="auto"/>
        <w:ind w:left="720"/>
        <w:jc w:val="both"/>
        <w:rPr>
          <w:rFonts w:ascii="Verdana" w:eastAsia="Times New Roman" w:hAnsi="Verdana" w:cs="Arial"/>
          <w:lang w:eastAsia="es-CO"/>
        </w:rPr>
      </w:pPr>
      <w:bookmarkStart w:id="3" w:name="_Hlk117695077"/>
      <w:r w:rsidRPr="005B7C42">
        <w:rPr>
          <w:rFonts w:ascii="Verdana" w:eastAsia="Times New Roman" w:hAnsi="Verdana" w:cs="Arial"/>
          <w:lang w:eastAsia="es-CO"/>
        </w:rPr>
        <w:t>Atentamente,</w:t>
      </w:r>
    </w:p>
    <w:bookmarkEnd w:id="3"/>
    <w:p w14:paraId="7ABEF412" w14:textId="25BD61D3" w:rsidR="00E60BF9" w:rsidRDefault="003202C3" w:rsidP="00E60BF9">
      <w:pPr>
        <w:spacing w:after="0" w:line="276" w:lineRule="auto"/>
        <w:jc w:val="center"/>
        <w:rPr>
          <w:rFonts w:ascii="Verdana" w:eastAsia="Times New Roman" w:hAnsi="Verdana" w:cs="Arial"/>
        </w:rPr>
      </w:pPr>
      <w:r w:rsidRPr="002C3AD6">
        <w:rPr>
          <w:rFonts w:ascii="Century Gothic" w:hAnsi="Century Gothic"/>
          <w:noProof/>
        </w:rPr>
        <w:drawing>
          <wp:inline distT="0" distB="0" distL="0" distR="0" wp14:anchorId="6D5E9B6A" wp14:editId="617D2173">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400370"/>
                    </a:xfrm>
                    <a:prstGeom prst="rect">
                      <a:avLst/>
                    </a:prstGeom>
                  </pic:spPr>
                </pic:pic>
              </a:graphicData>
            </a:graphic>
          </wp:inline>
        </w:drawing>
      </w:r>
    </w:p>
    <w:p w14:paraId="0AA65EB0" w14:textId="77777777" w:rsidR="00E60BF9" w:rsidRDefault="00E60BF9" w:rsidP="00E60BF9">
      <w:pPr>
        <w:spacing w:after="0" w:line="276" w:lineRule="auto"/>
        <w:jc w:val="both"/>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60BF9" w:rsidRPr="007A0E81" w14:paraId="07AD0F23" w14:textId="77777777" w:rsidTr="000D4731">
        <w:trPr>
          <w:trHeight w:val="315"/>
        </w:trPr>
        <w:tc>
          <w:tcPr>
            <w:tcW w:w="893" w:type="dxa"/>
            <w:vAlign w:val="center"/>
            <w:hideMark/>
          </w:tcPr>
          <w:p w14:paraId="2B8B3B10" w14:textId="77777777" w:rsidR="00E60BF9" w:rsidRPr="007A0E81" w:rsidRDefault="00E60BF9" w:rsidP="000D4731">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1765A656" w14:textId="77777777" w:rsidR="00E60BF9" w:rsidRPr="007A0E81" w:rsidRDefault="00E60BF9" w:rsidP="000D4731">
            <w:pPr>
              <w:spacing w:line="276" w:lineRule="auto"/>
              <w:rPr>
                <w:rFonts w:ascii="Verdana" w:eastAsia="Arial" w:hAnsi="Verdana" w:cs="Arial"/>
                <w:color w:val="000000"/>
                <w:sz w:val="16"/>
                <w:szCs w:val="16"/>
              </w:rPr>
            </w:pPr>
            <w:r w:rsidRPr="007A0E81">
              <w:rPr>
                <w:rFonts w:ascii="Verdana" w:eastAsia="Times New Roman" w:hAnsi="Verdana" w:cs="Arial"/>
                <w:color w:val="000000"/>
                <w:sz w:val="16"/>
                <w:szCs w:val="16"/>
              </w:rPr>
              <w:t xml:space="preserve">María </w:t>
            </w:r>
            <w:proofErr w:type="spellStart"/>
            <w:r w:rsidRPr="007A0E81">
              <w:rPr>
                <w:rFonts w:ascii="Verdana" w:eastAsia="Times New Roman" w:hAnsi="Verdana" w:cs="Arial"/>
                <w:color w:val="000000"/>
                <w:sz w:val="16"/>
                <w:szCs w:val="16"/>
              </w:rPr>
              <w:t>Joshira</w:t>
            </w:r>
            <w:proofErr w:type="spellEnd"/>
            <w:r w:rsidRPr="007A0E81">
              <w:rPr>
                <w:rFonts w:ascii="Verdana" w:eastAsia="Times New Roman" w:hAnsi="Verdana" w:cs="Arial"/>
                <w:color w:val="000000"/>
                <w:sz w:val="16"/>
                <w:szCs w:val="16"/>
              </w:rPr>
              <w:t xml:space="preserve"> Nieto Manzano</w:t>
            </w:r>
          </w:p>
          <w:p w14:paraId="31AAFCB2" w14:textId="77777777" w:rsidR="00E60BF9" w:rsidRPr="007A0E81" w:rsidRDefault="00E60BF9" w:rsidP="000D4731">
            <w:pPr>
              <w:spacing w:line="276" w:lineRule="auto"/>
              <w:rPr>
                <w:rFonts w:ascii="Verdana" w:eastAsia="Arial" w:hAnsi="Verdana" w:cs="Arial"/>
                <w:color w:val="000000"/>
                <w:sz w:val="16"/>
                <w:szCs w:val="16"/>
              </w:rPr>
            </w:pPr>
            <w:r w:rsidRPr="007A0E81">
              <w:rPr>
                <w:rFonts w:ascii="Verdana" w:eastAsia="Arial" w:hAnsi="Verdana" w:cs="Arial"/>
                <w:color w:val="000000"/>
                <w:sz w:val="16"/>
                <w:szCs w:val="16"/>
              </w:rPr>
              <w:t>Contratista de la Subdirección de Gestión Contractual</w:t>
            </w:r>
          </w:p>
        </w:tc>
      </w:tr>
      <w:tr w:rsidR="00E60BF9" w:rsidRPr="007A0E81" w14:paraId="056C756A" w14:textId="77777777" w:rsidTr="000D4731">
        <w:trPr>
          <w:trHeight w:val="330"/>
        </w:trPr>
        <w:tc>
          <w:tcPr>
            <w:tcW w:w="893" w:type="dxa"/>
            <w:vAlign w:val="center"/>
            <w:hideMark/>
          </w:tcPr>
          <w:p w14:paraId="152A565C" w14:textId="77777777" w:rsidR="00E60BF9" w:rsidRPr="007A0E81" w:rsidRDefault="00E60BF9" w:rsidP="000D4731">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143FB415" w14:textId="77777777" w:rsidR="00E60BF9" w:rsidRPr="007A0E81" w:rsidRDefault="00E60BF9" w:rsidP="000D4731">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Diana Lucia Saavedra Castañeda </w:t>
            </w:r>
          </w:p>
          <w:p w14:paraId="6AEC46FE" w14:textId="77777777" w:rsidR="00E60BF9" w:rsidRPr="007A0E81" w:rsidRDefault="00E60BF9" w:rsidP="000D4731">
            <w:pPr>
              <w:spacing w:line="276" w:lineRule="auto"/>
              <w:textAlignment w:val="baseline"/>
              <w:rPr>
                <w:rFonts w:ascii="Verdana" w:eastAsia="Times New Roman" w:hAnsi="Verdana" w:cs="Arial"/>
                <w:color w:val="000000"/>
                <w:sz w:val="16"/>
                <w:szCs w:val="16"/>
              </w:rPr>
            </w:pPr>
            <w:r w:rsidRPr="007A0E81">
              <w:rPr>
                <w:rFonts w:ascii="Verdana" w:eastAsia="Times New Roman" w:hAnsi="Verdana" w:cs="Arial"/>
                <w:color w:val="000000"/>
                <w:sz w:val="16"/>
                <w:szCs w:val="16"/>
              </w:rPr>
              <w:t>Contratista de la Subdirección de Gestión Contractual</w:t>
            </w:r>
          </w:p>
        </w:tc>
      </w:tr>
      <w:tr w:rsidR="00E60BF9" w:rsidRPr="007A0E81" w14:paraId="159D7B0F" w14:textId="77777777" w:rsidTr="000D4731">
        <w:trPr>
          <w:trHeight w:val="300"/>
        </w:trPr>
        <w:tc>
          <w:tcPr>
            <w:tcW w:w="893" w:type="dxa"/>
            <w:vAlign w:val="center"/>
          </w:tcPr>
          <w:p w14:paraId="2CE10FCB" w14:textId="77777777" w:rsidR="00E60BF9" w:rsidRPr="007A0E81" w:rsidRDefault="00E60BF9" w:rsidP="000D4731">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51279FA2" w14:textId="77777777" w:rsidR="00E60BF9" w:rsidRPr="007A0E81" w:rsidRDefault="00E60BF9" w:rsidP="000D4731">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Carolina Quintero </w:t>
            </w:r>
            <w:proofErr w:type="spellStart"/>
            <w:r w:rsidRPr="007A0E81">
              <w:rPr>
                <w:rFonts w:ascii="Verdana" w:eastAsia="Times New Roman" w:hAnsi="Verdana" w:cs="Arial"/>
                <w:color w:val="000000"/>
                <w:sz w:val="16"/>
                <w:szCs w:val="16"/>
              </w:rPr>
              <w:t>Gacharná</w:t>
            </w:r>
            <w:proofErr w:type="spellEnd"/>
          </w:p>
          <w:p w14:paraId="7823EF3A" w14:textId="77777777" w:rsidR="00E60BF9" w:rsidRPr="007A0E81" w:rsidRDefault="00E60BF9" w:rsidP="000D4731">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Subdirectora de Gestión Contractual ANCP – CCE</w:t>
            </w:r>
          </w:p>
        </w:tc>
      </w:tr>
    </w:tbl>
    <w:p w14:paraId="5586B302" w14:textId="77777777" w:rsidR="00E60BF9" w:rsidRPr="0044528D" w:rsidRDefault="00E60BF9" w:rsidP="00E60BF9">
      <w:pPr>
        <w:spacing w:after="0" w:line="240" w:lineRule="auto"/>
        <w:jc w:val="both"/>
        <w:rPr>
          <w:rFonts w:ascii="Verdana" w:hAnsi="Verdana"/>
        </w:rPr>
      </w:pPr>
    </w:p>
    <w:p w14:paraId="2B8E3549" w14:textId="77777777" w:rsidR="00E60BF9" w:rsidRPr="0057702A" w:rsidRDefault="00E60BF9" w:rsidP="00E60BF9">
      <w:pPr>
        <w:spacing w:after="0" w:line="240" w:lineRule="auto"/>
        <w:jc w:val="center"/>
        <w:rPr>
          <w:rFonts w:ascii="Verdana" w:hAnsi="Verdana"/>
          <w:b/>
          <w:bCs/>
        </w:rPr>
      </w:pPr>
    </w:p>
    <w:p w14:paraId="099EF808" w14:textId="77777777" w:rsidR="00E60BF9" w:rsidRPr="006B5F4A" w:rsidRDefault="00E60BF9" w:rsidP="00E60BF9">
      <w:pPr>
        <w:spacing w:line="276" w:lineRule="auto"/>
        <w:jc w:val="center"/>
      </w:pPr>
    </w:p>
    <w:bookmarkEnd w:id="0"/>
    <w:p w14:paraId="6F007E25" w14:textId="77777777" w:rsidR="00E60BF9" w:rsidRPr="0024624F" w:rsidRDefault="00E60BF9" w:rsidP="00C15139">
      <w:pPr>
        <w:spacing w:after="0"/>
        <w:rPr>
          <w:rFonts w:ascii="Verdana" w:hAnsi="Verdana"/>
        </w:rPr>
      </w:pPr>
    </w:p>
    <w:sectPr w:rsidR="00E60BF9" w:rsidRPr="0024624F"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F5E531" w14:textId="77777777" w:rsidR="00531C8D" w:rsidRDefault="00531C8D" w:rsidP="004A1847">
      <w:pPr>
        <w:spacing w:after="0" w:line="240" w:lineRule="auto"/>
      </w:pPr>
      <w:r>
        <w:separator/>
      </w:r>
    </w:p>
  </w:endnote>
  <w:endnote w:type="continuationSeparator" w:id="0">
    <w:p w14:paraId="4761FC17" w14:textId="77777777" w:rsidR="00531C8D" w:rsidRDefault="00531C8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F26D16" w14:textId="77777777" w:rsidR="00531C8D" w:rsidRDefault="00531C8D" w:rsidP="004A1847">
      <w:pPr>
        <w:spacing w:after="0" w:line="240" w:lineRule="auto"/>
      </w:pPr>
      <w:r>
        <w:separator/>
      </w:r>
    </w:p>
  </w:footnote>
  <w:footnote w:type="continuationSeparator" w:id="0">
    <w:p w14:paraId="57F5D6E0" w14:textId="77777777" w:rsidR="00531C8D" w:rsidRDefault="00531C8D" w:rsidP="004A1847">
      <w:pPr>
        <w:spacing w:after="0" w:line="240" w:lineRule="auto"/>
      </w:pPr>
      <w:r>
        <w:continuationSeparator/>
      </w:r>
    </w:p>
  </w:footnote>
  <w:footnote w:id="1">
    <w:p w14:paraId="21138016" w14:textId="77777777" w:rsidR="00E60BF9" w:rsidRPr="004852BD" w:rsidRDefault="00E60BF9" w:rsidP="00E60BF9">
      <w:pPr>
        <w:pStyle w:val="Textonotapie"/>
        <w:ind w:firstLine="708"/>
        <w:jc w:val="both"/>
        <w:rPr>
          <w:rFonts w:ascii="Verdana" w:hAnsi="Verdana" w:cs="Arial"/>
          <w:sz w:val="12"/>
          <w:szCs w:val="12"/>
        </w:rPr>
      </w:pPr>
      <w:r w:rsidRPr="000F233E">
        <w:rPr>
          <w:rStyle w:val="Refdenotaalpie"/>
          <w:rFonts w:ascii="Verdana" w:hAnsi="Verdana" w:cs="Arial"/>
          <w:sz w:val="16"/>
          <w:szCs w:val="16"/>
        </w:rPr>
        <w:footnoteRef/>
      </w:r>
      <w:r w:rsidRPr="000F233E">
        <w:rPr>
          <w:rFonts w:ascii="Verdana" w:hAnsi="Verdana" w:cs="Arial"/>
          <w:sz w:val="16"/>
          <w:szCs w:val="16"/>
        </w:rPr>
        <w:t xml:space="preserve"> </w:t>
      </w:r>
      <w:r w:rsidRPr="004852BD">
        <w:rPr>
          <w:rFonts w:ascii="Verdana" w:hAnsi="Verdana" w:cs="Arial"/>
          <w:sz w:val="12"/>
          <w:szCs w:val="12"/>
        </w:rPr>
        <w:t xml:space="preserve">EXPÓSITO VÉLEZ, Juan Carlos. Forma y contenido del contrato estatal, Bogotá: Universidad Externado de Colombia, 2013, p. 190. </w:t>
      </w:r>
    </w:p>
    <w:p w14:paraId="04258BC3" w14:textId="77777777" w:rsidR="00E60BF9" w:rsidRPr="004852BD" w:rsidRDefault="00E60BF9" w:rsidP="00E60BF9">
      <w:pPr>
        <w:pStyle w:val="Textonotapie"/>
        <w:ind w:firstLine="708"/>
        <w:jc w:val="both"/>
        <w:rPr>
          <w:rFonts w:ascii="Verdana" w:hAnsi="Verdana" w:cs="Arial"/>
          <w:sz w:val="12"/>
          <w:szCs w:val="12"/>
        </w:rPr>
      </w:pPr>
    </w:p>
  </w:footnote>
  <w:footnote w:id="2">
    <w:p w14:paraId="2F6F5B0F" w14:textId="77777777" w:rsidR="00E60BF9" w:rsidRPr="004852BD" w:rsidRDefault="00E60BF9" w:rsidP="00E60BF9">
      <w:pPr>
        <w:spacing w:after="0"/>
        <w:ind w:firstLine="708"/>
        <w:jc w:val="both"/>
        <w:rPr>
          <w:rFonts w:ascii="Verdana" w:hAnsi="Verdana" w:cs="Arial"/>
          <w:color w:val="000000" w:themeColor="text1"/>
          <w:sz w:val="12"/>
          <w:szCs w:val="12"/>
        </w:rPr>
      </w:pPr>
      <w:r w:rsidRPr="004852BD">
        <w:rPr>
          <w:rStyle w:val="Refdenotaalpie"/>
          <w:rFonts w:ascii="Verdana" w:hAnsi="Verdana" w:cs="Arial"/>
          <w:color w:val="000000" w:themeColor="text1"/>
          <w:sz w:val="12"/>
          <w:szCs w:val="12"/>
        </w:rPr>
        <w:footnoteRef/>
      </w:r>
      <w:r w:rsidRPr="004852BD">
        <w:rPr>
          <w:rFonts w:ascii="Verdana" w:hAnsi="Verdana" w:cs="Arial"/>
          <w:color w:val="000000" w:themeColor="text1"/>
          <w:sz w:val="12"/>
          <w:szCs w:val="12"/>
        </w:rPr>
        <w:t xml:space="preserve"> Diario Oficial No. 41.094 de 28 de octubre de 1993</w:t>
      </w:r>
    </w:p>
  </w:footnote>
  <w:footnote w:id="3">
    <w:p w14:paraId="5E051029" w14:textId="77777777" w:rsidR="00E60BF9" w:rsidRPr="000F233E" w:rsidRDefault="00E60BF9" w:rsidP="00E60BF9">
      <w:pPr>
        <w:pStyle w:val="Textonotapie"/>
        <w:ind w:firstLine="708"/>
        <w:jc w:val="both"/>
        <w:rPr>
          <w:rFonts w:ascii="Verdana" w:hAnsi="Verdana" w:cs="Arial"/>
          <w:sz w:val="16"/>
          <w:szCs w:val="16"/>
        </w:rPr>
      </w:pPr>
      <w:r w:rsidRPr="000F233E">
        <w:rPr>
          <w:rStyle w:val="Refdenotaalpie"/>
          <w:rFonts w:ascii="Verdana" w:hAnsi="Verdana" w:cs="Arial"/>
          <w:sz w:val="16"/>
          <w:szCs w:val="16"/>
        </w:rPr>
        <w:footnoteRef/>
      </w:r>
      <w:r w:rsidRPr="000F233E">
        <w:rPr>
          <w:rFonts w:ascii="Verdana" w:hAnsi="Verdana" w:cs="Arial"/>
          <w:sz w:val="16"/>
          <w:szCs w:val="16"/>
        </w:rPr>
        <w:t xml:space="preserve"> </w:t>
      </w:r>
      <w:r w:rsidRPr="004852BD">
        <w:rPr>
          <w:rFonts w:ascii="Verdana" w:hAnsi="Verdana" w:cs="Arial"/>
          <w:sz w:val="12"/>
          <w:szCs w:val="12"/>
        </w:rPr>
        <w:t>EXPÓSITO VÉLEZ, Juan Carlos. Forma y contenido del contrato estatal, Bogotá: Universidad Externado de Colombia, 2013, p. 202 y 203.</w:t>
      </w:r>
      <w:r w:rsidRPr="000F233E">
        <w:rPr>
          <w:rFonts w:ascii="Verdana" w:hAnsi="Verdana" w:cs="Arial"/>
          <w:sz w:val="16"/>
          <w:szCs w:val="16"/>
        </w:rPr>
        <w:t xml:space="preserve"> </w:t>
      </w:r>
    </w:p>
  </w:footnote>
  <w:footnote w:id="4">
    <w:p w14:paraId="0349DA34" w14:textId="77777777" w:rsidR="00E60BF9" w:rsidRPr="004852BD" w:rsidRDefault="00E60BF9" w:rsidP="00E60BF9">
      <w:pPr>
        <w:pStyle w:val="Textonotapie"/>
        <w:ind w:firstLine="708"/>
        <w:jc w:val="both"/>
        <w:rPr>
          <w:rFonts w:ascii="Verdana" w:hAnsi="Verdana" w:cs="Arial"/>
          <w:sz w:val="12"/>
          <w:szCs w:val="12"/>
          <w:lang w:val="es-ES"/>
        </w:rPr>
      </w:pPr>
      <w:r w:rsidRPr="000F233E">
        <w:rPr>
          <w:rStyle w:val="Refdenotaalpie"/>
          <w:rFonts w:ascii="Verdana" w:hAnsi="Verdana" w:cs="Arial"/>
          <w:sz w:val="16"/>
          <w:szCs w:val="16"/>
        </w:rPr>
        <w:footnoteRef/>
      </w:r>
      <w:r w:rsidRPr="000F233E">
        <w:rPr>
          <w:rFonts w:ascii="Verdana" w:hAnsi="Verdana" w:cs="Arial"/>
          <w:sz w:val="16"/>
          <w:szCs w:val="16"/>
        </w:rPr>
        <w:t xml:space="preserve"> </w:t>
      </w:r>
      <w:r w:rsidRPr="004852BD">
        <w:rPr>
          <w:rFonts w:ascii="Verdana" w:hAnsi="Verdana" w:cs="Arial"/>
          <w:sz w:val="12"/>
          <w:szCs w:val="12"/>
          <w:lang w:val="es-ES"/>
        </w:rPr>
        <w:t>CONSEJO DE ESTADO. Sección Tercera. Subsección A. Sentencia de 9 de mayo de 2012. Exp. 20.968. C.P. Mauricio Fajardo Gómez.</w:t>
      </w:r>
    </w:p>
  </w:footnote>
  <w:footnote w:id="5">
    <w:p w14:paraId="4344A02F" w14:textId="77777777" w:rsidR="00E60BF9" w:rsidRPr="004852BD" w:rsidRDefault="00E60BF9" w:rsidP="00E60BF9">
      <w:pPr>
        <w:pStyle w:val="Textonotapie"/>
        <w:ind w:firstLine="708"/>
        <w:jc w:val="both"/>
        <w:rPr>
          <w:rFonts w:ascii="Verdana" w:hAnsi="Verdana" w:cs="Arial"/>
          <w:sz w:val="12"/>
          <w:szCs w:val="12"/>
        </w:rPr>
      </w:pPr>
      <w:r w:rsidRPr="004852BD">
        <w:rPr>
          <w:rStyle w:val="Refdenotaalpie"/>
          <w:rFonts w:ascii="Verdana" w:hAnsi="Verdana" w:cs="Arial"/>
          <w:sz w:val="12"/>
          <w:szCs w:val="12"/>
        </w:rPr>
        <w:footnoteRef/>
      </w:r>
      <w:r w:rsidRPr="004852BD">
        <w:rPr>
          <w:rFonts w:ascii="Verdana" w:hAnsi="Verdana" w:cs="Arial"/>
          <w:sz w:val="12"/>
          <w:szCs w:val="12"/>
        </w:rPr>
        <w:t xml:space="preserve"> Artículo 41 de la Ley 80 de 1993. Del perfeccionamiento del contrato estatal: “[…]</w:t>
      </w:r>
    </w:p>
    <w:p w14:paraId="3AC1F3C2" w14:textId="77777777" w:rsidR="00E60BF9" w:rsidRPr="004852BD" w:rsidRDefault="00E60BF9" w:rsidP="00E60BF9">
      <w:pPr>
        <w:pStyle w:val="Textonotapie"/>
        <w:ind w:firstLine="708"/>
        <w:jc w:val="both"/>
        <w:rPr>
          <w:rFonts w:ascii="Verdana" w:hAnsi="Verdana" w:cs="Arial"/>
          <w:sz w:val="12"/>
          <w:szCs w:val="12"/>
        </w:rPr>
      </w:pPr>
      <w:r w:rsidRPr="004852BD">
        <w:rPr>
          <w:rFonts w:ascii="Verdana" w:hAnsi="Verdana" w:cs="Arial"/>
          <w:sz w:val="12"/>
          <w:szCs w:val="12"/>
        </w:rPr>
        <w:t>Los contratos estatales son intuito personae y, en consecuencia, una vez celebrados no podrán cederse sin previa autorización escrita de la entidad contratante. […]”.</w:t>
      </w:r>
    </w:p>
  </w:footnote>
  <w:footnote w:id="6">
    <w:p w14:paraId="3DB12B4C" w14:textId="77777777" w:rsidR="00E60BF9" w:rsidRPr="004852BD" w:rsidRDefault="00E60BF9" w:rsidP="00E60BF9">
      <w:pPr>
        <w:pStyle w:val="Textonotapie"/>
        <w:ind w:firstLine="708"/>
        <w:jc w:val="both"/>
        <w:rPr>
          <w:rFonts w:ascii="Verdana" w:hAnsi="Verdana" w:cs="Arial"/>
          <w:sz w:val="12"/>
          <w:szCs w:val="12"/>
        </w:rPr>
      </w:pPr>
      <w:r w:rsidRPr="004852BD">
        <w:rPr>
          <w:rStyle w:val="Refdenotaalpie"/>
          <w:rFonts w:ascii="Verdana" w:hAnsi="Verdana" w:cs="Arial"/>
          <w:sz w:val="12"/>
          <w:szCs w:val="12"/>
        </w:rPr>
        <w:footnoteRef/>
      </w:r>
      <w:r w:rsidRPr="004852BD">
        <w:rPr>
          <w:rFonts w:ascii="Verdana" w:hAnsi="Verdana" w:cs="Arial"/>
          <w:sz w:val="12"/>
          <w:szCs w:val="12"/>
        </w:rPr>
        <w:t xml:space="preserve"> “[…] Se parte del hecho de que la escogencia del contratista comprende sus cualidades físicas y aptitudes para ejecutar aquello a lo que se ha comprometido, lo que hace lógica su inaplicación a las personas jurídicas, o al personal dispuesto por el contratista persona natural para la realización de las actividades propias del contrato. Entonces, ante la configuración de un caso de muerte del contratista, el contrato debe terminarse de forma unilateral, en vista de la evidente imposibilidad de hacerlo de mutuo acuerdo. </w:t>
      </w:r>
    </w:p>
    <w:p w14:paraId="50D6E9EF" w14:textId="77777777" w:rsidR="00E60BF9" w:rsidRPr="004852BD" w:rsidRDefault="00E60BF9" w:rsidP="00E60BF9">
      <w:pPr>
        <w:pStyle w:val="Textonotapie"/>
        <w:ind w:firstLine="708"/>
        <w:jc w:val="both"/>
        <w:rPr>
          <w:rFonts w:ascii="Verdana" w:hAnsi="Verdana" w:cs="Arial"/>
          <w:sz w:val="12"/>
          <w:szCs w:val="12"/>
        </w:rPr>
      </w:pPr>
      <w:r w:rsidRPr="004852BD">
        <w:rPr>
          <w:rFonts w:ascii="Verdana" w:hAnsi="Verdana" w:cs="Arial"/>
          <w:sz w:val="12"/>
          <w:szCs w:val="12"/>
        </w:rPr>
        <w:t xml:space="preserve">“Respecto de la incapacidad física permanente del contratista, la misma se constituye en una causal de terminación unilateral del contrato por las mismas razones determinadas para la muerte del colaborador de la administración. </w:t>
      </w:r>
    </w:p>
    <w:p w14:paraId="5FD9622B" w14:textId="77777777" w:rsidR="00E60BF9" w:rsidRPr="004852BD" w:rsidRDefault="00E60BF9" w:rsidP="00E60BF9">
      <w:pPr>
        <w:pStyle w:val="Textonotapie"/>
        <w:ind w:firstLine="708"/>
        <w:jc w:val="both"/>
        <w:rPr>
          <w:rFonts w:ascii="Verdana" w:hAnsi="Verdana" w:cs="Arial"/>
          <w:sz w:val="12"/>
          <w:szCs w:val="12"/>
        </w:rPr>
      </w:pPr>
      <w:r w:rsidRPr="004852BD">
        <w:rPr>
          <w:rFonts w:ascii="Verdana" w:hAnsi="Verdana" w:cs="Arial"/>
          <w:sz w:val="12"/>
          <w:szCs w:val="12"/>
        </w:rPr>
        <w:t>“[E]n relación con la disolución de la persona jurídica contratista, su justificación como causal de terminación unilateral del contrato se hace evidente, toda vez que la misma, al comprender su desaparecimiento del mundo jurídico, equivale a la muerte de una persona natural […]”. EXPÓSITO VÉLEZ, Juan Carlos. Forma y contenido del contrato estatal, Bogotá: Universidad Externado de Colombia, 2013, p. 207 a 210.</w:t>
      </w:r>
    </w:p>
    <w:p w14:paraId="3197FE7D" w14:textId="77777777" w:rsidR="00E60BF9" w:rsidRPr="000F233E" w:rsidRDefault="00E60BF9" w:rsidP="00E60BF9">
      <w:pPr>
        <w:pStyle w:val="Textonotapie"/>
        <w:ind w:firstLine="708"/>
        <w:jc w:val="both"/>
        <w:rPr>
          <w:rFonts w:ascii="Verdana" w:hAnsi="Verdana" w:cs="Arial"/>
          <w:sz w:val="16"/>
          <w:szCs w:val="16"/>
        </w:rPr>
      </w:pPr>
    </w:p>
  </w:footnote>
  <w:footnote w:id="7">
    <w:p w14:paraId="2F0AC658" w14:textId="77777777" w:rsidR="00E60BF9" w:rsidRPr="004852BD" w:rsidRDefault="00E60BF9" w:rsidP="00E60BF9">
      <w:pPr>
        <w:pStyle w:val="Textonotapie"/>
        <w:ind w:firstLine="708"/>
        <w:jc w:val="both"/>
        <w:rPr>
          <w:rFonts w:ascii="Verdana" w:hAnsi="Verdana" w:cs="Arial"/>
          <w:sz w:val="12"/>
          <w:szCs w:val="12"/>
          <w:lang w:val="es-ES"/>
        </w:rPr>
      </w:pPr>
      <w:r w:rsidRPr="000F233E">
        <w:rPr>
          <w:rStyle w:val="Refdenotaalpie"/>
          <w:rFonts w:ascii="Verdana" w:hAnsi="Verdana" w:cs="Arial"/>
          <w:sz w:val="16"/>
          <w:szCs w:val="16"/>
        </w:rPr>
        <w:footnoteRef/>
      </w:r>
      <w:r w:rsidRPr="000F233E">
        <w:rPr>
          <w:rFonts w:ascii="Verdana" w:hAnsi="Verdana" w:cs="Arial"/>
          <w:sz w:val="16"/>
          <w:szCs w:val="16"/>
        </w:rPr>
        <w:t xml:space="preserve"> </w:t>
      </w:r>
      <w:r w:rsidRPr="004852BD">
        <w:rPr>
          <w:rFonts w:ascii="Verdana" w:hAnsi="Verdana" w:cs="Arial"/>
          <w:sz w:val="12"/>
          <w:szCs w:val="12"/>
          <w:lang w:val="es-ES"/>
        </w:rPr>
        <w:t xml:space="preserve">Artículo 1008 del Código Civil. </w:t>
      </w:r>
    </w:p>
  </w:footnote>
  <w:footnote w:id="8">
    <w:p w14:paraId="4B67FC01" w14:textId="77777777" w:rsidR="00E60BF9" w:rsidRPr="004852BD" w:rsidRDefault="00E60BF9" w:rsidP="00E60BF9">
      <w:pPr>
        <w:pStyle w:val="Textonotapie"/>
        <w:ind w:firstLine="708"/>
        <w:jc w:val="both"/>
        <w:rPr>
          <w:rFonts w:ascii="Verdana" w:hAnsi="Verdana" w:cs="Arial"/>
          <w:sz w:val="12"/>
          <w:szCs w:val="12"/>
        </w:rPr>
      </w:pPr>
    </w:p>
    <w:p w14:paraId="6F3B8AA0" w14:textId="77777777" w:rsidR="00E60BF9" w:rsidRPr="004852BD" w:rsidRDefault="00E60BF9" w:rsidP="00E60BF9">
      <w:pPr>
        <w:pStyle w:val="Textonotapie"/>
        <w:ind w:firstLine="708"/>
        <w:jc w:val="both"/>
        <w:rPr>
          <w:rFonts w:ascii="Verdana" w:hAnsi="Verdana" w:cs="Arial"/>
          <w:sz w:val="12"/>
          <w:szCs w:val="12"/>
          <w:lang w:val="es-ES"/>
        </w:rPr>
      </w:pPr>
      <w:r w:rsidRPr="004852BD">
        <w:rPr>
          <w:rStyle w:val="Refdenotaalpie"/>
          <w:rFonts w:ascii="Verdana" w:hAnsi="Verdana" w:cs="Arial"/>
          <w:sz w:val="12"/>
          <w:szCs w:val="12"/>
        </w:rPr>
        <w:footnoteRef/>
      </w:r>
      <w:r w:rsidRPr="004852BD">
        <w:rPr>
          <w:rFonts w:ascii="Verdana" w:hAnsi="Verdana" w:cs="Arial"/>
          <w:sz w:val="12"/>
          <w:szCs w:val="12"/>
        </w:rPr>
        <w:t xml:space="preserve"> </w:t>
      </w:r>
      <w:r w:rsidRPr="004852BD">
        <w:rPr>
          <w:rFonts w:ascii="Verdana" w:hAnsi="Verdana" w:cs="Arial"/>
          <w:sz w:val="12"/>
          <w:szCs w:val="12"/>
          <w:lang w:val="es-ES"/>
        </w:rPr>
        <w:t xml:space="preserve">CONSEJO DE ESTADO. Sección Tercera. Subsección B. Sentencia de 8 de mayo de 2019. Exp: 56343. MP: Martin Bermúdez Muñoz. </w:t>
      </w:r>
    </w:p>
    <w:p w14:paraId="5A421B47" w14:textId="77777777" w:rsidR="00E60BF9" w:rsidRPr="004852BD" w:rsidRDefault="00E60BF9" w:rsidP="00E60BF9">
      <w:pPr>
        <w:pStyle w:val="Textonotapie"/>
        <w:ind w:firstLine="708"/>
        <w:jc w:val="both"/>
        <w:rPr>
          <w:rFonts w:ascii="Verdana" w:hAnsi="Verdana" w:cs="Arial"/>
          <w:sz w:val="12"/>
          <w:szCs w:val="12"/>
          <w:lang w:val="es-ES"/>
        </w:rPr>
      </w:pPr>
    </w:p>
  </w:footnote>
  <w:footnote w:id="9">
    <w:p w14:paraId="351D5613" w14:textId="77777777" w:rsidR="00E60BF9" w:rsidRPr="004852BD" w:rsidRDefault="00E60BF9" w:rsidP="00E60BF9">
      <w:pPr>
        <w:pStyle w:val="Textonotapie"/>
        <w:ind w:firstLine="708"/>
        <w:jc w:val="both"/>
        <w:rPr>
          <w:rFonts w:ascii="Verdana" w:hAnsi="Verdana" w:cs="Arial"/>
          <w:sz w:val="12"/>
          <w:szCs w:val="12"/>
        </w:rPr>
      </w:pPr>
      <w:r w:rsidRPr="000F233E">
        <w:rPr>
          <w:rStyle w:val="Refdenotaalpie"/>
          <w:rFonts w:ascii="Verdana" w:hAnsi="Verdana" w:cs="Arial"/>
          <w:sz w:val="16"/>
          <w:szCs w:val="16"/>
        </w:rPr>
        <w:footnoteRef/>
      </w:r>
      <w:r w:rsidRPr="000F233E">
        <w:rPr>
          <w:rFonts w:ascii="Verdana" w:hAnsi="Verdana" w:cs="Arial"/>
          <w:sz w:val="16"/>
          <w:szCs w:val="16"/>
        </w:rPr>
        <w:t xml:space="preserve"> </w:t>
      </w:r>
      <w:r w:rsidRPr="004852BD">
        <w:rPr>
          <w:rFonts w:ascii="Verdana" w:hAnsi="Verdana" w:cs="Arial"/>
          <w:sz w:val="12"/>
          <w:szCs w:val="12"/>
        </w:rPr>
        <w:t xml:space="preserve">PINO RICCI, Jorge. El régimen jurídico de los contratos estatales. Primera edición, 2005, Universidad Externado de Colombia. pp. 354.  </w:t>
      </w:r>
    </w:p>
    <w:p w14:paraId="417BE43B" w14:textId="77777777" w:rsidR="00E60BF9" w:rsidRPr="004852BD" w:rsidRDefault="00E60BF9" w:rsidP="00E60BF9">
      <w:pPr>
        <w:pStyle w:val="Textonotapie"/>
        <w:ind w:firstLine="708"/>
        <w:jc w:val="both"/>
        <w:rPr>
          <w:rFonts w:ascii="Verdana" w:hAnsi="Verdana" w:cs="Arial"/>
          <w:sz w:val="12"/>
          <w:szCs w:val="12"/>
        </w:rPr>
      </w:pPr>
    </w:p>
  </w:footnote>
  <w:footnote w:id="10">
    <w:p w14:paraId="48EF704B" w14:textId="77777777" w:rsidR="00E60BF9" w:rsidRPr="004852BD" w:rsidRDefault="00E60BF9" w:rsidP="00E60BF9">
      <w:pPr>
        <w:pStyle w:val="Textonotapie"/>
        <w:ind w:firstLine="708"/>
        <w:jc w:val="both"/>
        <w:rPr>
          <w:rFonts w:ascii="Verdana" w:hAnsi="Verdana" w:cs="Arial"/>
          <w:sz w:val="12"/>
          <w:szCs w:val="12"/>
        </w:rPr>
      </w:pPr>
      <w:r w:rsidRPr="004852BD">
        <w:rPr>
          <w:rStyle w:val="Refdenotaalpie"/>
          <w:rFonts w:ascii="Verdana" w:hAnsi="Verdana" w:cs="Arial"/>
          <w:sz w:val="12"/>
          <w:szCs w:val="12"/>
        </w:rPr>
        <w:footnoteRef/>
      </w:r>
      <w:r w:rsidRPr="004852BD">
        <w:rPr>
          <w:rFonts w:ascii="Verdana" w:hAnsi="Verdana" w:cs="Arial"/>
          <w:sz w:val="12"/>
          <w:szCs w:val="12"/>
        </w:rPr>
        <w:t xml:space="preserve"> PALACIO HINCAPIÉ, Juan A. La contratación de entidades estatales. Octava edición. 2020. Librería Jurídica Sánchez. p 565-566.</w:t>
      </w:r>
    </w:p>
  </w:footnote>
  <w:footnote w:id="11">
    <w:p w14:paraId="24B3C451" w14:textId="77777777" w:rsidR="00E60BF9" w:rsidRPr="004852BD" w:rsidRDefault="00E60BF9" w:rsidP="00E60BF9">
      <w:pPr>
        <w:pStyle w:val="Textonotapie"/>
        <w:ind w:firstLine="851"/>
        <w:jc w:val="both"/>
        <w:rPr>
          <w:rFonts w:ascii="Verdana" w:hAnsi="Verdana" w:cs="Arial"/>
          <w:sz w:val="12"/>
          <w:szCs w:val="12"/>
          <w:lang w:val="es-ES"/>
        </w:rPr>
      </w:pPr>
      <w:r w:rsidRPr="004852BD">
        <w:rPr>
          <w:rStyle w:val="Refdenotaalpie"/>
          <w:rFonts w:ascii="Verdana" w:hAnsi="Verdana" w:cs="Arial"/>
          <w:sz w:val="12"/>
          <w:szCs w:val="12"/>
        </w:rPr>
        <w:footnoteRef/>
      </w:r>
      <w:r w:rsidRPr="004852BD">
        <w:rPr>
          <w:rFonts w:ascii="Verdana" w:hAnsi="Verdana" w:cs="Arial"/>
          <w:sz w:val="12"/>
          <w:szCs w:val="12"/>
        </w:rPr>
        <w:t xml:space="preserve"> CORTE CONSTITUCIONAL. Sentencia C-083 de 1995. M.P. Carlos Gaviria Díaz</w:t>
      </w:r>
    </w:p>
  </w:footnote>
  <w:footnote w:id="12">
    <w:p w14:paraId="1F7F0D74" w14:textId="77777777" w:rsidR="00E60BF9" w:rsidRPr="004852BD" w:rsidRDefault="00E60BF9" w:rsidP="00E60BF9">
      <w:pPr>
        <w:pStyle w:val="Textonotapie"/>
        <w:ind w:firstLine="851"/>
        <w:jc w:val="both"/>
        <w:rPr>
          <w:rFonts w:ascii="Verdana" w:hAnsi="Verdana" w:cs="Arial"/>
          <w:sz w:val="12"/>
          <w:szCs w:val="12"/>
          <w:lang w:val="es-ES"/>
        </w:rPr>
      </w:pPr>
      <w:r w:rsidRPr="004852BD">
        <w:rPr>
          <w:rStyle w:val="Refdenotaalpie"/>
          <w:rFonts w:ascii="Verdana" w:hAnsi="Verdana" w:cs="Arial"/>
          <w:sz w:val="12"/>
          <w:szCs w:val="12"/>
        </w:rPr>
        <w:footnoteRef/>
      </w:r>
      <w:r w:rsidRPr="004852BD">
        <w:rPr>
          <w:rFonts w:ascii="Verdana" w:hAnsi="Verdana" w:cs="Arial"/>
          <w:sz w:val="12"/>
          <w:szCs w:val="12"/>
        </w:rPr>
        <w:t xml:space="preserve"> CONSEJO DE ESTADO. Sección Tercera Subsección B. Sentencia del 8 de mayo de 2019.C.P. Martín Bermúdez Muñoz Exp. No. 56.343.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68261131">
    <w:abstractNumId w:val="6"/>
  </w:num>
  <w:num w:numId="2" w16cid:durableId="731008284">
    <w:abstractNumId w:val="2"/>
  </w:num>
  <w:num w:numId="3" w16cid:durableId="171143352">
    <w:abstractNumId w:val="4"/>
  </w:num>
  <w:num w:numId="4" w16cid:durableId="192702960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6604859">
    <w:abstractNumId w:val="2"/>
  </w:num>
  <w:num w:numId="6" w16cid:durableId="1103257461">
    <w:abstractNumId w:val="13"/>
  </w:num>
  <w:num w:numId="7" w16cid:durableId="2049180190">
    <w:abstractNumId w:val="5"/>
  </w:num>
  <w:num w:numId="8" w16cid:durableId="1720786168">
    <w:abstractNumId w:val="12"/>
  </w:num>
  <w:num w:numId="9" w16cid:durableId="61107386">
    <w:abstractNumId w:val="7"/>
  </w:num>
  <w:num w:numId="10" w16cid:durableId="917133623">
    <w:abstractNumId w:val="11"/>
  </w:num>
  <w:num w:numId="11" w16cid:durableId="725183200">
    <w:abstractNumId w:val="8"/>
  </w:num>
  <w:num w:numId="12" w16cid:durableId="889338115">
    <w:abstractNumId w:val="1"/>
  </w:num>
  <w:num w:numId="13" w16cid:durableId="1080830824">
    <w:abstractNumId w:val="3"/>
  </w:num>
  <w:num w:numId="14" w16cid:durableId="1338922090">
    <w:abstractNumId w:val="14"/>
  </w:num>
  <w:num w:numId="15" w16cid:durableId="461308017">
    <w:abstractNumId w:val="10"/>
  </w:num>
  <w:num w:numId="16" w16cid:durableId="1885747495">
    <w:abstractNumId w:val="0"/>
  </w:num>
  <w:num w:numId="17" w16cid:durableId="129429100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3547"/>
    <w:rsid w:val="000A683E"/>
    <w:rsid w:val="000A7286"/>
    <w:rsid w:val="000B19B9"/>
    <w:rsid w:val="000D0334"/>
    <w:rsid w:val="000D5DA7"/>
    <w:rsid w:val="000F6486"/>
    <w:rsid w:val="00116940"/>
    <w:rsid w:val="00125105"/>
    <w:rsid w:val="00127233"/>
    <w:rsid w:val="00144B84"/>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02C3"/>
    <w:rsid w:val="00322A85"/>
    <w:rsid w:val="00324168"/>
    <w:rsid w:val="00330834"/>
    <w:rsid w:val="003407E1"/>
    <w:rsid w:val="003448F4"/>
    <w:rsid w:val="003636A6"/>
    <w:rsid w:val="00374F5E"/>
    <w:rsid w:val="00377E3E"/>
    <w:rsid w:val="003A779E"/>
    <w:rsid w:val="003D0F4D"/>
    <w:rsid w:val="003D5B0D"/>
    <w:rsid w:val="003E0499"/>
    <w:rsid w:val="003E4F80"/>
    <w:rsid w:val="003E6439"/>
    <w:rsid w:val="003F3941"/>
    <w:rsid w:val="004024F9"/>
    <w:rsid w:val="00406575"/>
    <w:rsid w:val="00414C74"/>
    <w:rsid w:val="0042722E"/>
    <w:rsid w:val="0044528D"/>
    <w:rsid w:val="00466E39"/>
    <w:rsid w:val="004852BD"/>
    <w:rsid w:val="004A1847"/>
    <w:rsid w:val="004A305D"/>
    <w:rsid w:val="004F21C4"/>
    <w:rsid w:val="004F685F"/>
    <w:rsid w:val="00531C8D"/>
    <w:rsid w:val="0055353F"/>
    <w:rsid w:val="005566E8"/>
    <w:rsid w:val="00574867"/>
    <w:rsid w:val="00591460"/>
    <w:rsid w:val="005A65E0"/>
    <w:rsid w:val="005B4190"/>
    <w:rsid w:val="005C3777"/>
    <w:rsid w:val="005C5CDC"/>
    <w:rsid w:val="005D476C"/>
    <w:rsid w:val="006200BF"/>
    <w:rsid w:val="006219F8"/>
    <w:rsid w:val="00623048"/>
    <w:rsid w:val="006302F7"/>
    <w:rsid w:val="00646B9F"/>
    <w:rsid w:val="00665D70"/>
    <w:rsid w:val="0067080D"/>
    <w:rsid w:val="006900D9"/>
    <w:rsid w:val="00692D06"/>
    <w:rsid w:val="006E4DD6"/>
    <w:rsid w:val="006F5516"/>
    <w:rsid w:val="00706C16"/>
    <w:rsid w:val="007340C3"/>
    <w:rsid w:val="0075235A"/>
    <w:rsid w:val="00756841"/>
    <w:rsid w:val="007649AB"/>
    <w:rsid w:val="00771D0C"/>
    <w:rsid w:val="007833AC"/>
    <w:rsid w:val="007B268C"/>
    <w:rsid w:val="007B7171"/>
    <w:rsid w:val="007C0C0F"/>
    <w:rsid w:val="007C3DC2"/>
    <w:rsid w:val="007E5497"/>
    <w:rsid w:val="007F6730"/>
    <w:rsid w:val="00800A22"/>
    <w:rsid w:val="00801BCF"/>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813F5"/>
    <w:rsid w:val="009A0DFA"/>
    <w:rsid w:val="009A1C6F"/>
    <w:rsid w:val="009B2D26"/>
    <w:rsid w:val="009C71FA"/>
    <w:rsid w:val="009C72E7"/>
    <w:rsid w:val="009C7F7E"/>
    <w:rsid w:val="009D3058"/>
    <w:rsid w:val="009F1D0D"/>
    <w:rsid w:val="009F3A13"/>
    <w:rsid w:val="00A122D3"/>
    <w:rsid w:val="00A14468"/>
    <w:rsid w:val="00A17F13"/>
    <w:rsid w:val="00A20739"/>
    <w:rsid w:val="00A23AF9"/>
    <w:rsid w:val="00A33C78"/>
    <w:rsid w:val="00AB0ADB"/>
    <w:rsid w:val="00AD46B0"/>
    <w:rsid w:val="00B00C0E"/>
    <w:rsid w:val="00B01B1A"/>
    <w:rsid w:val="00B0381D"/>
    <w:rsid w:val="00B44A47"/>
    <w:rsid w:val="00B6035A"/>
    <w:rsid w:val="00B72CD3"/>
    <w:rsid w:val="00B72FFF"/>
    <w:rsid w:val="00BC3D36"/>
    <w:rsid w:val="00BD54A6"/>
    <w:rsid w:val="00BD7F72"/>
    <w:rsid w:val="00BF7425"/>
    <w:rsid w:val="00C04FB3"/>
    <w:rsid w:val="00C11D8B"/>
    <w:rsid w:val="00C15139"/>
    <w:rsid w:val="00C330EB"/>
    <w:rsid w:val="00C3430F"/>
    <w:rsid w:val="00C50D69"/>
    <w:rsid w:val="00C5365C"/>
    <w:rsid w:val="00C754BE"/>
    <w:rsid w:val="00C76B1C"/>
    <w:rsid w:val="00C925AC"/>
    <w:rsid w:val="00CB6357"/>
    <w:rsid w:val="00CC1B26"/>
    <w:rsid w:val="00CE3F57"/>
    <w:rsid w:val="00D361FD"/>
    <w:rsid w:val="00D423A2"/>
    <w:rsid w:val="00D44E26"/>
    <w:rsid w:val="00D520D8"/>
    <w:rsid w:val="00D63AC2"/>
    <w:rsid w:val="00D7383B"/>
    <w:rsid w:val="00D7788A"/>
    <w:rsid w:val="00D93E34"/>
    <w:rsid w:val="00DA231B"/>
    <w:rsid w:val="00DC39FC"/>
    <w:rsid w:val="00DF5254"/>
    <w:rsid w:val="00E02524"/>
    <w:rsid w:val="00E16408"/>
    <w:rsid w:val="00E20894"/>
    <w:rsid w:val="00E245AB"/>
    <w:rsid w:val="00E2764C"/>
    <w:rsid w:val="00E27F2E"/>
    <w:rsid w:val="00E50AFE"/>
    <w:rsid w:val="00E60BF9"/>
    <w:rsid w:val="00E75C92"/>
    <w:rsid w:val="00E771DC"/>
    <w:rsid w:val="00E8772A"/>
    <w:rsid w:val="00E90F6B"/>
    <w:rsid w:val="00E92C27"/>
    <w:rsid w:val="00EA0E3D"/>
    <w:rsid w:val="00EB5091"/>
    <w:rsid w:val="00EC38A7"/>
    <w:rsid w:val="00EE1AA8"/>
    <w:rsid w:val="00F12954"/>
    <w:rsid w:val="00F23FEA"/>
    <w:rsid w:val="00F30ED4"/>
    <w:rsid w:val="00F31EDC"/>
    <w:rsid w:val="00F462B3"/>
    <w:rsid w:val="00F5664F"/>
    <w:rsid w:val="00F666C4"/>
    <w:rsid w:val="00F76AFC"/>
    <w:rsid w:val="00FA47C0"/>
    <w:rsid w:val="00FB5DD1"/>
    <w:rsid w:val="00FB7CA9"/>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60BF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60BF9"/>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manuales-guias-y-pliegos-tipo/manuales-y-guias"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providencias-consejo-de-estado/"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romero1997180@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81367F42-BB5A-4D18-88BC-9E4E10CBA6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16</Pages>
  <Words>5129</Words>
  <Characters>27445</Characters>
  <Application>Microsoft Office Word</Application>
  <DocSecurity>0</DocSecurity>
  <Lines>596</Lines>
  <Paragraphs>141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13</cp:revision>
  <cp:lastPrinted>2023-01-10T21:18:00Z</cp:lastPrinted>
  <dcterms:created xsi:type="dcterms:W3CDTF">2025-12-29T22:56:00Z</dcterms:created>
  <dcterms:modified xsi:type="dcterms:W3CDTF">2025-12-31T16:04:00Z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