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633B103" w14:textId="77777777" w:rsidR="00410D3C" w:rsidRPr="00823549" w:rsidRDefault="00410D3C" w:rsidP="00410D3C">
      <w:pPr>
        <w:spacing w:after="0" w:line="276" w:lineRule="auto"/>
        <w:jc w:val="both"/>
        <w:rPr>
          <w:rFonts w:ascii="Verdana" w:hAnsi="Verdana"/>
        </w:rPr>
      </w:pPr>
      <w:bookmarkStart w:id="0" w:name="_Hlk143780582"/>
      <w:r w:rsidRPr="00823549">
        <w:rPr>
          <w:rFonts w:ascii="Verdana" w:eastAsia="Calibri" w:hAnsi="Verdana" w:cs="Arial"/>
          <w:b/>
          <w:bCs/>
          <w:lang w:val="es-ES_tradnl" w:eastAsia="es-ES"/>
        </w:rPr>
        <w:t xml:space="preserve">DOCUMENTOS TIPO – Generalidades – </w:t>
      </w:r>
      <w:r w:rsidRPr="00823549">
        <w:rPr>
          <w:rFonts w:ascii="Verdana" w:eastAsia="Aptos" w:hAnsi="Verdana" w:cs="Times New Roman"/>
          <w:b/>
          <w:bCs/>
          <w:kern w:val="2"/>
          <w:lang w:val="es-ES_tradnl" w:eastAsia="es-ES"/>
          <w14:ligatures w14:val="standardContextual"/>
        </w:rPr>
        <w:t xml:space="preserve">Obligatoriedad </w:t>
      </w:r>
    </w:p>
    <w:p w14:paraId="381AC790" w14:textId="77777777" w:rsidR="00410D3C" w:rsidRPr="00823549" w:rsidRDefault="00410D3C" w:rsidP="00410D3C">
      <w:pPr>
        <w:snapToGrid w:val="0"/>
        <w:spacing w:after="0" w:line="240" w:lineRule="auto"/>
        <w:jc w:val="both"/>
        <w:rPr>
          <w:rFonts w:ascii="Verdana" w:eastAsia="Calibri" w:hAnsi="Verdana" w:cs="Arial"/>
          <w:b/>
          <w:bCs/>
          <w:lang w:val="es-ES_tradnl" w:eastAsia="es-ES"/>
        </w:rPr>
      </w:pPr>
    </w:p>
    <w:p w14:paraId="7666A25F" w14:textId="77777777" w:rsidR="00410D3C" w:rsidRPr="002E567F" w:rsidRDefault="00410D3C" w:rsidP="00410D3C">
      <w:pPr>
        <w:snapToGrid w:val="0"/>
        <w:spacing w:after="0" w:line="240" w:lineRule="auto"/>
        <w:jc w:val="both"/>
        <w:rPr>
          <w:rFonts w:ascii="Verdana" w:eastAsia="Calibri" w:hAnsi="Verdana" w:cs="Arial"/>
          <w:sz w:val="20"/>
          <w:szCs w:val="20"/>
          <w:lang w:val="es-ES_tradnl"/>
        </w:rPr>
      </w:pPr>
      <w:r w:rsidRPr="002E567F">
        <w:rPr>
          <w:rFonts w:ascii="Verdana" w:eastAsia="Calibri" w:hAnsi="Verdana" w:cs="Arial"/>
          <w:sz w:val="20"/>
          <w:szCs w:val="20"/>
          <w:lang w:val="es-ES_tradnl"/>
        </w:rPr>
        <w:t xml:space="preserve">Los Documentos Tipo expedidos por esta Agencia en ejercicio de la potestad otorgada por la Ley 2022 de 2020 son de obligatoria observancia por parte de las Entidades Estatales sometidas al Estatuto General de Contratación de la Administración Pública –EGCAP–. Debido a esto, tales entidades deben aplicar de manera forzosa los Documentos Tipo para desarrollar los Procesos de Contratación en los objetos y modalidades cobijadas por los Documentos Tipo. </w:t>
      </w:r>
    </w:p>
    <w:p w14:paraId="5A700627" w14:textId="77777777" w:rsidR="00410D3C" w:rsidRPr="00823549" w:rsidRDefault="00410D3C" w:rsidP="00410D3C">
      <w:pPr>
        <w:snapToGrid w:val="0"/>
        <w:spacing w:after="0" w:line="240" w:lineRule="auto"/>
        <w:rPr>
          <w:rFonts w:ascii="Verdana" w:eastAsia="Geomanist Light" w:hAnsi="Verdana" w:cs="Arial"/>
          <w:lang w:val="es-ES_tradnl"/>
        </w:rPr>
      </w:pPr>
    </w:p>
    <w:p w14:paraId="16A8F8BC" w14:textId="77777777" w:rsidR="00410D3C" w:rsidRPr="00823549" w:rsidRDefault="00410D3C" w:rsidP="00410D3C">
      <w:pPr>
        <w:snapToGrid w:val="0"/>
        <w:spacing w:after="0" w:line="276" w:lineRule="auto"/>
        <w:jc w:val="both"/>
        <w:rPr>
          <w:rFonts w:ascii="Verdana" w:eastAsia="Geomanist Light" w:hAnsi="Verdana" w:cs="Arial"/>
          <w:b/>
          <w:bCs/>
          <w:lang w:val="es-ES_tradnl"/>
        </w:rPr>
      </w:pPr>
      <w:r w:rsidRPr="00823549">
        <w:rPr>
          <w:rFonts w:ascii="Verdana" w:eastAsia="Geomanist Light" w:hAnsi="Verdana" w:cs="Arial"/>
          <w:b/>
          <w:bCs/>
          <w:lang w:val="es-ES_tradnl"/>
        </w:rPr>
        <w:t xml:space="preserve">DOCUMENTOS TIPO – Infraestructura de transporte – Versión 4 – Oferta económica – Formulario 1 – Formulario de Presupuesto Oficial </w:t>
      </w:r>
    </w:p>
    <w:p w14:paraId="6B5B13B8" w14:textId="77777777" w:rsidR="00410D3C" w:rsidRPr="00823549" w:rsidRDefault="00410D3C" w:rsidP="00410D3C">
      <w:pPr>
        <w:snapToGrid w:val="0"/>
        <w:spacing w:after="0" w:line="240" w:lineRule="auto"/>
        <w:jc w:val="both"/>
        <w:rPr>
          <w:rFonts w:ascii="Verdana" w:eastAsia="Geomanist Light" w:hAnsi="Verdana" w:cs="Arial"/>
          <w:lang w:val="es-ES_tradnl"/>
        </w:rPr>
      </w:pPr>
    </w:p>
    <w:p w14:paraId="2010685E" w14:textId="77777777" w:rsidR="00410D3C" w:rsidRDefault="00410D3C" w:rsidP="00410D3C">
      <w:pPr>
        <w:widowControl w:val="0"/>
        <w:autoSpaceDE w:val="0"/>
        <w:autoSpaceDN w:val="0"/>
        <w:snapToGrid w:val="0"/>
        <w:spacing w:after="0" w:line="240" w:lineRule="auto"/>
        <w:jc w:val="both"/>
        <w:rPr>
          <w:rFonts w:ascii="Verdana" w:eastAsia="Calibri" w:hAnsi="Verdana" w:cs="Arial"/>
          <w:kern w:val="2"/>
          <w:sz w:val="20"/>
          <w:szCs w:val="20"/>
          <w:lang w:val="es-ES" w:eastAsia="es-MX"/>
          <w14:ligatures w14:val="standardContextual"/>
        </w:rPr>
      </w:pPr>
      <w:r w:rsidRPr="002E567F">
        <w:rPr>
          <w:rFonts w:ascii="Verdana" w:eastAsia="Calibri" w:hAnsi="Verdana" w:cs="Arial"/>
          <w:kern w:val="2"/>
          <w:sz w:val="20"/>
          <w:szCs w:val="20"/>
          <w:lang w:val="es-ES" w:eastAsia="es-MX"/>
          <w14:ligatures w14:val="standardContextual"/>
        </w:rPr>
        <w:t xml:space="preserve">En los documentos tipo de obra de infraestructura de transporte, el “Formulario 1 – Formulario de Presupuesto Oficial” tiene dos connotaciones: i) por un lado, es el formulario sobre el cual la entidad estructura y presenta el presupuesto oficial del procedimiento de contratación; y </w:t>
      </w:r>
      <w:proofErr w:type="spellStart"/>
      <w:r w:rsidRPr="002E567F">
        <w:rPr>
          <w:rFonts w:ascii="Verdana" w:eastAsia="Calibri" w:hAnsi="Verdana" w:cs="Arial"/>
          <w:kern w:val="2"/>
          <w:sz w:val="20"/>
          <w:szCs w:val="20"/>
          <w:lang w:val="es-ES" w:eastAsia="es-MX"/>
          <w14:ligatures w14:val="standardContextual"/>
        </w:rPr>
        <w:t>ii</w:t>
      </w:r>
      <w:proofErr w:type="spellEnd"/>
      <w:r w:rsidRPr="002E567F">
        <w:rPr>
          <w:rFonts w:ascii="Verdana" w:eastAsia="Calibri" w:hAnsi="Verdana" w:cs="Arial"/>
          <w:kern w:val="2"/>
          <w:sz w:val="20"/>
          <w:szCs w:val="20"/>
          <w:lang w:val="es-ES" w:eastAsia="es-MX"/>
          <w14:ligatures w14:val="standardContextual"/>
        </w:rPr>
        <w:t>) por el otro, es el formulario sobre el cual los proponentes elaboran y presentan su oferta económica. Específicamente, frente a la propuesta económica, el documento base señala que la misma se debe elaborar a partir del “Formulario 1– Formulario de Presupuesto Oficial” y la presentación debe hacerse con sujeción a lo dispuesto en los numerales “2.3. ELABORACIÓN Y PRESENTACIÓN DE LA OFERTA” y “4.1. OFERTA ECONÓMICA” del referido documento base. El propósito de esto es evitar la duplicidad de información y permitir que las propuestas económicas sean evaluadas con las variables, cantidades, unidades de medida y reglas consideradas por la entidad al estructurar su presupuesto oficial.</w:t>
      </w:r>
    </w:p>
    <w:p w14:paraId="30808EA1" w14:textId="77777777" w:rsidR="00410D3C" w:rsidRDefault="00410D3C" w:rsidP="00410D3C">
      <w:pPr>
        <w:widowControl w:val="0"/>
        <w:autoSpaceDE w:val="0"/>
        <w:autoSpaceDN w:val="0"/>
        <w:snapToGrid w:val="0"/>
        <w:spacing w:after="0" w:line="240" w:lineRule="auto"/>
        <w:jc w:val="both"/>
        <w:rPr>
          <w:rFonts w:ascii="Verdana" w:eastAsia="Calibri" w:hAnsi="Verdana" w:cs="Arial"/>
          <w:kern w:val="2"/>
          <w:sz w:val="20"/>
          <w:szCs w:val="20"/>
          <w:lang w:val="es-ES" w:eastAsia="es-MX"/>
          <w14:ligatures w14:val="standardContextual"/>
        </w:rPr>
      </w:pPr>
    </w:p>
    <w:p w14:paraId="4EEC7DF8" w14:textId="77777777" w:rsidR="00410D3C" w:rsidRDefault="00410D3C" w:rsidP="00410D3C">
      <w:pPr>
        <w:snapToGrid w:val="0"/>
        <w:spacing w:after="0" w:line="276" w:lineRule="auto"/>
        <w:jc w:val="both"/>
        <w:rPr>
          <w:rFonts w:ascii="Verdana" w:eastAsia="Geomanist Light" w:hAnsi="Verdana" w:cs="Arial"/>
          <w:b/>
          <w:bCs/>
          <w:lang w:val="es-ES_tradnl"/>
        </w:rPr>
      </w:pPr>
      <w:r w:rsidRPr="001D121D">
        <w:rPr>
          <w:rFonts w:ascii="Verdana" w:eastAsia="Geomanist Light" w:hAnsi="Verdana" w:cs="Arial"/>
          <w:b/>
          <w:bCs/>
          <w:lang w:val="es-ES_tradnl"/>
        </w:rPr>
        <w:t xml:space="preserve">DOCUMENTO BASE </w:t>
      </w:r>
      <w:r w:rsidRPr="00823549">
        <w:rPr>
          <w:rFonts w:ascii="Verdana" w:eastAsia="Geomanist Light" w:hAnsi="Verdana" w:cs="Arial"/>
          <w:b/>
          <w:bCs/>
          <w:lang w:val="es-ES_tradnl"/>
        </w:rPr>
        <w:t xml:space="preserve">– </w:t>
      </w:r>
      <w:r>
        <w:rPr>
          <w:rFonts w:ascii="Verdana" w:eastAsia="Geomanist Light" w:hAnsi="Verdana" w:cs="Arial"/>
          <w:b/>
          <w:bCs/>
          <w:lang w:val="es-ES_tradnl"/>
        </w:rPr>
        <w:t>D</w:t>
      </w:r>
      <w:r w:rsidRPr="00823549">
        <w:rPr>
          <w:rFonts w:ascii="Verdana" w:eastAsia="Geomanist Light" w:hAnsi="Verdana" w:cs="Arial"/>
          <w:b/>
          <w:bCs/>
          <w:lang w:val="es-ES_tradnl"/>
        </w:rPr>
        <w:t>ocumentos tipo – Infraestructura de transporte –Versión 4</w:t>
      </w:r>
      <w:r>
        <w:rPr>
          <w:rFonts w:ascii="Verdana" w:eastAsia="Geomanist Light" w:hAnsi="Verdana" w:cs="Arial"/>
          <w:b/>
          <w:bCs/>
          <w:lang w:val="es-ES_tradnl"/>
        </w:rPr>
        <w:t xml:space="preserve"> </w:t>
      </w:r>
      <w:r w:rsidRPr="00823549">
        <w:rPr>
          <w:rFonts w:ascii="Verdana" w:eastAsia="Geomanist Light" w:hAnsi="Verdana" w:cs="Arial"/>
          <w:b/>
          <w:bCs/>
          <w:lang w:val="es-ES_tradnl"/>
        </w:rPr>
        <w:t>–</w:t>
      </w:r>
      <w:r>
        <w:rPr>
          <w:rFonts w:ascii="Verdana" w:eastAsia="Geomanist Light" w:hAnsi="Verdana" w:cs="Arial"/>
          <w:b/>
          <w:bCs/>
          <w:lang w:val="es-ES_tradnl"/>
        </w:rPr>
        <w:t xml:space="preserve"> Numeral 2.3.2 </w:t>
      </w:r>
      <w:r w:rsidRPr="00823549">
        <w:rPr>
          <w:rFonts w:ascii="Verdana" w:eastAsia="Geomanist Light" w:hAnsi="Verdana" w:cs="Arial"/>
          <w:b/>
          <w:bCs/>
          <w:lang w:val="es-ES_tradnl"/>
        </w:rPr>
        <w:t>–</w:t>
      </w:r>
      <w:r>
        <w:rPr>
          <w:rFonts w:ascii="Verdana" w:eastAsia="Geomanist Light" w:hAnsi="Verdana" w:cs="Arial"/>
          <w:b/>
          <w:bCs/>
          <w:lang w:val="es-ES_tradnl"/>
        </w:rPr>
        <w:t xml:space="preserve"> Nota </w:t>
      </w:r>
      <w:r w:rsidRPr="00823549">
        <w:rPr>
          <w:rFonts w:ascii="Verdana" w:eastAsia="Geomanist Light" w:hAnsi="Verdana" w:cs="Arial"/>
          <w:b/>
          <w:bCs/>
          <w:lang w:val="es-ES_tradnl"/>
        </w:rPr>
        <w:t>–</w:t>
      </w:r>
      <w:r>
        <w:rPr>
          <w:rFonts w:ascii="Verdana" w:eastAsia="Geomanist Light" w:hAnsi="Verdana" w:cs="Arial"/>
          <w:b/>
          <w:bCs/>
          <w:lang w:val="es-ES_tradnl"/>
        </w:rPr>
        <w:t xml:space="preserve"> Alcance</w:t>
      </w:r>
    </w:p>
    <w:p w14:paraId="61A977DF" w14:textId="77777777" w:rsidR="00410D3C" w:rsidRPr="001D121D" w:rsidRDefault="00410D3C" w:rsidP="00410D3C">
      <w:pPr>
        <w:widowControl w:val="0"/>
        <w:autoSpaceDE w:val="0"/>
        <w:autoSpaceDN w:val="0"/>
        <w:snapToGrid w:val="0"/>
        <w:spacing w:after="0" w:line="240" w:lineRule="auto"/>
        <w:jc w:val="both"/>
        <w:rPr>
          <w:rFonts w:ascii="Verdana" w:eastAsia="Calibri" w:hAnsi="Verdana" w:cs="Arial"/>
          <w:kern w:val="2"/>
          <w:sz w:val="20"/>
          <w:szCs w:val="20"/>
          <w:lang w:val="es-ES_tradnl" w:eastAsia="es-MX"/>
          <w14:ligatures w14:val="standardContextual"/>
        </w:rPr>
      </w:pPr>
    </w:p>
    <w:p w14:paraId="3D688B9D" w14:textId="77777777" w:rsidR="00410D3C" w:rsidRDefault="00410D3C" w:rsidP="00410D3C">
      <w:pPr>
        <w:widowControl w:val="0"/>
        <w:autoSpaceDE w:val="0"/>
        <w:autoSpaceDN w:val="0"/>
        <w:snapToGrid w:val="0"/>
        <w:spacing w:after="0" w:line="240" w:lineRule="auto"/>
        <w:jc w:val="both"/>
        <w:rPr>
          <w:rFonts w:ascii="Verdana" w:eastAsia="Calibri" w:hAnsi="Verdana" w:cs="Arial"/>
          <w:i/>
          <w:iCs/>
          <w:kern w:val="2"/>
          <w:sz w:val="20"/>
          <w:szCs w:val="20"/>
          <w:lang w:val="es-ES_tradnl" w:eastAsia="es-MX"/>
          <w14:ligatures w14:val="standardContextual"/>
        </w:rPr>
      </w:pPr>
      <w:r w:rsidRPr="002E567F">
        <w:rPr>
          <w:rFonts w:ascii="Verdana" w:eastAsia="Calibri" w:hAnsi="Verdana" w:cs="Arial"/>
          <w:kern w:val="2"/>
          <w:sz w:val="20"/>
          <w:szCs w:val="20"/>
          <w:lang w:val="es-ES_tradnl" w:eastAsia="es-MX"/>
          <w14:ligatures w14:val="standardContextual"/>
        </w:rPr>
        <w:t xml:space="preserve">Teniendo en cuenta el objeto de su consulta, es importante señalar que, el numeral “2.3. ELABORACIÓN Y PRESENTACIÓN DE LA OFERTA” del documento base de los documentos tipo en comento, contiene una </w:t>
      </w:r>
      <w:r w:rsidRPr="002E567F">
        <w:rPr>
          <w:rFonts w:ascii="Verdana" w:eastAsia="Calibri" w:hAnsi="Verdana" w:cs="Arial"/>
          <w:i/>
          <w:iCs/>
          <w:kern w:val="2"/>
          <w:sz w:val="20"/>
          <w:szCs w:val="20"/>
          <w:lang w:val="es-ES_tradnl" w:eastAsia="es-MX"/>
          <w14:ligatures w14:val="standardContextual"/>
        </w:rPr>
        <w:t>Nota,</w:t>
      </w:r>
      <w:r w:rsidRPr="002E567F">
        <w:rPr>
          <w:rFonts w:ascii="Verdana" w:eastAsia="Calibri" w:hAnsi="Verdana" w:cs="Arial"/>
          <w:kern w:val="2"/>
          <w:sz w:val="20"/>
          <w:szCs w:val="20"/>
          <w:lang w:val="es-ES_tradnl" w:eastAsia="es-MX"/>
          <w14:ligatures w14:val="standardContextual"/>
        </w:rPr>
        <w:t xml:space="preserve"> que establece que, </w:t>
      </w:r>
      <w:r w:rsidRPr="002E567F">
        <w:rPr>
          <w:rFonts w:ascii="Verdana" w:eastAsia="Calibri" w:hAnsi="Verdana" w:cs="Arial"/>
          <w:i/>
          <w:iCs/>
          <w:kern w:val="2"/>
          <w:sz w:val="20"/>
          <w:szCs w:val="20"/>
          <w:lang w:val="es-ES_tradnl" w:eastAsia="es-MX"/>
          <w14:ligatures w14:val="standardContextual"/>
        </w:rPr>
        <w:t>“[e]n caso de discrepancias entre los valores señalados en el Formulario 1 – Formulario de Presupuesto Oficial y el valor presentado en el SECOP II, prevalecerá el valor presentado en el SECOP II.”</w:t>
      </w:r>
    </w:p>
    <w:p w14:paraId="6EC0EB8F" w14:textId="77777777" w:rsidR="00410D3C" w:rsidRDefault="00410D3C" w:rsidP="00410D3C">
      <w:pPr>
        <w:widowControl w:val="0"/>
        <w:autoSpaceDE w:val="0"/>
        <w:autoSpaceDN w:val="0"/>
        <w:snapToGrid w:val="0"/>
        <w:spacing w:after="0" w:line="240" w:lineRule="auto"/>
        <w:jc w:val="both"/>
        <w:rPr>
          <w:rFonts w:ascii="Verdana" w:eastAsia="Calibri" w:hAnsi="Verdana" w:cs="Arial"/>
          <w:i/>
          <w:iCs/>
          <w:kern w:val="2"/>
          <w:sz w:val="20"/>
          <w:szCs w:val="20"/>
          <w:lang w:val="es-ES_tradnl" w:eastAsia="es-MX"/>
          <w14:ligatures w14:val="standardContextual"/>
        </w:rPr>
      </w:pPr>
    </w:p>
    <w:p w14:paraId="7A19D1DE" w14:textId="77777777" w:rsidR="00410D3C" w:rsidRDefault="00410D3C" w:rsidP="00410D3C">
      <w:pPr>
        <w:widowControl w:val="0"/>
        <w:autoSpaceDE w:val="0"/>
        <w:autoSpaceDN w:val="0"/>
        <w:snapToGrid w:val="0"/>
        <w:spacing w:after="0" w:line="240" w:lineRule="auto"/>
        <w:jc w:val="both"/>
        <w:rPr>
          <w:rFonts w:ascii="Verdana" w:eastAsia="Arial" w:hAnsi="Verdana" w:cs="Arial"/>
          <w:iCs/>
          <w:kern w:val="2"/>
          <w:sz w:val="20"/>
          <w:szCs w:val="20"/>
          <w:lang w:val="es-ES_tradnl" w:eastAsia="es-ES" w:bidi="es-ES"/>
          <w14:ligatures w14:val="standardContextual"/>
        </w:rPr>
      </w:pPr>
      <w:r>
        <w:rPr>
          <w:rFonts w:ascii="Verdana" w:eastAsia="Arial" w:hAnsi="Verdana" w:cs="Arial"/>
          <w:iCs/>
          <w:kern w:val="2"/>
          <w:sz w:val="20"/>
          <w:szCs w:val="20"/>
          <w:lang w:val="es-ES_tradnl" w:eastAsia="es-ES" w:bidi="es-ES"/>
          <w14:ligatures w14:val="standardContextual"/>
        </w:rPr>
        <w:t>(…)</w:t>
      </w:r>
    </w:p>
    <w:p w14:paraId="4B953AB1" w14:textId="77777777" w:rsidR="00410D3C" w:rsidRDefault="00410D3C" w:rsidP="00410D3C">
      <w:pPr>
        <w:widowControl w:val="0"/>
        <w:autoSpaceDE w:val="0"/>
        <w:autoSpaceDN w:val="0"/>
        <w:snapToGrid w:val="0"/>
        <w:spacing w:after="0" w:line="240" w:lineRule="auto"/>
        <w:jc w:val="both"/>
        <w:rPr>
          <w:rFonts w:ascii="Verdana" w:eastAsia="Arial" w:hAnsi="Verdana" w:cs="Arial"/>
          <w:iCs/>
          <w:kern w:val="2"/>
          <w:sz w:val="20"/>
          <w:szCs w:val="20"/>
          <w:lang w:val="es-ES_tradnl" w:eastAsia="es-ES" w:bidi="es-ES"/>
          <w14:ligatures w14:val="standardContextual"/>
        </w:rPr>
      </w:pPr>
    </w:p>
    <w:p w14:paraId="36F97AAF" w14:textId="77777777" w:rsidR="00410D3C" w:rsidRPr="001D121D" w:rsidRDefault="00410D3C" w:rsidP="00410D3C">
      <w:pPr>
        <w:widowControl w:val="0"/>
        <w:autoSpaceDE w:val="0"/>
        <w:autoSpaceDN w:val="0"/>
        <w:snapToGrid w:val="0"/>
        <w:spacing w:after="0" w:line="240" w:lineRule="auto"/>
        <w:jc w:val="both"/>
        <w:rPr>
          <w:rFonts w:ascii="Verdana" w:eastAsia="Calibri" w:hAnsi="Verdana" w:cs="Arial"/>
          <w:kern w:val="2"/>
          <w:sz w:val="20"/>
          <w:szCs w:val="20"/>
          <w:lang w:val="es-ES_tradnl" w:eastAsia="es-MX"/>
          <w14:ligatures w14:val="standardContextual"/>
        </w:rPr>
      </w:pPr>
      <w:r w:rsidRPr="001D121D">
        <w:rPr>
          <w:rFonts w:ascii="Verdana" w:eastAsia="Calibri" w:hAnsi="Verdana" w:cs="Arial"/>
          <w:kern w:val="2"/>
          <w:sz w:val="20"/>
          <w:szCs w:val="20"/>
          <w:lang w:val="es-ES_tradnl" w:eastAsia="es-MX"/>
          <w14:ligatures w14:val="standardContextual"/>
        </w:rPr>
        <w:t xml:space="preserve">En todo caso, debe advertirse que, la precitada Nota debe ser entendida respecto al valor total consignado en el Formulario 1 y aquel presentado en SECOP II. De esta manera, lo importante será que ambos valores totales coincidan –tanto el del Formulario 1 como el del SECOP II–, so pena de que prevalezca el señalado en SECOP II.  </w:t>
      </w:r>
    </w:p>
    <w:p w14:paraId="1BE45202" w14:textId="77777777" w:rsidR="00410D3C" w:rsidRPr="001D121D" w:rsidRDefault="00410D3C" w:rsidP="00410D3C">
      <w:pPr>
        <w:widowControl w:val="0"/>
        <w:autoSpaceDE w:val="0"/>
        <w:autoSpaceDN w:val="0"/>
        <w:snapToGrid w:val="0"/>
        <w:spacing w:after="120" w:line="240" w:lineRule="auto"/>
        <w:jc w:val="both"/>
        <w:rPr>
          <w:rFonts w:ascii="Verdana" w:eastAsia="Arial" w:hAnsi="Verdana" w:cs="Arial"/>
          <w:iCs/>
          <w:kern w:val="2"/>
          <w:sz w:val="20"/>
          <w:szCs w:val="20"/>
          <w:lang w:val="es-ES" w:eastAsia="es-ES" w:bidi="es-ES"/>
          <w14:ligatures w14:val="standardContextual"/>
        </w:rPr>
      </w:pPr>
    </w:p>
    <w:p w14:paraId="212AE6AD" w14:textId="77777777" w:rsidR="00410D3C" w:rsidRPr="00680A1A" w:rsidRDefault="00410D3C" w:rsidP="00410D3C">
      <w:pPr>
        <w:spacing w:after="0" w:line="240" w:lineRule="auto"/>
        <w:jc w:val="both"/>
        <w:rPr>
          <w:rFonts w:ascii="Verdana" w:eastAsia="Geomanist Light" w:hAnsi="Verdana" w:cs="Arial"/>
          <w:sz w:val="20"/>
          <w:szCs w:val="20"/>
          <w:lang w:val="es-ES"/>
        </w:rPr>
      </w:pPr>
    </w:p>
    <w:p w14:paraId="05E04D6C" w14:textId="77777777" w:rsidR="00410D3C" w:rsidRPr="00823549" w:rsidRDefault="00410D3C" w:rsidP="00410D3C">
      <w:pPr>
        <w:spacing w:after="0" w:line="240" w:lineRule="auto"/>
        <w:jc w:val="both"/>
        <w:rPr>
          <w:rFonts w:ascii="Verdana" w:eastAsia="Geomanist Light" w:hAnsi="Verdana" w:cs="Arial"/>
          <w:sz w:val="20"/>
          <w:szCs w:val="20"/>
          <w:lang w:val="es-ES"/>
        </w:rPr>
      </w:pPr>
    </w:p>
    <w:p w14:paraId="0906E228" w14:textId="77777777" w:rsidR="00410D3C" w:rsidRDefault="00410D3C" w:rsidP="00410D3C">
      <w:pPr>
        <w:spacing w:after="0"/>
        <w:rPr>
          <w:rFonts w:ascii="Verdana" w:hAnsi="Verdana"/>
        </w:rPr>
      </w:pPr>
    </w:p>
    <w:p w14:paraId="681EDBAA" w14:textId="77777777" w:rsidR="00410D3C" w:rsidRDefault="00410D3C" w:rsidP="00410D3C">
      <w:pPr>
        <w:spacing w:after="0"/>
        <w:rPr>
          <w:rFonts w:ascii="Verdana" w:hAnsi="Verdana"/>
        </w:rPr>
      </w:pPr>
    </w:p>
    <w:p w14:paraId="02DDFF60" w14:textId="4EDDCCC3" w:rsidR="00410D3C" w:rsidRDefault="00410D3C" w:rsidP="00410D3C">
      <w:pPr>
        <w:spacing w:after="0" w:line="240" w:lineRule="auto"/>
        <w:rPr>
          <w:rFonts w:ascii="Verdana" w:eastAsia="Calibri" w:hAnsi="Verdana" w:cs="Vrinda"/>
        </w:rPr>
      </w:pPr>
      <w:r w:rsidRPr="00AA2DEC">
        <w:rPr>
          <w:rFonts w:ascii="Verdana" w:eastAsia="Calibri" w:hAnsi="Verdana" w:cs="Vrinda"/>
        </w:rPr>
        <w:t xml:space="preserve">Bogotá D.C., </w:t>
      </w:r>
      <w:r w:rsidR="00254FA1">
        <w:rPr>
          <w:rFonts w:ascii="Verdana" w:eastAsia="Calibri" w:hAnsi="Verdana" w:cs="Vrinda"/>
        </w:rPr>
        <w:t>30 Diciembre 2025</w:t>
      </w:r>
    </w:p>
    <w:p w14:paraId="1A15C147" w14:textId="77777777" w:rsidR="00254FA1" w:rsidRDefault="00254FA1" w:rsidP="00410D3C">
      <w:pPr>
        <w:spacing w:after="0" w:line="240" w:lineRule="auto"/>
        <w:rPr>
          <w:rFonts w:ascii="Verdana" w:eastAsia="Calibri" w:hAnsi="Verdana" w:cs="Vrinda"/>
        </w:rPr>
      </w:pPr>
    </w:p>
    <w:p w14:paraId="772F1D25" w14:textId="49C8FE16" w:rsidR="00254FA1" w:rsidRPr="008101D5" w:rsidRDefault="00254FA1" w:rsidP="00254FA1">
      <w:pPr>
        <w:spacing w:after="0" w:line="240" w:lineRule="auto"/>
        <w:jc w:val="right"/>
        <w:rPr>
          <w:rFonts w:ascii="Verdana" w:eastAsia="Calibri" w:hAnsi="Verdana" w:cs="Arial"/>
          <w:lang w:val="es-ES" w:eastAsia="es-ES"/>
        </w:rPr>
      </w:pPr>
      <w:r w:rsidRPr="00254FA1">
        <w:rPr>
          <w:rFonts w:ascii="Verdana" w:eastAsia="Calibri" w:hAnsi="Verdana" w:cs="Arial"/>
          <w:lang w:val="es-ES" w:eastAsia="es-ES"/>
        </w:rPr>
        <w:drawing>
          <wp:inline distT="0" distB="0" distL="0" distR="0" wp14:anchorId="3EC87B91" wp14:editId="1B99CF7B">
            <wp:extent cx="2895330" cy="925002"/>
            <wp:effectExtent l="0" t="0" r="635" b="2540"/>
            <wp:docPr id="1123798834"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3798834" name=""/>
                    <pic:cNvPicPr/>
                  </pic:nvPicPr>
                  <pic:blipFill>
                    <a:blip r:embed="rId10"/>
                    <a:stretch>
                      <a:fillRect/>
                    </a:stretch>
                  </pic:blipFill>
                  <pic:spPr>
                    <a:xfrm>
                      <a:off x="0" y="0"/>
                      <a:ext cx="2932853" cy="936990"/>
                    </a:xfrm>
                    <a:prstGeom prst="rect">
                      <a:avLst/>
                    </a:prstGeom>
                  </pic:spPr>
                </pic:pic>
              </a:graphicData>
            </a:graphic>
          </wp:inline>
        </w:drawing>
      </w:r>
    </w:p>
    <w:p w14:paraId="199AA798" w14:textId="77777777" w:rsidR="00410D3C" w:rsidRDefault="00410D3C" w:rsidP="00410D3C">
      <w:pPr>
        <w:spacing w:after="0" w:line="240" w:lineRule="auto"/>
        <w:rPr>
          <w:rFonts w:ascii="Verdana" w:eastAsia="Calibri" w:hAnsi="Verdana" w:cs="Arial"/>
          <w:lang w:val="es-ES_tradnl" w:eastAsia="es-ES"/>
        </w:rPr>
      </w:pPr>
    </w:p>
    <w:p w14:paraId="5D1C4205" w14:textId="77777777" w:rsidR="00410D3C" w:rsidRPr="00823549" w:rsidRDefault="00410D3C" w:rsidP="00410D3C">
      <w:pPr>
        <w:spacing w:after="0" w:line="240" w:lineRule="auto"/>
        <w:rPr>
          <w:rFonts w:ascii="Verdana" w:eastAsia="Calibri" w:hAnsi="Verdana" w:cs="Arial"/>
          <w:lang w:val="es-ES_tradnl" w:eastAsia="es-ES"/>
        </w:rPr>
      </w:pPr>
    </w:p>
    <w:p w14:paraId="201D9575" w14:textId="77777777" w:rsidR="00410D3C" w:rsidRPr="00823549" w:rsidRDefault="00410D3C" w:rsidP="00410D3C">
      <w:pPr>
        <w:spacing w:after="0" w:line="240" w:lineRule="auto"/>
        <w:jc w:val="both"/>
        <w:rPr>
          <w:rFonts w:ascii="Verdana" w:eastAsia="Calibri" w:hAnsi="Verdana" w:cs="Arial"/>
          <w:lang w:val="es-ES_tradnl" w:eastAsia="es-ES"/>
        </w:rPr>
      </w:pPr>
      <w:r w:rsidRPr="00823549">
        <w:rPr>
          <w:rFonts w:ascii="Verdana" w:eastAsia="Calibri" w:hAnsi="Verdana" w:cs="Arial"/>
          <w:lang w:val="es-ES_tradnl" w:eastAsia="es-ES"/>
        </w:rPr>
        <w:t>Señor</w:t>
      </w:r>
      <w:r>
        <w:rPr>
          <w:rFonts w:ascii="Verdana" w:eastAsia="Calibri" w:hAnsi="Verdana" w:cs="Arial"/>
          <w:lang w:val="es-ES_tradnl" w:eastAsia="es-ES"/>
        </w:rPr>
        <w:t>(a)</w:t>
      </w:r>
    </w:p>
    <w:p w14:paraId="29FB629A" w14:textId="77777777" w:rsidR="00410D3C" w:rsidRDefault="00410D3C" w:rsidP="00410D3C">
      <w:pPr>
        <w:spacing w:after="0" w:line="240" w:lineRule="auto"/>
        <w:rPr>
          <w:rFonts w:ascii="Verdana" w:eastAsia="Calibri" w:hAnsi="Verdana" w:cs="Arial"/>
          <w:b/>
          <w:lang w:val="es-ES_tradnl" w:eastAsia="es-ES_tradnl"/>
        </w:rPr>
      </w:pPr>
      <w:r>
        <w:rPr>
          <w:rFonts w:ascii="Verdana" w:eastAsia="Calibri" w:hAnsi="Verdana" w:cs="Arial"/>
          <w:b/>
          <w:lang w:val="es-ES_tradnl" w:eastAsia="es-ES_tradnl"/>
        </w:rPr>
        <w:t>Ciudadano(a) anónimo(a)</w:t>
      </w:r>
    </w:p>
    <w:p w14:paraId="2C027128" w14:textId="77777777" w:rsidR="00410D3C" w:rsidRPr="00823549" w:rsidRDefault="00410D3C" w:rsidP="00410D3C">
      <w:pPr>
        <w:spacing w:after="0" w:line="240" w:lineRule="auto"/>
        <w:rPr>
          <w:rFonts w:ascii="Verdana" w:eastAsia="Calibri" w:hAnsi="Verdana" w:cs="Arial"/>
          <w:b/>
          <w:bCs/>
          <w:lang w:val="es-ES_tradnl" w:eastAsia="es-ES_tradnl"/>
        </w:rPr>
      </w:pPr>
      <w:r>
        <w:rPr>
          <w:rFonts w:ascii="Verdana" w:eastAsia="Calibri" w:hAnsi="Verdana" w:cs="Arial"/>
          <w:lang w:val="es-ES_tradnl" w:eastAsia="es-ES"/>
        </w:rPr>
        <w:t>Ciudad</w:t>
      </w:r>
    </w:p>
    <w:p w14:paraId="74BBE2BF" w14:textId="77777777" w:rsidR="00410D3C" w:rsidRPr="00823549" w:rsidRDefault="00410D3C" w:rsidP="00410D3C">
      <w:pPr>
        <w:spacing w:after="0" w:line="240" w:lineRule="auto"/>
        <w:rPr>
          <w:rFonts w:ascii="Verdana" w:eastAsia="Calibri" w:hAnsi="Verdana" w:cs="Arial"/>
          <w:b/>
          <w:bCs/>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410D3C" w:rsidRPr="00823549" w14:paraId="76EBD73A" w14:textId="77777777" w:rsidTr="00660B26">
        <w:trPr>
          <w:trHeight w:val="884"/>
        </w:trPr>
        <w:tc>
          <w:tcPr>
            <w:tcW w:w="2689" w:type="dxa"/>
          </w:tcPr>
          <w:p w14:paraId="66F6A3B5" w14:textId="77777777" w:rsidR="00410D3C" w:rsidRPr="00823549" w:rsidRDefault="00410D3C" w:rsidP="00660B26">
            <w:pPr>
              <w:jc w:val="both"/>
              <w:rPr>
                <w:rFonts w:ascii="Verdana" w:eastAsia="Calibri" w:hAnsi="Verdana" w:cs="Arial"/>
                <w:b/>
                <w:bCs/>
                <w:lang w:val="es-ES_tradnl" w:eastAsia="es-ES_tradnl"/>
              </w:rPr>
            </w:pPr>
          </w:p>
        </w:tc>
        <w:tc>
          <w:tcPr>
            <w:tcW w:w="6100" w:type="dxa"/>
          </w:tcPr>
          <w:p w14:paraId="1EF34D5E" w14:textId="77777777" w:rsidR="00410D3C" w:rsidRPr="00823549" w:rsidRDefault="00410D3C" w:rsidP="00660B26">
            <w:pPr>
              <w:jc w:val="both"/>
              <w:rPr>
                <w:rFonts w:ascii="Verdana" w:eastAsia="Calibri" w:hAnsi="Verdana" w:cs="Arial"/>
                <w:b/>
                <w:bCs/>
                <w:lang w:val="es-ES_tradnl" w:eastAsia="es-ES"/>
              </w:rPr>
            </w:pPr>
            <w:r w:rsidRPr="00823549">
              <w:rPr>
                <w:rFonts w:ascii="Verdana" w:eastAsia="Calibri" w:hAnsi="Verdana" w:cs="Arial"/>
                <w:b/>
                <w:bCs/>
                <w:lang w:val="es-ES_tradnl" w:eastAsia="es-ES"/>
              </w:rPr>
              <w:t xml:space="preserve">Concepto C – </w:t>
            </w:r>
            <w:r>
              <w:rPr>
                <w:rFonts w:ascii="Verdana" w:eastAsia="Calibri" w:hAnsi="Verdana" w:cs="Arial"/>
                <w:b/>
                <w:bCs/>
                <w:lang w:val="es-ES_tradnl" w:eastAsia="es-ES"/>
              </w:rPr>
              <w:t>1731</w:t>
            </w:r>
            <w:r w:rsidRPr="00823549">
              <w:rPr>
                <w:rFonts w:ascii="Verdana" w:eastAsia="Calibri" w:hAnsi="Verdana" w:cs="Arial"/>
                <w:b/>
                <w:bCs/>
                <w:lang w:val="es-ES_tradnl" w:eastAsia="es-ES"/>
              </w:rPr>
              <w:t xml:space="preserve"> de 202</w:t>
            </w:r>
            <w:r>
              <w:rPr>
                <w:rFonts w:ascii="Verdana" w:eastAsia="Calibri" w:hAnsi="Verdana" w:cs="Arial"/>
                <w:b/>
                <w:bCs/>
                <w:lang w:val="es-ES_tradnl" w:eastAsia="es-ES"/>
              </w:rPr>
              <w:t>5</w:t>
            </w:r>
          </w:p>
        </w:tc>
      </w:tr>
      <w:tr w:rsidR="00410D3C" w:rsidRPr="00823549" w14:paraId="432A57B0" w14:textId="77777777" w:rsidTr="00660B26">
        <w:trPr>
          <w:trHeight w:val="884"/>
        </w:trPr>
        <w:tc>
          <w:tcPr>
            <w:tcW w:w="2689" w:type="dxa"/>
          </w:tcPr>
          <w:p w14:paraId="50ACC23B" w14:textId="77777777" w:rsidR="00410D3C" w:rsidRPr="00823549" w:rsidRDefault="00410D3C" w:rsidP="00660B26">
            <w:pPr>
              <w:jc w:val="both"/>
              <w:rPr>
                <w:rFonts w:ascii="Verdana" w:eastAsia="Calibri" w:hAnsi="Verdana" w:cs="Arial"/>
                <w:lang w:val="es-ES_tradnl" w:eastAsia="es-ES_tradnl"/>
              </w:rPr>
            </w:pPr>
            <w:r w:rsidRPr="00823549">
              <w:rPr>
                <w:rFonts w:ascii="Verdana" w:eastAsia="Calibri" w:hAnsi="Verdana" w:cs="Arial"/>
                <w:b/>
                <w:lang w:val="es-ES_tradnl" w:eastAsia="es-ES_tradnl"/>
              </w:rPr>
              <w:t>Temas:</w:t>
            </w:r>
            <w:r w:rsidRPr="00823549">
              <w:rPr>
                <w:rFonts w:ascii="Verdana" w:eastAsia="Calibri" w:hAnsi="Verdana" w:cs="Arial"/>
                <w:lang w:val="es-ES_tradnl" w:eastAsia="es-ES_tradnl"/>
              </w:rPr>
              <w:t xml:space="preserve">                   </w:t>
            </w:r>
          </w:p>
        </w:tc>
        <w:tc>
          <w:tcPr>
            <w:tcW w:w="6100" w:type="dxa"/>
          </w:tcPr>
          <w:p w14:paraId="0EA43C82" w14:textId="77777777" w:rsidR="00410D3C" w:rsidRPr="00A277AC" w:rsidRDefault="00410D3C" w:rsidP="00660B26">
            <w:pPr>
              <w:spacing w:line="276" w:lineRule="auto"/>
              <w:jc w:val="both"/>
              <w:rPr>
                <w:rFonts w:ascii="Verdana" w:eastAsia="Geomanist Light" w:hAnsi="Verdana" w:cs="Arial"/>
                <w:lang w:val="es-ES_tradnl"/>
              </w:rPr>
            </w:pPr>
            <w:r w:rsidRPr="00A277AC">
              <w:rPr>
                <w:rFonts w:ascii="Verdana" w:eastAsia="Calibri" w:hAnsi="Verdana" w:cs="Arial"/>
                <w:lang w:val="es-ES_tradnl" w:eastAsia="es-ES"/>
              </w:rPr>
              <w:t xml:space="preserve">DOCUMENTOS TIPO – Generalidades – </w:t>
            </w:r>
            <w:r w:rsidRPr="00A277AC">
              <w:rPr>
                <w:rFonts w:ascii="Verdana" w:eastAsia="Aptos" w:hAnsi="Verdana" w:cs="Times New Roman"/>
                <w:lang w:val="es-ES_tradnl" w:eastAsia="es-ES"/>
              </w:rPr>
              <w:t xml:space="preserve">Obligatoriedad / </w:t>
            </w:r>
            <w:r w:rsidRPr="00A277AC">
              <w:rPr>
                <w:rFonts w:ascii="Verdana" w:eastAsia="Geomanist Light" w:hAnsi="Verdana" w:cs="Arial"/>
                <w:lang w:val="es-ES_tradnl"/>
              </w:rPr>
              <w:t>DOCUMENTOS TIPO – Infraestructura de transporte – Versión 4 – Oferta económica – Formulario 1 – Formulario de Presupuesto Oficial – SECOP II</w:t>
            </w:r>
          </w:p>
          <w:p w14:paraId="4DB2105B" w14:textId="77777777" w:rsidR="00410D3C" w:rsidRPr="00A277AC" w:rsidRDefault="00410D3C" w:rsidP="00660B26">
            <w:pPr>
              <w:spacing w:line="276" w:lineRule="auto"/>
              <w:jc w:val="both"/>
              <w:rPr>
                <w:rFonts w:ascii="Verdana" w:eastAsia="Calibri" w:hAnsi="Verdana" w:cs="Arial"/>
                <w:lang w:val="es-ES_tradnl" w:eastAsia="es-ES"/>
              </w:rPr>
            </w:pPr>
          </w:p>
        </w:tc>
      </w:tr>
      <w:tr w:rsidR="00410D3C" w:rsidRPr="00823549" w14:paraId="3693894B" w14:textId="77777777" w:rsidTr="00660B26">
        <w:tc>
          <w:tcPr>
            <w:tcW w:w="2689" w:type="dxa"/>
          </w:tcPr>
          <w:p w14:paraId="4A72D29A" w14:textId="77777777" w:rsidR="00410D3C" w:rsidRPr="00823549" w:rsidRDefault="00410D3C" w:rsidP="00660B26">
            <w:pPr>
              <w:jc w:val="both"/>
              <w:rPr>
                <w:rFonts w:ascii="Verdana" w:eastAsia="Calibri" w:hAnsi="Verdana" w:cs="Arial"/>
                <w:b/>
                <w:lang w:val="es-ES_tradnl" w:eastAsia="es-ES_tradnl"/>
              </w:rPr>
            </w:pPr>
            <w:r w:rsidRPr="00823549">
              <w:rPr>
                <w:rFonts w:ascii="Verdana" w:eastAsia="Calibri" w:hAnsi="Verdana" w:cs="Arial"/>
                <w:b/>
                <w:lang w:val="es-ES_tradnl" w:eastAsia="es-ES_tradnl"/>
              </w:rPr>
              <w:t>Radicación:</w:t>
            </w:r>
            <w:r w:rsidRPr="00823549">
              <w:rPr>
                <w:rFonts w:ascii="Verdana" w:eastAsia="Calibri" w:hAnsi="Verdana" w:cs="Arial"/>
                <w:lang w:val="es-ES_tradnl" w:eastAsia="es-ES_tradnl"/>
              </w:rPr>
              <w:t xml:space="preserve">               </w:t>
            </w:r>
          </w:p>
        </w:tc>
        <w:tc>
          <w:tcPr>
            <w:tcW w:w="6100" w:type="dxa"/>
          </w:tcPr>
          <w:p w14:paraId="32064BB7" w14:textId="77777777" w:rsidR="00410D3C" w:rsidRPr="00823549" w:rsidRDefault="00410D3C" w:rsidP="00660B26">
            <w:pPr>
              <w:jc w:val="both"/>
              <w:rPr>
                <w:rFonts w:ascii="Verdana" w:eastAsia="Calibri" w:hAnsi="Verdana" w:cs="Arial"/>
                <w:lang w:val="es-ES_tradnl" w:eastAsia="es-ES_tradnl"/>
              </w:rPr>
            </w:pPr>
            <w:r w:rsidRPr="00823549">
              <w:rPr>
                <w:rFonts w:ascii="Verdana" w:eastAsia="Calibri" w:hAnsi="Verdana" w:cs="Arial"/>
                <w:lang w:val="es-ES_tradnl" w:eastAsia="es-ES_tradnl"/>
              </w:rPr>
              <w:t>Respuesta a consulta con radicado No.</w:t>
            </w:r>
            <w:r>
              <w:rPr>
                <w:rFonts w:ascii="Verdana" w:eastAsia="Calibri" w:hAnsi="Verdana" w:cs="Arial"/>
                <w:lang w:val="es-ES_tradnl" w:eastAsia="es-ES_tradnl"/>
              </w:rPr>
              <w:t xml:space="preserve"> </w:t>
            </w:r>
            <w:r w:rsidRPr="008101D5">
              <w:rPr>
                <w:rFonts w:ascii="Verdana" w:eastAsia="Calibri" w:hAnsi="Verdana" w:cs="Arial"/>
                <w:lang w:val="es-ES_tradnl" w:eastAsia="es-ES_tradnl"/>
              </w:rPr>
              <w:t>1_2025_11_21_013180</w:t>
            </w:r>
          </w:p>
        </w:tc>
      </w:tr>
    </w:tbl>
    <w:p w14:paraId="5506C59B" w14:textId="77777777" w:rsidR="00410D3C" w:rsidRPr="00823549" w:rsidRDefault="00410D3C" w:rsidP="00410D3C">
      <w:pPr>
        <w:spacing w:after="0" w:line="240" w:lineRule="auto"/>
        <w:jc w:val="both"/>
        <w:rPr>
          <w:rFonts w:ascii="Verdana" w:eastAsia="Calibri" w:hAnsi="Verdana" w:cs="Arial"/>
          <w:lang w:val="es-ES_tradnl" w:eastAsia="es-ES_tradnl"/>
        </w:rPr>
      </w:pPr>
    </w:p>
    <w:p w14:paraId="7FD7B075" w14:textId="77777777" w:rsidR="00410D3C" w:rsidRPr="00823549" w:rsidRDefault="00410D3C" w:rsidP="00410D3C">
      <w:pPr>
        <w:spacing w:after="0" w:line="276" w:lineRule="auto"/>
        <w:jc w:val="both"/>
        <w:rPr>
          <w:rFonts w:ascii="Verdana" w:eastAsia="Calibri" w:hAnsi="Verdana" w:cs="Arial"/>
          <w:lang w:val="es-ES_tradnl" w:eastAsia="es-ES"/>
        </w:rPr>
      </w:pPr>
      <w:r w:rsidRPr="00823549">
        <w:rPr>
          <w:rFonts w:ascii="Verdana" w:eastAsia="Calibri" w:hAnsi="Verdana" w:cs="Arial"/>
          <w:lang w:val="es-ES_tradnl" w:eastAsia="es-ES"/>
        </w:rPr>
        <w:t>Estim</w:t>
      </w:r>
      <w:r>
        <w:rPr>
          <w:rFonts w:ascii="Verdana" w:eastAsia="Calibri" w:hAnsi="Verdana" w:cs="Arial"/>
          <w:lang w:val="es-ES_tradnl" w:eastAsia="es-ES"/>
        </w:rPr>
        <w:t>ado(a) señor(a)</w:t>
      </w:r>
      <w:r w:rsidRPr="00823549">
        <w:rPr>
          <w:rFonts w:ascii="Verdana" w:eastAsia="Calibri" w:hAnsi="Verdana" w:cs="Arial"/>
          <w:lang w:val="es-ES_tradnl" w:eastAsia="es-ES"/>
        </w:rPr>
        <w:t xml:space="preserve">: </w:t>
      </w:r>
    </w:p>
    <w:p w14:paraId="109980F4" w14:textId="77777777" w:rsidR="00410D3C" w:rsidRPr="00823549" w:rsidRDefault="00410D3C" w:rsidP="00410D3C">
      <w:pPr>
        <w:tabs>
          <w:tab w:val="left" w:pos="3768"/>
        </w:tabs>
        <w:spacing w:after="0" w:line="276" w:lineRule="auto"/>
        <w:jc w:val="both"/>
        <w:rPr>
          <w:rFonts w:ascii="Verdana" w:eastAsia="Calibri" w:hAnsi="Verdana" w:cs="Arial"/>
          <w:lang w:val="es-ES_tradnl" w:eastAsia="es-ES"/>
        </w:rPr>
      </w:pPr>
      <w:r w:rsidRPr="00823549">
        <w:rPr>
          <w:rFonts w:ascii="Verdana" w:eastAsia="Calibri" w:hAnsi="Verdana" w:cs="Arial"/>
          <w:lang w:val="es-ES_tradnl" w:eastAsia="es-ES"/>
        </w:rPr>
        <w:tab/>
      </w:r>
    </w:p>
    <w:p w14:paraId="6BF4BB46" w14:textId="77777777" w:rsidR="00410D3C" w:rsidRPr="00823549" w:rsidRDefault="00410D3C" w:rsidP="00410D3C">
      <w:pPr>
        <w:snapToGrid w:val="0"/>
        <w:spacing w:after="0" w:line="276" w:lineRule="auto"/>
        <w:jc w:val="both"/>
        <w:rPr>
          <w:rFonts w:ascii="Verdana" w:eastAsia="Calibri" w:hAnsi="Verdana" w:cs="Arial"/>
          <w:lang w:val="es-ES_tradnl" w:eastAsia="es-ES"/>
        </w:rPr>
      </w:pPr>
      <w:r w:rsidRPr="00823549">
        <w:rPr>
          <w:rFonts w:ascii="Verdana" w:eastAsia="Calibri" w:hAnsi="Verdana" w:cs="Arial"/>
          <w:lang w:val="es-ES_tradnl" w:eastAsia="es-ES"/>
        </w:rPr>
        <w:t>En ejercicio de la competencia otorgada por los artículos 3, numeral 5º, y 11, numeral 8º, del Decreto Ley 4170 de 2011,</w:t>
      </w:r>
      <w:r w:rsidRPr="00823549">
        <w:rPr>
          <w:rFonts w:ascii="Verdana" w:eastAsia="Arial MT" w:hAnsi="Verdana" w:cs="Arial MT"/>
          <w:lang w:val="es-ES_tradnl" w:eastAsia="es-ES"/>
        </w:rPr>
        <w:t xml:space="preserve"> </w:t>
      </w:r>
      <w:r w:rsidRPr="00823549">
        <w:rPr>
          <w:rFonts w:ascii="Verdana" w:eastAsia="Calibri" w:hAnsi="Verdana" w:cs="Arial"/>
          <w:lang w:val="es-ES_tradnl"/>
        </w:rPr>
        <w:t xml:space="preserve">así como lo establecido en el artículo 4 de la Resolución 1707 de 2018 expedida por esta Entidad, </w:t>
      </w:r>
      <w:r w:rsidRPr="00823549">
        <w:rPr>
          <w:rFonts w:ascii="Verdana" w:eastAsia="Calibri" w:hAnsi="Verdana" w:cs="Arial"/>
          <w:lang w:val="es-ES_tradnl" w:eastAsia="es-ES"/>
        </w:rPr>
        <w:t xml:space="preserve">la Agencia Nacional de Contratación Pública – Colombia Compra Eficiente– responde su solicitud de consulta de fecha </w:t>
      </w:r>
      <w:r>
        <w:rPr>
          <w:rFonts w:ascii="Verdana" w:eastAsia="Calibri" w:hAnsi="Verdana" w:cs="Arial"/>
          <w:lang w:val="es-ES_tradnl" w:eastAsia="es-ES"/>
        </w:rPr>
        <w:t xml:space="preserve">21 </w:t>
      </w:r>
      <w:r w:rsidRPr="00823549">
        <w:rPr>
          <w:rFonts w:ascii="Verdana" w:eastAsia="Calibri" w:hAnsi="Verdana" w:cs="Arial"/>
          <w:lang w:val="es-ES_tradnl" w:eastAsia="es-ES"/>
        </w:rPr>
        <w:t xml:space="preserve">de </w:t>
      </w:r>
      <w:r>
        <w:rPr>
          <w:rFonts w:ascii="Verdana" w:eastAsia="Calibri" w:hAnsi="Verdana" w:cs="Arial"/>
          <w:lang w:val="es-ES_tradnl" w:eastAsia="es-ES"/>
        </w:rPr>
        <w:t>noviembre</w:t>
      </w:r>
      <w:r w:rsidRPr="00823549">
        <w:rPr>
          <w:rFonts w:ascii="Verdana" w:eastAsia="Calibri" w:hAnsi="Verdana" w:cs="Arial"/>
          <w:lang w:val="es-ES_tradnl" w:eastAsia="es-ES"/>
        </w:rPr>
        <w:t xml:space="preserve"> de 202</w:t>
      </w:r>
      <w:r>
        <w:rPr>
          <w:rFonts w:ascii="Verdana" w:eastAsia="Calibri" w:hAnsi="Verdana" w:cs="Arial"/>
          <w:lang w:val="es-ES_tradnl" w:eastAsia="es-ES"/>
        </w:rPr>
        <w:t>5</w:t>
      </w:r>
      <w:r w:rsidRPr="00823549">
        <w:rPr>
          <w:rFonts w:ascii="Verdana" w:eastAsia="Calibri" w:hAnsi="Verdana" w:cs="Arial"/>
          <w:lang w:val="es-ES_tradnl" w:eastAsia="es-ES"/>
        </w:rPr>
        <w:t>, en la cual manifiesta lo siguiente:</w:t>
      </w:r>
    </w:p>
    <w:p w14:paraId="26C153D5" w14:textId="77777777" w:rsidR="00410D3C" w:rsidRPr="00823549" w:rsidRDefault="00410D3C" w:rsidP="00410D3C">
      <w:pPr>
        <w:tabs>
          <w:tab w:val="left" w:pos="142"/>
          <w:tab w:val="left" w:pos="284"/>
        </w:tabs>
        <w:snapToGrid w:val="0"/>
        <w:spacing w:after="0" w:line="240" w:lineRule="auto"/>
        <w:jc w:val="both"/>
        <w:rPr>
          <w:rFonts w:ascii="Verdana" w:eastAsia="Century Gothic" w:hAnsi="Verdana" w:cs="Century Gothic"/>
          <w:b/>
          <w:bCs/>
          <w:sz w:val="21"/>
          <w:szCs w:val="21"/>
          <w:lang w:val="es-ES_tradnl"/>
        </w:rPr>
      </w:pPr>
    </w:p>
    <w:p w14:paraId="61B9DF54" w14:textId="77777777" w:rsidR="00410D3C" w:rsidRPr="008101D5" w:rsidRDefault="00410D3C" w:rsidP="00410D3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ind w:left="709" w:right="709"/>
        <w:jc w:val="both"/>
        <w:rPr>
          <w:rFonts w:ascii="Verdana" w:hAnsi="Verdana" w:cs="Arial"/>
          <w:color w:val="000000"/>
          <w:sz w:val="21"/>
          <w:szCs w:val="21"/>
          <w:lang w:val="es-MX"/>
          <w14:ligatures w14:val="standardContextual"/>
        </w:rPr>
      </w:pPr>
      <w:r w:rsidRPr="008101D5">
        <w:rPr>
          <w:rFonts w:ascii="Verdana" w:eastAsia="Century Gothic" w:hAnsi="Verdana" w:cs="Arial"/>
          <w:sz w:val="21"/>
          <w:szCs w:val="21"/>
          <w:lang w:val="es-ES_tradnl"/>
        </w:rPr>
        <w:t>“</w:t>
      </w:r>
      <w:r w:rsidRPr="008101D5">
        <w:rPr>
          <w:rFonts w:ascii="Verdana" w:hAnsi="Verdana" w:cs="Arial"/>
          <w:color w:val="000000"/>
          <w:sz w:val="21"/>
          <w:szCs w:val="21"/>
          <w:lang w:val="es-MX"/>
          <w14:ligatures w14:val="standardContextual"/>
        </w:rPr>
        <w:t xml:space="preserve">Me permito solicitar una aclaración sobre la aplicación de la nota del numeral 2.3.2 de los Pliegos Tipo de Infraestructura de Transporte v4, según la cual, en caso de discrepancias entre los valores del Formulario 1 y los registrados en SECOP II, prevalecerá estos últimos. En este sentido, solicito precisar si dicha nota debe entenderse aplicable únicamente cuando la Entidad elabora el presupuesto directamente en </w:t>
      </w:r>
      <w:r w:rsidRPr="008101D5">
        <w:rPr>
          <w:rFonts w:ascii="Verdana" w:hAnsi="Verdana" w:cs="Arial"/>
          <w:color w:val="000000"/>
          <w:sz w:val="21"/>
          <w:szCs w:val="21"/>
          <w:lang w:val="es-MX"/>
          <w14:ligatures w14:val="standardContextual"/>
        </w:rPr>
        <w:lastRenderedPageBreak/>
        <w:t>SECOP II, de manera que el Formulario 1 constituya una reproducción fiel del valor cargado en la plataforma. De ser así, ¿solo en ese escenario operaría dicha prevalencia? Igualmente, solicito aclarar si es procedente que la Entidad evalúe el componente económico tomando como válido el valor registrado en SECOP II cuando este resulta significativamente inferior al consignado en el Formulario 1, pese a que la diferencia no corresponde a la oferta real del proponente y podría obedecer a un error de carga o incluso a una estrategia para aparentar un menor valor”.</w:t>
      </w:r>
    </w:p>
    <w:p w14:paraId="32B98843" w14:textId="77777777" w:rsidR="00410D3C" w:rsidRPr="00823549" w:rsidRDefault="00410D3C" w:rsidP="00410D3C">
      <w:pPr>
        <w:tabs>
          <w:tab w:val="left" w:pos="142"/>
          <w:tab w:val="left" w:pos="1020"/>
        </w:tabs>
        <w:spacing w:line="276" w:lineRule="auto"/>
        <w:contextualSpacing/>
        <w:jc w:val="both"/>
        <w:rPr>
          <w:rFonts w:ascii="Verdana" w:eastAsia="Century Gothic" w:hAnsi="Verdana" w:cs="Century Gothic"/>
          <w:b/>
          <w:bCs/>
          <w:lang w:val="es-ES_tradnl"/>
        </w:rPr>
      </w:pPr>
      <w:r>
        <w:rPr>
          <w:rFonts w:ascii="Verdana" w:eastAsia="Century Gothic" w:hAnsi="Verdana" w:cs="Century Gothic"/>
          <w:b/>
          <w:bCs/>
          <w:lang w:val="es-ES_tradnl"/>
        </w:rPr>
        <w:tab/>
      </w:r>
      <w:r>
        <w:rPr>
          <w:rFonts w:ascii="Verdana" w:eastAsia="Century Gothic" w:hAnsi="Verdana" w:cs="Century Gothic"/>
          <w:b/>
          <w:bCs/>
          <w:lang w:val="es-ES_tradnl"/>
        </w:rPr>
        <w:tab/>
      </w:r>
    </w:p>
    <w:p w14:paraId="12AD37A7" w14:textId="77777777" w:rsidR="00410D3C" w:rsidRPr="00823549" w:rsidRDefault="00410D3C" w:rsidP="00410D3C">
      <w:pPr>
        <w:spacing w:after="120" w:line="276" w:lineRule="auto"/>
        <w:ind w:firstLine="709"/>
        <w:jc w:val="both"/>
        <w:rPr>
          <w:rFonts w:ascii="Verdana" w:eastAsia="Calibri" w:hAnsi="Verdana" w:cs="Arial"/>
          <w:lang w:val="es-ES" w:eastAsia="es-ES"/>
        </w:rPr>
      </w:pPr>
      <w:r w:rsidRPr="0169AFC0">
        <w:rPr>
          <w:rFonts w:ascii="Verdana" w:eastAsia="Calibri" w:hAnsi="Verdana" w:cs="Arial"/>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compras públicas.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tab/>
      </w:r>
    </w:p>
    <w:p w14:paraId="1A3CB5D2" w14:textId="77777777" w:rsidR="00410D3C" w:rsidRPr="00823549" w:rsidRDefault="00410D3C" w:rsidP="00410D3C">
      <w:pPr>
        <w:snapToGrid w:val="0"/>
        <w:spacing w:after="0" w:line="276" w:lineRule="auto"/>
        <w:ind w:firstLine="709"/>
        <w:jc w:val="both"/>
        <w:rPr>
          <w:rFonts w:ascii="Verdana" w:eastAsia="Calibri" w:hAnsi="Verdana" w:cs="Arial"/>
          <w:lang w:val="es-ES_tradnl" w:eastAsia="es-ES"/>
        </w:rPr>
      </w:pPr>
      <w:r w:rsidRPr="00823549">
        <w:rPr>
          <w:rFonts w:ascii="Verdana" w:eastAsia="Calibri" w:hAnsi="Verdana" w:cs="Arial"/>
          <w:lang w:val="es-ES_tradnl" w:eastAsia="es-ES"/>
        </w:rPr>
        <w:t xml:space="preserve">Conforme a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 jurídico de su consulta. </w:t>
      </w:r>
    </w:p>
    <w:p w14:paraId="2617FCF4" w14:textId="77777777" w:rsidR="00410D3C" w:rsidRPr="00823549" w:rsidRDefault="00410D3C" w:rsidP="00410D3C">
      <w:pPr>
        <w:snapToGrid w:val="0"/>
        <w:spacing w:after="0" w:line="276" w:lineRule="auto"/>
        <w:ind w:firstLine="709"/>
        <w:jc w:val="both"/>
        <w:rPr>
          <w:rFonts w:ascii="Verdana" w:eastAsia="Calibri" w:hAnsi="Verdana" w:cs="Arial"/>
          <w:lang w:val="es-ES_tradnl" w:eastAsia="es-ES"/>
        </w:rPr>
      </w:pPr>
    </w:p>
    <w:p w14:paraId="014FD0F2" w14:textId="77777777" w:rsidR="00410D3C" w:rsidRPr="00823549" w:rsidRDefault="00410D3C" w:rsidP="00410D3C">
      <w:pPr>
        <w:numPr>
          <w:ilvl w:val="0"/>
          <w:numId w:val="16"/>
        </w:numPr>
        <w:tabs>
          <w:tab w:val="left" w:pos="142"/>
          <w:tab w:val="left" w:pos="284"/>
        </w:tabs>
        <w:snapToGrid w:val="0"/>
        <w:spacing w:after="0" w:line="276" w:lineRule="auto"/>
        <w:ind w:left="357" w:hanging="357"/>
        <w:jc w:val="both"/>
        <w:rPr>
          <w:rFonts w:ascii="Verdana" w:eastAsia="Century Gothic" w:hAnsi="Verdana" w:cs="Century Gothic"/>
          <w:b/>
          <w:bCs/>
          <w:lang w:val="es-ES_tradnl"/>
        </w:rPr>
      </w:pPr>
      <w:r w:rsidRPr="00823549">
        <w:rPr>
          <w:rFonts w:ascii="Verdana" w:eastAsia="Century Gothic" w:hAnsi="Verdana" w:cs="Century Gothic"/>
          <w:b/>
          <w:bCs/>
          <w:lang w:val="es-ES_tradnl"/>
        </w:rPr>
        <w:t>Problema planteado:</w:t>
      </w:r>
    </w:p>
    <w:p w14:paraId="6E0F7F25" w14:textId="77777777" w:rsidR="00410D3C" w:rsidRPr="00823549" w:rsidRDefault="00410D3C" w:rsidP="00410D3C">
      <w:pPr>
        <w:tabs>
          <w:tab w:val="left" w:pos="426"/>
        </w:tabs>
        <w:snapToGrid w:val="0"/>
        <w:spacing w:after="0" w:line="276" w:lineRule="auto"/>
        <w:jc w:val="both"/>
        <w:rPr>
          <w:rFonts w:ascii="Verdana" w:eastAsia="Century Gothic" w:hAnsi="Verdana" w:cs="Century Gothic"/>
          <w:lang w:val="es-ES_tradnl"/>
        </w:rPr>
      </w:pPr>
    </w:p>
    <w:p w14:paraId="638DA73A" w14:textId="77777777" w:rsidR="00410D3C" w:rsidRPr="00823549" w:rsidRDefault="00410D3C" w:rsidP="00410D3C">
      <w:pPr>
        <w:snapToGrid w:val="0"/>
        <w:spacing w:after="0" w:line="276" w:lineRule="auto"/>
        <w:jc w:val="both"/>
        <w:rPr>
          <w:rFonts w:ascii="Verdana" w:eastAsia="Century Gothic" w:hAnsi="Verdana" w:cs="Century Gothic"/>
          <w:lang w:val="es-ES"/>
        </w:rPr>
      </w:pPr>
      <w:r w:rsidRPr="0169AFC0">
        <w:rPr>
          <w:rFonts w:ascii="Verdana" w:eastAsia="Century Gothic" w:hAnsi="Verdana" w:cs="Century Gothic"/>
          <w:lang w:val="es-ES"/>
        </w:rPr>
        <w:t xml:space="preserve">De acuerdo con el contenido de su solicitud, </w:t>
      </w:r>
      <w:r>
        <w:rPr>
          <w:rFonts w:ascii="Verdana" w:eastAsia="Century Gothic" w:hAnsi="Verdana" w:cs="Century Gothic"/>
          <w:lang w:val="es-ES"/>
        </w:rPr>
        <w:t xml:space="preserve">en relación con los documentos tipo de licitación de obra pública de infraestructura de transporte, </w:t>
      </w:r>
      <w:r w:rsidRPr="0169AFC0">
        <w:rPr>
          <w:rFonts w:ascii="Verdana" w:eastAsia="Century Gothic" w:hAnsi="Verdana" w:cs="Century Gothic"/>
          <w:lang w:val="es-ES"/>
        </w:rPr>
        <w:t xml:space="preserve">esta Agencia resolverá el siguiente problema jurídico: </w:t>
      </w:r>
      <w:proofErr w:type="gramStart"/>
      <w:r>
        <w:rPr>
          <w:rFonts w:ascii="Verdana" w:eastAsia="Century Gothic" w:hAnsi="Verdana" w:cs="Century Gothic"/>
          <w:lang w:val="es-ES"/>
        </w:rPr>
        <w:t>¿Cuál es el alcance de la nota contenida en el numeral 2.</w:t>
      </w:r>
      <w:proofErr w:type="gramEnd"/>
      <w:r>
        <w:rPr>
          <w:rFonts w:ascii="Verdana" w:eastAsia="Century Gothic" w:hAnsi="Verdana" w:cs="Century Gothic"/>
          <w:lang w:val="es-ES"/>
        </w:rPr>
        <w:t xml:space="preserve">3.2 “Sobre No. 2” del documento base? </w:t>
      </w:r>
    </w:p>
    <w:p w14:paraId="4C5539F4" w14:textId="77777777" w:rsidR="00410D3C" w:rsidRPr="00823549" w:rsidRDefault="00410D3C" w:rsidP="00410D3C">
      <w:pPr>
        <w:snapToGrid w:val="0"/>
        <w:spacing w:after="0" w:line="276" w:lineRule="auto"/>
        <w:jc w:val="both"/>
        <w:rPr>
          <w:rFonts w:ascii="Verdana" w:eastAsia="Calibri" w:hAnsi="Verdana" w:cs="Arial"/>
          <w:lang w:val="es-ES_tradnl"/>
        </w:rPr>
      </w:pPr>
    </w:p>
    <w:p w14:paraId="7C9D3654" w14:textId="77777777" w:rsidR="00410D3C" w:rsidRPr="00823549" w:rsidRDefault="00410D3C" w:rsidP="00410D3C">
      <w:pPr>
        <w:numPr>
          <w:ilvl w:val="0"/>
          <w:numId w:val="16"/>
        </w:numPr>
        <w:tabs>
          <w:tab w:val="left" w:pos="142"/>
          <w:tab w:val="left" w:pos="284"/>
        </w:tabs>
        <w:snapToGrid w:val="0"/>
        <w:spacing w:after="0" w:line="276" w:lineRule="auto"/>
        <w:ind w:left="357" w:hanging="357"/>
        <w:jc w:val="both"/>
        <w:rPr>
          <w:rFonts w:ascii="Verdana" w:eastAsia="Century Gothic" w:hAnsi="Verdana" w:cs="Century Gothic"/>
          <w:b/>
          <w:bCs/>
          <w:lang w:val="es-ES_tradnl"/>
        </w:rPr>
      </w:pPr>
      <w:r w:rsidRPr="00823549">
        <w:rPr>
          <w:rFonts w:ascii="Verdana" w:eastAsia="Century Gothic" w:hAnsi="Verdana" w:cs="Century Gothic"/>
          <w:b/>
          <w:bCs/>
          <w:lang w:val="es-ES_tradnl"/>
        </w:rPr>
        <w:t>Respuesta:</w:t>
      </w:r>
    </w:p>
    <w:p w14:paraId="363A3BE9" w14:textId="77777777" w:rsidR="00410D3C" w:rsidRPr="00823549" w:rsidRDefault="00410D3C" w:rsidP="00410D3C">
      <w:pPr>
        <w:tabs>
          <w:tab w:val="left" w:pos="142"/>
          <w:tab w:val="left" w:pos="284"/>
        </w:tabs>
        <w:snapToGrid w:val="0"/>
        <w:spacing w:after="0" w:line="276" w:lineRule="auto"/>
        <w:jc w:val="both"/>
        <w:rPr>
          <w:rFonts w:ascii="Verdana" w:eastAsia="Century Gothic" w:hAnsi="Verdana" w:cs="Century Gothic"/>
          <w:b/>
          <w:bCs/>
          <w:lang w:val="es-ES_tradnl"/>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410D3C" w:rsidRPr="00823549" w14:paraId="0888E5F6" w14:textId="77777777" w:rsidTr="00660B26">
        <w:tc>
          <w:tcPr>
            <w:tcW w:w="8828" w:type="dxa"/>
          </w:tcPr>
          <w:p w14:paraId="73193C2C" w14:textId="77777777" w:rsidR="00410D3C" w:rsidRPr="00823549" w:rsidRDefault="00410D3C" w:rsidP="00660B26">
            <w:pPr>
              <w:snapToGrid w:val="0"/>
              <w:spacing w:after="120" w:line="276" w:lineRule="auto"/>
              <w:jc w:val="both"/>
              <w:rPr>
                <w:rFonts w:ascii="Verdana" w:eastAsia="Calibri" w:hAnsi="Verdana" w:cs="Arial"/>
                <w:lang w:val="es-ES_tradnl"/>
              </w:rPr>
            </w:pPr>
            <w:r w:rsidRPr="00823549">
              <w:rPr>
                <w:rFonts w:ascii="Verdana" w:eastAsia="Calibri" w:hAnsi="Verdana" w:cs="Arial"/>
                <w:lang w:val="es-ES_tradnl"/>
              </w:rPr>
              <w:lastRenderedPageBreak/>
              <w:t>Recientemente, esta Agencia expidió la Resolución No. 465 de 2024 “Por la cual se adopta la versión -4- de los Documentos Tipo para los procesos de selección de licitación de obra pública del sector de infraestructura de transporte y se deroga la Resolución 240 de 2020”. Estos documentos aplican a los procesos de selección de licitación de obra pública de infraestructura de transporte, cuyo aviso de convocatoria de publique a partir del 3 de febrero de 2025.</w:t>
            </w:r>
          </w:p>
          <w:p w14:paraId="2A265EB8" w14:textId="77777777" w:rsidR="00410D3C" w:rsidRPr="00823549" w:rsidRDefault="00410D3C" w:rsidP="00660B26">
            <w:pPr>
              <w:widowControl w:val="0"/>
              <w:autoSpaceDE w:val="0"/>
              <w:autoSpaceDN w:val="0"/>
              <w:snapToGrid w:val="0"/>
              <w:spacing w:after="120" w:line="276" w:lineRule="auto"/>
              <w:ind w:firstLine="709"/>
              <w:jc w:val="both"/>
              <w:rPr>
                <w:rFonts w:ascii="Verdana" w:eastAsia="Arial" w:hAnsi="Verdana" w:cs="Arial"/>
                <w:iCs/>
                <w:lang w:val="es-ES_tradnl" w:eastAsia="es-ES" w:bidi="es-ES"/>
              </w:rPr>
            </w:pPr>
            <w:r w:rsidRPr="00823549">
              <w:rPr>
                <w:rFonts w:ascii="Verdana" w:eastAsia="Calibri" w:hAnsi="Verdana" w:cs="Arial"/>
                <w:lang w:val="es-ES_tradnl" w:eastAsia="es-MX"/>
              </w:rPr>
              <w:t xml:space="preserve">Es importante señalar que, el numeral “2.3. ELABORACIÓN Y PRESENTACIÓN DE LA OFERTA” del documento base de los documentos tipo en comento, contiene una </w:t>
            </w:r>
            <w:r w:rsidRPr="00823549">
              <w:rPr>
                <w:rFonts w:ascii="Verdana" w:eastAsia="Calibri" w:hAnsi="Verdana" w:cs="Arial"/>
                <w:i/>
                <w:iCs/>
                <w:lang w:val="es-ES_tradnl" w:eastAsia="es-MX"/>
              </w:rPr>
              <w:t>Nota,</w:t>
            </w:r>
            <w:r w:rsidRPr="00823549">
              <w:rPr>
                <w:rFonts w:ascii="Verdana" w:eastAsia="Calibri" w:hAnsi="Verdana" w:cs="Arial"/>
                <w:lang w:val="es-ES_tradnl" w:eastAsia="es-MX"/>
              </w:rPr>
              <w:t xml:space="preserve"> que establece que, </w:t>
            </w:r>
            <w:r w:rsidRPr="00823549">
              <w:rPr>
                <w:rFonts w:ascii="Verdana" w:eastAsia="Calibri" w:hAnsi="Verdana" w:cs="Arial"/>
                <w:i/>
                <w:iCs/>
                <w:lang w:val="es-ES_tradnl" w:eastAsia="es-MX"/>
              </w:rPr>
              <w:t>“[e]n caso de discrepancias entre los valores señalados en el Formulario 1 – Formulario de Presupuesto Oficial y el valor presentado en el SECOP II, prevalecerá el valor presentado en el SECOP II.”</w:t>
            </w:r>
          </w:p>
          <w:p w14:paraId="1D0C808D" w14:textId="77777777" w:rsidR="00410D3C" w:rsidRPr="00823549" w:rsidRDefault="00410D3C" w:rsidP="00660B26">
            <w:pPr>
              <w:snapToGrid w:val="0"/>
              <w:spacing w:after="120" w:line="276" w:lineRule="auto"/>
              <w:ind w:firstLine="709"/>
              <w:jc w:val="both"/>
              <w:rPr>
                <w:rFonts w:ascii="Verdana" w:eastAsia="Calibri" w:hAnsi="Verdana" w:cs="Arial"/>
                <w:lang w:val="es-ES_tradnl"/>
              </w:rPr>
            </w:pPr>
            <w:r w:rsidRPr="00823549">
              <w:rPr>
                <w:rFonts w:ascii="Verdana" w:eastAsia="Calibri" w:hAnsi="Verdana" w:cs="Arial"/>
                <w:lang w:val="es-ES_tradnl"/>
              </w:rPr>
              <w:t>Al respecto, debe advertirse que, indistintamente de los valores que figuren en el Formulario 1 y el SECOP II, prevalecerán los consignados en el SECOP II.</w:t>
            </w:r>
          </w:p>
          <w:p w14:paraId="03AC748C" w14:textId="77777777" w:rsidR="00410D3C" w:rsidRDefault="00410D3C" w:rsidP="00660B26">
            <w:pPr>
              <w:snapToGrid w:val="0"/>
              <w:spacing w:after="120" w:line="276" w:lineRule="auto"/>
              <w:ind w:firstLine="709"/>
              <w:jc w:val="both"/>
              <w:rPr>
                <w:rFonts w:ascii="Verdana" w:eastAsia="Calibri" w:hAnsi="Verdana" w:cs="Arial"/>
                <w:lang w:val="es-ES"/>
              </w:rPr>
            </w:pPr>
            <w:r w:rsidRPr="0169AFC0">
              <w:rPr>
                <w:rFonts w:ascii="Verdana" w:eastAsia="Calibri" w:hAnsi="Verdana" w:cs="Arial"/>
                <w:lang w:val="es-ES"/>
              </w:rPr>
              <w:t>Por lo tanto, cuando este tipo de situaciones se presenten en desarrollo de procesos de contratación, corresponderá a las entidades estatales, en el marco de su autonomía, adelantar las acciones procedentes y necesarias, con el fin hacer prevalecer los valores de la oferta contemplados en el SECOP II y continuar con el desarrollo del proceso, conforme al régimen jurídico aplicable.</w:t>
            </w:r>
          </w:p>
          <w:p w14:paraId="09FFD1BD" w14:textId="77777777" w:rsidR="00410D3C" w:rsidRDefault="00410D3C" w:rsidP="00660B26">
            <w:pPr>
              <w:snapToGrid w:val="0"/>
              <w:spacing w:after="120" w:line="276" w:lineRule="auto"/>
              <w:ind w:firstLine="709"/>
              <w:jc w:val="both"/>
              <w:rPr>
                <w:rFonts w:ascii="Verdana" w:eastAsia="Calibri" w:hAnsi="Verdana" w:cs="Arial"/>
                <w:lang w:val="es-ES"/>
              </w:rPr>
            </w:pPr>
            <w:r w:rsidRPr="00DF7C9D">
              <w:rPr>
                <w:rFonts w:ascii="Verdana" w:eastAsia="Calibri" w:hAnsi="Verdana" w:cs="Arial"/>
                <w:lang w:val="es-ES"/>
              </w:rPr>
              <w:t xml:space="preserve">En todo caso, debe advertirse que, la precitada </w:t>
            </w:r>
            <w:r w:rsidRPr="00DF7C9D">
              <w:rPr>
                <w:rFonts w:ascii="Verdana" w:eastAsia="Calibri" w:hAnsi="Verdana" w:cs="Arial"/>
                <w:i/>
                <w:iCs/>
                <w:lang w:val="es-ES"/>
              </w:rPr>
              <w:t xml:space="preserve">Nota </w:t>
            </w:r>
            <w:r w:rsidRPr="00DF7C9D">
              <w:rPr>
                <w:rFonts w:ascii="Verdana" w:eastAsia="Calibri" w:hAnsi="Verdana" w:cs="Arial"/>
                <w:lang w:val="es-ES"/>
              </w:rPr>
              <w:t>debe ser entendida respecto al valor total consignado en el Formulario 1 y aquel presentado en SECOP II. De esta manera, lo importante será que ambos valores totales coincidan –tanto el del Formulario 1 como el del SECOP II–, so pena de que prevalezca el señalado en SECOP II.</w:t>
            </w:r>
            <w:r>
              <w:rPr>
                <w:rFonts w:ascii="Verdana" w:eastAsia="Calibri" w:hAnsi="Verdana" w:cs="Arial"/>
                <w:lang w:val="es-ES"/>
              </w:rPr>
              <w:t xml:space="preserve"> </w:t>
            </w:r>
            <w:r w:rsidRPr="0169AFC0">
              <w:rPr>
                <w:rFonts w:ascii="Verdana" w:eastAsia="Calibri" w:hAnsi="Verdana" w:cs="Arial"/>
                <w:lang w:val="es-ES"/>
              </w:rPr>
              <w:t xml:space="preserve"> </w:t>
            </w:r>
          </w:p>
          <w:p w14:paraId="361DFFF3" w14:textId="77777777" w:rsidR="00410D3C" w:rsidRDefault="00410D3C" w:rsidP="00660B26">
            <w:pPr>
              <w:snapToGrid w:val="0"/>
              <w:spacing w:after="120" w:line="276" w:lineRule="auto"/>
              <w:ind w:firstLine="709"/>
              <w:jc w:val="both"/>
              <w:rPr>
                <w:rFonts w:ascii="Verdana" w:eastAsia="Calibri" w:hAnsi="Verdana" w:cs="Arial"/>
                <w:lang w:val="es-ES"/>
              </w:rPr>
            </w:pPr>
            <w:r>
              <w:rPr>
                <w:rFonts w:ascii="Verdana" w:eastAsia="Calibri" w:hAnsi="Verdana" w:cs="Arial"/>
                <w:lang w:val="es-ES"/>
              </w:rPr>
              <w:t xml:space="preserve">Por el contrario, en los casos en que no se solicite lo mismo, la entidad deberá definir, desde el principio, a qué le dará preferencia, esto es, si a los valores del SECOP II o del Formulario 1. </w:t>
            </w:r>
          </w:p>
          <w:p w14:paraId="37F0E146" w14:textId="77777777" w:rsidR="00410D3C" w:rsidRPr="00D8463A" w:rsidRDefault="00410D3C" w:rsidP="00660B26">
            <w:pPr>
              <w:snapToGrid w:val="0"/>
              <w:spacing w:after="120" w:line="276" w:lineRule="auto"/>
              <w:ind w:firstLine="708"/>
              <w:jc w:val="both"/>
              <w:rPr>
                <w:rFonts w:ascii="Verdana" w:eastAsia="Calibri" w:hAnsi="Verdana" w:cs="Arial"/>
                <w:kern w:val="2"/>
                <w14:ligatures w14:val="standardContextual"/>
              </w:rPr>
            </w:pPr>
            <w:r w:rsidRPr="00D8463A">
              <w:rPr>
                <w:rFonts w:ascii="Verdana" w:eastAsia="Calibri" w:hAnsi="Verdana" w:cs="Arial"/>
                <w:kern w:val="2"/>
                <w14:ligatures w14:val="standardContextual"/>
              </w:rPr>
              <w:t xml:space="preserve">Finalmente, debe advertirse que, el análisis requerido para resolver problemas específicos en torno a la contratación de las entidades estatales debe ser realizado por quienes tengan interés en ello. De esta manera, las afirmaciones aquí realizadas no pueden ser interpretadas como juicios de valor sobre circunstancias concretas relacionadas con los hechos que motivan la </w:t>
            </w:r>
            <w:r w:rsidRPr="00D8463A">
              <w:rPr>
                <w:rFonts w:ascii="Verdana" w:eastAsia="Calibri" w:hAnsi="Verdana" w:cs="Arial"/>
                <w:kern w:val="2"/>
                <w14:ligatures w14:val="standardContextual"/>
              </w:rPr>
              <w:lastRenderedPageBreak/>
              <w:t>consulta. Por lo anterior, previo concepto de sus asesores, la solución de situaciones particulares corresponde a los interesados adoptar la decisión correspondiente y, en caso de conflicto, a las autoridades judiciales, fiscales y disciplinarias.</w:t>
            </w:r>
          </w:p>
          <w:p w14:paraId="2EFF05A9" w14:textId="77777777" w:rsidR="00410D3C" w:rsidRPr="00915206" w:rsidRDefault="00410D3C" w:rsidP="00660B26">
            <w:pPr>
              <w:snapToGrid w:val="0"/>
              <w:spacing w:line="276" w:lineRule="auto"/>
              <w:ind w:firstLine="708"/>
              <w:jc w:val="both"/>
              <w:rPr>
                <w:rFonts w:ascii="Verdana" w:eastAsia="Calibri" w:hAnsi="Verdana" w:cs="Arial"/>
                <w:kern w:val="2"/>
                <w14:ligatures w14:val="standardContextual"/>
              </w:rPr>
            </w:pPr>
            <w:r w:rsidRPr="00D8463A">
              <w:rPr>
                <w:rFonts w:ascii="Verdana" w:eastAsia="Calibri" w:hAnsi="Verdana" w:cs="Arial"/>
                <w:kern w:val="2"/>
                <w14:ligatures w14:val="standardContextual"/>
              </w:rPr>
              <w:t>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r w:rsidRPr="002D2FBE">
              <w:rPr>
                <w:rFonts w:ascii="Verdana" w:eastAsia="Calibri" w:hAnsi="Verdana" w:cs="Arial"/>
                <w:kern w:val="2"/>
                <w14:ligatures w14:val="standardContextual"/>
              </w:rPr>
              <w:t xml:space="preserve"> </w:t>
            </w:r>
          </w:p>
        </w:tc>
      </w:tr>
    </w:tbl>
    <w:p w14:paraId="06EABF60" w14:textId="77777777" w:rsidR="00410D3C" w:rsidRPr="00823549" w:rsidRDefault="00410D3C" w:rsidP="00410D3C">
      <w:pPr>
        <w:tabs>
          <w:tab w:val="left" w:pos="142"/>
          <w:tab w:val="left" w:pos="284"/>
        </w:tabs>
        <w:snapToGrid w:val="0"/>
        <w:spacing w:after="0" w:line="276" w:lineRule="auto"/>
        <w:jc w:val="both"/>
        <w:rPr>
          <w:rFonts w:ascii="Verdana" w:eastAsia="Century Gothic" w:hAnsi="Verdana" w:cs="Century Gothic"/>
          <w:b/>
          <w:bCs/>
          <w:lang w:val="es-ES_tradnl"/>
        </w:rPr>
      </w:pPr>
    </w:p>
    <w:p w14:paraId="76BC7168" w14:textId="77777777" w:rsidR="00410D3C" w:rsidRPr="00823549" w:rsidRDefault="00410D3C" w:rsidP="00410D3C">
      <w:pPr>
        <w:numPr>
          <w:ilvl w:val="0"/>
          <w:numId w:val="16"/>
        </w:numPr>
        <w:tabs>
          <w:tab w:val="left" w:pos="142"/>
          <w:tab w:val="left" w:pos="284"/>
        </w:tabs>
        <w:snapToGrid w:val="0"/>
        <w:spacing w:after="0" w:line="276" w:lineRule="auto"/>
        <w:ind w:left="357" w:hanging="357"/>
        <w:jc w:val="both"/>
        <w:rPr>
          <w:rFonts w:ascii="Verdana" w:eastAsia="Century Gothic" w:hAnsi="Verdana" w:cs="Century Gothic"/>
          <w:b/>
          <w:bCs/>
          <w:lang w:val="es-ES_tradnl"/>
        </w:rPr>
      </w:pPr>
      <w:r w:rsidRPr="00823549">
        <w:rPr>
          <w:rFonts w:ascii="Verdana" w:eastAsia="Century Gothic" w:hAnsi="Verdana" w:cs="Century Gothic"/>
          <w:b/>
          <w:bCs/>
          <w:lang w:val="es-ES_tradnl"/>
        </w:rPr>
        <w:t>Razones de la respuesta:</w:t>
      </w:r>
    </w:p>
    <w:p w14:paraId="36579114" w14:textId="77777777" w:rsidR="00410D3C" w:rsidRDefault="00410D3C" w:rsidP="00410D3C">
      <w:pPr>
        <w:snapToGrid w:val="0"/>
        <w:spacing w:after="0" w:line="276" w:lineRule="auto"/>
        <w:jc w:val="both"/>
        <w:rPr>
          <w:rFonts w:ascii="Verdana" w:eastAsia="Calibri" w:hAnsi="Verdana" w:cs="Arial"/>
          <w:lang w:val="es-ES_tradnl"/>
        </w:rPr>
      </w:pPr>
    </w:p>
    <w:p w14:paraId="58656E20" w14:textId="77777777" w:rsidR="00410D3C" w:rsidRPr="00AA2DEC" w:rsidRDefault="00410D3C" w:rsidP="00410D3C">
      <w:pPr>
        <w:spacing w:after="0" w:line="276" w:lineRule="auto"/>
        <w:jc w:val="both"/>
        <w:rPr>
          <w:rFonts w:ascii="Verdana" w:eastAsia="Calibri" w:hAnsi="Verdana" w:cs="Arial"/>
        </w:rPr>
      </w:pPr>
      <w:r w:rsidRPr="00AA2DEC">
        <w:rPr>
          <w:rFonts w:ascii="Verdana" w:eastAsia="Calibri" w:hAnsi="Verdana" w:cs="Arial"/>
        </w:rPr>
        <w:t xml:space="preserve">Lo anterior se sustenta en las siguientes consideraciones: </w:t>
      </w:r>
    </w:p>
    <w:p w14:paraId="463EB4DD" w14:textId="77777777" w:rsidR="00410D3C" w:rsidRPr="008101D5" w:rsidRDefault="00410D3C" w:rsidP="00410D3C">
      <w:pPr>
        <w:snapToGrid w:val="0"/>
        <w:spacing w:after="0" w:line="276" w:lineRule="auto"/>
        <w:jc w:val="both"/>
        <w:rPr>
          <w:rFonts w:ascii="Verdana" w:eastAsia="Calibri" w:hAnsi="Verdana" w:cs="Arial"/>
        </w:rPr>
      </w:pPr>
    </w:p>
    <w:p w14:paraId="6EAD6A0F" w14:textId="77777777" w:rsidR="00410D3C" w:rsidRPr="00AA2DEC" w:rsidRDefault="00410D3C" w:rsidP="00410D3C">
      <w:pPr>
        <w:spacing w:after="120"/>
        <w:jc w:val="both"/>
        <w:rPr>
          <w:rFonts w:ascii="Verdana" w:eastAsia="Aptos" w:hAnsi="Verdana" w:cs="ArialMT"/>
        </w:rPr>
      </w:pPr>
      <w:r w:rsidRPr="00AA2DEC">
        <w:rPr>
          <w:rFonts w:ascii="Verdana" w:eastAsia="Aptos" w:hAnsi="Verdana" w:cs="Arial"/>
        </w:rPr>
        <w:t xml:space="preserve">Los documentos tipo expedidos por la Agencia Nacional de Contratación Pública </w:t>
      </w:r>
      <w:r w:rsidRPr="00AA2DEC">
        <w:rPr>
          <w:rFonts w:ascii="Verdana" w:eastAsia="Aptos" w:hAnsi="Verdana" w:cs="ArialMT"/>
        </w:rPr>
        <w:t xml:space="preserve">– Colombia Compra Eficiente </w:t>
      </w:r>
      <w:r w:rsidRPr="00AA2DEC">
        <w:rPr>
          <w:rFonts w:ascii="Verdana" w:eastAsia="Aptos" w:hAnsi="Verdana" w:cs="Arial"/>
        </w:rPr>
        <w:t>en ejercicio de la potestad otorgada</w:t>
      </w:r>
      <w:r w:rsidRPr="00AA2DEC">
        <w:rPr>
          <w:rFonts w:ascii="Verdana" w:eastAsia="Aptos" w:hAnsi="Verdana" w:cs="ArialMT"/>
        </w:rPr>
        <w:t xml:space="preserve"> por la Ley 2022 de 2020 son de obligatoria observancia por parte de las Entidades Estatales sometidas al Estatuto General de Contratación de la Administración Pública –EGCAP–. Debido a esto, tales entidades deben aplicar de manera forzosa los documentos tipo para desarrollar los Procesos de Contratación en los objetos y modalidades cobijadas por los documentos tipo. Así mismo, los sujetos obligados a su aplicación, no podrán variar los requisitos que en ellos sean fijados, ni establecer reglas o requisitos adicionales a los establecidos en estos para la presentación de las ofertas y la acreditación de los requisitos habilitantes.</w:t>
      </w:r>
    </w:p>
    <w:p w14:paraId="0DCAB13F" w14:textId="77777777" w:rsidR="00410D3C" w:rsidRPr="00AA2DEC" w:rsidRDefault="00410D3C" w:rsidP="00410D3C">
      <w:pPr>
        <w:spacing w:after="120"/>
        <w:ind w:firstLine="708"/>
        <w:jc w:val="both"/>
        <w:rPr>
          <w:rFonts w:ascii="Verdana" w:eastAsia="Aptos" w:hAnsi="Verdana" w:cs="ArialMT"/>
        </w:rPr>
      </w:pPr>
      <w:r w:rsidRPr="00AA2DEC">
        <w:rPr>
          <w:rFonts w:ascii="Verdana" w:eastAsia="Aptos" w:hAnsi="Verdana" w:cs="ArialMT"/>
        </w:rPr>
        <w:t xml:space="preserve">La Agencia Nacional de Contratación Pública – Colombia Compra Eficiente expidió documentos tipo para los sectores de infraestructura de transporte, agua potable y saneamiento básico y social. Asimismo, esta Agencia expidió los documentos tipo de gestión catastral con enfoque multipropósito y para la </w:t>
      </w:r>
      <w:r w:rsidRPr="00AA2DEC">
        <w:rPr>
          <w:rFonts w:ascii="Verdana" w:eastAsia="Aptos" w:hAnsi="Verdana" w:cs="ArialMT"/>
        </w:rPr>
        <w:lastRenderedPageBreak/>
        <w:t>contratación directa de convenios solidarios para la ejecución de obras hasta la menor cuantía con organismos de acción comunal</w:t>
      </w:r>
      <w:r w:rsidRPr="00AA2DEC">
        <w:rPr>
          <w:rFonts w:ascii="Verdana" w:eastAsia="Calibri" w:hAnsi="Verdana" w:cs="Times New Roman"/>
          <w:vertAlign w:val="superscript"/>
        </w:rPr>
        <w:footnoteReference w:id="2"/>
      </w:r>
      <w:r w:rsidRPr="00AA2DEC">
        <w:rPr>
          <w:rFonts w:ascii="Verdana" w:eastAsia="Aptos" w:hAnsi="Verdana" w:cs="ArialMT"/>
        </w:rPr>
        <w:t xml:space="preserve">. </w:t>
      </w:r>
    </w:p>
    <w:p w14:paraId="33FE71AA" w14:textId="77777777" w:rsidR="00410D3C" w:rsidRPr="00AA2DEC" w:rsidRDefault="00410D3C" w:rsidP="00410D3C">
      <w:pPr>
        <w:spacing w:after="120"/>
        <w:ind w:firstLine="708"/>
        <w:jc w:val="both"/>
        <w:rPr>
          <w:rFonts w:ascii="Verdana" w:eastAsia="Aptos" w:hAnsi="Verdana" w:cs="ArialMT"/>
        </w:rPr>
      </w:pPr>
      <w:r w:rsidRPr="00AA2DEC">
        <w:rPr>
          <w:rFonts w:ascii="Verdana" w:eastAsia="Aptos" w:hAnsi="Verdana" w:cs="ArialMT"/>
        </w:rPr>
        <w:t>En el sector de infraestructura de transporte, la Agencia Nacional de Contratación Pública – Colombia Compra Eficiente expidió documentos tipo para contratar obras públicas de infraestructura de transporte bajo las modalidades de selección de licitación pública, selección abreviada de menor cuantía y mínima cuantía. Así mismo, esta Agencia expidió documentos tipo de concurso de méritos para contratar la interventoría y la consultoría de estudios de ingeniería de infraestructura de transporte</w:t>
      </w:r>
      <w:r w:rsidRPr="00AA2DEC">
        <w:rPr>
          <w:rFonts w:ascii="Verdana" w:eastAsia="Calibri" w:hAnsi="Verdana" w:cs="Times New Roman"/>
          <w:vertAlign w:val="superscript"/>
        </w:rPr>
        <w:footnoteReference w:id="3"/>
      </w:r>
      <w:r w:rsidRPr="00AA2DEC">
        <w:rPr>
          <w:rFonts w:ascii="Verdana" w:eastAsia="Aptos" w:hAnsi="Verdana" w:cs="ArialMT"/>
        </w:rPr>
        <w:t xml:space="preserve">. </w:t>
      </w:r>
    </w:p>
    <w:p w14:paraId="435B4DF1" w14:textId="77777777" w:rsidR="00410D3C" w:rsidRPr="00AA2DEC" w:rsidRDefault="00410D3C" w:rsidP="00410D3C">
      <w:pPr>
        <w:spacing w:after="120"/>
        <w:ind w:firstLine="708"/>
        <w:jc w:val="both"/>
        <w:rPr>
          <w:rFonts w:ascii="Verdana" w:eastAsia="Aptos" w:hAnsi="Verdana" w:cs="ArialMT"/>
        </w:rPr>
      </w:pPr>
      <w:r w:rsidRPr="00AA2DEC">
        <w:rPr>
          <w:rFonts w:ascii="Verdana" w:eastAsia="Aptos" w:hAnsi="Verdana" w:cs="ArialMT"/>
        </w:rPr>
        <w:t xml:space="preserve">La Ley 2022 de 2020 indicó que la Agencia Nacional de Contratación Pública – Colombia Compra Eficiente, debe revisar constantemente el contenido de los documentos tipo que expida. En desarrollo de este deber, esta Agencia estableció un procedimiento para recibir y revisar los comentarios a los documentos tipo de infraestructura de transporte, realizados por todos los partícipes del sistema de la compra pública en el primero y parte del segundo semestre del año 2024. Como consecuencia de ello, se expidieron los diferentes </w:t>
      </w:r>
      <w:r w:rsidRPr="00AA2DEC">
        <w:rPr>
          <w:rFonts w:ascii="Verdana" w:eastAsia="Aptos" w:hAnsi="Verdana" w:cs="ArialMT"/>
        </w:rPr>
        <w:lastRenderedPageBreak/>
        <w:t xml:space="preserve">actos administrativos por medio de los cuales se adoptaron y/o modificaron los documentos tipo de este sector, y en simultaneo se publicaron las respuestas a todas las observaciones y/o comentarios realizados a los proyectos de documentos tipo. </w:t>
      </w:r>
    </w:p>
    <w:p w14:paraId="20C9DF75" w14:textId="77777777" w:rsidR="00410D3C" w:rsidRDefault="00410D3C" w:rsidP="00410D3C">
      <w:pPr>
        <w:spacing w:after="120"/>
        <w:ind w:firstLine="708"/>
        <w:jc w:val="both"/>
        <w:rPr>
          <w:rFonts w:ascii="Verdana" w:eastAsia="Aptos" w:hAnsi="Verdana" w:cs="ArialMT"/>
        </w:rPr>
      </w:pPr>
      <w:r w:rsidRPr="00AA2DEC">
        <w:rPr>
          <w:rFonts w:ascii="Verdana" w:eastAsia="Aptos" w:hAnsi="Verdana" w:cs="ArialMT"/>
        </w:rPr>
        <w:t xml:space="preserve">Así, los documentos tipo del sector de infraestructura de transporte fueron modificados después de surtir el procedimiento interno establecido por esta Agencia. En la actualización de estos documentos tipo, participaron entidades técnicas y especializadas del sector transporte, tales como el Instituto Nacional de Vías – INVIAS, el Instituto de Desarrollo Urbano – IDU, el Instituto de Infraestructura y Concesiones de Cundinamarca – ICCU, entre otras. </w:t>
      </w:r>
    </w:p>
    <w:p w14:paraId="7B8E5B39" w14:textId="77777777" w:rsidR="00410D3C" w:rsidRPr="000C0443" w:rsidRDefault="00410D3C" w:rsidP="00410D3C">
      <w:pPr>
        <w:spacing w:after="120"/>
        <w:ind w:firstLine="708"/>
        <w:jc w:val="both"/>
        <w:rPr>
          <w:rFonts w:ascii="Verdana" w:eastAsia="Aptos" w:hAnsi="Verdana" w:cs="ArialMT"/>
        </w:rPr>
      </w:pPr>
      <w:r w:rsidRPr="000C0443">
        <w:rPr>
          <w:rFonts w:ascii="Verdana" w:eastAsia="Aptos" w:hAnsi="Verdana" w:cs="ArialMT"/>
        </w:rPr>
        <w:t xml:space="preserve">En relación con los documentos tipo de licitación de obra pública de infraestructura de transporte, mediante la Resolución 465 del 10 de septiembre de 2024, se adoptó la versión 4 de estos documentos y se derogó la Resolución 240 de 2020. </w:t>
      </w:r>
    </w:p>
    <w:p w14:paraId="1F4EA41A" w14:textId="77777777" w:rsidR="00410D3C" w:rsidRPr="00AA2DEC" w:rsidRDefault="00410D3C" w:rsidP="00410D3C">
      <w:pPr>
        <w:snapToGrid w:val="0"/>
        <w:spacing w:after="120" w:line="276" w:lineRule="auto"/>
        <w:jc w:val="both"/>
        <w:rPr>
          <w:rFonts w:ascii="Verdana" w:eastAsia="Calibri" w:hAnsi="Verdana" w:cs="Arial"/>
          <w:lang w:val="es-ES" w:eastAsia="es-ES"/>
        </w:rPr>
      </w:pPr>
      <w:r w:rsidRPr="00AA2DEC">
        <w:rPr>
          <w:rFonts w:ascii="Verdana" w:eastAsia="Times New Roman" w:hAnsi="Verdana" w:cs="Arial"/>
          <w:shd w:val="clear" w:color="auto" w:fill="FFFFFF"/>
          <w:lang w:val="es-ES_tradnl" w:eastAsia="es-ES_tradnl"/>
        </w:rPr>
        <w:tab/>
        <w:t>Todas las resoluciones expedidas por la Agencia Nacional de Contratación Pública – Colombia Compra Eficiente, mediante las cuales se han adoptado los documentos tipo, consagran la regla de la inalterabilidad</w:t>
      </w:r>
      <w:r w:rsidRPr="00AA2DEC">
        <w:rPr>
          <w:rFonts w:ascii="Verdana" w:eastAsia="Aptos" w:hAnsi="Verdana" w:cs="Times New Roman"/>
          <w:shd w:val="clear" w:color="auto" w:fill="FFFFFF"/>
          <w:vertAlign w:val="superscript"/>
          <w:lang w:val="es-ES_tradnl" w:eastAsia="es-ES_tradnl"/>
        </w:rPr>
        <w:footnoteReference w:id="4"/>
      </w:r>
      <w:r w:rsidRPr="00AA2DEC">
        <w:rPr>
          <w:rFonts w:ascii="Verdana" w:eastAsia="Times New Roman" w:hAnsi="Verdana" w:cs="Arial"/>
          <w:shd w:val="clear" w:color="auto" w:fill="FFFFFF"/>
          <w:lang w:val="es-ES_tradnl" w:eastAsia="es-ES_tradnl"/>
        </w:rPr>
        <w:t xml:space="preserve">. Esta prohibición consiste en que las entidades estatales no pueden incluir o modificar en los </w:t>
      </w:r>
      <w:r w:rsidRPr="00AA2DEC">
        <w:rPr>
          <w:rFonts w:ascii="Verdana" w:eastAsia="Times New Roman" w:hAnsi="Verdana" w:cs="Arial"/>
          <w:i/>
          <w:iCs/>
          <w:shd w:val="clear" w:color="auto" w:fill="FFFFFF"/>
          <w:lang w:val="es-ES_tradnl" w:eastAsia="es-ES_tradnl"/>
        </w:rPr>
        <w:t>Documentos del Proceso</w:t>
      </w:r>
      <w:r w:rsidRPr="00AA2DEC">
        <w:rPr>
          <w:rFonts w:ascii="Verdana" w:eastAsia="Times New Roman" w:hAnsi="Verdana" w:cs="Arial"/>
          <w:shd w:val="clear" w:color="auto" w:fill="FFFFFF"/>
          <w:lang w:val="es-ES_tradnl" w:eastAsia="es-ES_tradnl"/>
        </w:rPr>
        <w:t xml:space="preserve"> condiciones habilitantes, factores técnicos y económicos de escogencia y sistemas de ponderación distintos a los señalados en los documentos tipo. En consecuencia, las condiciones establecidas en dichos documentos son de obligatorio cumplimiento para las entidades sometidas al Estatuto General de Contratación de la Administración Pública que adelanten procesos que deban regirse por su contenido, y no pueden variarse los requisitos fijados en ellos. Por lo tanto, las entidades estatales, al realizar sus procedimientos de selección, solo podrán modificarlos en los aspectos en que los documentos tipo lo permitan.</w:t>
      </w:r>
    </w:p>
    <w:p w14:paraId="26FA3FCE" w14:textId="77777777" w:rsidR="00410D3C" w:rsidRPr="00AA2DEC" w:rsidRDefault="00410D3C" w:rsidP="00410D3C">
      <w:pPr>
        <w:snapToGrid w:val="0"/>
        <w:spacing w:after="120" w:line="276" w:lineRule="auto"/>
        <w:jc w:val="both"/>
        <w:rPr>
          <w:rFonts w:ascii="Verdana" w:eastAsia="Times New Roman" w:hAnsi="Verdana" w:cs="Arial"/>
          <w:shd w:val="clear" w:color="auto" w:fill="FFFFFF"/>
          <w:lang w:val="es-ES_tradnl" w:eastAsia="es-ES_tradnl"/>
        </w:rPr>
      </w:pPr>
      <w:r w:rsidRPr="00AA2DEC">
        <w:rPr>
          <w:rFonts w:ascii="Verdana" w:eastAsia="Calibri" w:hAnsi="Verdana" w:cs="Arial"/>
          <w:lang w:val="es-ES" w:eastAsia="es-ES"/>
        </w:rPr>
        <w:lastRenderedPageBreak/>
        <w:tab/>
      </w:r>
      <w:r w:rsidRPr="00AA2DEC">
        <w:rPr>
          <w:rFonts w:ascii="Verdana" w:eastAsia="Times New Roman" w:hAnsi="Verdana" w:cs="Arial"/>
          <w:shd w:val="clear" w:color="auto" w:fill="FFFFFF"/>
          <w:lang w:val="es-ES_tradnl" w:eastAsia="es-ES_tradnl"/>
        </w:rPr>
        <w:t>El fundamento legal vigente de la regla de inalterabilidad se encuentra en el artículo 1 de la Ley 2022 de 2020, según el cual “</w:t>
      </w:r>
      <w:r w:rsidRPr="00AA2DEC">
        <w:rPr>
          <w:rFonts w:ascii="Verdana" w:eastAsia="Times New Roman" w:hAnsi="Verdana" w:cs="Arial"/>
          <w:lang w:val="es-ES_tradnl" w:eastAsia="es-ES_tradnl"/>
        </w:rPr>
        <w:t xml:space="preserve">[…] </w:t>
      </w:r>
      <w:r w:rsidRPr="00AA2DEC">
        <w:rPr>
          <w:rFonts w:ascii="Verdana" w:eastAsia="Times New Roman" w:hAnsi="Verdana" w:cs="Arial"/>
          <w:shd w:val="clear" w:color="auto" w:fill="FFFFFF"/>
          <w:lang w:val="es-ES_tradnl" w:eastAsia="es-ES_tradnl"/>
        </w:rPr>
        <w:t>serán de obligatorio cumplimiento en la actividad contractual de todas las entidades sometidas al Estatuto General de Contratación de la Administración Pública”. Pero eso no significa que antes no rigiera, pues así también lo disponía el artículo 4 de la Ley 1882 de 2018. Incluso por vía reglamentaria también se dispuso el carácter inmodificable de los pliegos tipo en el artículo 1 de los Decretos 342 de 2019 y 594 de 2020, que adicionaron, respectivamente, los artículos 2.2.1.2.6.1.4. y 2.2.1.2.6.3.4 al Decreto 1082 de 2015.</w:t>
      </w:r>
      <w:r w:rsidRPr="00AA2DEC">
        <w:rPr>
          <w:rFonts w:ascii="Verdana" w:eastAsia="Times New Roman" w:hAnsi="Verdana" w:cs="Arial"/>
          <w:shd w:val="clear" w:color="auto" w:fill="FFFFFF"/>
          <w:lang w:val="es-ES" w:eastAsia="es-ES"/>
        </w:rPr>
        <w:tab/>
      </w:r>
    </w:p>
    <w:p w14:paraId="696E8AD0" w14:textId="77777777" w:rsidR="00410D3C" w:rsidRPr="00AA2DEC" w:rsidRDefault="00410D3C" w:rsidP="00410D3C">
      <w:pPr>
        <w:snapToGrid w:val="0"/>
        <w:spacing w:after="120" w:line="276" w:lineRule="auto"/>
        <w:jc w:val="both"/>
        <w:rPr>
          <w:rFonts w:ascii="Verdana" w:eastAsia="Times New Roman" w:hAnsi="Verdana" w:cs="Arial"/>
          <w:shd w:val="clear" w:color="auto" w:fill="FFFFFF"/>
          <w:lang w:val="es-ES" w:eastAsia="es-ES"/>
        </w:rPr>
      </w:pPr>
      <w:r w:rsidRPr="00AA2DEC">
        <w:rPr>
          <w:rFonts w:ascii="Verdana" w:eastAsia="Times New Roman" w:hAnsi="Verdana" w:cs="Arial"/>
          <w:shd w:val="clear" w:color="auto" w:fill="FFFFFF"/>
          <w:lang w:val="es-ES_tradnl" w:eastAsia="es-ES_tradnl"/>
        </w:rPr>
        <w:tab/>
      </w:r>
      <w:r w:rsidRPr="00AA2DEC">
        <w:rPr>
          <w:rFonts w:ascii="Verdana" w:eastAsia="Times New Roman" w:hAnsi="Verdana" w:cs="Arial"/>
          <w:shd w:val="clear" w:color="auto" w:fill="FFFFFF"/>
          <w:lang w:val="es-ES" w:eastAsia="es-ES"/>
        </w:rPr>
        <w:t xml:space="preserve">En consecuencia, en virtud de la regla de inalterabilidad aludida, los documentos tipo solo pueden ser modificados en los aspectos en que estos lo permitan. Esto corresponde a aquellos aspectos que se encuentran entre corchetes y resaltados en gris </w:t>
      </w:r>
      <w:r w:rsidRPr="00AA2DEC">
        <w:rPr>
          <w:rFonts w:ascii="Verdana" w:eastAsia="Times New Roman" w:hAnsi="Verdana" w:cs="Arial"/>
          <w:highlight w:val="lightGray"/>
          <w:shd w:val="clear" w:color="auto" w:fill="FFFFFF"/>
          <w:lang w:val="es-ES" w:eastAsia="es-ES"/>
        </w:rPr>
        <w:t>–[texto]–</w:t>
      </w:r>
      <w:r w:rsidRPr="00AA2DEC">
        <w:rPr>
          <w:rFonts w:ascii="Verdana" w:eastAsia="Times New Roman" w:hAnsi="Verdana" w:cs="Arial"/>
          <w:shd w:val="clear" w:color="auto" w:fill="FFFFFF"/>
          <w:lang w:val="es-ES" w:eastAsia="es-ES"/>
        </w:rPr>
        <w:t>, para lo cual deberán observarse las instrucciones contenidas en los mismos para su diligenciamiento.</w:t>
      </w:r>
      <w:r w:rsidRPr="00AA2DEC">
        <w:rPr>
          <w:rFonts w:ascii="Verdana" w:eastAsia="Times New Roman" w:hAnsi="Verdana" w:cs="Arial"/>
          <w:shd w:val="clear" w:color="auto" w:fill="FFFFFF"/>
          <w:lang w:val="es-ES_tradnl" w:eastAsia="es-ES_tradnl"/>
        </w:rPr>
        <w:tab/>
      </w:r>
    </w:p>
    <w:p w14:paraId="50D04A9E" w14:textId="77777777" w:rsidR="00410D3C" w:rsidRDefault="00410D3C" w:rsidP="00410D3C">
      <w:pPr>
        <w:snapToGrid w:val="0"/>
        <w:spacing w:after="120" w:line="276" w:lineRule="auto"/>
        <w:jc w:val="both"/>
        <w:rPr>
          <w:rFonts w:ascii="Verdana" w:eastAsia="Times New Roman" w:hAnsi="Verdana" w:cs="Arial"/>
          <w:shd w:val="clear" w:color="auto" w:fill="FFFFFF"/>
          <w:lang w:val="es-ES_tradnl" w:eastAsia="es-ES_tradnl"/>
        </w:rPr>
      </w:pPr>
      <w:r w:rsidRPr="00AA2DEC">
        <w:rPr>
          <w:rFonts w:ascii="Verdana" w:eastAsia="Times New Roman" w:hAnsi="Verdana" w:cs="Arial"/>
          <w:shd w:val="clear" w:color="auto" w:fill="FFFFFF"/>
          <w:lang w:val="es-ES_tradnl" w:eastAsia="es-ES_tradnl"/>
        </w:rPr>
        <w:tab/>
        <w:t xml:space="preserve">Por lo tanto, una entidad solo podrá modificar aspectos de los documentos tipo cuando así esté permitido, en los términos expuestos. Lo anterior implica que, en los apartes en que los documentos tipo no lo permitan, la entidad deberá integrar el contenido de estos a su Proceso de Contratación sin ningún tipo de alteración. </w:t>
      </w:r>
    </w:p>
    <w:p w14:paraId="61CB6F4E" w14:textId="77777777" w:rsidR="00410D3C" w:rsidRPr="008101D5" w:rsidRDefault="00410D3C" w:rsidP="00410D3C">
      <w:pPr>
        <w:snapToGrid w:val="0"/>
        <w:spacing w:after="120" w:line="276" w:lineRule="auto"/>
        <w:ind w:firstLine="708"/>
        <w:jc w:val="both"/>
        <w:rPr>
          <w:rFonts w:ascii="Verdana" w:eastAsia="Times New Roman" w:hAnsi="Verdana" w:cs="Arial"/>
          <w:shd w:val="clear" w:color="auto" w:fill="FFFFFF"/>
          <w:lang w:val="es-ES_tradnl" w:eastAsia="es-ES_tradnl"/>
        </w:rPr>
      </w:pPr>
      <w:r w:rsidRPr="00823549">
        <w:rPr>
          <w:rFonts w:ascii="Verdana" w:eastAsia="Calibri" w:hAnsi="Verdana" w:cs="Arial"/>
          <w:kern w:val="2"/>
          <w:lang w:val="es-ES_tradnl" w:eastAsia="es-MX"/>
          <w14:ligatures w14:val="standardContextual"/>
        </w:rPr>
        <w:t xml:space="preserve">Ahora bien, los documentos tipo de infraestructura de transporte, contemplan el “Formulario 1 – Formulario de Presupuesto Oficial”, empleado por la entidad para elaborar y presentar el presupuesto oficial, y mediante el cual el proponente estructura la oferta económica. </w:t>
      </w:r>
    </w:p>
    <w:p w14:paraId="5479F05B" w14:textId="77777777" w:rsidR="00410D3C" w:rsidRPr="00823549" w:rsidRDefault="00410D3C" w:rsidP="00410D3C">
      <w:pPr>
        <w:snapToGrid w:val="0"/>
        <w:spacing w:after="120" w:line="276" w:lineRule="auto"/>
        <w:ind w:firstLine="709"/>
        <w:jc w:val="both"/>
        <w:rPr>
          <w:rFonts w:ascii="Verdana" w:eastAsia="Calibri" w:hAnsi="Verdana" w:cs="Arial"/>
          <w:kern w:val="2"/>
          <w:lang w:val="es-ES_tradnl" w:eastAsia="es-ES"/>
          <w14:ligatures w14:val="standardContextual"/>
        </w:rPr>
      </w:pPr>
      <w:r w:rsidRPr="00823549">
        <w:rPr>
          <w:rFonts w:ascii="Verdana" w:eastAsia="Calibri" w:hAnsi="Verdana" w:cs="Arial"/>
          <w:kern w:val="2"/>
          <w:lang w:val="es-ES_tradnl" w:eastAsia="es-MX"/>
          <w14:ligatures w14:val="standardContextual"/>
        </w:rPr>
        <w:t>Este formulario lo prepara la entidad en la etapa de planeación y le permite definir el valor oficial estimado del proceso de contratación. Por tanto, las entidades estatales para su elaboración deben tener en cuenta diferentes variables</w:t>
      </w:r>
      <w:r w:rsidRPr="00823549">
        <w:rPr>
          <w:rFonts w:ascii="Verdana" w:eastAsia="Aptos" w:hAnsi="Verdana" w:cs="Times New Roman"/>
          <w:kern w:val="2"/>
          <w:vertAlign w:val="superscript"/>
          <w:lang w:val="es-ES_tradnl" w:eastAsia="es-MX"/>
          <w14:ligatures w14:val="standardContextual"/>
        </w:rPr>
        <w:footnoteReference w:id="5"/>
      </w:r>
      <w:r w:rsidRPr="00823549">
        <w:rPr>
          <w:rFonts w:ascii="Verdana" w:eastAsia="Calibri" w:hAnsi="Verdana" w:cs="Arial"/>
          <w:kern w:val="2"/>
          <w:lang w:val="es-ES_tradnl" w:eastAsia="es-MX"/>
          <w14:ligatures w14:val="standardContextual"/>
        </w:rPr>
        <w:t>, como el objeto, alcance, obras a ejecutar, actividades, cantidades, particularidades de la zona de ejecución del proyecto, disponibilidad y distancia de fuentes de materiales, entre otros.</w:t>
      </w:r>
    </w:p>
    <w:p w14:paraId="6506B7E9" w14:textId="77777777" w:rsidR="00410D3C" w:rsidRPr="00B04AD3" w:rsidRDefault="00410D3C" w:rsidP="00410D3C">
      <w:pPr>
        <w:widowControl w:val="0"/>
        <w:autoSpaceDE w:val="0"/>
        <w:autoSpaceDN w:val="0"/>
        <w:snapToGrid w:val="0"/>
        <w:spacing w:after="120" w:line="276" w:lineRule="auto"/>
        <w:ind w:firstLine="709"/>
        <w:jc w:val="both"/>
        <w:rPr>
          <w:rFonts w:ascii="Verdana" w:eastAsia="Calibri" w:hAnsi="Verdana" w:cs="Arial"/>
          <w:kern w:val="2"/>
          <w:lang w:val="es-ES" w:eastAsia="es-MX"/>
          <w14:ligatures w14:val="standardContextual"/>
        </w:rPr>
      </w:pPr>
      <w:r w:rsidRPr="0169AFC0">
        <w:rPr>
          <w:rFonts w:ascii="Verdana" w:eastAsia="Calibri" w:hAnsi="Verdana" w:cs="Arial"/>
          <w:kern w:val="2"/>
          <w:lang w:val="es-ES" w:eastAsia="es-MX"/>
          <w14:ligatures w14:val="standardContextual"/>
        </w:rPr>
        <w:t xml:space="preserve">En los documentos tipo de obra de infraestructura de transporte, el “Formulario 1 – Formulario de Presupuesto Oficial” tiene dos connotaciones: i) por un lado, es el formulario sobre el cual la entidad estructura y presenta el presupuesto oficial del procedimiento de contratación; y </w:t>
      </w:r>
      <w:proofErr w:type="spellStart"/>
      <w:r w:rsidRPr="0169AFC0">
        <w:rPr>
          <w:rFonts w:ascii="Verdana" w:eastAsia="Calibri" w:hAnsi="Verdana" w:cs="Arial"/>
          <w:kern w:val="2"/>
          <w:lang w:val="es-ES" w:eastAsia="es-MX"/>
          <w14:ligatures w14:val="standardContextual"/>
        </w:rPr>
        <w:t>ii</w:t>
      </w:r>
      <w:proofErr w:type="spellEnd"/>
      <w:r w:rsidRPr="0169AFC0">
        <w:rPr>
          <w:rFonts w:ascii="Verdana" w:eastAsia="Calibri" w:hAnsi="Verdana" w:cs="Arial"/>
          <w:kern w:val="2"/>
          <w:lang w:val="es-ES" w:eastAsia="es-MX"/>
          <w14:ligatures w14:val="standardContextual"/>
        </w:rPr>
        <w:t xml:space="preserve">) por el otro, es el </w:t>
      </w:r>
      <w:r w:rsidRPr="0169AFC0">
        <w:rPr>
          <w:rFonts w:ascii="Verdana" w:eastAsia="Calibri" w:hAnsi="Verdana" w:cs="Arial"/>
          <w:kern w:val="2"/>
          <w:lang w:val="es-ES" w:eastAsia="es-MX"/>
          <w14:ligatures w14:val="standardContextual"/>
        </w:rPr>
        <w:lastRenderedPageBreak/>
        <w:t>formulario sobre el cual los proponentes elaboran y presentan su oferta económica. Específicamente, frente a la propuesta económica, el documento base señala que la misma se debe elaborar a partir del “Formulario 1– Formulario de Presupuesto Oficial” y la presentación debe hacerse con sujeción a lo dispuesto en los numerales “2.3. ELABORACIÓN Y PRESENTACIÓN DE LA OFERTA” y “4.1. OFERTA ECONÓMICA” del referido documento base. El propósito de esto es evitar la duplicidad de información y permitir que las propuestas económicas sean evaluadas con las variables, cantidades, unidades de medida y reglas consideradas por la entidad al estructurar su presupuesto oficial.</w:t>
      </w:r>
    </w:p>
    <w:p w14:paraId="4DCA5237" w14:textId="77777777" w:rsidR="00410D3C" w:rsidRPr="007F383E" w:rsidRDefault="00410D3C" w:rsidP="00410D3C">
      <w:pPr>
        <w:widowControl w:val="0"/>
        <w:autoSpaceDE w:val="0"/>
        <w:autoSpaceDN w:val="0"/>
        <w:snapToGrid w:val="0"/>
        <w:spacing w:after="120" w:line="276" w:lineRule="auto"/>
        <w:ind w:firstLine="709"/>
        <w:jc w:val="both"/>
        <w:rPr>
          <w:rFonts w:ascii="Verdana" w:eastAsia="Arial" w:hAnsi="Verdana" w:cs="Arial"/>
          <w:i/>
          <w:iCs/>
          <w:kern w:val="2"/>
          <w:lang w:val="es-ES" w:eastAsia="es-ES" w:bidi="es-ES"/>
          <w14:ligatures w14:val="standardContextual"/>
        </w:rPr>
      </w:pPr>
      <w:r w:rsidRPr="0169AFC0">
        <w:rPr>
          <w:rFonts w:ascii="Verdana" w:eastAsia="Arial" w:hAnsi="Verdana" w:cs="Arial"/>
          <w:kern w:val="2"/>
          <w:lang w:val="es-ES" w:eastAsia="es-ES" w:bidi="es-ES"/>
          <w14:ligatures w14:val="standardContextual"/>
        </w:rPr>
        <w:t xml:space="preserve">En ese contexto, se tiene que, en la primera hoja del Formulario 1, que corresponde al presupuesto oficial, la entidad debe enlistar los </w:t>
      </w:r>
      <w:r w:rsidRPr="0169AFC0">
        <w:rPr>
          <w:rFonts w:ascii="Verdana" w:eastAsia="Arial" w:hAnsi="Verdana" w:cs="Arial"/>
          <w:i/>
          <w:iCs/>
          <w:kern w:val="2"/>
          <w:lang w:val="es-ES" w:eastAsia="es-ES" w:bidi="es-ES"/>
          <w14:ligatures w14:val="standardContextual"/>
        </w:rPr>
        <w:t xml:space="preserve">ítems de pago </w:t>
      </w:r>
      <w:r w:rsidRPr="0169AFC0">
        <w:rPr>
          <w:rFonts w:ascii="Verdana" w:eastAsia="Arial" w:hAnsi="Verdana" w:cs="Arial"/>
          <w:kern w:val="2"/>
          <w:lang w:val="es-ES" w:eastAsia="es-ES" w:bidi="es-ES"/>
          <w14:ligatures w14:val="standardContextual"/>
        </w:rPr>
        <w:t xml:space="preserve">de los bienes, obras o servicios que se requieren para la ejecución de la obra pública de infraestructura de transporte. Además, es posible establecer: i) sus especificaciones generales y particulares, </w:t>
      </w:r>
      <w:proofErr w:type="spellStart"/>
      <w:r w:rsidRPr="0169AFC0">
        <w:rPr>
          <w:rFonts w:ascii="Verdana" w:eastAsia="Arial" w:hAnsi="Verdana" w:cs="Arial"/>
          <w:kern w:val="2"/>
          <w:lang w:val="es-ES" w:eastAsia="es-ES" w:bidi="es-ES"/>
          <w14:ligatures w14:val="standardContextual"/>
        </w:rPr>
        <w:t>ii</w:t>
      </w:r>
      <w:proofErr w:type="spellEnd"/>
      <w:r w:rsidRPr="0169AFC0">
        <w:rPr>
          <w:rFonts w:ascii="Verdana" w:eastAsia="Arial" w:hAnsi="Verdana" w:cs="Arial"/>
          <w:kern w:val="2"/>
          <w:lang w:val="es-ES" w:eastAsia="es-ES" w:bidi="es-ES"/>
          <w14:ligatures w14:val="standardContextual"/>
        </w:rPr>
        <w:t xml:space="preserve">) la descripción, </w:t>
      </w:r>
      <w:proofErr w:type="spellStart"/>
      <w:r w:rsidRPr="0169AFC0">
        <w:rPr>
          <w:rFonts w:ascii="Verdana" w:eastAsia="Arial" w:hAnsi="Verdana" w:cs="Arial"/>
          <w:kern w:val="2"/>
          <w:lang w:val="es-ES" w:eastAsia="es-ES" w:bidi="es-ES"/>
          <w14:ligatures w14:val="standardContextual"/>
        </w:rPr>
        <w:t>iii</w:t>
      </w:r>
      <w:proofErr w:type="spellEnd"/>
      <w:r w:rsidRPr="0169AFC0">
        <w:rPr>
          <w:rFonts w:ascii="Verdana" w:eastAsia="Arial" w:hAnsi="Verdana" w:cs="Arial"/>
          <w:kern w:val="2"/>
          <w:lang w:val="es-ES" w:eastAsia="es-ES" w:bidi="es-ES"/>
          <w14:ligatures w14:val="standardContextual"/>
        </w:rPr>
        <w:t xml:space="preserve">) la unidad de medida, </w:t>
      </w:r>
      <w:proofErr w:type="spellStart"/>
      <w:r w:rsidRPr="0169AFC0">
        <w:rPr>
          <w:rFonts w:ascii="Verdana" w:eastAsia="Arial" w:hAnsi="Verdana" w:cs="Arial"/>
          <w:kern w:val="2"/>
          <w:lang w:val="es-ES" w:eastAsia="es-ES" w:bidi="es-ES"/>
          <w14:ligatures w14:val="standardContextual"/>
        </w:rPr>
        <w:t>iv</w:t>
      </w:r>
      <w:proofErr w:type="spellEnd"/>
      <w:r w:rsidRPr="0169AFC0">
        <w:rPr>
          <w:rFonts w:ascii="Verdana" w:eastAsia="Arial" w:hAnsi="Verdana" w:cs="Arial"/>
          <w:kern w:val="2"/>
          <w:lang w:val="es-ES" w:eastAsia="es-ES" w:bidi="es-ES"/>
          <w14:ligatures w14:val="standardContextual"/>
        </w:rPr>
        <w:t xml:space="preserve">) la cantidad, v) el valor unitario y vi) el valor total de los </w:t>
      </w:r>
      <w:r w:rsidRPr="0169AFC0">
        <w:rPr>
          <w:rFonts w:ascii="Verdana" w:eastAsia="Arial" w:hAnsi="Verdana" w:cs="Arial"/>
          <w:i/>
          <w:iCs/>
          <w:kern w:val="2"/>
          <w:lang w:val="es-ES" w:eastAsia="es-ES" w:bidi="es-ES"/>
          <w14:ligatures w14:val="standardContextual"/>
        </w:rPr>
        <w:t>ítems.</w:t>
      </w:r>
    </w:p>
    <w:p w14:paraId="65C0E963" w14:textId="77777777" w:rsidR="00410D3C" w:rsidRPr="00823549" w:rsidRDefault="00410D3C" w:rsidP="00410D3C">
      <w:pPr>
        <w:widowControl w:val="0"/>
        <w:autoSpaceDE w:val="0"/>
        <w:autoSpaceDN w:val="0"/>
        <w:snapToGrid w:val="0"/>
        <w:spacing w:after="120" w:line="276" w:lineRule="auto"/>
        <w:ind w:firstLine="709"/>
        <w:jc w:val="both"/>
        <w:rPr>
          <w:rFonts w:ascii="Verdana" w:eastAsia="Arial" w:hAnsi="Verdana" w:cs="Arial"/>
          <w:iCs/>
          <w:kern w:val="2"/>
          <w:lang w:val="es-ES_tradnl" w:eastAsia="es-ES" w:bidi="es-ES"/>
          <w14:ligatures w14:val="standardContextual"/>
        </w:rPr>
      </w:pPr>
      <w:r w:rsidRPr="00823549">
        <w:rPr>
          <w:rFonts w:ascii="Verdana" w:eastAsia="Calibri" w:hAnsi="Verdana" w:cs="Arial"/>
          <w:kern w:val="2"/>
          <w:lang w:val="es-ES_tradnl" w:eastAsia="es-MX"/>
          <w14:ligatures w14:val="standardContextual"/>
        </w:rPr>
        <w:t xml:space="preserve">Teniendo en cuenta el objeto de su consulta, es importante señalar que, el numeral “2.3. ELABORACIÓN Y PRESENTACIÓN DE LA OFERTA” del documento base de los documentos tipo en comento, contiene una </w:t>
      </w:r>
      <w:r w:rsidRPr="00823549">
        <w:rPr>
          <w:rFonts w:ascii="Verdana" w:eastAsia="Calibri" w:hAnsi="Verdana" w:cs="Arial"/>
          <w:i/>
          <w:iCs/>
          <w:kern w:val="2"/>
          <w:lang w:val="es-ES_tradnl" w:eastAsia="es-MX"/>
          <w14:ligatures w14:val="standardContextual"/>
        </w:rPr>
        <w:t>Nota,</w:t>
      </w:r>
      <w:r w:rsidRPr="00823549">
        <w:rPr>
          <w:rFonts w:ascii="Verdana" w:eastAsia="Calibri" w:hAnsi="Verdana" w:cs="Arial"/>
          <w:kern w:val="2"/>
          <w:lang w:val="es-ES_tradnl" w:eastAsia="es-MX"/>
          <w14:ligatures w14:val="standardContextual"/>
        </w:rPr>
        <w:t xml:space="preserve"> que establece que, </w:t>
      </w:r>
      <w:r w:rsidRPr="00823549">
        <w:rPr>
          <w:rFonts w:ascii="Verdana" w:eastAsia="Calibri" w:hAnsi="Verdana" w:cs="Arial"/>
          <w:i/>
          <w:iCs/>
          <w:kern w:val="2"/>
          <w:lang w:val="es-ES_tradnl" w:eastAsia="es-MX"/>
          <w14:ligatures w14:val="standardContextual"/>
        </w:rPr>
        <w:t>“[e]n caso de discrepancias entre los valores señalados en el Formulario 1 – Formulario de Presupuesto Oficial y el valor presentado en el SECOP II, prevalecerá el valor presentado en el SECOP II.”</w:t>
      </w:r>
    </w:p>
    <w:p w14:paraId="34C659E6" w14:textId="77777777" w:rsidR="00410D3C" w:rsidRPr="00823549" w:rsidRDefault="00410D3C" w:rsidP="00410D3C">
      <w:pPr>
        <w:snapToGrid w:val="0"/>
        <w:spacing w:after="120" w:line="276" w:lineRule="auto"/>
        <w:ind w:firstLine="709"/>
        <w:jc w:val="both"/>
        <w:rPr>
          <w:rFonts w:ascii="Verdana" w:eastAsia="Calibri" w:hAnsi="Verdana" w:cs="Arial"/>
          <w:lang w:val="es-ES_tradnl"/>
        </w:rPr>
      </w:pPr>
      <w:r w:rsidRPr="00823549">
        <w:rPr>
          <w:rFonts w:ascii="Verdana" w:eastAsia="Calibri" w:hAnsi="Verdana" w:cs="Arial"/>
          <w:lang w:val="es-ES_tradnl"/>
        </w:rPr>
        <w:t>Al respecto, debe advertirse que, indistintamente de los valores que figuren en el Formulario 1 y el SECOP II, prevalecerán los consignados en el SECOP II.</w:t>
      </w:r>
    </w:p>
    <w:p w14:paraId="3873ABB7" w14:textId="77777777" w:rsidR="00410D3C" w:rsidRDefault="00410D3C" w:rsidP="00410D3C">
      <w:pPr>
        <w:snapToGrid w:val="0"/>
        <w:spacing w:after="120" w:line="276" w:lineRule="auto"/>
        <w:ind w:firstLine="709"/>
        <w:jc w:val="both"/>
        <w:rPr>
          <w:rFonts w:ascii="Verdana" w:eastAsia="Calibri" w:hAnsi="Verdana" w:cs="Arial"/>
          <w:lang w:val="es-ES"/>
        </w:rPr>
      </w:pPr>
      <w:r w:rsidRPr="0169AFC0">
        <w:rPr>
          <w:rFonts w:ascii="Verdana" w:eastAsia="Calibri" w:hAnsi="Verdana" w:cs="Arial"/>
          <w:lang w:val="es-ES"/>
        </w:rPr>
        <w:t>Por lo tanto, cuando este tipo de situaciones se presenten en desarrollo de procesos de contratación, corresponderá a las entidades estatales, en el marco de su autonomía, adelantar las acciones procedentes y necesarias, con el fin hacer prevalecer los valores de la oferta contemplados en el SECOP II y continuar con el desarrollo del proceso, conforme al régimen jurídico aplicable.</w:t>
      </w:r>
    </w:p>
    <w:p w14:paraId="488F592E" w14:textId="77777777" w:rsidR="00410D3C" w:rsidRDefault="00410D3C" w:rsidP="00410D3C">
      <w:pPr>
        <w:snapToGrid w:val="0"/>
        <w:spacing w:after="120" w:line="276" w:lineRule="auto"/>
        <w:ind w:firstLine="709"/>
        <w:jc w:val="both"/>
        <w:rPr>
          <w:rFonts w:ascii="Verdana" w:eastAsia="Calibri" w:hAnsi="Verdana" w:cs="Arial"/>
          <w:lang w:val="es-ES"/>
        </w:rPr>
      </w:pPr>
      <w:r w:rsidRPr="00DF7C9D">
        <w:rPr>
          <w:rFonts w:ascii="Verdana" w:eastAsia="Calibri" w:hAnsi="Verdana" w:cs="Arial"/>
          <w:lang w:val="es-ES"/>
        </w:rPr>
        <w:t xml:space="preserve">En todo caso, debe advertirse que, la precitada </w:t>
      </w:r>
      <w:r w:rsidRPr="00DF7C9D">
        <w:rPr>
          <w:rFonts w:ascii="Verdana" w:eastAsia="Calibri" w:hAnsi="Verdana" w:cs="Arial"/>
          <w:i/>
          <w:iCs/>
          <w:lang w:val="es-ES"/>
        </w:rPr>
        <w:t xml:space="preserve">Nota </w:t>
      </w:r>
      <w:r w:rsidRPr="00DF7C9D">
        <w:rPr>
          <w:rFonts w:ascii="Verdana" w:eastAsia="Calibri" w:hAnsi="Verdana" w:cs="Arial"/>
          <w:lang w:val="es-ES"/>
        </w:rPr>
        <w:t>debe ser entendida respecto al valor total consignado en el Formulario 1 y aquel presentado en SECOP II. De esta manera, lo importante será que ambos valores totales coincidan –tanto el del Formulario 1 como el del SECOP II–</w:t>
      </w:r>
      <w:r>
        <w:rPr>
          <w:rFonts w:ascii="Verdana" w:eastAsia="Calibri" w:hAnsi="Verdana" w:cs="Arial"/>
          <w:lang w:val="es-ES"/>
        </w:rPr>
        <w:t xml:space="preserve"> cuando, conforme al </w:t>
      </w:r>
      <w:r>
        <w:rPr>
          <w:rFonts w:ascii="Verdana" w:eastAsia="Calibri" w:hAnsi="Verdana" w:cs="Arial"/>
          <w:lang w:val="es-ES"/>
        </w:rPr>
        <w:lastRenderedPageBreak/>
        <w:t>proceso de contratación, la entidad solicite lo mismo</w:t>
      </w:r>
      <w:r w:rsidRPr="00DF7C9D">
        <w:rPr>
          <w:rFonts w:ascii="Verdana" w:eastAsia="Calibri" w:hAnsi="Verdana" w:cs="Arial"/>
          <w:lang w:val="es-ES"/>
        </w:rPr>
        <w:t>, so pena de que prevalezca el</w:t>
      </w:r>
      <w:r>
        <w:rPr>
          <w:rFonts w:ascii="Verdana" w:eastAsia="Calibri" w:hAnsi="Verdana" w:cs="Arial"/>
          <w:lang w:val="es-ES"/>
        </w:rPr>
        <w:t xml:space="preserve"> valor</w:t>
      </w:r>
      <w:r w:rsidRPr="00DF7C9D">
        <w:rPr>
          <w:rFonts w:ascii="Verdana" w:eastAsia="Calibri" w:hAnsi="Verdana" w:cs="Arial"/>
          <w:lang w:val="es-ES"/>
        </w:rPr>
        <w:t xml:space="preserve"> señalado en SECOP II.</w:t>
      </w:r>
      <w:r>
        <w:rPr>
          <w:rFonts w:ascii="Verdana" w:eastAsia="Calibri" w:hAnsi="Verdana" w:cs="Arial"/>
          <w:lang w:val="es-ES"/>
        </w:rPr>
        <w:t xml:space="preserve"> </w:t>
      </w:r>
      <w:r w:rsidRPr="0169AFC0">
        <w:rPr>
          <w:rFonts w:ascii="Verdana" w:eastAsia="Calibri" w:hAnsi="Verdana" w:cs="Arial"/>
          <w:lang w:val="es-ES"/>
        </w:rPr>
        <w:t xml:space="preserve"> </w:t>
      </w:r>
    </w:p>
    <w:p w14:paraId="3E5D216A" w14:textId="77777777" w:rsidR="00410D3C" w:rsidRDefault="00410D3C" w:rsidP="00410D3C">
      <w:pPr>
        <w:snapToGrid w:val="0"/>
        <w:spacing w:after="120" w:line="276" w:lineRule="auto"/>
        <w:ind w:firstLine="709"/>
        <w:jc w:val="both"/>
        <w:rPr>
          <w:rFonts w:ascii="Verdana" w:eastAsia="Calibri" w:hAnsi="Verdana" w:cs="Arial"/>
          <w:lang w:val="es-ES"/>
        </w:rPr>
      </w:pPr>
      <w:r>
        <w:rPr>
          <w:rFonts w:ascii="Verdana" w:eastAsia="Calibri" w:hAnsi="Verdana" w:cs="Arial"/>
          <w:lang w:val="es-ES"/>
        </w:rPr>
        <w:t xml:space="preserve">Por el contrario, en los casos en que no se solicite lo mismo, la entidad deberá definir, desde el principio, a qué le dará preferencia, esto es, si a los valores del SECOP II o del Formulario 1. </w:t>
      </w:r>
    </w:p>
    <w:p w14:paraId="15D7A1F9" w14:textId="77777777" w:rsidR="00410D3C" w:rsidRPr="00D8463A" w:rsidRDefault="00410D3C" w:rsidP="00410D3C">
      <w:pPr>
        <w:snapToGrid w:val="0"/>
        <w:spacing w:after="120" w:line="276" w:lineRule="auto"/>
        <w:ind w:firstLine="708"/>
        <w:jc w:val="both"/>
        <w:rPr>
          <w:rFonts w:ascii="Verdana" w:eastAsia="Calibri" w:hAnsi="Verdana" w:cs="Arial"/>
          <w:kern w:val="2"/>
          <w14:ligatures w14:val="standardContextual"/>
        </w:rPr>
      </w:pPr>
      <w:r w:rsidRPr="00D8463A">
        <w:rPr>
          <w:rFonts w:ascii="Verdana" w:eastAsia="Calibri" w:hAnsi="Verdana" w:cs="Arial"/>
          <w:kern w:val="2"/>
          <w14:ligatures w14:val="standardContextual"/>
        </w:rPr>
        <w:t>Finalmente, debe advertirse que, el análisis requerido para resolver problemas específicos en torno a la contratación de las entidades estatales debe ser realizado por quienes tengan interés en ello.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0C6D855B" w14:textId="77777777" w:rsidR="00410D3C" w:rsidRPr="00EF1157" w:rsidRDefault="00410D3C" w:rsidP="00410D3C">
      <w:pPr>
        <w:snapToGrid w:val="0"/>
        <w:spacing w:after="0" w:line="276" w:lineRule="auto"/>
        <w:ind w:firstLine="708"/>
        <w:jc w:val="both"/>
        <w:rPr>
          <w:rFonts w:ascii="Verdana" w:eastAsia="Calibri" w:hAnsi="Verdana" w:cs="Arial"/>
          <w:kern w:val="2"/>
          <w14:ligatures w14:val="standardContextual"/>
        </w:rPr>
      </w:pPr>
      <w:r w:rsidRPr="00D8463A">
        <w:rPr>
          <w:rFonts w:ascii="Verdana" w:eastAsia="Calibri" w:hAnsi="Verdana" w:cs="Arial"/>
          <w:kern w:val="2"/>
          <w14:ligatures w14:val="standardContextual"/>
        </w:rPr>
        <w:t>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r w:rsidRPr="002D2FBE">
        <w:rPr>
          <w:rFonts w:ascii="Verdana" w:eastAsia="Calibri" w:hAnsi="Verdana" w:cs="Arial"/>
          <w:kern w:val="2"/>
          <w14:ligatures w14:val="standardContextual"/>
        </w:rPr>
        <w:t xml:space="preserve"> </w:t>
      </w:r>
    </w:p>
    <w:p w14:paraId="60A1BADD" w14:textId="77777777" w:rsidR="00410D3C" w:rsidRPr="00E007C9" w:rsidRDefault="00410D3C" w:rsidP="00410D3C">
      <w:pPr>
        <w:snapToGrid w:val="0"/>
        <w:spacing w:after="0" w:line="276" w:lineRule="auto"/>
        <w:jc w:val="both"/>
        <w:rPr>
          <w:rFonts w:ascii="Verdana" w:eastAsia="Calibri" w:hAnsi="Verdana" w:cs="Arial"/>
          <w:lang w:val="es-ES_tradnl"/>
        </w:rPr>
      </w:pPr>
    </w:p>
    <w:p w14:paraId="378AA313" w14:textId="77777777" w:rsidR="00410D3C" w:rsidRPr="00823549" w:rsidRDefault="00410D3C" w:rsidP="00410D3C">
      <w:pPr>
        <w:numPr>
          <w:ilvl w:val="0"/>
          <w:numId w:val="16"/>
        </w:numPr>
        <w:tabs>
          <w:tab w:val="left" w:pos="142"/>
          <w:tab w:val="left" w:pos="284"/>
        </w:tabs>
        <w:snapToGrid w:val="0"/>
        <w:spacing w:after="0" w:line="276" w:lineRule="auto"/>
        <w:ind w:left="357" w:hanging="357"/>
        <w:jc w:val="both"/>
        <w:rPr>
          <w:rFonts w:ascii="Verdana" w:eastAsia="Century Gothic" w:hAnsi="Verdana" w:cs="Century Gothic"/>
          <w:b/>
          <w:bCs/>
          <w:lang w:val="es-ES_tradnl"/>
        </w:rPr>
      </w:pPr>
      <w:r w:rsidRPr="00823549">
        <w:rPr>
          <w:rFonts w:ascii="Verdana" w:eastAsia="Century Gothic" w:hAnsi="Verdana" w:cs="Century Gothic"/>
          <w:b/>
          <w:bCs/>
          <w:lang w:val="es-ES_tradnl"/>
        </w:rPr>
        <w:t>Referencias normativas, jurisprudenciales y otras fuentes:</w:t>
      </w:r>
    </w:p>
    <w:p w14:paraId="5C9EF43B" w14:textId="77777777" w:rsidR="00410D3C" w:rsidRPr="00823549" w:rsidRDefault="00410D3C" w:rsidP="00410D3C">
      <w:pPr>
        <w:widowControl w:val="0"/>
        <w:autoSpaceDE w:val="0"/>
        <w:autoSpaceDN w:val="0"/>
        <w:snapToGrid w:val="0"/>
        <w:spacing w:after="0" w:line="276" w:lineRule="auto"/>
        <w:jc w:val="both"/>
        <w:rPr>
          <w:rFonts w:ascii="Verdana" w:eastAsia="Calibri" w:hAnsi="Verdana" w:cs="Arial"/>
          <w:lang w:val="es-ES_tradn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none" w:sz="0" w:space="0" w:color="auto"/>
          <w:insideV w:val="none" w:sz="0" w:space="0" w:color="auto"/>
        </w:tblBorders>
        <w:tblLayout w:type="fixed"/>
        <w:tblLook w:val="04A0" w:firstRow="1" w:lastRow="0" w:firstColumn="1" w:lastColumn="0" w:noHBand="0" w:noVBand="1"/>
      </w:tblPr>
      <w:tblGrid>
        <w:gridCol w:w="8647"/>
      </w:tblGrid>
      <w:tr w:rsidR="00410D3C" w:rsidRPr="00823549" w14:paraId="293A18B3" w14:textId="77777777" w:rsidTr="00660B26">
        <w:trPr>
          <w:trHeight w:val="870"/>
        </w:trPr>
        <w:tc>
          <w:tcPr>
            <w:tcW w:w="8647" w:type="dxa"/>
          </w:tcPr>
          <w:p w14:paraId="590C5D97" w14:textId="77777777" w:rsidR="00410D3C" w:rsidRPr="00823549" w:rsidRDefault="00410D3C" w:rsidP="00410D3C">
            <w:pPr>
              <w:widowControl w:val="0"/>
              <w:numPr>
                <w:ilvl w:val="0"/>
                <w:numId w:val="17"/>
              </w:numPr>
              <w:autoSpaceDE w:val="0"/>
              <w:autoSpaceDN w:val="0"/>
              <w:snapToGrid w:val="0"/>
              <w:spacing w:after="120" w:line="276" w:lineRule="auto"/>
              <w:ind w:left="714" w:hanging="357"/>
              <w:jc w:val="both"/>
              <w:rPr>
                <w:rFonts w:ascii="Verdana" w:eastAsia="Calibri" w:hAnsi="Verdana" w:cs="Arial"/>
                <w:lang w:val="es-ES_tradnl"/>
              </w:rPr>
            </w:pPr>
            <w:r w:rsidRPr="00823549">
              <w:rPr>
                <w:rFonts w:ascii="Verdana" w:eastAsia="Calibri" w:hAnsi="Verdana" w:cs="Arial"/>
                <w:lang w:val="es-ES_tradnl"/>
              </w:rPr>
              <w:t xml:space="preserve">Ley 2022 de 2020, artículo 1. </w:t>
            </w:r>
          </w:p>
          <w:p w14:paraId="4A6F41BF" w14:textId="77777777" w:rsidR="00410D3C" w:rsidRPr="00823549" w:rsidRDefault="00410D3C" w:rsidP="00410D3C">
            <w:pPr>
              <w:widowControl w:val="0"/>
              <w:numPr>
                <w:ilvl w:val="0"/>
                <w:numId w:val="17"/>
              </w:numPr>
              <w:autoSpaceDE w:val="0"/>
              <w:autoSpaceDN w:val="0"/>
              <w:snapToGrid w:val="0"/>
              <w:spacing w:line="276" w:lineRule="auto"/>
              <w:ind w:left="714" w:hanging="357"/>
              <w:jc w:val="both"/>
              <w:rPr>
                <w:rFonts w:ascii="Verdana" w:eastAsia="Calibri" w:hAnsi="Verdana" w:cs="Arial"/>
                <w:lang w:val="es-ES_tradnl"/>
              </w:rPr>
            </w:pPr>
            <w:r w:rsidRPr="00823549">
              <w:rPr>
                <w:rFonts w:ascii="Verdana" w:eastAsia="Calibri" w:hAnsi="Verdana" w:cs="Arial"/>
                <w:lang w:val="es-ES_tradnl"/>
              </w:rPr>
              <w:t xml:space="preserve">Documentos Tipo de licitación de obra pública de infraestructura de transporte –versión 4–. Disponibles en: </w:t>
            </w:r>
            <w:hyperlink r:id="rId11" w:history="1">
              <w:r w:rsidRPr="00CD44F7">
                <w:rPr>
                  <w:rStyle w:val="Hipervnculo"/>
                  <w:rFonts w:ascii="Verdana" w:eastAsia="Calibri" w:hAnsi="Verdana" w:cs="Arial"/>
                  <w:lang w:val="es-ES_tradnl"/>
                </w:rPr>
                <w:t>https://www.colombiacompra.gov.co/normativa-y-relatoria/documentos-tipo</w:t>
              </w:r>
            </w:hyperlink>
            <w:r>
              <w:rPr>
                <w:rFonts w:ascii="Verdana" w:eastAsia="Calibri" w:hAnsi="Verdana" w:cs="Arial"/>
                <w:lang w:val="es-ES_tradnl"/>
              </w:rPr>
              <w:t xml:space="preserve">. </w:t>
            </w:r>
          </w:p>
        </w:tc>
      </w:tr>
    </w:tbl>
    <w:p w14:paraId="34D25C7A" w14:textId="77777777" w:rsidR="00410D3C" w:rsidRPr="00823549" w:rsidRDefault="00410D3C" w:rsidP="00410D3C">
      <w:pPr>
        <w:widowControl w:val="0"/>
        <w:autoSpaceDE w:val="0"/>
        <w:autoSpaceDN w:val="0"/>
        <w:snapToGrid w:val="0"/>
        <w:spacing w:after="0" w:line="276" w:lineRule="auto"/>
        <w:jc w:val="both"/>
        <w:rPr>
          <w:rFonts w:ascii="Verdana" w:eastAsia="Calibri" w:hAnsi="Verdana" w:cs="Arial"/>
          <w:lang w:val="es-ES_tradnl"/>
        </w:rPr>
      </w:pPr>
    </w:p>
    <w:p w14:paraId="053278CF" w14:textId="77777777" w:rsidR="00410D3C" w:rsidRPr="00823549" w:rsidRDefault="00410D3C" w:rsidP="00410D3C">
      <w:pPr>
        <w:numPr>
          <w:ilvl w:val="0"/>
          <w:numId w:val="16"/>
        </w:numPr>
        <w:tabs>
          <w:tab w:val="left" w:pos="142"/>
          <w:tab w:val="left" w:pos="284"/>
        </w:tabs>
        <w:snapToGrid w:val="0"/>
        <w:spacing w:after="0" w:line="276" w:lineRule="auto"/>
        <w:ind w:left="357" w:hanging="357"/>
        <w:jc w:val="both"/>
        <w:rPr>
          <w:rFonts w:ascii="Verdana" w:eastAsia="Century Gothic" w:hAnsi="Verdana" w:cs="Century Gothic"/>
          <w:b/>
          <w:bCs/>
          <w:lang w:val="es-ES_tradnl"/>
        </w:rPr>
      </w:pPr>
      <w:r w:rsidRPr="00823549">
        <w:rPr>
          <w:rFonts w:ascii="Verdana" w:eastAsia="Century Gothic" w:hAnsi="Verdana" w:cs="Century Gothic"/>
          <w:b/>
          <w:bCs/>
          <w:lang w:val="es-ES_tradnl"/>
        </w:rPr>
        <w:t>Doctrina de la Agencia Nacional de Contratación Pública:</w:t>
      </w:r>
    </w:p>
    <w:p w14:paraId="7C51516C" w14:textId="77777777" w:rsidR="00410D3C" w:rsidRPr="00823549" w:rsidRDefault="00410D3C" w:rsidP="00410D3C">
      <w:pPr>
        <w:widowControl w:val="0"/>
        <w:autoSpaceDE w:val="0"/>
        <w:autoSpaceDN w:val="0"/>
        <w:snapToGrid w:val="0"/>
        <w:spacing w:after="0" w:line="276" w:lineRule="auto"/>
        <w:jc w:val="both"/>
        <w:rPr>
          <w:rFonts w:ascii="Verdana" w:eastAsia="Calibri" w:hAnsi="Verdana" w:cs="Arial"/>
          <w:lang w:val="es-ES_tradnl"/>
        </w:rPr>
      </w:pPr>
    </w:p>
    <w:p w14:paraId="56AD8D3A" w14:textId="77777777" w:rsidR="00410D3C" w:rsidRDefault="00410D3C" w:rsidP="00410D3C">
      <w:pPr>
        <w:widowControl w:val="0"/>
        <w:autoSpaceDE w:val="0"/>
        <w:autoSpaceDN w:val="0"/>
        <w:snapToGrid w:val="0"/>
        <w:spacing w:after="0" w:line="276" w:lineRule="auto"/>
        <w:jc w:val="both"/>
        <w:rPr>
          <w:rFonts w:ascii="Verdana" w:eastAsia="Calibri" w:hAnsi="Verdana" w:cs="Arial"/>
          <w:kern w:val="2"/>
          <w:shd w:val="clear" w:color="auto" w:fill="FFFFFF"/>
          <w:lang w:val="es-ES"/>
          <w14:ligatures w14:val="standardContextual"/>
        </w:rPr>
      </w:pPr>
      <w:r w:rsidRPr="0169AFC0">
        <w:rPr>
          <w:rFonts w:ascii="Verdana" w:eastAsia="Calibri" w:hAnsi="Verdana" w:cs="Arial"/>
          <w:kern w:val="2"/>
          <w:shd w:val="clear" w:color="auto" w:fill="FFFFFF"/>
          <w:lang w:val="es-ES"/>
          <w14:ligatures w14:val="standardContextual"/>
        </w:rPr>
        <w:t xml:space="preserve">La Agencia Nacional de Contratación Pública − Colombia Compra Eficiente se </w:t>
      </w:r>
      <w:r w:rsidRPr="0169AFC0">
        <w:rPr>
          <w:rFonts w:ascii="Verdana" w:eastAsia="Calibri" w:hAnsi="Verdana" w:cs="Arial"/>
          <w:kern w:val="2"/>
          <w:shd w:val="clear" w:color="auto" w:fill="FFFFFF"/>
          <w:lang w:val="es-ES"/>
          <w14:ligatures w14:val="standardContextual"/>
        </w:rPr>
        <w:lastRenderedPageBreak/>
        <w:t>pronunció acerca del Formulario 1 – Formulario de Presupuesto Oficial de los Documentos Tipo, en los conceptos con radicado No. 4201912000004987 del 14 de agosto de 2019, 4201913000005675 del 25 de septiembre de 2019, 4201912000005852 del 25 de septiembre de 2019, 4201912000006447 del 10 de octubre de 2019, 4201912000006498 del 7 de octubre de 2019, 4201912000007471 del 13 de noviembre de 2019, C – 016 de 2020 del 21 de abril de 2020, C – 037 de 2020 del 28 de enero de 2020, C – 038 de 2020 del 28 de enero de 2020, C – 093 de 2020 del 28 de febrero de 2020, C – 133 del 30 de marzo de 2020, C – 153 del 1 de abril de 2020, C – 704 del 11 de diciembre del 2020, C – 070 del 16 de marzo de 2021, C – 204 del 6 de mayo de 2021, C – 435 de 1 de septiembre de 2021, C – 640 del 12 de noviembre de 2021, C – 121 del 13 de junio de 2024</w:t>
      </w:r>
      <w:r>
        <w:rPr>
          <w:rFonts w:ascii="Verdana" w:eastAsia="Calibri" w:hAnsi="Verdana" w:cs="Arial"/>
          <w:kern w:val="2"/>
          <w:shd w:val="clear" w:color="auto" w:fill="FFFFFF"/>
          <w:lang w:val="es-ES"/>
          <w14:ligatures w14:val="standardContextual"/>
        </w:rPr>
        <w:t xml:space="preserve">, </w:t>
      </w:r>
      <w:r w:rsidRPr="0169AFC0">
        <w:rPr>
          <w:rFonts w:ascii="Verdana" w:eastAsia="Calibri" w:hAnsi="Verdana" w:cs="Arial"/>
          <w:kern w:val="2"/>
          <w:shd w:val="clear" w:color="auto" w:fill="FFFFFF"/>
          <w:lang w:val="es-ES"/>
          <w14:ligatures w14:val="standardContextual"/>
        </w:rPr>
        <w:t>C-131 del 30 de julio de 2024</w:t>
      </w:r>
      <w:r>
        <w:rPr>
          <w:rFonts w:ascii="Verdana" w:eastAsia="Calibri" w:hAnsi="Verdana" w:cs="Arial"/>
          <w:kern w:val="2"/>
          <w:shd w:val="clear" w:color="auto" w:fill="FFFFFF"/>
          <w:lang w:val="es-ES"/>
          <w14:ligatures w14:val="standardContextual"/>
        </w:rPr>
        <w:t>, C-640 del 5 de noviembre de 2025, C-352 del 2 de mayo de 2025, C-974 del 10 de septiembre de 2025 y C-1255 del 9 de octubre de 2025, entre otros</w:t>
      </w:r>
      <w:r w:rsidRPr="0169AFC0">
        <w:rPr>
          <w:rFonts w:ascii="Verdana" w:eastAsia="Calibri" w:hAnsi="Verdana" w:cs="Arial"/>
          <w:kern w:val="2"/>
          <w:shd w:val="clear" w:color="auto" w:fill="FFFFFF"/>
          <w:lang w:val="es-ES"/>
          <w14:ligatures w14:val="standardContextual"/>
        </w:rPr>
        <w:t xml:space="preserve">. </w:t>
      </w:r>
    </w:p>
    <w:p w14:paraId="5B0FC09C" w14:textId="77777777" w:rsidR="00410D3C" w:rsidRDefault="00410D3C" w:rsidP="00410D3C">
      <w:pPr>
        <w:widowControl w:val="0"/>
        <w:autoSpaceDE w:val="0"/>
        <w:autoSpaceDN w:val="0"/>
        <w:snapToGrid w:val="0"/>
        <w:spacing w:after="0" w:line="276" w:lineRule="auto"/>
        <w:jc w:val="both"/>
        <w:rPr>
          <w:rFonts w:ascii="Verdana" w:eastAsia="Calibri" w:hAnsi="Verdana" w:cs="Arial"/>
          <w:kern w:val="2"/>
          <w:shd w:val="clear" w:color="auto" w:fill="FFFFFF"/>
          <w:lang w:val="es-ES"/>
          <w14:ligatures w14:val="standardContextual"/>
        </w:rPr>
      </w:pPr>
    </w:p>
    <w:p w14:paraId="065D1903" w14:textId="77777777" w:rsidR="00410D3C" w:rsidRPr="00862382" w:rsidRDefault="00410D3C" w:rsidP="00410D3C">
      <w:pPr>
        <w:widowControl w:val="0"/>
        <w:autoSpaceDE w:val="0"/>
        <w:autoSpaceDN w:val="0"/>
        <w:spacing w:after="0" w:line="276" w:lineRule="auto"/>
        <w:jc w:val="both"/>
        <w:rPr>
          <w:rFonts w:ascii="Verdana" w:eastAsia="Times New Roman" w:hAnsi="Verdana" w:cs="Arial"/>
          <w:shd w:val="clear" w:color="auto" w:fill="FFFFFF"/>
          <w:lang w:val="es-ES"/>
        </w:rPr>
      </w:pPr>
      <w:r w:rsidRPr="00862382">
        <w:rPr>
          <w:rFonts w:ascii="Verdana" w:eastAsia="Times New Roman" w:hAnsi="Verdana" w:cs="Arial"/>
          <w:shd w:val="clear" w:color="auto" w:fill="FFFFFF"/>
          <w:lang w:val="es-ES"/>
        </w:rPr>
        <w:t>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 </w:t>
      </w:r>
      <w:hyperlink r:id="rId12" w:tgtFrame="_blank" w:tooltip="Dirección URL original: https://relatoria.colombiacompra.gov.co/. Haga clic o pulse si confía en este vínculo." w:history="1">
        <w:r w:rsidRPr="00862382">
          <w:rPr>
            <w:rFonts w:ascii="Verdana" w:eastAsia="Calibri" w:hAnsi="Verdana" w:cs="Arial"/>
            <w:color w:val="0000FF"/>
            <w:u w:val="single"/>
            <w:shd w:val="clear" w:color="auto" w:fill="FFFFFF"/>
          </w:rPr>
          <w:t>https://relatoria.colombiacompra.gov.co/</w:t>
        </w:r>
      </w:hyperlink>
      <w:r w:rsidRPr="00862382">
        <w:rPr>
          <w:rFonts w:ascii="Verdana" w:eastAsia="Calibri" w:hAnsi="Verdana" w:cs="Arial"/>
          <w:color w:val="0000FF"/>
          <w:u w:val="single"/>
          <w:shd w:val="clear" w:color="auto" w:fill="FFFFFF"/>
        </w:rPr>
        <w:t> .</w:t>
      </w:r>
    </w:p>
    <w:p w14:paraId="3C9530A0" w14:textId="77777777" w:rsidR="00410D3C" w:rsidRPr="00AA2DEC" w:rsidRDefault="00410D3C" w:rsidP="00410D3C">
      <w:pPr>
        <w:spacing w:after="0" w:line="240" w:lineRule="auto"/>
        <w:jc w:val="both"/>
        <w:rPr>
          <w:rFonts w:ascii="Verdana" w:eastAsia="Calibri" w:hAnsi="Verdana" w:cs="Arial"/>
          <w:color w:val="000000"/>
          <w:shd w:val="clear" w:color="auto" w:fill="FFFFFF"/>
        </w:rPr>
      </w:pPr>
    </w:p>
    <w:p w14:paraId="42774E3B" w14:textId="77777777" w:rsidR="00410D3C" w:rsidRPr="00862382" w:rsidRDefault="00410D3C" w:rsidP="00410D3C">
      <w:pPr>
        <w:spacing w:after="0" w:line="240" w:lineRule="auto"/>
        <w:jc w:val="both"/>
        <w:rPr>
          <w:rFonts w:ascii="Verdana" w:eastAsia="Calibri" w:hAnsi="Verdana" w:cs="Arial"/>
          <w:color w:val="000000"/>
          <w:shd w:val="clear" w:color="auto" w:fill="FFFFFF"/>
        </w:rPr>
      </w:pPr>
      <w:r w:rsidRPr="00862382">
        <w:rPr>
          <w:rFonts w:ascii="Verdana" w:eastAsia="Calibri" w:hAnsi="Verdana" w:cs="Arial"/>
          <w:color w:val="000000"/>
          <w:shd w:val="clear" w:color="auto" w:fill="FFFFFF"/>
        </w:rPr>
        <w:t>La Agencia Nacional de Contratación Pública – Colombia Compra Eficiente le informa que ya se encuentra disponible la </w:t>
      </w:r>
      <w:r w:rsidRPr="00862382">
        <w:rPr>
          <w:rFonts w:ascii="Verdana" w:eastAsia="Calibri" w:hAnsi="Verdana" w:cs="Arial"/>
          <w:b/>
          <w:bCs/>
          <w:color w:val="000000"/>
          <w:shd w:val="clear" w:color="auto" w:fill="FFFFFF"/>
        </w:rPr>
        <w:t>Guía de lineamientos de transparencia y selección objetiva para el departamento de La Guajira – Objetivo sexto constitucional de la Sentencia T-302 del 2017. </w:t>
      </w:r>
      <w:r w:rsidRPr="00862382">
        <w:rPr>
          <w:rFonts w:ascii="Verdana" w:eastAsia="Calibri" w:hAnsi="Verdana" w:cs="Arial"/>
          <w:color w:val="000000"/>
          <w:shd w:val="clear" w:color="auto" w:fill="FFFFFF"/>
        </w:rPr>
        <w:t xml:space="preserve">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sidRPr="00862382">
        <w:rPr>
          <w:rFonts w:ascii="Verdana" w:eastAsia="Calibri" w:hAnsi="Verdana" w:cs="Arial"/>
          <w:color w:val="000000"/>
          <w:shd w:val="clear" w:color="auto" w:fill="FFFFFF"/>
        </w:rPr>
        <w:t>Wayúu</w:t>
      </w:r>
      <w:proofErr w:type="spellEnd"/>
      <w:r w:rsidRPr="00862382">
        <w:rPr>
          <w:rFonts w:ascii="Verdana" w:eastAsia="Calibri" w:hAnsi="Verdana" w:cs="Arial"/>
          <w:color w:val="000000"/>
          <w:shd w:val="clear" w:color="auto" w:fill="FFFFFF"/>
        </w:rPr>
        <w:t>. Puede consultar la guía en el siguiente enlace: </w:t>
      </w:r>
      <w:hyperlink r:id="rId13" w:tooltip="Dirección URL original: https://www.colombiacompra.gov.co/wp-content/uploads/2025/05/GUIA-DE-LINEAMIENTOS-DE-TRANSPARENCIA-Y-SELECCION-OBJETIVA-1.0.pdf. Haga clic o pulse si confía en este vínculo." w:history="1">
        <w:r w:rsidRPr="00862382">
          <w:rPr>
            <w:rFonts w:ascii="Verdana" w:eastAsia="Calibri" w:hAnsi="Verdana" w:cs="Arial"/>
            <w:color w:val="0000FF"/>
            <w:u w:val="single"/>
            <w:shd w:val="clear" w:color="auto" w:fill="FFFFFF"/>
          </w:rPr>
          <w:t>Guía de lineamientos de transparencia y selección objetiva para el departamento de La Guajira – Objetivo sexto constitucional de la Sentencia T-302 del 2017</w:t>
        </w:r>
      </w:hyperlink>
      <w:r w:rsidRPr="00862382">
        <w:rPr>
          <w:rFonts w:ascii="Verdana" w:eastAsia="Calibri" w:hAnsi="Verdana" w:cs="Arial"/>
          <w:color w:val="000000"/>
          <w:u w:val="single"/>
          <w:shd w:val="clear" w:color="auto" w:fill="FFFFFF"/>
        </w:rPr>
        <w:t>"</w:t>
      </w:r>
    </w:p>
    <w:p w14:paraId="7600FAAF" w14:textId="77777777" w:rsidR="00410D3C" w:rsidRPr="00862382" w:rsidRDefault="00410D3C" w:rsidP="00410D3C">
      <w:pPr>
        <w:spacing w:after="0"/>
        <w:jc w:val="both"/>
        <w:rPr>
          <w:rFonts w:ascii="Verdana" w:eastAsia="Aptos" w:hAnsi="Verdana" w:cs="Times New Roman"/>
          <w:color w:val="212121"/>
        </w:rPr>
      </w:pPr>
    </w:p>
    <w:p w14:paraId="1E9DEFD5" w14:textId="77777777" w:rsidR="00410D3C" w:rsidRPr="00862382" w:rsidRDefault="00410D3C" w:rsidP="00410D3C">
      <w:pPr>
        <w:spacing w:after="0" w:line="240" w:lineRule="auto"/>
        <w:jc w:val="both"/>
        <w:rPr>
          <w:rFonts w:ascii="Verdana" w:eastAsia="Calibri" w:hAnsi="Verdana" w:cs="Times New Roman"/>
        </w:rPr>
      </w:pPr>
      <w:r w:rsidRPr="00862382">
        <w:rPr>
          <w:rFonts w:ascii="Verdana" w:eastAsia="Aptos" w:hAnsi="Verdana" w:cs="Times New Roman"/>
        </w:rPr>
        <w:t xml:space="preserve">Por último, lo invitamos a seguirnos en las redes sociales en las cuales se difunde información institucional: </w:t>
      </w:r>
    </w:p>
    <w:p w14:paraId="2C067334" w14:textId="77777777" w:rsidR="00410D3C" w:rsidRPr="00862382" w:rsidRDefault="00410D3C" w:rsidP="00410D3C">
      <w:pPr>
        <w:spacing w:after="0" w:line="240" w:lineRule="auto"/>
        <w:jc w:val="both"/>
        <w:rPr>
          <w:rFonts w:ascii="Verdana" w:eastAsia="Aptos" w:hAnsi="Verdana" w:cs="Times New Roman"/>
        </w:rPr>
      </w:pPr>
    </w:p>
    <w:p w14:paraId="0E7E6DE8" w14:textId="77777777" w:rsidR="00410D3C" w:rsidRPr="00862382" w:rsidRDefault="00410D3C" w:rsidP="00410D3C">
      <w:pPr>
        <w:spacing w:after="0" w:line="240" w:lineRule="auto"/>
        <w:jc w:val="both"/>
        <w:rPr>
          <w:rFonts w:ascii="Verdana" w:eastAsia="Aptos" w:hAnsi="Verdana" w:cs="Times New Roman"/>
        </w:rPr>
      </w:pPr>
      <w:r w:rsidRPr="00862382">
        <w:rPr>
          <w:rFonts w:ascii="Verdana" w:eastAsia="Aptos" w:hAnsi="Verdana" w:cs="Times New Roman"/>
        </w:rPr>
        <w:t xml:space="preserve">Twitter: </w:t>
      </w:r>
      <w:r w:rsidRPr="00862382">
        <w:rPr>
          <w:rFonts w:ascii="Verdana" w:eastAsia="Calibri" w:hAnsi="Verdana" w:cs="Times New Roman"/>
          <w:color w:val="156082"/>
          <w:u w:val="single"/>
        </w:rPr>
        <w:t>@colombiacompra</w:t>
      </w:r>
      <w:r w:rsidRPr="00862382">
        <w:rPr>
          <w:rFonts w:ascii="Verdana" w:eastAsia="Calibri" w:hAnsi="Verdana" w:cs="Times New Roman"/>
          <w:color w:val="156082"/>
        </w:rPr>
        <w:t xml:space="preserve"> </w:t>
      </w:r>
    </w:p>
    <w:p w14:paraId="234B12DB" w14:textId="77777777" w:rsidR="00410D3C" w:rsidRPr="00862382" w:rsidRDefault="00410D3C" w:rsidP="00410D3C">
      <w:pPr>
        <w:spacing w:after="0" w:line="240" w:lineRule="auto"/>
        <w:jc w:val="both"/>
        <w:rPr>
          <w:rFonts w:ascii="Verdana" w:eastAsia="Aptos" w:hAnsi="Verdana" w:cs="Times New Roman"/>
        </w:rPr>
      </w:pPr>
      <w:r w:rsidRPr="00862382">
        <w:rPr>
          <w:rFonts w:ascii="Verdana" w:eastAsia="Aptos" w:hAnsi="Verdana" w:cs="Times New Roman"/>
        </w:rPr>
        <w:lastRenderedPageBreak/>
        <w:t xml:space="preserve">Facebook: </w:t>
      </w:r>
      <w:proofErr w:type="spellStart"/>
      <w:r w:rsidRPr="00862382">
        <w:rPr>
          <w:rFonts w:ascii="Verdana" w:eastAsia="Calibri" w:hAnsi="Verdana" w:cs="Times New Roman"/>
          <w:color w:val="156082"/>
          <w:u w:val="single"/>
        </w:rPr>
        <w:t>ColombiaCompraEficiente</w:t>
      </w:r>
      <w:proofErr w:type="spellEnd"/>
    </w:p>
    <w:p w14:paraId="121F3088" w14:textId="77777777" w:rsidR="00410D3C" w:rsidRPr="00862382" w:rsidRDefault="00410D3C" w:rsidP="00410D3C">
      <w:pPr>
        <w:spacing w:after="0" w:line="240" w:lineRule="auto"/>
        <w:jc w:val="both"/>
        <w:rPr>
          <w:rFonts w:ascii="Verdana" w:eastAsia="Aptos" w:hAnsi="Verdana" w:cs="Times New Roman"/>
        </w:rPr>
      </w:pPr>
      <w:r w:rsidRPr="00862382">
        <w:rPr>
          <w:rFonts w:ascii="Verdana" w:eastAsia="Aptos" w:hAnsi="Verdana" w:cs="Times New Roman"/>
        </w:rPr>
        <w:t xml:space="preserve">LinkedIn: </w:t>
      </w:r>
      <w:r w:rsidRPr="00862382">
        <w:rPr>
          <w:rFonts w:ascii="Verdana" w:eastAsia="Calibri" w:hAnsi="Verdana" w:cs="Times New Roman"/>
          <w:color w:val="156082"/>
          <w:u w:val="single"/>
        </w:rPr>
        <w:t>Agencia Nacional de Contratación Pública - Colombia Compra Eficiente</w:t>
      </w:r>
      <w:r w:rsidRPr="00862382">
        <w:rPr>
          <w:rFonts w:ascii="Verdana" w:eastAsia="Calibri" w:hAnsi="Verdana" w:cs="Times New Roman"/>
          <w:color w:val="156082"/>
        </w:rPr>
        <w:t xml:space="preserve"> </w:t>
      </w:r>
      <w:r w:rsidRPr="00862382">
        <w:rPr>
          <w:rFonts w:ascii="Verdana" w:eastAsia="Aptos" w:hAnsi="Verdana" w:cs="Times New Roman"/>
        </w:rPr>
        <w:t xml:space="preserve">Instagram: </w:t>
      </w:r>
      <w:r w:rsidRPr="00862382">
        <w:rPr>
          <w:rFonts w:ascii="Verdana" w:eastAsia="Calibri" w:hAnsi="Verdana" w:cs="Times New Roman"/>
          <w:color w:val="156082"/>
          <w:u w:val="single"/>
        </w:rPr>
        <w:t>@colombiacompraeficiente_cce</w:t>
      </w:r>
    </w:p>
    <w:p w14:paraId="51958422" w14:textId="77777777" w:rsidR="00410D3C" w:rsidRPr="00862382" w:rsidRDefault="00410D3C" w:rsidP="00410D3C">
      <w:pPr>
        <w:spacing w:after="0" w:line="276" w:lineRule="auto"/>
        <w:jc w:val="both"/>
        <w:rPr>
          <w:rFonts w:ascii="Verdana" w:eastAsia="Aptos" w:hAnsi="Verdana" w:cs="Times New Roman"/>
        </w:rPr>
      </w:pPr>
    </w:p>
    <w:p w14:paraId="6FFAE510" w14:textId="77777777" w:rsidR="00410D3C" w:rsidRPr="00862382" w:rsidRDefault="00410D3C" w:rsidP="00410D3C">
      <w:pPr>
        <w:spacing w:after="0" w:line="276" w:lineRule="auto"/>
        <w:jc w:val="both"/>
        <w:rPr>
          <w:rFonts w:ascii="Verdana" w:eastAsia="Calibri" w:hAnsi="Verdana" w:cs="Times New Roman"/>
          <w:bCs/>
          <w:lang w:val="es-ES_tradnl"/>
        </w:rPr>
      </w:pPr>
      <w:r w:rsidRPr="00862382">
        <w:rPr>
          <w:rFonts w:ascii="Verdana" w:eastAsia="Calibri" w:hAnsi="Verdana" w:cs="Times New Roman"/>
          <w:lang w:val="es-ES_tradnl"/>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0732996B" w14:textId="77777777" w:rsidR="00410D3C" w:rsidRPr="00AA2DEC" w:rsidRDefault="00410D3C" w:rsidP="00410D3C">
      <w:pPr>
        <w:spacing w:after="0" w:line="276" w:lineRule="auto"/>
        <w:jc w:val="both"/>
        <w:rPr>
          <w:rFonts w:ascii="Verdana" w:eastAsia="Times New Roman" w:hAnsi="Verdana" w:cs="Vrinda"/>
          <w:lang w:val="es-MX" w:eastAsia="es-CO"/>
        </w:rPr>
      </w:pPr>
    </w:p>
    <w:p w14:paraId="3B344210" w14:textId="77777777" w:rsidR="00410D3C" w:rsidRPr="00AA2DEC" w:rsidRDefault="00410D3C" w:rsidP="00410D3C">
      <w:pPr>
        <w:spacing w:after="0" w:line="276" w:lineRule="auto"/>
        <w:jc w:val="both"/>
        <w:rPr>
          <w:rFonts w:ascii="Verdana" w:eastAsia="Calibri" w:hAnsi="Verdana" w:cs="Vrinda"/>
        </w:rPr>
      </w:pPr>
      <w:r w:rsidRPr="00AA2DEC">
        <w:rPr>
          <w:rFonts w:ascii="Verdana" w:eastAsia="Calibri" w:hAnsi="Verdana" w:cs="Vrinda"/>
        </w:rPr>
        <w:t>Atentamente,</w:t>
      </w:r>
    </w:p>
    <w:p w14:paraId="5ED72F63" w14:textId="77777777" w:rsidR="00410D3C" w:rsidRPr="00AA2DEC" w:rsidRDefault="00410D3C" w:rsidP="00410D3C">
      <w:pPr>
        <w:widowControl w:val="0"/>
        <w:autoSpaceDE w:val="0"/>
        <w:autoSpaceDN w:val="0"/>
        <w:spacing w:after="0" w:line="276" w:lineRule="auto"/>
        <w:jc w:val="both"/>
        <w:rPr>
          <w:rFonts w:ascii="Verdana" w:eastAsia="Calibri" w:hAnsi="Verdana" w:cs="Times New Roman"/>
        </w:rPr>
      </w:pPr>
    </w:p>
    <w:p w14:paraId="0041BF10" w14:textId="75E5FCC6" w:rsidR="00410D3C" w:rsidRPr="00AA2DEC" w:rsidRDefault="007D7407" w:rsidP="00410D3C">
      <w:pPr>
        <w:tabs>
          <w:tab w:val="left" w:pos="1320"/>
        </w:tabs>
        <w:jc w:val="center"/>
        <w:rPr>
          <w:rFonts w:ascii="Verdana" w:eastAsia="Calibri" w:hAnsi="Verdana" w:cs="Times New Roman"/>
        </w:rPr>
      </w:pPr>
      <w:r w:rsidRPr="004D5C25">
        <w:rPr>
          <w:rFonts w:ascii="Century Gothic" w:hAnsi="Century Gothic"/>
          <w:noProof/>
        </w:rPr>
        <w:drawing>
          <wp:inline distT="0" distB="0" distL="0" distR="0" wp14:anchorId="131F2494" wp14:editId="657EF3FB">
            <wp:extent cx="2537816" cy="1089498"/>
            <wp:effectExtent l="0" t="0" r="2540" b="3175"/>
            <wp:docPr id="1822740040"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2740040" name="Imagen 1" descr="Texto&#10;&#10;Descripción generada automáticamente"/>
                    <pic:cNvPicPr/>
                  </pic:nvPicPr>
                  <pic:blipFill>
                    <a:blip r:embed="rId14"/>
                    <a:stretch>
                      <a:fillRect/>
                    </a:stretch>
                  </pic:blipFill>
                  <pic:spPr>
                    <a:xfrm>
                      <a:off x="0" y="0"/>
                      <a:ext cx="2618176" cy="1123997"/>
                    </a:xfrm>
                    <a:prstGeom prst="rect">
                      <a:avLst/>
                    </a:prstGeom>
                  </pic:spPr>
                </pic:pic>
              </a:graphicData>
            </a:graphic>
          </wp:inline>
        </w:drawing>
      </w:r>
    </w:p>
    <w:tbl>
      <w:tblPr>
        <w:tblStyle w:val="Tablaconcuadrcula"/>
        <w:tblW w:w="760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41"/>
        <w:gridCol w:w="6561"/>
      </w:tblGrid>
      <w:tr w:rsidR="00410D3C" w:rsidRPr="00AA2DEC" w14:paraId="3DE08583" w14:textId="77777777" w:rsidTr="00660B26">
        <w:trPr>
          <w:trHeight w:val="323"/>
        </w:trPr>
        <w:tc>
          <w:tcPr>
            <w:tcW w:w="1041" w:type="dxa"/>
            <w:vAlign w:val="center"/>
            <w:hideMark/>
          </w:tcPr>
          <w:p w14:paraId="754B70F9" w14:textId="77777777" w:rsidR="00410D3C" w:rsidRPr="00AA2DEC" w:rsidRDefault="00410D3C" w:rsidP="00660B26">
            <w:pPr>
              <w:rPr>
                <w:rFonts w:ascii="Verdana" w:eastAsia="Calibri" w:hAnsi="Verdana" w:cs="Arial"/>
                <w:sz w:val="16"/>
                <w:szCs w:val="16"/>
                <w:lang w:val="es-ES_tradnl" w:eastAsia="es-ES"/>
              </w:rPr>
            </w:pPr>
            <w:r w:rsidRPr="00AA2DEC">
              <w:rPr>
                <w:rFonts w:ascii="Verdana" w:eastAsia="Calibri" w:hAnsi="Verdana" w:cs="Arial"/>
                <w:sz w:val="16"/>
                <w:szCs w:val="16"/>
                <w:lang w:val="es-ES_tradnl" w:eastAsia="es-ES"/>
              </w:rPr>
              <w:t>Elaboró:</w:t>
            </w:r>
          </w:p>
        </w:tc>
        <w:tc>
          <w:tcPr>
            <w:tcW w:w="6561" w:type="dxa"/>
            <w:tcBorders>
              <w:top w:val="nil"/>
              <w:left w:val="nil"/>
              <w:bottom w:val="dotted" w:sz="4" w:space="0" w:color="7F7F7F"/>
              <w:right w:val="nil"/>
            </w:tcBorders>
            <w:vAlign w:val="center"/>
            <w:hideMark/>
          </w:tcPr>
          <w:p w14:paraId="6A39E815" w14:textId="77777777" w:rsidR="00410D3C" w:rsidRPr="00AA2DEC" w:rsidRDefault="00410D3C" w:rsidP="00660B26">
            <w:pPr>
              <w:rPr>
                <w:rFonts w:ascii="Verdana" w:eastAsia="Arial" w:hAnsi="Verdana" w:cs="Arial"/>
                <w:sz w:val="16"/>
                <w:szCs w:val="16"/>
                <w:lang w:val="es-ES"/>
              </w:rPr>
            </w:pPr>
            <w:r w:rsidRPr="00AA2DEC">
              <w:rPr>
                <w:rFonts w:ascii="Verdana" w:eastAsia="Arial" w:hAnsi="Verdana" w:cs="Arial"/>
                <w:sz w:val="16"/>
                <w:szCs w:val="16"/>
                <w:lang w:val="es-ES"/>
              </w:rPr>
              <w:t xml:space="preserve">Carlos Mario Castrillón Endo </w:t>
            </w:r>
          </w:p>
          <w:p w14:paraId="4A895DCC" w14:textId="77777777" w:rsidR="00410D3C" w:rsidRPr="00AA2DEC" w:rsidRDefault="00410D3C" w:rsidP="00660B26">
            <w:pPr>
              <w:rPr>
                <w:rFonts w:ascii="Verdana" w:eastAsia="Arial" w:hAnsi="Verdana" w:cs="Arial"/>
                <w:sz w:val="16"/>
                <w:szCs w:val="16"/>
                <w:lang w:val="es-ES_tradnl"/>
              </w:rPr>
            </w:pPr>
            <w:r w:rsidRPr="00AA2DEC">
              <w:rPr>
                <w:rFonts w:ascii="Verdana" w:eastAsia="Arial" w:hAnsi="Verdana" w:cs="Arial"/>
                <w:sz w:val="16"/>
                <w:szCs w:val="16"/>
                <w:lang w:val="es-ES_tradnl"/>
              </w:rPr>
              <w:t>Contratista de la Subdirección de Gestión Contractual</w:t>
            </w:r>
          </w:p>
          <w:p w14:paraId="12E031BB" w14:textId="77777777" w:rsidR="00410D3C" w:rsidRPr="00AA2DEC" w:rsidRDefault="00410D3C" w:rsidP="00660B26">
            <w:pPr>
              <w:rPr>
                <w:rFonts w:ascii="Verdana" w:eastAsia="Arial" w:hAnsi="Verdana" w:cs="Arial"/>
                <w:sz w:val="16"/>
                <w:szCs w:val="16"/>
                <w:lang w:val="es-ES_tradnl"/>
              </w:rPr>
            </w:pPr>
          </w:p>
        </w:tc>
      </w:tr>
      <w:tr w:rsidR="00410D3C" w:rsidRPr="00AA2DEC" w14:paraId="28805D56" w14:textId="77777777" w:rsidTr="00660B26">
        <w:trPr>
          <w:trHeight w:val="338"/>
        </w:trPr>
        <w:tc>
          <w:tcPr>
            <w:tcW w:w="1041" w:type="dxa"/>
            <w:vAlign w:val="center"/>
            <w:hideMark/>
          </w:tcPr>
          <w:p w14:paraId="696EBD5E" w14:textId="77777777" w:rsidR="00410D3C" w:rsidRPr="00AA2DEC" w:rsidRDefault="00410D3C" w:rsidP="00660B26">
            <w:pPr>
              <w:rPr>
                <w:rFonts w:ascii="Verdana" w:eastAsia="Calibri" w:hAnsi="Verdana" w:cs="Arial"/>
                <w:sz w:val="16"/>
                <w:szCs w:val="16"/>
                <w:lang w:val="es-ES_tradnl" w:eastAsia="es-ES"/>
              </w:rPr>
            </w:pPr>
            <w:r w:rsidRPr="00AA2DEC">
              <w:rPr>
                <w:rFonts w:ascii="Verdana" w:eastAsia="Calibri" w:hAnsi="Verdana" w:cs="Arial"/>
                <w:sz w:val="16"/>
                <w:szCs w:val="16"/>
                <w:lang w:val="es-ES_tradnl" w:eastAsia="es-ES"/>
              </w:rPr>
              <w:t>Revisó:</w:t>
            </w:r>
          </w:p>
        </w:tc>
        <w:tc>
          <w:tcPr>
            <w:tcW w:w="6561" w:type="dxa"/>
            <w:tcBorders>
              <w:top w:val="dotted" w:sz="4" w:space="0" w:color="7F7F7F"/>
              <w:left w:val="nil"/>
              <w:bottom w:val="dotted" w:sz="4" w:space="0" w:color="7F7F7F"/>
              <w:right w:val="nil"/>
            </w:tcBorders>
            <w:vAlign w:val="center"/>
            <w:hideMark/>
          </w:tcPr>
          <w:p w14:paraId="5863A3A0" w14:textId="77777777" w:rsidR="00410D3C" w:rsidRPr="00AA2DEC" w:rsidRDefault="00410D3C" w:rsidP="00660B26">
            <w:pPr>
              <w:textAlignment w:val="baseline"/>
              <w:rPr>
                <w:rFonts w:ascii="Verdana" w:eastAsia="Times New Roman" w:hAnsi="Verdana" w:cs="Segoe UI"/>
                <w:sz w:val="16"/>
                <w:szCs w:val="16"/>
                <w:lang w:val="es-ES_tradnl" w:eastAsia="es-ES_tradnl"/>
              </w:rPr>
            </w:pPr>
            <w:r w:rsidRPr="00AA2DEC">
              <w:rPr>
                <w:rFonts w:ascii="Verdana" w:eastAsia="Times New Roman" w:hAnsi="Verdana" w:cs="Segoe UI"/>
                <w:sz w:val="16"/>
                <w:szCs w:val="16"/>
                <w:lang w:val="es-ES_tradnl" w:eastAsia="es-ES_tradnl"/>
              </w:rPr>
              <w:t xml:space="preserve">Juan David Cárdenas Cabeza </w:t>
            </w:r>
          </w:p>
          <w:p w14:paraId="01892139" w14:textId="77777777" w:rsidR="00410D3C" w:rsidRPr="00AA2DEC" w:rsidRDefault="00410D3C" w:rsidP="00660B26">
            <w:pPr>
              <w:textAlignment w:val="baseline"/>
              <w:rPr>
                <w:rFonts w:ascii="Verdana" w:eastAsia="Times New Roman" w:hAnsi="Verdana" w:cs="Arial"/>
                <w:sz w:val="16"/>
                <w:szCs w:val="16"/>
                <w:lang w:val="es-ES_tradnl" w:eastAsia="es-ES_tradnl"/>
              </w:rPr>
            </w:pPr>
            <w:r w:rsidRPr="00AA2DEC">
              <w:rPr>
                <w:rFonts w:ascii="Verdana" w:eastAsia="Times New Roman" w:hAnsi="Verdana" w:cs="Arial"/>
                <w:sz w:val="16"/>
                <w:szCs w:val="16"/>
                <w:lang w:val="es-ES_tradnl" w:eastAsia="es-ES_tradnl"/>
              </w:rPr>
              <w:t>Contratista de la Subdirección de Gestión Contractual </w:t>
            </w:r>
          </w:p>
          <w:p w14:paraId="04CC30FF" w14:textId="77777777" w:rsidR="00410D3C" w:rsidRPr="00AA2DEC" w:rsidRDefault="00410D3C" w:rsidP="00660B26">
            <w:pPr>
              <w:textAlignment w:val="baseline"/>
              <w:rPr>
                <w:rFonts w:ascii="Verdana" w:eastAsia="Times New Roman" w:hAnsi="Verdana" w:cs="Segoe UI"/>
                <w:sz w:val="16"/>
                <w:szCs w:val="16"/>
                <w:lang w:val="es-ES_tradnl" w:eastAsia="es-ES_tradnl"/>
              </w:rPr>
            </w:pPr>
          </w:p>
        </w:tc>
      </w:tr>
      <w:tr w:rsidR="00410D3C" w:rsidRPr="00AA2DEC" w14:paraId="36C73F4D" w14:textId="77777777" w:rsidTr="00660B26">
        <w:trPr>
          <w:trHeight w:val="308"/>
        </w:trPr>
        <w:tc>
          <w:tcPr>
            <w:tcW w:w="1041" w:type="dxa"/>
            <w:vAlign w:val="center"/>
          </w:tcPr>
          <w:p w14:paraId="5F898225" w14:textId="77777777" w:rsidR="00410D3C" w:rsidRPr="00AA2DEC" w:rsidRDefault="00410D3C" w:rsidP="00660B26">
            <w:pPr>
              <w:rPr>
                <w:rFonts w:ascii="Verdana" w:eastAsia="Calibri" w:hAnsi="Verdana" w:cs="Arial"/>
                <w:sz w:val="16"/>
                <w:szCs w:val="16"/>
                <w:lang w:val="es-ES_tradnl" w:eastAsia="es-ES"/>
              </w:rPr>
            </w:pPr>
            <w:r w:rsidRPr="00AA2DEC">
              <w:rPr>
                <w:rFonts w:ascii="Verdana" w:eastAsia="Calibri" w:hAnsi="Verdana" w:cs="Arial"/>
                <w:sz w:val="16"/>
                <w:szCs w:val="16"/>
                <w:lang w:val="es-ES_tradnl" w:eastAsia="es-ES"/>
              </w:rPr>
              <w:t>Aprobó:</w:t>
            </w:r>
          </w:p>
        </w:tc>
        <w:tc>
          <w:tcPr>
            <w:tcW w:w="6561" w:type="dxa"/>
            <w:tcBorders>
              <w:top w:val="dotted" w:sz="4" w:space="0" w:color="7F7F7F"/>
              <w:left w:val="nil"/>
              <w:bottom w:val="dotted" w:sz="4" w:space="0" w:color="7F7F7F"/>
              <w:right w:val="nil"/>
            </w:tcBorders>
            <w:vAlign w:val="center"/>
          </w:tcPr>
          <w:p w14:paraId="3952BC17" w14:textId="77777777" w:rsidR="00410D3C" w:rsidRPr="00AA2DEC" w:rsidRDefault="00410D3C" w:rsidP="00660B26">
            <w:pPr>
              <w:rPr>
                <w:rFonts w:ascii="Verdana" w:eastAsia="Calibri" w:hAnsi="Verdana" w:cs="Arial"/>
                <w:sz w:val="16"/>
                <w:szCs w:val="16"/>
                <w:lang w:val="es-ES" w:eastAsia="es-ES"/>
              </w:rPr>
            </w:pPr>
            <w:r w:rsidRPr="00AA2DEC">
              <w:rPr>
                <w:rFonts w:ascii="Verdana" w:eastAsia="Calibri" w:hAnsi="Verdana" w:cs="Arial"/>
                <w:sz w:val="16"/>
                <w:szCs w:val="16"/>
                <w:lang w:val="es-ES" w:eastAsia="es-ES"/>
              </w:rPr>
              <w:t xml:space="preserve">Carolina Quintero </w:t>
            </w:r>
            <w:proofErr w:type="spellStart"/>
            <w:r w:rsidRPr="00AA2DEC">
              <w:rPr>
                <w:rFonts w:ascii="Verdana" w:eastAsia="Calibri" w:hAnsi="Verdana" w:cs="Arial"/>
                <w:sz w:val="16"/>
                <w:szCs w:val="16"/>
                <w:lang w:val="es-ES" w:eastAsia="es-ES"/>
              </w:rPr>
              <w:t>Gacharná</w:t>
            </w:r>
            <w:proofErr w:type="spellEnd"/>
          </w:p>
          <w:p w14:paraId="36069D24" w14:textId="77777777" w:rsidR="00410D3C" w:rsidRPr="00AA2DEC" w:rsidRDefault="00410D3C" w:rsidP="00660B26">
            <w:pPr>
              <w:rPr>
                <w:rFonts w:ascii="Verdana" w:eastAsia="Calibri" w:hAnsi="Verdana" w:cs="Arial"/>
                <w:sz w:val="16"/>
                <w:szCs w:val="16"/>
                <w:lang w:val="es-ES_tradnl" w:eastAsia="es-ES"/>
              </w:rPr>
            </w:pPr>
            <w:r w:rsidRPr="00AA2DEC">
              <w:rPr>
                <w:rFonts w:ascii="Verdana" w:eastAsia="Calibri" w:hAnsi="Verdana" w:cs="Arial"/>
                <w:sz w:val="16"/>
                <w:szCs w:val="16"/>
                <w:lang w:val="es-ES_tradnl" w:eastAsia="es-ES"/>
              </w:rPr>
              <w:t>Subdirectora de Gestión Contractual ANCP – CCE</w:t>
            </w:r>
          </w:p>
        </w:tc>
      </w:tr>
    </w:tbl>
    <w:p w14:paraId="14D442EB" w14:textId="77777777" w:rsidR="00410D3C" w:rsidRPr="0044528D" w:rsidRDefault="00410D3C" w:rsidP="00410D3C">
      <w:pPr>
        <w:spacing w:after="0"/>
        <w:rPr>
          <w:rFonts w:ascii="Verdana" w:hAnsi="Verdana"/>
        </w:rPr>
      </w:pPr>
    </w:p>
    <w:bookmarkEnd w:id="0"/>
    <w:p w14:paraId="2E17F1F6" w14:textId="77777777" w:rsidR="00410D3C" w:rsidRPr="0044528D" w:rsidRDefault="00410D3C" w:rsidP="00410D3C">
      <w:pPr>
        <w:spacing w:after="0"/>
        <w:rPr>
          <w:rFonts w:ascii="Verdana" w:hAnsi="Verdana"/>
        </w:rPr>
      </w:pPr>
    </w:p>
    <w:p w14:paraId="67AA33DF" w14:textId="77777777" w:rsidR="00410D3C" w:rsidRDefault="00410D3C" w:rsidP="00410D3C"/>
    <w:p w14:paraId="0F293BF4" w14:textId="40DBE251" w:rsidR="00127233" w:rsidRPr="0042210C" w:rsidRDefault="00127233" w:rsidP="0042210C"/>
    <w:sectPr w:rsidR="00127233" w:rsidRPr="0042210C" w:rsidSect="007C0C0F">
      <w:headerReference w:type="default" r:id="rId15"/>
      <w:footerReference w:type="default" r:id="rId16"/>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0A55FEC" w14:textId="77777777" w:rsidR="009A1C6F" w:rsidRDefault="009A1C6F" w:rsidP="004A1847">
      <w:pPr>
        <w:spacing w:after="0" w:line="240" w:lineRule="auto"/>
      </w:pPr>
      <w:r>
        <w:separator/>
      </w:r>
    </w:p>
  </w:endnote>
  <w:endnote w:type="continuationSeparator" w:id="0">
    <w:p w14:paraId="16A45D75" w14:textId="77777777" w:rsidR="009A1C6F" w:rsidRDefault="009A1C6F" w:rsidP="004A1847">
      <w:pPr>
        <w:spacing w:after="0" w:line="240" w:lineRule="auto"/>
      </w:pPr>
      <w:r>
        <w:continuationSeparator/>
      </w:r>
    </w:p>
  </w:endnote>
  <w:endnote w:type="continuationNotice" w:id="1">
    <w:p w14:paraId="7DF9CF75" w14:textId="77777777" w:rsidR="00CB3A30" w:rsidRDefault="00CB3A30">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20B0604020202020204"/>
    <w:charset w:val="00"/>
    <w:family w:val="modern"/>
    <w:notTrueType/>
    <w:pitch w:val="variable"/>
    <w:sig w:usb0="A000002F" w:usb1="1000004A" w:usb2="00000000" w:usb3="00000000" w:csb0="00000193" w:csb1="00000000"/>
  </w:font>
  <w:font w:name="Geomanist">
    <w:altName w:val="Calibri"/>
    <w:panose1 w:val="020B0604020202020204"/>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10006FF" w:usb1="4000205B" w:usb2="00000010" w:usb3="00000000" w:csb0="0000019F" w:csb1="00000000"/>
  </w:font>
  <w:font w:name="Aptos">
    <w:panose1 w:val="020B0004020202020204"/>
    <w:charset w:val="00"/>
    <w:family w:val="swiss"/>
    <w:pitch w:val="variable"/>
    <w:sig w:usb0="20000287" w:usb1="00000003" w:usb2="00000000" w:usb3="00000000" w:csb0="0000019F" w:csb1="00000000"/>
  </w:font>
  <w:font w:name="Vrinda">
    <w:panose1 w:val="020B0502040204020203"/>
    <w:charset w:val="00"/>
    <w:family w:val="swiss"/>
    <w:pitch w:val="variable"/>
    <w:sig w:usb0="00010003" w:usb1="00000000" w:usb2="00000000" w:usb3="00000000" w:csb0="00000001" w:csb1="00000000"/>
  </w:font>
  <w:font w:name="Arial MT">
    <w:altName w:val="Arial"/>
    <w:panose1 w:val="020B0604020202020204"/>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ArialMT">
    <w:altName w:val="Arial"/>
    <w:panose1 w:val="020B0604020202020204"/>
    <w:charset w:val="00"/>
    <w:family w:val="auto"/>
    <w:notTrueType/>
    <w:pitch w:val="default"/>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20B0604020202020204"/>
    <w:charset w:val="00"/>
    <w:family w:val="modern"/>
    <w:notTrueType/>
    <w:pitch w:val="variable"/>
    <w:sig w:usb0="A000002F" w:usb1="1000004A" w:usb2="00000000" w:usb3="00000000" w:csb0="00000193" w:csb1="00000000"/>
  </w:font>
  <w:font w:name="Geo">
    <w:altName w:val="Calibri"/>
    <w:panose1 w:val="020B0604020202020204"/>
    <w:charset w:val="00"/>
    <w:family w:val="auto"/>
    <w:pitch w:val="variable"/>
    <w:sig w:usb0="8000002F" w:usb1="40000048" w:usb2="00000000" w:usb3="00000000" w:csb0="00000001" w:csb1="00000000"/>
  </w:font>
  <w:font w:name="Arial Nova">
    <w:panose1 w:val="020B0504020202020204"/>
    <w:charset w:val="00"/>
    <w:family w:val="swiss"/>
    <w:pitch w:val="variable"/>
    <w:sig w:usb0="0000028F" w:usb1="00000002"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FBD673B" w14:textId="77777777" w:rsidR="009A1C6F" w:rsidRDefault="009A1C6F" w:rsidP="004A1847">
      <w:pPr>
        <w:spacing w:after="0" w:line="240" w:lineRule="auto"/>
      </w:pPr>
      <w:r>
        <w:separator/>
      </w:r>
    </w:p>
  </w:footnote>
  <w:footnote w:type="continuationSeparator" w:id="0">
    <w:p w14:paraId="170A780F" w14:textId="77777777" w:rsidR="009A1C6F" w:rsidRDefault="009A1C6F" w:rsidP="004A1847">
      <w:pPr>
        <w:spacing w:after="0" w:line="240" w:lineRule="auto"/>
      </w:pPr>
      <w:r>
        <w:continuationSeparator/>
      </w:r>
    </w:p>
  </w:footnote>
  <w:footnote w:type="continuationNotice" w:id="1">
    <w:p w14:paraId="789063C9" w14:textId="77777777" w:rsidR="00CB3A30" w:rsidRDefault="00CB3A30">
      <w:pPr>
        <w:spacing w:after="0" w:line="240" w:lineRule="auto"/>
      </w:pPr>
    </w:p>
  </w:footnote>
  <w:footnote w:id="2">
    <w:p w14:paraId="467CAC6F" w14:textId="77777777" w:rsidR="00410D3C" w:rsidRPr="006628D9" w:rsidRDefault="00410D3C" w:rsidP="00410D3C">
      <w:pPr>
        <w:pStyle w:val="Textonotapie"/>
        <w:ind w:firstLine="708"/>
        <w:jc w:val="both"/>
        <w:rPr>
          <w:rFonts w:ascii="Verdana" w:hAnsi="Verdana"/>
          <w:color w:val="000000" w:themeColor="text1"/>
          <w:sz w:val="19"/>
          <w:szCs w:val="19"/>
          <w:lang w:val="es-CO"/>
        </w:rPr>
      </w:pPr>
      <w:r w:rsidRPr="006628D9">
        <w:rPr>
          <w:rStyle w:val="Refdenotaalpie"/>
          <w:rFonts w:ascii="Verdana" w:hAnsi="Verdana"/>
          <w:color w:val="000000" w:themeColor="text1"/>
          <w:sz w:val="19"/>
          <w:szCs w:val="19"/>
          <w:lang w:val="es-CO"/>
        </w:rPr>
        <w:footnoteRef/>
      </w:r>
      <w:r w:rsidRPr="006628D9">
        <w:rPr>
          <w:rFonts w:ascii="Verdana" w:hAnsi="Verdana"/>
          <w:color w:val="000000" w:themeColor="text1"/>
          <w:sz w:val="19"/>
          <w:szCs w:val="19"/>
          <w:lang w:val="es-CO"/>
        </w:rPr>
        <w:t xml:space="preserve"> Estos Documentos Tipo pueden ser consultados en la página web de Colombia Compra Eficiente, a través del siguiente enlace: </w:t>
      </w:r>
      <w:hyperlink r:id="rId1" w:history="1">
        <w:r w:rsidRPr="006628D9">
          <w:rPr>
            <w:rStyle w:val="Hipervnculo"/>
            <w:rFonts w:ascii="Verdana" w:hAnsi="Verdana"/>
            <w:color w:val="000000" w:themeColor="text1"/>
            <w:sz w:val="19"/>
            <w:szCs w:val="19"/>
            <w:lang w:val="es-CO"/>
          </w:rPr>
          <w:t>https://www.colombiacompra.gov.co/documentos-tipo/documentos-tipo</w:t>
        </w:r>
      </w:hyperlink>
      <w:r w:rsidRPr="006628D9">
        <w:rPr>
          <w:rFonts w:ascii="Verdana" w:hAnsi="Verdana"/>
          <w:color w:val="000000" w:themeColor="text1"/>
          <w:sz w:val="19"/>
          <w:szCs w:val="19"/>
          <w:lang w:val="es-CO"/>
        </w:rPr>
        <w:t xml:space="preserve"> </w:t>
      </w:r>
    </w:p>
  </w:footnote>
  <w:footnote w:id="3">
    <w:p w14:paraId="37EFEA87" w14:textId="77777777" w:rsidR="00410D3C" w:rsidRPr="006628D9" w:rsidRDefault="00410D3C" w:rsidP="00410D3C">
      <w:pPr>
        <w:spacing w:after="0" w:line="240" w:lineRule="auto"/>
        <w:jc w:val="both"/>
        <w:rPr>
          <w:rFonts w:ascii="Verdana" w:hAnsi="Verdana"/>
          <w:color w:val="000000" w:themeColor="text1"/>
          <w:sz w:val="19"/>
          <w:szCs w:val="19"/>
        </w:rPr>
      </w:pPr>
    </w:p>
    <w:p w14:paraId="0A050C78" w14:textId="77777777" w:rsidR="00410D3C" w:rsidRPr="006628D9" w:rsidRDefault="00410D3C" w:rsidP="00410D3C">
      <w:pPr>
        <w:spacing w:after="0" w:line="240" w:lineRule="auto"/>
        <w:ind w:firstLine="708"/>
        <w:jc w:val="both"/>
        <w:rPr>
          <w:rFonts w:ascii="Verdana" w:eastAsia="Calibri" w:hAnsi="Verdana" w:cs="Arial"/>
          <w:bCs/>
          <w:color w:val="000000" w:themeColor="text1"/>
          <w:sz w:val="19"/>
          <w:szCs w:val="19"/>
        </w:rPr>
      </w:pPr>
      <w:r w:rsidRPr="006628D9">
        <w:rPr>
          <w:rStyle w:val="Refdenotaalpie"/>
          <w:rFonts w:ascii="Verdana" w:hAnsi="Verdana"/>
          <w:color w:val="000000" w:themeColor="text1"/>
          <w:sz w:val="19"/>
          <w:szCs w:val="19"/>
        </w:rPr>
        <w:footnoteRef/>
      </w:r>
      <w:r w:rsidRPr="006628D9">
        <w:rPr>
          <w:rFonts w:ascii="Verdana" w:hAnsi="Verdana"/>
          <w:color w:val="000000" w:themeColor="text1"/>
          <w:sz w:val="19"/>
          <w:szCs w:val="19"/>
        </w:rPr>
        <w:t xml:space="preserve"> </w:t>
      </w:r>
      <w:r w:rsidRPr="006628D9">
        <w:rPr>
          <w:rFonts w:ascii="Verdana" w:eastAsia="Calibri" w:hAnsi="Verdana" w:cs="Arial"/>
          <w:bCs/>
          <w:color w:val="000000" w:themeColor="text1"/>
          <w:sz w:val="19"/>
          <w:szCs w:val="19"/>
        </w:rPr>
        <w:t>Resolución 726 del 19 de diciembre de 2024: “Por la cual se adopta la versión 2 de los documentos tipo para los procesos de selección de concurso de méritos para contratar la consultoría de ingeniería de infraestructura de transporte y se deroga la Resolución 193 de 2021”.</w:t>
      </w:r>
    </w:p>
    <w:p w14:paraId="7EBC1FBF" w14:textId="77777777" w:rsidR="00410D3C" w:rsidRPr="006628D9" w:rsidRDefault="00410D3C" w:rsidP="00410D3C">
      <w:pPr>
        <w:spacing w:after="0" w:line="240" w:lineRule="auto"/>
        <w:ind w:firstLine="708"/>
        <w:jc w:val="both"/>
        <w:rPr>
          <w:rFonts w:ascii="Verdana" w:eastAsia="Calibri" w:hAnsi="Verdana" w:cs="Arial"/>
          <w:bCs/>
          <w:color w:val="000000" w:themeColor="text1"/>
          <w:sz w:val="19"/>
          <w:szCs w:val="19"/>
        </w:rPr>
      </w:pPr>
    </w:p>
    <w:p w14:paraId="121ADF85" w14:textId="77777777" w:rsidR="00410D3C" w:rsidRPr="006628D9" w:rsidRDefault="00410D3C" w:rsidP="00410D3C">
      <w:pPr>
        <w:spacing w:after="0" w:line="240" w:lineRule="auto"/>
        <w:ind w:firstLine="708"/>
        <w:jc w:val="both"/>
        <w:rPr>
          <w:rFonts w:ascii="Verdana" w:eastAsia="Calibri" w:hAnsi="Verdana" w:cs="Arial"/>
          <w:bCs/>
          <w:color w:val="000000" w:themeColor="text1"/>
          <w:sz w:val="19"/>
          <w:szCs w:val="19"/>
        </w:rPr>
      </w:pPr>
      <w:r w:rsidRPr="006628D9">
        <w:rPr>
          <w:rFonts w:ascii="Verdana" w:eastAsia="Calibri" w:hAnsi="Verdana" w:cs="Arial"/>
          <w:bCs/>
          <w:color w:val="000000" w:themeColor="text1"/>
          <w:sz w:val="19"/>
          <w:szCs w:val="19"/>
        </w:rPr>
        <w:t>Resolución 725 del 19 de diciembre de 2024: “Por la cual se adopta la versión 3 de los documentos tipo para los procesos de selección de concurso de méritos para contratar la interventoría de obras públicas de infraestructura de transporte y se deroga la Resolución 326 de 2022”.</w:t>
      </w:r>
    </w:p>
    <w:p w14:paraId="2BFDB1D5" w14:textId="77777777" w:rsidR="00410D3C" w:rsidRPr="006628D9" w:rsidRDefault="00410D3C" w:rsidP="00410D3C">
      <w:pPr>
        <w:spacing w:after="0" w:line="240" w:lineRule="auto"/>
        <w:jc w:val="both"/>
        <w:rPr>
          <w:rFonts w:ascii="Verdana" w:eastAsia="Calibri" w:hAnsi="Verdana" w:cs="Arial"/>
          <w:bCs/>
          <w:color w:val="000000" w:themeColor="text1"/>
          <w:sz w:val="19"/>
          <w:szCs w:val="19"/>
        </w:rPr>
      </w:pPr>
    </w:p>
    <w:p w14:paraId="3E9BFAEA" w14:textId="77777777" w:rsidR="00410D3C" w:rsidRPr="006628D9" w:rsidRDefault="00410D3C" w:rsidP="00410D3C">
      <w:pPr>
        <w:spacing w:after="0" w:line="240" w:lineRule="auto"/>
        <w:ind w:firstLine="708"/>
        <w:jc w:val="both"/>
        <w:rPr>
          <w:rFonts w:ascii="Verdana" w:eastAsia="Calibri" w:hAnsi="Verdana" w:cs="Arial"/>
          <w:bCs/>
          <w:color w:val="000000" w:themeColor="text1"/>
          <w:sz w:val="19"/>
          <w:szCs w:val="19"/>
        </w:rPr>
      </w:pPr>
      <w:r w:rsidRPr="006628D9">
        <w:rPr>
          <w:rFonts w:ascii="Verdana" w:eastAsia="Calibri" w:hAnsi="Verdana" w:cs="Arial"/>
          <w:bCs/>
          <w:color w:val="000000" w:themeColor="text1"/>
          <w:sz w:val="19"/>
          <w:szCs w:val="19"/>
        </w:rPr>
        <w:t xml:space="preserve">Resolución 464 del 10 de septiembre de 2024: “Por la cual se actualizan los documentos tipo para los procesos de obra pública de infraestructura de transporte adelantados bajo la modalidad de mínima cuantía”. </w:t>
      </w:r>
    </w:p>
    <w:p w14:paraId="00F5C83D" w14:textId="77777777" w:rsidR="00410D3C" w:rsidRPr="006628D9" w:rsidRDefault="00410D3C" w:rsidP="00410D3C">
      <w:pPr>
        <w:spacing w:after="0" w:line="240" w:lineRule="auto"/>
        <w:jc w:val="both"/>
        <w:rPr>
          <w:rFonts w:ascii="Verdana" w:eastAsia="Calibri" w:hAnsi="Verdana" w:cs="Arial"/>
          <w:bCs/>
          <w:color w:val="000000" w:themeColor="text1"/>
          <w:sz w:val="19"/>
          <w:szCs w:val="19"/>
        </w:rPr>
      </w:pPr>
    </w:p>
    <w:p w14:paraId="700F8ED8" w14:textId="77777777" w:rsidR="00410D3C" w:rsidRPr="006628D9" w:rsidRDefault="00410D3C" w:rsidP="00410D3C">
      <w:pPr>
        <w:spacing w:after="0" w:line="240" w:lineRule="auto"/>
        <w:ind w:firstLine="708"/>
        <w:jc w:val="both"/>
        <w:rPr>
          <w:rFonts w:ascii="Verdana" w:eastAsia="Calibri" w:hAnsi="Verdana" w:cs="Arial"/>
          <w:bCs/>
          <w:color w:val="000000" w:themeColor="text1"/>
          <w:sz w:val="19"/>
          <w:szCs w:val="19"/>
        </w:rPr>
      </w:pPr>
      <w:r w:rsidRPr="006628D9">
        <w:rPr>
          <w:rFonts w:ascii="Verdana" w:eastAsia="Calibri" w:hAnsi="Verdana" w:cs="Arial"/>
          <w:bCs/>
          <w:color w:val="000000" w:themeColor="text1"/>
          <w:sz w:val="19"/>
          <w:szCs w:val="19"/>
        </w:rPr>
        <w:t>Resolución 463 del 10 de septiembre de 2024: “Por la cual se adopta la versión 3 de los documentos tipo para los procesos de selección abreviada de menor cuantía de obra pública de infraestructura de transporte y se deroga la Resolución 241 de 2020”.</w:t>
      </w:r>
    </w:p>
    <w:p w14:paraId="1FE7E7A3" w14:textId="77777777" w:rsidR="00410D3C" w:rsidRPr="006628D9" w:rsidRDefault="00410D3C" w:rsidP="00410D3C">
      <w:pPr>
        <w:spacing w:after="0" w:line="240" w:lineRule="auto"/>
        <w:ind w:firstLine="708"/>
        <w:jc w:val="both"/>
        <w:rPr>
          <w:rFonts w:ascii="Verdana" w:eastAsia="Calibri" w:hAnsi="Verdana" w:cs="Arial"/>
          <w:bCs/>
          <w:color w:val="000000" w:themeColor="text1"/>
          <w:sz w:val="19"/>
          <w:szCs w:val="19"/>
        </w:rPr>
      </w:pPr>
    </w:p>
    <w:p w14:paraId="1EAE1E20" w14:textId="77777777" w:rsidR="00410D3C" w:rsidRPr="006628D9" w:rsidRDefault="00410D3C" w:rsidP="00410D3C">
      <w:pPr>
        <w:spacing w:after="0" w:line="240" w:lineRule="auto"/>
        <w:ind w:firstLine="708"/>
        <w:jc w:val="both"/>
        <w:rPr>
          <w:rFonts w:ascii="Verdana" w:eastAsia="Calibri" w:hAnsi="Verdana" w:cs="Arial"/>
          <w:bCs/>
          <w:color w:val="000000" w:themeColor="text1"/>
          <w:sz w:val="19"/>
          <w:szCs w:val="19"/>
        </w:rPr>
      </w:pPr>
      <w:r w:rsidRPr="006628D9">
        <w:rPr>
          <w:rFonts w:ascii="Verdana" w:eastAsia="Calibri" w:hAnsi="Verdana" w:cs="Arial"/>
          <w:bCs/>
          <w:color w:val="000000" w:themeColor="text1"/>
          <w:sz w:val="19"/>
          <w:szCs w:val="19"/>
        </w:rPr>
        <w:t>Resolución 456 del 10 de septiembre de 2024: “Por la cual se adopta la versión 4 de los documentos tipo para los procesos de selección de licitación de obra pública de infraestructura de transporte y se deroga la Resolución 240 de 2020”.</w:t>
      </w:r>
    </w:p>
    <w:p w14:paraId="18C67729" w14:textId="77777777" w:rsidR="00410D3C" w:rsidRPr="006628D9" w:rsidRDefault="00410D3C" w:rsidP="00410D3C">
      <w:pPr>
        <w:pStyle w:val="Textonotapie"/>
        <w:jc w:val="both"/>
        <w:rPr>
          <w:rFonts w:ascii="Verdana" w:hAnsi="Verdana"/>
          <w:color w:val="000000" w:themeColor="text1"/>
          <w:sz w:val="19"/>
          <w:szCs w:val="19"/>
          <w:lang w:val="es-CO"/>
        </w:rPr>
      </w:pPr>
    </w:p>
  </w:footnote>
  <w:footnote w:id="4">
    <w:p w14:paraId="10D628F4" w14:textId="77777777" w:rsidR="00410D3C" w:rsidRPr="006628D9" w:rsidRDefault="00410D3C" w:rsidP="00410D3C">
      <w:pPr>
        <w:spacing w:after="0" w:line="240" w:lineRule="auto"/>
        <w:ind w:firstLine="708"/>
        <w:jc w:val="both"/>
        <w:rPr>
          <w:rFonts w:ascii="Verdana" w:eastAsia="Calibri" w:hAnsi="Verdana" w:cs="Arial"/>
          <w:bCs/>
          <w:color w:val="000000" w:themeColor="text1"/>
          <w:sz w:val="19"/>
          <w:szCs w:val="19"/>
        </w:rPr>
      </w:pPr>
      <w:r w:rsidRPr="006628D9">
        <w:rPr>
          <w:rStyle w:val="Refdenotaalpie"/>
          <w:rFonts w:ascii="Verdana" w:hAnsi="Verdana" w:cs="Arial"/>
          <w:color w:val="000000" w:themeColor="text1"/>
          <w:sz w:val="19"/>
          <w:szCs w:val="19"/>
        </w:rPr>
        <w:footnoteRef/>
      </w:r>
      <w:r w:rsidRPr="006628D9">
        <w:rPr>
          <w:rFonts w:ascii="Verdana" w:hAnsi="Verdana" w:cs="Arial"/>
          <w:color w:val="000000" w:themeColor="text1"/>
          <w:sz w:val="19"/>
          <w:szCs w:val="19"/>
        </w:rPr>
        <w:t xml:space="preserve"> </w:t>
      </w:r>
      <w:r w:rsidRPr="006628D9">
        <w:rPr>
          <w:rFonts w:ascii="Verdana" w:eastAsia="Calibri" w:hAnsi="Verdana" w:cs="Arial"/>
          <w:bCs/>
          <w:color w:val="000000" w:themeColor="text1"/>
          <w:sz w:val="19"/>
          <w:szCs w:val="19"/>
        </w:rPr>
        <w:t>Entre estas se encuentra el artículo 3 de la Resolución 725 del 19 de diciembre de 2024, que dispone: “</w:t>
      </w:r>
      <w:r w:rsidRPr="006628D9">
        <w:rPr>
          <w:rFonts w:ascii="Verdana" w:hAnsi="Verdana"/>
          <w:color w:val="000000" w:themeColor="text1"/>
          <w:sz w:val="19"/>
          <w:szCs w:val="19"/>
        </w:rPr>
        <w:t>Inalterabilidad de los documentos tipo. De conformidad con el artículo 1 de la Ley 2022 de 2020, los documentos tipo son obligatorios en la actividad contractual de las entidades estatales sometidas al Estatuto General de Contratación de la Administración Pública, patrimonios autónomos o personas naturales o jurídicas de derecho público o privado que por mandato legal estén obligadas a su aplicación. En consecuencia, los obligados a su aplicación, al adelantar sus procedimientos de selección, solo podrán modificarlos en los aspectos en que los documentos tipo lo permitan”.</w:t>
      </w:r>
    </w:p>
  </w:footnote>
  <w:footnote w:id="5">
    <w:p w14:paraId="02EDCFF1" w14:textId="77777777" w:rsidR="00410D3C" w:rsidRPr="006556CC" w:rsidRDefault="00410D3C" w:rsidP="00410D3C">
      <w:pPr>
        <w:pStyle w:val="Textonotapie"/>
        <w:ind w:firstLine="708"/>
        <w:jc w:val="both"/>
        <w:rPr>
          <w:rFonts w:ascii="Verdana" w:hAnsi="Verdana" w:cs="Arial"/>
          <w:color w:val="000000"/>
          <w:sz w:val="18"/>
          <w:szCs w:val="18"/>
        </w:rPr>
      </w:pPr>
      <w:r w:rsidRPr="006556CC">
        <w:rPr>
          <w:rStyle w:val="Refdenotaalpie"/>
          <w:rFonts w:ascii="Verdana" w:hAnsi="Verdana" w:cs="Arial"/>
          <w:color w:val="000000"/>
          <w:sz w:val="18"/>
          <w:szCs w:val="18"/>
        </w:rPr>
        <w:footnoteRef/>
      </w:r>
      <w:r w:rsidRPr="006556CC">
        <w:rPr>
          <w:rFonts w:ascii="Verdana" w:hAnsi="Verdana" w:cs="Arial"/>
          <w:color w:val="000000"/>
          <w:sz w:val="18"/>
          <w:szCs w:val="18"/>
        </w:rPr>
        <w:t xml:space="preserve"> Artículo 2.2.1.1.2.1.1. del Decreto 1082 de 2015.</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378" type="#_x0000_t75" style="width:12.25pt;height:12.2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341274352">
    <w:abstractNumId w:val="0"/>
  </w:num>
  <w:num w:numId="17" w16cid:durableId="67908957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08"/>
  <w:hyphenationZone w:val="425"/>
  <w:characterSpacingControl w:val="doNotCompress"/>
  <w:hdrShapeDefaults>
    <o:shapedefaults v:ext="edit" spidmax="5121"/>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A683E"/>
    <w:rsid w:val="000B19B9"/>
    <w:rsid w:val="000D0334"/>
    <w:rsid w:val="000D5DA7"/>
    <w:rsid w:val="000F6486"/>
    <w:rsid w:val="00116940"/>
    <w:rsid w:val="00125105"/>
    <w:rsid w:val="00127233"/>
    <w:rsid w:val="0015699B"/>
    <w:rsid w:val="001613D9"/>
    <w:rsid w:val="001A33BF"/>
    <w:rsid w:val="001E4177"/>
    <w:rsid w:val="001F0B24"/>
    <w:rsid w:val="001F7DC6"/>
    <w:rsid w:val="0022400B"/>
    <w:rsid w:val="002421BB"/>
    <w:rsid w:val="00254FA1"/>
    <w:rsid w:val="0025796E"/>
    <w:rsid w:val="002707A2"/>
    <w:rsid w:val="002951A0"/>
    <w:rsid w:val="002962BC"/>
    <w:rsid w:val="002A093D"/>
    <w:rsid w:val="002A0DD0"/>
    <w:rsid w:val="002A49AC"/>
    <w:rsid w:val="002A64FD"/>
    <w:rsid w:val="002C7A84"/>
    <w:rsid w:val="002E2BF8"/>
    <w:rsid w:val="002E4FD9"/>
    <w:rsid w:val="0030657A"/>
    <w:rsid w:val="00322A85"/>
    <w:rsid w:val="00324168"/>
    <w:rsid w:val="00330834"/>
    <w:rsid w:val="003448F4"/>
    <w:rsid w:val="00374F5E"/>
    <w:rsid w:val="00377E3E"/>
    <w:rsid w:val="003A779E"/>
    <w:rsid w:val="003D0F4D"/>
    <w:rsid w:val="003D5B0D"/>
    <w:rsid w:val="003E0499"/>
    <w:rsid w:val="003E4F80"/>
    <w:rsid w:val="003E6439"/>
    <w:rsid w:val="003F3941"/>
    <w:rsid w:val="00406575"/>
    <w:rsid w:val="00410D3C"/>
    <w:rsid w:val="00414C74"/>
    <w:rsid w:val="00415A2B"/>
    <w:rsid w:val="0042210C"/>
    <w:rsid w:val="0042722E"/>
    <w:rsid w:val="00430617"/>
    <w:rsid w:val="0044528D"/>
    <w:rsid w:val="00466E39"/>
    <w:rsid w:val="004A1847"/>
    <w:rsid w:val="004A305D"/>
    <w:rsid w:val="004F21C4"/>
    <w:rsid w:val="004F5D17"/>
    <w:rsid w:val="004F685F"/>
    <w:rsid w:val="005566E8"/>
    <w:rsid w:val="00574867"/>
    <w:rsid w:val="00591460"/>
    <w:rsid w:val="005A65E0"/>
    <w:rsid w:val="005C3777"/>
    <w:rsid w:val="005C5CDC"/>
    <w:rsid w:val="005D476C"/>
    <w:rsid w:val="006200BF"/>
    <w:rsid w:val="006219F8"/>
    <w:rsid w:val="006302F7"/>
    <w:rsid w:val="00646B9F"/>
    <w:rsid w:val="00665D70"/>
    <w:rsid w:val="006900D9"/>
    <w:rsid w:val="006A6D79"/>
    <w:rsid w:val="00706C16"/>
    <w:rsid w:val="007340C3"/>
    <w:rsid w:val="0075235A"/>
    <w:rsid w:val="00756841"/>
    <w:rsid w:val="007649AB"/>
    <w:rsid w:val="00771D0C"/>
    <w:rsid w:val="00777117"/>
    <w:rsid w:val="007833AC"/>
    <w:rsid w:val="007B268C"/>
    <w:rsid w:val="007B7171"/>
    <w:rsid w:val="007C0C0F"/>
    <w:rsid w:val="007C3DC2"/>
    <w:rsid w:val="007D7407"/>
    <w:rsid w:val="007E5497"/>
    <w:rsid w:val="00806F5F"/>
    <w:rsid w:val="00820278"/>
    <w:rsid w:val="008258C9"/>
    <w:rsid w:val="00844AE9"/>
    <w:rsid w:val="00867F95"/>
    <w:rsid w:val="008843B6"/>
    <w:rsid w:val="00891928"/>
    <w:rsid w:val="008A446D"/>
    <w:rsid w:val="008B25F1"/>
    <w:rsid w:val="008D180B"/>
    <w:rsid w:val="008F0EA7"/>
    <w:rsid w:val="00923EEF"/>
    <w:rsid w:val="009419F9"/>
    <w:rsid w:val="0095685E"/>
    <w:rsid w:val="00961B09"/>
    <w:rsid w:val="00965334"/>
    <w:rsid w:val="0097093E"/>
    <w:rsid w:val="009A0DFA"/>
    <w:rsid w:val="009A1C6F"/>
    <w:rsid w:val="009B2D26"/>
    <w:rsid w:val="009C71FA"/>
    <w:rsid w:val="009C72E7"/>
    <w:rsid w:val="009C7F7E"/>
    <w:rsid w:val="009D3058"/>
    <w:rsid w:val="009F3A13"/>
    <w:rsid w:val="009F42A3"/>
    <w:rsid w:val="00A122D3"/>
    <w:rsid w:val="00A14468"/>
    <w:rsid w:val="00A17F13"/>
    <w:rsid w:val="00A20739"/>
    <w:rsid w:val="00A23AF9"/>
    <w:rsid w:val="00A33C78"/>
    <w:rsid w:val="00AB0ADB"/>
    <w:rsid w:val="00B00C0E"/>
    <w:rsid w:val="00B01B1A"/>
    <w:rsid w:val="00B0381D"/>
    <w:rsid w:val="00B40E7E"/>
    <w:rsid w:val="00B44A47"/>
    <w:rsid w:val="00B72CD3"/>
    <w:rsid w:val="00B72FFF"/>
    <w:rsid w:val="00BC3D36"/>
    <w:rsid w:val="00BD54A6"/>
    <w:rsid w:val="00BD7F72"/>
    <w:rsid w:val="00BF7425"/>
    <w:rsid w:val="00C04FB3"/>
    <w:rsid w:val="00C11D8B"/>
    <w:rsid w:val="00C15139"/>
    <w:rsid w:val="00C330EB"/>
    <w:rsid w:val="00C50D69"/>
    <w:rsid w:val="00C5365C"/>
    <w:rsid w:val="00C754BE"/>
    <w:rsid w:val="00C76B1C"/>
    <w:rsid w:val="00C925AC"/>
    <w:rsid w:val="00CB3A30"/>
    <w:rsid w:val="00CB6357"/>
    <w:rsid w:val="00CC1B26"/>
    <w:rsid w:val="00D361FD"/>
    <w:rsid w:val="00D423A2"/>
    <w:rsid w:val="00D44E26"/>
    <w:rsid w:val="00D520D8"/>
    <w:rsid w:val="00D63AC2"/>
    <w:rsid w:val="00D7383B"/>
    <w:rsid w:val="00D7788A"/>
    <w:rsid w:val="00DA231B"/>
    <w:rsid w:val="00DC39FC"/>
    <w:rsid w:val="00DF5254"/>
    <w:rsid w:val="00E02524"/>
    <w:rsid w:val="00E16408"/>
    <w:rsid w:val="00E20894"/>
    <w:rsid w:val="00E245AB"/>
    <w:rsid w:val="00E2764C"/>
    <w:rsid w:val="00E27F2E"/>
    <w:rsid w:val="00E50AFE"/>
    <w:rsid w:val="00E75C92"/>
    <w:rsid w:val="00E771DC"/>
    <w:rsid w:val="00E8772A"/>
    <w:rsid w:val="00E90F6B"/>
    <w:rsid w:val="00E92C27"/>
    <w:rsid w:val="00EA0E3D"/>
    <w:rsid w:val="00EC38A7"/>
    <w:rsid w:val="00EE1AA8"/>
    <w:rsid w:val="00F23FEA"/>
    <w:rsid w:val="00F31EDC"/>
    <w:rsid w:val="00F462B3"/>
    <w:rsid w:val="00F5664F"/>
    <w:rsid w:val="00F666C4"/>
    <w:rsid w:val="00F76AFC"/>
    <w:rsid w:val="00FA47C0"/>
    <w:rsid w:val="00FB5DD1"/>
    <w:rsid w:val="00FC2B5D"/>
    <w:rsid w:val="00FF1449"/>
    <w:rsid w:val="00FF7963"/>
    <w:rsid w:val="071B8F93"/>
    <w:rsid w:val="09908A09"/>
    <w:rsid w:val="0FF4CCA8"/>
    <w:rsid w:val="13CFC91B"/>
    <w:rsid w:val="19A2EC2C"/>
    <w:rsid w:val="2859CA1B"/>
    <w:rsid w:val="32A4F9CF"/>
    <w:rsid w:val="356CEDFD"/>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5121"/>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symbol,Footnote,Ref. de nota al pie2,F"/>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410D3C"/>
    <w:pPr>
      <w:spacing w:line="240" w:lineRule="exact"/>
    </w:pPr>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nam02.safelinks.protection.outlook.com/?url=https%3A%2F%2Fwww.colombiacompra.gov.co%2Fwp-content%2Fuploads%2F2025%2F05%2FGUIA-DE-LINEAMIENTOS-DE-TRANSPARENCIA-Y-SELECCION-OBJETIVA-1.0.pdf&amp;data=05%7C02%7Ccarlos.castrillon%40colombiacompra.gov.co%7C7cfff6dece924643582c08dd97bfed90%7C7b09041e245149d08cb179d5e3d8c1be%7C0%7C0%7C638833572791294189%7CUnknown%7CTWFpbGZsb3d8eyJFbXB0eU1hcGkiOnRydWUsIlYiOiIwLjAuMDAwMCIsIlAiOiJXaW4zMiIsIkFOIjoiTWFpbCIsIldUIjoyfQ%3D%3D%7C0%7C%7C%7C&amp;sdata=Wwm8io9R82lB%2Bx8%2FLbExUdjlLbe3y%2FcWcPONzJlmKIs%3D&amp;reserved=0"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nam02.safelinks.protection.outlook.com/?url=https%3A%2F%2Frelatoria.colombiacompra.gov.co%2F&amp;data=05%7C02%7Cjuan.avendano%40colombiacompra.gov.co%7C5aad36a736844ec87b2108dcc1fa4639%7C7b09041e245149d08cb179d5e3d8c1be%7C0%7C0%7C638598527916578281%7CUnknown%7CTWFpbGZsb3d8eyJWIjoiMC4wLjAwMDAiLCJQIjoiV2luMzIiLCJBTiI6Ik1haWwiLCJXVCI6Mn0%3D%7C0%7C%7C%7C&amp;sdata=ULogXxqZhlbRGnXip3V5oi2tcjWOQqeurmNDisBXQv0%3D&amp;reserved=0"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colombiacompra.gov.co/normativa-y-relatoria/documentos-tipo" TargetMode="External"/><Relationship Id="rId5" Type="http://schemas.openxmlformats.org/officeDocument/2006/relationships/styles" Target="styles.xml"/><Relationship Id="rId15" Type="http://schemas.openxmlformats.org/officeDocument/2006/relationships/header" Target="header1.xml"/><Relationship Id="rId10" Type="http://schemas.openxmlformats.org/officeDocument/2006/relationships/image" Target="media/image2.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3.png"/></Relationships>
</file>

<file path=word/_rels/footnotes.xml.rels><?xml version="1.0" encoding="UTF-8" standalone="yes"?>
<Relationships xmlns="http://schemas.openxmlformats.org/package/2006/relationships"><Relationship Id="rId1" Type="http://schemas.openxmlformats.org/officeDocument/2006/relationships/hyperlink" Target="https://www.colombiacompra.gov.co/documentos-tipo/documentos-tipo"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563816eff7b27c518f4452e301140c9d">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eb2d2e0593e1272b3512cc9bb12824ba"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Props1.xml><?xml version="1.0" encoding="utf-8"?>
<ds:datastoreItem xmlns:ds="http://schemas.openxmlformats.org/officeDocument/2006/customXml" ds:itemID="{B05CC18D-C5B5-4A71-BBD5-6E7E901FADA7}"/>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d8f5e815-0076-445a-b727-5225634d30bd"/>
    <ds:schemaRef ds:uri="8ae15d26-076e-464e-81a7-6f76a0fb3917"/>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Normal.dotm</Template>
  <TotalTime>1</TotalTime>
  <Pages>12</Pages>
  <Words>3794</Words>
  <Characters>20872</Characters>
  <Application>Microsoft Office Word</Application>
  <DocSecurity>0</DocSecurity>
  <Lines>173</Lines>
  <Paragraphs>49</Paragraphs>
  <ScaleCrop>false</ScaleCrop>
  <Company/>
  <LinksUpToDate>false</LinksUpToDate>
  <CharactersWithSpaces>24617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Carlos Mario Castrillon Endo</cp:lastModifiedBy>
  <cp:revision>4</cp:revision>
  <cp:lastPrinted>2023-01-10T21:18:00Z</cp:lastPrinted>
  <dcterms:created xsi:type="dcterms:W3CDTF">2025-12-30T14:10:00Z</dcterms:created>
  <dcterms:modified xsi:type="dcterms:W3CDTF">2025-12-31T12:27:00Z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