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685D2" w14:textId="296FB01D" w:rsidR="00A9336B" w:rsidRPr="00426E04" w:rsidRDefault="00A9336B" w:rsidP="00A9336B">
      <w:pPr>
        <w:spacing w:after="0" w:line="240" w:lineRule="auto"/>
        <w:jc w:val="both"/>
        <w:rPr>
          <w:rFonts w:ascii="Verdana" w:hAnsi="Verdana" w:cs="Arial"/>
          <w:b/>
          <w:bCs/>
          <w:lang w:val="es-ES" w:eastAsia="es-ES"/>
        </w:rPr>
      </w:pPr>
      <w:r w:rsidRPr="00426E04">
        <w:rPr>
          <w:rFonts w:ascii="Verdana" w:hAnsi="Verdana" w:cs="Arial"/>
          <w:b/>
          <w:bCs/>
          <w:lang w:val="es-ES" w:eastAsia="es-ES"/>
        </w:rPr>
        <w:t>CONTRATO ESTATAL – Ejercicio – Funciones de control y vigilancia</w:t>
      </w:r>
    </w:p>
    <w:p w14:paraId="51B87BA4" w14:textId="77777777" w:rsidR="00A9336B" w:rsidRDefault="00A9336B" w:rsidP="00A9336B">
      <w:pPr>
        <w:spacing w:after="0" w:line="240" w:lineRule="auto"/>
        <w:jc w:val="both"/>
        <w:rPr>
          <w:rFonts w:ascii="Verdana" w:hAnsi="Verdana" w:cs="Arial"/>
          <w:b/>
          <w:bCs/>
          <w:lang w:val="es-ES" w:eastAsia="es-ES"/>
        </w:rPr>
      </w:pPr>
    </w:p>
    <w:p w14:paraId="2D6C1ED1" w14:textId="77777777" w:rsidR="00A9336B" w:rsidRPr="00924F79" w:rsidRDefault="00A9336B" w:rsidP="00A9336B">
      <w:pPr>
        <w:spacing w:after="0" w:line="240" w:lineRule="auto"/>
        <w:jc w:val="both"/>
        <w:rPr>
          <w:rFonts w:ascii="Verdana" w:eastAsia="Calibri" w:hAnsi="Verdana" w:cs="Arial"/>
          <w:color w:val="000000"/>
          <w:sz w:val="20"/>
          <w:lang w:val="es-ES"/>
        </w:rPr>
      </w:pPr>
      <w:r w:rsidRPr="00924F79">
        <w:rPr>
          <w:rFonts w:ascii="Verdana" w:eastAsia="Calibri" w:hAnsi="Verdana" w:cs="Arial"/>
          <w:color w:val="000000"/>
          <w:sz w:val="20"/>
          <w:lang w:val="es-ES"/>
        </w:rPr>
        <w:t>A través de la actividad contractual, el Estado adquiere bienes, obras y servicios para cumplir los fines que le impone el ordenamiento jurídico, garantizando así la continuidad y eficiente prestación de los servicios públicos y la efectividad de los derechos e intereses de los administrados. Para la garantía de 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 en ella tienen la obligación de controlar y vigilar la correcta ejecución del objeto contratado. Lo anterior busca que las finalidades perseguidas con la celebración de los contratos estatales se logren de manera satisfactoria.</w:t>
      </w:r>
    </w:p>
    <w:p w14:paraId="27E70268" w14:textId="77777777" w:rsidR="00A9336B" w:rsidRDefault="00A9336B" w:rsidP="00A9336B">
      <w:pPr>
        <w:spacing w:after="0" w:line="240" w:lineRule="auto"/>
        <w:jc w:val="both"/>
        <w:rPr>
          <w:rFonts w:ascii="Verdana" w:eastAsia="Calibri" w:hAnsi="Verdana" w:cs="Arial"/>
          <w:color w:val="000000"/>
          <w:sz w:val="20"/>
          <w:lang w:val="es-ES"/>
        </w:rPr>
      </w:pPr>
    </w:p>
    <w:p w14:paraId="64541863" w14:textId="77777777" w:rsidR="00A9336B" w:rsidRPr="00924F79" w:rsidRDefault="00A9336B" w:rsidP="00A9336B">
      <w:pPr>
        <w:spacing w:after="0" w:line="240" w:lineRule="auto"/>
        <w:jc w:val="both"/>
        <w:rPr>
          <w:rFonts w:ascii="Verdana" w:eastAsia="Calibri" w:hAnsi="Verdana" w:cs="Arial"/>
          <w:color w:val="000000"/>
          <w:sz w:val="20"/>
          <w:lang w:val="es-ES"/>
        </w:rPr>
      </w:pPr>
      <w:r w:rsidRPr="00924F79">
        <w:rPr>
          <w:rFonts w:ascii="Verdana" w:eastAsia="Calibri" w:hAnsi="Verdana" w:cs="Arial"/>
          <w:color w:val="000000"/>
          <w:sz w:val="20"/>
          <w:lang w:val="es-ES"/>
        </w:rPr>
        <w:t>El seguimiento de la ejecución del contrato para la dirección, control y vigilancia de su correcto cumplimiento es un deber legal que permite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entre otras.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0938682F" w14:textId="77777777" w:rsidR="00A9336B" w:rsidRDefault="00A9336B" w:rsidP="00A9336B">
      <w:pPr>
        <w:spacing w:after="0" w:line="240" w:lineRule="auto"/>
        <w:jc w:val="both"/>
        <w:rPr>
          <w:rFonts w:ascii="Verdana" w:eastAsia="Times New Roman" w:hAnsi="Verdana" w:cs="Arial"/>
          <w:sz w:val="20"/>
          <w:lang w:val="es-ES" w:eastAsia="es-MX"/>
        </w:rPr>
      </w:pPr>
    </w:p>
    <w:p w14:paraId="54017ADC" w14:textId="422B38C3" w:rsidR="00A9336B" w:rsidRPr="00426E04" w:rsidRDefault="00A9336B" w:rsidP="00A9336B">
      <w:pPr>
        <w:spacing w:after="0" w:line="240" w:lineRule="auto"/>
        <w:jc w:val="both"/>
        <w:rPr>
          <w:rFonts w:ascii="Verdana" w:hAnsi="Verdana"/>
          <w:b/>
        </w:rPr>
      </w:pPr>
      <w:r w:rsidRPr="00426E04">
        <w:rPr>
          <w:rFonts w:ascii="Verdana" w:hAnsi="Verdana" w:cs="Arial"/>
          <w:b/>
          <w:bCs/>
          <w:lang w:val="es-ES" w:eastAsia="es-ES"/>
        </w:rPr>
        <w:t xml:space="preserve">CONTRATO ESTATAL – Supervisión – Interventoría – </w:t>
      </w:r>
      <w:r w:rsidR="00707806">
        <w:rPr>
          <w:rFonts w:ascii="Verdana" w:hAnsi="Verdana" w:cs="Arial"/>
          <w:b/>
          <w:bCs/>
          <w:lang w:val="es-ES" w:eastAsia="es-ES"/>
        </w:rPr>
        <w:t>C</w:t>
      </w:r>
      <w:r w:rsidRPr="00426E04">
        <w:rPr>
          <w:rFonts w:ascii="Verdana" w:hAnsi="Verdana" w:cs="Arial"/>
          <w:b/>
          <w:bCs/>
          <w:lang w:val="es-ES" w:eastAsia="es-ES"/>
        </w:rPr>
        <w:t>aracterísticas</w:t>
      </w:r>
    </w:p>
    <w:p w14:paraId="57D33511" w14:textId="77777777" w:rsidR="00A9336B" w:rsidRPr="00924F79" w:rsidRDefault="00A9336B" w:rsidP="00A9336B">
      <w:pPr>
        <w:spacing w:after="0" w:line="240" w:lineRule="auto"/>
        <w:jc w:val="both"/>
        <w:rPr>
          <w:rFonts w:ascii="Verdana" w:hAnsi="Verdana"/>
          <w:b/>
          <w:sz w:val="20"/>
        </w:rPr>
      </w:pPr>
    </w:p>
    <w:p w14:paraId="5CA7C3A3" w14:textId="77777777" w:rsidR="00A9336B" w:rsidRPr="00924F79" w:rsidRDefault="00A9336B" w:rsidP="00A9336B">
      <w:pPr>
        <w:spacing w:after="0" w:line="240" w:lineRule="auto"/>
        <w:jc w:val="both"/>
        <w:rPr>
          <w:rFonts w:ascii="Verdana" w:eastAsia="Times New Roman" w:hAnsi="Verdana" w:cs="Arial"/>
          <w:sz w:val="20"/>
          <w:lang w:val="es-ES" w:eastAsia="es-MX"/>
        </w:rPr>
      </w:pPr>
      <w:r w:rsidRPr="00924F79">
        <w:rPr>
          <w:rFonts w:ascii="Verdana" w:eastAsia="Times New Roman" w:hAnsi="Verdana" w:cs="Arial"/>
          <w:sz w:val="20"/>
          <w:lang w:val="es-ES" w:eastAsia="es-MX"/>
        </w:rPr>
        <w:t xml:space="preserve">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en estos términos: </w:t>
      </w:r>
    </w:p>
    <w:p w14:paraId="2B0924B9" w14:textId="77777777" w:rsidR="00A9336B" w:rsidRPr="00924F79" w:rsidRDefault="00A9336B" w:rsidP="00A9336B">
      <w:pPr>
        <w:spacing w:after="0" w:line="240" w:lineRule="auto"/>
        <w:jc w:val="both"/>
        <w:rPr>
          <w:rFonts w:ascii="Verdana" w:eastAsia="Times New Roman" w:hAnsi="Verdana" w:cs="Arial"/>
          <w:sz w:val="20"/>
          <w:szCs w:val="21"/>
          <w:lang w:val="es-ES" w:eastAsia="es-MX"/>
        </w:rPr>
      </w:pPr>
    </w:p>
    <w:p w14:paraId="18D2A540" w14:textId="77777777" w:rsidR="00A9336B" w:rsidRPr="00924F79" w:rsidRDefault="00A9336B" w:rsidP="00A9336B">
      <w:pPr>
        <w:spacing w:after="0" w:line="240" w:lineRule="auto"/>
        <w:jc w:val="both"/>
        <w:rPr>
          <w:rFonts w:ascii="Verdana" w:eastAsia="Times New Roman" w:hAnsi="Verdana" w:cs="Arial"/>
          <w:sz w:val="20"/>
          <w:shd w:val="clear" w:color="auto" w:fill="FFFFFF"/>
          <w:lang w:val="es-ES"/>
        </w:rPr>
      </w:pPr>
      <w:r w:rsidRPr="00924F79">
        <w:rPr>
          <w:rFonts w:ascii="Verdana" w:eastAsia="Times New Roman" w:hAnsi="Verdana" w:cs="Arial"/>
          <w:bCs/>
          <w:sz w:val="20"/>
          <w:lang w:val="es-ES"/>
        </w:rPr>
        <w:t xml:space="preserve">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w:t>
      </w:r>
      <w:r w:rsidRPr="00924F79">
        <w:rPr>
          <w:rFonts w:ascii="Verdana" w:eastAsia="Times New Roman" w:hAnsi="Verdana" w:cs="Arial"/>
          <w:bCs/>
          <w:sz w:val="20"/>
          <w:lang w:val="es-ES"/>
        </w:rPr>
        <w:lastRenderedPageBreak/>
        <w:t xml:space="preserve">en relación con cualquier contrato estatal, incluidos los contratos de prestación de servicios –a diferencia de la interventoría que depende del análisis de su necesidad y extensión–; </w:t>
      </w:r>
      <w:proofErr w:type="spellStart"/>
      <w:r w:rsidRPr="00924F79">
        <w:rPr>
          <w:rFonts w:ascii="Verdana" w:eastAsia="Times New Roman" w:hAnsi="Verdana" w:cs="Arial"/>
          <w:bCs/>
          <w:sz w:val="20"/>
          <w:lang w:val="es-ES"/>
        </w:rPr>
        <w:t>ii</w:t>
      </w:r>
      <w:proofErr w:type="spellEnd"/>
      <w:r w:rsidRPr="00924F79">
        <w:rPr>
          <w:rFonts w:ascii="Verdana" w:eastAsia="Times New Roman" w:hAnsi="Verdana" w:cs="Arial"/>
          <w:bCs/>
          <w:sz w:val="20"/>
          <w:lang w:val="es-ES"/>
        </w:rPr>
        <w:t xml:space="preserve">) no requiere conocimientos tan especializados como la interventoría; </w:t>
      </w:r>
      <w:proofErr w:type="spellStart"/>
      <w:r w:rsidRPr="00924F79">
        <w:rPr>
          <w:rFonts w:ascii="Verdana" w:eastAsia="Times New Roman" w:hAnsi="Verdana" w:cs="Arial"/>
          <w:bCs/>
          <w:sz w:val="20"/>
          <w:lang w:val="es-ES"/>
        </w:rPr>
        <w:t>iii</w:t>
      </w:r>
      <w:proofErr w:type="spellEnd"/>
      <w:r w:rsidRPr="00924F79">
        <w:rPr>
          <w:rFonts w:ascii="Verdana" w:eastAsia="Times New Roman" w:hAnsi="Verdana" w:cs="Arial"/>
          <w:bCs/>
          <w:sz w:val="20"/>
          <w:lang w:val="es-ES"/>
        </w:rPr>
        <w:t xml:space="preserve">) se ejerce por la Entidad Estatal por conducto de la designación de servidores públicos idóneos para cumplir la función; </w:t>
      </w:r>
      <w:proofErr w:type="spellStart"/>
      <w:r w:rsidRPr="00924F79">
        <w:rPr>
          <w:rFonts w:ascii="Verdana" w:eastAsia="Times New Roman" w:hAnsi="Verdana" w:cs="Arial"/>
          <w:bCs/>
          <w:sz w:val="20"/>
          <w:lang w:val="es-ES"/>
        </w:rPr>
        <w:t>iv</w:t>
      </w:r>
      <w:proofErr w:type="spellEnd"/>
      <w:r w:rsidRPr="00924F79">
        <w:rPr>
          <w:rFonts w:ascii="Verdana" w:eastAsia="Times New Roman" w:hAnsi="Verdana" w:cs="Arial"/>
          <w:bCs/>
          <w:sz w:val="20"/>
          <w:lang w:val="es-ES"/>
        </w:rPr>
        <w:t>) puede recibir apoyo de personal contratado para tal fin mediante contratos de prestación de servicios; y v) le es inseparable el seguimiento técnico, administrativo, financiero, contable y jurídico del contrato vigilado.</w:t>
      </w:r>
    </w:p>
    <w:p w14:paraId="641A4C22" w14:textId="77777777" w:rsidR="00A9336B" w:rsidRDefault="00A9336B" w:rsidP="00A9336B">
      <w:pPr>
        <w:tabs>
          <w:tab w:val="left" w:pos="709"/>
        </w:tabs>
        <w:snapToGrid w:val="0"/>
        <w:spacing w:after="0" w:line="240" w:lineRule="auto"/>
        <w:jc w:val="both"/>
        <w:rPr>
          <w:rFonts w:ascii="Verdana" w:eastAsia="Aptos" w:hAnsi="Verdana" w:cs="Arial"/>
          <w:bCs/>
          <w:sz w:val="20"/>
          <w:lang w:val="es-ES"/>
        </w:rPr>
      </w:pPr>
    </w:p>
    <w:p w14:paraId="5FE7A3EB" w14:textId="77777777" w:rsidR="00A9336B" w:rsidRPr="00924F79" w:rsidRDefault="00A9336B" w:rsidP="00A9336B">
      <w:pPr>
        <w:tabs>
          <w:tab w:val="left" w:pos="709"/>
        </w:tabs>
        <w:snapToGrid w:val="0"/>
        <w:spacing w:after="0" w:line="240" w:lineRule="auto"/>
        <w:jc w:val="both"/>
        <w:rPr>
          <w:rFonts w:ascii="Verdana" w:eastAsia="Aptos" w:hAnsi="Verdana" w:cs="Arial"/>
          <w:bCs/>
          <w:sz w:val="20"/>
        </w:rPr>
      </w:pPr>
      <w:r w:rsidRPr="00924F79">
        <w:rPr>
          <w:rFonts w:ascii="Verdana" w:eastAsia="Aptos" w:hAnsi="Verdana" w:cs="Arial"/>
          <w:bCs/>
          <w:sz w:val="20"/>
          <w:lang w:val="es-ES"/>
        </w:rPr>
        <w:t xml:space="preserve">Por otro lado, </w:t>
      </w:r>
      <w:r w:rsidRPr="00924F79">
        <w:rPr>
          <w:rFonts w:ascii="Verdana" w:eastAsia="Aptos" w:hAnsi="Verdana" w:cs="Arial"/>
          <w:bCs/>
          <w:sz w:val="20"/>
        </w:rPr>
        <w:t xml:space="preserve">la interventoría puede caracterizarse de la siguiente manera: 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1474 de 2011–; </w:t>
      </w:r>
      <w:proofErr w:type="spellStart"/>
      <w:r w:rsidRPr="00924F79">
        <w:rPr>
          <w:rFonts w:ascii="Verdana" w:eastAsia="Aptos" w:hAnsi="Verdana" w:cs="Arial"/>
          <w:bCs/>
          <w:sz w:val="20"/>
        </w:rPr>
        <w:t>ii</w:t>
      </w:r>
      <w:proofErr w:type="spellEnd"/>
      <w:r w:rsidRPr="00924F79">
        <w:rPr>
          <w:rFonts w:ascii="Verdana" w:eastAsia="Aptos" w:hAnsi="Verdana" w:cs="Arial"/>
          <w:bCs/>
          <w:sz w:val="20"/>
        </w:rPr>
        <w:t xml:space="preserve">) es un mecanismo de vigilancia que exige, en su ejecución, la utilización de conocimientos especializados; </w:t>
      </w:r>
      <w:proofErr w:type="spellStart"/>
      <w:r w:rsidRPr="00924F79">
        <w:rPr>
          <w:rFonts w:ascii="Verdana" w:eastAsia="Aptos" w:hAnsi="Verdana" w:cs="Arial"/>
          <w:bCs/>
          <w:sz w:val="20"/>
        </w:rPr>
        <w:t>iii</w:t>
      </w:r>
      <w:proofErr w:type="spellEnd"/>
      <w:r w:rsidRPr="00924F79">
        <w:rPr>
          <w:rFonts w:ascii="Verdana" w:eastAsia="Aptos" w:hAnsi="Verdana" w:cs="Arial"/>
          <w:bCs/>
          <w:sz w:val="20"/>
        </w:rPr>
        <w:t>) por lo anterior, la entidad contrata un experto, por regla general, mediante la modalidad de selección de concurso de méritos, al tratarse la interventoría de una especie del contrato de consultoría –art. 32, numeral 2, inciso 2, Ley 80 de 1993</w:t>
      </w:r>
      <w:r>
        <w:rPr>
          <w:rFonts w:ascii="Verdana" w:eastAsia="Aptos" w:hAnsi="Verdana" w:cs="Times New Roman"/>
          <w:kern w:val="2"/>
          <w:sz w:val="20"/>
          <w14:ligatures w14:val="standardContextual"/>
        </w:rPr>
        <w:t xml:space="preserve">-, </w:t>
      </w:r>
      <w:r w:rsidRPr="00924F79">
        <w:rPr>
          <w:rFonts w:ascii="Verdana" w:eastAsia="Aptos" w:hAnsi="Verdana" w:cs="Arial"/>
          <w:bCs/>
          <w:sz w:val="20"/>
        </w:rPr>
        <w:t xml:space="preserve">de manera que la interventoría es realizada por “una persona natural o jurídica contratada para tal fin por la Entidad Estatal” –art. 83, Ley 1474–; </w:t>
      </w:r>
      <w:proofErr w:type="spellStart"/>
      <w:r w:rsidRPr="00924F79">
        <w:rPr>
          <w:rFonts w:ascii="Verdana" w:eastAsia="Aptos" w:hAnsi="Verdana" w:cs="Arial"/>
          <w:bCs/>
          <w:sz w:val="20"/>
        </w:rPr>
        <w:t>iv</w:t>
      </w:r>
      <w:proofErr w:type="spellEnd"/>
      <w:r w:rsidRPr="00924F79">
        <w:rPr>
          <w:rFonts w:ascii="Verdana" w:eastAsia="Aptos" w:hAnsi="Verdana" w:cs="Arial"/>
          <w:bCs/>
          <w:sz w:val="20"/>
        </w:rPr>
        <w:t>)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4–, y finalmente, vi) el contrato de interventoría será supervisado directamente por la entidad –art. 83, inciso 4–.</w:t>
      </w:r>
    </w:p>
    <w:p w14:paraId="548859F8" w14:textId="77777777" w:rsidR="00A9336B" w:rsidRPr="00426E04" w:rsidRDefault="00A9336B" w:rsidP="00A9336B">
      <w:pPr>
        <w:spacing w:after="0" w:line="240" w:lineRule="auto"/>
        <w:jc w:val="both"/>
        <w:rPr>
          <w:rFonts w:ascii="Verdana" w:hAnsi="Verdana"/>
          <w:b/>
        </w:rPr>
      </w:pPr>
    </w:p>
    <w:p w14:paraId="0DF052A4" w14:textId="02D0D71C" w:rsidR="00A9336B" w:rsidRPr="00426E04" w:rsidRDefault="00A9336B" w:rsidP="00A9336B">
      <w:pPr>
        <w:spacing w:after="0" w:line="240" w:lineRule="auto"/>
        <w:jc w:val="both"/>
        <w:rPr>
          <w:rFonts w:ascii="Verdana" w:hAnsi="Verdana" w:cs="Arial"/>
          <w:b/>
          <w:bCs/>
          <w:lang w:val="es-ES" w:eastAsia="es-ES"/>
        </w:rPr>
      </w:pPr>
      <w:r w:rsidRPr="00426E04">
        <w:rPr>
          <w:rFonts w:ascii="Verdana" w:hAnsi="Verdana" w:cs="Arial"/>
          <w:b/>
          <w:bCs/>
          <w:lang w:val="es-ES" w:eastAsia="es-ES"/>
        </w:rPr>
        <w:t xml:space="preserve">CONTROL Y VIGILANCIA – Ejercicio de supervisión e interventoría – </w:t>
      </w:r>
      <w:r w:rsidR="00707806">
        <w:rPr>
          <w:rFonts w:ascii="Verdana" w:hAnsi="Verdana" w:cs="Arial"/>
          <w:b/>
          <w:bCs/>
          <w:lang w:val="es-ES" w:eastAsia="es-ES"/>
        </w:rPr>
        <w:t>F</w:t>
      </w:r>
      <w:r w:rsidRPr="00426E04">
        <w:rPr>
          <w:rFonts w:ascii="Verdana" w:hAnsi="Verdana" w:cs="Arial"/>
          <w:b/>
          <w:bCs/>
          <w:lang w:val="es-ES" w:eastAsia="es-ES"/>
        </w:rPr>
        <w:t xml:space="preserve">ase </w:t>
      </w:r>
      <w:proofErr w:type="spellStart"/>
      <w:r w:rsidRPr="00426E04">
        <w:rPr>
          <w:rFonts w:ascii="Verdana" w:hAnsi="Verdana" w:cs="Arial"/>
          <w:b/>
          <w:bCs/>
          <w:lang w:val="es-ES" w:eastAsia="es-ES"/>
        </w:rPr>
        <w:t>poscontractual</w:t>
      </w:r>
      <w:proofErr w:type="spellEnd"/>
      <w:r w:rsidRPr="00426E04">
        <w:rPr>
          <w:rFonts w:ascii="Verdana" w:hAnsi="Verdana" w:cs="Arial"/>
          <w:b/>
          <w:bCs/>
          <w:lang w:val="es-ES" w:eastAsia="es-ES"/>
        </w:rPr>
        <w:t xml:space="preserve"> – </w:t>
      </w:r>
      <w:r w:rsidR="00707806">
        <w:rPr>
          <w:rFonts w:ascii="Verdana" w:hAnsi="Verdana" w:cs="Arial"/>
          <w:b/>
          <w:bCs/>
          <w:lang w:val="es-ES" w:eastAsia="es-ES"/>
        </w:rPr>
        <w:t>A</w:t>
      </w:r>
      <w:r w:rsidRPr="00426E04">
        <w:rPr>
          <w:rFonts w:ascii="Verdana" w:hAnsi="Verdana" w:cs="Arial"/>
          <w:b/>
          <w:bCs/>
          <w:lang w:val="es-ES" w:eastAsia="es-ES"/>
        </w:rPr>
        <w:t>mparo de estabilidad y calidad de la obra</w:t>
      </w:r>
    </w:p>
    <w:p w14:paraId="579F255C" w14:textId="77777777" w:rsidR="00A9336B" w:rsidRPr="00924F79" w:rsidRDefault="00A9336B" w:rsidP="00A9336B">
      <w:pPr>
        <w:spacing w:after="0" w:line="240" w:lineRule="auto"/>
        <w:jc w:val="both"/>
        <w:rPr>
          <w:rFonts w:ascii="Verdana" w:hAnsi="Verdana" w:cs="Arial"/>
          <w:b/>
          <w:bCs/>
          <w:lang w:val="es-ES" w:eastAsia="es-ES"/>
        </w:rPr>
      </w:pPr>
    </w:p>
    <w:p w14:paraId="0F6914B7" w14:textId="77777777" w:rsidR="00A9336B" w:rsidRPr="00C614F2" w:rsidRDefault="00A9336B" w:rsidP="00A9336B">
      <w:pPr>
        <w:widowControl w:val="0"/>
        <w:autoSpaceDE w:val="0"/>
        <w:autoSpaceDN w:val="0"/>
        <w:spacing w:after="0" w:line="240" w:lineRule="auto"/>
        <w:ind w:right="113"/>
        <w:jc w:val="both"/>
        <w:rPr>
          <w:rFonts w:ascii="Verdana" w:eastAsia="Arial MT" w:hAnsi="Verdana" w:cs="Arial MT"/>
          <w:sz w:val="20"/>
          <w:lang w:val="es-ES"/>
        </w:rPr>
      </w:pPr>
      <w:r w:rsidRPr="00C614F2">
        <w:rPr>
          <w:rFonts w:ascii="Verdana" w:eastAsia="Arial MT" w:hAnsi="Verdana" w:cs="Arial MT"/>
          <w:sz w:val="20"/>
          <w:lang w:val="es-ES"/>
        </w:rPr>
        <w:t>[…] se precisa que la entidad tiene la potestad de designar el supervisor o los supervisores en los diferentes contratos, y que de acuerdo con la “Guía para el ejercicio de las funciones de supervisión e interventoría de los contratos del Estado” recomienda que esta se haga a través de un funcionario, que tenga asignadas funciones relacionadas con el objeto contractual. En dicha Guía se señala que la designación debe estar antecedida por un análisis de la carga operativa del funcionario al que se le asigna la supervisión, para evitar que el supervisor no pueda desempeñar la tarea de manera adecuada. Además, al supervisor designado debe informársele de la labor encomendada y las obligaciones del contrato para desempeñar su función de manera idónea.</w:t>
      </w:r>
    </w:p>
    <w:p w14:paraId="4D4C5F3C" w14:textId="77777777" w:rsidR="00A9336B" w:rsidRPr="00C614F2" w:rsidRDefault="00A9336B" w:rsidP="00A9336B">
      <w:pPr>
        <w:widowControl w:val="0"/>
        <w:autoSpaceDE w:val="0"/>
        <w:autoSpaceDN w:val="0"/>
        <w:spacing w:after="0" w:line="240" w:lineRule="auto"/>
        <w:ind w:right="113"/>
        <w:jc w:val="both"/>
        <w:rPr>
          <w:rFonts w:ascii="Verdana" w:eastAsia="Arial MT" w:hAnsi="Verdana" w:cs="Arial MT"/>
          <w:sz w:val="20"/>
          <w:lang w:val="es-ES"/>
        </w:rPr>
      </w:pPr>
    </w:p>
    <w:p w14:paraId="05EE67D4" w14:textId="77777777" w:rsidR="00A9336B" w:rsidRPr="00C614F2" w:rsidRDefault="00A9336B" w:rsidP="00A9336B">
      <w:pPr>
        <w:widowControl w:val="0"/>
        <w:autoSpaceDE w:val="0"/>
        <w:autoSpaceDN w:val="0"/>
        <w:spacing w:after="0" w:line="240" w:lineRule="auto"/>
        <w:ind w:right="113"/>
        <w:jc w:val="both"/>
        <w:rPr>
          <w:rFonts w:ascii="Verdana" w:eastAsia="Arial MT" w:hAnsi="Verdana" w:cs="Arial MT"/>
          <w:sz w:val="20"/>
          <w:lang w:val="es-ES"/>
        </w:rPr>
      </w:pPr>
      <w:r w:rsidRPr="00C614F2">
        <w:rPr>
          <w:rFonts w:ascii="Verdana" w:eastAsia="Arial MT" w:hAnsi="Verdana" w:cs="Arial MT"/>
          <w:sz w:val="20"/>
          <w:lang w:val="es-ES"/>
        </w:rPr>
        <w:t xml:space="preserve">Ahora bien, los supervisores ejercen el control y seguimiento del contrato estatal en sus diferentes etapas luego de su celebración, desde la ejecución e incluso en la </w:t>
      </w:r>
      <w:r w:rsidRPr="00C614F2">
        <w:rPr>
          <w:rFonts w:ascii="Verdana" w:eastAsia="Arial MT" w:hAnsi="Verdana" w:cs="Arial MT"/>
          <w:sz w:val="20"/>
          <w:lang w:val="es-ES"/>
        </w:rPr>
        <w:lastRenderedPageBreak/>
        <w:t>liquidación del contrato, sin perjuicio que por parte del contratante se designe posteriormente otro supervisor por razones de índole administrativo y/o novedades en el funcionamiento de la entidad, en el evento de presentarse circunstancias que obliguen a declarar sinestros de los amparos contenidos en la garantía única de cumplimiento, como el de calidad de los bienes o estabilidad de la obra, sin que por ello se exima de la responsabilidad que durante el ejercicio de la supervisión se haya efectuado por parte del supervisor o supervisores designados en las etapas iniciales del contrato. En el supuesto planteado en la consulta, esto es, que ya se efectuó la  liquidación del contrato y sigan vigentes el amparo de calidad y estabilidad de la obra, éste último con una vigencia de</w:t>
      </w:r>
      <w:r w:rsidRPr="00C614F2">
        <w:rPr>
          <w:rFonts w:ascii="Verdana" w:eastAsia="Arial MT" w:hAnsi="Verdana" w:cs="Arial MT"/>
          <w:sz w:val="20"/>
        </w:rPr>
        <w:t xml:space="preserve"> cinco (5) años contados a partir de la fecha en la cual la Entidad Estatal recibe a satisfacción la obra</w:t>
      </w:r>
      <w:r w:rsidRPr="00C614F2">
        <w:rPr>
          <w:rFonts w:ascii="Verdana" w:eastAsia="Arial MT" w:hAnsi="Verdana" w:cs="Arial MT"/>
          <w:sz w:val="20"/>
          <w:lang w:val="es-ES"/>
        </w:rPr>
        <w:t>, se reitera el deber de la Administración regulado en el artículo 4°, numeral 4° de la Ley 80 de 1993, que dispone: “</w:t>
      </w:r>
      <w:r w:rsidRPr="00C614F2">
        <w:rPr>
          <w:rFonts w:ascii="Verdana" w:eastAsia="Arial MT" w:hAnsi="Verdana" w:cs="Arial MT"/>
          <w:sz w:val="20"/>
        </w:rPr>
        <w:t xml:space="preserve">[…] Para la consecución de los fines de que trata el artículo anterior, las entidades estatales: […] 4o. Adelantarán revisiones periódicas de las obras ejecutadas, servicios prestados o bienes suministrados, </w:t>
      </w:r>
      <w:r w:rsidRPr="00C614F2">
        <w:rPr>
          <w:rFonts w:ascii="Verdana" w:eastAsia="Arial MT" w:hAnsi="Verdana" w:cs="Arial MT"/>
          <w:i/>
          <w:iCs/>
          <w:sz w:val="20"/>
        </w:rPr>
        <w:t xml:space="preserve">para verificar que ellos cumplan con las condiciones de calidad ofrecidas por los contratistas, y promoverán las acciones de responsabilidad contra éstos y sus garantes </w:t>
      </w:r>
      <w:r w:rsidRPr="00C614F2">
        <w:rPr>
          <w:rFonts w:ascii="Verdana" w:eastAsia="Arial MT" w:hAnsi="Verdana" w:cs="Arial MT"/>
          <w:sz w:val="20"/>
        </w:rPr>
        <w:t>cuando dichas condiciones no se cumplan” (énfasis fuera de texto).</w:t>
      </w:r>
    </w:p>
    <w:p w14:paraId="2611DA21" w14:textId="77777777" w:rsidR="00A9336B" w:rsidRPr="00426E04" w:rsidRDefault="00A9336B" w:rsidP="00A9336B">
      <w:pPr>
        <w:spacing w:after="0" w:line="240" w:lineRule="auto"/>
        <w:jc w:val="both"/>
        <w:rPr>
          <w:rFonts w:ascii="Verdana" w:hAnsi="Verdana" w:cs="Arial"/>
          <w:b/>
          <w:bCs/>
          <w:lang w:val="es-ES" w:eastAsia="es-ES"/>
        </w:rPr>
      </w:pPr>
    </w:p>
    <w:p w14:paraId="15E9DA9D" w14:textId="25F870A0" w:rsidR="00A9336B" w:rsidRPr="00426E04" w:rsidRDefault="00A9336B" w:rsidP="00A9336B">
      <w:pPr>
        <w:spacing w:after="0" w:line="240" w:lineRule="auto"/>
        <w:jc w:val="both"/>
        <w:rPr>
          <w:rFonts w:ascii="Verdana" w:hAnsi="Verdana" w:cs="Arial"/>
          <w:b/>
          <w:bCs/>
          <w:lang w:val="es-ES" w:eastAsia="es-ES"/>
        </w:rPr>
      </w:pPr>
      <w:r w:rsidRPr="00426E04">
        <w:rPr>
          <w:rFonts w:ascii="Verdana" w:hAnsi="Verdana" w:cs="Arial"/>
          <w:b/>
          <w:bCs/>
          <w:lang w:val="es-ES" w:eastAsia="es-ES"/>
        </w:rPr>
        <w:t xml:space="preserve">CONTROL Y VIGILANCIA – Ejercicio de supervisión e interventoría </w:t>
      </w:r>
      <w:r w:rsidR="00707806" w:rsidRPr="00707806">
        <w:rPr>
          <w:rFonts w:ascii="Verdana" w:hAnsi="Verdana" w:cs="Arial"/>
          <w:b/>
          <w:bCs/>
          <w:lang w:val="es-ES" w:eastAsia="es-ES"/>
        </w:rPr>
        <w:t>–</w:t>
      </w:r>
      <w:r w:rsidRPr="00426E04">
        <w:rPr>
          <w:rFonts w:ascii="Verdana" w:hAnsi="Verdana" w:cs="Arial"/>
          <w:b/>
          <w:bCs/>
          <w:lang w:val="es-ES" w:eastAsia="es-ES"/>
        </w:rPr>
        <w:t xml:space="preserve"> deber de vigilancia a la interventoría</w:t>
      </w:r>
    </w:p>
    <w:p w14:paraId="47747C78" w14:textId="77777777" w:rsidR="00A9336B" w:rsidRDefault="00A9336B" w:rsidP="00A9336B">
      <w:pPr>
        <w:spacing w:after="0" w:line="240" w:lineRule="auto"/>
        <w:rPr>
          <w:rFonts w:ascii="Verdana" w:hAnsi="Verdana"/>
          <w:lang w:val="es-ES"/>
        </w:rPr>
      </w:pPr>
    </w:p>
    <w:p w14:paraId="5AD7F3B7" w14:textId="77777777" w:rsidR="00A9336B" w:rsidRPr="00707806" w:rsidRDefault="00A9336B" w:rsidP="00A9336B">
      <w:pPr>
        <w:spacing w:after="0" w:line="240" w:lineRule="auto"/>
        <w:jc w:val="both"/>
        <w:rPr>
          <w:rFonts w:ascii="Verdana" w:hAnsi="Verdana"/>
          <w:sz w:val="20"/>
          <w:szCs w:val="20"/>
        </w:rPr>
      </w:pPr>
      <w:r w:rsidRPr="00707806">
        <w:rPr>
          <w:rFonts w:ascii="Verdana" w:hAnsi="Verdana"/>
          <w:sz w:val="20"/>
          <w:szCs w:val="20"/>
          <w:lang w:val="es-ES"/>
        </w:rPr>
        <w:t xml:space="preserve">[…] se precisa que, el contrato de interventoría es vigilado y supervisado por la entidad estatal, de conformidad con el inciso 4° del artículo 83 de la Ley 1474 de 2011, lo que implica que la entidad deberá hacer un seguimiento técnico, jurídico, administrativo, financiero y contable del contrato de interventoría, con el fin de determinar si ha incumplido con sus deberes estipulados en el objeto contractual. Esto, sin dejar de lado, el deber de </w:t>
      </w:r>
      <w:r w:rsidRPr="00707806">
        <w:rPr>
          <w:rFonts w:ascii="Verdana" w:hAnsi="Verdana"/>
          <w:sz w:val="20"/>
          <w:szCs w:val="20"/>
        </w:rPr>
        <w:t xml:space="preserve">dirección general y la responsabilidad de ejercer el control y vigilancia de la ejecución del contrato, </w:t>
      </w:r>
      <w:r w:rsidRPr="00707806">
        <w:rPr>
          <w:rFonts w:ascii="Verdana" w:hAnsi="Verdana"/>
          <w:sz w:val="20"/>
          <w:szCs w:val="20"/>
          <w:lang w:val="es-ES"/>
        </w:rPr>
        <w:t>de conformidad con el artículo 14, numeral 1° de la Ley 80. Así las cosas, la entidad estatal a pesar de que cuente con un interventor que está sujeto a su vez a una supervisión, tiene el deber y la responsabilidad de ejercer el control y seguimiento del contrato estatal de interventoría.</w:t>
      </w:r>
      <w:r w:rsidRPr="00707806">
        <w:rPr>
          <w:rFonts w:ascii="Verdana" w:hAnsi="Verdana"/>
          <w:sz w:val="20"/>
          <w:szCs w:val="20"/>
        </w:rPr>
        <w:t xml:space="preserve"> En esta línea, el Consejo de Estado ha expresado que el informe del interventor no puede entenderse como el único o exclusivo insumo para declarar la responsabilidad del contratista, puesto que la ley no establece una tarifa probatoria sobre el particular, y porque aun existiendo, la entidad debe verificar su certeza y analizarlo con las demás pruebas allegadas al procedimiento administrativo sancionatorio. </w:t>
      </w:r>
    </w:p>
    <w:p w14:paraId="29AD9171" w14:textId="77777777" w:rsidR="00A9336B" w:rsidRPr="00707806" w:rsidRDefault="00A9336B" w:rsidP="00A9336B">
      <w:pPr>
        <w:spacing w:after="0" w:line="240" w:lineRule="auto"/>
        <w:jc w:val="both"/>
        <w:rPr>
          <w:rFonts w:ascii="Verdana" w:hAnsi="Verdana"/>
          <w:sz w:val="20"/>
          <w:szCs w:val="20"/>
        </w:rPr>
      </w:pPr>
    </w:p>
    <w:p w14:paraId="02B16D5A" w14:textId="77777777" w:rsidR="00A9336B" w:rsidRPr="00707806" w:rsidRDefault="00A9336B" w:rsidP="00A9336B">
      <w:pPr>
        <w:spacing w:after="0" w:line="240" w:lineRule="auto"/>
        <w:jc w:val="both"/>
        <w:rPr>
          <w:rFonts w:ascii="Verdana" w:hAnsi="Verdana"/>
          <w:sz w:val="20"/>
          <w:szCs w:val="20"/>
          <w:lang w:val="es-ES"/>
        </w:rPr>
      </w:pPr>
      <w:r w:rsidRPr="00707806">
        <w:rPr>
          <w:rFonts w:ascii="Verdana" w:hAnsi="Verdana"/>
          <w:sz w:val="20"/>
          <w:szCs w:val="20"/>
        </w:rPr>
        <w:t xml:space="preserve">En todo caso, la responsabilidad –fiscal, disciplinaria, civil, penal- del supervisor está supeditado a las diferentes actuaciones que hayan adelantado, y que se determinará por los órganos de control y/o judiciales competentes, sin dejar de lado la responsabilidad civil, fiscal, penal y disciplinariamente, del interventor, tanto por el cumplimiento de las obligaciones pactadas en el contrato de interventoría, como por los hechos u omisiones que le sean imputables y causen daño o perjuicio a las entidades, derivados de la celebración y ejecución de los contratos, de conformidad con lo dispuesto en el inciso </w:t>
      </w:r>
      <w:r w:rsidRPr="00707806">
        <w:rPr>
          <w:rFonts w:ascii="Verdana" w:hAnsi="Verdana"/>
          <w:sz w:val="20"/>
          <w:szCs w:val="20"/>
        </w:rPr>
        <w:lastRenderedPageBreak/>
        <w:t xml:space="preserve">segundo del artículo 53 de la Ley 80 de 1993 modificado por el artículo 84 de la Ley 1474 de 2011. </w:t>
      </w:r>
    </w:p>
    <w:p w14:paraId="6BBCCC3E" w14:textId="77777777" w:rsidR="00A9336B" w:rsidRDefault="00A9336B" w:rsidP="00A9336B">
      <w:pPr>
        <w:spacing w:after="0" w:line="240" w:lineRule="auto"/>
        <w:rPr>
          <w:rFonts w:ascii="Verdana" w:hAnsi="Verdana"/>
          <w:lang w:val="es-ES"/>
        </w:rPr>
      </w:pPr>
    </w:p>
    <w:p w14:paraId="44F4495B" w14:textId="77777777" w:rsidR="00A9336B" w:rsidRDefault="00A9336B" w:rsidP="00A9336B">
      <w:pPr>
        <w:spacing w:after="0" w:line="240" w:lineRule="auto"/>
        <w:rPr>
          <w:rFonts w:ascii="Verdana" w:hAnsi="Verdana"/>
          <w:lang w:val="es-ES"/>
        </w:rPr>
      </w:pPr>
    </w:p>
    <w:p w14:paraId="6AAF08F0" w14:textId="77777777" w:rsidR="00A9336B" w:rsidRDefault="00A9336B" w:rsidP="00A9336B">
      <w:pPr>
        <w:spacing w:after="0" w:line="240" w:lineRule="auto"/>
        <w:rPr>
          <w:rFonts w:ascii="Verdana" w:eastAsia="Calibri" w:hAnsi="Verdana" w:cs="Calibri"/>
          <w:b/>
          <w:bCs/>
          <w:lang w:val="es-ES"/>
        </w:rPr>
      </w:pPr>
    </w:p>
    <w:p w14:paraId="57F6DA12" w14:textId="77777777" w:rsidR="00A9336B" w:rsidRDefault="00A9336B" w:rsidP="00A9336B">
      <w:pPr>
        <w:spacing w:after="0" w:line="240" w:lineRule="auto"/>
        <w:rPr>
          <w:rFonts w:ascii="Verdana" w:eastAsia="Calibri" w:hAnsi="Verdana" w:cs="Calibri"/>
          <w:b/>
          <w:bCs/>
          <w:lang w:val="es-ES"/>
        </w:rPr>
      </w:pPr>
    </w:p>
    <w:p w14:paraId="3418BA2F" w14:textId="77777777" w:rsidR="00A9336B" w:rsidRDefault="00A9336B" w:rsidP="00A9336B">
      <w:pPr>
        <w:spacing w:after="0" w:line="240" w:lineRule="auto"/>
        <w:rPr>
          <w:rFonts w:ascii="Verdana" w:eastAsia="Calibri" w:hAnsi="Verdana" w:cs="Calibri"/>
          <w:b/>
          <w:bCs/>
          <w:lang w:val="es-ES"/>
        </w:rPr>
      </w:pPr>
    </w:p>
    <w:p w14:paraId="33AB6827" w14:textId="77777777" w:rsidR="00A9336B" w:rsidRDefault="00A9336B" w:rsidP="00A9336B">
      <w:pPr>
        <w:spacing w:after="0" w:line="240" w:lineRule="auto"/>
        <w:rPr>
          <w:rFonts w:ascii="Verdana" w:eastAsia="Calibri" w:hAnsi="Verdana" w:cs="Calibri"/>
          <w:b/>
          <w:bCs/>
          <w:lang w:val="es-ES"/>
        </w:rPr>
      </w:pPr>
    </w:p>
    <w:p w14:paraId="51C77A28" w14:textId="77777777" w:rsidR="00A9336B" w:rsidRDefault="00A9336B" w:rsidP="00A9336B">
      <w:pPr>
        <w:spacing w:after="0" w:line="240" w:lineRule="auto"/>
        <w:rPr>
          <w:rFonts w:ascii="Verdana" w:eastAsia="Calibri" w:hAnsi="Verdana" w:cs="Calibri"/>
          <w:b/>
          <w:bCs/>
          <w:lang w:val="es-ES"/>
        </w:rPr>
      </w:pPr>
    </w:p>
    <w:p w14:paraId="6CA63023" w14:textId="77777777" w:rsidR="00A9336B" w:rsidRDefault="00A9336B" w:rsidP="00A9336B">
      <w:pPr>
        <w:spacing w:after="0" w:line="240" w:lineRule="auto"/>
        <w:rPr>
          <w:rFonts w:ascii="Verdana" w:eastAsia="Calibri" w:hAnsi="Verdana" w:cs="Calibri"/>
          <w:b/>
          <w:bCs/>
          <w:lang w:val="es-ES"/>
        </w:rPr>
      </w:pPr>
    </w:p>
    <w:p w14:paraId="3E91A63A" w14:textId="77777777" w:rsidR="00A9336B" w:rsidRDefault="00A9336B" w:rsidP="00A9336B">
      <w:pPr>
        <w:spacing w:after="0" w:line="240" w:lineRule="auto"/>
        <w:rPr>
          <w:rFonts w:ascii="Verdana" w:eastAsia="Calibri" w:hAnsi="Verdana" w:cs="Calibri"/>
          <w:b/>
          <w:bCs/>
          <w:lang w:val="es-ES"/>
        </w:rPr>
      </w:pPr>
    </w:p>
    <w:p w14:paraId="74A2CE1E" w14:textId="77777777" w:rsidR="00A9336B" w:rsidRDefault="00A9336B" w:rsidP="00A9336B">
      <w:pPr>
        <w:spacing w:after="0" w:line="240" w:lineRule="auto"/>
        <w:rPr>
          <w:rFonts w:ascii="Verdana" w:eastAsia="Calibri" w:hAnsi="Verdana" w:cs="Calibri"/>
          <w:b/>
          <w:bCs/>
          <w:lang w:val="es-ES"/>
        </w:rPr>
      </w:pPr>
    </w:p>
    <w:p w14:paraId="24CA46F1" w14:textId="77777777" w:rsidR="00A9336B" w:rsidRDefault="00A9336B" w:rsidP="00A9336B">
      <w:pPr>
        <w:spacing w:after="0" w:line="240" w:lineRule="auto"/>
        <w:rPr>
          <w:rFonts w:ascii="Verdana" w:eastAsia="Calibri" w:hAnsi="Verdana" w:cs="Calibri"/>
          <w:b/>
          <w:bCs/>
          <w:lang w:val="es-ES"/>
        </w:rPr>
      </w:pPr>
    </w:p>
    <w:p w14:paraId="7F1050B5" w14:textId="77777777" w:rsidR="00A9336B" w:rsidRDefault="00A9336B" w:rsidP="00A9336B">
      <w:pPr>
        <w:spacing w:after="0" w:line="240" w:lineRule="auto"/>
        <w:rPr>
          <w:rFonts w:ascii="Verdana" w:eastAsia="Calibri" w:hAnsi="Verdana" w:cs="Calibri"/>
          <w:b/>
          <w:bCs/>
          <w:lang w:val="es-ES"/>
        </w:rPr>
      </w:pPr>
    </w:p>
    <w:p w14:paraId="2FF522B2" w14:textId="77777777" w:rsidR="00A9336B" w:rsidRDefault="00A9336B" w:rsidP="00A9336B">
      <w:pPr>
        <w:spacing w:after="0" w:line="240" w:lineRule="auto"/>
        <w:rPr>
          <w:rFonts w:ascii="Verdana" w:eastAsia="Calibri" w:hAnsi="Verdana" w:cs="Calibri"/>
          <w:b/>
          <w:bCs/>
          <w:lang w:val="es-ES"/>
        </w:rPr>
      </w:pPr>
    </w:p>
    <w:p w14:paraId="6A40D2B7" w14:textId="77777777" w:rsidR="00A9336B" w:rsidRDefault="00A9336B" w:rsidP="00A9336B">
      <w:pPr>
        <w:spacing w:after="0" w:line="240" w:lineRule="auto"/>
        <w:rPr>
          <w:rFonts w:ascii="Verdana" w:eastAsia="Calibri" w:hAnsi="Verdana" w:cs="Calibri"/>
          <w:b/>
          <w:bCs/>
          <w:lang w:val="es-ES"/>
        </w:rPr>
      </w:pPr>
    </w:p>
    <w:p w14:paraId="53E09E55" w14:textId="77777777" w:rsidR="00A9336B" w:rsidRDefault="00A9336B" w:rsidP="00A9336B">
      <w:pPr>
        <w:spacing w:after="0" w:line="240" w:lineRule="auto"/>
        <w:rPr>
          <w:rFonts w:ascii="Verdana" w:eastAsia="Calibri" w:hAnsi="Verdana" w:cs="Calibri"/>
          <w:b/>
          <w:bCs/>
          <w:lang w:val="es-ES"/>
        </w:rPr>
      </w:pPr>
    </w:p>
    <w:p w14:paraId="6B26F346" w14:textId="77777777" w:rsidR="00A9336B" w:rsidRDefault="00A9336B" w:rsidP="00A9336B">
      <w:pPr>
        <w:spacing w:after="0" w:line="240" w:lineRule="auto"/>
        <w:rPr>
          <w:rFonts w:ascii="Verdana" w:eastAsia="Calibri" w:hAnsi="Verdana" w:cs="Calibri"/>
          <w:b/>
          <w:bCs/>
          <w:lang w:val="es-ES"/>
        </w:rPr>
      </w:pPr>
    </w:p>
    <w:p w14:paraId="504FC0CF" w14:textId="77777777" w:rsidR="00A9336B" w:rsidRDefault="00A9336B" w:rsidP="00A9336B">
      <w:pPr>
        <w:spacing w:after="0" w:line="240" w:lineRule="auto"/>
        <w:rPr>
          <w:rFonts w:ascii="Verdana" w:eastAsia="Calibri" w:hAnsi="Verdana" w:cs="Calibri"/>
          <w:b/>
          <w:bCs/>
          <w:lang w:val="es-ES"/>
        </w:rPr>
      </w:pPr>
    </w:p>
    <w:p w14:paraId="1EA4B31F" w14:textId="77777777" w:rsidR="00A9336B" w:rsidRDefault="00A9336B" w:rsidP="00A9336B">
      <w:pPr>
        <w:spacing w:after="0" w:line="240" w:lineRule="auto"/>
        <w:rPr>
          <w:rFonts w:ascii="Verdana" w:eastAsia="Calibri" w:hAnsi="Verdana" w:cs="Calibri"/>
          <w:b/>
          <w:bCs/>
          <w:lang w:val="es-ES"/>
        </w:rPr>
      </w:pPr>
    </w:p>
    <w:p w14:paraId="2F7871A6" w14:textId="77777777" w:rsidR="00A9336B" w:rsidRDefault="00A9336B" w:rsidP="00A9336B">
      <w:pPr>
        <w:spacing w:after="0" w:line="240" w:lineRule="auto"/>
        <w:rPr>
          <w:rFonts w:ascii="Verdana" w:eastAsia="Calibri" w:hAnsi="Verdana" w:cs="Calibri"/>
          <w:b/>
          <w:bCs/>
          <w:lang w:val="es-ES"/>
        </w:rPr>
      </w:pPr>
    </w:p>
    <w:p w14:paraId="3AACA86C" w14:textId="77777777" w:rsidR="00A9336B" w:rsidRDefault="00A9336B" w:rsidP="00A9336B">
      <w:pPr>
        <w:spacing w:after="0" w:line="240" w:lineRule="auto"/>
        <w:rPr>
          <w:rFonts w:ascii="Verdana" w:eastAsia="Calibri" w:hAnsi="Verdana" w:cs="Calibri"/>
          <w:b/>
          <w:bCs/>
          <w:lang w:val="es-ES"/>
        </w:rPr>
      </w:pPr>
    </w:p>
    <w:p w14:paraId="0CC61D24" w14:textId="77777777" w:rsidR="00A9336B" w:rsidRDefault="00A9336B" w:rsidP="00A9336B">
      <w:pPr>
        <w:spacing w:after="0" w:line="240" w:lineRule="auto"/>
        <w:rPr>
          <w:rFonts w:ascii="Verdana" w:eastAsia="Calibri" w:hAnsi="Verdana" w:cs="Calibri"/>
          <w:b/>
          <w:bCs/>
          <w:lang w:val="es-ES"/>
        </w:rPr>
      </w:pPr>
    </w:p>
    <w:p w14:paraId="2758A2C1" w14:textId="77777777" w:rsidR="00A9336B" w:rsidRDefault="00A9336B" w:rsidP="00A9336B">
      <w:pPr>
        <w:spacing w:after="0" w:line="240" w:lineRule="auto"/>
        <w:rPr>
          <w:rFonts w:ascii="Verdana" w:eastAsia="Calibri" w:hAnsi="Verdana" w:cs="Calibri"/>
          <w:b/>
          <w:bCs/>
          <w:lang w:val="es-ES"/>
        </w:rPr>
      </w:pPr>
    </w:p>
    <w:p w14:paraId="0E689431" w14:textId="77777777" w:rsidR="00A9336B" w:rsidRDefault="00A9336B" w:rsidP="00A9336B">
      <w:pPr>
        <w:spacing w:after="0" w:line="240" w:lineRule="auto"/>
        <w:rPr>
          <w:rFonts w:ascii="Verdana" w:eastAsia="Calibri" w:hAnsi="Verdana" w:cs="Calibri"/>
          <w:b/>
          <w:bCs/>
          <w:lang w:val="es-ES"/>
        </w:rPr>
      </w:pPr>
    </w:p>
    <w:p w14:paraId="5D09D99D" w14:textId="77777777" w:rsidR="00A9336B" w:rsidRDefault="00A9336B" w:rsidP="00A9336B">
      <w:pPr>
        <w:spacing w:after="0" w:line="240" w:lineRule="auto"/>
        <w:rPr>
          <w:rFonts w:ascii="Verdana" w:eastAsia="Calibri" w:hAnsi="Verdana" w:cs="Calibri"/>
          <w:b/>
          <w:bCs/>
          <w:lang w:val="es-ES"/>
        </w:rPr>
      </w:pPr>
    </w:p>
    <w:p w14:paraId="5DEE569E" w14:textId="77777777" w:rsidR="00A9336B" w:rsidRDefault="00A9336B" w:rsidP="00A9336B">
      <w:pPr>
        <w:spacing w:after="0" w:line="240" w:lineRule="auto"/>
        <w:rPr>
          <w:rFonts w:ascii="Verdana" w:eastAsia="Calibri" w:hAnsi="Verdana" w:cs="Calibri"/>
          <w:b/>
          <w:bCs/>
          <w:lang w:val="es-ES"/>
        </w:rPr>
      </w:pPr>
    </w:p>
    <w:p w14:paraId="1B7DCB89" w14:textId="77777777" w:rsidR="00A9336B" w:rsidRDefault="00A9336B" w:rsidP="00A9336B">
      <w:pPr>
        <w:spacing w:after="0" w:line="240" w:lineRule="auto"/>
        <w:rPr>
          <w:rFonts w:ascii="Verdana" w:eastAsia="Calibri" w:hAnsi="Verdana" w:cs="Calibri"/>
          <w:b/>
          <w:bCs/>
          <w:lang w:val="es-ES"/>
        </w:rPr>
      </w:pPr>
    </w:p>
    <w:p w14:paraId="43F5FBF8" w14:textId="77777777" w:rsidR="00A9336B" w:rsidRDefault="00A9336B" w:rsidP="00A9336B">
      <w:pPr>
        <w:spacing w:after="0" w:line="240" w:lineRule="auto"/>
        <w:rPr>
          <w:rFonts w:ascii="Verdana" w:eastAsia="Calibri" w:hAnsi="Verdana" w:cs="Calibri"/>
          <w:b/>
          <w:bCs/>
          <w:lang w:val="es-ES"/>
        </w:rPr>
      </w:pPr>
    </w:p>
    <w:p w14:paraId="4ED03195" w14:textId="77777777" w:rsidR="00A9336B" w:rsidRDefault="00A9336B" w:rsidP="00A9336B">
      <w:pPr>
        <w:spacing w:after="0" w:line="240" w:lineRule="auto"/>
        <w:rPr>
          <w:rFonts w:ascii="Verdana" w:eastAsia="Calibri" w:hAnsi="Verdana" w:cs="Calibri"/>
          <w:b/>
          <w:bCs/>
          <w:lang w:val="es-ES"/>
        </w:rPr>
      </w:pPr>
    </w:p>
    <w:p w14:paraId="240B0ED3" w14:textId="77777777" w:rsidR="00A9336B" w:rsidRDefault="00A9336B" w:rsidP="00A9336B">
      <w:pPr>
        <w:spacing w:after="0" w:line="240" w:lineRule="auto"/>
        <w:rPr>
          <w:rFonts w:ascii="Verdana" w:eastAsia="Calibri" w:hAnsi="Verdana" w:cs="Calibri"/>
          <w:b/>
          <w:bCs/>
          <w:lang w:val="es-ES"/>
        </w:rPr>
      </w:pPr>
    </w:p>
    <w:p w14:paraId="57448B7E" w14:textId="77777777" w:rsidR="00A9336B" w:rsidRDefault="00A9336B" w:rsidP="00A9336B">
      <w:pPr>
        <w:spacing w:after="0" w:line="240" w:lineRule="auto"/>
        <w:rPr>
          <w:rFonts w:ascii="Verdana" w:eastAsia="Calibri" w:hAnsi="Verdana" w:cs="Calibri"/>
          <w:b/>
          <w:bCs/>
          <w:lang w:val="es-ES"/>
        </w:rPr>
      </w:pPr>
    </w:p>
    <w:p w14:paraId="7BA84E9D" w14:textId="77777777" w:rsidR="00A9336B" w:rsidRDefault="00A9336B" w:rsidP="00A9336B">
      <w:pPr>
        <w:spacing w:after="0" w:line="240" w:lineRule="auto"/>
        <w:rPr>
          <w:rFonts w:ascii="Verdana" w:eastAsia="Calibri" w:hAnsi="Verdana" w:cs="Calibri"/>
          <w:b/>
          <w:bCs/>
          <w:lang w:val="es-ES"/>
        </w:rPr>
      </w:pPr>
    </w:p>
    <w:p w14:paraId="02DCE82E" w14:textId="77777777" w:rsidR="00A9336B" w:rsidRDefault="00A9336B" w:rsidP="00A9336B">
      <w:pPr>
        <w:spacing w:after="0" w:line="240" w:lineRule="auto"/>
        <w:rPr>
          <w:rFonts w:ascii="Verdana" w:eastAsia="Calibri" w:hAnsi="Verdana" w:cs="Calibri"/>
          <w:b/>
          <w:bCs/>
          <w:lang w:val="es-ES"/>
        </w:rPr>
      </w:pPr>
    </w:p>
    <w:p w14:paraId="6FC3EC06" w14:textId="77777777" w:rsidR="00A9336B" w:rsidRDefault="00A9336B" w:rsidP="00A9336B">
      <w:pPr>
        <w:spacing w:after="0" w:line="240" w:lineRule="auto"/>
        <w:rPr>
          <w:rFonts w:ascii="Verdana" w:eastAsia="Calibri" w:hAnsi="Verdana" w:cs="Calibri"/>
          <w:b/>
          <w:bCs/>
          <w:lang w:val="es-ES"/>
        </w:rPr>
      </w:pPr>
    </w:p>
    <w:p w14:paraId="4A428EAE" w14:textId="77777777" w:rsidR="00A9336B" w:rsidRDefault="00A9336B" w:rsidP="00A9336B">
      <w:pPr>
        <w:spacing w:after="0" w:line="240" w:lineRule="auto"/>
        <w:rPr>
          <w:rFonts w:ascii="Verdana" w:eastAsia="Calibri" w:hAnsi="Verdana" w:cs="Calibri"/>
          <w:b/>
          <w:bCs/>
          <w:lang w:val="es-ES"/>
        </w:rPr>
      </w:pPr>
    </w:p>
    <w:p w14:paraId="7668745C" w14:textId="77777777" w:rsidR="00A9336B" w:rsidRPr="00196CE6" w:rsidRDefault="00A9336B" w:rsidP="00A9336B">
      <w:pPr>
        <w:spacing w:after="0" w:line="240" w:lineRule="auto"/>
        <w:rPr>
          <w:rFonts w:ascii="Verdana" w:eastAsia="Calibri" w:hAnsi="Verdana" w:cs="Calibri"/>
          <w:b/>
          <w:bCs/>
          <w:lang w:val="es-ES"/>
        </w:rPr>
      </w:pPr>
    </w:p>
    <w:p w14:paraId="2044F4BF" w14:textId="77777777" w:rsidR="00A9336B" w:rsidRDefault="00A9336B" w:rsidP="00A9336B">
      <w:pPr>
        <w:spacing w:after="0" w:line="240" w:lineRule="auto"/>
        <w:rPr>
          <w:rFonts w:ascii="Verdana" w:hAnsi="Verdana"/>
        </w:rPr>
      </w:pPr>
    </w:p>
    <w:p w14:paraId="106DF8AA" w14:textId="77777777" w:rsidR="00A9336B" w:rsidRDefault="00A9336B" w:rsidP="00A9336B">
      <w:pPr>
        <w:spacing w:after="0" w:line="240" w:lineRule="auto"/>
        <w:rPr>
          <w:rFonts w:ascii="Verdana" w:hAnsi="Verdana"/>
        </w:rPr>
      </w:pPr>
    </w:p>
    <w:p w14:paraId="65E94ADA" w14:textId="77777777" w:rsidR="00A9336B" w:rsidRDefault="00A9336B" w:rsidP="00A9336B">
      <w:pPr>
        <w:spacing w:after="0" w:line="240" w:lineRule="auto"/>
        <w:rPr>
          <w:rFonts w:ascii="Verdana" w:hAnsi="Verdana"/>
        </w:rPr>
      </w:pPr>
    </w:p>
    <w:p w14:paraId="41E976C5" w14:textId="77777777" w:rsidR="00A9336B" w:rsidRDefault="00A9336B" w:rsidP="00A9336B">
      <w:pPr>
        <w:spacing w:after="0" w:line="240" w:lineRule="auto"/>
        <w:rPr>
          <w:rFonts w:ascii="Verdana" w:hAnsi="Verdana"/>
        </w:rPr>
      </w:pPr>
    </w:p>
    <w:p w14:paraId="10586035" w14:textId="77777777" w:rsidR="009D44A1" w:rsidRDefault="009D44A1" w:rsidP="00A9336B">
      <w:pPr>
        <w:spacing w:after="0" w:line="240" w:lineRule="auto"/>
        <w:rPr>
          <w:rFonts w:ascii="Verdana" w:eastAsia="Geomanist Light" w:hAnsi="Verdana" w:cs="Arial"/>
        </w:rPr>
      </w:pPr>
    </w:p>
    <w:p w14:paraId="347E3AC9" w14:textId="7C0CC116" w:rsidR="00A9336B" w:rsidRPr="00960F72" w:rsidRDefault="00A9336B" w:rsidP="00A9336B">
      <w:pPr>
        <w:spacing w:after="0" w:line="240" w:lineRule="auto"/>
        <w:rPr>
          <w:rFonts w:ascii="Verdana" w:eastAsia="Calibri" w:hAnsi="Verdana" w:cs="Arial"/>
          <w:bCs/>
          <w:sz w:val="20"/>
          <w:szCs w:val="20"/>
          <w:lang w:eastAsia="es-ES_tradnl"/>
        </w:rPr>
      </w:pPr>
      <w:r w:rsidRPr="00960F72">
        <w:rPr>
          <w:rFonts w:ascii="Verdana" w:eastAsia="Geomanist Light" w:hAnsi="Verdana" w:cs="Arial"/>
        </w:rPr>
        <w:lastRenderedPageBreak/>
        <w:t>Bogotá D.C., [Día] de [</w:t>
      </w:r>
      <w:proofErr w:type="spellStart"/>
      <w:r w:rsidRPr="00960F72">
        <w:rPr>
          <w:rFonts w:ascii="Verdana" w:eastAsia="Geomanist Light" w:hAnsi="Verdana" w:cs="Arial"/>
        </w:rPr>
        <w:t>Mes.NombreCapitalizado</w:t>
      </w:r>
      <w:proofErr w:type="spellEnd"/>
      <w:r w:rsidRPr="00960F72">
        <w:rPr>
          <w:rFonts w:ascii="Verdana" w:eastAsia="Geomanist Light" w:hAnsi="Verdana" w:cs="Arial"/>
        </w:rPr>
        <w:t>] de [Año]</w:t>
      </w:r>
    </w:p>
    <w:p w14:paraId="69A1F4FA" w14:textId="564CC70D" w:rsidR="00A9336B" w:rsidRDefault="00A9336B" w:rsidP="00A9336B">
      <w:pPr>
        <w:spacing w:after="0" w:line="240" w:lineRule="auto"/>
        <w:rPr>
          <w:rFonts w:ascii="Verdana" w:eastAsia="Calibri" w:hAnsi="Verdana" w:cs="Arial"/>
          <w:b/>
          <w:bCs/>
          <w:lang w:eastAsia="es-ES_tradnl"/>
        </w:rPr>
      </w:pPr>
    </w:p>
    <w:p w14:paraId="0540115C" w14:textId="5A7D14B7" w:rsidR="00A9336B" w:rsidRDefault="009D44A1" w:rsidP="00A9336B">
      <w:pPr>
        <w:spacing w:after="0" w:line="240" w:lineRule="auto"/>
        <w:rPr>
          <w:rFonts w:ascii="Verdana" w:eastAsia="Calibri" w:hAnsi="Verdana" w:cs="Arial"/>
          <w:lang w:eastAsia="es-ES_tradnl"/>
        </w:rPr>
      </w:pPr>
      <w:r w:rsidRPr="009449D9">
        <w:rPr>
          <w:rFonts w:ascii="Verdana" w:hAnsi="Verdana"/>
          <w:noProof/>
        </w:rPr>
        <w:drawing>
          <wp:anchor distT="0" distB="0" distL="114300" distR="114300" simplePos="0" relativeHeight="251658240" behindDoc="1" locked="0" layoutInCell="1" allowOverlap="1" wp14:anchorId="7AF5366E" wp14:editId="11DEC294">
            <wp:simplePos x="0" y="0"/>
            <wp:positionH relativeFrom="margin">
              <wp:align>right</wp:align>
            </wp:positionH>
            <wp:positionV relativeFrom="paragraph">
              <wp:posOffset>12065</wp:posOffset>
            </wp:positionV>
            <wp:extent cx="2785745" cy="783590"/>
            <wp:effectExtent l="0" t="0" r="0" b="0"/>
            <wp:wrapSquare wrapText="bothSides"/>
            <wp:docPr id="172379561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795611" name="Imagen 1" descr="Texto&#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85745" cy="783590"/>
                    </a:xfrm>
                    <a:prstGeom prst="rect">
                      <a:avLst/>
                    </a:prstGeom>
                  </pic:spPr>
                </pic:pic>
              </a:graphicData>
            </a:graphic>
            <wp14:sizeRelH relativeFrom="page">
              <wp14:pctWidth>0</wp14:pctWidth>
            </wp14:sizeRelH>
            <wp14:sizeRelV relativeFrom="page">
              <wp14:pctHeight>0</wp14:pctHeight>
            </wp14:sizeRelV>
          </wp:anchor>
        </w:drawing>
      </w:r>
      <w:r w:rsidR="00A9336B">
        <w:rPr>
          <w:rFonts w:ascii="Verdana" w:eastAsia="Calibri" w:hAnsi="Verdana" w:cs="Arial"/>
          <w:lang w:eastAsia="es-ES_tradnl"/>
        </w:rPr>
        <w:t>Señores</w:t>
      </w:r>
    </w:p>
    <w:p w14:paraId="05E6B78A" w14:textId="310DEA98" w:rsidR="00A9336B" w:rsidRDefault="00A9336B" w:rsidP="00A9336B">
      <w:pPr>
        <w:spacing w:after="0" w:line="240" w:lineRule="auto"/>
        <w:rPr>
          <w:rFonts w:ascii="Verdana" w:eastAsia="Calibri" w:hAnsi="Verdana" w:cs="Arial"/>
          <w:b/>
          <w:bCs/>
          <w:lang w:eastAsia="es-ES_tradnl"/>
        </w:rPr>
      </w:pPr>
      <w:proofErr w:type="spellStart"/>
      <w:r>
        <w:rPr>
          <w:rFonts w:ascii="Verdana" w:eastAsia="Calibri" w:hAnsi="Verdana" w:cs="Arial"/>
          <w:b/>
          <w:bCs/>
          <w:lang w:eastAsia="es-ES_tradnl"/>
        </w:rPr>
        <w:t>Cubiko</w:t>
      </w:r>
      <w:proofErr w:type="spellEnd"/>
      <w:r>
        <w:rPr>
          <w:rFonts w:ascii="Verdana" w:eastAsia="Calibri" w:hAnsi="Verdana" w:cs="Arial"/>
          <w:b/>
          <w:bCs/>
          <w:lang w:eastAsia="es-ES_tradnl"/>
        </w:rPr>
        <w:t xml:space="preserve"> Obras y Consultoría SAS</w:t>
      </w:r>
    </w:p>
    <w:p w14:paraId="7F1BD6B0" w14:textId="45ADBEE8" w:rsidR="00A9336B" w:rsidRPr="00583A8C" w:rsidRDefault="00A9336B" w:rsidP="00A9336B">
      <w:pPr>
        <w:spacing w:after="0" w:line="240" w:lineRule="auto"/>
        <w:rPr>
          <w:rFonts w:ascii="Verdana" w:hAnsi="Verdana"/>
        </w:rPr>
      </w:pPr>
      <w:r>
        <w:rPr>
          <w:rFonts w:ascii="Verdana" w:hAnsi="Verdana"/>
        </w:rPr>
        <w:t>juridicacubiko@gmail.com</w:t>
      </w:r>
    </w:p>
    <w:p w14:paraId="6A08088F" w14:textId="77777777" w:rsidR="00A9336B" w:rsidRPr="007211E4" w:rsidRDefault="00A9336B" w:rsidP="00A9336B">
      <w:pPr>
        <w:spacing w:after="0" w:line="240" w:lineRule="auto"/>
        <w:rPr>
          <w:rFonts w:ascii="Verdana" w:eastAsia="Calibri" w:hAnsi="Verdana" w:cs="Arial"/>
          <w:lang w:eastAsia="es-ES_tradnl"/>
        </w:rPr>
      </w:pPr>
      <w:r>
        <w:rPr>
          <w:rFonts w:ascii="Verdana" w:eastAsia="Calibri" w:hAnsi="Verdana" w:cs="Arial"/>
          <w:lang w:eastAsia="es-ES_tradnl"/>
        </w:rPr>
        <w:t>Bogotá, Cundinamarca</w:t>
      </w:r>
    </w:p>
    <w:p w14:paraId="513D4212" w14:textId="77777777" w:rsidR="00A9336B" w:rsidRPr="00514983" w:rsidRDefault="00A9336B" w:rsidP="00A9336B">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9336B" w:rsidRPr="00960F72" w14:paraId="310FDEA6" w14:textId="77777777" w:rsidTr="007B562E">
        <w:trPr>
          <w:trHeight w:val="190"/>
        </w:trPr>
        <w:tc>
          <w:tcPr>
            <w:tcW w:w="2689" w:type="dxa"/>
          </w:tcPr>
          <w:p w14:paraId="361C8A80" w14:textId="77777777" w:rsidR="00A9336B" w:rsidRPr="00960F72" w:rsidRDefault="00A9336B" w:rsidP="007B562E">
            <w:pPr>
              <w:jc w:val="both"/>
              <w:rPr>
                <w:rFonts w:ascii="Verdana" w:eastAsia="Calibri" w:hAnsi="Verdana" w:cs="Arial"/>
                <w:b/>
                <w:bCs/>
                <w:lang w:eastAsia="es-ES_tradnl"/>
              </w:rPr>
            </w:pPr>
          </w:p>
        </w:tc>
        <w:tc>
          <w:tcPr>
            <w:tcW w:w="6100" w:type="dxa"/>
          </w:tcPr>
          <w:p w14:paraId="7FFA21CB" w14:textId="77777777" w:rsidR="00A9336B" w:rsidRPr="00960F72" w:rsidRDefault="00A9336B" w:rsidP="007B562E">
            <w:pPr>
              <w:jc w:val="both"/>
              <w:rPr>
                <w:rFonts w:ascii="Verdana" w:eastAsia="Calibri" w:hAnsi="Verdana" w:cs="Arial"/>
                <w:b/>
                <w:bCs/>
                <w:lang w:eastAsia="es-ES"/>
              </w:rPr>
            </w:pPr>
            <w:r w:rsidRPr="00960F72">
              <w:rPr>
                <w:rFonts w:ascii="Verdana" w:eastAsia="Calibri" w:hAnsi="Verdana" w:cs="Arial"/>
                <w:b/>
                <w:bCs/>
                <w:lang w:eastAsia="es-ES"/>
              </w:rPr>
              <w:t>Concepto C- 1</w:t>
            </w:r>
            <w:r>
              <w:rPr>
                <w:rFonts w:ascii="Verdana" w:eastAsia="Calibri" w:hAnsi="Verdana" w:cs="Arial"/>
                <w:b/>
                <w:bCs/>
                <w:lang w:eastAsia="es-ES"/>
              </w:rPr>
              <w:t>736</w:t>
            </w:r>
            <w:r w:rsidRPr="00960F72">
              <w:rPr>
                <w:rFonts w:ascii="Verdana" w:eastAsia="Calibri" w:hAnsi="Verdana" w:cs="Arial"/>
                <w:b/>
                <w:bCs/>
                <w:lang w:eastAsia="es-ES"/>
              </w:rPr>
              <w:t xml:space="preserve"> de 2025</w:t>
            </w:r>
          </w:p>
          <w:p w14:paraId="39EF6C05" w14:textId="77777777" w:rsidR="00A9336B" w:rsidRPr="00960F72" w:rsidRDefault="00A9336B" w:rsidP="007B562E">
            <w:pPr>
              <w:jc w:val="both"/>
              <w:rPr>
                <w:rFonts w:ascii="Verdana" w:eastAsia="Calibri" w:hAnsi="Verdana" w:cs="Arial"/>
                <w:b/>
                <w:bCs/>
                <w:lang w:eastAsia="es-ES"/>
              </w:rPr>
            </w:pPr>
          </w:p>
        </w:tc>
      </w:tr>
      <w:tr w:rsidR="00A9336B" w:rsidRPr="00960F72" w14:paraId="719D4921" w14:textId="77777777" w:rsidTr="007B562E">
        <w:trPr>
          <w:trHeight w:val="884"/>
        </w:trPr>
        <w:tc>
          <w:tcPr>
            <w:tcW w:w="2689" w:type="dxa"/>
          </w:tcPr>
          <w:p w14:paraId="48DD502F" w14:textId="77777777" w:rsidR="00A9336B" w:rsidRPr="00960F72" w:rsidRDefault="00A9336B" w:rsidP="007B562E">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6D59F8A8" w14:textId="77777777" w:rsidR="00A9336B" w:rsidRPr="00A11406" w:rsidRDefault="00A9336B" w:rsidP="007B562E">
            <w:pPr>
              <w:spacing w:line="276" w:lineRule="auto"/>
              <w:jc w:val="both"/>
              <w:rPr>
                <w:rFonts w:ascii="Verdana" w:eastAsia="Calibri" w:hAnsi="Verdana" w:cs="Arial"/>
                <w:lang w:val="es-ES" w:eastAsia="es-ES"/>
              </w:rPr>
            </w:pPr>
            <w:r w:rsidRPr="00C614F2">
              <w:rPr>
                <w:rFonts w:ascii="Verdana" w:hAnsi="Verdana" w:cs="Arial"/>
                <w:bCs/>
                <w:lang w:val="es-ES" w:eastAsia="es-ES"/>
              </w:rPr>
              <w:t xml:space="preserve">CONTRATO ESTATAL – Ejercicio – Funciones de control y vigilancia / CONTRATO ESTATAL – Supervisión – Interventoría – características / CONTROL Y VIGILANCIA – Ejercicio de supervisión e interventoría – fase </w:t>
            </w:r>
            <w:proofErr w:type="spellStart"/>
            <w:r w:rsidRPr="00C614F2">
              <w:rPr>
                <w:rFonts w:ascii="Verdana" w:hAnsi="Verdana" w:cs="Arial"/>
                <w:bCs/>
                <w:lang w:val="es-ES" w:eastAsia="es-ES"/>
              </w:rPr>
              <w:t>poscontractual</w:t>
            </w:r>
            <w:proofErr w:type="spellEnd"/>
            <w:r w:rsidRPr="00C614F2">
              <w:rPr>
                <w:rFonts w:ascii="Verdana" w:hAnsi="Verdana" w:cs="Arial"/>
                <w:bCs/>
                <w:lang w:val="es-ES" w:eastAsia="es-ES"/>
              </w:rPr>
              <w:t xml:space="preserve"> – amparo de estabilidad y calidad de la obra / </w:t>
            </w:r>
            <w:r w:rsidRPr="00C614F2">
              <w:rPr>
                <w:rStyle w:val="TextoindependienteCar"/>
                <w:rFonts w:ascii="Verdana" w:hAnsi="Verdana"/>
              </w:rPr>
              <w:t>CONTROL Y VIGILANCIA – Ejercicio de supervisión e interventoría - deber de vigilancia a la interventoría</w:t>
            </w:r>
          </w:p>
          <w:p w14:paraId="2FA54037" w14:textId="77777777" w:rsidR="00A9336B" w:rsidRPr="001F1B6C" w:rsidRDefault="00A9336B" w:rsidP="007B562E">
            <w:pPr>
              <w:spacing w:line="276" w:lineRule="auto"/>
              <w:jc w:val="both"/>
              <w:rPr>
                <w:rFonts w:ascii="Verdana" w:eastAsia="Calibri" w:hAnsi="Verdana" w:cs="Arial"/>
                <w:lang w:val="es-ES" w:eastAsia="es-ES"/>
              </w:rPr>
            </w:pP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p>
        </w:tc>
      </w:tr>
      <w:tr w:rsidR="00A9336B" w:rsidRPr="00960F72" w14:paraId="2E8A5AB4" w14:textId="77777777" w:rsidTr="007B562E">
        <w:tc>
          <w:tcPr>
            <w:tcW w:w="2689" w:type="dxa"/>
          </w:tcPr>
          <w:p w14:paraId="3A0B7E4F" w14:textId="77777777" w:rsidR="00A9336B" w:rsidRPr="00583A8C" w:rsidRDefault="00A9336B" w:rsidP="007B562E">
            <w:pPr>
              <w:jc w:val="both"/>
              <w:rPr>
                <w:rFonts w:ascii="Verdana" w:eastAsia="Calibri" w:hAnsi="Verdana" w:cs="Arial"/>
                <w:b/>
                <w:lang w:eastAsia="es-ES_tradnl"/>
              </w:rPr>
            </w:pPr>
            <w:r w:rsidRPr="00583A8C">
              <w:rPr>
                <w:rFonts w:ascii="Verdana" w:eastAsia="Calibri" w:hAnsi="Verdana" w:cs="Arial"/>
                <w:b/>
                <w:lang w:eastAsia="es-ES_tradnl"/>
              </w:rPr>
              <w:t>Radicación:</w:t>
            </w:r>
            <w:r w:rsidRPr="00583A8C">
              <w:rPr>
                <w:rFonts w:ascii="Verdana" w:eastAsia="Calibri" w:hAnsi="Verdana" w:cs="Arial"/>
                <w:lang w:eastAsia="es-ES_tradnl"/>
              </w:rPr>
              <w:t xml:space="preserve">               </w:t>
            </w:r>
          </w:p>
        </w:tc>
        <w:tc>
          <w:tcPr>
            <w:tcW w:w="6100" w:type="dxa"/>
          </w:tcPr>
          <w:p w14:paraId="65F97856" w14:textId="77777777" w:rsidR="00A9336B" w:rsidRPr="00583A8C" w:rsidRDefault="00A9336B" w:rsidP="007B562E">
            <w:pPr>
              <w:jc w:val="both"/>
              <w:rPr>
                <w:rFonts w:ascii="Verdana" w:eastAsia="Calibri" w:hAnsi="Verdana" w:cs="Arial"/>
                <w:lang w:eastAsia="es-ES_tradnl"/>
              </w:rPr>
            </w:pPr>
            <w:r w:rsidRPr="00583A8C">
              <w:rPr>
                <w:rFonts w:ascii="Verdana" w:eastAsia="Calibri" w:hAnsi="Verdana" w:cs="Arial"/>
                <w:lang w:eastAsia="es-ES_tradnl"/>
              </w:rPr>
              <w:t>Respuesta a consulta con radicado No.</w:t>
            </w:r>
            <w:r w:rsidRPr="00583A8C">
              <w:rPr>
                <w:rFonts w:ascii="Verdana" w:hAnsi="Verdana" w:cs="Segoe UI"/>
                <w:color w:val="2B2B2B"/>
                <w:shd w:val="clear" w:color="auto" w:fill="FFFFFF"/>
              </w:rPr>
              <w:t xml:space="preserve"> </w:t>
            </w:r>
            <w:r w:rsidRPr="008C1DA4">
              <w:rPr>
                <w:rFonts w:ascii="Verdana" w:hAnsi="Verdana" w:cs="Segoe UI"/>
                <w:color w:val="2B2B2B"/>
                <w:shd w:val="clear" w:color="auto" w:fill="FFFFFF"/>
              </w:rPr>
              <w:t>1_2025_11_27_013424</w:t>
            </w:r>
          </w:p>
        </w:tc>
      </w:tr>
    </w:tbl>
    <w:p w14:paraId="0CC66E9B" w14:textId="77777777" w:rsidR="00A9336B" w:rsidRPr="00960F72" w:rsidRDefault="00A9336B" w:rsidP="00A9336B">
      <w:pPr>
        <w:spacing w:after="0" w:line="240" w:lineRule="auto"/>
        <w:jc w:val="both"/>
        <w:rPr>
          <w:rFonts w:ascii="Verdana" w:eastAsia="Calibri" w:hAnsi="Verdana" w:cs="Arial"/>
          <w:lang w:eastAsia="es-ES_tradnl"/>
        </w:rPr>
      </w:pPr>
    </w:p>
    <w:p w14:paraId="338DE12A" w14:textId="77777777" w:rsidR="00A9336B" w:rsidRDefault="00A9336B" w:rsidP="00A9336B">
      <w:pPr>
        <w:spacing w:after="0" w:line="240" w:lineRule="auto"/>
        <w:rPr>
          <w:rFonts w:ascii="Verdana" w:eastAsia="Calibri" w:hAnsi="Verdana" w:cs="Arial"/>
          <w:b/>
          <w:bCs/>
          <w:lang w:eastAsia="es-ES_tradnl"/>
        </w:rPr>
      </w:pPr>
      <w:r>
        <w:rPr>
          <w:rFonts w:ascii="Verdana" w:eastAsia="Calibri" w:hAnsi="Verdana" w:cs="Arial"/>
          <w:lang w:eastAsia="es-ES"/>
        </w:rPr>
        <w:t xml:space="preserve">Estimados </w:t>
      </w:r>
      <w:proofErr w:type="spellStart"/>
      <w:r w:rsidRPr="008C1DA4">
        <w:rPr>
          <w:rFonts w:ascii="Verdana" w:eastAsia="Calibri" w:hAnsi="Verdana" w:cs="Arial"/>
          <w:lang w:eastAsia="es-ES_tradnl"/>
        </w:rPr>
        <w:t>Cubiko</w:t>
      </w:r>
      <w:proofErr w:type="spellEnd"/>
      <w:r w:rsidRPr="008C1DA4">
        <w:rPr>
          <w:rFonts w:ascii="Verdana" w:eastAsia="Calibri" w:hAnsi="Verdana" w:cs="Arial"/>
          <w:lang w:eastAsia="es-ES_tradnl"/>
        </w:rPr>
        <w:t xml:space="preserve"> Obras y Consultoría SAS</w:t>
      </w:r>
      <w:r>
        <w:rPr>
          <w:rFonts w:ascii="Verdana" w:eastAsia="Calibri" w:hAnsi="Verdana" w:cs="Arial"/>
          <w:lang w:eastAsia="es-ES_tradnl"/>
        </w:rPr>
        <w:t>:</w:t>
      </w:r>
    </w:p>
    <w:p w14:paraId="6503CC37" w14:textId="77777777" w:rsidR="00A9336B" w:rsidRPr="00960F72" w:rsidRDefault="00A9336B" w:rsidP="00A9336B">
      <w:pPr>
        <w:tabs>
          <w:tab w:val="left" w:pos="3768"/>
        </w:tabs>
        <w:spacing w:after="0" w:line="276" w:lineRule="auto"/>
        <w:jc w:val="both"/>
        <w:rPr>
          <w:rFonts w:ascii="Verdana" w:eastAsia="Calibri" w:hAnsi="Verdana" w:cs="Arial"/>
          <w:lang w:eastAsia="es-ES"/>
        </w:rPr>
      </w:pPr>
    </w:p>
    <w:p w14:paraId="5DBE5084" w14:textId="77777777" w:rsidR="00A9336B" w:rsidRPr="00960F72" w:rsidRDefault="00A9336B" w:rsidP="00A9336B">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 xml:space="preserve">24 </w:t>
      </w:r>
      <w:r w:rsidRPr="00960F72">
        <w:rPr>
          <w:rFonts w:ascii="Verdana" w:eastAsia="Calibri" w:hAnsi="Verdana" w:cs="Arial"/>
          <w:lang w:eastAsia="es-ES"/>
        </w:rPr>
        <w:t xml:space="preserve">de </w:t>
      </w:r>
      <w:r>
        <w:rPr>
          <w:rFonts w:ascii="Verdana" w:eastAsia="Calibri" w:hAnsi="Verdana" w:cs="Arial"/>
          <w:lang w:eastAsia="es-ES"/>
        </w:rPr>
        <w:t>noviembre</w:t>
      </w:r>
      <w:r w:rsidRPr="00960F72">
        <w:rPr>
          <w:rFonts w:ascii="Verdana" w:eastAsia="Calibri" w:hAnsi="Verdana" w:cs="Arial"/>
          <w:lang w:eastAsia="es-ES"/>
        </w:rPr>
        <w:t xml:space="preserve"> de 2025, en la cual manifiesta lo siguiente: </w:t>
      </w:r>
    </w:p>
    <w:p w14:paraId="6923BF6D" w14:textId="77777777" w:rsidR="00A9336B" w:rsidRPr="00960F72" w:rsidRDefault="00A9336B" w:rsidP="00A9336B">
      <w:pPr>
        <w:spacing w:after="0" w:line="276" w:lineRule="auto"/>
        <w:jc w:val="both"/>
        <w:rPr>
          <w:rFonts w:ascii="Verdana" w:eastAsia="Calibri" w:hAnsi="Verdana" w:cs="Arial"/>
          <w:lang w:eastAsia="es-ES"/>
        </w:rPr>
      </w:pPr>
    </w:p>
    <w:p w14:paraId="40A24C5D" w14:textId="204C8F81" w:rsidR="00A9336B" w:rsidRDefault="00A9336B" w:rsidP="009449D9">
      <w:pPr>
        <w:spacing w:after="0" w:line="276"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E80C13">
        <w:rPr>
          <w:rFonts w:ascii="Verdana" w:eastAsia="Calibri" w:hAnsi="Verdana" w:cs="Arial"/>
          <w:sz w:val="20"/>
          <w:szCs w:val="20"/>
          <w:lang w:eastAsia="es-ES"/>
        </w:rPr>
        <w:t xml:space="preserve">Qué dispone la normativa en materia de contratación estatal respecto de la ejecución contractual durante un periodo de suspensión, y cuáles son las posibles consecuencias jurídicas que se derivan de la realización de actividades en dicho tiempo. 2. Qué establece el ordenamiento jurídico respecto de las facultades y deberes de las entidades contratantes frente a la vigilancia y control de la ejecución contractual, especialmente cuando se presentan hechos que podrían configurar un incumplimiento y la entidad no adelanta el procedimiento administrativo correspondiente pese a los reportes y advertencias de la interventoría. 3. Cuál es el alcance de </w:t>
      </w:r>
      <w:r w:rsidRPr="00E80C13">
        <w:rPr>
          <w:rFonts w:ascii="Verdana" w:eastAsia="Calibri" w:hAnsi="Verdana" w:cs="Arial"/>
          <w:sz w:val="20"/>
          <w:szCs w:val="20"/>
          <w:lang w:eastAsia="es-ES"/>
        </w:rPr>
        <w:lastRenderedPageBreak/>
        <w:t>las funciones y responsabilidades de la interventoría en estos casos, considerando los límites de su actuación frente a decisiones que son propias de la entidad contratante, así como las implicaciones jurídicas de avalar o certificar actividades ejecutadas durante un periodo de suspensión vigente. 4. Qué herramientas o mecanismos previstos en la normativa colombiana permiten a los actores del sistema de compras públicas salvaguardar los principios de la contratación estatal y garantizar la protección del interés público cuando se advierten actuaciones irregulares o contrarias al contrato, como la ejecución de la obra durante la suspensión</w:t>
      </w:r>
      <w:r w:rsidRPr="003C2C84">
        <w:rPr>
          <w:rFonts w:ascii="Verdana" w:eastAsia="Calibri" w:hAnsi="Verdana" w:cs="Arial"/>
          <w:sz w:val="20"/>
          <w:szCs w:val="20"/>
          <w:lang w:eastAsia="es-ES"/>
        </w:rPr>
        <w:t>.</w:t>
      </w:r>
      <w:r>
        <w:rPr>
          <w:rFonts w:ascii="Verdana" w:eastAsia="Calibri" w:hAnsi="Verdana" w:cs="Arial"/>
          <w:sz w:val="20"/>
          <w:szCs w:val="20"/>
          <w:lang w:eastAsia="es-ES"/>
        </w:rPr>
        <w:t>”</w:t>
      </w:r>
    </w:p>
    <w:p w14:paraId="4C08EE58" w14:textId="77777777" w:rsidR="009449D9" w:rsidRPr="009449D9" w:rsidRDefault="009449D9" w:rsidP="009449D9">
      <w:pPr>
        <w:spacing w:after="0" w:line="276" w:lineRule="auto"/>
        <w:ind w:left="709" w:right="709"/>
        <w:jc w:val="both"/>
        <w:rPr>
          <w:rFonts w:ascii="Verdana" w:eastAsia="Calibri" w:hAnsi="Verdana" w:cs="Arial"/>
          <w:sz w:val="20"/>
          <w:szCs w:val="20"/>
          <w:lang w:eastAsia="es-ES"/>
        </w:rPr>
      </w:pPr>
    </w:p>
    <w:p w14:paraId="2D585178" w14:textId="77777777" w:rsidR="00A9336B" w:rsidRPr="00960F72" w:rsidRDefault="00A9336B" w:rsidP="00A9336B">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303A3F96" w14:textId="77777777" w:rsidR="00A9336B" w:rsidRPr="00960F72" w:rsidRDefault="00A9336B" w:rsidP="00A9336B">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45A632E9" w14:textId="77777777" w:rsidR="00A9336B" w:rsidRDefault="00A9336B" w:rsidP="00A9336B">
      <w:pPr>
        <w:spacing w:after="0" w:line="276" w:lineRule="auto"/>
        <w:ind w:firstLine="709"/>
        <w:jc w:val="both"/>
        <w:rPr>
          <w:rFonts w:ascii="Verdana" w:eastAsia="Calibri" w:hAnsi="Verdana" w:cs="Arial"/>
          <w:lang w:eastAsia="es-ES"/>
        </w:rPr>
      </w:pPr>
    </w:p>
    <w:p w14:paraId="2C73C819" w14:textId="77777777" w:rsidR="009449D9" w:rsidRPr="00960F72" w:rsidRDefault="009449D9" w:rsidP="00A9336B">
      <w:pPr>
        <w:spacing w:after="0" w:line="276" w:lineRule="auto"/>
        <w:ind w:firstLine="709"/>
        <w:jc w:val="both"/>
        <w:rPr>
          <w:rFonts w:ascii="Verdana" w:eastAsia="Calibri" w:hAnsi="Verdana" w:cs="Arial"/>
          <w:lang w:eastAsia="es-ES"/>
        </w:rPr>
      </w:pPr>
    </w:p>
    <w:p w14:paraId="13FBF12F" w14:textId="77777777" w:rsidR="00A9336B" w:rsidRPr="00960F72" w:rsidRDefault="00A9336B" w:rsidP="00A9336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43605810" w14:textId="77777777" w:rsidR="00A9336B" w:rsidRPr="00960F72" w:rsidRDefault="00A9336B" w:rsidP="00A9336B">
      <w:pPr>
        <w:tabs>
          <w:tab w:val="left" w:pos="426"/>
        </w:tabs>
        <w:spacing w:after="0" w:line="276" w:lineRule="auto"/>
        <w:jc w:val="both"/>
        <w:rPr>
          <w:rFonts w:ascii="Verdana" w:eastAsia="Century Gothic" w:hAnsi="Verdana" w:cs="Century Gothic"/>
        </w:rPr>
      </w:pPr>
    </w:p>
    <w:p w14:paraId="621F3C4C" w14:textId="77777777" w:rsidR="00A9336B" w:rsidRPr="007211E4" w:rsidRDefault="00A9336B" w:rsidP="00A9336B">
      <w:pPr>
        <w:spacing w:after="0" w:line="276" w:lineRule="auto"/>
        <w:jc w:val="both"/>
        <w:rPr>
          <w:rFonts w:ascii="Verdana" w:eastAsia="Century Gothic" w:hAnsi="Verdana" w:cs="Century Gothic"/>
          <w:color w:val="000000" w:themeColor="text1"/>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E53DFA">
        <w:rPr>
          <w:rFonts w:ascii="Verdana" w:eastAsia="Century Gothic" w:hAnsi="Verdana" w:cs="Century Gothic"/>
        </w:rPr>
        <w:t>¿</w:t>
      </w:r>
      <w:r w:rsidRPr="00E80C13">
        <w:rPr>
          <w:rFonts w:ascii="Verdana" w:eastAsia="Century Gothic" w:hAnsi="Verdana" w:cs="Century Gothic"/>
        </w:rPr>
        <w:t xml:space="preserve">Cuál es el régimen jurídico aplicable en la contratación estatal a la suspensión y ejecución del contrato, a los deberes de vigilancia y control de la entidad contratante, al alcance de las funciones y responsabilidades </w:t>
      </w:r>
      <w:r w:rsidRPr="00E80C13">
        <w:rPr>
          <w:rFonts w:ascii="Verdana" w:eastAsia="Century Gothic" w:hAnsi="Verdana" w:cs="Century Gothic"/>
        </w:rPr>
        <w:lastRenderedPageBreak/>
        <w:t>de la interventoría, y a los mecanismos legales para la protección de los principios de la contratación estatal y del interés público frente a eventuales irregularidades en la ejecución contractual?</w:t>
      </w:r>
    </w:p>
    <w:p w14:paraId="63590B52" w14:textId="77777777" w:rsidR="00A9336B" w:rsidRPr="00960F72" w:rsidRDefault="00A9336B" w:rsidP="00A9336B">
      <w:pPr>
        <w:spacing w:after="0" w:line="276" w:lineRule="auto"/>
        <w:jc w:val="both"/>
        <w:rPr>
          <w:rFonts w:ascii="Verdana" w:eastAsia="Century Gothic" w:hAnsi="Verdana" w:cs="Century Gothic"/>
        </w:rPr>
      </w:pPr>
    </w:p>
    <w:p w14:paraId="2364366F" w14:textId="3B90DCD6" w:rsidR="00A9336B" w:rsidRPr="00A7037C" w:rsidRDefault="00A9336B" w:rsidP="67B2A17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67B2A177">
        <w:rPr>
          <w:rFonts w:ascii="Verdana" w:eastAsia="Century Gothic" w:hAnsi="Verdana" w:cs="Century Gothic"/>
          <w:b/>
          <w:bCs/>
          <w:lang w:val="es-CO"/>
        </w:rPr>
        <w:t>Respuesta</w:t>
      </w:r>
      <w:r w:rsidR="20A12C9C" w:rsidRPr="67B2A177">
        <w:rPr>
          <w:rFonts w:ascii="Verdana" w:eastAsia="Century Gothic" w:hAnsi="Verdana" w:cs="Century Gothic"/>
          <w:b/>
          <w:bCs/>
          <w:lang w:val="es-CO"/>
        </w:rPr>
        <w:t xml:space="preserve"> </w:t>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9336B" w:rsidRPr="00960F72" w14:paraId="45DD3D6C" w14:textId="77777777" w:rsidTr="2B027EB6">
        <w:tc>
          <w:tcPr>
            <w:tcW w:w="8828" w:type="dxa"/>
          </w:tcPr>
          <w:p w14:paraId="568917EA" w14:textId="11DBC80F" w:rsidR="00A9336B" w:rsidRDefault="00A9336B" w:rsidP="007B562E">
            <w:pPr>
              <w:spacing w:line="276" w:lineRule="auto"/>
              <w:jc w:val="both"/>
              <w:rPr>
                <w:rFonts w:ascii="Verdana" w:hAnsi="Verdana"/>
              </w:rPr>
            </w:pPr>
            <w:r w:rsidRPr="008C1DA4">
              <w:rPr>
                <w:rFonts w:ascii="Verdana" w:hAnsi="Verdana"/>
              </w:rPr>
              <w:t>En atención a la consulta planteada, debe señalarse que, durante la ejecución del contrato estatal, la entidad contratante conserva en todo momento el deber indelegable de dirección, control y vigilancia del negocio jurídico, en desarrollo de los principios de responsabilidad, moralidad administrativa y protección del interés público previstos en la Ley 80 de 1993 y la Ley 1474 de 2011</w:t>
            </w:r>
            <w:r w:rsidR="00F571C2">
              <w:rPr>
                <w:rFonts w:ascii="Verdana" w:hAnsi="Verdana"/>
              </w:rPr>
              <w:t xml:space="preserve">. En este contexto, conforme a lo dispuesto en el inciso segundo del parágrafo 3 del artículo 84 de </w:t>
            </w:r>
            <w:r w:rsidR="006A54FB">
              <w:rPr>
                <w:rFonts w:ascii="Verdana" w:hAnsi="Verdana"/>
              </w:rPr>
              <w:t xml:space="preserve">la Ley 1474 de 2011, </w:t>
            </w:r>
            <w:r w:rsidR="00D3658F">
              <w:rPr>
                <w:rFonts w:ascii="Verdana" w:hAnsi="Verdana"/>
              </w:rPr>
              <w:t xml:space="preserve">cuando el ordenador del gasto es informado </w:t>
            </w:r>
            <w:r w:rsidR="004749AD">
              <w:rPr>
                <w:rFonts w:ascii="Verdana" w:hAnsi="Verdana"/>
              </w:rPr>
              <w:t>oportunamente por la interventoría o la supervisión sobre posibles incumplimientos contractuales y no conmina al contratista al cumplimiento de lo pactado ni adopta las medidas necesarias para salvaguardar el interés general y los recursos públicos involucrados, puede incurrir en responsabilidad solidaria por los perjuicios que se ocasionen con el incumplimiento.</w:t>
            </w:r>
          </w:p>
          <w:p w14:paraId="646752CF" w14:textId="77777777" w:rsidR="00A9336B" w:rsidRPr="008C1DA4" w:rsidRDefault="00A9336B" w:rsidP="007B562E">
            <w:pPr>
              <w:spacing w:line="276" w:lineRule="auto"/>
              <w:jc w:val="both"/>
              <w:rPr>
                <w:rFonts w:ascii="Verdana" w:hAnsi="Verdana"/>
              </w:rPr>
            </w:pPr>
          </w:p>
          <w:p w14:paraId="6AE0B121" w14:textId="77777777" w:rsidR="00A9336B" w:rsidRDefault="00A9336B" w:rsidP="007B562E">
            <w:pPr>
              <w:spacing w:line="276" w:lineRule="auto"/>
              <w:jc w:val="both"/>
              <w:rPr>
                <w:rFonts w:ascii="Verdana" w:hAnsi="Verdana"/>
              </w:rPr>
            </w:pPr>
            <w:r>
              <w:rPr>
                <w:rFonts w:ascii="Verdana" w:hAnsi="Verdana"/>
              </w:rPr>
              <w:t xml:space="preserve">     </w:t>
            </w:r>
            <w:r w:rsidRPr="008C1DA4">
              <w:rPr>
                <w:rFonts w:ascii="Verdana" w:hAnsi="Verdana"/>
              </w:rPr>
              <w:t>En ese marco, la suspensión del contrato constituye un cese temporal de la ejecución que no extingue las obligaciones contractuales ni libera a las partes de sus responsabilidades, razón por la cual la entidad debe mantener el control efectivo del contrato y adoptar las medidas necesarias para preservar los riesgos asociados a su ejecución. En particular, cuando la suspensión implica la modificación del plazo contractual, surge la obligación legal de exigir la ampliación o modificación de las garantías que integran la garantía única de cumplimiento y, cuando aplique, del seguro de responsabilidad civil extracontractual, exigencia que no es facultativa sino obligatoria para la entidad y el contratista.</w:t>
            </w:r>
          </w:p>
          <w:p w14:paraId="48F82856" w14:textId="77777777" w:rsidR="00A9336B" w:rsidRPr="008C1DA4" w:rsidRDefault="00A9336B" w:rsidP="007B562E">
            <w:pPr>
              <w:spacing w:line="276" w:lineRule="auto"/>
              <w:jc w:val="both"/>
              <w:rPr>
                <w:rFonts w:ascii="Verdana" w:hAnsi="Verdana"/>
              </w:rPr>
            </w:pPr>
          </w:p>
          <w:p w14:paraId="73305410" w14:textId="77777777" w:rsidR="00A9336B" w:rsidRDefault="00A9336B" w:rsidP="007B562E">
            <w:pPr>
              <w:spacing w:line="276" w:lineRule="auto"/>
              <w:jc w:val="both"/>
              <w:rPr>
                <w:rFonts w:ascii="Verdana" w:hAnsi="Verdana"/>
              </w:rPr>
            </w:pPr>
            <w:r>
              <w:rPr>
                <w:rFonts w:ascii="Verdana" w:hAnsi="Verdana"/>
              </w:rPr>
              <w:t xml:space="preserve">     </w:t>
            </w:r>
            <w:r w:rsidRPr="008C1DA4">
              <w:rPr>
                <w:rFonts w:ascii="Verdana" w:hAnsi="Verdana"/>
              </w:rPr>
              <w:t xml:space="preserve">De igual forma, la interventoría es un mecanismo que opera como instrumento de apoyo al ejercicio del control contractual, pero que no sustituyen la responsabilidad de la entidad contratante. El interventor ejerce un seguimiento técnico especializado dentro de los límites fijados en su contrato, mientras que la entidad conserva la competencia para adoptar decisiones administrativas, adelantar procedimientos sancionatorios y verificar </w:t>
            </w:r>
            <w:r w:rsidRPr="008C1DA4">
              <w:rPr>
                <w:rFonts w:ascii="Verdana" w:hAnsi="Verdana"/>
              </w:rPr>
              <w:lastRenderedPageBreak/>
              <w:t>la suficiencia y vigencia de las garantías, sin que los informes de interventoría constituyan prueba única o vinculante para tales efectos.</w:t>
            </w:r>
          </w:p>
          <w:p w14:paraId="2015EE70" w14:textId="77777777" w:rsidR="00A9336B" w:rsidRPr="008C1DA4" w:rsidRDefault="00A9336B" w:rsidP="007B562E">
            <w:pPr>
              <w:spacing w:line="276" w:lineRule="auto"/>
              <w:jc w:val="both"/>
              <w:rPr>
                <w:rFonts w:ascii="Verdana" w:hAnsi="Verdana"/>
              </w:rPr>
            </w:pPr>
          </w:p>
          <w:p w14:paraId="3AA69289" w14:textId="77777777" w:rsidR="00F37FD2" w:rsidRDefault="00A9336B" w:rsidP="00F37FD2">
            <w:pPr>
              <w:spacing w:line="276" w:lineRule="auto"/>
              <w:jc w:val="both"/>
              <w:rPr>
                <w:rFonts w:ascii="Verdana" w:hAnsi="Verdana"/>
              </w:rPr>
            </w:pPr>
            <w:r w:rsidRPr="2B027EB6">
              <w:rPr>
                <w:rFonts w:ascii="Verdana" w:hAnsi="Verdana"/>
              </w:rPr>
              <w:t xml:space="preserve">      </w:t>
            </w:r>
            <w:r w:rsidR="00F37FD2" w:rsidRPr="00CD76AE">
              <w:rPr>
                <w:rFonts w:ascii="Verdana" w:hAnsi="Verdana"/>
              </w:rPr>
              <w:t>Finalmente, cuando se advierten irregularidades en la ejecución contractual, incluida la ejecución durante períodos de suspensión o el incumplimiento de obligaciones legales asociadas a esta, el ordenamiento jurídico prevé mecanismos como la imposición de multas, la declaratoria de incumplimiento y el trámite del procedimiento sancionatorio previsto en el artículo 86 de la Ley 1474 de 2011, herramientas orientadas a salvaguardar los principios de la contratación estatal y a garantizar la protección del interés público.</w:t>
            </w:r>
          </w:p>
          <w:p w14:paraId="235052E2" w14:textId="77777777" w:rsidR="00F37FD2" w:rsidRPr="00CD76AE" w:rsidRDefault="00F37FD2" w:rsidP="00F37FD2">
            <w:pPr>
              <w:spacing w:line="276" w:lineRule="auto"/>
              <w:jc w:val="both"/>
              <w:rPr>
                <w:rFonts w:ascii="Verdana" w:hAnsi="Verdana"/>
              </w:rPr>
            </w:pPr>
          </w:p>
          <w:p w14:paraId="5B887C05" w14:textId="77777777" w:rsidR="00F37FD2" w:rsidRDefault="00F37FD2" w:rsidP="00F37FD2">
            <w:pPr>
              <w:spacing w:line="276" w:lineRule="auto"/>
              <w:jc w:val="both"/>
              <w:rPr>
                <w:rFonts w:ascii="Verdana" w:hAnsi="Verdana"/>
              </w:rPr>
            </w:pPr>
            <w:r>
              <w:rPr>
                <w:rFonts w:ascii="Verdana" w:hAnsi="Verdana"/>
              </w:rPr>
              <w:t xml:space="preserve">       </w:t>
            </w:r>
            <w:r w:rsidRPr="00CD76AE">
              <w:rPr>
                <w:rFonts w:ascii="Verdana" w:hAnsi="Verdana"/>
              </w:rPr>
              <w:t>En este punto, debe precisarse que, conforme a la jurisprudencia del Consejo de Estado, la suspensión del contrato estatal no implica su terminación ni la desaparición del vínculo contractual, el cual subsiste pese a la interrupción temporal de la ejecución y del cómputo del plazo inicialmente pactado, y se reactiva una vez cesan las causas que la motivaron o por acuerdo anticipado de las partes, tal como lo reiteró la Sección Tercera en el Auto del 10 de mayo de 2019 (</w:t>
            </w:r>
            <w:proofErr w:type="spellStart"/>
            <w:r w:rsidRPr="00CD76AE">
              <w:rPr>
                <w:rFonts w:ascii="Verdana" w:hAnsi="Verdana"/>
              </w:rPr>
              <w:t>Exp</w:t>
            </w:r>
            <w:proofErr w:type="spellEnd"/>
            <w:r w:rsidRPr="00CD76AE">
              <w:rPr>
                <w:rFonts w:ascii="Verdana" w:hAnsi="Verdana"/>
              </w:rPr>
              <w:t>. 59.532, C.P. Guillermo Sánchez Luque).</w:t>
            </w:r>
          </w:p>
          <w:p w14:paraId="1E0AB671" w14:textId="77777777" w:rsidR="00F37FD2" w:rsidRDefault="00F37FD2" w:rsidP="00F37FD2">
            <w:pPr>
              <w:spacing w:line="276" w:lineRule="auto"/>
              <w:jc w:val="both"/>
              <w:rPr>
                <w:rFonts w:ascii="Verdana" w:hAnsi="Verdana"/>
              </w:rPr>
            </w:pPr>
          </w:p>
          <w:p w14:paraId="1C05D2BD" w14:textId="77777777" w:rsidR="00F37FD2" w:rsidRDefault="00F37FD2" w:rsidP="00F37FD2">
            <w:pPr>
              <w:spacing w:line="276" w:lineRule="auto"/>
              <w:jc w:val="both"/>
              <w:rPr>
                <w:rFonts w:ascii="Verdana" w:hAnsi="Verdana"/>
              </w:rPr>
            </w:pPr>
            <w:r>
              <w:rPr>
                <w:rFonts w:ascii="Verdana" w:hAnsi="Verdana"/>
              </w:rPr>
              <w:t xml:space="preserve">       </w:t>
            </w:r>
            <w:r w:rsidRPr="00936D12">
              <w:rPr>
                <w:rFonts w:ascii="Verdana" w:hAnsi="Verdana"/>
              </w:rPr>
              <w:t>En concordancia con lo anterior, la Agencia Nacional de Contratación Pública – Colombia Compra Eficiente ha precisado, en el Concepto C-363 de 2024 y en otros conceptos expedidos sobre la materia, que la suspensión del contrato estatal no limita ni desactiva las facultades sancionatorias de las entidades estatales, de manera que, cuando existan razones objetivas para ello, el procedimiento administrativo sancionatorio puede iniciarse y tramitarse aun durante el período de suspensión contractual, siempre que se garantice el debido proceso y que la imputación no recaiga sobre obligaciones cuyo cumplimiento resulte materialmente imposible durante dicho lapso.</w:t>
            </w:r>
          </w:p>
          <w:p w14:paraId="08D946F4" w14:textId="77777777" w:rsidR="000E49FC" w:rsidRPr="00936D12" w:rsidRDefault="000E49FC" w:rsidP="00F37FD2">
            <w:pPr>
              <w:spacing w:line="276" w:lineRule="auto"/>
              <w:jc w:val="both"/>
              <w:rPr>
                <w:rFonts w:ascii="Verdana" w:hAnsi="Verdana"/>
              </w:rPr>
            </w:pPr>
          </w:p>
          <w:p w14:paraId="4C0A654E" w14:textId="08EBA035" w:rsidR="00A9336B" w:rsidRPr="005069C4" w:rsidRDefault="000E49FC" w:rsidP="00F37FD2">
            <w:pPr>
              <w:spacing w:line="276" w:lineRule="auto"/>
              <w:jc w:val="both"/>
              <w:rPr>
                <w:rFonts w:ascii="Verdana" w:hAnsi="Verdana"/>
              </w:rPr>
            </w:pPr>
            <w:r>
              <w:rPr>
                <w:rFonts w:ascii="Verdana" w:hAnsi="Verdana"/>
              </w:rPr>
              <w:t xml:space="preserve">     </w:t>
            </w:r>
            <w:r w:rsidR="00F37FD2" w:rsidRPr="00CD76AE">
              <w:rPr>
                <w:rFonts w:ascii="Verdana" w:hAnsi="Verdana"/>
              </w:rPr>
              <w:t xml:space="preserve">En consecuencia, la suspensión contractual no constituye un escenario de inmunidad frente al ejercicio de las potestades de control y sanción de la administración, ni excluye las responsabilidades que puedan derivarse por la omisión en el cumplimiento de obligaciones contractuales o legales, sin perjuicio de las responsabilidades disciplinarias, fiscales, civiles o penales que puedan corresponder a los servidores públicos, supervisores o interventores </w:t>
            </w:r>
            <w:r w:rsidR="00F37FD2" w:rsidRPr="00CD76AE">
              <w:rPr>
                <w:rFonts w:ascii="Verdana" w:hAnsi="Verdana"/>
              </w:rPr>
              <w:lastRenderedPageBreak/>
              <w:t>que incumplan sus deberes.</w:t>
            </w:r>
            <w:r w:rsidR="00B1620D">
              <w:rPr>
                <w:rFonts w:ascii="Verdana" w:hAnsi="Verdana"/>
              </w:rPr>
              <w:t xml:space="preserve"> En</w:t>
            </w:r>
            <w:r w:rsidR="00F37FD2">
              <w:rPr>
                <w:rFonts w:ascii="Verdana" w:hAnsi="Verdana"/>
              </w:rPr>
              <w:t xml:space="preserve"> incumplimiento de obligaciones legales asociadas a esta, el ordenamiento jurídico prevé mecanismos como la imposición de multas, la declaratoria de incumplimiento y el trámite del procedimiento sancionatorio previsto en el artículo 86 de la Ley 1474 de 2011, herramientas orientadas a salvaguardar los principios de la contratación estatal y a garantizar la protección del interés público. </w:t>
            </w:r>
          </w:p>
        </w:tc>
      </w:tr>
    </w:tbl>
    <w:p w14:paraId="538A3B24" w14:textId="77777777" w:rsidR="00A9336B" w:rsidRPr="00960F72" w:rsidRDefault="00A9336B" w:rsidP="00A9336B">
      <w:pPr>
        <w:tabs>
          <w:tab w:val="left" w:pos="142"/>
          <w:tab w:val="left" w:pos="284"/>
        </w:tabs>
        <w:spacing w:after="0" w:line="276" w:lineRule="auto"/>
        <w:jc w:val="both"/>
        <w:rPr>
          <w:rFonts w:ascii="Verdana" w:eastAsia="Century Gothic" w:hAnsi="Verdana" w:cs="Century Gothic"/>
          <w:b/>
          <w:bCs/>
        </w:rPr>
      </w:pPr>
    </w:p>
    <w:p w14:paraId="790BA4EC" w14:textId="77777777" w:rsidR="00A9336B" w:rsidRDefault="00A9336B" w:rsidP="00A9336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2B027EB6">
        <w:rPr>
          <w:rFonts w:ascii="Verdana" w:eastAsia="Century Gothic" w:hAnsi="Verdana" w:cs="Century Gothic"/>
          <w:b/>
          <w:bCs/>
          <w:lang w:val="es-CO"/>
        </w:rPr>
        <w:t>Razones de la respuesta:</w:t>
      </w:r>
    </w:p>
    <w:p w14:paraId="4EC2F190" w14:textId="77777777" w:rsidR="00A9336B" w:rsidRPr="003F63CC" w:rsidRDefault="00A9336B" w:rsidP="00A9336B">
      <w:pPr>
        <w:spacing w:after="0" w:line="256" w:lineRule="auto"/>
        <w:rPr>
          <w:rFonts w:ascii="Verdana" w:eastAsia="Calibri" w:hAnsi="Verdana" w:cs="Times New Roman"/>
          <w:b/>
          <w:bCs/>
          <w:lang w:val="es-ES"/>
        </w:rPr>
      </w:pPr>
    </w:p>
    <w:p w14:paraId="27B9F6A8" w14:textId="4725FBC3" w:rsidR="00A9336B" w:rsidRPr="003F63CC" w:rsidRDefault="00A9336B" w:rsidP="00A9336B">
      <w:pPr>
        <w:spacing w:after="120" w:line="276" w:lineRule="auto"/>
        <w:jc w:val="both"/>
        <w:rPr>
          <w:rFonts w:ascii="Verdana" w:eastAsia="Calibri" w:hAnsi="Verdana" w:cs="Arial"/>
          <w:color w:val="000000"/>
          <w:lang w:val="es-ES"/>
        </w:rPr>
      </w:pPr>
      <w:r w:rsidRPr="003F63CC">
        <w:rPr>
          <w:rFonts w:ascii="Verdana" w:eastAsia="Calibri" w:hAnsi="Verdana" w:cs="Arial"/>
          <w:color w:val="000000"/>
          <w:lang w:val="es-ES"/>
        </w:rPr>
        <w:t>A través de la actividad contractual, el Estado adquiere bienes, obras y servicios para cumplir los fines que le impone el ordenamiento jurídico, garantizando así la continuidad y eficiente prestación de los servicios públicos y la efectividad de los derechos e intereses de los administrados. Para la garantía de 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 en ella tienen la obligación de controlar y vigilar la correcta ejecución del objeto contratado. Lo anterior busca que las finalidades perseguidas con la celebración de los contratos estatales se logren de manera satisfactoria.</w:t>
      </w:r>
      <w:r w:rsidR="00BE7B03">
        <w:rPr>
          <w:rFonts w:ascii="Verdana" w:eastAsia="Calibri" w:hAnsi="Verdana" w:cs="Arial"/>
          <w:color w:val="000000"/>
          <w:lang w:val="es-ES"/>
        </w:rPr>
        <w:t xml:space="preserve"> En este contexto, resulta necesario enfatizar que, conforme al pará</w:t>
      </w:r>
      <w:r w:rsidR="00C3649D">
        <w:rPr>
          <w:rFonts w:ascii="Verdana" w:eastAsia="Calibri" w:hAnsi="Verdana" w:cs="Arial"/>
          <w:color w:val="000000"/>
          <w:lang w:val="es-ES"/>
        </w:rPr>
        <w:t xml:space="preserve">grafo 3 del artículo 84 de la Ley 1474 de 2011, cuando el ordenador del gasto sea informado oportunamente de los posibles incumplimientos de un contratista y no lo conmine al cumplimiento de lo pactado o no </w:t>
      </w:r>
      <w:r w:rsidR="00755E67">
        <w:rPr>
          <w:rFonts w:ascii="Verdana" w:eastAsia="Calibri" w:hAnsi="Verdana" w:cs="Arial"/>
          <w:color w:val="000000"/>
          <w:lang w:val="es-ES"/>
        </w:rPr>
        <w:t>adopte las medidas necesarias para salvaguardar el interés general y los recursos públicos involucrados, será responsable solidariamente con este por los perjuicios que se ocasionen.</w:t>
      </w:r>
    </w:p>
    <w:p w14:paraId="2438609A" w14:textId="77777777" w:rsidR="00A9336B" w:rsidRPr="003F63CC" w:rsidRDefault="00A9336B" w:rsidP="00A9336B">
      <w:pPr>
        <w:spacing w:after="120" w:line="276" w:lineRule="auto"/>
        <w:ind w:firstLine="708"/>
        <w:jc w:val="both"/>
        <w:rPr>
          <w:rFonts w:ascii="Verdana" w:eastAsia="Calibri" w:hAnsi="Verdana" w:cs="Arial"/>
          <w:color w:val="000000"/>
          <w:lang w:val="es-ES"/>
        </w:rPr>
      </w:pPr>
      <w:r w:rsidRPr="003F63CC">
        <w:rPr>
          <w:rFonts w:ascii="Verdana" w:eastAsia="Calibri" w:hAnsi="Verdana" w:cs="Arial"/>
          <w:color w:val="000000"/>
          <w:lang w:val="es-ES"/>
        </w:rPr>
        <w:t xml:space="preserve">El seguimiento de la ejecución del contrato para la dirección, control y vigilancia de su correcto cumplimiento es un deber legal que permite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w:t>
      </w:r>
      <w:r w:rsidRPr="003F63CC">
        <w:rPr>
          <w:rFonts w:ascii="Verdana" w:eastAsia="Calibri" w:hAnsi="Verdana" w:cs="Arial"/>
          <w:color w:val="000000"/>
          <w:lang w:val="es-ES"/>
        </w:rPr>
        <w:lastRenderedPageBreak/>
        <w:t>los bienes, obras y servicios objeto de este, y las condiciones de calidad ofrecidas, entre otras.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21DEB80F" w14:textId="77777777" w:rsidR="00A9336B" w:rsidRPr="003F63CC" w:rsidRDefault="00A9336B" w:rsidP="00A9336B">
      <w:pPr>
        <w:spacing w:after="120" w:line="276" w:lineRule="auto"/>
        <w:ind w:firstLine="708"/>
        <w:jc w:val="both"/>
        <w:rPr>
          <w:rFonts w:ascii="Verdana" w:eastAsia="Times New Roman" w:hAnsi="Verdana" w:cs="Arial"/>
          <w:lang w:val="es-ES" w:eastAsia="es-MX"/>
        </w:rPr>
      </w:pPr>
      <w:r w:rsidRPr="003F63CC">
        <w:rPr>
          <w:rFonts w:ascii="Verdana" w:eastAsia="Times New Roman" w:hAnsi="Verdana" w:cs="Arial"/>
          <w:lang w:val="es-ES" w:eastAsia="es-MX"/>
        </w:rPr>
        <w:t>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3F63CC">
        <w:rPr>
          <w:rFonts w:ascii="Verdana" w:eastAsia="Times New Roman" w:hAnsi="Verdana" w:cs="Arial"/>
          <w:vertAlign w:val="superscript"/>
          <w:lang w:val="es-ES" w:eastAsia="es-MX"/>
        </w:rPr>
        <w:footnoteReference w:id="2"/>
      </w:r>
      <w:r w:rsidRPr="003F63CC">
        <w:rPr>
          <w:rFonts w:ascii="Verdana" w:eastAsia="Times New Roman" w:hAnsi="Verdana" w:cs="Arial"/>
          <w:lang w:val="es-ES" w:eastAsia="es-MX"/>
        </w:rPr>
        <w:t>. También se establecen los límites de la responsabilidad del representante legal ante la delegación de sus funciones en materia contractual</w:t>
      </w:r>
      <w:r w:rsidRPr="003F63CC">
        <w:rPr>
          <w:rFonts w:ascii="Verdana" w:eastAsia="Times New Roman" w:hAnsi="Verdana" w:cs="Arial"/>
          <w:vertAlign w:val="superscript"/>
          <w:lang w:val="es-ES" w:eastAsia="es-MX"/>
        </w:rPr>
        <w:footnoteReference w:id="3"/>
      </w:r>
      <w:r w:rsidRPr="003F63CC">
        <w:rPr>
          <w:rFonts w:ascii="Verdana" w:eastAsia="Times New Roman" w:hAnsi="Verdana" w:cs="Arial"/>
          <w:lang w:val="es-ES" w:eastAsia="es-MX"/>
        </w:rPr>
        <w:t xml:space="preserve"> y se regula la supervisión y la interventoría de los contratos estatales</w:t>
      </w:r>
      <w:r w:rsidRPr="003F63CC">
        <w:rPr>
          <w:rFonts w:ascii="Verdana" w:eastAsia="Times New Roman" w:hAnsi="Verdana" w:cs="Arial"/>
          <w:vertAlign w:val="superscript"/>
          <w:lang w:val="es-ES" w:eastAsia="es-MX"/>
        </w:rPr>
        <w:footnoteReference w:id="4"/>
      </w:r>
      <w:r w:rsidRPr="003F63CC">
        <w:rPr>
          <w:rFonts w:ascii="Verdana" w:eastAsia="Times New Roman" w:hAnsi="Verdana" w:cs="Arial"/>
          <w:lang w:val="es-ES" w:eastAsia="es-MX"/>
        </w:rPr>
        <w:t xml:space="preserve">. En consecuencia, se tiene que, la jurisprudencia contencioso-administrativa, por su parte, ha considerado que la obligación de vigilar la correcta ejecución del objeto contractual es una función de la entidad contratante, en los siguientes términos: </w:t>
      </w:r>
    </w:p>
    <w:p w14:paraId="7847CF31" w14:textId="77777777" w:rsidR="00A9336B" w:rsidRPr="003F63CC" w:rsidRDefault="00A9336B" w:rsidP="00A9336B">
      <w:pPr>
        <w:spacing w:after="0"/>
        <w:ind w:left="709"/>
        <w:contextualSpacing/>
        <w:jc w:val="both"/>
        <w:rPr>
          <w:rFonts w:ascii="Verdana" w:eastAsia="Times New Roman" w:hAnsi="Verdana" w:cs="Arial"/>
          <w:lang w:val="es-ES_tradnl" w:eastAsia="es-MX"/>
        </w:rPr>
      </w:pPr>
    </w:p>
    <w:p w14:paraId="75E49065" w14:textId="77777777" w:rsidR="00A9336B" w:rsidRPr="003F63CC" w:rsidRDefault="00A9336B" w:rsidP="00A9336B">
      <w:pPr>
        <w:spacing w:after="0" w:line="240" w:lineRule="auto"/>
        <w:ind w:left="709" w:right="709"/>
        <w:contextualSpacing/>
        <w:jc w:val="both"/>
        <w:rPr>
          <w:rFonts w:ascii="Verdana" w:eastAsia="Times New Roman" w:hAnsi="Verdana" w:cs="Arial"/>
          <w:sz w:val="21"/>
          <w:szCs w:val="21"/>
          <w:lang w:val="es-ES_tradnl" w:eastAsia="es-MX"/>
        </w:rPr>
      </w:pPr>
      <w:r w:rsidRPr="003F63CC">
        <w:rPr>
          <w:rFonts w:ascii="Verdana" w:eastAsia="Times New Roman" w:hAnsi="Verdana" w:cs="Arial"/>
          <w:sz w:val="21"/>
          <w:szCs w:val="21"/>
          <w:lang w:val="es-ES_tradnl" w:eastAsia="es-MX"/>
        </w:rPr>
        <w:t>“La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3F63CC">
        <w:rPr>
          <w:rFonts w:ascii="Verdana" w:eastAsia="Times New Roman" w:hAnsi="Verdana" w:cs="Arial"/>
          <w:sz w:val="21"/>
          <w:szCs w:val="21"/>
          <w:vertAlign w:val="superscript"/>
          <w:lang w:val="es-ES_tradnl" w:eastAsia="es-MX"/>
        </w:rPr>
        <w:footnoteReference w:id="5"/>
      </w:r>
      <w:r w:rsidRPr="003F63CC">
        <w:rPr>
          <w:rFonts w:ascii="Verdana" w:eastAsia="Times New Roman" w:hAnsi="Verdana" w:cs="Arial"/>
          <w:sz w:val="21"/>
          <w:szCs w:val="21"/>
          <w:lang w:val="es-ES_tradnl" w:eastAsia="es-MX"/>
        </w:rPr>
        <w:t>.</w:t>
      </w:r>
    </w:p>
    <w:p w14:paraId="5C846DCC" w14:textId="77777777" w:rsidR="00A9336B" w:rsidRPr="003F63CC" w:rsidRDefault="00A9336B" w:rsidP="00A9336B">
      <w:pPr>
        <w:snapToGrid w:val="0"/>
        <w:spacing w:after="0"/>
        <w:ind w:left="720"/>
        <w:rPr>
          <w:rFonts w:ascii="Verdana" w:eastAsia="Times New Roman" w:hAnsi="Verdana" w:cs="Arial"/>
          <w:lang w:val="es-ES_tradnl" w:eastAsia="es-MX"/>
        </w:rPr>
      </w:pPr>
    </w:p>
    <w:p w14:paraId="5F7515BB" w14:textId="77777777" w:rsidR="00A9336B" w:rsidRPr="003F63CC" w:rsidRDefault="00A9336B" w:rsidP="00A9336B">
      <w:pPr>
        <w:spacing w:after="0" w:line="276" w:lineRule="auto"/>
        <w:ind w:firstLine="709"/>
        <w:jc w:val="both"/>
        <w:rPr>
          <w:rFonts w:ascii="Verdana" w:eastAsia="Times New Roman" w:hAnsi="Verdana" w:cs="Arial"/>
          <w:lang w:val="es-ES" w:eastAsia="es-MX"/>
        </w:rPr>
      </w:pPr>
      <w:r w:rsidRPr="003F63CC">
        <w:rPr>
          <w:rFonts w:ascii="Verdana" w:eastAsia="Times New Roman" w:hAnsi="Verdana" w:cs="Arial"/>
          <w:lang w:val="es-ES" w:eastAsia="es-MX"/>
        </w:rPr>
        <w:t xml:space="preserve">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w:t>
      </w:r>
      <w:r w:rsidRPr="003F63CC">
        <w:rPr>
          <w:rFonts w:ascii="Verdana" w:eastAsia="Times New Roman" w:hAnsi="Verdana" w:cs="Arial"/>
          <w:lang w:val="es-ES" w:eastAsia="es-MX"/>
        </w:rPr>
        <w:lastRenderedPageBreak/>
        <w:t xml:space="preserve">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en estos términos: </w:t>
      </w:r>
    </w:p>
    <w:p w14:paraId="29CF92FB" w14:textId="77777777" w:rsidR="00A9336B" w:rsidRPr="003F63CC" w:rsidRDefault="00A9336B" w:rsidP="00A9336B">
      <w:pPr>
        <w:spacing w:after="0" w:line="276" w:lineRule="auto"/>
        <w:ind w:left="720"/>
        <w:contextualSpacing/>
        <w:jc w:val="both"/>
        <w:textAlignment w:val="baseline"/>
        <w:rPr>
          <w:rFonts w:ascii="Verdana" w:eastAsia="Times New Roman" w:hAnsi="Verdana" w:cs="Arial"/>
          <w:lang w:val="es-ES_tradnl" w:eastAsia="es-MX"/>
        </w:rPr>
      </w:pPr>
    </w:p>
    <w:p w14:paraId="1B467E2E" w14:textId="77777777" w:rsidR="00A9336B" w:rsidRPr="003F63CC" w:rsidRDefault="00A9336B" w:rsidP="00A9336B">
      <w:pPr>
        <w:spacing w:after="0" w:line="240" w:lineRule="auto"/>
        <w:ind w:left="709" w:right="709"/>
        <w:jc w:val="both"/>
        <w:textAlignment w:val="baseline"/>
        <w:rPr>
          <w:rFonts w:ascii="Verdana" w:eastAsia="Times New Roman" w:hAnsi="Verdana" w:cs="Arial"/>
          <w:sz w:val="21"/>
          <w:szCs w:val="21"/>
          <w:lang w:val="es-ES" w:eastAsia="es-MX"/>
        </w:rPr>
      </w:pPr>
      <w:r w:rsidRPr="003F63CC">
        <w:rPr>
          <w:rFonts w:ascii="Verdana" w:eastAsia="Times New Roman" w:hAnsi="Verdana" w:cs="Arial"/>
          <w:sz w:val="21"/>
          <w:szCs w:val="21"/>
          <w:lang w:val="es-ES" w:eastAsia="es-MX"/>
        </w:rPr>
        <w:t xml:space="preserve">“La supervisión consistirá en el seguimiento técnico, administrativo, financiero, contable, y jurídico </w:t>
      </w:r>
      <w:proofErr w:type="gramStart"/>
      <w:r w:rsidRPr="003F63CC">
        <w:rPr>
          <w:rFonts w:ascii="Verdana" w:eastAsia="Times New Roman" w:hAnsi="Verdana" w:cs="Arial"/>
          <w:sz w:val="21"/>
          <w:szCs w:val="21"/>
          <w:lang w:val="es-ES" w:eastAsia="es-MX"/>
        </w:rPr>
        <w:t>que</w:t>
      </w:r>
      <w:proofErr w:type="gramEnd"/>
      <w:r w:rsidRPr="003F63CC">
        <w:rPr>
          <w:rFonts w:ascii="Verdana" w:eastAsia="Times New Roman" w:hAnsi="Verdana" w:cs="Arial"/>
          <w:sz w:val="21"/>
          <w:szCs w:val="21"/>
          <w:lang w:val="es-ES" w:eastAsia="es-MX"/>
        </w:rPr>
        <w:t xml:space="preserv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7A6359C3" w14:textId="77777777" w:rsidR="00A9336B" w:rsidRPr="003F63CC" w:rsidRDefault="00A9336B" w:rsidP="00A9336B">
      <w:pPr>
        <w:spacing w:before="120" w:after="0" w:line="240" w:lineRule="auto"/>
        <w:ind w:left="709" w:right="709"/>
        <w:jc w:val="both"/>
        <w:textAlignment w:val="baseline"/>
        <w:rPr>
          <w:rFonts w:ascii="Verdana" w:eastAsia="Times New Roman" w:hAnsi="Verdana" w:cs="Arial"/>
          <w:sz w:val="21"/>
          <w:szCs w:val="21"/>
          <w:lang w:val="es-ES" w:eastAsia="es-MX"/>
        </w:rPr>
      </w:pPr>
      <w:r w:rsidRPr="003F63CC">
        <w:rPr>
          <w:rFonts w:ascii="Verdana" w:eastAsia="Times New Roman" w:hAnsi="Verdana" w:cs="Arial"/>
          <w:sz w:val="21"/>
          <w:szCs w:val="21"/>
          <w:lang w:val="es-ES" w:eastAsia="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3F63CC">
        <w:rPr>
          <w:rFonts w:ascii="Verdana" w:eastAsia="Times New Roman" w:hAnsi="Verdana" w:cs="Arial"/>
          <w:sz w:val="21"/>
          <w:szCs w:val="21"/>
          <w:lang w:val="es-ES" w:eastAsia="es-MX"/>
        </w:rPr>
        <w:t>del mismo</w:t>
      </w:r>
      <w:proofErr w:type="gramEnd"/>
      <w:r w:rsidRPr="003F63CC">
        <w:rPr>
          <w:rFonts w:ascii="Verdana" w:eastAsia="Times New Roman" w:hAnsi="Verdana" w:cs="Arial"/>
          <w:sz w:val="21"/>
          <w:szCs w:val="21"/>
          <w:lang w:val="es-ES" w:eastAsia="es-MX"/>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w:t>
      </w:r>
      <w:r w:rsidRPr="003F63CC">
        <w:rPr>
          <w:rFonts w:ascii="Verdana" w:eastAsia="Times New Roman" w:hAnsi="Verdana" w:cs="Arial"/>
          <w:sz w:val="21"/>
          <w:szCs w:val="21"/>
          <w:vertAlign w:val="superscript"/>
          <w:lang w:val="es-ES" w:eastAsia="es-MX"/>
        </w:rPr>
        <w:footnoteReference w:id="6"/>
      </w:r>
      <w:r w:rsidRPr="003F63CC">
        <w:rPr>
          <w:rFonts w:ascii="Verdana" w:eastAsia="Times New Roman" w:hAnsi="Verdana" w:cs="Arial"/>
          <w:sz w:val="21"/>
          <w:szCs w:val="21"/>
          <w:lang w:val="es-ES" w:eastAsia="es-MX"/>
        </w:rPr>
        <w:t>.</w:t>
      </w:r>
    </w:p>
    <w:p w14:paraId="507790BD" w14:textId="77777777" w:rsidR="00A9336B" w:rsidRPr="003F63CC" w:rsidRDefault="00A9336B" w:rsidP="00A9336B">
      <w:pPr>
        <w:spacing w:after="0" w:line="276" w:lineRule="auto"/>
        <w:ind w:left="720"/>
        <w:contextualSpacing/>
        <w:jc w:val="both"/>
        <w:textAlignment w:val="baseline"/>
        <w:rPr>
          <w:rFonts w:ascii="Verdana" w:eastAsia="Times New Roman" w:hAnsi="Verdana" w:cs="Arial"/>
          <w:lang w:val="es-ES" w:eastAsia="es-MX"/>
        </w:rPr>
      </w:pPr>
    </w:p>
    <w:p w14:paraId="15F88917" w14:textId="77777777" w:rsidR="00A9336B" w:rsidRPr="003F63CC" w:rsidRDefault="00A9336B" w:rsidP="00A9336B">
      <w:pPr>
        <w:spacing w:after="120" w:line="276" w:lineRule="auto"/>
        <w:ind w:firstLine="709"/>
        <w:jc w:val="both"/>
        <w:rPr>
          <w:rFonts w:ascii="Verdana" w:eastAsia="Times New Roman" w:hAnsi="Verdana" w:cs="Arial"/>
          <w:shd w:val="clear" w:color="auto" w:fill="FFFFFF"/>
          <w:lang w:val="es-ES"/>
        </w:rPr>
      </w:pPr>
      <w:r w:rsidRPr="003F63CC">
        <w:rPr>
          <w:rFonts w:ascii="Verdana" w:eastAsia="Times New Roman" w:hAnsi="Verdana" w:cs="Arial"/>
          <w:bCs/>
          <w:lang w:val="es-ES"/>
        </w:rPr>
        <w:t>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3F63CC">
        <w:rPr>
          <w:rFonts w:ascii="Verdana" w:eastAsia="Times New Roman" w:hAnsi="Verdana" w:cs="Arial"/>
          <w:bCs/>
          <w:vertAlign w:val="superscript"/>
          <w:lang w:val="es-ES"/>
        </w:rPr>
        <w:footnoteReference w:id="7"/>
      </w:r>
      <w:r w:rsidRPr="003F63CC">
        <w:rPr>
          <w:rFonts w:ascii="Verdana" w:eastAsia="Times New Roman" w:hAnsi="Verdana" w:cs="Arial"/>
          <w:bCs/>
          <w:lang w:val="es-ES"/>
        </w:rPr>
        <w:t xml:space="preserve">–; </w:t>
      </w:r>
      <w:proofErr w:type="spellStart"/>
      <w:r w:rsidRPr="003F63CC">
        <w:rPr>
          <w:rFonts w:ascii="Verdana" w:eastAsia="Times New Roman" w:hAnsi="Verdana" w:cs="Arial"/>
          <w:bCs/>
          <w:lang w:val="es-ES"/>
        </w:rPr>
        <w:t>ii</w:t>
      </w:r>
      <w:proofErr w:type="spellEnd"/>
      <w:r w:rsidRPr="003F63CC">
        <w:rPr>
          <w:rFonts w:ascii="Verdana" w:eastAsia="Times New Roman" w:hAnsi="Verdana" w:cs="Arial"/>
          <w:bCs/>
          <w:lang w:val="es-ES"/>
        </w:rPr>
        <w:t xml:space="preserve">) no requiere conocimientos tan especializados como la interventoría; </w:t>
      </w:r>
      <w:proofErr w:type="spellStart"/>
      <w:r w:rsidRPr="003F63CC">
        <w:rPr>
          <w:rFonts w:ascii="Verdana" w:eastAsia="Times New Roman" w:hAnsi="Verdana" w:cs="Arial"/>
          <w:bCs/>
          <w:lang w:val="es-ES"/>
        </w:rPr>
        <w:t>iii</w:t>
      </w:r>
      <w:proofErr w:type="spellEnd"/>
      <w:r w:rsidRPr="003F63CC">
        <w:rPr>
          <w:rFonts w:ascii="Verdana" w:eastAsia="Times New Roman" w:hAnsi="Verdana" w:cs="Arial"/>
          <w:bCs/>
          <w:lang w:val="es-ES"/>
        </w:rPr>
        <w:t xml:space="preserve">) se ejerce por la Entidad Estatal por conducto de la designación de servidores públicos idóneos para cumplir la función; </w:t>
      </w:r>
      <w:proofErr w:type="spellStart"/>
      <w:r w:rsidRPr="003F63CC">
        <w:rPr>
          <w:rFonts w:ascii="Verdana" w:eastAsia="Times New Roman" w:hAnsi="Verdana" w:cs="Arial"/>
          <w:bCs/>
          <w:lang w:val="es-ES"/>
        </w:rPr>
        <w:t>iv</w:t>
      </w:r>
      <w:proofErr w:type="spellEnd"/>
      <w:r w:rsidRPr="003F63CC">
        <w:rPr>
          <w:rFonts w:ascii="Verdana" w:eastAsia="Times New Roman" w:hAnsi="Verdana" w:cs="Arial"/>
          <w:bCs/>
          <w:lang w:val="es-ES"/>
        </w:rPr>
        <w:t xml:space="preserve">) puede recibir apoyo de personal contratado para tal fin mediante contratos de prestación de servicios; y v) le es inseparable </w:t>
      </w:r>
      <w:r w:rsidRPr="003F63CC">
        <w:rPr>
          <w:rFonts w:ascii="Verdana" w:eastAsia="Times New Roman" w:hAnsi="Verdana" w:cs="Arial"/>
          <w:bCs/>
          <w:lang w:val="es-ES"/>
        </w:rPr>
        <w:lastRenderedPageBreak/>
        <w:t>el seguimiento técnico, administrativo, financiero, contable y jurídico del contrato vigilado.</w:t>
      </w:r>
    </w:p>
    <w:p w14:paraId="7AAFF671" w14:textId="77777777" w:rsidR="00A9336B" w:rsidRPr="003F63CC" w:rsidRDefault="00A9336B" w:rsidP="00A9336B">
      <w:pPr>
        <w:tabs>
          <w:tab w:val="left" w:pos="709"/>
        </w:tabs>
        <w:snapToGrid w:val="0"/>
        <w:spacing w:after="120" w:line="276" w:lineRule="auto"/>
        <w:jc w:val="both"/>
        <w:rPr>
          <w:rFonts w:ascii="Verdana" w:eastAsia="Aptos" w:hAnsi="Verdana" w:cs="Arial"/>
          <w:bCs/>
        </w:rPr>
      </w:pPr>
      <w:r w:rsidRPr="003F63CC">
        <w:rPr>
          <w:rFonts w:ascii="Verdana" w:eastAsia="Aptos" w:hAnsi="Verdana" w:cs="Arial"/>
          <w:bCs/>
          <w:lang w:val="es-ES"/>
        </w:rPr>
        <w:tab/>
        <w:t xml:space="preserve">Por otro lado, </w:t>
      </w:r>
      <w:r w:rsidRPr="003F63CC">
        <w:rPr>
          <w:rFonts w:ascii="Verdana" w:eastAsia="Aptos" w:hAnsi="Verdana" w:cs="Arial"/>
          <w:bCs/>
        </w:rPr>
        <w:t xml:space="preserve">la interventoría puede caracterizarse de la siguiente manera: 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1474 de 2011–; </w:t>
      </w:r>
      <w:proofErr w:type="spellStart"/>
      <w:r w:rsidRPr="003F63CC">
        <w:rPr>
          <w:rFonts w:ascii="Verdana" w:eastAsia="Aptos" w:hAnsi="Verdana" w:cs="Arial"/>
          <w:bCs/>
        </w:rPr>
        <w:t>ii</w:t>
      </w:r>
      <w:proofErr w:type="spellEnd"/>
      <w:r w:rsidRPr="003F63CC">
        <w:rPr>
          <w:rFonts w:ascii="Verdana" w:eastAsia="Aptos" w:hAnsi="Verdana" w:cs="Arial"/>
          <w:bCs/>
        </w:rPr>
        <w:t xml:space="preserve">) es un mecanismo de vigilancia que exige, en su ejecución, la utilización de conocimientos especializados; </w:t>
      </w:r>
      <w:proofErr w:type="spellStart"/>
      <w:r w:rsidRPr="003F63CC">
        <w:rPr>
          <w:rFonts w:ascii="Verdana" w:eastAsia="Aptos" w:hAnsi="Verdana" w:cs="Arial"/>
          <w:bCs/>
        </w:rPr>
        <w:t>iii</w:t>
      </w:r>
      <w:proofErr w:type="spellEnd"/>
      <w:r w:rsidRPr="003F63CC">
        <w:rPr>
          <w:rFonts w:ascii="Verdana" w:eastAsia="Aptos" w:hAnsi="Verdana" w:cs="Arial"/>
          <w:bCs/>
        </w:rPr>
        <w:t>) por lo anterior, la entidad contrata un experto, por regla general, mediante la modalidad de selección de concurso de méritos, al tratarse la interventoría de una especie del contrato de consultoría –art. 32, numeral 2, inciso 2, Ley 80 de 1993</w:t>
      </w:r>
      <w:r w:rsidRPr="003F63CC">
        <w:rPr>
          <w:rFonts w:ascii="Verdana" w:eastAsia="Aptos" w:hAnsi="Verdana" w:cs="Times New Roman"/>
          <w:kern w:val="2"/>
          <w:vertAlign w:val="superscript"/>
          <w14:ligatures w14:val="standardContextual"/>
        </w:rPr>
        <w:footnoteReference w:id="8"/>
      </w:r>
      <w:r w:rsidRPr="003F63CC">
        <w:rPr>
          <w:rFonts w:ascii="Verdana" w:eastAsia="Aptos" w:hAnsi="Verdana" w:cs="Arial"/>
          <w:bCs/>
        </w:rPr>
        <w:t xml:space="preserve">‒, de manera que la interventoría es realizada por “una persona natural o jurídica contratada para tal fin por la Entidad Estatal” –art. 83, Ley 1474–; </w:t>
      </w:r>
      <w:proofErr w:type="spellStart"/>
      <w:r w:rsidRPr="003F63CC">
        <w:rPr>
          <w:rFonts w:ascii="Verdana" w:eastAsia="Aptos" w:hAnsi="Verdana" w:cs="Arial"/>
          <w:bCs/>
        </w:rPr>
        <w:t>iv</w:t>
      </w:r>
      <w:proofErr w:type="spellEnd"/>
      <w:r w:rsidRPr="003F63CC">
        <w:rPr>
          <w:rFonts w:ascii="Verdana" w:eastAsia="Aptos" w:hAnsi="Verdana" w:cs="Arial"/>
          <w:bCs/>
        </w:rPr>
        <w:t>)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4–, y finalmente, vi) el contrato de interventoría será supervisado directamente por la entidad –art. 83, inciso 4–.</w:t>
      </w:r>
    </w:p>
    <w:p w14:paraId="4B8E4B01" w14:textId="77777777" w:rsidR="00A9336B" w:rsidRPr="003F63CC" w:rsidRDefault="00A9336B" w:rsidP="00A9336B">
      <w:pPr>
        <w:widowControl w:val="0"/>
        <w:autoSpaceDE w:val="0"/>
        <w:autoSpaceDN w:val="0"/>
        <w:spacing w:before="120" w:line="276" w:lineRule="auto"/>
        <w:ind w:right="113" w:firstLine="708"/>
        <w:jc w:val="both"/>
        <w:rPr>
          <w:rFonts w:ascii="Verdana" w:eastAsia="Arial MT" w:hAnsi="Verdana" w:cs="Arial MT"/>
          <w:lang w:val="es-ES"/>
        </w:rPr>
      </w:pPr>
      <w:r w:rsidRPr="003F63CC">
        <w:rPr>
          <w:rFonts w:ascii="Verdana" w:eastAsia="Arial MT" w:hAnsi="Verdana" w:cs="Arial MT"/>
          <w:lang w:val="es-ES"/>
        </w:rPr>
        <w:t xml:space="preserve">De acuerdo las consideraciones precedentes, se precisa que la entidad tiene la potestad de designar el supervisor o los supervisores en los diferentes contratos, y que de acuerdo con la “Guía para el ejercicio de las funciones de supervisión e interventoría de los contratos del Estado” recomienda que esta se haga a través de un funcionario, que tenga asignadas funciones relacionadas con el objeto contractual. En dicha Guía se señala que la designación debe estar antecedida por un análisis de la carga operativa del funcionario al que se le asigna la supervisión, para evitar que el supervisor no pueda desempeñar la tarea de manera adecuada. Además, al supervisor designado debe informársele </w:t>
      </w:r>
      <w:r w:rsidRPr="003F63CC">
        <w:rPr>
          <w:rFonts w:ascii="Verdana" w:eastAsia="Arial MT" w:hAnsi="Verdana" w:cs="Arial MT"/>
          <w:lang w:val="es-ES"/>
        </w:rPr>
        <w:lastRenderedPageBreak/>
        <w:t>de la labor encomendada y las obligaciones del contrato para desempeñar su función de manera idónea.</w:t>
      </w:r>
    </w:p>
    <w:p w14:paraId="2CE04C3E" w14:textId="77777777" w:rsidR="00A9336B" w:rsidRPr="003F63CC" w:rsidRDefault="00A9336B" w:rsidP="00A9336B">
      <w:pPr>
        <w:widowControl w:val="0"/>
        <w:autoSpaceDE w:val="0"/>
        <w:autoSpaceDN w:val="0"/>
        <w:spacing w:before="120" w:line="276" w:lineRule="auto"/>
        <w:ind w:right="113" w:firstLine="708"/>
        <w:jc w:val="both"/>
        <w:rPr>
          <w:rFonts w:ascii="Verdana" w:eastAsia="Arial MT" w:hAnsi="Verdana" w:cs="Arial MT"/>
          <w:lang w:val="es-ES"/>
        </w:rPr>
      </w:pPr>
      <w:r w:rsidRPr="003F63CC">
        <w:rPr>
          <w:rFonts w:ascii="Verdana" w:eastAsia="Arial MT" w:hAnsi="Verdana" w:cs="Arial MT"/>
          <w:lang w:val="es-ES"/>
        </w:rPr>
        <w:t>Ahora bien, los supervisores ejercen el control y seguimiento del contrato estatal en sus diferentes etapas luego de su celebración, desde la ejecución e incluso en la liquidación del contrato, sin perjuicio que por parte del contratante se designe posteriormente otro supervisor por razones de índole administrativo y/o novedades en el funcionamiento de la entidad, en el evento de presentarse circunstancias que obliguen a declarar sinestros de los amparos contenidos en la garantía única de cumplimiento, como el de calidad de los bienes o estabilidad de la obra, sin que por ello se exima de la responsabilidad que durante el ejercicio de la supervisión se haya efectuado por parte del supervisor o supervisores designados en las etapas iniciales del contrato.</w:t>
      </w:r>
    </w:p>
    <w:p w14:paraId="33D9A910" w14:textId="77777777" w:rsidR="00A9336B" w:rsidRPr="003F63CC" w:rsidRDefault="00A9336B" w:rsidP="00A9336B">
      <w:pPr>
        <w:widowControl w:val="0"/>
        <w:autoSpaceDE w:val="0"/>
        <w:autoSpaceDN w:val="0"/>
        <w:spacing w:after="120" w:line="276" w:lineRule="auto"/>
        <w:ind w:firstLine="708"/>
        <w:jc w:val="both"/>
        <w:rPr>
          <w:rFonts w:ascii="Verdana" w:eastAsia="Times New Roman" w:hAnsi="Verdana" w:cs="Arial"/>
          <w:shd w:val="clear" w:color="auto" w:fill="FFFFFF"/>
          <w:lang w:val="es-ES"/>
        </w:rPr>
      </w:pPr>
      <w:r>
        <w:rPr>
          <w:rFonts w:ascii="Verdana" w:eastAsia="Arial MT" w:hAnsi="Verdana" w:cs="Arial MT"/>
        </w:rPr>
        <w:t xml:space="preserve">Seguidamente, se precisa </w:t>
      </w:r>
      <w:r w:rsidRPr="003F63CC">
        <w:rPr>
          <w:rFonts w:ascii="Verdana" w:eastAsia="Arial MT" w:hAnsi="Verdana" w:cs="Arial"/>
          <w:lang w:val="es-ES"/>
        </w:rPr>
        <w:t xml:space="preserve">que </w:t>
      </w:r>
      <w:r w:rsidRPr="003F63CC">
        <w:rPr>
          <w:rFonts w:ascii="Verdana" w:eastAsia="Times New Roman" w:hAnsi="Verdana" w:cs="Arial"/>
          <w:shd w:val="clear" w:color="auto" w:fill="FFFFFF"/>
          <w:lang w:val="es-ES"/>
        </w:rPr>
        <w:t xml:space="preserve">el contrato de interventoría es vigilado y supervisado por la entidad estatal, de conformidad con el inciso 4° del artículo 83 de la Ley 1474 de 2011, lo que implica que la entidad deberá hacer un seguimiento técnico, jurídico, administrativo, financiero y contable del contrato de interventoría, con el fin de determinar si ha incumplido con sus deberes estipulados en el objeto contractual. Esto, sin dejar de lado, el deber de </w:t>
      </w:r>
      <w:r w:rsidRPr="003F63CC">
        <w:rPr>
          <w:rFonts w:ascii="Verdana" w:eastAsia="Times New Roman" w:hAnsi="Verdana" w:cs="Arial"/>
          <w:shd w:val="clear" w:color="auto" w:fill="FFFFFF"/>
        </w:rPr>
        <w:t xml:space="preserve">dirección general y la responsabilidad de ejercer el control y vigilancia de la ejecución del contrato, </w:t>
      </w:r>
      <w:r w:rsidRPr="003F63CC">
        <w:rPr>
          <w:rFonts w:ascii="Verdana" w:eastAsia="Times New Roman" w:hAnsi="Verdana" w:cs="Arial"/>
          <w:shd w:val="clear" w:color="auto" w:fill="FFFFFF"/>
          <w:lang w:val="es-ES"/>
        </w:rPr>
        <w:t xml:space="preserve">de conformidad con el artículo 14, numeral 1° de la Ley 80. </w:t>
      </w:r>
    </w:p>
    <w:p w14:paraId="403789AD" w14:textId="77777777" w:rsidR="00A9336B" w:rsidRDefault="00A9336B" w:rsidP="00A9336B">
      <w:pPr>
        <w:widowControl w:val="0"/>
        <w:autoSpaceDE w:val="0"/>
        <w:autoSpaceDN w:val="0"/>
        <w:spacing w:before="120" w:after="0" w:line="276" w:lineRule="auto"/>
        <w:ind w:right="113" w:firstLine="709"/>
        <w:jc w:val="both"/>
        <w:rPr>
          <w:rFonts w:ascii="Verdana" w:eastAsia="Arial MT" w:hAnsi="Verdana" w:cs="Arial MT"/>
        </w:rPr>
      </w:pPr>
      <w:r w:rsidRPr="003F63CC">
        <w:rPr>
          <w:rFonts w:ascii="Verdana" w:eastAsia="Times New Roman" w:hAnsi="Verdana" w:cs="Arial"/>
          <w:shd w:val="clear" w:color="auto" w:fill="FFFFFF"/>
          <w:lang w:val="es-ES"/>
        </w:rPr>
        <w:t>Así las cosas, la entidad estatal a pesar de que cuente con un interventor que está sujeto a su vez a una supervisión, tiene el deber y la responsabilidad de ejercer el control y seguimiento del contrato estatal de interventoría.</w:t>
      </w:r>
      <w:r w:rsidRPr="003F63CC">
        <w:rPr>
          <w:rFonts w:ascii="Verdana" w:eastAsia="Times New Roman" w:hAnsi="Verdana" w:cs="Arial"/>
        </w:rPr>
        <w:t xml:space="preserve"> </w:t>
      </w:r>
      <w:r w:rsidRPr="003F63CC">
        <w:rPr>
          <w:rFonts w:ascii="Verdana" w:eastAsia="Times New Roman" w:hAnsi="Verdana" w:cs="Arial"/>
          <w:shd w:val="clear" w:color="auto" w:fill="FFFFFF"/>
        </w:rPr>
        <w:t>En esta línea, el Consejo de Estado ha expresado que el informe del interventor no puede entenderse como el único o exclusivo insumo para declarar la responsabilidad del contratista, puesto que la ley no establece una tarifa probatoria sobre el particular, y porque aun existiendo, la entidad debe verificar su certeza y analizarlo con las demás pruebas allegadas al procedimiento administrativo sancionatorio</w:t>
      </w:r>
      <w:r w:rsidRPr="003F63CC">
        <w:rPr>
          <w:rFonts w:ascii="Verdana" w:eastAsia="Times New Roman" w:hAnsi="Verdana" w:cs="Arial"/>
          <w:shd w:val="clear" w:color="auto" w:fill="FFFFFF"/>
          <w:vertAlign w:val="superscript"/>
        </w:rPr>
        <w:footnoteReference w:id="9"/>
      </w:r>
      <w:r w:rsidRPr="003F63CC">
        <w:rPr>
          <w:rFonts w:ascii="Verdana" w:eastAsia="Times New Roman" w:hAnsi="Verdana" w:cs="Arial"/>
          <w:shd w:val="clear" w:color="auto" w:fill="FFFFFF"/>
        </w:rPr>
        <w:t xml:space="preserve">. En todo caso, la responsabilidad –fiscal, disciplinaria, civil, penal- del supervisor está supeditado a las diferentes actuaciones que hayan adelantado, y que se determinará por los órganos de control y/o judiciales competentes, sin dejar de lado la responsabilidad civil, fiscal, penal y disciplinariamente, del interventor, tanto por el cumplimiento de </w:t>
      </w:r>
      <w:r w:rsidRPr="003F63CC">
        <w:rPr>
          <w:rFonts w:ascii="Verdana" w:eastAsia="Times New Roman" w:hAnsi="Verdana" w:cs="Arial"/>
          <w:shd w:val="clear" w:color="auto" w:fill="FFFFFF"/>
        </w:rPr>
        <w:lastRenderedPageBreak/>
        <w:t xml:space="preserve">las obligaciones pactadas en el contrato de interventoría, como por los hechos u omisiones que le sean imputables y causen daño o perjuicio a las entidades, derivados de la celebración y ejecución de los contratos, </w:t>
      </w:r>
      <w:r w:rsidRPr="003F63CC">
        <w:rPr>
          <w:rFonts w:ascii="Verdana" w:eastAsia="Arial MT" w:hAnsi="Verdana" w:cs="Arial MT"/>
        </w:rPr>
        <w:t xml:space="preserve">de conformidad con lo dispuesto en el inciso segundo del artículo 53 de la Ley 80 de 1993 modificado por el artículo 84 de la Ley 1474 de 2011. </w:t>
      </w:r>
    </w:p>
    <w:p w14:paraId="4328C501" w14:textId="77777777" w:rsidR="00254C97" w:rsidRPr="003F63CC" w:rsidRDefault="00254C97" w:rsidP="00A9336B">
      <w:pPr>
        <w:widowControl w:val="0"/>
        <w:autoSpaceDE w:val="0"/>
        <w:autoSpaceDN w:val="0"/>
        <w:spacing w:before="120" w:after="0" w:line="276" w:lineRule="auto"/>
        <w:ind w:right="113" w:firstLine="709"/>
        <w:jc w:val="both"/>
        <w:rPr>
          <w:rFonts w:ascii="Verdana" w:eastAsia="Times New Roman" w:hAnsi="Verdana" w:cs="Arial"/>
        </w:rPr>
      </w:pPr>
    </w:p>
    <w:p w14:paraId="2DA99AE6" w14:textId="26B90FEE" w:rsidR="00A9336B" w:rsidRPr="00411D2D" w:rsidRDefault="00A9336B" w:rsidP="00A9336B">
      <w:pPr>
        <w:spacing w:after="120" w:line="276" w:lineRule="auto"/>
        <w:ind w:firstLine="708"/>
        <w:jc w:val="both"/>
        <w:rPr>
          <w:rFonts w:ascii="Verdana" w:eastAsia="Aptos" w:hAnsi="Verdana" w:cs="Arial"/>
          <w:color w:val="000000"/>
        </w:rPr>
      </w:pPr>
      <w:r>
        <w:rPr>
          <w:rFonts w:ascii="Verdana" w:eastAsia="Aptos" w:hAnsi="Verdana" w:cs="Arial"/>
          <w:color w:val="000000"/>
        </w:rPr>
        <w:t xml:space="preserve">En cuanto al problema jurídico planteado, </w:t>
      </w:r>
      <w:r w:rsidR="00254C97">
        <w:rPr>
          <w:rFonts w:ascii="Verdana" w:eastAsia="Aptos" w:hAnsi="Verdana" w:cs="Arial"/>
          <w:color w:val="000000"/>
        </w:rPr>
        <w:t>e</w:t>
      </w:r>
      <w:r w:rsidRPr="00411D2D">
        <w:rPr>
          <w:rFonts w:ascii="Verdana" w:eastAsia="Aptos" w:hAnsi="Verdana" w:cs="Arial"/>
          <w:color w:val="000000"/>
        </w:rPr>
        <w:t>n relación con la suspensión del contrato estatal, debe señalarse que esta constituye una medida excepcional mediante la cual se acuerda el cese temporal de la ejecución contractual, sin que ello implique la extinción del vínculo jurídico ni la liberación de las obligaciones y responsabilidades asumidas por las partes. En efecto, durante el período de suspensión el contrato conserva su vigencia jurídica, se detiene el cómputo del plazo de ejecución y subsisten los deberes de control, vigilancia y protección del interés público en cabeza de la entidad contratante. En consecuencia, la suspensión no despoja a la entidad de su potestad ni de su deber de adoptar las medidas necesarias para asegurar la correcta ejecución futura del contrato y la cobertura de los riesgos asociados a este, de conformidad con el régimen legal y reglamentario aplicable.</w:t>
      </w:r>
    </w:p>
    <w:p w14:paraId="5EA8365B" w14:textId="77777777" w:rsidR="00A9336B" w:rsidRPr="00411D2D" w:rsidRDefault="00A9336B" w:rsidP="00A9336B">
      <w:pPr>
        <w:spacing w:after="120" w:line="276" w:lineRule="auto"/>
        <w:ind w:firstLine="708"/>
        <w:jc w:val="both"/>
        <w:rPr>
          <w:rFonts w:ascii="Verdana" w:eastAsia="Aptos" w:hAnsi="Verdana" w:cs="Arial"/>
          <w:color w:val="000000"/>
        </w:rPr>
      </w:pPr>
      <w:r w:rsidRPr="00411D2D">
        <w:rPr>
          <w:rFonts w:ascii="Verdana" w:eastAsia="Aptos" w:hAnsi="Verdana" w:cs="Arial"/>
          <w:color w:val="000000"/>
        </w:rPr>
        <w:t>Bajo ese entendido, cuando la suspensión incide en el plazo contractual o en las condiciones inicialmente pactadas, la entidad estatal se encuentra obligada a verificar y exigir la adecuación de las garantías contractuales, en particular la garantía única de cumplimiento y, cuando corresponda, el seguro de responsabilidad civil extracontractual, a fin de evitar vacíos de cobertura que comprometan la protección del patrimonio público y la satisfacción de los fines estatales. Esta exigencia no tiene carácter discrecional, sino que constituye un deber legal correlativo al ejercicio de la función de vigilancia y control de la ejecución contractual.</w:t>
      </w:r>
    </w:p>
    <w:p w14:paraId="763A21DD" w14:textId="77777777" w:rsidR="00A9336B" w:rsidRPr="00411D2D" w:rsidRDefault="00A9336B" w:rsidP="00A9336B">
      <w:pPr>
        <w:spacing w:after="120" w:line="276" w:lineRule="auto"/>
        <w:ind w:firstLine="708"/>
        <w:jc w:val="both"/>
        <w:rPr>
          <w:rFonts w:ascii="Verdana" w:eastAsia="Aptos" w:hAnsi="Verdana" w:cs="Arial"/>
          <w:color w:val="000000"/>
        </w:rPr>
      </w:pPr>
      <w:r w:rsidRPr="00411D2D">
        <w:rPr>
          <w:rFonts w:ascii="Verdana" w:eastAsia="Aptos" w:hAnsi="Verdana" w:cs="Arial"/>
          <w:color w:val="000000"/>
        </w:rPr>
        <w:t xml:space="preserve">De otra parte, frente al alcance de las funciones de la interventoría, es claro que esta se ejerce en el marco de una función pública, orientada al seguimiento técnico especializado del contrato, dentro de los límites fijados en el respectivo contrato de interventoría y sin que ello implique la sustitución de las competencias propias de la entidad contratante. En ese sentido, el interventor no adopta decisiones administrativas ni define consecuencias jurídicas contractuales, funciones que permanecen radicadas en la entidad estatal, la cual debe valorar de manera autónoma los informes, advertencias y </w:t>
      </w:r>
      <w:r w:rsidRPr="00411D2D">
        <w:rPr>
          <w:rFonts w:ascii="Verdana" w:eastAsia="Aptos" w:hAnsi="Verdana" w:cs="Arial"/>
          <w:color w:val="000000"/>
        </w:rPr>
        <w:lastRenderedPageBreak/>
        <w:t>recomendaciones emitidas en desarrollo de la interventoría, junto con los demás elementos probatorios disponibles.</w:t>
      </w:r>
    </w:p>
    <w:p w14:paraId="104CFBD5" w14:textId="4E7F35C8" w:rsidR="00021CB5" w:rsidRDefault="00A9336B" w:rsidP="00021CB5">
      <w:pPr>
        <w:spacing w:after="120" w:line="276" w:lineRule="auto"/>
        <w:ind w:firstLine="360"/>
        <w:jc w:val="both"/>
        <w:rPr>
          <w:rFonts w:ascii="Verdana" w:eastAsia="Aptos" w:hAnsi="Verdana" w:cs="Arial"/>
          <w:color w:val="000000"/>
        </w:rPr>
      </w:pPr>
      <w:r w:rsidRPr="00411D2D">
        <w:rPr>
          <w:rFonts w:ascii="Verdana" w:eastAsia="Aptos" w:hAnsi="Verdana" w:cs="Arial"/>
          <w:color w:val="000000"/>
        </w:rPr>
        <w:t>Finalmente, ante la eventual ocurrencia de irregularidades en la ejecución contractual, el ordenamiento jurídico dota a las entidades estatales de diversos mecanismos para la salvaguarda de los principios de la contratación estatal y del interés público, entre los cuales se destacan la imposición de multas, la declaratoria de incumplimiento, la efectividad de las garantías y la activación del procedimiento administrativo sancionatorio previsto en el artículo 86 de la Ley 1474 de 2011, todo ello con observancia estricta del debido proceso. Estas herramientas permiten a la administración reaccionar de manera proporcional y jurídicamente fundada frente a conductas que afecten la correcta ejecución del contrato, sin perjuicio de las responsabilidades disciplinarias, fiscales, civiles o penales que puedan derivarse para los servidores públicos, supervisores o interventores que incumplan los deberes inherentes a la función de control y vigilancia contractual.</w:t>
      </w:r>
    </w:p>
    <w:p w14:paraId="0163698D" w14:textId="0EBB882A" w:rsidR="000E49FC" w:rsidRPr="003F63CC" w:rsidRDefault="000E49FC" w:rsidP="000E49FC">
      <w:pPr>
        <w:spacing w:after="120" w:line="276" w:lineRule="auto"/>
        <w:jc w:val="both"/>
        <w:rPr>
          <w:rFonts w:ascii="Verdana" w:eastAsia="Aptos" w:hAnsi="Verdana" w:cs="Arial"/>
          <w:color w:val="000000"/>
        </w:rPr>
      </w:pPr>
      <w:r w:rsidRPr="000E49FC">
        <w:rPr>
          <w:rFonts w:ascii="Verdana" w:eastAsia="Aptos" w:hAnsi="Verdana" w:cs="Arial"/>
          <w:color w:val="000000"/>
        </w:rPr>
        <w:t xml:space="preserve"> </w:t>
      </w:r>
      <w:r w:rsidR="00254C97">
        <w:rPr>
          <w:rFonts w:ascii="Verdana" w:eastAsia="Aptos" w:hAnsi="Verdana" w:cs="Arial"/>
          <w:color w:val="000000"/>
        </w:rPr>
        <w:t xml:space="preserve">      </w:t>
      </w:r>
      <w:r w:rsidRPr="00936D12">
        <w:rPr>
          <w:rFonts w:ascii="Verdana" w:eastAsia="Aptos" w:hAnsi="Verdana" w:cs="Arial"/>
          <w:color w:val="000000"/>
        </w:rPr>
        <w:t>En este punto, debe precisarse que, de acuerdo con la jurisprudencia del Consejo de Estado —en particular, lo reiterado por la Sección Tercera en el Auto del 10 de mayo de 2019 (</w:t>
      </w:r>
      <w:proofErr w:type="spellStart"/>
      <w:r w:rsidRPr="00936D12">
        <w:rPr>
          <w:rFonts w:ascii="Verdana" w:eastAsia="Aptos" w:hAnsi="Verdana" w:cs="Arial"/>
          <w:color w:val="000000"/>
        </w:rPr>
        <w:t>Exp</w:t>
      </w:r>
      <w:proofErr w:type="spellEnd"/>
      <w:r w:rsidRPr="00936D12">
        <w:rPr>
          <w:rFonts w:ascii="Verdana" w:eastAsia="Aptos" w:hAnsi="Verdana" w:cs="Arial"/>
          <w:color w:val="000000"/>
        </w:rPr>
        <w:t>. 59.532, C.P. Guillermo Sánchez Luque)— y con la línea institucional fijada por la Agencia Nacional de Contratación Pública – Colombia Compra Eficiente, en el Concepto C-363 de 2024 y en otros pronunciamientos expedidos sobre la materia, la suspensión del contrato estatal no limita ni desactiva las facultades sancionatorias de las entidades estatales, las cuales pueden ejercerse incluso durante el período de suspensión, siempre que se garantice el debido proceso, sin que dicha circunstancia constituya un escenario de inmunidad frente al ejercicio de las potestades de control y sanción de la administración.</w:t>
      </w:r>
      <w:r>
        <w:rPr>
          <w:rStyle w:val="Refdenotaalpie"/>
          <w:rFonts w:ascii="Verdana" w:eastAsia="Aptos" w:hAnsi="Verdana" w:cs="Arial"/>
          <w:color w:val="000000"/>
        </w:rPr>
        <w:footnoteReference w:id="10"/>
      </w:r>
    </w:p>
    <w:p w14:paraId="2E7DF15E" w14:textId="77777777" w:rsidR="00A9336B" w:rsidRDefault="00A9336B" w:rsidP="00A9336B">
      <w:pPr>
        <w:spacing w:after="120" w:line="276" w:lineRule="auto"/>
        <w:jc w:val="both"/>
        <w:rPr>
          <w:rFonts w:ascii="Verdana" w:eastAsia="Aptos" w:hAnsi="Verdana" w:cs="Arial"/>
          <w:color w:val="000000"/>
        </w:rPr>
      </w:pPr>
    </w:p>
    <w:p w14:paraId="3E973569" w14:textId="77777777" w:rsidR="00254C97" w:rsidRDefault="00254C97" w:rsidP="00A9336B">
      <w:pPr>
        <w:spacing w:after="120" w:line="276" w:lineRule="auto"/>
        <w:jc w:val="both"/>
        <w:rPr>
          <w:rFonts w:ascii="Verdana" w:eastAsia="Aptos" w:hAnsi="Verdana" w:cs="Arial"/>
          <w:color w:val="000000"/>
        </w:rPr>
      </w:pPr>
    </w:p>
    <w:p w14:paraId="03923E79" w14:textId="77777777" w:rsidR="00254C97" w:rsidRDefault="00254C97" w:rsidP="00A9336B">
      <w:pPr>
        <w:spacing w:after="120" w:line="276" w:lineRule="auto"/>
        <w:jc w:val="both"/>
        <w:rPr>
          <w:rFonts w:ascii="Verdana" w:eastAsia="Aptos" w:hAnsi="Verdana" w:cs="Arial"/>
          <w:color w:val="000000"/>
        </w:rPr>
      </w:pPr>
    </w:p>
    <w:p w14:paraId="12730CE2" w14:textId="77777777" w:rsidR="00254C97" w:rsidRPr="003F63CC" w:rsidRDefault="00254C97" w:rsidP="00A9336B">
      <w:pPr>
        <w:spacing w:after="120" w:line="276" w:lineRule="auto"/>
        <w:jc w:val="both"/>
        <w:rPr>
          <w:rFonts w:ascii="Verdana" w:eastAsia="Aptos" w:hAnsi="Verdana" w:cs="Arial"/>
          <w:color w:val="000000"/>
        </w:rPr>
      </w:pPr>
    </w:p>
    <w:p w14:paraId="30A174D2" w14:textId="77777777" w:rsidR="00A9336B" w:rsidRDefault="00A9336B" w:rsidP="00A9336B">
      <w:pPr>
        <w:numPr>
          <w:ilvl w:val="0"/>
          <w:numId w:val="18"/>
        </w:numPr>
        <w:spacing w:after="0" w:line="256" w:lineRule="auto"/>
        <w:rPr>
          <w:rFonts w:ascii="Verdana" w:eastAsia="Calibri" w:hAnsi="Verdana" w:cs="Times New Roman"/>
          <w:b/>
          <w:bCs/>
          <w:lang w:val="es-ES"/>
        </w:rPr>
      </w:pPr>
      <w:r w:rsidRPr="003F63CC">
        <w:rPr>
          <w:rFonts w:ascii="Verdana" w:eastAsia="Calibri" w:hAnsi="Verdana" w:cs="Times New Roman"/>
          <w:b/>
          <w:bCs/>
          <w:lang w:val="es-ES"/>
        </w:rPr>
        <w:t>Referencias normativas</w:t>
      </w:r>
    </w:p>
    <w:p w14:paraId="3D0B75AE" w14:textId="77777777" w:rsidR="00A9336B" w:rsidRPr="00C80DDC" w:rsidRDefault="00A9336B" w:rsidP="00A9336B">
      <w:pPr>
        <w:spacing w:after="0" w:line="256" w:lineRule="auto"/>
        <w:ind w:left="1080"/>
        <w:rPr>
          <w:rFonts w:ascii="Verdana" w:eastAsia="Calibri" w:hAnsi="Verdana" w:cs="Times New Roman"/>
          <w:b/>
          <w:bCs/>
          <w:lang w:val="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9336B" w:rsidRPr="003F63CC" w14:paraId="06642726" w14:textId="77777777" w:rsidTr="007B562E">
        <w:trPr>
          <w:trHeight w:val="870"/>
          <w:jc w:val="center"/>
        </w:trPr>
        <w:tc>
          <w:tcPr>
            <w:tcW w:w="8647" w:type="dxa"/>
          </w:tcPr>
          <w:p w14:paraId="7BAE626F" w14:textId="77777777" w:rsidR="00A9336B" w:rsidRPr="003F63CC" w:rsidRDefault="00A9336B" w:rsidP="007B562E">
            <w:pPr>
              <w:widowControl w:val="0"/>
              <w:autoSpaceDE w:val="0"/>
              <w:autoSpaceDN w:val="0"/>
              <w:spacing w:after="120" w:line="276" w:lineRule="auto"/>
              <w:jc w:val="both"/>
              <w:rPr>
                <w:rFonts w:ascii="Verdana" w:hAnsi="Verdana" w:cs="Arial"/>
              </w:rPr>
            </w:pPr>
          </w:p>
          <w:p w14:paraId="6C032E70" w14:textId="77777777" w:rsidR="00A9336B" w:rsidRDefault="00A9336B" w:rsidP="00A9336B">
            <w:pPr>
              <w:widowControl w:val="0"/>
              <w:numPr>
                <w:ilvl w:val="0"/>
                <w:numId w:val="17"/>
              </w:numPr>
              <w:autoSpaceDE w:val="0"/>
              <w:autoSpaceDN w:val="0"/>
              <w:spacing w:after="120" w:line="276" w:lineRule="auto"/>
              <w:contextualSpacing/>
              <w:jc w:val="both"/>
              <w:rPr>
                <w:rFonts w:ascii="Verdana" w:hAnsi="Verdana" w:cs="Arial"/>
                <w:color w:val="000000" w:themeColor="text1"/>
                <w:lang w:val="es-ES"/>
              </w:rPr>
            </w:pPr>
            <w:r w:rsidRPr="003F63CC">
              <w:rPr>
                <w:rFonts w:ascii="Verdana" w:hAnsi="Verdana" w:cs="Arial"/>
                <w:color w:val="000000" w:themeColor="text1"/>
                <w:lang w:val="es-ES"/>
              </w:rPr>
              <w:t xml:space="preserve">Ley 80 de 1993, artículos 4, 5, 12, 14, 26, 32, 51, 53. </w:t>
            </w:r>
          </w:p>
          <w:p w14:paraId="5119711A" w14:textId="77777777" w:rsidR="00A9336B" w:rsidRDefault="00A9336B" w:rsidP="00A9336B">
            <w:pPr>
              <w:widowControl w:val="0"/>
              <w:numPr>
                <w:ilvl w:val="0"/>
                <w:numId w:val="17"/>
              </w:numPr>
              <w:autoSpaceDE w:val="0"/>
              <w:autoSpaceDN w:val="0"/>
              <w:spacing w:after="120" w:line="276" w:lineRule="auto"/>
              <w:contextualSpacing/>
              <w:jc w:val="both"/>
              <w:rPr>
                <w:rFonts w:ascii="Verdana" w:hAnsi="Verdana" w:cs="Arial"/>
                <w:color w:val="000000" w:themeColor="text1"/>
                <w:lang w:val="es-ES"/>
              </w:rPr>
            </w:pPr>
            <w:r w:rsidRPr="003F63CC">
              <w:rPr>
                <w:rFonts w:ascii="Verdana" w:hAnsi="Verdana" w:cs="Arial"/>
                <w:color w:val="000000" w:themeColor="text1"/>
                <w:lang w:val="es-ES"/>
              </w:rPr>
              <w:t xml:space="preserve">Ley 1150 de 2007. Artículos 17 y 21. </w:t>
            </w:r>
          </w:p>
          <w:p w14:paraId="5814DA5F" w14:textId="77777777" w:rsidR="00A9336B" w:rsidRPr="00C80DDC" w:rsidRDefault="00A9336B" w:rsidP="00A9336B">
            <w:pPr>
              <w:widowControl w:val="0"/>
              <w:numPr>
                <w:ilvl w:val="0"/>
                <w:numId w:val="17"/>
              </w:numPr>
              <w:autoSpaceDE w:val="0"/>
              <w:autoSpaceDN w:val="0"/>
              <w:spacing w:after="120" w:line="276" w:lineRule="auto"/>
              <w:contextualSpacing/>
              <w:jc w:val="both"/>
              <w:rPr>
                <w:rFonts w:ascii="Verdana" w:hAnsi="Verdana" w:cs="Arial"/>
                <w:color w:val="000000" w:themeColor="text1"/>
                <w:lang w:val="es-ES"/>
              </w:rPr>
            </w:pPr>
            <w:r w:rsidRPr="003F63CC">
              <w:rPr>
                <w:rFonts w:ascii="Verdana" w:hAnsi="Verdana" w:cs="Arial"/>
                <w:color w:val="000000" w:themeColor="text1"/>
                <w:lang w:val="es-ES"/>
              </w:rPr>
              <w:t xml:space="preserve">Ley 1474 de 2011, artículos 83 y 84. </w:t>
            </w:r>
          </w:p>
          <w:p w14:paraId="330A45E1" w14:textId="77777777" w:rsidR="00A9336B" w:rsidRPr="003F63CC" w:rsidRDefault="00A9336B" w:rsidP="00A9336B">
            <w:pPr>
              <w:widowControl w:val="0"/>
              <w:numPr>
                <w:ilvl w:val="0"/>
                <w:numId w:val="17"/>
              </w:numPr>
              <w:autoSpaceDE w:val="0"/>
              <w:autoSpaceDN w:val="0"/>
              <w:spacing w:after="160" w:line="276" w:lineRule="auto"/>
              <w:contextualSpacing/>
              <w:jc w:val="both"/>
              <w:rPr>
                <w:rFonts w:ascii="Verdana" w:hAnsi="Verdana" w:cs="Arial"/>
                <w:color w:val="000000" w:themeColor="text1"/>
                <w:lang w:val="es-ES"/>
              </w:rPr>
            </w:pPr>
            <w:r w:rsidRPr="003F63CC">
              <w:rPr>
                <w:rFonts w:ascii="Verdana" w:hAnsi="Verdana" w:cs="Arial"/>
                <w:color w:val="000000" w:themeColor="text1"/>
                <w:lang w:val="es-ES"/>
              </w:rPr>
              <w:t xml:space="preserve">Colombia Compra Eficiente, Guía para el ejercicio de las funciones de Supervisión e Interventoría de los contratos del Estado. </w:t>
            </w:r>
          </w:p>
          <w:p w14:paraId="2C279AA3" w14:textId="77777777" w:rsidR="00A9336B" w:rsidRPr="003F63CC" w:rsidRDefault="00A9336B" w:rsidP="007B562E">
            <w:pPr>
              <w:ind w:left="720"/>
              <w:contextualSpacing/>
              <w:rPr>
                <w:rFonts w:ascii="Verdana" w:hAnsi="Verdana" w:cs="Arial"/>
                <w:lang w:val="es-ES_tradnl"/>
              </w:rPr>
            </w:pPr>
          </w:p>
        </w:tc>
      </w:tr>
    </w:tbl>
    <w:p w14:paraId="4B3E9EAB" w14:textId="77777777" w:rsidR="00A9336B" w:rsidRPr="003F63CC" w:rsidRDefault="00A9336B" w:rsidP="00A9336B">
      <w:pPr>
        <w:spacing w:line="276" w:lineRule="auto"/>
        <w:ind w:right="709"/>
        <w:contextualSpacing/>
        <w:jc w:val="both"/>
        <w:rPr>
          <w:rFonts w:ascii="Verdana" w:hAnsi="Verdana" w:cs="Arial"/>
          <w:color w:val="000000" w:themeColor="text1"/>
          <w:lang w:val="es-ES_tradnl"/>
        </w:rPr>
      </w:pPr>
    </w:p>
    <w:p w14:paraId="3C59D300" w14:textId="77777777" w:rsidR="00A9336B" w:rsidRPr="003F63CC" w:rsidRDefault="00A9336B" w:rsidP="00A9336B">
      <w:pPr>
        <w:numPr>
          <w:ilvl w:val="0"/>
          <w:numId w:val="18"/>
        </w:numPr>
        <w:spacing w:after="0" w:line="256" w:lineRule="auto"/>
        <w:rPr>
          <w:rFonts w:ascii="Verdana" w:eastAsia="Calibri" w:hAnsi="Verdana" w:cs="Times New Roman"/>
          <w:b/>
          <w:bCs/>
          <w:lang w:val="es-ES"/>
        </w:rPr>
      </w:pPr>
      <w:r w:rsidRPr="003F63CC">
        <w:rPr>
          <w:rFonts w:ascii="Verdana" w:eastAsia="Calibri" w:hAnsi="Verdana" w:cs="Times New Roman"/>
          <w:b/>
          <w:bCs/>
          <w:lang w:val="es-ES"/>
        </w:rPr>
        <w:t>Doctrina de la Agencia Nacional de Contratación Pública:</w:t>
      </w:r>
    </w:p>
    <w:p w14:paraId="5D006869" w14:textId="77777777" w:rsidR="00A9336B" w:rsidRPr="003F63CC" w:rsidRDefault="00A9336B" w:rsidP="00A9336B">
      <w:pPr>
        <w:spacing w:after="0" w:line="256" w:lineRule="auto"/>
        <w:rPr>
          <w:rFonts w:ascii="Verdana" w:eastAsia="Calibri" w:hAnsi="Verdana" w:cs="Times New Roman"/>
          <w:lang w:val="es-ES"/>
        </w:rPr>
      </w:pPr>
    </w:p>
    <w:p w14:paraId="73B273EF" w14:textId="77777777" w:rsidR="00A9336B" w:rsidRPr="003F63CC" w:rsidRDefault="00A9336B" w:rsidP="00A9336B">
      <w:pPr>
        <w:widowControl w:val="0"/>
        <w:autoSpaceDE w:val="0"/>
        <w:autoSpaceDN w:val="0"/>
        <w:spacing w:after="0" w:line="276" w:lineRule="auto"/>
        <w:jc w:val="both"/>
        <w:rPr>
          <w:rFonts w:ascii="Verdana" w:eastAsia="Calibri" w:hAnsi="Verdana" w:cs="Times New Roman"/>
        </w:rPr>
      </w:pPr>
      <w:r w:rsidRPr="003F63CC">
        <w:rPr>
          <w:rFonts w:ascii="Verdana" w:eastAsia="Aptos" w:hAnsi="Verdana" w:cs="Arial"/>
          <w:color w:val="000000"/>
          <w:shd w:val="clear" w:color="auto" w:fill="FFFFFF"/>
          <w:lang w:val="es-ES"/>
        </w:rPr>
        <w:t xml:space="preserve">Sobre la obligación de controlar y vigilar la ejecución de los contratos estatales, esta Subdirección se ha referido en los Conceptos </w:t>
      </w:r>
      <w:r w:rsidRPr="003F63CC">
        <w:rPr>
          <w:rFonts w:ascii="Verdana" w:eastAsia="Aptos" w:hAnsi="Verdana" w:cs="Arial"/>
          <w:color w:val="000000"/>
          <w:shd w:val="clear" w:color="auto" w:fill="FFFFFF"/>
          <w:lang w:val="es-ES_tradnl"/>
        </w:rPr>
        <w:t>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3F63CC">
        <w:rPr>
          <w:rFonts w:ascii="Verdana" w:eastAsia="Aptos" w:hAnsi="Verdana" w:cs="Arial"/>
          <w:color w:val="000000"/>
          <w:shd w:val="clear" w:color="auto" w:fill="FFFFFF"/>
          <w:lang w:val="es-ES"/>
        </w:rPr>
        <w:t xml:space="preserve">,C-600 del 7 de octubre de 2024, C-800 del 13 de diciembre de 2025, C-972 de 22 de enero de 2025, C-987 del 21 de enero de 2025, C-091 del 13 de febrero de 2025, entre otros. </w:t>
      </w:r>
    </w:p>
    <w:p w14:paraId="20169854" w14:textId="77777777" w:rsidR="00A9336B" w:rsidRPr="003F63CC" w:rsidRDefault="00A9336B" w:rsidP="00A9336B">
      <w:pPr>
        <w:spacing w:after="0" w:line="276" w:lineRule="auto"/>
        <w:jc w:val="both"/>
        <w:rPr>
          <w:rFonts w:ascii="Verdana" w:eastAsia="Calibri" w:hAnsi="Verdana" w:cs="Times New Roman"/>
        </w:rPr>
      </w:pPr>
      <w:hyperlink r:id="rId11" w:history="1">
        <w:r w:rsidRPr="003F63CC">
          <w:rPr>
            <w:rFonts w:ascii="Verdana" w:eastAsia="Calibri" w:hAnsi="Verdana" w:cs="Times New Roman"/>
            <w:color w:val="0000FF"/>
            <w:u w:val="single"/>
            <w:lang w:val="es-ES"/>
          </w:rPr>
          <w:t>https://relatoria.colombiacompra.gov.co/busqueda/conceptos</w:t>
        </w:r>
      </w:hyperlink>
      <w:r w:rsidRPr="003F63CC">
        <w:rPr>
          <w:rFonts w:ascii="Verdana" w:eastAsia="Calibri" w:hAnsi="Verdana" w:cs="Times New Roman"/>
        </w:rPr>
        <w:t xml:space="preserve">. </w:t>
      </w:r>
    </w:p>
    <w:p w14:paraId="1DDE95C6" w14:textId="77777777" w:rsidR="00A9336B" w:rsidRPr="00103B90" w:rsidRDefault="00A9336B" w:rsidP="00A9336B">
      <w:pPr>
        <w:widowControl w:val="0"/>
        <w:autoSpaceDE w:val="0"/>
        <w:autoSpaceDN w:val="0"/>
        <w:spacing w:after="0" w:line="276" w:lineRule="auto"/>
        <w:jc w:val="both"/>
        <w:rPr>
          <w:rFonts w:ascii="Verdana" w:hAnsi="Verdana"/>
        </w:rPr>
      </w:pPr>
      <w:r w:rsidRPr="003F63CC">
        <w:rPr>
          <w:rFonts w:ascii="Verdana" w:eastAsia="Calibri" w:hAnsi="Verdana" w:cs="Times New Roman"/>
        </w:rPr>
        <w:br/>
      </w: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xml:space="preserve">. Esta guía es un instrumento clave para integrar buenas prácticas en la contratación estatal, promoviendo los Objetivos de Desarrollo Sostenible (ODS) a través de criterios y obligaciones ambientales y sociales en todas las etapas del proceso. Puede consultar la guía </w:t>
      </w:r>
      <w:r w:rsidRPr="00505CD6">
        <w:rPr>
          <w:rFonts w:ascii="Verdana" w:hAnsi="Verdana" w:cs="Arial"/>
          <w:color w:val="000000" w:themeColor="text1"/>
          <w:shd w:val="clear" w:color="auto" w:fill="FFFFFF"/>
        </w:rPr>
        <w:lastRenderedPageBreak/>
        <w:t>en el siguiente enlace: </w:t>
      </w:r>
      <w:hyperlink r:id="rId12"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7F249CCD" w14:textId="77777777" w:rsidR="00A9336B" w:rsidRPr="00103B90" w:rsidRDefault="00A9336B" w:rsidP="00A9336B">
      <w:pPr>
        <w:widowControl w:val="0"/>
        <w:autoSpaceDE w:val="0"/>
        <w:autoSpaceDN w:val="0"/>
        <w:spacing w:after="0" w:line="276" w:lineRule="auto"/>
        <w:jc w:val="both"/>
        <w:rPr>
          <w:rFonts w:ascii="Verdana" w:hAnsi="Verdana"/>
        </w:rPr>
      </w:pPr>
    </w:p>
    <w:p w14:paraId="3AA05670" w14:textId="77777777" w:rsidR="00A9336B" w:rsidRPr="00505CD6" w:rsidRDefault="00A9336B" w:rsidP="00A9336B">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3420EB2B" w14:textId="77777777" w:rsidR="00A9336B" w:rsidRPr="00505CD6" w:rsidRDefault="00A9336B" w:rsidP="00A9336B">
      <w:pPr>
        <w:widowControl w:val="0"/>
        <w:autoSpaceDE w:val="0"/>
        <w:autoSpaceDN w:val="0"/>
        <w:spacing w:after="0" w:line="276" w:lineRule="auto"/>
        <w:jc w:val="both"/>
        <w:rPr>
          <w:rFonts w:ascii="Verdana" w:hAnsi="Verdana" w:cs="Arial"/>
        </w:rPr>
      </w:pPr>
    </w:p>
    <w:p w14:paraId="6DEA9A59" w14:textId="77777777" w:rsidR="00A9336B" w:rsidRDefault="00A9336B" w:rsidP="00A9336B">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5C303E58" w14:textId="699E495D" w:rsidR="00A9336B" w:rsidRDefault="009449D9" w:rsidP="00A9336B">
      <w:pPr>
        <w:spacing w:after="0" w:line="276" w:lineRule="auto"/>
        <w:jc w:val="center"/>
        <w:rPr>
          <w:rFonts w:ascii="Verdana" w:hAnsi="Verdana"/>
          <w:lang w:val="es-ES_tradnl"/>
        </w:rPr>
      </w:pPr>
      <w:r>
        <w:rPr>
          <w:rFonts w:ascii="Verdana" w:hAnsi="Verdana"/>
          <w:noProof/>
          <w:lang w:val="es-ES_tradnl"/>
        </w:rPr>
        <w:drawing>
          <wp:inline distT="0" distB="0" distL="0" distR="0" wp14:anchorId="78716EC4" wp14:editId="7B69AE31">
            <wp:extent cx="3639058" cy="1343212"/>
            <wp:effectExtent l="0" t="0" r="0" b="0"/>
            <wp:docPr id="181680739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807397"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9336B" w:rsidRPr="00D53651" w14:paraId="7C688B90" w14:textId="77777777" w:rsidTr="007B562E">
        <w:trPr>
          <w:trHeight w:val="315"/>
        </w:trPr>
        <w:tc>
          <w:tcPr>
            <w:tcW w:w="893" w:type="dxa"/>
            <w:vAlign w:val="center"/>
            <w:hideMark/>
          </w:tcPr>
          <w:p w14:paraId="41D4931B" w14:textId="77777777" w:rsidR="00A9336B" w:rsidRPr="00D53651" w:rsidRDefault="00A9336B" w:rsidP="007B562E">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131C442F" w14:textId="77777777" w:rsidR="00A9336B" w:rsidRPr="00D53651" w:rsidRDefault="00A9336B" w:rsidP="007B562E">
            <w:pPr>
              <w:spacing w:line="276" w:lineRule="auto"/>
              <w:jc w:val="both"/>
              <w:rPr>
                <w:rFonts w:ascii="Verdana" w:hAnsi="Verdana"/>
                <w:sz w:val="16"/>
                <w:szCs w:val="16"/>
              </w:rPr>
            </w:pPr>
            <w:r>
              <w:rPr>
                <w:rFonts w:ascii="Verdana" w:hAnsi="Verdana"/>
                <w:sz w:val="16"/>
                <w:szCs w:val="16"/>
              </w:rPr>
              <w:t>Gloria Elizabeth Arango Builes</w:t>
            </w:r>
          </w:p>
          <w:p w14:paraId="3E707C97" w14:textId="77777777" w:rsidR="00A9336B" w:rsidRPr="00D53651" w:rsidRDefault="00A9336B" w:rsidP="007B562E">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A9336B" w:rsidRPr="00D53651" w14:paraId="3C38FCE5" w14:textId="77777777" w:rsidTr="007B562E">
        <w:trPr>
          <w:trHeight w:val="330"/>
        </w:trPr>
        <w:tc>
          <w:tcPr>
            <w:tcW w:w="893" w:type="dxa"/>
            <w:vAlign w:val="center"/>
            <w:hideMark/>
          </w:tcPr>
          <w:p w14:paraId="51BF03EE" w14:textId="77777777" w:rsidR="00A9336B" w:rsidRPr="00D53651" w:rsidRDefault="00A9336B" w:rsidP="007B562E">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28069B9A" w14:textId="77777777" w:rsidR="00A9336B" w:rsidRPr="00D53651" w:rsidRDefault="00A9336B" w:rsidP="007B562E">
            <w:pPr>
              <w:spacing w:line="276" w:lineRule="auto"/>
              <w:jc w:val="both"/>
              <w:rPr>
                <w:rFonts w:ascii="Verdana" w:hAnsi="Verdana"/>
                <w:sz w:val="16"/>
                <w:szCs w:val="16"/>
              </w:rPr>
            </w:pPr>
            <w:r>
              <w:rPr>
                <w:rFonts w:ascii="Verdana" w:hAnsi="Verdana"/>
                <w:sz w:val="16"/>
                <w:szCs w:val="16"/>
              </w:rPr>
              <w:t xml:space="preserve">Juan Carlos González </w:t>
            </w:r>
            <w:proofErr w:type="spellStart"/>
            <w:r>
              <w:rPr>
                <w:rFonts w:ascii="Verdana" w:hAnsi="Verdana"/>
                <w:sz w:val="16"/>
                <w:szCs w:val="16"/>
              </w:rPr>
              <w:t>Váquez</w:t>
            </w:r>
            <w:proofErr w:type="spellEnd"/>
            <w:r>
              <w:rPr>
                <w:rFonts w:ascii="Verdana" w:hAnsi="Verdana"/>
                <w:sz w:val="16"/>
                <w:szCs w:val="16"/>
              </w:rPr>
              <w:t xml:space="preserve"> </w:t>
            </w:r>
            <w:r w:rsidRPr="00D53651">
              <w:rPr>
                <w:rFonts w:ascii="Verdana" w:hAnsi="Verdana"/>
                <w:sz w:val="16"/>
                <w:szCs w:val="16"/>
              </w:rPr>
              <w:t xml:space="preserve"> </w:t>
            </w:r>
          </w:p>
          <w:p w14:paraId="208C2A21" w14:textId="77777777" w:rsidR="00A9336B" w:rsidRPr="00D53651" w:rsidRDefault="00A9336B" w:rsidP="007B562E">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A9336B" w:rsidRPr="00D53651" w14:paraId="69FDA340" w14:textId="77777777" w:rsidTr="007B562E">
        <w:trPr>
          <w:trHeight w:val="300"/>
        </w:trPr>
        <w:tc>
          <w:tcPr>
            <w:tcW w:w="893" w:type="dxa"/>
            <w:vAlign w:val="center"/>
            <w:hideMark/>
          </w:tcPr>
          <w:p w14:paraId="714AACEA" w14:textId="77777777" w:rsidR="00A9336B" w:rsidRPr="00D53651" w:rsidRDefault="00A9336B" w:rsidP="007B562E">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58D87109" w14:textId="77777777" w:rsidR="00A9336B" w:rsidRPr="00D53651" w:rsidRDefault="00A9336B" w:rsidP="007B562E">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027552FF" w14:textId="77777777" w:rsidR="00A9336B" w:rsidRPr="00D53651" w:rsidRDefault="00A9336B" w:rsidP="007B562E">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426CCB4F" w14:textId="77777777" w:rsidR="00A9336B" w:rsidRPr="000931E9" w:rsidRDefault="00A9336B" w:rsidP="00A9336B"/>
    <w:p w14:paraId="62C0663F" w14:textId="77777777" w:rsidR="00A9336B" w:rsidRPr="0044528D" w:rsidRDefault="00A9336B" w:rsidP="00A9336B">
      <w:pPr>
        <w:spacing w:after="0"/>
        <w:rPr>
          <w:rFonts w:ascii="Verdana" w:hAnsi="Verdana"/>
        </w:rPr>
      </w:pPr>
    </w:p>
    <w:p w14:paraId="0A1F62D8" w14:textId="77777777" w:rsidR="00A9336B" w:rsidRPr="00FA01E0" w:rsidRDefault="00A9336B" w:rsidP="00A9336B">
      <w:pPr>
        <w:spacing w:after="0" w:line="276" w:lineRule="auto"/>
        <w:jc w:val="both"/>
        <w:rPr>
          <w:rFonts w:ascii="Verdana" w:eastAsia="Calibri" w:hAnsi="Verdana" w:cs="Arial"/>
          <w:lang w:val="es-ES"/>
        </w:rPr>
      </w:pPr>
    </w:p>
    <w:p w14:paraId="711FB7C8" w14:textId="77777777" w:rsidR="00A9336B" w:rsidRPr="00514983" w:rsidRDefault="00A9336B" w:rsidP="00A9336B"/>
    <w:p w14:paraId="68DA6026" w14:textId="77777777" w:rsidR="00A9336B" w:rsidRPr="00FF4E35" w:rsidRDefault="00A9336B" w:rsidP="00A9336B"/>
    <w:p w14:paraId="0F293BF4" w14:textId="39795E87" w:rsidR="00127233" w:rsidRPr="00A9336B" w:rsidRDefault="00127233" w:rsidP="00A9336B"/>
    <w:sectPr w:rsidR="00127233" w:rsidRPr="00A9336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BA0F58" w14:textId="77777777" w:rsidR="00745908" w:rsidRDefault="00745908" w:rsidP="004A1847">
      <w:pPr>
        <w:spacing w:after="0" w:line="240" w:lineRule="auto"/>
      </w:pPr>
      <w:r>
        <w:separator/>
      </w:r>
    </w:p>
  </w:endnote>
  <w:endnote w:type="continuationSeparator" w:id="0">
    <w:p w14:paraId="61E5E313" w14:textId="77777777" w:rsidR="00745908" w:rsidRDefault="00745908" w:rsidP="004A1847">
      <w:pPr>
        <w:spacing w:after="0" w:line="240" w:lineRule="auto"/>
      </w:pPr>
      <w:r>
        <w:continuationSeparator/>
      </w:r>
    </w:p>
  </w:endnote>
  <w:endnote w:type="continuationNotice" w:id="1">
    <w:p w14:paraId="3C139982" w14:textId="77777777" w:rsidR="00745908" w:rsidRDefault="0074590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50ED0D" w14:textId="77777777" w:rsidR="00745908" w:rsidRDefault="00745908" w:rsidP="004A1847">
      <w:pPr>
        <w:spacing w:after="0" w:line="240" w:lineRule="auto"/>
      </w:pPr>
      <w:r>
        <w:separator/>
      </w:r>
    </w:p>
  </w:footnote>
  <w:footnote w:type="continuationSeparator" w:id="0">
    <w:p w14:paraId="475B9F51" w14:textId="77777777" w:rsidR="00745908" w:rsidRDefault="00745908" w:rsidP="004A1847">
      <w:pPr>
        <w:spacing w:after="0" w:line="240" w:lineRule="auto"/>
      </w:pPr>
      <w:r>
        <w:continuationSeparator/>
      </w:r>
    </w:p>
  </w:footnote>
  <w:footnote w:type="continuationNotice" w:id="1">
    <w:p w14:paraId="76F18C84" w14:textId="77777777" w:rsidR="00745908" w:rsidRDefault="00745908">
      <w:pPr>
        <w:spacing w:after="0" w:line="240" w:lineRule="auto"/>
      </w:pPr>
    </w:p>
  </w:footnote>
  <w:footnote w:id="2">
    <w:p w14:paraId="77E2F991" w14:textId="77777777" w:rsidR="00A9336B" w:rsidRPr="00C80DDC" w:rsidRDefault="00A9336B" w:rsidP="00A9336B">
      <w:pPr>
        <w:pStyle w:val="Textonotapie"/>
        <w:ind w:firstLine="709"/>
        <w:jc w:val="both"/>
        <w:rPr>
          <w:rFonts w:ascii="Verdana" w:hAnsi="Verdana"/>
          <w:sz w:val="16"/>
          <w:szCs w:val="16"/>
        </w:rPr>
      </w:pPr>
      <w:r w:rsidRPr="00C80DDC">
        <w:rPr>
          <w:rFonts w:ascii="Verdana" w:hAnsi="Verdana"/>
          <w:sz w:val="16"/>
          <w:szCs w:val="16"/>
          <w:vertAlign w:val="superscript"/>
        </w:rPr>
        <w:footnoteRef/>
      </w:r>
      <w:r w:rsidRPr="00C80DDC">
        <w:rPr>
          <w:rFonts w:ascii="Verdana" w:hAnsi="Verdana"/>
          <w:sz w:val="16"/>
          <w:szCs w:val="16"/>
        </w:rPr>
        <w:t xml:space="preserve"> Artículo 17 de la Ley 1150 de 2007</w:t>
      </w:r>
    </w:p>
  </w:footnote>
  <w:footnote w:id="3">
    <w:p w14:paraId="598D2743" w14:textId="77777777" w:rsidR="00A9336B" w:rsidRPr="00C80DDC" w:rsidRDefault="00A9336B" w:rsidP="00A9336B">
      <w:pPr>
        <w:pStyle w:val="Textonotapie"/>
        <w:ind w:firstLine="709"/>
        <w:jc w:val="both"/>
        <w:rPr>
          <w:rFonts w:ascii="Verdana" w:hAnsi="Verdana"/>
          <w:sz w:val="16"/>
          <w:szCs w:val="16"/>
        </w:rPr>
      </w:pPr>
      <w:r w:rsidRPr="00C80DDC">
        <w:rPr>
          <w:rFonts w:ascii="Verdana" w:hAnsi="Verdana"/>
          <w:sz w:val="16"/>
          <w:szCs w:val="16"/>
          <w:vertAlign w:val="superscript"/>
        </w:rPr>
        <w:footnoteRef/>
      </w:r>
      <w:r w:rsidRPr="00C80DDC">
        <w:rPr>
          <w:rFonts w:ascii="Verdana" w:hAnsi="Verdana"/>
          <w:sz w:val="16"/>
          <w:szCs w:val="16"/>
        </w:rPr>
        <w:t xml:space="preserve"> Artículo 21 de la Ley 1150 de 2007</w:t>
      </w:r>
    </w:p>
  </w:footnote>
  <w:footnote w:id="4">
    <w:p w14:paraId="17280B49" w14:textId="77777777" w:rsidR="00A9336B" w:rsidRPr="00C80DDC" w:rsidRDefault="00A9336B" w:rsidP="00A9336B">
      <w:pPr>
        <w:pStyle w:val="Textonotapie"/>
        <w:ind w:firstLine="709"/>
        <w:jc w:val="both"/>
        <w:rPr>
          <w:rFonts w:ascii="Verdana" w:hAnsi="Verdana"/>
          <w:sz w:val="16"/>
          <w:szCs w:val="16"/>
        </w:rPr>
      </w:pPr>
      <w:r w:rsidRPr="00C80DDC">
        <w:rPr>
          <w:rFonts w:ascii="Verdana" w:hAnsi="Verdana"/>
          <w:sz w:val="16"/>
          <w:szCs w:val="16"/>
          <w:vertAlign w:val="superscript"/>
        </w:rPr>
        <w:footnoteRef/>
      </w:r>
      <w:r w:rsidRPr="00C80DDC">
        <w:rPr>
          <w:rFonts w:ascii="Verdana" w:hAnsi="Verdana"/>
          <w:sz w:val="16"/>
          <w:szCs w:val="16"/>
        </w:rPr>
        <w:t xml:space="preserve"> Artículos 83 a 86 de la Ley 1474 de 2011</w:t>
      </w:r>
    </w:p>
  </w:footnote>
  <w:footnote w:id="5">
    <w:p w14:paraId="7645B01B" w14:textId="77777777" w:rsidR="00A9336B" w:rsidRPr="00C80DDC" w:rsidRDefault="00A9336B" w:rsidP="00A9336B">
      <w:pPr>
        <w:pStyle w:val="Textonotapie"/>
        <w:ind w:firstLine="709"/>
        <w:jc w:val="both"/>
        <w:rPr>
          <w:rFonts w:ascii="Verdana" w:hAnsi="Verdana"/>
          <w:sz w:val="16"/>
          <w:szCs w:val="16"/>
        </w:rPr>
      </w:pPr>
      <w:r w:rsidRPr="00C80DDC">
        <w:rPr>
          <w:rFonts w:ascii="Verdana" w:hAnsi="Verdana"/>
          <w:sz w:val="16"/>
          <w:szCs w:val="16"/>
          <w:vertAlign w:val="superscript"/>
        </w:rPr>
        <w:footnoteRef/>
      </w:r>
      <w:r w:rsidRPr="00C80DDC">
        <w:rPr>
          <w:rFonts w:ascii="Verdana" w:hAnsi="Verdana"/>
          <w:sz w:val="16"/>
          <w:szCs w:val="16"/>
        </w:rPr>
        <w:t xml:space="preserve"> Consejo de Estado. Sección Tercera –Subsección C. Sentencia del 27 de noviembre de 2017. M.P. Jaime Orlando Santofimio. Exp. 51.802</w:t>
      </w:r>
    </w:p>
  </w:footnote>
  <w:footnote w:id="6">
    <w:p w14:paraId="6A81EBAD" w14:textId="77777777" w:rsidR="00A9336B" w:rsidRPr="00C80DDC" w:rsidRDefault="00A9336B" w:rsidP="00A9336B">
      <w:pPr>
        <w:pStyle w:val="Textonotapie"/>
        <w:ind w:firstLine="709"/>
        <w:jc w:val="both"/>
        <w:rPr>
          <w:rFonts w:ascii="Verdana" w:hAnsi="Verdana"/>
          <w:sz w:val="16"/>
          <w:szCs w:val="16"/>
        </w:rPr>
      </w:pPr>
      <w:r w:rsidRPr="00C80DDC">
        <w:rPr>
          <w:rFonts w:ascii="Verdana" w:hAnsi="Verdana"/>
          <w:sz w:val="16"/>
          <w:szCs w:val="16"/>
          <w:vertAlign w:val="superscript"/>
        </w:rPr>
        <w:footnoteRef/>
      </w:r>
      <w:r w:rsidRPr="00C80DDC">
        <w:rPr>
          <w:rFonts w:ascii="Verdana" w:hAnsi="Verdana"/>
          <w:sz w:val="16"/>
          <w:szCs w:val="16"/>
        </w:rPr>
        <w:t xml:space="preserve"> Artículo 83 de la Ley 1474 de 2011</w:t>
      </w:r>
    </w:p>
  </w:footnote>
  <w:footnote w:id="7">
    <w:p w14:paraId="153B2D08" w14:textId="77777777" w:rsidR="00A9336B" w:rsidRPr="00C80DDC" w:rsidRDefault="00A9336B" w:rsidP="00A9336B">
      <w:pPr>
        <w:pStyle w:val="Textonotapie"/>
        <w:ind w:firstLine="709"/>
        <w:jc w:val="both"/>
        <w:rPr>
          <w:sz w:val="16"/>
          <w:szCs w:val="16"/>
        </w:rPr>
      </w:pPr>
      <w:r w:rsidRPr="00C80DDC">
        <w:rPr>
          <w:rFonts w:ascii="Verdana" w:hAnsi="Verdana"/>
          <w:sz w:val="16"/>
          <w:szCs w:val="16"/>
          <w:vertAlign w:val="superscript"/>
        </w:rPr>
        <w:footnoteRef/>
      </w:r>
      <w:r w:rsidRPr="00C80DDC">
        <w:rPr>
          <w:rFonts w:ascii="Verdana" w:hAnsi="Verdana"/>
          <w:sz w:val="16"/>
          <w:szCs w:val="16"/>
        </w:rPr>
        <w:t xml:space="preserve"> A excepción de la interventoría del contrato de obra adjudicado por licitación pública que es obligatoria según el numeral 1° del artículo 32 de la Ley 80 de 1993.</w:t>
      </w:r>
    </w:p>
  </w:footnote>
  <w:footnote w:id="8">
    <w:p w14:paraId="1A3B55F0" w14:textId="77777777" w:rsidR="00A9336B" w:rsidRPr="00C80DDC" w:rsidRDefault="00A9336B" w:rsidP="00A9336B">
      <w:pPr>
        <w:pStyle w:val="Textonotapie"/>
        <w:adjustRightInd w:val="0"/>
        <w:snapToGrid w:val="0"/>
        <w:ind w:firstLine="709"/>
        <w:jc w:val="both"/>
        <w:rPr>
          <w:rFonts w:ascii="Verdana" w:hAnsi="Verdana" w:cs="Arial"/>
          <w:color w:val="161616"/>
          <w:sz w:val="16"/>
          <w:szCs w:val="16"/>
        </w:rPr>
      </w:pPr>
      <w:r w:rsidRPr="00C80DDC">
        <w:rPr>
          <w:rStyle w:val="Refdenotaalpie"/>
          <w:rFonts w:ascii="Verdana" w:hAnsi="Verdana"/>
          <w:sz w:val="16"/>
          <w:szCs w:val="16"/>
        </w:rPr>
        <w:footnoteRef/>
      </w:r>
      <w:r w:rsidRPr="00C80DDC">
        <w:rPr>
          <w:rFonts w:ascii="Verdana" w:hAnsi="Verdana"/>
          <w:sz w:val="16"/>
          <w:szCs w:val="16"/>
        </w:rPr>
        <w:t xml:space="preserve"> </w:t>
      </w:r>
      <w:r w:rsidRPr="00C80DDC">
        <w:rPr>
          <w:rFonts w:ascii="Verdana" w:hAnsi="Verdana" w:cs="Arial"/>
          <w:color w:val="161616"/>
          <w:sz w:val="16"/>
          <w:szCs w:val="16"/>
        </w:rPr>
        <w:t>“Son también contratos de consultoría los que tienen por objeto la interventoría […]”</w:t>
      </w:r>
    </w:p>
    <w:p w14:paraId="715C9D58" w14:textId="77777777" w:rsidR="00A9336B" w:rsidRPr="00C80DDC" w:rsidRDefault="00A9336B" w:rsidP="00A9336B">
      <w:pPr>
        <w:pStyle w:val="Textonotapie"/>
        <w:adjustRightInd w:val="0"/>
        <w:snapToGrid w:val="0"/>
        <w:ind w:firstLine="709"/>
        <w:rPr>
          <w:rFonts w:ascii="Verdana" w:hAnsi="Verdana"/>
          <w:sz w:val="16"/>
          <w:szCs w:val="16"/>
        </w:rPr>
      </w:pPr>
    </w:p>
  </w:footnote>
  <w:footnote w:id="9">
    <w:p w14:paraId="090D2BEA" w14:textId="77777777" w:rsidR="00A9336B" w:rsidRPr="00940E79" w:rsidRDefault="00A9336B" w:rsidP="00A9336B">
      <w:pPr>
        <w:pStyle w:val="Textonotapie"/>
        <w:ind w:firstLine="708"/>
        <w:jc w:val="both"/>
        <w:rPr>
          <w:sz w:val="10"/>
          <w:szCs w:val="10"/>
          <w:lang w:val="es-ES"/>
        </w:rPr>
      </w:pPr>
      <w:r w:rsidRPr="00C80DDC">
        <w:rPr>
          <w:rStyle w:val="Refdenotaalpie"/>
          <w:sz w:val="16"/>
          <w:szCs w:val="16"/>
        </w:rPr>
        <w:footnoteRef/>
      </w:r>
      <w:r w:rsidRPr="00C80DDC">
        <w:rPr>
          <w:sz w:val="16"/>
          <w:szCs w:val="16"/>
        </w:rPr>
        <w:t xml:space="preserve"> Consejo de Estado. Sección Tercera-Subsección A. Sentencia del 21 de febrero de 2025. M.P. José Roberto Sáchica Méndez. Exp. 70099.</w:t>
      </w:r>
      <w:r w:rsidRPr="00940E79">
        <w:rPr>
          <w:sz w:val="10"/>
          <w:szCs w:val="10"/>
        </w:rPr>
        <w:t xml:space="preserve"> </w:t>
      </w:r>
    </w:p>
  </w:footnote>
  <w:footnote w:id="10">
    <w:p w14:paraId="4F8D2D6A" w14:textId="77777777" w:rsidR="000E49FC" w:rsidRPr="00E559C8" w:rsidRDefault="000E49FC" w:rsidP="000E49FC">
      <w:pPr>
        <w:pStyle w:val="Textonotapie"/>
        <w:ind w:firstLine="709"/>
        <w:jc w:val="both"/>
        <w:rPr>
          <w:rFonts w:ascii="Verdana" w:hAnsi="Verdana" w:cs="Arial"/>
          <w:sz w:val="12"/>
          <w:szCs w:val="12"/>
          <w:lang w:val="es-CO"/>
        </w:rPr>
      </w:pPr>
      <w:r>
        <w:rPr>
          <w:rStyle w:val="Refdenotaalpie"/>
        </w:rPr>
        <w:footnoteRef/>
      </w:r>
      <w:r>
        <w:t xml:space="preserve"> </w:t>
      </w:r>
      <w:r w:rsidRPr="00E559C8">
        <w:rPr>
          <w:rFonts w:ascii="Verdana" w:hAnsi="Verdana" w:cs="Arial"/>
          <w:sz w:val="12"/>
          <w:szCs w:val="12"/>
        </w:rPr>
        <w:t>“[…] De modo que, los contratos estatales pueden suspenderse de común acuerdo por la ocurrencia de circunstancias que lo justifiquen. Así, aunque subsiste el vínculo contractual no corre el plazo inicialmente pactado y no se ejecutan las obligaciones. El contrato se reinicia cuando se cumpla la condición o el término dispuesto en el acuerdo de suspensión o anticipadamente por convenio de las partes” (Consejo de Estado. Sección Tercera. Auto del 10 de mayo de 2019. Consejero Ponente: Guillermo Sánchez Luque. Expediente: 59.532).</w:t>
      </w:r>
    </w:p>
    <w:p w14:paraId="7614187E" w14:textId="77777777" w:rsidR="000E49FC" w:rsidRPr="00936D12" w:rsidRDefault="000E49FC" w:rsidP="000E49FC">
      <w:pPr>
        <w:pStyle w:val="Textonotapie"/>
        <w:rPr>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135666095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1CB5"/>
    <w:rsid w:val="00046945"/>
    <w:rsid w:val="00057933"/>
    <w:rsid w:val="00061B2A"/>
    <w:rsid w:val="000713BF"/>
    <w:rsid w:val="00082362"/>
    <w:rsid w:val="000A683E"/>
    <w:rsid w:val="000B19B9"/>
    <w:rsid w:val="000D0334"/>
    <w:rsid w:val="000D58E7"/>
    <w:rsid w:val="000D5DA7"/>
    <w:rsid w:val="000E49FC"/>
    <w:rsid w:val="000F6486"/>
    <w:rsid w:val="000F6E04"/>
    <w:rsid w:val="00116940"/>
    <w:rsid w:val="00125105"/>
    <w:rsid w:val="00127233"/>
    <w:rsid w:val="00151765"/>
    <w:rsid w:val="0015699B"/>
    <w:rsid w:val="001A33BF"/>
    <w:rsid w:val="001E4177"/>
    <w:rsid w:val="001F0B24"/>
    <w:rsid w:val="001F7DC6"/>
    <w:rsid w:val="00206B48"/>
    <w:rsid w:val="0022400B"/>
    <w:rsid w:val="00224AA0"/>
    <w:rsid w:val="002421BB"/>
    <w:rsid w:val="00254C97"/>
    <w:rsid w:val="0025796E"/>
    <w:rsid w:val="002707A2"/>
    <w:rsid w:val="002951A0"/>
    <w:rsid w:val="002962BC"/>
    <w:rsid w:val="002A093D"/>
    <w:rsid w:val="002A0DD0"/>
    <w:rsid w:val="002A49AC"/>
    <w:rsid w:val="002A51F5"/>
    <w:rsid w:val="002A64FD"/>
    <w:rsid w:val="002C1DA9"/>
    <w:rsid w:val="002C7A84"/>
    <w:rsid w:val="002E2BF8"/>
    <w:rsid w:val="002E4FD9"/>
    <w:rsid w:val="002F2D8F"/>
    <w:rsid w:val="0030657A"/>
    <w:rsid w:val="00322A85"/>
    <w:rsid w:val="00324168"/>
    <w:rsid w:val="00330834"/>
    <w:rsid w:val="00334D42"/>
    <w:rsid w:val="00343353"/>
    <w:rsid w:val="003448F4"/>
    <w:rsid w:val="00374F5E"/>
    <w:rsid w:val="00377E3E"/>
    <w:rsid w:val="003A5097"/>
    <w:rsid w:val="003A779E"/>
    <w:rsid w:val="003C04C9"/>
    <w:rsid w:val="003D0F4D"/>
    <w:rsid w:val="003D5B0D"/>
    <w:rsid w:val="003E0499"/>
    <w:rsid w:val="003E4F80"/>
    <w:rsid w:val="003E6439"/>
    <w:rsid w:val="003F3941"/>
    <w:rsid w:val="00406575"/>
    <w:rsid w:val="00414C74"/>
    <w:rsid w:val="004261D1"/>
    <w:rsid w:val="0042722E"/>
    <w:rsid w:val="00440341"/>
    <w:rsid w:val="0044528D"/>
    <w:rsid w:val="0044573E"/>
    <w:rsid w:val="004535DB"/>
    <w:rsid w:val="00466E39"/>
    <w:rsid w:val="004749AD"/>
    <w:rsid w:val="004937DD"/>
    <w:rsid w:val="004A1847"/>
    <w:rsid w:val="004A305D"/>
    <w:rsid w:val="004F21C4"/>
    <w:rsid w:val="004F685F"/>
    <w:rsid w:val="00507747"/>
    <w:rsid w:val="005566E8"/>
    <w:rsid w:val="00567A12"/>
    <w:rsid w:val="00570F22"/>
    <w:rsid w:val="00574867"/>
    <w:rsid w:val="00591460"/>
    <w:rsid w:val="005A65E0"/>
    <w:rsid w:val="005C3777"/>
    <w:rsid w:val="005C5CDC"/>
    <w:rsid w:val="005D476C"/>
    <w:rsid w:val="00612CBF"/>
    <w:rsid w:val="006200BF"/>
    <w:rsid w:val="006219F8"/>
    <w:rsid w:val="006302F7"/>
    <w:rsid w:val="00646B9F"/>
    <w:rsid w:val="00665D70"/>
    <w:rsid w:val="006845FA"/>
    <w:rsid w:val="00684E2F"/>
    <w:rsid w:val="006900D9"/>
    <w:rsid w:val="006A54FB"/>
    <w:rsid w:val="006E1382"/>
    <w:rsid w:val="006E7888"/>
    <w:rsid w:val="00706C16"/>
    <w:rsid w:val="00707806"/>
    <w:rsid w:val="00722252"/>
    <w:rsid w:val="00726324"/>
    <w:rsid w:val="007340C3"/>
    <w:rsid w:val="00745908"/>
    <w:rsid w:val="0075235A"/>
    <w:rsid w:val="00755E67"/>
    <w:rsid w:val="00756841"/>
    <w:rsid w:val="007649AB"/>
    <w:rsid w:val="00771D0C"/>
    <w:rsid w:val="007833AC"/>
    <w:rsid w:val="007868EE"/>
    <w:rsid w:val="007B268C"/>
    <w:rsid w:val="007B7171"/>
    <w:rsid w:val="007C0C0F"/>
    <w:rsid w:val="007C3DC2"/>
    <w:rsid w:val="007E5497"/>
    <w:rsid w:val="007E66B7"/>
    <w:rsid w:val="00803EA3"/>
    <w:rsid w:val="00806F5F"/>
    <w:rsid w:val="00820278"/>
    <w:rsid w:val="008258C9"/>
    <w:rsid w:val="00836886"/>
    <w:rsid w:val="00844AE9"/>
    <w:rsid w:val="00867F95"/>
    <w:rsid w:val="00880E1B"/>
    <w:rsid w:val="008843B6"/>
    <w:rsid w:val="00891928"/>
    <w:rsid w:val="008A446D"/>
    <w:rsid w:val="008B25F1"/>
    <w:rsid w:val="008B2A7F"/>
    <w:rsid w:val="008D180B"/>
    <w:rsid w:val="008F0EA7"/>
    <w:rsid w:val="0092244D"/>
    <w:rsid w:val="00923EEF"/>
    <w:rsid w:val="00926DF4"/>
    <w:rsid w:val="009419F9"/>
    <w:rsid w:val="009449D9"/>
    <w:rsid w:val="0095685E"/>
    <w:rsid w:val="00961B09"/>
    <w:rsid w:val="00965334"/>
    <w:rsid w:val="0097093E"/>
    <w:rsid w:val="00987E39"/>
    <w:rsid w:val="009A0DFA"/>
    <w:rsid w:val="009A1C6F"/>
    <w:rsid w:val="009A5D9A"/>
    <w:rsid w:val="009B2D26"/>
    <w:rsid w:val="009C71FA"/>
    <w:rsid w:val="009C72E7"/>
    <w:rsid w:val="009C7F7E"/>
    <w:rsid w:val="009D3058"/>
    <w:rsid w:val="009D44A1"/>
    <w:rsid w:val="009F3A13"/>
    <w:rsid w:val="009F479E"/>
    <w:rsid w:val="00A108B2"/>
    <w:rsid w:val="00A122D3"/>
    <w:rsid w:val="00A14468"/>
    <w:rsid w:val="00A17F13"/>
    <w:rsid w:val="00A20739"/>
    <w:rsid w:val="00A23AF9"/>
    <w:rsid w:val="00A33C78"/>
    <w:rsid w:val="00A538D4"/>
    <w:rsid w:val="00A7037C"/>
    <w:rsid w:val="00A9336B"/>
    <w:rsid w:val="00AA7CF8"/>
    <w:rsid w:val="00AB0ADB"/>
    <w:rsid w:val="00AC3EE3"/>
    <w:rsid w:val="00B00C0E"/>
    <w:rsid w:val="00B01B1A"/>
    <w:rsid w:val="00B0381D"/>
    <w:rsid w:val="00B12E7E"/>
    <w:rsid w:val="00B1620D"/>
    <w:rsid w:val="00B35745"/>
    <w:rsid w:val="00B44A47"/>
    <w:rsid w:val="00B71CED"/>
    <w:rsid w:val="00B72CD3"/>
    <w:rsid w:val="00B72FFF"/>
    <w:rsid w:val="00B87CC9"/>
    <w:rsid w:val="00BA5FE9"/>
    <w:rsid w:val="00BC3D36"/>
    <w:rsid w:val="00BD54A6"/>
    <w:rsid w:val="00BD7F72"/>
    <w:rsid w:val="00BE7B03"/>
    <w:rsid w:val="00BF7425"/>
    <w:rsid w:val="00C04FB3"/>
    <w:rsid w:val="00C11D8B"/>
    <w:rsid w:val="00C15139"/>
    <w:rsid w:val="00C26993"/>
    <w:rsid w:val="00C330EB"/>
    <w:rsid w:val="00C33316"/>
    <w:rsid w:val="00C3649D"/>
    <w:rsid w:val="00C50D69"/>
    <w:rsid w:val="00C5365C"/>
    <w:rsid w:val="00C668E8"/>
    <w:rsid w:val="00C754BE"/>
    <w:rsid w:val="00C76B1C"/>
    <w:rsid w:val="00C925AC"/>
    <w:rsid w:val="00CB6357"/>
    <w:rsid w:val="00CC1B26"/>
    <w:rsid w:val="00CE2EB9"/>
    <w:rsid w:val="00CF7942"/>
    <w:rsid w:val="00D361FD"/>
    <w:rsid w:val="00D3658F"/>
    <w:rsid w:val="00D37127"/>
    <w:rsid w:val="00D423A2"/>
    <w:rsid w:val="00D44E26"/>
    <w:rsid w:val="00D520D8"/>
    <w:rsid w:val="00D63AC2"/>
    <w:rsid w:val="00D64F43"/>
    <w:rsid w:val="00D7383B"/>
    <w:rsid w:val="00D7788A"/>
    <w:rsid w:val="00D9323E"/>
    <w:rsid w:val="00DA231B"/>
    <w:rsid w:val="00DC39FC"/>
    <w:rsid w:val="00DE24BC"/>
    <w:rsid w:val="00DF5254"/>
    <w:rsid w:val="00E02524"/>
    <w:rsid w:val="00E150C0"/>
    <w:rsid w:val="00E16408"/>
    <w:rsid w:val="00E20894"/>
    <w:rsid w:val="00E245AB"/>
    <w:rsid w:val="00E2764C"/>
    <w:rsid w:val="00E27F2E"/>
    <w:rsid w:val="00E50AFE"/>
    <w:rsid w:val="00E75C92"/>
    <w:rsid w:val="00E771DC"/>
    <w:rsid w:val="00E87631"/>
    <w:rsid w:val="00E8772A"/>
    <w:rsid w:val="00E90F6B"/>
    <w:rsid w:val="00E92C27"/>
    <w:rsid w:val="00EA0E3D"/>
    <w:rsid w:val="00EC38A7"/>
    <w:rsid w:val="00EC66C1"/>
    <w:rsid w:val="00EE1AA8"/>
    <w:rsid w:val="00F23FEA"/>
    <w:rsid w:val="00F31EDC"/>
    <w:rsid w:val="00F37FD2"/>
    <w:rsid w:val="00F4102D"/>
    <w:rsid w:val="00F462B3"/>
    <w:rsid w:val="00F5664F"/>
    <w:rsid w:val="00F571C2"/>
    <w:rsid w:val="00F666C4"/>
    <w:rsid w:val="00F76AFC"/>
    <w:rsid w:val="00F85D7C"/>
    <w:rsid w:val="00FA47C0"/>
    <w:rsid w:val="00FB5DD1"/>
    <w:rsid w:val="00FC2B5D"/>
    <w:rsid w:val="00FC2ED0"/>
    <w:rsid w:val="00FF1449"/>
    <w:rsid w:val="00FF7963"/>
    <w:rsid w:val="069D8B8C"/>
    <w:rsid w:val="071B8F93"/>
    <w:rsid w:val="09908A09"/>
    <w:rsid w:val="0D48EE21"/>
    <w:rsid w:val="0FF4CCA8"/>
    <w:rsid w:val="13CFC91B"/>
    <w:rsid w:val="18D965AA"/>
    <w:rsid w:val="19A2EC2C"/>
    <w:rsid w:val="1C3BEC84"/>
    <w:rsid w:val="20A12C9C"/>
    <w:rsid w:val="23826A22"/>
    <w:rsid w:val="2859CA1B"/>
    <w:rsid w:val="28D31F70"/>
    <w:rsid w:val="2B027EB6"/>
    <w:rsid w:val="32A4F9CF"/>
    <w:rsid w:val="356CEDFD"/>
    <w:rsid w:val="3C371BAD"/>
    <w:rsid w:val="45290799"/>
    <w:rsid w:val="53787294"/>
    <w:rsid w:val="58F96E70"/>
    <w:rsid w:val="5DC6AED9"/>
    <w:rsid w:val="6660D132"/>
    <w:rsid w:val="67B2A177"/>
    <w:rsid w:val="69614A15"/>
    <w:rsid w:val="6CCC1682"/>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9336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A9336B"/>
    <w:rPr>
      <w:rFonts w:ascii="Geomanist Light" w:hAnsi="Geomanist Light"/>
      <w:lang w:val="es-ES"/>
    </w:rPr>
  </w:style>
  <w:style w:type="paragraph" w:styleId="Textoindependiente">
    <w:name w:val="Body Text"/>
    <w:basedOn w:val="Normal"/>
    <w:link w:val="TextoindependienteCar"/>
    <w:uiPriority w:val="1"/>
    <w:qFormat/>
    <w:rsid w:val="00A9336B"/>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A9336B"/>
    <w:rPr>
      <w:rFonts w:ascii="Arial" w:eastAsia="Arial" w:hAnsi="Arial" w:cs="Arial"/>
      <w:lang w:val="es-ES"/>
    </w:rPr>
  </w:style>
  <w:style w:type="table" w:customStyle="1" w:styleId="Tablaconcuadrcula11">
    <w:name w:val="Tabla con cuadrícula11"/>
    <w:basedOn w:val="Tablanormal"/>
    <w:next w:val="Tablaconcuadrcula"/>
    <w:uiPriority w:val="39"/>
    <w:qFormat/>
    <w:rsid w:val="00A933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03195427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593394790">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C6C12631-5BD0-4C91-BB75-41F1813BD1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16</TotalTime>
  <Pages>17</Pages>
  <Words>6049</Words>
  <Characters>32971</Characters>
  <Application>Microsoft Office Word</Application>
  <DocSecurity>0</DocSecurity>
  <Lines>646</Lines>
  <Paragraphs>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2025-12-26T14:35:00Z</dcterms:created>
  <dcterms:modified xsi:type="dcterms:W3CDTF">2025-12-26T17:55:00Z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