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67C1E3" w14:textId="77777777" w:rsidR="009F3858" w:rsidRPr="005416E7" w:rsidRDefault="009F3858" w:rsidP="009F3858">
      <w:pPr>
        <w:spacing w:after="0"/>
        <w:contextualSpacing/>
        <w:jc w:val="both"/>
        <w:rPr>
          <w:rFonts w:ascii="Verdana" w:eastAsia="Calibri" w:hAnsi="Verdana" w:cs="Arial"/>
          <w:b/>
          <w:bCs/>
          <w:lang w:val="es-ES" w:eastAsia="es-ES"/>
        </w:rPr>
      </w:pPr>
      <w:r w:rsidRPr="005416E7">
        <w:rPr>
          <w:rFonts w:ascii="Verdana" w:eastAsia="Calibri" w:hAnsi="Verdana" w:cs="Arial"/>
          <w:b/>
          <w:bCs/>
          <w:lang w:val="es-ES" w:eastAsia="es-ES"/>
        </w:rPr>
        <w:t>LEY DE GARANTÍAS ELECTORALES – Finalidad</w:t>
      </w:r>
    </w:p>
    <w:p w14:paraId="1485F16B" w14:textId="77777777" w:rsidR="009F3858" w:rsidRPr="005416E7" w:rsidRDefault="009F3858" w:rsidP="009F3858">
      <w:pPr>
        <w:contextualSpacing/>
        <w:jc w:val="both"/>
        <w:rPr>
          <w:rFonts w:ascii="Verdana" w:eastAsia="Calibri" w:hAnsi="Verdana" w:cs="Arial"/>
          <w:b/>
          <w:bCs/>
          <w:lang w:val="es-ES" w:eastAsia="es-ES"/>
        </w:rPr>
      </w:pPr>
    </w:p>
    <w:p w14:paraId="718B4213" w14:textId="77777777" w:rsidR="009F3858" w:rsidRPr="005416E7" w:rsidRDefault="009F3858" w:rsidP="009F3858">
      <w:pPr>
        <w:spacing w:line="240" w:lineRule="auto"/>
        <w:contextualSpacing/>
        <w:jc w:val="both"/>
        <w:rPr>
          <w:rFonts w:ascii="Verdana" w:eastAsia="Times New Roman" w:hAnsi="Verdana" w:cs="Arial"/>
          <w:sz w:val="20"/>
          <w:szCs w:val="20"/>
          <w:lang w:val="es-ES" w:eastAsia="es-CO"/>
        </w:rPr>
      </w:pPr>
      <w:r w:rsidRPr="005416E7">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p>
    <w:p w14:paraId="0672D98D" w14:textId="77777777" w:rsidR="009F3858" w:rsidRPr="005416E7" w:rsidRDefault="009F3858" w:rsidP="009F3858">
      <w:pPr>
        <w:spacing w:after="0" w:line="240" w:lineRule="auto"/>
        <w:contextualSpacing/>
        <w:jc w:val="both"/>
        <w:rPr>
          <w:rFonts w:ascii="Verdana" w:eastAsia="Calibri" w:hAnsi="Verdana" w:cs="Arial"/>
          <w:b/>
          <w:bCs/>
          <w:color w:val="4472C4" w:themeColor="accent1"/>
          <w:lang w:val="es-ES" w:eastAsia="es-ES"/>
        </w:rPr>
      </w:pPr>
    </w:p>
    <w:p w14:paraId="7F10B96E" w14:textId="77777777" w:rsidR="009F3858" w:rsidRPr="005416E7" w:rsidRDefault="009F3858" w:rsidP="009F3858">
      <w:pPr>
        <w:contextualSpacing/>
        <w:jc w:val="both"/>
        <w:rPr>
          <w:rFonts w:ascii="Verdana" w:eastAsia="Calibri" w:hAnsi="Verdana" w:cs="Arial"/>
          <w:b/>
          <w:bCs/>
          <w:lang w:val="es-ES" w:eastAsia="es-ES"/>
        </w:rPr>
      </w:pPr>
      <w:r w:rsidRPr="005416E7">
        <w:rPr>
          <w:rFonts w:ascii="Verdana" w:eastAsia="Calibri" w:hAnsi="Verdana" w:cs="Arial"/>
          <w:b/>
          <w:bCs/>
          <w:lang w:val="es-ES" w:eastAsia="es-ES"/>
        </w:rPr>
        <w:t>LEY DE GARANTÍAS ELECTORALES ‒ Restricciones ‒ Contratación ‒ Tipos de elección</w:t>
      </w:r>
    </w:p>
    <w:p w14:paraId="3FA6AE8B" w14:textId="77777777" w:rsidR="009F3858" w:rsidRPr="005416E7" w:rsidRDefault="009F3858" w:rsidP="009F3858">
      <w:pPr>
        <w:spacing w:after="0" w:line="240" w:lineRule="auto"/>
        <w:jc w:val="both"/>
        <w:rPr>
          <w:rFonts w:ascii="Verdana" w:eastAsia="Calibri" w:hAnsi="Verdana" w:cs="Arial"/>
          <w:b/>
          <w:bCs/>
          <w:lang w:val="es-ES" w:eastAsia="es-ES"/>
        </w:rPr>
      </w:pPr>
    </w:p>
    <w:p w14:paraId="7882CE74" w14:textId="77777777" w:rsidR="009F3858" w:rsidRPr="005416E7" w:rsidRDefault="009F3858" w:rsidP="009F3858">
      <w:pPr>
        <w:spacing w:after="0" w:line="240" w:lineRule="auto"/>
        <w:jc w:val="both"/>
        <w:rPr>
          <w:rFonts w:ascii="Verdana" w:eastAsia="Arial" w:hAnsi="Verdana" w:cs="Arial"/>
          <w:sz w:val="20"/>
          <w:szCs w:val="20"/>
          <w:lang w:val="es-ES" w:eastAsia="es-ES" w:bidi="es-ES"/>
        </w:rPr>
      </w:pPr>
      <w:r w:rsidRPr="005416E7">
        <w:rPr>
          <w:rFonts w:ascii="Verdana" w:eastAsia="Arial" w:hAnsi="Verdana" w:cs="Arial"/>
          <w:sz w:val="20"/>
          <w:szCs w:val="20"/>
          <w:lang w:val="es-ES" w:eastAsia="es-ES" w:bidi="es-ES"/>
        </w:rPr>
        <w:t xml:space="preserve">(…) De conformidad con lo anterior, la Ley 996 de 2005 establece dos (2) tipos de restricciones en materia de contratación, las cuales coinciden parcialmente. </w:t>
      </w:r>
      <w:r w:rsidRPr="005416E7">
        <w:rPr>
          <w:rFonts w:ascii="Verdana" w:eastAsia="Arial" w:hAnsi="Verdana" w:cs="Arial"/>
          <w:i/>
          <w:sz w:val="20"/>
          <w:szCs w:val="20"/>
          <w:lang w:val="es-ES" w:eastAsia="es-ES" w:bidi="es-ES"/>
        </w:rPr>
        <w:t>En primer lugar</w:t>
      </w:r>
      <w:r w:rsidRPr="005416E7">
        <w:rPr>
          <w:rFonts w:ascii="Verdana" w:eastAsia="Arial" w:hAnsi="Verdana" w:cs="Arial"/>
          <w:sz w:val="20"/>
          <w:szCs w:val="20"/>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5416E7">
        <w:rPr>
          <w:rFonts w:ascii="Verdana" w:eastAsia="Arial" w:hAnsi="Verdana" w:cs="Arial"/>
          <w:i/>
          <w:sz w:val="20"/>
          <w:szCs w:val="20"/>
          <w:lang w:val="es-ES" w:eastAsia="es-ES" w:bidi="es-ES"/>
        </w:rPr>
        <w:t>En segundo lugar</w:t>
      </w:r>
      <w:r w:rsidRPr="005416E7">
        <w:rPr>
          <w:rFonts w:ascii="Verdana" w:eastAsia="Arial" w:hAnsi="Verdana" w:cs="Arial"/>
          <w:sz w:val="20"/>
          <w:szCs w:val="20"/>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4D372EAD" w14:textId="77777777" w:rsidR="009F3858" w:rsidRPr="005416E7" w:rsidRDefault="009F3858" w:rsidP="009F3858">
      <w:pPr>
        <w:spacing w:after="0" w:line="240" w:lineRule="auto"/>
        <w:jc w:val="both"/>
        <w:rPr>
          <w:rFonts w:ascii="Verdana" w:eastAsia="Arial" w:hAnsi="Verdana" w:cs="Arial"/>
          <w:sz w:val="20"/>
          <w:szCs w:val="20"/>
          <w:lang w:val="es-ES" w:eastAsia="es-ES" w:bidi="es-ES"/>
        </w:rPr>
      </w:pPr>
    </w:p>
    <w:p w14:paraId="59068A79" w14:textId="77777777" w:rsidR="009F3858" w:rsidRPr="005416E7" w:rsidRDefault="009F3858" w:rsidP="009F3858">
      <w:pPr>
        <w:spacing w:after="0" w:line="240" w:lineRule="auto"/>
        <w:jc w:val="both"/>
        <w:rPr>
          <w:rFonts w:ascii="Verdana" w:eastAsia="Calibri" w:hAnsi="Verdana" w:cs="Arial"/>
          <w:b/>
          <w:bCs/>
          <w:lang w:val="es-ES" w:eastAsia="es-ES"/>
        </w:rPr>
      </w:pPr>
      <w:r w:rsidRPr="005416E7">
        <w:rPr>
          <w:rFonts w:ascii="Verdana" w:eastAsia="Calibri" w:hAnsi="Verdana" w:cs="Arial"/>
          <w:b/>
          <w:bCs/>
          <w:lang w:val="es-ES" w:eastAsia="es-ES"/>
        </w:rPr>
        <w:t xml:space="preserve">LEY DE GARANTÍAS ELECTORALES ‒ Artículo 33 </w:t>
      </w:r>
    </w:p>
    <w:p w14:paraId="6AFB25D0" w14:textId="77777777" w:rsidR="009F3858" w:rsidRPr="005416E7" w:rsidRDefault="009F3858" w:rsidP="009F3858">
      <w:pPr>
        <w:spacing w:after="0" w:line="240" w:lineRule="auto"/>
        <w:jc w:val="both"/>
        <w:rPr>
          <w:rFonts w:ascii="Verdana" w:eastAsia="Calibri" w:hAnsi="Verdana" w:cs="Arial"/>
          <w:b/>
          <w:bCs/>
          <w:lang w:val="es-ES" w:eastAsia="es-ES"/>
        </w:rPr>
      </w:pPr>
    </w:p>
    <w:p w14:paraId="3FE67EF2" w14:textId="77777777" w:rsidR="009F3858" w:rsidRPr="005416E7" w:rsidRDefault="009F3858" w:rsidP="009F3858">
      <w:pPr>
        <w:spacing w:after="0" w:line="240" w:lineRule="auto"/>
        <w:jc w:val="both"/>
        <w:rPr>
          <w:rFonts w:ascii="Verdana" w:eastAsia="Arial" w:hAnsi="Verdana" w:cs="Arial"/>
          <w:sz w:val="18"/>
          <w:szCs w:val="18"/>
          <w:lang w:val="es-ES" w:eastAsia="es-ES" w:bidi="es-ES"/>
        </w:rPr>
      </w:pPr>
      <w:r w:rsidRPr="005416E7">
        <w:rPr>
          <w:rFonts w:ascii="Verdana" w:eastAsia="Calibri" w:hAnsi="Verdana" w:cs="Arial"/>
          <w:color w:val="000000" w:themeColor="text1"/>
          <w:sz w:val="20"/>
          <w:szCs w:val="20"/>
          <w:lang w:val="es-ES"/>
        </w:rPr>
        <w:t>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08A0D06D" w14:textId="77777777" w:rsidR="009F3858" w:rsidRPr="005416E7" w:rsidRDefault="009F3858" w:rsidP="009F3858">
      <w:pPr>
        <w:spacing w:after="0"/>
        <w:rPr>
          <w:rFonts w:ascii="Verdana" w:hAnsi="Verdana" w:cs="Arial"/>
          <w:b/>
          <w:lang w:val="es-MX" w:eastAsia="es-ES_tradnl"/>
        </w:rPr>
      </w:pPr>
    </w:p>
    <w:p w14:paraId="1C689627" w14:textId="77777777" w:rsidR="009F3858" w:rsidRPr="005416E7" w:rsidRDefault="009F3858" w:rsidP="009F3858">
      <w:pPr>
        <w:spacing w:after="0"/>
        <w:jc w:val="both"/>
        <w:rPr>
          <w:rFonts w:ascii="Verdana" w:hAnsi="Verdana" w:cs="Arial"/>
          <w:b/>
          <w:lang w:val="es-MX" w:eastAsia="es-ES_tradnl"/>
        </w:rPr>
      </w:pPr>
      <w:r w:rsidRPr="005416E7">
        <w:rPr>
          <w:rFonts w:ascii="Verdana" w:eastAsia="Calibri" w:hAnsi="Verdana" w:cs="Arial"/>
          <w:b/>
          <w:lang w:val="es-ES" w:eastAsia="es-ES"/>
        </w:rPr>
        <w:t>CIRCULAR EXTERNA N° 006 – Agencia Nacional de Contratación Pública – Colombia Compra Eficiente</w:t>
      </w:r>
    </w:p>
    <w:p w14:paraId="7355249D" w14:textId="77777777" w:rsidR="009F3858" w:rsidRPr="005416E7" w:rsidRDefault="009F3858" w:rsidP="009F3858">
      <w:pPr>
        <w:spacing w:after="0"/>
        <w:rPr>
          <w:rFonts w:ascii="Verdana" w:hAnsi="Verdana" w:cs="Arial"/>
          <w:b/>
          <w:lang w:val="es-MX" w:eastAsia="es-ES_tradnl"/>
        </w:rPr>
      </w:pPr>
    </w:p>
    <w:p w14:paraId="246AA20F" w14:textId="77777777" w:rsidR="009F3858" w:rsidRPr="005416E7" w:rsidRDefault="009F3858" w:rsidP="009F3858">
      <w:pPr>
        <w:spacing w:before="120" w:after="0" w:line="276" w:lineRule="auto"/>
        <w:jc w:val="both"/>
        <w:rPr>
          <w:rFonts w:ascii="Verdana" w:eastAsia="Times New Roman" w:hAnsi="Verdana" w:cs="Arial"/>
          <w:i/>
          <w:iCs/>
          <w:sz w:val="20"/>
          <w:szCs w:val="20"/>
          <w:lang w:eastAsia="es-CO"/>
        </w:rPr>
      </w:pPr>
      <w:r w:rsidRPr="005416E7">
        <w:rPr>
          <w:rFonts w:ascii="Verdana" w:hAnsi="Verdana" w:cs="Arial"/>
          <w:sz w:val="20"/>
          <w:szCs w:val="20"/>
          <w:lang w:val="es-MX"/>
        </w:rPr>
        <w:lastRenderedPageBreak/>
        <w:t>“</w:t>
      </w:r>
      <w:r w:rsidRPr="005416E7">
        <w:rPr>
          <w:rFonts w:ascii="Verdana" w:hAnsi="Verdana" w:cs="Arial"/>
          <w:sz w:val="20"/>
          <w:szCs w:val="20"/>
          <w:lang w:val="es-ES_tradnl"/>
        </w:rPr>
        <w:t xml:space="preserve">La Circular Externa No. 006 de 2025 expedida por la ANCP-CCE, en sus literales ii) y iv) del numeral 2, indica que el parágrafo del artículo 38 de la Ley 996 de 2005 cobija expresamente a los </w:t>
      </w:r>
      <w:r w:rsidRPr="005416E7">
        <w:rPr>
          <w:rFonts w:ascii="Verdana" w:hAnsi="Verdana" w:cs="Arial"/>
          <w:i/>
          <w:iCs/>
          <w:sz w:val="20"/>
          <w:szCs w:val="20"/>
          <w:lang w:val="es-ES_tradnl"/>
        </w:rPr>
        <w:t xml:space="preserve">convenios interadministrativos </w:t>
      </w:r>
      <w:r w:rsidRPr="005416E7">
        <w:rPr>
          <w:rFonts w:ascii="Verdana" w:hAnsi="Verdana" w:cs="Arial"/>
          <w:sz w:val="20"/>
          <w:szCs w:val="20"/>
          <w:lang w:val="es-ES_tradnl"/>
        </w:rPr>
        <w:t xml:space="preserve">en los que se contemple la ejecución de recursos públicos. Además, precisa que el parágrafo referido no estableció ningún supuesto que exceptúe la aplicación de dicha prohibición, por lo que, la restricción referida a la celebración de </w:t>
      </w:r>
      <w:r w:rsidRPr="005416E7">
        <w:rPr>
          <w:rFonts w:ascii="Verdana" w:hAnsi="Verdana" w:cs="Arial"/>
          <w:i/>
          <w:iCs/>
          <w:sz w:val="20"/>
          <w:szCs w:val="20"/>
          <w:lang w:val="es-ES_tradnl"/>
        </w:rPr>
        <w:t xml:space="preserve">convenios interadministrativos </w:t>
      </w:r>
      <w:r w:rsidRPr="005416E7">
        <w:rPr>
          <w:rFonts w:ascii="Verdana" w:hAnsi="Verdana" w:cs="Arial"/>
          <w:sz w:val="20"/>
          <w:szCs w:val="20"/>
          <w:lang w:val="es-ES_tradnl"/>
        </w:rPr>
        <w:t xml:space="preserve">aplicará a los sujetos allí celebrados </w:t>
      </w:r>
      <w:r w:rsidRPr="005416E7">
        <w:rPr>
          <w:rFonts w:ascii="Verdana" w:eastAsia="Times New Roman" w:hAnsi="Verdana" w:cs="Arial"/>
          <w:i/>
          <w:iCs/>
          <w:sz w:val="20"/>
          <w:szCs w:val="20"/>
          <w:lang w:eastAsia="es-CO"/>
        </w:rPr>
        <w:t>“aunque se configure alguno de los supuestos de excepción que señaló el inciso final del artículo 33”.</w:t>
      </w:r>
    </w:p>
    <w:p w14:paraId="29D7D937" w14:textId="77777777" w:rsidR="009F3858" w:rsidRPr="005416E7" w:rsidRDefault="009F3858" w:rsidP="009F3858">
      <w:pPr>
        <w:spacing w:before="120" w:after="0" w:line="276" w:lineRule="auto"/>
        <w:jc w:val="both"/>
        <w:rPr>
          <w:rFonts w:ascii="Verdana" w:eastAsia="Times New Roman" w:hAnsi="Verdana" w:cs="Arial"/>
          <w:sz w:val="20"/>
          <w:szCs w:val="20"/>
          <w:lang w:eastAsia="es-CO"/>
        </w:rPr>
      </w:pPr>
      <w:r w:rsidRPr="005416E7">
        <w:rPr>
          <w:rFonts w:ascii="Verdana" w:eastAsia="Times New Roman" w:hAnsi="Verdana" w:cs="Arial"/>
          <w:sz w:val="20"/>
          <w:szCs w:val="20"/>
          <w:lang w:eastAsia="es-CO"/>
        </w:rPr>
        <w:t xml:space="preserve">Sin embargo, es importante tener en cuenta que el ámbito de aplicación de la restricción prevista en el parágrafo del artículo 38 de la Ley 996 de 2005 solo se extiende a los </w:t>
      </w:r>
      <w:r w:rsidRPr="005416E7">
        <w:rPr>
          <w:rFonts w:ascii="Verdana" w:eastAsia="Times New Roman" w:hAnsi="Verdana" w:cs="Arial"/>
          <w:i/>
          <w:iCs/>
          <w:sz w:val="20"/>
          <w:szCs w:val="20"/>
          <w:lang w:eastAsia="es-CO"/>
        </w:rPr>
        <w:t>convenios interadministrativos</w:t>
      </w:r>
      <w:r w:rsidRPr="005416E7">
        <w:rPr>
          <w:rFonts w:ascii="Verdana" w:eastAsia="Times New Roman" w:hAnsi="Verdana" w:cs="Arial"/>
          <w:sz w:val="20"/>
          <w:szCs w:val="20"/>
          <w:lang w:eastAsia="es-CO"/>
        </w:rPr>
        <w:t xml:space="preserve"> en los que se contemple la </w:t>
      </w:r>
      <w:r w:rsidRPr="005416E7">
        <w:rPr>
          <w:rFonts w:ascii="Verdana" w:eastAsia="Times New Roman" w:hAnsi="Verdana" w:cs="Arial"/>
          <w:i/>
          <w:iCs/>
          <w:sz w:val="20"/>
          <w:szCs w:val="20"/>
          <w:lang w:eastAsia="es-CO"/>
        </w:rPr>
        <w:t>ejecución de recursos públicos</w:t>
      </w:r>
      <w:r w:rsidRPr="005416E7">
        <w:rPr>
          <w:rFonts w:ascii="Verdana" w:eastAsia="Times New Roman" w:hAnsi="Verdana" w:cs="Arial"/>
          <w:sz w:val="20"/>
          <w:szCs w:val="20"/>
          <w:lang w:eastAsia="es-CO"/>
        </w:rPr>
        <w:t xml:space="preserve">. Esto significa que la prohibición no resulta aplicable a </w:t>
      </w:r>
      <w:r w:rsidRPr="005416E7">
        <w:rPr>
          <w:rFonts w:ascii="Verdana" w:eastAsia="Times New Roman" w:hAnsi="Verdana" w:cs="Arial"/>
          <w:i/>
          <w:iCs/>
          <w:sz w:val="20"/>
          <w:szCs w:val="20"/>
          <w:lang w:eastAsia="es-CO"/>
        </w:rPr>
        <w:t>convenios interadministrativos a título gratuito,</w:t>
      </w:r>
      <w:r w:rsidRPr="005416E7">
        <w:rPr>
          <w:rFonts w:ascii="Verdana" w:eastAsia="Times New Roman" w:hAnsi="Verdana" w:cs="Arial"/>
          <w:sz w:val="20"/>
          <w:szCs w:val="20"/>
          <w:lang w:eastAsia="es-CO"/>
        </w:rPr>
        <w:t xml:space="preserve"> los cuales pueden celebrarse válidamente durante la vigencia de la mencionada restricción. (…)</w:t>
      </w:r>
    </w:p>
    <w:p w14:paraId="58B4DC8F" w14:textId="77777777" w:rsidR="009F3858" w:rsidRPr="005416E7" w:rsidRDefault="009F3858" w:rsidP="009F3858">
      <w:pPr>
        <w:spacing w:before="120" w:after="0" w:line="276" w:lineRule="auto"/>
        <w:jc w:val="both"/>
        <w:rPr>
          <w:rFonts w:ascii="Verdana" w:eastAsia="Times New Roman" w:hAnsi="Verdana" w:cs="Arial"/>
          <w:sz w:val="20"/>
          <w:szCs w:val="20"/>
          <w:lang w:eastAsia="es-CO"/>
        </w:rPr>
      </w:pPr>
    </w:p>
    <w:p w14:paraId="2D7E4207" w14:textId="77777777" w:rsidR="009F3858" w:rsidRPr="005416E7" w:rsidRDefault="009F3858" w:rsidP="009F3858">
      <w:pPr>
        <w:spacing w:before="120" w:after="0" w:line="276" w:lineRule="auto"/>
        <w:jc w:val="both"/>
        <w:rPr>
          <w:rFonts w:ascii="Verdana" w:eastAsia="Times New Roman" w:hAnsi="Verdana" w:cs="Arial"/>
          <w:sz w:val="20"/>
          <w:szCs w:val="20"/>
          <w:lang w:eastAsia="es-CO"/>
        </w:rPr>
      </w:pPr>
    </w:p>
    <w:p w14:paraId="5FB7C57B" w14:textId="77777777" w:rsidR="009F3858" w:rsidRPr="005416E7" w:rsidRDefault="009F3858" w:rsidP="009F3858">
      <w:pPr>
        <w:spacing w:before="120" w:after="0" w:line="276" w:lineRule="auto"/>
        <w:jc w:val="both"/>
        <w:rPr>
          <w:rFonts w:ascii="Verdana" w:eastAsia="Times New Roman" w:hAnsi="Verdana" w:cs="Arial"/>
          <w:sz w:val="20"/>
          <w:szCs w:val="20"/>
          <w:lang w:eastAsia="es-CO"/>
        </w:rPr>
      </w:pPr>
    </w:p>
    <w:p w14:paraId="281FEFB4" w14:textId="77777777" w:rsidR="009F3858" w:rsidRPr="005416E7" w:rsidRDefault="009F3858" w:rsidP="009F3858">
      <w:pPr>
        <w:spacing w:before="120" w:after="0" w:line="276" w:lineRule="auto"/>
        <w:jc w:val="both"/>
        <w:rPr>
          <w:rFonts w:ascii="Verdana" w:eastAsia="Times New Roman" w:hAnsi="Verdana" w:cs="Arial"/>
          <w:sz w:val="20"/>
          <w:szCs w:val="20"/>
          <w:lang w:eastAsia="es-CO"/>
        </w:rPr>
      </w:pPr>
    </w:p>
    <w:p w14:paraId="6C3B9512" w14:textId="77777777" w:rsidR="009F3858" w:rsidRPr="005416E7" w:rsidRDefault="009F3858" w:rsidP="009F3858">
      <w:pPr>
        <w:spacing w:before="120" w:after="0" w:line="276" w:lineRule="auto"/>
        <w:jc w:val="both"/>
        <w:rPr>
          <w:rFonts w:ascii="Verdana" w:eastAsia="Times New Roman" w:hAnsi="Verdana" w:cs="Arial"/>
          <w:sz w:val="20"/>
          <w:szCs w:val="20"/>
          <w:lang w:eastAsia="es-CO"/>
        </w:rPr>
      </w:pPr>
    </w:p>
    <w:p w14:paraId="44D2B4B9" w14:textId="77777777" w:rsidR="009F3858" w:rsidRPr="005416E7" w:rsidRDefault="009F3858" w:rsidP="009F3858">
      <w:pPr>
        <w:spacing w:before="120" w:after="0" w:line="276" w:lineRule="auto"/>
        <w:jc w:val="both"/>
        <w:rPr>
          <w:rFonts w:ascii="Verdana" w:eastAsia="Times New Roman" w:hAnsi="Verdana" w:cs="Arial"/>
          <w:sz w:val="20"/>
          <w:szCs w:val="20"/>
          <w:lang w:eastAsia="es-CO"/>
        </w:rPr>
      </w:pPr>
    </w:p>
    <w:p w14:paraId="626BE74F" w14:textId="77777777" w:rsidR="009F3858" w:rsidRPr="005416E7" w:rsidRDefault="009F3858" w:rsidP="009F3858">
      <w:pPr>
        <w:spacing w:before="120" w:after="0" w:line="276" w:lineRule="auto"/>
        <w:jc w:val="both"/>
        <w:rPr>
          <w:rFonts w:ascii="Verdana" w:eastAsia="Times New Roman" w:hAnsi="Verdana" w:cs="Arial"/>
          <w:sz w:val="20"/>
          <w:szCs w:val="20"/>
          <w:lang w:eastAsia="es-CO"/>
        </w:rPr>
      </w:pPr>
    </w:p>
    <w:p w14:paraId="6095B430" w14:textId="77777777" w:rsidR="009F3858" w:rsidRPr="005416E7" w:rsidRDefault="009F3858" w:rsidP="009F3858">
      <w:pPr>
        <w:spacing w:before="120" w:after="0" w:line="276" w:lineRule="auto"/>
        <w:jc w:val="both"/>
        <w:rPr>
          <w:rFonts w:ascii="Verdana" w:eastAsia="Times New Roman" w:hAnsi="Verdana" w:cs="Arial"/>
          <w:sz w:val="20"/>
          <w:szCs w:val="20"/>
          <w:lang w:eastAsia="es-CO"/>
        </w:rPr>
      </w:pPr>
    </w:p>
    <w:p w14:paraId="6A2E8441" w14:textId="77777777" w:rsidR="009F3858" w:rsidRPr="005416E7" w:rsidRDefault="009F3858" w:rsidP="009F3858">
      <w:pPr>
        <w:spacing w:before="120" w:after="0" w:line="276" w:lineRule="auto"/>
        <w:jc w:val="both"/>
        <w:rPr>
          <w:rFonts w:ascii="Verdana" w:eastAsia="Times New Roman" w:hAnsi="Verdana" w:cs="Arial"/>
          <w:sz w:val="20"/>
          <w:szCs w:val="20"/>
          <w:lang w:eastAsia="es-CO"/>
        </w:rPr>
      </w:pPr>
    </w:p>
    <w:p w14:paraId="1594A442" w14:textId="77777777" w:rsidR="009F3858" w:rsidRPr="005416E7" w:rsidRDefault="009F3858" w:rsidP="009F3858">
      <w:pPr>
        <w:spacing w:before="120" w:after="0" w:line="276" w:lineRule="auto"/>
        <w:jc w:val="both"/>
        <w:rPr>
          <w:rFonts w:ascii="Verdana" w:eastAsia="Times New Roman" w:hAnsi="Verdana" w:cs="Arial"/>
          <w:sz w:val="20"/>
          <w:szCs w:val="20"/>
          <w:lang w:eastAsia="es-CO"/>
        </w:rPr>
      </w:pPr>
    </w:p>
    <w:p w14:paraId="026E2802" w14:textId="77777777" w:rsidR="009F3858" w:rsidRPr="005416E7" w:rsidRDefault="009F3858" w:rsidP="009F3858">
      <w:pPr>
        <w:spacing w:before="120" w:after="0" w:line="276" w:lineRule="auto"/>
        <w:jc w:val="both"/>
        <w:rPr>
          <w:rFonts w:ascii="Verdana" w:eastAsia="Times New Roman" w:hAnsi="Verdana" w:cs="Arial"/>
          <w:sz w:val="20"/>
          <w:szCs w:val="20"/>
          <w:lang w:eastAsia="es-CO"/>
        </w:rPr>
      </w:pPr>
    </w:p>
    <w:p w14:paraId="570198C3" w14:textId="77777777" w:rsidR="009F3858" w:rsidRPr="005416E7" w:rsidRDefault="009F3858" w:rsidP="009F3858">
      <w:pPr>
        <w:spacing w:before="120" w:after="0" w:line="276" w:lineRule="auto"/>
        <w:jc w:val="both"/>
        <w:rPr>
          <w:rFonts w:ascii="Verdana" w:eastAsia="Times New Roman" w:hAnsi="Verdana" w:cs="Arial"/>
          <w:sz w:val="20"/>
          <w:szCs w:val="20"/>
          <w:lang w:eastAsia="es-CO"/>
        </w:rPr>
      </w:pPr>
    </w:p>
    <w:p w14:paraId="734E47FB" w14:textId="77777777" w:rsidR="009F3858" w:rsidRPr="005416E7" w:rsidRDefault="009F3858" w:rsidP="009F3858">
      <w:pPr>
        <w:spacing w:before="120" w:after="0" w:line="276" w:lineRule="auto"/>
        <w:jc w:val="both"/>
        <w:rPr>
          <w:rFonts w:ascii="Verdana" w:eastAsia="Times New Roman" w:hAnsi="Verdana" w:cs="Arial"/>
          <w:sz w:val="20"/>
          <w:szCs w:val="20"/>
          <w:lang w:eastAsia="es-CO"/>
        </w:rPr>
      </w:pPr>
    </w:p>
    <w:p w14:paraId="1D2C628B" w14:textId="77777777" w:rsidR="009F3858" w:rsidRPr="005416E7" w:rsidRDefault="009F3858" w:rsidP="009F3858">
      <w:pPr>
        <w:spacing w:before="120" w:after="0" w:line="276" w:lineRule="auto"/>
        <w:jc w:val="both"/>
        <w:rPr>
          <w:rFonts w:ascii="Verdana" w:eastAsia="Times New Roman" w:hAnsi="Verdana" w:cs="Arial"/>
          <w:sz w:val="20"/>
          <w:szCs w:val="20"/>
          <w:lang w:eastAsia="es-CO"/>
        </w:rPr>
      </w:pPr>
    </w:p>
    <w:p w14:paraId="4ACD39CC" w14:textId="77777777" w:rsidR="009F3858" w:rsidRPr="005416E7" w:rsidRDefault="009F3858" w:rsidP="009F3858">
      <w:pPr>
        <w:spacing w:before="120" w:after="0" w:line="276" w:lineRule="auto"/>
        <w:jc w:val="both"/>
        <w:rPr>
          <w:rFonts w:ascii="Verdana" w:eastAsia="Times New Roman" w:hAnsi="Verdana" w:cs="Arial"/>
          <w:sz w:val="20"/>
          <w:szCs w:val="20"/>
          <w:lang w:eastAsia="es-CO"/>
        </w:rPr>
      </w:pPr>
    </w:p>
    <w:p w14:paraId="3E2F3601" w14:textId="77777777" w:rsidR="009F3858" w:rsidRPr="005416E7" w:rsidRDefault="009F3858" w:rsidP="009F3858">
      <w:pPr>
        <w:spacing w:before="120" w:after="0" w:line="276" w:lineRule="auto"/>
        <w:jc w:val="both"/>
        <w:rPr>
          <w:rFonts w:ascii="Verdana" w:eastAsia="Times New Roman" w:hAnsi="Verdana" w:cs="Arial"/>
          <w:sz w:val="20"/>
          <w:szCs w:val="20"/>
          <w:lang w:eastAsia="es-CO"/>
        </w:rPr>
      </w:pPr>
    </w:p>
    <w:p w14:paraId="3437979C" w14:textId="77777777" w:rsidR="009F3858" w:rsidRPr="005416E7" w:rsidRDefault="009F3858" w:rsidP="009F3858">
      <w:pPr>
        <w:spacing w:before="120" w:after="0" w:line="276" w:lineRule="auto"/>
        <w:jc w:val="both"/>
        <w:rPr>
          <w:rFonts w:ascii="Verdana" w:eastAsia="Times New Roman" w:hAnsi="Verdana" w:cs="Arial"/>
          <w:sz w:val="20"/>
          <w:szCs w:val="20"/>
          <w:lang w:eastAsia="es-CO"/>
        </w:rPr>
      </w:pPr>
    </w:p>
    <w:p w14:paraId="53C00DF1" w14:textId="77777777" w:rsidR="009F3858" w:rsidRPr="005416E7" w:rsidRDefault="009F3858" w:rsidP="009F3858">
      <w:pPr>
        <w:spacing w:before="120" w:after="0" w:line="276" w:lineRule="auto"/>
        <w:jc w:val="both"/>
        <w:rPr>
          <w:rFonts w:ascii="Verdana" w:eastAsia="Times New Roman" w:hAnsi="Verdana" w:cs="Arial"/>
          <w:sz w:val="20"/>
          <w:szCs w:val="20"/>
          <w:lang w:eastAsia="es-CO"/>
        </w:rPr>
      </w:pPr>
    </w:p>
    <w:p w14:paraId="09E3C154" w14:textId="77777777" w:rsidR="009F3858" w:rsidRPr="005416E7" w:rsidRDefault="009F3858" w:rsidP="009F3858">
      <w:pPr>
        <w:spacing w:after="0"/>
        <w:rPr>
          <w:rFonts w:ascii="Verdana" w:hAnsi="Verdana"/>
          <w:color w:val="4472C4" w:themeColor="accent1"/>
          <w:lang w:val="es-ES"/>
        </w:rPr>
      </w:pPr>
    </w:p>
    <w:p w14:paraId="017C60C7" w14:textId="3F703497" w:rsidR="009F3858" w:rsidRPr="005416E7" w:rsidRDefault="00007FF0" w:rsidP="009F3858">
      <w:pPr>
        <w:spacing w:after="0"/>
        <w:rPr>
          <w:rFonts w:ascii="Verdana" w:hAnsi="Verdana"/>
          <w:color w:val="ED7D31" w:themeColor="accent2"/>
        </w:rPr>
      </w:pPr>
      <w:r w:rsidRPr="00007FF0">
        <w:rPr>
          <w:rFonts w:ascii="Verdana" w:eastAsia="Calibri" w:hAnsi="Verdana" w:cs="Arial"/>
          <w:b/>
          <w:bCs/>
          <w:lang w:val="es-ES" w:eastAsia="es-ES"/>
        </w:rPr>
        <w:drawing>
          <wp:anchor distT="0" distB="0" distL="114300" distR="114300" simplePos="0" relativeHeight="251659264" behindDoc="1" locked="0" layoutInCell="1" allowOverlap="1" wp14:anchorId="262E077A" wp14:editId="2DC5D825">
            <wp:simplePos x="0" y="0"/>
            <wp:positionH relativeFrom="column">
              <wp:posOffset>3282315</wp:posOffset>
            </wp:positionH>
            <wp:positionV relativeFrom="paragraph">
              <wp:posOffset>12700</wp:posOffset>
            </wp:positionV>
            <wp:extent cx="2905125" cy="797629"/>
            <wp:effectExtent l="0" t="0" r="0" b="2540"/>
            <wp:wrapNone/>
            <wp:docPr id="180822799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8227997" name=""/>
                    <pic:cNvPicPr/>
                  </pic:nvPicPr>
                  <pic:blipFill>
                    <a:blip r:embed="rId10">
                      <a:extLst>
                        <a:ext uri="{28A0092B-C50C-407E-A947-70E740481C1C}">
                          <a14:useLocalDpi xmlns:a14="http://schemas.microsoft.com/office/drawing/2010/main" val="0"/>
                        </a:ext>
                      </a:extLst>
                    </a:blip>
                    <a:stretch>
                      <a:fillRect/>
                    </a:stretch>
                  </pic:blipFill>
                  <pic:spPr>
                    <a:xfrm>
                      <a:off x="0" y="0"/>
                      <a:ext cx="2905125" cy="797629"/>
                    </a:xfrm>
                    <a:prstGeom prst="rect">
                      <a:avLst/>
                    </a:prstGeom>
                  </pic:spPr>
                </pic:pic>
              </a:graphicData>
            </a:graphic>
            <wp14:sizeRelH relativeFrom="margin">
              <wp14:pctWidth>0</wp14:pctWidth>
            </wp14:sizeRelH>
            <wp14:sizeRelV relativeFrom="margin">
              <wp14:pctHeight>0</wp14:pctHeight>
            </wp14:sizeRelV>
          </wp:anchor>
        </w:drawing>
      </w:r>
      <w:r w:rsidR="009F3858" w:rsidRPr="005416E7">
        <w:rPr>
          <w:rFonts w:ascii="Verdana" w:hAnsi="Verdana"/>
        </w:rPr>
        <w:t xml:space="preserve">Bogotá D.C., </w:t>
      </w:r>
      <w:r w:rsidR="00004365">
        <w:rPr>
          <w:rFonts w:ascii="Verdana" w:hAnsi="Verdana"/>
        </w:rPr>
        <w:t>23 de diciembre de 2025</w:t>
      </w:r>
    </w:p>
    <w:p w14:paraId="1B995AAF" w14:textId="7268F447" w:rsidR="009F3858" w:rsidRPr="005416E7" w:rsidRDefault="009F3858" w:rsidP="009F3858">
      <w:pPr>
        <w:spacing w:after="0"/>
        <w:rPr>
          <w:rFonts w:ascii="Verdana" w:hAnsi="Verdana"/>
          <w:color w:val="ED7D31" w:themeColor="accent2"/>
          <w:lang w:val="es-ES"/>
        </w:rPr>
      </w:pPr>
    </w:p>
    <w:p w14:paraId="65389B61" w14:textId="350C9ED2" w:rsidR="009F3858" w:rsidRPr="005416E7" w:rsidRDefault="009F3858" w:rsidP="009F3858">
      <w:pPr>
        <w:spacing w:after="0" w:line="240" w:lineRule="auto"/>
        <w:rPr>
          <w:rFonts w:ascii="Verdana" w:hAnsi="Verdana"/>
          <w:lang w:val="es-ES"/>
        </w:rPr>
      </w:pPr>
      <w:bookmarkStart w:id="0" w:name="_Hlk143780582"/>
      <w:r w:rsidRPr="005416E7">
        <w:rPr>
          <w:rFonts w:ascii="Verdana" w:eastAsia="Calibri" w:hAnsi="Verdana" w:cs="Arial"/>
          <w:lang w:val="es-ES" w:eastAsia="es-ES"/>
        </w:rPr>
        <w:t>Señor</w:t>
      </w:r>
    </w:p>
    <w:p w14:paraId="47ADB93C" w14:textId="47BA1671" w:rsidR="009F3858" w:rsidRPr="005416E7" w:rsidRDefault="009F3858" w:rsidP="009F3858">
      <w:pPr>
        <w:spacing w:after="0"/>
        <w:rPr>
          <w:rFonts w:ascii="Verdana" w:eastAsia="Calibri" w:hAnsi="Verdana" w:cs="Arial"/>
          <w:b/>
          <w:bCs/>
          <w:lang w:val="es-ES" w:eastAsia="es-ES"/>
        </w:rPr>
      </w:pPr>
      <w:r w:rsidRPr="005416E7">
        <w:rPr>
          <w:rFonts w:ascii="Verdana" w:eastAsia="Calibri" w:hAnsi="Verdana" w:cs="Arial"/>
          <w:b/>
          <w:bCs/>
          <w:lang w:val="es-ES" w:eastAsia="es-ES"/>
        </w:rPr>
        <w:t>Francisco Javier Alzate Murillo</w:t>
      </w:r>
    </w:p>
    <w:p w14:paraId="6EA7FE9F" w14:textId="77777777" w:rsidR="009F3858" w:rsidRPr="005416E7" w:rsidRDefault="009F3858" w:rsidP="009F3858">
      <w:pPr>
        <w:spacing w:after="0"/>
        <w:rPr>
          <w:rFonts w:ascii="Verdana" w:eastAsia="Calibri" w:hAnsi="Verdana" w:cs="Arial"/>
          <w:lang w:val="es-ES" w:eastAsia="es-ES"/>
        </w:rPr>
      </w:pPr>
      <w:r w:rsidRPr="005416E7">
        <w:rPr>
          <w:rFonts w:ascii="Verdana" w:eastAsia="Calibri" w:hAnsi="Verdana" w:cs="Arial"/>
          <w:lang w:val="es-ES" w:eastAsia="es-ES"/>
        </w:rPr>
        <w:t>Alcaldía Municipal de Calarcá</w:t>
      </w:r>
    </w:p>
    <w:p w14:paraId="3DE01312" w14:textId="77777777" w:rsidR="009F3858" w:rsidRPr="005416E7" w:rsidRDefault="009F3858" w:rsidP="009F3858">
      <w:pPr>
        <w:spacing w:after="0"/>
        <w:rPr>
          <w:rStyle w:val="Hipervnculo"/>
          <w:rFonts w:ascii="Verdana" w:hAnsi="Verdana"/>
          <w:color w:val="ED7D31" w:themeColor="accent2"/>
        </w:rPr>
      </w:pPr>
      <w:hyperlink r:id="rId11" w:history="1">
        <w:r w:rsidRPr="005416E7">
          <w:rPr>
            <w:rStyle w:val="Hipervnculo"/>
            <w:rFonts w:ascii="Verdana" w:hAnsi="Verdana"/>
          </w:rPr>
          <w:t>secretariaadministrativa@calarca-quindio.gov.co</w:t>
        </w:r>
      </w:hyperlink>
      <w:r w:rsidRPr="005416E7">
        <w:rPr>
          <w:rFonts w:ascii="Verdana" w:hAnsi="Verdana"/>
          <w:color w:val="ED7D31" w:themeColor="accent2"/>
          <w:u w:val="single"/>
        </w:rPr>
        <w:t xml:space="preserve"> </w:t>
      </w:r>
    </w:p>
    <w:p w14:paraId="58487660" w14:textId="77777777" w:rsidR="009F3858" w:rsidRPr="005416E7" w:rsidRDefault="009F3858" w:rsidP="009F3858">
      <w:pPr>
        <w:spacing w:after="0"/>
        <w:rPr>
          <w:rFonts w:ascii="Verdana" w:eastAsia="Calibri" w:hAnsi="Verdana" w:cs="Arial"/>
          <w:lang w:val="es-ES" w:eastAsia="es-ES"/>
        </w:rPr>
      </w:pPr>
      <w:r w:rsidRPr="005416E7">
        <w:rPr>
          <w:rFonts w:ascii="Verdana" w:eastAsia="Calibri" w:hAnsi="Verdana" w:cs="Arial"/>
          <w:lang w:val="es-ES" w:eastAsia="es-ES"/>
        </w:rPr>
        <w:t>Calarcá, Quindío</w:t>
      </w:r>
    </w:p>
    <w:p w14:paraId="6EF21CBC" w14:textId="77777777" w:rsidR="009F3858" w:rsidRPr="005416E7" w:rsidRDefault="009F3858" w:rsidP="009F3858">
      <w:pPr>
        <w:spacing w:after="0" w:line="240" w:lineRule="auto"/>
        <w:rPr>
          <w:rFonts w:ascii="Verdana" w:eastAsia="Calibri" w:hAnsi="Verdana" w:cs="Arial"/>
          <w:b/>
          <w:color w:val="ED7D31" w:themeColor="accent2"/>
          <w:lang w:val="es-ES" w:eastAsia="es-ES"/>
        </w:rPr>
      </w:pPr>
    </w:p>
    <w:p w14:paraId="59454CA9" w14:textId="77777777" w:rsidR="009F3858" w:rsidRPr="005416E7" w:rsidRDefault="009F3858" w:rsidP="009F3858">
      <w:pPr>
        <w:spacing w:after="0" w:line="240" w:lineRule="auto"/>
        <w:rPr>
          <w:rFonts w:ascii="Verdana" w:eastAsia="Calibri" w:hAnsi="Verdana" w:cs="Arial"/>
          <w:b/>
          <w:bCs/>
          <w:color w:val="ED7D31" w:themeColor="accent2"/>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9F3858" w:rsidRPr="005416E7" w14:paraId="2494731A" w14:textId="77777777" w:rsidTr="008567DC">
        <w:trPr>
          <w:trHeight w:val="300"/>
        </w:trPr>
        <w:tc>
          <w:tcPr>
            <w:tcW w:w="2410" w:type="dxa"/>
          </w:tcPr>
          <w:p w14:paraId="529ACCAE" w14:textId="77777777" w:rsidR="009F3858" w:rsidRPr="005416E7" w:rsidRDefault="009F3858" w:rsidP="008567DC">
            <w:pPr>
              <w:ind w:left="-142"/>
              <w:jc w:val="both"/>
              <w:rPr>
                <w:rFonts w:ascii="Verdana" w:eastAsia="Calibri" w:hAnsi="Verdana" w:cs="Arial"/>
                <w:b/>
                <w:bCs/>
                <w:lang w:val="es-ES" w:eastAsia="es-ES_tradnl"/>
              </w:rPr>
            </w:pPr>
          </w:p>
        </w:tc>
        <w:tc>
          <w:tcPr>
            <w:tcW w:w="6100" w:type="dxa"/>
          </w:tcPr>
          <w:p w14:paraId="17AB0E86" w14:textId="77777777" w:rsidR="009F3858" w:rsidRPr="005416E7" w:rsidRDefault="009F3858" w:rsidP="008567DC">
            <w:pPr>
              <w:ind w:left="3"/>
              <w:jc w:val="both"/>
              <w:rPr>
                <w:rFonts w:ascii="Verdana" w:eastAsia="Calibri" w:hAnsi="Verdana" w:cs="Arial"/>
                <w:b/>
                <w:bCs/>
                <w:lang w:val="es-ES" w:eastAsia="es-ES"/>
              </w:rPr>
            </w:pPr>
            <w:r w:rsidRPr="005416E7">
              <w:rPr>
                <w:rFonts w:ascii="Verdana" w:eastAsia="Calibri" w:hAnsi="Verdana" w:cs="Arial"/>
                <w:b/>
                <w:bCs/>
                <w:lang w:val="es-ES" w:eastAsia="es-ES"/>
              </w:rPr>
              <w:t>Concepto C-1739 de 2025</w:t>
            </w:r>
          </w:p>
          <w:p w14:paraId="1858DFF5" w14:textId="77777777" w:rsidR="009F3858" w:rsidRPr="005416E7" w:rsidRDefault="009F3858" w:rsidP="008567DC">
            <w:pPr>
              <w:ind w:left="3"/>
              <w:jc w:val="both"/>
              <w:rPr>
                <w:rFonts w:ascii="Verdana" w:eastAsia="Calibri" w:hAnsi="Verdana" w:cs="Arial"/>
                <w:b/>
                <w:bCs/>
                <w:lang w:val="es-ES" w:eastAsia="es-ES"/>
              </w:rPr>
            </w:pPr>
          </w:p>
        </w:tc>
      </w:tr>
      <w:tr w:rsidR="009F3858" w:rsidRPr="005416E7" w14:paraId="1B8D45CB" w14:textId="77777777" w:rsidTr="008567DC">
        <w:trPr>
          <w:trHeight w:val="300"/>
        </w:trPr>
        <w:tc>
          <w:tcPr>
            <w:tcW w:w="2410" w:type="dxa"/>
          </w:tcPr>
          <w:p w14:paraId="6E106FA7" w14:textId="77777777" w:rsidR="009F3858" w:rsidRPr="005416E7" w:rsidRDefault="009F3858" w:rsidP="008567DC">
            <w:pPr>
              <w:ind w:left="424" w:firstLine="142"/>
              <w:jc w:val="both"/>
              <w:rPr>
                <w:rFonts w:ascii="Verdana" w:eastAsia="Calibri" w:hAnsi="Verdana" w:cs="Arial"/>
                <w:color w:val="ED7D31" w:themeColor="accent2"/>
                <w:lang w:val="es-ES" w:eastAsia="es-ES_tradnl"/>
              </w:rPr>
            </w:pPr>
            <w:r w:rsidRPr="005416E7">
              <w:rPr>
                <w:rFonts w:ascii="Verdana" w:eastAsia="Calibri" w:hAnsi="Verdana" w:cs="Arial"/>
                <w:b/>
                <w:lang w:val="es-ES" w:eastAsia="es-ES_tradnl"/>
              </w:rPr>
              <w:t>Temas:</w:t>
            </w:r>
            <w:r w:rsidRPr="005416E7">
              <w:rPr>
                <w:rFonts w:ascii="Verdana" w:eastAsia="Calibri" w:hAnsi="Verdana" w:cs="Arial"/>
                <w:color w:val="ED7D31" w:themeColor="accent2"/>
                <w:lang w:val="es-ES" w:eastAsia="es-ES_tradnl"/>
              </w:rPr>
              <w:t xml:space="preserve">                  </w:t>
            </w:r>
          </w:p>
        </w:tc>
        <w:tc>
          <w:tcPr>
            <w:tcW w:w="6100" w:type="dxa"/>
          </w:tcPr>
          <w:p w14:paraId="07985740" w14:textId="77777777" w:rsidR="009F3858" w:rsidRPr="005416E7" w:rsidRDefault="009F3858" w:rsidP="008567DC">
            <w:pPr>
              <w:jc w:val="both"/>
              <w:rPr>
                <w:rFonts w:ascii="Verdana" w:eastAsia="Calibri" w:hAnsi="Verdana" w:cs="Arial"/>
                <w:lang w:val="es-ES" w:eastAsia="es-ES"/>
              </w:rPr>
            </w:pPr>
            <w:r w:rsidRPr="005416E7">
              <w:rPr>
                <w:rFonts w:ascii="Verdana" w:eastAsia="Calibri" w:hAnsi="Verdana" w:cs="Arial"/>
                <w:lang w:val="es-ES" w:eastAsia="es-ES"/>
              </w:rPr>
              <w:t xml:space="preserve">LEY DE GARANTÍAS ELECTORALES – Finalidad / </w:t>
            </w:r>
            <w:r w:rsidRPr="005416E7">
              <w:rPr>
                <w:rFonts w:ascii="Verdana" w:eastAsia="Times New Roman" w:hAnsi="Verdana" w:cs="Arial"/>
                <w:lang w:eastAsia="es-ES_tradnl"/>
              </w:rPr>
              <w:t xml:space="preserve">LEY DE GARANTÍAS ELECTORALES ‒ Restricciones ‒ Contratación ‒ Tipos de elección </w:t>
            </w:r>
            <w:r w:rsidRPr="005416E7">
              <w:rPr>
                <w:rFonts w:ascii="Verdana" w:eastAsia="Calibri" w:hAnsi="Verdana" w:cs="Arial"/>
                <w:lang w:val="es-ES" w:eastAsia="es-ES"/>
              </w:rPr>
              <w:t>/ LEY DE GARANTÍAS ELECTORALES ‒ Artículo 33</w:t>
            </w:r>
            <w:r w:rsidRPr="005416E7">
              <w:rPr>
                <w:rFonts w:ascii="Verdana" w:eastAsia="Calibri" w:hAnsi="Verdana" w:cs="Arial"/>
                <w:b/>
                <w:bCs/>
                <w:lang w:val="es-ES" w:eastAsia="es-ES"/>
              </w:rPr>
              <w:t xml:space="preserve"> </w:t>
            </w:r>
            <w:r w:rsidRPr="005416E7">
              <w:rPr>
                <w:rFonts w:ascii="Verdana" w:eastAsia="Calibri" w:hAnsi="Verdana" w:cs="Arial"/>
                <w:lang w:val="es-ES" w:eastAsia="es-ES"/>
              </w:rPr>
              <w:t>/ CIRCULAR EXTERNA N° 006 – Agencia Nacional de Contratación Pública – Colombia Compra Eficiente</w:t>
            </w:r>
          </w:p>
          <w:p w14:paraId="7A57F635" w14:textId="77777777" w:rsidR="009F3858" w:rsidRPr="005416E7" w:rsidRDefault="009F3858" w:rsidP="008567DC">
            <w:pPr>
              <w:jc w:val="both"/>
              <w:rPr>
                <w:rFonts w:ascii="Verdana" w:hAnsi="Verdana"/>
                <w:color w:val="ED7D31" w:themeColor="accent2"/>
                <w:lang w:val="es-ES"/>
              </w:rPr>
            </w:pPr>
          </w:p>
        </w:tc>
      </w:tr>
      <w:tr w:rsidR="009F3858" w:rsidRPr="005416E7" w14:paraId="728A9A82" w14:textId="77777777" w:rsidTr="008567DC">
        <w:tc>
          <w:tcPr>
            <w:tcW w:w="2410" w:type="dxa"/>
          </w:tcPr>
          <w:p w14:paraId="15BB3E03" w14:textId="77777777" w:rsidR="009F3858" w:rsidRPr="005416E7" w:rsidRDefault="009F3858" w:rsidP="008567DC">
            <w:pPr>
              <w:ind w:left="561"/>
              <w:jc w:val="both"/>
              <w:rPr>
                <w:rFonts w:ascii="Verdana" w:eastAsia="Calibri" w:hAnsi="Verdana" w:cs="Arial"/>
                <w:b/>
                <w:lang w:val="es-ES" w:eastAsia="es-ES_tradnl"/>
              </w:rPr>
            </w:pPr>
            <w:r w:rsidRPr="005416E7">
              <w:rPr>
                <w:rFonts w:ascii="Verdana" w:eastAsia="Calibri" w:hAnsi="Verdana" w:cs="Arial"/>
                <w:b/>
                <w:lang w:val="es-ES" w:eastAsia="es-ES_tradnl"/>
              </w:rPr>
              <w:t>Radicación:</w:t>
            </w:r>
            <w:r w:rsidRPr="005416E7">
              <w:rPr>
                <w:rFonts w:ascii="Verdana" w:eastAsia="Calibri" w:hAnsi="Verdana" w:cs="Arial"/>
                <w:lang w:val="es-ES" w:eastAsia="es-ES_tradnl"/>
              </w:rPr>
              <w:t xml:space="preserve">              </w:t>
            </w:r>
          </w:p>
        </w:tc>
        <w:tc>
          <w:tcPr>
            <w:tcW w:w="6100" w:type="dxa"/>
          </w:tcPr>
          <w:p w14:paraId="4B46B495" w14:textId="77777777" w:rsidR="009F3858" w:rsidRPr="005416E7" w:rsidRDefault="009F3858" w:rsidP="008567DC">
            <w:pPr>
              <w:ind w:left="3"/>
              <w:jc w:val="both"/>
              <w:rPr>
                <w:rFonts w:ascii="Verdana" w:hAnsi="Verdana"/>
                <w:lang w:val="es-ES"/>
              </w:rPr>
            </w:pPr>
            <w:r w:rsidRPr="005416E7">
              <w:rPr>
                <w:rFonts w:ascii="Verdana" w:eastAsia="Calibri" w:hAnsi="Verdana" w:cs="Arial"/>
                <w:lang w:val="es-ES" w:eastAsia="es-ES"/>
              </w:rPr>
              <w:t>Respuesta a consulta con radicado No. 1_2025_11_24_013236</w:t>
            </w:r>
          </w:p>
        </w:tc>
      </w:tr>
    </w:tbl>
    <w:p w14:paraId="4A565A06" w14:textId="77777777" w:rsidR="009F3858" w:rsidRPr="005416E7" w:rsidRDefault="009F3858" w:rsidP="009F3858">
      <w:pPr>
        <w:spacing w:after="0" w:line="276" w:lineRule="auto"/>
        <w:jc w:val="both"/>
        <w:rPr>
          <w:rFonts w:ascii="Verdana" w:eastAsia="Calibri" w:hAnsi="Verdana" w:cs="Arial"/>
          <w:color w:val="ED7D31" w:themeColor="accent2"/>
          <w:lang w:val="es-ES" w:eastAsia="es-ES"/>
        </w:rPr>
      </w:pPr>
    </w:p>
    <w:p w14:paraId="6DC86820" w14:textId="77777777" w:rsidR="009F3858" w:rsidRPr="005416E7" w:rsidRDefault="009F3858" w:rsidP="009F3858">
      <w:pPr>
        <w:spacing w:after="0" w:line="276" w:lineRule="auto"/>
        <w:jc w:val="both"/>
        <w:rPr>
          <w:rFonts w:ascii="Verdana" w:eastAsia="Calibri" w:hAnsi="Verdana" w:cs="Arial"/>
          <w:color w:val="ED7D31" w:themeColor="accent2"/>
          <w:lang w:val="es-ES" w:eastAsia="es-ES"/>
        </w:rPr>
      </w:pPr>
    </w:p>
    <w:p w14:paraId="3C4F8C8F" w14:textId="77777777" w:rsidR="009F3858" w:rsidRPr="005416E7" w:rsidRDefault="009F3858" w:rsidP="009F3858">
      <w:pPr>
        <w:spacing w:after="0" w:line="276" w:lineRule="auto"/>
        <w:jc w:val="both"/>
        <w:rPr>
          <w:rFonts w:ascii="Verdana" w:eastAsia="Calibri" w:hAnsi="Verdana" w:cs="Arial"/>
          <w:lang w:val="es-ES" w:eastAsia="es-ES"/>
        </w:rPr>
      </w:pPr>
      <w:r w:rsidRPr="005416E7">
        <w:rPr>
          <w:rFonts w:ascii="Verdana" w:eastAsia="Calibri" w:hAnsi="Verdana" w:cs="Arial"/>
          <w:lang w:val="es-ES" w:eastAsia="es-ES"/>
        </w:rPr>
        <w:t>Estimado Señor Alzate,</w:t>
      </w:r>
    </w:p>
    <w:p w14:paraId="52D02A62" w14:textId="77777777" w:rsidR="009F3858" w:rsidRPr="005416E7" w:rsidRDefault="009F3858" w:rsidP="009F3858">
      <w:pPr>
        <w:tabs>
          <w:tab w:val="left" w:pos="3768"/>
        </w:tabs>
        <w:spacing w:after="0" w:line="276" w:lineRule="auto"/>
        <w:jc w:val="both"/>
        <w:rPr>
          <w:rFonts w:ascii="Verdana" w:eastAsia="Calibri" w:hAnsi="Verdana" w:cs="Arial"/>
          <w:color w:val="ED7D31" w:themeColor="accent2"/>
          <w:lang w:val="es-ES" w:eastAsia="es-ES"/>
        </w:rPr>
      </w:pPr>
      <w:r w:rsidRPr="005416E7">
        <w:rPr>
          <w:rFonts w:ascii="Verdana" w:eastAsia="Calibri" w:hAnsi="Verdana" w:cs="Arial"/>
          <w:color w:val="ED7D31" w:themeColor="accent2"/>
          <w:lang w:val="es-ES" w:eastAsia="es-ES"/>
        </w:rPr>
        <w:tab/>
      </w:r>
    </w:p>
    <w:p w14:paraId="16F6C2AD" w14:textId="77777777" w:rsidR="009F3858" w:rsidRPr="005416E7" w:rsidRDefault="009F3858" w:rsidP="009F3858">
      <w:pPr>
        <w:spacing w:after="0" w:line="276" w:lineRule="auto"/>
        <w:jc w:val="both"/>
        <w:rPr>
          <w:rFonts w:ascii="Verdana" w:eastAsia="Calibri" w:hAnsi="Verdana" w:cs="Arial"/>
          <w:color w:val="ED7D31" w:themeColor="accent2"/>
          <w:lang w:val="es-ES" w:eastAsia="es-ES"/>
        </w:rPr>
      </w:pPr>
      <w:r w:rsidRPr="005416E7">
        <w:rPr>
          <w:rFonts w:ascii="Verdana" w:eastAsia="Calibri" w:hAnsi="Verdana" w:cs="Arial"/>
          <w:lang w:val="es-ES" w:eastAsia="es-ES"/>
        </w:rPr>
        <w:t>En ejercicio de la competencia otorgada por los artículos 3, numeral 5º, y 11, numeral 8º, del Decreto Ley 4170 de 2011,</w:t>
      </w:r>
      <w:r w:rsidRPr="005416E7">
        <w:rPr>
          <w:rFonts w:ascii="Verdana" w:eastAsia="Arial MT" w:hAnsi="Verdana" w:cs="Arial MT"/>
          <w:lang w:val="es-ES" w:eastAsia="es-ES"/>
        </w:rPr>
        <w:t xml:space="preserve"> </w:t>
      </w:r>
      <w:r w:rsidRPr="005416E7">
        <w:rPr>
          <w:rFonts w:ascii="Verdana" w:hAnsi="Verdana" w:cs="Arial"/>
          <w:lang w:val="es-ES"/>
        </w:rPr>
        <w:t xml:space="preserve">así como lo establecido en el artículo 4 de la Resolución 1707 de 2018 expedida por esta Entidad, </w:t>
      </w:r>
      <w:r w:rsidRPr="005416E7">
        <w:rPr>
          <w:rFonts w:ascii="Verdana" w:eastAsia="Calibri" w:hAnsi="Verdana" w:cs="Arial"/>
          <w:lang w:val="es-ES" w:eastAsia="es-ES"/>
        </w:rPr>
        <w:t>la Agencia Nacional de Contratación Pública – Colombia Compra Eficiente– responde su solicitud de consulta de fecha 24 de noviembre de 2025, en la cual manifiesta lo siguiente</w:t>
      </w:r>
      <w:r w:rsidRPr="005416E7">
        <w:rPr>
          <w:rFonts w:ascii="Verdana" w:eastAsia="Calibri" w:hAnsi="Verdana" w:cs="Arial"/>
          <w:color w:val="ED7D31" w:themeColor="accent2"/>
          <w:lang w:val="es-ES" w:eastAsia="es-ES"/>
        </w:rPr>
        <w:t xml:space="preserve">: </w:t>
      </w:r>
    </w:p>
    <w:p w14:paraId="13972EDB" w14:textId="77777777" w:rsidR="009F3858" w:rsidRPr="005416E7" w:rsidRDefault="009F3858" w:rsidP="009F3858">
      <w:pPr>
        <w:tabs>
          <w:tab w:val="left" w:pos="142"/>
          <w:tab w:val="left" w:pos="284"/>
        </w:tabs>
        <w:spacing w:after="0" w:line="276" w:lineRule="auto"/>
        <w:contextualSpacing/>
        <w:jc w:val="both"/>
        <w:rPr>
          <w:rFonts w:ascii="Verdana" w:eastAsia="Century Gothic" w:hAnsi="Verdana" w:cs="Century Gothic"/>
          <w:b/>
          <w:bCs/>
          <w:color w:val="ED7D31" w:themeColor="accent2"/>
          <w:lang w:val="es-ES"/>
        </w:rPr>
      </w:pPr>
    </w:p>
    <w:p w14:paraId="29ED5064" w14:textId="77777777" w:rsidR="009F3858" w:rsidRPr="005416E7" w:rsidRDefault="009F3858" w:rsidP="009F3858">
      <w:pPr>
        <w:spacing w:before="120" w:after="120"/>
        <w:ind w:left="709" w:right="709"/>
        <w:contextualSpacing/>
        <w:jc w:val="both"/>
        <w:rPr>
          <w:rFonts w:ascii="Verdana" w:hAnsi="Verdana"/>
          <w:i/>
          <w:iCs/>
          <w:sz w:val="20"/>
          <w:szCs w:val="20"/>
          <w:lang w:val="es-ES"/>
        </w:rPr>
      </w:pPr>
      <w:r w:rsidRPr="005416E7">
        <w:rPr>
          <w:rFonts w:ascii="Verdana" w:eastAsia="Century Gothic" w:hAnsi="Verdana" w:cs="Century Gothic"/>
          <w:i/>
          <w:iCs/>
          <w:sz w:val="20"/>
          <w:szCs w:val="20"/>
          <w:lang w:val="es-ES"/>
        </w:rPr>
        <w:t>“</w:t>
      </w:r>
      <w:r w:rsidRPr="005416E7">
        <w:rPr>
          <w:rFonts w:ascii="Verdana" w:hAnsi="Verdana"/>
          <w:i/>
          <w:iCs/>
          <w:sz w:val="20"/>
          <w:szCs w:val="20"/>
          <w:lang w:val="es-ES"/>
        </w:rPr>
        <w:t>Buenos días, el motivo de la consulta es saber si es posible celebrar convenios sin derogación y que no impliquen recursos durante la ley de garantías.”</w:t>
      </w:r>
    </w:p>
    <w:p w14:paraId="1031D516" w14:textId="77777777" w:rsidR="009F3858" w:rsidRPr="005416E7" w:rsidRDefault="009F3858" w:rsidP="009F3858">
      <w:pPr>
        <w:spacing w:before="120" w:after="120"/>
        <w:ind w:left="709" w:right="709"/>
        <w:contextualSpacing/>
        <w:jc w:val="both"/>
        <w:rPr>
          <w:rFonts w:ascii="Verdana" w:hAnsi="Verdana"/>
          <w:i/>
          <w:iCs/>
          <w:color w:val="ED7D31" w:themeColor="accent2"/>
          <w:sz w:val="20"/>
          <w:szCs w:val="20"/>
          <w:lang w:val="es-ES"/>
        </w:rPr>
      </w:pPr>
    </w:p>
    <w:p w14:paraId="62C86EC7" w14:textId="77777777" w:rsidR="009F3858" w:rsidRPr="005416E7" w:rsidRDefault="009F3858" w:rsidP="009F3858">
      <w:pPr>
        <w:spacing w:after="120" w:line="276" w:lineRule="auto"/>
        <w:ind w:firstLine="708"/>
        <w:jc w:val="both"/>
        <w:rPr>
          <w:rFonts w:ascii="Verdana" w:eastAsia="Calibri" w:hAnsi="Verdana" w:cs="Arial"/>
          <w:lang w:val="es-ES" w:eastAsia="es-ES"/>
        </w:rPr>
      </w:pPr>
      <w:r w:rsidRPr="005416E7">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w:t>
      </w:r>
      <w:r w:rsidRPr="005416E7">
        <w:rPr>
          <w:rFonts w:ascii="Verdana" w:eastAsia="Calibri" w:hAnsi="Verdana" w:cs="Arial"/>
          <w:lang w:val="es-ES" w:eastAsia="es-ES"/>
        </w:rPr>
        <w:lastRenderedPageBreak/>
        <w:t xml:space="preserve">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416E7">
        <w:rPr>
          <w:rFonts w:ascii="Verdana" w:hAnsi="Verdana"/>
          <w:lang w:val="es-ES"/>
        </w:rPr>
        <w:tab/>
      </w:r>
    </w:p>
    <w:p w14:paraId="3E4EB491" w14:textId="77777777" w:rsidR="009F3858" w:rsidRPr="005416E7" w:rsidRDefault="009F3858" w:rsidP="009F3858">
      <w:pPr>
        <w:spacing w:after="0" w:line="276" w:lineRule="auto"/>
        <w:ind w:firstLine="709"/>
        <w:jc w:val="both"/>
        <w:rPr>
          <w:rFonts w:ascii="Verdana" w:eastAsia="Calibri" w:hAnsi="Verdana" w:cs="Arial"/>
          <w:lang w:val="es-ES" w:eastAsia="es-ES"/>
        </w:rPr>
      </w:pPr>
      <w:r w:rsidRPr="005416E7">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6C71E435" w14:textId="77777777" w:rsidR="009F3858" w:rsidRPr="005416E7" w:rsidRDefault="009F3858" w:rsidP="009F3858">
      <w:pPr>
        <w:spacing w:after="0" w:line="276" w:lineRule="auto"/>
        <w:ind w:firstLine="709"/>
        <w:jc w:val="both"/>
        <w:rPr>
          <w:rFonts w:ascii="Verdana" w:eastAsia="Calibri" w:hAnsi="Verdana" w:cs="Arial"/>
          <w:lang w:val="es-ES" w:eastAsia="es-ES"/>
        </w:rPr>
      </w:pPr>
    </w:p>
    <w:p w14:paraId="684CB4AC" w14:textId="77777777" w:rsidR="009F3858" w:rsidRPr="005416E7" w:rsidRDefault="009F3858" w:rsidP="009F3858">
      <w:pPr>
        <w:tabs>
          <w:tab w:val="left" w:pos="142"/>
          <w:tab w:val="left" w:pos="284"/>
        </w:tabs>
        <w:spacing w:after="0" w:line="276" w:lineRule="auto"/>
        <w:contextualSpacing/>
        <w:jc w:val="both"/>
        <w:rPr>
          <w:rFonts w:ascii="Verdana" w:eastAsia="Century Gothic" w:hAnsi="Verdana" w:cs="Century Gothic"/>
          <w:b/>
          <w:lang w:val="es-ES"/>
        </w:rPr>
      </w:pPr>
      <w:r w:rsidRPr="005416E7">
        <w:rPr>
          <w:rFonts w:ascii="Verdana" w:eastAsia="Century Gothic" w:hAnsi="Verdana" w:cs="Century Gothic"/>
          <w:b/>
          <w:lang w:val="es-ES"/>
        </w:rPr>
        <w:t>1. Problema planteado:</w:t>
      </w:r>
    </w:p>
    <w:p w14:paraId="61BC0838" w14:textId="77777777" w:rsidR="009F3858" w:rsidRPr="005416E7" w:rsidRDefault="009F3858" w:rsidP="009F3858">
      <w:pPr>
        <w:tabs>
          <w:tab w:val="left" w:pos="426"/>
        </w:tabs>
        <w:spacing w:after="0" w:line="276" w:lineRule="auto"/>
        <w:jc w:val="both"/>
        <w:rPr>
          <w:rFonts w:ascii="Verdana" w:eastAsia="Century Gothic" w:hAnsi="Verdana" w:cs="Century Gothic"/>
          <w:lang w:val="es-ES"/>
        </w:rPr>
      </w:pPr>
    </w:p>
    <w:p w14:paraId="05942F1A" w14:textId="7ACFD2F8" w:rsidR="009F3858" w:rsidRPr="005416E7" w:rsidRDefault="009F3858" w:rsidP="009F3858">
      <w:pPr>
        <w:spacing w:after="0" w:line="276" w:lineRule="auto"/>
        <w:jc w:val="both"/>
        <w:rPr>
          <w:rFonts w:ascii="Verdana" w:eastAsia="Century Gothic" w:hAnsi="Verdana" w:cs="Century Gothic"/>
          <w:color w:val="ED7D31" w:themeColor="accent2"/>
        </w:rPr>
      </w:pPr>
      <w:r w:rsidRPr="005416E7">
        <w:rPr>
          <w:rFonts w:ascii="Verdana" w:eastAsia="Century Gothic" w:hAnsi="Verdana" w:cs="Century Gothic"/>
          <w:lang w:val="es-ES"/>
        </w:rPr>
        <w:t xml:space="preserve">De acuerdo con el contenido de su solicitud, esta Agencia resolverá el siguiente problema jurídico: </w:t>
      </w:r>
      <w:r w:rsidRPr="005416E7">
        <w:rPr>
          <w:rFonts w:ascii="Verdana" w:eastAsia="Century Gothic" w:hAnsi="Verdana" w:cs="Century Gothic"/>
        </w:rPr>
        <w:t>¿Es jurídicamente viable la suscripción de convenios sin erogación durante la vigencia de la Ley de Garantías Electorales, cuando estos no implican ejecución de recursos públicos?</w:t>
      </w:r>
    </w:p>
    <w:p w14:paraId="20DFBB5C" w14:textId="77777777" w:rsidR="009F3858" w:rsidRPr="005416E7" w:rsidRDefault="009F3858" w:rsidP="009F3858">
      <w:pPr>
        <w:spacing w:after="0" w:line="276" w:lineRule="auto"/>
        <w:jc w:val="both"/>
        <w:rPr>
          <w:rFonts w:ascii="Verdana" w:eastAsia="Century Gothic" w:hAnsi="Verdana" w:cs="Century Gothic"/>
          <w:color w:val="ED7D31" w:themeColor="accent2"/>
        </w:rPr>
      </w:pPr>
    </w:p>
    <w:p w14:paraId="422373C4" w14:textId="77777777" w:rsidR="009F3858" w:rsidRPr="005416E7" w:rsidRDefault="009F3858" w:rsidP="009F3858">
      <w:pPr>
        <w:tabs>
          <w:tab w:val="left" w:pos="142"/>
          <w:tab w:val="left" w:pos="284"/>
        </w:tabs>
        <w:spacing w:after="0" w:line="276" w:lineRule="auto"/>
        <w:jc w:val="both"/>
        <w:rPr>
          <w:rFonts w:ascii="Verdana" w:eastAsia="Century Gothic" w:hAnsi="Verdana" w:cs="Century Gothic"/>
          <w:b/>
          <w:lang w:val="es-ES"/>
        </w:rPr>
      </w:pPr>
      <w:r w:rsidRPr="005416E7">
        <w:rPr>
          <w:rFonts w:ascii="Verdana" w:eastAsia="Century Gothic" w:hAnsi="Verdana" w:cs="Century Gothic"/>
          <w:b/>
          <w:lang w:val="es-ES"/>
        </w:rPr>
        <w:t>2. Respuesta:</w:t>
      </w:r>
    </w:p>
    <w:p w14:paraId="651CFAA5" w14:textId="77777777" w:rsidR="009F3858" w:rsidRPr="005416E7" w:rsidRDefault="009F3858" w:rsidP="009F3858">
      <w:pPr>
        <w:tabs>
          <w:tab w:val="left" w:pos="142"/>
          <w:tab w:val="left" w:pos="284"/>
        </w:tabs>
        <w:spacing w:after="0" w:line="276" w:lineRule="auto"/>
        <w:jc w:val="both"/>
        <w:rPr>
          <w:rFonts w:ascii="Verdana" w:eastAsia="Century Gothic" w:hAnsi="Verdana" w:cs="Century Gothic"/>
          <w:b/>
          <w:bCs/>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F3858" w:rsidRPr="005416E7" w14:paraId="446BF0D8" w14:textId="77777777" w:rsidTr="008567DC">
        <w:tc>
          <w:tcPr>
            <w:tcW w:w="8828" w:type="dxa"/>
          </w:tcPr>
          <w:p w14:paraId="23C880FB" w14:textId="77777777" w:rsidR="009F3858" w:rsidRPr="005416E7" w:rsidRDefault="009F3858" w:rsidP="008567DC">
            <w:pPr>
              <w:spacing w:before="120" w:after="120" w:line="276" w:lineRule="auto"/>
              <w:jc w:val="both"/>
              <w:rPr>
                <w:rFonts w:ascii="Verdana" w:eastAsia="Calibri" w:hAnsi="Verdana" w:cs="Arial"/>
                <w:lang w:val="es-ES"/>
              </w:rPr>
            </w:pPr>
            <w:r w:rsidRPr="005416E7">
              <w:rPr>
                <w:rFonts w:ascii="Verdana" w:eastAsia="Calibri" w:hAnsi="Verdana" w:cs="Arial"/>
              </w:rPr>
              <w:t>En el marco del análisis del régimen general de compras y contratación pública, y sin desconocer que corresponde a cada entidad evaluar la viabilidad técnica, jurídica y financiera de los contratos que se pretendan celebrar, es posible sostener que la Ley 996 de 2005 establece restricciones a la contratación estatal.</w:t>
            </w:r>
          </w:p>
          <w:p w14:paraId="5E08EC62" w14:textId="77777777" w:rsidR="009F3858" w:rsidRPr="005416E7" w:rsidRDefault="009F3858" w:rsidP="008567DC">
            <w:pPr>
              <w:spacing w:before="120" w:after="120" w:line="276" w:lineRule="auto"/>
              <w:ind w:firstLine="709"/>
              <w:jc w:val="both"/>
              <w:rPr>
                <w:rFonts w:ascii="Verdana" w:eastAsia="Calibri" w:hAnsi="Verdana" w:cs="Arial"/>
                <w:color w:val="000000" w:themeColor="text1"/>
              </w:rPr>
            </w:pPr>
            <w:r w:rsidRPr="005416E7">
              <w:rPr>
                <w:rFonts w:ascii="Verdana" w:eastAsia="Calibri" w:hAnsi="Verdana" w:cs="Arial"/>
                <w:color w:val="000000" w:themeColor="text1"/>
                <w:lang w:val="es-ES"/>
              </w:rPr>
              <w:t xml:space="preserve">En tal sentido, </w:t>
            </w:r>
            <w:r w:rsidRPr="005416E7">
              <w:rPr>
                <w:rFonts w:ascii="Verdana" w:eastAsia="Calibri" w:hAnsi="Verdana" w:cs="Arial"/>
                <w:color w:val="000000" w:themeColor="text1"/>
              </w:rPr>
              <w:t xml:space="preserve">el artículo 33 de la Ley 996 de 2005 prohíbe la contratación directa por parte de todos los entes del Estado durante los cuatro (4) meses anteriores a la elección presidencial, salvo lo referente con la defensa y seguridad del Estado, los contratos de crédito público, aquellos necesarios para atender emergencias educativas, sanitarias o desastres, así como, los destinados a la reconstrucción de vías, puentes, carreteras e infraestructura energética y de comunicaciones cuando estas hayan sido </w:t>
            </w:r>
            <w:r w:rsidRPr="005416E7">
              <w:rPr>
                <w:rFonts w:ascii="Verdana" w:eastAsia="Calibri" w:hAnsi="Verdana" w:cs="Arial"/>
                <w:color w:val="000000" w:themeColor="text1"/>
              </w:rPr>
              <w:lastRenderedPageBreak/>
              <w:t>afectadas por atentados, acciones terroristas, desastres naturales o eventos de fuerza mayor, y los que deban celebrar las entidades sanitarias y hospitalarias.</w:t>
            </w:r>
          </w:p>
          <w:p w14:paraId="17614538" w14:textId="77777777" w:rsidR="009F3858" w:rsidRPr="005416E7" w:rsidRDefault="009F3858" w:rsidP="008567DC">
            <w:pPr>
              <w:spacing w:before="120" w:after="120" w:line="276" w:lineRule="auto"/>
              <w:ind w:firstLine="709"/>
              <w:jc w:val="both"/>
              <w:rPr>
                <w:rFonts w:ascii="Verdana" w:eastAsia="Arial" w:hAnsi="Verdana" w:cs="Arial"/>
                <w:lang w:eastAsia="es-ES" w:bidi="es-ES"/>
              </w:rPr>
            </w:pPr>
            <w:r w:rsidRPr="005416E7">
              <w:rPr>
                <w:rFonts w:ascii="Verdana" w:eastAsia="Calibri" w:hAnsi="Verdana" w:cs="Arial"/>
                <w:lang w:val="es-ES"/>
              </w:rPr>
              <w:t>Por su parte</w:t>
            </w:r>
            <w:r w:rsidRPr="005416E7">
              <w:rPr>
                <w:rFonts w:ascii="Verdana" w:eastAsia="Arial" w:hAnsi="Verdana" w:cs="Arial"/>
                <w:lang w:eastAsia="es-ES" w:bidi="es-ES"/>
              </w:rPr>
              <w:t>, el parágrafo del artículo 38 de la Ley 996 de 2005 consagra una restricción aplicable a cualquier tipo de contienda electoral, en virtud de la cual se prohíbe a los gobernadores, alcaldes municipales o distritales, secretarios, gerentes y directores de entidades descentralizadas del orden municipal, departamental o distrital, celebrar convenios interadministrativos para la ejecución de recursos públicos, así como participar, promover o destinar recursos públicos de las entidades a su cargo o de aquellas en las que intervengan como miembros de juntas directivas a reuniones de carácter proselitista.</w:t>
            </w:r>
          </w:p>
          <w:p w14:paraId="09A9321D" w14:textId="5A990881" w:rsidR="009F3858" w:rsidRPr="005416E7" w:rsidRDefault="009F3858" w:rsidP="008567DC">
            <w:pPr>
              <w:spacing w:before="120" w:after="120" w:line="276" w:lineRule="auto"/>
              <w:ind w:firstLine="708"/>
              <w:jc w:val="both"/>
              <w:rPr>
                <w:rFonts w:ascii="Verdana" w:eastAsia="Times New Roman" w:hAnsi="Verdana" w:cs="Arial"/>
                <w:lang w:eastAsia="es-CO"/>
              </w:rPr>
            </w:pPr>
            <w:r w:rsidRPr="005416E7">
              <w:rPr>
                <w:rFonts w:ascii="Verdana" w:eastAsia="Arial" w:hAnsi="Verdana" w:cs="Arial"/>
                <w:lang w:eastAsia="es-ES" w:bidi="es-ES"/>
              </w:rPr>
              <w:t xml:space="preserve">Precisado lo anterior, </w:t>
            </w:r>
            <w:r w:rsidRPr="005416E7">
              <w:rPr>
                <w:rFonts w:ascii="Verdana" w:eastAsia="Times New Roman" w:hAnsi="Verdana" w:cs="Arial"/>
                <w:bCs/>
                <w:lang w:val="es-ES" w:eastAsia="es-CO"/>
              </w:rPr>
              <w:t>p</w:t>
            </w:r>
            <w:r w:rsidRPr="005416E7">
              <w:rPr>
                <w:rFonts w:ascii="Verdana" w:eastAsia="Times New Roman" w:hAnsi="Verdana" w:cs="Arial"/>
                <w:bCs/>
                <w:lang w:eastAsia="es-CO"/>
              </w:rPr>
              <w:t>ara responder al problema jurídico planteado, es importante tener en cuenta la</w:t>
            </w:r>
            <w:r w:rsidRPr="005416E7">
              <w:rPr>
                <w:rFonts w:ascii="Verdana" w:hAnsi="Verdana" w:cs="Arial"/>
                <w:lang w:val="es-ES_tradnl"/>
              </w:rPr>
              <w:t xml:space="preserve"> Circular Externa No. 006 de 2025 expedida por la ANCP-CCE, en sus literales ii) y iv) del numeral 2, indica que el parágrafo del artículo 38 de la Ley 996 de 2005 cobija expresamente a los </w:t>
            </w:r>
            <w:r w:rsidRPr="005416E7">
              <w:rPr>
                <w:rFonts w:ascii="Verdana" w:hAnsi="Verdana" w:cs="Arial"/>
                <w:i/>
                <w:iCs/>
                <w:lang w:val="es-ES_tradnl"/>
              </w:rPr>
              <w:t xml:space="preserve">convenios interadministrativos </w:t>
            </w:r>
            <w:r w:rsidRPr="005416E7">
              <w:rPr>
                <w:rFonts w:ascii="Verdana" w:hAnsi="Verdana" w:cs="Arial"/>
                <w:lang w:val="es-ES_tradnl"/>
              </w:rPr>
              <w:t>en los que se contemple la ejecución de recursos públicos</w:t>
            </w:r>
            <w:r w:rsidR="00F72EC9">
              <w:rPr>
                <w:rFonts w:ascii="Verdana" w:hAnsi="Verdana" w:cs="Arial"/>
                <w:lang w:val="es-ES_tradnl"/>
              </w:rPr>
              <w:t>.</w:t>
            </w:r>
            <w:r w:rsidRPr="005416E7">
              <w:rPr>
                <w:rFonts w:ascii="Verdana" w:hAnsi="Verdana" w:cs="Arial"/>
                <w:lang w:val="es-ES_tradnl"/>
              </w:rPr>
              <w:t xml:space="preserve"> </w:t>
            </w:r>
            <w:r w:rsidRPr="005416E7">
              <w:rPr>
                <w:rFonts w:ascii="Verdana" w:eastAsia="Times New Roman" w:hAnsi="Verdana" w:cs="Arial"/>
                <w:lang w:eastAsia="es-CO"/>
              </w:rPr>
              <w:t xml:space="preserve">Esto significa que la prohibición no resulta aplicable a </w:t>
            </w:r>
            <w:r w:rsidRPr="005416E7">
              <w:rPr>
                <w:rFonts w:ascii="Verdana" w:eastAsia="Times New Roman" w:hAnsi="Verdana" w:cs="Arial"/>
                <w:i/>
                <w:iCs/>
                <w:lang w:eastAsia="es-CO"/>
              </w:rPr>
              <w:t>convenios interadministrativos a título gratuito,</w:t>
            </w:r>
            <w:r w:rsidRPr="005416E7">
              <w:rPr>
                <w:rFonts w:ascii="Verdana" w:eastAsia="Times New Roman" w:hAnsi="Verdana" w:cs="Arial"/>
                <w:lang w:eastAsia="es-CO"/>
              </w:rPr>
              <w:t xml:space="preserve"> los cuales pueden celebrarse válidamente durante la vigencia de la mencionada restricción. </w:t>
            </w:r>
          </w:p>
          <w:p w14:paraId="3AF441ED" w14:textId="77777777" w:rsidR="009F3858" w:rsidRPr="005416E7" w:rsidRDefault="009F3858" w:rsidP="008567DC">
            <w:pPr>
              <w:spacing w:after="120" w:line="276" w:lineRule="auto"/>
              <w:ind w:firstLine="709"/>
              <w:jc w:val="both"/>
              <w:rPr>
                <w:rFonts w:ascii="Verdana" w:eastAsia="Calibri" w:hAnsi="Verdana" w:cs="Times New Roman"/>
                <w:lang w:val="es-ES"/>
              </w:rPr>
            </w:pPr>
            <w:r w:rsidRPr="005416E7">
              <w:rPr>
                <w:rFonts w:ascii="Verdana" w:eastAsia="Calibri" w:hAnsi="Verdana" w:cs="Arial"/>
                <w:bCs/>
                <w:color w:val="000000" w:themeColor="text1"/>
              </w:rPr>
              <w:t>Finalmente</w:t>
            </w:r>
            <w:r w:rsidRPr="005416E7">
              <w:rPr>
                <w:rFonts w:ascii="Verdana" w:eastAsia="Calibri" w:hAnsi="Verdana" w:cs="Times New Roman"/>
                <w:lang w:val="es-ES"/>
              </w:rPr>
              <w:t>, debe advertirse que el análisis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sidRPr="005416E7">
              <w:rPr>
                <w:rFonts w:ascii="Verdana" w:hAnsi="Verdana"/>
              </w:rPr>
              <w:t xml:space="preserve"> </w:t>
            </w:r>
          </w:p>
          <w:p w14:paraId="4791EE33" w14:textId="77777777" w:rsidR="009F3858" w:rsidRPr="005416E7" w:rsidRDefault="009F3858" w:rsidP="008567DC">
            <w:pPr>
              <w:spacing w:before="120" w:after="120" w:line="276" w:lineRule="auto"/>
              <w:ind w:firstLine="708"/>
              <w:jc w:val="both"/>
              <w:rPr>
                <w:rFonts w:ascii="Verdana" w:hAnsi="Verdana" w:cs="Arial"/>
                <w:lang w:val="es-ES_tradnl"/>
              </w:rPr>
            </w:pPr>
            <w:r w:rsidRPr="005416E7">
              <w:rPr>
                <w:rFonts w:ascii="Verdana" w:eastAsia="Calibri" w:hAnsi="Verdana" w:cs="Times New Roman"/>
                <w:lang w:val="es-ES"/>
              </w:rPr>
              <w:t xml:space="preserve">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w:t>
            </w:r>
            <w:r w:rsidRPr="005416E7">
              <w:rPr>
                <w:rFonts w:ascii="Verdana" w:eastAsia="Calibri" w:hAnsi="Verdana" w:cs="Times New Roman"/>
                <w:lang w:val="es-ES"/>
              </w:rPr>
              <w:lastRenderedPageBreak/>
              <w:t>contractual, sin que sea atribución de la Agencia Nacional de Contratación Pública – Colombia Compra Eficiente, validar sus actuaciones.</w:t>
            </w:r>
          </w:p>
        </w:tc>
      </w:tr>
    </w:tbl>
    <w:p w14:paraId="7C0371E5" w14:textId="77777777" w:rsidR="009F3858" w:rsidRPr="005416E7" w:rsidRDefault="009F3858" w:rsidP="009F3858">
      <w:pPr>
        <w:tabs>
          <w:tab w:val="left" w:pos="142"/>
          <w:tab w:val="left" w:pos="284"/>
        </w:tabs>
        <w:spacing w:after="0" w:line="276" w:lineRule="auto"/>
        <w:jc w:val="both"/>
        <w:rPr>
          <w:rFonts w:ascii="Verdana" w:eastAsia="Century Gothic" w:hAnsi="Verdana" w:cs="Century Gothic"/>
          <w:b/>
          <w:bCs/>
          <w:color w:val="ED7D31" w:themeColor="accent2"/>
          <w:lang w:val="es-ES"/>
        </w:rPr>
      </w:pPr>
    </w:p>
    <w:p w14:paraId="2B355FD2" w14:textId="77777777" w:rsidR="009F3858" w:rsidRPr="005416E7" w:rsidRDefault="009F3858" w:rsidP="009F3858">
      <w:pPr>
        <w:tabs>
          <w:tab w:val="left" w:pos="142"/>
          <w:tab w:val="left" w:pos="284"/>
        </w:tabs>
        <w:spacing w:after="0" w:line="276" w:lineRule="auto"/>
        <w:jc w:val="both"/>
        <w:rPr>
          <w:rFonts w:ascii="Verdana" w:eastAsia="Century Gothic" w:hAnsi="Verdana" w:cs="Century Gothic"/>
          <w:b/>
          <w:lang w:val="es-ES"/>
        </w:rPr>
      </w:pPr>
      <w:r w:rsidRPr="005416E7">
        <w:rPr>
          <w:rFonts w:ascii="Verdana" w:eastAsia="Century Gothic" w:hAnsi="Verdana" w:cs="Century Gothic"/>
          <w:b/>
          <w:lang w:val="es-ES"/>
        </w:rPr>
        <w:t>3. Razones de la respuesta:</w:t>
      </w:r>
    </w:p>
    <w:p w14:paraId="39A9B80E" w14:textId="77777777" w:rsidR="009F3858" w:rsidRPr="005416E7" w:rsidRDefault="009F3858" w:rsidP="009F3858">
      <w:pPr>
        <w:tabs>
          <w:tab w:val="left" w:pos="142"/>
          <w:tab w:val="left" w:pos="284"/>
        </w:tabs>
        <w:spacing w:after="0" w:line="276" w:lineRule="auto"/>
        <w:jc w:val="both"/>
        <w:rPr>
          <w:rFonts w:ascii="Verdana" w:eastAsia="Century Gothic" w:hAnsi="Verdana" w:cs="Century Gothic"/>
          <w:b/>
          <w:color w:val="ED7D31" w:themeColor="accent2"/>
          <w:lang w:val="es-ES"/>
        </w:rPr>
      </w:pPr>
    </w:p>
    <w:p w14:paraId="3F06D6D7" w14:textId="77777777" w:rsidR="009F3858" w:rsidRPr="005416E7" w:rsidRDefault="009F3858" w:rsidP="00F72EC9">
      <w:pPr>
        <w:tabs>
          <w:tab w:val="left" w:pos="426"/>
        </w:tabs>
        <w:spacing w:after="120" w:line="276" w:lineRule="auto"/>
        <w:jc w:val="both"/>
        <w:rPr>
          <w:rFonts w:ascii="Verdana" w:eastAsia="Verdana" w:hAnsi="Verdana" w:cs="Verdana"/>
          <w:color w:val="ED7D31" w:themeColor="accent2"/>
          <w:lang w:val="es-ES"/>
        </w:rPr>
      </w:pPr>
      <w:bookmarkStart w:id="1" w:name="_Hlk102983874"/>
      <w:bookmarkStart w:id="2" w:name="_Hlk102388095"/>
      <w:r w:rsidRPr="005416E7">
        <w:rPr>
          <w:rFonts w:ascii="Verdana" w:eastAsia="Calibri" w:hAnsi="Verdana" w:cs="Arial"/>
          <w:lang w:val="es-ES"/>
        </w:rPr>
        <w:t>i)</w:t>
      </w:r>
      <w:r w:rsidRPr="005416E7">
        <w:rPr>
          <w:rFonts w:ascii="Verdana" w:eastAsia="Verdana" w:hAnsi="Verdana" w:cs="Verdana"/>
          <w:lang w:val="es-ES"/>
        </w:rPr>
        <w:t xml:space="preserve"> </w:t>
      </w:r>
      <w:r w:rsidRPr="005416E7">
        <w:rPr>
          <w:rFonts w:ascii="Verdana" w:eastAsia="Calibri" w:hAnsi="Verdana" w:cs="Arial"/>
          <w:lang w:val="es-ES"/>
        </w:rPr>
        <w:t>El ordenamiento jurídico colombiano contempla medidas para evitar la obtención de beneficios personales en asuntos propios de la administración pública</w:t>
      </w:r>
      <w:r w:rsidRPr="005416E7">
        <w:rPr>
          <w:rFonts w:ascii="Verdana" w:eastAsia="Calibri" w:hAnsi="Verdana" w:cs="Arial"/>
          <w:i/>
          <w:lang w:val="es-ES"/>
        </w:rPr>
        <w:t xml:space="preserve">. </w:t>
      </w:r>
      <w:r w:rsidRPr="005416E7">
        <w:rPr>
          <w:rFonts w:ascii="Verdana" w:eastAsia="Calibri" w:hAnsi="Verdana" w:cs="Arial"/>
          <w:lang w:val="es-ES"/>
        </w:rPr>
        <w:t>Por ejemplo, el artículo 127 de la Constitución Política establece una prohibición contractual a los servidores públicos y, en cuanto a aspectos políticos, señala restricciones a ciertos empleados del Estado, incluso en época no electoral</w:t>
      </w:r>
      <w:r w:rsidRPr="005416E7">
        <w:rPr>
          <w:rFonts w:ascii="Verdana" w:hAnsi="Verdana"/>
          <w:vertAlign w:val="superscript"/>
          <w:lang w:val="es-ES"/>
        </w:rPr>
        <w:footnoteReference w:id="1"/>
      </w:r>
      <w:r w:rsidRPr="005416E7">
        <w:rPr>
          <w:rFonts w:ascii="Verdana" w:eastAsia="Calibri" w:hAnsi="Verdana" w:cs="Arial"/>
          <w:lang w:val="es-ES"/>
        </w:rPr>
        <w:t>.</w:t>
      </w:r>
    </w:p>
    <w:p w14:paraId="046CC336" w14:textId="77777777" w:rsidR="009F3858" w:rsidRPr="005416E7" w:rsidRDefault="009F3858" w:rsidP="00F72EC9">
      <w:pPr>
        <w:tabs>
          <w:tab w:val="left" w:pos="426"/>
        </w:tabs>
        <w:spacing w:after="120" w:line="276" w:lineRule="auto"/>
        <w:ind w:firstLine="709"/>
        <w:jc w:val="both"/>
        <w:rPr>
          <w:rFonts w:ascii="Verdana" w:eastAsia="Calibri" w:hAnsi="Verdana" w:cs="Arial"/>
          <w:lang w:val="es-ES"/>
        </w:rPr>
      </w:pPr>
      <w:r w:rsidRPr="005416E7">
        <w:rPr>
          <w:rFonts w:ascii="Verdana" w:eastAsia="Times New Roman" w:hAnsi="Verdana" w:cs="Arial"/>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5416E7">
        <w:rPr>
          <w:rFonts w:ascii="Verdana" w:eastAsia="Times New Roman" w:hAnsi="Verdana" w:cs="Arial"/>
          <w:vertAlign w:val="superscript"/>
          <w:lang w:val="es-ES" w:eastAsia="es-CO"/>
        </w:rPr>
        <w:footnoteReference w:id="2"/>
      </w:r>
      <w:r w:rsidRPr="005416E7">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5416E7">
        <w:rPr>
          <w:rFonts w:ascii="Verdana" w:eastAsia="Calibri" w:hAnsi="Verdana" w:cs="Arial"/>
          <w:lang w:val="es-ES"/>
        </w:rPr>
        <w:t xml:space="preserve"> </w:t>
      </w:r>
    </w:p>
    <w:p w14:paraId="5B899E92" w14:textId="77777777" w:rsidR="009F3858" w:rsidRPr="005416E7" w:rsidRDefault="009F3858" w:rsidP="009F3858">
      <w:pPr>
        <w:tabs>
          <w:tab w:val="left" w:pos="426"/>
        </w:tabs>
        <w:spacing w:after="0" w:line="276" w:lineRule="auto"/>
        <w:ind w:firstLine="709"/>
        <w:jc w:val="both"/>
        <w:rPr>
          <w:rFonts w:ascii="Verdana" w:eastAsia="Calibri" w:hAnsi="Verdana" w:cs="Arial"/>
          <w:lang w:val="es-ES"/>
        </w:rPr>
      </w:pPr>
      <w:r w:rsidRPr="005416E7">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49952A78" w14:textId="77777777" w:rsidR="009F3858" w:rsidRPr="005416E7" w:rsidRDefault="009F3858" w:rsidP="009F3858">
      <w:pPr>
        <w:spacing w:after="0" w:line="276" w:lineRule="auto"/>
        <w:ind w:right="709"/>
        <w:jc w:val="both"/>
        <w:rPr>
          <w:rFonts w:ascii="Verdana" w:eastAsia="Times New Roman" w:hAnsi="Verdana" w:cs="Arial"/>
          <w:lang w:val="es-ES" w:eastAsia="es-CO"/>
        </w:rPr>
      </w:pPr>
    </w:p>
    <w:p w14:paraId="7A8B18DA" w14:textId="77777777" w:rsidR="009F3858" w:rsidRPr="005416E7" w:rsidRDefault="009F3858" w:rsidP="00F72EC9">
      <w:pPr>
        <w:spacing w:after="0" w:line="240" w:lineRule="auto"/>
        <w:ind w:left="709" w:right="709"/>
        <w:contextualSpacing/>
        <w:jc w:val="both"/>
        <w:rPr>
          <w:rFonts w:ascii="Verdana" w:eastAsia="Times New Roman" w:hAnsi="Verdana" w:cs="Arial"/>
          <w:sz w:val="20"/>
          <w:szCs w:val="20"/>
          <w:lang w:val="es-ES" w:eastAsia="es-CO"/>
        </w:rPr>
      </w:pPr>
      <w:r w:rsidRPr="005416E7">
        <w:rPr>
          <w:rFonts w:ascii="Verdana" w:eastAsia="Times New Roman" w:hAnsi="Verdana" w:cs="Arial"/>
          <w:sz w:val="20"/>
          <w:szCs w:val="20"/>
          <w:lang w:val="es-ES" w:eastAsia="es-CO"/>
        </w:rPr>
        <w:t xml:space="preserve">“(…) la definición de reglas claras que permitan acceder a los canales de expresión democrática de manera efectiva e igualitaria. El objetivo de una ley de garantías es definir esas reglas (…) </w:t>
      </w:r>
    </w:p>
    <w:p w14:paraId="45456C8A" w14:textId="77777777" w:rsidR="009F3858" w:rsidRPr="005416E7" w:rsidRDefault="009F3858">
      <w:pPr>
        <w:spacing w:after="0" w:line="240" w:lineRule="auto"/>
        <w:ind w:left="709" w:right="709"/>
        <w:contextualSpacing/>
        <w:jc w:val="both"/>
        <w:rPr>
          <w:rFonts w:ascii="Verdana" w:eastAsia="Times New Roman" w:hAnsi="Verdana" w:cs="Arial"/>
          <w:sz w:val="20"/>
          <w:szCs w:val="20"/>
          <w:lang w:val="es-ES" w:eastAsia="es-CO"/>
        </w:rPr>
      </w:pPr>
    </w:p>
    <w:p w14:paraId="1361C207" w14:textId="77777777" w:rsidR="009F3858" w:rsidRPr="005416E7" w:rsidRDefault="009F3858">
      <w:pPr>
        <w:spacing w:after="0" w:line="240" w:lineRule="auto"/>
        <w:ind w:left="709" w:right="709"/>
        <w:contextualSpacing/>
        <w:jc w:val="both"/>
        <w:rPr>
          <w:rFonts w:ascii="Verdana" w:eastAsia="Times New Roman" w:hAnsi="Verdana" w:cs="Arial"/>
          <w:sz w:val="20"/>
          <w:szCs w:val="20"/>
          <w:lang w:val="es-ES" w:eastAsia="es-CO"/>
        </w:rPr>
      </w:pPr>
      <w:r w:rsidRPr="005416E7">
        <w:rPr>
          <w:rFonts w:ascii="Verdana" w:eastAsia="Times New Roman" w:hAnsi="Verdana" w:cs="Arial"/>
          <w:sz w:val="20"/>
          <w:szCs w:val="20"/>
          <w:lang w:val="es-ES" w:eastAsia="es-CO"/>
        </w:rPr>
        <w:lastRenderedPageBreak/>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5416E7">
        <w:rPr>
          <w:rFonts w:ascii="Verdana" w:eastAsia="Calibri" w:hAnsi="Verdana" w:cs="Arial"/>
          <w:sz w:val="20"/>
          <w:szCs w:val="20"/>
          <w:vertAlign w:val="superscript"/>
          <w:lang w:val="es-ES"/>
        </w:rPr>
        <w:footnoteReference w:id="3"/>
      </w:r>
    </w:p>
    <w:p w14:paraId="285D3C7E" w14:textId="77777777" w:rsidR="009F3858" w:rsidRPr="005416E7" w:rsidRDefault="009F3858" w:rsidP="009F3858">
      <w:pPr>
        <w:spacing w:after="0" w:line="276" w:lineRule="auto"/>
        <w:ind w:firstLine="709"/>
        <w:jc w:val="both"/>
        <w:rPr>
          <w:rFonts w:ascii="Verdana" w:eastAsia="Times New Roman" w:hAnsi="Verdana" w:cs="Arial"/>
          <w:color w:val="4472C4" w:themeColor="accent1"/>
          <w:lang w:val="es-ES" w:eastAsia="es-CO"/>
        </w:rPr>
      </w:pPr>
    </w:p>
    <w:p w14:paraId="1BE67F39" w14:textId="77777777" w:rsidR="009F3858" w:rsidRPr="005416E7" w:rsidRDefault="009F3858" w:rsidP="009F3858">
      <w:pPr>
        <w:spacing w:after="0" w:line="276" w:lineRule="auto"/>
        <w:ind w:firstLine="709"/>
        <w:jc w:val="both"/>
        <w:rPr>
          <w:rFonts w:ascii="Verdana" w:eastAsia="Times New Roman" w:hAnsi="Verdana" w:cs="Arial"/>
          <w:lang w:val="es-ES" w:eastAsia="es-CO"/>
        </w:rPr>
      </w:pPr>
      <w:r w:rsidRPr="005416E7">
        <w:rPr>
          <w:rFonts w:ascii="Verdana" w:eastAsia="Times New Roman" w:hAnsi="Verdana" w:cs="Arial"/>
          <w:lang w:val="es-ES" w:eastAsia="es-CO"/>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74AB7230" w14:textId="77777777" w:rsidR="009F3858" w:rsidRPr="005416E7" w:rsidRDefault="009F3858" w:rsidP="009F3858">
      <w:pPr>
        <w:spacing w:after="0" w:line="276" w:lineRule="auto"/>
        <w:ind w:firstLine="709"/>
        <w:jc w:val="both"/>
        <w:rPr>
          <w:rFonts w:ascii="Verdana" w:eastAsia="Times New Roman" w:hAnsi="Verdana" w:cs="Arial"/>
          <w:color w:val="4472C4" w:themeColor="accent1"/>
          <w:lang w:val="es-ES" w:eastAsia="es-CO"/>
        </w:rPr>
      </w:pPr>
    </w:p>
    <w:p w14:paraId="70489C63" w14:textId="77777777" w:rsidR="009F3858" w:rsidRPr="005416E7" w:rsidRDefault="009F3858" w:rsidP="009F3858">
      <w:pPr>
        <w:spacing w:after="0" w:line="240" w:lineRule="auto"/>
        <w:ind w:left="709" w:right="709"/>
        <w:jc w:val="both"/>
        <w:rPr>
          <w:rFonts w:ascii="Verdana" w:eastAsia="Times New Roman" w:hAnsi="Verdana" w:cs="Arial"/>
          <w:sz w:val="20"/>
          <w:szCs w:val="20"/>
          <w:lang w:val="es-ES" w:eastAsia="es-CO"/>
        </w:rPr>
      </w:pPr>
      <w:r w:rsidRPr="005416E7">
        <w:rPr>
          <w:rFonts w:ascii="Verdana" w:eastAsia="Times New Roman" w:hAnsi="Verdana" w:cs="Arial"/>
          <w:color w:val="4472C4" w:themeColor="accent1"/>
          <w:sz w:val="20"/>
          <w:szCs w:val="20"/>
          <w:lang w:val="es-ES" w:eastAsia="es-CO"/>
        </w:rPr>
        <w:t>“</w:t>
      </w:r>
      <w:r w:rsidRPr="005416E7">
        <w:rPr>
          <w:rFonts w:ascii="Verdana" w:eastAsia="Times New Roman" w:hAnsi="Verdana" w:cs="Arial"/>
          <w:sz w:val="20"/>
          <w:szCs w:val="20"/>
          <w:lang w:val="es-ES"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2CA47308" w14:textId="77777777" w:rsidR="009F3858" w:rsidRPr="005416E7" w:rsidRDefault="009F3858" w:rsidP="009F3858">
      <w:pPr>
        <w:spacing w:after="0" w:line="240" w:lineRule="auto"/>
        <w:ind w:right="709"/>
        <w:jc w:val="both"/>
        <w:rPr>
          <w:rFonts w:ascii="Verdana" w:eastAsia="Times New Roman" w:hAnsi="Verdana" w:cs="Arial"/>
          <w:color w:val="4472C4" w:themeColor="accent1"/>
          <w:lang w:val="es-ES" w:eastAsia="es-CO"/>
        </w:rPr>
      </w:pPr>
    </w:p>
    <w:p w14:paraId="3BDDD77E" w14:textId="77777777" w:rsidR="009F3858" w:rsidRPr="005416E7" w:rsidRDefault="009F3858" w:rsidP="009F3858">
      <w:pPr>
        <w:spacing w:after="0" w:line="240" w:lineRule="auto"/>
        <w:ind w:left="709" w:right="709"/>
        <w:jc w:val="both"/>
        <w:rPr>
          <w:rFonts w:ascii="Verdana" w:eastAsia="Times New Roman" w:hAnsi="Verdana" w:cs="Arial"/>
          <w:sz w:val="20"/>
          <w:szCs w:val="20"/>
          <w:lang w:val="es-ES" w:eastAsia="es-CO"/>
        </w:rPr>
      </w:pPr>
      <w:r w:rsidRPr="005416E7">
        <w:rPr>
          <w:rFonts w:ascii="Verdana" w:eastAsia="Times New Roman" w:hAnsi="Verdana" w:cs="Arial"/>
          <w:sz w:val="20"/>
          <w:szCs w:val="20"/>
          <w:lang w:val="es-ES" w:eastAsia="es-CO"/>
        </w:rPr>
        <w:t>La jurisprudencia de la Corte Constitucional</w:t>
      </w:r>
      <w:r w:rsidRPr="005416E7">
        <w:rPr>
          <w:rFonts w:ascii="Verdana" w:eastAsia="Times New Roman" w:hAnsi="Verdana" w:cs="Arial"/>
          <w:sz w:val="20"/>
          <w:szCs w:val="20"/>
          <w:vertAlign w:val="superscript"/>
          <w:lang w:val="es-ES" w:eastAsia="es-CO"/>
        </w:rPr>
        <w:footnoteReference w:id="4"/>
      </w:r>
      <w:r w:rsidRPr="005416E7">
        <w:rPr>
          <w:rFonts w:ascii="Verdana" w:eastAsia="Times New Roman" w:hAnsi="Verdana" w:cs="Arial"/>
          <w:sz w:val="20"/>
          <w:szCs w:val="20"/>
          <w:lang w:val="es-ES" w:eastAsia="es-CO"/>
        </w:rPr>
        <w:t> y del Consejo de Estado</w:t>
      </w:r>
      <w:r w:rsidRPr="005416E7">
        <w:rPr>
          <w:rFonts w:ascii="Verdana" w:eastAsia="Times New Roman" w:hAnsi="Verdana" w:cs="Arial"/>
          <w:sz w:val="20"/>
          <w:szCs w:val="20"/>
          <w:vertAlign w:val="superscript"/>
          <w:lang w:val="es-ES" w:eastAsia="es-CO"/>
        </w:rPr>
        <w:footnoteReference w:id="5"/>
      </w:r>
      <w:r w:rsidRPr="005416E7">
        <w:rPr>
          <w:rFonts w:ascii="Verdana" w:eastAsia="Times New Roman" w:hAnsi="Verdana" w:cs="Arial"/>
          <w:sz w:val="20"/>
          <w:szCs w:val="20"/>
          <w:lang w:val="es-ES" w:eastAsia="es-CO"/>
        </w:rPr>
        <w:t xml:space="preserve">,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w:t>
      </w:r>
      <w:r w:rsidRPr="005416E7">
        <w:rPr>
          <w:rFonts w:ascii="Verdana" w:eastAsia="Times New Roman" w:hAnsi="Verdana" w:cs="Arial"/>
          <w:sz w:val="20"/>
          <w:szCs w:val="20"/>
          <w:lang w:val="es-ES" w:eastAsia="es-CO"/>
        </w:rPr>
        <w:lastRenderedPageBreak/>
        <w:t>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5416E7">
        <w:rPr>
          <w:rFonts w:ascii="Verdana" w:eastAsia="Times New Roman" w:hAnsi="Verdana" w:cs="Arial"/>
          <w:sz w:val="20"/>
          <w:szCs w:val="20"/>
          <w:vertAlign w:val="superscript"/>
          <w:lang w:val="es-ES" w:eastAsia="es-CO"/>
        </w:rPr>
        <w:footnoteReference w:id="6"/>
      </w:r>
      <w:r w:rsidRPr="005416E7">
        <w:rPr>
          <w:rFonts w:ascii="Verdana" w:eastAsia="Times New Roman" w:hAnsi="Verdana" w:cs="Arial"/>
          <w:sz w:val="20"/>
          <w:szCs w:val="20"/>
          <w:lang w:val="es-ES" w:eastAsia="es-CO"/>
        </w:rPr>
        <w:t>.</w:t>
      </w:r>
    </w:p>
    <w:p w14:paraId="48A0D198" w14:textId="77777777" w:rsidR="009F3858" w:rsidRPr="005416E7" w:rsidRDefault="009F3858" w:rsidP="009F3858">
      <w:pPr>
        <w:spacing w:after="0" w:line="276" w:lineRule="auto"/>
        <w:jc w:val="both"/>
        <w:rPr>
          <w:rFonts w:ascii="Verdana" w:eastAsia="Calibri" w:hAnsi="Verdana" w:cs="Arial"/>
          <w:bCs/>
          <w:lang w:val="es-ES"/>
        </w:rPr>
      </w:pPr>
    </w:p>
    <w:p w14:paraId="5C957F5F" w14:textId="77777777" w:rsidR="009F3858" w:rsidRPr="005416E7" w:rsidRDefault="009F3858" w:rsidP="009F3858">
      <w:pPr>
        <w:spacing w:after="0" w:line="276" w:lineRule="auto"/>
        <w:ind w:firstLine="709"/>
        <w:jc w:val="both"/>
        <w:rPr>
          <w:rFonts w:ascii="Verdana" w:eastAsia="Arial" w:hAnsi="Verdana" w:cs="Arial"/>
          <w:lang w:val="es-ES" w:eastAsia="es-ES" w:bidi="es-ES"/>
        </w:rPr>
      </w:pPr>
      <w:r w:rsidRPr="005416E7">
        <w:rPr>
          <w:rFonts w:ascii="Verdana" w:eastAsia="Times New Roman" w:hAnsi="Verdana" w:cs="Arial"/>
          <w:lang w:val="es-ES" w:eastAsia="es-CO"/>
        </w:rPr>
        <w:t>De</w:t>
      </w:r>
      <w:r w:rsidRPr="005416E7">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6E444077" w14:textId="77777777" w:rsidR="009F3858" w:rsidRPr="005416E7" w:rsidRDefault="009F3858" w:rsidP="009F3858">
      <w:pPr>
        <w:spacing w:after="0" w:line="276" w:lineRule="auto"/>
        <w:ind w:firstLine="709"/>
        <w:jc w:val="both"/>
        <w:rPr>
          <w:rFonts w:ascii="Verdana" w:eastAsia="Arial" w:hAnsi="Verdana" w:cs="Arial"/>
          <w:color w:val="4472C4" w:themeColor="accent1"/>
          <w:lang w:val="es-ES" w:eastAsia="es-ES" w:bidi="es-ES"/>
        </w:rPr>
      </w:pPr>
    </w:p>
    <w:p w14:paraId="4B6A1715" w14:textId="77777777" w:rsidR="009F3858" w:rsidRPr="005416E7" w:rsidRDefault="009F3858" w:rsidP="009F3858">
      <w:pPr>
        <w:spacing w:after="120" w:line="276" w:lineRule="auto"/>
        <w:jc w:val="both"/>
        <w:rPr>
          <w:rFonts w:ascii="Verdana" w:eastAsia="Arial" w:hAnsi="Verdana" w:cs="Arial"/>
          <w:lang w:val="es-ES" w:eastAsia="es-ES" w:bidi="es-ES"/>
        </w:rPr>
      </w:pPr>
      <w:r w:rsidRPr="005416E7">
        <w:rPr>
          <w:rFonts w:ascii="Verdana" w:eastAsia="Arial" w:hAnsi="Verdana" w:cs="Arial"/>
          <w:lang w:val="es-ES" w:eastAsia="es-ES" w:bidi="es-ES"/>
        </w:rPr>
        <w:t>ii) Las restricciones consagradas en la Ley de Garantías se dirigen a dos (2) tipos de campañas electorales diferenciadas: las presidenciales y las que se adelanten para la elección de los demás cargos de elección popular, tanto a nivel nacional como territorial.</w:t>
      </w:r>
    </w:p>
    <w:p w14:paraId="4004523A" w14:textId="77777777" w:rsidR="009F3858" w:rsidRPr="005416E7" w:rsidRDefault="009F3858" w:rsidP="009F3858">
      <w:pPr>
        <w:spacing w:after="120" w:line="276" w:lineRule="auto"/>
        <w:ind w:firstLine="708"/>
        <w:jc w:val="both"/>
        <w:rPr>
          <w:rFonts w:ascii="Verdana" w:eastAsia="Calibri" w:hAnsi="Verdana" w:cs="Arial"/>
          <w:lang w:val="es-ES"/>
        </w:rPr>
      </w:pPr>
      <w:r w:rsidRPr="005416E7">
        <w:rPr>
          <w:rFonts w:ascii="Verdana" w:eastAsia="Calibri" w:hAnsi="Verdana" w:cs="Arial"/>
          <w:lang w:val="es-ES"/>
        </w:rPr>
        <w:t xml:space="preserve">Por un lado, el </w:t>
      </w:r>
      <w:r w:rsidRPr="005416E7">
        <w:rPr>
          <w:rFonts w:ascii="Verdana" w:eastAsia="Calibri" w:hAnsi="Verdana" w:cs="Arial"/>
          <w:i/>
          <w:iCs/>
          <w:lang w:val="es-ES"/>
        </w:rPr>
        <w:t xml:space="preserve">artículo 33 </w:t>
      </w:r>
      <w:r w:rsidRPr="005416E7">
        <w:rPr>
          <w:rFonts w:ascii="Verdana" w:eastAsia="Calibri" w:hAnsi="Verdana" w:cs="Arial"/>
          <w:lang w:val="es-ES"/>
        </w:rPr>
        <w:t xml:space="preserve">de la Ley 996 de 2005 prohíbe “(…) la contratación directa por parte de </w:t>
      </w:r>
      <w:r w:rsidRPr="005416E7">
        <w:rPr>
          <w:rFonts w:ascii="Verdana" w:eastAsia="Calibri" w:hAnsi="Verdana" w:cs="Arial"/>
          <w:i/>
          <w:iCs/>
          <w:lang w:val="es-ES"/>
        </w:rPr>
        <w:t>todos los entes del Estado</w:t>
      </w:r>
      <w:r w:rsidRPr="005416E7">
        <w:rPr>
          <w:rFonts w:ascii="Verdana" w:eastAsia="Calibri" w:hAnsi="Verdana" w:cs="Arial"/>
          <w:lang w:val="es-ES"/>
        </w:rPr>
        <w:t xml:space="preserve">” durante los cuatro (4) meses anteriores a las </w:t>
      </w:r>
      <w:r w:rsidRPr="005416E7">
        <w:rPr>
          <w:rFonts w:ascii="Verdana" w:eastAsia="Calibri" w:hAnsi="Verdana" w:cs="Arial"/>
          <w:i/>
          <w:iCs/>
          <w:lang w:val="es-ES"/>
        </w:rPr>
        <w:t>elecciones presidenciales</w:t>
      </w:r>
      <w:r w:rsidRPr="005416E7">
        <w:rPr>
          <w:rFonts w:ascii="Verdana" w:eastAsia="Calibri" w:hAnsi="Verdana" w:cs="Arial"/>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5416E7">
        <w:rPr>
          <w:rFonts w:ascii="Verdana" w:eastAsia="Calibri" w:hAnsi="Verdana" w:cs="Arial"/>
          <w:vertAlign w:val="superscript"/>
          <w:lang w:val="es-ES"/>
        </w:rPr>
        <w:footnoteReference w:id="7"/>
      </w:r>
      <w:r w:rsidRPr="005416E7">
        <w:rPr>
          <w:rFonts w:ascii="Verdana" w:eastAsia="Calibri" w:hAnsi="Verdana" w:cs="Arial"/>
          <w:lang w:val="es-ES"/>
        </w:rPr>
        <w:t>.</w:t>
      </w:r>
    </w:p>
    <w:p w14:paraId="00D34D7F" w14:textId="77777777" w:rsidR="009F3858" w:rsidRPr="005416E7" w:rsidRDefault="009F3858" w:rsidP="009F3858">
      <w:pPr>
        <w:widowControl w:val="0"/>
        <w:autoSpaceDE w:val="0"/>
        <w:autoSpaceDN w:val="0"/>
        <w:spacing w:after="120" w:line="276" w:lineRule="auto"/>
        <w:ind w:right="113" w:firstLine="709"/>
        <w:jc w:val="both"/>
        <w:rPr>
          <w:rFonts w:ascii="Verdana" w:eastAsia="Arial" w:hAnsi="Verdana" w:cs="Arial"/>
          <w:lang w:val="es-ES" w:eastAsia="es-ES" w:bidi="es-ES"/>
        </w:rPr>
      </w:pPr>
      <w:r w:rsidRPr="005416E7">
        <w:rPr>
          <w:rFonts w:ascii="Verdana" w:eastAsia="Calibri" w:hAnsi="Verdana" w:cs="Arial"/>
          <w:lang w:val="es-ES"/>
        </w:rPr>
        <w:t xml:space="preserve">Por otro lado, </w:t>
      </w:r>
      <w:r w:rsidRPr="005416E7">
        <w:rPr>
          <w:rFonts w:ascii="Verdana" w:eastAsia="Calibri" w:hAnsi="Verdana" w:cs="Arial"/>
          <w:i/>
          <w:iCs/>
          <w:lang w:val="es-ES"/>
        </w:rPr>
        <w:t xml:space="preserve">el parágrafo del artículo 38 </w:t>
      </w:r>
      <w:r w:rsidRPr="005416E7">
        <w:rPr>
          <w:rFonts w:ascii="Verdana" w:eastAsia="Calibri" w:hAnsi="Verdana" w:cs="Arial"/>
          <w:lang w:val="es-ES"/>
        </w:rPr>
        <w:t xml:space="preserve">de la Ley 996 de 2005 prevé una restricción, aplicable respecto de </w:t>
      </w:r>
      <w:r w:rsidRPr="005416E7">
        <w:rPr>
          <w:rFonts w:ascii="Verdana" w:eastAsia="Calibri" w:hAnsi="Verdana" w:cs="Arial"/>
          <w:i/>
          <w:iCs/>
          <w:lang w:val="es-ES"/>
        </w:rPr>
        <w:t>cualquier tipo de contienda electoral</w:t>
      </w:r>
      <w:r w:rsidRPr="005416E7">
        <w:rPr>
          <w:rFonts w:ascii="Verdana" w:eastAsia="Calibri" w:hAnsi="Verdana" w:cs="Arial"/>
          <w:lang w:val="es-ES"/>
        </w:rPr>
        <w:t xml:space="preserve">, que </w:t>
      </w:r>
      <w:r w:rsidRPr="005416E7">
        <w:rPr>
          <w:rFonts w:ascii="Verdana" w:eastAsia="Calibri" w:hAnsi="Verdana" w:cs="Arial"/>
          <w:lang w:val="es-ES"/>
        </w:rPr>
        <w:lastRenderedPageBreak/>
        <w:t>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5416E7">
        <w:rPr>
          <w:rFonts w:ascii="Verdana" w:eastAsia="Calibri" w:hAnsi="Verdana" w:cs="Arial"/>
          <w:vertAlign w:val="superscript"/>
          <w:lang w:val="es-ES"/>
        </w:rPr>
        <w:footnoteReference w:id="8"/>
      </w:r>
      <w:r w:rsidRPr="005416E7">
        <w:rPr>
          <w:rFonts w:ascii="Verdana" w:eastAsia="Calibri" w:hAnsi="Verdana" w:cs="Arial"/>
          <w:lang w:val="es-ES"/>
        </w:rPr>
        <w:t>.</w:t>
      </w:r>
      <w:r w:rsidRPr="005416E7">
        <w:rPr>
          <w:rFonts w:ascii="Verdana" w:eastAsia="Arial" w:hAnsi="Verdana" w:cs="Arial"/>
          <w:lang w:val="es-ES" w:eastAsia="es-ES" w:bidi="es-ES"/>
        </w:rPr>
        <w:t xml:space="preserve"> </w:t>
      </w:r>
    </w:p>
    <w:p w14:paraId="4550AD1F" w14:textId="77777777" w:rsidR="009F3858" w:rsidRPr="005416E7" w:rsidRDefault="009F3858" w:rsidP="009F3858">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5416E7">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430E49A4" w14:textId="77777777" w:rsidR="009F3858" w:rsidRPr="005416E7" w:rsidRDefault="009F3858" w:rsidP="009F3858">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162BF38B" w14:textId="77777777" w:rsidR="009F3858" w:rsidRPr="005416E7" w:rsidRDefault="009F3858" w:rsidP="009F3858">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5416E7">
        <w:rPr>
          <w:rFonts w:ascii="Verdana" w:eastAsia="Arial" w:hAnsi="Verdana" w:cs="Arial"/>
          <w:sz w:val="20"/>
          <w:szCs w:val="20"/>
          <w:lang w:val="es-ES" w:eastAsia="es-ES" w:bidi="es-ES"/>
        </w:rPr>
        <w:t>“La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5416E7">
        <w:rPr>
          <w:rFonts w:ascii="Verdana" w:eastAsia="Arial" w:hAnsi="Verdana" w:cs="Arial"/>
          <w:sz w:val="20"/>
          <w:szCs w:val="20"/>
          <w:vertAlign w:val="superscript"/>
          <w:lang w:val="es-ES" w:eastAsia="es-ES" w:bidi="es-ES"/>
        </w:rPr>
        <w:footnoteReference w:id="9"/>
      </w:r>
    </w:p>
    <w:p w14:paraId="2F2AE29B" w14:textId="77777777" w:rsidR="009F3858" w:rsidRPr="005416E7" w:rsidRDefault="009F3858" w:rsidP="009F3858">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p>
    <w:p w14:paraId="1B441640" w14:textId="239B88D9" w:rsidR="009F3858" w:rsidRDefault="009F3858" w:rsidP="00F513A9">
      <w:pPr>
        <w:spacing w:after="0" w:line="276" w:lineRule="auto"/>
        <w:ind w:firstLine="709"/>
        <w:jc w:val="both"/>
        <w:rPr>
          <w:rFonts w:ascii="Verdana" w:eastAsia="Arial" w:hAnsi="Verdana" w:cs="Arial"/>
          <w:lang w:val="es-ES" w:eastAsia="es-ES" w:bidi="es-ES"/>
        </w:rPr>
      </w:pPr>
      <w:r w:rsidRPr="005416E7">
        <w:rPr>
          <w:rFonts w:ascii="Verdana" w:eastAsia="Arial" w:hAnsi="Verdana" w:cs="Arial"/>
          <w:lang w:val="es-ES" w:eastAsia="es-ES" w:bidi="es-ES"/>
        </w:rPr>
        <w:t xml:space="preserve">Ambas restricciones no son excluyentes, lo que permite concluir que, en el período preelectoral para elección de Presidente de la República, aplican las restricciones del artículo 33 con sus excepciones, así como las del parágrafo del artículo 38, a todos los entes del Estado. En cambio, tratándose de elecciones </w:t>
      </w:r>
      <w:r w:rsidRPr="005416E7">
        <w:rPr>
          <w:rFonts w:ascii="Verdana" w:eastAsia="Arial" w:hAnsi="Verdana" w:cs="Arial"/>
          <w:lang w:val="es-ES" w:eastAsia="es-ES" w:bidi="es-ES"/>
        </w:rPr>
        <w:lastRenderedPageBreak/>
        <w:t>en general, excluyendo las correspondientes al Presidente de la República, las autoridades allí mencionadas sólo deben aplicar las restricciones contenidas en el parágrafo del artículo 38.</w:t>
      </w:r>
    </w:p>
    <w:p w14:paraId="20DDA94D" w14:textId="77777777" w:rsidR="00F72EC9" w:rsidRPr="005416E7" w:rsidRDefault="00F72EC9" w:rsidP="00F513A9">
      <w:pPr>
        <w:spacing w:after="0" w:line="276" w:lineRule="auto"/>
        <w:ind w:firstLine="709"/>
        <w:jc w:val="both"/>
        <w:rPr>
          <w:rFonts w:ascii="Verdana" w:eastAsia="Arial" w:hAnsi="Verdana" w:cs="Arial"/>
          <w:lang w:val="es-ES" w:eastAsia="es-ES" w:bidi="es-ES"/>
        </w:rPr>
      </w:pPr>
    </w:p>
    <w:p w14:paraId="1E1642BC" w14:textId="77777777" w:rsidR="009F3858" w:rsidRPr="005416E7" w:rsidRDefault="009F3858" w:rsidP="00F513A9">
      <w:pPr>
        <w:spacing w:after="0" w:line="276" w:lineRule="auto"/>
        <w:jc w:val="both"/>
        <w:rPr>
          <w:rFonts w:ascii="Verdana" w:eastAsia="Times New Roman" w:hAnsi="Verdana" w:cs="Arial"/>
          <w:lang w:val="es-MX" w:eastAsia="x-none"/>
        </w:rPr>
      </w:pPr>
      <w:r w:rsidRPr="005416E7">
        <w:rPr>
          <w:rFonts w:ascii="Verdana" w:eastAsia="Calibri" w:hAnsi="Verdana" w:cs="Arial"/>
          <w:lang w:val="es-ES"/>
        </w:rPr>
        <w:t>iii) Para responder el problema jurídico planteado anteriormente,</w:t>
      </w:r>
      <w:r w:rsidRPr="005416E7">
        <w:rPr>
          <w:rFonts w:ascii="Verdana" w:eastAsia="Calibri" w:hAnsi="Verdana" w:cs="Arial"/>
          <w:lang w:val="es-ES" w:eastAsia="es-ES" w:bidi="es-ES"/>
        </w:rPr>
        <w:t xml:space="preserve"> es necesario hacer énfasis en el alcance que tiene la prohibición establecida en el parágrafo del artículo 38 de la Ley 996 de 2005. La mencionada norma dispone que “Los Gobernadores, Alcaldes, Municipales y/o Distritales, Secretarios, Gerentes y directores de Entidades Descentralizadas del Orden Municipal Departamental o Distrital, dentro de los (4) meses anteriores a las elecciones, no podrán celebrar </w:t>
      </w:r>
      <w:r w:rsidRPr="005416E7">
        <w:rPr>
          <w:rFonts w:ascii="Verdana" w:eastAsia="Calibri" w:hAnsi="Verdana" w:cs="Arial"/>
          <w:i/>
          <w:iCs/>
          <w:lang w:val="es-ES" w:eastAsia="es-ES" w:bidi="es-ES"/>
        </w:rPr>
        <w:t xml:space="preserve">convenios interadministrativos </w:t>
      </w:r>
      <w:r w:rsidRPr="005416E7">
        <w:rPr>
          <w:rFonts w:ascii="Verdana" w:eastAsia="Calibri" w:hAnsi="Verdana" w:cs="Arial"/>
          <w:lang w:val="es-ES" w:eastAsia="es-ES" w:bidi="es-ES"/>
        </w:rPr>
        <w:t xml:space="preserve">para la ejecución de recursos públicos”. </w:t>
      </w:r>
      <w:r w:rsidRPr="005416E7">
        <w:rPr>
          <w:rFonts w:ascii="Verdana" w:eastAsia="Times New Roman" w:hAnsi="Verdana" w:cs="Arial"/>
          <w:lang w:val="es-MX" w:eastAsia="x-none"/>
        </w:rPr>
        <w:t>(Énfasis fuera del texto original)</w:t>
      </w:r>
    </w:p>
    <w:p w14:paraId="0331354E" w14:textId="77777777" w:rsidR="00F72EC9" w:rsidRDefault="00F72EC9" w:rsidP="00F513A9">
      <w:pPr>
        <w:spacing w:after="0" w:line="276" w:lineRule="auto"/>
        <w:ind w:left="709" w:right="709"/>
        <w:jc w:val="both"/>
        <w:rPr>
          <w:rFonts w:ascii="Verdana" w:eastAsia="Times New Roman" w:hAnsi="Verdana" w:cs="Arial"/>
          <w:sz w:val="20"/>
          <w:szCs w:val="20"/>
          <w:lang w:val="es-ES" w:eastAsia="es-ES"/>
        </w:rPr>
      </w:pPr>
    </w:p>
    <w:p w14:paraId="570AE396" w14:textId="38287585" w:rsidR="009F3858" w:rsidRPr="005416E7" w:rsidRDefault="009F3858" w:rsidP="00F513A9">
      <w:pPr>
        <w:spacing w:after="0" w:line="240" w:lineRule="auto"/>
        <w:ind w:left="709" w:right="709"/>
        <w:jc w:val="both"/>
        <w:rPr>
          <w:rFonts w:ascii="Verdana" w:hAnsi="Verdana" w:cs="Arial"/>
          <w:sz w:val="20"/>
          <w:szCs w:val="20"/>
          <w:lang w:eastAsia="es-ES"/>
        </w:rPr>
      </w:pPr>
      <w:r w:rsidRPr="005416E7">
        <w:rPr>
          <w:rFonts w:ascii="Verdana" w:eastAsia="Times New Roman" w:hAnsi="Verdana" w:cs="Arial"/>
          <w:sz w:val="20"/>
          <w:szCs w:val="20"/>
          <w:lang w:val="es-ES" w:eastAsia="es-ES"/>
        </w:rPr>
        <w:t xml:space="preserve">Para tales efectos, debe precisarse que </w:t>
      </w:r>
      <w:r w:rsidRPr="005416E7">
        <w:rPr>
          <w:rFonts w:ascii="Verdana" w:eastAsia="Times New Roman" w:hAnsi="Verdana" w:cs="Arial"/>
          <w:color w:val="000000" w:themeColor="text1"/>
          <w:sz w:val="20"/>
          <w:szCs w:val="20"/>
          <w:lang w:val="es-ES" w:eastAsia="es-CO"/>
        </w:rPr>
        <w:t xml:space="preserve">los convenios interadministrativos están determinados por un criterio orgánico, pues es necesario que los extremos de la relación contractual sean entidades públicas, </w:t>
      </w:r>
      <w:r w:rsidRPr="005416E7">
        <w:rPr>
          <w:rFonts w:ascii="Verdana" w:hAnsi="Verdana" w:cs="Arial"/>
          <w:sz w:val="20"/>
          <w:szCs w:val="20"/>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5416E7">
        <w:rPr>
          <w:rFonts w:ascii="Verdana" w:hAnsi="Verdana" w:cs="Arial"/>
          <w:sz w:val="20"/>
          <w:szCs w:val="20"/>
          <w:vertAlign w:val="superscript"/>
          <w:lang w:eastAsia="es-ES"/>
        </w:rPr>
        <w:footnoteReference w:id="10"/>
      </w:r>
      <w:r w:rsidRPr="005416E7">
        <w:rPr>
          <w:rFonts w:ascii="Verdana" w:hAnsi="Verdana" w:cs="Arial"/>
          <w:sz w:val="20"/>
          <w:szCs w:val="20"/>
          <w:lang w:eastAsia="es-ES"/>
        </w:rPr>
        <w:t>.</w:t>
      </w:r>
    </w:p>
    <w:p w14:paraId="7235B478" w14:textId="77777777" w:rsidR="00F72EC9" w:rsidRDefault="00F72EC9" w:rsidP="00F513A9">
      <w:pPr>
        <w:spacing w:after="0" w:line="276" w:lineRule="auto"/>
        <w:ind w:firstLine="709"/>
        <w:jc w:val="both"/>
        <w:rPr>
          <w:rFonts w:ascii="Verdana" w:hAnsi="Verdana" w:cs="Arial"/>
          <w:color w:val="000000" w:themeColor="text1"/>
          <w:lang w:val="es-ES_tradnl"/>
        </w:rPr>
      </w:pPr>
    </w:p>
    <w:p w14:paraId="57C9E1A9" w14:textId="11D6A2F1" w:rsidR="009F3858" w:rsidRPr="005416E7" w:rsidRDefault="009F3858" w:rsidP="009F3858">
      <w:pPr>
        <w:spacing w:after="120" w:line="276" w:lineRule="auto"/>
        <w:ind w:firstLine="709"/>
        <w:jc w:val="both"/>
        <w:rPr>
          <w:rFonts w:ascii="Verdana" w:hAnsi="Verdana" w:cs="Arial"/>
          <w:color w:val="000000" w:themeColor="text1"/>
          <w:lang w:val="es-ES_tradnl"/>
        </w:rPr>
      </w:pPr>
      <w:r w:rsidRPr="005416E7">
        <w:rPr>
          <w:rFonts w:ascii="Verdana" w:hAnsi="Verdana" w:cs="Arial"/>
          <w:color w:val="000000" w:themeColor="text1"/>
          <w:lang w:val="es-ES_tradnl"/>
        </w:rPr>
        <w:t>Si bien los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convenio interadministrativo.</w:t>
      </w:r>
    </w:p>
    <w:p w14:paraId="76E2E702" w14:textId="77777777" w:rsidR="009F3858" w:rsidRPr="005416E7" w:rsidRDefault="009F3858" w:rsidP="009F3858">
      <w:pPr>
        <w:spacing w:before="120" w:after="0" w:line="276" w:lineRule="auto"/>
        <w:ind w:firstLine="708"/>
        <w:jc w:val="both"/>
        <w:rPr>
          <w:rFonts w:ascii="Verdana" w:hAnsi="Verdana" w:cs="Arial"/>
          <w:lang w:val="es-ES_tradnl"/>
        </w:rPr>
      </w:pPr>
      <w:r w:rsidRPr="005416E7">
        <w:rPr>
          <w:rFonts w:ascii="Verdana" w:hAnsi="Verdana" w:cs="Arial"/>
          <w:lang w:val="es-ES"/>
        </w:rPr>
        <w:t>Un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005416E7">
        <w:rPr>
          <w:rFonts w:ascii="Verdana" w:hAnsi="Verdana" w:cs="Arial"/>
          <w:vertAlign w:val="superscript"/>
          <w:lang w:val="es-ES"/>
        </w:rPr>
        <w:footnoteReference w:id="11"/>
      </w:r>
      <w:r w:rsidRPr="005416E7">
        <w:rPr>
          <w:rFonts w:ascii="Verdana" w:hAnsi="Verdana" w:cs="Arial"/>
          <w:lang w:val="es-ES"/>
        </w:rPr>
        <w:t xml:space="preserve">. </w:t>
      </w:r>
    </w:p>
    <w:p w14:paraId="79C53707" w14:textId="77777777" w:rsidR="009F3858" w:rsidRPr="005416E7" w:rsidRDefault="009F3858" w:rsidP="009F3858">
      <w:pPr>
        <w:spacing w:before="120" w:after="0" w:line="276" w:lineRule="auto"/>
        <w:ind w:firstLine="708"/>
        <w:jc w:val="both"/>
        <w:rPr>
          <w:rFonts w:ascii="Verdana" w:hAnsi="Verdana" w:cs="Arial"/>
          <w:lang w:val="es-ES"/>
        </w:rPr>
      </w:pPr>
      <w:r w:rsidRPr="005416E7">
        <w:rPr>
          <w:rFonts w:ascii="Verdana" w:hAnsi="Verdana" w:cs="Arial"/>
          <w:lang w:val="es-ES"/>
        </w:rPr>
        <w:lastRenderedPageBreak/>
        <w:t>De igual manera, es necesario tener en cuenta que para que un convenio interadministrativo exista debe cumplir con los siguientes elementos: acuerdo sobre el objeto y la contraprestación y que conste por escrito</w:t>
      </w:r>
      <w:r w:rsidRPr="005416E7">
        <w:rPr>
          <w:rFonts w:ascii="Verdana" w:hAnsi="Verdana" w:cs="Arial"/>
          <w:vertAlign w:val="superscript"/>
          <w:lang w:val="es-ES"/>
        </w:rPr>
        <w:footnoteReference w:id="12"/>
      </w:r>
      <w:r w:rsidRPr="005416E7">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1DDCF8C3" w14:textId="77777777" w:rsidR="009F3858" w:rsidRPr="005416E7" w:rsidRDefault="009F3858" w:rsidP="009F3858">
      <w:pPr>
        <w:spacing w:before="120" w:after="0" w:line="276" w:lineRule="auto"/>
        <w:ind w:firstLine="708"/>
        <w:jc w:val="both"/>
        <w:rPr>
          <w:rFonts w:ascii="Verdana" w:eastAsia="Times New Roman" w:hAnsi="Verdana" w:cs="Arial"/>
          <w:lang w:val="es-MX" w:eastAsia="es-CO"/>
        </w:rPr>
      </w:pPr>
      <w:r w:rsidRPr="005416E7">
        <w:rPr>
          <w:rFonts w:ascii="Verdana" w:eastAsia="Arial" w:hAnsi="Verdana" w:cs="Arial"/>
          <w:lang w:val="es-MX" w:eastAsia="es-ES" w:bidi="es-ES"/>
        </w:rPr>
        <w:t>De esta manera, se</w:t>
      </w:r>
      <w:r w:rsidRPr="005416E7">
        <w:rPr>
          <w:rFonts w:ascii="Verdana" w:eastAsia="Times New Roman" w:hAnsi="Verdana" w:cs="Arial"/>
          <w:lang w:eastAsia="es-CO"/>
        </w:rPr>
        <w:t xml:space="preserve"> observa entonces que </w:t>
      </w:r>
      <w:r w:rsidRPr="005416E7">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5416E7">
        <w:rPr>
          <w:rFonts w:ascii="Verdana" w:eastAsia="Times New Roman" w:hAnsi="Verdana" w:cs="Arial"/>
          <w:i/>
          <w:iCs/>
          <w:lang w:val="es-MX" w:eastAsia="es-CO"/>
        </w:rPr>
        <w:t>convenios interadministrativos</w:t>
      </w:r>
      <w:r w:rsidRPr="005416E7">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5416E7">
        <w:rPr>
          <w:rFonts w:ascii="Verdana" w:eastAsia="Times New Roman" w:hAnsi="Verdana" w:cs="Arial"/>
          <w:i/>
          <w:lang w:val="es-MX" w:eastAsia="es-CO"/>
        </w:rPr>
        <w:t>ibidem</w:t>
      </w:r>
      <w:r w:rsidRPr="005416E7">
        <w:rPr>
          <w:rFonts w:ascii="Verdana" w:eastAsia="Times New Roman" w:hAnsi="Verdana" w:cs="Arial"/>
          <w:lang w:val="es-MX" w:eastAsia="es-CO"/>
        </w:rPr>
        <w:t xml:space="preserve">, no podrá celebrar tales </w:t>
      </w:r>
      <w:r w:rsidRPr="005416E7">
        <w:rPr>
          <w:rFonts w:ascii="Verdana" w:eastAsia="Times New Roman" w:hAnsi="Verdana" w:cs="Arial"/>
          <w:i/>
          <w:iCs/>
          <w:lang w:val="es-MX" w:eastAsia="es-CO"/>
        </w:rPr>
        <w:t>convenios</w:t>
      </w:r>
      <w:r w:rsidRPr="005416E7">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w:t>
      </w:r>
    </w:p>
    <w:p w14:paraId="41401600" w14:textId="77777777" w:rsidR="009F3858" w:rsidRPr="005416E7" w:rsidRDefault="009F3858" w:rsidP="009F3858">
      <w:pPr>
        <w:spacing w:before="120" w:after="0" w:line="276" w:lineRule="auto"/>
        <w:ind w:firstLine="708"/>
        <w:jc w:val="both"/>
        <w:rPr>
          <w:rFonts w:ascii="Verdana" w:eastAsia="Times New Roman" w:hAnsi="Verdana" w:cs="Arial"/>
          <w:i/>
          <w:iCs/>
          <w:lang w:eastAsia="es-CO"/>
        </w:rPr>
      </w:pPr>
      <w:r w:rsidRPr="005416E7">
        <w:rPr>
          <w:rFonts w:ascii="Verdana" w:hAnsi="Verdana" w:cs="Arial"/>
          <w:lang w:val="es-ES_tradnl"/>
        </w:rPr>
        <w:t xml:space="preserve">Ahora bien, con respecto al alcance de la prohibición en mención, la Circular Externa No. 006 de 2025 expedida por la ANCP-CCE, en sus literales ii) y iv) del numeral 2, indica que el parágrafo del artículo 38 de la Ley 996 de 2005 cobija expresamente a los </w:t>
      </w:r>
      <w:r w:rsidRPr="005416E7">
        <w:rPr>
          <w:rFonts w:ascii="Verdana" w:hAnsi="Verdana" w:cs="Arial"/>
          <w:i/>
          <w:iCs/>
          <w:lang w:val="es-ES_tradnl"/>
        </w:rPr>
        <w:t xml:space="preserve">convenios interadministrativos </w:t>
      </w:r>
      <w:r w:rsidRPr="005416E7">
        <w:rPr>
          <w:rFonts w:ascii="Verdana" w:hAnsi="Verdana" w:cs="Arial"/>
          <w:lang w:val="es-ES_tradnl"/>
        </w:rPr>
        <w:t xml:space="preserve">en los que se contemple la ejecución de recursos públicos. Además, precisa que el parágrafo referido no estableció ningún supuesto que exceptúe la aplicación de dicha prohibición, por lo que, la restricción referida a la celebración de </w:t>
      </w:r>
      <w:r w:rsidRPr="005416E7">
        <w:rPr>
          <w:rFonts w:ascii="Verdana" w:hAnsi="Verdana" w:cs="Arial"/>
          <w:i/>
          <w:iCs/>
          <w:lang w:val="es-ES_tradnl"/>
        </w:rPr>
        <w:t xml:space="preserve">convenios interadministrativos </w:t>
      </w:r>
      <w:r w:rsidRPr="005416E7">
        <w:rPr>
          <w:rFonts w:ascii="Verdana" w:hAnsi="Verdana" w:cs="Arial"/>
          <w:lang w:val="es-ES_tradnl"/>
        </w:rPr>
        <w:t xml:space="preserve">aplicará a los sujetos allí celebrados </w:t>
      </w:r>
      <w:r w:rsidRPr="005416E7">
        <w:rPr>
          <w:rFonts w:ascii="Verdana" w:eastAsia="Times New Roman" w:hAnsi="Verdana" w:cs="Arial"/>
          <w:i/>
          <w:iCs/>
          <w:lang w:eastAsia="es-CO"/>
        </w:rPr>
        <w:t>“aunque se configure alguno de los supuestos de excepción que señaló el inciso final del artículo 33”.</w:t>
      </w:r>
    </w:p>
    <w:p w14:paraId="5298CA93" w14:textId="77777777" w:rsidR="009F3858" w:rsidRPr="005416E7" w:rsidRDefault="009F3858" w:rsidP="009F3858">
      <w:pPr>
        <w:spacing w:before="120" w:after="0" w:line="276" w:lineRule="auto"/>
        <w:ind w:firstLine="708"/>
        <w:jc w:val="both"/>
        <w:rPr>
          <w:rFonts w:ascii="Verdana" w:eastAsia="Times New Roman" w:hAnsi="Verdana" w:cs="Arial"/>
          <w:lang w:eastAsia="es-CO"/>
        </w:rPr>
      </w:pPr>
      <w:r w:rsidRPr="005416E7">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sidRPr="005416E7">
        <w:rPr>
          <w:rFonts w:ascii="Verdana" w:eastAsia="Times New Roman" w:hAnsi="Verdana" w:cs="Arial"/>
          <w:i/>
          <w:iCs/>
          <w:lang w:eastAsia="es-CO"/>
        </w:rPr>
        <w:t>convenios interadministrativos</w:t>
      </w:r>
      <w:r w:rsidRPr="005416E7">
        <w:rPr>
          <w:rFonts w:ascii="Verdana" w:eastAsia="Times New Roman" w:hAnsi="Verdana" w:cs="Arial"/>
          <w:lang w:eastAsia="es-CO"/>
        </w:rPr>
        <w:t xml:space="preserve"> en los que se contemple la </w:t>
      </w:r>
      <w:r w:rsidRPr="005416E7">
        <w:rPr>
          <w:rFonts w:ascii="Verdana" w:eastAsia="Times New Roman" w:hAnsi="Verdana" w:cs="Arial"/>
          <w:i/>
          <w:iCs/>
          <w:lang w:eastAsia="es-CO"/>
        </w:rPr>
        <w:t>ejecución de recursos públicos</w:t>
      </w:r>
      <w:r w:rsidRPr="005416E7">
        <w:rPr>
          <w:rFonts w:ascii="Verdana" w:eastAsia="Times New Roman" w:hAnsi="Verdana" w:cs="Arial"/>
          <w:lang w:eastAsia="es-CO"/>
        </w:rPr>
        <w:t xml:space="preserve">. Esto significa que la prohibición no resulta </w:t>
      </w:r>
      <w:r w:rsidRPr="005416E7">
        <w:rPr>
          <w:rFonts w:ascii="Verdana" w:eastAsia="Times New Roman" w:hAnsi="Verdana" w:cs="Arial"/>
          <w:lang w:eastAsia="es-CO"/>
        </w:rPr>
        <w:lastRenderedPageBreak/>
        <w:t xml:space="preserve">aplicable a </w:t>
      </w:r>
      <w:r w:rsidRPr="005416E7">
        <w:rPr>
          <w:rFonts w:ascii="Verdana" w:eastAsia="Times New Roman" w:hAnsi="Verdana" w:cs="Arial"/>
          <w:i/>
          <w:iCs/>
          <w:lang w:eastAsia="es-CO"/>
        </w:rPr>
        <w:t>convenios interadministrativos a título gratuito,</w:t>
      </w:r>
      <w:r w:rsidRPr="005416E7">
        <w:rPr>
          <w:rFonts w:ascii="Verdana" w:eastAsia="Times New Roman" w:hAnsi="Verdana" w:cs="Arial"/>
          <w:lang w:eastAsia="es-CO"/>
        </w:rPr>
        <w:t xml:space="preserve"> los cuales pueden celebrarse válidamente durante la vigencia de la mencionada restricción. </w:t>
      </w:r>
    </w:p>
    <w:p w14:paraId="4AA05BAB" w14:textId="77777777" w:rsidR="009F3858" w:rsidRPr="005416E7" w:rsidRDefault="009F3858" w:rsidP="009F3858">
      <w:pPr>
        <w:spacing w:before="120" w:after="0" w:line="276" w:lineRule="auto"/>
        <w:ind w:firstLine="708"/>
        <w:jc w:val="both"/>
        <w:rPr>
          <w:rFonts w:ascii="Verdana" w:eastAsia="Times New Roman" w:hAnsi="Verdana" w:cs="Arial"/>
          <w:lang w:eastAsia="es-CO"/>
        </w:rPr>
      </w:pPr>
      <w:r w:rsidRPr="005416E7">
        <w:rPr>
          <w:rFonts w:ascii="Verdana" w:eastAsia="Times New Roman" w:hAnsi="Verdana" w:cs="Arial"/>
          <w:lang w:eastAsia="es-CO"/>
        </w:rPr>
        <w:t xml:space="preserve">Por lo tanto, conforme a lo dispuesto en la Circular referida, si se suscriben </w:t>
      </w:r>
      <w:r w:rsidRPr="005416E7">
        <w:rPr>
          <w:rFonts w:ascii="Verdana" w:eastAsia="Times New Roman" w:hAnsi="Verdana" w:cs="Arial"/>
          <w:i/>
          <w:iCs/>
          <w:lang w:eastAsia="es-CO"/>
        </w:rPr>
        <w:t>convenios interadministrativos para la ejecución de recursos públicos</w:t>
      </w:r>
      <w:r w:rsidRPr="005416E7">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5416E7">
        <w:rPr>
          <w:rFonts w:ascii="Verdana" w:eastAsia="Times New Roman" w:hAnsi="Verdana" w:cs="Arial"/>
          <w:i/>
          <w:iCs/>
          <w:lang w:eastAsia="es-CO"/>
        </w:rPr>
        <w:t>ibidem</w:t>
      </w:r>
      <w:r w:rsidRPr="005416E7">
        <w:rPr>
          <w:rFonts w:ascii="Verdana" w:eastAsia="Times New Roman" w:hAnsi="Verdana" w:cs="Arial"/>
          <w:lang w:eastAsia="es-CO"/>
        </w:rPr>
        <w:t>, independientemente de que se configure alguno de los supuestos de excepción que señaló el inciso final del artículo 33, es decir, que se trate de:</w:t>
      </w:r>
      <w:r w:rsidRPr="005416E7">
        <w:rPr>
          <w:rFonts w:ascii="Verdana" w:hAnsi="Verdana" w:cs="Arial"/>
          <w:bCs/>
          <w:lang w:val="es-MX" w:eastAsia="x-none"/>
        </w:rPr>
        <w:t xml:space="preserve">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5416E7">
        <w:rPr>
          <w:rFonts w:ascii="Verdana" w:hAnsi="Verdana" w:cs="Arial"/>
          <w:bCs/>
          <w:lang w:val="es-MX" w:eastAsia="es-CO"/>
        </w:rPr>
        <w:t xml:space="preserve"> </w:t>
      </w:r>
      <w:r w:rsidRPr="005416E7">
        <w:rPr>
          <w:rFonts w:ascii="Verdana" w:eastAsia="Times New Roman" w:hAnsi="Verdana" w:cs="Arial"/>
          <w:lang w:eastAsia="es-CO"/>
        </w:rPr>
        <w:t xml:space="preserve">  </w:t>
      </w:r>
    </w:p>
    <w:p w14:paraId="04E9890A" w14:textId="77777777" w:rsidR="009F3858" w:rsidRPr="005416E7" w:rsidRDefault="009F3858" w:rsidP="009F3858">
      <w:pPr>
        <w:spacing w:before="120" w:after="0" w:line="276" w:lineRule="auto"/>
        <w:ind w:firstLine="708"/>
        <w:jc w:val="both"/>
        <w:rPr>
          <w:rFonts w:ascii="Verdana" w:eastAsia="Times New Roman" w:hAnsi="Verdana" w:cs="Arial"/>
          <w:lang w:eastAsia="es-CO"/>
        </w:rPr>
      </w:pPr>
      <w:r w:rsidRPr="005416E7">
        <w:rPr>
          <w:rFonts w:ascii="Verdana" w:eastAsia="Times New Roman" w:hAnsi="Verdana" w:cs="Arial"/>
          <w:lang w:eastAsia="es-CO"/>
        </w:rPr>
        <w:t xml:space="preserve">En este punto, teniendo en cuenta lo señalado en el contenido de su petición, vale la pena destacar que, </w:t>
      </w:r>
      <w:r w:rsidRPr="005416E7">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5416E7">
        <w:rPr>
          <w:rFonts w:ascii="Verdana" w:hAnsi="Verdana" w:cs="Arial"/>
        </w:rPr>
        <w:t>numeral 16.2 de la Circular Externa Única de 2022 expedida por la Agencia Nacional de Contratación Pública -Colombia Compra Eficiente-, concretamente, respecto de los siguientes apartes normativos</w:t>
      </w:r>
      <w:r w:rsidRPr="005416E7">
        <w:rPr>
          <w:rFonts w:ascii="Verdana" w:hAnsi="Verdana" w:cs="Arial"/>
          <w:vertAlign w:val="superscript"/>
        </w:rPr>
        <w:footnoteReference w:id="13"/>
      </w:r>
      <w:r w:rsidRPr="005416E7">
        <w:rPr>
          <w:rFonts w:ascii="Verdana" w:hAnsi="Verdana" w:cs="Arial"/>
        </w:rPr>
        <w:t xml:space="preserve">: </w:t>
      </w:r>
    </w:p>
    <w:p w14:paraId="0E3AF6EA" w14:textId="77777777" w:rsidR="009F3858" w:rsidRPr="005416E7" w:rsidRDefault="009F3858" w:rsidP="009F3858">
      <w:pPr>
        <w:spacing w:after="0" w:line="276" w:lineRule="auto"/>
        <w:ind w:firstLine="709"/>
        <w:jc w:val="both"/>
        <w:rPr>
          <w:rFonts w:ascii="Verdana" w:hAnsi="Verdana" w:cs="Arial"/>
        </w:rPr>
      </w:pPr>
    </w:p>
    <w:p w14:paraId="071F1DEB" w14:textId="77777777" w:rsidR="009F3858" w:rsidRPr="005416E7" w:rsidRDefault="009F3858" w:rsidP="009F3858">
      <w:pPr>
        <w:spacing w:after="0" w:line="240" w:lineRule="auto"/>
        <w:ind w:left="709" w:right="709"/>
        <w:jc w:val="both"/>
        <w:rPr>
          <w:rFonts w:ascii="Verdana" w:hAnsi="Verdana" w:cs="Arial"/>
          <w:sz w:val="20"/>
          <w:szCs w:val="20"/>
        </w:rPr>
      </w:pPr>
      <w:r w:rsidRPr="005416E7">
        <w:rPr>
          <w:rFonts w:ascii="Verdana" w:hAnsi="Verdana" w:cs="Arial"/>
          <w:sz w:val="20"/>
          <w:szCs w:val="20"/>
          <w:lang w:val="es-MX"/>
        </w:rPr>
        <w:t>i)</w:t>
      </w:r>
      <w:r w:rsidRPr="005416E7">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4FCB689B" w14:textId="77777777" w:rsidR="009F3858" w:rsidRPr="005416E7" w:rsidRDefault="009F3858" w:rsidP="009F3858">
      <w:pPr>
        <w:spacing w:after="0" w:line="240" w:lineRule="auto"/>
        <w:ind w:left="709" w:right="709"/>
        <w:jc w:val="both"/>
        <w:rPr>
          <w:rFonts w:ascii="Verdana" w:hAnsi="Verdana" w:cs="Arial"/>
          <w:sz w:val="20"/>
          <w:szCs w:val="20"/>
        </w:rPr>
      </w:pPr>
    </w:p>
    <w:p w14:paraId="4978F0E7" w14:textId="77777777" w:rsidR="009F3858" w:rsidRPr="005416E7" w:rsidRDefault="009F3858" w:rsidP="009F3858">
      <w:pPr>
        <w:spacing w:after="0" w:line="240" w:lineRule="auto"/>
        <w:ind w:left="709" w:right="709"/>
        <w:jc w:val="both"/>
        <w:rPr>
          <w:rFonts w:ascii="Verdana" w:hAnsi="Verdana" w:cs="Arial"/>
          <w:sz w:val="20"/>
          <w:szCs w:val="20"/>
        </w:rPr>
      </w:pPr>
      <w:r w:rsidRPr="005416E7">
        <w:rPr>
          <w:rFonts w:ascii="Verdana" w:hAnsi="Verdana" w:cs="Arial"/>
          <w:sz w:val="20"/>
          <w:szCs w:val="20"/>
        </w:rPr>
        <w:t xml:space="preserve">ii)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w:t>
      </w:r>
      <w:r w:rsidRPr="005416E7">
        <w:rPr>
          <w:rFonts w:ascii="Verdana" w:hAnsi="Verdana" w:cs="Arial"/>
          <w:sz w:val="20"/>
          <w:szCs w:val="20"/>
        </w:rPr>
        <w:lastRenderedPageBreak/>
        <w:t xml:space="preserve">suscripción de contratos y/o convenios, que, para efectos de la Ley de Garantías, tienen la misma connotación y propósito”. </w:t>
      </w:r>
    </w:p>
    <w:p w14:paraId="3FBEABA7" w14:textId="77777777" w:rsidR="009F3858" w:rsidRPr="005416E7" w:rsidRDefault="009F3858" w:rsidP="009F3858">
      <w:pPr>
        <w:spacing w:after="0" w:line="276" w:lineRule="auto"/>
        <w:ind w:left="709" w:right="709"/>
        <w:jc w:val="both"/>
        <w:rPr>
          <w:rFonts w:ascii="Verdana" w:hAnsi="Verdana" w:cs="Arial"/>
        </w:rPr>
      </w:pPr>
    </w:p>
    <w:p w14:paraId="10CC086D" w14:textId="77777777" w:rsidR="009F3858" w:rsidRPr="005416E7" w:rsidRDefault="009F3858" w:rsidP="009F3858">
      <w:pPr>
        <w:spacing w:after="120" w:line="276" w:lineRule="auto"/>
        <w:ind w:firstLine="709"/>
        <w:jc w:val="both"/>
        <w:rPr>
          <w:rFonts w:ascii="Verdana" w:eastAsia="Arial" w:hAnsi="Verdana" w:cs="Arial"/>
          <w:i/>
          <w:iCs/>
          <w:lang w:eastAsia="es-ES" w:bidi="es-ES"/>
        </w:rPr>
      </w:pPr>
      <w:r w:rsidRPr="005416E7">
        <w:rPr>
          <w:rFonts w:ascii="Verdana" w:eastAsia="Arial" w:hAnsi="Verdana" w:cs="Arial"/>
          <w:lang w:val="es-MX" w:eastAsia="es-ES" w:bidi="es-ES"/>
        </w:rPr>
        <w:t xml:space="preserve">De conformidad con los argumentos de dicha providencia, se parte de la distinción entre los conceptos </w:t>
      </w:r>
      <w:r w:rsidRPr="005416E7">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5416E7">
        <w:rPr>
          <w:rFonts w:ascii="Verdana" w:hAnsi="Verdana"/>
          <w:sz w:val="24"/>
          <w:szCs w:val="24"/>
          <w:lang w:eastAsia="es-CO"/>
        </w:rPr>
        <w:t xml:space="preserve"> </w:t>
      </w:r>
      <w:r w:rsidRPr="005416E7">
        <w:rPr>
          <w:rFonts w:ascii="Verdana" w:eastAsia="Arial" w:hAnsi="Verdana" w:cs="Arial"/>
          <w:lang w:eastAsia="es-ES" w:bidi="es-ES"/>
        </w:rPr>
        <w:t xml:space="preserve">En este sentido, en relación con el parágrafo del artículo 38 de la Ley 996 de 2005 concluyó que </w:t>
      </w:r>
      <w:r w:rsidRPr="005416E7">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5416E7">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5416E7">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7E6C0081" w14:textId="77777777" w:rsidR="009F3858" w:rsidRPr="005416E7" w:rsidRDefault="009F3858" w:rsidP="009F3858">
      <w:pPr>
        <w:spacing w:after="120" w:line="276" w:lineRule="auto"/>
        <w:ind w:firstLine="709"/>
        <w:jc w:val="both"/>
        <w:rPr>
          <w:rFonts w:ascii="Verdana" w:eastAsia="Arial" w:hAnsi="Verdana" w:cs="Arial"/>
          <w:lang w:eastAsia="es-ES" w:bidi="es-ES"/>
        </w:rPr>
      </w:pPr>
      <w:r w:rsidRPr="005416E7">
        <w:rPr>
          <w:rFonts w:ascii="Verdana" w:eastAsia="Arial" w:hAnsi="Verdana" w:cs="Arial"/>
          <w:lang w:eastAsia="es-ES" w:bidi="es-ES"/>
        </w:rPr>
        <w:t>De igual manera, mediante auto del 6 de noviembre de 2025, el Consejo de Estado, Subsección A de la Sección Tercera, decretó</w:t>
      </w:r>
      <w:r w:rsidRPr="005416E7">
        <w:rPr>
          <w:rFonts w:ascii="Verdana" w:eastAsia="Arial" w:hAnsi="Verdana" w:cs="Arial"/>
          <w:b/>
          <w:bCs/>
          <w:lang w:eastAsia="es-ES" w:bidi="es-ES"/>
        </w:rPr>
        <w:t xml:space="preserve"> </w:t>
      </w:r>
      <w:r w:rsidRPr="005416E7">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5416E7">
        <w:rPr>
          <w:rFonts w:ascii="Verdana" w:eastAsia="Arial" w:hAnsi="Verdana" w:cs="Arial"/>
          <w:vertAlign w:val="superscript"/>
          <w:lang w:eastAsia="es-ES" w:bidi="es-ES"/>
        </w:rPr>
        <w:footnoteReference w:id="14"/>
      </w:r>
      <w:r w:rsidRPr="005416E7">
        <w:rPr>
          <w:rFonts w:ascii="Verdana" w:eastAsia="Arial" w:hAnsi="Verdana" w:cs="Arial"/>
          <w:lang w:eastAsia="es-ES" w:bidi="es-ES"/>
        </w:rPr>
        <w:t xml:space="preserve">. Para tales </w:t>
      </w:r>
      <w:r w:rsidRPr="005416E7">
        <w:rPr>
          <w:rFonts w:ascii="Verdana" w:eastAsia="Arial" w:hAnsi="Verdana" w:cs="Arial"/>
          <w:lang w:eastAsia="es-ES" w:bidi="es-ES"/>
        </w:rPr>
        <w:lastRenderedPageBreak/>
        <w:t xml:space="preserve">efectos, el alto tribunal resaltó la interpretación restrictiva de las normas que contienen prohibiciones, como la del parágrafo del artículo 38 de la Ley 996 de 2005, por manera que se excluye la analogía legis o iuris y la interpretación extensiva y reiteró los argumentos sobre la diferencia entre contratos y convenios interadministrativos. </w:t>
      </w:r>
    </w:p>
    <w:p w14:paraId="105C5CF0" w14:textId="77777777" w:rsidR="009F3858" w:rsidRPr="005416E7" w:rsidRDefault="009F3858" w:rsidP="009F3858">
      <w:pPr>
        <w:spacing w:after="120" w:line="276" w:lineRule="auto"/>
        <w:ind w:firstLine="709"/>
        <w:jc w:val="both"/>
        <w:rPr>
          <w:rFonts w:ascii="Verdana" w:eastAsia="Times New Roman" w:hAnsi="Verdana" w:cs="Times New Roman"/>
          <w:lang w:eastAsia="es-ES"/>
        </w:rPr>
      </w:pPr>
      <w:r w:rsidRPr="005416E7">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005416E7">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42661145" w14:textId="77777777" w:rsidR="009F3858" w:rsidRPr="005416E7" w:rsidRDefault="009F3858" w:rsidP="009F3858">
      <w:pPr>
        <w:spacing w:after="120" w:line="276" w:lineRule="auto"/>
        <w:ind w:firstLine="709"/>
        <w:jc w:val="both"/>
        <w:rPr>
          <w:rFonts w:ascii="Verdana" w:eastAsia="Times New Roman" w:hAnsi="Verdana" w:cs="Times New Roman"/>
          <w:lang w:eastAsia="es-ES"/>
        </w:rPr>
      </w:pPr>
      <w:r w:rsidRPr="005416E7">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005416E7">
        <w:rPr>
          <w:rStyle w:val="Refdenotaalpie"/>
          <w:rFonts w:ascii="Verdana" w:eastAsia="Times New Roman" w:hAnsi="Verdana" w:cs="Times New Roman"/>
          <w:lang w:eastAsia="es-ES"/>
        </w:rPr>
        <w:footnoteReference w:id="15"/>
      </w:r>
      <w:r w:rsidRPr="005416E7">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60B152BD" w14:textId="77777777" w:rsidR="009F3858" w:rsidRPr="005416E7" w:rsidRDefault="009F3858" w:rsidP="009F3858">
      <w:pPr>
        <w:spacing w:after="120" w:line="276" w:lineRule="auto"/>
        <w:ind w:firstLine="709"/>
        <w:jc w:val="both"/>
        <w:rPr>
          <w:rFonts w:ascii="Verdana" w:eastAsia="Times New Roman" w:hAnsi="Verdana" w:cs="Times New Roman"/>
          <w:lang w:eastAsia="es-ES"/>
        </w:rPr>
      </w:pPr>
      <w:r w:rsidRPr="005416E7">
        <w:rPr>
          <w:rFonts w:ascii="Verdana" w:eastAsia="Times New Roman" w:hAnsi="Verdana" w:cs="Times New Roman"/>
          <w:lang w:eastAsia="es-ES"/>
        </w:rPr>
        <w:t xml:space="preserve">A juicio de la Sala, aunque el propósito de la Circular Externa era legítimo —evitar el uso indebido de recursos en época electoral—, el numeral 16.2. </w:t>
      </w:r>
      <w:r w:rsidRPr="005416E7">
        <w:rPr>
          <w:rFonts w:ascii="Verdana" w:eastAsia="Times New Roman" w:hAnsi="Verdana" w:cs="Times New Roman"/>
          <w:lang w:eastAsia="es-ES"/>
        </w:rPr>
        <w:lastRenderedPageBreak/>
        <w:t xml:space="preserve">desconoció el alcance literal del artículo 38 de la Ley 996 de 2005 y los límites de la potestad reglamentaria, lo que configuró un vicio de contenido. </w:t>
      </w:r>
    </w:p>
    <w:p w14:paraId="0DC0123A" w14:textId="77777777" w:rsidR="009F3858" w:rsidRPr="005416E7" w:rsidRDefault="009F3858" w:rsidP="009F3858">
      <w:pPr>
        <w:spacing w:after="120" w:line="276" w:lineRule="auto"/>
        <w:ind w:firstLine="709"/>
        <w:jc w:val="both"/>
        <w:rPr>
          <w:rFonts w:ascii="Verdana" w:eastAsia="Times New Roman" w:hAnsi="Verdana" w:cs="Arial"/>
          <w:lang w:eastAsia="es-CO"/>
        </w:rPr>
      </w:pPr>
      <w:r w:rsidRPr="005416E7">
        <w:rPr>
          <w:rFonts w:ascii="Verdana" w:eastAsia="Times New Roman" w:hAnsi="Verdana" w:cs="Arial"/>
          <w:lang w:eastAsia="es-CO"/>
        </w:rPr>
        <w:t xml:space="preserve">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5416E7">
        <w:rPr>
          <w:rFonts w:ascii="Verdana" w:eastAsia="Times New Roman" w:hAnsi="Verdana" w:cs="Arial"/>
          <w:i/>
          <w:iCs/>
          <w:lang w:eastAsia="es-CO"/>
        </w:rPr>
        <w:t>contratos interadministrativos</w:t>
      </w:r>
      <w:r w:rsidRPr="005416E7">
        <w:rPr>
          <w:rFonts w:ascii="Verdana" w:eastAsia="Times New Roman" w:hAnsi="Verdana" w:cs="Arial"/>
          <w:lang w:eastAsia="es-CO"/>
        </w:rPr>
        <w:t>, esta prohibición solo aplicaría a los convenios interadministrativos que impliquen la ejecución de recursos públicos</w:t>
      </w:r>
      <w:r w:rsidRPr="005416E7">
        <w:rPr>
          <w:rStyle w:val="Refdenotaalpie"/>
          <w:rFonts w:ascii="Verdana" w:eastAsia="Times New Roman" w:hAnsi="Verdana" w:cs="Arial"/>
          <w:lang w:eastAsia="es-CO"/>
        </w:rPr>
        <w:footnoteReference w:id="16"/>
      </w:r>
      <w:r w:rsidRPr="005416E7">
        <w:rPr>
          <w:rFonts w:ascii="Verdana" w:eastAsia="Times New Roman" w:hAnsi="Verdana" w:cs="Arial"/>
          <w:lang w:eastAsia="es-CO"/>
        </w:rPr>
        <w:t>.</w:t>
      </w:r>
    </w:p>
    <w:p w14:paraId="1C87EE53" w14:textId="2611E3DB" w:rsidR="009F3858" w:rsidRDefault="009F3858" w:rsidP="00F72EC9">
      <w:pPr>
        <w:spacing w:after="0" w:line="276" w:lineRule="auto"/>
        <w:ind w:firstLine="709"/>
        <w:jc w:val="both"/>
        <w:rPr>
          <w:rFonts w:ascii="Verdana" w:eastAsia="Times New Roman" w:hAnsi="Verdana" w:cs="Times New Roman"/>
          <w:lang w:eastAsia="es-ES"/>
        </w:rPr>
      </w:pPr>
      <w:r w:rsidRPr="005416E7">
        <w:rPr>
          <w:rFonts w:ascii="Verdana" w:eastAsia="Calibri" w:hAnsi="Verdana" w:cs="Arial"/>
        </w:rPr>
        <w:t xml:space="preserve">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  </w:t>
      </w:r>
      <w:r w:rsidRPr="005416E7">
        <w:rPr>
          <w:rFonts w:ascii="Verdana" w:eastAsia="Times New Roman" w:hAnsi="Verdana" w:cs="Times New Roman"/>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bookmarkEnd w:id="1"/>
      <w:bookmarkEnd w:id="2"/>
    </w:p>
    <w:p w14:paraId="175F003C" w14:textId="77777777" w:rsidR="00F72EC9" w:rsidRPr="00F72EC9" w:rsidRDefault="00F72EC9" w:rsidP="00F513A9">
      <w:pPr>
        <w:spacing w:after="0" w:line="276" w:lineRule="auto"/>
        <w:ind w:firstLine="709"/>
        <w:jc w:val="both"/>
        <w:rPr>
          <w:rFonts w:ascii="Verdana" w:eastAsia="Times New Roman" w:hAnsi="Verdana" w:cs="Times New Roman"/>
          <w:lang w:eastAsia="es-ES"/>
        </w:rPr>
      </w:pPr>
    </w:p>
    <w:p w14:paraId="25CEA2EC" w14:textId="77777777" w:rsidR="009F3858" w:rsidRPr="00F72EC9" w:rsidRDefault="009F3858" w:rsidP="00F513A9">
      <w:pPr>
        <w:spacing w:after="0" w:line="276" w:lineRule="auto"/>
        <w:jc w:val="both"/>
        <w:rPr>
          <w:rFonts w:ascii="Verdana" w:eastAsia="Century Gothic" w:hAnsi="Verdana" w:cs="Century Gothic"/>
          <w:b/>
          <w:lang w:val="es-ES"/>
        </w:rPr>
      </w:pPr>
      <w:r w:rsidRPr="00F72EC9">
        <w:rPr>
          <w:rFonts w:ascii="Verdana" w:eastAsia="Century Gothic" w:hAnsi="Verdana" w:cs="Century Gothic"/>
          <w:b/>
          <w:lang w:val="es-ES"/>
        </w:rPr>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F171E" w:rsidRPr="00F72EC9" w14:paraId="1D8DF19D" w14:textId="77777777" w:rsidTr="008567DC">
        <w:trPr>
          <w:trHeight w:val="870"/>
        </w:trPr>
        <w:tc>
          <w:tcPr>
            <w:tcW w:w="8647" w:type="dxa"/>
          </w:tcPr>
          <w:p w14:paraId="034CF721" w14:textId="77777777" w:rsidR="009F3858" w:rsidRPr="00F72EC9" w:rsidRDefault="009F3858" w:rsidP="00F513A9">
            <w:pPr>
              <w:widowControl w:val="0"/>
              <w:numPr>
                <w:ilvl w:val="0"/>
                <w:numId w:val="16"/>
              </w:numPr>
              <w:autoSpaceDE w:val="0"/>
              <w:autoSpaceDN w:val="0"/>
              <w:spacing w:line="276" w:lineRule="auto"/>
              <w:ind w:left="714" w:hanging="357"/>
              <w:jc w:val="both"/>
              <w:rPr>
                <w:rFonts w:ascii="Verdana" w:eastAsia="Arial MT" w:hAnsi="Verdana" w:cs="Arial"/>
                <w:lang w:val="es-ES" w:eastAsia="es-ES" w:bidi="es-ES"/>
              </w:rPr>
            </w:pPr>
            <w:r w:rsidRPr="00F72EC9">
              <w:rPr>
                <w:rFonts w:ascii="Verdana" w:eastAsia="Arial MT" w:hAnsi="Verdana" w:cs="Arial"/>
                <w:lang w:val="es-ES" w:eastAsia="es-ES" w:bidi="es-ES"/>
              </w:rPr>
              <w:t>Constitución Política de Colombia. Artículo 127.</w:t>
            </w:r>
          </w:p>
          <w:p w14:paraId="3AB153BA" w14:textId="77777777" w:rsidR="009F3858" w:rsidRPr="00F72EC9" w:rsidRDefault="009F3858" w:rsidP="00F513A9">
            <w:pPr>
              <w:pStyle w:val="Prrafodelista"/>
              <w:numPr>
                <w:ilvl w:val="0"/>
                <w:numId w:val="16"/>
              </w:numPr>
              <w:spacing w:line="276" w:lineRule="auto"/>
              <w:ind w:left="714" w:hanging="357"/>
              <w:contextualSpacing w:val="0"/>
              <w:jc w:val="both"/>
              <w:rPr>
                <w:rFonts w:ascii="Verdana" w:hAnsi="Verdana" w:cs="Arial"/>
              </w:rPr>
            </w:pPr>
            <w:r w:rsidRPr="00F72EC9">
              <w:rPr>
                <w:rFonts w:ascii="Verdana" w:hAnsi="Verdana" w:cs="Arial"/>
              </w:rPr>
              <w:t>Ley 80 de 1993. Artículo 41.</w:t>
            </w:r>
          </w:p>
          <w:p w14:paraId="3FE5DCE4" w14:textId="77777777" w:rsidR="009F3858" w:rsidRPr="00F72EC9" w:rsidRDefault="009F3858" w:rsidP="00F513A9">
            <w:pPr>
              <w:widowControl w:val="0"/>
              <w:numPr>
                <w:ilvl w:val="0"/>
                <w:numId w:val="16"/>
              </w:numPr>
              <w:autoSpaceDE w:val="0"/>
              <w:autoSpaceDN w:val="0"/>
              <w:spacing w:line="276" w:lineRule="auto"/>
              <w:ind w:left="714" w:hanging="357"/>
              <w:jc w:val="both"/>
              <w:rPr>
                <w:rFonts w:ascii="Verdana" w:eastAsia="Arial MT" w:hAnsi="Verdana" w:cs="Arial"/>
                <w:lang w:val="es-ES" w:eastAsia="es-ES" w:bidi="es-ES"/>
              </w:rPr>
            </w:pPr>
            <w:r w:rsidRPr="00F72EC9">
              <w:rPr>
                <w:rFonts w:ascii="Verdana" w:eastAsia="Arial MT" w:hAnsi="Verdana" w:cs="Arial"/>
                <w:bCs/>
                <w:lang w:val="es-ES" w:eastAsia="es-ES" w:bidi="es-ES"/>
              </w:rPr>
              <w:t>Ley 996 de 2005. Artículos 33 y 38.</w:t>
            </w:r>
          </w:p>
          <w:p w14:paraId="7057EAE5" w14:textId="77777777" w:rsidR="009F3858" w:rsidRPr="00F72EC9" w:rsidRDefault="009F3858" w:rsidP="00F513A9">
            <w:pPr>
              <w:widowControl w:val="0"/>
              <w:numPr>
                <w:ilvl w:val="0"/>
                <w:numId w:val="16"/>
              </w:numPr>
              <w:autoSpaceDE w:val="0"/>
              <w:autoSpaceDN w:val="0"/>
              <w:spacing w:line="276" w:lineRule="auto"/>
              <w:ind w:left="714" w:hanging="357"/>
              <w:jc w:val="both"/>
              <w:rPr>
                <w:rFonts w:ascii="Verdana" w:eastAsia="Arial MT" w:hAnsi="Verdana" w:cs="Arial"/>
                <w:lang w:val="es-ES" w:eastAsia="es-ES" w:bidi="es-ES"/>
              </w:rPr>
            </w:pPr>
            <w:r w:rsidRPr="00F72EC9">
              <w:rPr>
                <w:rFonts w:ascii="Verdana" w:eastAsia="Times New Roman" w:hAnsi="Verdana" w:cs="Times New Roman"/>
                <w:lang w:val="es-ES" w:eastAsia="es-MX"/>
              </w:rPr>
              <w:t xml:space="preserve">Ley 1150 de 2007. </w:t>
            </w:r>
            <w:r w:rsidRPr="00F72EC9">
              <w:rPr>
                <w:rFonts w:ascii="Verdana" w:eastAsia="Arial MT" w:hAnsi="Verdana" w:cs="Arial"/>
                <w:lang w:val="es-ES" w:eastAsia="es-ES" w:bidi="es-ES"/>
              </w:rPr>
              <w:t xml:space="preserve">Artículo 2, numeral 4. </w:t>
            </w:r>
          </w:p>
          <w:p w14:paraId="77DB4BBF" w14:textId="77777777" w:rsidR="009F3858" w:rsidRPr="00F72EC9" w:rsidRDefault="009F3858" w:rsidP="00F513A9">
            <w:pPr>
              <w:widowControl w:val="0"/>
              <w:numPr>
                <w:ilvl w:val="0"/>
                <w:numId w:val="16"/>
              </w:numPr>
              <w:autoSpaceDE w:val="0"/>
              <w:autoSpaceDN w:val="0"/>
              <w:spacing w:line="276" w:lineRule="auto"/>
              <w:ind w:left="714" w:hanging="357"/>
              <w:jc w:val="both"/>
              <w:rPr>
                <w:rFonts w:ascii="Verdana" w:eastAsia="Arial MT" w:hAnsi="Verdana" w:cs="Arial"/>
                <w:lang w:val="es-ES" w:eastAsia="es-ES" w:bidi="es-ES"/>
              </w:rPr>
            </w:pPr>
            <w:r w:rsidRPr="00F72EC9">
              <w:rPr>
                <w:rFonts w:ascii="Verdana" w:eastAsia="Times New Roman" w:hAnsi="Verdana" w:cs="Times New Roman"/>
                <w:lang w:eastAsia="es-ES"/>
              </w:rPr>
              <w:t>Ley 1437 de 2011. Artículo 28.</w:t>
            </w:r>
          </w:p>
          <w:p w14:paraId="32F5E8A1" w14:textId="77777777" w:rsidR="009F3858" w:rsidRPr="00F72EC9" w:rsidRDefault="009F3858" w:rsidP="00F513A9">
            <w:pPr>
              <w:widowControl w:val="0"/>
              <w:numPr>
                <w:ilvl w:val="0"/>
                <w:numId w:val="16"/>
              </w:numPr>
              <w:autoSpaceDE w:val="0"/>
              <w:autoSpaceDN w:val="0"/>
              <w:spacing w:line="276" w:lineRule="auto"/>
              <w:ind w:left="714" w:hanging="357"/>
              <w:jc w:val="both"/>
              <w:rPr>
                <w:rFonts w:ascii="Verdana" w:eastAsia="Arial MT" w:hAnsi="Verdana" w:cs="Arial"/>
                <w:lang w:val="es-ES" w:eastAsia="es-ES" w:bidi="es-ES"/>
              </w:rPr>
            </w:pPr>
            <w:r w:rsidRPr="00F72EC9">
              <w:rPr>
                <w:rFonts w:ascii="Verdana" w:eastAsia="Arial MT" w:hAnsi="Verdana" w:cs="Arial"/>
                <w:lang w:val="es-ES" w:eastAsia="es-ES" w:bidi="es-ES"/>
              </w:rPr>
              <w:t>Corte Constitucional. Sentencia C- 1153 de 2005. M.P. Marco Gerardo Monroy Cabra.</w:t>
            </w:r>
          </w:p>
          <w:p w14:paraId="1EEA4746" w14:textId="77777777" w:rsidR="009F3858" w:rsidRPr="00F72EC9" w:rsidRDefault="009F3858" w:rsidP="00F513A9">
            <w:pPr>
              <w:widowControl w:val="0"/>
              <w:numPr>
                <w:ilvl w:val="0"/>
                <w:numId w:val="16"/>
              </w:numPr>
              <w:autoSpaceDE w:val="0"/>
              <w:autoSpaceDN w:val="0"/>
              <w:spacing w:line="276" w:lineRule="auto"/>
              <w:ind w:left="714" w:hanging="357"/>
              <w:jc w:val="both"/>
              <w:rPr>
                <w:rFonts w:ascii="Verdana" w:eastAsia="Arial MT" w:hAnsi="Verdana" w:cs="Arial"/>
                <w:lang w:val="es-ES" w:eastAsia="es-ES" w:bidi="es-ES"/>
              </w:rPr>
            </w:pPr>
            <w:r w:rsidRPr="00F72EC9">
              <w:rPr>
                <w:rFonts w:ascii="Verdana" w:eastAsia="Arial MT" w:hAnsi="Verdana" w:cs="Arial"/>
                <w:lang w:val="es-ES" w:eastAsia="es-ES" w:bidi="es-ES"/>
              </w:rPr>
              <w:t xml:space="preserve">Consejo de Estado. Sala de lo Contencioso Administrativo. Sección </w:t>
            </w:r>
            <w:r w:rsidRPr="00F72EC9">
              <w:rPr>
                <w:rFonts w:ascii="Verdana" w:eastAsia="Arial MT" w:hAnsi="Verdana" w:cs="Arial"/>
                <w:lang w:val="es-ES" w:eastAsia="es-ES" w:bidi="es-ES"/>
              </w:rPr>
              <w:lastRenderedPageBreak/>
              <w:t>Primera. Sentencia del 3 de marzo de 2005, Exp. 2004-00823-01(PI).</w:t>
            </w:r>
          </w:p>
          <w:p w14:paraId="1CBD19A8" w14:textId="77777777" w:rsidR="009F3858" w:rsidRPr="00F72EC9" w:rsidRDefault="009F3858" w:rsidP="00F513A9">
            <w:pPr>
              <w:widowControl w:val="0"/>
              <w:numPr>
                <w:ilvl w:val="0"/>
                <w:numId w:val="16"/>
              </w:numPr>
              <w:autoSpaceDE w:val="0"/>
              <w:autoSpaceDN w:val="0"/>
              <w:spacing w:line="276" w:lineRule="auto"/>
              <w:ind w:left="714" w:hanging="357"/>
              <w:jc w:val="both"/>
              <w:rPr>
                <w:rFonts w:ascii="Verdana" w:eastAsia="Arial MT" w:hAnsi="Verdana" w:cs="Arial"/>
                <w:lang w:val="es-ES" w:eastAsia="es-ES" w:bidi="es-ES"/>
              </w:rPr>
            </w:pPr>
            <w:r w:rsidRPr="00F72EC9">
              <w:rPr>
                <w:rFonts w:ascii="Verdana" w:eastAsia="Arial MT" w:hAnsi="Verdana" w:cs="Arial"/>
                <w:lang w:val="es-ES" w:eastAsia="es-ES" w:bidi="es-ES"/>
              </w:rPr>
              <w:t xml:space="preserve">Consejo de Estado, Sala de Consulta y Servicio Civil, Concepto de fecha 24 de julio de 2013, Rad. 2166, C. P. Álvaro Namén Vargas. </w:t>
            </w:r>
          </w:p>
        </w:tc>
      </w:tr>
    </w:tbl>
    <w:p w14:paraId="697AD49F" w14:textId="77777777" w:rsidR="009F3858" w:rsidRPr="00F72EC9" w:rsidRDefault="009F3858" w:rsidP="00F72EC9">
      <w:pPr>
        <w:widowControl w:val="0"/>
        <w:autoSpaceDE w:val="0"/>
        <w:autoSpaceDN w:val="0"/>
        <w:spacing w:after="0" w:line="276" w:lineRule="auto"/>
        <w:jc w:val="both"/>
        <w:rPr>
          <w:rFonts w:ascii="Verdana" w:hAnsi="Verdana" w:cs="Arial"/>
          <w:color w:val="ED7D31" w:themeColor="accent2"/>
          <w:lang w:val="es-ES"/>
        </w:rPr>
      </w:pPr>
    </w:p>
    <w:p w14:paraId="283BC7A2" w14:textId="77777777" w:rsidR="009F3858" w:rsidRPr="00F72EC9" w:rsidRDefault="009F3858">
      <w:pPr>
        <w:tabs>
          <w:tab w:val="left" w:pos="142"/>
          <w:tab w:val="left" w:pos="284"/>
        </w:tabs>
        <w:spacing w:after="0" w:line="276" w:lineRule="auto"/>
        <w:jc w:val="both"/>
        <w:rPr>
          <w:rFonts w:ascii="Verdana" w:eastAsia="Century Gothic" w:hAnsi="Verdana" w:cs="Century Gothic"/>
          <w:b/>
          <w:lang w:val="es-ES"/>
        </w:rPr>
      </w:pPr>
      <w:r w:rsidRPr="00F72EC9">
        <w:rPr>
          <w:rFonts w:ascii="Verdana" w:eastAsia="Century Gothic" w:hAnsi="Verdana" w:cs="Century Gothic"/>
          <w:b/>
          <w:lang w:val="es-ES"/>
        </w:rPr>
        <w:t>5. Doctrina de la Agencia Nacional de Contratación Pública:</w:t>
      </w:r>
    </w:p>
    <w:p w14:paraId="18664C99" w14:textId="77777777" w:rsidR="009F3858" w:rsidRPr="00F72EC9" w:rsidRDefault="009F3858">
      <w:pPr>
        <w:widowControl w:val="0"/>
        <w:autoSpaceDE w:val="0"/>
        <w:autoSpaceDN w:val="0"/>
        <w:spacing w:after="0" w:line="276" w:lineRule="auto"/>
        <w:jc w:val="both"/>
        <w:rPr>
          <w:rFonts w:ascii="Verdana" w:hAnsi="Verdana" w:cs="Arial"/>
          <w:color w:val="ED7D31" w:themeColor="accent2"/>
          <w:lang w:val="es-ES"/>
        </w:rPr>
      </w:pPr>
    </w:p>
    <w:p w14:paraId="27954CA5" w14:textId="77777777" w:rsidR="009F3858" w:rsidRPr="00F72EC9" w:rsidRDefault="009F3858" w:rsidP="00F513A9">
      <w:pPr>
        <w:spacing w:after="0" w:line="276" w:lineRule="auto"/>
        <w:jc w:val="both"/>
        <w:rPr>
          <w:rFonts w:ascii="Verdana" w:hAnsi="Verdana" w:cs="Arial"/>
          <w:color w:val="4472C4" w:themeColor="accent1"/>
          <w:shd w:val="clear" w:color="auto" w:fill="FFFFFF"/>
          <w:lang w:val="es-ES"/>
        </w:rPr>
      </w:pPr>
      <w:r w:rsidRPr="00F72EC9">
        <w:rPr>
          <w:rFonts w:ascii="Verdana" w:eastAsia="Calibri" w:hAnsi="Verdana" w:cs="Arial"/>
          <w:color w:val="000000" w:themeColor="text1"/>
          <w:lang w:val="es-ES"/>
        </w:rPr>
        <w:t xml:space="preserve">La Agencia Nacional de Contratación Pública – Colombia Compra Eficiente se ha referido </w:t>
      </w:r>
      <w:r w:rsidRPr="00F72EC9">
        <w:rPr>
          <w:rFonts w:ascii="Verdana" w:hAnsi="Verdana" w:cs="Arial"/>
          <w:color w:val="000000" w:themeColor="text1"/>
          <w:shd w:val="clear" w:color="auto" w:fill="FFFFFF"/>
          <w:lang w:val="es-ES"/>
        </w:rPr>
        <w:t xml:space="preserve">sobre la Ley de Garantías Electorales en los conceptos con radicado C-686 del 21 de diciembre de 2021, C-697 del 3 de enero de 2022, C-180 del 21 de marzo de 2025, C-317 del 25 de abril de 2025, C-510 del 4 de junio de 2025, C -635 del 27 de junio de 2025, C–750 de 17 de julio 2025, C-729 del 15 de Julio de 2015 y C-273-A de 2025, entre otros. Sobre la aplicación de esta ley y la contratación del PIC se refirió en los conceptos C ‒ 044 del 04 de marzo de 2022, C ‒ 158 del 04 de abril de 2022, C ‒ 364 del 20 de mayo de 2022, C-979 del 25 de agosto de 2025, C- 1296 del 17 de octubre de 2025, C-1507 del 26 de noviembre de </w:t>
      </w:r>
      <w:r w:rsidRPr="00F72EC9">
        <w:rPr>
          <w:rFonts w:ascii="Verdana" w:hAnsi="Verdana" w:cs="Arial"/>
          <w:shd w:val="clear" w:color="auto" w:fill="FFFFFF"/>
          <w:lang w:val="es-ES"/>
        </w:rPr>
        <w:t>2025 y 1567 del 4 de diciembre de 2025.</w:t>
      </w:r>
    </w:p>
    <w:p w14:paraId="25AA1F39" w14:textId="77777777" w:rsidR="009F3858" w:rsidRPr="00F72EC9" w:rsidRDefault="009F3858" w:rsidP="00F513A9">
      <w:pPr>
        <w:spacing w:after="0" w:line="276" w:lineRule="auto"/>
        <w:jc w:val="both"/>
        <w:rPr>
          <w:rFonts w:ascii="Verdana" w:hAnsi="Verdana" w:cs="Arial"/>
          <w:color w:val="4472C4" w:themeColor="accent1"/>
          <w:shd w:val="clear" w:color="auto" w:fill="FFFFFF"/>
          <w:lang w:val="es-ES"/>
        </w:rPr>
      </w:pPr>
    </w:p>
    <w:p w14:paraId="0A7C99EA" w14:textId="77777777" w:rsidR="009F3858" w:rsidRPr="00F72EC9" w:rsidRDefault="009F3858" w:rsidP="00F513A9">
      <w:pPr>
        <w:spacing w:after="0" w:line="276" w:lineRule="auto"/>
        <w:jc w:val="both"/>
        <w:rPr>
          <w:rFonts w:ascii="Verdana" w:hAnsi="Verdana"/>
          <w:lang w:val="es-ES"/>
        </w:rPr>
      </w:pPr>
      <w:r w:rsidRPr="00F72EC9">
        <w:rPr>
          <w:rFonts w:ascii="Verdana" w:hAnsi="Verdana" w:cs="Arial"/>
          <w:shd w:val="clear" w:color="auto" w:fill="FFFFFF"/>
          <w:lang w:val="es-ES"/>
        </w:rPr>
        <w:t>Estos</w:t>
      </w:r>
      <w:r w:rsidRPr="00F72EC9">
        <w:rPr>
          <w:rFonts w:ascii="Verdana" w:hAnsi="Verdana"/>
          <w:lang w:val="es-ES"/>
        </w:rPr>
        <w:t xml:space="preserve"> y otros se encuentran disponibles para consulta en el Sistema de relatoría de la Agencia, al cual se puede acceder a través del siguiente enlace:</w:t>
      </w:r>
      <w:r w:rsidRPr="00F72EC9">
        <w:rPr>
          <w:rFonts w:ascii="Verdana" w:hAnsi="Verdana" w:cs="Arial"/>
          <w:shd w:val="clear" w:color="auto" w:fill="FFFFFF"/>
          <w:lang w:val="es-ES"/>
        </w:rPr>
        <w:t xml:space="preserve"> </w:t>
      </w:r>
      <w:hyperlink r:id="rId12" w:history="1">
        <w:r w:rsidRPr="00F72EC9">
          <w:rPr>
            <w:rStyle w:val="Hipervnculo"/>
            <w:rFonts w:ascii="Verdana" w:hAnsi="Verdana" w:cs="Arial"/>
            <w:shd w:val="clear" w:color="auto" w:fill="FFFFFF"/>
            <w:lang w:val="es-ES"/>
          </w:rPr>
          <w:t>https://relatoria.colombiacompra.gov.co/busqueda/conceptos</w:t>
        </w:r>
      </w:hyperlink>
    </w:p>
    <w:p w14:paraId="69294F11" w14:textId="77777777" w:rsidR="009F3858" w:rsidRPr="00F72EC9" w:rsidRDefault="009F3858" w:rsidP="00F513A9">
      <w:pPr>
        <w:spacing w:after="0" w:line="276" w:lineRule="auto"/>
        <w:jc w:val="both"/>
        <w:rPr>
          <w:rFonts w:ascii="Verdana" w:hAnsi="Verdana" w:cs="Arial"/>
          <w:color w:val="4472C4" w:themeColor="accent1"/>
          <w:shd w:val="clear" w:color="auto" w:fill="FFFFFF"/>
          <w:lang w:val="es-ES"/>
        </w:rPr>
      </w:pPr>
    </w:p>
    <w:p w14:paraId="70CB2DB1" w14:textId="77777777" w:rsidR="009F3858" w:rsidRPr="00F72EC9" w:rsidRDefault="009F3858" w:rsidP="00F513A9">
      <w:pPr>
        <w:spacing w:after="0" w:line="276" w:lineRule="auto"/>
        <w:jc w:val="both"/>
        <w:rPr>
          <w:rFonts w:ascii="Verdana" w:hAnsi="Verdana" w:cs="Arial"/>
          <w:color w:val="4472C4" w:themeColor="accent1"/>
          <w:shd w:val="clear" w:color="auto" w:fill="FFFFFF"/>
        </w:rPr>
      </w:pPr>
      <w:r w:rsidRPr="00F72EC9">
        <w:rPr>
          <w:rFonts w:ascii="Verdana" w:hAnsi="Verdana" w:cs="Arial"/>
          <w:shd w:val="clear" w:color="auto" w:fill="FFFFFF"/>
        </w:rPr>
        <w:t>También le contamos que ya se encuentra disponible la </w:t>
      </w:r>
      <w:r w:rsidRPr="00F72EC9">
        <w:rPr>
          <w:rFonts w:ascii="Verdana" w:hAnsi="Verdana" w:cs="Arial"/>
          <w:b/>
          <w:bCs/>
          <w:shd w:val="clear" w:color="auto" w:fill="FFFFFF"/>
        </w:rPr>
        <w:t>Guía de lineamientos de transparencia y selección objetiva para el departamento de La Guajira – Objetivo sexto constitucional de la Sentencia T-302 del 2017. </w:t>
      </w:r>
      <w:r w:rsidRPr="00F72EC9">
        <w:rPr>
          <w:rFonts w:ascii="Verdana" w:hAnsi="Verdana" w:cs="Arial"/>
          <w:shd w:val="clear" w:color="auto" w:fill="FFFFFF"/>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F72EC9">
          <w:rPr>
            <w:rStyle w:val="Hipervnculo"/>
            <w:rFonts w:ascii="Verdana" w:hAnsi="Verdana" w:cs="Arial"/>
            <w:color w:val="0000CC"/>
            <w:shd w:val="clear" w:color="auto" w:fill="FFFFFF"/>
          </w:rPr>
          <w:t>Guía de lineamientos de transparencia y selección objetiva para el departamento de La Guajira – Objetivo sexto constitucional de la Sentencia T-302 del 2017</w:t>
        </w:r>
      </w:hyperlink>
    </w:p>
    <w:p w14:paraId="3DA4DC6E" w14:textId="77777777" w:rsidR="009F3858" w:rsidRPr="00F72EC9" w:rsidRDefault="009F3858" w:rsidP="00F513A9">
      <w:pPr>
        <w:spacing w:after="0" w:line="276" w:lineRule="auto"/>
        <w:jc w:val="both"/>
        <w:rPr>
          <w:rFonts w:ascii="Verdana" w:hAnsi="Verdana" w:cs="Arial"/>
          <w:color w:val="4472C4" w:themeColor="accent1"/>
          <w:shd w:val="clear" w:color="auto" w:fill="FFFFFF"/>
        </w:rPr>
      </w:pPr>
    </w:p>
    <w:p w14:paraId="78A94EFC" w14:textId="77777777" w:rsidR="009F3858" w:rsidRPr="00F72EC9" w:rsidRDefault="009F3858" w:rsidP="00F513A9">
      <w:pPr>
        <w:spacing w:after="0" w:line="276" w:lineRule="auto"/>
        <w:jc w:val="both"/>
        <w:rPr>
          <w:rFonts w:ascii="Verdana" w:hAnsi="Verdana" w:cs="Arial"/>
          <w:shd w:val="clear" w:color="auto" w:fill="FFFFFF"/>
        </w:rPr>
      </w:pPr>
      <w:r w:rsidRPr="00F72EC9">
        <w:rPr>
          <w:rFonts w:ascii="Verdana" w:hAnsi="Verdana" w:cs="Arial"/>
          <w:shd w:val="clear" w:color="auto" w:fill="FFFFFF"/>
        </w:rPr>
        <w:t xml:space="preserve">Por último, lo invitamos a seguirnos en las redes sociales en las cuales se difunde información institucional: </w:t>
      </w:r>
    </w:p>
    <w:p w14:paraId="12481063" w14:textId="77777777" w:rsidR="009F3858" w:rsidRPr="00F72EC9" w:rsidRDefault="009F3858" w:rsidP="00F513A9">
      <w:pPr>
        <w:spacing w:after="0" w:line="276" w:lineRule="auto"/>
        <w:jc w:val="both"/>
        <w:rPr>
          <w:rFonts w:ascii="Verdana" w:hAnsi="Verdana" w:cs="Arial"/>
          <w:color w:val="4472C4" w:themeColor="accent1"/>
          <w:shd w:val="clear" w:color="auto" w:fill="FFFFFF"/>
        </w:rPr>
      </w:pPr>
    </w:p>
    <w:p w14:paraId="71A95CBC" w14:textId="77777777" w:rsidR="009F3858" w:rsidRPr="00F72EC9" w:rsidRDefault="009F3858" w:rsidP="00F513A9">
      <w:pPr>
        <w:spacing w:after="0" w:line="276" w:lineRule="auto"/>
        <w:jc w:val="both"/>
        <w:rPr>
          <w:rFonts w:ascii="Verdana" w:hAnsi="Verdana" w:cs="Arial"/>
          <w:shd w:val="clear" w:color="auto" w:fill="FFFFFF"/>
        </w:rPr>
      </w:pPr>
      <w:r w:rsidRPr="00F72EC9">
        <w:rPr>
          <w:rFonts w:ascii="Verdana" w:hAnsi="Verdana" w:cs="Arial"/>
          <w:shd w:val="clear" w:color="auto" w:fill="FFFFFF"/>
        </w:rPr>
        <w:lastRenderedPageBreak/>
        <w:t xml:space="preserve">Twitter: </w:t>
      </w:r>
      <w:r w:rsidRPr="00F72EC9">
        <w:rPr>
          <w:rFonts w:ascii="Verdana" w:hAnsi="Verdana" w:cs="Arial"/>
          <w:color w:val="0000CC"/>
          <w:u w:val="single"/>
          <w:shd w:val="clear" w:color="auto" w:fill="FFFFFF"/>
        </w:rPr>
        <w:t>@colombiacompra</w:t>
      </w:r>
      <w:r w:rsidRPr="00F72EC9">
        <w:rPr>
          <w:rFonts w:ascii="Verdana" w:hAnsi="Verdana" w:cs="Arial"/>
          <w:color w:val="0000CC"/>
          <w:shd w:val="clear" w:color="auto" w:fill="FFFFFF"/>
        </w:rPr>
        <w:t xml:space="preserve"> </w:t>
      </w:r>
    </w:p>
    <w:p w14:paraId="09579009" w14:textId="77777777" w:rsidR="009F3858" w:rsidRPr="00F72EC9" w:rsidRDefault="009F3858" w:rsidP="00F513A9">
      <w:pPr>
        <w:spacing w:after="0" w:line="276" w:lineRule="auto"/>
        <w:jc w:val="both"/>
        <w:rPr>
          <w:rFonts w:ascii="Verdana" w:hAnsi="Verdana" w:cs="Arial"/>
          <w:shd w:val="clear" w:color="auto" w:fill="FFFFFF"/>
        </w:rPr>
      </w:pPr>
      <w:r w:rsidRPr="00F72EC9">
        <w:rPr>
          <w:rFonts w:ascii="Verdana" w:hAnsi="Verdana" w:cs="Arial"/>
          <w:shd w:val="clear" w:color="auto" w:fill="FFFFFF"/>
        </w:rPr>
        <w:t xml:space="preserve">Facebook: </w:t>
      </w:r>
      <w:r w:rsidRPr="00F72EC9">
        <w:rPr>
          <w:rFonts w:ascii="Verdana" w:hAnsi="Verdana" w:cs="Arial"/>
          <w:color w:val="0000CC"/>
          <w:u w:val="single"/>
          <w:shd w:val="clear" w:color="auto" w:fill="FFFFFF"/>
        </w:rPr>
        <w:t>ColombiaCompraEficiente</w:t>
      </w:r>
    </w:p>
    <w:p w14:paraId="7F3D66EF" w14:textId="77777777" w:rsidR="009F3858" w:rsidRPr="00F72EC9" w:rsidRDefault="009F3858" w:rsidP="00F513A9">
      <w:pPr>
        <w:spacing w:after="0" w:line="276" w:lineRule="auto"/>
        <w:jc w:val="both"/>
        <w:rPr>
          <w:rFonts w:ascii="Verdana" w:hAnsi="Verdana" w:cs="Arial"/>
          <w:shd w:val="clear" w:color="auto" w:fill="FFFFFF"/>
        </w:rPr>
      </w:pPr>
      <w:r w:rsidRPr="00F72EC9">
        <w:rPr>
          <w:rFonts w:ascii="Verdana" w:hAnsi="Verdana" w:cs="Arial"/>
          <w:shd w:val="clear" w:color="auto" w:fill="FFFFFF"/>
        </w:rPr>
        <w:t xml:space="preserve">LinkedIn: </w:t>
      </w:r>
      <w:r w:rsidRPr="00F72EC9">
        <w:rPr>
          <w:rFonts w:ascii="Verdana" w:hAnsi="Verdana" w:cs="Arial"/>
          <w:color w:val="0000CC"/>
          <w:u w:val="single"/>
          <w:shd w:val="clear" w:color="auto" w:fill="FFFFFF"/>
        </w:rPr>
        <w:t>Agencia Nacional de Contratación Pública - Colombia Compra Eficiente</w:t>
      </w:r>
      <w:r w:rsidRPr="00F72EC9">
        <w:rPr>
          <w:rFonts w:ascii="Verdana" w:hAnsi="Verdana" w:cs="Arial"/>
          <w:color w:val="0000CC"/>
          <w:shd w:val="clear" w:color="auto" w:fill="FFFFFF"/>
        </w:rPr>
        <w:t xml:space="preserve"> </w:t>
      </w:r>
      <w:r w:rsidRPr="00F72EC9">
        <w:rPr>
          <w:rFonts w:ascii="Verdana" w:hAnsi="Verdana" w:cs="Arial"/>
          <w:shd w:val="clear" w:color="auto" w:fill="FFFFFF"/>
        </w:rPr>
        <w:t xml:space="preserve">Instagram: </w:t>
      </w:r>
      <w:r w:rsidRPr="00F72EC9">
        <w:rPr>
          <w:rFonts w:ascii="Verdana" w:hAnsi="Verdana" w:cs="Arial"/>
          <w:color w:val="0000CC"/>
          <w:u w:val="single"/>
          <w:shd w:val="clear" w:color="auto" w:fill="FFFFFF"/>
        </w:rPr>
        <w:t>@colombiacompraeficiente_cce</w:t>
      </w:r>
    </w:p>
    <w:p w14:paraId="71A2CB78" w14:textId="77777777" w:rsidR="009F3858" w:rsidRPr="00F72EC9" w:rsidRDefault="009F3858" w:rsidP="00F72EC9">
      <w:pPr>
        <w:widowControl w:val="0"/>
        <w:autoSpaceDE w:val="0"/>
        <w:autoSpaceDN w:val="0"/>
        <w:spacing w:after="0" w:line="276" w:lineRule="auto"/>
        <w:jc w:val="both"/>
        <w:rPr>
          <w:rFonts w:ascii="Verdana" w:hAnsi="Verdana" w:cs="Arial"/>
          <w:color w:val="4472C4" w:themeColor="accent1"/>
          <w:lang w:val="es-ES"/>
        </w:rPr>
      </w:pPr>
    </w:p>
    <w:p w14:paraId="0D64A31F" w14:textId="77777777" w:rsidR="009F3858" w:rsidRPr="00F72EC9" w:rsidRDefault="009F3858">
      <w:pPr>
        <w:widowControl w:val="0"/>
        <w:autoSpaceDE w:val="0"/>
        <w:autoSpaceDN w:val="0"/>
        <w:spacing w:after="0" w:line="276" w:lineRule="auto"/>
        <w:jc w:val="both"/>
        <w:rPr>
          <w:rFonts w:ascii="Verdana" w:hAnsi="Verdana" w:cs="Arial"/>
          <w:lang w:val="es-ES"/>
        </w:rPr>
      </w:pPr>
      <w:r w:rsidRPr="00F72EC9">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68D29EB9" w14:textId="77777777" w:rsidR="009F3858" w:rsidRPr="00F72EC9" w:rsidRDefault="009F3858">
      <w:pPr>
        <w:widowControl w:val="0"/>
        <w:autoSpaceDE w:val="0"/>
        <w:autoSpaceDN w:val="0"/>
        <w:spacing w:after="0" w:line="276" w:lineRule="auto"/>
        <w:jc w:val="both"/>
        <w:rPr>
          <w:rFonts w:ascii="Verdana" w:hAnsi="Verdana" w:cs="Arial"/>
          <w:color w:val="4472C4" w:themeColor="accent1"/>
          <w:lang w:val="es-ES"/>
        </w:rPr>
      </w:pPr>
    </w:p>
    <w:p w14:paraId="731FFD77" w14:textId="1A01D364" w:rsidR="009F3858" w:rsidRPr="00F72EC9" w:rsidRDefault="009F3858">
      <w:pPr>
        <w:spacing w:after="0" w:line="276" w:lineRule="auto"/>
        <w:rPr>
          <w:rFonts w:ascii="Verdana" w:hAnsi="Verdana" w:cs="Arial"/>
          <w:lang w:val="es-ES" w:eastAsia="es-CO"/>
        </w:rPr>
      </w:pPr>
      <w:r w:rsidRPr="00F72EC9">
        <w:rPr>
          <w:rFonts w:ascii="Verdana" w:eastAsia="Times New Roman" w:hAnsi="Verdana" w:cs="Arial"/>
          <w:lang w:val="es-ES" w:eastAsia="es-CO"/>
        </w:rPr>
        <w:t>Atentamente,</w:t>
      </w:r>
      <w:r w:rsidRPr="00F72EC9">
        <w:rPr>
          <w:rFonts w:ascii="Verdana" w:hAnsi="Verdana" w:cs="Arial"/>
          <w:lang w:val="es-ES" w:eastAsia="es-CO"/>
        </w:rPr>
        <w:t xml:space="preserve"> </w:t>
      </w:r>
    </w:p>
    <w:p w14:paraId="2D4BAB67" w14:textId="426FC712" w:rsidR="009F3858" w:rsidRPr="005416E7" w:rsidRDefault="009F3858" w:rsidP="009F3858">
      <w:pPr>
        <w:spacing w:after="0" w:line="276" w:lineRule="auto"/>
        <w:jc w:val="center"/>
        <w:rPr>
          <w:rFonts w:ascii="Verdana" w:hAnsi="Verdana"/>
          <w:noProof/>
        </w:rPr>
      </w:pPr>
    </w:p>
    <w:p w14:paraId="4AFB5AEB" w14:textId="75C5AD24" w:rsidR="009F3858" w:rsidRPr="005416E7" w:rsidRDefault="009F3858" w:rsidP="009F3858">
      <w:pPr>
        <w:spacing w:after="0" w:line="276" w:lineRule="auto"/>
        <w:jc w:val="center"/>
        <w:rPr>
          <w:rFonts w:ascii="Verdana" w:hAnsi="Verdana"/>
          <w:noProof/>
        </w:rPr>
      </w:pPr>
    </w:p>
    <w:p w14:paraId="3BF13AE6" w14:textId="0A2F872C" w:rsidR="009F3858" w:rsidRPr="007D4C1B" w:rsidRDefault="007D4C1B" w:rsidP="007D4C1B">
      <w:pPr>
        <w:spacing w:after="0" w:line="276" w:lineRule="auto"/>
        <w:jc w:val="center"/>
        <w:rPr>
          <w:rFonts w:ascii="Verdana" w:hAnsi="Verdana"/>
          <w:noProof/>
        </w:rPr>
      </w:pPr>
      <w:r>
        <w:rPr>
          <w:noProof/>
        </w:rPr>
        <w:drawing>
          <wp:inline distT="0" distB="0" distL="0" distR="0" wp14:anchorId="645BEB4C" wp14:editId="4063C167">
            <wp:extent cx="3771900" cy="1409700"/>
            <wp:effectExtent l="0" t="0" r="0" b="0"/>
            <wp:docPr id="164673167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exto&#10;&#10;Descripción generada automáticament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71900" cy="1409700"/>
                    </a:xfrm>
                    <a:prstGeom prst="rect">
                      <a:avLst/>
                    </a:prstGeom>
                    <a:noFill/>
                    <a:ln>
                      <a:noFill/>
                    </a:ln>
                  </pic:spPr>
                </pic:pic>
              </a:graphicData>
            </a:graphic>
          </wp:inline>
        </w:drawing>
      </w:r>
    </w:p>
    <w:p w14:paraId="306D6CD6" w14:textId="77777777" w:rsidR="009F3858" w:rsidRPr="005416E7" w:rsidRDefault="009F3858" w:rsidP="009F3858">
      <w:pPr>
        <w:spacing w:after="0" w:line="276" w:lineRule="auto"/>
        <w:rPr>
          <w:rFonts w:ascii="Verdana" w:hAnsi="Verdana" w:cs="Arial"/>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F3858" w:rsidRPr="005416E7" w14:paraId="06ECF786" w14:textId="77777777" w:rsidTr="008567DC">
        <w:trPr>
          <w:trHeight w:val="315"/>
        </w:trPr>
        <w:tc>
          <w:tcPr>
            <w:tcW w:w="893" w:type="dxa"/>
            <w:vAlign w:val="center"/>
            <w:hideMark/>
          </w:tcPr>
          <w:p w14:paraId="70F51B11" w14:textId="77777777" w:rsidR="009F3858" w:rsidRPr="005416E7" w:rsidRDefault="009F3858" w:rsidP="008567DC">
            <w:pPr>
              <w:contextualSpacing/>
              <w:rPr>
                <w:rFonts w:ascii="Verdana" w:hAnsi="Verdana" w:cs="Arial"/>
                <w:sz w:val="16"/>
                <w:szCs w:val="16"/>
                <w:lang w:val="es-ES" w:eastAsia="es-ES"/>
              </w:rPr>
            </w:pPr>
            <w:r w:rsidRPr="005416E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61C4667" w14:textId="77777777" w:rsidR="009F3858" w:rsidRPr="005416E7" w:rsidRDefault="009F3858" w:rsidP="008567DC">
            <w:pPr>
              <w:rPr>
                <w:rFonts w:ascii="Verdana" w:eastAsia="Times New Roman" w:hAnsi="Verdana" w:cs="Arial"/>
                <w:sz w:val="16"/>
                <w:szCs w:val="16"/>
                <w:lang w:eastAsia="es-ES"/>
              </w:rPr>
            </w:pPr>
            <w:r w:rsidRPr="005416E7">
              <w:rPr>
                <w:rFonts w:ascii="Verdana" w:eastAsia="Times New Roman" w:hAnsi="Verdana" w:cs="Arial"/>
                <w:sz w:val="16"/>
                <w:szCs w:val="16"/>
                <w:lang w:eastAsia="es-ES"/>
              </w:rPr>
              <w:t>Camila Alejandra Naranjo Gómez</w:t>
            </w:r>
          </w:p>
          <w:p w14:paraId="05C58E33" w14:textId="77777777" w:rsidR="009F3858" w:rsidRPr="005416E7" w:rsidRDefault="009F3858" w:rsidP="008567DC">
            <w:pPr>
              <w:contextualSpacing/>
              <w:rPr>
                <w:rFonts w:ascii="Verdana" w:eastAsia="Arial" w:hAnsi="Verdana" w:cs="Arial"/>
                <w:sz w:val="16"/>
                <w:szCs w:val="16"/>
                <w:lang w:val="es-ES"/>
              </w:rPr>
            </w:pPr>
            <w:r w:rsidRPr="005416E7">
              <w:rPr>
                <w:rFonts w:ascii="Verdana" w:eastAsia="Times New Roman" w:hAnsi="Verdana" w:cs="Arial"/>
                <w:sz w:val="16"/>
                <w:szCs w:val="16"/>
                <w:lang w:eastAsia="es-ES"/>
              </w:rPr>
              <w:t>Analista T2-1 de la Subdirección de Gestión Contractual</w:t>
            </w:r>
          </w:p>
        </w:tc>
      </w:tr>
      <w:tr w:rsidR="009F3858" w:rsidRPr="005416E7" w14:paraId="3DEFDC74" w14:textId="77777777" w:rsidTr="008567DC">
        <w:trPr>
          <w:trHeight w:val="330"/>
        </w:trPr>
        <w:tc>
          <w:tcPr>
            <w:tcW w:w="893" w:type="dxa"/>
            <w:vAlign w:val="center"/>
            <w:hideMark/>
          </w:tcPr>
          <w:p w14:paraId="4BE07D9C" w14:textId="77777777" w:rsidR="009F3858" w:rsidRPr="005416E7" w:rsidRDefault="009F3858" w:rsidP="008567DC">
            <w:pPr>
              <w:contextualSpacing/>
              <w:rPr>
                <w:rFonts w:ascii="Verdana" w:hAnsi="Verdana" w:cs="Arial"/>
                <w:sz w:val="16"/>
                <w:szCs w:val="16"/>
                <w:lang w:val="es-ES" w:eastAsia="es-ES"/>
              </w:rPr>
            </w:pPr>
            <w:r w:rsidRPr="005416E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E3FB0C5" w14:textId="77777777" w:rsidR="009F3858" w:rsidRPr="005416E7" w:rsidRDefault="009F3858" w:rsidP="008567DC">
            <w:pPr>
              <w:rPr>
                <w:rFonts w:ascii="Verdana" w:eastAsia="Times New Roman" w:hAnsi="Verdana" w:cs="Arial"/>
                <w:sz w:val="16"/>
                <w:szCs w:val="16"/>
                <w:lang w:eastAsia="es-ES"/>
              </w:rPr>
            </w:pPr>
            <w:r w:rsidRPr="005416E7">
              <w:rPr>
                <w:rFonts w:ascii="Verdana" w:eastAsia="Times New Roman" w:hAnsi="Verdana" w:cs="Arial"/>
                <w:sz w:val="16"/>
                <w:szCs w:val="16"/>
                <w:lang w:eastAsia="es-ES"/>
              </w:rPr>
              <w:t>Diana Lucía Saavedra Castañeda</w:t>
            </w:r>
          </w:p>
          <w:p w14:paraId="6C6D735E" w14:textId="77777777" w:rsidR="009F3858" w:rsidRPr="005416E7" w:rsidRDefault="009F3858" w:rsidP="008567DC">
            <w:pPr>
              <w:pStyle w:val="paragraph"/>
              <w:spacing w:before="0" w:beforeAutospacing="0" w:after="0" w:afterAutospacing="0"/>
              <w:contextualSpacing/>
              <w:textAlignment w:val="baseline"/>
              <w:rPr>
                <w:rFonts w:ascii="Verdana" w:hAnsi="Verdana" w:cs="Segoe UI"/>
                <w:sz w:val="16"/>
                <w:szCs w:val="16"/>
                <w:lang w:val="es-ES"/>
              </w:rPr>
            </w:pPr>
            <w:r w:rsidRPr="005416E7">
              <w:rPr>
                <w:rFonts w:ascii="Verdana" w:hAnsi="Verdana" w:cs="Arial"/>
                <w:sz w:val="16"/>
                <w:szCs w:val="16"/>
                <w:lang w:eastAsia="es-ES"/>
              </w:rPr>
              <w:t>Contratista de la Subdirección de Gestión Contractual</w:t>
            </w:r>
          </w:p>
        </w:tc>
      </w:tr>
      <w:tr w:rsidR="009F3858" w:rsidRPr="005416E7" w14:paraId="2F3972F3" w14:textId="77777777" w:rsidTr="008567DC">
        <w:trPr>
          <w:trHeight w:val="300"/>
        </w:trPr>
        <w:tc>
          <w:tcPr>
            <w:tcW w:w="893" w:type="dxa"/>
            <w:vAlign w:val="center"/>
          </w:tcPr>
          <w:p w14:paraId="35E918FF" w14:textId="77777777" w:rsidR="009F3858" w:rsidRPr="005416E7" w:rsidRDefault="009F3858" w:rsidP="008567DC">
            <w:pPr>
              <w:contextualSpacing/>
              <w:rPr>
                <w:rFonts w:ascii="Verdana" w:hAnsi="Verdana" w:cs="Arial"/>
                <w:sz w:val="16"/>
                <w:szCs w:val="16"/>
                <w:lang w:val="es-ES" w:eastAsia="es-ES"/>
              </w:rPr>
            </w:pPr>
            <w:r w:rsidRPr="005416E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A70B3B8" w14:textId="77777777" w:rsidR="009F3858" w:rsidRPr="005416E7" w:rsidRDefault="009F3858" w:rsidP="008567DC">
            <w:pPr>
              <w:contextualSpacing/>
              <w:rPr>
                <w:rFonts w:ascii="Verdana" w:eastAsia="Calibri" w:hAnsi="Verdana" w:cs="Arial"/>
                <w:sz w:val="16"/>
                <w:szCs w:val="16"/>
                <w:lang w:val="es-ES" w:eastAsia="es-ES"/>
              </w:rPr>
            </w:pPr>
            <w:r w:rsidRPr="005416E7">
              <w:rPr>
                <w:rFonts w:ascii="Verdana" w:eastAsia="Calibri" w:hAnsi="Verdana" w:cs="Arial"/>
                <w:sz w:val="16"/>
                <w:szCs w:val="16"/>
                <w:lang w:val="es-ES" w:eastAsia="es-ES"/>
              </w:rPr>
              <w:t>Carolina Quintero Gacharná</w:t>
            </w:r>
          </w:p>
          <w:p w14:paraId="60AB85D0" w14:textId="77777777" w:rsidR="009F3858" w:rsidRPr="005416E7" w:rsidRDefault="009F3858" w:rsidP="008567DC">
            <w:pPr>
              <w:contextualSpacing/>
              <w:rPr>
                <w:rFonts w:ascii="Verdana" w:eastAsia="Calibri" w:hAnsi="Verdana" w:cs="Arial"/>
                <w:sz w:val="16"/>
                <w:szCs w:val="16"/>
                <w:lang w:val="es-ES" w:eastAsia="es-ES"/>
              </w:rPr>
            </w:pPr>
            <w:r w:rsidRPr="005416E7">
              <w:rPr>
                <w:rFonts w:ascii="Verdana" w:eastAsia="Calibri" w:hAnsi="Verdana" w:cs="Arial"/>
                <w:sz w:val="16"/>
                <w:szCs w:val="16"/>
                <w:lang w:val="es-ES" w:eastAsia="es-ES"/>
              </w:rPr>
              <w:t>Subdirectora de Gestión Contractual ANCP – CCE</w:t>
            </w:r>
          </w:p>
        </w:tc>
      </w:tr>
    </w:tbl>
    <w:p w14:paraId="49FBADD1" w14:textId="77777777" w:rsidR="009F3858" w:rsidRPr="005416E7" w:rsidRDefault="009F3858" w:rsidP="009F3858">
      <w:pPr>
        <w:spacing w:after="120" w:line="276" w:lineRule="auto"/>
        <w:jc w:val="both"/>
        <w:rPr>
          <w:rFonts w:ascii="Verdana" w:eastAsia="Century Gothic" w:hAnsi="Verdana" w:cs="Century Gothic"/>
          <w:b/>
          <w:lang w:val="es-ES"/>
        </w:rPr>
      </w:pPr>
    </w:p>
    <w:bookmarkEnd w:id="0"/>
    <w:p w14:paraId="0F293BF4" w14:textId="785AE09C" w:rsidR="00127233" w:rsidRPr="005416E7" w:rsidRDefault="00127233" w:rsidP="009F3858">
      <w:pPr>
        <w:rPr>
          <w:rFonts w:ascii="Verdana" w:hAnsi="Verdana"/>
          <w:lang w:val="es-ES"/>
        </w:rPr>
      </w:pPr>
    </w:p>
    <w:sectPr w:rsidR="00127233" w:rsidRPr="005416E7"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81EBD2" w14:textId="77777777" w:rsidR="00C21820" w:rsidRDefault="00C21820" w:rsidP="004A1847">
      <w:pPr>
        <w:spacing w:after="0" w:line="240" w:lineRule="auto"/>
      </w:pPr>
      <w:r>
        <w:separator/>
      </w:r>
    </w:p>
  </w:endnote>
  <w:endnote w:type="continuationSeparator" w:id="0">
    <w:p w14:paraId="186187ED" w14:textId="77777777" w:rsidR="00C21820" w:rsidRDefault="00C2182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DDFE56" w14:textId="77777777" w:rsidR="00C21820" w:rsidRDefault="00C21820" w:rsidP="004A1847">
      <w:pPr>
        <w:spacing w:after="0" w:line="240" w:lineRule="auto"/>
      </w:pPr>
      <w:r>
        <w:separator/>
      </w:r>
    </w:p>
  </w:footnote>
  <w:footnote w:type="continuationSeparator" w:id="0">
    <w:p w14:paraId="76A8BE85" w14:textId="77777777" w:rsidR="00C21820" w:rsidRDefault="00C21820" w:rsidP="004A1847">
      <w:pPr>
        <w:spacing w:after="0" w:line="240" w:lineRule="auto"/>
      </w:pPr>
      <w:r>
        <w:continuationSeparator/>
      </w:r>
    </w:p>
  </w:footnote>
  <w:footnote w:id="1">
    <w:p w14:paraId="45A7D160" w14:textId="77777777" w:rsidR="009F3858" w:rsidRPr="0016660C" w:rsidRDefault="009F3858" w:rsidP="009F3858">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521829B7" w14:textId="77777777" w:rsidR="009F3858" w:rsidRPr="0016660C" w:rsidRDefault="009F3858" w:rsidP="009F3858">
      <w:pPr>
        <w:pStyle w:val="Textonotapie"/>
        <w:ind w:firstLine="709"/>
        <w:contextualSpacing/>
        <w:jc w:val="both"/>
        <w:rPr>
          <w:rFonts w:ascii="Verdana" w:hAnsi="Verdana" w:cs="Arial"/>
          <w:sz w:val="16"/>
          <w:szCs w:val="16"/>
        </w:rPr>
      </w:pPr>
      <w:r w:rsidRPr="0016660C">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04052E9F" w14:textId="77777777" w:rsidR="009F3858" w:rsidRPr="0016660C" w:rsidRDefault="009F3858" w:rsidP="009F3858">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Gaceta del Congreso de la República No. 71 del 2005.</w:t>
      </w:r>
    </w:p>
  </w:footnote>
  <w:footnote w:id="3">
    <w:p w14:paraId="55DA34C5" w14:textId="77777777" w:rsidR="009F3858" w:rsidRPr="00274625" w:rsidRDefault="009F3858" w:rsidP="009F3858">
      <w:pPr>
        <w:pStyle w:val="Textonotapie"/>
        <w:ind w:firstLine="709"/>
        <w:contextualSpacing/>
        <w:jc w:val="both"/>
        <w:rPr>
          <w:rFonts w:ascii="Verdana" w:hAnsi="Verdana" w:cs="Arial"/>
          <w:sz w:val="16"/>
          <w:szCs w:val="16"/>
          <w:lang w:val="pt-BR"/>
        </w:rPr>
      </w:pPr>
      <w:r w:rsidRPr="00274625">
        <w:rPr>
          <w:rStyle w:val="Refdenotaalpie"/>
          <w:rFonts w:ascii="Verdana" w:hAnsi="Verdana" w:cs="Arial"/>
          <w:sz w:val="16"/>
          <w:szCs w:val="16"/>
        </w:rPr>
        <w:footnoteRef/>
      </w:r>
      <w:r w:rsidRPr="00274625">
        <w:rPr>
          <w:rFonts w:ascii="Verdana" w:hAnsi="Verdana" w:cs="Arial"/>
          <w:sz w:val="16"/>
          <w:szCs w:val="16"/>
          <w:lang w:val="pt-BR"/>
        </w:rPr>
        <w:t xml:space="preserve"> Corte Constitucional, Sentencia C- 1153 de 2005, M.P. Marco Gerardo Monroy Cabra.</w:t>
      </w:r>
    </w:p>
  </w:footnote>
  <w:footnote w:id="4">
    <w:p w14:paraId="2F274D72" w14:textId="77777777" w:rsidR="009F3858" w:rsidRPr="00274625" w:rsidRDefault="009F3858" w:rsidP="009F3858">
      <w:pPr>
        <w:pStyle w:val="Textonotapie"/>
        <w:ind w:firstLine="709"/>
        <w:contextualSpacing/>
        <w:jc w:val="both"/>
        <w:rPr>
          <w:rFonts w:ascii="Verdana" w:hAnsi="Verdana" w:cs="Arial"/>
          <w:sz w:val="16"/>
          <w:szCs w:val="16"/>
          <w:lang w:val="pt-BR"/>
        </w:rPr>
      </w:pPr>
      <w:r w:rsidRPr="00274625">
        <w:rPr>
          <w:rStyle w:val="Refdenotaalpie"/>
          <w:rFonts w:ascii="Verdana" w:hAnsi="Verdana" w:cs="Arial"/>
          <w:sz w:val="16"/>
          <w:szCs w:val="16"/>
        </w:rPr>
        <w:footnoteRef/>
      </w:r>
      <w:r w:rsidRPr="00274625">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11D2ED20" w14:textId="77777777" w:rsidR="009F3858" w:rsidRPr="0016660C" w:rsidRDefault="009F3858" w:rsidP="009F3858">
      <w:pPr>
        <w:pStyle w:val="Textonotapie"/>
        <w:ind w:firstLine="709"/>
        <w:contextualSpacing/>
        <w:jc w:val="both"/>
        <w:rPr>
          <w:rFonts w:ascii="Verdana" w:hAnsi="Verdana" w:cs="Arial"/>
          <w:sz w:val="16"/>
          <w:szCs w:val="16"/>
          <w:lang w:val="es-CO"/>
        </w:rPr>
      </w:pPr>
      <w:r w:rsidRPr="00274625">
        <w:rPr>
          <w:rStyle w:val="Refdenotaalpie"/>
          <w:rFonts w:ascii="Verdana" w:hAnsi="Verdana" w:cs="Arial"/>
          <w:sz w:val="16"/>
          <w:szCs w:val="16"/>
        </w:rPr>
        <w:footnoteRef/>
      </w:r>
      <w:r w:rsidRPr="00274625">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63DFAEE1" w14:textId="77777777" w:rsidR="009F3858" w:rsidRPr="0016660C" w:rsidRDefault="009F3858" w:rsidP="009F3858">
      <w:pPr>
        <w:pStyle w:val="Textonotapie"/>
        <w:ind w:firstLine="708"/>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de fecha 24 de julio de 2013, Rad. 2166, C. P. Álvaro Namén Vargas.  </w:t>
      </w:r>
    </w:p>
  </w:footnote>
  <w:footnote w:id="7">
    <w:p w14:paraId="1744C7CE" w14:textId="77777777" w:rsidR="009F3858" w:rsidRPr="0016660C" w:rsidRDefault="009F3858" w:rsidP="009F3858">
      <w:pPr>
        <w:spacing w:after="0" w:line="240" w:lineRule="auto"/>
        <w:ind w:firstLine="709"/>
        <w:contextualSpacing/>
        <w:jc w:val="both"/>
        <w:rPr>
          <w:rFonts w:ascii="Verdana" w:eastAsia="Times New Roman"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eastAsia="Calibri" w:hAnsi="Verdana" w:cs="Arial"/>
          <w:color w:val="000000"/>
          <w:sz w:val="16"/>
          <w:szCs w:val="16"/>
        </w:rPr>
        <w:t>“</w:t>
      </w:r>
      <w:r w:rsidRPr="0016660C">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44B1EA0D" w14:textId="77777777" w:rsidR="009F3858" w:rsidRPr="0016660C" w:rsidRDefault="009F3858" w:rsidP="009F3858">
      <w:pPr>
        <w:spacing w:after="0" w:line="240" w:lineRule="auto"/>
        <w:ind w:firstLine="709"/>
        <w:contextualSpacing/>
        <w:jc w:val="both"/>
        <w:rPr>
          <w:rFonts w:ascii="Verdana" w:eastAsia="Times New Roman" w:hAnsi="Verdana" w:cs="Arial"/>
          <w:sz w:val="16"/>
          <w:szCs w:val="16"/>
        </w:rPr>
      </w:pPr>
      <w:r w:rsidRPr="0016660C">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16660C">
        <w:rPr>
          <w:rFonts w:ascii="Verdana" w:eastAsia="Calibri" w:hAnsi="Verdana" w:cs="Arial"/>
          <w:color w:val="000000"/>
          <w:sz w:val="16"/>
          <w:szCs w:val="16"/>
        </w:rPr>
        <w:t>”</w:t>
      </w:r>
      <w:r w:rsidRPr="0016660C">
        <w:rPr>
          <w:rFonts w:ascii="Verdana" w:eastAsia="Times New Roman" w:hAnsi="Verdana" w:cs="Arial"/>
          <w:sz w:val="16"/>
          <w:szCs w:val="16"/>
        </w:rPr>
        <w:t>.</w:t>
      </w:r>
    </w:p>
  </w:footnote>
  <w:footnote w:id="8">
    <w:p w14:paraId="786CC1BF" w14:textId="77777777" w:rsidR="009F3858" w:rsidRPr="0016660C" w:rsidRDefault="009F3858" w:rsidP="009F3858">
      <w:pPr>
        <w:pStyle w:val="NormalWeb"/>
        <w:spacing w:before="0" w:beforeAutospacing="0" w:after="0" w:afterAutospacing="0"/>
        <w:ind w:firstLine="709"/>
        <w:contextualSpacing/>
        <w:jc w:val="both"/>
        <w:rPr>
          <w:rFonts w:ascii="Verdana" w:hAnsi="Verdana" w:cs="Arial"/>
          <w:sz w:val="16"/>
          <w:szCs w:val="16"/>
          <w:lang w:val="es-MX"/>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eastAsia="Calibri" w:hAnsi="Verdana" w:cs="Arial"/>
          <w:color w:val="000000"/>
          <w:sz w:val="16"/>
          <w:szCs w:val="16"/>
        </w:rPr>
        <w:t>“</w:t>
      </w:r>
      <w:r w:rsidRPr="0016660C">
        <w:rPr>
          <w:rFonts w:ascii="Verdana" w:hAnsi="Verdana" w:cs="Arial"/>
          <w:sz w:val="16"/>
          <w:szCs w:val="16"/>
          <w:lang w:val="es-MX"/>
        </w:rPr>
        <w:t xml:space="preserve">Artículo 38. Prohibiciones para los servidores públicos. A los empleados del Estado les está prohibido: </w:t>
      </w:r>
      <w:r>
        <w:rPr>
          <w:rFonts w:ascii="Verdana" w:hAnsi="Verdana" w:cs="Arial"/>
          <w:sz w:val="16"/>
          <w:szCs w:val="16"/>
          <w:lang w:val="es-MX"/>
        </w:rPr>
        <w:t>(</w:t>
      </w:r>
      <w:r w:rsidRPr="0016660C">
        <w:rPr>
          <w:rFonts w:ascii="Verdana" w:hAnsi="Verdana" w:cs="Arial"/>
          <w:sz w:val="16"/>
          <w:szCs w:val="16"/>
          <w:lang w:val="es-MX"/>
        </w:rPr>
        <w:t>…</w:t>
      </w:r>
      <w:r>
        <w:rPr>
          <w:rFonts w:ascii="Verdana" w:hAnsi="Verdana" w:cs="Arial"/>
          <w:sz w:val="16"/>
          <w:szCs w:val="16"/>
          <w:lang w:val="es-MX"/>
        </w:rPr>
        <w:t>)</w:t>
      </w:r>
    </w:p>
    <w:p w14:paraId="7F51B218" w14:textId="77777777" w:rsidR="009F3858" w:rsidRDefault="009F3858" w:rsidP="009F3858">
      <w:pPr>
        <w:pStyle w:val="NormalWeb"/>
        <w:spacing w:before="0" w:beforeAutospacing="0" w:after="0" w:afterAutospacing="0"/>
        <w:ind w:firstLine="709"/>
        <w:contextualSpacing/>
        <w:jc w:val="both"/>
        <w:rPr>
          <w:rFonts w:ascii="Verdana" w:hAnsi="Verdana" w:cs="Arial"/>
          <w:sz w:val="16"/>
          <w:szCs w:val="16"/>
          <w:lang w:val="es-MX"/>
        </w:rPr>
      </w:pPr>
      <w:r w:rsidRPr="0016660C">
        <w:rPr>
          <w:rStyle w:val="baj"/>
          <w:rFonts w:ascii="Verdana" w:hAnsi="Verdana" w:cs="Arial"/>
          <w:sz w:val="16"/>
          <w:szCs w:val="16"/>
          <w:lang w:val="es-MX"/>
        </w:rPr>
        <w:t>Parágrafo.</w:t>
      </w:r>
      <w:r w:rsidRPr="0016660C">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16660C">
        <w:rPr>
          <w:rFonts w:ascii="Verdana" w:eastAsia="Calibri" w:hAnsi="Verdana" w:cs="Arial"/>
          <w:color w:val="000000"/>
          <w:sz w:val="16"/>
          <w:szCs w:val="16"/>
        </w:rPr>
        <w:t>”</w:t>
      </w:r>
      <w:r w:rsidRPr="0016660C">
        <w:rPr>
          <w:rFonts w:ascii="Verdana" w:hAnsi="Verdana" w:cs="Arial"/>
          <w:sz w:val="16"/>
          <w:szCs w:val="16"/>
          <w:lang w:val="es-MX"/>
        </w:rPr>
        <w:t>.</w:t>
      </w:r>
    </w:p>
    <w:p w14:paraId="7C2A50B4" w14:textId="77777777" w:rsidR="009F3858" w:rsidRPr="0016660C" w:rsidRDefault="009F3858" w:rsidP="009F3858">
      <w:pPr>
        <w:pStyle w:val="NormalWeb"/>
        <w:spacing w:before="0" w:beforeAutospacing="0" w:after="0" w:afterAutospacing="0"/>
        <w:ind w:firstLine="709"/>
        <w:contextualSpacing/>
        <w:jc w:val="both"/>
        <w:rPr>
          <w:rFonts w:ascii="Verdana" w:hAnsi="Verdana" w:cs="Arial"/>
          <w:sz w:val="16"/>
          <w:szCs w:val="16"/>
          <w:lang w:val="es-MX"/>
        </w:rPr>
      </w:pPr>
    </w:p>
  </w:footnote>
  <w:footnote w:id="9">
    <w:p w14:paraId="7E6711AF" w14:textId="77777777" w:rsidR="009F3858" w:rsidRPr="0016660C" w:rsidRDefault="009F3858" w:rsidP="009F3858">
      <w:pPr>
        <w:spacing w:after="0" w:line="240" w:lineRule="auto"/>
        <w:ind w:left="100" w:right="244" w:firstLine="709"/>
        <w:contextualSpacing/>
        <w:jc w:val="both"/>
        <w:rPr>
          <w:rFonts w:ascii="Verdana" w:hAnsi="Verdana" w:cs="Arial"/>
          <w:sz w:val="16"/>
          <w:szCs w:val="16"/>
          <w:lang w:val="es-ES"/>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0">
    <w:p w14:paraId="531E4FFF" w14:textId="77777777" w:rsidR="009F3858" w:rsidRPr="006D382B" w:rsidRDefault="009F3858" w:rsidP="009F3858">
      <w:pPr>
        <w:pStyle w:val="Textonotapie"/>
        <w:ind w:firstLine="709"/>
        <w:contextualSpacing/>
        <w:jc w:val="both"/>
        <w:rPr>
          <w:rFonts w:ascii="Verdana" w:hAnsi="Verdana" w:cs="Arial"/>
          <w:sz w:val="16"/>
          <w:szCs w:val="16"/>
        </w:rPr>
      </w:pPr>
      <w:r w:rsidRPr="006D382B">
        <w:rPr>
          <w:rStyle w:val="Refdenotaalpie"/>
          <w:rFonts w:ascii="Verdana" w:hAnsi="Verdana"/>
          <w:sz w:val="16"/>
          <w:szCs w:val="16"/>
        </w:rPr>
        <w:footnoteRef/>
      </w:r>
      <w:r w:rsidRPr="006D382B">
        <w:rPr>
          <w:rFonts w:ascii="Verdana" w:hAnsi="Verdana"/>
          <w:sz w:val="16"/>
          <w:szCs w:val="16"/>
        </w:rPr>
        <w:t xml:space="preserve"> </w:t>
      </w:r>
      <w:r w:rsidRPr="006D382B">
        <w:rPr>
          <w:rFonts w:ascii="Verdana" w:hAnsi="Verdana" w:cs="Arial"/>
          <w:sz w:val="16"/>
          <w:szCs w:val="16"/>
        </w:rPr>
        <w:t>Consejo de Estado -Sección Tercera-. Sentencia del 21 de febrero de 2025. Radicación Número: 68.280. CP: José Roberto Sáchica Méndez.</w:t>
      </w:r>
    </w:p>
  </w:footnote>
  <w:footnote w:id="11">
    <w:p w14:paraId="4CEFD95B" w14:textId="77777777" w:rsidR="009F3858" w:rsidRPr="006D382B" w:rsidRDefault="009F3858" w:rsidP="009F3858">
      <w:pPr>
        <w:pStyle w:val="Textonotapie"/>
        <w:ind w:firstLine="709"/>
        <w:contextualSpacing/>
        <w:jc w:val="both"/>
        <w:rPr>
          <w:rFonts w:ascii="Verdana" w:hAnsi="Verdana" w:cs="Arial"/>
          <w:sz w:val="16"/>
          <w:szCs w:val="16"/>
        </w:rPr>
      </w:pPr>
      <w:r w:rsidRPr="006D382B">
        <w:rPr>
          <w:rFonts w:ascii="Verdana" w:hAnsi="Verdana"/>
          <w:sz w:val="16"/>
          <w:szCs w:val="16"/>
          <w:vertAlign w:val="superscript"/>
        </w:rPr>
        <w:footnoteRef/>
      </w:r>
      <w:r w:rsidRPr="006D382B">
        <w:rPr>
          <w:rFonts w:ascii="Verdana" w:hAnsi="Verdana"/>
          <w:sz w:val="16"/>
          <w:szCs w:val="16"/>
          <w:vertAlign w:val="superscript"/>
        </w:rPr>
        <w:t xml:space="preserve"> </w:t>
      </w:r>
      <w:r w:rsidRPr="006D382B">
        <w:rPr>
          <w:rFonts w:ascii="Verdana" w:hAnsi="Verdana" w:cs="Arial"/>
          <w:sz w:val="16"/>
          <w:szCs w:val="16"/>
        </w:rPr>
        <w:t xml:space="preserve">Ley 1150 de 2007: Artículo 2, numeral 4, literal c. </w:t>
      </w:r>
      <w:r>
        <w:rPr>
          <w:rFonts w:ascii="Verdana" w:hAnsi="Verdana" w:cs="Arial"/>
          <w:sz w:val="16"/>
          <w:szCs w:val="16"/>
        </w:rPr>
        <w:t>(</w:t>
      </w:r>
      <w:r w:rsidRPr="006D382B">
        <w:rPr>
          <w:rFonts w:ascii="Verdana" w:hAnsi="Verdana" w:cs="Arial"/>
          <w:sz w:val="16"/>
          <w:szCs w:val="16"/>
        </w:rPr>
        <w:t>…</w:t>
      </w:r>
      <w:r>
        <w:rPr>
          <w:rFonts w:ascii="Verdana" w:hAnsi="Verdana" w:cs="Arial"/>
          <w:sz w:val="16"/>
          <w:szCs w:val="16"/>
        </w:rPr>
        <w:t>)</w:t>
      </w:r>
      <w:r w:rsidRPr="006D382B">
        <w:rPr>
          <w:rFonts w:ascii="Verdana" w:hAnsi="Verdana" w:cs="Arial"/>
          <w:sz w:val="16"/>
          <w:szCs w:val="16"/>
        </w:rPr>
        <w:t xml:space="preserve">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footnote>
  <w:footnote w:id="12">
    <w:p w14:paraId="28724B3B" w14:textId="77777777" w:rsidR="009F3858" w:rsidRPr="006D382B" w:rsidRDefault="009F3858" w:rsidP="009F3858">
      <w:pPr>
        <w:pStyle w:val="Textonotapie"/>
        <w:ind w:firstLine="709"/>
        <w:contextualSpacing/>
        <w:jc w:val="both"/>
        <w:rPr>
          <w:rFonts w:ascii="Verdana" w:hAnsi="Verdana" w:cs="Arial"/>
          <w:sz w:val="16"/>
          <w:szCs w:val="16"/>
        </w:rPr>
      </w:pPr>
      <w:r w:rsidRPr="006D382B">
        <w:rPr>
          <w:rFonts w:ascii="Verdana" w:hAnsi="Verdana"/>
          <w:sz w:val="16"/>
          <w:szCs w:val="16"/>
          <w:vertAlign w:val="superscript"/>
        </w:rPr>
        <w:footnoteRef/>
      </w:r>
      <w:r w:rsidRPr="006D382B">
        <w:rPr>
          <w:rFonts w:ascii="Verdana" w:hAnsi="Verdana" w:cs="Arial"/>
          <w:sz w:val="16"/>
          <w:szCs w:val="16"/>
          <w:vertAlign w:val="superscript"/>
        </w:rPr>
        <w:t xml:space="preserve"> </w:t>
      </w:r>
      <w:r w:rsidRPr="006D382B">
        <w:rPr>
          <w:rFonts w:ascii="Verdana" w:hAnsi="Verdana" w:cs="Arial"/>
          <w:sz w:val="16"/>
          <w:szCs w:val="16"/>
        </w:rPr>
        <w:t>Ley 80 de 1993: “Artículo 41. Del perfeccionamiento del contrato. Los contratos del Estado se perfeccionan cuando se logre acuerdo sobre el objeto y la contraprestación y éste se eleve a escrito</w:t>
      </w:r>
      <w:r>
        <w:rPr>
          <w:rFonts w:ascii="Verdana" w:hAnsi="Verdana" w:cs="Arial"/>
          <w:sz w:val="16"/>
          <w:szCs w:val="16"/>
        </w:rPr>
        <w:t xml:space="preserve"> (</w:t>
      </w:r>
      <w:r w:rsidRPr="006D382B">
        <w:rPr>
          <w:rFonts w:ascii="Verdana" w:hAnsi="Verdana" w:cs="Arial"/>
          <w:sz w:val="16"/>
          <w:szCs w:val="16"/>
        </w:rPr>
        <w:t>…</w:t>
      </w:r>
      <w:r>
        <w:rPr>
          <w:rFonts w:ascii="Verdana" w:hAnsi="Verdana" w:cs="Arial"/>
          <w:sz w:val="16"/>
          <w:szCs w:val="16"/>
        </w:rPr>
        <w:t>)</w:t>
      </w:r>
      <w:r w:rsidRPr="006D382B">
        <w:rPr>
          <w:rFonts w:ascii="Verdana" w:hAnsi="Verdana" w:cs="Arial"/>
          <w:sz w:val="16"/>
          <w:szCs w:val="16"/>
        </w:rPr>
        <w:t>”.</w:t>
      </w:r>
    </w:p>
  </w:footnote>
  <w:footnote w:id="13">
    <w:p w14:paraId="43BCE1BD" w14:textId="77777777" w:rsidR="009F3858" w:rsidRPr="006D382B" w:rsidRDefault="009F3858" w:rsidP="009F3858">
      <w:pPr>
        <w:pStyle w:val="Textonotapie"/>
        <w:ind w:left="851" w:hanging="142"/>
        <w:contextualSpacing/>
        <w:jc w:val="both"/>
        <w:rPr>
          <w:rFonts w:ascii="Verdana" w:hAnsi="Verdana"/>
          <w:sz w:val="16"/>
          <w:szCs w:val="16"/>
          <w:lang w:val="es-CO"/>
        </w:rPr>
      </w:pPr>
      <w:r w:rsidRPr="006D382B">
        <w:rPr>
          <w:rStyle w:val="Refdenotaalpie"/>
          <w:rFonts w:ascii="Verdana" w:hAnsi="Verdana"/>
          <w:sz w:val="16"/>
          <w:szCs w:val="16"/>
        </w:rPr>
        <w:footnoteRef/>
      </w:r>
      <w:r w:rsidRPr="006D382B">
        <w:rPr>
          <w:rFonts w:ascii="Verdana" w:hAnsi="Verdana"/>
          <w:sz w:val="16"/>
          <w:szCs w:val="16"/>
          <w:lang w:val="es-CO"/>
        </w:rPr>
        <w:t xml:space="preserve"> Consejo de Estado, Sección Tercera. Auto del 4 de octubre de 2024. Exp. 70.313. C.P: Fredy Ibarra</w:t>
      </w:r>
      <w:r>
        <w:rPr>
          <w:rFonts w:ascii="Verdana" w:hAnsi="Verdana"/>
          <w:sz w:val="16"/>
          <w:szCs w:val="16"/>
          <w:lang w:val="es-CO"/>
        </w:rPr>
        <w:t xml:space="preserve"> </w:t>
      </w:r>
      <w:r w:rsidRPr="006D382B">
        <w:rPr>
          <w:rFonts w:ascii="Verdana" w:hAnsi="Verdana"/>
          <w:sz w:val="16"/>
          <w:szCs w:val="16"/>
          <w:lang w:val="es-CO"/>
        </w:rPr>
        <w:t>Martínez.</w:t>
      </w:r>
    </w:p>
  </w:footnote>
  <w:footnote w:id="14">
    <w:p w14:paraId="402CD831" w14:textId="77777777" w:rsidR="009F3858" w:rsidRPr="004F171E" w:rsidRDefault="009F3858" w:rsidP="009F3858">
      <w:pPr>
        <w:pStyle w:val="Textonotapie"/>
        <w:ind w:firstLine="709"/>
        <w:contextualSpacing/>
        <w:jc w:val="both"/>
        <w:rPr>
          <w:rFonts w:ascii="Verdana" w:hAnsi="Verdana"/>
          <w:sz w:val="16"/>
          <w:szCs w:val="16"/>
          <w:lang w:val="es-CO"/>
        </w:rPr>
      </w:pPr>
      <w:r w:rsidRPr="004F171E">
        <w:rPr>
          <w:rStyle w:val="Refdenotaalpie"/>
          <w:rFonts w:ascii="Verdana" w:hAnsi="Verdana"/>
          <w:sz w:val="16"/>
          <w:szCs w:val="16"/>
        </w:rPr>
        <w:footnoteRef/>
      </w:r>
      <w:r w:rsidRPr="004F171E">
        <w:rPr>
          <w:rFonts w:ascii="Verdana" w:hAnsi="Verdana"/>
          <w:sz w:val="16"/>
          <w:szCs w:val="16"/>
        </w:rPr>
        <w:t xml:space="preserve"> La parte resolutiva del auto dispone lo siguiente; “</w:t>
      </w:r>
      <w:r w:rsidRPr="004F171E">
        <w:rPr>
          <w:rFonts w:ascii="Verdana" w:hAnsi="Verdana"/>
          <w:bCs/>
          <w:sz w:val="16"/>
          <w:szCs w:val="16"/>
          <w:lang w:val="es-CO"/>
        </w:rPr>
        <w:t>PRIMERO: DECRETAR la suspensión provisional de los apartes cuestionados del inciso segundo del numeral 16.2 de la Circular Externa</w:t>
      </w:r>
      <w:r w:rsidRPr="004F171E">
        <w:rPr>
          <w:rFonts w:ascii="Verdana" w:hAnsi="Verdana"/>
          <w:sz w:val="16"/>
          <w:szCs w:val="16"/>
          <w:lang w:val="es-CO"/>
        </w:rPr>
        <w:t xml:space="preserve"> única, versión 3 del 27 de diciembre de 2023, expedida por la Agencia Nacional de Contratación Pública – Colombia Compra Eficiente, según el cual </w:t>
      </w:r>
      <w:r w:rsidRPr="004F171E">
        <w:rPr>
          <w:rFonts w:ascii="Verdana" w:hAnsi="Verdana"/>
          <w:i/>
          <w:sz w:val="16"/>
          <w:szCs w:val="16"/>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4F171E">
        <w:rPr>
          <w:rFonts w:ascii="Verdana" w:hAnsi="Verdana"/>
          <w:sz w:val="16"/>
          <w:szCs w:val="16"/>
          <w:lang w:val="es-CO"/>
        </w:rPr>
        <w:t xml:space="preserve">, por las razones expuestas en precedencia. </w:t>
      </w:r>
    </w:p>
    <w:p w14:paraId="136EA30D" w14:textId="77777777" w:rsidR="009F3858" w:rsidRPr="004F171E" w:rsidRDefault="009F3858" w:rsidP="009F3858">
      <w:pPr>
        <w:pStyle w:val="Textonotapie"/>
        <w:ind w:firstLine="709"/>
        <w:contextualSpacing/>
        <w:jc w:val="both"/>
        <w:rPr>
          <w:rFonts w:ascii="Verdana" w:hAnsi="Verdana"/>
          <w:sz w:val="16"/>
          <w:szCs w:val="16"/>
          <w:lang w:val="es-CO"/>
        </w:rPr>
      </w:pPr>
      <w:r w:rsidRPr="004F171E">
        <w:rPr>
          <w:rFonts w:ascii="Verdana" w:hAnsi="Verdana"/>
          <w:bCs/>
          <w:sz w:val="16"/>
          <w:szCs w:val="16"/>
          <w:lang w:val="es-CO"/>
        </w:rPr>
        <w:t>SEGUNDO: DECRETAR</w:t>
      </w:r>
      <w:r w:rsidRPr="004F171E">
        <w:rPr>
          <w:rFonts w:ascii="Verdana" w:hAnsi="Verdana"/>
          <w:b/>
          <w:sz w:val="16"/>
          <w:szCs w:val="16"/>
          <w:lang w:val="es-CO"/>
        </w:rPr>
        <w:t xml:space="preserve"> </w:t>
      </w:r>
      <w:r w:rsidRPr="004F171E">
        <w:rPr>
          <w:rFonts w:ascii="Verdana" w:hAnsi="Verdana"/>
          <w:sz w:val="16"/>
          <w:szCs w:val="16"/>
          <w:lang w:val="es-CO"/>
        </w:rPr>
        <w:t>la suspensión provisional de la expresión “</w:t>
      </w:r>
      <w:r w:rsidRPr="004F171E">
        <w:rPr>
          <w:rFonts w:ascii="Verdana" w:hAnsi="Verdana"/>
          <w:i/>
          <w:sz w:val="16"/>
          <w:szCs w:val="16"/>
          <w:lang w:val="es-CO"/>
        </w:rPr>
        <w:t>contratos</w:t>
      </w:r>
      <w:r w:rsidRPr="004F171E">
        <w:rPr>
          <w:rFonts w:ascii="Verdana" w:hAnsi="Verdana"/>
          <w:sz w:val="16"/>
          <w:szCs w:val="16"/>
          <w:lang w:val="es-CO"/>
        </w:rPr>
        <w:t xml:space="preserve">” y del párrafo </w:t>
      </w:r>
      <w:r w:rsidRPr="004F171E">
        <w:rPr>
          <w:rFonts w:ascii="Verdana" w:hAnsi="Verdana"/>
          <w:i/>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4F171E">
        <w:rPr>
          <w:rFonts w:ascii="Verdana" w:hAnsi="Verdana"/>
          <w:sz w:val="16"/>
          <w:szCs w:val="16"/>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Flórez. </w:t>
      </w:r>
    </w:p>
  </w:footnote>
  <w:footnote w:id="15">
    <w:p w14:paraId="1671D5A2" w14:textId="77777777" w:rsidR="009F3858" w:rsidRPr="004F171E" w:rsidRDefault="009F3858" w:rsidP="009F3858">
      <w:pPr>
        <w:spacing w:after="0" w:line="240" w:lineRule="auto"/>
        <w:ind w:firstLine="709"/>
        <w:contextualSpacing/>
        <w:jc w:val="both"/>
        <w:rPr>
          <w:rFonts w:ascii="Verdana" w:eastAsia="Times New Roman" w:hAnsi="Verdana" w:cs="Times New Roman"/>
          <w:sz w:val="16"/>
          <w:szCs w:val="16"/>
          <w:lang w:eastAsia="es-ES"/>
        </w:rPr>
      </w:pPr>
      <w:r w:rsidRPr="004F171E">
        <w:rPr>
          <w:rStyle w:val="Refdenotaalpie"/>
          <w:rFonts w:ascii="Verdana" w:hAnsi="Verdana"/>
          <w:sz w:val="16"/>
          <w:szCs w:val="16"/>
        </w:rPr>
        <w:footnoteRef/>
      </w:r>
      <w:r w:rsidRPr="004F171E">
        <w:rPr>
          <w:rFonts w:ascii="Verdana" w:hAnsi="Verdana"/>
          <w:sz w:val="16"/>
          <w:szCs w:val="16"/>
        </w:rPr>
        <w:t xml:space="preserve"> </w:t>
      </w:r>
      <w:r w:rsidRPr="004F171E">
        <w:rPr>
          <w:rFonts w:ascii="Verdana" w:eastAsia="Times New Roman" w:hAnsi="Verdana" w:cs="Times New Roman"/>
          <w:sz w:val="16"/>
          <w:szCs w:val="16"/>
          <w:lang w:eastAsia="es-ES"/>
        </w:rPr>
        <w:t xml:space="preserve">Consejo de Estado. Sala de lo Contencioso Administrativo. Sección Tercera. Subsección B. 17 de octubre de 2025. Magistrado Ponente: Fredy Ibarra Martínez.  </w:t>
      </w:r>
      <w:r w:rsidRPr="004F171E">
        <w:rPr>
          <w:rFonts w:ascii="Verdana" w:hAnsi="Verdana"/>
          <w:sz w:val="16"/>
          <w:szCs w:val="16"/>
        </w:rPr>
        <w:t xml:space="preserve">La parte de la providencia señala: </w:t>
      </w:r>
      <w:r w:rsidRPr="004F171E">
        <w:rPr>
          <w:rFonts w:ascii="Verdana" w:eastAsia="Times New Roman" w:hAnsi="Verdana" w:cs="Times New Roman"/>
          <w:sz w:val="16"/>
          <w:szCs w:val="16"/>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16">
    <w:p w14:paraId="281D6C43" w14:textId="77777777" w:rsidR="009F3858" w:rsidRPr="00032EA1" w:rsidRDefault="009F3858" w:rsidP="009F3858">
      <w:pPr>
        <w:pStyle w:val="Textonotapie"/>
        <w:ind w:firstLine="709"/>
        <w:jc w:val="both"/>
        <w:rPr>
          <w:rFonts w:ascii="Verdana" w:hAnsi="Verdana"/>
          <w:sz w:val="16"/>
          <w:szCs w:val="16"/>
          <w:lang w:val="es-CO"/>
        </w:rPr>
      </w:pPr>
      <w:r w:rsidRPr="00032EA1">
        <w:rPr>
          <w:rStyle w:val="Refdenotaalpie"/>
          <w:rFonts w:ascii="Verdana" w:hAnsi="Verdana"/>
          <w:sz w:val="16"/>
          <w:szCs w:val="16"/>
        </w:rPr>
        <w:footnoteRef/>
      </w:r>
      <w:r w:rsidRPr="00032EA1">
        <w:rPr>
          <w:rFonts w:ascii="Verdana" w:hAnsi="Verdana"/>
          <w:sz w:val="16"/>
          <w:szCs w:val="16"/>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37083087">
    <w:abstractNumId w:val="5"/>
  </w:num>
  <w:num w:numId="2" w16cid:durableId="642196390">
    <w:abstractNumId w:val="1"/>
  </w:num>
  <w:num w:numId="3" w16cid:durableId="374698697">
    <w:abstractNumId w:val="3"/>
  </w:num>
  <w:num w:numId="4" w16cid:durableId="48281916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712488172">
    <w:abstractNumId w:val="1"/>
  </w:num>
  <w:num w:numId="6" w16cid:durableId="216285423">
    <w:abstractNumId w:val="12"/>
  </w:num>
  <w:num w:numId="7" w16cid:durableId="584340199">
    <w:abstractNumId w:val="4"/>
  </w:num>
  <w:num w:numId="8" w16cid:durableId="632442159">
    <w:abstractNumId w:val="11"/>
  </w:num>
  <w:num w:numId="9" w16cid:durableId="1537422359">
    <w:abstractNumId w:val="6"/>
  </w:num>
  <w:num w:numId="10" w16cid:durableId="344669867">
    <w:abstractNumId w:val="10"/>
  </w:num>
  <w:num w:numId="11" w16cid:durableId="1272471039">
    <w:abstractNumId w:val="7"/>
  </w:num>
  <w:num w:numId="12" w16cid:durableId="1609698115">
    <w:abstractNumId w:val="0"/>
  </w:num>
  <w:num w:numId="13" w16cid:durableId="1667397131">
    <w:abstractNumId w:val="2"/>
  </w:num>
  <w:num w:numId="14" w16cid:durableId="211617467">
    <w:abstractNumId w:val="13"/>
  </w:num>
  <w:num w:numId="15" w16cid:durableId="1383483977">
    <w:abstractNumId w:val="9"/>
  </w:num>
  <w:num w:numId="16" w16cid:durableId="164616290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4365"/>
    <w:rsid w:val="00007FF0"/>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2E41"/>
    <w:rsid w:val="00306570"/>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32D8"/>
    <w:rsid w:val="00466E39"/>
    <w:rsid w:val="004A1847"/>
    <w:rsid w:val="004A305D"/>
    <w:rsid w:val="004F171E"/>
    <w:rsid w:val="004F21C4"/>
    <w:rsid w:val="004F685F"/>
    <w:rsid w:val="005416E7"/>
    <w:rsid w:val="005566E8"/>
    <w:rsid w:val="005676E2"/>
    <w:rsid w:val="00574867"/>
    <w:rsid w:val="00591460"/>
    <w:rsid w:val="005A65E0"/>
    <w:rsid w:val="005B1F67"/>
    <w:rsid w:val="005C3777"/>
    <w:rsid w:val="005C5CDC"/>
    <w:rsid w:val="005D476C"/>
    <w:rsid w:val="006200BF"/>
    <w:rsid w:val="006219F8"/>
    <w:rsid w:val="006302F7"/>
    <w:rsid w:val="00646B9F"/>
    <w:rsid w:val="00665D70"/>
    <w:rsid w:val="006823F2"/>
    <w:rsid w:val="00686960"/>
    <w:rsid w:val="006900D9"/>
    <w:rsid w:val="006D16D1"/>
    <w:rsid w:val="00702F16"/>
    <w:rsid w:val="00706C16"/>
    <w:rsid w:val="007340C3"/>
    <w:rsid w:val="0075235A"/>
    <w:rsid w:val="00756841"/>
    <w:rsid w:val="007649AB"/>
    <w:rsid w:val="007668BA"/>
    <w:rsid w:val="00771D0C"/>
    <w:rsid w:val="007833AC"/>
    <w:rsid w:val="007B268C"/>
    <w:rsid w:val="007B7171"/>
    <w:rsid w:val="007C0C0F"/>
    <w:rsid w:val="007C3DC2"/>
    <w:rsid w:val="007D4C1B"/>
    <w:rsid w:val="007E5497"/>
    <w:rsid w:val="00806F5F"/>
    <w:rsid w:val="00820278"/>
    <w:rsid w:val="008258C9"/>
    <w:rsid w:val="00844AE9"/>
    <w:rsid w:val="008567DC"/>
    <w:rsid w:val="00867F95"/>
    <w:rsid w:val="008843B6"/>
    <w:rsid w:val="00891928"/>
    <w:rsid w:val="008A446D"/>
    <w:rsid w:val="008B25F1"/>
    <w:rsid w:val="008D180B"/>
    <w:rsid w:val="008E32E1"/>
    <w:rsid w:val="008F0EA7"/>
    <w:rsid w:val="00923EEF"/>
    <w:rsid w:val="009419F9"/>
    <w:rsid w:val="0095685E"/>
    <w:rsid w:val="00961B09"/>
    <w:rsid w:val="00965334"/>
    <w:rsid w:val="0097093E"/>
    <w:rsid w:val="009A0DFA"/>
    <w:rsid w:val="009A1C6F"/>
    <w:rsid w:val="009B2D26"/>
    <w:rsid w:val="009C71FA"/>
    <w:rsid w:val="009C72E7"/>
    <w:rsid w:val="009C7F7E"/>
    <w:rsid w:val="009D20A9"/>
    <w:rsid w:val="009D3058"/>
    <w:rsid w:val="009F3858"/>
    <w:rsid w:val="009F3A13"/>
    <w:rsid w:val="00A122D3"/>
    <w:rsid w:val="00A14468"/>
    <w:rsid w:val="00A17F13"/>
    <w:rsid w:val="00A20739"/>
    <w:rsid w:val="00A23AF9"/>
    <w:rsid w:val="00A33C78"/>
    <w:rsid w:val="00A7039C"/>
    <w:rsid w:val="00A81EA3"/>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21820"/>
    <w:rsid w:val="00C330EB"/>
    <w:rsid w:val="00C50D69"/>
    <w:rsid w:val="00C5365C"/>
    <w:rsid w:val="00C754BE"/>
    <w:rsid w:val="00C76B1C"/>
    <w:rsid w:val="00C925AC"/>
    <w:rsid w:val="00CB6357"/>
    <w:rsid w:val="00CC1B26"/>
    <w:rsid w:val="00D361FD"/>
    <w:rsid w:val="00D423A2"/>
    <w:rsid w:val="00D44E26"/>
    <w:rsid w:val="00D520D8"/>
    <w:rsid w:val="00D62FEC"/>
    <w:rsid w:val="00D63AC2"/>
    <w:rsid w:val="00D72CEC"/>
    <w:rsid w:val="00D7383B"/>
    <w:rsid w:val="00D7788A"/>
    <w:rsid w:val="00DA231B"/>
    <w:rsid w:val="00DC39FC"/>
    <w:rsid w:val="00DF5254"/>
    <w:rsid w:val="00E02524"/>
    <w:rsid w:val="00E16408"/>
    <w:rsid w:val="00E20894"/>
    <w:rsid w:val="00E245AB"/>
    <w:rsid w:val="00E2764C"/>
    <w:rsid w:val="00E27F2E"/>
    <w:rsid w:val="00E35BCF"/>
    <w:rsid w:val="00E50AFE"/>
    <w:rsid w:val="00E75C92"/>
    <w:rsid w:val="00E771DC"/>
    <w:rsid w:val="00E8772A"/>
    <w:rsid w:val="00E90F6B"/>
    <w:rsid w:val="00E92C27"/>
    <w:rsid w:val="00EA0E3D"/>
    <w:rsid w:val="00EC38A7"/>
    <w:rsid w:val="00EE0AE0"/>
    <w:rsid w:val="00EE1AA8"/>
    <w:rsid w:val="00EF2BCE"/>
    <w:rsid w:val="00F23FEA"/>
    <w:rsid w:val="00F31EDC"/>
    <w:rsid w:val="00F462B3"/>
    <w:rsid w:val="00F513A9"/>
    <w:rsid w:val="00F5664F"/>
    <w:rsid w:val="00F666C4"/>
    <w:rsid w:val="00F72EC9"/>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15FC50C3-D754-47BE-BFEE-E5C338D58A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9F3858"/>
    <w:pPr>
      <w:spacing w:line="240" w:lineRule="exact"/>
    </w:pPr>
    <w:rPr>
      <w:vertAlign w:val="superscript"/>
    </w:rPr>
  </w:style>
  <w:style w:type="character" w:customStyle="1" w:styleId="baj">
    <w:name w:val="b_aj"/>
    <w:basedOn w:val="Fuentedeprrafopredeter"/>
    <w:rsid w:val="009F3858"/>
  </w:style>
  <w:style w:type="character" w:customStyle="1" w:styleId="NormalWebCar">
    <w:name w:val="Normal (Web) Car"/>
    <w:link w:val="NormalWeb"/>
    <w:uiPriority w:val="99"/>
    <w:locked/>
    <w:rsid w:val="009F3858"/>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F3858"/>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ecretariaadministrativa@calarca-quindio.gov.c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d8f5e815-0076-445a-b727-5225634d30bd"/>
    <ds:schemaRef ds:uri="8ae15d26-076e-464e-81a7-6f76a0fb3917"/>
  </ds:schemaRefs>
</ds:datastoreItem>
</file>

<file path=customXml/itemProps2.xml><?xml version="1.0" encoding="utf-8"?>
<ds:datastoreItem xmlns:ds="http://schemas.openxmlformats.org/officeDocument/2006/customXml" ds:itemID="{7C599620-62AB-4E54-8AC6-6C8065052467}"/>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5</TotalTime>
  <Pages>17</Pages>
  <Words>5250</Words>
  <Characters>28876</Characters>
  <Application>Microsoft Office Word</Application>
  <DocSecurity>0</DocSecurity>
  <Lines>240</Lines>
  <Paragraphs>68</Paragraphs>
  <ScaleCrop>false</ScaleCrop>
  <Company/>
  <LinksUpToDate>false</LinksUpToDate>
  <CharactersWithSpaces>34058</CharactersWithSpaces>
  <SharedDoc>false</SharedDoc>
  <HLinks>
    <vt:vector size="18" baseType="variant">
      <vt:variant>
        <vt:i4>3276900</vt:i4>
      </vt:variant>
      <vt:variant>
        <vt:i4>6</vt:i4>
      </vt:variant>
      <vt:variant>
        <vt:i4>0</vt:i4>
      </vt:variant>
      <vt:variant>
        <vt:i4>5</vt:i4>
      </vt:variant>
      <vt:variant>
        <vt:lpwstr>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131134</vt:i4>
      </vt:variant>
      <vt:variant>
        <vt:i4>0</vt:i4>
      </vt:variant>
      <vt:variant>
        <vt:i4>0</vt:i4>
      </vt:variant>
      <vt:variant>
        <vt:i4>5</vt:i4>
      </vt:variant>
      <vt:variant>
        <vt:lpwstr>mailto:secretariaadministrativa@calarca-quindio.gov.co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Camila Alejandra Naranjo Gómez</cp:lastModifiedBy>
  <cp:revision>5</cp:revision>
  <cp:lastPrinted>2023-01-10T21:18:00Z</cp:lastPrinted>
  <dcterms:created xsi:type="dcterms:W3CDTF">2025-12-23T14:31:00Z</dcterms:created>
  <dcterms:modified xsi:type="dcterms:W3CDTF">2025-12-23T19:49:00Z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