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39ABC" w14:textId="77777777" w:rsidR="00F43ACA" w:rsidRDefault="00F43ACA" w:rsidP="00F43ACA">
      <w:pPr>
        <w:jc w:val="both"/>
        <w:rPr>
          <w:rFonts w:ascii="Verdana" w:eastAsia="Calibri" w:hAnsi="Verdana" w:cs="Arial"/>
          <w:b/>
          <w:bCs/>
          <w:lang w:val="es-ES" w:eastAsia="es-ES"/>
        </w:rPr>
      </w:pPr>
      <w:r>
        <w:rPr>
          <w:rFonts w:ascii="Verdana" w:hAnsi="Verdana" w:cs="Arial"/>
          <w:b/>
          <w:bCs/>
        </w:rPr>
        <w:t>DIVISIÓN DEL PROCESO − Lotes o segmentos</w:t>
      </w:r>
      <w:r>
        <w:rPr>
          <w:rFonts w:ascii="Verdana" w:eastAsia="Calibri" w:hAnsi="Verdana" w:cs="Arial"/>
          <w:b/>
          <w:bCs/>
          <w:lang w:val="es-ES" w:eastAsia="es-ES"/>
        </w:rPr>
        <w:t xml:space="preserve"> – Decreto 142 de 2023</w:t>
      </w:r>
    </w:p>
    <w:p w14:paraId="1423E1E3" w14:textId="77777777" w:rsidR="00F43ACA" w:rsidRDefault="00F43ACA" w:rsidP="00F43ACA">
      <w:pPr>
        <w:spacing w:after="0" w:line="240" w:lineRule="auto"/>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lang w:val="es-ES_tradnl"/>
        </w:rPr>
        <w:t>Con</w:t>
      </w:r>
      <w:r>
        <w:rPr>
          <w:rFonts w:ascii="Verdana" w:eastAsia="Calibri" w:hAnsi="Verdana" w:cs="Arial"/>
          <w:bCs/>
          <w:color w:val="000000" w:themeColor="text1"/>
          <w:sz w:val="20"/>
          <w:szCs w:val="20"/>
          <w:lang w:val="es-MX"/>
        </w:rPr>
        <w:t xml:space="preserve"> la reciente expedición del Decreto 142 del de 2023 se reglamentó la disposición contenida en el numeral 6 del artículo 33 de la Ley 2069 de 2020. Con el fin de cumplir el mandato legal indicado, el artículo 2 del Decreto 0142 de 2023 modificó el artículo </w:t>
      </w:r>
      <w:r>
        <w:rPr>
          <w:rFonts w:ascii="Verdana" w:eastAsia="Calibri" w:hAnsi="Verdana" w:cs="Arial"/>
          <w:bCs/>
          <w:color w:val="000000" w:themeColor="text1"/>
          <w:sz w:val="20"/>
          <w:szCs w:val="20"/>
        </w:rPr>
        <w:t>2.2.1.1.1.4.1</w:t>
      </w:r>
      <w:r>
        <w:rPr>
          <w:rFonts w:ascii="Verdana" w:eastAsia="Calibri" w:hAnsi="Verdana" w:cs="Arial"/>
          <w:bCs/>
          <w:color w:val="000000" w:themeColor="text1"/>
          <w:sz w:val="20"/>
          <w:szCs w:val="20"/>
          <w:lang w:val="es-MX"/>
        </w:rPr>
        <w:t xml:space="preserve"> </w:t>
      </w:r>
      <w:r>
        <w:rPr>
          <w:rFonts w:ascii="Verdana" w:eastAsia="Calibri" w:hAnsi="Verdana" w:cs="Arial"/>
          <w:bCs/>
          <w:color w:val="000000" w:themeColor="text1"/>
          <w:sz w:val="20"/>
          <w:szCs w:val="20"/>
        </w:rPr>
        <w:t>del Decreto 1082 de 2015</w:t>
      </w:r>
      <w:r>
        <w:rPr>
          <w:rFonts w:ascii="Verdana" w:eastAsia="Calibri" w:hAnsi="Verdana" w:cs="Arial"/>
          <w:bCs/>
          <w:i/>
          <w:iCs/>
          <w:color w:val="000000" w:themeColor="text1"/>
          <w:sz w:val="20"/>
          <w:szCs w:val="20"/>
        </w:rPr>
        <w:t xml:space="preserve">, </w:t>
      </w:r>
      <w:r>
        <w:rPr>
          <w:rFonts w:ascii="Verdana" w:eastAsia="Calibri" w:hAnsi="Verdana" w:cs="Arial"/>
          <w:bCs/>
          <w:color w:val="000000" w:themeColor="text1"/>
          <w:sz w:val="20"/>
          <w:szCs w:val="20"/>
        </w:rPr>
        <w:t xml:space="preserve">para instar a las entidades públicas para que, desde la configuración del Plan Anual de Adquisiciones, propendan por planear su contratación de tal manera que promueva el adelantamiento de procesos de contratación por lotes o segmentos, a fin de promover la participación de las </w:t>
      </w:r>
      <w:proofErr w:type="spellStart"/>
      <w:r>
        <w:rPr>
          <w:rFonts w:ascii="Verdana" w:eastAsia="Calibri" w:hAnsi="Verdana" w:cs="Arial"/>
          <w:bCs/>
          <w:color w:val="000000" w:themeColor="text1"/>
          <w:sz w:val="20"/>
          <w:szCs w:val="20"/>
        </w:rPr>
        <w:t>Mipymes</w:t>
      </w:r>
      <w:proofErr w:type="spellEnd"/>
      <w:r>
        <w:rPr>
          <w:rFonts w:ascii="Verdana" w:eastAsia="Calibri" w:hAnsi="Verdana" w:cs="Arial"/>
          <w:bCs/>
          <w:color w:val="000000" w:themeColor="text1"/>
          <w:sz w:val="20"/>
          <w:szCs w:val="20"/>
        </w:rPr>
        <w:t xml:space="preserve"> en los procesos de contratación. </w:t>
      </w:r>
    </w:p>
    <w:p w14:paraId="3F9D6ECC" w14:textId="77777777" w:rsidR="00F43ACA" w:rsidRDefault="00F43ACA" w:rsidP="00F43ACA">
      <w:pPr>
        <w:spacing w:after="0" w:line="240" w:lineRule="auto"/>
        <w:jc w:val="both"/>
        <w:rPr>
          <w:rFonts w:ascii="Verdana" w:eastAsia="Calibri" w:hAnsi="Verdana" w:cs="Arial"/>
          <w:bCs/>
          <w:color w:val="000000" w:themeColor="text1"/>
          <w:sz w:val="20"/>
          <w:szCs w:val="20"/>
        </w:rPr>
      </w:pPr>
    </w:p>
    <w:p w14:paraId="15B05DD5" w14:textId="77777777" w:rsidR="00F43ACA" w:rsidRDefault="00F43ACA" w:rsidP="00F43ACA">
      <w:pPr>
        <w:spacing w:after="0" w:line="240" w:lineRule="auto"/>
        <w:jc w:val="both"/>
        <w:rPr>
          <w:rFonts w:ascii="Verdana" w:eastAsia="Calibri" w:hAnsi="Verdana" w:cs="Arial"/>
          <w:b/>
          <w:bCs/>
          <w:sz w:val="20"/>
          <w:szCs w:val="20"/>
          <w:lang w:val="es-ES" w:eastAsia="es-ES"/>
        </w:rPr>
      </w:pPr>
      <w:r>
        <w:rPr>
          <w:rFonts w:ascii="Verdana" w:eastAsia="Calibri" w:hAnsi="Verdana" w:cs="Arial"/>
          <w:bCs/>
          <w:color w:val="000000" w:themeColor="text1"/>
          <w:sz w:val="20"/>
          <w:szCs w:val="20"/>
        </w:rPr>
        <w:t>En concordancia con lo anterior,</w:t>
      </w:r>
      <w:r>
        <w:rPr>
          <w:rFonts w:ascii="Verdana" w:eastAsia="Calibri" w:hAnsi="Verdana" w:cs="Arial"/>
          <w:bCs/>
          <w:i/>
          <w:iCs/>
          <w:color w:val="000000" w:themeColor="text1"/>
          <w:sz w:val="20"/>
          <w:szCs w:val="20"/>
        </w:rPr>
        <w:t xml:space="preserve"> </w:t>
      </w:r>
      <w:r>
        <w:rPr>
          <w:rFonts w:ascii="Verdana" w:eastAsia="Calibri" w:hAnsi="Verdana" w:cs="Arial"/>
          <w:bCs/>
          <w:color w:val="000000" w:themeColor="text1"/>
          <w:sz w:val="20"/>
          <w:szCs w:val="20"/>
        </w:rPr>
        <w:t>el artículo 6 del Decreto 142 de 2023, adicionó el 2.2.1.2.4.2.19 </w:t>
      </w:r>
      <w:r>
        <w:rPr>
          <w:rFonts w:ascii="Verdana" w:eastAsia="Calibri" w:hAnsi="Verdana" w:cs="Arial"/>
          <w:bCs/>
          <w:iCs/>
          <w:color w:val="000000" w:themeColor="text1"/>
          <w:sz w:val="20"/>
          <w:szCs w:val="20"/>
        </w:rPr>
        <w:t>al Decreto 1082 de 2015</w:t>
      </w:r>
      <w:r>
        <w:rPr>
          <w:rFonts w:ascii="Verdana" w:eastAsia="Calibri" w:hAnsi="Verdana" w:cs="Arial"/>
          <w:bCs/>
          <w:i/>
          <w:iCs/>
          <w:color w:val="000000" w:themeColor="text1"/>
          <w:sz w:val="20"/>
          <w:szCs w:val="20"/>
        </w:rPr>
        <w:t xml:space="preserve">, </w:t>
      </w:r>
      <w:r>
        <w:rPr>
          <w:rFonts w:ascii="Verdana" w:eastAsia="Calibri" w:hAnsi="Verdana" w:cs="Arial"/>
          <w:bCs/>
          <w:color w:val="000000" w:themeColor="text1"/>
          <w:sz w:val="20"/>
          <w:szCs w:val="20"/>
        </w:rPr>
        <w:t xml:space="preserve">ratificando en el reglamento el deber de las entidades estatales de promover la división de procesos de contratación en lotes o segmentos, ya establecido de manera expresa en el </w:t>
      </w:r>
      <w:r>
        <w:rPr>
          <w:rFonts w:ascii="Verdana" w:eastAsia="Calibri" w:hAnsi="Verdana" w:cs="Arial"/>
          <w:bCs/>
          <w:color w:val="000000" w:themeColor="text1"/>
          <w:sz w:val="20"/>
          <w:szCs w:val="20"/>
          <w:lang w:val="es-MX"/>
        </w:rPr>
        <w:t>numeral 6 del artículo 33 de la Ley 2069 de 2020.</w:t>
      </w:r>
    </w:p>
    <w:p w14:paraId="2A0C6010" w14:textId="77777777" w:rsidR="00F43ACA" w:rsidRDefault="00F43ACA" w:rsidP="00F43ACA">
      <w:pPr>
        <w:spacing w:after="0" w:line="240" w:lineRule="auto"/>
        <w:jc w:val="both"/>
        <w:rPr>
          <w:rFonts w:ascii="Verdana" w:eastAsia="Calibri" w:hAnsi="Verdana" w:cs="Arial"/>
          <w:b/>
          <w:bCs/>
          <w:sz w:val="20"/>
          <w:szCs w:val="20"/>
          <w:lang w:val="es-ES" w:eastAsia="es-ES"/>
        </w:rPr>
      </w:pPr>
    </w:p>
    <w:p w14:paraId="37CE1BAE" w14:textId="77777777" w:rsidR="00F43ACA" w:rsidRDefault="00F43ACA" w:rsidP="00F43ACA">
      <w:pPr>
        <w:jc w:val="both"/>
        <w:rPr>
          <w:rFonts w:ascii="Verdana" w:eastAsia="Calibri" w:hAnsi="Verdana" w:cs="Arial"/>
          <w:b/>
          <w:bCs/>
          <w:lang w:val="es-ES" w:eastAsia="es-ES"/>
        </w:rPr>
      </w:pPr>
      <w:r>
        <w:rPr>
          <w:rFonts w:ascii="Verdana" w:eastAsia="Calibri" w:hAnsi="Verdana" w:cs="Arial"/>
          <w:b/>
          <w:bCs/>
          <w:lang w:val="es-ES" w:eastAsia="es-ES"/>
        </w:rPr>
        <w:t xml:space="preserve">DISCRECIONALIDAD </w:t>
      </w:r>
      <w:r>
        <w:rPr>
          <w:rFonts w:ascii="Verdana" w:hAnsi="Verdana" w:cs="Arial"/>
          <w:b/>
          <w:bCs/>
        </w:rPr>
        <w:t xml:space="preserve">– Autonomía entidades estatales </w:t>
      </w:r>
    </w:p>
    <w:p w14:paraId="7908C231" w14:textId="77777777" w:rsidR="00F43ACA" w:rsidRDefault="00F43ACA" w:rsidP="00F43ACA">
      <w:pPr>
        <w:spacing w:after="0" w:line="240" w:lineRule="auto"/>
        <w:jc w:val="both"/>
        <w:rPr>
          <w:rFonts w:ascii="Verdana" w:eastAsia="Calibri" w:hAnsi="Verdana" w:cs="Arial"/>
          <w:b/>
          <w:bCs/>
          <w:lang w:val="es-ES" w:eastAsia="es-ES"/>
        </w:rPr>
      </w:pPr>
      <w:r>
        <w:rPr>
          <w:rFonts w:ascii="Verdana" w:eastAsia="Calibri" w:hAnsi="Verdana" w:cs="Arial"/>
          <w:color w:val="000000" w:themeColor="text1"/>
          <w:sz w:val="20"/>
          <w:szCs w:val="20"/>
          <w:lang w:val="es-ES_tradnl"/>
        </w:rPr>
        <w:t xml:space="preserve">Le corresponde a la Entidad Estatal en ejercicio de la autonomía y discrecionalidad que le confiere el artículo 2.2.1.2.4.2.19 del Decreto 1082 de 2015 −adicionado por el artículo 6 del Decreto 142 de 2023−, determinar en los pliegos de condiciones para los procesos estructurados por lotes o segmentos, si un proponente puede resultar adjudicatario en uno o varios de los lotes o segmentos en los que se dividen los distinto procesos de contratación que se encuentra adelantando. </w:t>
      </w:r>
      <w:r>
        <w:rPr>
          <w:rFonts w:ascii="Verdana" w:eastAsia="Calibri" w:hAnsi="Verdana" w:cs="Arial"/>
          <w:color w:val="000000" w:themeColor="text1"/>
          <w:sz w:val="20"/>
          <w:szCs w:val="20"/>
        </w:rPr>
        <w:t xml:space="preserve">Esto supone la posibilidad de que la entidad estatal establezca en el pliego de condiciones reglas y/o causales de rechazo, dirigidas a evitar que se concentre la contratación en un único proponente. </w:t>
      </w:r>
      <w:r>
        <w:rPr>
          <w:rFonts w:ascii="Verdana" w:eastAsia="Calibri" w:hAnsi="Verdana" w:cs="Arial"/>
          <w:color w:val="000000" w:themeColor="text1"/>
          <w:sz w:val="20"/>
          <w:szCs w:val="20"/>
          <w:lang w:val="es-ES_tradnl"/>
        </w:rPr>
        <w:t xml:space="preserve">Además, el inciso en comento establece que, la decisión de la entidad de no adjudicar un contrato en lotes o segmentos puede obedecer −entre otras razones− a que: i) mediante este mecanismo se pueda restringir la competencia o </w:t>
      </w:r>
      <w:proofErr w:type="spellStart"/>
      <w:r>
        <w:rPr>
          <w:rFonts w:ascii="Verdana" w:eastAsia="Calibri" w:hAnsi="Verdana" w:cs="Arial"/>
          <w:color w:val="000000" w:themeColor="text1"/>
          <w:sz w:val="20"/>
          <w:szCs w:val="20"/>
          <w:lang w:val="es-ES_tradnl"/>
        </w:rPr>
        <w:t>ii</w:t>
      </w:r>
      <w:proofErr w:type="spellEnd"/>
      <w:r>
        <w:rPr>
          <w:rFonts w:ascii="Verdana" w:eastAsia="Calibri" w:hAnsi="Verdana" w:cs="Arial"/>
          <w:color w:val="000000" w:themeColor="text1"/>
          <w:sz w:val="20"/>
          <w:szCs w:val="20"/>
          <w:lang w:val="es-ES_tradnl"/>
        </w:rPr>
        <w:t xml:space="preserve">) que la segmentación del mercado pueda conducir a que la ejecución del contrato sea imposible desde el punto de vista técnico o económico. </w:t>
      </w:r>
    </w:p>
    <w:p w14:paraId="600EC5CA" w14:textId="77777777" w:rsidR="00F43ACA" w:rsidRDefault="00F43ACA" w:rsidP="00F43ACA">
      <w:pPr>
        <w:spacing w:after="0" w:line="240" w:lineRule="auto"/>
        <w:jc w:val="both"/>
        <w:rPr>
          <w:rFonts w:ascii="Verdana" w:eastAsia="Calibri" w:hAnsi="Verdana" w:cs="Arial"/>
          <w:b/>
          <w:bCs/>
          <w:lang w:val="es-ES" w:eastAsia="es-ES"/>
        </w:rPr>
      </w:pPr>
    </w:p>
    <w:p w14:paraId="31C6B71E" w14:textId="77777777" w:rsidR="00F43ACA" w:rsidRDefault="00F43ACA" w:rsidP="00F43ACA">
      <w:pPr>
        <w:jc w:val="both"/>
        <w:rPr>
          <w:rFonts w:ascii="Verdana" w:hAnsi="Verdana" w:cs="Arial"/>
          <w:b/>
          <w:bCs/>
        </w:rPr>
      </w:pPr>
      <w:r>
        <w:rPr>
          <w:rFonts w:ascii="Verdana" w:eastAsia="Calibri" w:hAnsi="Verdana" w:cs="Arial"/>
          <w:b/>
          <w:bCs/>
          <w:lang w:val="es-ES" w:eastAsia="es-ES"/>
        </w:rPr>
        <w:t xml:space="preserve">PROPUESTAS PARCIALES </w:t>
      </w:r>
      <w:r>
        <w:rPr>
          <w:rFonts w:ascii="Verdana" w:hAnsi="Verdana" w:cs="Arial"/>
          <w:b/>
          <w:bCs/>
        </w:rPr>
        <w:t>– Diferencias – Lotes o segmentos</w:t>
      </w:r>
    </w:p>
    <w:p w14:paraId="2F6BC07B" w14:textId="77777777" w:rsidR="00F43ACA" w:rsidRDefault="00F43ACA" w:rsidP="00F43ACA">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Al respecto, vale la pena precisar que cuando se ha dividido el proceso de contratación en varios grupos o lotes, presentar una oferta para uno de ellos no equivale a presentar una propuesta parcial. En el primer caso, el proponente está presentando su propuesta con la intención de ser adjudicatario de un lote específico, lo que implica que debe cumplir con la totalidad de los requerimientos establecidos por la entidad para ese lote en particular. Por su parte, una propuesta parcial ocurre cuando no se cumple con todos los requisitos establecidos en el pliego, ya sea para un solo lote o para varios. En este caso, la propuesta no responde a la totalidad de las exigencias, sino que el proponente presenta una oferta incompleta, lo que implica que no cumple con todos los puntos solicitados o los limita de alguna forma. </w:t>
      </w:r>
    </w:p>
    <w:p w14:paraId="7E9ABDFE" w14:textId="45F4B452" w:rsidR="00F43ACA" w:rsidRPr="00F43ACA" w:rsidRDefault="00F43ACA" w:rsidP="00F54ED6">
      <w:pPr>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lastRenderedPageBreak/>
        <w:t xml:space="preserve">En esta línea, la presentación de la oferta a uno o varios lotes es permitido en un proceso de contratación y la entidad es la responsable de definir si un proponente puede resultar adjudicatario de uno o varios lotes. En contraste, la propuesta parcial puede ser objeto de rechazo en un proceso de contratación ya que, conforme a lo establecido en el numeral 6 del artículo 30 de la Ley 80 de 1993, las propuestas deben referirse y sujetarse a todos y cada uno de los puntos contenidos en el pliego de condiciones. De esta manera, las ofertas que no cumplan con esta exigencia se consideran incompletas o, en su defecto, constituyen un condicionamiento que puede afectar el proceso de adjudicación, debido a que no responden integralmente a los requerimientos definidos por la entidad estatal. </w:t>
      </w:r>
    </w:p>
    <w:p w14:paraId="3A5DE045" w14:textId="77777777" w:rsidR="00F43ACA" w:rsidRDefault="00F43ACA" w:rsidP="00F54ED6">
      <w:pPr>
        <w:spacing w:after="0" w:line="240" w:lineRule="auto"/>
        <w:jc w:val="both"/>
        <w:rPr>
          <w:rFonts w:ascii="Verdana" w:hAnsi="Verdana"/>
        </w:rPr>
      </w:pPr>
    </w:p>
    <w:p w14:paraId="25CE0616" w14:textId="77777777" w:rsidR="00F43ACA" w:rsidRDefault="00F43ACA" w:rsidP="00F54ED6">
      <w:pPr>
        <w:spacing w:after="0" w:line="240" w:lineRule="auto"/>
        <w:jc w:val="both"/>
        <w:rPr>
          <w:rFonts w:ascii="Verdana" w:hAnsi="Verdana"/>
        </w:rPr>
      </w:pPr>
    </w:p>
    <w:p w14:paraId="1385FFEF" w14:textId="77777777" w:rsidR="00F43ACA" w:rsidRDefault="00F43ACA" w:rsidP="00F54ED6">
      <w:pPr>
        <w:spacing w:after="0" w:line="240" w:lineRule="auto"/>
        <w:jc w:val="both"/>
        <w:rPr>
          <w:rFonts w:ascii="Verdana" w:hAnsi="Verdana"/>
        </w:rPr>
      </w:pPr>
    </w:p>
    <w:p w14:paraId="303618C0" w14:textId="77777777" w:rsidR="00F43ACA" w:rsidRDefault="00F43ACA" w:rsidP="00F54ED6">
      <w:pPr>
        <w:spacing w:after="0" w:line="240" w:lineRule="auto"/>
        <w:jc w:val="both"/>
        <w:rPr>
          <w:rFonts w:ascii="Verdana" w:hAnsi="Verdana"/>
        </w:rPr>
      </w:pPr>
    </w:p>
    <w:p w14:paraId="59354BB7" w14:textId="77777777" w:rsidR="00F43ACA" w:rsidRDefault="00F43ACA" w:rsidP="00F54ED6">
      <w:pPr>
        <w:spacing w:after="0" w:line="240" w:lineRule="auto"/>
        <w:jc w:val="both"/>
        <w:rPr>
          <w:rFonts w:ascii="Verdana" w:hAnsi="Verdana"/>
        </w:rPr>
      </w:pPr>
    </w:p>
    <w:p w14:paraId="4E1E4C63" w14:textId="77777777" w:rsidR="00F43ACA" w:rsidRDefault="00F43ACA" w:rsidP="00F54ED6">
      <w:pPr>
        <w:spacing w:after="0" w:line="240" w:lineRule="auto"/>
        <w:jc w:val="both"/>
        <w:rPr>
          <w:rFonts w:ascii="Verdana" w:hAnsi="Verdana"/>
        </w:rPr>
      </w:pPr>
    </w:p>
    <w:p w14:paraId="7A1F583A" w14:textId="77777777" w:rsidR="00F43ACA" w:rsidRDefault="00F43ACA" w:rsidP="00F54ED6">
      <w:pPr>
        <w:spacing w:after="0" w:line="240" w:lineRule="auto"/>
        <w:jc w:val="both"/>
        <w:rPr>
          <w:rFonts w:ascii="Verdana" w:hAnsi="Verdana"/>
        </w:rPr>
      </w:pPr>
    </w:p>
    <w:p w14:paraId="56D8CAF0" w14:textId="77777777" w:rsidR="00F43ACA" w:rsidRDefault="00F43ACA" w:rsidP="00F54ED6">
      <w:pPr>
        <w:spacing w:after="0" w:line="240" w:lineRule="auto"/>
        <w:jc w:val="both"/>
        <w:rPr>
          <w:rFonts w:ascii="Verdana" w:hAnsi="Verdana"/>
        </w:rPr>
      </w:pPr>
    </w:p>
    <w:p w14:paraId="2E98802C" w14:textId="77777777" w:rsidR="00F43ACA" w:rsidRDefault="00F43ACA" w:rsidP="00F54ED6">
      <w:pPr>
        <w:spacing w:after="0" w:line="240" w:lineRule="auto"/>
        <w:jc w:val="both"/>
        <w:rPr>
          <w:rFonts w:ascii="Verdana" w:hAnsi="Verdana"/>
        </w:rPr>
      </w:pPr>
    </w:p>
    <w:p w14:paraId="7F16EAA4" w14:textId="77777777" w:rsidR="00F43ACA" w:rsidRDefault="00F43ACA" w:rsidP="00F54ED6">
      <w:pPr>
        <w:spacing w:after="0" w:line="240" w:lineRule="auto"/>
        <w:jc w:val="both"/>
        <w:rPr>
          <w:rFonts w:ascii="Verdana" w:hAnsi="Verdana"/>
        </w:rPr>
      </w:pPr>
    </w:p>
    <w:p w14:paraId="55B087FC" w14:textId="77777777" w:rsidR="00F43ACA" w:rsidRDefault="00F43ACA" w:rsidP="00F54ED6">
      <w:pPr>
        <w:spacing w:after="0" w:line="240" w:lineRule="auto"/>
        <w:jc w:val="both"/>
        <w:rPr>
          <w:rFonts w:ascii="Verdana" w:hAnsi="Verdana"/>
        </w:rPr>
      </w:pPr>
    </w:p>
    <w:p w14:paraId="56A9B1C3" w14:textId="77777777" w:rsidR="00F43ACA" w:rsidRDefault="00F43ACA" w:rsidP="00F54ED6">
      <w:pPr>
        <w:spacing w:after="0" w:line="240" w:lineRule="auto"/>
        <w:jc w:val="both"/>
        <w:rPr>
          <w:rFonts w:ascii="Verdana" w:hAnsi="Verdana"/>
        </w:rPr>
      </w:pPr>
    </w:p>
    <w:p w14:paraId="1B071C3F" w14:textId="77777777" w:rsidR="00F43ACA" w:rsidRDefault="00F43ACA" w:rsidP="00F54ED6">
      <w:pPr>
        <w:spacing w:after="0" w:line="240" w:lineRule="auto"/>
        <w:jc w:val="both"/>
        <w:rPr>
          <w:rFonts w:ascii="Verdana" w:hAnsi="Verdana"/>
        </w:rPr>
      </w:pPr>
    </w:p>
    <w:p w14:paraId="19963C40" w14:textId="77777777" w:rsidR="00F43ACA" w:rsidRDefault="00F43ACA" w:rsidP="00F54ED6">
      <w:pPr>
        <w:spacing w:after="0" w:line="240" w:lineRule="auto"/>
        <w:jc w:val="both"/>
        <w:rPr>
          <w:rFonts w:ascii="Verdana" w:hAnsi="Verdana"/>
        </w:rPr>
      </w:pPr>
    </w:p>
    <w:p w14:paraId="08A6966A" w14:textId="77777777" w:rsidR="00F43ACA" w:rsidRDefault="00F43ACA" w:rsidP="00F54ED6">
      <w:pPr>
        <w:spacing w:after="0" w:line="240" w:lineRule="auto"/>
        <w:jc w:val="both"/>
        <w:rPr>
          <w:rFonts w:ascii="Verdana" w:hAnsi="Verdana"/>
        </w:rPr>
      </w:pPr>
    </w:p>
    <w:p w14:paraId="66532429" w14:textId="77777777" w:rsidR="00F43ACA" w:rsidRDefault="00F43ACA" w:rsidP="00F54ED6">
      <w:pPr>
        <w:spacing w:after="0" w:line="240" w:lineRule="auto"/>
        <w:jc w:val="both"/>
        <w:rPr>
          <w:rFonts w:ascii="Verdana" w:hAnsi="Verdana"/>
        </w:rPr>
      </w:pPr>
    </w:p>
    <w:p w14:paraId="5D69C53C" w14:textId="77777777" w:rsidR="00F43ACA" w:rsidRDefault="00F43ACA" w:rsidP="00F54ED6">
      <w:pPr>
        <w:spacing w:after="0" w:line="240" w:lineRule="auto"/>
        <w:jc w:val="both"/>
        <w:rPr>
          <w:rFonts w:ascii="Verdana" w:hAnsi="Verdana"/>
        </w:rPr>
      </w:pPr>
    </w:p>
    <w:p w14:paraId="1CB121E7" w14:textId="77777777" w:rsidR="00F43ACA" w:rsidRDefault="00F43ACA" w:rsidP="00F54ED6">
      <w:pPr>
        <w:spacing w:after="0" w:line="240" w:lineRule="auto"/>
        <w:jc w:val="both"/>
        <w:rPr>
          <w:rFonts w:ascii="Verdana" w:hAnsi="Verdana"/>
        </w:rPr>
      </w:pPr>
    </w:p>
    <w:p w14:paraId="6E4938C6" w14:textId="77777777" w:rsidR="00F43ACA" w:rsidRDefault="00F43ACA" w:rsidP="00F54ED6">
      <w:pPr>
        <w:spacing w:after="0" w:line="240" w:lineRule="auto"/>
        <w:jc w:val="both"/>
        <w:rPr>
          <w:rFonts w:ascii="Verdana" w:hAnsi="Verdana"/>
        </w:rPr>
      </w:pPr>
    </w:p>
    <w:p w14:paraId="395D473A" w14:textId="77777777" w:rsidR="00F43ACA" w:rsidRDefault="00F43ACA" w:rsidP="00F54ED6">
      <w:pPr>
        <w:spacing w:after="0" w:line="240" w:lineRule="auto"/>
        <w:jc w:val="both"/>
        <w:rPr>
          <w:rFonts w:ascii="Verdana" w:hAnsi="Verdana"/>
        </w:rPr>
      </w:pPr>
    </w:p>
    <w:p w14:paraId="014CA9AE" w14:textId="77777777" w:rsidR="00F43ACA" w:rsidRDefault="00F43ACA" w:rsidP="00F54ED6">
      <w:pPr>
        <w:spacing w:after="0" w:line="240" w:lineRule="auto"/>
        <w:jc w:val="both"/>
        <w:rPr>
          <w:rFonts w:ascii="Verdana" w:hAnsi="Verdana"/>
        </w:rPr>
      </w:pPr>
    </w:p>
    <w:p w14:paraId="6DA27B9A" w14:textId="77777777" w:rsidR="00F43ACA" w:rsidRDefault="00F43ACA" w:rsidP="00F54ED6">
      <w:pPr>
        <w:spacing w:after="0" w:line="240" w:lineRule="auto"/>
        <w:jc w:val="both"/>
        <w:rPr>
          <w:rFonts w:ascii="Verdana" w:hAnsi="Verdana"/>
        </w:rPr>
      </w:pPr>
    </w:p>
    <w:p w14:paraId="1D3480D6" w14:textId="77777777" w:rsidR="00F43ACA" w:rsidRDefault="00F43ACA" w:rsidP="00F54ED6">
      <w:pPr>
        <w:spacing w:after="0" w:line="240" w:lineRule="auto"/>
        <w:jc w:val="both"/>
        <w:rPr>
          <w:rFonts w:ascii="Verdana" w:hAnsi="Verdana"/>
        </w:rPr>
      </w:pPr>
    </w:p>
    <w:p w14:paraId="501E6937" w14:textId="77777777" w:rsidR="00F43ACA" w:rsidRDefault="00F43ACA" w:rsidP="00F54ED6">
      <w:pPr>
        <w:spacing w:after="0" w:line="240" w:lineRule="auto"/>
        <w:jc w:val="both"/>
        <w:rPr>
          <w:rFonts w:ascii="Verdana" w:hAnsi="Verdana"/>
        </w:rPr>
      </w:pPr>
    </w:p>
    <w:p w14:paraId="44941940" w14:textId="77777777" w:rsidR="00F43ACA" w:rsidRDefault="00F43ACA" w:rsidP="00F54ED6">
      <w:pPr>
        <w:spacing w:after="0" w:line="240" w:lineRule="auto"/>
        <w:jc w:val="both"/>
        <w:rPr>
          <w:rFonts w:ascii="Verdana" w:hAnsi="Verdana"/>
        </w:rPr>
      </w:pPr>
    </w:p>
    <w:p w14:paraId="1C7AB4E0" w14:textId="77777777" w:rsidR="00F43ACA" w:rsidRDefault="00F43ACA" w:rsidP="00F54ED6">
      <w:pPr>
        <w:spacing w:after="0" w:line="240" w:lineRule="auto"/>
        <w:jc w:val="both"/>
        <w:rPr>
          <w:rFonts w:ascii="Verdana" w:hAnsi="Verdana"/>
        </w:rPr>
      </w:pPr>
    </w:p>
    <w:p w14:paraId="1A54F918" w14:textId="77777777" w:rsidR="00F43ACA" w:rsidRDefault="00F43ACA" w:rsidP="00F54ED6">
      <w:pPr>
        <w:spacing w:after="0" w:line="240" w:lineRule="auto"/>
        <w:jc w:val="both"/>
        <w:rPr>
          <w:rFonts w:ascii="Verdana" w:hAnsi="Verdana"/>
        </w:rPr>
      </w:pPr>
    </w:p>
    <w:p w14:paraId="0B06BA94" w14:textId="77777777" w:rsidR="00F43ACA" w:rsidRDefault="00F43ACA" w:rsidP="00F54ED6">
      <w:pPr>
        <w:spacing w:after="0" w:line="240" w:lineRule="auto"/>
        <w:jc w:val="both"/>
        <w:rPr>
          <w:rFonts w:ascii="Verdana" w:hAnsi="Verdana"/>
        </w:rPr>
      </w:pPr>
    </w:p>
    <w:p w14:paraId="07801D32" w14:textId="77777777" w:rsidR="00F43ACA" w:rsidRDefault="00F43ACA" w:rsidP="00F54ED6">
      <w:pPr>
        <w:spacing w:after="0" w:line="240" w:lineRule="auto"/>
        <w:jc w:val="both"/>
        <w:rPr>
          <w:rFonts w:ascii="Verdana" w:hAnsi="Verdana"/>
        </w:rPr>
      </w:pPr>
    </w:p>
    <w:p w14:paraId="10CB99AC" w14:textId="77777777" w:rsidR="00F43ACA" w:rsidRDefault="00F43ACA" w:rsidP="00F54ED6">
      <w:pPr>
        <w:spacing w:after="0" w:line="240" w:lineRule="auto"/>
        <w:jc w:val="both"/>
        <w:rPr>
          <w:rFonts w:ascii="Verdana" w:hAnsi="Verdana"/>
        </w:rPr>
      </w:pPr>
    </w:p>
    <w:p w14:paraId="55731F38" w14:textId="77777777" w:rsidR="00F43ACA" w:rsidRDefault="00F43ACA" w:rsidP="00F54ED6">
      <w:pPr>
        <w:spacing w:after="0" w:line="240" w:lineRule="auto"/>
        <w:jc w:val="both"/>
        <w:rPr>
          <w:rFonts w:ascii="Verdana" w:hAnsi="Verdana"/>
        </w:rPr>
      </w:pPr>
    </w:p>
    <w:p w14:paraId="502BAF66" w14:textId="77777777" w:rsidR="00F43ACA" w:rsidRDefault="00F43ACA" w:rsidP="00F54ED6">
      <w:pPr>
        <w:spacing w:after="0" w:line="240" w:lineRule="auto"/>
        <w:jc w:val="both"/>
        <w:rPr>
          <w:rFonts w:ascii="Verdana" w:hAnsi="Verdana"/>
        </w:rPr>
      </w:pPr>
    </w:p>
    <w:p w14:paraId="77F0508F" w14:textId="3C81872D" w:rsidR="00F54ED6" w:rsidRPr="00F43ACA" w:rsidRDefault="00F43ACA" w:rsidP="00F54ED6">
      <w:pPr>
        <w:spacing w:after="0" w:line="240" w:lineRule="auto"/>
        <w:jc w:val="both"/>
        <w:rPr>
          <w:rFonts w:ascii="Verdana" w:hAnsi="Verdana"/>
        </w:rPr>
      </w:pPr>
      <w:r w:rsidRPr="00F43ACA">
        <w:rPr>
          <w:rFonts w:ascii="Verdana" w:hAnsi="Verdana"/>
        </w:rPr>
        <w:lastRenderedPageBreak/>
        <w:t xml:space="preserve">Bogotá D.C., 22 </w:t>
      </w:r>
      <w:r>
        <w:rPr>
          <w:rFonts w:ascii="Verdana" w:hAnsi="Verdana"/>
        </w:rPr>
        <w:t>d</w:t>
      </w:r>
      <w:r w:rsidRPr="00F43ACA">
        <w:rPr>
          <w:rFonts w:ascii="Verdana" w:hAnsi="Verdana"/>
        </w:rPr>
        <w:t>iciembre 2025</w:t>
      </w:r>
      <w:r w:rsidR="00F54ED6" w:rsidRPr="00F43ACA">
        <w:rPr>
          <w:rFonts w:ascii="Verdana" w:hAnsi="Verdana"/>
        </w:rPr>
        <w:t xml:space="preserve"> </w:t>
      </w:r>
    </w:p>
    <w:p w14:paraId="594F70E3" w14:textId="0B7E9327" w:rsidR="00F54ED6" w:rsidRDefault="00F43ACA" w:rsidP="00F54ED6">
      <w:pPr>
        <w:spacing w:after="0" w:line="240" w:lineRule="auto"/>
        <w:jc w:val="both"/>
        <w:rPr>
          <w:rFonts w:ascii="Verdana" w:eastAsia="Calibri" w:hAnsi="Verdana" w:cs="Arial"/>
          <w:lang w:eastAsia="es-ES"/>
        </w:rPr>
      </w:pPr>
      <w:bookmarkStart w:id="0" w:name="_Hlk197462763"/>
      <w:bookmarkStart w:id="1" w:name="_Hlk197529996"/>
      <w:r w:rsidRPr="00F43ACA">
        <w:rPr>
          <w:rFonts w:ascii="Verdana" w:eastAsia="Calibri" w:hAnsi="Verdana" w:cs="Arial"/>
          <w:noProof/>
          <w:lang w:eastAsia="es-ES"/>
        </w:rPr>
        <w:drawing>
          <wp:anchor distT="0" distB="0" distL="114300" distR="114300" simplePos="0" relativeHeight="251660288" behindDoc="1" locked="0" layoutInCell="1" allowOverlap="1" wp14:anchorId="2D115CE8" wp14:editId="44129840">
            <wp:simplePos x="0" y="0"/>
            <wp:positionH relativeFrom="column">
              <wp:posOffset>3206115</wp:posOffset>
            </wp:positionH>
            <wp:positionV relativeFrom="paragraph">
              <wp:posOffset>46990</wp:posOffset>
            </wp:positionV>
            <wp:extent cx="3324225" cy="962025"/>
            <wp:effectExtent l="0" t="0" r="9525" b="9525"/>
            <wp:wrapTight wrapText="bothSides">
              <wp:wrapPolygon edited="0">
                <wp:start x="0" y="0"/>
                <wp:lineTo x="0" y="21386"/>
                <wp:lineTo x="21538" y="21386"/>
                <wp:lineTo x="2153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324225" cy="962025"/>
                    </a:xfrm>
                    <a:prstGeom prst="rect">
                      <a:avLst/>
                    </a:prstGeom>
                  </pic:spPr>
                </pic:pic>
              </a:graphicData>
            </a:graphic>
          </wp:anchor>
        </w:drawing>
      </w:r>
    </w:p>
    <w:p w14:paraId="57AAA6E1" w14:textId="5D045D5D" w:rsidR="00F54ED6" w:rsidRDefault="00F54ED6" w:rsidP="00F54ED6">
      <w:pPr>
        <w:spacing w:after="0" w:line="240" w:lineRule="auto"/>
        <w:jc w:val="both"/>
        <w:rPr>
          <w:rFonts w:ascii="Verdana" w:eastAsia="Calibri" w:hAnsi="Verdana" w:cs="Arial"/>
          <w:lang w:eastAsia="es-ES"/>
        </w:rPr>
      </w:pPr>
    </w:p>
    <w:p w14:paraId="3C0A0B84" w14:textId="68689986" w:rsidR="00F43ACA" w:rsidRDefault="00F43ACA" w:rsidP="00F54ED6">
      <w:pPr>
        <w:spacing w:after="0" w:line="240" w:lineRule="auto"/>
        <w:jc w:val="both"/>
        <w:rPr>
          <w:rFonts w:ascii="Verdana" w:eastAsia="Calibri" w:hAnsi="Verdana" w:cs="Arial"/>
          <w:lang w:eastAsia="es-ES"/>
        </w:rPr>
      </w:pPr>
    </w:p>
    <w:p w14:paraId="0FD689F7" w14:textId="77777777" w:rsidR="00F43ACA" w:rsidRDefault="00F43ACA" w:rsidP="00F54ED6">
      <w:pPr>
        <w:spacing w:after="0" w:line="240" w:lineRule="auto"/>
        <w:jc w:val="both"/>
        <w:rPr>
          <w:rFonts w:ascii="Verdana" w:eastAsia="Calibri" w:hAnsi="Verdana" w:cs="Arial"/>
          <w:lang w:eastAsia="es-ES"/>
        </w:rPr>
      </w:pPr>
    </w:p>
    <w:p w14:paraId="48D0ED97" w14:textId="2226D6F6" w:rsidR="00F54ED6" w:rsidRPr="008E4F36" w:rsidRDefault="00F54ED6" w:rsidP="00F54ED6">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12378A42" w14:textId="3AA255D9" w:rsidR="00F54ED6" w:rsidRPr="000F2158" w:rsidRDefault="00F54ED6" w:rsidP="00F54ED6">
      <w:pPr>
        <w:spacing w:after="0" w:line="240" w:lineRule="auto"/>
        <w:jc w:val="both"/>
        <w:rPr>
          <w:rFonts w:ascii="Verdana" w:eastAsia="Calibri" w:hAnsi="Verdana" w:cs="Arial"/>
          <w:b/>
          <w:highlight w:val="yellow"/>
          <w:lang w:eastAsia="es-ES_tradnl"/>
        </w:rPr>
      </w:pPr>
      <w:r w:rsidRPr="005F386D">
        <w:rPr>
          <w:rFonts w:ascii="Verdana" w:eastAsia="Calibri" w:hAnsi="Verdana" w:cs="Arial"/>
          <w:b/>
          <w:lang w:eastAsia="es-ES_tradnl"/>
        </w:rPr>
        <w:t>Santiago Alejandro</w:t>
      </w:r>
      <w:r>
        <w:rPr>
          <w:rFonts w:ascii="Verdana" w:eastAsia="Calibri" w:hAnsi="Verdana" w:cs="Arial"/>
          <w:b/>
          <w:lang w:eastAsia="es-ES_tradnl"/>
        </w:rPr>
        <w:t xml:space="preserve"> </w:t>
      </w:r>
    </w:p>
    <w:p w14:paraId="77BFB5A1" w14:textId="77777777" w:rsidR="00F54ED6" w:rsidRPr="000F2158" w:rsidRDefault="00F54ED6" w:rsidP="00F54ED6">
      <w:pPr>
        <w:spacing w:after="0" w:line="240" w:lineRule="auto"/>
        <w:jc w:val="both"/>
        <w:rPr>
          <w:rFonts w:ascii="Verdana" w:eastAsia="Calibri" w:hAnsi="Verdana" w:cs="Arial"/>
          <w:b/>
          <w:highlight w:val="yellow"/>
          <w:lang w:eastAsia="es-ES_tradnl"/>
        </w:rPr>
      </w:pPr>
      <w:hyperlink r:id="rId11" w:history="1">
        <w:r w:rsidRPr="00EE0B68">
          <w:rPr>
            <w:rStyle w:val="Hipervnculo"/>
            <w:rFonts w:ascii="Verdana" w:eastAsia="Calibri" w:hAnsi="Verdana" w:cs="Arial"/>
            <w:b/>
            <w:lang w:eastAsia="es-ES_tradnl"/>
          </w:rPr>
          <w:t>santiago.cardenas@gobiernobogota.gov.co</w:t>
        </w:r>
      </w:hyperlink>
      <w:r>
        <w:rPr>
          <w:rFonts w:ascii="Verdana" w:eastAsia="Calibri" w:hAnsi="Verdana" w:cs="Arial"/>
          <w:b/>
          <w:lang w:eastAsia="es-ES_tradnl"/>
        </w:rPr>
        <w:t xml:space="preserve"> </w:t>
      </w:r>
    </w:p>
    <w:p w14:paraId="10A7CF69" w14:textId="77777777" w:rsidR="00F54ED6" w:rsidRPr="00624A4C" w:rsidRDefault="00F54ED6" w:rsidP="00F54ED6">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10CCB49B" w14:textId="77777777" w:rsidR="00F54ED6" w:rsidRDefault="00F54ED6" w:rsidP="00F54ED6">
      <w:pPr>
        <w:spacing w:after="0" w:line="240" w:lineRule="auto"/>
        <w:jc w:val="both"/>
        <w:rPr>
          <w:rFonts w:ascii="Verdana" w:hAnsi="Verdana"/>
          <w:lang w:val="it-CH"/>
        </w:rPr>
      </w:pPr>
    </w:p>
    <w:p w14:paraId="18396066" w14:textId="77777777" w:rsidR="00F54ED6" w:rsidRPr="005B4C57" w:rsidRDefault="00F54ED6" w:rsidP="00F54ED6">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54ED6" w:rsidRPr="002842E0" w14:paraId="792BFFBF" w14:textId="77777777" w:rsidTr="008445A3">
        <w:trPr>
          <w:trHeight w:val="162"/>
        </w:trPr>
        <w:tc>
          <w:tcPr>
            <w:tcW w:w="3119" w:type="dxa"/>
          </w:tcPr>
          <w:p w14:paraId="6C33E478" w14:textId="77777777" w:rsidR="00F54ED6" w:rsidRPr="005B4C57" w:rsidRDefault="00F54ED6" w:rsidP="008445A3">
            <w:pPr>
              <w:jc w:val="both"/>
              <w:rPr>
                <w:rFonts w:ascii="Verdana" w:eastAsia="Calibri" w:hAnsi="Verdana" w:cs="Arial"/>
                <w:b/>
                <w:bCs/>
                <w:color w:val="7030A0"/>
                <w:lang w:val="it-CH" w:eastAsia="es-ES_tradnl"/>
              </w:rPr>
            </w:pPr>
          </w:p>
        </w:tc>
        <w:tc>
          <w:tcPr>
            <w:tcW w:w="5670" w:type="dxa"/>
          </w:tcPr>
          <w:p w14:paraId="1DD0D15F" w14:textId="77777777" w:rsidR="00F54ED6" w:rsidRPr="00801462" w:rsidRDefault="00F54ED6" w:rsidP="008445A3">
            <w:pPr>
              <w:jc w:val="both"/>
              <w:rPr>
                <w:rFonts w:ascii="Verdana" w:eastAsia="Calibri" w:hAnsi="Verdana" w:cs="Arial"/>
                <w:b/>
                <w:bCs/>
                <w:lang w:eastAsia="es-ES"/>
              </w:rPr>
            </w:pPr>
            <w:r w:rsidRPr="00083AB6">
              <w:rPr>
                <w:rFonts w:ascii="Verdana" w:eastAsia="Calibri" w:hAnsi="Verdana" w:cs="Arial"/>
                <w:b/>
                <w:bCs/>
                <w:lang w:eastAsia="es-ES"/>
              </w:rPr>
              <w:t>Concepto C- 1740 de 2025</w:t>
            </w:r>
          </w:p>
          <w:p w14:paraId="6EFCF410" w14:textId="77777777" w:rsidR="00F54ED6" w:rsidRPr="00801462" w:rsidRDefault="00F54ED6" w:rsidP="008445A3">
            <w:pPr>
              <w:jc w:val="both"/>
              <w:rPr>
                <w:rFonts w:ascii="Verdana" w:eastAsia="Calibri" w:hAnsi="Verdana" w:cs="Arial"/>
                <w:b/>
                <w:bCs/>
                <w:color w:val="7030A0"/>
                <w:lang w:eastAsia="es-ES"/>
              </w:rPr>
            </w:pPr>
          </w:p>
        </w:tc>
      </w:tr>
      <w:tr w:rsidR="00F54ED6" w:rsidRPr="002842E0" w14:paraId="07085B78" w14:textId="77777777" w:rsidTr="008445A3">
        <w:trPr>
          <w:trHeight w:val="884"/>
        </w:trPr>
        <w:tc>
          <w:tcPr>
            <w:tcW w:w="3119" w:type="dxa"/>
          </w:tcPr>
          <w:p w14:paraId="27FF3EFF" w14:textId="77777777" w:rsidR="00F54ED6" w:rsidRPr="00801462" w:rsidRDefault="00F54ED6" w:rsidP="008445A3">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62072D0" w14:textId="77777777" w:rsidR="00F54ED6" w:rsidRDefault="00F54ED6" w:rsidP="008445A3">
            <w:pPr>
              <w:jc w:val="both"/>
              <w:rPr>
                <w:rFonts w:ascii="Verdana" w:hAnsi="Verdana" w:cs="Arial"/>
              </w:rPr>
            </w:pPr>
            <w:r w:rsidRPr="00242856">
              <w:rPr>
                <w:rFonts w:ascii="Verdana" w:hAnsi="Verdana" w:cs="Arial"/>
              </w:rPr>
              <w:t>DIVISIÓN DEL PROCESO − Lotes o segmentos</w:t>
            </w:r>
            <w:r>
              <w:rPr>
                <w:rFonts w:ascii="Verdana" w:eastAsia="Calibri" w:hAnsi="Verdana" w:cs="Arial"/>
                <w:lang w:val="es-ES" w:eastAsia="es-ES"/>
              </w:rPr>
              <w:t xml:space="preserve"> </w:t>
            </w:r>
            <w:r w:rsidRPr="00EB1CF7">
              <w:rPr>
                <w:rFonts w:ascii="Verdana" w:eastAsia="Calibri" w:hAnsi="Verdana" w:cs="Arial"/>
                <w:lang w:val="es-ES" w:eastAsia="es-ES"/>
              </w:rPr>
              <w:t xml:space="preserve">– </w:t>
            </w:r>
            <w:r>
              <w:rPr>
                <w:rFonts w:ascii="Verdana" w:eastAsia="Calibri" w:hAnsi="Verdana" w:cs="Arial"/>
                <w:lang w:val="es-ES" w:eastAsia="es-ES"/>
              </w:rPr>
              <w:t>Decreto 142 de 2023</w:t>
            </w:r>
            <w:r w:rsidRPr="00EB1CF7">
              <w:rPr>
                <w:rFonts w:ascii="Verdana" w:eastAsia="Calibri" w:hAnsi="Verdana" w:cs="Arial"/>
                <w:lang w:val="es-ES" w:eastAsia="es-ES"/>
              </w:rPr>
              <w:t xml:space="preserve"> / </w:t>
            </w:r>
            <w:r>
              <w:rPr>
                <w:rFonts w:ascii="Verdana" w:eastAsia="Calibri" w:hAnsi="Verdana" w:cs="Arial"/>
                <w:lang w:val="es-ES" w:eastAsia="es-ES"/>
              </w:rPr>
              <w:t xml:space="preserve">DISCRECIONALIDAD </w:t>
            </w:r>
            <w:r>
              <w:rPr>
                <w:rFonts w:ascii="Verdana" w:hAnsi="Verdana" w:cs="Arial"/>
              </w:rPr>
              <w:t xml:space="preserve">– Autonomía entidades estatales </w:t>
            </w:r>
            <w:r w:rsidRPr="00EB1CF7">
              <w:rPr>
                <w:rFonts w:ascii="Verdana" w:eastAsia="Calibri" w:hAnsi="Verdana" w:cs="Arial"/>
                <w:lang w:val="es-ES" w:eastAsia="es-ES"/>
              </w:rPr>
              <w:t xml:space="preserve">/ </w:t>
            </w:r>
            <w:r>
              <w:rPr>
                <w:rFonts w:ascii="Verdana" w:eastAsia="Calibri" w:hAnsi="Verdana" w:cs="Arial"/>
                <w:lang w:val="es-ES" w:eastAsia="es-ES"/>
              </w:rPr>
              <w:t xml:space="preserve">PROPUESTAS PARCIALES </w:t>
            </w:r>
            <w:r>
              <w:rPr>
                <w:rFonts w:ascii="Verdana" w:hAnsi="Verdana" w:cs="Arial"/>
              </w:rPr>
              <w:t xml:space="preserve">– Diferencias – </w:t>
            </w:r>
            <w:r w:rsidRPr="00242856">
              <w:rPr>
                <w:rFonts w:ascii="Verdana" w:hAnsi="Verdana" w:cs="Arial"/>
              </w:rPr>
              <w:t>Lotes o segmentos</w:t>
            </w:r>
          </w:p>
          <w:p w14:paraId="25E1558E" w14:textId="77777777" w:rsidR="00F54ED6" w:rsidRPr="00816423" w:rsidRDefault="00F54ED6" w:rsidP="008445A3">
            <w:pPr>
              <w:jc w:val="both"/>
              <w:rPr>
                <w:rFonts w:ascii="Verdana" w:eastAsiaTheme="minorEastAsia" w:hAnsi="Verdana" w:cs="Arial"/>
                <w:color w:val="000000" w:themeColor="text1"/>
              </w:rPr>
            </w:pPr>
          </w:p>
          <w:p w14:paraId="509BE0B5" w14:textId="77777777" w:rsidR="00F54ED6" w:rsidRPr="00801462" w:rsidRDefault="00F54ED6" w:rsidP="008445A3">
            <w:pPr>
              <w:jc w:val="both"/>
              <w:rPr>
                <w:rFonts w:ascii="Verdana" w:eastAsia="Calibri" w:hAnsi="Verdana" w:cs="Arial"/>
                <w:lang w:val="es-ES_tradnl" w:eastAsia="es-ES"/>
              </w:rPr>
            </w:pPr>
          </w:p>
        </w:tc>
      </w:tr>
      <w:tr w:rsidR="00F54ED6" w:rsidRPr="002842E0" w14:paraId="4A1190A3" w14:textId="77777777" w:rsidTr="008445A3">
        <w:tc>
          <w:tcPr>
            <w:tcW w:w="3119" w:type="dxa"/>
          </w:tcPr>
          <w:p w14:paraId="66A9CAA8" w14:textId="77777777" w:rsidR="00F54ED6" w:rsidRPr="00801462" w:rsidRDefault="00F54ED6" w:rsidP="008445A3">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AD0747D" w14:textId="77777777" w:rsidR="00F54ED6" w:rsidRPr="00801462" w:rsidRDefault="00F54ED6" w:rsidP="008445A3">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440A04">
              <w:rPr>
                <w:rFonts w:ascii="Verdana" w:eastAsia="Calibri" w:hAnsi="Verdana" w:cs="Arial"/>
                <w:lang w:eastAsia="es-ES_tradnl"/>
              </w:rPr>
              <w:t>1_2025_11_24_013253</w:t>
            </w:r>
            <w:r>
              <w:rPr>
                <w:rFonts w:ascii="Verdana" w:eastAsia="Calibri" w:hAnsi="Verdana" w:cs="Arial"/>
                <w:lang w:eastAsia="es-ES_tradnl"/>
              </w:rPr>
              <w:t xml:space="preserve"> </w:t>
            </w:r>
          </w:p>
        </w:tc>
      </w:tr>
    </w:tbl>
    <w:p w14:paraId="1EE6A405" w14:textId="77777777" w:rsidR="00F54ED6" w:rsidRDefault="00F54ED6" w:rsidP="00F54ED6">
      <w:pPr>
        <w:spacing w:after="0" w:line="276" w:lineRule="auto"/>
        <w:jc w:val="both"/>
        <w:rPr>
          <w:rFonts w:ascii="Verdana" w:eastAsia="Calibri" w:hAnsi="Verdana" w:cs="Arial"/>
          <w:lang w:eastAsia="es-ES_tradnl"/>
        </w:rPr>
      </w:pPr>
    </w:p>
    <w:p w14:paraId="112F0F63" w14:textId="77777777" w:rsidR="00F54ED6" w:rsidRDefault="00F54ED6" w:rsidP="00F54ED6">
      <w:pPr>
        <w:spacing w:after="0" w:line="276" w:lineRule="auto"/>
        <w:jc w:val="both"/>
        <w:rPr>
          <w:rFonts w:ascii="Verdana" w:eastAsia="Calibri" w:hAnsi="Verdana" w:cs="Arial"/>
          <w:lang w:eastAsia="es-ES_tradnl"/>
        </w:rPr>
      </w:pPr>
    </w:p>
    <w:p w14:paraId="556E0BF3" w14:textId="77777777" w:rsidR="00F54ED6" w:rsidRPr="008E4F36" w:rsidRDefault="00F54ED6" w:rsidP="00F54ED6">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Alejandro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79CD51F3" w14:textId="77777777" w:rsidR="00F54ED6" w:rsidRDefault="00F54ED6" w:rsidP="00F54ED6">
      <w:pPr>
        <w:tabs>
          <w:tab w:val="left" w:pos="3768"/>
        </w:tabs>
        <w:spacing w:after="0" w:line="240" w:lineRule="auto"/>
        <w:jc w:val="both"/>
        <w:rPr>
          <w:rFonts w:ascii="Verdana" w:eastAsia="Calibri" w:hAnsi="Verdana" w:cs="Arial"/>
          <w:lang w:eastAsia="es-ES"/>
        </w:rPr>
      </w:pPr>
    </w:p>
    <w:p w14:paraId="54CDCDF6" w14:textId="77777777" w:rsidR="00F54ED6" w:rsidRPr="008E4F36" w:rsidRDefault="00F54ED6" w:rsidP="00F54ED6">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Pr="001A7769">
        <w:rPr>
          <w:rFonts w:ascii="Verdana" w:eastAsia="Calibri" w:hAnsi="Verdana" w:cs="Arial"/>
          <w:lang w:eastAsia="es-ES"/>
        </w:rPr>
        <w:t>24 de noviembre de 2025,</w:t>
      </w:r>
      <w:r w:rsidRPr="000F2158">
        <w:rPr>
          <w:rFonts w:ascii="Verdana" w:eastAsia="Calibri" w:hAnsi="Verdana" w:cs="Arial"/>
          <w:lang w:eastAsia="es-ES"/>
        </w:rPr>
        <w:t xml:space="preserve"> en la cual manifiesta lo siguiente:</w:t>
      </w:r>
    </w:p>
    <w:p w14:paraId="76634BC7" w14:textId="77777777" w:rsidR="00F54ED6" w:rsidRPr="008E4F36" w:rsidRDefault="00F54ED6" w:rsidP="00F54ED6">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A5F0355" w14:textId="77777777" w:rsidR="00F54ED6" w:rsidRPr="00617A31" w:rsidRDefault="00F54ED6" w:rsidP="00F54ED6">
      <w:pPr>
        <w:spacing w:after="0"/>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FF7C03">
        <w:rPr>
          <w:rFonts w:ascii="Verdana" w:eastAsia="Century Gothic" w:hAnsi="Verdana" w:cs="Century Gothic"/>
          <w:sz w:val="20"/>
          <w:szCs w:val="20"/>
        </w:rPr>
        <w:t>1. Si la normatividad vigente permite la conformación de lotes dentro de una licitación pública.</w:t>
      </w:r>
      <w:r w:rsidRPr="00FF7C03">
        <w:rPr>
          <w:rFonts w:ascii="Verdana" w:eastAsia="Century Gothic" w:hAnsi="Verdana" w:cs="Century Gothic"/>
          <w:sz w:val="20"/>
          <w:szCs w:val="20"/>
        </w:rPr>
        <w:br/>
        <w:t>2. Cuáles son los lineamientos, requisitos o criterios técnicos que deben tenerse en cuenta para justificar y estructurar dichos lotes.</w:t>
      </w:r>
      <w:r w:rsidRPr="00FF7C03">
        <w:rPr>
          <w:rFonts w:ascii="Verdana" w:eastAsia="Century Gothic" w:hAnsi="Verdana" w:cs="Century Gothic"/>
          <w:sz w:val="20"/>
          <w:szCs w:val="20"/>
        </w:rPr>
        <w:br/>
        <w:t>3. Si existen documentos, guías o conceptos oficiales que sirvan de referencia para su adecuada implementación</w:t>
      </w:r>
      <w:r w:rsidRPr="004D6912">
        <w:rPr>
          <w:rFonts w:ascii="Verdana" w:eastAsia="Century Gothic" w:hAnsi="Verdana" w:cs="Century Gothic"/>
          <w:sz w:val="20"/>
          <w:szCs w:val="20"/>
        </w:rPr>
        <w:t>.”</w:t>
      </w:r>
    </w:p>
    <w:p w14:paraId="0A0FBF68" w14:textId="77777777" w:rsidR="00F54ED6" w:rsidRPr="008E4F36" w:rsidRDefault="00F54ED6" w:rsidP="00F54ED6">
      <w:pPr>
        <w:spacing w:after="0" w:line="240" w:lineRule="auto"/>
        <w:ind w:left="709" w:right="709"/>
        <w:jc w:val="both"/>
        <w:rPr>
          <w:rFonts w:ascii="Verdana" w:hAnsi="Verdana"/>
          <w:sz w:val="20"/>
          <w:szCs w:val="20"/>
        </w:rPr>
      </w:pPr>
    </w:p>
    <w:p w14:paraId="192E9EFF" w14:textId="77777777" w:rsidR="00F54ED6" w:rsidRDefault="00F54ED6" w:rsidP="00F54ED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96688A" w14:textId="77777777" w:rsidR="00F54ED6" w:rsidRPr="00054383" w:rsidRDefault="00F54ED6" w:rsidP="00F54ED6">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135500D" w14:textId="77777777" w:rsidR="00F54ED6" w:rsidRPr="008E4F36" w:rsidRDefault="00F54ED6" w:rsidP="00F54ED6">
      <w:pPr>
        <w:spacing w:after="0"/>
        <w:ind w:firstLine="709"/>
        <w:jc w:val="both"/>
        <w:rPr>
          <w:rFonts w:ascii="Verdana" w:eastAsia="Calibri" w:hAnsi="Verdana" w:cs="Arial"/>
          <w:color w:val="000000"/>
          <w:lang w:eastAsia="es-ES"/>
        </w:rPr>
      </w:pPr>
    </w:p>
    <w:p w14:paraId="154CB501" w14:textId="77777777" w:rsidR="00F54ED6" w:rsidRDefault="00F54ED6" w:rsidP="00F54E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3AC89645" w14:textId="77777777" w:rsidR="00F54ED6" w:rsidRDefault="00F54ED6" w:rsidP="00F54ED6">
      <w:pPr>
        <w:spacing w:after="0" w:line="276" w:lineRule="auto"/>
        <w:jc w:val="both"/>
        <w:rPr>
          <w:rFonts w:ascii="Verdana" w:eastAsia="Calibri" w:hAnsi="Verdana" w:cs="Arial"/>
          <w:color w:val="000000"/>
          <w:highlight w:val="yellow"/>
          <w:lang w:eastAsia="es-ES"/>
        </w:rPr>
      </w:pPr>
    </w:p>
    <w:p w14:paraId="3C39A3AB" w14:textId="23D57D0A" w:rsidR="00F54ED6" w:rsidRPr="00CA5CFD" w:rsidRDefault="00F54ED6" w:rsidP="00F54ED6">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w:t>
      </w:r>
      <w:r>
        <w:rPr>
          <w:rFonts w:ascii="Verdana" w:eastAsia="Calibri" w:hAnsi="Verdana" w:cs="Arial"/>
          <w:color w:val="000000"/>
          <w:lang w:eastAsia="es-ES"/>
        </w:rPr>
        <w:t xml:space="preserve"> </w:t>
      </w:r>
      <w:r w:rsidRPr="00322A98">
        <w:rPr>
          <w:rFonts w:ascii="Verdana" w:eastAsia="Calibri" w:hAnsi="Verdana" w:cs="Arial"/>
          <w:color w:val="000000"/>
          <w:lang w:eastAsia="es-ES"/>
        </w:rPr>
        <w:t>¿</w:t>
      </w:r>
      <w:r w:rsidRPr="00322A98">
        <w:rPr>
          <w:rFonts w:ascii="Verdana" w:hAnsi="Verdana"/>
        </w:rPr>
        <w:t>Cuáles</w:t>
      </w:r>
      <w:r w:rsidRPr="00322A98">
        <w:rPr>
          <w:rFonts w:ascii="Verdana" w:eastAsia="Calibri" w:hAnsi="Verdana" w:cs="Arial"/>
          <w:color w:val="000000"/>
          <w:lang w:eastAsia="es-ES"/>
        </w:rPr>
        <w:t xml:space="preserve"> son los criterios legales y técnicos que orientan la estructuración adecuada de un proceso de contratación pública</w:t>
      </w:r>
      <w:r w:rsidR="00BB0F3C">
        <w:rPr>
          <w:rFonts w:ascii="Verdana" w:eastAsia="Calibri" w:hAnsi="Verdana" w:cs="Arial"/>
          <w:color w:val="000000"/>
          <w:lang w:eastAsia="es-ES"/>
        </w:rPr>
        <w:t xml:space="preserve"> ir lotes</w:t>
      </w:r>
      <w:r w:rsidR="00EE70C8">
        <w:rPr>
          <w:rFonts w:ascii="Verdana" w:eastAsia="Calibri" w:hAnsi="Verdana" w:cs="Arial"/>
          <w:color w:val="000000"/>
          <w:lang w:eastAsia="es-ES"/>
        </w:rPr>
        <w:t>, segmentos</w:t>
      </w:r>
      <w:r w:rsidR="00BB0F3C">
        <w:rPr>
          <w:rFonts w:ascii="Verdana" w:eastAsia="Calibri" w:hAnsi="Verdana" w:cs="Arial"/>
          <w:color w:val="000000"/>
          <w:lang w:eastAsia="es-ES"/>
        </w:rPr>
        <w:t xml:space="preserve"> o grupos</w:t>
      </w:r>
      <w:r w:rsidRPr="00322A98">
        <w:rPr>
          <w:rFonts w:ascii="Verdana" w:eastAsia="Calibri" w:hAnsi="Verdana" w:cs="Arial"/>
          <w:color w:val="000000"/>
          <w:lang w:eastAsia="es-ES"/>
        </w:rPr>
        <w:t>?</w:t>
      </w:r>
    </w:p>
    <w:p w14:paraId="0A489F5B" w14:textId="77777777" w:rsidR="00F54ED6" w:rsidRPr="00202BAC" w:rsidRDefault="00F54ED6" w:rsidP="00F54ED6">
      <w:pPr>
        <w:spacing w:after="0" w:line="276" w:lineRule="auto"/>
        <w:jc w:val="both"/>
        <w:rPr>
          <w:rFonts w:ascii="Verdana" w:eastAsia="Calibri" w:hAnsi="Verdana" w:cs="Arial"/>
          <w:color w:val="000000"/>
          <w:lang w:eastAsia="es-ES"/>
        </w:rPr>
      </w:pPr>
    </w:p>
    <w:p w14:paraId="1F161D6F" w14:textId="77777777" w:rsidR="00F54ED6" w:rsidRPr="008E4F36" w:rsidRDefault="00F54ED6" w:rsidP="00F54ED6">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2E73E7B8" w14:textId="77777777" w:rsidR="00F54ED6" w:rsidRPr="008E4F36" w:rsidRDefault="00F54ED6" w:rsidP="00F54ED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54ED6" w:rsidRPr="008E4F36" w14:paraId="0BF105BD" w14:textId="77777777" w:rsidTr="008445A3">
        <w:tc>
          <w:tcPr>
            <w:tcW w:w="8828" w:type="dxa"/>
          </w:tcPr>
          <w:p w14:paraId="2F8D40C2" w14:textId="77777777" w:rsidR="00F54ED6" w:rsidRDefault="00F54ED6" w:rsidP="0017691E">
            <w:pPr>
              <w:spacing w:after="120" w:line="276" w:lineRule="auto"/>
              <w:jc w:val="both"/>
              <w:rPr>
                <w:rFonts w:ascii="Verdana" w:eastAsia="Calibri" w:hAnsi="Verdana" w:cs="Arial"/>
                <w:bCs/>
                <w:color w:val="000000" w:themeColor="text1"/>
              </w:rPr>
            </w:pPr>
            <w:r w:rsidRPr="002754D3">
              <w:rPr>
                <w:rFonts w:ascii="Verdana" w:eastAsia="Calibri" w:hAnsi="Verdana" w:cs="Arial"/>
                <w:bCs/>
                <w:color w:val="000000" w:themeColor="text1"/>
              </w:rPr>
              <w:t>Las entidades estatales sometidas al Estatuto General de Contratación de la Administración Pública, en ejercicio de la autonomía y discrecionalidad tienen la facultad de</w:t>
            </w:r>
            <w:r>
              <w:rPr>
                <w:rFonts w:ascii="Verdana" w:eastAsia="Calibri" w:hAnsi="Verdana" w:cs="Arial"/>
                <w:bCs/>
                <w:color w:val="000000" w:themeColor="text1"/>
              </w:rPr>
              <w:t xml:space="preserve"> dividir el objeto del proceso de contratación en lotes, segmentos o grupos</w:t>
            </w:r>
            <w:r w:rsidRPr="002754D3">
              <w:rPr>
                <w:rFonts w:ascii="Verdana" w:eastAsia="Calibri" w:hAnsi="Verdana" w:cs="Arial"/>
                <w:bCs/>
                <w:color w:val="000000" w:themeColor="text1"/>
              </w:rPr>
              <w:t xml:space="preserve"> con el fin de facilitar la ejecución de los contratos y optimizar la utilización de los recursos públicos, de acuerdo con las necesidades específicas de cada entidad. </w:t>
            </w:r>
          </w:p>
          <w:p w14:paraId="58FA0DD2" w14:textId="4F0F656E" w:rsidR="00F54ED6" w:rsidRPr="00405E0D" w:rsidRDefault="00F54ED6" w:rsidP="008445A3">
            <w:pPr>
              <w:spacing w:after="120" w:line="276" w:lineRule="auto"/>
              <w:ind w:firstLine="743"/>
              <w:jc w:val="both"/>
              <w:rPr>
                <w:rFonts w:ascii="Verdana" w:eastAsia="Calibri" w:hAnsi="Verdana" w:cs="Arial"/>
                <w:bCs/>
                <w:color w:val="000000" w:themeColor="text1"/>
              </w:rPr>
            </w:pPr>
            <w:r>
              <w:rPr>
                <w:rFonts w:ascii="Verdana" w:eastAsia="Calibri" w:hAnsi="Verdana" w:cs="Arial"/>
                <w:bCs/>
                <w:color w:val="000000" w:themeColor="text1"/>
              </w:rPr>
              <w:t xml:space="preserve">En este contexto, </w:t>
            </w:r>
            <w:r w:rsidRPr="00AA027E">
              <w:rPr>
                <w:rFonts w:ascii="Verdana" w:eastAsia="Calibri" w:hAnsi="Verdana" w:cs="Arial"/>
                <w:color w:val="000000" w:themeColor="text1"/>
              </w:rPr>
              <w:t>podrá</w:t>
            </w:r>
            <w:r>
              <w:rPr>
                <w:rFonts w:ascii="Verdana" w:eastAsia="Calibri" w:hAnsi="Verdana" w:cs="Arial"/>
                <w:color w:val="000000" w:themeColor="text1"/>
              </w:rPr>
              <w:t>n</w:t>
            </w:r>
            <w:r w:rsidRPr="00AA027E">
              <w:rPr>
                <w:rFonts w:ascii="Verdana" w:eastAsia="Calibri" w:hAnsi="Verdana" w:cs="Arial"/>
                <w:color w:val="000000" w:themeColor="text1"/>
              </w:rPr>
              <w:t xml:space="preserve"> determinar la estructura de lotes </w:t>
            </w:r>
            <w:r>
              <w:rPr>
                <w:rFonts w:ascii="Verdana" w:eastAsia="Calibri" w:hAnsi="Verdana" w:cs="Arial"/>
                <w:color w:val="000000" w:themeColor="text1"/>
              </w:rPr>
              <w:t>o</w:t>
            </w:r>
            <w:r w:rsidRPr="00AA027E">
              <w:rPr>
                <w:rFonts w:ascii="Verdana" w:eastAsia="Calibri" w:hAnsi="Verdana" w:cs="Arial"/>
                <w:color w:val="000000" w:themeColor="text1"/>
              </w:rPr>
              <w:t xml:space="preserve"> segmentos para contratar </w:t>
            </w:r>
            <w:r w:rsidR="0017691E" w:rsidRPr="00AA027E">
              <w:rPr>
                <w:rFonts w:ascii="Verdana" w:eastAsia="Calibri" w:hAnsi="Verdana" w:cs="Arial"/>
                <w:color w:val="000000" w:themeColor="text1"/>
              </w:rPr>
              <w:t xml:space="preserve">el </w:t>
            </w:r>
            <w:r w:rsidR="0017691E">
              <w:rPr>
                <w:rFonts w:ascii="Verdana" w:eastAsia="Calibri" w:hAnsi="Verdana" w:cs="Arial"/>
                <w:color w:val="000000" w:themeColor="text1"/>
              </w:rPr>
              <w:t>objeto</w:t>
            </w:r>
            <w:r w:rsidR="00D57966">
              <w:rPr>
                <w:rFonts w:ascii="Verdana" w:eastAsia="Calibri" w:hAnsi="Verdana" w:cs="Arial"/>
                <w:color w:val="000000" w:themeColor="text1"/>
              </w:rPr>
              <w:t xml:space="preserve"> requerido</w:t>
            </w:r>
            <w:r w:rsidRPr="00AA027E">
              <w:rPr>
                <w:rFonts w:ascii="Verdana" w:eastAsia="Calibri" w:hAnsi="Verdana" w:cs="Arial"/>
                <w:color w:val="000000" w:themeColor="text1"/>
              </w:rPr>
              <w:t xml:space="preserve">, </w:t>
            </w:r>
            <w:r>
              <w:rPr>
                <w:rFonts w:ascii="Verdana" w:eastAsia="Calibri" w:hAnsi="Verdana" w:cs="Arial"/>
                <w:color w:val="000000" w:themeColor="text1"/>
              </w:rPr>
              <w:t xml:space="preserve">analizando </w:t>
            </w:r>
            <w:r w:rsidRPr="00AA027E">
              <w:rPr>
                <w:rFonts w:ascii="Verdana" w:eastAsia="Calibri" w:hAnsi="Verdana" w:cs="Arial"/>
                <w:color w:val="000000" w:themeColor="text1"/>
              </w:rPr>
              <w:t>la conveniencia técnica de la organización d</w:t>
            </w:r>
            <w:r>
              <w:rPr>
                <w:rFonts w:ascii="Verdana" w:eastAsia="Calibri" w:hAnsi="Verdana" w:cs="Arial"/>
                <w:color w:val="000000" w:themeColor="text1"/>
              </w:rPr>
              <w:t xml:space="preserve">el proceso de contratación en este </w:t>
            </w:r>
            <w:proofErr w:type="gramStart"/>
            <w:r>
              <w:rPr>
                <w:rFonts w:ascii="Verdana" w:eastAsia="Calibri" w:hAnsi="Verdana" w:cs="Arial"/>
                <w:color w:val="000000" w:themeColor="text1"/>
              </w:rPr>
              <w:t>esquema</w:t>
            </w:r>
            <w:r w:rsidRPr="00AA027E">
              <w:rPr>
                <w:rFonts w:ascii="Verdana" w:eastAsia="Calibri" w:hAnsi="Verdana" w:cs="Arial"/>
                <w:color w:val="000000" w:themeColor="text1"/>
              </w:rPr>
              <w:t xml:space="preserve">, </w:t>
            </w:r>
            <w:r>
              <w:rPr>
                <w:rFonts w:ascii="Verdana" w:eastAsia="Calibri" w:hAnsi="Verdana" w:cs="Arial"/>
                <w:color w:val="000000" w:themeColor="text1"/>
              </w:rPr>
              <w:t xml:space="preserve"> y</w:t>
            </w:r>
            <w:proofErr w:type="gramEnd"/>
            <w:r>
              <w:rPr>
                <w:rFonts w:ascii="Verdana" w:eastAsia="Calibri" w:hAnsi="Verdana" w:cs="Arial"/>
                <w:color w:val="000000" w:themeColor="text1"/>
              </w:rPr>
              <w:t xml:space="preserve"> teniendo en cuenta el </w:t>
            </w:r>
            <w:r w:rsidRPr="00AA027E">
              <w:rPr>
                <w:rFonts w:ascii="Verdana" w:eastAsia="Calibri" w:hAnsi="Verdana" w:cs="Arial"/>
                <w:color w:val="000000" w:themeColor="text1"/>
              </w:rPr>
              <w:t xml:space="preserve">análisis detallado del sector asegurador, </w:t>
            </w:r>
            <w:r>
              <w:rPr>
                <w:rFonts w:ascii="Verdana" w:eastAsia="Calibri" w:hAnsi="Verdana" w:cs="Arial"/>
                <w:color w:val="000000" w:themeColor="text1"/>
              </w:rPr>
              <w:t xml:space="preserve">su oferta y demanda, </w:t>
            </w:r>
            <w:r w:rsidRPr="00AA027E">
              <w:rPr>
                <w:rFonts w:ascii="Verdana" w:eastAsia="Calibri" w:hAnsi="Verdana" w:cs="Arial"/>
                <w:color w:val="000000" w:themeColor="text1"/>
              </w:rPr>
              <w:t xml:space="preserve">así </w:t>
            </w:r>
            <w:r w:rsidRPr="00AA027E">
              <w:rPr>
                <w:rFonts w:ascii="Verdana" w:eastAsia="Calibri" w:hAnsi="Verdana" w:cs="Arial"/>
                <w:color w:val="000000" w:themeColor="text1"/>
              </w:rPr>
              <w:lastRenderedPageBreak/>
              <w:t>como la regulación normativa vigente en la materia</w:t>
            </w:r>
            <w:r>
              <w:rPr>
                <w:rFonts w:ascii="Verdana" w:eastAsia="Calibri" w:hAnsi="Verdana" w:cs="Arial"/>
                <w:color w:val="000000" w:themeColor="text1"/>
              </w:rPr>
              <w:t>. De la misma forma, l</w:t>
            </w:r>
            <w:r w:rsidRPr="00944BA7">
              <w:rPr>
                <w:rFonts w:ascii="Verdana" w:eastAsia="Calibri" w:hAnsi="Verdana" w:cs="Arial"/>
                <w:color w:val="000000" w:themeColor="text1"/>
              </w:rPr>
              <w:t>a entidad deberá especificar en los pliegos de condiciones si un proponente puede</w:t>
            </w:r>
            <w:r>
              <w:rPr>
                <w:rFonts w:ascii="Verdana" w:eastAsia="Calibri" w:hAnsi="Verdana" w:cs="Arial"/>
                <w:color w:val="000000" w:themeColor="text1"/>
              </w:rPr>
              <w:t xml:space="preserve"> presentarse a varios lotes y</w:t>
            </w:r>
            <w:r w:rsidRPr="00944BA7">
              <w:rPr>
                <w:rFonts w:ascii="Verdana" w:eastAsia="Calibri" w:hAnsi="Verdana" w:cs="Arial"/>
                <w:color w:val="000000" w:themeColor="text1"/>
              </w:rPr>
              <w:t xml:space="preserve"> resultar adjudicatario en uno o varios de los lotes o segmentos en los que se divide </w:t>
            </w:r>
            <w:r>
              <w:rPr>
                <w:rFonts w:ascii="Verdana" w:eastAsia="Calibri" w:hAnsi="Verdana" w:cs="Arial"/>
                <w:color w:val="000000" w:themeColor="text1"/>
              </w:rPr>
              <w:t xml:space="preserve">el </w:t>
            </w:r>
            <w:r w:rsidRPr="00944BA7">
              <w:rPr>
                <w:rFonts w:ascii="Verdana" w:eastAsia="Calibri" w:hAnsi="Verdana" w:cs="Arial"/>
                <w:color w:val="000000" w:themeColor="text1"/>
              </w:rPr>
              <w:t xml:space="preserve">proceso de contratación. </w:t>
            </w:r>
          </w:p>
        </w:tc>
      </w:tr>
    </w:tbl>
    <w:p w14:paraId="3875CBF9" w14:textId="77777777" w:rsidR="00F54ED6" w:rsidRDefault="00F54ED6" w:rsidP="00F54ED6">
      <w:pPr>
        <w:tabs>
          <w:tab w:val="left" w:pos="142"/>
          <w:tab w:val="left" w:pos="284"/>
        </w:tabs>
        <w:spacing w:after="0" w:line="276" w:lineRule="auto"/>
        <w:jc w:val="both"/>
        <w:rPr>
          <w:rFonts w:ascii="Verdana" w:eastAsia="Century Gothic" w:hAnsi="Verdana" w:cs="Century Gothic"/>
          <w:b/>
          <w:bCs/>
        </w:rPr>
      </w:pPr>
    </w:p>
    <w:p w14:paraId="1A1EDEA9" w14:textId="77777777" w:rsidR="00F54ED6" w:rsidRPr="008E4F36" w:rsidRDefault="00F54ED6" w:rsidP="00F54ED6">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D50ACA6" w14:textId="77777777" w:rsidR="00F54ED6" w:rsidRDefault="00F54ED6" w:rsidP="00F54ED6">
      <w:pPr>
        <w:pStyle w:val="Prrafodelista"/>
        <w:tabs>
          <w:tab w:val="left" w:pos="142"/>
          <w:tab w:val="left" w:pos="284"/>
        </w:tabs>
        <w:spacing w:after="0" w:line="276" w:lineRule="auto"/>
        <w:ind w:left="0"/>
        <w:contextualSpacing w:val="0"/>
        <w:jc w:val="both"/>
        <w:rPr>
          <w:rFonts w:ascii="Verdana" w:eastAsia="Calibri" w:hAnsi="Verdana" w:cs="Arial"/>
        </w:rPr>
      </w:pPr>
    </w:p>
    <w:p w14:paraId="0AFC1913" w14:textId="77777777" w:rsidR="00F54ED6" w:rsidRDefault="00F54ED6" w:rsidP="00F54ED6">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045AAD4C" w14:textId="77777777" w:rsidR="00F54ED6" w:rsidRDefault="00F54ED6" w:rsidP="00F54ED6">
      <w:pPr>
        <w:pStyle w:val="Prrafodelista"/>
        <w:tabs>
          <w:tab w:val="left" w:pos="142"/>
          <w:tab w:val="left" w:pos="284"/>
        </w:tabs>
        <w:spacing w:after="0" w:line="240" w:lineRule="auto"/>
        <w:ind w:left="0"/>
        <w:contextualSpacing w:val="0"/>
        <w:jc w:val="both"/>
        <w:rPr>
          <w:rFonts w:ascii="Verdana" w:eastAsia="Calibri" w:hAnsi="Verdana" w:cs="Arial"/>
        </w:rPr>
      </w:pPr>
    </w:p>
    <w:p w14:paraId="25B6E359" w14:textId="77777777" w:rsidR="00F54ED6" w:rsidRDefault="00F54ED6" w:rsidP="00F54ED6">
      <w:pPr>
        <w:spacing w:after="120" w:line="276" w:lineRule="auto"/>
        <w:jc w:val="both"/>
        <w:rPr>
          <w:rFonts w:ascii="Verdana" w:eastAsia="Calibri" w:hAnsi="Verdana" w:cs="Arial"/>
          <w:bCs/>
          <w:color w:val="000000" w:themeColor="text1"/>
        </w:rPr>
      </w:pPr>
      <w:bookmarkStart w:id="4" w:name="_Hlk204856061"/>
      <w:bookmarkStart w:id="5" w:name="_Hlk78820161"/>
      <w:bookmarkStart w:id="6" w:name="_Hlk204854194"/>
      <w:r w:rsidRPr="002754D3">
        <w:rPr>
          <w:rFonts w:ascii="Verdana" w:eastAsia="Calibri" w:hAnsi="Verdana" w:cs="Arial"/>
          <w:bCs/>
          <w:color w:val="000000" w:themeColor="text1"/>
        </w:rPr>
        <w:t>Las entidades estatales sometidas al Estatuto General de Contratación de la Administración Pública, en ejercicio de la autonomía y discrecionalidad tienen la facultad de</w:t>
      </w:r>
      <w:r>
        <w:rPr>
          <w:rFonts w:ascii="Verdana" w:eastAsia="Calibri" w:hAnsi="Verdana" w:cs="Arial"/>
          <w:bCs/>
          <w:color w:val="000000" w:themeColor="text1"/>
        </w:rPr>
        <w:t xml:space="preserve"> dividir el objeto del proceso de contratación en lotes, segmentos o grupos</w:t>
      </w:r>
      <w:r w:rsidRPr="002754D3">
        <w:rPr>
          <w:rFonts w:ascii="Verdana" w:eastAsia="Calibri" w:hAnsi="Verdana" w:cs="Arial"/>
          <w:bCs/>
          <w:color w:val="000000" w:themeColor="text1"/>
        </w:rPr>
        <w:t xml:space="preserve"> con el fin de facilitar la ejecución de los contratos y optimizar la utilización de los recursos públicos, de acuerdo con las necesidades específicas de cada entidad. </w:t>
      </w:r>
      <w:r w:rsidRPr="00612570">
        <w:rPr>
          <w:rFonts w:ascii="Verdana" w:eastAsia="Calibri" w:hAnsi="Verdana" w:cs="Arial"/>
          <w:bCs/>
          <w:color w:val="000000" w:themeColor="text1"/>
        </w:rPr>
        <w:t xml:space="preserve">En términos de eficiencia y economía, esto es procedente cuando, en atención a las condiciones de ejecución requeridas, resulta conveniente segmentar el cumplimiento del objeto del contrato, dando lugar a lotes o </w:t>
      </w:r>
      <w:r>
        <w:rPr>
          <w:rFonts w:ascii="Verdana" w:eastAsia="Calibri" w:hAnsi="Verdana" w:cs="Arial"/>
          <w:bCs/>
          <w:color w:val="000000" w:themeColor="text1"/>
        </w:rPr>
        <w:t>grupos</w:t>
      </w:r>
      <w:r w:rsidRPr="00612570">
        <w:rPr>
          <w:rFonts w:ascii="Verdana" w:eastAsia="Calibri" w:hAnsi="Verdana" w:cs="Arial"/>
          <w:bCs/>
          <w:color w:val="000000" w:themeColor="text1"/>
        </w:rPr>
        <w:t>, de tal manera que los proponentes puedan ofertar respecto de un lote en concreto, y la entidad pueda definir un adjudicatario para uno de los lotes definidos</w:t>
      </w:r>
      <w:r>
        <w:rPr>
          <w:rFonts w:ascii="Verdana" w:eastAsia="Calibri" w:hAnsi="Verdana" w:cs="Arial"/>
          <w:bCs/>
          <w:color w:val="000000" w:themeColor="text1"/>
        </w:rPr>
        <w:t>.</w:t>
      </w:r>
    </w:p>
    <w:p w14:paraId="743CA3A6" w14:textId="77777777" w:rsidR="00F54ED6" w:rsidRPr="009D1EB3" w:rsidRDefault="00F54ED6" w:rsidP="00F54ED6">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El Decreto 1082 de 2015 establece en distintas disposiciones esta facultad de las entidades estatales de realizar un proceso de contratación en lotes. En efecto, el artículo </w:t>
      </w:r>
      <w:r w:rsidRPr="009D1EB3">
        <w:rPr>
          <w:rFonts w:ascii="Verdana" w:eastAsia="Calibri" w:hAnsi="Verdana" w:cs="Arial"/>
          <w:bCs/>
          <w:color w:val="000000" w:themeColor="text1"/>
        </w:rPr>
        <w:t>2.2.1.2.1.2.1</w:t>
      </w:r>
      <w:r>
        <w:rPr>
          <w:rFonts w:ascii="Verdana" w:eastAsia="Calibri" w:hAnsi="Verdana" w:cs="Arial"/>
          <w:bCs/>
          <w:color w:val="000000" w:themeColor="text1"/>
        </w:rPr>
        <w:t xml:space="preserve"> señala que, e</w:t>
      </w:r>
      <w:r w:rsidRPr="009D1EB3">
        <w:rPr>
          <w:rFonts w:ascii="Verdana" w:eastAsia="Calibri" w:hAnsi="Verdana" w:cs="Arial"/>
          <w:bCs/>
          <w:color w:val="000000" w:themeColor="text1"/>
        </w:rPr>
        <w:t xml:space="preserve">n los pliegos de condiciones para contratar bienes y servicios de características técnicas uniformes, la </w:t>
      </w:r>
      <w:r>
        <w:rPr>
          <w:rFonts w:ascii="Verdana" w:eastAsia="Calibri" w:hAnsi="Verdana" w:cs="Arial"/>
          <w:bCs/>
          <w:color w:val="000000" w:themeColor="text1"/>
        </w:rPr>
        <w:t>e</w:t>
      </w:r>
      <w:r w:rsidRPr="009D1EB3">
        <w:rPr>
          <w:rFonts w:ascii="Verdana" w:eastAsia="Calibri" w:hAnsi="Verdana" w:cs="Arial"/>
          <w:bCs/>
          <w:color w:val="000000" w:themeColor="text1"/>
        </w:rPr>
        <w:t xml:space="preserve">ntidad </w:t>
      </w:r>
      <w:r>
        <w:rPr>
          <w:rFonts w:ascii="Verdana" w:eastAsia="Calibri" w:hAnsi="Verdana" w:cs="Arial"/>
          <w:bCs/>
          <w:color w:val="000000" w:themeColor="text1"/>
        </w:rPr>
        <w:t>e</w:t>
      </w:r>
      <w:r w:rsidRPr="009D1EB3">
        <w:rPr>
          <w:rFonts w:ascii="Verdana" w:eastAsia="Calibri" w:hAnsi="Verdana" w:cs="Arial"/>
          <w:bCs/>
          <w:color w:val="000000" w:themeColor="text1"/>
        </w:rPr>
        <w:t xml:space="preserve">statal debe </w:t>
      </w:r>
      <w:r>
        <w:rPr>
          <w:rFonts w:ascii="Verdana" w:eastAsia="Calibri" w:hAnsi="Verdana" w:cs="Arial"/>
          <w:bCs/>
          <w:color w:val="000000" w:themeColor="text1"/>
        </w:rPr>
        <w:t>definir, entre otros aspectos,</w:t>
      </w:r>
      <w:bookmarkStart w:id="7" w:name="2.2.1.2.1.2.1.1"/>
      <w:bookmarkEnd w:id="7"/>
      <w:r>
        <w:rPr>
          <w:rFonts w:ascii="Verdana" w:eastAsia="Calibri" w:hAnsi="Verdana" w:cs="Arial"/>
          <w:bCs/>
          <w:color w:val="000000" w:themeColor="text1"/>
        </w:rPr>
        <w:t xml:space="preserve"> “</w:t>
      </w:r>
      <w:r w:rsidRPr="009D1EB3">
        <w:rPr>
          <w:rFonts w:ascii="Verdana" w:eastAsia="Calibri" w:hAnsi="Verdana" w:cs="Arial"/>
          <w:bCs/>
          <w:color w:val="000000" w:themeColor="text1"/>
        </w:rPr>
        <w:t>el contenido de cada un</w:t>
      </w:r>
      <w:r>
        <w:rPr>
          <w:rFonts w:ascii="Verdana" w:eastAsia="Calibri" w:hAnsi="Verdana" w:cs="Arial"/>
          <w:bCs/>
          <w:color w:val="000000" w:themeColor="text1"/>
        </w:rPr>
        <w:t>a</w:t>
      </w:r>
      <w:r w:rsidRPr="009D1EB3">
        <w:rPr>
          <w:rFonts w:ascii="Verdana" w:eastAsia="Calibri" w:hAnsi="Verdana" w:cs="Arial"/>
          <w:bCs/>
          <w:color w:val="000000" w:themeColor="text1"/>
        </w:rPr>
        <w:t xml:space="preserve"> de las partes o lotes, si la adquisición se pretende hacer por partes.</w:t>
      </w:r>
      <w:r>
        <w:rPr>
          <w:rFonts w:ascii="Verdana" w:eastAsia="Calibri" w:hAnsi="Verdana" w:cs="Arial"/>
          <w:bCs/>
          <w:color w:val="000000" w:themeColor="text1"/>
        </w:rPr>
        <w:t>”</w:t>
      </w:r>
    </w:p>
    <w:p w14:paraId="555EFABC" w14:textId="77777777" w:rsidR="00F54ED6" w:rsidRDefault="00F54ED6" w:rsidP="00F54ED6">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lang w:val="es-ES_tradnl"/>
        </w:rPr>
        <w:t>C</w:t>
      </w:r>
      <w:r w:rsidRPr="005D3677">
        <w:rPr>
          <w:rFonts w:ascii="Verdana" w:eastAsia="Calibri" w:hAnsi="Verdana" w:cs="Arial"/>
          <w:bCs/>
          <w:color w:val="000000" w:themeColor="text1"/>
          <w:lang w:val="es-ES_tradnl"/>
        </w:rPr>
        <w:t>on</w:t>
      </w:r>
      <w:r w:rsidRPr="005D3677">
        <w:rPr>
          <w:rFonts w:ascii="Verdana" w:eastAsia="Calibri" w:hAnsi="Verdana" w:cs="Arial"/>
          <w:bCs/>
          <w:color w:val="000000" w:themeColor="text1"/>
          <w:lang w:val="es-MX"/>
        </w:rPr>
        <w:t xml:space="preserve"> la reciente expedición del Decreto 142 del de 2023</w:t>
      </w:r>
      <w:r w:rsidRPr="005D3677">
        <w:rPr>
          <w:rFonts w:ascii="Verdana" w:eastAsia="Calibri" w:hAnsi="Verdana" w:cs="Arial"/>
          <w:bCs/>
          <w:color w:val="000000" w:themeColor="text1"/>
          <w:vertAlign w:val="superscript"/>
          <w:lang w:val="es-MX"/>
        </w:rPr>
        <w:footnoteReference w:id="1"/>
      </w:r>
      <w:r w:rsidRPr="005D3677">
        <w:rPr>
          <w:rFonts w:ascii="Verdana" w:eastAsia="Calibri" w:hAnsi="Verdana" w:cs="Arial"/>
          <w:bCs/>
          <w:color w:val="000000" w:themeColor="text1"/>
          <w:lang w:val="es-MX"/>
        </w:rPr>
        <w:t xml:space="preserve"> se reglamentó la disposición contenida en el numeral 6 del artículo 33 de la Ley 2069 de 2020</w:t>
      </w:r>
      <w:r w:rsidRPr="005D3677">
        <w:rPr>
          <w:rFonts w:ascii="Verdana" w:eastAsia="Calibri" w:hAnsi="Verdana" w:cs="Arial"/>
          <w:bCs/>
          <w:color w:val="000000" w:themeColor="text1"/>
          <w:vertAlign w:val="superscript"/>
          <w:lang w:val="es-MX"/>
        </w:rPr>
        <w:footnoteReference w:id="2"/>
      </w:r>
      <w:r w:rsidRPr="005D3677">
        <w:rPr>
          <w:rFonts w:ascii="Verdana" w:eastAsia="Calibri" w:hAnsi="Verdana" w:cs="Arial"/>
          <w:bCs/>
          <w:color w:val="000000" w:themeColor="text1"/>
          <w:lang w:val="es-MX"/>
        </w:rPr>
        <w:t xml:space="preserve">. </w:t>
      </w:r>
      <w:r w:rsidRPr="005D3677">
        <w:rPr>
          <w:rFonts w:ascii="Verdana" w:eastAsia="Calibri" w:hAnsi="Verdana" w:cs="Arial"/>
          <w:bCs/>
          <w:color w:val="000000" w:themeColor="text1"/>
          <w:lang w:val="es-MX"/>
        </w:rPr>
        <w:lastRenderedPageBreak/>
        <w:t xml:space="preserve">Con el fin de cumplir el mandato legal indicado, el artículo 2 del Decreto 0142 de 2023 modificó el artículo </w:t>
      </w:r>
      <w:r w:rsidRPr="005D3677">
        <w:rPr>
          <w:rFonts w:ascii="Verdana" w:eastAsia="Calibri" w:hAnsi="Verdana" w:cs="Arial"/>
          <w:bCs/>
          <w:color w:val="000000" w:themeColor="text1"/>
        </w:rPr>
        <w:t>2.2.1.1.1.4.1</w:t>
      </w:r>
      <w:r w:rsidRPr="005D3677">
        <w:rPr>
          <w:rFonts w:ascii="Verdana" w:eastAsia="Calibri" w:hAnsi="Verdana" w:cs="Arial"/>
          <w:bCs/>
          <w:color w:val="000000" w:themeColor="text1"/>
          <w:lang w:val="es-MX"/>
        </w:rPr>
        <w:t xml:space="preserve"> </w:t>
      </w:r>
      <w:r w:rsidRPr="005D3677">
        <w:rPr>
          <w:rFonts w:ascii="Verdana" w:eastAsia="Calibri" w:hAnsi="Verdana" w:cs="Arial"/>
          <w:bCs/>
          <w:color w:val="000000" w:themeColor="text1"/>
        </w:rPr>
        <w:t>del Decreto 1082 de 2015</w:t>
      </w:r>
      <w:r w:rsidRPr="005D3677">
        <w:rPr>
          <w:rFonts w:ascii="Verdana" w:eastAsia="Calibri" w:hAnsi="Verdana" w:cs="Arial"/>
          <w:bCs/>
          <w:color w:val="000000" w:themeColor="text1"/>
          <w:vertAlign w:val="superscript"/>
        </w:rPr>
        <w:footnoteReference w:id="3"/>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 xml:space="preserve">para instar a las entidades públicas para que, desde la configuración del Plan Anual de Adquisiciones, propendan por planear su contratación de tal manera que promueva el adelantamiento de procesos de contratación por lotes o segmentos, a fin de promover la participación de las </w:t>
      </w:r>
      <w:proofErr w:type="spellStart"/>
      <w:r w:rsidRPr="005D3677">
        <w:rPr>
          <w:rFonts w:ascii="Verdana" w:eastAsia="Calibri" w:hAnsi="Verdana" w:cs="Arial"/>
          <w:bCs/>
          <w:color w:val="000000" w:themeColor="text1"/>
        </w:rPr>
        <w:t>Mipymes</w:t>
      </w:r>
      <w:proofErr w:type="spellEnd"/>
      <w:r w:rsidRPr="005D3677">
        <w:rPr>
          <w:rFonts w:ascii="Verdana" w:eastAsia="Calibri" w:hAnsi="Verdana" w:cs="Arial"/>
          <w:bCs/>
          <w:color w:val="000000" w:themeColor="text1"/>
        </w:rPr>
        <w:t xml:space="preserve"> en los procesos de contratación. </w:t>
      </w:r>
    </w:p>
    <w:p w14:paraId="37C5D9A3" w14:textId="77777777" w:rsidR="00F54ED6" w:rsidRPr="003B0BDB" w:rsidRDefault="00F54ED6" w:rsidP="00F54ED6">
      <w:pPr>
        <w:spacing w:after="120" w:line="276" w:lineRule="auto"/>
        <w:ind w:firstLine="709"/>
        <w:jc w:val="both"/>
        <w:rPr>
          <w:rFonts w:ascii="Verdana" w:eastAsia="Calibri" w:hAnsi="Verdana" w:cs="Arial"/>
          <w:bCs/>
          <w:color w:val="000000" w:themeColor="text1"/>
        </w:rPr>
      </w:pPr>
      <w:r w:rsidRPr="005D3677">
        <w:rPr>
          <w:rFonts w:ascii="Verdana" w:eastAsia="Calibri" w:hAnsi="Verdana" w:cs="Arial"/>
          <w:bCs/>
          <w:color w:val="000000" w:themeColor="text1"/>
        </w:rPr>
        <w:t>En concordancia con lo anterior,</w:t>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el artículo 6 del Decreto 142 de 2023, adicionó el 2.2.1.2.4.2.19 </w:t>
      </w:r>
      <w:r w:rsidRPr="005D3677">
        <w:rPr>
          <w:rFonts w:ascii="Verdana" w:eastAsia="Calibri" w:hAnsi="Verdana" w:cs="Arial"/>
          <w:bCs/>
          <w:iCs/>
          <w:color w:val="000000" w:themeColor="text1"/>
        </w:rPr>
        <w:t>al Decreto 1082 de 2015</w:t>
      </w:r>
      <w:r w:rsidRPr="005D3677">
        <w:rPr>
          <w:rFonts w:ascii="Verdana" w:eastAsia="Calibri" w:hAnsi="Verdana" w:cs="Arial"/>
          <w:bCs/>
          <w:i/>
          <w:iCs/>
          <w:color w:val="000000" w:themeColor="text1"/>
        </w:rPr>
        <w:t xml:space="preserve">, </w:t>
      </w:r>
      <w:r w:rsidRPr="005D3677">
        <w:rPr>
          <w:rFonts w:ascii="Verdana" w:eastAsia="Calibri" w:hAnsi="Verdana" w:cs="Arial"/>
          <w:bCs/>
          <w:color w:val="000000" w:themeColor="text1"/>
        </w:rPr>
        <w:t xml:space="preserve">ratificando en el reglamento el deber de las entidades estatales de promover la división de procesos de contratación en lotes o segmentos, ya establecido de manera expresa en el </w:t>
      </w:r>
      <w:r w:rsidRPr="005D3677">
        <w:rPr>
          <w:rFonts w:ascii="Verdana" w:eastAsia="Calibri" w:hAnsi="Verdana" w:cs="Arial"/>
          <w:bCs/>
          <w:color w:val="000000" w:themeColor="text1"/>
          <w:lang w:val="es-MX"/>
        </w:rPr>
        <w:t>numeral 6 del artículo 33 de la Ley 2069 de 2020.</w:t>
      </w:r>
      <w:r>
        <w:rPr>
          <w:rFonts w:ascii="Verdana" w:eastAsia="Calibri" w:hAnsi="Verdana" w:cs="Arial"/>
          <w:bCs/>
          <w:color w:val="000000" w:themeColor="text1"/>
        </w:rPr>
        <w:t xml:space="preserve"> </w:t>
      </w:r>
      <w:r w:rsidRPr="003B0BDB">
        <w:rPr>
          <w:rFonts w:ascii="Verdana" w:eastAsia="Calibri" w:hAnsi="Verdana" w:cs="Arial"/>
          <w:bCs/>
          <w:color w:val="000000" w:themeColor="text1"/>
          <w:lang w:val="es-MX"/>
        </w:rPr>
        <w:t>Esta última</w:t>
      </w:r>
      <w:r w:rsidRPr="003B0BDB">
        <w:rPr>
          <w:rFonts w:ascii="Verdana" w:eastAsia="Calibri" w:hAnsi="Verdana" w:cs="Arial"/>
          <w:bCs/>
          <w:color w:val="000000" w:themeColor="text1"/>
        </w:rPr>
        <w:t xml:space="preserve"> obedece al siguiente tenor:  </w:t>
      </w:r>
    </w:p>
    <w:p w14:paraId="3C3B05CD" w14:textId="77777777" w:rsidR="00F54ED6" w:rsidRPr="003B0BDB" w:rsidRDefault="00F54ED6" w:rsidP="00F54ED6">
      <w:pPr>
        <w:spacing w:after="120" w:line="276" w:lineRule="auto"/>
        <w:ind w:left="851" w:right="616"/>
        <w:jc w:val="both"/>
        <w:rPr>
          <w:rFonts w:ascii="Verdana" w:eastAsia="Calibri" w:hAnsi="Verdana" w:cs="Arial"/>
          <w:bCs/>
          <w:color w:val="000000" w:themeColor="text1"/>
          <w:sz w:val="21"/>
          <w:szCs w:val="21"/>
        </w:rPr>
      </w:pPr>
      <w:r w:rsidRPr="003B0BDB">
        <w:rPr>
          <w:rFonts w:ascii="Verdana" w:eastAsia="Calibri" w:hAnsi="Verdana" w:cs="Arial"/>
          <w:bCs/>
          <w:color w:val="000000" w:themeColor="text1"/>
        </w:rPr>
        <w:t>“</w:t>
      </w:r>
      <w:r w:rsidRPr="003B0BDB">
        <w:rPr>
          <w:rFonts w:ascii="Verdana" w:eastAsia="Calibri" w:hAnsi="Verdana" w:cs="Arial"/>
          <w:bCs/>
          <w:color w:val="000000" w:themeColor="text1"/>
          <w:sz w:val="21"/>
          <w:szCs w:val="21"/>
        </w:rPr>
        <w:t>Artículo 2.2.1.2.4.2.19. </w:t>
      </w:r>
      <w:r w:rsidRPr="003B0BDB">
        <w:rPr>
          <w:rFonts w:ascii="Verdana" w:eastAsia="Calibri" w:hAnsi="Verdana" w:cs="Arial"/>
          <w:bCs/>
          <w:i/>
          <w:iCs/>
          <w:color w:val="000000" w:themeColor="text1"/>
          <w:sz w:val="21"/>
          <w:szCs w:val="21"/>
        </w:rPr>
        <w:t>División en lotes o segmentos. </w:t>
      </w:r>
      <w:r w:rsidRPr="003B0BDB">
        <w:rPr>
          <w:rFonts w:ascii="Verdana" w:eastAsia="Calibri" w:hAnsi="Verdana" w:cs="Arial"/>
          <w:bCs/>
          <w:color w:val="000000" w:themeColor="text1"/>
          <w:sz w:val="21"/>
          <w:szCs w:val="21"/>
        </w:rPr>
        <w:t xml:space="preserve">Las entidades estatales promoverán la división de procesos de contratación en lotes o segmentos que faciliten la participación de las </w:t>
      </w:r>
      <w:proofErr w:type="spellStart"/>
      <w:r w:rsidRPr="003B0BDB">
        <w:rPr>
          <w:rFonts w:ascii="Verdana" w:eastAsia="Calibri" w:hAnsi="Verdana" w:cs="Arial"/>
          <w:bCs/>
          <w:color w:val="000000" w:themeColor="text1"/>
          <w:sz w:val="21"/>
          <w:szCs w:val="21"/>
        </w:rPr>
        <w:t>Mipymes</w:t>
      </w:r>
      <w:proofErr w:type="spellEnd"/>
      <w:r w:rsidRPr="003B0BDB">
        <w:rPr>
          <w:rFonts w:ascii="Verdana" w:eastAsia="Calibri" w:hAnsi="Verdana" w:cs="Arial"/>
          <w:bCs/>
          <w:color w:val="000000" w:themeColor="text1"/>
          <w:sz w:val="21"/>
          <w:szCs w:val="21"/>
        </w:rPr>
        <w:t xml:space="preserve"> atendiendo a criterios tales como: i) el tipo de entregable, ii) el valor del contrato </w:t>
      </w:r>
      <w:r w:rsidRPr="003B0BDB">
        <w:rPr>
          <w:rFonts w:ascii="Verdana" w:eastAsia="Calibri" w:hAnsi="Verdana" w:cs="Arial"/>
          <w:bCs/>
          <w:color w:val="000000" w:themeColor="text1"/>
          <w:sz w:val="21"/>
          <w:szCs w:val="21"/>
        </w:rPr>
        <w:lastRenderedPageBreak/>
        <w:t>y iii) el ámbito geográfico de la entrega. Para el efecto: las entidades estatales deberán tener en cuenta el análisis del sector económico y de los oferentes en los términos establecidos en el artículo 2.2.1.1.1.6.1. de presente decreto. </w:t>
      </w:r>
    </w:p>
    <w:p w14:paraId="3F5A5D2B" w14:textId="77777777" w:rsidR="00F54ED6" w:rsidRPr="003B0BDB" w:rsidRDefault="00F54ED6" w:rsidP="00F54ED6">
      <w:pPr>
        <w:spacing w:after="120" w:line="276" w:lineRule="auto"/>
        <w:ind w:left="851" w:right="616"/>
        <w:jc w:val="both"/>
        <w:rPr>
          <w:rFonts w:ascii="Verdana" w:eastAsia="Calibri" w:hAnsi="Verdana" w:cs="Arial"/>
          <w:bCs/>
          <w:color w:val="000000" w:themeColor="text1"/>
          <w:sz w:val="21"/>
          <w:szCs w:val="21"/>
        </w:rPr>
      </w:pPr>
      <w:r w:rsidRPr="003B0BDB">
        <w:rPr>
          <w:rFonts w:ascii="Verdana" w:eastAsia="Calibri" w:hAnsi="Verdana" w:cs="Arial"/>
          <w:bCs/>
          <w:color w:val="000000" w:themeColor="text1"/>
          <w:sz w:val="21"/>
          <w:szCs w:val="21"/>
        </w:rPr>
        <w:t>[…]  </w:t>
      </w:r>
    </w:p>
    <w:p w14:paraId="08B51058" w14:textId="77777777" w:rsidR="00F54ED6" w:rsidRPr="003B0BDB" w:rsidRDefault="00F54ED6" w:rsidP="00F54ED6">
      <w:pPr>
        <w:spacing w:after="120" w:line="276" w:lineRule="auto"/>
        <w:ind w:left="851" w:right="616"/>
        <w:jc w:val="both"/>
        <w:rPr>
          <w:rFonts w:ascii="Verdana" w:eastAsia="Calibri" w:hAnsi="Verdana" w:cs="Arial"/>
          <w:bCs/>
          <w:color w:val="000000" w:themeColor="text1"/>
          <w:sz w:val="21"/>
          <w:szCs w:val="21"/>
        </w:rPr>
      </w:pPr>
      <w:r w:rsidRPr="003B0BDB">
        <w:rPr>
          <w:rFonts w:ascii="Verdana" w:eastAsia="Calibri" w:hAnsi="Verdana" w:cs="Arial"/>
          <w:bCs/>
          <w:color w:val="000000" w:themeColor="text1"/>
          <w:sz w:val="21"/>
          <w:szCs w:val="21"/>
        </w:rPr>
        <w:t>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p>
    <w:p w14:paraId="2540ABA7" w14:textId="77777777" w:rsidR="00F54ED6" w:rsidRPr="003B0BDB" w:rsidRDefault="00F54ED6" w:rsidP="00F54ED6">
      <w:pPr>
        <w:spacing w:after="0" w:line="276" w:lineRule="auto"/>
        <w:ind w:left="851" w:right="618"/>
        <w:jc w:val="both"/>
        <w:rPr>
          <w:rFonts w:ascii="Verdana" w:eastAsia="Calibri" w:hAnsi="Verdana" w:cs="Arial"/>
          <w:bCs/>
          <w:color w:val="000000" w:themeColor="text1"/>
          <w:sz w:val="21"/>
          <w:szCs w:val="21"/>
        </w:rPr>
      </w:pPr>
      <w:r w:rsidRPr="003B0BDB">
        <w:rPr>
          <w:rFonts w:ascii="Verdana" w:eastAsia="Calibri" w:hAnsi="Verdana" w:cs="Arial"/>
          <w:bCs/>
          <w:color w:val="000000" w:themeColor="text1"/>
          <w:sz w:val="21"/>
          <w:szCs w:val="21"/>
        </w:rPr>
        <w:t>Parágrafo. En los Procesos de Contratación adelantados por lotes o grupos deberá aplicarse lo regulado en el artículo 2.2.1.2.4.2.2. del presente Decreto, tornando en consideración el valor del Proceso de Contratación imputable al respectivo lote en el que se solicite su aplicación. De igual manera será aplicable lo previsto en el artículo 2.2.1.2.4.2.3. a partir del lugar de ejecución del contrato asociado al respectivo lote o segmento”. </w:t>
      </w:r>
    </w:p>
    <w:p w14:paraId="3D05FB89" w14:textId="77777777" w:rsidR="00F54ED6" w:rsidRDefault="00F54ED6" w:rsidP="00F54ED6">
      <w:pPr>
        <w:spacing w:after="0" w:line="276" w:lineRule="auto"/>
        <w:ind w:firstLine="709"/>
        <w:jc w:val="both"/>
        <w:rPr>
          <w:rFonts w:ascii="Verdana" w:eastAsia="Calibri" w:hAnsi="Verdana" w:cs="Arial"/>
          <w:bCs/>
          <w:color w:val="000000" w:themeColor="text1"/>
        </w:rPr>
      </w:pPr>
    </w:p>
    <w:p w14:paraId="298F96C1" w14:textId="77777777" w:rsidR="00F54ED6" w:rsidRPr="008D7A64" w:rsidRDefault="00F54ED6" w:rsidP="00F54ED6">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bCs/>
          <w:color w:val="000000" w:themeColor="text1"/>
        </w:rPr>
        <w:t xml:space="preserve">Como se observa, </w:t>
      </w:r>
      <w:r w:rsidRPr="00113C17">
        <w:rPr>
          <w:rFonts w:ascii="Verdana" w:eastAsia="Calibri" w:hAnsi="Verdana" w:cs="Arial"/>
          <w:bCs/>
          <w:color w:val="000000" w:themeColor="text1"/>
        </w:rPr>
        <w:t>el primer inciso de la norma establece los criterios que pueden tener en cuenta las entidades públicas para dividir los procesos por lotes o segmentos como lo son: i) el tipo de entregable, ii) el valor del contrato y (iii) el ámbito geográfico de la entrega</w:t>
      </w:r>
      <w:r>
        <w:rPr>
          <w:rFonts w:ascii="Verdana" w:eastAsia="Calibri" w:hAnsi="Verdana" w:cs="Arial"/>
          <w:bCs/>
          <w:color w:val="000000" w:themeColor="text1"/>
        </w:rPr>
        <w:t xml:space="preserve">.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stos criterios se disponen, con el fin de facilitar la participación de las MiPymes en los procesos de contratación. Asimismo, la norma señala que, para dar cumplimiento a lo indicado, las Entidades Estatales deberán tener en cuenta el análisis del sector económico y de los oferentes en los términos establecidos en el artículo 2.2.1.1.1.6.1. del Decreto 1082 de 2015.</w:t>
      </w:r>
    </w:p>
    <w:p w14:paraId="049737BE" w14:textId="77777777" w:rsidR="00F54ED6" w:rsidRPr="0043159D" w:rsidRDefault="00F54ED6" w:rsidP="00F54ED6">
      <w:pPr>
        <w:spacing w:after="120" w:line="276" w:lineRule="auto"/>
        <w:ind w:firstLine="709"/>
        <w:jc w:val="both"/>
        <w:rPr>
          <w:rFonts w:ascii="Verdana" w:eastAsia="Calibri" w:hAnsi="Verdana" w:cs="Arial"/>
          <w:color w:val="000000" w:themeColor="text1"/>
        </w:rPr>
      </w:pPr>
      <w:r w:rsidRPr="00A43D48">
        <w:rPr>
          <w:rFonts w:ascii="Verdana" w:eastAsia="Calibri" w:hAnsi="Verdana" w:cs="Arial"/>
          <w:color w:val="000000" w:themeColor="text1"/>
          <w:lang w:val="es-ES_tradnl"/>
        </w:rPr>
        <w:t>Por su parte, el inciso</w:t>
      </w:r>
      <w:r>
        <w:rPr>
          <w:rFonts w:ascii="Verdana" w:eastAsia="Calibri" w:hAnsi="Verdana" w:cs="Arial"/>
          <w:color w:val="000000" w:themeColor="text1"/>
          <w:lang w:val="es-ES_tradnl"/>
        </w:rPr>
        <w:t xml:space="preserve"> cuarto del artículo </w:t>
      </w:r>
      <w:r w:rsidRPr="00A43D48">
        <w:rPr>
          <w:rFonts w:ascii="Verdana" w:eastAsia="Calibri" w:hAnsi="Verdana" w:cs="Arial"/>
          <w:color w:val="000000" w:themeColor="text1"/>
          <w:lang w:val="es-ES_tradnl"/>
        </w:rPr>
        <w:t xml:space="preserve">2.2.1.2.4.2.19. </w:t>
      </w:r>
      <w:r>
        <w:rPr>
          <w:rFonts w:ascii="Verdana" w:eastAsia="Calibri" w:hAnsi="Verdana" w:cs="Arial"/>
          <w:color w:val="000000" w:themeColor="text1"/>
          <w:lang w:val="es-ES_tradnl"/>
        </w:rPr>
        <w:t>del Decreto 1082 de 2015</w:t>
      </w:r>
      <w:r w:rsidRPr="00A43D48">
        <w:rPr>
          <w:rFonts w:ascii="Verdana" w:eastAsia="Calibri" w:hAnsi="Verdana" w:cs="Arial"/>
          <w:color w:val="000000" w:themeColor="text1"/>
          <w:lang w:val="es-ES_tradnl"/>
        </w:rPr>
        <w:t xml:space="preserve">, habilita a las entidades públicas para que incluyan en los pliegos de condiciones mecanismos y reglas que limiten el número de lotes que pueden ser adjudicados a un mismo oferente. </w:t>
      </w:r>
      <w:r w:rsidRPr="00815714">
        <w:rPr>
          <w:rFonts w:ascii="Verdana" w:eastAsia="Calibri" w:hAnsi="Verdana" w:cs="Arial"/>
          <w:color w:val="000000" w:themeColor="text1"/>
        </w:rPr>
        <w:t xml:space="preserve">En relación con este aspecto, se considera que la norma no determina los </w:t>
      </w:r>
      <w:r w:rsidRPr="005E351B">
        <w:rPr>
          <w:rFonts w:ascii="Verdana" w:eastAsia="Calibri" w:hAnsi="Verdana" w:cs="Arial"/>
          <w:color w:val="000000" w:themeColor="text1"/>
        </w:rPr>
        <w:t>mecanismos y reglas</w:t>
      </w:r>
      <w:r w:rsidRPr="00815714">
        <w:rPr>
          <w:rFonts w:ascii="Verdana" w:eastAsia="Calibri" w:hAnsi="Verdana" w:cs="Arial"/>
          <w:color w:val="000000" w:themeColor="text1"/>
        </w:rPr>
        <w:t xml:space="preserve"> que pueden establecer las </w:t>
      </w:r>
      <w:r w:rsidRPr="00815714">
        <w:rPr>
          <w:rFonts w:ascii="Verdana" w:eastAsia="Calibri" w:hAnsi="Verdana" w:cs="Arial"/>
          <w:color w:val="000000" w:themeColor="text1"/>
        </w:rPr>
        <w:lastRenderedPageBreak/>
        <w:t>entidades para limitar el número de lotes a adjudicarse a un mismo oferente,</w:t>
      </w:r>
      <w:r w:rsidRPr="00F071BA">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por tanto, </w:t>
      </w:r>
      <w:r w:rsidRPr="00A43D48">
        <w:rPr>
          <w:rFonts w:ascii="Verdana" w:eastAsia="Calibri" w:hAnsi="Verdana" w:cs="Arial"/>
          <w:color w:val="000000" w:themeColor="text1"/>
          <w:lang w:val="es-ES_tradnl"/>
        </w:rPr>
        <w:t xml:space="preserve">la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 xml:space="preserve">ntidad </w:t>
      </w:r>
      <w:r>
        <w:rPr>
          <w:rFonts w:ascii="Verdana" w:eastAsia="Calibri" w:hAnsi="Verdana" w:cs="Arial"/>
          <w:color w:val="000000" w:themeColor="text1"/>
          <w:lang w:val="es-ES_tradnl"/>
        </w:rPr>
        <w:t>e</w:t>
      </w:r>
      <w:r w:rsidRPr="00A43D48">
        <w:rPr>
          <w:rFonts w:ascii="Verdana" w:eastAsia="Calibri" w:hAnsi="Verdana" w:cs="Arial"/>
          <w:color w:val="000000" w:themeColor="text1"/>
          <w:lang w:val="es-ES_tradnl"/>
        </w:rPr>
        <w:t>stata</w:t>
      </w:r>
      <w:r>
        <w:rPr>
          <w:rFonts w:ascii="Verdana" w:eastAsia="Calibri" w:hAnsi="Verdana" w:cs="Arial"/>
          <w:color w:val="000000" w:themeColor="text1"/>
          <w:lang w:val="es-ES_tradnl"/>
        </w:rPr>
        <w:t>l</w:t>
      </w:r>
      <w:r w:rsidRPr="00A43D48">
        <w:rPr>
          <w:rFonts w:ascii="Verdana" w:eastAsia="Calibri" w:hAnsi="Verdana" w:cs="Arial"/>
          <w:color w:val="000000" w:themeColor="text1"/>
          <w:lang w:val="es-ES_tradnl"/>
        </w:rPr>
        <w:t xml:space="preserve"> podrá limitar el número de lotes de los que puede resultar adjudicatario un mismo proponente, considerando los lotes o segmentos de los distintos procesos de selección que se encuentre adelantando</w:t>
      </w:r>
      <w:r>
        <w:rPr>
          <w:rFonts w:ascii="Verdana" w:eastAsia="Calibri" w:hAnsi="Verdana" w:cs="Arial"/>
          <w:color w:val="000000" w:themeColor="text1"/>
        </w:rPr>
        <w:t xml:space="preserve">. </w:t>
      </w:r>
      <w:r w:rsidRPr="00A43D48">
        <w:rPr>
          <w:rFonts w:ascii="Verdana" w:eastAsia="Calibri" w:hAnsi="Verdana" w:cs="Arial"/>
          <w:color w:val="000000" w:themeColor="text1"/>
          <w:lang w:val="es-ES_tradnl"/>
        </w:rPr>
        <w:t>Esto, “con la finalidad de evitar que se concentre la contratación” en un solo oferente, y siempre y cuando esta restricción se realice sobre la base de criterios objetivos y no discriminatorios.</w:t>
      </w:r>
    </w:p>
    <w:p w14:paraId="38422E65" w14:textId="77777777" w:rsidR="00F54ED6" w:rsidRPr="00221C72" w:rsidRDefault="00F54ED6" w:rsidP="00F54ED6">
      <w:pPr>
        <w:spacing w:after="120" w:line="276" w:lineRule="auto"/>
        <w:ind w:firstLine="709"/>
        <w:jc w:val="both"/>
        <w:rPr>
          <w:rFonts w:ascii="Verdana" w:eastAsia="Calibri" w:hAnsi="Verdana" w:cs="Arial"/>
          <w:color w:val="000000" w:themeColor="text1"/>
        </w:rPr>
      </w:pPr>
      <w:r w:rsidRPr="00A43D48">
        <w:rPr>
          <w:rFonts w:ascii="Verdana" w:eastAsia="Calibri" w:hAnsi="Verdana" w:cs="Arial"/>
          <w:color w:val="000000" w:themeColor="text1"/>
          <w:lang w:val="es-ES_tradnl"/>
        </w:rPr>
        <w:t xml:space="preserve">Bajo este contexto, le corresponde a la Entidad Estatal en ejercicio de </w:t>
      </w:r>
      <w:r>
        <w:rPr>
          <w:rFonts w:ascii="Verdana" w:eastAsia="Calibri" w:hAnsi="Verdana" w:cs="Arial"/>
          <w:color w:val="000000" w:themeColor="text1"/>
          <w:lang w:val="es-ES_tradnl"/>
        </w:rPr>
        <w:t>la</w:t>
      </w:r>
      <w:r w:rsidRPr="00A43D48">
        <w:rPr>
          <w:rFonts w:ascii="Verdana" w:eastAsia="Calibri" w:hAnsi="Verdana" w:cs="Arial"/>
          <w:color w:val="000000" w:themeColor="text1"/>
          <w:lang w:val="es-ES_tradnl"/>
        </w:rPr>
        <w:t xml:space="preserve"> autonomía y discrecionalidad que le confiere el artículo 2.2.1.2.4.2.19 del Decreto 1082 de 2015 −adicionado por el artículo 6 del Decreto 142 de 2023−, determinar en los pliegos de condiciones para los procesos estructurados por lotes o segmentos, si un proponente puede resultar adjudicatario en uno o varios de los lotes o segmentos en los que se dividen los distinto procesos de contratación que se encuentra adelantando. </w:t>
      </w:r>
      <w:r w:rsidRPr="004F5966">
        <w:rPr>
          <w:rFonts w:ascii="Verdana" w:eastAsia="Calibri" w:hAnsi="Verdana" w:cs="Arial"/>
          <w:color w:val="000000" w:themeColor="text1"/>
        </w:rPr>
        <w:t>Esto supone la posibilidad de que la entidad estatal establezca en el pliego de condiciones reglas y/o causales de rechazo, dirigidas a evitar que se concentre la contratación en un único proponent</w:t>
      </w:r>
      <w:r>
        <w:rPr>
          <w:rFonts w:ascii="Verdana" w:eastAsia="Calibri" w:hAnsi="Verdana" w:cs="Arial"/>
          <w:color w:val="000000" w:themeColor="text1"/>
        </w:rPr>
        <w:t xml:space="preserve">e. </w:t>
      </w:r>
      <w:r w:rsidRPr="00A43D48">
        <w:rPr>
          <w:rFonts w:ascii="Verdana" w:eastAsia="Calibri" w:hAnsi="Verdana" w:cs="Arial"/>
          <w:color w:val="000000" w:themeColor="text1"/>
          <w:lang w:val="es-ES_tradnl"/>
        </w:rPr>
        <w:t xml:space="preserve">Además, el inciso en comento establece que, la decisión de la entidad de no adjudicar un contrato </w:t>
      </w:r>
      <w:r>
        <w:rPr>
          <w:rFonts w:ascii="Verdana" w:eastAsia="Calibri" w:hAnsi="Verdana" w:cs="Arial"/>
          <w:color w:val="000000" w:themeColor="text1"/>
          <w:lang w:val="es-ES_tradnl"/>
        </w:rPr>
        <w:t xml:space="preserve">en lotes o segmentos </w:t>
      </w:r>
      <w:r w:rsidRPr="00A43D48">
        <w:rPr>
          <w:rFonts w:ascii="Verdana" w:eastAsia="Calibri" w:hAnsi="Verdana" w:cs="Arial"/>
          <w:color w:val="000000" w:themeColor="text1"/>
          <w:lang w:val="es-ES_tradnl"/>
        </w:rPr>
        <w:t xml:space="preserve">puede obedecer −entre otras razones− a que: i) mediante este mecanismo se pueda restringir la competencia o ii) que la segmentación del mercado pueda conducir a que la ejecución del contrato sea imposible desde el punto de vista técnico o económico. </w:t>
      </w:r>
    </w:p>
    <w:p w14:paraId="29419C4B" w14:textId="0B75506F" w:rsidR="00B00650" w:rsidRDefault="00F54ED6" w:rsidP="00F54ED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De acuerdo con estas consideraciones, es claro que todos los procesos de contratación pueden ser susceptibles de estructurarse en lotes, segmentos o grupos siempre que con ello no se restringa la competencia o resulte inconveniente técnica o económicamente su ejecución bajo este esquema. De esta manera, e</w:t>
      </w:r>
      <w:r w:rsidRPr="00EF40BF">
        <w:rPr>
          <w:rFonts w:ascii="Verdana" w:eastAsia="Calibri" w:hAnsi="Verdana" w:cs="Arial"/>
          <w:color w:val="000000" w:themeColor="text1"/>
        </w:rPr>
        <w:t xml:space="preserve">n los procesos de </w:t>
      </w:r>
      <w:r>
        <w:rPr>
          <w:rFonts w:ascii="Verdana" w:eastAsia="Calibri" w:hAnsi="Verdana" w:cs="Arial"/>
          <w:color w:val="000000" w:themeColor="text1"/>
        </w:rPr>
        <w:t>selección</w:t>
      </w:r>
      <w:r w:rsidR="00AF0134">
        <w:rPr>
          <w:rFonts w:ascii="Verdana" w:eastAsia="Calibri" w:hAnsi="Verdana" w:cs="Arial"/>
          <w:color w:val="000000" w:themeColor="text1"/>
        </w:rPr>
        <w:t xml:space="preserve"> llevados a cabo a través de la modalidad de licitación </w:t>
      </w:r>
      <w:r w:rsidR="00F43ACA">
        <w:rPr>
          <w:rFonts w:ascii="Verdana" w:eastAsia="Calibri" w:hAnsi="Verdana" w:cs="Arial"/>
          <w:color w:val="000000" w:themeColor="text1"/>
        </w:rPr>
        <w:t>pública</w:t>
      </w:r>
      <w:r w:rsidR="00F43ACA" w:rsidRPr="00EF40BF">
        <w:rPr>
          <w:rFonts w:ascii="Verdana" w:eastAsia="Calibri" w:hAnsi="Verdana" w:cs="Arial"/>
          <w:color w:val="000000" w:themeColor="text1"/>
        </w:rPr>
        <w:t xml:space="preserve"> se</w:t>
      </w:r>
      <w:r w:rsidRPr="00EF40BF">
        <w:rPr>
          <w:rFonts w:ascii="Verdana" w:eastAsia="Calibri" w:hAnsi="Verdana" w:cs="Arial"/>
          <w:color w:val="000000" w:themeColor="text1"/>
        </w:rPr>
        <w:t xml:space="preserve"> podrá</w:t>
      </w:r>
      <w:r w:rsidR="00B57FAA">
        <w:rPr>
          <w:rFonts w:ascii="Verdana" w:eastAsia="Calibri" w:hAnsi="Verdana" w:cs="Arial"/>
          <w:color w:val="000000" w:themeColor="text1"/>
        </w:rPr>
        <w:t>n</w:t>
      </w:r>
      <w:r w:rsidRPr="00EF40BF">
        <w:rPr>
          <w:rFonts w:ascii="Verdana" w:eastAsia="Calibri" w:hAnsi="Verdana" w:cs="Arial"/>
          <w:color w:val="000000" w:themeColor="text1"/>
        </w:rPr>
        <w:t xml:space="preserve"> llevar a cabo la contratación mediante grupos o segmentos</w:t>
      </w:r>
      <w:r>
        <w:rPr>
          <w:rFonts w:ascii="Verdana" w:eastAsia="Calibri" w:hAnsi="Verdana" w:cs="Arial"/>
          <w:color w:val="000000" w:themeColor="text1"/>
        </w:rPr>
        <w:t xml:space="preserve">. </w:t>
      </w:r>
    </w:p>
    <w:p w14:paraId="72BD1E50" w14:textId="4D7B4143" w:rsidR="00F54ED6" w:rsidRDefault="00F54ED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Sin embargo, l</w:t>
      </w:r>
      <w:r w:rsidRPr="00480303">
        <w:rPr>
          <w:rFonts w:ascii="Verdana" w:eastAsia="Calibri" w:hAnsi="Verdana" w:cs="Arial"/>
          <w:color w:val="000000" w:themeColor="text1"/>
        </w:rPr>
        <w:t xml:space="preserve">a determinación del esquema por lotes y la forma en que se estructuran estos grupos o segmentos es de carácter discrecional de la entidad estatal. En este sentido, es fundamental que la entidad tenga en cuenta diversos criterios al momento de definir esta estructura, con el fin de adaptar el proceso de contratación a sus necesidades particulares. </w:t>
      </w:r>
      <w:proofErr w:type="gramStart"/>
      <w:r w:rsidRPr="00480303">
        <w:rPr>
          <w:rFonts w:ascii="Verdana" w:eastAsia="Calibri" w:hAnsi="Verdana" w:cs="Arial"/>
          <w:color w:val="000000" w:themeColor="text1"/>
        </w:rPr>
        <w:t>Además,  se</w:t>
      </w:r>
      <w:proofErr w:type="gramEnd"/>
      <w:r w:rsidRPr="00480303">
        <w:rPr>
          <w:rFonts w:ascii="Verdana" w:eastAsia="Calibri" w:hAnsi="Verdana" w:cs="Arial"/>
          <w:color w:val="000000" w:themeColor="text1"/>
        </w:rPr>
        <w:t xml:space="preserve"> propicie un proceso competitivo que permita la participación de una pluralidad de oferentes. </w:t>
      </w:r>
    </w:p>
    <w:p w14:paraId="5C40D3C1" w14:textId="77777777" w:rsidR="00F54ED6" w:rsidRDefault="00F54ED6" w:rsidP="00F54ED6">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 xml:space="preserve">Para tales efectos, la entidad deberá tener en cuenta los </w:t>
      </w:r>
      <w:r w:rsidRPr="00A43D48">
        <w:rPr>
          <w:rFonts w:ascii="Verdana" w:eastAsia="Calibri" w:hAnsi="Verdana" w:cs="Arial"/>
          <w:color w:val="000000" w:themeColor="text1"/>
          <w:lang w:val="es-ES_tradnl"/>
        </w:rPr>
        <w:t>estudios previos y el respectivo análisis del sector para identificar las oportunidades y determinar qué aspectos pueden adelantarse en el proceso de contratación</w:t>
      </w:r>
      <w:r>
        <w:rPr>
          <w:rFonts w:ascii="Verdana" w:eastAsia="Calibri" w:hAnsi="Verdana" w:cs="Arial"/>
          <w:color w:val="000000" w:themeColor="text1"/>
          <w:lang w:val="es-ES_tradnl"/>
        </w:rPr>
        <w:t xml:space="preserve"> y la forma en la que se establecerá cada lote</w:t>
      </w:r>
      <w:r w:rsidRPr="00A43D48">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En tal sentido</w:t>
      </w:r>
      <w:r w:rsidRPr="00A43D48">
        <w:rPr>
          <w:rFonts w:ascii="Verdana" w:eastAsia="Calibri" w:hAnsi="Verdana" w:cs="Arial"/>
          <w:color w:val="000000" w:themeColor="text1"/>
          <w:lang w:val="es-ES_tradnl"/>
        </w:rPr>
        <w:t>, es esencial realizar estudios del mercado</w:t>
      </w:r>
      <w:r>
        <w:rPr>
          <w:rFonts w:ascii="Verdana" w:eastAsia="Calibri" w:hAnsi="Verdana" w:cs="Arial"/>
          <w:color w:val="000000" w:themeColor="text1"/>
          <w:lang w:val="es-ES_tradnl"/>
        </w:rPr>
        <w:t xml:space="preserve"> que</w:t>
      </w:r>
      <w:r w:rsidRPr="00A43D48">
        <w:rPr>
          <w:rFonts w:ascii="Verdana" w:eastAsia="Calibri" w:hAnsi="Verdana" w:cs="Arial"/>
          <w:color w:val="000000" w:themeColor="text1"/>
          <w:lang w:val="es-ES_tradnl"/>
        </w:rPr>
        <w:t xml:space="preserve"> incluyen la evaluación de la oferta y la demanda en el sector específico </w:t>
      </w:r>
      <w:r>
        <w:rPr>
          <w:rFonts w:ascii="Verdana" w:eastAsia="Calibri" w:hAnsi="Verdana" w:cs="Arial"/>
          <w:color w:val="000000" w:themeColor="text1"/>
          <w:lang w:val="es-ES_tradnl"/>
        </w:rPr>
        <w:t xml:space="preserve">para </w:t>
      </w:r>
      <w:r w:rsidRPr="00A43D48">
        <w:rPr>
          <w:rFonts w:ascii="Verdana" w:eastAsia="Calibri" w:hAnsi="Verdana" w:cs="Arial"/>
          <w:color w:val="000000" w:themeColor="text1"/>
          <w:lang w:val="es-ES_tradnl"/>
        </w:rPr>
        <w:t>comprender la situación actual del mercado, identificar a los posibles proveedores y determinar si hay suficiente competencia para garantizar una selección justa.</w:t>
      </w:r>
    </w:p>
    <w:p w14:paraId="3E087425" w14:textId="77777777" w:rsidR="00F54ED6" w:rsidRDefault="00F54ED6" w:rsidP="00F54ED6">
      <w:pPr>
        <w:spacing w:after="120" w:line="276" w:lineRule="auto"/>
        <w:ind w:firstLine="709"/>
        <w:jc w:val="both"/>
        <w:rPr>
          <w:rFonts w:ascii="Verdana" w:eastAsia="Calibri" w:hAnsi="Verdana" w:cs="Arial"/>
          <w:color w:val="000000" w:themeColor="text1"/>
          <w:lang w:val="es-ES_tradnl"/>
        </w:rPr>
      </w:pPr>
      <w:r w:rsidRPr="00A43D48">
        <w:rPr>
          <w:rFonts w:ascii="Verdana" w:eastAsia="Calibri" w:hAnsi="Verdana" w:cs="Arial"/>
          <w:color w:val="000000" w:themeColor="text1"/>
          <w:lang w:val="es-ES_tradnl"/>
        </w:rPr>
        <w:t>De igual manera, se deben verificar los requisitos que deben cumplir los proveedores en cada lote o segmento de la contratación. Esto implica identificar los servicios o productos necesarios, establecer los plazos y las cantidades requeridas, y definir cualquier requisito adicional que pueda ser relevante.</w:t>
      </w:r>
      <w:r>
        <w:rPr>
          <w:rFonts w:ascii="Verdana" w:eastAsia="Calibri" w:hAnsi="Verdana" w:cs="Arial"/>
          <w:color w:val="000000" w:themeColor="text1"/>
          <w:lang w:val="es-ES_tradnl"/>
        </w:rPr>
        <w:t xml:space="preserve"> Asimismo</w:t>
      </w:r>
      <w:r w:rsidRPr="00A43D48">
        <w:rPr>
          <w:rFonts w:ascii="Verdana" w:eastAsia="Calibri" w:hAnsi="Verdana" w:cs="Arial"/>
          <w:color w:val="000000" w:themeColor="text1"/>
          <w:lang w:val="es-ES_tradnl"/>
        </w:rPr>
        <w:t>, antes de dividir el proceso de contratación en lotes o segmentos, es importante evaluar los posibles riesgos asociados</w:t>
      </w:r>
      <w:r>
        <w:rPr>
          <w:rFonts w:ascii="Verdana" w:eastAsia="Calibri" w:hAnsi="Verdana" w:cs="Arial"/>
          <w:color w:val="000000" w:themeColor="text1"/>
          <w:lang w:val="es-ES_tradnl"/>
        </w:rPr>
        <w:t xml:space="preserve">, es decir, </w:t>
      </w:r>
      <w:r w:rsidRPr="00A43D48">
        <w:rPr>
          <w:rFonts w:ascii="Verdana" w:eastAsia="Calibri" w:hAnsi="Verdana" w:cs="Arial"/>
          <w:color w:val="000000" w:themeColor="text1"/>
          <w:lang w:val="es-ES_tradnl"/>
        </w:rPr>
        <w:t xml:space="preserve">identificar los riesgos potenciales que podrían afectar la ejecución de los contratos y desarrollar estrategias para mitigarlos. También se deben considerar los riesgos financieros, legales y operativos relacionados con cada lote o segmento. </w:t>
      </w:r>
    </w:p>
    <w:p w14:paraId="655C91E5" w14:textId="77777777" w:rsidR="00F54ED6" w:rsidRDefault="00F54ED6" w:rsidP="33C649BC">
      <w:pPr>
        <w:spacing w:after="120" w:line="276" w:lineRule="auto"/>
        <w:ind w:firstLine="709"/>
        <w:jc w:val="both"/>
        <w:rPr>
          <w:rFonts w:ascii="Verdana" w:eastAsia="Calibri" w:hAnsi="Verdana" w:cs="Arial"/>
          <w:color w:val="000000" w:themeColor="text1"/>
          <w:lang w:val="es-ES"/>
        </w:rPr>
      </w:pPr>
      <w:r w:rsidRPr="33C649BC">
        <w:rPr>
          <w:rFonts w:ascii="Verdana" w:eastAsia="Calibri" w:hAnsi="Verdana" w:cs="Arial"/>
          <w:color w:val="000000" w:themeColor="text1"/>
          <w:lang w:val="es-ES"/>
        </w:rPr>
        <w:t>A su vez, al efectuar un análisis de viabilidad al momento de adelantar un proceso de contratación en lotes, se debe revisar si esta estrategia es factible y beneficiosa. Se deben considerar factores como los recursos disponibles, la capacidad de gestión y supervisión, y la posibilidad de lograr economías de escala o sinergias entre los lotes.</w:t>
      </w:r>
    </w:p>
    <w:p w14:paraId="2B55F1F5" w14:textId="77777777" w:rsidR="00F54ED6" w:rsidRDefault="00F54ED6" w:rsidP="00F54ED6">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Igualmente</w:t>
      </w:r>
      <w:r w:rsidRPr="00A43D48">
        <w:rPr>
          <w:rFonts w:ascii="Verdana" w:eastAsia="Calibri" w:hAnsi="Verdana" w:cs="Arial"/>
          <w:color w:val="000000" w:themeColor="text1"/>
          <w:lang w:val="es-ES_tradnl"/>
        </w:rPr>
        <w:t xml:space="preserve">, resulta importante </w:t>
      </w:r>
      <w:r>
        <w:rPr>
          <w:rFonts w:ascii="Verdana" w:eastAsia="Calibri" w:hAnsi="Verdana" w:cs="Arial"/>
          <w:color w:val="000000" w:themeColor="text1"/>
          <w:lang w:val="es-ES_tradnl"/>
        </w:rPr>
        <w:t>realizar</w:t>
      </w:r>
      <w:r w:rsidRPr="00A43D48">
        <w:rPr>
          <w:rFonts w:ascii="Verdana" w:eastAsia="Calibri" w:hAnsi="Verdana" w:cs="Arial"/>
          <w:color w:val="000000" w:themeColor="text1"/>
          <w:lang w:val="es-ES_tradnl"/>
        </w:rPr>
        <w:t xml:space="preserve"> el correspondiente análisis de oferta y demanda para determinar el valor del precio en un proceso de contratación en lotes y segmentos. Este enfoque permite evaluar cómo la relación entre la oferta y la demanda afecta el precio de un bien o servicio en particular, de esta manera el análisis de oferta implica examinar la cantidad de bienes o servicios disponibles en el mercado para satisfacer la demanda</w:t>
      </w:r>
      <w:r>
        <w:rPr>
          <w:rFonts w:ascii="Verdana" w:eastAsia="Calibri" w:hAnsi="Verdana" w:cs="Arial"/>
          <w:color w:val="000000" w:themeColor="text1"/>
          <w:lang w:val="es-ES_tradnl"/>
        </w:rPr>
        <w:t>.</w:t>
      </w:r>
      <w:r w:rsidRPr="00A43D48">
        <w:rPr>
          <w:rFonts w:ascii="Verdana" w:eastAsia="Calibri" w:hAnsi="Verdana" w:cs="Arial"/>
          <w:color w:val="000000" w:themeColor="text1"/>
          <w:lang w:val="es-ES_tradnl"/>
        </w:rPr>
        <w:t xml:space="preserve"> </w:t>
      </w:r>
    </w:p>
    <w:p w14:paraId="1B300FD5" w14:textId="51A81354" w:rsidR="00F54ED6" w:rsidRDefault="00F54ED6" w:rsidP="00F54ED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lang w:val="es-ES_tradnl"/>
        </w:rPr>
        <w:t xml:space="preserve">En este orden de ideas, </w:t>
      </w:r>
      <w:r w:rsidRPr="00AA027E">
        <w:rPr>
          <w:rFonts w:ascii="Verdana" w:eastAsia="Calibri" w:hAnsi="Verdana" w:cs="Arial"/>
          <w:color w:val="000000" w:themeColor="text1"/>
        </w:rPr>
        <w:t>la</w:t>
      </w:r>
      <w:r>
        <w:rPr>
          <w:rFonts w:ascii="Verdana" w:eastAsia="Calibri" w:hAnsi="Verdana" w:cs="Arial"/>
          <w:color w:val="000000" w:themeColor="text1"/>
        </w:rPr>
        <w:t>s</w:t>
      </w:r>
      <w:r w:rsidRPr="00AA027E">
        <w:rPr>
          <w:rFonts w:ascii="Verdana" w:eastAsia="Calibri" w:hAnsi="Verdana" w:cs="Arial"/>
          <w:color w:val="000000" w:themeColor="text1"/>
        </w:rPr>
        <w:t xml:space="preserve"> entidad</w:t>
      </w:r>
      <w:r>
        <w:rPr>
          <w:rFonts w:ascii="Verdana" w:eastAsia="Calibri" w:hAnsi="Verdana" w:cs="Arial"/>
          <w:color w:val="000000" w:themeColor="text1"/>
        </w:rPr>
        <w:t>es</w:t>
      </w:r>
      <w:r w:rsidRPr="00AA027E">
        <w:rPr>
          <w:rFonts w:ascii="Verdana" w:eastAsia="Calibri" w:hAnsi="Verdana" w:cs="Arial"/>
          <w:color w:val="000000" w:themeColor="text1"/>
        </w:rPr>
        <w:t xml:space="preserve"> </w:t>
      </w:r>
      <w:r>
        <w:rPr>
          <w:rFonts w:ascii="Verdana" w:eastAsia="Calibri" w:hAnsi="Verdana" w:cs="Arial"/>
          <w:color w:val="000000" w:themeColor="text1"/>
        </w:rPr>
        <w:t>estatales, e</w:t>
      </w:r>
      <w:r w:rsidRPr="00AA027E">
        <w:rPr>
          <w:rFonts w:ascii="Verdana" w:eastAsia="Calibri" w:hAnsi="Verdana" w:cs="Arial"/>
          <w:color w:val="000000" w:themeColor="text1"/>
        </w:rPr>
        <w:t>n el marco de su autonomía y discrecionalidad, podrá</w:t>
      </w:r>
      <w:r>
        <w:rPr>
          <w:rFonts w:ascii="Verdana" w:eastAsia="Calibri" w:hAnsi="Verdana" w:cs="Arial"/>
          <w:color w:val="000000" w:themeColor="text1"/>
        </w:rPr>
        <w:t>n</w:t>
      </w:r>
      <w:r w:rsidRPr="00AA027E">
        <w:rPr>
          <w:rFonts w:ascii="Verdana" w:eastAsia="Calibri" w:hAnsi="Verdana" w:cs="Arial"/>
          <w:color w:val="000000" w:themeColor="text1"/>
        </w:rPr>
        <w:t xml:space="preserve"> determinar la estructura de lotes y segmentos para contratar </w:t>
      </w:r>
      <w:r w:rsidR="00CE77BD">
        <w:rPr>
          <w:rFonts w:ascii="Verdana" w:eastAsia="Calibri" w:hAnsi="Verdana" w:cs="Arial"/>
          <w:color w:val="000000" w:themeColor="text1"/>
        </w:rPr>
        <w:t>mediante la modalidad de la licitación pública</w:t>
      </w:r>
      <w:r>
        <w:rPr>
          <w:rFonts w:ascii="Verdana" w:eastAsia="Calibri" w:hAnsi="Verdana" w:cs="Arial"/>
          <w:color w:val="000000" w:themeColor="text1"/>
        </w:rPr>
        <w:t xml:space="preserve"> y teniendo en cuenta el </w:t>
      </w:r>
      <w:r w:rsidRPr="00AA027E">
        <w:rPr>
          <w:rFonts w:ascii="Verdana" w:eastAsia="Calibri" w:hAnsi="Verdana" w:cs="Arial"/>
          <w:color w:val="000000" w:themeColor="text1"/>
        </w:rPr>
        <w:t xml:space="preserve">análisis detallado del sector, </w:t>
      </w:r>
      <w:r>
        <w:rPr>
          <w:rFonts w:ascii="Verdana" w:eastAsia="Calibri" w:hAnsi="Verdana" w:cs="Arial"/>
          <w:color w:val="000000" w:themeColor="text1"/>
        </w:rPr>
        <w:t xml:space="preserve">su oferta y demanda, </w:t>
      </w:r>
      <w:r w:rsidRPr="00AA027E">
        <w:rPr>
          <w:rFonts w:ascii="Verdana" w:eastAsia="Calibri" w:hAnsi="Verdana" w:cs="Arial"/>
          <w:color w:val="000000" w:themeColor="text1"/>
        </w:rPr>
        <w:t>así como la regulación normativa vigente en la materia</w:t>
      </w:r>
      <w:r>
        <w:rPr>
          <w:rFonts w:ascii="Verdana" w:eastAsia="Calibri" w:hAnsi="Verdana" w:cs="Arial"/>
          <w:color w:val="000000" w:themeColor="text1"/>
        </w:rPr>
        <w:t>. De la misma forma, l</w:t>
      </w:r>
      <w:r w:rsidRPr="00944BA7">
        <w:rPr>
          <w:rFonts w:ascii="Verdana" w:eastAsia="Calibri" w:hAnsi="Verdana" w:cs="Arial"/>
          <w:color w:val="000000" w:themeColor="text1"/>
        </w:rPr>
        <w:t>a entidad deberá especificar en los pliegos de condiciones si un proponente puede</w:t>
      </w:r>
      <w:r>
        <w:rPr>
          <w:rFonts w:ascii="Verdana" w:eastAsia="Calibri" w:hAnsi="Verdana" w:cs="Arial"/>
          <w:color w:val="000000" w:themeColor="text1"/>
        </w:rPr>
        <w:t xml:space="preserve"> </w:t>
      </w:r>
      <w:r>
        <w:rPr>
          <w:rFonts w:ascii="Verdana" w:eastAsia="Calibri" w:hAnsi="Verdana" w:cs="Arial"/>
          <w:color w:val="000000" w:themeColor="text1"/>
        </w:rPr>
        <w:lastRenderedPageBreak/>
        <w:t>presentarse a varios lotes y</w:t>
      </w:r>
      <w:r w:rsidRPr="00944BA7">
        <w:rPr>
          <w:rFonts w:ascii="Verdana" w:eastAsia="Calibri" w:hAnsi="Verdana" w:cs="Arial"/>
          <w:color w:val="000000" w:themeColor="text1"/>
        </w:rPr>
        <w:t xml:space="preserve"> resultar adjudicatario en uno o varios de los lotes o segmentos en los que se divide </w:t>
      </w:r>
      <w:r>
        <w:rPr>
          <w:rFonts w:ascii="Verdana" w:eastAsia="Calibri" w:hAnsi="Verdana" w:cs="Arial"/>
          <w:color w:val="000000" w:themeColor="text1"/>
        </w:rPr>
        <w:t xml:space="preserve">el </w:t>
      </w:r>
      <w:r w:rsidRPr="00944BA7">
        <w:rPr>
          <w:rFonts w:ascii="Verdana" w:eastAsia="Calibri" w:hAnsi="Verdana" w:cs="Arial"/>
          <w:color w:val="000000" w:themeColor="text1"/>
        </w:rPr>
        <w:t xml:space="preserve">proceso de contratación. </w:t>
      </w:r>
    </w:p>
    <w:p w14:paraId="1DDC3154" w14:textId="601001F9" w:rsidR="00F54ED6" w:rsidRPr="000D5008" w:rsidRDefault="00F54ED6" w:rsidP="00F54ED6">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rPr>
        <w:t>Así las cosas, l</w:t>
      </w:r>
      <w:r w:rsidRPr="00D12FFC">
        <w:rPr>
          <w:rFonts w:ascii="Verdana" w:eastAsia="Calibri" w:hAnsi="Verdana" w:cs="Arial"/>
          <w:color w:val="000000" w:themeColor="text1"/>
        </w:rPr>
        <w:t>a entidad estatal es la responsable de determinar el número de lotes en los que se dividirá el proceso de contratación. Esta información debe ser claramente especificada en el pliego de condiciones, el cual servirá como base para que la entidad organice la estructura de los lotes en la plataforma del SECOP</w:t>
      </w:r>
      <w:r>
        <w:rPr>
          <w:rFonts w:ascii="Verdana" w:eastAsia="Calibri" w:hAnsi="Verdana" w:cs="Arial"/>
          <w:color w:val="000000" w:themeColor="text1"/>
        </w:rPr>
        <w:t xml:space="preserve">, </w:t>
      </w:r>
      <w:r w:rsidRPr="00D12FFC">
        <w:rPr>
          <w:rFonts w:ascii="Verdana" w:eastAsia="Calibri" w:hAnsi="Verdana" w:cs="Arial"/>
          <w:color w:val="000000" w:themeColor="text1"/>
        </w:rPr>
        <w:t>asegur</w:t>
      </w:r>
      <w:r>
        <w:rPr>
          <w:rFonts w:ascii="Verdana" w:eastAsia="Calibri" w:hAnsi="Verdana" w:cs="Arial"/>
          <w:color w:val="000000" w:themeColor="text1"/>
        </w:rPr>
        <w:t>ando</w:t>
      </w:r>
      <w:r w:rsidRPr="00D12FFC">
        <w:rPr>
          <w:rFonts w:ascii="Verdana" w:eastAsia="Calibri" w:hAnsi="Verdana" w:cs="Arial"/>
          <w:color w:val="000000" w:themeColor="text1"/>
        </w:rPr>
        <w:t xml:space="preserve"> que este esquema de segmentación no restrinja la competencia </w:t>
      </w:r>
      <w:r>
        <w:rPr>
          <w:rFonts w:ascii="Verdana" w:eastAsia="Calibri" w:hAnsi="Verdana" w:cs="Arial"/>
          <w:color w:val="000000" w:themeColor="text1"/>
        </w:rPr>
        <w:t xml:space="preserve">o que pueda resultar </w:t>
      </w:r>
      <w:r w:rsidRPr="00D12FFC">
        <w:rPr>
          <w:rFonts w:ascii="Verdana" w:eastAsia="Calibri" w:hAnsi="Verdana" w:cs="Arial"/>
          <w:color w:val="000000" w:themeColor="text1"/>
        </w:rPr>
        <w:t>inconveniente desde el punto de vista técnico</w:t>
      </w:r>
      <w:r>
        <w:rPr>
          <w:rFonts w:ascii="Verdana" w:eastAsia="Calibri" w:hAnsi="Verdana" w:cs="Arial"/>
          <w:color w:val="000000" w:themeColor="text1"/>
          <w:lang w:val="es-ES_tradnl"/>
        </w:rPr>
        <w:t xml:space="preserve">. </w:t>
      </w:r>
      <w:r>
        <w:rPr>
          <w:rFonts w:ascii="Verdana" w:eastAsia="Calibri" w:hAnsi="Verdana" w:cs="Arial"/>
          <w:color w:val="000000" w:themeColor="text1"/>
        </w:rPr>
        <w:t>De este modo, l</w:t>
      </w:r>
      <w:r w:rsidRPr="001F08CB">
        <w:rPr>
          <w:rFonts w:ascii="Verdana" w:eastAsia="Calibri" w:hAnsi="Verdana" w:cs="Arial"/>
          <w:color w:val="000000" w:themeColor="text1"/>
        </w:rPr>
        <w:t xml:space="preserve">a información registrada en la plataforma del SECOP es producto de lo determinado </w:t>
      </w:r>
      <w:r>
        <w:rPr>
          <w:rFonts w:ascii="Verdana" w:eastAsia="Calibri" w:hAnsi="Verdana" w:cs="Arial"/>
          <w:color w:val="000000" w:themeColor="text1"/>
        </w:rPr>
        <w:t xml:space="preserve">por </w:t>
      </w:r>
      <w:r w:rsidRPr="001F08CB">
        <w:rPr>
          <w:rFonts w:ascii="Verdana" w:eastAsia="Calibri" w:hAnsi="Verdana" w:cs="Arial"/>
          <w:color w:val="000000" w:themeColor="text1"/>
        </w:rPr>
        <w:t>cada entidad estatal en el marco de su autonomía</w:t>
      </w:r>
      <w:r>
        <w:rPr>
          <w:rFonts w:ascii="Verdana" w:eastAsia="Calibri" w:hAnsi="Verdana" w:cs="Arial"/>
          <w:color w:val="000000" w:themeColor="text1"/>
        </w:rPr>
        <w:t xml:space="preserve">. </w:t>
      </w:r>
    </w:p>
    <w:p w14:paraId="235D19EA" w14:textId="77777777" w:rsidR="00F54ED6" w:rsidRDefault="00F54ED6" w:rsidP="00F54ED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Al respecto, vale la pena precisar que c</w:t>
      </w:r>
      <w:r w:rsidRPr="00991DF8">
        <w:rPr>
          <w:rFonts w:ascii="Verdana" w:eastAsia="Calibri" w:hAnsi="Verdana" w:cs="Arial"/>
          <w:color w:val="000000" w:themeColor="text1"/>
        </w:rPr>
        <w:t>uando se ha dividido el proceso de contratación en varios grupos o lotes, presentar una oferta para uno de ellos no equivale a presentar una propuesta parcial. En el primer caso, el proponente está presentando su propuesta con la intención de ser adjudicatario de un lote específico, lo que implica que debe cumplir con la totalidad de los requerimientos establecid</w:t>
      </w:r>
      <w:r>
        <w:rPr>
          <w:rFonts w:ascii="Verdana" w:eastAsia="Calibri" w:hAnsi="Verdana" w:cs="Arial"/>
          <w:color w:val="000000" w:themeColor="text1"/>
        </w:rPr>
        <w:t>o</w:t>
      </w:r>
      <w:r w:rsidRPr="00991DF8">
        <w:rPr>
          <w:rFonts w:ascii="Verdana" w:eastAsia="Calibri" w:hAnsi="Verdana" w:cs="Arial"/>
          <w:color w:val="000000" w:themeColor="text1"/>
        </w:rPr>
        <w:t xml:space="preserve">s por la entidad para ese lote en particular. </w:t>
      </w:r>
      <w:r>
        <w:rPr>
          <w:rFonts w:ascii="Verdana" w:eastAsia="Calibri" w:hAnsi="Verdana" w:cs="Arial"/>
          <w:color w:val="000000" w:themeColor="text1"/>
        </w:rPr>
        <w:t>Por su parte</w:t>
      </w:r>
      <w:r w:rsidRPr="00991DF8">
        <w:rPr>
          <w:rFonts w:ascii="Verdana" w:eastAsia="Calibri" w:hAnsi="Verdana" w:cs="Arial"/>
          <w:color w:val="000000" w:themeColor="text1"/>
        </w:rPr>
        <w:t>, una propuesta parcial ocurre cuando no</w:t>
      </w:r>
      <w:r>
        <w:rPr>
          <w:rFonts w:ascii="Verdana" w:eastAsia="Calibri" w:hAnsi="Verdana" w:cs="Arial"/>
          <w:color w:val="000000" w:themeColor="text1"/>
        </w:rPr>
        <w:t xml:space="preserve"> se cumple</w:t>
      </w:r>
      <w:r w:rsidRPr="00991DF8">
        <w:rPr>
          <w:rFonts w:ascii="Verdana" w:eastAsia="Calibri" w:hAnsi="Verdana" w:cs="Arial"/>
          <w:color w:val="000000" w:themeColor="text1"/>
        </w:rPr>
        <w:t xml:space="preserve"> con todos los requisitos establecidos en el pliego, ya sea para un solo lote o para varios. En este caso, la propuesta no responde a la totalidad de las exigencias, sino que el proponente presenta una oferta</w:t>
      </w:r>
      <w:r>
        <w:rPr>
          <w:rFonts w:ascii="Verdana" w:eastAsia="Calibri" w:hAnsi="Verdana" w:cs="Arial"/>
          <w:color w:val="000000" w:themeColor="text1"/>
        </w:rPr>
        <w:t xml:space="preserve"> incompleta</w:t>
      </w:r>
      <w:r w:rsidRPr="00991DF8">
        <w:rPr>
          <w:rFonts w:ascii="Verdana" w:eastAsia="Calibri" w:hAnsi="Verdana" w:cs="Arial"/>
          <w:color w:val="000000" w:themeColor="text1"/>
        </w:rPr>
        <w:t xml:space="preserve">, lo que implica que no cumple con todos los puntos solicitados o los limita de alguna forma. </w:t>
      </w:r>
    </w:p>
    <w:p w14:paraId="45B7FAE7" w14:textId="77777777" w:rsidR="00F54ED6" w:rsidRDefault="00F54ED6" w:rsidP="00F54ED6">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esta línea, la presentación de la oferta a uno o varios lotes es permitido en un proceso de contratación y la entidad es la responsable de definir si un </w:t>
      </w:r>
      <w:r w:rsidRPr="00944BA7">
        <w:rPr>
          <w:rFonts w:ascii="Verdana" w:eastAsia="Calibri" w:hAnsi="Verdana" w:cs="Arial"/>
          <w:color w:val="000000" w:themeColor="text1"/>
        </w:rPr>
        <w:t>proponente puede</w:t>
      </w:r>
      <w:r>
        <w:rPr>
          <w:rFonts w:ascii="Verdana" w:eastAsia="Calibri" w:hAnsi="Verdana" w:cs="Arial"/>
          <w:color w:val="000000" w:themeColor="text1"/>
        </w:rPr>
        <w:t xml:space="preserve"> resultar adjudicatario de uno o varios lotes. En contraste, l</w:t>
      </w:r>
      <w:r w:rsidRPr="00F617BE">
        <w:rPr>
          <w:rFonts w:ascii="Verdana" w:eastAsia="Calibri" w:hAnsi="Verdana" w:cs="Arial"/>
          <w:color w:val="000000" w:themeColor="text1"/>
        </w:rPr>
        <w:t xml:space="preserve">a propuesta parcial </w:t>
      </w:r>
      <w:r>
        <w:rPr>
          <w:rFonts w:ascii="Verdana" w:eastAsia="Calibri" w:hAnsi="Verdana" w:cs="Arial"/>
          <w:color w:val="000000" w:themeColor="text1"/>
        </w:rPr>
        <w:t xml:space="preserve">puede ser objeto de rechazo en un proceso de contratación </w:t>
      </w:r>
      <w:r w:rsidRPr="00F617BE">
        <w:rPr>
          <w:rFonts w:ascii="Verdana" w:eastAsia="Calibri" w:hAnsi="Verdana" w:cs="Arial"/>
          <w:color w:val="000000" w:themeColor="text1"/>
        </w:rPr>
        <w:t xml:space="preserve">ya que, conforme a lo establecido en el numeral 6 del artículo 30 de la Ley 80 de 1993, las propuestas deben referirse y sujetarse a todos y cada uno de los puntos contenidos en el pliego de condiciones. </w:t>
      </w:r>
      <w:r>
        <w:rPr>
          <w:rFonts w:ascii="Verdana" w:eastAsia="Calibri" w:hAnsi="Verdana" w:cs="Arial"/>
          <w:color w:val="000000" w:themeColor="text1"/>
        </w:rPr>
        <w:t>De esta manera, l</w:t>
      </w:r>
      <w:r w:rsidRPr="00F617BE">
        <w:rPr>
          <w:rFonts w:ascii="Verdana" w:eastAsia="Calibri" w:hAnsi="Verdana" w:cs="Arial"/>
          <w:color w:val="000000" w:themeColor="text1"/>
        </w:rPr>
        <w:t xml:space="preserve">as ofertas que no cumplan con esta exigencia se consideran incompletas o, en su defecto, constituyen un condicionamiento que puede afectar el proceso de adjudicación, </w:t>
      </w:r>
      <w:r>
        <w:rPr>
          <w:rFonts w:ascii="Verdana" w:eastAsia="Calibri" w:hAnsi="Verdana" w:cs="Arial"/>
          <w:color w:val="000000" w:themeColor="text1"/>
        </w:rPr>
        <w:t>debido a que</w:t>
      </w:r>
      <w:r w:rsidRPr="00F617BE">
        <w:rPr>
          <w:rFonts w:ascii="Verdana" w:eastAsia="Calibri" w:hAnsi="Verdana" w:cs="Arial"/>
          <w:color w:val="000000" w:themeColor="text1"/>
        </w:rPr>
        <w:t xml:space="preserve"> no responden integralmente a los requerimientos definidos por </w:t>
      </w:r>
      <w:r>
        <w:rPr>
          <w:rFonts w:ascii="Verdana" w:eastAsia="Calibri" w:hAnsi="Verdana" w:cs="Arial"/>
          <w:color w:val="000000" w:themeColor="text1"/>
        </w:rPr>
        <w:t>la entidad estatal</w:t>
      </w:r>
      <w:r w:rsidRPr="00F617BE">
        <w:rPr>
          <w:rFonts w:ascii="Verdana" w:eastAsia="Calibri" w:hAnsi="Verdana" w:cs="Arial"/>
          <w:color w:val="000000" w:themeColor="text1"/>
        </w:rPr>
        <w:t xml:space="preserve">. </w:t>
      </w:r>
    </w:p>
    <w:p w14:paraId="3E21420A" w14:textId="77777777" w:rsidR="00F54ED6" w:rsidRDefault="00F54ED6" w:rsidP="00F54ED6">
      <w:pPr>
        <w:spacing w:after="120" w:line="276" w:lineRule="auto"/>
        <w:ind w:firstLine="709"/>
        <w:jc w:val="both"/>
        <w:rPr>
          <w:rFonts w:ascii="Verdana" w:eastAsia="Century Gothic" w:hAnsi="Verdana" w:cs="Century Gothic"/>
        </w:rPr>
      </w:pPr>
      <w:r w:rsidRPr="00810F39">
        <w:rPr>
          <w:rFonts w:ascii="Verdana" w:eastAsia="Century Gothic" w:hAnsi="Verdana" w:cs="Century Gothic"/>
        </w:rPr>
        <w:t xml:space="preserve">Ahora bien, en cuanto a si existen documentos que sirvan como referencia para una adecuada implementación de estos criterios, Colombia Compra Eficiente dispone de la </w:t>
      </w:r>
      <w:r w:rsidRPr="00810F39">
        <w:rPr>
          <w:rFonts w:ascii="Verdana" w:eastAsia="Century Gothic" w:hAnsi="Verdana" w:cs="Century Gothic"/>
          <w:i/>
          <w:iCs/>
        </w:rPr>
        <w:t>Guía de Competencia en las Compras Públicas</w:t>
      </w:r>
      <w:r w:rsidRPr="00810F39">
        <w:rPr>
          <w:rFonts w:ascii="Verdana" w:eastAsia="Century Gothic" w:hAnsi="Verdana" w:cs="Century Gothic"/>
        </w:rPr>
        <w:t xml:space="preserve">, </w:t>
      </w:r>
      <w:r w:rsidRPr="00810F39">
        <w:rPr>
          <w:rFonts w:ascii="Verdana" w:eastAsia="Century Gothic" w:hAnsi="Verdana" w:cs="Century Gothic"/>
        </w:rPr>
        <w:lastRenderedPageBreak/>
        <w:t>herramienta que orienta a las entidades en la promoción de la libre concurrencia, la eficiencia y la participación de oferentes en los procesos de contratación. Esta guía explica cómo las compras públicas contribuyen a que las entidades adquieran los bienes y servicios necesarios para cumplir sus objetivos misionales y materializar las políticas públicas. El documento puede descargarse en el siguiente enlace:</w:t>
      </w:r>
      <w:r>
        <w:rPr>
          <w:rFonts w:ascii="Verdana" w:eastAsia="Century Gothic" w:hAnsi="Verdana" w:cs="Century Gothic"/>
        </w:rPr>
        <w:t xml:space="preserve"> </w:t>
      </w:r>
      <w:hyperlink r:id="rId12" w:history="1">
        <w:r w:rsidRPr="003A6679">
          <w:rPr>
            <w:rStyle w:val="Hipervnculo"/>
            <w:rFonts w:ascii="Verdana" w:eastAsia="Century Gothic" w:hAnsi="Verdana" w:cs="Century Gothic"/>
          </w:rPr>
          <w:t>cce_guia_competencia_0.pdf</w:t>
        </w:r>
      </w:hyperlink>
      <w:r>
        <w:rPr>
          <w:rFonts w:ascii="Verdana" w:eastAsia="Century Gothic" w:hAnsi="Verdana" w:cs="Century Gothic"/>
        </w:rPr>
        <w:t xml:space="preserve"> </w:t>
      </w:r>
    </w:p>
    <w:p w14:paraId="1CEF5679" w14:textId="77777777" w:rsidR="00F54ED6" w:rsidRDefault="00F54ED6" w:rsidP="00F54ED6">
      <w:pPr>
        <w:widowControl w:val="0"/>
        <w:autoSpaceDE w:val="0"/>
        <w:autoSpaceDN w:val="0"/>
        <w:spacing w:after="120" w:line="276" w:lineRule="auto"/>
        <w:ind w:firstLine="709"/>
        <w:jc w:val="both"/>
        <w:rPr>
          <w:rFonts w:ascii="Verdana" w:eastAsia="Century Gothic" w:hAnsi="Verdana" w:cs="Century Gothic"/>
        </w:rPr>
      </w:pPr>
      <w:r w:rsidRPr="002E65E6">
        <w:rPr>
          <w:rFonts w:ascii="Verdana" w:eastAsia="Century Gothic" w:hAnsi="Verdana" w:cs="Century Gothic"/>
        </w:rPr>
        <w:t xml:space="preserve">Igualmente, Colombia Compra Eficiente dispone de la </w:t>
      </w:r>
      <w:r w:rsidRPr="002E65E6">
        <w:rPr>
          <w:rFonts w:ascii="Verdana" w:eastAsia="Century Gothic" w:hAnsi="Verdana" w:cs="Century Gothic"/>
          <w:i/>
          <w:iCs/>
        </w:rPr>
        <w:t xml:space="preserve">Guía para Promover la Participación de las </w:t>
      </w:r>
      <w:proofErr w:type="spellStart"/>
      <w:r w:rsidRPr="002E65E6">
        <w:rPr>
          <w:rFonts w:ascii="Verdana" w:eastAsia="Century Gothic" w:hAnsi="Verdana" w:cs="Century Gothic"/>
          <w:i/>
          <w:iCs/>
        </w:rPr>
        <w:t>Mipymes</w:t>
      </w:r>
      <w:proofErr w:type="spellEnd"/>
      <w:r w:rsidRPr="002E65E6">
        <w:rPr>
          <w:rFonts w:ascii="Verdana" w:eastAsia="Century Gothic" w:hAnsi="Verdana" w:cs="Century Gothic"/>
          <w:i/>
          <w:iCs/>
        </w:rPr>
        <w:t xml:space="preserve"> en los Procesos de Compra y Contratación Pública</w:t>
      </w:r>
      <w:r w:rsidRPr="002E65E6">
        <w:rPr>
          <w:rFonts w:ascii="Verdana" w:eastAsia="Century Gothic" w:hAnsi="Verdana" w:cs="Century Gothic"/>
        </w:rPr>
        <w:t xml:space="preserve">, un documento que ofrece información, recomendaciones y herramientas prácticas tanto para las Entidades Estatales como para las </w:t>
      </w:r>
      <w:proofErr w:type="spellStart"/>
      <w:r w:rsidRPr="002E65E6">
        <w:rPr>
          <w:rFonts w:ascii="Verdana" w:eastAsia="Century Gothic" w:hAnsi="Verdana" w:cs="Century Gothic"/>
        </w:rPr>
        <w:t>Mipymes</w:t>
      </w:r>
      <w:proofErr w:type="spellEnd"/>
      <w:r w:rsidRPr="002E65E6">
        <w:rPr>
          <w:rFonts w:ascii="Verdana" w:eastAsia="Century Gothic" w:hAnsi="Verdana" w:cs="Century Gothic"/>
        </w:rPr>
        <w:t>, con el fin de facilitar su acceso al mercado público y fortalecer su participación en los procesos de contratación. Esta guía puede consultarse en el siguiente enlace:</w:t>
      </w:r>
      <w:r w:rsidRPr="002E65E6">
        <w:t xml:space="preserve"> </w:t>
      </w:r>
      <w:hyperlink r:id="rId13" w:history="1">
        <w:r w:rsidRPr="002E65E6">
          <w:rPr>
            <w:rStyle w:val="Hipervnculo"/>
            <w:rFonts w:ascii="Verdana" w:eastAsia="Century Gothic" w:hAnsi="Verdana" w:cs="Century Gothic"/>
          </w:rPr>
          <w:t>guia_para_promover_la_participacion_de_las_mipymes_en_los_procesos_de_compra_publica_cce-gad-gi-26_1.pdf</w:t>
        </w:r>
      </w:hyperlink>
      <w:r>
        <w:rPr>
          <w:rFonts w:ascii="Verdana" w:eastAsia="Century Gothic" w:hAnsi="Verdana" w:cs="Century Gothic"/>
        </w:rPr>
        <w:t xml:space="preserve"> </w:t>
      </w:r>
    </w:p>
    <w:p w14:paraId="24D51575" w14:textId="6128893E" w:rsidR="00F54ED6" w:rsidRPr="009C4305" w:rsidRDefault="00F54ED6" w:rsidP="00F54ED6">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Finalmente, se precisa que esta Agencia </w:t>
      </w:r>
      <w:r w:rsidRPr="00554A4D">
        <w:rPr>
          <w:rFonts w:ascii="Verdana" w:eastAsia="Calibri" w:hAnsi="Verdana" w:cs="Arial"/>
          <w:color w:val="000000" w:themeColor="text1"/>
        </w:rPr>
        <w:t>no puede definir un</w:t>
      </w:r>
      <w:r w:rsidRPr="00554A4D">
        <w:t xml:space="preserve"> </w:t>
      </w:r>
      <w:r w:rsidRPr="00554A4D">
        <w:rPr>
          <w:rFonts w:ascii="Verdana" w:eastAsia="Calibri" w:hAnsi="Verdana" w:cs="Arial"/>
          <w:color w:val="000000" w:themeColor="text1"/>
        </w:rPr>
        <w:t xml:space="preserve">criterio universal y absoluto por vía consultiva, sino que brinda elementos hermenéuticos de carácter general para que los partícipes del sistema de compras y contratación pública adopten la decisión que corresponda, lo </w:t>
      </w:r>
      <w:r w:rsidR="00AC5F87">
        <w:rPr>
          <w:rFonts w:ascii="Verdana" w:eastAsia="Calibri" w:hAnsi="Verdana" w:cs="Arial"/>
          <w:color w:val="000000" w:themeColor="text1"/>
        </w:rPr>
        <w:t>o</w:t>
      </w:r>
      <w:r w:rsidRPr="00554A4D">
        <w:rPr>
          <w:rFonts w:ascii="Verdana" w:eastAsia="Calibri" w:hAnsi="Verdana" w:cs="Arial"/>
          <w:color w:val="000000" w:themeColor="text1"/>
        </w:rPr>
        <w:t xml:space="preserve">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w:t>
      </w:r>
      <w:r>
        <w:rPr>
          <w:rFonts w:ascii="Verdana" w:eastAsia="Calibri" w:hAnsi="Verdana" w:cs="Arial"/>
          <w:color w:val="000000" w:themeColor="text1"/>
        </w:rPr>
        <w:t xml:space="preserve">establecer un proceso de contratación por lotes, así como determinar la forma en la que estos grupos se estructuran atendiendo a las normas que regulan el sector objeto del contrato. </w:t>
      </w:r>
    </w:p>
    <w:p w14:paraId="1DA4F782" w14:textId="77777777" w:rsidR="00F54ED6" w:rsidRPr="00742A56" w:rsidRDefault="00F54ED6" w:rsidP="00F54ED6">
      <w:pPr>
        <w:spacing w:after="0" w:line="276" w:lineRule="auto"/>
        <w:ind w:firstLine="708"/>
        <w:jc w:val="both"/>
        <w:rPr>
          <w:rFonts w:ascii="Verdana" w:hAnsi="Verdana" w:cs="Arial"/>
          <w:bCs/>
          <w:color w:val="000000" w:themeColor="text1"/>
        </w:rPr>
      </w:pPr>
    </w:p>
    <w:bookmarkEnd w:id="4"/>
    <w:bookmarkEnd w:id="5"/>
    <w:p w14:paraId="5CB7ED13" w14:textId="77777777" w:rsidR="00F54ED6" w:rsidRPr="001F283D" w:rsidRDefault="00F54ED6" w:rsidP="00F54ED6">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170ECA3F" w14:textId="77777777" w:rsidR="00F54ED6" w:rsidRPr="00593A5F" w:rsidRDefault="00F54ED6" w:rsidP="00F54ED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54ED6" w:rsidRPr="002407CE" w14:paraId="6C476241" w14:textId="77777777" w:rsidTr="008445A3">
        <w:trPr>
          <w:trHeight w:val="870"/>
          <w:jc w:val="center"/>
        </w:trPr>
        <w:tc>
          <w:tcPr>
            <w:tcW w:w="8647" w:type="dxa"/>
          </w:tcPr>
          <w:p w14:paraId="2D718C49" w14:textId="77777777" w:rsidR="00F54ED6" w:rsidRDefault="00F54ED6" w:rsidP="00F54ED6">
            <w:pPr>
              <w:pStyle w:val="Prrafodelista"/>
              <w:widowControl w:val="0"/>
              <w:numPr>
                <w:ilvl w:val="0"/>
                <w:numId w:val="17"/>
              </w:numPr>
              <w:autoSpaceDE w:val="0"/>
              <w:autoSpaceDN w:val="0"/>
              <w:spacing w:line="276" w:lineRule="auto"/>
              <w:jc w:val="both"/>
              <w:rPr>
                <w:rFonts w:ascii="Verdana" w:hAnsi="Verdana" w:cs="Arial"/>
              </w:rPr>
            </w:pPr>
            <w:r w:rsidRPr="00EB1CF7">
              <w:rPr>
                <w:rFonts w:ascii="Verdana" w:hAnsi="Verdana" w:cs="Arial"/>
              </w:rPr>
              <w:t xml:space="preserve">Ley </w:t>
            </w:r>
            <w:r>
              <w:rPr>
                <w:rFonts w:ascii="Verdana" w:hAnsi="Verdana" w:cs="Arial"/>
              </w:rPr>
              <w:t>80 de 1993</w:t>
            </w:r>
            <w:r w:rsidRPr="00EB1CF7">
              <w:rPr>
                <w:rFonts w:ascii="Verdana" w:hAnsi="Verdana" w:cs="Arial"/>
              </w:rPr>
              <w:t xml:space="preserve">: artículo </w:t>
            </w:r>
            <w:r>
              <w:rPr>
                <w:rFonts w:ascii="Verdana" w:hAnsi="Verdana" w:cs="Arial"/>
              </w:rPr>
              <w:t>30, numeral 6</w:t>
            </w:r>
          </w:p>
          <w:p w14:paraId="781F853D" w14:textId="77777777" w:rsidR="00F54ED6" w:rsidRPr="00A57FA0" w:rsidRDefault="00F54ED6" w:rsidP="00F54ED6">
            <w:pPr>
              <w:pStyle w:val="NormalWeb"/>
              <w:numPr>
                <w:ilvl w:val="0"/>
                <w:numId w:val="17"/>
              </w:numPr>
              <w:spacing w:before="120" w:beforeAutospacing="0" w:after="0" w:afterAutospacing="0" w:line="276" w:lineRule="auto"/>
              <w:jc w:val="both"/>
              <w:rPr>
                <w:rFonts w:ascii="Verdana" w:hAnsi="Verdana" w:cs="Arial"/>
                <w:color w:val="000000" w:themeColor="text1"/>
                <w:sz w:val="22"/>
                <w:szCs w:val="22"/>
              </w:rPr>
            </w:pPr>
            <w:r w:rsidRPr="00EB1CF7">
              <w:rPr>
                <w:rFonts w:ascii="Verdana" w:hAnsi="Verdana" w:cs="Arial"/>
                <w:sz w:val="22"/>
              </w:rPr>
              <w:t>Decreto 1082 de 2015:</w:t>
            </w:r>
            <w:r>
              <w:rPr>
                <w:rFonts w:ascii="Verdana" w:hAnsi="Verdana" w:cs="Arial"/>
                <w:sz w:val="22"/>
              </w:rPr>
              <w:t xml:space="preserve"> artículos</w:t>
            </w:r>
            <w:r w:rsidRPr="00EB1CF7">
              <w:rPr>
                <w:rFonts w:ascii="Verdana" w:hAnsi="Verdana" w:cs="Arial"/>
                <w:sz w:val="22"/>
              </w:rPr>
              <w:t xml:space="preserve"> </w:t>
            </w:r>
            <w:r w:rsidRPr="00F978BE">
              <w:rPr>
                <w:rFonts w:ascii="Verdana" w:hAnsi="Verdana" w:cs="Arial"/>
                <w:bCs/>
                <w:sz w:val="22"/>
              </w:rPr>
              <w:t xml:space="preserve">2.2.1.2.1.2.1 </w:t>
            </w:r>
            <w:r>
              <w:rPr>
                <w:rFonts w:ascii="Verdana" w:hAnsi="Verdana" w:cs="Arial"/>
                <w:sz w:val="22"/>
              </w:rPr>
              <w:t xml:space="preserve">y </w:t>
            </w:r>
            <w:r w:rsidRPr="00A568AC">
              <w:rPr>
                <w:rFonts w:ascii="Verdana" w:hAnsi="Verdana" w:cs="Arial"/>
                <w:sz w:val="22"/>
                <w:lang w:val="es-ES_tradnl"/>
              </w:rPr>
              <w:t>2.2.1.2.4.2.19</w:t>
            </w:r>
          </w:p>
        </w:tc>
      </w:tr>
    </w:tbl>
    <w:p w14:paraId="09914370" w14:textId="77777777" w:rsidR="00F54ED6" w:rsidRPr="00277E26" w:rsidRDefault="00F54ED6" w:rsidP="00F54ED6">
      <w:pPr>
        <w:widowControl w:val="0"/>
        <w:autoSpaceDE w:val="0"/>
        <w:autoSpaceDN w:val="0"/>
        <w:spacing w:after="0" w:line="276" w:lineRule="auto"/>
        <w:jc w:val="both"/>
        <w:rPr>
          <w:rFonts w:ascii="Verdana" w:hAnsi="Verdana" w:cs="Arial"/>
        </w:rPr>
      </w:pPr>
    </w:p>
    <w:p w14:paraId="24D4E1DA" w14:textId="77777777" w:rsidR="00F54ED6" w:rsidRPr="001F283D" w:rsidRDefault="00F54ED6" w:rsidP="00F54ED6">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15E92A96" w14:textId="77777777" w:rsidR="00F54ED6" w:rsidRDefault="00F54ED6" w:rsidP="00F54ED6">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2D136D6C" w14:textId="77777777" w:rsidR="00F54ED6" w:rsidRPr="00667CD6" w:rsidRDefault="00F54ED6" w:rsidP="00F54ED6">
      <w:pPr>
        <w:widowControl w:val="0"/>
        <w:autoSpaceDE w:val="0"/>
        <w:autoSpaceDN w:val="0"/>
        <w:spacing w:after="0" w:line="276" w:lineRule="auto"/>
        <w:jc w:val="both"/>
        <w:rPr>
          <w:rFonts w:ascii="Verdana" w:hAnsi="Verdana" w:cs="Arial"/>
          <w:shd w:val="clear" w:color="auto" w:fill="FFFFFF"/>
        </w:rPr>
      </w:pPr>
      <w:r w:rsidRPr="00242856">
        <w:rPr>
          <w:rFonts w:ascii="Verdana" w:hAnsi="Verdana" w:cs="Arial"/>
          <w:lang w:val="es-ES"/>
        </w:rPr>
        <w:lastRenderedPageBreak/>
        <w:t xml:space="preserve">Sobre la promoción de la división del proceso de contratación en lotes o segmentos esta subdirección se ha pronunciado en los conceptos Nro. </w:t>
      </w:r>
      <w:r w:rsidRPr="00242856">
        <w:rPr>
          <w:rFonts w:ascii="Verdana" w:eastAsia="Calibri" w:hAnsi="Verdana" w:cs="Arial"/>
          <w:color w:val="000000"/>
        </w:rPr>
        <w:t>C</w:t>
      </w:r>
      <w:r w:rsidRPr="00242856">
        <w:rPr>
          <w:rFonts w:ascii="Verdana" w:eastAsia="Calibri" w:hAnsi="Verdana" w:cs="Arial"/>
          <w:bCs/>
          <w:color w:val="000000" w:themeColor="text1"/>
          <w:lang w:val="es-ES_tradnl"/>
        </w:rPr>
        <w:t>-670 del 19 de octubre de 2022, C-951 del 18 de enero de 2022, C-598 del 22 de septiembre de 2022, C-670 del 19 de octubre de 2022, C-113 del 12 de mayo de 2023, C-194 del 18 de mayo de 2023, C-064 del 5 de junio de 2023, C-084 del 30 de mayo del 2024</w:t>
      </w:r>
      <w:r>
        <w:rPr>
          <w:rFonts w:ascii="Verdana" w:eastAsia="Calibri" w:hAnsi="Verdana" w:cs="Arial"/>
          <w:bCs/>
          <w:color w:val="000000" w:themeColor="text1"/>
          <w:lang w:val="es-ES_tradnl"/>
        </w:rPr>
        <w:t>,</w:t>
      </w:r>
      <w:r w:rsidRPr="00242856">
        <w:rPr>
          <w:rFonts w:ascii="Verdana" w:eastAsia="Calibri" w:hAnsi="Verdana" w:cs="Arial"/>
          <w:bCs/>
          <w:color w:val="000000" w:themeColor="text1"/>
          <w:lang w:val="es-ES_tradnl"/>
        </w:rPr>
        <w:t xml:space="preserve"> C-221 del 08 de agosto del 2024</w:t>
      </w:r>
      <w:r>
        <w:rPr>
          <w:rFonts w:ascii="Verdana" w:eastAsia="Calibri" w:hAnsi="Verdana" w:cs="Arial"/>
          <w:bCs/>
          <w:color w:val="000000" w:themeColor="text1"/>
          <w:lang w:val="es-ES_tradnl"/>
        </w:rPr>
        <w:t xml:space="preserve"> y C-518 del 30 de septiembre de 2024. </w:t>
      </w:r>
      <w:r w:rsidRPr="00EB1CF7">
        <w:rPr>
          <w:rStyle w:val="normaltextrun"/>
          <w:rFonts w:ascii="Verdana" w:hAnsi="Verdana" w:cs="Arial"/>
          <w:shd w:val="clear" w:color="auto" w:fill="FFFFFF"/>
          <w:lang w:val="es-ES"/>
        </w:rPr>
        <w:t>Es</w:t>
      </w:r>
      <w:r w:rsidRPr="00EB1CF7">
        <w:rPr>
          <w:rFonts w:ascii="Verdana" w:hAnsi="Verdana"/>
        </w:rPr>
        <w:t>tos y otros conceptos se encuentran disponibles para consulta en el Sistema de relatoría de la Agencia, al cual se puede acceder a través del siguiente enlace:</w:t>
      </w:r>
      <w:r w:rsidRPr="00EB1CF7">
        <w:rPr>
          <w:rStyle w:val="normaltextrun"/>
          <w:rFonts w:ascii="Verdana" w:hAnsi="Verdana" w:cs="Arial"/>
          <w:shd w:val="clear" w:color="auto" w:fill="FFFFFF"/>
          <w:lang w:val="es-ES"/>
        </w:rPr>
        <w:t xml:space="preserve"> </w:t>
      </w:r>
      <w:hyperlink r:id="rId14" w:history="1">
        <w:r w:rsidRPr="00EB1CF7">
          <w:rPr>
            <w:rStyle w:val="Hipervnculo"/>
            <w:rFonts w:ascii="Verdana" w:hAnsi="Verdana" w:cs="Arial"/>
            <w:shd w:val="clear" w:color="auto" w:fill="FFFFFF"/>
            <w:lang w:val="es-ES"/>
          </w:rPr>
          <w:t>https://relatoria.colombiacompra.gov.co/busqueda/conceptos</w:t>
        </w:r>
      </w:hyperlink>
      <w:r w:rsidRPr="00EB1CF7">
        <w:rPr>
          <w:rStyle w:val="normaltextrun"/>
          <w:rFonts w:ascii="Verdana" w:hAnsi="Verdana" w:cs="Arial"/>
          <w:shd w:val="clear" w:color="auto" w:fill="FFFFFF"/>
          <w:lang w:val="es-ES"/>
        </w:rPr>
        <w:t>.</w:t>
      </w:r>
      <w:r w:rsidRPr="00EB1CF7">
        <w:rPr>
          <w:rStyle w:val="normaltextrun"/>
          <w:rFonts w:ascii="Verdana" w:hAnsi="Verdana" w:cs="Arial"/>
          <w:color w:val="FF0000"/>
          <w:shd w:val="clear" w:color="auto" w:fill="FFFFFF"/>
          <w:lang w:val="es-ES"/>
        </w:rPr>
        <w:t xml:space="preserve"> </w:t>
      </w:r>
    </w:p>
    <w:p w14:paraId="5D599329" w14:textId="77777777" w:rsidR="00F54ED6" w:rsidRPr="00900D7D" w:rsidRDefault="00F54ED6" w:rsidP="00F54ED6">
      <w:pPr>
        <w:widowControl w:val="0"/>
        <w:autoSpaceDE w:val="0"/>
        <w:autoSpaceDN w:val="0"/>
        <w:spacing w:after="120" w:line="276" w:lineRule="auto"/>
        <w:jc w:val="both"/>
        <w:rPr>
          <w:rFonts w:ascii="Verdana" w:eastAsia="Calibri" w:hAnsi="Verdana" w:cs="Arial"/>
          <w:color w:val="000000" w:themeColor="text1"/>
          <w:lang w:eastAsia="es-ES_tradnl"/>
        </w:rPr>
      </w:pPr>
    </w:p>
    <w:p w14:paraId="506F7E4F" w14:textId="77777777" w:rsidR="00F54ED6" w:rsidRPr="00237766" w:rsidRDefault="00F54ED6" w:rsidP="00F54ED6">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04D848C" w14:textId="77777777" w:rsidR="00F54ED6" w:rsidRPr="008E4F36" w:rsidRDefault="00F54ED6" w:rsidP="00F54ED6">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18E2E5A0" w14:textId="77777777" w:rsidR="00F54ED6" w:rsidRPr="008E4F36" w:rsidRDefault="00F54ED6" w:rsidP="00F54ED6">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538FDAC7" w14:textId="77777777" w:rsidR="00F54ED6" w:rsidRPr="008E4F36" w:rsidRDefault="00F54ED6" w:rsidP="00F54ED6">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50C8F236" w14:textId="77777777" w:rsidR="00F54ED6" w:rsidRPr="008E4F36" w:rsidRDefault="00F54ED6" w:rsidP="00F54ED6">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5" w:history="1">
        <w:r w:rsidRPr="008E4F36">
          <w:rPr>
            <w:rStyle w:val="Hipervnculo"/>
            <w:rFonts w:ascii="Verdana" w:hAnsi="Verdana"/>
          </w:rPr>
          <w:t>www.colombiacompra.gov.co</w:t>
        </w:r>
      </w:hyperlink>
    </w:p>
    <w:p w14:paraId="4800ED5D" w14:textId="77777777" w:rsidR="00F54ED6" w:rsidRPr="008E4F36" w:rsidRDefault="00F54ED6" w:rsidP="00F54ED6">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69EEA44" w14:textId="77777777" w:rsidR="00F54ED6" w:rsidRPr="008E4F36" w:rsidRDefault="00F54ED6" w:rsidP="00F54ED6">
      <w:pPr>
        <w:spacing w:after="0" w:line="276" w:lineRule="auto"/>
        <w:jc w:val="both"/>
        <w:rPr>
          <w:rFonts w:ascii="Verdana" w:hAnsi="Verdana"/>
        </w:rPr>
      </w:pPr>
    </w:p>
    <w:p w14:paraId="798E189A" w14:textId="77777777" w:rsidR="00F54ED6" w:rsidRPr="008E4F36" w:rsidRDefault="00F54ED6" w:rsidP="00F54ED6">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5B52CD58" w14:textId="77777777" w:rsidR="00F54ED6" w:rsidRPr="008E4F36" w:rsidRDefault="00F54ED6" w:rsidP="00F54ED6">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129C9D7C" w14:textId="77777777" w:rsidR="00F54ED6" w:rsidRPr="008E4F36" w:rsidRDefault="00F54ED6" w:rsidP="00F54ED6">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1D5262D5" w14:textId="77777777" w:rsidR="00F54ED6" w:rsidRDefault="00F54ED6" w:rsidP="00F54ED6">
      <w:pPr>
        <w:spacing w:before="120" w:after="0" w:line="276" w:lineRule="auto"/>
        <w:jc w:val="both"/>
        <w:rPr>
          <w:rFonts w:ascii="Verdana" w:hAnsi="Verdana"/>
        </w:rPr>
      </w:pPr>
    </w:p>
    <w:p w14:paraId="7CA65579" w14:textId="77777777" w:rsidR="00F54ED6" w:rsidRPr="00FB6C33" w:rsidRDefault="00F54ED6" w:rsidP="00F54ED6">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42A09D5" w14:textId="77777777" w:rsidR="00F54ED6" w:rsidRPr="008E4F36" w:rsidRDefault="00F54ED6" w:rsidP="00F54ED6">
      <w:pPr>
        <w:spacing w:after="0" w:line="276" w:lineRule="auto"/>
        <w:jc w:val="both"/>
        <w:rPr>
          <w:rFonts w:ascii="Verdana" w:eastAsia="Calibri" w:hAnsi="Verdana" w:cs="Times New Roman"/>
        </w:rPr>
      </w:pPr>
    </w:p>
    <w:p w14:paraId="2BC7E20F" w14:textId="77777777" w:rsidR="00F54ED6" w:rsidRDefault="00F54ED6" w:rsidP="00F54ED6">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2E381D56" w14:textId="77777777" w:rsidR="00F54ED6" w:rsidRDefault="00F54ED6" w:rsidP="00F54ED6">
      <w:pPr>
        <w:spacing w:after="0" w:line="256" w:lineRule="auto"/>
        <w:jc w:val="both"/>
        <w:rPr>
          <w:rFonts w:ascii="Verdana" w:eastAsia="Calibri" w:hAnsi="Verdana" w:cs="Times New Roman"/>
        </w:rPr>
      </w:pPr>
    </w:p>
    <w:p w14:paraId="53107333" w14:textId="0F230D4B" w:rsidR="00F54ED6" w:rsidRPr="00F43ACA" w:rsidRDefault="00F43ACA" w:rsidP="00F43ACA">
      <w:pPr>
        <w:spacing w:after="0" w:line="256" w:lineRule="auto"/>
        <w:jc w:val="center"/>
        <w:rPr>
          <w:noProof/>
        </w:rPr>
      </w:pPr>
      <w:r w:rsidRPr="002C3AD6">
        <w:rPr>
          <w:rFonts w:ascii="Century Gothic" w:hAnsi="Century Gothic"/>
          <w:noProof/>
        </w:rPr>
        <w:drawing>
          <wp:inline distT="0" distB="0" distL="0" distR="0" wp14:anchorId="0BDD1216" wp14:editId="3B0B95D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bookmarkEnd w:id="0"/>
      <w:bookmarkEnd w:id="1"/>
    </w:p>
    <w:p w14:paraId="39204884" w14:textId="77777777" w:rsidR="00F54ED6" w:rsidRDefault="00F54ED6" w:rsidP="00F54ED6">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54ED6" w:rsidRPr="002423D6" w14:paraId="00B917F1" w14:textId="77777777" w:rsidTr="008445A3">
        <w:trPr>
          <w:trHeight w:val="315"/>
        </w:trPr>
        <w:tc>
          <w:tcPr>
            <w:tcW w:w="893" w:type="dxa"/>
            <w:vAlign w:val="center"/>
            <w:hideMark/>
          </w:tcPr>
          <w:p w14:paraId="268AB364" w14:textId="77777777" w:rsidR="00F54ED6" w:rsidRPr="002423D6" w:rsidRDefault="00F54ED6" w:rsidP="008445A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210C916" w14:textId="77777777" w:rsidR="00F54ED6" w:rsidRPr="002423D6" w:rsidRDefault="00F54ED6" w:rsidP="008445A3">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48FF2EF4" w14:textId="77777777" w:rsidR="00F54ED6" w:rsidRPr="002423D6" w:rsidRDefault="00F54ED6" w:rsidP="008445A3">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F54ED6" w:rsidRPr="002423D6" w14:paraId="16813444" w14:textId="77777777" w:rsidTr="008445A3">
        <w:trPr>
          <w:trHeight w:val="330"/>
        </w:trPr>
        <w:tc>
          <w:tcPr>
            <w:tcW w:w="893" w:type="dxa"/>
            <w:vAlign w:val="center"/>
            <w:hideMark/>
          </w:tcPr>
          <w:p w14:paraId="57D82F19" w14:textId="77777777" w:rsidR="00F54ED6" w:rsidRPr="002423D6" w:rsidRDefault="00F54ED6" w:rsidP="008445A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93B4EB" w14:textId="77777777" w:rsidR="00F54ED6" w:rsidRPr="002423D6" w:rsidRDefault="00F54ED6" w:rsidP="008445A3">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0C904A5B" w14:textId="77777777" w:rsidR="00F54ED6" w:rsidRPr="002423D6" w:rsidRDefault="00F54ED6" w:rsidP="008445A3">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F54ED6" w:rsidRPr="002423D6" w14:paraId="3162A184" w14:textId="77777777" w:rsidTr="008445A3">
        <w:trPr>
          <w:trHeight w:val="300"/>
        </w:trPr>
        <w:tc>
          <w:tcPr>
            <w:tcW w:w="893" w:type="dxa"/>
            <w:vAlign w:val="center"/>
          </w:tcPr>
          <w:p w14:paraId="75BED8CF" w14:textId="77777777" w:rsidR="00F54ED6" w:rsidRPr="002423D6" w:rsidRDefault="00F54ED6" w:rsidP="008445A3">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9081AC" w14:textId="77777777" w:rsidR="00F54ED6" w:rsidRPr="002423D6" w:rsidRDefault="00F54ED6" w:rsidP="008445A3">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03CB82B9" w14:textId="77777777" w:rsidR="00F54ED6" w:rsidRPr="002423D6" w:rsidRDefault="00F54ED6" w:rsidP="008445A3">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2FDB022C" w14:textId="77777777" w:rsidR="00F54ED6" w:rsidRDefault="00F54ED6" w:rsidP="00F54ED6"/>
    <w:p w14:paraId="7FEF14D1" w14:textId="77777777" w:rsidR="00F54ED6" w:rsidRPr="00823C60" w:rsidRDefault="00F54ED6" w:rsidP="00F54ED6"/>
    <w:p w14:paraId="0F293BF4" w14:textId="7DA731B7" w:rsidR="00127233" w:rsidRPr="00F13EAA" w:rsidRDefault="00127233" w:rsidP="00F13EAA"/>
    <w:sectPr w:rsidR="00127233" w:rsidRPr="00F13EA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55347" w14:textId="77777777" w:rsidR="0036579B" w:rsidRDefault="0036579B" w:rsidP="004A1847">
      <w:pPr>
        <w:spacing w:after="0" w:line="240" w:lineRule="auto"/>
      </w:pPr>
      <w:r>
        <w:separator/>
      </w:r>
    </w:p>
  </w:endnote>
  <w:endnote w:type="continuationSeparator" w:id="0">
    <w:p w14:paraId="603EFB52" w14:textId="77777777" w:rsidR="0036579B" w:rsidRDefault="0036579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1C3C2" w14:textId="77777777" w:rsidR="0036579B" w:rsidRDefault="0036579B" w:rsidP="004A1847">
      <w:pPr>
        <w:spacing w:after="0" w:line="240" w:lineRule="auto"/>
      </w:pPr>
      <w:r>
        <w:separator/>
      </w:r>
    </w:p>
  </w:footnote>
  <w:footnote w:type="continuationSeparator" w:id="0">
    <w:p w14:paraId="3279DFB3" w14:textId="77777777" w:rsidR="0036579B" w:rsidRDefault="0036579B" w:rsidP="004A1847">
      <w:pPr>
        <w:spacing w:after="0" w:line="240" w:lineRule="auto"/>
      </w:pPr>
      <w:r>
        <w:continuationSeparator/>
      </w:r>
    </w:p>
  </w:footnote>
  <w:footnote w:id="1">
    <w:p w14:paraId="3E7DA058" w14:textId="77777777" w:rsidR="00F54ED6" w:rsidRPr="005B26C7" w:rsidRDefault="00F54ED6" w:rsidP="00F54ED6">
      <w:pPr>
        <w:pStyle w:val="Textonotapie"/>
        <w:ind w:firstLine="709"/>
        <w:jc w:val="both"/>
        <w:rPr>
          <w:rFonts w:ascii="Verdana" w:hAnsi="Verdana" w:cs="Arial"/>
          <w:sz w:val="16"/>
          <w:szCs w:val="16"/>
          <w:lang w:val="es-CO"/>
        </w:rPr>
      </w:pPr>
      <w:r w:rsidRPr="005B26C7">
        <w:rPr>
          <w:rStyle w:val="Refdenotaalpie"/>
          <w:rFonts w:ascii="Verdana" w:hAnsi="Verdana" w:cs="Arial"/>
          <w:sz w:val="16"/>
          <w:szCs w:val="16"/>
        </w:rPr>
        <w:footnoteRef/>
      </w:r>
      <w:r w:rsidRPr="005B26C7">
        <w:rPr>
          <w:rFonts w:ascii="Verdana" w:hAnsi="Verdana" w:cs="Arial"/>
          <w:sz w:val="16"/>
          <w:szCs w:val="16"/>
        </w:rPr>
        <w:t xml:space="preserve"> </w:t>
      </w:r>
      <w:r w:rsidRPr="005B26C7">
        <w:rPr>
          <w:rFonts w:ascii="Verdana" w:hAnsi="Verdana" w:cs="Arial"/>
          <w:sz w:val="16"/>
          <w:szCs w:val="16"/>
          <w:lang w:eastAsia="es-MX"/>
        </w:rPr>
        <w:t xml:space="preserve">“Por el cual se modifica y adiciona el Decreto 1082 de 2015, Único Reglamentario del Sector Administrativo de Planeación Nacional 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w:t>
      </w:r>
    </w:p>
  </w:footnote>
  <w:footnote w:id="2">
    <w:p w14:paraId="747D1EB7" w14:textId="77777777" w:rsidR="00F54ED6" w:rsidRPr="005B26C7" w:rsidRDefault="00F54ED6" w:rsidP="00F54ED6">
      <w:pPr>
        <w:pStyle w:val="Textonotapie"/>
        <w:ind w:firstLine="708"/>
        <w:jc w:val="both"/>
        <w:rPr>
          <w:rFonts w:ascii="Verdana" w:hAnsi="Verdana"/>
          <w:sz w:val="16"/>
          <w:szCs w:val="16"/>
        </w:rPr>
      </w:pPr>
    </w:p>
    <w:p w14:paraId="7F104F02" w14:textId="77777777" w:rsidR="00F54ED6" w:rsidRPr="005B26C7" w:rsidRDefault="00F54ED6" w:rsidP="00F54ED6">
      <w:pPr>
        <w:pStyle w:val="Textonotapie"/>
        <w:ind w:firstLine="708"/>
        <w:jc w:val="both"/>
        <w:rPr>
          <w:rFonts w:ascii="Verdana" w:hAnsi="Verdana"/>
          <w:sz w:val="16"/>
          <w:szCs w:val="16"/>
        </w:rPr>
      </w:pPr>
      <w:r w:rsidRPr="005B26C7">
        <w:rPr>
          <w:rStyle w:val="Refdenotaalpie"/>
          <w:rFonts w:ascii="Verdana" w:hAnsi="Verdana"/>
          <w:sz w:val="16"/>
          <w:szCs w:val="16"/>
        </w:rPr>
        <w:footnoteRef/>
      </w:r>
      <w:r w:rsidRPr="005B26C7">
        <w:rPr>
          <w:rFonts w:ascii="Verdana" w:hAnsi="Verdana"/>
          <w:sz w:val="16"/>
          <w:szCs w:val="16"/>
        </w:rPr>
        <w:t xml:space="preserve"> Decreto 2069 de 2020: “Artículo 33. PROMOCIÓN DEL ACCESO DE LAS MIPYMES AL MERCADO DE COMPRAS PÚBLICAS. Modifíquese el artículo 12 de la Ley 590 de 2000, el cual quedará así:  </w:t>
      </w:r>
    </w:p>
    <w:p w14:paraId="2FB3FBBC" w14:textId="77777777" w:rsidR="00F54ED6" w:rsidRPr="005B26C7" w:rsidRDefault="00F54ED6" w:rsidP="00F54ED6">
      <w:pPr>
        <w:pStyle w:val="Textonotapie"/>
        <w:ind w:firstLine="708"/>
        <w:jc w:val="both"/>
        <w:rPr>
          <w:rFonts w:ascii="Verdana" w:hAnsi="Verdana"/>
          <w:sz w:val="16"/>
          <w:szCs w:val="16"/>
        </w:rPr>
      </w:pPr>
      <w:r w:rsidRPr="005B26C7">
        <w:rPr>
          <w:rFonts w:ascii="Verdana" w:hAnsi="Verdana"/>
          <w:sz w:val="16"/>
          <w:szCs w:val="16"/>
        </w:rPr>
        <w:t xml:space="preserve">"Artículo 12. Promoción del acceso de las MIPYMES al mercado de Compras Públicas. Con el fin de promover el acceso de las MIPYMES al mercado de Compras Públicas, las Entidades Estatales indistintamente de su régimen de contratación, los patrimonios autónomos constituidos por Entidades Estatales y los particulares que ejecuten recursos públicos: </w:t>
      </w:r>
    </w:p>
    <w:p w14:paraId="26CD2674" w14:textId="77777777" w:rsidR="00F54ED6" w:rsidRDefault="00F54ED6" w:rsidP="00F54ED6">
      <w:pPr>
        <w:pStyle w:val="Textonotapie"/>
        <w:ind w:firstLine="708"/>
        <w:jc w:val="both"/>
        <w:rPr>
          <w:rFonts w:ascii="Verdana" w:hAnsi="Verdana"/>
          <w:sz w:val="16"/>
          <w:szCs w:val="16"/>
        </w:rPr>
      </w:pPr>
      <w:r w:rsidRPr="005B26C7">
        <w:rPr>
          <w:rFonts w:ascii="Verdana" w:hAnsi="Verdana"/>
          <w:sz w:val="16"/>
          <w:szCs w:val="16"/>
        </w:rPr>
        <w:t>[…]</w:t>
      </w:r>
    </w:p>
    <w:p w14:paraId="2748EABD" w14:textId="77777777" w:rsidR="00F54ED6" w:rsidRPr="005B26C7" w:rsidRDefault="00F54ED6" w:rsidP="00F54ED6">
      <w:pPr>
        <w:pStyle w:val="Textonotapie"/>
        <w:ind w:firstLine="708"/>
        <w:jc w:val="both"/>
        <w:rPr>
          <w:rFonts w:ascii="Verdana" w:hAnsi="Verdana" w:cs="Arial"/>
          <w:color w:val="000000"/>
          <w:sz w:val="16"/>
          <w:szCs w:val="16"/>
        </w:rPr>
      </w:pPr>
      <w:r w:rsidRPr="005B26C7">
        <w:rPr>
          <w:rFonts w:ascii="Verdana" w:hAnsi="Verdana" w:cs="Arial"/>
          <w:color w:val="000000"/>
          <w:sz w:val="16"/>
          <w:szCs w:val="16"/>
        </w:rPr>
        <w:t>6. Promoverán la división del Proceso de Contratación en lotes o segmentos que faciliten la participación de las MIPYMES en el Proceso de Contratación […]”.</w:t>
      </w:r>
    </w:p>
    <w:p w14:paraId="336209C9" w14:textId="77777777" w:rsidR="00F54ED6" w:rsidRPr="005B26C7" w:rsidRDefault="00F54ED6" w:rsidP="00F54ED6">
      <w:pPr>
        <w:pStyle w:val="Textonotapie"/>
        <w:ind w:firstLine="708"/>
        <w:jc w:val="both"/>
        <w:rPr>
          <w:rFonts w:ascii="Verdana" w:hAnsi="Verdana"/>
          <w:sz w:val="16"/>
          <w:szCs w:val="16"/>
        </w:rPr>
      </w:pPr>
      <w:r w:rsidRPr="005B26C7">
        <w:rPr>
          <w:rFonts w:ascii="Verdana" w:hAnsi="Verdana" w:cs="Arial"/>
          <w:color w:val="000000"/>
          <w:sz w:val="16"/>
          <w:szCs w:val="16"/>
        </w:rPr>
        <w:t xml:space="preserve">  </w:t>
      </w:r>
      <w:r w:rsidRPr="005B26C7">
        <w:rPr>
          <w:rFonts w:ascii="Verdana" w:hAnsi="Verdana"/>
          <w:sz w:val="16"/>
          <w:szCs w:val="16"/>
        </w:rPr>
        <w:t xml:space="preserve"> </w:t>
      </w:r>
    </w:p>
  </w:footnote>
  <w:footnote w:id="3">
    <w:p w14:paraId="531E358A" w14:textId="77777777" w:rsidR="00F54ED6" w:rsidRPr="005B26C7" w:rsidRDefault="00F54ED6" w:rsidP="00F54ED6">
      <w:pPr>
        <w:pStyle w:val="NormalWeb"/>
        <w:spacing w:after="0"/>
        <w:ind w:firstLine="709"/>
        <w:jc w:val="both"/>
        <w:rPr>
          <w:rFonts w:ascii="Verdana" w:hAnsi="Verdana" w:cs="Arial"/>
          <w:sz w:val="16"/>
          <w:szCs w:val="16"/>
        </w:rPr>
      </w:pPr>
      <w:r w:rsidRPr="005B26C7">
        <w:rPr>
          <w:rStyle w:val="Refdenotaalpie"/>
          <w:rFonts w:ascii="Verdana" w:hAnsi="Verdana" w:cs="Arial"/>
          <w:sz w:val="16"/>
          <w:szCs w:val="16"/>
        </w:rPr>
        <w:footnoteRef/>
      </w:r>
      <w:r w:rsidRPr="005B26C7">
        <w:rPr>
          <w:rFonts w:ascii="Verdana" w:hAnsi="Verdana" w:cs="Arial"/>
          <w:sz w:val="16"/>
          <w:szCs w:val="16"/>
        </w:rPr>
        <w:t xml:space="preserve"> Decreto 1082 de 2015 −modificado por el artículo 2 del Decreto 142 de 2023−: “Artículo 2.2.1.1.1.4.1. </w:t>
      </w:r>
      <w:r w:rsidRPr="005B26C7">
        <w:rPr>
          <w:rFonts w:ascii="Verdana" w:hAnsi="Verdana" w:cs="Arial"/>
          <w:i/>
          <w:iCs/>
          <w:sz w:val="16"/>
          <w:szCs w:val="16"/>
        </w:rPr>
        <w:t>Plan Anual de Adquisiciones. </w:t>
      </w:r>
      <w:r w:rsidRPr="005B26C7">
        <w:rPr>
          <w:rFonts w:ascii="Verdana" w:hAnsi="Verdana" w:cs="Arial"/>
          <w:sz w:val="16"/>
          <w:szCs w:val="16"/>
        </w:rPr>
        <w:t>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w:t>
      </w:r>
    </w:p>
    <w:p w14:paraId="48F8E0F3" w14:textId="77777777" w:rsidR="00F54ED6" w:rsidRPr="005B26C7" w:rsidRDefault="00F54ED6" w:rsidP="00F54ED6">
      <w:pPr>
        <w:spacing w:after="0" w:line="240" w:lineRule="auto"/>
        <w:ind w:firstLine="708"/>
        <w:jc w:val="both"/>
        <w:rPr>
          <w:rFonts w:ascii="Verdana" w:eastAsia="Times New Roman" w:hAnsi="Verdana" w:cs="Arial"/>
          <w:sz w:val="16"/>
          <w:szCs w:val="16"/>
          <w:lang w:eastAsia="es-CO"/>
        </w:rPr>
      </w:pPr>
      <w:r w:rsidRPr="005B26C7">
        <w:rPr>
          <w:rFonts w:ascii="Verdana" w:eastAsia="Times New Roman" w:hAnsi="Verdana" w:cs="Arial"/>
          <w:sz w:val="16"/>
          <w:szCs w:val="16"/>
          <w:lang w:eastAsia="es-CO"/>
        </w:rPr>
        <w:t>Las entidades estatales deberán planear su contratación de manera que se promueva la división de Procesos de Contratación en lotes o segmentos en los que se facilite la participación de las Mipymes. </w:t>
      </w:r>
    </w:p>
    <w:p w14:paraId="0EDAA0BF" w14:textId="77777777" w:rsidR="00F54ED6" w:rsidRPr="005B26C7" w:rsidRDefault="00F54ED6" w:rsidP="00F54ED6">
      <w:pPr>
        <w:spacing w:after="0" w:line="240" w:lineRule="auto"/>
        <w:ind w:firstLine="708"/>
        <w:jc w:val="both"/>
        <w:rPr>
          <w:rFonts w:ascii="Verdana" w:eastAsia="Times New Roman" w:hAnsi="Verdana" w:cs="Arial"/>
          <w:sz w:val="16"/>
          <w:szCs w:val="16"/>
          <w:lang w:eastAsia="es-CO"/>
        </w:rPr>
      </w:pPr>
      <w:r w:rsidRPr="005B26C7">
        <w:rPr>
          <w:rFonts w:ascii="Verdana" w:eastAsia="Times New Roman" w:hAnsi="Verdana" w:cs="Arial"/>
          <w:sz w:val="16"/>
          <w:szCs w:val="16"/>
          <w:lang w:eastAsia="es-CO"/>
        </w:rPr>
        <w:t>Dentro de estas Mipymes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74558A63" w14:textId="77777777" w:rsidR="00F54ED6" w:rsidRPr="005B26C7" w:rsidRDefault="00F54ED6" w:rsidP="00F54ED6">
      <w:pPr>
        <w:spacing w:after="0" w:line="240" w:lineRule="auto"/>
        <w:ind w:firstLine="708"/>
        <w:jc w:val="both"/>
        <w:rPr>
          <w:rFonts w:ascii="Verdana" w:eastAsia="Times New Roman" w:hAnsi="Verdana" w:cs="Arial"/>
          <w:sz w:val="16"/>
          <w:szCs w:val="16"/>
          <w:lang w:eastAsia="es-CO"/>
        </w:rPr>
      </w:pPr>
      <w:r w:rsidRPr="005B26C7">
        <w:rPr>
          <w:rFonts w:ascii="Verdana" w:eastAsia="Times New Roman" w:hAnsi="Verdana" w:cs="Arial"/>
          <w:sz w:val="16"/>
          <w:szCs w:val="16"/>
          <w:lang w:eastAsia="es-CO"/>
        </w:rPr>
        <w:t>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Mipymes en los términos previstos en el artículo 23 de la Ley 2069 de 2020, el artículo 2° de la Ley 590 de 2000 y por el Decreto número 957 de 2019 o las normas que los modifiquen”. </w:t>
      </w:r>
    </w:p>
    <w:p w14:paraId="10AAF15A" w14:textId="77777777" w:rsidR="00F54ED6" w:rsidRPr="005B26C7" w:rsidRDefault="00F54ED6" w:rsidP="00F54ED6">
      <w:pPr>
        <w:pStyle w:val="Textonotapie"/>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827661">
    <w:abstractNumId w:val="6"/>
  </w:num>
  <w:num w:numId="2" w16cid:durableId="1925726829">
    <w:abstractNumId w:val="2"/>
  </w:num>
  <w:num w:numId="3" w16cid:durableId="1083721716">
    <w:abstractNumId w:val="4"/>
  </w:num>
  <w:num w:numId="4" w16cid:durableId="13256224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17642200">
    <w:abstractNumId w:val="2"/>
  </w:num>
  <w:num w:numId="6" w16cid:durableId="226234722">
    <w:abstractNumId w:val="13"/>
  </w:num>
  <w:num w:numId="7" w16cid:durableId="1088766297">
    <w:abstractNumId w:val="5"/>
  </w:num>
  <w:num w:numId="8" w16cid:durableId="1966040605">
    <w:abstractNumId w:val="12"/>
  </w:num>
  <w:num w:numId="9" w16cid:durableId="295530205">
    <w:abstractNumId w:val="7"/>
  </w:num>
  <w:num w:numId="10" w16cid:durableId="454635856">
    <w:abstractNumId w:val="11"/>
  </w:num>
  <w:num w:numId="11" w16cid:durableId="1219125012">
    <w:abstractNumId w:val="8"/>
  </w:num>
  <w:num w:numId="12" w16cid:durableId="2085684260">
    <w:abstractNumId w:val="1"/>
  </w:num>
  <w:num w:numId="13" w16cid:durableId="613905987">
    <w:abstractNumId w:val="3"/>
  </w:num>
  <w:num w:numId="14" w16cid:durableId="552349264">
    <w:abstractNumId w:val="14"/>
  </w:num>
  <w:num w:numId="15" w16cid:durableId="1096826262">
    <w:abstractNumId w:val="10"/>
  </w:num>
  <w:num w:numId="16" w16cid:durableId="1542474578">
    <w:abstractNumId w:val="0"/>
  </w:num>
  <w:num w:numId="17" w16cid:durableId="2461098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691E"/>
    <w:rsid w:val="001A33BF"/>
    <w:rsid w:val="001E35EA"/>
    <w:rsid w:val="001E4177"/>
    <w:rsid w:val="001F0B24"/>
    <w:rsid w:val="001F7DC6"/>
    <w:rsid w:val="002223A6"/>
    <w:rsid w:val="0022400B"/>
    <w:rsid w:val="002421BB"/>
    <w:rsid w:val="0025796E"/>
    <w:rsid w:val="002707A2"/>
    <w:rsid w:val="002951A0"/>
    <w:rsid w:val="002962BC"/>
    <w:rsid w:val="002A093D"/>
    <w:rsid w:val="002A0DD0"/>
    <w:rsid w:val="002A49AC"/>
    <w:rsid w:val="002A64FD"/>
    <w:rsid w:val="002C7A84"/>
    <w:rsid w:val="002D5063"/>
    <w:rsid w:val="002E2BF8"/>
    <w:rsid w:val="002E4FD9"/>
    <w:rsid w:val="0030657A"/>
    <w:rsid w:val="00322A85"/>
    <w:rsid w:val="00324168"/>
    <w:rsid w:val="00330834"/>
    <w:rsid w:val="003448F4"/>
    <w:rsid w:val="0036579B"/>
    <w:rsid w:val="00374F5E"/>
    <w:rsid w:val="00377E3E"/>
    <w:rsid w:val="003A779E"/>
    <w:rsid w:val="003D0F4D"/>
    <w:rsid w:val="003D5B0D"/>
    <w:rsid w:val="003E0499"/>
    <w:rsid w:val="003E4F80"/>
    <w:rsid w:val="003E6439"/>
    <w:rsid w:val="003F3941"/>
    <w:rsid w:val="003F4C11"/>
    <w:rsid w:val="00406575"/>
    <w:rsid w:val="00414C74"/>
    <w:rsid w:val="0042722E"/>
    <w:rsid w:val="0044528D"/>
    <w:rsid w:val="00466E39"/>
    <w:rsid w:val="004A1847"/>
    <w:rsid w:val="004A305D"/>
    <w:rsid w:val="004E112D"/>
    <w:rsid w:val="004F21C4"/>
    <w:rsid w:val="004F685F"/>
    <w:rsid w:val="005566E8"/>
    <w:rsid w:val="00574867"/>
    <w:rsid w:val="00591460"/>
    <w:rsid w:val="005A65E0"/>
    <w:rsid w:val="005A6E16"/>
    <w:rsid w:val="005C3777"/>
    <w:rsid w:val="005C5CDC"/>
    <w:rsid w:val="005D476C"/>
    <w:rsid w:val="006200BF"/>
    <w:rsid w:val="006219F8"/>
    <w:rsid w:val="006302F7"/>
    <w:rsid w:val="00646B9F"/>
    <w:rsid w:val="00665D70"/>
    <w:rsid w:val="006900D9"/>
    <w:rsid w:val="00696B03"/>
    <w:rsid w:val="00706C16"/>
    <w:rsid w:val="007340C3"/>
    <w:rsid w:val="0075235A"/>
    <w:rsid w:val="00756841"/>
    <w:rsid w:val="007649AB"/>
    <w:rsid w:val="00771D0C"/>
    <w:rsid w:val="007833AC"/>
    <w:rsid w:val="007B268C"/>
    <w:rsid w:val="007B7171"/>
    <w:rsid w:val="007C0C0F"/>
    <w:rsid w:val="007C3DC2"/>
    <w:rsid w:val="007E5497"/>
    <w:rsid w:val="00804261"/>
    <w:rsid w:val="00806F5F"/>
    <w:rsid w:val="00820278"/>
    <w:rsid w:val="008258C9"/>
    <w:rsid w:val="00844AE9"/>
    <w:rsid w:val="00844D7C"/>
    <w:rsid w:val="00867F95"/>
    <w:rsid w:val="008843B6"/>
    <w:rsid w:val="00891928"/>
    <w:rsid w:val="008A446D"/>
    <w:rsid w:val="008B25F1"/>
    <w:rsid w:val="008D180B"/>
    <w:rsid w:val="008F0EA7"/>
    <w:rsid w:val="00902BAE"/>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4E10"/>
    <w:rsid w:val="00A17F13"/>
    <w:rsid w:val="00A20739"/>
    <w:rsid w:val="00A23AF9"/>
    <w:rsid w:val="00A33C78"/>
    <w:rsid w:val="00AB0ADB"/>
    <w:rsid w:val="00AC5F87"/>
    <w:rsid w:val="00AF0134"/>
    <w:rsid w:val="00B00650"/>
    <w:rsid w:val="00B00C0E"/>
    <w:rsid w:val="00B01B1A"/>
    <w:rsid w:val="00B0381D"/>
    <w:rsid w:val="00B44A47"/>
    <w:rsid w:val="00B57FAA"/>
    <w:rsid w:val="00B72CD3"/>
    <w:rsid w:val="00B72FFF"/>
    <w:rsid w:val="00BB0F3C"/>
    <w:rsid w:val="00BB41C1"/>
    <w:rsid w:val="00BC3D36"/>
    <w:rsid w:val="00BD0FD2"/>
    <w:rsid w:val="00BD54A6"/>
    <w:rsid w:val="00BD7F72"/>
    <w:rsid w:val="00BF7425"/>
    <w:rsid w:val="00C04FB3"/>
    <w:rsid w:val="00C11D8B"/>
    <w:rsid w:val="00C15139"/>
    <w:rsid w:val="00C330EB"/>
    <w:rsid w:val="00C45486"/>
    <w:rsid w:val="00C50D69"/>
    <w:rsid w:val="00C5365C"/>
    <w:rsid w:val="00C754BE"/>
    <w:rsid w:val="00C76B1C"/>
    <w:rsid w:val="00C925AC"/>
    <w:rsid w:val="00CB6357"/>
    <w:rsid w:val="00CC1B26"/>
    <w:rsid w:val="00CE77BD"/>
    <w:rsid w:val="00D07859"/>
    <w:rsid w:val="00D361FD"/>
    <w:rsid w:val="00D423A2"/>
    <w:rsid w:val="00D44E26"/>
    <w:rsid w:val="00D520D8"/>
    <w:rsid w:val="00D551C0"/>
    <w:rsid w:val="00D57966"/>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70C8"/>
    <w:rsid w:val="00F13EAA"/>
    <w:rsid w:val="00F23FEA"/>
    <w:rsid w:val="00F245F2"/>
    <w:rsid w:val="00F31EDC"/>
    <w:rsid w:val="00F43ACA"/>
    <w:rsid w:val="00F462B3"/>
    <w:rsid w:val="00F54ED6"/>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3C649BC"/>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54E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54ED6"/>
    <w:rPr>
      <w:rFonts w:ascii="Geomanist Light" w:hAnsi="Geomanist Light"/>
      <w:lang w:val="es-ES"/>
    </w:rPr>
  </w:style>
  <w:style w:type="character" w:customStyle="1" w:styleId="NormalWebCar">
    <w:name w:val="Normal (Web) Car"/>
    <w:link w:val="NormalWeb"/>
    <w:uiPriority w:val="99"/>
    <w:locked/>
    <w:rsid w:val="00F54ED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919620">
      <w:bodyDiv w:val="1"/>
      <w:marLeft w:val="0"/>
      <w:marRight w:val="0"/>
      <w:marTop w:val="0"/>
      <w:marBottom w:val="0"/>
      <w:divBdr>
        <w:top w:val="none" w:sz="0" w:space="0" w:color="auto"/>
        <w:left w:val="none" w:sz="0" w:space="0" w:color="auto"/>
        <w:bottom w:val="none" w:sz="0" w:space="0" w:color="auto"/>
        <w:right w:val="none" w:sz="0" w:space="0" w:color="auto"/>
      </w:divBdr>
    </w:div>
    <w:div w:id="49912487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7419483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guia_para_promover_la_participacion_de_las_mipymes_en_los_procesos_de_compra_publica_cce-gad-gi-26_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_guia_competencia_0.pdf"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iago.cardenas@gobiernobogota.gov.co" TargetMode="External"/><Relationship Id="rId5" Type="http://schemas.openxmlformats.org/officeDocument/2006/relationships/styles" Target="styles.xml"/><Relationship Id="rId15" Type="http://schemas.openxmlformats.org/officeDocument/2006/relationships/hyperlink" Target="http://www.colombiacompra.gov.co"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52BE44A-279C-4B1D-B06D-4250D1B961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32</TotalTime>
  <Pages>13</Pages>
  <Words>3913</Words>
  <Characters>20860</Characters>
  <Application>Microsoft Office Word</Application>
  <DocSecurity>0</DocSecurity>
  <Lines>443</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2025-12-22T23:04:00Z</dcterms:created>
  <dcterms:modified xsi:type="dcterms:W3CDTF">2025-12-24T14:16:00Z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