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67DAAE" w14:textId="53EE96A1" w:rsidR="008E2DE7" w:rsidRDefault="008E2DE7" w:rsidP="008E2DE7">
      <w:pPr>
        <w:contextualSpacing/>
        <w:jc w:val="both"/>
        <w:rPr>
          <w:rFonts w:ascii="Verdana" w:eastAsia="Calibri" w:hAnsi="Verdana" w:cs="Arial"/>
          <w:b/>
          <w:lang w:val="es-MX" w:eastAsia="es-MX"/>
        </w:rPr>
      </w:pPr>
      <w:bookmarkStart w:id="0" w:name="_Hlk143780582"/>
      <w:bookmarkStart w:id="1" w:name="_Hlk214366482"/>
      <w:r w:rsidRPr="008E2DE7">
        <w:rPr>
          <w:rFonts w:ascii="Verdana" w:eastAsia="Calibri" w:hAnsi="Verdana" w:cs="Arial"/>
          <w:b/>
          <w:lang w:val="es-MX" w:eastAsia="es-MX"/>
        </w:rPr>
        <w:t>LEY DE GARANTÍAS ELECTORALES – Objetivo</w:t>
      </w:r>
    </w:p>
    <w:p w14:paraId="6A87D6BF" w14:textId="77777777" w:rsidR="008E2DE7" w:rsidRPr="008E2DE7" w:rsidRDefault="008E2DE7" w:rsidP="008E2DE7">
      <w:pPr>
        <w:spacing w:after="0" w:line="240" w:lineRule="auto"/>
        <w:contextualSpacing/>
        <w:jc w:val="both"/>
        <w:rPr>
          <w:rFonts w:ascii="Verdana" w:eastAsia="Calibri" w:hAnsi="Verdana" w:cs="Arial"/>
          <w:b/>
          <w:sz w:val="20"/>
          <w:szCs w:val="20"/>
          <w:lang w:val="es-MX" w:eastAsia="es-MX"/>
        </w:rPr>
      </w:pPr>
    </w:p>
    <w:p w14:paraId="39992B0C" w14:textId="6FA6511E" w:rsidR="008E2DE7" w:rsidRPr="008E2DE7" w:rsidRDefault="008E2DE7" w:rsidP="008E2DE7">
      <w:pPr>
        <w:spacing w:after="0" w:line="240" w:lineRule="auto"/>
        <w:contextualSpacing/>
        <w:jc w:val="both"/>
        <w:rPr>
          <w:rFonts w:ascii="Verdana" w:eastAsia="Calibri" w:hAnsi="Verdana" w:cs="Arial"/>
          <w:bCs/>
          <w:sz w:val="20"/>
          <w:szCs w:val="20"/>
        </w:rPr>
      </w:pPr>
      <w:r w:rsidRPr="008E2DE7">
        <w:rPr>
          <w:rFonts w:ascii="Verdana" w:eastAsia="Calibri" w:hAnsi="Verdana" w:cs="Arial"/>
          <w:bCs/>
          <w:sz w:val="20"/>
          <w:szCs w:val="20"/>
        </w:rPr>
        <w:t>El ordenamiento jurídico colombiano contempla previsiones claras para evitar la obtención de beneficios personales en asuntos propios de la administración pública</w:t>
      </w:r>
      <w:r w:rsidRPr="008E2DE7">
        <w:rPr>
          <w:rFonts w:ascii="Verdana" w:eastAsia="Calibri" w:hAnsi="Verdana" w:cs="Arial"/>
          <w:bCs/>
          <w:i/>
          <w:iCs/>
          <w:sz w:val="20"/>
          <w:szCs w:val="20"/>
        </w:rPr>
        <w:t xml:space="preserve">. </w:t>
      </w:r>
      <w:r w:rsidRPr="008E2DE7">
        <w:rPr>
          <w:rFonts w:ascii="Verdana" w:eastAsia="Calibri" w:hAnsi="Verdana" w:cs="Arial"/>
          <w:bCs/>
          <w:sz w:val="20"/>
          <w:szCs w:val="20"/>
        </w:rPr>
        <w:t>Por ejemplo, el artículo 127 de la Constitución Política establece una prohibición contractual a los servidores públicos y en cuanto a aspectos políticos establece restricciones a ciertos empleados del Estado, incluso en época no electoral.</w:t>
      </w:r>
    </w:p>
    <w:p w14:paraId="120566DB" w14:textId="77777777" w:rsidR="008E2DE7" w:rsidRPr="008E2DE7" w:rsidRDefault="008E2DE7" w:rsidP="008E2DE7">
      <w:pPr>
        <w:spacing w:after="0" w:line="240" w:lineRule="auto"/>
        <w:contextualSpacing/>
        <w:jc w:val="both"/>
        <w:rPr>
          <w:rFonts w:ascii="Verdana" w:eastAsia="Calibri" w:hAnsi="Verdana" w:cs="Arial"/>
          <w:bCs/>
          <w:sz w:val="20"/>
          <w:szCs w:val="20"/>
        </w:rPr>
      </w:pPr>
    </w:p>
    <w:p w14:paraId="780EBB61" w14:textId="50A65DE0" w:rsidR="008E2DE7" w:rsidRPr="008E2DE7" w:rsidRDefault="008E2DE7" w:rsidP="008E2DE7">
      <w:pPr>
        <w:spacing w:after="0" w:line="240" w:lineRule="auto"/>
        <w:contextualSpacing/>
        <w:jc w:val="both"/>
        <w:rPr>
          <w:rFonts w:ascii="Verdana" w:eastAsia="Calibri" w:hAnsi="Verdana" w:cs="Arial"/>
          <w:bCs/>
          <w:sz w:val="20"/>
          <w:szCs w:val="20"/>
        </w:rPr>
      </w:pPr>
      <w:r w:rsidRPr="008E2DE7">
        <w:rPr>
          <w:rFonts w:ascii="Verdana" w:eastAsia="Calibri" w:hAnsi="Verdana" w:cs="Arial"/>
          <w:bCs/>
          <w:sz w:val="20"/>
          <w:szCs w:val="20"/>
        </w:rPr>
        <w:t>[…] 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6C5AAB2C" w14:textId="77777777" w:rsidR="008E2DE7" w:rsidRDefault="008E2DE7" w:rsidP="008E2DE7">
      <w:pPr>
        <w:contextualSpacing/>
        <w:jc w:val="both"/>
        <w:rPr>
          <w:rFonts w:ascii="Verdana" w:eastAsia="Calibri" w:hAnsi="Verdana" w:cs="Arial"/>
          <w:bCs/>
        </w:rPr>
      </w:pPr>
    </w:p>
    <w:p w14:paraId="6B8F8798" w14:textId="77777777" w:rsidR="008E2DE7" w:rsidRDefault="008E2DE7" w:rsidP="008E2DE7">
      <w:pPr>
        <w:contextualSpacing/>
        <w:jc w:val="both"/>
        <w:rPr>
          <w:rFonts w:ascii="Verdana" w:eastAsia="Calibri" w:hAnsi="Verdana" w:cs="Arial"/>
          <w:b/>
          <w:lang w:val="es-MX" w:eastAsia="es-MX"/>
        </w:rPr>
      </w:pPr>
      <w:r w:rsidRPr="008E2DE7">
        <w:rPr>
          <w:rFonts w:ascii="Verdana" w:eastAsia="Calibri" w:hAnsi="Verdana" w:cs="Arial"/>
          <w:b/>
          <w:lang w:val="es-MX" w:eastAsia="es-MX"/>
        </w:rPr>
        <w:t xml:space="preserve">LEY DE GARANTÍAS ELECTORALES – Prohibiciones </w:t>
      </w:r>
    </w:p>
    <w:p w14:paraId="152E0F1F" w14:textId="77777777" w:rsidR="008E2DE7" w:rsidRDefault="008E2DE7" w:rsidP="008E2DE7">
      <w:pPr>
        <w:spacing w:after="0" w:line="240" w:lineRule="auto"/>
        <w:contextualSpacing/>
        <w:jc w:val="both"/>
        <w:rPr>
          <w:rFonts w:ascii="Verdana" w:eastAsia="Calibri" w:hAnsi="Verdana" w:cs="Arial"/>
          <w:b/>
          <w:lang w:val="es-MX" w:eastAsia="es-MX"/>
        </w:rPr>
      </w:pPr>
    </w:p>
    <w:p w14:paraId="3FC88812" w14:textId="77777777" w:rsidR="008E2DE7" w:rsidRPr="008E2DE7" w:rsidRDefault="008E2DE7" w:rsidP="008E2DE7">
      <w:pPr>
        <w:spacing w:after="0" w:line="240" w:lineRule="auto"/>
        <w:contextualSpacing/>
        <w:jc w:val="both"/>
        <w:rPr>
          <w:rFonts w:ascii="Verdana" w:eastAsia="Calibri" w:hAnsi="Verdana" w:cs="Arial"/>
          <w:bCs/>
          <w:sz w:val="20"/>
          <w:szCs w:val="20"/>
          <w:lang w:val="es-ES" w:eastAsia="es-MX"/>
        </w:rPr>
      </w:pPr>
      <w:r w:rsidRPr="008E2DE7">
        <w:rPr>
          <w:rFonts w:ascii="Verdana" w:eastAsia="Calibri" w:hAnsi="Verdana" w:cs="Arial"/>
          <w:bCs/>
          <w:sz w:val="20"/>
          <w:szCs w:val="20"/>
          <w:lang w:val="es-ES" w:eastAsia="es-MX"/>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0F0DF204" w14:textId="77777777" w:rsidR="008E2DE7" w:rsidRDefault="008E2DE7" w:rsidP="008E2DE7">
      <w:pPr>
        <w:spacing w:after="0" w:line="240" w:lineRule="auto"/>
        <w:contextualSpacing/>
        <w:jc w:val="both"/>
        <w:rPr>
          <w:rFonts w:ascii="Verdana" w:eastAsia="Calibri" w:hAnsi="Verdana" w:cs="Arial"/>
          <w:bCs/>
          <w:sz w:val="20"/>
          <w:szCs w:val="20"/>
          <w:lang w:val="es-ES" w:eastAsia="es-MX"/>
        </w:rPr>
      </w:pPr>
    </w:p>
    <w:p w14:paraId="0B18F787" w14:textId="5099D3B9" w:rsidR="008E2DE7" w:rsidRPr="008E2DE7" w:rsidRDefault="008E2DE7" w:rsidP="008E2DE7">
      <w:pPr>
        <w:spacing w:after="0" w:line="240" w:lineRule="auto"/>
        <w:contextualSpacing/>
        <w:jc w:val="both"/>
        <w:rPr>
          <w:rFonts w:ascii="Verdana" w:eastAsia="Calibri" w:hAnsi="Verdana" w:cs="Arial"/>
          <w:bCs/>
          <w:sz w:val="20"/>
          <w:szCs w:val="20"/>
          <w:lang w:val="es-ES" w:eastAsia="es-MX"/>
        </w:rPr>
      </w:pPr>
      <w:r w:rsidRPr="008E2DE7">
        <w:rPr>
          <w:rFonts w:ascii="Verdana" w:eastAsia="Calibri" w:hAnsi="Verdana" w:cs="Arial"/>
          <w:bCs/>
          <w:sz w:val="20"/>
          <w:szCs w:val="20"/>
          <w:lang w:val="es-ES" w:eastAsia="es-MX"/>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2A268E1" w14:textId="77777777" w:rsidR="008E2DE7" w:rsidRDefault="008E2DE7" w:rsidP="008E2DE7">
      <w:pPr>
        <w:spacing w:after="0" w:line="240" w:lineRule="auto"/>
        <w:contextualSpacing/>
        <w:jc w:val="both"/>
        <w:rPr>
          <w:rFonts w:ascii="Verdana" w:eastAsia="Calibri" w:hAnsi="Verdana" w:cs="Arial"/>
          <w:bCs/>
          <w:sz w:val="20"/>
          <w:szCs w:val="20"/>
          <w:lang w:val="es-ES" w:eastAsia="es-MX"/>
        </w:rPr>
      </w:pPr>
    </w:p>
    <w:p w14:paraId="588ECEA4" w14:textId="7B9E3C34" w:rsidR="008E2DE7" w:rsidRPr="008E2DE7" w:rsidRDefault="008E2DE7" w:rsidP="008E2DE7">
      <w:pPr>
        <w:spacing w:after="0" w:line="240" w:lineRule="auto"/>
        <w:contextualSpacing/>
        <w:jc w:val="both"/>
        <w:rPr>
          <w:rFonts w:ascii="Verdana" w:eastAsia="Calibri" w:hAnsi="Verdana" w:cs="Arial"/>
          <w:bCs/>
          <w:sz w:val="20"/>
          <w:szCs w:val="20"/>
          <w:lang w:val="es-ES" w:eastAsia="es-MX"/>
        </w:rPr>
      </w:pPr>
      <w:r w:rsidRPr="008E2DE7">
        <w:rPr>
          <w:rFonts w:ascii="Verdana" w:eastAsia="Calibri" w:hAnsi="Verdana" w:cs="Arial"/>
          <w:bCs/>
          <w:sz w:val="20"/>
          <w:szCs w:val="20"/>
          <w:lang w:val="es-ES" w:eastAsia="es-MX"/>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7EFCED2A" w14:textId="77777777" w:rsidR="008E2DE7" w:rsidRPr="008E2DE7" w:rsidRDefault="008E2DE7" w:rsidP="008E2DE7">
      <w:pPr>
        <w:spacing w:after="0" w:line="240" w:lineRule="auto"/>
        <w:contextualSpacing/>
        <w:jc w:val="both"/>
        <w:rPr>
          <w:rFonts w:ascii="Verdana" w:eastAsia="Calibri" w:hAnsi="Verdana" w:cs="Arial"/>
          <w:b/>
          <w:lang w:val="es-MX" w:eastAsia="es-MX"/>
        </w:rPr>
      </w:pPr>
    </w:p>
    <w:p w14:paraId="4D677E93" w14:textId="77777777" w:rsidR="008E2DE7" w:rsidRDefault="008E2DE7" w:rsidP="008E2DE7">
      <w:pPr>
        <w:contextualSpacing/>
        <w:jc w:val="both"/>
        <w:rPr>
          <w:rFonts w:ascii="Verdana" w:eastAsia="Calibri" w:hAnsi="Verdana" w:cs="Arial"/>
          <w:b/>
          <w:lang w:val="es-MX"/>
        </w:rPr>
      </w:pPr>
      <w:r w:rsidRPr="008E2DE7">
        <w:rPr>
          <w:rFonts w:ascii="Verdana" w:eastAsia="Calibri" w:hAnsi="Verdana" w:cs="Arial"/>
          <w:b/>
          <w:lang w:val="es-MX"/>
        </w:rPr>
        <w:t xml:space="preserve">LEY DE GARANTÍAS ELECTORALES ─ Prohibición artículo 33 ‒ Contratación directa ‒ Alcance </w:t>
      </w:r>
    </w:p>
    <w:p w14:paraId="5C07E2C5" w14:textId="77777777" w:rsidR="0048766C" w:rsidRDefault="0048766C" w:rsidP="000A384C">
      <w:pPr>
        <w:spacing w:after="0" w:line="240" w:lineRule="auto"/>
        <w:contextualSpacing/>
        <w:jc w:val="both"/>
        <w:rPr>
          <w:rFonts w:ascii="Verdana" w:eastAsia="Calibri" w:hAnsi="Verdana" w:cs="Arial"/>
          <w:b/>
          <w:lang w:val="es-MX"/>
        </w:rPr>
      </w:pPr>
    </w:p>
    <w:p w14:paraId="107ACF3C" w14:textId="2879A547" w:rsidR="000A384C" w:rsidRPr="000A384C" w:rsidRDefault="000A384C" w:rsidP="000A384C">
      <w:pPr>
        <w:spacing w:after="0" w:line="240" w:lineRule="auto"/>
        <w:contextualSpacing/>
        <w:jc w:val="both"/>
        <w:rPr>
          <w:rFonts w:ascii="Verdana" w:eastAsia="Calibri" w:hAnsi="Verdana" w:cs="Arial"/>
          <w:bCs/>
          <w:sz w:val="20"/>
          <w:szCs w:val="20"/>
          <w:lang w:val="es-MX"/>
        </w:rPr>
      </w:pPr>
      <w:r>
        <w:rPr>
          <w:rFonts w:ascii="Verdana" w:eastAsia="Calibri" w:hAnsi="Verdana" w:cs="Arial"/>
          <w:bCs/>
          <w:sz w:val="20"/>
          <w:szCs w:val="20"/>
          <w:lang w:val="es-MX"/>
        </w:rPr>
        <w:lastRenderedPageBreak/>
        <w:t xml:space="preserve">[…] </w:t>
      </w:r>
      <w:r w:rsidRPr="000A384C">
        <w:rPr>
          <w:rFonts w:ascii="Verdana" w:eastAsia="Calibri" w:hAnsi="Verdana" w:cs="Arial"/>
          <w:bCs/>
          <w:sz w:val="20"/>
          <w:szCs w:val="20"/>
          <w:lang w:val="es-MX"/>
        </w:rPr>
        <w:t>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w:t>
      </w:r>
    </w:p>
    <w:p w14:paraId="78DE5755" w14:textId="77777777" w:rsidR="0048766C" w:rsidRPr="008E2DE7" w:rsidRDefault="0048766C" w:rsidP="008E2DE7">
      <w:pPr>
        <w:spacing w:after="0" w:line="240" w:lineRule="auto"/>
        <w:contextualSpacing/>
        <w:jc w:val="both"/>
        <w:rPr>
          <w:rFonts w:ascii="Verdana" w:eastAsia="Calibri" w:hAnsi="Verdana" w:cs="Arial"/>
          <w:b/>
          <w:lang w:val="es-MX"/>
        </w:rPr>
      </w:pPr>
    </w:p>
    <w:p w14:paraId="31B8248B" w14:textId="77777777" w:rsidR="008E2DE7" w:rsidRDefault="008E2DE7" w:rsidP="008E2DE7">
      <w:pPr>
        <w:contextualSpacing/>
        <w:jc w:val="both"/>
        <w:rPr>
          <w:rFonts w:ascii="Verdana" w:eastAsia="Times New Roman" w:hAnsi="Verdana" w:cs="Arial"/>
          <w:b/>
          <w:lang w:val="es-MX" w:eastAsia="es-CO"/>
        </w:rPr>
      </w:pPr>
      <w:r w:rsidRPr="008E2DE7">
        <w:rPr>
          <w:rFonts w:ascii="Verdana" w:eastAsia="Calibri" w:hAnsi="Verdana" w:cs="Arial"/>
          <w:b/>
          <w:lang w:val="es-MX"/>
        </w:rPr>
        <w:t>LEY DE GARANTÍAS ELECTORALES ─ Prohibición artículo 33 ‒ Contratación directa ‒ Destinatarios</w:t>
      </w:r>
      <w:r w:rsidRPr="008E2DE7">
        <w:rPr>
          <w:rFonts w:ascii="Verdana" w:eastAsia="Times New Roman" w:hAnsi="Verdana" w:cs="Arial"/>
          <w:b/>
          <w:lang w:val="es-MX" w:eastAsia="es-CO"/>
        </w:rPr>
        <w:t xml:space="preserve"> </w:t>
      </w:r>
    </w:p>
    <w:p w14:paraId="1E786695" w14:textId="77777777" w:rsidR="000A384C" w:rsidRDefault="000A384C" w:rsidP="000A384C">
      <w:pPr>
        <w:spacing w:after="0" w:line="240" w:lineRule="auto"/>
        <w:contextualSpacing/>
        <w:jc w:val="both"/>
        <w:rPr>
          <w:rFonts w:ascii="Verdana" w:eastAsia="Times New Roman" w:hAnsi="Verdana" w:cs="Arial"/>
          <w:b/>
          <w:lang w:val="es-MX" w:eastAsia="es-CO"/>
        </w:rPr>
      </w:pPr>
    </w:p>
    <w:p w14:paraId="138FAF0D" w14:textId="0E49B464" w:rsidR="000A384C" w:rsidRPr="000A384C" w:rsidRDefault="000A384C" w:rsidP="008E2DE7">
      <w:pPr>
        <w:spacing w:after="0" w:line="240" w:lineRule="auto"/>
        <w:contextualSpacing/>
        <w:jc w:val="both"/>
        <w:rPr>
          <w:rFonts w:ascii="Verdana" w:eastAsia="Times New Roman" w:hAnsi="Verdana" w:cs="Arial"/>
          <w:b/>
          <w:sz w:val="20"/>
          <w:szCs w:val="20"/>
          <w:lang w:val="es-MX" w:eastAsia="es-CO"/>
        </w:rPr>
      </w:pPr>
      <w:r>
        <w:rPr>
          <w:rFonts w:ascii="Verdana" w:hAnsi="Verdana" w:cs="Arial"/>
          <w:color w:val="000000" w:themeColor="text1"/>
          <w:sz w:val="20"/>
          <w:szCs w:val="20"/>
          <w:lang w:val="es-MX"/>
        </w:rPr>
        <w:t xml:space="preserve">[…] </w:t>
      </w:r>
      <w:r w:rsidRPr="000A384C">
        <w:rPr>
          <w:rFonts w:ascii="Verdana" w:hAnsi="Verdana" w:cs="Arial"/>
          <w:color w:val="000000" w:themeColor="text1"/>
          <w:sz w:val="20"/>
          <w:szCs w:val="20"/>
          <w:lang w:val="es-MX"/>
        </w:rPr>
        <w:t>en relación con los destinatarios de las restricciones, el artículo 33 de la Ley 996 de 2005 los señala expresamente, en el sentido de que son “</w:t>
      </w:r>
      <w:r w:rsidRPr="000A384C">
        <w:rPr>
          <w:rFonts w:ascii="Verdana" w:hAnsi="Verdana" w:cs="Arial"/>
          <w:i/>
          <w:color w:val="000000" w:themeColor="text1"/>
          <w:sz w:val="20"/>
          <w:szCs w:val="20"/>
          <w:lang w:val="es-MX"/>
        </w:rPr>
        <w:t>todos los entes del Estado</w:t>
      </w:r>
      <w:r w:rsidRPr="000A384C">
        <w:rPr>
          <w:rFonts w:ascii="Verdana" w:hAnsi="Verdana" w:cs="Arial"/>
          <w:color w:val="000000" w:themeColor="text1"/>
          <w:sz w:val="20"/>
          <w:szCs w:val="20"/>
          <w:lang w:val="es-MX"/>
        </w:rPr>
        <w:t>”,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4D04BDEA" w14:textId="77777777" w:rsidR="008E2DE7" w:rsidRPr="000A384C" w:rsidRDefault="008E2DE7" w:rsidP="008E2DE7">
      <w:pPr>
        <w:spacing w:after="0" w:line="240" w:lineRule="auto"/>
        <w:contextualSpacing/>
        <w:jc w:val="both"/>
        <w:rPr>
          <w:rFonts w:ascii="Verdana" w:eastAsia="Times New Roman" w:hAnsi="Verdana" w:cs="Arial"/>
          <w:b/>
          <w:sz w:val="20"/>
          <w:szCs w:val="20"/>
          <w:lang w:val="es-MX" w:eastAsia="es-CO"/>
        </w:rPr>
      </w:pPr>
    </w:p>
    <w:p w14:paraId="657CF7A8" w14:textId="77777777" w:rsidR="008E2DE7" w:rsidRDefault="008E2DE7" w:rsidP="008E2DE7">
      <w:pPr>
        <w:contextualSpacing/>
        <w:jc w:val="both"/>
        <w:rPr>
          <w:rFonts w:ascii="Verdana" w:eastAsia="Times New Roman" w:hAnsi="Verdana" w:cs="Arial"/>
          <w:b/>
          <w:lang w:eastAsia="es-CO"/>
        </w:rPr>
      </w:pPr>
      <w:r w:rsidRPr="008E2DE7">
        <w:rPr>
          <w:rFonts w:ascii="Verdana" w:eastAsia="Times New Roman" w:hAnsi="Verdana" w:cs="Arial"/>
          <w:b/>
          <w:lang w:eastAsia="es-CO"/>
        </w:rPr>
        <w:t xml:space="preserve">LEY DE GARANTÍAS ELECTORALES ‒ Excepciones </w:t>
      </w:r>
    </w:p>
    <w:p w14:paraId="5EA71E0D" w14:textId="77777777" w:rsidR="000A384C" w:rsidRDefault="000A384C" w:rsidP="000A384C">
      <w:pPr>
        <w:spacing w:after="0" w:line="240" w:lineRule="auto"/>
        <w:contextualSpacing/>
        <w:jc w:val="both"/>
        <w:rPr>
          <w:rFonts w:ascii="Verdana" w:eastAsia="Times New Roman" w:hAnsi="Verdana" w:cs="Arial"/>
          <w:b/>
          <w:lang w:eastAsia="es-CO"/>
        </w:rPr>
      </w:pPr>
    </w:p>
    <w:p w14:paraId="387A1537" w14:textId="32C607D6" w:rsidR="000A384C" w:rsidRPr="000A384C" w:rsidRDefault="000A384C" w:rsidP="008E2DE7">
      <w:pPr>
        <w:spacing w:after="0" w:line="240" w:lineRule="auto"/>
        <w:contextualSpacing/>
        <w:jc w:val="both"/>
        <w:rPr>
          <w:rFonts w:ascii="Verdana" w:eastAsia="Times New Roman" w:hAnsi="Verdana" w:cs="Arial"/>
          <w:bCs/>
          <w:sz w:val="20"/>
          <w:szCs w:val="20"/>
          <w:lang w:eastAsia="es-CO"/>
        </w:rPr>
      </w:pPr>
      <w:r w:rsidRPr="000A384C">
        <w:rPr>
          <w:rFonts w:ascii="Verdana" w:eastAsia="Times New Roman" w:hAnsi="Verdana" w:cs="Arial"/>
          <w:bCs/>
          <w:sz w:val="20"/>
          <w:szCs w:val="20"/>
          <w:lang w:eastAsia="es-CO"/>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0A384C">
        <w:rPr>
          <w:rFonts w:ascii="Verdana" w:eastAsia="Times New Roman" w:hAnsi="Verdana" w:cs="Arial"/>
          <w:bCs/>
          <w:sz w:val="20"/>
          <w:szCs w:val="20"/>
          <w:lang w:eastAsia="es-CO"/>
        </w:rPr>
        <w:t>ii</w:t>
      </w:r>
      <w:proofErr w:type="spellEnd"/>
      <w:r w:rsidRPr="000A384C">
        <w:rPr>
          <w:rFonts w:ascii="Verdana" w:eastAsia="Times New Roman" w:hAnsi="Verdana" w:cs="Arial"/>
          <w:bCs/>
          <w:sz w:val="20"/>
          <w:szCs w:val="20"/>
          <w:lang w:eastAsia="es-CO"/>
        </w:rPr>
        <w:t xml:space="preserve">) los contratos de crédito público; </w:t>
      </w:r>
      <w:proofErr w:type="spellStart"/>
      <w:r w:rsidRPr="000A384C">
        <w:rPr>
          <w:rFonts w:ascii="Verdana" w:eastAsia="Times New Roman" w:hAnsi="Verdana" w:cs="Arial"/>
          <w:bCs/>
          <w:sz w:val="20"/>
          <w:szCs w:val="20"/>
          <w:lang w:eastAsia="es-CO"/>
        </w:rPr>
        <w:t>iii</w:t>
      </w:r>
      <w:proofErr w:type="spellEnd"/>
      <w:r w:rsidRPr="000A384C">
        <w:rPr>
          <w:rFonts w:ascii="Verdana" w:eastAsia="Times New Roman" w:hAnsi="Verdana" w:cs="Arial"/>
          <w:bCs/>
          <w:sz w:val="20"/>
          <w:szCs w:val="20"/>
          <w:lang w:eastAsia="es-CO"/>
        </w:rPr>
        <w:t xml:space="preserve">) los requeridos para cubrir las emergencias educativas, sanitarias y desastres; </w:t>
      </w:r>
      <w:proofErr w:type="spellStart"/>
      <w:r w:rsidRPr="000A384C">
        <w:rPr>
          <w:rFonts w:ascii="Verdana" w:eastAsia="Times New Roman" w:hAnsi="Verdana" w:cs="Arial"/>
          <w:bCs/>
          <w:sz w:val="20"/>
          <w:szCs w:val="20"/>
          <w:lang w:eastAsia="es-CO"/>
        </w:rPr>
        <w:t>iv</w:t>
      </w:r>
      <w:proofErr w:type="spellEnd"/>
      <w:r w:rsidRPr="000A384C">
        <w:rPr>
          <w:rFonts w:ascii="Verdana" w:eastAsia="Times New Roman" w:hAnsi="Verdana" w:cs="Arial"/>
          <w:bCs/>
          <w:sz w:val="20"/>
          <w:szCs w:val="20"/>
          <w:lang w:eastAsia="es-CO"/>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5A1B99FF" w14:textId="77777777" w:rsidR="008E2DE7" w:rsidRPr="008E2DE7" w:rsidRDefault="008E2DE7" w:rsidP="008E2DE7">
      <w:pPr>
        <w:spacing w:after="0" w:line="240" w:lineRule="auto"/>
        <w:contextualSpacing/>
        <w:jc w:val="both"/>
        <w:rPr>
          <w:rFonts w:ascii="Verdana" w:eastAsia="Times New Roman" w:hAnsi="Verdana" w:cs="Arial"/>
          <w:b/>
          <w:lang w:eastAsia="es-CO"/>
        </w:rPr>
      </w:pPr>
    </w:p>
    <w:p w14:paraId="45F31C67" w14:textId="77777777" w:rsidR="008E2DE7" w:rsidRDefault="008E2DE7" w:rsidP="008E2DE7">
      <w:pPr>
        <w:contextualSpacing/>
        <w:jc w:val="both"/>
        <w:rPr>
          <w:rFonts w:ascii="Verdana" w:hAnsi="Verdana" w:cs="Arial"/>
          <w:b/>
          <w:color w:val="000000" w:themeColor="text1"/>
        </w:rPr>
      </w:pPr>
      <w:r w:rsidRPr="008E2DE7">
        <w:rPr>
          <w:rFonts w:ascii="Verdana" w:hAnsi="Verdana" w:cs="Arial"/>
          <w:b/>
          <w:color w:val="000000" w:themeColor="text1"/>
        </w:rPr>
        <w:t xml:space="preserve">LEY DE GARANTÍAS ELECTORALES - Parágrafo del artículo 38 – Prohibición – Convenios y contratos interadministrativos </w:t>
      </w:r>
    </w:p>
    <w:p w14:paraId="5523977D" w14:textId="77777777" w:rsidR="000A384C" w:rsidRPr="000A384C" w:rsidRDefault="000A384C" w:rsidP="008E2DE7">
      <w:pPr>
        <w:contextualSpacing/>
        <w:jc w:val="both"/>
        <w:rPr>
          <w:rFonts w:ascii="Verdana" w:hAnsi="Verdana" w:cs="Arial"/>
          <w:bCs/>
          <w:color w:val="000000" w:themeColor="text1"/>
          <w:sz w:val="20"/>
          <w:szCs w:val="20"/>
        </w:rPr>
      </w:pPr>
    </w:p>
    <w:p w14:paraId="71A0B050" w14:textId="1E3E9733" w:rsidR="000A384C" w:rsidRDefault="000A384C" w:rsidP="001B0B2F">
      <w:pPr>
        <w:spacing w:after="0" w:line="240" w:lineRule="auto"/>
        <w:contextualSpacing/>
        <w:jc w:val="both"/>
        <w:rPr>
          <w:rFonts w:ascii="Verdana" w:hAnsi="Verdana" w:cs="Arial"/>
          <w:bCs/>
          <w:color w:val="000000" w:themeColor="text1"/>
          <w:sz w:val="20"/>
          <w:szCs w:val="20"/>
        </w:rPr>
      </w:pPr>
      <w:r w:rsidRPr="000A384C">
        <w:rPr>
          <w:rFonts w:ascii="Verdana" w:hAnsi="Verdana" w:cs="Arial"/>
          <w:bCs/>
          <w:color w:val="000000" w:themeColor="text1"/>
          <w:sz w:val="20"/>
          <w:szCs w:val="20"/>
        </w:rPr>
        <w:t xml:space="preserve">La prohibición dispone en primera medida que: “[l]os Gobernadores, </w:t>
      </w:r>
      <w:proofErr w:type="gramStart"/>
      <w:r w:rsidRPr="000A384C">
        <w:rPr>
          <w:rFonts w:ascii="Verdana" w:hAnsi="Verdana" w:cs="Arial"/>
          <w:bCs/>
          <w:color w:val="000000" w:themeColor="text1"/>
          <w:sz w:val="20"/>
          <w:szCs w:val="20"/>
        </w:rPr>
        <w:t>Alcaldes</w:t>
      </w:r>
      <w:proofErr w:type="gramEnd"/>
      <w:r w:rsidRPr="000A384C">
        <w:rPr>
          <w:rFonts w:ascii="Verdana" w:hAnsi="Verdana" w:cs="Arial"/>
          <w:bCs/>
          <w:color w:val="000000" w:themeColor="text1"/>
          <w:sz w:val="20"/>
          <w:szCs w:val="20"/>
        </w:rPr>
        <w:t xml:space="preserve"> Municipales y/o Distritales, </w:t>
      </w:r>
      <w:proofErr w:type="gramStart"/>
      <w:r w:rsidRPr="000A384C">
        <w:rPr>
          <w:rFonts w:ascii="Verdana" w:hAnsi="Verdana" w:cs="Arial"/>
          <w:bCs/>
          <w:color w:val="000000" w:themeColor="text1"/>
          <w:sz w:val="20"/>
          <w:szCs w:val="20"/>
        </w:rPr>
        <w:t>Secretarios</w:t>
      </w:r>
      <w:proofErr w:type="gramEnd"/>
      <w:r w:rsidRPr="000A384C">
        <w:rPr>
          <w:rFonts w:ascii="Verdana" w:hAnsi="Verdana" w:cs="Arial"/>
          <w:bCs/>
          <w:color w:val="000000" w:themeColor="text1"/>
          <w:sz w:val="20"/>
          <w:szCs w:val="20"/>
        </w:rPr>
        <w:t xml:space="preserve">, Gerentes y directores de Entidades Descentralizadas del orden Municipal, Departamental o Distrital, dentro de los cuatro (4) </w:t>
      </w:r>
      <w:r w:rsidRPr="000A384C">
        <w:rPr>
          <w:rFonts w:ascii="Verdana" w:hAnsi="Verdana" w:cs="Arial"/>
          <w:bCs/>
          <w:color w:val="000000" w:themeColor="text1"/>
          <w:sz w:val="20"/>
          <w:szCs w:val="20"/>
        </w:rPr>
        <w:lastRenderedPageBreak/>
        <w:t>meses anteriores a las elecciones, no podrán celebrar convenios interadministrativos para la ejecución de recursos públicos”.</w:t>
      </w:r>
    </w:p>
    <w:p w14:paraId="192B24F8" w14:textId="77777777" w:rsidR="000A384C" w:rsidRDefault="000A384C" w:rsidP="001B0B2F">
      <w:pPr>
        <w:spacing w:after="0" w:line="240" w:lineRule="auto"/>
        <w:contextualSpacing/>
        <w:jc w:val="both"/>
        <w:rPr>
          <w:rFonts w:ascii="Verdana" w:hAnsi="Verdana" w:cs="Arial"/>
          <w:bCs/>
          <w:color w:val="000000" w:themeColor="text1"/>
          <w:sz w:val="20"/>
          <w:szCs w:val="20"/>
        </w:rPr>
      </w:pPr>
    </w:p>
    <w:p w14:paraId="7A47DA45" w14:textId="19AEAD53" w:rsidR="001B0B2F" w:rsidRDefault="001B0B2F" w:rsidP="001B0B2F">
      <w:pPr>
        <w:spacing w:after="0" w:line="240" w:lineRule="auto"/>
        <w:contextualSpacing/>
        <w:jc w:val="both"/>
        <w:rPr>
          <w:rFonts w:ascii="Verdana" w:hAnsi="Verdana" w:cs="Arial"/>
          <w:bCs/>
          <w:color w:val="000000" w:themeColor="text1"/>
          <w:sz w:val="20"/>
          <w:szCs w:val="20"/>
        </w:rPr>
      </w:pPr>
      <w:r>
        <w:rPr>
          <w:rFonts w:ascii="Verdana" w:hAnsi="Verdana" w:cs="Arial"/>
          <w:bCs/>
          <w:color w:val="000000" w:themeColor="text1"/>
          <w:sz w:val="20"/>
          <w:szCs w:val="20"/>
        </w:rPr>
        <w:t xml:space="preserve">[…] </w:t>
      </w:r>
      <w:r w:rsidRPr="001B0B2F">
        <w:rPr>
          <w:rFonts w:ascii="Verdana" w:hAnsi="Verdana" w:cs="Arial"/>
          <w:bCs/>
          <w:color w:val="000000" w:themeColor="text1"/>
          <w:sz w:val="20"/>
          <w:szCs w:val="20"/>
        </w:rPr>
        <w:t xml:space="preserve">Respecto del alcance de esta prohibición la Circular Externa No. 006 de 2025 expedida por la ANCP -CCE, en los literales </w:t>
      </w:r>
      <w:proofErr w:type="spellStart"/>
      <w:r w:rsidRPr="001B0B2F">
        <w:rPr>
          <w:rFonts w:ascii="Verdana" w:hAnsi="Verdana" w:cs="Arial"/>
          <w:bCs/>
          <w:color w:val="000000" w:themeColor="text1"/>
          <w:sz w:val="20"/>
          <w:szCs w:val="20"/>
        </w:rPr>
        <w:t>ii</w:t>
      </w:r>
      <w:proofErr w:type="spellEnd"/>
      <w:r w:rsidRPr="001B0B2F">
        <w:rPr>
          <w:rFonts w:ascii="Verdana" w:hAnsi="Verdana" w:cs="Arial"/>
          <w:bCs/>
          <w:color w:val="000000" w:themeColor="text1"/>
          <w:sz w:val="20"/>
          <w:szCs w:val="20"/>
        </w:rPr>
        <w:t xml:space="preserve">) y </w:t>
      </w:r>
      <w:proofErr w:type="spellStart"/>
      <w:r w:rsidRPr="001B0B2F">
        <w:rPr>
          <w:rFonts w:ascii="Verdana" w:hAnsi="Verdana" w:cs="Arial"/>
          <w:bCs/>
          <w:color w:val="000000" w:themeColor="text1"/>
          <w:sz w:val="20"/>
          <w:szCs w:val="20"/>
        </w:rPr>
        <w:t>iv</w:t>
      </w:r>
      <w:proofErr w:type="spellEnd"/>
      <w:r w:rsidRPr="001B0B2F">
        <w:rPr>
          <w:rFonts w:ascii="Verdana" w:hAnsi="Verdana" w:cs="Arial"/>
          <w:bCs/>
          <w:color w:val="000000" w:themeColor="text1"/>
          <w:sz w:val="20"/>
          <w:szCs w:val="20"/>
        </w:rPr>
        <w:t>) del numeral 2, indica que el parágrafo del artículo 38 de la Ley 996 de 2005 cobija expresamente a los convenios interadministrativos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“aunque se configure alguno de los supuestos de excepción que señaló el inciso final del artículo 33”.</w:t>
      </w:r>
    </w:p>
    <w:p w14:paraId="72F9B40F" w14:textId="77777777" w:rsidR="008E2DE7" w:rsidRPr="008E2DE7" w:rsidRDefault="008E2DE7" w:rsidP="008E2DE7">
      <w:pPr>
        <w:spacing w:after="0" w:line="240" w:lineRule="auto"/>
        <w:contextualSpacing/>
        <w:jc w:val="both"/>
        <w:rPr>
          <w:rFonts w:ascii="Verdana" w:hAnsi="Verdana" w:cs="Arial"/>
          <w:b/>
          <w:color w:val="000000" w:themeColor="text1"/>
        </w:rPr>
      </w:pPr>
    </w:p>
    <w:p w14:paraId="46F87EFF" w14:textId="77777777" w:rsidR="008E2DE7" w:rsidRDefault="008E2DE7" w:rsidP="008E2DE7">
      <w:pPr>
        <w:contextualSpacing/>
        <w:jc w:val="both"/>
        <w:rPr>
          <w:rFonts w:ascii="Verdana" w:hAnsi="Verdana" w:cs="Arial"/>
          <w:b/>
          <w:color w:val="000000" w:themeColor="text1"/>
        </w:rPr>
      </w:pPr>
      <w:r w:rsidRPr="008E2DE7">
        <w:rPr>
          <w:rFonts w:ascii="Verdana" w:hAnsi="Verdana" w:cs="Arial"/>
          <w:b/>
          <w:color w:val="000000" w:themeColor="text1"/>
        </w:rPr>
        <w:t xml:space="preserve">LEY DE GARANTÍAS ELECTORALES – Contratos y convenios interadministrativos </w:t>
      </w:r>
    </w:p>
    <w:p w14:paraId="273A1104" w14:textId="77777777" w:rsidR="001B0B2F" w:rsidRDefault="001B0B2F" w:rsidP="001B0B2F">
      <w:pPr>
        <w:spacing w:after="0" w:line="240" w:lineRule="auto"/>
        <w:contextualSpacing/>
        <w:jc w:val="both"/>
        <w:rPr>
          <w:rFonts w:ascii="Verdana" w:hAnsi="Verdana" w:cs="Arial"/>
          <w:b/>
          <w:color w:val="000000" w:themeColor="text1"/>
        </w:rPr>
      </w:pPr>
    </w:p>
    <w:p w14:paraId="4542F0AC" w14:textId="4C555CA4" w:rsidR="001B0B2F" w:rsidRDefault="001B0B2F" w:rsidP="001B0B2F">
      <w:pPr>
        <w:spacing w:after="0" w:line="240" w:lineRule="auto"/>
        <w:contextualSpacing/>
        <w:jc w:val="both"/>
        <w:rPr>
          <w:rFonts w:ascii="Verdana" w:hAnsi="Verdana" w:cs="Arial"/>
          <w:bCs/>
          <w:color w:val="000000" w:themeColor="text1"/>
          <w:sz w:val="20"/>
          <w:szCs w:val="20"/>
        </w:rPr>
      </w:pPr>
      <w:r w:rsidRPr="001B0B2F">
        <w:rPr>
          <w:rFonts w:ascii="Verdana" w:hAnsi="Verdana" w:cs="Arial"/>
          <w:bCs/>
          <w:color w:val="000000" w:themeColor="text1"/>
          <w:sz w:val="20"/>
          <w:szCs w:val="20"/>
        </w:rPr>
        <w:t>Sin embargo, es importante tener en cuenta que el ámbito de aplicación de la restricción prevista en el parágrafo del artículo 38 de la Ley 996 de 2005 solo se extiende a los convenios interadministrativos en los que se contemple la ejecución de recursos públicos. Esto significa que la prohibición no resulta aplicable a convenios interadministrativos a título gratuito, los cuales pueden celebrarse válidamente durante la vigencia de la mencionada restricción.</w:t>
      </w:r>
    </w:p>
    <w:p w14:paraId="557C4860" w14:textId="77777777" w:rsidR="001B0B2F" w:rsidRDefault="001B0B2F" w:rsidP="001B0B2F">
      <w:pPr>
        <w:spacing w:after="0" w:line="240" w:lineRule="auto"/>
        <w:contextualSpacing/>
        <w:jc w:val="both"/>
        <w:rPr>
          <w:rFonts w:ascii="Verdana" w:hAnsi="Verdana" w:cs="Arial"/>
          <w:bCs/>
          <w:color w:val="000000" w:themeColor="text1"/>
          <w:sz w:val="20"/>
          <w:szCs w:val="20"/>
        </w:rPr>
      </w:pPr>
    </w:p>
    <w:p w14:paraId="1816021E" w14:textId="0CEEFED3" w:rsidR="001B0B2F" w:rsidRPr="001B0B2F" w:rsidRDefault="001B0B2F" w:rsidP="001B0B2F">
      <w:pPr>
        <w:spacing w:after="0" w:line="240" w:lineRule="auto"/>
        <w:contextualSpacing/>
        <w:jc w:val="both"/>
        <w:rPr>
          <w:rFonts w:ascii="Verdana" w:hAnsi="Verdana" w:cs="Arial"/>
          <w:bCs/>
          <w:color w:val="000000" w:themeColor="text1"/>
          <w:sz w:val="20"/>
          <w:szCs w:val="20"/>
        </w:rPr>
      </w:pPr>
      <w:r>
        <w:rPr>
          <w:rFonts w:ascii="Verdana" w:hAnsi="Verdana" w:cs="Arial"/>
          <w:bCs/>
          <w:color w:val="000000" w:themeColor="text1"/>
          <w:sz w:val="20"/>
          <w:szCs w:val="20"/>
        </w:rPr>
        <w:t xml:space="preserve">[…] </w:t>
      </w:r>
      <w:r w:rsidRPr="001B0B2F">
        <w:rPr>
          <w:rFonts w:ascii="Verdana" w:hAnsi="Verdana" w:cs="Arial"/>
          <w:bCs/>
          <w:color w:val="000000" w:themeColor="text1"/>
          <w:sz w:val="20"/>
          <w:szCs w:val="20"/>
        </w:rPr>
        <w:t>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contratos interadministrativos, esta prohibición solo aplicaría a los convenios interadministrativos que impliquen la ejecución de recursos públicos.</w:t>
      </w:r>
    </w:p>
    <w:p w14:paraId="4188D3DB" w14:textId="77777777" w:rsidR="008E2DE7" w:rsidRPr="008E2DE7" w:rsidRDefault="008E2DE7" w:rsidP="008E2DE7">
      <w:pPr>
        <w:spacing w:after="0" w:line="240" w:lineRule="auto"/>
        <w:contextualSpacing/>
        <w:jc w:val="both"/>
        <w:rPr>
          <w:rFonts w:ascii="Verdana" w:hAnsi="Verdana" w:cs="Arial"/>
          <w:b/>
          <w:color w:val="000000" w:themeColor="text1"/>
        </w:rPr>
      </w:pPr>
    </w:p>
    <w:p w14:paraId="63F5E5CE" w14:textId="462CD8E0" w:rsidR="008E2DE7" w:rsidRPr="008E2DE7" w:rsidRDefault="008E2DE7" w:rsidP="008E2DE7">
      <w:pPr>
        <w:spacing w:after="0" w:line="240" w:lineRule="auto"/>
        <w:contextualSpacing/>
        <w:jc w:val="both"/>
        <w:rPr>
          <w:rFonts w:ascii="Verdana" w:hAnsi="Verdana" w:cs="Arial"/>
          <w:b/>
          <w:color w:val="000000" w:themeColor="text1"/>
        </w:rPr>
      </w:pPr>
      <w:r w:rsidRPr="008E2DE7">
        <w:rPr>
          <w:rFonts w:ascii="Verdana" w:eastAsia="Times New Roman" w:hAnsi="Verdana" w:cs="Arial"/>
          <w:b/>
          <w:lang w:eastAsia="es-CO"/>
        </w:rPr>
        <w:t>LEY DE GARANTÍAS ELECTORALES – Posibilidad de prorrogar – modificar – adicionar – ceder los contratos estatales o convenios interadministrativos</w:t>
      </w:r>
    </w:p>
    <w:p w14:paraId="49E02731" w14:textId="77777777" w:rsidR="008E2DE7" w:rsidRPr="001B0B2F" w:rsidRDefault="008E2DE7" w:rsidP="007E3C0E">
      <w:pPr>
        <w:spacing w:after="0" w:line="240" w:lineRule="auto"/>
        <w:jc w:val="both"/>
        <w:rPr>
          <w:rFonts w:ascii="Verdana" w:eastAsia="Calibri" w:hAnsi="Verdana" w:cs="Arial"/>
          <w:sz w:val="20"/>
          <w:szCs w:val="20"/>
          <w:lang w:eastAsia="es-ES"/>
        </w:rPr>
      </w:pPr>
    </w:p>
    <w:p w14:paraId="3E90F8AF" w14:textId="77777777" w:rsidR="001B0B2F" w:rsidRPr="001B0B2F" w:rsidRDefault="001B0B2F" w:rsidP="001B0B2F">
      <w:pPr>
        <w:spacing w:after="0" w:line="240" w:lineRule="auto"/>
        <w:jc w:val="both"/>
        <w:rPr>
          <w:rFonts w:ascii="Verdana" w:eastAsia="Calibri" w:hAnsi="Verdana" w:cs="Arial"/>
          <w:sz w:val="20"/>
          <w:szCs w:val="20"/>
          <w:lang w:eastAsia="es-ES"/>
        </w:rPr>
      </w:pPr>
      <w:r w:rsidRPr="001B0B2F">
        <w:rPr>
          <w:rFonts w:ascii="Verdana" w:eastAsia="Calibri" w:hAnsi="Verdana" w:cs="Arial"/>
          <w:sz w:val="20"/>
          <w:szCs w:val="20"/>
          <w:lang w:eastAsia="es-ES"/>
        </w:rPr>
        <w:t xml:space="preserve">[…] respecto de los requisitos de perfeccionamiento,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Por otra parte, los requisitos legales de ejecución son: i) la aprobación de las garantías exigidas en el contrato, </w:t>
      </w:r>
      <w:proofErr w:type="spellStart"/>
      <w:r w:rsidRPr="001B0B2F">
        <w:rPr>
          <w:rFonts w:ascii="Verdana" w:eastAsia="Calibri" w:hAnsi="Verdana" w:cs="Arial"/>
          <w:sz w:val="20"/>
          <w:szCs w:val="20"/>
          <w:lang w:eastAsia="es-ES"/>
        </w:rPr>
        <w:t>ii</w:t>
      </w:r>
      <w:proofErr w:type="spellEnd"/>
      <w:r w:rsidRPr="001B0B2F">
        <w:rPr>
          <w:rFonts w:ascii="Verdana" w:eastAsia="Calibri" w:hAnsi="Verdana" w:cs="Arial"/>
          <w:sz w:val="20"/>
          <w:szCs w:val="20"/>
          <w:lang w:eastAsia="es-ES"/>
        </w:rPr>
        <w:t xml:space="preserve">) la existencia de la apropiación presupuestal correspondiente y </w:t>
      </w:r>
      <w:proofErr w:type="spellStart"/>
      <w:r w:rsidRPr="001B0B2F">
        <w:rPr>
          <w:rFonts w:ascii="Verdana" w:eastAsia="Calibri" w:hAnsi="Verdana" w:cs="Arial"/>
          <w:sz w:val="20"/>
          <w:szCs w:val="20"/>
          <w:lang w:eastAsia="es-ES"/>
        </w:rPr>
        <w:t>iii</w:t>
      </w:r>
      <w:proofErr w:type="spellEnd"/>
      <w:r w:rsidRPr="001B0B2F">
        <w:rPr>
          <w:rFonts w:ascii="Verdana" w:eastAsia="Calibri" w:hAnsi="Verdana" w:cs="Arial"/>
          <w:sz w:val="20"/>
          <w:szCs w:val="20"/>
          <w:lang w:eastAsia="es-ES"/>
        </w:rPr>
        <w:t>) la acreditación del cumplimiento de las obligaciones con el Sistema de Seguridad Social Integral.</w:t>
      </w:r>
    </w:p>
    <w:p w14:paraId="3A76843F" w14:textId="77777777" w:rsidR="001B0B2F" w:rsidRDefault="001B0B2F" w:rsidP="001B0B2F">
      <w:pPr>
        <w:spacing w:after="0" w:line="240" w:lineRule="auto"/>
        <w:jc w:val="both"/>
        <w:rPr>
          <w:rFonts w:ascii="Verdana" w:eastAsia="Calibri" w:hAnsi="Verdana" w:cs="Arial"/>
          <w:sz w:val="20"/>
          <w:szCs w:val="20"/>
          <w:lang w:eastAsia="es-ES"/>
        </w:rPr>
      </w:pPr>
    </w:p>
    <w:p w14:paraId="3F229982" w14:textId="0D3B63F6" w:rsidR="001B0B2F" w:rsidRPr="001B0B2F" w:rsidRDefault="001B0B2F" w:rsidP="001B0B2F">
      <w:pPr>
        <w:spacing w:after="0" w:line="240" w:lineRule="auto"/>
        <w:jc w:val="both"/>
        <w:rPr>
          <w:rFonts w:ascii="Verdana" w:eastAsia="Calibri" w:hAnsi="Verdana" w:cs="Arial"/>
          <w:sz w:val="20"/>
          <w:szCs w:val="20"/>
          <w:lang w:val="es-ES" w:eastAsia="es-ES"/>
        </w:rPr>
      </w:pPr>
      <w:r w:rsidRPr="001B0B2F">
        <w:rPr>
          <w:rFonts w:ascii="Verdana" w:eastAsia="Calibri" w:hAnsi="Verdana" w:cs="Arial"/>
          <w:sz w:val="20"/>
          <w:szCs w:val="20"/>
          <w:lang w:eastAsia="es-ES"/>
        </w:rPr>
        <w:t xml:space="preserve">En este contexto y según lo establecido en el artículo 33 y el parágrafo del artículo 38 de la Ley 996 de 2005, la prohibición consiste en la celebración (entendido como la </w:t>
      </w:r>
      <w:r w:rsidRPr="001B0B2F">
        <w:rPr>
          <w:rFonts w:ascii="Verdana" w:eastAsia="Calibri" w:hAnsi="Verdana" w:cs="Arial"/>
          <w:sz w:val="20"/>
          <w:szCs w:val="20"/>
          <w:lang w:eastAsia="es-ES"/>
        </w:rPr>
        <w:lastRenderedPageBreak/>
        <w:t xml:space="preserve">suscripción) de un contrato a través de la contratación directa o de convenios interadministrativos, pero no existe impedimento legal alguno que limite la suscripción de las prórrogas, modificaciones, adiciones y cesiones del contrato o convenio ya celebrado.    </w:t>
      </w:r>
    </w:p>
    <w:p w14:paraId="067F7D48" w14:textId="77777777" w:rsidR="008E2DE7" w:rsidRDefault="008E2DE7" w:rsidP="007E3C0E">
      <w:pPr>
        <w:spacing w:after="0" w:line="240" w:lineRule="auto"/>
        <w:jc w:val="both"/>
        <w:rPr>
          <w:rFonts w:ascii="Verdana" w:eastAsia="Calibri" w:hAnsi="Verdana" w:cs="Arial"/>
          <w:lang w:eastAsia="es-ES"/>
        </w:rPr>
      </w:pPr>
    </w:p>
    <w:p w14:paraId="2423D2B8" w14:textId="77777777" w:rsidR="001B0B2F" w:rsidRDefault="001B0B2F" w:rsidP="007E3C0E">
      <w:pPr>
        <w:spacing w:after="0" w:line="240" w:lineRule="auto"/>
        <w:jc w:val="both"/>
        <w:rPr>
          <w:rFonts w:ascii="Verdana" w:eastAsia="Calibri" w:hAnsi="Verdana" w:cs="Arial"/>
          <w:lang w:eastAsia="es-ES"/>
        </w:rPr>
      </w:pPr>
    </w:p>
    <w:p w14:paraId="749B9C33" w14:textId="77777777" w:rsidR="001B0B2F" w:rsidRDefault="001B0B2F" w:rsidP="007E3C0E">
      <w:pPr>
        <w:spacing w:after="0" w:line="240" w:lineRule="auto"/>
        <w:jc w:val="both"/>
        <w:rPr>
          <w:rFonts w:ascii="Verdana" w:eastAsia="Calibri" w:hAnsi="Verdana" w:cs="Arial"/>
          <w:lang w:eastAsia="es-ES"/>
        </w:rPr>
      </w:pPr>
    </w:p>
    <w:p w14:paraId="52661534" w14:textId="77777777" w:rsidR="001B0B2F" w:rsidRDefault="001B0B2F" w:rsidP="007E3C0E">
      <w:pPr>
        <w:spacing w:after="0" w:line="240" w:lineRule="auto"/>
        <w:jc w:val="both"/>
        <w:rPr>
          <w:rFonts w:ascii="Verdana" w:eastAsia="Calibri" w:hAnsi="Verdana" w:cs="Arial"/>
          <w:lang w:eastAsia="es-ES"/>
        </w:rPr>
      </w:pPr>
    </w:p>
    <w:p w14:paraId="3C8E09C5" w14:textId="77777777" w:rsidR="001B0B2F" w:rsidRDefault="001B0B2F" w:rsidP="007E3C0E">
      <w:pPr>
        <w:spacing w:after="0" w:line="240" w:lineRule="auto"/>
        <w:jc w:val="both"/>
        <w:rPr>
          <w:rFonts w:ascii="Verdana" w:eastAsia="Calibri" w:hAnsi="Verdana" w:cs="Arial"/>
          <w:lang w:eastAsia="es-ES"/>
        </w:rPr>
      </w:pPr>
    </w:p>
    <w:p w14:paraId="6282DE6D" w14:textId="77777777" w:rsidR="001B0B2F" w:rsidRDefault="001B0B2F" w:rsidP="007E3C0E">
      <w:pPr>
        <w:spacing w:after="0" w:line="240" w:lineRule="auto"/>
        <w:jc w:val="both"/>
        <w:rPr>
          <w:rFonts w:ascii="Verdana" w:eastAsia="Calibri" w:hAnsi="Verdana" w:cs="Arial"/>
          <w:lang w:eastAsia="es-ES"/>
        </w:rPr>
      </w:pPr>
    </w:p>
    <w:p w14:paraId="64FB7CF7" w14:textId="77777777" w:rsidR="001B0B2F" w:rsidRDefault="001B0B2F" w:rsidP="007E3C0E">
      <w:pPr>
        <w:spacing w:after="0" w:line="240" w:lineRule="auto"/>
        <w:jc w:val="both"/>
        <w:rPr>
          <w:rFonts w:ascii="Verdana" w:eastAsia="Calibri" w:hAnsi="Verdana" w:cs="Arial"/>
          <w:lang w:eastAsia="es-ES"/>
        </w:rPr>
      </w:pPr>
    </w:p>
    <w:p w14:paraId="5F558670" w14:textId="77777777" w:rsidR="001B0B2F" w:rsidRDefault="001B0B2F" w:rsidP="007E3C0E">
      <w:pPr>
        <w:spacing w:after="0" w:line="240" w:lineRule="auto"/>
        <w:jc w:val="both"/>
        <w:rPr>
          <w:rFonts w:ascii="Verdana" w:eastAsia="Calibri" w:hAnsi="Verdana" w:cs="Arial"/>
          <w:lang w:eastAsia="es-ES"/>
        </w:rPr>
      </w:pPr>
    </w:p>
    <w:p w14:paraId="535E38B4" w14:textId="77777777" w:rsidR="001B0B2F" w:rsidRDefault="001B0B2F" w:rsidP="007E3C0E">
      <w:pPr>
        <w:spacing w:after="0" w:line="240" w:lineRule="auto"/>
        <w:jc w:val="both"/>
        <w:rPr>
          <w:rFonts w:ascii="Verdana" w:eastAsia="Calibri" w:hAnsi="Verdana" w:cs="Arial"/>
          <w:lang w:eastAsia="es-ES"/>
        </w:rPr>
      </w:pPr>
    </w:p>
    <w:p w14:paraId="31FCDC65" w14:textId="77777777" w:rsidR="001B0B2F" w:rsidRDefault="001B0B2F" w:rsidP="007E3C0E">
      <w:pPr>
        <w:spacing w:after="0" w:line="240" w:lineRule="auto"/>
        <w:jc w:val="both"/>
        <w:rPr>
          <w:rFonts w:ascii="Verdana" w:eastAsia="Calibri" w:hAnsi="Verdana" w:cs="Arial"/>
          <w:lang w:eastAsia="es-ES"/>
        </w:rPr>
      </w:pPr>
    </w:p>
    <w:p w14:paraId="2BD1104A" w14:textId="77777777" w:rsidR="001B0B2F" w:rsidRDefault="001B0B2F" w:rsidP="007E3C0E">
      <w:pPr>
        <w:spacing w:after="0" w:line="240" w:lineRule="auto"/>
        <w:jc w:val="both"/>
        <w:rPr>
          <w:rFonts w:ascii="Verdana" w:eastAsia="Calibri" w:hAnsi="Verdana" w:cs="Arial"/>
          <w:lang w:eastAsia="es-ES"/>
        </w:rPr>
      </w:pPr>
    </w:p>
    <w:p w14:paraId="2E2BA501" w14:textId="77777777" w:rsidR="001B0B2F" w:rsidRDefault="001B0B2F" w:rsidP="007E3C0E">
      <w:pPr>
        <w:spacing w:after="0" w:line="240" w:lineRule="auto"/>
        <w:jc w:val="both"/>
        <w:rPr>
          <w:rFonts w:ascii="Verdana" w:eastAsia="Calibri" w:hAnsi="Verdana" w:cs="Arial"/>
          <w:lang w:eastAsia="es-ES"/>
        </w:rPr>
      </w:pPr>
    </w:p>
    <w:p w14:paraId="6F173E41" w14:textId="77777777" w:rsidR="001B0B2F" w:rsidRDefault="001B0B2F" w:rsidP="007E3C0E">
      <w:pPr>
        <w:spacing w:after="0" w:line="240" w:lineRule="auto"/>
        <w:jc w:val="both"/>
        <w:rPr>
          <w:rFonts w:ascii="Verdana" w:eastAsia="Calibri" w:hAnsi="Verdana" w:cs="Arial"/>
          <w:lang w:eastAsia="es-ES"/>
        </w:rPr>
      </w:pPr>
    </w:p>
    <w:p w14:paraId="71C5713F" w14:textId="77777777" w:rsidR="001B0B2F" w:rsidRDefault="001B0B2F" w:rsidP="007E3C0E">
      <w:pPr>
        <w:spacing w:after="0" w:line="240" w:lineRule="auto"/>
        <w:jc w:val="both"/>
        <w:rPr>
          <w:rFonts w:ascii="Verdana" w:eastAsia="Calibri" w:hAnsi="Verdana" w:cs="Arial"/>
          <w:lang w:eastAsia="es-ES"/>
        </w:rPr>
      </w:pPr>
    </w:p>
    <w:p w14:paraId="2B930B02" w14:textId="77777777" w:rsidR="001B0B2F" w:rsidRDefault="001B0B2F" w:rsidP="007E3C0E">
      <w:pPr>
        <w:spacing w:after="0" w:line="240" w:lineRule="auto"/>
        <w:jc w:val="both"/>
        <w:rPr>
          <w:rFonts w:ascii="Verdana" w:eastAsia="Calibri" w:hAnsi="Verdana" w:cs="Arial"/>
          <w:lang w:eastAsia="es-ES"/>
        </w:rPr>
      </w:pPr>
    </w:p>
    <w:p w14:paraId="5990C658" w14:textId="77777777" w:rsidR="001B0B2F" w:rsidRDefault="001B0B2F" w:rsidP="007E3C0E">
      <w:pPr>
        <w:spacing w:after="0" w:line="240" w:lineRule="auto"/>
        <w:jc w:val="both"/>
        <w:rPr>
          <w:rFonts w:ascii="Verdana" w:eastAsia="Calibri" w:hAnsi="Verdana" w:cs="Arial"/>
          <w:lang w:eastAsia="es-ES"/>
        </w:rPr>
      </w:pPr>
    </w:p>
    <w:p w14:paraId="400CEF28" w14:textId="77777777" w:rsidR="001B0B2F" w:rsidRDefault="001B0B2F" w:rsidP="007E3C0E">
      <w:pPr>
        <w:spacing w:after="0" w:line="240" w:lineRule="auto"/>
        <w:jc w:val="both"/>
        <w:rPr>
          <w:rFonts w:ascii="Verdana" w:eastAsia="Calibri" w:hAnsi="Verdana" w:cs="Arial"/>
          <w:lang w:eastAsia="es-ES"/>
        </w:rPr>
      </w:pPr>
    </w:p>
    <w:p w14:paraId="63145EE6" w14:textId="77777777" w:rsidR="001B0B2F" w:rsidRDefault="001B0B2F" w:rsidP="007E3C0E">
      <w:pPr>
        <w:spacing w:after="0" w:line="240" w:lineRule="auto"/>
        <w:jc w:val="both"/>
        <w:rPr>
          <w:rFonts w:ascii="Verdana" w:eastAsia="Calibri" w:hAnsi="Verdana" w:cs="Arial"/>
          <w:lang w:eastAsia="es-ES"/>
        </w:rPr>
      </w:pPr>
    </w:p>
    <w:p w14:paraId="7BC3E0AC" w14:textId="77777777" w:rsidR="001B0B2F" w:rsidRDefault="001B0B2F" w:rsidP="007E3C0E">
      <w:pPr>
        <w:spacing w:after="0" w:line="240" w:lineRule="auto"/>
        <w:jc w:val="both"/>
        <w:rPr>
          <w:rFonts w:ascii="Verdana" w:eastAsia="Calibri" w:hAnsi="Verdana" w:cs="Arial"/>
          <w:lang w:eastAsia="es-ES"/>
        </w:rPr>
      </w:pPr>
    </w:p>
    <w:p w14:paraId="23FF91EC" w14:textId="77777777" w:rsidR="001B0B2F" w:rsidRDefault="001B0B2F" w:rsidP="007E3C0E">
      <w:pPr>
        <w:spacing w:after="0" w:line="240" w:lineRule="auto"/>
        <w:jc w:val="both"/>
        <w:rPr>
          <w:rFonts w:ascii="Verdana" w:eastAsia="Calibri" w:hAnsi="Verdana" w:cs="Arial"/>
          <w:lang w:eastAsia="es-ES"/>
        </w:rPr>
      </w:pPr>
    </w:p>
    <w:p w14:paraId="43B4D684" w14:textId="77777777" w:rsidR="001B0B2F" w:rsidRDefault="001B0B2F" w:rsidP="007E3C0E">
      <w:pPr>
        <w:spacing w:after="0" w:line="240" w:lineRule="auto"/>
        <w:jc w:val="both"/>
        <w:rPr>
          <w:rFonts w:ascii="Verdana" w:eastAsia="Calibri" w:hAnsi="Verdana" w:cs="Arial"/>
          <w:lang w:eastAsia="es-ES"/>
        </w:rPr>
      </w:pPr>
    </w:p>
    <w:p w14:paraId="21EBABAC" w14:textId="77777777" w:rsidR="001B0B2F" w:rsidRDefault="001B0B2F" w:rsidP="007E3C0E">
      <w:pPr>
        <w:spacing w:after="0" w:line="240" w:lineRule="auto"/>
        <w:jc w:val="both"/>
        <w:rPr>
          <w:rFonts w:ascii="Verdana" w:eastAsia="Calibri" w:hAnsi="Verdana" w:cs="Arial"/>
          <w:lang w:eastAsia="es-ES"/>
        </w:rPr>
      </w:pPr>
    </w:p>
    <w:p w14:paraId="645570EC" w14:textId="77777777" w:rsidR="001B0B2F" w:rsidRDefault="001B0B2F" w:rsidP="007E3C0E">
      <w:pPr>
        <w:spacing w:after="0" w:line="240" w:lineRule="auto"/>
        <w:jc w:val="both"/>
        <w:rPr>
          <w:rFonts w:ascii="Verdana" w:eastAsia="Calibri" w:hAnsi="Verdana" w:cs="Arial"/>
          <w:lang w:eastAsia="es-ES"/>
        </w:rPr>
      </w:pPr>
    </w:p>
    <w:p w14:paraId="1224FB15" w14:textId="77777777" w:rsidR="001B0B2F" w:rsidRDefault="001B0B2F" w:rsidP="007E3C0E">
      <w:pPr>
        <w:spacing w:after="0" w:line="240" w:lineRule="auto"/>
        <w:jc w:val="both"/>
        <w:rPr>
          <w:rFonts w:ascii="Verdana" w:eastAsia="Calibri" w:hAnsi="Verdana" w:cs="Arial"/>
          <w:lang w:eastAsia="es-ES"/>
        </w:rPr>
      </w:pPr>
    </w:p>
    <w:p w14:paraId="1B01E9C0" w14:textId="77777777" w:rsidR="001B0B2F" w:rsidRDefault="001B0B2F" w:rsidP="007E3C0E">
      <w:pPr>
        <w:spacing w:after="0" w:line="240" w:lineRule="auto"/>
        <w:jc w:val="both"/>
        <w:rPr>
          <w:rFonts w:ascii="Verdana" w:eastAsia="Calibri" w:hAnsi="Verdana" w:cs="Arial"/>
          <w:lang w:eastAsia="es-ES"/>
        </w:rPr>
      </w:pPr>
    </w:p>
    <w:p w14:paraId="18B22570" w14:textId="77777777" w:rsidR="001B0B2F" w:rsidRDefault="001B0B2F" w:rsidP="007E3C0E">
      <w:pPr>
        <w:spacing w:after="0" w:line="240" w:lineRule="auto"/>
        <w:jc w:val="both"/>
        <w:rPr>
          <w:rFonts w:ascii="Verdana" w:eastAsia="Calibri" w:hAnsi="Verdana" w:cs="Arial"/>
          <w:lang w:eastAsia="es-ES"/>
        </w:rPr>
      </w:pPr>
    </w:p>
    <w:p w14:paraId="5D2FAA16" w14:textId="77777777" w:rsidR="001B0B2F" w:rsidRDefault="001B0B2F" w:rsidP="007E3C0E">
      <w:pPr>
        <w:spacing w:after="0" w:line="240" w:lineRule="auto"/>
        <w:jc w:val="both"/>
        <w:rPr>
          <w:rFonts w:ascii="Verdana" w:eastAsia="Calibri" w:hAnsi="Verdana" w:cs="Arial"/>
          <w:lang w:eastAsia="es-ES"/>
        </w:rPr>
      </w:pPr>
    </w:p>
    <w:p w14:paraId="09C0E229" w14:textId="77777777" w:rsidR="001B0B2F" w:rsidRDefault="001B0B2F" w:rsidP="007E3C0E">
      <w:pPr>
        <w:spacing w:after="0" w:line="240" w:lineRule="auto"/>
        <w:jc w:val="both"/>
        <w:rPr>
          <w:rFonts w:ascii="Verdana" w:eastAsia="Calibri" w:hAnsi="Verdana" w:cs="Arial"/>
          <w:lang w:eastAsia="es-ES"/>
        </w:rPr>
      </w:pPr>
    </w:p>
    <w:p w14:paraId="6D42F62B" w14:textId="77777777" w:rsidR="001B0B2F" w:rsidRDefault="001B0B2F" w:rsidP="007E3C0E">
      <w:pPr>
        <w:spacing w:after="0" w:line="240" w:lineRule="auto"/>
        <w:jc w:val="both"/>
        <w:rPr>
          <w:rFonts w:ascii="Verdana" w:eastAsia="Calibri" w:hAnsi="Verdana" w:cs="Arial"/>
          <w:lang w:eastAsia="es-ES"/>
        </w:rPr>
      </w:pPr>
    </w:p>
    <w:p w14:paraId="15AF94C9" w14:textId="77777777" w:rsidR="001B0B2F" w:rsidRDefault="001B0B2F" w:rsidP="007E3C0E">
      <w:pPr>
        <w:spacing w:after="0" w:line="240" w:lineRule="auto"/>
        <w:jc w:val="both"/>
        <w:rPr>
          <w:rFonts w:ascii="Verdana" w:eastAsia="Calibri" w:hAnsi="Verdana" w:cs="Arial"/>
          <w:lang w:eastAsia="es-ES"/>
        </w:rPr>
      </w:pPr>
    </w:p>
    <w:p w14:paraId="6ACAD758" w14:textId="77777777" w:rsidR="001B0B2F" w:rsidRDefault="001B0B2F" w:rsidP="007E3C0E">
      <w:pPr>
        <w:spacing w:after="0" w:line="240" w:lineRule="auto"/>
        <w:jc w:val="both"/>
        <w:rPr>
          <w:rFonts w:ascii="Verdana" w:eastAsia="Calibri" w:hAnsi="Verdana" w:cs="Arial"/>
          <w:lang w:eastAsia="es-ES"/>
        </w:rPr>
      </w:pPr>
    </w:p>
    <w:p w14:paraId="59DA06F9" w14:textId="77777777" w:rsidR="001B0B2F" w:rsidRDefault="001B0B2F" w:rsidP="007E3C0E">
      <w:pPr>
        <w:spacing w:after="0" w:line="240" w:lineRule="auto"/>
        <w:jc w:val="both"/>
        <w:rPr>
          <w:rFonts w:ascii="Verdana" w:eastAsia="Calibri" w:hAnsi="Verdana" w:cs="Arial"/>
          <w:lang w:eastAsia="es-ES"/>
        </w:rPr>
      </w:pPr>
    </w:p>
    <w:p w14:paraId="6E913D19" w14:textId="77777777" w:rsidR="001B0B2F" w:rsidRDefault="001B0B2F" w:rsidP="007E3C0E">
      <w:pPr>
        <w:spacing w:after="0" w:line="240" w:lineRule="auto"/>
        <w:jc w:val="both"/>
        <w:rPr>
          <w:rFonts w:ascii="Verdana" w:eastAsia="Calibri" w:hAnsi="Verdana" w:cs="Arial"/>
          <w:lang w:eastAsia="es-ES"/>
        </w:rPr>
      </w:pPr>
    </w:p>
    <w:p w14:paraId="75043F07" w14:textId="77777777" w:rsidR="001B0B2F" w:rsidRDefault="001B0B2F" w:rsidP="007E3C0E">
      <w:pPr>
        <w:spacing w:after="0" w:line="240" w:lineRule="auto"/>
        <w:jc w:val="both"/>
        <w:rPr>
          <w:rFonts w:ascii="Verdana" w:eastAsia="Calibri" w:hAnsi="Verdana" w:cs="Arial"/>
          <w:lang w:eastAsia="es-ES"/>
        </w:rPr>
      </w:pPr>
    </w:p>
    <w:p w14:paraId="08E16457" w14:textId="77777777" w:rsidR="001B0B2F" w:rsidRDefault="001B0B2F" w:rsidP="007E3C0E">
      <w:pPr>
        <w:spacing w:after="0" w:line="240" w:lineRule="auto"/>
        <w:jc w:val="both"/>
        <w:rPr>
          <w:rFonts w:ascii="Verdana" w:eastAsia="Calibri" w:hAnsi="Verdana" w:cs="Arial"/>
          <w:lang w:eastAsia="es-ES"/>
        </w:rPr>
      </w:pPr>
    </w:p>
    <w:p w14:paraId="43E6A5E9" w14:textId="77777777" w:rsidR="001B0B2F" w:rsidRDefault="001B0B2F" w:rsidP="007E3C0E">
      <w:pPr>
        <w:spacing w:after="0" w:line="240" w:lineRule="auto"/>
        <w:jc w:val="both"/>
        <w:rPr>
          <w:rFonts w:ascii="Verdana" w:eastAsia="Calibri" w:hAnsi="Verdana" w:cs="Arial"/>
          <w:lang w:eastAsia="es-ES"/>
        </w:rPr>
      </w:pPr>
    </w:p>
    <w:p w14:paraId="42E2BC0F" w14:textId="77777777" w:rsidR="001B0B2F" w:rsidRDefault="001B0B2F" w:rsidP="007E3C0E">
      <w:pPr>
        <w:spacing w:after="0" w:line="240" w:lineRule="auto"/>
        <w:jc w:val="both"/>
        <w:rPr>
          <w:rFonts w:ascii="Verdana" w:eastAsia="Calibri" w:hAnsi="Verdana" w:cs="Arial"/>
          <w:lang w:eastAsia="es-ES"/>
        </w:rPr>
      </w:pPr>
    </w:p>
    <w:p w14:paraId="57D133F0" w14:textId="77777777" w:rsidR="001B0B2F" w:rsidRDefault="001B0B2F" w:rsidP="007E3C0E">
      <w:pPr>
        <w:spacing w:after="0" w:line="240" w:lineRule="auto"/>
        <w:jc w:val="both"/>
        <w:rPr>
          <w:rFonts w:ascii="Verdana" w:eastAsia="Calibri" w:hAnsi="Verdana" w:cs="Arial"/>
          <w:lang w:eastAsia="es-ES"/>
        </w:rPr>
      </w:pPr>
    </w:p>
    <w:p w14:paraId="2B20E46D" w14:textId="0277ABAC" w:rsidR="00E84275" w:rsidRPr="007E27D9" w:rsidRDefault="00E84275" w:rsidP="007E3C0E">
      <w:pPr>
        <w:spacing w:after="0" w:line="240" w:lineRule="auto"/>
        <w:jc w:val="both"/>
        <w:rPr>
          <w:rFonts w:ascii="Verdana" w:eastAsia="Calibri" w:hAnsi="Verdana" w:cs="Arial"/>
          <w:lang w:eastAsia="es-ES"/>
        </w:rPr>
      </w:pPr>
      <w:r w:rsidRPr="007E27D9">
        <w:rPr>
          <w:rFonts w:ascii="Verdana" w:eastAsia="Calibri" w:hAnsi="Verdana" w:cs="Arial"/>
          <w:lang w:eastAsia="es-ES"/>
        </w:rPr>
        <w:lastRenderedPageBreak/>
        <w:t xml:space="preserve">Bogotá D.C., 29 de diciembre de 2025. </w:t>
      </w:r>
    </w:p>
    <w:p w14:paraId="731C6643" w14:textId="79951201" w:rsidR="00E84275" w:rsidRDefault="00E84275" w:rsidP="007E3C0E">
      <w:pPr>
        <w:spacing w:after="0" w:line="240" w:lineRule="auto"/>
        <w:jc w:val="both"/>
        <w:rPr>
          <w:rFonts w:ascii="Verdana" w:eastAsia="Calibri" w:hAnsi="Verdana" w:cs="Arial"/>
          <w:lang w:eastAsia="es-ES"/>
        </w:rPr>
      </w:pPr>
    </w:p>
    <w:p w14:paraId="271B422C" w14:textId="0F930327" w:rsidR="008E2DE7" w:rsidRPr="007E27D9" w:rsidRDefault="008E2DE7" w:rsidP="008E2DE7">
      <w:pPr>
        <w:spacing w:after="0" w:line="240" w:lineRule="auto"/>
        <w:jc w:val="right"/>
        <w:rPr>
          <w:rFonts w:ascii="Verdana" w:eastAsia="Calibri" w:hAnsi="Verdana" w:cs="Arial"/>
          <w:lang w:eastAsia="es-ES"/>
        </w:rPr>
      </w:pPr>
      <w:r w:rsidRPr="008E2DE7">
        <w:rPr>
          <w:rFonts w:ascii="Verdana" w:eastAsia="Calibri" w:hAnsi="Verdana" w:cs="Arial"/>
          <w:noProof/>
          <w:lang w:eastAsia="es-ES"/>
        </w:rPr>
        <w:drawing>
          <wp:inline distT="0" distB="0" distL="0" distR="0" wp14:anchorId="15ECABF0" wp14:editId="5841FF0C">
            <wp:extent cx="2500132" cy="712247"/>
            <wp:effectExtent l="0" t="0" r="0" b="0"/>
            <wp:docPr id="4528951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895102" name=""/>
                    <pic:cNvPicPr/>
                  </pic:nvPicPr>
                  <pic:blipFill>
                    <a:blip r:embed="rId10"/>
                    <a:stretch>
                      <a:fillRect/>
                    </a:stretch>
                  </pic:blipFill>
                  <pic:spPr>
                    <a:xfrm>
                      <a:off x="0" y="0"/>
                      <a:ext cx="2510131" cy="715096"/>
                    </a:xfrm>
                    <a:prstGeom prst="rect">
                      <a:avLst/>
                    </a:prstGeom>
                  </pic:spPr>
                </pic:pic>
              </a:graphicData>
            </a:graphic>
          </wp:inline>
        </w:drawing>
      </w:r>
    </w:p>
    <w:p w14:paraId="66E0B49C" w14:textId="77777777" w:rsidR="005E5983" w:rsidRPr="007E27D9" w:rsidRDefault="005E5983" w:rsidP="007E3C0E">
      <w:pPr>
        <w:spacing w:after="0" w:line="240" w:lineRule="auto"/>
        <w:jc w:val="both"/>
        <w:rPr>
          <w:rFonts w:ascii="Verdana" w:eastAsia="Calibri" w:hAnsi="Verdana" w:cs="Arial"/>
          <w:lang w:eastAsia="es-ES"/>
        </w:rPr>
      </w:pPr>
    </w:p>
    <w:p w14:paraId="051D3D08" w14:textId="5B2EBD4C" w:rsidR="007E3C0E" w:rsidRPr="007E3C0E" w:rsidRDefault="007E3C0E" w:rsidP="007E3C0E">
      <w:pPr>
        <w:spacing w:after="0" w:line="240" w:lineRule="auto"/>
        <w:jc w:val="both"/>
        <w:rPr>
          <w:rFonts w:ascii="Verdana" w:eastAsia="Calibri" w:hAnsi="Verdana" w:cs="Arial"/>
          <w:lang w:val="en-US" w:eastAsia="es-ES"/>
        </w:rPr>
      </w:pPr>
      <w:proofErr w:type="spellStart"/>
      <w:r w:rsidRPr="007E3C0E">
        <w:rPr>
          <w:rFonts w:ascii="Verdana" w:eastAsia="Calibri" w:hAnsi="Verdana" w:cs="Arial"/>
          <w:lang w:val="en-US" w:eastAsia="es-ES"/>
        </w:rPr>
        <w:t>Señor</w:t>
      </w:r>
      <w:proofErr w:type="spellEnd"/>
    </w:p>
    <w:p w14:paraId="4DBB063D" w14:textId="77777777" w:rsidR="007E3C0E" w:rsidRPr="00594153" w:rsidRDefault="007E3C0E" w:rsidP="007E3C0E">
      <w:pPr>
        <w:spacing w:after="0" w:line="240" w:lineRule="auto"/>
        <w:jc w:val="both"/>
        <w:rPr>
          <w:rFonts w:ascii="Verdana" w:eastAsia="Calibri" w:hAnsi="Verdana" w:cs="Arial"/>
          <w:b/>
          <w:bCs/>
          <w:lang w:val="en-US" w:eastAsia="es-ES"/>
        </w:rPr>
      </w:pPr>
      <w:r w:rsidRPr="00594153">
        <w:rPr>
          <w:rFonts w:ascii="Verdana" w:eastAsia="Calibri" w:hAnsi="Verdana" w:cs="Arial"/>
          <w:b/>
          <w:bCs/>
          <w:lang w:val="en-US" w:eastAsia="es-ES"/>
        </w:rPr>
        <w:t xml:space="preserve">John </w:t>
      </w:r>
      <w:proofErr w:type="spellStart"/>
      <w:r w:rsidRPr="00594153">
        <w:rPr>
          <w:rFonts w:ascii="Verdana" w:eastAsia="Calibri" w:hAnsi="Verdana" w:cs="Arial"/>
          <w:b/>
          <w:bCs/>
          <w:lang w:val="en-US" w:eastAsia="es-ES"/>
        </w:rPr>
        <w:t>John</w:t>
      </w:r>
      <w:proofErr w:type="spellEnd"/>
      <w:r w:rsidRPr="00594153">
        <w:rPr>
          <w:rFonts w:ascii="Verdana" w:eastAsia="Calibri" w:hAnsi="Verdana" w:cs="Arial"/>
          <w:b/>
          <w:bCs/>
          <w:lang w:val="en-US" w:eastAsia="es-ES"/>
        </w:rPr>
        <w:t xml:space="preserve"> Alexander</w:t>
      </w:r>
      <w:r>
        <w:rPr>
          <w:rFonts w:ascii="Verdana" w:eastAsia="Calibri" w:hAnsi="Verdana" w:cs="Arial"/>
          <w:b/>
          <w:bCs/>
          <w:lang w:val="en-US" w:eastAsia="es-ES"/>
        </w:rPr>
        <w:t xml:space="preserve"> </w:t>
      </w:r>
      <w:r w:rsidRPr="00594153">
        <w:rPr>
          <w:rFonts w:ascii="Verdana" w:eastAsia="Calibri" w:hAnsi="Verdana" w:cs="Arial"/>
          <w:b/>
          <w:bCs/>
          <w:lang w:val="en-US" w:eastAsia="es-ES"/>
        </w:rPr>
        <w:t>Carvajal Mart</w:t>
      </w:r>
      <w:r>
        <w:rPr>
          <w:rFonts w:ascii="Verdana" w:eastAsia="Calibri" w:hAnsi="Verdana" w:cs="Arial"/>
          <w:b/>
          <w:bCs/>
          <w:lang w:val="en-US" w:eastAsia="es-ES"/>
        </w:rPr>
        <w:t>í</w:t>
      </w:r>
      <w:r w:rsidRPr="00594153">
        <w:rPr>
          <w:rFonts w:ascii="Verdana" w:eastAsia="Calibri" w:hAnsi="Verdana" w:cs="Arial"/>
          <w:b/>
          <w:bCs/>
          <w:lang w:val="en-US" w:eastAsia="es-ES"/>
        </w:rPr>
        <w:t>nez</w:t>
      </w:r>
    </w:p>
    <w:p w14:paraId="1AEB440E" w14:textId="77777777" w:rsidR="007E3C0E" w:rsidRPr="00724A60" w:rsidRDefault="007E3C0E" w:rsidP="007E3C0E">
      <w:pPr>
        <w:spacing w:after="0" w:line="240" w:lineRule="auto"/>
        <w:jc w:val="both"/>
        <w:rPr>
          <w:rFonts w:ascii="Verdana" w:hAnsi="Verdana"/>
          <w:b/>
          <w:bCs/>
          <w:lang w:val="en-US"/>
        </w:rPr>
      </w:pPr>
      <w:hyperlink r:id="rId11" w:history="1">
        <w:r w:rsidRPr="00724A60">
          <w:rPr>
            <w:rStyle w:val="Hipervnculo"/>
            <w:rFonts w:ascii="Verdana" w:hAnsi="Verdana"/>
            <w:b/>
            <w:bCs/>
            <w:lang w:val="en-US"/>
          </w:rPr>
          <w:t>jacmabogado@jacmabogado.com</w:t>
        </w:r>
      </w:hyperlink>
    </w:p>
    <w:p w14:paraId="4E9E8428" w14:textId="77777777" w:rsidR="007E3C0E" w:rsidRPr="00724A60" w:rsidRDefault="007E3C0E" w:rsidP="007E3C0E">
      <w:pPr>
        <w:spacing w:after="0" w:line="240" w:lineRule="auto"/>
        <w:jc w:val="both"/>
        <w:rPr>
          <w:rFonts w:ascii="Verdana" w:hAnsi="Verdana"/>
          <w:b/>
          <w:bCs/>
          <w:lang w:val="en-US"/>
        </w:rPr>
      </w:pPr>
      <w:hyperlink r:id="rId12" w:history="1">
        <w:r w:rsidRPr="00724A60">
          <w:rPr>
            <w:rStyle w:val="Hipervnculo"/>
            <w:rFonts w:ascii="Verdana" w:hAnsi="Verdana"/>
            <w:b/>
            <w:bCs/>
            <w:lang w:val="en-US"/>
          </w:rPr>
          <w:t>eva@funcionpublica.gov.co</w:t>
        </w:r>
      </w:hyperlink>
    </w:p>
    <w:p w14:paraId="61245521" w14:textId="190F37E1" w:rsidR="002827F8" w:rsidRPr="007E3C0E" w:rsidRDefault="007E3C0E" w:rsidP="007E3C0E">
      <w:pPr>
        <w:spacing w:after="0" w:line="240" w:lineRule="auto"/>
        <w:jc w:val="both"/>
        <w:rPr>
          <w:rFonts w:ascii="Verdana" w:hAnsi="Verdana"/>
          <w:lang w:val="en-US"/>
        </w:rPr>
      </w:pPr>
      <w:r w:rsidRPr="007E3C0E">
        <w:rPr>
          <w:rFonts w:ascii="Verdana" w:hAnsi="Verdana"/>
          <w:lang w:val="en-US"/>
        </w:rPr>
        <w:t>Tunja – Boyacá</w:t>
      </w:r>
    </w:p>
    <w:p w14:paraId="7DD5A8AF" w14:textId="77777777" w:rsidR="007E3C0E" w:rsidRPr="007E3C0E" w:rsidRDefault="007E3C0E" w:rsidP="007E3C0E">
      <w:pPr>
        <w:spacing w:after="0" w:line="240" w:lineRule="auto"/>
        <w:jc w:val="both"/>
        <w:rPr>
          <w:rFonts w:ascii="Verdana" w:hAnsi="Verdana"/>
          <w:lang w:val="en-US"/>
        </w:rPr>
      </w:pPr>
    </w:p>
    <w:p w14:paraId="08B54826" w14:textId="77777777" w:rsidR="007E3C0E" w:rsidRPr="007E3C0E" w:rsidRDefault="007E3C0E" w:rsidP="007E3C0E">
      <w:pPr>
        <w:spacing w:after="0" w:line="240" w:lineRule="auto"/>
        <w:jc w:val="both"/>
        <w:rPr>
          <w:rFonts w:ascii="Verdana" w:eastAsia="Calibri" w:hAnsi="Verdana" w:cs="Arial"/>
          <w:b/>
          <w:bCs/>
          <w:color w:val="000000"/>
          <w:lang w:val="en-U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E3C0E" w:rsidRPr="005644FE" w14:paraId="218D9588" w14:textId="77777777" w:rsidTr="00F34076">
        <w:trPr>
          <w:trHeight w:val="162"/>
        </w:trPr>
        <w:tc>
          <w:tcPr>
            <w:tcW w:w="3119" w:type="dxa"/>
          </w:tcPr>
          <w:p w14:paraId="2D9D95F9" w14:textId="77777777" w:rsidR="007E3C0E" w:rsidRPr="007E3C0E" w:rsidRDefault="007E3C0E" w:rsidP="00F34076">
            <w:pPr>
              <w:jc w:val="both"/>
              <w:rPr>
                <w:rFonts w:ascii="Verdana" w:eastAsia="Calibri" w:hAnsi="Verdana" w:cs="Arial"/>
                <w:b/>
                <w:bCs/>
                <w:color w:val="7030A0"/>
                <w:lang w:val="en-US" w:eastAsia="es-ES_tradnl"/>
              </w:rPr>
            </w:pPr>
          </w:p>
        </w:tc>
        <w:tc>
          <w:tcPr>
            <w:tcW w:w="5670" w:type="dxa"/>
          </w:tcPr>
          <w:p w14:paraId="118F45D4" w14:textId="77777777" w:rsidR="007E3C0E" w:rsidRPr="005644FE" w:rsidRDefault="007E3C0E" w:rsidP="00F34076">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1741 d</w:t>
            </w:r>
            <w:r w:rsidRPr="00205473">
              <w:rPr>
                <w:rFonts w:ascii="Verdana" w:eastAsia="Calibri" w:hAnsi="Verdana" w:cs="Arial"/>
                <w:b/>
                <w:bCs/>
                <w:lang w:eastAsia="es-ES"/>
              </w:rPr>
              <w:t>e 2025</w:t>
            </w:r>
          </w:p>
          <w:p w14:paraId="40769DB9" w14:textId="77777777" w:rsidR="007E3C0E" w:rsidRPr="005644FE" w:rsidRDefault="007E3C0E" w:rsidP="00F34076">
            <w:pPr>
              <w:jc w:val="both"/>
              <w:rPr>
                <w:rFonts w:ascii="Verdana" w:eastAsia="Calibri" w:hAnsi="Verdana" w:cs="Arial"/>
                <w:b/>
                <w:bCs/>
                <w:color w:val="7030A0"/>
                <w:lang w:eastAsia="es-ES"/>
              </w:rPr>
            </w:pPr>
          </w:p>
        </w:tc>
      </w:tr>
      <w:tr w:rsidR="007E3C0E" w:rsidRPr="005644FE" w14:paraId="65905764" w14:textId="77777777" w:rsidTr="00F34076">
        <w:trPr>
          <w:trHeight w:val="884"/>
        </w:trPr>
        <w:tc>
          <w:tcPr>
            <w:tcW w:w="3119" w:type="dxa"/>
          </w:tcPr>
          <w:p w14:paraId="4FAE3548" w14:textId="77777777" w:rsidR="007E3C0E" w:rsidRPr="005644FE" w:rsidRDefault="007E3C0E" w:rsidP="00F34076">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693EF1CE" w14:textId="4BF476DD" w:rsidR="007E3C0E" w:rsidRDefault="007E3C0E" w:rsidP="00F34076">
            <w:pPr>
              <w:spacing w:after="255"/>
              <w:contextualSpacing/>
              <w:jc w:val="both"/>
              <w:rPr>
                <w:rFonts w:ascii="Verdana" w:hAnsi="Verdana" w:cs="Arial"/>
                <w:color w:val="000000" w:themeColor="text1"/>
              </w:rPr>
            </w:pPr>
            <w:r>
              <w:rPr>
                <w:rFonts w:ascii="Verdana" w:eastAsia="Calibri" w:hAnsi="Verdana" w:cs="Arial"/>
                <w:bCs/>
                <w:lang w:val="es-MX" w:eastAsia="es-MX"/>
              </w:rPr>
              <w:t xml:space="preserve">LEY DE GARANTÍAS ELECTORALES – Objetivo / LEY DE GARANTÍAS ELECTORALES – Prohibiciones / </w:t>
            </w:r>
            <w:r>
              <w:rPr>
                <w:rFonts w:ascii="Verdana" w:eastAsia="Calibri" w:hAnsi="Verdana" w:cs="Arial"/>
                <w:bCs/>
                <w:lang w:val="es-MX"/>
              </w:rPr>
              <w:t xml:space="preserve">LEY DE GARANTÍAS ELECTORALES ─ Prohibición artículo 33 ‒ Contratación directa ‒ Alcance </w:t>
            </w:r>
            <w:r>
              <w:rPr>
                <w:rFonts w:ascii="Verdana" w:eastAsia="Times New Roman" w:hAnsi="Verdana" w:cs="Arial"/>
                <w:bCs/>
                <w:lang w:eastAsia="es-CO"/>
              </w:rPr>
              <w:t xml:space="preserve">/ </w:t>
            </w:r>
            <w:r>
              <w:rPr>
                <w:rFonts w:ascii="Verdana" w:eastAsia="Calibri" w:hAnsi="Verdana" w:cs="Arial"/>
                <w:bCs/>
                <w:lang w:val="es-MX"/>
              </w:rPr>
              <w:t>LEY DE GARANTÍAS ELECTORALES ─ Prohibición artículo 33 ‒ Contratación directa ‒ Destinatarios</w:t>
            </w:r>
            <w:r>
              <w:rPr>
                <w:rFonts w:ascii="Verdana" w:eastAsia="Times New Roman" w:hAnsi="Verdana" w:cs="Arial"/>
                <w:bCs/>
                <w:lang w:val="es-MX" w:eastAsia="es-CO"/>
              </w:rPr>
              <w:t xml:space="preserve"> </w:t>
            </w:r>
            <w:r>
              <w:rPr>
                <w:rFonts w:ascii="Verdana" w:eastAsia="Times New Roman" w:hAnsi="Verdana" w:cs="Arial"/>
                <w:bCs/>
                <w:lang w:eastAsia="es-CO"/>
              </w:rPr>
              <w:t xml:space="preserve">/ LEY DE GARANTÍAS ELECTORALES ‒ Excepciones / </w:t>
            </w:r>
            <w:r>
              <w:rPr>
                <w:rFonts w:ascii="Verdana" w:eastAsia="Calibri" w:hAnsi="Verdana" w:cs="Arial"/>
                <w:color w:val="000000" w:themeColor="text1"/>
                <w:lang w:val="es-ES_tradnl" w:eastAsia="es-ES_tradnl"/>
              </w:rPr>
              <w:t xml:space="preserve"> </w:t>
            </w:r>
            <w:r>
              <w:rPr>
                <w:rFonts w:ascii="Verdana" w:hAnsi="Verdana" w:cs="Arial"/>
                <w:color w:val="000000" w:themeColor="text1"/>
              </w:rPr>
              <w:t xml:space="preserve">LEY DE GARANTÍAS ELECTORALES - Parágrafo del artículo 38 – Prohibición – Convenios y contratos interadministrativos / LEY DE GARANTÍAS ELECTORALES – Contratos y convenios interadministrativos / </w:t>
            </w:r>
            <w:r>
              <w:rPr>
                <w:rFonts w:ascii="Verdana" w:eastAsia="Times New Roman" w:hAnsi="Verdana" w:cs="Arial"/>
                <w:bCs/>
                <w:lang w:eastAsia="es-CO"/>
              </w:rPr>
              <w:t xml:space="preserve">LEY DE GARANTÍAS ELECTORALES – Posibilidad de prorrogar – </w:t>
            </w:r>
            <w:r w:rsidR="008309DF">
              <w:rPr>
                <w:rFonts w:ascii="Verdana" w:eastAsia="Times New Roman" w:hAnsi="Verdana" w:cs="Arial"/>
                <w:bCs/>
                <w:lang w:eastAsia="es-CO"/>
              </w:rPr>
              <w:t>M</w:t>
            </w:r>
            <w:r>
              <w:rPr>
                <w:rFonts w:ascii="Verdana" w:eastAsia="Times New Roman" w:hAnsi="Verdana" w:cs="Arial"/>
                <w:bCs/>
                <w:lang w:eastAsia="es-CO"/>
              </w:rPr>
              <w:t xml:space="preserve">odificar – </w:t>
            </w:r>
            <w:r w:rsidR="008309DF">
              <w:rPr>
                <w:rFonts w:ascii="Verdana" w:eastAsia="Times New Roman" w:hAnsi="Verdana" w:cs="Arial"/>
                <w:bCs/>
                <w:lang w:eastAsia="es-CO"/>
              </w:rPr>
              <w:t>A</w:t>
            </w:r>
            <w:r>
              <w:rPr>
                <w:rFonts w:ascii="Verdana" w:eastAsia="Times New Roman" w:hAnsi="Verdana" w:cs="Arial"/>
                <w:bCs/>
                <w:lang w:eastAsia="es-CO"/>
              </w:rPr>
              <w:t xml:space="preserve">dicionar – </w:t>
            </w:r>
            <w:r w:rsidR="008309DF">
              <w:rPr>
                <w:rFonts w:ascii="Verdana" w:eastAsia="Times New Roman" w:hAnsi="Verdana" w:cs="Arial"/>
                <w:bCs/>
                <w:lang w:eastAsia="es-CO"/>
              </w:rPr>
              <w:t>C</w:t>
            </w:r>
            <w:r>
              <w:rPr>
                <w:rFonts w:ascii="Verdana" w:eastAsia="Times New Roman" w:hAnsi="Verdana" w:cs="Arial"/>
                <w:bCs/>
                <w:lang w:eastAsia="es-CO"/>
              </w:rPr>
              <w:t>eder los contratos estatales o convenios interadministrativos</w:t>
            </w:r>
          </w:p>
          <w:p w14:paraId="2ECF6632" w14:textId="77777777" w:rsidR="007E3C0E" w:rsidRPr="008D7C3C" w:rsidRDefault="007E3C0E" w:rsidP="00F34076">
            <w:pPr>
              <w:spacing w:line="276" w:lineRule="auto"/>
              <w:jc w:val="both"/>
              <w:rPr>
                <w:rFonts w:ascii="Verdana" w:eastAsia="Calibri" w:hAnsi="Verdana" w:cs="Arial"/>
                <w:b/>
                <w:highlight w:val="yellow"/>
                <w:lang w:val="es-ES" w:eastAsia="es-ES"/>
              </w:rPr>
            </w:pPr>
            <w:r>
              <w:rPr>
                <w:rFonts w:ascii="Verdana" w:hAnsi="Verdana" w:cs="Arial"/>
                <w:color w:val="000000" w:themeColor="text1"/>
              </w:rPr>
              <w:t xml:space="preserve">   </w:t>
            </w:r>
            <w:r>
              <w:rPr>
                <w:rFonts w:ascii="Verdana" w:eastAsia="Calibri" w:hAnsi="Verdana" w:cs="Arial"/>
                <w:color w:val="000000" w:themeColor="text1"/>
                <w:lang w:val="es-ES_tradnl" w:eastAsia="es-ES_tradnl"/>
              </w:rPr>
              <w:t xml:space="preserve">  </w:t>
            </w:r>
          </w:p>
        </w:tc>
      </w:tr>
      <w:tr w:rsidR="007E3C0E" w:rsidRPr="005644FE" w14:paraId="3D61EA3B" w14:textId="77777777" w:rsidTr="00F34076">
        <w:tc>
          <w:tcPr>
            <w:tcW w:w="3119" w:type="dxa"/>
          </w:tcPr>
          <w:p w14:paraId="6D757F40" w14:textId="77777777" w:rsidR="007E3C0E" w:rsidRPr="005644FE" w:rsidRDefault="007E3C0E" w:rsidP="00F34076">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4F9FB7FB" w14:textId="77777777" w:rsidR="007E3C0E" w:rsidRPr="00F04657" w:rsidRDefault="007E3C0E" w:rsidP="00F34076">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594153">
              <w:rPr>
                <w:rFonts w:ascii="Verdana" w:eastAsia="Calibri" w:hAnsi="Verdana" w:cs="Arial"/>
                <w:lang w:eastAsia="es-ES_tradnl"/>
              </w:rPr>
              <w:t>1_2025_11_25_013269</w:t>
            </w:r>
          </w:p>
        </w:tc>
      </w:tr>
    </w:tbl>
    <w:p w14:paraId="7063AF4C" w14:textId="77777777" w:rsidR="007E3C0E" w:rsidRPr="005644FE" w:rsidRDefault="007E3C0E" w:rsidP="007E3C0E">
      <w:pPr>
        <w:spacing w:after="0" w:line="276" w:lineRule="auto"/>
        <w:jc w:val="both"/>
        <w:rPr>
          <w:rFonts w:ascii="Verdana" w:eastAsia="Calibri" w:hAnsi="Verdana" w:cs="Arial"/>
          <w:lang w:eastAsia="es-ES_tradnl"/>
        </w:rPr>
      </w:pPr>
    </w:p>
    <w:p w14:paraId="3B48FCF5" w14:textId="77777777" w:rsidR="007E3C0E" w:rsidRPr="005644FE" w:rsidRDefault="007E3C0E" w:rsidP="007E3C0E">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a entidad</w:t>
      </w:r>
      <w:r w:rsidRPr="005644FE">
        <w:rPr>
          <w:rFonts w:ascii="Verdana" w:eastAsia="Calibri" w:hAnsi="Verdana" w:cs="Arial"/>
          <w:lang w:eastAsia="es-ES"/>
        </w:rPr>
        <w:t>:</w:t>
      </w:r>
    </w:p>
    <w:p w14:paraId="7A1D10B4" w14:textId="77777777" w:rsidR="007E3C0E" w:rsidRPr="00E02524" w:rsidRDefault="007E3C0E" w:rsidP="007E3C0E">
      <w:pPr>
        <w:spacing w:after="0"/>
        <w:jc w:val="both"/>
        <w:rPr>
          <w:rFonts w:ascii="Verdana" w:hAnsi="Verdana"/>
          <w:lang w:val="es-MX"/>
        </w:rPr>
      </w:pPr>
    </w:p>
    <w:p w14:paraId="4816B117" w14:textId="77777777" w:rsidR="007E3C0E" w:rsidRDefault="007E3C0E" w:rsidP="007E3C0E">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 xml:space="preserve">así como lo establecido en el artículo </w:t>
      </w:r>
      <w:r w:rsidRPr="005644FE">
        <w:rPr>
          <w:rFonts w:ascii="Verdana" w:hAnsi="Verdana" w:cs="Arial"/>
        </w:rPr>
        <w:lastRenderedPageBreak/>
        <w:t>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responde su</w:t>
      </w:r>
      <w:r>
        <w:rPr>
          <w:rFonts w:ascii="Verdana" w:eastAsia="Calibri" w:hAnsi="Verdana" w:cs="Arial"/>
          <w:lang w:eastAsia="es-ES"/>
        </w:rPr>
        <w:t>s</w:t>
      </w:r>
      <w:r w:rsidRPr="005644FE">
        <w:rPr>
          <w:rFonts w:ascii="Verdana" w:eastAsia="Calibri" w:hAnsi="Verdana" w:cs="Arial"/>
          <w:lang w:eastAsia="es-ES"/>
        </w:rPr>
        <w:t xml:space="preserve"> solicitud</w:t>
      </w:r>
      <w:r>
        <w:rPr>
          <w:rFonts w:ascii="Verdana" w:eastAsia="Calibri" w:hAnsi="Verdana" w:cs="Arial"/>
          <w:lang w:eastAsia="es-ES"/>
        </w:rPr>
        <w:t>es</w:t>
      </w:r>
      <w:r w:rsidRPr="005644FE">
        <w:rPr>
          <w:rFonts w:ascii="Verdana" w:eastAsia="Calibri" w:hAnsi="Verdana" w:cs="Arial"/>
          <w:lang w:eastAsia="es-ES"/>
        </w:rPr>
        <w:t xml:space="preserve"> de consulta de fecha </w:t>
      </w:r>
      <w:r>
        <w:rPr>
          <w:rFonts w:ascii="Verdana" w:eastAsia="Calibri" w:hAnsi="Verdana" w:cs="Arial"/>
          <w:lang w:eastAsia="es-ES"/>
        </w:rPr>
        <w:t>25 de noviembre</w:t>
      </w:r>
      <w:r w:rsidRPr="005644FE">
        <w:rPr>
          <w:rFonts w:ascii="Verdana" w:eastAsia="Calibri" w:hAnsi="Verdana" w:cs="Arial"/>
          <w:lang w:eastAsia="es-ES"/>
        </w:rPr>
        <w:t xml:space="preserve"> de 2025</w:t>
      </w:r>
      <w:r>
        <w:rPr>
          <w:rFonts w:ascii="Verdana" w:eastAsia="Calibri" w:hAnsi="Verdana" w:cs="Arial"/>
          <w:lang w:eastAsia="es-ES"/>
        </w:rPr>
        <w:t xml:space="preserve">, previo traslado por parte del Departamento Administrativo de la Función Pública a través del radicado </w:t>
      </w:r>
      <w:r w:rsidRPr="00594153">
        <w:rPr>
          <w:rFonts w:ascii="Verdana" w:eastAsia="Calibri" w:hAnsi="Verdana" w:cs="Arial"/>
          <w:lang w:eastAsia="es-ES"/>
        </w:rPr>
        <w:t>20256000555361</w:t>
      </w:r>
      <w:r>
        <w:rPr>
          <w:rFonts w:ascii="Verdana" w:eastAsia="Calibri" w:hAnsi="Verdana" w:cs="Arial"/>
          <w:lang w:eastAsia="es-ES"/>
        </w:rPr>
        <w:t xml:space="preserve"> del 18 de noviembre de 2025,</w:t>
      </w:r>
      <w:r w:rsidRPr="005644FE">
        <w:rPr>
          <w:rFonts w:ascii="Verdana" w:eastAsia="Calibri" w:hAnsi="Verdana" w:cs="Arial"/>
          <w:lang w:eastAsia="es-ES"/>
        </w:rPr>
        <w:t xml:space="preserve"> en la cual manifiesta lo siguiente:</w:t>
      </w:r>
    </w:p>
    <w:p w14:paraId="2994A82F" w14:textId="77777777" w:rsidR="007E3C0E" w:rsidRDefault="007E3C0E" w:rsidP="007E3C0E">
      <w:pPr>
        <w:spacing w:after="0"/>
        <w:jc w:val="both"/>
        <w:rPr>
          <w:rFonts w:ascii="Verdana" w:hAnsi="Verdana"/>
        </w:rPr>
      </w:pPr>
      <w:r w:rsidRPr="00E02524">
        <w:rPr>
          <w:rFonts w:ascii="Verdana" w:hAnsi="Verdana"/>
        </w:rPr>
        <w:t xml:space="preserve">PETICIÓN REALIZADA </w:t>
      </w:r>
    </w:p>
    <w:p w14:paraId="4704CAF8" w14:textId="77777777" w:rsidR="007E3C0E" w:rsidRPr="008E5B36" w:rsidRDefault="007E3C0E" w:rsidP="007E3C0E">
      <w:pPr>
        <w:spacing w:after="0" w:line="240" w:lineRule="auto"/>
        <w:jc w:val="both"/>
        <w:rPr>
          <w:rFonts w:ascii="Verdana" w:hAnsi="Verdana"/>
        </w:rPr>
      </w:pPr>
    </w:p>
    <w:p w14:paraId="1DEB7944" w14:textId="77777777" w:rsidR="007E3C0E" w:rsidRDefault="007E3C0E" w:rsidP="007E3C0E">
      <w:pPr>
        <w:spacing w:after="0" w:line="240" w:lineRule="auto"/>
        <w:ind w:left="567" w:right="758"/>
        <w:jc w:val="both"/>
        <w:rPr>
          <w:rFonts w:ascii="Verdana" w:hAnsi="Verdana"/>
          <w:sz w:val="20"/>
          <w:szCs w:val="20"/>
        </w:rPr>
      </w:pPr>
      <w:r w:rsidRPr="00FC1BE4">
        <w:rPr>
          <w:rFonts w:ascii="Verdana" w:hAnsi="Verdana"/>
          <w:sz w:val="20"/>
          <w:szCs w:val="20"/>
        </w:rPr>
        <w:t xml:space="preserve">“(…) </w:t>
      </w:r>
      <w:r w:rsidRPr="00594153">
        <w:rPr>
          <w:rFonts w:ascii="Verdana" w:hAnsi="Verdana"/>
          <w:sz w:val="20"/>
          <w:szCs w:val="20"/>
        </w:rPr>
        <w:t xml:space="preserve">Una Empresa Social del Estado (ESE) suscribió en el mes de septiembre de 2025 un contrato de consultoría cuyo objeto es la reorganización o reestructuración de la planta de personal del hospital. La vigencia del contrato culmina el 15 de diciembre de 2025. </w:t>
      </w:r>
    </w:p>
    <w:p w14:paraId="6D97F221" w14:textId="77777777" w:rsidR="007E3C0E" w:rsidRDefault="007E3C0E" w:rsidP="007E3C0E">
      <w:pPr>
        <w:spacing w:after="0" w:line="240" w:lineRule="auto"/>
        <w:ind w:left="567" w:right="758"/>
        <w:jc w:val="both"/>
        <w:rPr>
          <w:rFonts w:ascii="Verdana" w:hAnsi="Verdana"/>
          <w:sz w:val="20"/>
          <w:szCs w:val="20"/>
        </w:rPr>
      </w:pPr>
    </w:p>
    <w:p w14:paraId="7930C050" w14:textId="77777777" w:rsidR="007E3C0E" w:rsidRDefault="007E3C0E" w:rsidP="007E3C0E">
      <w:pPr>
        <w:spacing w:after="0" w:line="240" w:lineRule="auto"/>
        <w:ind w:left="567" w:right="758"/>
        <w:jc w:val="both"/>
        <w:rPr>
          <w:rFonts w:ascii="Verdana" w:hAnsi="Verdana"/>
          <w:sz w:val="20"/>
          <w:szCs w:val="20"/>
        </w:rPr>
      </w:pPr>
      <w:r w:rsidRPr="00594153">
        <w:rPr>
          <w:rFonts w:ascii="Verdana" w:hAnsi="Verdana"/>
          <w:sz w:val="20"/>
          <w:szCs w:val="20"/>
        </w:rPr>
        <w:t>De acuerdo con el calendario electoral, la Ley de Garantías Electorales entra a regir el 8 de noviembre de 2025, cuatro meses antes de las elecciones a cargos de elección popular</w:t>
      </w:r>
      <w:r>
        <w:rPr>
          <w:rFonts w:ascii="Verdana" w:hAnsi="Verdana"/>
          <w:sz w:val="20"/>
          <w:szCs w:val="20"/>
        </w:rPr>
        <w:t>.</w:t>
      </w:r>
    </w:p>
    <w:p w14:paraId="5E4EC5A8" w14:textId="77777777" w:rsidR="007E3C0E" w:rsidRDefault="007E3C0E" w:rsidP="007E3C0E">
      <w:pPr>
        <w:spacing w:after="0" w:line="240" w:lineRule="auto"/>
        <w:ind w:left="567" w:right="758"/>
        <w:jc w:val="both"/>
        <w:rPr>
          <w:rFonts w:ascii="Verdana" w:hAnsi="Verdana"/>
          <w:sz w:val="20"/>
          <w:szCs w:val="20"/>
        </w:rPr>
      </w:pPr>
    </w:p>
    <w:p w14:paraId="0F019CF8" w14:textId="77777777" w:rsidR="007E3C0E" w:rsidRDefault="007E3C0E" w:rsidP="007E3C0E">
      <w:pPr>
        <w:spacing w:after="0" w:line="240" w:lineRule="auto"/>
        <w:ind w:left="567" w:right="758"/>
        <w:jc w:val="both"/>
        <w:rPr>
          <w:rFonts w:ascii="Verdana" w:hAnsi="Verdana"/>
          <w:sz w:val="20"/>
          <w:szCs w:val="20"/>
        </w:rPr>
      </w:pPr>
      <w:r w:rsidRPr="00594153">
        <w:rPr>
          <w:rFonts w:ascii="Verdana" w:hAnsi="Verdana"/>
          <w:sz w:val="20"/>
          <w:szCs w:val="20"/>
        </w:rPr>
        <w:t>El artículo 38 de dicha ley dispone en su inciso final que:</w:t>
      </w:r>
    </w:p>
    <w:p w14:paraId="4BEF8EE4" w14:textId="77777777" w:rsidR="007E3C0E" w:rsidRDefault="007E3C0E" w:rsidP="007E3C0E">
      <w:pPr>
        <w:spacing w:after="0" w:line="240" w:lineRule="auto"/>
        <w:ind w:left="567" w:right="758"/>
        <w:jc w:val="both"/>
        <w:rPr>
          <w:rFonts w:ascii="Verdana" w:hAnsi="Verdana"/>
          <w:sz w:val="20"/>
          <w:szCs w:val="20"/>
        </w:rPr>
      </w:pPr>
    </w:p>
    <w:p w14:paraId="40498E87" w14:textId="77777777" w:rsidR="007E3C0E" w:rsidRDefault="007E3C0E" w:rsidP="007E3C0E">
      <w:pPr>
        <w:spacing w:after="0" w:line="240" w:lineRule="auto"/>
        <w:ind w:left="567" w:right="758"/>
        <w:jc w:val="both"/>
        <w:rPr>
          <w:rFonts w:ascii="Verdana" w:hAnsi="Verdana"/>
          <w:sz w:val="20"/>
          <w:szCs w:val="20"/>
        </w:rPr>
      </w:pPr>
      <w:r w:rsidRPr="00594153">
        <w:rPr>
          <w:rFonts w:ascii="Verdana" w:hAnsi="Verdana"/>
          <w:sz w:val="20"/>
          <w:szCs w:val="20"/>
        </w:rPr>
        <w:t>La nómina del respectivo ente territorial o entidad no se podrá modificar dentro de los cuatro (4) meses anteriores a las elecciones a cargos de elección popular y hasta la realización de las elecciones, salvo que se trate de la provisión de cargos por faltas definitivas con ocasión de muerte, renuncia irrevocable del cargo correspondiente debidamente aceptada y en los casos de la aplicación de las normas de carrera administrativa.</w:t>
      </w:r>
    </w:p>
    <w:p w14:paraId="60EDB8BE" w14:textId="77777777" w:rsidR="007E3C0E" w:rsidRDefault="007E3C0E" w:rsidP="007E3C0E">
      <w:pPr>
        <w:spacing w:after="0" w:line="240" w:lineRule="auto"/>
        <w:ind w:left="567" w:right="758"/>
        <w:jc w:val="both"/>
        <w:rPr>
          <w:rFonts w:ascii="Verdana" w:hAnsi="Verdana"/>
          <w:sz w:val="20"/>
          <w:szCs w:val="20"/>
        </w:rPr>
      </w:pPr>
    </w:p>
    <w:p w14:paraId="1AD539DA" w14:textId="77777777" w:rsidR="007E3C0E" w:rsidRDefault="007E3C0E" w:rsidP="007E3C0E">
      <w:pPr>
        <w:spacing w:after="0" w:line="240" w:lineRule="auto"/>
        <w:ind w:left="567" w:right="758"/>
        <w:jc w:val="both"/>
        <w:rPr>
          <w:rFonts w:ascii="Verdana" w:hAnsi="Verdana"/>
          <w:sz w:val="20"/>
          <w:szCs w:val="20"/>
        </w:rPr>
      </w:pPr>
      <w:r w:rsidRPr="00594153">
        <w:rPr>
          <w:rFonts w:ascii="Verdana" w:hAnsi="Verdana"/>
          <w:sz w:val="20"/>
          <w:szCs w:val="20"/>
        </w:rPr>
        <w:t>En la cartilla sobre Ley de Garantías Electorales elaborada por la Misión de Observación Electoral (MOE), en la página 10, se señala entre las restricciones que:</w:t>
      </w:r>
    </w:p>
    <w:p w14:paraId="01191819" w14:textId="77777777" w:rsidR="007E3C0E" w:rsidRDefault="007E3C0E" w:rsidP="007E3C0E">
      <w:pPr>
        <w:spacing w:after="0" w:line="240" w:lineRule="auto"/>
        <w:ind w:left="567" w:right="758"/>
        <w:jc w:val="both"/>
        <w:rPr>
          <w:rFonts w:ascii="Verdana" w:hAnsi="Verdana"/>
          <w:sz w:val="20"/>
          <w:szCs w:val="20"/>
        </w:rPr>
      </w:pPr>
    </w:p>
    <w:p w14:paraId="3ABE1787" w14:textId="77777777" w:rsidR="007E3C0E" w:rsidRDefault="007E3C0E" w:rsidP="007E3C0E">
      <w:pPr>
        <w:spacing w:after="0" w:line="240" w:lineRule="auto"/>
        <w:ind w:left="567" w:right="758"/>
        <w:jc w:val="both"/>
        <w:rPr>
          <w:rFonts w:ascii="Verdana" w:hAnsi="Verdana"/>
          <w:sz w:val="20"/>
          <w:szCs w:val="20"/>
        </w:rPr>
      </w:pPr>
      <w:r w:rsidRPr="00594153">
        <w:rPr>
          <w:rFonts w:ascii="Verdana" w:hAnsi="Verdana"/>
          <w:sz w:val="20"/>
          <w:szCs w:val="20"/>
        </w:rPr>
        <w:t xml:space="preserve">No se podrán realizar modificaciones sobre la nómina de las entidades durante los cuatro meses anteriores a las elecciones legislativas y hasta las elecciones presidenciales, salvo por lo relacionado con las siguientes excepciones </w:t>
      </w:r>
      <w:proofErr w:type="gramStart"/>
      <w:r w:rsidRPr="00594153">
        <w:rPr>
          <w:rFonts w:ascii="Verdana" w:hAnsi="Verdana"/>
          <w:sz w:val="20"/>
          <w:szCs w:val="20"/>
        </w:rPr>
        <w:t>( )</w:t>
      </w:r>
      <w:proofErr w:type="gramEnd"/>
      <w:r w:rsidRPr="00594153">
        <w:rPr>
          <w:rFonts w:ascii="Verdana" w:hAnsi="Verdana"/>
          <w:sz w:val="20"/>
          <w:szCs w:val="20"/>
        </w:rPr>
        <w:t>, incluyendo las que deban realizar las entidades sanitarias y hospitalarias, fundadas en el artículo 38 de la Ley 996 de 2005.</w:t>
      </w:r>
    </w:p>
    <w:p w14:paraId="29996279" w14:textId="77777777" w:rsidR="007E3C0E" w:rsidRDefault="007E3C0E" w:rsidP="007E3C0E">
      <w:pPr>
        <w:spacing w:after="0" w:line="240" w:lineRule="auto"/>
        <w:ind w:left="567" w:right="758"/>
        <w:jc w:val="both"/>
        <w:rPr>
          <w:rFonts w:ascii="Verdana" w:hAnsi="Verdana"/>
          <w:sz w:val="20"/>
          <w:szCs w:val="20"/>
        </w:rPr>
      </w:pPr>
    </w:p>
    <w:p w14:paraId="7C638562" w14:textId="77777777" w:rsidR="007E3C0E" w:rsidRDefault="007E3C0E" w:rsidP="007E3C0E">
      <w:pPr>
        <w:spacing w:after="0" w:line="240" w:lineRule="auto"/>
        <w:ind w:left="567" w:right="758"/>
        <w:jc w:val="both"/>
        <w:rPr>
          <w:rFonts w:ascii="Verdana" w:hAnsi="Verdana"/>
          <w:sz w:val="20"/>
          <w:szCs w:val="20"/>
        </w:rPr>
      </w:pPr>
      <w:r w:rsidRPr="00594153">
        <w:rPr>
          <w:rFonts w:ascii="Verdana" w:hAnsi="Verdana"/>
          <w:sz w:val="20"/>
          <w:szCs w:val="20"/>
        </w:rPr>
        <w:t>Asimismo, en la página oficial del Departamento Administrativo de la Función Pública, en el espacio de preguntas frecuentes y conceptos sobre la aplicación de la Ley de Garantías, se ha indicado que:</w:t>
      </w:r>
    </w:p>
    <w:p w14:paraId="1101011B" w14:textId="77777777" w:rsidR="007E3C0E" w:rsidRDefault="007E3C0E" w:rsidP="007E3C0E">
      <w:pPr>
        <w:spacing w:after="0" w:line="240" w:lineRule="auto"/>
        <w:ind w:left="567" w:right="758"/>
        <w:jc w:val="both"/>
        <w:rPr>
          <w:rFonts w:ascii="Verdana" w:hAnsi="Verdana"/>
          <w:sz w:val="20"/>
          <w:szCs w:val="20"/>
        </w:rPr>
      </w:pPr>
    </w:p>
    <w:p w14:paraId="2BA9505A" w14:textId="0FC25449" w:rsidR="007E3C0E" w:rsidRDefault="007E3C0E" w:rsidP="001B0B2F">
      <w:pPr>
        <w:spacing w:after="0" w:line="240" w:lineRule="auto"/>
        <w:ind w:left="567" w:right="758"/>
        <w:jc w:val="both"/>
        <w:rPr>
          <w:rFonts w:ascii="Verdana" w:hAnsi="Verdana"/>
          <w:sz w:val="20"/>
          <w:szCs w:val="20"/>
        </w:rPr>
      </w:pPr>
      <w:r w:rsidRPr="00594153">
        <w:rPr>
          <w:rFonts w:ascii="Verdana" w:hAnsi="Verdana"/>
          <w:sz w:val="20"/>
          <w:szCs w:val="20"/>
        </w:rPr>
        <w:t>A las Empresas Sociales del Estado no les aplica la Ley de Garantías Electorales por su objeto social</w:t>
      </w:r>
      <w:r>
        <w:rPr>
          <w:rFonts w:ascii="Verdana" w:hAnsi="Verdana"/>
          <w:sz w:val="20"/>
          <w:szCs w:val="20"/>
        </w:rPr>
        <w:t>.</w:t>
      </w:r>
    </w:p>
    <w:p w14:paraId="4604CC0D" w14:textId="60B21A56" w:rsidR="007E3C0E" w:rsidRDefault="007E3C0E" w:rsidP="007E3C0E">
      <w:pPr>
        <w:spacing w:after="0" w:line="240" w:lineRule="auto"/>
        <w:ind w:left="567" w:right="758"/>
        <w:jc w:val="both"/>
        <w:rPr>
          <w:rFonts w:ascii="Verdana" w:hAnsi="Verdana"/>
          <w:sz w:val="20"/>
          <w:szCs w:val="20"/>
        </w:rPr>
      </w:pPr>
      <w:r w:rsidRPr="00594153">
        <w:rPr>
          <w:rFonts w:ascii="Verdana" w:hAnsi="Verdana"/>
          <w:sz w:val="20"/>
          <w:szCs w:val="20"/>
        </w:rPr>
        <w:lastRenderedPageBreak/>
        <w:t>Teniendo en cuenta las normas y referencias citadas, así como la necesidad del hospital de cumplir con los reportes de empleos ante la Comisión Nacional del Servicio Civil (CNSC) para los procesos de mérito, se presenta duda sobre el alcance de la restricción establecida en el artículo 38 de la Ley 996 de 2005, concretamente en lo siguiente:</w:t>
      </w:r>
    </w:p>
    <w:p w14:paraId="4114DA7A" w14:textId="77777777" w:rsidR="007E3C0E" w:rsidRDefault="007E3C0E" w:rsidP="007E3C0E">
      <w:pPr>
        <w:spacing w:after="0" w:line="240" w:lineRule="auto"/>
        <w:ind w:left="567" w:right="758"/>
        <w:jc w:val="both"/>
        <w:rPr>
          <w:rFonts w:ascii="Verdana" w:hAnsi="Verdana"/>
          <w:sz w:val="20"/>
          <w:szCs w:val="20"/>
        </w:rPr>
      </w:pPr>
    </w:p>
    <w:p w14:paraId="580E464C" w14:textId="77777777" w:rsidR="007E3C0E" w:rsidRPr="00594153" w:rsidRDefault="007E3C0E" w:rsidP="007E3C0E">
      <w:pPr>
        <w:spacing w:after="0" w:line="240" w:lineRule="auto"/>
        <w:ind w:left="567" w:right="758"/>
        <w:jc w:val="both"/>
        <w:rPr>
          <w:rFonts w:ascii="Verdana" w:hAnsi="Verdana"/>
          <w:sz w:val="20"/>
          <w:szCs w:val="20"/>
        </w:rPr>
      </w:pPr>
      <w:r w:rsidRPr="00594153">
        <w:rPr>
          <w:rFonts w:ascii="Verdana" w:hAnsi="Verdana"/>
          <w:sz w:val="20"/>
          <w:szCs w:val="20"/>
        </w:rPr>
        <w:t>¿El resultado del contrato de consultoría suscrito en septiembre de 2025, cuyo objeto es la reorganización o reestructuración de la planta de personal de una Empresa Social del Estado y cuya ejecución culmina el 15 de diciembre del mismo año, puede continuar ejecutándose durante la vigencia de la Ley de Garantías (a partir del 8 de noviembre de 2025) sin incurrir en las prohibiciones establecidas en el artículo 38 de la Ley 996 de 2005 y demás disposiciones concordantes</w:t>
      </w:r>
      <w:r>
        <w:rPr>
          <w:rFonts w:ascii="Verdana" w:hAnsi="Verdana"/>
          <w:sz w:val="20"/>
          <w:szCs w:val="20"/>
        </w:rPr>
        <w:t xml:space="preserve">? </w:t>
      </w:r>
      <w:r w:rsidRPr="00FC1BE4">
        <w:rPr>
          <w:rFonts w:ascii="Verdana" w:hAnsi="Verdana"/>
          <w:sz w:val="20"/>
          <w:szCs w:val="20"/>
        </w:rPr>
        <w:t>(…)”.</w:t>
      </w:r>
    </w:p>
    <w:p w14:paraId="36ABB27E" w14:textId="77777777" w:rsidR="007E3C0E" w:rsidRPr="00763B14" w:rsidRDefault="007E3C0E" w:rsidP="007E3C0E">
      <w:pPr>
        <w:spacing w:after="0" w:line="240" w:lineRule="auto"/>
        <w:ind w:left="567" w:right="758"/>
        <w:jc w:val="both"/>
        <w:rPr>
          <w:rFonts w:ascii="Verdana" w:hAnsi="Verdana"/>
          <w:sz w:val="20"/>
          <w:szCs w:val="20"/>
        </w:rPr>
      </w:pPr>
    </w:p>
    <w:p w14:paraId="73EB604A" w14:textId="77777777" w:rsidR="007E3C0E" w:rsidRPr="00F64722" w:rsidRDefault="007E3C0E" w:rsidP="007E3C0E">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7D9F2E4" w14:textId="49E2C28F" w:rsidR="007E3C0E" w:rsidRPr="00F64722" w:rsidRDefault="007E3C0E" w:rsidP="002827F8">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al problema jurídico de su consulta.</w:t>
      </w:r>
      <w:r w:rsidRPr="00F64722">
        <w:rPr>
          <w:rFonts w:ascii="Verdana" w:eastAsia="Calibri" w:hAnsi="Verdana" w:cs="Arial"/>
          <w:lang w:eastAsia="es-ES"/>
        </w:rPr>
        <w:t xml:space="preserve">  </w:t>
      </w:r>
    </w:p>
    <w:p w14:paraId="1B4EC430" w14:textId="77777777" w:rsidR="002827F8" w:rsidRPr="00F64722" w:rsidRDefault="002827F8" w:rsidP="007E27D9">
      <w:pPr>
        <w:spacing w:after="0" w:line="276" w:lineRule="auto"/>
        <w:ind w:firstLine="709"/>
        <w:jc w:val="both"/>
        <w:rPr>
          <w:rFonts w:ascii="Verdana" w:eastAsia="Calibri" w:hAnsi="Verdana" w:cs="Arial"/>
          <w:lang w:eastAsia="es-ES"/>
        </w:rPr>
      </w:pPr>
    </w:p>
    <w:p w14:paraId="6F47DFFB" w14:textId="77777777" w:rsidR="007E3C0E" w:rsidRPr="00F64722" w:rsidRDefault="007E3C0E" w:rsidP="007E3C0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33688124" w14:textId="77777777" w:rsidR="007E3C0E" w:rsidRPr="00F64722" w:rsidRDefault="007E3C0E" w:rsidP="007E3C0E">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4B2F1DB7" w14:textId="01138656" w:rsidR="007E3C0E" w:rsidRDefault="007E3C0E" w:rsidP="002827F8">
      <w:pPr>
        <w:spacing w:after="0" w:line="276" w:lineRule="auto"/>
        <w:jc w:val="both"/>
        <w:rPr>
          <w:rFonts w:ascii="Verdana" w:eastAsia="Calibri" w:hAnsi="Verdana" w:cs="Arial"/>
          <w:color w:val="000000"/>
          <w:lang w:eastAsia="es-ES"/>
        </w:rPr>
      </w:pPr>
      <w:r w:rsidRPr="00F64722">
        <w:rPr>
          <w:rFonts w:ascii="Verdana" w:eastAsia="Calibri" w:hAnsi="Verdana" w:cs="Arial"/>
          <w:color w:val="000000"/>
          <w:lang w:eastAsia="es-ES"/>
        </w:rPr>
        <w:t>De acuerdo con el contenido de su solicitud, esta Agencia resolverá el siguiente problema jurídico:</w:t>
      </w:r>
      <w:r>
        <w:rPr>
          <w:rFonts w:ascii="Verdana" w:eastAsia="Calibri" w:hAnsi="Verdana" w:cs="Arial"/>
          <w:color w:val="000000"/>
          <w:lang w:eastAsia="es-ES"/>
        </w:rPr>
        <w:t xml:space="preserve"> ¿Una entidad del </w:t>
      </w:r>
      <w:r w:rsidR="002827F8">
        <w:rPr>
          <w:rFonts w:ascii="Verdana" w:eastAsia="Calibri" w:hAnsi="Verdana" w:cs="Arial"/>
          <w:color w:val="000000"/>
          <w:lang w:eastAsia="es-ES"/>
        </w:rPr>
        <w:t xml:space="preserve">Estado </w:t>
      </w:r>
      <w:r>
        <w:rPr>
          <w:rFonts w:ascii="Verdana" w:eastAsia="Calibri" w:hAnsi="Verdana" w:cs="Arial"/>
          <w:color w:val="000000"/>
          <w:lang w:eastAsia="es-ES"/>
        </w:rPr>
        <w:t xml:space="preserve">puede prorrogar o adicionar un contrato estatal ya celebrado bajo la </w:t>
      </w:r>
      <w:r w:rsidR="002827F8">
        <w:rPr>
          <w:rFonts w:ascii="Verdana" w:eastAsia="Calibri" w:hAnsi="Verdana" w:cs="Arial"/>
          <w:color w:val="000000"/>
          <w:lang w:eastAsia="es-ES"/>
        </w:rPr>
        <w:t xml:space="preserve">vigencia </w:t>
      </w:r>
      <w:r>
        <w:rPr>
          <w:rFonts w:ascii="Verdana" w:eastAsia="Calibri" w:hAnsi="Verdana" w:cs="Arial"/>
          <w:color w:val="000000"/>
          <w:lang w:eastAsia="es-ES"/>
        </w:rPr>
        <w:t>de la Ley de Garantías Electorales?</w:t>
      </w:r>
    </w:p>
    <w:p w14:paraId="41CC9D4A" w14:textId="77777777" w:rsidR="002827F8" w:rsidRDefault="002827F8" w:rsidP="007E27D9">
      <w:pPr>
        <w:spacing w:after="0" w:line="276" w:lineRule="auto"/>
        <w:jc w:val="both"/>
        <w:rPr>
          <w:rFonts w:ascii="Verdana" w:eastAsia="Calibri" w:hAnsi="Verdana" w:cs="Arial"/>
          <w:color w:val="000000"/>
          <w:lang w:eastAsia="es-ES"/>
        </w:rPr>
      </w:pPr>
    </w:p>
    <w:p w14:paraId="6993D4F0" w14:textId="77777777" w:rsidR="007E3C0E" w:rsidRDefault="007E3C0E" w:rsidP="007E3C0E">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675CE4C2" w14:textId="77777777" w:rsidR="007E3C0E" w:rsidRPr="005644FE" w:rsidRDefault="007E3C0E" w:rsidP="007E3C0E">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7E3C0E" w:rsidRPr="005644FE" w14:paraId="33228BB2" w14:textId="77777777" w:rsidTr="00F34076">
        <w:tc>
          <w:tcPr>
            <w:tcW w:w="8828" w:type="dxa"/>
          </w:tcPr>
          <w:p w14:paraId="71C0E40E" w14:textId="68E199E3" w:rsidR="007E3C0E" w:rsidRPr="00F10E52" w:rsidRDefault="007E3C0E" w:rsidP="00F34076">
            <w:pPr>
              <w:spacing w:after="120" w:line="276" w:lineRule="auto"/>
              <w:jc w:val="both"/>
              <w:rPr>
                <w:rFonts w:ascii="Verdana" w:eastAsia="Arial" w:hAnsi="Verdana" w:cs="Arial"/>
                <w:lang w:val="es-ES" w:eastAsia="es-ES" w:bidi="es-ES"/>
              </w:rPr>
            </w:pPr>
            <w:r>
              <w:rPr>
                <w:rFonts w:ascii="Verdana" w:eastAsia="Arial" w:hAnsi="Verdana" w:cs="Arial"/>
                <w:lang w:val="es-ES" w:eastAsia="es-ES" w:bidi="es-ES"/>
              </w:rPr>
              <w:t>L</w:t>
            </w:r>
            <w:r w:rsidRPr="00F10E52">
              <w:rPr>
                <w:rFonts w:ascii="Verdana" w:eastAsia="Arial" w:hAnsi="Verdana" w:cs="Arial"/>
                <w:lang w:val="es-ES" w:eastAsia="es-ES" w:bidi="es-ES"/>
              </w:rPr>
              <w:t xml:space="preserve">as restricciones consagradas en la </w:t>
            </w:r>
            <w:r w:rsidR="00A21C5F">
              <w:rPr>
                <w:rFonts w:ascii="Verdana" w:eastAsia="Arial" w:hAnsi="Verdana" w:cs="Arial"/>
                <w:lang w:val="es-ES" w:eastAsia="es-ES" w:bidi="es-ES"/>
              </w:rPr>
              <w:t>L</w:t>
            </w:r>
            <w:r w:rsidRPr="00F10E52">
              <w:rPr>
                <w:rFonts w:ascii="Verdana" w:eastAsia="Arial" w:hAnsi="Verdana" w:cs="Arial"/>
                <w:lang w:val="es-ES" w:eastAsia="es-ES" w:bidi="es-ES"/>
              </w:rPr>
              <w:t xml:space="preserve">ey </w:t>
            </w:r>
            <w:r w:rsidR="00A21C5F">
              <w:rPr>
                <w:rFonts w:ascii="Verdana" w:eastAsia="Arial" w:hAnsi="Verdana" w:cs="Arial"/>
                <w:lang w:val="es-ES" w:eastAsia="es-ES" w:bidi="es-ES"/>
              </w:rPr>
              <w:t>996 de 2005, en materia de contratación est</w:t>
            </w:r>
            <w:r w:rsidR="007E27D9">
              <w:rPr>
                <w:rFonts w:ascii="Verdana" w:eastAsia="Arial" w:hAnsi="Verdana" w:cs="Arial"/>
                <w:lang w:val="es-ES" w:eastAsia="es-ES" w:bidi="es-ES"/>
              </w:rPr>
              <w:t>a</w:t>
            </w:r>
            <w:r w:rsidR="00A21C5F">
              <w:rPr>
                <w:rFonts w:ascii="Verdana" w:eastAsia="Arial" w:hAnsi="Verdana" w:cs="Arial"/>
                <w:lang w:val="es-ES" w:eastAsia="es-ES" w:bidi="es-ES"/>
              </w:rPr>
              <w:t>tal,</w:t>
            </w:r>
            <w:r w:rsidRPr="00F10E52">
              <w:rPr>
                <w:rFonts w:ascii="Verdana" w:eastAsia="Arial" w:hAnsi="Verdana" w:cs="Arial"/>
                <w:lang w:val="es-ES" w:eastAsia="es-ES" w:bidi="es-ES"/>
              </w:rPr>
              <w:t xml:space="preserve"> se dirigen a dos (2) tipos de campañas electorales claramente diferenciadas: las presidenciales y las demás que se adelanten para la elección de los demás cargos de elección popular, tanto a nivel nacional como a nivel territorial.</w:t>
            </w:r>
          </w:p>
          <w:p w14:paraId="0FF9D76A" w14:textId="77777777" w:rsidR="007E3C0E" w:rsidRPr="00F10E52" w:rsidRDefault="007E3C0E" w:rsidP="00F34076">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7EC9A764" w14:textId="77777777" w:rsidR="007E3C0E" w:rsidRDefault="007E3C0E" w:rsidP="00F34076">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192795C6" w14:textId="77777777" w:rsidR="007E3C0E" w:rsidRDefault="007E3C0E" w:rsidP="007E27D9">
            <w:pPr>
              <w:spacing w:after="120" w:line="276" w:lineRule="auto"/>
              <w:ind w:firstLine="709"/>
              <w:jc w:val="both"/>
              <w:rPr>
                <w:rFonts w:ascii="Verdana" w:eastAsia="Calibri" w:hAnsi="Verdana" w:cs="Arial"/>
                <w:i/>
                <w:iCs/>
                <w:color w:val="000000" w:themeColor="text1"/>
                <w:lang w:eastAsia="es-ES"/>
              </w:rPr>
            </w:pPr>
            <w:r>
              <w:rPr>
                <w:rFonts w:ascii="Verdana" w:eastAsia="Arial" w:hAnsi="Verdana" w:cs="Arial"/>
                <w:lang w:val="es-ES" w:eastAsia="es-ES" w:bidi="es-ES"/>
              </w:rPr>
              <w:t>Respecto al problema jurídico planteado</w:t>
            </w:r>
            <w:r>
              <w:rPr>
                <w:rFonts w:ascii="Verdana" w:hAnsi="Verdana" w:cs="Arial"/>
                <w:bCs/>
                <w:color w:val="000000" w:themeColor="text1"/>
                <w:lang w:val="es-ES"/>
              </w:rPr>
              <w:t xml:space="preserve">, </w:t>
            </w:r>
            <w:r>
              <w:rPr>
                <w:rFonts w:ascii="Verdana" w:hAnsi="Verdana" w:cs="Arial"/>
                <w:color w:val="000000" w:themeColor="text1"/>
                <w:lang w:val="es-ES"/>
              </w:rPr>
              <w:t xml:space="preserve">la Circular Externa Única de la </w:t>
            </w:r>
            <w:r w:rsidRPr="00FC6F34">
              <w:rPr>
                <w:rFonts w:ascii="Verdana" w:eastAsia="Calibri" w:hAnsi="Verdana" w:cs="Arial"/>
                <w:color w:val="000000" w:themeColor="text1"/>
                <w:lang w:val="es-ES" w:eastAsia="es-ES"/>
              </w:rPr>
              <w:t>Agencia Nacional de Contratación Pública – Colombia Compra Eficiente–</w:t>
            </w:r>
            <w:r>
              <w:rPr>
                <w:rFonts w:ascii="Verdana" w:eastAsia="Calibri" w:hAnsi="Verdana" w:cs="Arial"/>
                <w:color w:val="000000" w:themeColor="text1"/>
                <w:lang w:val="es-ES" w:eastAsia="es-ES"/>
              </w:rPr>
              <w:t xml:space="preserve"> aclaró que “</w:t>
            </w:r>
            <w:r w:rsidRPr="00237877">
              <w:rPr>
                <w:rFonts w:ascii="Verdana" w:eastAsia="Calibri" w:hAnsi="Verdana" w:cs="Arial"/>
                <w:i/>
                <w:iCs/>
                <w:color w:val="000000" w:themeColor="text1"/>
                <w:lang w:eastAsia="es-ES"/>
              </w:rPr>
              <w:t xml:space="preserve">La Ley de Garantías no establece restricciones para las prórrogas, modificaciones o adiciones, y la cesión de los contratos suscritos antes del periodo electoral, siempre que tales prórrogas, modificaciones, adiciones y cesiones cumplan los principios de planeación, transparencia y responsabilidad. </w:t>
            </w:r>
          </w:p>
          <w:p w14:paraId="1EA99CE1" w14:textId="77777777" w:rsidR="007E3C0E" w:rsidRDefault="007E3C0E" w:rsidP="007E27D9">
            <w:pPr>
              <w:spacing w:after="120" w:line="276" w:lineRule="auto"/>
              <w:ind w:firstLine="709"/>
              <w:jc w:val="both"/>
              <w:rPr>
                <w:rFonts w:ascii="Verdana" w:eastAsia="Arial" w:hAnsi="Verdana" w:cs="Arial"/>
                <w:bCs/>
                <w:color w:val="000000" w:themeColor="text1"/>
                <w:lang w:val="es-ES"/>
              </w:rPr>
            </w:pPr>
            <w:r w:rsidRPr="00237877">
              <w:rPr>
                <w:rFonts w:ascii="Verdana" w:eastAsia="Calibri" w:hAnsi="Verdana" w:cs="Arial"/>
                <w:i/>
                <w:iCs/>
                <w:color w:val="000000" w:themeColor="text1"/>
                <w:lang w:eastAsia="es-ES"/>
              </w:rPr>
              <w:t xml:space="preserve">En este sentido, las prórrogas, modificaciones o adiciones, y la cesión de los contratos suscritos antes del período de la campaña electoral, pueden realizarse en cualquier tiempo antes o después del comienzo de la aplicación </w:t>
            </w:r>
            <w:r w:rsidRPr="00237877">
              <w:rPr>
                <w:rFonts w:ascii="Verdana" w:eastAsia="Calibri" w:hAnsi="Verdana" w:cs="Arial"/>
                <w:i/>
                <w:iCs/>
                <w:color w:val="000000" w:themeColor="text1"/>
                <w:lang w:eastAsia="es-ES"/>
              </w:rPr>
              <w:lastRenderedPageBreak/>
              <w:t>de la Ley de Garantías, siempre y cuando el contrato se encuentre vigente y se observen las demás disposiciones conforme a las cuales deben realizarse dichas actuaciones.</w:t>
            </w:r>
            <w:r>
              <w:rPr>
                <w:rFonts w:ascii="Verdana" w:eastAsia="Calibri" w:hAnsi="Verdana" w:cs="Arial"/>
                <w:color w:val="000000" w:themeColor="text1"/>
                <w:lang w:val="es-ES" w:eastAsia="es-ES"/>
              </w:rPr>
              <w:t>”</w:t>
            </w:r>
            <w:r w:rsidRPr="009F169B">
              <w:rPr>
                <w:rFonts w:ascii="Verdana" w:eastAsia="Calibri" w:hAnsi="Verdana" w:cs="Arial"/>
                <w:color w:val="000000" w:themeColor="text1"/>
                <w:lang w:val="es-ES" w:eastAsia="es-ES"/>
              </w:rPr>
              <w:t xml:space="preserve">.  </w:t>
            </w:r>
          </w:p>
          <w:p w14:paraId="6BF4364F" w14:textId="77777777" w:rsidR="007E3C0E" w:rsidRDefault="007E3C0E" w:rsidP="007E27D9">
            <w:pPr>
              <w:spacing w:after="120" w:line="276" w:lineRule="auto"/>
              <w:ind w:firstLine="742"/>
              <w:jc w:val="both"/>
              <w:rPr>
                <w:rFonts w:ascii="Verdana" w:eastAsia="Calibri" w:hAnsi="Verdana" w:cs="Arial"/>
                <w:lang w:val="es-ES"/>
              </w:rPr>
            </w:pPr>
            <w:r>
              <w:rPr>
                <w:rFonts w:ascii="Verdana" w:eastAsia="Arial" w:hAnsi="Verdana" w:cs="Arial"/>
                <w:bCs/>
                <w:color w:val="000000" w:themeColor="text1"/>
                <w:lang w:val="es-ES"/>
              </w:rPr>
              <w:t xml:space="preserve">En efecto, </w:t>
            </w:r>
            <w:r>
              <w:rPr>
                <w:rFonts w:ascii="Verdana" w:eastAsia="Calibri" w:hAnsi="Verdana" w:cs="Arial"/>
                <w:lang w:val="es-ES"/>
              </w:rPr>
              <w:t>respecto de los requisitos de perfeccionamiento,</w:t>
            </w:r>
            <w:r>
              <w:t xml:space="preserve"> </w:t>
            </w:r>
            <w:r w:rsidRPr="00571D04">
              <w:rPr>
                <w:rFonts w:ascii="Verdana" w:eastAsia="Calibri" w:hAnsi="Verdana" w:cs="Arial"/>
                <w:lang w:val="es-ES"/>
              </w:rPr>
              <w:t xml:space="preserve">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w:t>
            </w:r>
            <w:r>
              <w:rPr>
                <w:rFonts w:ascii="Verdana" w:eastAsia="Calibri" w:hAnsi="Verdana" w:cs="Arial"/>
                <w:lang w:val="es-ES"/>
              </w:rPr>
              <w:t xml:space="preserve">Por otra parte, </w:t>
            </w:r>
            <w:r w:rsidRPr="00C172F1">
              <w:rPr>
                <w:rFonts w:ascii="Verdana" w:eastAsia="Calibri" w:hAnsi="Verdana" w:cs="Arial"/>
                <w:lang w:val="es-ES"/>
              </w:rPr>
              <w:t xml:space="preserve">los requisitos legales de ejecución son: i) la aprobación de las garantías exigidas en el contrato, </w:t>
            </w:r>
            <w:proofErr w:type="spellStart"/>
            <w:r w:rsidRPr="00C172F1">
              <w:rPr>
                <w:rFonts w:ascii="Verdana" w:eastAsia="Calibri" w:hAnsi="Verdana" w:cs="Arial"/>
                <w:lang w:val="es-ES"/>
              </w:rPr>
              <w:t>ii</w:t>
            </w:r>
            <w:proofErr w:type="spellEnd"/>
            <w:r w:rsidRPr="00C172F1">
              <w:rPr>
                <w:rFonts w:ascii="Verdana" w:eastAsia="Calibri" w:hAnsi="Verdana" w:cs="Arial"/>
                <w:lang w:val="es-ES"/>
              </w:rPr>
              <w:t xml:space="preserve">) la existencia de la apropiación presupuestal correspondiente y </w:t>
            </w:r>
            <w:proofErr w:type="spellStart"/>
            <w:r w:rsidRPr="00C172F1">
              <w:rPr>
                <w:rFonts w:ascii="Verdana" w:eastAsia="Calibri" w:hAnsi="Verdana" w:cs="Arial"/>
                <w:lang w:val="es-ES"/>
              </w:rPr>
              <w:t>iii</w:t>
            </w:r>
            <w:proofErr w:type="spellEnd"/>
            <w:r w:rsidRPr="00C172F1">
              <w:rPr>
                <w:rFonts w:ascii="Verdana" w:eastAsia="Calibri" w:hAnsi="Verdana" w:cs="Arial"/>
                <w:lang w:val="es-ES"/>
              </w:rPr>
              <w:t xml:space="preserve">) la acreditación del cumplimiento de las obligaciones con el Sistema de Seguridad </w:t>
            </w:r>
            <w:r w:rsidRPr="009F5794">
              <w:rPr>
                <w:rFonts w:ascii="Verdana" w:eastAsia="Arial" w:hAnsi="Verdana" w:cs="Arial"/>
                <w:bCs/>
                <w:color w:val="000000" w:themeColor="text1"/>
                <w:lang w:val="es-ES"/>
              </w:rPr>
              <w:t>Social</w:t>
            </w:r>
            <w:r w:rsidRPr="00C172F1">
              <w:rPr>
                <w:rFonts w:ascii="Verdana" w:eastAsia="Calibri" w:hAnsi="Verdana" w:cs="Arial"/>
                <w:lang w:val="es-ES"/>
              </w:rPr>
              <w:t xml:space="preserve"> Integral.</w:t>
            </w:r>
          </w:p>
          <w:p w14:paraId="12D454FC" w14:textId="6F7D856E" w:rsidR="007E3C0E" w:rsidRDefault="007E3C0E" w:rsidP="007E27D9">
            <w:pPr>
              <w:spacing w:after="120" w:line="276" w:lineRule="auto"/>
              <w:ind w:firstLine="742"/>
              <w:jc w:val="both"/>
              <w:rPr>
                <w:rFonts w:ascii="Verdana" w:eastAsia="Calibri" w:hAnsi="Verdana" w:cs="Arial"/>
                <w:lang w:val="es-ES"/>
              </w:rPr>
            </w:pPr>
            <w:r>
              <w:rPr>
                <w:rFonts w:ascii="Verdana" w:eastAsia="Calibri" w:hAnsi="Verdana" w:cs="Arial"/>
                <w:lang w:val="es-ES"/>
              </w:rPr>
              <w:t xml:space="preserve">En este contexto y según lo establecido en el artículo 33 y el parágrafo del artículo 38 de la Ley 996 de 2005, la prohibición consiste en la celebración (entendido como la suscripción) de un contrato a través de la contratación directa o </w:t>
            </w:r>
            <w:r w:rsidR="005E5983">
              <w:rPr>
                <w:rFonts w:ascii="Verdana" w:eastAsia="Calibri" w:hAnsi="Verdana" w:cs="Arial"/>
                <w:lang w:val="es-ES"/>
              </w:rPr>
              <w:t xml:space="preserve">la celebración de una tipología, como es la </w:t>
            </w:r>
            <w:r>
              <w:rPr>
                <w:rFonts w:ascii="Verdana" w:eastAsia="Calibri" w:hAnsi="Verdana" w:cs="Arial"/>
                <w:lang w:val="es-ES"/>
              </w:rPr>
              <w:t xml:space="preserve">de convenios interadministrativos, pero no existe impedimento legal alguno que limite la suscripción de las prórrogas, modificaciones, adiciones y cesiones del contrato o convenio ya celebrado.    </w:t>
            </w:r>
          </w:p>
          <w:p w14:paraId="76CD0AC1" w14:textId="77777777" w:rsidR="007E3C0E" w:rsidRPr="00724A60" w:rsidRDefault="007E3C0E" w:rsidP="007E27D9">
            <w:pPr>
              <w:spacing w:line="276" w:lineRule="auto"/>
              <w:ind w:firstLine="709"/>
              <w:jc w:val="both"/>
              <w:rPr>
                <w:rFonts w:ascii="Verdana" w:eastAsia="Times New Roman" w:hAnsi="Verdana" w:cs="Arial"/>
                <w:lang w:eastAsia="es-CO"/>
              </w:rPr>
            </w:pPr>
            <w:r w:rsidRPr="00667CD6">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4F55EFA0" w14:textId="77777777" w:rsidR="007E3C0E" w:rsidRDefault="007E3C0E" w:rsidP="007E3C0E">
      <w:pPr>
        <w:tabs>
          <w:tab w:val="left" w:pos="142"/>
          <w:tab w:val="left" w:pos="284"/>
        </w:tabs>
        <w:spacing w:after="0" w:line="276" w:lineRule="auto"/>
        <w:jc w:val="both"/>
        <w:rPr>
          <w:rFonts w:ascii="Verdana" w:eastAsia="Century Gothic" w:hAnsi="Verdana" w:cs="Century Gothic"/>
          <w:b/>
          <w:bCs/>
        </w:rPr>
      </w:pPr>
    </w:p>
    <w:p w14:paraId="2ED69D4D" w14:textId="77777777" w:rsidR="007E3C0E" w:rsidRPr="005644FE" w:rsidRDefault="007E3C0E" w:rsidP="007E3C0E">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7A5D5415" w14:textId="77777777" w:rsidR="007E3C0E" w:rsidRPr="005644FE" w:rsidRDefault="007E3C0E" w:rsidP="007E3C0E">
      <w:pPr>
        <w:pStyle w:val="Prrafodelista"/>
        <w:tabs>
          <w:tab w:val="left" w:pos="142"/>
          <w:tab w:val="left" w:pos="284"/>
        </w:tabs>
        <w:spacing w:after="0" w:line="240" w:lineRule="auto"/>
        <w:ind w:left="0"/>
        <w:contextualSpacing w:val="0"/>
        <w:jc w:val="both"/>
        <w:rPr>
          <w:rFonts w:ascii="Verdana" w:eastAsia="Calibri" w:hAnsi="Verdana" w:cs="Arial"/>
        </w:rPr>
      </w:pPr>
    </w:p>
    <w:p w14:paraId="696FA3E9" w14:textId="77777777" w:rsidR="007E3C0E" w:rsidRDefault="007E3C0E" w:rsidP="007E3C0E">
      <w:pPr>
        <w:tabs>
          <w:tab w:val="left" w:pos="142"/>
          <w:tab w:val="left" w:pos="284"/>
          <w:tab w:val="left" w:pos="6912"/>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661378BF" w14:textId="77777777" w:rsidR="007E3C0E" w:rsidRDefault="007E3C0E" w:rsidP="007E3C0E">
      <w:pPr>
        <w:tabs>
          <w:tab w:val="left" w:pos="426"/>
        </w:tabs>
        <w:spacing w:after="120" w:line="276" w:lineRule="auto"/>
        <w:jc w:val="both"/>
        <w:rPr>
          <w:rFonts w:ascii="Verdana" w:eastAsia="Calibri" w:hAnsi="Verdana" w:cs="Arial"/>
        </w:rPr>
      </w:pPr>
      <w:r>
        <w:rPr>
          <w:rFonts w:ascii="Verdana" w:eastAsia="Calibri" w:hAnsi="Verdana" w:cs="Arial"/>
        </w:rPr>
        <w:lastRenderedPageBreak/>
        <w:t xml:space="preserve">Para dar respuesta al problema jurídico planteado, resulta necesario dar un contexto sobre las restricciones contempladas en la Ley de Garantías Electorales – Ley 996 de 2005. </w:t>
      </w:r>
    </w:p>
    <w:p w14:paraId="140C34E5" w14:textId="77777777" w:rsidR="007E3C0E" w:rsidRPr="00F10E52" w:rsidRDefault="007E3C0E" w:rsidP="007E3C0E">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Calibri" w:hAnsi="Verdana" w:cs="Arial"/>
          <w:bCs/>
        </w:rPr>
        <w:t>El ordenamiento jurídico colombiano contempla previsiones claras para evitar la obtención de beneficios personales en asuntos propios de la administración pública</w:t>
      </w:r>
      <w:r w:rsidRPr="00F10E52">
        <w:rPr>
          <w:rFonts w:ascii="Verdana" w:eastAsia="Calibri" w:hAnsi="Verdana" w:cs="Arial"/>
          <w:bCs/>
          <w:i/>
          <w:iCs/>
        </w:rPr>
        <w:t xml:space="preserve">. </w:t>
      </w:r>
      <w:r w:rsidRPr="00F10E52">
        <w:rPr>
          <w:rFonts w:ascii="Verdana" w:eastAsia="Calibri" w:hAnsi="Verdana" w:cs="Arial"/>
          <w:bCs/>
        </w:rPr>
        <w:t>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3355F22F" w14:textId="77777777" w:rsidR="007E3C0E" w:rsidRDefault="007E3C0E" w:rsidP="007E3C0E">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0338C95F" w14:textId="557DB570" w:rsidR="007E3C0E" w:rsidRPr="00F10E52" w:rsidRDefault="007E3C0E" w:rsidP="005E5983">
      <w:pPr>
        <w:tabs>
          <w:tab w:val="left" w:pos="426"/>
        </w:tabs>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52A671B0" w14:textId="77777777" w:rsidR="005E5983" w:rsidRPr="00F10E52" w:rsidRDefault="005E5983" w:rsidP="007E27D9">
      <w:pPr>
        <w:tabs>
          <w:tab w:val="left" w:pos="426"/>
        </w:tabs>
        <w:spacing w:after="0" w:line="276" w:lineRule="auto"/>
        <w:ind w:firstLine="709"/>
        <w:jc w:val="both"/>
        <w:rPr>
          <w:rFonts w:ascii="Verdana" w:eastAsia="Times New Roman" w:hAnsi="Verdana" w:cs="Arial"/>
          <w:bCs/>
          <w:lang w:eastAsia="es-CO"/>
        </w:rPr>
      </w:pPr>
    </w:p>
    <w:p w14:paraId="34920240" w14:textId="77777777" w:rsidR="007E3C0E" w:rsidRPr="007777F3" w:rsidRDefault="007E3C0E" w:rsidP="007E3C0E">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606D28B1" w14:textId="77777777" w:rsidR="007E3C0E" w:rsidRPr="009E6EDF" w:rsidRDefault="007E3C0E" w:rsidP="007E3C0E">
      <w:pPr>
        <w:spacing w:after="0" w:line="240" w:lineRule="auto"/>
        <w:ind w:left="709" w:right="709"/>
        <w:jc w:val="both"/>
        <w:rPr>
          <w:rFonts w:ascii="Verdana" w:eastAsia="Times New Roman" w:hAnsi="Verdana" w:cs="Arial"/>
          <w:bCs/>
          <w:sz w:val="20"/>
          <w:szCs w:val="20"/>
          <w:lang w:eastAsia="es-CO"/>
        </w:rPr>
      </w:pPr>
    </w:p>
    <w:p w14:paraId="56BEFE2B" w14:textId="77777777" w:rsidR="007E3C0E" w:rsidRPr="00724A60" w:rsidRDefault="007E3C0E" w:rsidP="007E3C0E">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w:t>
      </w:r>
      <w:r w:rsidRPr="009E6EDF">
        <w:rPr>
          <w:rFonts w:ascii="Verdana" w:eastAsia="Times New Roman" w:hAnsi="Verdana" w:cs="Arial"/>
          <w:bCs/>
          <w:sz w:val="20"/>
          <w:szCs w:val="20"/>
          <w:lang w:eastAsia="es-CO"/>
        </w:rPr>
        <w:lastRenderedPageBreak/>
        <w:t>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5137ACD1" w14:textId="77777777" w:rsidR="007E3C0E" w:rsidRDefault="007E3C0E" w:rsidP="007E27D9">
      <w:pPr>
        <w:spacing w:after="0" w:line="276" w:lineRule="auto"/>
        <w:ind w:firstLine="709"/>
        <w:jc w:val="both"/>
        <w:rPr>
          <w:rFonts w:ascii="Verdana" w:eastAsia="Times New Roman" w:hAnsi="Verdana" w:cs="Arial"/>
          <w:bCs/>
          <w:lang w:eastAsia="es-CO"/>
        </w:rPr>
      </w:pPr>
    </w:p>
    <w:p w14:paraId="782998BA" w14:textId="197C50E2" w:rsidR="007E3C0E" w:rsidRPr="006A51F6" w:rsidRDefault="007E3C0E" w:rsidP="007E27D9">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6ED500FE" w14:textId="77777777" w:rsidR="007E3C0E" w:rsidRDefault="007E3C0E" w:rsidP="007E27D9">
      <w:pPr>
        <w:spacing w:after="0" w:line="276" w:lineRule="auto"/>
        <w:ind w:left="709" w:right="709"/>
        <w:jc w:val="both"/>
        <w:rPr>
          <w:rFonts w:ascii="Verdana" w:eastAsia="Times New Roman" w:hAnsi="Verdana" w:cs="Arial"/>
          <w:bCs/>
          <w:sz w:val="20"/>
          <w:szCs w:val="20"/>
          <w:lang w:eastAsia="es-CO"/>
        </w:rPr>
      </w:pPr>
    </w:p>
    <w:p w14:paraId="7C93FFFD" w14:textId="77777777" w:rsidR="007E3C0E" w:rsidRDefault="007E3C0E" w:rsidP="007E3C0E">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4D08685" w14:textId="77777777" w:rsidR="007E3C0E" w:rsidRPr="009B20C5" w:rsidRDefault="007E3C0E" w:rsidP="007E3C0E">
      <w:pPr>
        <w:spacing w:after="0" w:line="240" w:lineRule="auto"/>
        <w:ind w:left="709" w:right="709"/>
        <w:jc w:val="both"/>
        <w:rPr>
          <w:rFonts w:ascii="Verdana" w:eastAsia="Times New Roman" w:hAnsi="Verdana" w:cs="Arial"/>
          <w:bCs/>
          <w:sz w:val="20"/>
          <w:szCs w:val="20"/>
          <w:lang w:eastAsia="es-CO"/>
        </w:rPr>
      </w:pPr>
    </w:p>
    <w:p w14:paraId="5EC56EA9" w14:textId="77777777" w:rsidR="007E3C0E" w:rsidRPr="009B20C5" w:rsidRDefault="007E3C0E" w:rsidP="007E3C0E">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w:t>
      </w:r>
      <w:r w:rsidRPr="009B20C5">
        <w:rPr>
          <w:rFonts w:ascii="Verdana" w:eastAsia="Times New Roman" w:hAnsi="Verdana" w:cs="Arial"/>
          <w:bCs/>
          <w:sz w:val="20"/>
          <w:szCs w:val="20"/>
          <w:lang w:eastAsia="es-CO"/>
        </w:rPr>
        <w:lastRenderedPageBreak/>
        <w:t>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57333B22" w14:textId="77777777" w:rsidR="007E3C0E" w:rsidRDefault="007E3C0E" w:rsidP="007E3C0E">
      <w:pPr>
        <w:spacing w:after="0" w:line="276"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63707D36" w14:textId="77777777" w:rsidR="007E3C0E" w:rsidRDefault="007E3C0E" w:rsidP="007E3C0E">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D80761A" w14:textId="77777777" w:rsidR="007E3C0E" w:rsidRPr="00F10E52" w:rsidRDefault="007E3C0E" w:rsidP="007E3C0E">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743FBC74" w14:textId="77777777" w:rsidR="007E3C0E" w:rsidRPr="00F10E52" w:rsidRDefault="007E3C0E" w:rsidP="007E3C0E">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4C2D9577" w14:textId="77777777" w:rsidR="007E3C0E" w:rsidRDefault="007E3C0E" w:rsidP="007E3C0E">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celebrar convenios interadministrativos para la </w:t>
      </w:r>
      <w:r w:rsidRPr="00F10E52">
        <w:rPr>
          <w:rFonts w:ascii="Verdana" w:eastAsia="Calibri" w:hAnsi="Verdana" w:cs="Arial"/>
        </w:rPr>
        <w:lastRenderedPageBreak/>
        <w:t>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0BCBE2A8" w14:textId="69B792B5" w:rsidR="007E3C0E" w:rsidRPr="006A51F6" w:rsidRDefault="007E3C0E" w:rsidP="007E27D9">
      <w:pPr>
        <w:widowControl w:val="0"/>
        <w:autoSpaceDE w:val="0"/>
        <w:autoSpaceDN w:val="0"/>
        <w:spacing w:after="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428412BB" w14:textId="77777777" w:rsidR="005E5983" w:rsidRPr="006A51F6" w:rsidRDefault="005E5983" w:rsidP="007E27D9">
      <w:pPr>
        <w:widowControl w:val="0"/>
        <w:autoSpaceDE w:val="0"/>
        <w:autoSpaceDN w:val="0"/>
        <w:spacing w:after="0" w:line="276" w:lineRule="auto"/>
        <w:ind w:right="113" w:firstLine="709"/>
        <w:jc w:val="both"/>
        <w:rPr>
          <w:rFonts w:ascii="Verdana" w:eastAsia="Arial" w:hAnsi="Verdana" w:cs="Arial"/>
          <w:lang w:val="es-ES" w:eastAsia="es-ES" w:bidi="es-ES"/>
        </w:rPr>
      </w:pPr>
    </w:p>
    <w:p w14:paraId="27C2F424" w14:textId="77777777" w:rsidR="007E3C0E" w:rsidRPr="009B20C5" w:rsidRDefault="007E3C0E" w:rsidP="007E3C0E">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7D1CC9E3" w14:textId="77777777" w:rsidR="007E3C0E" w:rsidRDefault="007E3C0E" w:rsidP="007E3C0E">
      <w:pPr>
        <w:spacing w:after="0" w:line="240" w:lineRule="auto"/>
        <w:ind w:firstLine="709"/>
        <w:jc w:val="both"/>
        <w:rPr>
          <w:rFonts w:ascii="Verdana" w:eastAsia="Arial" w:hAnsi="Verdana" w:cs="Arial"/>
          <w:lang w:val="es-ES" w:eastAsia="es-ES" w:bidi="es-ES"/>
        </w:rPr>
      </w:pPr>
    </w:p>
    <w:p w14:paraId="547A0E3D" w14:textId="77777777" w:rsidR="007E3C0E" w:rsidRPr="00F10E52" w:rsidRDefault="007E3C0E" w:rsidP="007E3C0E">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w:t>
      </w:r>
      <w:r w:rsidRPr="00F10E52">
        <w:rPr>
          <w:rFonts w:ascii="Verdana" w:eastAsia="Arial" w:hAnsi="Verdana" w:cs="Arial"/>
          <w:lang w:val="es-ES" w:eastAsia="es-ES" w:bidi="es-ES"/>
        </w:rPr>
        <w:lastRenderedPageBreak/>
        <w:t xml:space="preserve">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69810EE7" w14:textId="77777777" w:rsidR="007E3C0E" w:rsidRPr="00F10E52" w:rsidRDefault="007E3C0E" w:rsidP="007E3C0E">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17259E78" w14:textId="77777777" w:rsidR="007E3C0E" w:rsidRDefault="007E3C0E" w:rsidP="007E3C0E">
      <w:pPr>
        <w:spacing w:after="120" w:line="276" w:lineRule="auto"/>
        <w:ind w:firstLine="708"/>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590D51D0" w14:textId="5BAF9B1B" w:rsidR="007E3C0E" w:rsidRDefault="007E3C0E" w:rsidP="007E27D9">
      <w:pPr>
        <w:spacing w:after="120" w:line="276" w:lineRule="auto"/>
        <w:ind w:firstLine="708"/>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3161B35E" w14:textId="1423A3D5" w:rsidR="007E3C0E" w:rsidRPr="007E27D9" w:rsidRDefault="007E3C0E" w:rsidP="007E27D9">
      <w:pPr>
        <w:spacing w:after="0" w:line="276" w:lineRule="auto"/>
        <w:ind w:firstLine="708"/>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ley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0C2AF1E5" w14:textId="77777777" w:rsidR="007E3C0E" w:rsidRDefault="007E3C0E" w:rsidP="007E3C0E">
      <w:pPr>
        <w:spacing w:after="0" w:line="240" w:lineRule="auto"/>
        <w:ind w:left="709" w:right="709"/>
        <w:jc w:val="both"/>
        <w:rPr>
          <w:rFonts w:ascii="Verdana" w:hAnsi="Verdana" w:cs="Arial"/>
          <w:sz w:val="20"/>
          <w:szCs w:val="20"/>
        </w:rPr>
      </w:pPr>
      <w:r w:rsidRPr="005800D0">
        <w:rPr>
          <w:rFonts w:ascii="Verdana" w:hAnsi="Verdana" w:cs="Arial"/>
          <w:sz w:val="20"/>
          <w:szCs w:val="20"/>
        </w:rPr>
        <w:lastRenderedPageBreak/>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0"/>
      </w:r>
      <w:r w:rsidRPr="005800D0">
        <w:rPr>
          <w:rFonts w:ascii="Verdana" w:hAnsi="Verdana" w:cs="Arial"/>
          <w:sz w:val="20"/>
          <w:szCs w:val="20"/>
        </w:rPr>
        <w:t>.</w:t>
      </w:r>
    </w:p>
    <w:p w14:paraId="668EA260" w14:textId="77777777" w:rsidR="007E3C0E" w:rsidRPr="005800D0" w:rsidRDefault="007E3C0E" w:rsidP="007E3C0E">
      <w:pPr>
        <w:spacing w:after="0" w:line="240" w:lineRule="auto"/>
        <w:ind w:left="709" w:right="709"/>
        <w:jc w:val="both"/>
        <w:rPr>
          <w:rFonts w:ascii="Verdana" w:hAnsi="Verdana" w:cs="Arial"/>
          <w:sz w:val="20"/>
          <w:szCs w:val="20"/>
        </w:rPr>
      </w:pPr>
    </w:p>
    <w:p w14:paraId="08F821F5" w14:textId="77777777" w:rsidR="007E3C0E" w:rsidRDefault="007E3C0E" w:rsidP="007E3C0E">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1"/>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2"/>
      </w:r>
      <w:r w:rsidRPr="005800D0">
        <w:rPr>
          <w:rFonts w:ascii="Verdana" w:hAnsi="Verdana" w:cs="Arial"/>
          <w:sz w:val="20"/>
          <w:szCs w:val="20"/>
        </w:rPr>
        <w:t>.</w:t>
      </w:r>
    </w:p>
    <w:p w14:paraId="323B68C1" w14:textId="77777777" w:rsidR="007E3C0E" w:rsidRPr="005800D0" w:rsidRDefault="007E3C0E" w:rsidP="007E3C0E">
      <w:pPr>
        <w:spacing w:after="0" w:line="240" w:lineRule="auto"/>
        <w:ind w:left="709" w:right="709"/>
        <w:jc w:val="both"/>
        <w:rPr>
          <w:rFonts w:ascii="Verdana" w:hAnsi="Verdana" w:cs="Arial"/>
        </w:rPr>
      </w:pPr>
    </w:p>
    <w:p w14:paraId="2C2E8929" w14:textId="77777777" w:rsidR="007E3C0E" w:rsidRPr="00195E24" w:rsidRDefault="007E3C0E" w:rsidP="007E3C0E">
      <w:pPr>
        <w:spacing w:after="120" w:line="276" w:lineRule="auto"/>
        <w:ind w:firstLine="708"/>
        <w:jc w:val="both"/>
        <w:rPr>
          <w:rFonts w:ascii="Verdana" w:hAnsi="Verdana" w:cs="Arial"/>
          <w:bCs/>
          <w:lang w:eastAsia="x-none"/>
        </w:rPr>
      </w:pPr>
      <w:bookmarkStart w:id="14"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3"/>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4"/>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1050A398" w14:textId="77777777" w:rsidR="007E3C0E" w:rsidRPr="00195E24" w:rsidRDefault="007E3C0E" w:rsidP="007E3C0E">
      <w:pPr>
        <w:spacing w:after="120" w:line="276" w:lineRule="auto"/>
        <w:ind w:firstLine="709"/>
        <w:jc w:val="both"/>
        <w:rPr>
          <w:rFonts w:ascii="Verdana" w:hAnsi="Verdana" w:cs="Arial"/>
          <w:lang w:eastAsia="x-none"/>
        </w:rPr>
      </w:pPr>
      <w:r w:rsidRPr="00195E24">
        <w:rPr>
          <w:rFonts w:ascii="Verdana" w:hAnsi="Verdana" w:cs="Arial"/>
          <w:lang w:eastAsia="x-none"/>
        </w:rPr>
        <w:lastRenderedPageBreak/>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5"/>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00A0AC74" w14:textId="77777777" w:rsidR="007E3C0E" w:rsidRPr="00195E24" w:rsidRDefault="007E3C0E" w:rsidP="007E3C0E">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16"/>
      </w:r>
      <w:r w:rsidRPr="00195E24">
        <w:rPr>
          <w:rFonts w:ascii="Verdana" w:hAnsi="Verdana" w:cs="Arial"/>
          <w:lang w:eastAsia="x-none"/>
        </w:rPr>
        <w:t xml:space="preserve">. </w:t>
      </w:r>
    </w:p>
    <w:p w14:paraId="2F049464" w14:textId="77777777" w:rsidR="007E3C0E" w:rsidRPr="00CE0712" w:rsidRDefault="007E3C0E" w:rsidP="007E3C0E">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5DBD8749" w14:textId="77777777" w:rsidR="007E3C0E" w:rsidRPr="007E27D9" w:rsidRDefault="007E3C0E" w:rsidP="007E3C0E">
      <w:pPr>
        <w:spacing w:after="120" w:line="276" w:lineRule="auto"/>
        <w:ind w:firstLine="709"/>
        <w:jc w:val="both"/>
        <w:rPr>
          <w:rFonts w:ascii="Verdana" w:hAnsi="Verdana" w:cs="Arial"/>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w:t>
      </w:r>
      <w:r w:rsidRPr="00195E24">
        <w:rPr>
          <w:rFonts w:ascii="Verdana" w:hAnsi="Verdana" w:cs="Arial"/>
          <w:bCs/>
          <w:lang w:eastAsia="x-none"/>
        </w:rPr>
        <w:lastRenderedPageBreak/>
        <w:t>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17"/>
      </w:r>
      <w:r w:rsidRPr="007E27D9">
        <w:rPr>
          <w:rFonts w:ascii="Verdana" w:hAnsi="Verdana" w:cs="Arial"/>
          <w:lang w:eastAsia="x-none"/>
        </w:rPr>
        <w:t>.</w:t>
      </w:r>
      <w:r w:rsidRPr="007E27D9">
        <w:rPr>
          <w:rFonts w:ascii="Verdana" w:hAnsi="Verdana" w:cs="Arial"/>
          <w:vertAlign w:val="superscript"/>
          <w:lang w:eastAsia="x-none"/>
        </w:rPr>
        <w:t xml:space="preserve"> </w:t>
      </w:r>
    </w:p>
    <w:bookmarkEnd w:id="16"/>
    <w:p w14:paraId="4AFBE162" w14:textId="77777777" w:rsidR="007E3C0E" w:rsidRPr="007E27D9" w:rsidRDefault="007E3C0E" w:rsidP="007E3C0E">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3C02574D" w14:textId="77777777" w:rsidR="007E3C0E" w:rsidRPr="00CE0712" w:rsidRDefault="007E3C0E" w:rsidP="007E3C0E">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40DBF1A0" w14:textId="77777777" w:rsidR="007E3C0E" w:rsidRDefault="007E3C0E" w:rsidP="007E3C0E">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18"/>
      </w:r>
      <w:r w:rsidRPr="73D21086">
        <w:rPr>
          <w:rFonts w:ascii="Verdana" w:hAnsi="Verdana" w:cs="Arial"/>
          <w:color w:val="000000" w:themeColor="text1"/>
          <w:lang w:val="es-MX"/>
        </w:rPr>
        <w:t xml:space="preserve">. </w:t>
      </w:r>
    </w:p>
    <w:p w14:paraId="50D159FF" w14:textId="77777777" w:rsidR="007E3C0E" w:rsidRPr="00CE0D82" w:rsidRDefault="007E3C0E" w:rsidP="007E27D9">
      <w:pPr>
        <w:spacing w:after="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lastRenderedPageBreak/>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19"/>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66A0B3F2" w14:textId="77777777" w:rsidR="00A83E37" w:rsidRDefault="00A83E37" w:rsidP="007E3C0E">
      <w:pPr>
        <w:spacing w:after="0" w:line="240" w:lineRule="auto"/>
        <w:ind w:left="709" w:right="709"/>
        <w:jc w:val="both"/>
        <w:rPr>
          <w:rFonts w:ascii="Verdana" w:hAnsi="Verdana" w:cs="Arial"/>
          <w:color w:val="000000" w:themeColor="text1"/>
          <w:sz w:val="20"/>
          <w:szCs w:val="20"/>
          <w:lang w:val="es-MX"/>
        </w:rPr>
      </w:pPr>
    </w:p>
    <w:p w14:paraId="0A76616F" w14:textId="53D3278A" w:rsidR="007E3C0E" w:rsidRDefault="007E3C0E" w:rsidP="007E3C0E">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A8491F9" w14:textId="77777777" w:rsidR="007E3C0E" w:rsidRPr="005800D0" w:rsidRDefault="007E3C0E" w:rsidP="007E3C0E">
      <w:pPr>
        <w:spacing w:after="0" w:line="240" w:lineRule="auto"/>
        <w:ind w:left="709" w:right="709"/>
        <w:jc w:val="both"/>
        <w:rPr>
          <w:rFonts w:ascii="Verdana" w:hAnsi="Verdana" w:cs="Arial"/>
          <w:color w:val="000000" w:themeColor="text1"/>
          <w:sz w:val="20"/>
          <w:szCs w:val="20"/>
          <w:lang w:val="es-MX"/>
        </w:rPr>
      </w:pPr>
    </w:p>
    <w:p w14:paraId="4AE0F591" w14:textId="77777777" w:rsidR="007E3C0E" w:rsidRPr="005800D0" w:rsidRDefault="007E3C0E" w:rsidP="007E3C0E">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 xml:space="preserve">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w:t>
      </w:r>
      <w:r w:rsidRPr="005800D0">
        <w:rPr>
          <w:rFonts w:ascii="Verdana" w:hAnsi="Verdana" w:cs="Arial"/>
          <w:color w:val="000000" w:themeColor="text1"/>
          <w:sz w:val="20"/>
          <w:szCs w:val="20"/>
          <w:lang w:val="es-MX"/>
        </w:rPr>
        <w:lastRenderedPageBreak/>
        <w:t>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0"/>
      </w:r>
      <w:r w:rsidRPr="005800D0">
        <w:rPr>
          <w:rFonts w:ascii="Verdana" w:hAnsi="Verdana" w:cs="Arial"/>
          <w:color w:val="000000" w:themeColor="text1"/>
          <w:sz w:val="20"/>
          <w:szCs w:val="20"/>
          <w:lang w:val="es-MX" w:eastAsia="x-none"/>
        </w:rPr>
        <w:t>.</w:t>
      </w:r>
    </w:p>
    <w:p w14:paraId="33399C1C" w14:textId="77777777" w:rsidR="007E3C0E" w:rsidRDefault="007E3C0E" w:rsidP="007E3C0E">
      <w:pPr>
        <w:spacing w:after="0" w:line="240" w:lineRule="auto"/>
        <w:ind w:firstLine="709"/>
        <w:jc w:val="both"/>
        <w:rPr>
          <w:rFonts w:ascii="Verdana" w:hAnsi="Verdana" w:cs="Arial"/>
          <w:color w:val="000000" w:themeColor="text1"/>
          <w:lang w:val="es-MX"/>
        </w:rPr>
      </w:pPr>
    </w:p>
    <w:p w14:paraId="4426AF3F" w14:textId="77777777" w:rsidR="007E3C0E" w:rsidRDefault="007E3C0E" w:rsidP="007E3C0E">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1"/>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1B1DCBE5" w14:textId="77777777" w:rsidR="007E3C0E" w:rsidRPr="00195E24" w:rsidRDefault="007E3C0E" w:rsidP="007E3C0E">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6123D905" w14:textId="77777777" w:rsidR="007E3C0E" w:rsidRPr="00CE0712" w:rsidRDefault="007E3C0E" w:rsidP="007E3C0E">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1A574FFA" w14:textId="5F5B030E" w:rsidR="007E3C0E" w:rsidRDefault="007E3C0E" w:rsidP="007E27D9">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w:t>
      </w:r>
      <w:r w:rsidRPr="00E36918">
        <w:rPr>
          <w:rFonts w:ascii="Verdana" w:eastAsia="Times New Roman" w:hAnsi="Verdana" w:cs="Arial"/>
          <w:bCs/>
          <w:lang w:val="es-ES" w:eastAsia="es-CO" w:bidi="es-ES"/>
        </w:rPr>
        <w:lastRenderedPageBreak/>
        <w:t xml:space="preserve">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06309E79" w14:textId="5985EE3E" w:rsidR="007E3C0E" w:rsidRDefault="007E3C0E" w:rsidP="007E27D9">
      <w:pPr>
        <w:spacing w:after="120" w:line="276" w:lineRule="auto"/>
        <w:ind w:firstLine="709"/>
        <w:jc w:val="both"/>
        <w:rPr>
          <w:rFonts w:ascii="Verdana" w:hAnsi="Verdana" w:cs="Arial"/>
          <w:bCs/>
          <w:lang w:val="es-MX" w:eastAsia="x-none"/>
        </w:rPr>
      </w:pPr>
      <w:r>
        <w:rPr>
          <w:rFonts w:ascii="Verdana" w:hAnsi="Verdana" w:cs="Arial"/>
          <w:bCs/>
          <w:lang w:eastAsia="x-none"/>
        </w:rPr>
        <w:t xml:space="preserve">Por otro lado, </w:t>
      </w:r>
      <w:r w:rsidRPr="00CB0D01">
        <w:rPr>
          <w:rFonts w:ascii="Verdana" w:hAnsi="Verdana" w:cs="Arial"/>
          <w:lang w:val="es-ES"/>
        </w:rPr>
        <w:t xml:space="preserve">en cuanto a la posibilidad de celebrar </w:t>
      </w:r>
      <w:r w:rsidRPr="00CB0D01">
        <w:rPr>
          <w:rFonts w:ascii="Verdana" w:eastAsia="Century Gothic" w:hAnsi="Verdana" w:cs="Century Gothic"/>
        </w:rPr>
        <w:t>convenios y contratos interadministrativos bajo la vigencia de la restricción contenida en el parágrafo del artículo 38 de la Ley 996 de 2005</w:t>
      </w:r>
      <w:r>
        <w:rPr>
          <w:rFonts w:ascii="Verdana" w:eastAsia="Century Gothic" w:hAnsi="Verdana" w:cs="Century Gothic"/>
        </w:rPr>
        <w:t>,</w:t>
      </w:r>
      <w:r w:rsidRPr="00CB0D01">
        <w:rPr>
          <w:rFonts w:ascii="Verdana" w:eastAsia="Century Gothic" w:hAnsi="Verdana" w:cs="Century Gothic"/>
        </w:rPr>
        <w:t xml:space="preserve"> debe analizarse el </w:t>
      </w:r>
      <w:r w:rsidRPr="00CB0D01">
        <w:rPr>
          <w:rFonts w:ascii="Verdana" w:hAnsi="Verdana" w:cs="Arial"/>
          <w:lang w:val="es-ES"/>
        </w:rPr>
        <w:t xml:space="preserve">alcance del parágrafo </w:t>
      </w:r>
      <w:r w:rsidRPr="00CB0D01">
        <w:rPr>
          <w:rFonts w:ascii="Verdana" w:hAnsi="Verdana" w:cs="Arial"/>
        </w:rPr>
        <w:t xml:space="preserve">del artículo 38 de la Ley 996 de 2005. La prohibición dispone en primera medida que: “[l]os Gobernadores, </w:t>
      </w:r>
      <w:proofErr w:type="gramStart"/>
      <w:r w:rsidRPr="00CB0D01">
        <w:rPr>
          <w:rFonts w:ascii="Verdana" w:hAnsi="Verdana" w:cs="Arial"/>
        </w:rPr>
        <w:t>Alcaldes</w:t>
      </w:r>
      <w:proofErr w:type="gramEnd"/>
      <w:r w:rsidRPr="00CB0D01">
        <w:rPr>
          <w:rFonts w:ascii="Verdana" w:hAnsi="Verdana" w:cs="Arial"/>
        </w:rPr>
        <w:t xml:space="preserve"> Municipales y/o Distritales, </w:t>
      </w:r>
      <w:proofErr w:type="gramStart"/>
      <w:r w:rsidRPr="00CB0D01">
        <w:rPr>
          <w:rFonts w:ascii="Verdana" w:hAnsi="Verdana" w:cs="Arial"/>
        </w:rPr>
        <w:t>Secretarios</w:t>
      </w:r>
      <w:proofErr w:type="gramEnd"/>
      <w:r w:rsidRPr="00CB0D01">
        <w:rPr>
          <w:rFonts w:ascii="Verdana" w:hAnsi="Verdana" w:cs="Arial"/>
        </w:rPr>
        <w:t xml:space="preserve">, Gerentes y directores de Entidades Descentralizadas del orden Municipal, Departamental o Distrital, dentro de los cuatro (4) meses anteriores a las elecciones, no podrán celebrar </w:t>
      </w:r>
      <w:r w:rsidRPr="00CB0D01">
        <w:rPr>
          <w:rFonts w:ascii="Verdana" w:hAnsi="Verdana" w:cs="Arial"/>
          <w:i/>
          <w:iCs/>
        </w:rPr>
        <w:t>convenios interadministrativos</w:t>
      </w:r>
      <w:r w:rsidRPr="00CB0D01">
        <w:rPr>
          <w:rFonts w:ascii="Verdana" w:hAnsi="Verdana" w:cs="Arial"/>
        </w:rPr>
        <w:t xml:space="preserve"> </w:t>
      </w:r>
      <w:r w:rsidRPr="00CB0D01">
        <w:rPr>
          <w:rFonts w:ascii="Verdana" w:hAnsi="Verdana" w:cs="Arial"/>
          <w:i/>
          <w:iCs/>
        </w:rPr>
        <w:t>para la ejecución de recursos públicos</w:t>
      </w:r>
      <w:r w:rsidRPr="00CB0D01">
        <w:rPr>
          <w:rFonts w:ascii="Verdana" w:hAnsi="Verdana" w:cs="Arial"/>
        </w:rPr>
        <w:t>”.</w:t>
      </w:r>
      <w:r w:rsidRPr="00CB0D01">
        <w:rPr>
          <w:rFonts w:ascii="Verdana" w:eastAsia="Times New Roman" w:hAnsi="Verdana" w:cs="Arial"/>
          <w:lang w:val="es-MX" w:eastAsia="x-none"/>
        </w:rPr>
        <w:t xml:space="preserve"> </w:t>
      </w:r>
      <w:r>
        <w:rPr>
          <w:rFonts w:ascii="Verdana" w:eastAsia="Times New Roman" w:hAnsi="Verdana" w:cs="Arial"/>
          <w:lang w:val="es-MX" w:eastAsia="x-none"/>
        </w:rPr>
        <w:t>(</w:t>
      </w:r>
      <w:r w:rsidRPr="00CB0D01">
        <w:rPr>
          <w:rFonts w:ascii="Verdana" w:eastAsia="Times New Roman" w:hAnsi="Verdana" w:cs="Arial"/>
          <w:lang w:val="es-MX" w:eastAsia="x-none"/>
        </w:rPr>
        <w:t>Énfasis fuera del texto original</w:t>
      </w:r>
      <w:r>
        <w:rPr>
          <w:rFonts w:ascii="Verdana" w:eastAsia="Times New Roman" w:hAnsi="Verdana" w:cs="Arial"/>
          <w:lang w:val="es-MX" w:eastAsia="x-none"/>
        </w:rPr>
        <w:t xml:space="preserve">) </w:t>
      </w:r>
    </w:p>
    <w:p w14:paraId="293CFFF7" w14:textId="0075C3A0" w:rsidR="007E3C0E" w:rsidRDefault="007E3C0E" w:rsidP="007E27D9">
      <w:pPr>
        <w:spacing w:after="120" w:line="276" w:lineRule="auto"/>
        <w:ind w:firstLine="709"/>
        <w:jc w:val="both"/>
        <w:rPr>
          <w:rFonts w:ascii="Verdana" w:hAnsi="Verdana" w:cs="Arial"/>
          <w:bCs/>
          <w:lang w:eastAsia="x-none"/>
        </w:rPr>
      </w:pPr>
      <w:r w:rsidRPr="00CB0D01">
        <w:rPr>
          <w:rFonts w:ascii="Verdana" w:eastAsia="Times New Roman" w:hAnsi="Verdana" w:cs="Arial"/>
          <w:lang w:val="es-ES" w:eastAsia="es-ES"/>
        </w:rPr>
        <w:t xml:space="preserve">Para tales efectos, debe precisarse que </w:t>
      </w:r>
      <w:r w:rsidRPr="00CB0D01">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B0D01">
        <w:rPr>
          <w:rFonts w:ascii="Verdana" w:hAnsi="Verdana" w:cs="Arial"/>
          <w:lang w:eastAsia="es-ES"/>
        </w:rPr>
        <w:t>independientemente de las normas que regulan la relación contractual. En</w:t>
      </w:r>
      <w:r w:rsidRPr="00667CD6">
        <w:rPr>
          <w:rFonts w:ascii="Verdana" w:hAnsi="Verdana" w:cs="Arial"/>
          <w:lang w:eastAsia="es-ES"/>
        </w:rPr>
        <w:t xml:space="preserve">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2"/>
      </w:r>
      <w:r w:rsidRPr="00667CD6">
        <w:rPr>
          <w:rFonts w:ascii="Verdana" w:hAnsi="Verdana" w:cs="Arial"/>
          <w:lang w:eastAsia="es-ES"/>
        </w:rPr>
        <w:t>.</w:t>
      </w:r>
    </w:p>
    <w:p w14:paraId="0D7FEF5A" w14:textId="45116673" w:rsidR="007E3C0E" w:rsidRDefault="007E3C0E" w:rsidP="007E27D9">
      <w:pPr>
        <w:spacing w:after="120" w:line="276" w:lineRule="auto"/>
        <w:ind w:firstLine="709"/>
        <w:jc w:val="both"/>
        <w:rPr>
          <w:rFonts w:ascii="Verdana" w:hAnsi="Verdana" w:cs="Arial"/>
          <w:bCs/>
          <w:lang w:eastAsia="x-none"/>
        </w:rPr>
      </w:pPr>
      <w:r w:rsidRPr="00667CD6">
        <w:rPr>
          <w:rFonts w:ascii="Verdana" w:hAnsi="Verdana" w:cs="Arial"/>
          <w:color w:val="000000" w:themeColor="text1"/>
          <w:lang w:val="es-ES_tradnl"/>
        </w:rPr>
        <w:t xml:space="preserve">Si bien los contratos o convenios interadministrativos están previstos en la Ley 80 de 1993, en la Ley 1150 de 2007 y en el Decreto 1082 de 2015, no quiere decir que solo puedan celebrarse entre Entidades Estatales que apliquen </w:t>
      </w:r>
      <w:r w:rsidRPr="00667CD6">
        <w:rPr>
          <w:rFonts w:ascii="Verdana" w:hAnsi="Verdana" w:cs="Arial"/>
          <w:color w:val="000000" w:themeColor="text1"/>
          <w:lang w:val="es-ES_tradnl"/>
        </w:rPr>
        <w:lastRenderedPageBreak/>
        <w:t>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35BBF3B9" w14:textId="2853B9A9" w:rsidR="007E3C0E" w:rsidRDefault="007E3C0E" w:rsidP="007E27D9">
      <w:pPr>
        <w:spacing w:after="120" w:line="276" w:lineRule="auto"/>
        <w:ind w:firstLine="709"/>
        <w:jc w:val="both"/>
        <w:rPr>
          <w:rFonts w:ascii="Verdana" w:hAnsi="Verdana" w:cs="Arial"/>
          <w:bCs/>
          <w:lang w:eastAsia="x-none"/>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3"/>
      </w:r>
      <w:r w:rsidRPr="2035D652">
        <w:rPr>
          <w:rFonts w:ascii="Verdana" w:hAnsi="Verdana" w:cs="Arial"/>
          <w:lang w:val="es-ES"/>
        </w:rPr>
        <w:t>. Nótese que, en este caso, lo que cambia es la modalidad de selección y no la naturaleza de contrato interadministrativo.</w:t>
      </w:r>
    </w:p>
    <w:p w14:paraId="40010D60" w14:textId="0DEABC6B" w:rsidR="007E3C0E" w:rsidRDefault="007E3C0E" w:rsidP="007E27D9">
      <w:pPr>
        <w:spacing w:after="120" w:line="276" w:lineRule="auto"/>
        <w:ind w:firstLine="709"/>
        <w:jc w:val="both"/>
        <w:rPr>
          <w:rFonts w:ascii="Verdana" w:hAnsi="Verdana" w:cs="Arial"/>
          <w:bCs/>
          <w:lang w:eastAsia="x-none"/>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24"/>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36929F7C" w14:textId="47C3D31E" w:rsidR="007E3C0E" w:rsidRDefault="007E3C0E" w:rsidP="007E27D9">
      <w:pPr>
        <w:spacing w:after="120" w:line="276" w:lineRule="auto"/>
        <w:ind w:firstLine="709"/>
        <w:jc w:val="both"/>
        <w:rPr>
          <w:rFonts w:ascii="Verdana" w:hAnsi="Verdana" w:cs="Arial"/>
          <w:bCs/>
          <w:lang w:eastAsia="x-none"/>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25"/>
      </w:r>
      <w:r w:rsidRPr="2035D652">
        <w:rPr>
          <w:rFonts w:ascii="Verdana" w:hAnsi="Verdana" w:cs="Arial"/>
          <w:lang w:val="es-ES"/>
        </w:rPr>
        <w:t xml:space="preserve">, pues, de acuerdo con lo anotado, esta clase de acuerdos de voluntades se </w:t>
      </w:r>
      <w:r w:rsidRPr="2035D652">
        <w:rPr>
          <w:rFonts w:ascii="Verdana" w:hAnsi="Verdana" w:cs="Arial"/>
          <w:lang w:val="es-ES"/>
        </w:rPr>
        <w:lastRenderedPageBreak/>
        <w:t>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5889AD7B" w14:textId="404AEB6C" w:rsidR="007E3C0E" w:rsidRDefault="007E3C0E" w:rsidP="007E27D9">
      <w:pPr>
        <w:spacing w:after="120" w:line="276" w:lineRule="auto"/>
        <w:ind w:firstLine="709"/>
        <w:jc w:val="both"/>
        <w:rPr>
          <w:rFonts w:ascii="Verdana" w:hAnsi="Verdana" w:cs="Arial"/>
          <w:bCs/>
          <w:lang w:eastAsia="x-none"/>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59587CD0" w14:textId="42F78BEC" w:rsidR="007E3C0E" w:rsidRDefault="007E3C0E" w:rsidP="007E27D9">
      <w:pPr>
        <w:spacing w:after="120" w:line="276" w:lineRule="auto"/>
        <w:ind w:firstLine="709"/>
        <w:jc w:val="both"/>
        <w:rPr>
          <w:rFonts w:ascii="Verdana" w:hAnsi="Verdana" w:cs="Arial"/>
          <w:bCs/>
          <w:lang w:eastAsia="x-none"/>
        </w:rPr>
      </w:pPr>
      <w:r w:rsidRPr="00667CD6">
        <w:rPr>
          <w:rFonts w:ascii="Verdana" w:eastAsia="Times New Roman" w:hAnsi="Verdana" w:cs="Arial"/>
          <w:lang w:val="es-MX" w:eastAsia="es-CO"/>
        </w:rPr>
        <w:t>Respecto del alcance de esta prohibición la Circular Externa No. 006 de 2025 expedida por la ANCP -CCE</w:t>
      </w:r>
      <w:r>
        <w:rPr>
          <w:rStyle w:val="Refdenotaalpie"/>
          <w:rFonts w:ascii="Verdana" w:eastAsia="Times New Roman" w:hAnsi="Verdana" w:cs="Arial"/>
          <w:lang w:val="es-MX" w:eastAsia="es-CO"/>
        </w:rPr>
        <w:footnoteReference w:id="26"/>
      </w:r>
      <w:r w:rsidRPr="00667CD6">
        <w:rPr>
          <w:rFonts w:ascii="Verdana" w:eastAsia="Times New Roman" w:hAnsi="Verdana" w:cs="Arial"/>
          <w:lang w:val="es-MX" w:eastAsia="es-CO"/>
        </w:rPr>
        <w:t xml:space="preserv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4D293478" w14:textId="1E9C6DCE" w:rsidR="007E3C0E" w:rsidRDefault="007E3C0E" w:rsidP="007E27D9">
      <w:pPr>
        <w:spacing w:after="120" w:line="276" w:lineRule="auto"/>
        <w:ind w:firstLine="709"/>
        <w:jc w:val="both"/>
        <w:rPr>
          <w:rFonts w:ascii="Verdana" w:hAnsi="Verdana" w:cs="Arial"/>
          <w:bCs/>
          <w:lang w:eastAsia="x-none"/>
        </w:rPr>
      </w:pPr>
      <w:r w:rsidRPr="00667CD6">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w:t>
      </w:r>
      <w:r w:rsidRPr="00667CD6">
        <w:rPr>
          <w:rFonts w:ascii="Verdana" w:eastAsia="Times New Roman" w:hAnsi="Verdana" w:cs="Arial"/>
          <w:i/>
          <w:iCs/>
          <w:lang w:eastAsia="es-CO"/>
        </w:rPr>
        <w:t>ejecución de recursos públicos</w:t>
      </w:r>
      <w:r w:rsidRPr="00667CD6">
        <w:rPr>
          <w:rFonts w:ascii="Verdana" w:eastAsia="Times New Roman" w:hAnsi="Verdana" w:cs="Arial"/>
          <w:lang w:eastAsia="es-CO"/>
        </w:rPr>
        <w:t xml:space="preserve">. Esto significa que la prohibición no resulta aplicable a </w:t>
      </w:r>
      <w:r w:rsidRPr="00667CD6">
        <w:rPr>
          <w:rFonts w:ascii="Verdana" w:eastAsia="Times New Roman" w:hAnsi="Verdana" w:cs="Arial"/>
          <w:i/>
          <w:iCs/>
          <w:lang w:eastAsia="es-CO"/>
        </w:rPr>
        <w:t>convenios interadministrativos a título gratuito,</w:t>
      </w:r>
      <w:r w:rsidRPr="00667CD6">
        <w:rPr>
          <w:rFonts w:ascii="Verdana" w:eastAsia="Times New Roman" w:hAnsi="Verdana" w:cs="Arial"/>
          <w:lang w:eastAsia="es-CO"/>
        </w:rPr>
        <w:t xml:space="preserve"> los cuales pueden celebrarse válidamente durante la vigencia de la mencionada restricción. </w:t>
      </w:r>
    </w:p>
    <w:p w14:paraId="1E884B0F" w14:textId="14F0724B" w:rsidR="007E3C0E" w:rsidRDefault="007E3C0E" w:rsidP="007E27D9">
      <w:pPr>
        <w:spacing w:after="120" w:line="276" w:lineRule="auto"/>
        <w:ind w:firstLine="709"/>
        <w:jc w:val="both"/>
        <w:rPr>
          <w:rFonts w:ascii="Verdana" w:hAnsi="Verdana" w:cs="Arial"/>
          <w:bCs/>
          <w:lang w:eastAsia="x-none"/>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xml:space="preserve">, independientemente de que se configure </w:t>
      </w:r>
      <w:r w:rsidRPr="00667CD6">
        <w:rPr>
          <w:rFonts w:ascii="Verdana" w:eastAsia="Times New Roman" w:hAnsi="Verdana" w:cs="Arial"/>
          <w:lang w:eastAsia="es-CO"/>
        </w:rPr>
        <w:lastRenderedPageBreak/>
        <w:t>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6DB4482D" w14:textId="77777777" w:rsidR="007E3C0E" w:rsidRPr="00CA56B6" w:rsidRDefault="007E3C0E" w:rsidP="007E3C0E">
      <w:pPr>
        <w:spacing w:after="0" w:line="276" w:lineRule="auto"/>
        <w:ind w:firstLine="709"/>
        <w:jc w:val="both"/>
        <w:rPr>
          <w:rFonts w:ascii="Verdana" w:hAnsi="Verdana" w:cs="Arial"/>
          <w:bCs/>
          <w:lang w:eastAsia="x-none"/>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vale la pena destacar que</w:t>
      </w:r>
      <w:r>
        <w:rPr>
          <w:rFonts w:ascii="Verdana" w:eastAsia="Times New Roman" w:hAnsi="Verdana" w:cs="Arial"/>
          <w:lang w:eastAsia="es-CO"/>
        </w:rPr>
        <w:t>,</w:t>
      </w:r>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Sección Tercera, Subsección C decretó medida de suspensión provisional parcial del </w:t>
      </w:r>
      <w:r w:rsidRPr="00667CD6">
        <w:rPr>
          <w:rFonts w:ascii="Verdana" w:hAnsi="Verdana" w:cs="Arial"/>
        </w:rPr>
        <w:t>numeral 16.2 de la Circular Externa Única de 2022 expedida por la Agencia Nacional de Contratación Pública -Colombia Compra Eficiente-, concretamente, respecto de los siguientes apartes normativos</w:t>
      </w:r>
      <w:r w:rsidRPr="00667CD6">
        <w:rPr>
          <w:rFonts w:ascii="Verdana" w:hAnsi="Verdana" w:cs="Arial"/>
          <w:vertAlign w:val="superscript"/>
        </w:rPr>
        <w:footnoteReference w:id="27"/>
      </w:r>
      <w:r w:rsidRPr="00667CD6">
        <w:rPr>
          <w:rFonts w:ascii="Verdana" w:hAnsi="Verdana" w:cs="Arial"/>
        </w:rPr>
        <w:t xml:space="preserve">: </w:t>
      </w:r>
    </w:p>
    <w:p w14:paraId="3841E7DD" w14:textId="77777777" w:rsidR="007E3C0E" w:rsidRDefault="007E3C0E" w:rsidP="007E3C0E">
      <w:pPr>
        <w:spacing w:after="0" w:line="240" w:lineRule="auto"/>
        <w:ind w:left="709" w:right="709"/>
        <w:jc w:val="both"/>
        <w:rPr>
          <w:rFonts w:ascii="Verdana" w:hAnsi="Verdana" w:cs="Arial"/>
          <w:sz w:val="20"/>
          <w:szCs w:val="20"/>
          <w:lang w:val="es-MX"/>
        </w:rPr>
      </w:pPr>
    </w:p>
    <w:p w14:paraId="5368CEBE" w14:textId="77777777" w:rsidR="007E3C0E" w:rsidRPr="00667CD6" w:rsidRDefault="007E3C0E" w:rsidP="007E3C0E">
      <w:pPr>
        <w:spacing w:after="0" w:line="240" w:lineRule="auto"/>
        <w:ind w:left="709" w:right="709"/>
        <w:jc w:val="both"/>
        <w:rPr>
          <w:rFonts w:ascii="Verdana" w:hAnsi="Verdana" w:cs="Arial"/>
          <w:sz w:val="20"/>
          <w:szCs w:val="20"/>
        </w:rPr>
      </w:pPr>
      <w:r w:rsidRPr="00667CD6">
        <w:rPr>
          <w:rFonts w:ascii="Verdana" w:hAnsi="Verdana" w:cs="Arial"/>
          <w:sz w:val="20"/>
          <w:szCs w:val="20"/>
          <w:lang w:val="es-MX"/>
        </w:rPr>
        <w:t>i)</w:t>
      </w:r>
      <w:r w:rsidRPr="00667CD6">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6D03778" w14:textId="77777777" w:rsidR="007E3C0E" w:rsidRPr="00667CD6" w:rsidRDefault="007E3C0E" w:rsidP="007E3C0E">
      <w:pPr>
        <w:spacing w:after="0" w:line="240" w:lineRule="auto"/>
        <w:ind w:left="709" w:right="709"/>
        <w:jc w:val="both"/>
        <w:rPr>
          <w:rFonts w:ascii="Verdana" w:hAnsi="Verdana" w:cs="Arial"/>
          <w:sz w:val="20"/>
          <w:szCs w:val="20"/>
        </w:rPr>
      </w:pPr>
    </w:p>
    <w:p w14:paraId="2CECFEBD" w14:textId="77777777" w:rsidR="007E3C0E" w:rsidRPr="00667CD6" w:rsidRDefault="007E3C0E" w:rsidP="007E3C0E">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1AF57426" w14:textId="77777777" w:rsidR="007E3C0E" w:rsidRPr="00667CD6" w:rsidRDefault="007E3C0E" w:rsidP="007E3C0E">
      <w:pPr>
        <w:spacing w:after="0" w:line="240" w:lineRule="auto"/>
        <w:ind w:left="709" w:right="709"/>
        <w:jc w:val="both"/>
        <w:rPr>
          <w:rFonts w:ascii="Verdana" w:hAnsi="Verdana" w:cs="Arial"/>
        </w:rPr>
      </w:pPr>
    </w:p>
    <w:p w14:paraId="5575A753" w14:textId="77777777" w:rsidR="007E3C0E" w:rsidRPr="00667CD6" w:rsidRDefault="007E3C0E" w:rsidP="007E3C0E">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w:t>
      </w:r>
      <w:r w:rsidRPr="00667CD6">
        <w:rPr>
          <w:rFonts w:ascii="Verdana" w:eastAsia="Arial" w:hAnsi="Verdana" w:cs="Arial"/>
          <w:lang w:eastAsia="es-ES" w:bidi="es-ES"/>
        </w:rPr>
        <w:lastRenderedPageBreak/>
        <w:t>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DA10CF9" w14:textId="77777777" w:rsidR="007E3C0E" w:rsidRPr="00667CD6" w:rsidRDefault="007E3C0E" w:rsidP="007E3C0E">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Sección Tercera,</w:t>
      </w:r>
      <w:r>
        <w:rPr>
          <w:rFonts w:ascii="Verdana" w:eastAsia="Arial" w:hAnsi="Verdana" w:cs="Arial"/>
          <w:lang w:eastAsia="es-ES" w:bidi="es-ES"/>
        </w:rPr>
        <w:t xml:space="preserve"> </w:t>
      </w:r>
      <w:r w:rsidRPr="00667CD6">
        <w:rPr>
          <w:rFonts w:ascii="Verdana" w:eastAsia="Arial" w:hAnsi="Verdana" w:cs="Arial"/>
          <w:lang w:eastAsia="es-ES" w:bidi="es-ES"/>
        </w:rPr>
        <w:t>Subsección 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28"/>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467B5C90" w14:textId="77777777" w:rsidR="007E3C0E" w:rsidRDefault="007E3C0E" w:rsidP="007E3C0E">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w:t>
      </w:r>
      <w:r w:rsidRPr="31E4E861">
        <w:rPr>
          <w:rFonts w:ascii="Verdana" w:eastAsia="Times New Roman" w:hAnsi="Verdana" w:cs="Times New Roman"/>
          <w:lang w:eastAsia="es-ES"/>
        </w:rPr>
        <w:lastRenderedPageBreak/>
        <w:t xml:space="preserve">Nacional de Contratación Pública - Colombia Compra Eficiente que indicaba: “Esta restricción es aplicable tanto a los convenios como a los contratos interadministrativos…”. </w:t>
      </w:r>
    </w:p>
    <w:p w14:paraId="059ACB52" w14:textId="77777777" w:rsidR="007E3C0E" w:rsidRDefault="007E3C0E" w:rsidP="007E3C0E">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29"/>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1E76B573" w14:textId="77777777" w:rsidR="007E3C0E" w:rsidRPr="00670659" w:rsidRDefault="007E3C0E" w:rsidP="007E3C0E">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4B1BBA25" w14:textId="77777777" w:rsidR="007E3C0E" w:rsidRDefault="007E3C0E" w:rsidP="007E3C0E">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0"/>
      </w:r>
      <w:r>
        <w:rPr>
          <w:rFonts w:ascii="Verdana" w:eastAsia="Times New Roman" w:hAnsi="Verdana" w:cs="Arial"/>
          <w:lang w:eastAsia="es-CO"/>
        </w:rPr>
        <w:t>.</w:t>
      </w:r>
    </w:p>
    <w:p w14:paraId="01C0EE38" w14:textId="77777777" w:rsidR="007E3C0E" w:rsidRDefault="007E3C0E" w:rsidP="007E27D9">
      <w:pPr>
        <w:spacing w:after="120" w:line="276" w:lineRule="auto"/>
        <w:ind w:firstLine="709"/>
        <w:jc w:val="both"/>
        <w:rPr>
          <w:rFonts w:ascii="Verdana" w:eastAsia="Calibri" w:hAnsi="Verdana" w:cs="Arial"/>
          <w:i/>
          <w:iCs/>
          <w:color w:val="000000" w:themeColor="text1"/>
          <w:lang w:eastAsia="es-ES"/>
        </w:rPr>
      </w:pPr>
      <w:r>
        <w:rPr>
          <w:rFonts w:ascii="Verdana" w:hAnsi="Verdana" w:cs="Arial"/>
          <w:bCs/>
          <w:color w:val="000000" w:themeColor="text1"/>
          <w:lang w:val="es-ES"/>
        </w:rPr>
        <w:lastRenderedPageBreak/>
        <w:t xml:space="preserve">Por último, </w:t>
      </w:r>
      <w:r w:rsidRPr="00FC6F34">
        <w:rPr>
          <w:rFonts w:ascii="Verdana" w:hAnsi="Verdana" w:cs="Arial"/>
          <w:bCs/>
          <w:color w:val="000000" w:themeColor="text1"/>
          <w:lang w:val="es-ES"/>
        </w:rPr>
        <w:t xml:space="preserve">es pertinente </w:t>
      </w:r>
      <w:r>
        <w:rPr>
          <w:rFonts w:ascii="Verdana" w:hAnsi="Verdana" w:cs="Arial"/>
          <w:bCs/>
          <w:color w:val="000000" w:themeColor="text1"/>
          <w:lang w:val="es-ES"/>
        </w:rPr>
        <w:t xml:space="preserve">señalar que, </w:t>
      </w:r>
      <w:r>
        <w:rPr>
          <w:rFonts w:ascii="Verdana" w:hAnsi="Verdana" w:cs="Arial"/>
          <w:color w:val="000000" w:themeColor="text1"/>
          <w:lang w:val="es-ES"/>
        </w:rPr>
        <w:t xml:space="preserve">la Circular Externa Única de la </w:t>
      </w:r>
      <w:r w:rsidRPr="00FC6F34">
        <w:rPr>
          <w:rFonts w:ascii="Verdana" w:eastAsia="Calibri" w:hAnsi="Verdana" w:cs="Arial"/>
          <w:color w:val="000000" w:themeColor="text1"/>
          <w:lang w:val="es-ES" w:eastAsia="es-ES"/>
        </w:rPr>
        <w:t>Agencia Nacional de Contratación Pública – Colombia Compra Eficiente</w:t>
      </w:r>
      <w:r>
        <w:rPr>
          <w:rStyle w:val="Refdenotaalpie"/>
          <w:rFonts w:ascii="Verdana" w:eastAsia="Calibri" w:hAnsi="Verdana" w:cs="Arial"/>
          <w:color w:val="000000" w:themeColor="text1"/>
          <w:lang w:val="es-ES" w:eastAsia="es-ES"/>
        </w:rPr>
        <w:footnoteReference w:id="31"/>
      </w:r>
      <w:r w:rsidRPr="00FC6F34">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aclaró que “</w:t>
      </w:r>
      <w:r w:rsidRPr="00237877">
        <w:rPr>
          <w:rFonts w:ascii="Verdana" w:eastAsia="Calibri" w:hAnsi="Verdana" w:cs="Arial"/>
          <w:i/>
          <w:iCs/>
          <w:color w:val="000000" w:themeColor="text1"/>
          <w:lang w:eastAsia="es-ES"/>
        </w:rPr>
        <w:t xml:space="preserve">La Ley de Garantías no establece restricciones para las prórrogas, modificaciones o adiciones, y la cesión de los contratos suscritos antes del periodo electoral, siempre que tales prórrogas, modificaciones, adiciones y cesiones cumplan los principios de planeación, transparencia y responsabilidad. </w:t>
      </w:r>
    </w:p>
    <w:p w14:paraId="617F867A" w14:textId="77777777" w:rsidR="007E3C0E" w:rsidRDefault="007E3C0E" w:rsidP="007E27D9">
      <w:pPr>
        <w:spacing w:after="120" w:line="276" w:lineRule="auto"/>
        <w:ind w:firstLine="709"/>
        <w:jc w:val="both"/>
        <w:rPr>
          <w:rFonts w:ascii="Verdana" w:eastAsia="Arial" w:hAnsi="Verdana" w:cs="Arial"/>
          <w:bCs/>
          <w:color w:val="000000" w:themeColor="text1"/>
          <w:lang w:val="es-ES"/>
        </w:rPr>
      </w:pPr>
      <w:r w:rsidRPr="00237877">
        <w:rPr>
          <w:rFonts w:ascii="Verdana" w:eastAsia="Calibri" w:hAnsi="Verdana" w:cs="Arial"/>
          <w:i/>
          <w:iCs/>
          <w:color w:val="000000" w:themeColor="text1"/>
          <w:lang w:eastAsia="es-ES"/>
        </w:rPr>
        <w:t>En este sentido,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r>
        <w:rPr>
          <w:rFonts w:ascii="Verdana" w:eastAsia="Calibri" w:hAnsi="Verdana" w:cs="Arial"/>
          <w:color w:val="000000" w:themeColor="text1"/>
          <w:lang w:val="es-ES" w:eastAsia="es-ES"/>
        </w:rPr>
        <w:t>”</w:t>
      </w:r>
      <w:r w:rsidRPr="009F169B">
        <w:rPr>
          <w:rFonts w:ascii="Verdana" w:eastAsia="Calibri" w:hAnsi="Verdana" w:cs="Arial"/>
          <w:color w:val="000000" w:themeColor="text1"/>
          <w:lang w:val="es-ES" w:eastAsia="es-ES"/>
        </w:rPr>
        <w:t xml:space="preserve">.  </w:t>
      </w:r>
    </w:p>
    <w:p w14:paraId="7456CFA2" w14:textId="77777777" w:rsidR="007E3C0E" w:rsidRDefault="007E3C0E" w:rsidP="007E27D9">
      <w:pPr>
        <w:spacing w:after="120" w:line="276" w:lineRule="auto"/>
        <w:ind w:firstLine="742"/>
        <w:jc w:val="both"/>
        <w:rPr>
          <w:rFonts w:ascii="Verdana" w:eastAsia="Calibri" w:hAnsi="Verdana" w:cs="Arial"/>
          <w:lang w:val="es-ES"/>
        </w:rPr>
      </w:pPr>
      <w:r>
        <w:rPr>
          <w:rFonts w:ascii="Verdana" w:eastAsia="Arial" w:hAnsi="Verdana" w:cs="Arial"/>
          <w:bCs/>
          <w:color w:val="000000" w:themeColor="text1"/>
          <w:lang w:val="es-ES"/>
        </w:rPr>
        <w:t xml:space="preserve">En efecto, </w:t>
      </w:r>
      <w:r>
        <w:rPr>
          <w:rFonts w:ascii="Verdana" w:eastAsia="Calibri" w:hAnsi="Verdana" w:cs="Arial"/>
          <w:lang w:val="es-ES"/>
        </w:rPr>
        <w:t>respecto de los requisitos de perfeccionamiento,</w:t>
      </w:r>
      <w:r>
        <w:t xml:space="preserve"> </w:t>
      </w:r>
      <w:r w:rsidRPr="00571D04">
        <w:rPr>
          <w:rFonts w:ascii="Verdana" w:eastAsia="Calibri" w:hAnsi="Verdana" w:cs="Arial"/>
          <w:lang w:val="es-ES"/>
        </w:rPr>
        <w:t xml:space="preserve">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w:t>
      </w:r>
      <w:r>
        <w:rPr>
          <w:rFonts w:ascii="Verdana" w:eastAsia="Calibri" w:hAnsi="Verdana" w:cs="Arial"/>
          <w:lang w:val="es-ES"/>
        </w:rPr>
        <w:t xml:space="preserve">Por otra parte, </w:t>
      </w:r>
      <w:r w:rsidRPr="00C172F1">
        <w:rPr>
          <w:rFonts w:ascii="Verdana" w:eastAsia="Calibri" w:hAnsi="Verdana" w:cs="Arial"/>
          <w:lang w:val="es-ES"/>
        </w:rPr>
        <w:t xml:space="preserve">los requisitos legales de ejecución son: i) la aprobación de las garantías exigidas en el contrato, </w:t>
      </w:r>
      <w:proofErr w:type="spellStart"/>
      <w:r w:rsidRPr="00C172F1">
        <w:rPr>
          <w:rFonts w:ascii="Verdana" w:eastAsia="Calibri" w:hAnsi="Verdana" w:cs="Arial"/>
          <w:lang w:val="es-ES"/>
        </w:rPr>
        <w:t>ii</w:t>
      </w:r>
      <w:proofErr w:type="spellEnd"/>
      <w:r w:rsidRPr="00C172F1">
        <w:rPr>
          <w:rFonts w:ascii="Verdana" w:eastAsia="Calibri" w:hAnsi="Verdana" w:cs="Arial"/>
          <w:lang w:val="es-ES"/>
        </w:rPr>
        <w:t xml:space="preserve">) la existencia de la apropiación presupuestal correspondiente y </w:t>
      </w:r>
      <w:proofErr w:type="spellStart"/>
      <w:r w:rsidRPr="00C172F1">
        <w:rPr>
          <w:rFonts w:ascii="Verdana" w:eastAsia="Calibri" w:hAnsi="Verdana" w:cs="Arial"/>
          <w:lang w:val="es-ES"/>
        </w:rPr>
        <w:t>iii</w:t>
      </w:r>
      <w:proofErr w:type="spellEnd"/>
      <w:r w:rsidRPr="00C172F1">
        <w:rPr>
          <w:rFonts w:ascii="Verdana" w:eastAsia="Calibri" w:hAnsi="Verdana" w:cs="Arial"/>
          <w:lang w:val="es-ES"/>
        </w:rPr>
        <w:t xml:space="preserve">) la acreditación del cumplimiento de las obligaciones con el Sistema de Seguridad </w:t>
      </w:r>
      <w:r w:rsidRPr="009F5794">
        <w:rPr>
          <w:rFonts w:ascii="Verdana" w:eastAsia="Arial" w:hAnsi="Verdana" w:cs="Arial"/>
          <w:bCs/>
          <w:color w:val="000000" w:themeColor="text1"/>
          <w:lang w:val="es-ES"/>
        </w:rPr>
        <w:t>Social</w:t>
      </w:r>
      <w:r w:rsidRPr="00C172F1">
        <w:rPr>
          <w:rFonts w:ascii="Verdana" w:eastAsia="Calibri" w:hAnsi="Verdana" w:cs="Arial"/>
          <w:lang w:val="es-ES"/>
        </w:rPr>
        <w:t xml:space="preserve"> Integral.</w:t>
      </w:r>
    </w:p>
    <w:p w14:paraId="41687E7A" w14:textId="77777777" w:rsidR="007E3C0E" w:rsidRDefault="007E3C0E" w:rsidP="007E27D9">
      <w:pPr>
        <w:spacing w:after="120" w:line="276" w:lineRule="auto"/>
        <w:ind w:firstLine="742"/>
        <w:jc w:val="both"/>
        <w:rPr>
          <w:rFonts w:ascii="Verdana" w:eastAsia="Calibri" w:hAnsi="Verdana" w:cs="Arial"/>
          <w:lang w:val="es-ES"/>
        </w:rPr>
      </w:pPr>
      <w:r>
        <w:rPr>
          <w:rFonts w:ascii="Verdana" w:eastAsia="Calibri" w:hAnsi="Verdana" w:cs="Arial"/>
          <w:lang w:val="es-ES"/>
        </w:rPr>
        <w:t>En este contexto y según lo establecido en el artículo 33 y el parágrafo del artículo 38 de la Ley 996 de 2005, la prohibición consiste en la celebración (entendido como la suscripción) de un contrato a través de la contratación directa o de convenios interadministrativos, pero no existe impedimento legal alguno que limite la suscripción de las prórrogas, modificaciones, adiciones y cesiones del contrato o convenio ya celebrado</w:t>
      </w:r>
      <w:r>
        <w:rPr>
          <w:rStyle w:val="Refdenotaalpie"/>
          <w:rFonts w:ascii="Verdana" w:eastAsia="Calibri" w:hAnsi="Verdana" w:cs="Arial"/>
          <w:lang w:val="es-ES"/>
        </w:rPr>
        <w:footnoteReference w:id="32"/>
      </w:r>
      <w:r>
        <w:rPr>
          <w:rFonts w:ascii="Verdana" w:eastAsia="Calibri" w:hAnsi="Verdana" w:cs="Arial"/>
          <w:lang w:val="es-ES"/>
        </w:rPr>
        <w:t xml:space="preserve">.    </w:t>
      </w:r>
    </w:p>
    <w:p w14:paraId="60C8D547" w14:textId="77777777" w:rsidR="007E3C0E" w:rsidRPr="00667CD6" w:rsidRDefault="007E3C0E" w:rsidP="007E3C0E">
      <w:pPr>
        <w:spacing w:after="120" w:line="276" w:lineRule="auto"/>
        <w:ind w:firstLine="709"/>
        <w:jc w:val="both"/>
        <w:rPr>
          <w:rFonts w:ascii="Verdana" w:eastAsia="Times New Roman" w:hAnsi="Verdana" w:cs="Arial"/>
          <w:lang w:eastAsia="es-CO"/>
        </w:rPr>
      </w:pPr>
      <w:r w:rsidRPr="00667CD6">
        <w:rPr>
          <w:rFonts w:ascii="Verdana" w:hAnsi="Verdana" w:cs="Arial"/>
          <w:bCs/>
          <w:color w:val="000000" w:themeColor="text1"/>
        </w:rPr>
        <w:t xml:space="preserve">Al margen de la explicación precedente, debe advertirse que el análisis requerido para resolver problemas específicos en torno a la gestión contractual </w:t>
      </w:r>
      <w:r w:rsidRPr="00667CD6">
        <w:rPr>
          <w:rFonts w:ascii="Verdana" w:hAnsi="Verdana" w:cs="Arial"/>
          <w:bCs/>
          <w:color w:val="000000" w:themeColor="text1"/>
        </w:rPr>
        <w:lastRenderedPageBreak/>
        <w:t>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3AADF29" w14:textId="3E242A73" w:rsidR="007E3C0E" w:rsidRDefault="007E3C0E" w:rsidP="00A83E37">
      <w:pPr>
        <w:spacing w:after="0" w:line="276" w:lineRule="auto"/>
        <w:ind w:firstLine="709"/>
        <w:jc w:val="both"/>
        <w:rPr>
          <w:rFonts w:ascii="Verdana" w:hAnsi="Verdana" w:cs="Arial"/>
          <w:bCs/>
          <w:color w:val="000000" w:themeColor="text1"/>
        </w:rPr>
      </w:pPr>
      <w:r w:rsidRPr="00667CD6">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bookmarkStart w:id="18" w:name="_Hlk204854194"/>
    </w:p>
    <w:p w14:paraId="0C7D47F6" w14:textId="77777777" w:rsidR="00A83E37" w:rsidRPr="00A83E37" w:rsidRDefault="00A83E37" w:rsidP="007E27D9">
      <w:pPr>
        <w:spacing w:after="0" w:line="276" w:lineRule="auto"/>
        <w:ind w:firstLine="709"/>
        <w:jc w:val="both"/>
        <w:rPr>
          <w:rFonts w:ascii="Verdana" w:hAnsi="Verdana" w:cs="Arial"/>
          <w:bCs/>
          <w:color w:val="000000" w:themeColor="text1"/>
        </w:rPr>
      </w:pPr>
    </w:p>
    <w:p w14:paraId="1D3FDD9F" w14:textId="77777777" w:rsidR="007E3C0E" w:rsidRPr="00237877" w:rsidRDefault="007E3C0E" w:rsidP="007E27D9">
      <w:pPr>
        <w:spacing w:after="0" w:line="276" w:lineRule="auto"/>
        <w:jc w:val="both"/>
        <w:rPr>
          <w:rFonts w:ascii="Verdana" w:hAnsi="Verdana" w:cs="Arial"/>
          <w:bCs/>
          <w:color w:val="000000" w:themeColor="text1"/>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8"/>
    </w:p>
    <w:p w14:paraId="3625D94E" w14:textId="77777777" w:rsidR="007E3C0E" w:rsidRPr="005644FE" w:rsidRDefault="007E3C0E" w:rsidP="007E27D9">
      <w:pPr>
        <w:tabs>
          <w:tab w:val="left" w:pos="142"/>
          <w:tab w:val="left" w:pos="284"/>
          <w:tab w:val="left" w:pos="3828"/>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E3C0E" w:rsidRPr="002D2C18" w14:paraId="56134539" w14:textId="77777777" w:rsidTr="00F34076">
        <w:trPr>
          <w:trHeight w:val="56"/>
          <w:jc w:val="center"/>
        </w:trPr>
        <w:tc>
          <w:tcPr>
            <w:tcW w:w="8647" w:type="dxa"/>
          </w:tcPr>
          <w:p w14:paraId="7A861A05" w14:textId="3CE3148D" w:rsidR="00A83E37" w:rsidRPr="00A83E37" w:rsidRDefault="007E3C0E" w:rsidP="007E27D9">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Constitución Política. Artículo 127.</w:t>
            </w:r>
          </w:p>
          <w:p w14:paraId="37AA7CA4" w14:textId="4C1D1147" w:rsidR="00A83E37" w:rsidRPr="007E27D9" w:rsidRDefault="00A83E37" w:rsidP="007E27D9">
            <w:pPr>
              <w:pStyle w:val="Prrafodelista"/>
              <w:numPr>
                <w:ilvl w:val="0"/>
                <w:numId w:val="17"/>
              </w:numPr>
              <w:spacing w:line="276" w:lineRule="auto"/>
              <w:ind w:left="714" w:hanging="357"/>
              <w:jc w:val="both"/>
              <w:rPr>
                <w:rFonts w:ascii="Verdana" w:eastAsia="Aptos" w:hAnsi="Verdana" w:cs="Arial"/>
              </w:rPr>
            </w:pPr>
            <w:r w:rsidRPr="007E27D9">
              <w:rPr>
                <w:rFonts w:ascii="Verdana" w:eastAsia="Aptos" w:hAnsi="Verdana" w:cs="Arial"/>
              </w:rPr>
              <w:t>Código Civil. Artículo 27.</w:t>
            </w:r>
          </w:p>
          <w:p w14:paraId="39F94993" w14:textId="77777777" w:rsidR="00A83E37" w:rsidRPr="00A83E37" w:rsidRDefault="00A83E37" w:rsidP="00235F63">
            <w:pPr>
              <w:pStyle w:val="Prrafodelista"/>
              <w:numPr>
                <w:ilvl w:val="0"/>
                <w:numId w:val="17"/>
              </w:numPr>
              <w:spacing w:line="276" w:lineRule="auto"/>
              <w:jc w:val="both"/>
              <w:rPr>
                <w:rFonts w:ascii="Verdana" w:eastAsia="Aptos" w:hAnsi="Verdana" w:cs="Arial"/>
              </w:rPr>
            </w:pPr>
            <w:r w:rsidRPr="00A83E37">
              <w:rPr>
                <w:rFonts w:ascii="Verdana" w:eastAsia="Aptos" w:hAnsi="Verdana" w:cs="Arial"/>
              </w:rPr>
              <w:t xml:space="preserve">Ley 80 de 1993. Artículo 41. </w:t>
            </w:r>
          </w:p>
          <w:p w14:paraId="720D2289" w14:textId="450A4FF6" w:rsidR="007E3C0E" w:rsidRDefault="007E3C0E" w:rsidP="007E27D9">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Ley 996 de 2005. Artículos 33 y parágrafo del artículo 38.</w:t>
            </w:r>
          </w:p>
          <w:p w14:paraId="7CF2DD53" w14:textId="675E5116" w:rsidR="007E3C0E" w:rsidRPr="003A04BF" w:rsidRDefault="007E3C0E" w:rsidP="007E27D9">
            <w:pPr>
              <w:pStyle w:val="Prrafodelista"/>
              <w:spacing w:line="276" w:lineRule="auto"/>
              <w:ind w:left="714"/>
              <w:jc w:val="both"/>
              <w:rPr>
                <w:rFonts w:ascii="Verdana" w:eastAsia="Aptos" w:hAnsi="Verdana" w:cs="Arial"/>
              </w:rPr>
            </w:pPr>
            <w:r w:rsidRPr="003A04BF">
              <w:rPr>
                <w:rFonts w:ascii="Verdana" w:eastAsia="Aptos" w:hAnsi="Verdana" w:cs="Arial"/>
              </w:rPr>
              <w:t>Ley 1150 de 2007. Artículo 2, numeral 4 literal c).</w:t>
            </w:r>
          </w:p>
          <w:p w14:paraId="157F0AA8" w14:textId="77777777" w:rsidR="007E3C0E" w:rsidRDefault="007E3C0E" w:rsidP="007E27D9">
            <w:pPr>
              <w:pStyle w:val="Prrafodelista"/>
              <w:numPr>
                <w:ilvl w:val="0"/>
                <w:numId w:val="17"/>
              </w:numPr>
              <w:spacing w:line="276" w:lineRule="auto"/>
              <w:ind w:left="714" w:hanging="357"/>
              <w:jc w:val="both"/>
              <w:rPr>
                <w:rFonts w:ascii="Verdana" w:eastAsia="Aptos" w:hAnsi="Verdana" w:cs="Arial"/>
              </w:rPr>
            </w:pPr>
            <w:r w:rsidRPr="002B5AAC">
              <w:rPr>
                <w:rFonts w:ascii="Verdana" w:eastAsia="Aptos" w:hAnsi="Verdana" w:cs="Arial"/>
              </w:rPr>
              <w:t>Consejo de Estado. Sala de lo Contencioso Administrativo. Sección Primera. Sentencia de 3 de marzo de 2005. Radicado: 25001-23-15-000-2004-00823-01 (PI). C.P: Camilo Arciniegas Andrade.</w:t>
            </w:r>
          </w:p>
          <w:p w14:paraId="45C88B33" w14:textId="77777777" w:rsidR="007E3C0E" w:rsidRDefault="007E3C0E" w:rsidP="007E27D9">
            <w:pPr>
              <w:pStyle w:val="Prrafodelista"/>
              <w:numPr>
                <w:ilvl w:val="0"/>
                <w:numId w:val="17"/>
              </w:numPr>
              <w:spacing w:line="276" w:lineRule="auto"/>
              <w:ind w:left="714" w:hanging="357"/>
              <w:jc w:val="both"/>
              <w:rPr>
                <w:rFonts w:ascii="Verdana" w:eastAsia="Aptos" w:hAnsi="Verdana" w:cs="Arial"/>
              </w:rPr>
            </w:pPr>
            <w:r w:rsidRPr="002B5AAC">
              <w:rPr>
                <w:rFonts w:ascii="Verdana" w:eastAsia="Aptos" w:hAnsi="Verdana" w:cs="Arial"/>
              </w:rPr>
              <w:t xml:space="preserve">Consejo de Estado, Sala de Consulta y Servicio Civil. 24 de julio de 2013. Radicado: 11001-03-06-000-2013-00407-00 (2166). C.P. Álvaro Namén Vargas.  </w:t>
            </w:r>
          </w:p>
          <w:p w14:paraId="39910EE6" w14:textId="77777777" w:rsidR="007E3C0E" w:rsidRDefault="007E3C0E" w:rsidP="007E27D9">
            <w:pPr>
              <w:pStyle w:val="Prrafodelista"/>
              <w:numPr>
                <w:ilvl w:val="0"/>
                <w:numId w:val="17"/>
              </w:numPr>
              <w:spacing w:line="276" w:lineRule="auto"/>
              <w:ind w:left="714" w:hanging="357"/>
              <w:jc w:val="both"/>
              <w:rPr>
                <w:rFonts w:ascii="Verdana" w:eastAsia="Aptos" w:hAnsi="Verdana" w:cs="Arial"/>
              </w:rPr>
            </w:pPr>
            <w:r w:rsidRPr="002B5AAC">
              <w:rPr>
                <w:rFonts w:ascii="Verdana" w:eastAsia="Aptos" w:hAnsi="Verdana" w:cs="Arial"/>
              </w:rPr>
              <w:t>Consejo de Estado. Sala de Consulta y Servicio Civil. Concepto del 17 de febrero de 2015. Radicado: 11001-03-06-000-2015-00164-00 (2269). C.P. William Zambrano Cetina.</w:t>
            </w:r>
          </w:p>
          <w:p w14:paraId="0CF57290" w14:textId="77777777" w:rsidR="007E3C0E" w:rsidRDefault="007E3C0E" w:rsidP="007E27D9">
            <w:pPr>
              <w:pStyle w:val="Prrafodelista"/>
              <w:numPr>
                <w:ilvl w:val="0"/>
                <w:numId w:val="17"/>
              </w:numPr>
              <w:spacing w:line="276" w:lineRule="auto"/>
              <w:ind w:left="714" w:hanging="357"/>
              <w:jc w:val="both"/>
              <w:rPr>
                <w:rFonts w:ascii="Verdana" w:eastAsia="Aptos" w:hAnsi="Verdana" w:cs="Arial"/>
              </w:rPr>
            </w:pPr>
            <w:r w:rsidRPr="002B5AAC">
              <w:rPr>
                <w:rFonts w:ascii="Verdana" w:eastAsia="Aptos" w:hAnsi="Verdana" w:cs="Arial"/>
              </w:rPr>
              <w:lastRenderedPageBreak/>
              <w:t>Consejo de Estado. Sala de Consulta y Servicio Civil. Concepto del 2 de septiembre de 2013. Radicación número: 11001-03-06-000-2013-00412-00 (2168). C.P: Álvaro Namén Vargas.</w:t>
            </w:r>
          </w:p>
          <w:p w14:paraId="3F38AC18" w14:textId="77777777" w:rsidR="007E3C0E" w:rsidRPr="002B5AAC" w:rsidRDefault="007E3C0E" w:rsidP="007E27D9">
            <w:pPr>
              <w:pStyle w:val="Prrafodelista"/>
              <w:numPr>
                <w:ilvl w:val="0"/>
                <w:numId w:val="17"/>
              </w:numPr>
              <w:spacing w:line="276" w:lineRule="auto"/>
              <w:ind w:left="714" w:hanging="357"/>
              <w:jc w:val="both"/>
              <w:rPr>
                <w:rFonts w:ascii="Verdana" w:eastAsia="Aptos" w:hAnsi="Verdana" w:cs="Arial"/>
              </w:rPr>
            </w:pPr>
            <w:r w:rsidRPr="002B5AAC">
              <w:rPr>
                <w:rFonts w:ascii="Verdana" w:eastAsia="Aptos" w:hAnsi="Verdana" w:cs="Arial"/>
              </w:rPr>
              <w:t>Consejo de Estado. Sala de Consulta y Servicio Civil, Concepto de 8 de mayo de 2018. Radicación Número: 11001-03-06-000-2018-00095-00 (2382). C.P: Álvaro Namén Vargas.</w:t>
            </w:r>
          </w:p>
          <w:p w14:paraId="7C2EEDE1" w14:textId="77777777" w:rsidR="007E3C0E" w:rsidRDefault="007E3C0E" w:rsidP="007E27D9">
            <w:pPr>
              <w:pStyle w:val="Prrafodelista"/>
              <w:numPr>
                <w:ilvl w:val="0"/>
                <w:numId w:val="17"/>
              </w:numPr>
              <w:spacing w:line="276" w:lineRule="auto"/>
              <w:ind w:left="714" w:hanging="357"/>
              <w:jc w:val="both"/>
              <w:rPr>
                <w:rFonts w:ascii="Verdana" w:eastAsia="Aptos" w:hAnsi="Verdana" w:cs="Arial"/>
              </w:rPr>
            </w:pPr>
            <w:r w:rsidRPr="002D2C18">
              <w:rPr>
                <w:rFonts w:ascii="Verdana" w:eastAsia="Aptos" w:hAnsi="Verdana" w:cs="Arial"/>
              </w:rPr>
              <w:t>Consejo de Estado. Sala de Consulta y Servicio Civil. Concepto de 20 de febrero de 2006. Radicación Número: 11001-03-06-000-2006-00026-00 (1727). C.P: Enrique José Arboleda Perdomo.</w:t>
            </w:r>
          </w:p>
          <w:p w14:paraId="2F68D6C9" w14:textId="77777777" w:rsidR="007E3C0E" w:rsidRDefault="007E3C0E" w:rsidP="007E27D9">
            <w:pPr>
              <w:pStyle w:val="Prrafodelista"/>
              <w:numPr>
                <w:ilvl w:val="0"/>
                <w:numId w:val="17"/>
              </w:numPr>
              <w:spacing w:line="276" w:lineRule="auto"/>
              <w:ind w:left="714" w:hanging="357"/>
              <w:jc w:val="both"/>
              <w:rPr>
                <w:rFonts w:ascii="Verdana" w:eastAsia="Aptos" w:hAnsi="Verdana" w:cs="Arial"/>
              </w:rPr>
            </w:pPr>
            <w:r w:rsidRPr="002D2C18">
              <w:rPr>
                <w:rFonts w:ascii="Verdana" w:eastAsia="Aptos" w:hAnsi="Verdana" w:cs="Arial"/>
              </w:rPr>
              <w:t>Consejo de Estado. Sala de Consulta y Servicio Civil. Concepto de 6 de abril de 2006. Radicación Número: 11001-03-06-000-2006-00038-00 (1738). C.P: Enrique José Arboleda Perdomo</w:t>
            </w:r>
            <w:r>
              <w:rPr>
                <w:rFonts w:ascii="Verdana" w:eastAsia="Aptos" w:hAnsi="Verdana" w:cs="Arial"/>
              </w:rPr>
              <w:t>.</w:t>
            </w:r>
          </w:p>
          <w:p w14:paraId="6404B535" w14:textId="77777777" w:rsidR="007E3C0E" w:rsidRDefault="007E3C0E" w:rsidP="007E27D9">
            <w:pPr>
              <w:pStyle w:val="Prrafodelista"/>
              <w:numPr>
                <w:ilvl w:val="0"/>
                <w:numId w:val="17"/>
              </w:numPr>
              <w:spacing w:line="276" w:lineRule="auto"/>
              <w:ind w:left="714" w:hanging="357"/>
              <w:jc w:val="both"/>
              <w:rPr>
                <w:rFonts w:ascii="Verdana" w:eastAsia="Aptos" w:hAnsi="Verdana" w:cs="Arial"/>
              </w:rPr>
            </w:pPr>
            <w:r w:rsidRPr="002D2C18">
              <w:rPr>
                <w:rFonts w:ascii="Verdana" w:eastAsia="Aptos" w:hAnsi="Verdana" w:cs="Arial"/>
              </w:rPr>
              <w:t>Consejo de Estado</w:t>
            </w:r>
            <w:r>
              <w:rPr>
                <w:rFonts w:ascii="Verdana" w:eastAsia="Aptos" w:hAnsi="Verdana" w:cs="Arial"/>
              </w:rPr>
              <w:t xml:space="preserve">. Sala de lo Contencioso Administrativo. </w:t>
            </w:r>
            <w:r w:rsidRPr="002D2C18">
              <w:rPr>
                <w:rFonts w:ascii="Verdana" w:eastAsia="Aptos" w:hAnsi="Verdana" w:cs="Arial"/>
              </w:rPr>
              <w:t xml:space="preserve">Sección Tercera. </w:t>
            </w:r>
            <w:r>
              <w:rPr>
                <w:rFonts w:ascii="Verdana" w:eastAsia="Aptos" w:hAnsi="Verdana" w:cs="Arial"/>
              </w:rPr>
              <w:t xml:space="preserve">Subsección A. </w:t>
            </w:r>
            <w:r w:rsidRPr="002D2C18">
              <w:rPr>
                <w:rFonts w:ascii="Verdana" w:eastAsia="Aptos" w:hAnsi="Verdana" w:cs="Arial"/>
              </w:rPr>
              <w:t>Sentencia del 21 de febrero de 2025. Radicación Número: 68.280. CP: José Roberto Sáchica Méndez.</w:t>
            </w:r>
          </w:p>
          <w:p w14:paraId="23A8AA71" w14:textId="77777777" w:rsidR="007E3C0E" w:rsidRDefault="007E3C0E" w:rsidP="007E27D9">
            <w:pPr>
              <w:pStyle w:val="Prrafodelista"/>
              <w:numPr>
                <w:ilvl w:val="0"/>
                <w:numId w:val="17"/>
              </w:numPr>
              <w:spacing w:line="276" w:lineRule="auto"/>
              <w:ind w:left="714" w:hanging="357"/>
              <w:jc w:val="both"/>
              <w:rPr>
                <w:rFonts w:ascii="Verdana" w:eastAsia="Aptos" w:hAnsi="Verdana" w:cs="Arial"/>
              </w:rPr>
            </w:pPr>
            <w:r w:rsidRPr="002D2C18">
              <w:rPr>
                <w:rFonts w:ascii="Verdana" w:eastAsia="Aptos" w:hAnsi="Verdana" w:cs="Arial"/>
              </w:rPr>
              <w:t xml:space="preserve">Consejo de Estado. Sala de lo Contencioso Administrativo. Sección Tercera. </w:t>
            </w:r>
            <w:r>
              <w:rPr>
                <w:rFonts w:ascii="Verdana" w:eastAsia="Aptos" w:hAnsi="Verdana" w:cs="Arial"/>
              </w:rPr>
              <w:t xml:space="preserve">Subsección B. </w:t>
            </w:r>
            <w:r w:rsidRPr="002D2C18">
              <w:rPr>
                <w:rFonts w:ascii="Verdana" w:eastAsia="Aptos" w:hAnsi="Verdana" w:cs="Arial"/>
              </w:rPr>
              <w:t xml:space="preserve">Auto del 4 de octubre de 2024. </w:t>
            </w:r>
            <w:proofErr w:type="spellStart"/>
            <w:r w:rsidRPr="002D2C18">
              <w:rPr>
                <w:rFonts w:ascii="Verdana" w:eastAsia="Aptos" w:hAnsi="Verdana" w:cs="Arial"/>
              </w:rPr>
              <w:t>Exp</w:t>
            </w:r>
            <w:proofErr w:type="spellEnd"/>
            <w:r w:rsidRPr="002D2C18">
              <w:rPr>
                <w:rFonts w:ascii="Verdana" w:eastAsia="Aptos" w:hAnsi="Verdana" w:cs="Arial"/>
              </w:rPr>
              <w:t>. 70.313. C.P: Fredy Ibarra Martínez.</w:t>
            </w:r>
          </w:p>
          <w:p w14:paraId="189F7204" w14:textId="77777777" w:rsidR="007E3C0E" w:rsidRPr="002B5AAC" w:rsidRDefault="007E3C0E" w:rsidP="007E27D9">
            <w:pPr>
              <w:pStyle w:val="Prrafodelista"/>
              <w:numPr>
                <w:ilvl w:val="0"/>
                <w:numId w:val="17"/>
              </w:numPr>
              <w:spacing w:line="276" w:lineRule="auto"/>
              <w:ind w:left="714" w:hanging="357"/>
              <w:jc w:val="both"/>
              <w:rPr>
                <w:rFonts w:ascii="Verdana" w:eastAsia="Aptos" w:hAnsi="Verdana" w:cs="Arial"/>
              </w:rPr>
            </w:pPr>
            <w:r w:rsidRPr="002D2C18">
              <w:rPr>
                <w:rFonts w:ascii="Verdana" w:eastAsia="Aptos" w:hAnsi="Verdana" w:cs="Arial"/>
              </w:rPr>
              <w:t>Consejo de Estado. Sala de lo Contencioso Administrativo. Sección Tercera.</w:t>
            </w:r>
            <w:r>
              <w:rPr>
                <w:rFonts w:ascii="Verdana" w:eastAsia="Aptos" w:hAnsi="Verdana" w:cs="Arial"/>
              </w:rPr>
              <w:t xml:space="preserve"> Subsección A.</w:t>
            </w:r>
            <w:r w:rsidRPr="002D2C18">
              <w:rPr>
                <w:rFonts w:ascii="Verdana" w:eastAsia="Aptos" w:hAnsi="Verdana" w:cs="Arial"/>
              </w:rPr>
              <w:t xml:space="preserve"> Auto del 6 de noviembre de 2025. </w:t>
            </w:r>
            <w:proofErr w:type="spellStart"/>
            <w:r w:rsidRPr="002D2C18">
              <w:rPr>
                <w:rFonts w:ascii="Verdana" w:eastAsia="Aptos" w:hAnsi="Verdana" w:cs="Arial"/>
              </w:rPr>
              <w:t>Exp</w:t>
            </w:r>
            <w:proofErr w:type="spellEnd"/>
            <w:r w:rsidRPr="002D2C18">
              <w:rPr>
                <w:rFonts w:ascii="Verdana" w:eastAsia="Aptos" w:hAnsi="Verdana" w:cs="Arial"/>
              </w:rPr>
              <w:t>. 72.424. C.P: Fernando Alexei Pardo Flórez.</w:t>
            </w:r>
          </w:p>
          <w:p w14:paraId="37E5C970" w14:textId="77777777" w:rsidR="007E3C0E" w:rsidRPr="002B5AAC" w:rsidRDefault="007E3C0E" w:rsidP="007E27D9">
            <w:pPr>
              <w:pStyle w:val="Prrafodelista"/>
              <w:numPr>
                <w:ilvl w:val="0"/>
                <w:numId w:val="17"/>
              </w:numPr>
              <w:spacing w:line="276" w:lineRule="auto"/>
              <w:ind w:left="714" w:hanging="357"/>
              <w:jc w:val="both"/>
              <w:rPr>
                <w:rFonts w:ascii="Verdana" w:eastAsia="Aptos" w:hAnsi="Verdana" w:cs="Arial"/>
              </w:rPr>
            </w:pPr>
            <w:r w:rsidRPr="002B5AAC">
              <w:rPr>
                <w:rFonts w:ascii="Verdana" w:eastAsia="Aptos" w:hAnsi="Verdana" w:cs="Arial"/>
              </w:rPr>
              <w:t>Corte Constitucional. Sentencia C- 1153 de 2005, M.P: Marco Gerardo Monroy Cabra.</w:t>
            </w:r>
            <w:r w:rsidRPr="002B5AAC">
              <w:rPr>
                <w:rFonts w:ascii="Verdana" w:eastAsia="Aptos" w:hAnsi="Verdana" w:cs="Arial"/>
              </w:rPr>
              <w:tab/>
            </w:r>
          </w:p>
          <w:p w14:paraId="056D9A31" w14:textId="77777777" w:rsidR="007E3C0E" w:rsidRDefault="007E3C0E" w:rsidP="007E27D9">
            <w:pPr>
              <w:pStyle w:val="Prrafodelista"/>
              <w:numPr>
                <w:ilvl w:val="0"/>
                <w:numId w:val="17"/>
              </w:numPr>
              <w:spacing w:line="276" w:lineRule="auto"/>
              <w:ind w:left="714" w:hanging="357"/>
              <w:jc w:val="both"/>
              <w:rPr>
                <w:rFonts w:ascii="Verdana" w:eastAsia="Aptos" w:hAnsi="Verdana" w:cs="Arial"/>
              </w:rPr>
            </w:pPr>
            <w:r w:rsidRPr="002B5AAC">
              <w:rPr>
                <w:rFonts w:ascii="Verdana" w:eastAsia="Aptos" w:hAnsi="Verdana" w:cs="Arial"/>
              </w:rPr>
              <w:t>Corte Constitucional. Sentencia C-233 de 4 de abril de 2002. M.P: Álvaro Tafur Galvis</w:t>
            </w:r>
            <w:r>
              <w:rPr>
                <w:rFonts w:ascii="Verdana" w:eastAsia="Aptos" w:hAnsi="Verdana" w:cs="Arial"/>
              </w:rPr>
              <w:t>.</w:t>
            </w:r>
          </w:p>
          <w:p w14:paraId="58C10EBC" w14:textId="77777777" w:rsidR="007E3C0E" w:rsidRDefault="007E3C0E" w:rsidP="007E27D9">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C</w:t>
            </w:r>
            <w:r w:rsidRPr="002B5AAC">
              <w:rPr>
                <w:rFonts w:ascii="Verdana" w:eastAsia="Aptos" w:hAnsi="Verdana" w:cs="Arial"/>
              </w:rPr>
              <w:t>orte Constitucional. Sentencia C-551 de 9 de julio de 2003. M.P: Eduardo Montealegre Lynnet</w:t>
            </w:r>
            <w:r>
              <w:rPr>
                <w:rFonts w:ascii="Verdana" w:eastAsia="Aptos" w:hAnsi="Verdana" w:cs="Arial"/>
              </w:rPr>
              <w:t>.</w:t>
            </w:r>
          </w:p>
          <w:p w14:paraId="015F2056" w14:textId="77777777" w:rsidR="007E3C0E" w:rsidRDefault="007E3C0E" w:rsidP="007E27D9">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C</w:t>
            </w:r>
            <w:r w:rsidRPr="002B5AAC">
              <w:rPr>
                <w:rFonts w:ascii="Verdana" w:eastAsia="Aptos" w:hAnsi="Verdana" w:cs="Arial"/>
              </w:rPr>
              <w:t xml:space="preserve">orte Constitucional. Sentencia C-353 de 20 de mayo de 2009. M.P: Jorge Iván Palacio </w:t>
            </w:r>
            <w:proofErr w:type="spellStart"/>
            <w:r w:rsidRPr="002B5AAC">
              <w:rPr>
                <w:rFonts w:ascii="Verdana" w:eastAsia="Aptos" w:hAnsi="Verdana" w:cs="Arial"/>
              </w:rPr>
              <w:t>Palacio</w:t>
            </w:r>
            <w:proofErr w:type="spellEnd"/>
            <w:r>
              <w:rPr>
                <w:rFonts w:ascii="Verdana" w:eastAsia="Aptos" w:hAnsi="Verdana" w:cs="Arial"/>
              </w:rPr>
              <w:t>.</w:t>
            </w:r>
          </w:p>
          <w:p w14:paraId="39683525" w14:textId="77777777" w:rsidR="007E3C0E" w:rsidRDefault="007E3C0E" w:rsidP="007E27D9">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C</w:t>
            </w:r>
            <w:r w:rsidRPr="002B5AAC">
              <w:rPr>
                <w:rFonts w:ascii="Verdana" w:eastAsia="Aptos" w:hAnsi="Verdana" w:cs="Arial"/>
              </w:rPr>
              <w:t>orte Constitucional. Sentencia C-541 de 30 de junio de 2010. M.P: Gabriel Eduardo Mendoza Martelo</w:t>
            </w:r>
            <w:r>
              <w:rPr>
                <w:rFonts w:ascii="Verdana" w:eastAsia="Aptos" w:hAnsi="Verdana" w:cs="Arial"/>
              </w:rPr>
              <w:t>.</w:t>
            </w:r>
          </w:p>
          <w:p w14:paraId="6DCBA53B" w14:textId="77777777" w:rsidR="007E3C0E" w:rsidRPr="002D2C18" w:rsidRDefault="007E3C0E" w:rsidP="007E27D9">
            <w:pPr>
              <w:pStyle w:val="Prrafodelista"/>
              <w:numPr>
                <w:ilvl w:val="0"/>
                <w:numId w:val="17"/>
              </w:numPr>
              <w:spacing w:line="276" w:lineRule="auto"/>
              <w:ind w:left="714" w:hanging="357"/>
              <w:jc w:val="both"/>
              <w:rPr>
                <w:rFonts w:ascii="Verdana" w:eastAsia="Aptos" w:hAnsi="Verdana" w:cs="Arial"/>
              </w:rPr>
            </w:pPr>
            <w:r w:rsidRPr="00A83E37">
              <w:rPr>
                <w:rFonts w:ascii="Verdana" w:eastAsia="Aptos" w:hAnsi="Verdana" w:cs="Arial"/>
                <w:lang w:val="es-CO"/>
              </w:rPr>
              <w:t xml:space="preserve">Circular </w:t>
            </w:r>
            <w:r w:rsidRPr="00A83E37">
              <w:rPr>
                <w:rFonts w:ascii="Verdana" w:eastAsia="Aptos" w:hAnsi="Verdana" w:cs="Arial"/>
              </w:rPr>
              <w:t xml:space="preserve">única Externa. </w:t>
            </w:r>
            <w:r w:rsidRPr="00A83E37">
              <w:rPr>
                <w:rFonts w:ascii="Verdana" w:eastAsia="Aptos" w:hAnsi="Verdana" w:cs="Arial"/>
                <w:lang w:val="es-CO"/>
              </w:rPr>
              <w:t xml:space="preserve">Disponible en </w:t>
            </w:r>
            <w:hyperlink r:id="rId13" w:history="1">
              <w:r w:rsidRPr="00A83E37">
                <w:rPr>
                  <w:rStyle w:val="Hipervnculo"/>
                  <w:rFonts w:ascii="Verdana" w:hAnsi="Verdana"/>
                  <w:lang w:val="es-CO"/>
                </w:rPr>
                <w:t>circular_externa_unica_version_3_vf49.pdf</w:t>
              </w:r>
            </w:hyperlink>
          </w:p>
          <w:p w14:paraId="388EB71A" w14:textId="77777777" w:rsidR="007E3C0E" w:rsidRPr="002D2C18" w:rsidRDefault="007E3C0E" w:rsidP="007E27D9">
            <w:pPr>
              <w:pStyle w:val="Prrafodelista"/>
              <w:numPr>
                <w:ilvl w:val="0"/>
                <w:numId w:val="17"/>
              </w:numPr>
              <w:spacing w:line="276" w:lineRule="auto"/>
              <w:ind w:left="714" w:hanging="357"/>
              <w:jc w:val="both"/>
              <w:rPr>
                <w:rFonts w:ascii="Verdana" w:eastAsia="Aptos" w:hAnsi="Verdana" w:cs="Arial"/>
              </w:rPr>
            </w:pPr>
            <w:r w:rsidRPr="002D2C18">
              <w:rPr>
                <w:rFonts w:ascii="Verdana" w:hAnsi="Verdana"/>
              </w:rPr>
              <w:t xml:space="preserve">Circular Externa 006 del 25 de septiembre de 2025. </w:t>
            </w:r>
            <w:r w:rsidRPr="00A83E37">
              <w:rPr>
                <w:rFonts w:ascii="Verdana" w:hAnsi="Verdana"/>
              </w:rPr>
              <w:t xml:space="preserve">Disponible en </w:t>
            </w:r>
            <w:hyperlink r:id="rId14" w:history="1">
              <w:r w:rsidRPr="00A83E37">
                <w:rPr>
                  <w:rStyle w:val="Hipervnculo"/>
                  <w:rFonts w:ascii="Verdana" w:hAnsi="Verdana"/>
                  <w:lang w:val="es-CO"/>
                </w:rPr>
                <w:t>006-de-2025-Circular-Externa-L996-ajustado-comentarios-BM-BID-Rev-ARSC-V3.d-1.pdf</w:t>
              </w:r>
            </w:hyperlink>
            <w:r w:rsidRPr="00A83E37">
              <w:rPr>
                <w:rFonts w:ascii="Verdana" w:hAnsi="Verdana"/>
              </w:rPr>
              <w:t xml:space="preserve"> </w:t>
            </w:r>
          </w:p>
        </w:tc>
      </w:tr>
    </w:tbl>
    <w:p w14:paraId="6A94993A" w14:textId="77777777" w:rsidR="007E3C0E" w:rsidRPr="005644FE" w:rsidRDefault="007E3C0E" w:rsidP="007E3C0E">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lastRenderedPageBreak/>
        <w:t>5. Doctrina de la Agencia Nacional de Contratación Pública:</w:t>
      </w:r>
    </w:p>
    <w:p w14:paraId="61C724A1" w14:textId="77777777" w:rsidR="007E3C0E" w:rsidRDefault="007E3C0E" w:rsidP="00235F63">
      <w:pPr>
        <w:widowControl w:val="0"/>
        <w:autoSpaceDE w:val="0"/>
        <w:autoSpaceDN w:val="0"/>
        <w:spacing w:after="0" w:line="240" w:lineRule="auto"/>
        <w:jc w:val="both"/>
        <w:rPr>
          <w:rFonts w:ascii="Verdana" w:eastAsia="Aptos" w:hAnsi="Verdana" w:cs="Arial"/>
          <w:shd w:val="clear" w:color="auto" w:fill="FFFFFF"/>
          <w:lang w:val="es-ES"/>
        </w:rPr>
      </w:pPr>
    </w:p>
    <w:p w14:paraId="2FD5172C" w14:textId="2B88656B" w:rsidR="007E3C0E" w:rsidRDefault="007E3C0E" w:rsidP="00A83E37">
      <w:pPr>
        <w:widowControl w:val="0"/>
        <w:autoSpaceDE w:val="0"/>
        <w:autoSpaceDN w:val="0"/>
        <w:spacing w:after="0" w:line="276" w:lineRule="auto"/>
        <w:jc w:val="both"/>
        <w:rPr>
          <w:rFonts w:ascii="Verdana" w:hAnsi="Verdana" w:cs="Arial"/>
          <w:color w:val="000000" w:themeColor="text1"/>
          <w:shd w:val="clear" w:color="auto" w:fill="FFFFFF"/>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C-1491 del 20 de noviembre de 2025, C- 1492 del </w:t>
      </w:r>
      <w:r>
        <w:rPr>
          <w:rFonts w:ascii="Verdana" w:hAnsi="Verdana"/>
        </w:rPr>
        <w:t xml:space="preserve">21 de noviembre del 2025, C-1629 y C-1646 del 17 de diciembre de 2025, C-1662 del 22 de diciembre de 2025, </w:t>
      </w:r>
      <w:r w:rsidRPr="00391BAD">
        <w:rPr>
          <w:rFonts w:ascii="Verdana" w:hAnsi="Verdana"/>
        </w:rPr>
        <w:t xml:space="preserve">entre otros. </w:t>
      </w:r>
      <w:r w:rsidRPr="00391BAD">
        <w:rPr>
          <w:rFonts w:ascii="Verdana" w:eastAsia="Aptos" w:hAnsi="Verdana" w:cs="Arial"/>
          <w:shd w:val="clear" w:color="auto" w:fill="FFFFFF"/>
          <w:lang w:val="es-ES"/>
        </w:rPr>
        <w:t>Estos y otros conceptos se encuentran disponibles para consulta</w:t>
      </w:r>
      <w:r w:rsidRPr="00391BAD">
        <w:rPr>
          <w:rFonts w:ascii="Verdana" w:eastAsia="Calibri" w:hAnsi="Verdana" w:cs="Arial"/>
        </w:rPr>
        <w:t xml:space="preserve"> </w:t>
      </w:r>
      <w:r w:rsidRPr="00391BAD">
        <w:rPr>
          <w:rFonts w:ascii="Verdana" w:hAnsi="Verdana"/>
        </w:rPr>
        <w:t>en el Sistema de relatoría de la Agencia, al cual se puede acceder a través del siguiente enlace:</w:t>
      </w:r>
      <w:r w:rsidRPr="00391BAD">
        <w:rPr>
          <w:rFonts w:ascii="Verdana" w:hAnsi="Verdana" w:cs="Arial"/>
          <w:shd w:val="clear" w:color="auto" w:fill="FFFFFF"/>
        </w:rPr>
        <w:t xml:space="preserve"> </w:t>
      </w:r>
      <w:hyperlink r:id="rId15" w:history="1">
        <w:r w:rsidRPr="00A83E37">
          <w:rPr>
            <w:rStyle w:val="Hipervnculo"/>
            <w:rFonts w:ascii="Verdana" w:hAnsi="Verdana" w:cs="Arial"/>
            <w:shd w:val="clear" w:color="auto" w:fill="FFFFFF"/>
          </w:rPr>
          <w:t>https://relatoria.colombiacompra.gov.co/busqueda/conceptos</w:t>
        </w:r>
      </w:hyperlink>
      <w:r w:rsidRPr="00A83E37">
        <w:rPr>
          <w:rFonts w:ascii="Verdana" w:hAnsi="Verdana" w:cs="Arial"/>
          <w:shd w:val="clear" w:color="auto" w:fill="FFFFFF"/>
        </w:rPr>
        <w:t>.</w:t>
      </w:r>
      <w:r w:rsidRPr="00A83E37">
        <w:rPr>
          <w:rFonts w:ascii="Verdana" w:hAnsi="Verdana" w:cs="Arial"/>
          <w:color w:val="FF0000"/>
          <w:shd w:val="clear" w:color="auto" w:fill="FFFFFF"/>
        </w:rPr>
        <w:t xml:space="preserve"> </w:t>
      </w:r>
      <w:r w:rsidRPr="00A83E37">
        <w:rPr>
          <w:rFonts w:ascii="Verdana" w:hAnsi="Verdana" w:cs="Arial"/>
          <w:color w:val="000000" w:themeColor="text1"/>
          <w:shd w:val="clear" w:color="auto" w:fill="FFFFFF"/>
        </w:rPr>
        <w:t>  </w:t>
      </w:r>
    </w:p>
    <w:p w14:paraId="2AA78B9F" w14:textId="77777777" w:rsidR="00A83E37" w:rsidRPr="00A83E37" w:rsidRDefault="00A83E37" w:rsidP="007E27D9">
      <w:pPr>
        <w:widowControl w:val="0"/>
        <w:autoSpaceDE w:val="0"/>
        <w:autoSpaceDN w:val="0"/>
        <w:spacing w:after="0" w:line="276" w:lineRule="auto"/>
        <w:jc w:val="both"/>
        <w:rPr>
          <w:rFonts w:ascii="Verdana" w:hAnsi="Verdana" w:cs="Arial"/>
          <w:shd w:val="clear" w:color="auto" w:fill="FFFFFF"/>
          <w:lang w:val="es-ES"/>
        </w:rPr>
      </w:pPr>
    </w:p>
    <w:p w14:paraId="1CE6AEEE" w14:textId="77777777" w:rsidR="007E3C0E" w:rsidRPr="00116940" w:rsidRDefault="007E3C0E" w:rsidP="007E27D9">
      <w:pPr>
        <w:spacing w:after="0" w:line="276" w:lineRule="auto"/>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58D19FED" w14:textId="77777777" w:rsidR="007E3C0E" w:rsidRPr="00116940" w:rsidRDefault="007E3C0E" w:rsidP="007E27D9">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CF11B2A" w14:textId="77777777" w:rsidR="007E3C0E" w:rsidRPr="00116940" w:rsidRDefault="007E3C0E" w:rsidP="007E27D9">
      <w:pPr>
        <w:pStyle w:val="Prrafodelista"/>
        <w:numPr>
          <w:ilvl w:val="0"/>
          <w:numId w:val="15"/>
        </w:numPr>
        <w:spacing w:after="0" w:line="276" w:lineRule="auto"/>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48AC12D1" w14:textId="77777777" w:rsidR="007E3C0E" w:rsidRPr="00116940" w:rsidRDefault="007E3C0E" w:rsidP="007E27D9">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0C5ABFCF" w14:textId="77777777" w:rsidR="007E3C0E" w:rsidRPr="00116940" w:rsidRDefault="007E3C0E" w:rsidP="007E27D9">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107D208C" w14:textId="77777777" w:rsidR="007E3C0E" w:rsidRPr="00116940" w:rsidRDefault="007E3C0E" w:rsidP="007E27D9">
      <w:pPr>
        <w:spacing w:after="0" w:line="276" w:lineRule="auto"/>
        <w:ind w:left="720"/>
        <w:jc w:val="both"/>
        <w:rPr>
          <w:rFonts w:ascii="Verdana" w:hAnsi="Verdana"/>
        </w:rPr>
      </w:pPr>
    </w:p>
    <w:p w14:paraId="2B56651D" w14:textId="77777777" w:rsidR="007E3C0E" w:rsidRDefault="007E3C0E" w:rsidP="007E27D9">
      <w:pPr>
        <w:spacing w:after="0" w:line="276" w:lineRule="auto"/>
        <w:jc w:val="both"/>
        <w:rPr>
          <w:rFonts w:ascii="Verdana" w:hAnsi="Verdana"/>
        </w:rPr>
      </w:pPr>
      <w:r w:rsidRPr="00116940">
        <w:rPr>
          <w:rFonts w:ascii="Verdana" w:hAnsi="Verdana"/>
        </w:rPr>
        <w:lastRenderedPageBreak/>
        <w:t>Evalúa el servicio que ofrece la Agencia por el canal de atención de PQRSD en el siguiente enlace:</w:t>
      </w:r>
      <w:r>
        <w:rPr>
          <w:rFonts w:ascii="Verdana" w:hAnsi="Verdana"/>
        </w:rPr>
        <w:t xml:space="preserve"> </w:t>
      </w:r>
      <w:hyperlink r:id="rId18" w:history="1">
        <w:r w:rsidRPr="00A83E37">
          <w:rPr>
            <w:rStyle w:val="Hipervnculo"/>
            <w:rFonts w:ascii="Verdana" w:eastAsia="Verdana" w:hAnsi="Verdana" w:cs="Verdana"/>
            <w:lang w:val="es-MX"/>
          </w:rPr>
          <w:t>https://forms.office.com/r/pPHyWVs2SZ</w:t>
        </w:r>
      </w:hyperlink>
      <w:r w:rsidRPr="007E27D9">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2C71E39A" w14:textId="77777777" w:rsidR="007E3C0E" w:rsidRPr="00116940" w:rsidRDefault="007E3C0E" w:rsidP="007E27D9">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8354B29" w14:textId="77777777" w:rsidR="007E3C0E" w:rsidRPr="00116940" w:rsidRDefault="007E3C0E" w:rsidP="007E27D9">
      <w:pPr>
        <w:spacing w:after="0" w:line="276" w:lineRule="auto"/>
        <w:jc w:val="both"/>
        <w:rPr>
          <w:rFonts w:ascii="Verdana" w:hAnsi="Verdana"/>
        </w:rPr>
      </w:pPr>
    </w:p>
    <w:p w14:paraId="1F9130EC" w14:textId="77777777" w:rsidR="007E3C0E" w:rsidRPr="00116940" w:rsidRDefault="007E3C0E" w:rsidP="007E27D9">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00E9D16" w14:textId="77777777" w:rsidR="007E3C0E" w:rsidRPr="00116940" w:rsidRDefault="007E3C0E" w:rsidP="007E27D9">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BAD162D" w14:textId="77777777" w:rsidR="007E3C0E" w:rsidRPr="00116940" w:rsidRDefault="007E3C0E" w:rsidP="007E27D9">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DCE7D29" w14:textId="77777777" w:rsidR="007E3C0E" w:rsidRDefault="007E3C0E" w:rsidP="007E27D9">
      <w:pPr>
        <w:spacing w:after="0" w:line="276" w:lineRule="auto"/>
        <w:jc w:val="both"/>
        <w:rPr>
          <w:rFonts w:ascii="Verdana" w:hAnsi="Verdana"/>
          <w:lang w:val="es-MX"/>
        </w:rPr>
      </w:pPr>
    </w:p>
    <w:p w14:paraId="15A45AEC" w14:textId="77777777" w:rsidR="007E3C0E" w:rsidRPr="00330029" w:rsidRDefault="007E3C0E" w:rsidP="007E27D9">
      <w:pPr>
        <w:spacing w:after="0" w:line="276" w:lineRule="auto"/>
        <w:jc w:val="both"/>
        <w:rPr>
          <w:rFonts w:ascii="Verdana" w:hAnsi="Verdana"/>
          <w:lang w:val="es-MX"/>
        </w:rPr>
      </w:pPr>
      <w:r w:rsidRPr="00E02524">
        <w:rPr>
          <w:rFonts w:ascii="Verdana" w:hAnsi="Verdana"/>
          <w:lang w:val="es-MX"/>
        </w:rPr>
        <w:t>Cordialmente,</w:t>
      </w:r>
    </w:p>
    <w:p w14:paraId="5D40DF15" w14:textId="5F23F2D9" w:rsidR="007E3C0E" w:rsidRDefault="008E2DE7" w:rsidP="007E3C0E">
      <w:pPr>
        <w:spacing w:after="0" w:line="256" w:lineRule="auto"/>
        <w:jc w:val="center"/>
        <w:rPr>
          <w:rFonts w:ascii="Verdana" w:eastAsia="Calibri" w:hAnsi="Verdana" w:cs="Times New Roman"/>
        </w:rPr>
      </w:pPr>
      <w:r>
        <w:rPr>
          <w:noProof/>
        </w:rPr>
        <w:drawing>
          <wp:inline distT="0" distB="0" distL="0" distR="0" wp14:anchorId="424587DC" wp14:editId="0079E708">
            <wp:extent cx="3962400" cy="1866900"/>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9"/>
                    <a:stretch>
                      <a:fillRect/>
                    </a:stretch>
                  </pic:blipFill>
                  <pic:spPr>
                    <a:xfrm>
                      <a:off x="0" y="0"/>
                      <a:ext cx="3962400" cy="1866900"/>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7E3C0E" w:rsidRPr="005644FE" w14:paraId="04375D0E" w14:textId="77777777" w:rsidTr="00F34076">
        <w:trPr>
          <w:trHeight w:val="315"/>
        </w:trPr>
        <w:tc>
          <w:tcPr>
            <w:tcW w:w="893" w:type="dxa"/>
            <w:vAlign w:val="center"/>
            <w:hideMark/>
          </w:tcPr>
          <w:p w14:paraId="1CBB102F" w14:textId="77777777" w:rsidR="007E3C0E" w:rsidRPr="005644FE" w:rsidRDefault="007E3C0E" w:rsidP="00F34076">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F688F99" w14:textId="77777777" w:rsidR="007E3C0E" w:rsidRPr="005644FE" w:rsidRDefault="007E3C0E" w:rsidP="00F34076">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7959C715" w14:textId="77777777" w:rsidR="007E3C0E" w:rsidRPr="005644FE" w:rsidRDefault="007E3C0E" w:rsidP="00F34076">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7E3C0E" w:rsidRPr="005644FE" w14:paraId="0A8B5662" w14:textId="77777777" w:rsidTr="00F34076">
        <w:trPr>
          <w:trHeight w:val="330"/>
        </w:trPr>
        <w:tc>
          <w:tcPr>
            <w:tcW w:w="893" w:type="dxa"/>
            <w:vAlign w:val="center"/>
            <w:hideMark/>
          </w:tcPr>
          <w:p w14:paraId="5AF98F44" w14:textId="77777777" w:rsidR="007E3C0E" w:rsidRPr="005644FE" w:rsidRDefault="007E3C0E" w:rsidP="00F34076">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32FA11D9" w14:textId="77777777" w:rsidR="007E3C0E" w:rsidRPr="0004340D" w:rsidRDefault="007E3C0E" w:rsidP="00F34076">
            <w:pPr>
              <w:pStyle w:val="paragraph"/>
              <w:spacing w:before="0" w:beforeAutospacing="0" w:after="0" w:afterAutospacing="0"/>
              <w:contextualSpacing/>
              <w:textAlignment w:val="baseline"/>
              <w:rPr>
                <w:rStyle w:val="normaltextrun"/>
                <w:rFonts w:ascii="Verdana" w:hAnsi="Verdana"/>
                <w:sz w:val="16"/>
                <w:szCs w:val="16"/>
              </w:rPr>
            </w:pPr>
            <w:r w:rsidRPr="0004340D">
              <w:rPr>
                <w:rStyle w:val="normaltextrun"/>
                <w:rFonts w:ascii="Verdana" w:hAnsi="Verdana"/>
                <w:sz w:val="16"/>
                <w:szCs w:val="16"/>
              </w:rPr>
              <w:t>Diana Lucía Saavedra Castañeda</w:t>
            </w:r>
          </w:p>
          <w:p w14:paraId="3E8B8C1F" w14:textId="77777777" w:rsidR="007E3C0E" w:rsidRPr="005644FE" w:rsidRDefault="007E3C0E" w:rsidP="00F34076">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7E3C0E" w:rsidRPr="005644FE" w14:paraId="0C6C24AE" w14:textId="77777777" w:rsidTr="00F34076">
        <w:trPr>
          <w:trHeight w:val="300"/>
        </w:trPr>
        <w:tc>
          <w:tcPr>
            <w:tcW w:w="893" w:type="dxa"/>
            <w:vAlign w:val="center"/>
          </w:tcPr>
          <w:p w14:paraId="1E7DAE44" w14:textId="77777777" w:rsidR="007E3C0E" w:rsidRPr="005644FE" w:rsidRDefault="007E3C0E" w:rsidP="00F34076">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5693372D" w14:textId="77777777" w:rsidR="007E3C0E" w:rsidRPr="005644FE" w:rsidRDefault="007E3C0E" w:rsidP="00F34076">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68B89655" w14:textId="77777777" w:rsidR="007E3C0E" w:rsidRPr="005644FE" w:rsidRDefault="007E3C0E" w:rsidP="00F34076">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2BC7ECF9" w14:textId="77777777" w:rsidR="007E3C0E" w:rsidRDefault="007E3C0E" w:rsidP="007E3C0E"/>
    <w:bookmarkEnd w:id="0"/>
    <w:bookmarkEnd w:id="1"/>
    <w:p w14:paraId="0F293BF4" w14:textId="6003BF4D" w:rsidR="00127233" w:rsidRPr="00DA7239" w:rsidRDefault="00127233" w:rsidP="00DA7239"/>
    <w:sectPr w:rsidR="00127233" w:rsidRPr="00DA7239"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09DDC" w14:textId="77777777" w:rsidR="00DA4D88" w:rsidRDefault="00DA4D88" w:rsidP="004A1847">
      <w:pPr>
        <w:spacing w:after="0" w:line="240" w:lineRule="auto"/>
      </w:pPr>
      <w:r>
        <w:separator/>
      </w:r>
    </w:p>
  </w:endnote>
  <w:endnote w:type="continuationSeparator" w:id="0">
    <w:p w14:paraId="3E8B2E07" w14:textId="77777777" w:rsidR="00DA4D88" w:rsidRDefault="00DA4D8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288C72" w14:textId="77777777" w:rsidR="00DA4D88" w:rsidRDefault="00DA4D88" w:rsidP="004A1847">
      <w:pPr>
        <w:spacing w:after="0" w:line="240" w:lineRule="auto"/>
      </w:pPr>
      <w:r>
        <w:separator/>
      </w:r>
    </w:p>
  </w:footnote>
  <w:footnote w:type="continuationSeparator" w:id="0">
    <w:p w14:paraId="2CF8E16D" w14:textId="77777777" w:rsidR="00DA4D88" w:rsidRDefault="00DA4D88" w:rsidP="004A1847">
      <w:pPr>
        <w:spacing w:after="0" w:line="240" w:lineRule="auto"/>
      </w:pPr>
      <w:r>
        <w:continuationSeparator/>
      </w:r>
    </w:p>
  </w:footnote>
  <w:footnote w:id="1">
    <w:p w14:paraId="014068FF" w14:textId="77777777" w:rsidR="007E3C0E" w:rsidRPr="007E27D9" w:rsidRDefault="007E3C0E" w:rsidP="007E27D9">
      <w:pPr>
        <w:pStyle w:val="Textonotapie"/>
        <w:ind w:firstLine="709"/>
        <w:jc w:val="both"/>
        <w:rPr>
          <w:rFonts w:ascii="Verdana" w:hAnsi="Verdana" w:cs="Arial"/>
          <w:sz w:val="14"/>
          <w:szCs w:val="14"/>
        </w:rPr>
      </w:pPr>
      <w:r w:rsidRPr="007E27D9">
        <w:rPr>
          <w:rStyle w:val="Refdenotaalpie"/>
          <w:rFonts w:ascii="Verdana" w:hAnsi="Verdana" w:cs="Arial"/>
          <w:sz w:val="14"/>
          <w:szCs w:val="14"/>
        </w:rPr>
        <w:footnoteRef/>
      </w:r>
      <w:r w:rsidRPr="007E27D9">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F08A920" w14:textId="77777777" w:rsidR="007E3C0E" w:rsidRPr="007E27D9" w:rsidRDefault="007E3C0E" w:rsidP="007E27D9">
      <w:pPr>
        <w:pStyle w:val="Textonotapie"/>
        <w:ind w:firstLine="709"/>
        <w:jc w:val="both"/>
        <w:rPr>
          <w:rFonts w:ascii="Verdana" w:hAnsi="Verdana" w:cs="Arial"/>
          <w:sz w:val="14"/>
          <w:szCs w:val="14"/>
        </w:rPr>
      </w:pPr>
      <w:r w:rsidRPr="007E27D9">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A4CE3BB" w14:textId="77777777" w:rsidR="007E3C0E" w:rsidRPr="007E27D9" w:rsidRDefault="007E3C0E" w:rsidP="007E27D9">
      <w:pPr>
        <w:pStyle w:val="Textonotapie"/>
        <w:ind w:firstLine="709"/>
        <w:jc w:val="both"/>
        <w:rPr>
          <w:rFonts w:ascii="Verdana" w:hAnsi="Verdana" w:cs="Arial"/>
          <w:sz w:val="14"/>
          <w:szCs w:val="14"/>
        </w:rPr>
      </w:pPr>
    </w:p>
  </w:footnote>
  <w:footnote w:id="2">
    <w:p w14:paraId="62C93743" w14:textId="77777777" w:rsidR="007E3C0E" w:rsidRPr="007E27D9" w:rsidRDefault="007E3C0E" w:rsidP="007E27D9">
      <w:pPr>
        <w:pStyle w:val="Textonotapie"/>
        <w:ind w:firstLine="709"/>
        <w:jc w:val="both"/>
        <w:rPr>
          <w:rFonts w:ascii="Verdana" w:hAnsi="Verdana" w:cs="Arial"/>
          <w:sz w:val="14"/>
          <w:szCs w:val="14"/>
        </w:rPr>
      </w:pPr>
      <w:r w:rsidRPr="007E27D9">
        <w:rPr>
          <w:rStyle w:val="Refdenotaalpie"/>
          <w:rFonts w:ascii="Verdana" w:hAnsi="Verdana" w:cs="Arial"/>
          <w:sz w:val="14"/>
          <w:szCs w:val="14"/>
        </w:rPr>
        <w:footnoteRef/>
      </w:r>
      <w:r w:rsidRPr="007E27D9">
        <w:rPr>
          <w:rFonts w:ascii="Verdana" w:hAnsi="Verdana" w:cs="Arial"/>
          <w:sz w:val="14"/>
          <w:szCs w:val="14"/>
        </w:rPr>
        <w:t xml:space="preserve"> Gaceta del Congreso de la República No. 71 del 2005.</w:t>
      </w:r>
    </w:p>
    <w:p w14:paraId="5C5A01FB" w14:textId="77777777" w:rsidR="007E3C0E" w:rsidRPr="007E27D9" w:rsidRDefault="007E3C0E" w:rsidP="007E27D9">
      <w:pPr>
        <w:pStyle w:val="Textonotapie"/>
        <w:ind w:firstLine="709"/>
        <w:jc w:val="both"/>
        <w:rPr>
          <w:rFonts w:ascii="Verdana" w:hAnsi="Verdana" w:cs="Arial"/>
          <w:sz w:val="14"/>
          <w:szCs w:val="14"/>
        </w:rPr>
      </w:pPr>
    </w:p>
  </w:footnote>
  <w:footnote w:id="3">
    <w:p w14:paraId="040AED47" w14:textId="77777777" w:rsidR="007E3C0E" w:rsidRPr="007E27D9" w:rsidRDefault="007E3C0E" w:rsidP="007E27D9">
      <w:pPr>
        <w:pStyle w:val="Textonotapie"/>
        <w:tabs>
          <w:tab w:val="left" w:pos="8145"/>
        </w:tabs>
        <w:ind w:firstLine="709"/>
        <w:jc w:val="both"/>
        <w:rPr>
          <w:rFonts w:ascii="Verdana" w:hAnsi="Verdana" w:cs="Arial"/>
          <w:sz w:val="14"/>
          <w:szCs w:val="14"/>
          <w:lang w:val="pt-PT"/>
        </w:rPr>
      </w:pPr>
      <w:r w:rsidRPr="007E27D9">
        <w:rPr>
          <w:rStyle w:val="Refdenotaalpie"/>
          <w:rFonts w:ascii="Verdana" w:hAnsi="Verdana" w:cs="Arial"/>
          <w:sz w:val="14"/>
          <w:szCs w:val="14"/>
        </w:rPr>
        <w:footnoteRef/>
      </w:r>
      <w:r w:rsidRPr="007E27D9">
        <w:rPr>
          <w:rFonts w:ascii="Verdana" w:hAnsi="Verdana" w:cs="Arial"/>
          <w:sz w:val="14"/>
          <w:szCs w:val="14"/>
          <w:lang w:val="pt-PT"/>
        </w:rPr>
        <w:t xml:space="preserve"> Corte Constitucional. Sentencia C- 1153 de 2005, M.P: Marco Gerardo Monroy Cabra.</w:t>
      </w:r>
      <w:r w:rsidRPr="007E27D9">
        <w:rPr>
          <w:rFonts w:ascii="Verdana" w:hAnsi="Verdana" w:cs="Arial"/>
          <w:sz w:val="14"/>
          <w:szCs w:val="14"/>
          <w:lang w:val="pt-PT"/>
        </w:rPr>
        <w:tab/>
      </w:r>
    </w:p>
    <w:p w14:paraId="323D7045" w14:textId="77777777" w:rsidR="007E3C0E" w:rsidRPr="007E27D9" w:rsidRDefault="007E3C0E" w:rsidP="007E27D9">
      <w:pPr>
        <w:pStyle w:val="Textonotapie"/>
        <w:tabs>
          <w:tab w:val="left" w:pos="8145"/>
        </w:tabs>
        <w:ind w:firstLine="709"/>
        <w:jc w:val="both"/>
        <w:rPr>
          <w:rFonts w:ascii="Verdana" w:hAnsi="Verdana" w:cs="Arial"/>
          <w:sz w:val="14"/>
          <w:szCs w:val="14"/>
          <w:lang w:val="pt-PT"/>
        </w:rPr>
      </w:pPr>
    </w:p>
  </w:footnote>
  <w:footnote w:id="4">
    <w:p w14:paraId="7A08D8BC" w14:textId="77777777" w:rsidR="007E3C0E" w:rsidRPr="007E27D9" w:rsidRDefault="007E3C0E" w:rsidP="007E27D9">
      <w:pPr>
        <w:pStyle w:val="Textonotapie"/>
        <w:ind w:firstLine="709"/>
        <w:jc w:val="both"/>
        <w:rPr>
          <w:rFonts w:ascii="Verdana" w:hAnsi="Verdana" w:cs="Arial"/>
          <w:sz w:val="14"/>
          <w:szCs w:val="14"/>
          <w:lang w:val="pt-PT"/>
        </w:rPr>
      </w:pPr>
      <w:r w:rsidRPr="007E27D9">
        <w:rPr>
          <w:rStyle w:val="Refdenotaalpie"/>
          <w:rFonts w:ascii="Verdana" w:hAnsi="Verdana" w:cs="Arial"/>
          <w:sz w:val="14"/>
          <w:szCs w:val="14"/>
        </w:rPr>
        <w:footnoteRef/>
      </w:r>
      <w:r w:rsidRPr="007E27D9">
        <w:rPr>
          <w:rFonts w:ascii="Verdana" w:hAnsi="Verdana" w:cs="Arial"/>
          <w:sz w:val="14"/>
          <w:szCs w:val="14"/>
          <w:lang w:val="pt-PT"/>
        </w:rPr>
        <w:t xml:space="preserve"> </w:t>
      </w:r>
      <w:r w:rsidRPr="007E27D9">
        <w:rPr>
          <w:rFonts w:ascii="Verdana" w:hAnsi="Verdana" w:cs="Arial"/>
          <w:sz w:val="14"/>
          <w:szCs w:val="14"/>
          <w:lang w:val="es-CO"/>
        </w:rPr>
        <w:t xml:space="preserve">Corte Constitucional. Sentencias: C-233 de 4 de abril de 2002. M.P: Álvaro Tafur Galvis; C-551 de 9 de julio de 2003. M.P: Eduardo Montealegre Lynnet; C-353 de 20 de mayo de 2009. M.P: Jorge Iván Palacio </w:t>
      </w:r>
      <w:proofErr w:type="spellStart"/>
      <w:r w:rsidRPr="007E27D9">
        <w:rPr>
          <w:rFonts w:ascii="Verdana" w:hAnsi="Verdana" w:cs="Arial"/>
          <w:sz w:val="14"/>
          <w:szCs w:val="14"/>
          <w:lang w:val="es-CO"/>
        </w:rPr>
        <w:t>Palacio</w:t>
      </w:r>
      <w:proofErr w:type="spellEnd"/>
      <w:r w:rsidRPr="007E27D9">
        <w:rPr>
          <w:rFonts w:ascii="Verdana" w:hAnsi="Verdana" w:cs="Arial"/>
          <w:sz w:val="14"/>
          <w:szCs w:val="14"/>
          <w:lang w:val="es-CO"/>
        </w:rPr>
        <w:t>; C-541 de 30 de junio de 2010. M.P: Gabriel Eduardo Mendoza Martelo; entre otras.</w:t>
      </w:r>
    </w:p>
    <w:p w14:paraId="406FA40D" w14:textId="77777777" w:rsidR="007E3C0E" w:rsidRPr="007E27D9" w:rsidRDefault="007E3C0E" w:rsidP="007E27D9">
      <w:pPr>
        <w:pStyle w:val="Textonotapie"/>
        <w:ind w:firstLine="709"/>
        <w:jc w:val="both"/>
        <w:rPr>
          <w:rFonts w:ascii="Verdana" w:hAnsi="Verdana" w:cs="Arial"/>
          <w:sz w:val="14"/>
          <w:szCs w:val="14"/>
          <w:lang w:val="pt-PT"/>
        </w:rPr>
      </w:pPr>
    </w:p>
  </w:footnote>
  <w:footnote w:id="5">
    <w:p w14:paraId="15F55507" w14:textId="77777777" w:rsidR="007E3C0E" w:rsidRPr="007E27D9" w:rsidRDefault="007E3C0E" w:rsidP="007E27D9">
      <w:pPr>
        <w:pStyle w:val="Textonotapie"/>
        <w:ind w:firstLine="709"/>
        <w:jc w:val="both"/>
        <w:rPr>
          <w:rFonts w:ascii="Verdana" w:hAnsi="Verdana" w:cs="Arial"/>
          <w:sz w:val="14"/>
          <w:szCs w:val="14"/>
          <w:lang w:val="es-CO"/>
        </w:rPr>
      </w:pPr>
      <w:r w:rsidRPr="007E27D9">
        <w:rPr>
          <w:rStyle w:val="Refdenotaalpie"/>
          <w:rFonts w:ascii="Verdana" w:hAnsi="Verdana" w:cs="Arial"/>
          <w:sz w:val="14"/>
          <w:szCs w:val="14"/>
        </w:rPr>
        <w:footnoteRef/>
      </w:r>
      <w:r w:rsidRPr="007E27D9">
        <w:rPr>
          <w:rFonts w:ascii="Verdana" w:hAnsi="Verdana" w:cs="Arial"/>
          <w:sz w:val="14"/>
          <w:szCs w:val="14"/>
          <w:lang w:val="es-CO"/>
        </w:rPr>
        <w:t xml:space="preserve"> Consejo de Estado. Sala de lo Contencioso Administrativo. Sección Primera. Sentencia de 3 de marzo de 2005. Radicado: </w:t>
      </w:r>
      <w:r w:rsidRPr="007E27D9">
        <w:rPr>
          <w:rFonts w:ascii="Verdana" w:hAnsi="Verdana" w:cs="Arial"/>
          <w:sz w:val="14"/>
          <w:szCs w:val="14"/>
          <w:lang w:val="es-ES"/>
        </w:rPr>
        <w:t xml:space="preserve">25001-23-15-000-2004-00823-01 (PI). </w:t>
      </w:r>
      <w:r w:rsidRPr="007E27D9">
        <w:rPr>
          <w:rFonts w:ascii="Verdana" w:hAnsi="Verdana" w:cs="Arial"/>
          <w:sz w:val="14"/>
          <w:szCs w:val="14"/>
          <w:lang w:val="es-CO"/>
        </w:rPr>
        <w:t>C.P: Camilo Arciniegas Andrade. Ver también, de la Sección Tercera. Sentencia de 22 de enero de 2002, expediente número 2001-0148-01 y, Sección Tercera. Sentencia de 20 de noviembre de 2001, expediente número 2001-0130-01(PI), entre otras.</w:t>
      </w:r>
    </w:p>
    <w:p w14:paraId="7FCB99E6" w14:textId="77777777" w:rsidR="007E3C0E" w:rsidRPr="007E27D9" w:rsidRDefault="007E3C0E" w:rsidP="007E27D9">
      <w:pPr>
        <w:pStyle w:val="Textonotapie"/>
        <w:ind w:firstLine="709"/>
        <w:jc w:val="both"/>
        <w:rPr>
          <w:rFonts w:ascii="Verdana" w:hAnsi="Verdana" w:cs="Arial"/>
          <w:sz w:val="14"/>
          <w:szCs w:val="14"/>
          <w:lang w:val="es-CO"/>
        </w:rPr>
      </w:pPr>
    </w:p>
  </w:footnote>
  <w:footnote w:id="6">
    <w:p w14:paraId="40DBFAC6" w14:textId="77777777" w:rsidR="007E3C0E" w:rsidRPr="007E27D9" w:rsidRDefault="007E3C0E" w:rsidP="007E27D9">
      <w:pPr>
        <w:pStyle w:val="Textonotapie"/>
        <w:ind w:firstLine="709"/>
        <w:jc w:val="both"/>
        <w:rPr>
          <w:rFonts w:ascii="Verdana" w:hAnsi="Verdana" w:cs="Arial"/>
          <w:sz w:val="14"/>
          <w:szCs w:val="14"/>
        </w:rPr>
      </w:pPr>
      <w:r w:rsidRPr="007E27D9">
        <w:rPr>
          <w:rStyle w:val="Refdenotaalpie"/>
          <w:rFonts w:ascii="Verdana" w:hAnsi="Verdana" w:cs="Arial"/>
          <w:sz w:val="14"/>
          <w:szCs w:val="14"/>
        </w:rPr>
        <w:footnoteRef/>
      </w:r>
      <w:r w:rsidRPr="007E27D9">
        <w:rPr>
          <w:rFonts w:ascii="Verdana" w:hAnsi="Verdana" w:cs="Arial"/>
          <w:sz w:val="14"/>
          <w:szCs w:val="14"/>
        </w:rPr>
        <w:t xml:space="preserve"> Consejo de Estado, Sala de Consulta y Servicio Civil. 24 de julio de 2013. Radicado: </w:t>
      </w:r>
      <w:r w:rsidRPr="007E27D9">
        <w:rPr>
          <w:rFonts w:ascii="Verdana" w:hAnsi="Verdana" w:cs="Arial"/>
          <w:sz w:val="14"/>
          <w:szCs w:val="14"/>
          <w:lang w:val="es-CO"/>
        </w:rPr>
        <w:t xml:space="preserve">11001-03-06-000-2013-00407-00 </w:t>
      </w:r>
      <w:r w:rsidRPr="007E27D9">
        <w:rPr>
          <w:rFonts w:ascii="Verdana" w:hAnsi="Verdana" w:cs="Arial"/>
          <w:sz w:val="14"/>
          <w:szCs w:val="14"/>
        </w:rPr>
        <w:t xml:space="preserve">(2166). C.P. Álvaro Namén Vargas.  </w:t>
      </w:r>
    </w:p>
    <w:p w14:paraId="52305F43" w14:textId="77777777" w:rsidR="007E3C0E" w:rsidRPr="007E27D9" w:rsidRDefault="007E3C0E" w:rsidP="007E27D9">
      <w:pPr>
        <w:pStyle w:val="Textonotapie"/>
        <w:ind w:firstLine="709"/>
        <w:jc w:val="both"/>
        <w:rPr>
          <w:rFonts w:ascii="Verdana" w:hAnsi="Verdana" w:cs="Arial"/>
          <w:sz w:val="14"/>
          <w:szCs w:val="14"/>
        </w:rPr>
      </w:pPr>
    </w:p>
  </w:footnote>
  <w:footnote w:id="7">
    <w:p w14:paraId="24C3654F" w14:textId="77777777" w:rsidR="007E3C0E" w:rsidRPr="007E27D9" w:rsidRDefault="007E3C0E" w:rsidP="007E27D9">
      <w:pPr>
        <w:spacing w:after="0" w:line="240" w:lineRule="auto"/>
        <w:ind w:firstLine="709"/>
        <w:jc w:val="both"/>
        <w:rPr>
          <w:rFonts w:ascii="Verdana" w:eastAsia="Times New Roman" w:hAnsi="Verdana" w:cs="Arial"/>
          <w:sz w:val="14"/>
          <w:szCs w:val="14"/>
        </w:rPr>
      </w:pPr>
      <w:r w:rsidRPr="007E27D9">
        <w:rPr>
          <w:rStyle w:val="Refdenotaalpie"/>
          <w:rFonts w:ascii="Verdana" w:hAnsi="Verdana" w:cs="Arial"/>
          <w:sz w:val="14"/>
          <w:szCs w:val="14"/>
        </w:rPr>
        <w:footnoteRef/>
      </w:r>
      <w:r w:rsidRPr="007E27D9">
        <w:rPr>
          <w:rFonts w:ascii="Verdana" w:hAnsi="Verdana" w:cs="Arial"/>
          <w:sz w:val="14"/>
          <w:szCs w:val="14"/>
        </w:rPr>
        <w:t xml:space="preserve"> </w:t>
      </w:r>
      <w:bookmarkStart w:id="4" w:name="33"/>
      <w:r w:rsidRPr="007E27D9">
        <w:rPr>
          <w:rFonts w:ascii="Verdana" w:eastAsia="Calibri" w:hAnsi="Verdana" w:cs="Arial"/>
          <w:color w:val="000000"/>
          <w:sz w:val="14"/>
          <w:szCs w:val="14"/>
        </w:rPr>
        <w:t>“</w:t>
      </w:r>
      <w:r w:rsidRPr="007E27D9">
        <w:rPr>
          <w:rFonts w:ascii="Verdana" w:eastAsia="Times New Roman" w:hAnsi="Verdana" w:cs="Arial"/>
          <w:sz w:val="14"/>
          <w:szCs w:val="14"/>
        </w:rPr>
        <w:t>Artículo 33. Restricciones a la contratación pública.</w:t>
      </w:r>
      <w:bookmarkEnd w:id="4"/>
      <w:r w:rsidRPr="007E27D9">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7712449D" w14:textId="77777777" w:rsidR="007E3C0E" w:rsidRPr="007E27D9" w:rsidRDefault="007E3C0E" w:rsidP="007E27D9">
      <w:pPr>
        <w:spacing w:after="0" w:line="240" w:lineRule="auto"/>
        <w:ind w:firstLine="709"/>
        <w:jc w:val="both"/>
        <w:rPr>
          <w:rFonts w:ascii="Verdana" w:eastAsia="Times New Roman" w:hAnsi="Verdana" w:cs="Arial"/>
          <w:sz w:val="14"/>
          <w:szCs w:val="14"/>
        </w:rPr>
      </w:pPr>
      <w:r w:rsidRPr="007E27D9">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2DF2EBA" w14:textId="77777777" w:rsidR="007E3C0E" w:rsidRPr="007E27D9" w:rsidRDefault="007E3C0E" w:rsidP="007E27D9">
      <w:pPr>
        <w:spacing w:after="0" w:line="240" w:lineRule="auto"/>
        <w:ind w:firstLine="709"/>
        <w:jc w:val="both"/>
        <w:rPr>
          <w:rFonts w:ascii="Verdana" w:eastAsia="Times New Roman" w:hAnsi="Verdana" w:cs="Arial"/>
          <w:sz w:val="14"/>
          <w:szCs w:val="14"/>
        </w:rPr>
      </w:pPr>
    </w:p>
  </w:footnote>
  <w:footnote w:id="8">
    <w:p w14:paraId="17105A6F" w14:textId="77777777" w:rsidR="007E3C0E" w:rsidRPr="007E27D9" w:rsidRDefault="007E3C0E" w:rsidP="007E27D9">
      <w:pPr>
        <w:pStyle w:val="NormalWeb"/>
        <w:spacing w:before="0" w:beforeAutospacing="0" w:after="0" w:afterAutospacing="0"/>
        <w:ind w:firstLine="709"/>
        <w:jc w:val="both"/>
        <w:rPr>
          <w:rFonts w:ascii="Verdana" w:hAnsi="Verdana" w:cs="Arial"/>
          <w:sz w:val="14"/>
          <w:szCs w:val="14"/>
          <w:lang w:val="es-MX"/>
        </w:rPr>
      </w:pPr>
      <w:r w:rsidRPr="007E27D9">
        <w:rPr>
          <w:rStyle w:val="Refdenotaalpie"/>
          <w:rFonts w:ascii="Verdana" w:eastAsiaTheme="majorEastAsia" w:hAnsi="Verdana" w:cs="Arial"/>
          <w:sz w:val="14"/>
          <w:szCs w:val="14"/>
        </w:rPr>
        <w:footnoteRef/>
      </w:r>
      <w:r w:rsidRPr="007E27D9">
        <w:rPr>
          <w:rFonts w:ascii="Verdana" w:hAnsi="Verdana" w:cs="Arial"/>
          <w:sz w:val="14"/>
          <w:szCs w:val="14"/>
        </w:rPr>
        <w:t xml:space="preserve"> </w:t>
      </w:r>
      <w:bookmarkStart w:id="5" w:name="38"/>
      <w:r w:rsidRPr="007E27D9">
        <w:rPr>
          <w:rFonts w:ascii="Verdana" w:eastAsia="Calibri" w:hAnsi="Verdana" w:cs="Arial"/>
          <w:color w:val="000000"/>
          <w:sz w:val="14"/>
          <w:szCs w:val="14"/>
        </w:rPr>
        <w:t>“</w:t>
      </w:r>
      <w:r w:rsidRPr="007E27D9">
        <w:rPr>
          <w:rFonts w:ascii="Verdana" w:hAnsi="Verdana" w:cs="Arial"/>
          <w:sz w:val="14"/>
          <w:szCs w:val="14"/>
          <w:lang w:val="es-MX"/>
        </w:rPr>
        <w:t>Artículo 38. Prohibiciones para los servidores públicos. A los empleados del Estado les está prohibido:</w:t>
      </w:r>
      <w:bookmarkEnd w:id="5"/>
    </w:p>
    <w:p w14:paraId="696A0507" w14:textId="77777777" w:rsidR="007E3C0E" w:rsidRPr="007E27D9" w:rsidRDefault="007E3C0E" w:rsidP="007E27D9">
      <w:pPr>
        <w:pStyle w:val="NormalWeb"/>
        <w:spacing w:before="0" w:beforeAutospacing="0" w:after="0" w:afterAutospacing="0"/>
        <w:ind w:firstLine="709"/>
        <w:jc w:val="both"/>
        <w:rPr>
          <w:rFonts w:ascii="Verdana" w:hAnsi="Verdana" w:cs="Arial"/>
          <w:sz w:val="14"/>
          <w:szCs w:val="14"/>
          <w:lang w:val="es-MX"/>
        </w:rPr>
      </w:pPr>
      <w:r w:rsidRPr="007E27D9">
        <w:rPr>
          <w:rFonts w:ascii="Verdana" w:hAnsi="Verdana" w:cs="Arial"/>
          <w:sz w:val="14"/>
          <w:szCs w:val="14"/>
          <w:lang w:val="es-MX"/>
        </w:rPr>
        <w:t>(…)</w:t>
      </w:r>
    </w:p>
    <w:p w14:paraId="234FB9EE" w14:textId="77777777" w:rsidR="007E3C0E" w:rsidRPr="007E27D9" w:rsidRDefault="007E3C0E" w:rsidP="007E27D9">
      <w:pPr>
        <w:pStyle w:val="NormalWeb"/>
        <w:spacing w:before="0" w:beforeAutospacing="0" w:after="0" w:afterAutospacing="0"/>
        <w:ind w:firstLine="709"/>
        <w:jc w:val="both"/>
        <w:rPr>
          <w:rFonts w:ascii="Verdana" w:eastAsia="Calibri" w:hAnsi="Verdana" w:cs="Arial"/>
          <w:color w:val="000000"/>
          <w:sz w:val="14"/>
          <w:szCs w:val="14"/>
        </w:rPr>
      </w:pPr>
      <w:r w:rsidRPr="007E27D9">
        <w:rPr>
          <w:rStyle w:val="baj"/>
          <w:rFonts w:ascii="Verdana" w:hAnsi="Verdana" w:cs="Arial"/>
          <w:sz w:val="14"/>
          <w:szCs w:val="14"/>
          <w:lang w:val="es-MX"/>
        </w:rPr>
        <w:t>Parágrafo.</w:t>
      </w:r>
      <w:r w:rsidRPr="007E27D9">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7E27D9">
        <w:rPr>
          <w:rFonts w:ascii="Verdana" w:eastAsia="Calibri" w:hAnsi="Verdana" w:cs="Arial"/>
          <w:color w:val="000000"/>
          <w:sz w:val="14"/>
          <w:szCs w:val="14"/>
        </w:rPr>
        <w:t>”.</w:t>
      </w:r>
    </w:p>
    <w:p w14:paraId="449CB7E0" w14:textId="77777777" w:rsidR="007E3C0E" w:rsidRPr="007E27D9" w:rsidRDefault="007E3C0E" w:rsidP="007E27D9">
      <w:pPr>
        <w:pStyle w:val="NormalWeb"/>
        <w:spacing w:before="0" w:beforeAutospacing="0" w:after="0" w:afterAutospacing="0"/>
        <w:ind w:firstLine="709"/>
        <w:jc w:val="both"/>
        <w:rPr>
          <w:rFonts w:ascii="Verdana" w:hAnsi="Verdana" w:cs="Arial"/>
          <w:sz w:val="14"/>
          <w:szCs w:val="14"/>
          <w:lang w:val="es-MX"/>
        </w:rPr>
      </w:pPr>
    </w:p>
  </w:footnote>
  <w:footnote w:id="9">
    <w:p w14:paraId="4B46F31A" w14:textId="069E51A2" w:rsidR="007E3C0E" w:rsidRDefault="007E3C0E" w:rsidP="00A83E37">
      <w:pPr>
        <w:spacing w:after="0" w:line="240" w:lineRule="auto"/>
        <w:ind w:left="100" w:right="244" w:firstLine="709"/>
        <w:jc w:val="both"/>
        <w:rPr>
          <w:rFonts w:ascii="Verdana" w:hAnsi="Verdana" w:cs="Arial"/>
          <w:sz w:val="14"/>
          <w:szCs w:val="14"/>
        </w:rPr>
      </w:pPr>
      <w:r w:rsidRPr="007E27D9">
        <w:rPr>
          <w:rStyle w:val="Refdenotaalpie"/>
          <w:rFonts w:ascii="Verdana" w:hAnsi="Verdana" w:cs="Arial"/>
          <w:sz w:val="14"/>
          <w:szCs w:val="14"/>
        </w:rPr>
        <w:footnoteRef/>
      </w:r>
      <w:r w:rsidRPr="007E27D9">
        <w:rPr>
          <w:rFonts w:ascii="Verdana" w:hAnsi="Verdana" w:cs="Arial"/>
          <w:sz w:val="14"/>
          <w:szCs w:val="14"/>
        </w:rPr>
        <w:t xml:space="preserve"> Consejo de Estado. Sala de Consulta y Servicio Civil. Concepto del 17 de febrero de 2015. Radicado: 11001-03-06-000-2015-00164-00 (2269). C.P. William Zambrano Cetina.</w:t>
      </w:r>
    </w:p>
    <w:p w14:paraId="02AE7A10" w14:textId="77777777" w:rsidR="007E3C0E" w:rsidRPr="007E27D9" w:rsidRDefault="007E3C0E" w:rsidP="003A04BF">
      <w:pPr>
        <w:spacing w:after="0" w:line="240" w:lineRule="auto"/>
        <w:ind w:left="100" w:right="244" w:firstLine="709"/>
        <w:jc w:val="both"/>
        <w:rPr>
          <w:rFonts w:ascii="Verdana" w:hAnsi="Verdana" w:cs="Arial"/>
          <w:sz w:val="14"/>
          <w:szCs w:val="14"/>
          <w:lang w:val="es-ES"/>
        </w:rPr>
      </w:pPr>
    </w:p>
  </w:footnote>
  <w:footnote w:id="10">
    <w:p w14:paraId="7BE90768" w14:textId="77777777" w:rsidR="007E3C0E" w:rsidRPr="007E27D9" w:rsidRDefault="007E3C0E" w:rsidP="007E27D9">
      <w:pPr>
        <w:pStyle w:val="Textonotapie"/>
        <w:ind w:firstLine="709"/>
        <w:jc w:val="both"/>
        <w:rPr>
          <w:rFonts w:ascii="Verdana" w:hAnsi="Verdana" w:cs="Arial"/>
          <w:sz w:val="14"/>
          <w:szCs w:val="14"/>
        </w:rPr>
      </w:pPr>
      <w:r w:rsidRPr="007E27D9">
        <w:rPr>
          <w:rStyle w:val="Refdenotaalpie"/>
          <w:rFonts w:ascii="Verdana" w:hAnsi="Verdana" w:cs="Arial"/>
          <w:sz w:val="14"/>
          <w:szCs w:val="14"/>
        </w:rPr>
        <w:footnoteRef/>
      </w:r>
      <w:r w:rsidRPr="007E27D9">
        <w:rPr>
          <w:rFonts w:ascii="Verdana" w:hAnsi="Verdana" w:cs="Arial"/>
          <w:sz w:val="14"/>
          <w:szCs w:val="14"/>
        </w:rPr>
        <w:t xml:space="preserve"> “</w:t>
      </w:r>
      <w:r w:rsidRPr="007E27D9">
        <w:rPr>
          <w:rFonts w:ascii="Verdana" w:hAnsi="Verdana" w:cs="Arial"/>
          <w:sz w:val="14"/>
          <w:szCs w:val="14"/>
          <w:lang w:val="es-ES"/>
        </w:rPr>
        <w:t xml:space="preserve">[25] </w:t>
      </w:r>
      <w:r w:rsidRPr="007E27D9">
        <w:rPr>
          <w:rFonts w:ascii="Verdana" w:hAnsi="Verdana" w:cs="Arial"/>
          <w:sz w:val="14"/>
          <w:szCs w:val="14"/>
        </w:rPr>
        <w:t>Cfr. Consejo de Estado. Sección Tercera. Sentencia de 3 de diciembre de 2007. Radicados: 24.715, 25.206, 25.409, 24.524, 27.834, 25.410, 26.105, 28.244, 31.447 -acumulados</w:t>
      </w:r>
      <w:proofErr w:type="gramStart"/>
      <w:r w:rsidRPr="007E27D9">
        <w:rPr>
          <w:rFonts w:ascii="Verdana" w:hAnsi="Verdana" w:cs="Arial"/>
          <w:sz w:val="14"/>
          <w:szCs w:val="14"/>
        </w:rPr>
        <w:t>-“</w:t>
      </w:r>
      <w:proofErr w:type="gramEnd"/>
      <w:r w:rsidRPr="007E27D9">
        <w:rPr>
          <w:rFonts w:ascii="Verdana" w:hAnsi="Verdana" w:cs="Arial"/>
          <w:sz w:val="14"/>
          <w:szCs w:val="14"/>
        </w:rPr>
        <w:t>.</w:t>
      </w:r>
    </w:p>
    <w:p w14:paraId="35CE0E41" w14:textId="77777777" w:rsidR="007E3C0E" w:rsidRPr="007E27D9" w:rsidRDefault="007E3C0E" w:rsidP="007E27D9">
      <w:pPr>
        <w:pStyle w:val="Textonotapie"/>
        <w:ind w:firstLine="709"/>
        <w:jc w:val="both"/>
        <w:rPr>
          <w:rFonts w:ascii="Verdana" w:hAnsi="Verdana" w:cs="Arial"/>
          <w:sz w:val="14"/>
          <w:szCs w:val="14"/>
        </w:rPr>
      </w:pPr>
    </w:p>
  </w:footnote>
  <w:footnote w:id="11">
    <w:p w14:paraId="3D0595A0" w14:textId="77777777" w:rsidR="007E3C0E" w:rsidRPr="007E27D9" w:rsidRDefault="007E3C0E" w:rsidP="007E27D9">
      <w:pPr>
        <w:pStyle w:val="Textonotapie"/>
        <w:ind w:firstLine="709"/>
        <w:jc w:val="both"/>
        <w:rPr>
          <w:rFonts w:ascii="Verdana" w:hAnsi="Verdana" w:cs="Arial"/>
          <w:sz w:val="14"/>
          <w:szCs w:val="14"/>
        </w:rPr>
      </w:pPr>
      <w:r w:rsidRPr="007E27D9">
        <w:rPr>
          <w:rStyle w:val="Refdenotaalpie"/>
          <w:rFonts w:ascii="Verdana" w:hAnsi="Verdana" w:cs="Arial"/>
          <w:sz w:val="14"/>
          <w:szCs w:val="14"/>
        </w:rPr>
        <w:footnoteRef/>
      </w:r>
      <w:r w:rsidRPr="007E27D9">
        <w:rPr>
          <w:rFonts w:ascii="Verdana" w:hAnsi="Verdana" w:cs="Arial"/>
          <w:sz w:val="14"/>
          <w:szCs w:val="14"/>
        </w:rPr>
        <w:t xml:space="preserve"> </w:t>
      </w:r>
      <w:bookmarkStart w:id="13" w:name="_Hlk74294506"/>
      <w:r w:rsidRPr="007E27D9">
        <w:rPr>
          <w:rFonts w:ascii="Verdana" w:hAnsi="Verdana" w:cs="Arial"/>
          <w:sz w:val="14"/>
          <w:szCs w:val="14"/>
        </w:rPr>
        <w:t>“</w:t>
      </w:r>
      <w:r w:rsidRPr="007E27D9">
        <w:rPr>
          <w:rFonts w:ascii="Verdana" w:hAnsi="Verdana" w:cs="Arial"/>
          <w:sz w:val="14"/>
          <w:szCs w:val="14"/>
          <w:lang w:val="es-ES"/>
        </w:rPr>
        <w:t xml:space="preserve">[26] </w:t>
      </w:r>
      <w:bookmarkEnd w:id="13"/>
      <w:r w:rsidRPr="007E27D9">
        <w:rPr>
          <w:rFonts w:ascii="Verdana" w:hAnsi="Verdana" w:cs="Arial"/>
          <w:sz w:val="14"/>
          <w:szCs w:val="14"/>
        </w:rPr>
        <w:t>Al respecto ver el concepto 1712 de 2 de febrero de 2006. Consejo de Estado Sala de Consulta y Servicio Civil”.</w:t>
      </w:r>
    </w:p>
    <w:p w14:paraId="1A49F5F1" w14:textId="77777777" w:rsidR="007E3C0E" w:rsidRPr="007E27D9" w:rsidRDefault="007E3C0E" w:rsidP="007E27D9">
      <w:pPr>
        <w:pStyle w:val="Textonotapie"/>
        <w:ind w:firstLine="709"/>
        <w:jc w:val="both"/>
        <w:rPr>
          <w:rFonts w:ascii="Verdana" w:hAnsi="Verdana" w:cs="Arial"/>
          <w:sz w:val="14"/>
          <w:szCs w:val="14"/>
        </w:rPr>
      </w:pPr>
    </w:p>
  </w:footnote>
  <w:footnote w:id="12">
    <w:p w14:paraId="226CD7B9" w14:textId="77777777" w:rsidR="007E3C0E" w:rsidRPr="007E27D9" w:rsidRDefault="007E3C0E" w:rsidP="007E27D9">
      <w:pPr>
        <w:pStyle w:val="Textonotapie"/>
        <w:ind w:firstLine="709"/>
        <w:jc w:val="both"/>
        <w:rPr>
          <w:rFonts w:ascii="Verdana" w:hAnsi="Verdana" w:cs="Arial"/>
          <w:sz w:val="14"/>
          <w:szCs w:val="14"/>
        </w:rPr>
      </w:pPr>
      <w:r w:rsidRPr="007E27D9">
        <w:rPr>
          <w:rStyle w:val="Refdenotaalpie"/>
          <w:rFonts w:ascii="Verdana" w:hAnsi="Verdana" w:cs="Arial"/>
          <w:sz w:val="14"/>
          <w:szCs w:val="14"/>
        </w:rPr>
        <w:footnoteRef/>
      </w:r>
      <w:r w:rsidRPr="007E27D9">
        <w:rPr>
          <w:rFonts w:ascii="Verdana" w:hAnsi="Verdana" w:cs="Arial"/>
          <w:sz w:val="14"/>
          <w:szCs w:val="14"/>
        </w:rPr>
        <w:t xml:space="preserve"> Consejo de Estado. Sala de Consulta y Servicio Civil. Concepto del 2 de septiembre de 2013. Radicación número: 11001-03-06-000-2013-00412-00 (2168). C.P: Álvaro Namén Vargas.</w:t>
      </w:r>
    </w:p>
    <w:p w14:paraId="449C9E63" w14:textId="77777777" w:rsidR="007E3C0E" w:rsidRPr="007E27D9" w:rsidRDefault="007E3C0E" w:rsidP="007E27D9">
      <w:pPr>
        <w:pStyle w:val="Textonotapie"/>
        <w:ind w:firstLine="709"/>
        <w:jc w:val="both"/>
        <w:rPr>
          <w:rFonts w:ascii="Verdana" w:hAnsi="Verdana" w:cs="Arial"/>
          <w:sz w:val="14"/>
          <w:szCs w:val="14"/>
        </w:rPr>
      </w:pPr>
    </w:p>
  </w:footnote>
  <w:footnote w:id="13">
    <w:p w14:paraId="47750F0F" w14:textId="77777777" w:rsidR="007E3C0E" w:rsidRPr="007E27D9" w:rsidRDefault="007E3C0E" w:rsidP="007E27D9">
      <w:pPr>
        <w:pStyle w:val="Textonotapie"/>
        <w:ind w:firstLine="709"/>
        <w:rPr>
          <w:rFonts w:ascii="Verdana" w:hAnsi="Verdana" w:cs="Arial"/>
          <w:sz w:val="14"/>
          <w:szCs w:val="14"/>
          <w:lang w:val="es-ES"/>
        </w:rPr>
      </w:pPr>
      <w:r w:rsidRPr="007E27D9">
        <w:rPr>
          <w:rStyle w:val="Refdenotaalpie"/>
          <w:rFonts w:ascii="Verdana" w:hAnsi="Verdana" w:cs="Arial"/>
          <w:sz w:val="14"/>
          <w:szCs w:val="14"/>
        </w:rPr>
        <w:footnoteRef/>
      </w:r>
      <w:r w:rsidRPr="007E27D9">
        <w:rPr>
          <w:rFonts w:ascii="Verdana" w:hAnsi="Verdana" w:cs="Arial"/>
          <w:sz w:val="14"/>
          <w:szCs w:val="14"/>
        </w:rPr>
        <w:t xml:space="preserve"> </w:t>
      </w:r>
      <w:r w:rsidRPr="007E27D9">
        <w:rPr>
          <w:rFonts w:ascii="Verdana" w:hAnsi="Verdana" w:cs="Arial"/>
          <w:sz w:val="14"/>
          <w:szCs w:val="14"/>
          <w:lang w:val="es-ES"/>
        </w:rPr>
        <w:t xml:space="preserve">Artículo 2. </w:t>
      </w:r>
    </w:p>
    <w:p w14:paraId="70CF9D25" w14:textId="77777777" w:rsidR="007E3C0E" w:rsidRPr="007E27D9" w:rsidRDefault="007E3C0E" w:rsidP="007E27D9">
      <w:pPr>
        <w:pStyle w:val="Textonotapie"/>
        <w:ind w:firstLine="709"/>
        <w:rPr>
          <w:rFonts w:ascii="Verdana" w:hAnsi="Verdana" w:cs="Arial"/>
          <w:sz w:val="14"/>
          <w:szCs w:val="14"/>
          <w:lang w:val="es-ES"/>
        </w:rPr>
      </w:pPr>
    </w:p>
  </w:footnote>
  <w:footnote w:id="14">
    <w:p w14:paraId="67CC8774" w14:textId="77777777" w:rsidR="007E3C0E" w:rsidRPr="007E27D9" w:rsidRDefault="007E3C0E" w:rsidP="007E27D9">
      <w:pPr>
        <w:pStyle w:val="Textonotapie"/>
        <w:ind w:firstLine="709"/>
        <w:rPr>
          <w:rFonts w:ascii="Verdana" w:hAnsi="Verdana" w:cs="Arial"/>
          <w:sz w:val="14"/>
          <w:szCs w:val="14"/>
          <w:lang w:val="es-ES"/>
        </w:rPr>
      </w:pPr>
      <w:r w:rsidRPr="007E27D9">
        <w:rPr>
          <w:rStyle w:val="Refdenotaalpie"/>
          <w:rFonts w:ascii="Verdana" w:hAnsi="Verdana" w:cs="Arial"/>
          <w:sz w:val="14"/>
          <w:szCs w:val="14"/>
        </w:rPr>
        <w:footnoteRef/>
      </w:r>
      <w:r w:rsidRPr="007E27D9">
        <w:rPr>
          <w:rFonts w:ascii="Verdana" w:hAnsi="Verdana" w:cs="Arial"/>
          <w:sz w:val="14"/>
          <w:szCs w:val="14"/>
        </w:rPr>
        <w:t xml:space="preserve"> </w:t>
      </w:r>
      <w:r w:rsidRPr="007E27D9">
        <w:rPr>
          <w:rFonts w:ascii="Verdana" w:hAnsi="Verdana" w:cs="Arial"/>
          <w:i/>
          <w:sz w:val="14"/>
          <w:szCs w:val="14"/>
          <w:lang w:val="es-ES"/>
        </w:rPr>
        <w:t>Ídem</w:t>
      </w:r>
      <w:r w:rsidRPr="007E27D9">
        <w:rPr>
          <w:rFonts w:ascii="Verdana" w:hAnsi="Verdana" w:cs="Arial"/>
          <w:sz w:val="14"/>
          <w:szCs w:val="14"/>
          <w:lang w:val="es-ES"/>
        </w:rPr>
        <w:t>.</w:t>
      </w:r>
    </w:p>
    <w:p w14:paraId="2C756673" w14:textId="77777777" w:rsidR="007E3C0E" w:rsidRPr="007E27D9" w:rsidRDefault="007E3C0E" w:rsidP="007E27D9">
      <w:pPr>
        <w:pStyle w:val="Textonotapie"/>
        <w:ind w:firstLine="709"/>
        <w:rPr>
          <w:rFonts w:ascii="Verdana" w:hAnsi="Verdana" w:cs="Arial"/>
          <w:sz w:val="14"/>
          <w:szCs w:val="14"/>
          <w:lang w:val="es-ES"/>
        </w:rPr>
      </w:pPr>
    </w:p>
  </w:footnote>
  <w:footnote w:id="15">
    <w:p w14:paraId="2EE8268A" w14:textId="77777777" w:rsidR="007E3C0E" w:rsidRPr="007E27D9" w:rsidRDefault="007E3C0E" w:rsidP="007E27D9">
      <w:pPr>
        <w:pStyle w:val="Textonotapie"/>
        <w:ind w:firstLine="709"/>
        <w:rPr>
          <w:rFonts w:ascii="Verdana" w:hAnsi="Verdana" w:cs="Arial"/>
          <w:sz w:val="14"/>
          <w:szCs w:val="14"/>
          <w:lang w:val="es-ES"/>
        </w:rPr>
      </w:pPr>
      <w:r w:rsidRPr="007E27D9">
        <w:rPr>
          <w:rStyle w:val="Refdenotaalpie"/>
          <w:rFonts w:ascii="Verdana" w:hAnsi="Verdana" w:cs="Arial"/>
          <w:sz w:val="14"/>
          <w:szCs w:val="14"/>
        </w:rPr>
        <w:footnoteRef/>
      </w:r>
      <w:r w:rsidRPr="007E27D9">
        <w:rPr>
          <w:rStyle w:val="Refdenotaalpie"/>
          <w:rFonts w:ascii="Verdana" w:hAnsi="Verdana" w:cs="Arial"/>
          <w:sz w:val="14"/>
          <w:szCs w:val="14"/>
        </w:rPr>
        <w:t xml:space="preserve"> </w:t>
      </w:r>
      <w:r w:rsidRPr="007E27D9">
        <w:rPr>
          <w:rFonts w:ascii="Verdana" w:hAnsi="Verdana" w:cs="Arial"/>
          <w:sz w:val="14"/>
          <w:szCs w:val="14"/>
          <w:lang w:val="es-ES"/>
        </w:rPr>
        <w:t xml:space="preserve">[…] A este respecto, cabe recordar que el artículo 860 del Código de Comercio regula la licitación en el derecho privado. </w:t>
      </w:r>
    </w:p>
    <w:p w14:paraId="1B1B5107" w14:textId="77777777" w:rsidR="007E3C0E" w:rsidRPr="007E27D9" w:rsidRDefault="007E3C0E" w:rsidP="007E27D9">
      <w:pPr>
        <w:pStyle w:val="Textonotapie"/>
        <w:ind w:firstLine="709"/>
        <w:rPr>
          <w:rFonts w:ascii="Verdana" w:hAnsi="Verdana" w:cs="Arial"/>
          <w:sz w:val="14"/>
          <w:szCs w:val="14"/>
          <w:lang w:val="es-ES"/>
        </w:rPr>
      </w:pPr>
    </w:p>
  </w:footnote>
  <w:footnote w:id="16">
    <w:p w14:paraId="02004BAB" w14:textId="77777777" w:rsidR="007E3C0E" w:rsidRPr="007E27D9" w:rsidRDefault="007E3C0E" w:rsidP="007E27D9">
      <w:pPr>
        <w:shd w:val="clear" w:color="auto" w:fill="FFFFFF"/>
        <w:spacing w:after="0" w:line="240" w:lineRule="auto"/>
        <w:ind w:firstLine="709"/>
        <w:jc w:val="both"/>
        <w:rPr>
          <w:rFonts w:ascii="Verdana" w:hAnsi="Verdana" w:cs="Arial"/>
          <w:sz w:val="14"/>
          <w:szCs w:val="14"/>
          <w:lang w:val="es-ES"/>
        </w:rPr>
      </w:pPr>
      <w:r w:rsidRPr="007E27D9">
        <w:rPr>
          <w:rStyle w:val="Refdenotaalpie"/>
          <w:rFonts w:ascii="Verdana" w:hAnsi="Verdana" w:cs="Arial"/>
          <w:sz w:val="14"/>
          <w:szCs w:val="14"/>
        </w:rPr>
        <w:footnoteRef/>
      </w:r>
      <w:r w:rsidRPr="007E27D9">
        <w:rPr>
          <w:rStyle w:val="Refdenotaalpie"/>
          <w:rFonts w:ascii="Verdana" w:hAnsi="Verdana" w:cs="Arial"/>
          <w:sz w:val="14"/>
          <w:szCs w:val="14"/>
        </w:rPr>
        <w:t xml:space="preserve"> </w:t>
      </w:r>
      <w:r w:rsidRPr="007E27D9">
        <w:rPr>
          <w:rFonts w:ascii="Verdana" w:hAnsi="Verdana" w:cs="Arial"/>
          <w:sz w:val="14"/>
          <w:szCs w:val="14"/>
          <w:lang w:val="es-ES"/>
        </w:rPr>
        <w:t>Consejo de Estado. Sala de Consulta y Servicio Civil, Concepto de 8 de mayo de 2018. Radicación Número: 11001-03-06-000-2018-00095-00 (2382). C.P: Álvaro Namén Vargas.</w:t>
      </w:r>
    </w:p>
    <w:p w14:paraId="60639598" w14:textId="77777777" w:rsidR="007E3C0E" w:rsidRPr="007E27D9" w:rsidRDefault="007E3C0E" w:rsidP="007E27D9">
      <w:pPr>
        <w:shd w:val="clear" w:color="auto" w:fill="FFFFFF"/>
        <w:spacing w:after="0" w:line="240" w:lineRule="auto"/>
        <w:ind w:firstLine="709"/>
        <w:jc w:val="both"/>
        <w:rPr>
          <w:rFonts w:ascii="Verdana" w:hAnsi="Verdana" w:cs="Arial"/>
          <w:sz w:val="14"/>
          <w:szCs w:val="14"/>
          <w:lang w:val="es-ES"/>
        </w:rPr>
      </w:pPr>
    </w:p>
  </w:footnote>
  <w:footnote w:id="17">
    <w:p w14:paraId="676EC415" w14:textId="77777777" w:rsidR="007E3C0E" w:rsidRPr="007E27D9" w:rsidRDefault="007E3C0E" w:rsidP="007E27D9">
      <w:pPr>
        <w:pStyle w:val="Textonotapie"/>
        <w:ind w:firstLine="709"/>
        <w:jc w:val="both"/>
        <w:rPr>
          <w:rFonts w:ascii="Verdana" w:hAnsi="Verdana" w:cs="Arial"/>
          <w:sz w:val="14"/>
          <w:szCs w:val="14"/>
        </w:rPr>
      </w:pPr>
      <w:r w:rsidRPr="007E27D9">
        <w:rPr>
          <w:rStyle w:val="Refdenotaalpie"/>
          <w:rFonts w:ascii="Verdana" w:hAnsi="Verdana" w:cs="Arial"/>
          <w:sz w:val="14"/>
          <w:szCs w:val="14"/>
        </w:rPr>
        <w:footnoteRef/>
      </w:r>
      <w:r w:rsidRPr="007E27D9">
        <w:rPr>
          <w:rFonts w:ascii="Verdana" w:hAnsi="Verdana" w:cs="Arial"/>
          <w:sz w:val="14"/>
          <w:szCs w:val="14"/>
        </w:rPr>
        <w:t xml:space="preserve"> Consejo de Estado. Sala de Consulta y Servicio Civil. Concepto del 08 de mayo de 2018. </w:t>
      </w:r>
      <w:proofErr w:type="spellStart"/>
      <w:r w:rsidRPr="007E27D9">
        <w:rPr>
          <w:rFonts w:ascii="Verdana" w:hAnsi="Verdana" w:cs="Arial"/>
          <w:sz w:val="14"/>
          <w:szCs w:val="14"/>
        </w:rPr>
        <w:t>Exp</w:t>
      </w:r>
      <w:proofErr w:type="spellEnd"/>
      <w:r w:rsidRPr="007E27D9">
        <w:rPr>
          <w:rFonts w:ascii="Verdana" w:hAnsi="Verdana" w:cs="Arial"/>
          <w:sz w:val="14"/>
          <w:szCs w:val="14"/>
        </w:rPr>
        <w:t>. 2.382. C.P. Álvaro Namén Vargas.</w:t>
      </w:r>
    </w:p>
    <w:p w14:paraId="1F653EA2" w14:textId="77777777" w:rsidR="007E3C0E" w:rsidRPr="007E27D9" w:rsidRDefault="007E3C0E" w:rsidP="007E27D9">
      <w:pPr>
        <w:pStyle w:val="Textonotapie"/>
        <w:ind w:firstLine="709"/>
        <w:jc w:val="both"/>
        <w:rPr>
          <w:rFonts w:ascii="Verdana" w:hAnsi="Verdana" w:cs="Arial"/>
          <w:sz w:val="14"/>
          <w:szCs w:val="14"/>
        </w:rPr>
      </w:pPr>
    </w:p>
  </w:footnote>
  <w:footnote w:id="18">
    <w:p w14:paraId="0A20A100" w14:textId="77777777" w:rsidR="007E3C0E" w:rsidRPr="007E27D9" w:rsidRDefault="007E3C0E" w:rsidP="007E27D9">
      <w:pPr>
        <w:spacing w:after="0" w:line="240" w:lineRule="auto"/>
        <w:ind w:firstLine="709"/>
        <w:jc w:val="both"/>
        <w:rPr>
          <w:rFonts w:ascii="Verdana" w:hAnsi="Verdana" w:cs="Arial"/>
          <w:color w:val="000000" w:themeColor="text1"/>
          <w:sz w:val="14"/>
          <w:szCs w:val="14"/>
        </w:rPr>
      </w:pPr>
      <w:r w:rsidRPr="007E27D9">
        <w:rPr>
          <w:rStyle w:val="Refdenotaalpie"/>
          <w:rFonts w:ascii="Verdana" w:hAnsi="Verdana" w:cs="Arial"/>
          <w:color w:val="000000" w:themeColor="text1"/>
          <w:sz w:val="14"/>
          <w:szCs w:val="14"/>
        </w:rPr>
        <w:footnoteRef/>
      </w:r>
      <w:r w:rsidRPr="007E27D9">
        <w:rPr>
          <w:rFonts w:ascii="Verdana" w:hAnsi="Verdana" w:cs="Arial"/>
          <w:color w:val="000000" w:themeColor="text1"/>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20CD2FCE" w14:textId="77777777" w:rsidR="007E3C0E" w:rsidRPr="007E27D9" w:rsidRDefault="007E3C0E" w:rsidP="007E27D9">
      <w:pPr>
        <w:spacing w:after="0" w:line="240" w:lineRule="auto"/>
        <w:ind w:firstLine="709"/>
        <w:jc w:val="both"/>
        <w:rPr>
          <w:rFonts w:ascii="Verdana" w:hAnsi="Verdana" w:cs="Arial"/>
          <w:color w:val="000000" w:themeColor="text1"/>
          <w:sz w:val="14"/>
          <w:szCs w:val="14"/>
        </w:rPr>
      </w:pPr>
    </w:p>
  </w:footnote>
  <w:footnote w:id="19">
    <w:p w14:paraId="7AAFAB27" w14:textId="77777777" w:rsidR="007E3C0E" w:rsidRPr="007E27D9" w:rsidRDefault="007E3C0E" w:rsidP="007E27D9">
      <w:pPr>
        <w:pStyle w:val="Textonotapie"/>
        <w:ind w:firstLine="709"/>
        <w:jc w:val="both"/>
        <w:rPr>
          <w:rFonts w:ascii="Verdana" w:eastAsia="Times New Roman" w:hAnsi="Verdana" w:cs="Arial"/>
          <w:color w:val="000000" w:themeColor="text1"/>
          <w:sz w:val="14"/>
          <w:szCs w:val="14"/>
          <w:lang w:eastAsia="x-none"/>
        </w:rPr>
      </w:pPr>
      <w:r w:rsidRPr="007E27D9">
        <w:rPr>
          <w:rStyle w:val="Refdenotaalpie"/>
          <w:rFonts w:ascii="Verdana" w:hAnsi="Verdana" w:cs="Arial"/>
          <w:color w:val="000000" w:themeColor="text1"/>
          <w:sz w:val="14"/>
          <w:szCs w:val="14"/>
        </w:rPr>
        <w:footnoteRef/>
      </w:r>
      <w:r w:rsidRPr="007E27D9">
        <w:rPr>
          <w:rFonts w:ascii="Verdana" w:hAnsi="Verdana" w:cs="Arial"/>
          <w:color w:val="000000" w:themeColor="text1"/>
          <w:sz w:val="14"/>
          <w:szCs w:val="14"/>
        </w:rPr>
        <w:t xml:space="preserve"> Consejo de Estado. Sala de Consulta y Servicio Civil. Concepto de 6 de abril de 2006. Radicación Número: 11001-03-06-000-2006-00038-00 (1738). C.P: Enrique José Arboleda Perdomo:</w:t>
      </w:r>
      <w:r w:rsidRPr="007E27D9">
        <w:rPr>
          <w:rFonts w:ascii="Verdana" w:eastAsia="Times New Roman" w:hAnsi="Verdana" w:cs="Arial"/>
          <w:color w:val="000000" w:themeColor="text1"/>
          <w:sz w:val="14"/>
          <w:szCs w:val="14"/>
          <w:lang w:eastAsia="x-none"/>
        </w:rPr>
        <w:t xml:space="preserve"> </w:t>
      </w:r>
      <w:bookmarkStart w:id="17" w:name="_Hlk97890572"/>
      <w:r w:rsidRPr="007E27D9">
        <w:rPr>
          <w:rFonts w:ascii="Verdana" w:eastAsia="Times New Roman" w:hAnsi="Verdana" w:cs="Arial"/>
          <w:color w:val="000000" w:themeColor="text1"/>
          <w:sz w:val="14"/>
          <w:szCs w:val="14"/>
          <w:lang w:eastAsia="x-none"/>
        </w:rPr>
        <w:t>“</w:t>
      </w:r>
      <w:r w:rsidRPr="007E27D9">
        <w:rPr>
          <w:rFonts w:ascii="Verdana" w:hAnsi="Verdana" w:cs="Arial"/>
          <w:color w:val="000000" w:themeColor="text1"/>
          <w:sz w:val="14"/>
          <w:szCs w:val="14"/>
        </w:rPr>
        <w:t xml:space="preserve">Si bien en el tema del concepto del que se extractaron </w:t>
      </w:r>
      <w:bookmarkEnd w:id="17"/>
      <w:r w:rsidRPr="007E27D9">
        <w:rPr>
          <w:rFonts w:ascii="Verdana" w:hAnsi="Verdana" w:cs="Arial"/>
          <w:color w:val="000000" w:themeColor="text1"/>
          <w:sz w:val="14"/>
          <w:szCs w:val="14"/>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7E27D9">
        <w:rPr>
          <w:rFonts w:ascii="Verdana" w:eastAsia="Times New Roman" w:hAnsi="Verdana" w:cs="Arial"/>
          <w:color w:val="000000" w:themeColor="text1"/>
          <w:sz w:val="14"/>
          <w:szCs w:val="14"/>
          <w:lang w:eastAsia="x-none"/>
        </w:rPr>
        <w:t>”.</w:t>
      </w:r>
    </w:p>
    <w:p w14:paraId="4045F5A6" w14:textId="77777777" w:rsidR="007E3C0E" w:rsidRPr="007E27D9" w:rsidRDefault="007E3C0E" w:rsidP="007E27D9">
      <w:pPr>
        <w:pStyle w:val="Textonotapie"/>
        <w:ind w:firstLine="709"/>
        <w:jc w:val="both"/>
        <w:rPr>
          <w:rFonts w:ascii="Verdana" w:hAnsi="Verdana" w:cs="Arial"/>
          <w:color w:val="000000" w:themeColor="text1"/>
          <w:sz w:val="14"/>
          <w:szCs w:val="14"/>
        </w:rPr>
      </w:pPr>
    </w:p>
  </w:footnote>
  <w:footnote w:id="20">
    <w:p w14:paraId="56EDAC28" w14:textId="77777777" w:rsidR="007E3C0E" w:rsidRPr="007E27D9" w:rsidRDefault="007E3C0E" w:rsidP="007E27D9">
      <w:pPr>
        <w:spacing w:after="0" w:line="240" w:lineRule="auto"/>
        <w:ind w:firstLine="709"/>
        <w:jc w:val="both"/>
        <w:rPr>
          <w:rFonts w:ascii="Verdana" w:hAnsi="Verdana" w:cs="Arial"/>
          <w:color w:val="000000" w:themeColor="text1"/>
          <w:sz w:val="14"/>
          <w:szCs w:val="14"/>
        </w:rPr>
      </w:pPr>
      <w:r w:rsidRPr="007E27D9">
        <w:rPr>
          <w:rStyle w:val="Refdenotaalpie"/>
          <w:rFonts w:ascii="Verdana" w:hAnsi="Verdana" w:cs="Arial"/>
          <w:color w:val="000000" w:themeColor="text1"/>
          <w:sz w:val="14"/>
          <w:szCs w:val="14"/>
        </w:rPr>
        <w:footnoteRef/>
      </w:r>
      <w:r w:rsidRPr="007E27D9">
        <w:rPr>
          <w:rFonts w:ascii="Verdana" w:hAnsi="Verdana" w:cs="Arial"/>
          <w:color w:val="000000" w:themeColor="text1"/>
          <w:sz w:val="14"/>
          <w:szCs w:val="14"/>
        </w:rPr>
        <w:t xml:space="preserve"> Consejo de Estado. Sala de Consulta y Servicio Civil. Concepto de 6 de abril de 2006. Radicación Número: 11001-03-06-000-2006-00038-00(1738). C.P: Enrique José Arboleda Perdomo. </w:t>
      </w:r>
    </w:p>
    <w:p w14:paraId="76F265FA" w14:textId="77777777" w:rsidR="007E3C0E" w:rsidRPr="007E27D9" w:rsidRDefault="007E3C0E" w:rsidP="007E27D9">
      <w:pPr>
        <w:spacing w:after="0" w:line="240" w:lineRule="auto"/>
        <w:ind w:firstLine="709"/>
        <w:jc w:val="both"/>
        <w:rPr>
          <w:rFonts w:ascii="Verdana" w:hAnsi="Verdana" w:cs="Arial"/>
          <w:color w:val="000000" w:themeColor="text1"/>
          <w:sz w:val="14"/>
          <w:szCs w:val="14"/>
        </w:rPr>
      </w:pPr>
    </w:p>
  </w:footnote>
  <w:footnote w:id="21">
    <w:p w14:paraId="4C3F13CB" w14:textId="7A8D72DA" w:rsidR="007E3C0E" w:rsidRDefault="007E3C0E" w:rsidP="00A83E37">
      <w:pPr>
        <w:pStyle w:val="Textonotapie"/>
        <w:ind w:firstLine="709"/>
        <w:rPr>
          <w:rFonts w:ascii="Verdana" w:hAnsi="Verdana" w:cs="Arial"/>
          <w:color w:val="000000" w:themeColor="text1"/>
          <w:sz w:val="14"/>
          <w:szCs w:val="14"/>
        </w:rPr>
      </w:pPr>
      <w:r w:rsidRPr="007E27D9">
        <w:rPr>
          <w:rStyle w:val="Refdenotaalpie"/>
          <w:rFonts w:ascii="Verdana" w:hAnsi="Verdana" w:cs="Arial"/>
          <w:color w:val="000000" w:themeColor="text1"/>
          <w:sz w:val="14"/>
          <w:szCs w:val="14"/>
        </w:rPr>
        <w:footnoteRef/>
      </w:r>
      <w:r w:rsidRPr="007E27D9">
        <w:rPr>
          <w:rFonts w:ascii="Verdana" w:hAnsi="Verdana" w:cs="Arial"/>
          <w:color w:val="000000" w:themeColor="text1"/>
          <w:sz w:val="14"/>
          <w:szCs w:val="14"/>
        </w:rPr>
        <w:t xml:space="preserve"> Consejo de Estado. Sala de Consulta y Servicio Civil, ídem.</w:t>
      </w:r>
    </w:p>
    <w:p w14:paraId="1F7C1A7F" w14:textId="77777777" w:rsidR="007E3C0E" w:rsidRPr="003A04BF" w:rsidRDefault="007E3C0E" w:rsidP="003A04BF">
      <w:pPr>
        <w:pStyle w:val="Textonotapie"/>
        <w:ind w:firstLine="709"/>
        <w:rPr>
          <w:rFonts w:ascii="Verdana" w:hAnsi="Verdana" w:cs="Arial"/>
          <w:color w:val="000000" w:themeColor="text1"/>
          <w:sz w:val="14"/>
          <w:szCs w:val="14"/>
        </w:rPr>
      </w:pPr>
    </w:p>
  </w:footnote>
  <w:footnote w:id="22">
    <w:p w14:paraId="2AE722D9" w14:textId="77777777" w:rsidR="007E3C0E" w:rsidRPr="007E27D9" w:rsidRDefault="007E3C0E" w:rsidP="007E27D9">
      <w:pPr>
        <w:pStyle w:val="Textonotapie"/>
        <w:ind w:firstLine="709"/>
        <w:jc w:val="both"/>
        <w:rPr>
          <w:rFonts w:ascii="Verdana" w:hAnsi="Verdana" w:cs="Arial"/>
          <w:sz w:val="14"/>
          <w:szCs w:val="14"/>
        </w:rPr>
      </w:pPr>
      <w:r w:rsidRPr="007E27D9">
        <w:rPr>
          <w:rStyle w:val="Refdenotaalpie"/>
          <w:rFonts w:ascii="Verdana" w:hAnsi="Verdana"/>
          <w:sz w:val="14"/>
          <w:szCs w:val="14"/>
        </w:rPr>
        <w:footnoteRef/>
      </w:r>
      <w:r w:rsidRPr="007E27D9">
        <w:rPr>
          <w:rFonts w:ascii="Verdana" w:hAnsi="Verdana"/>
          <w:sz w:val="14"/>
          <w:szCs w:val="14"/>
        </w:rPr>
        <w:t xml:space="preserve"> </w:t>
      </w:r>
      <w:r w:rsidRPr="007E27D9">
        <w:rPr>
          <w:rFonts w:ascii="Verdana" w:hAnsi="Verdana" w:cs="Arial"/>
          <w:sz w:val="14"/>
          <w:szCs w:val="14"/>
        </w:rPr>
        <w:t>Consejo de Estado -Sección Tercera-. Sentencia del 21 de febrero de 2025. Radicación Número: 68.280. CP: José Roberto Sáchica Méndez.</w:t>
      </w:r>
    </w:p>
    <w:p w14:paraId="003098FB" w14:textId="77777777" w:rsidR="007E3C0E" w:rsidRPr="007E27D9" w:rsidRDefault="007E3C0E" w:rsidP="007E27D9">
      <w:pPr>
        <w:pStyle w:val="Textonotapie"/>
        <w:ind w:firstLine="709"/>
        <w:jc w:val="both"/>
        <w:rPr>
          <w:rFonts w:ascii="Verdana" w:hAnsi="Verdana" w:cs="Arial"/>
          <w:sz w:val="14"/>
          <w:szCs w:val="14"/>
        </w:rPr>
      </w:pPr>
    </w:p>
  </w:footnote>
  <w:footnote w:id="23">
    <w:p w14:paraId="636986DC" w14:textId="77777777" w:rsidR="007E3C0E" w:rsidRPr="007E27D9" w:rsidRDefault="007E3C0E" w:rsidP="007E27D9">
      <w:pPr>
        <w:pStyle w:val="Textonotapie"/>
        <w:ind w:firstLine="709"/>
        <w:jc w:val="both"/>
        <w:rPr>
          <w:rFonts w:ascii="Verdana" w:hAnsi="Verdana" w:cs="Arial"/>
          <w:sz w:val="14"/>
          <w:szCs w:val="14"/>
        </w:rPr>
      </w:pPr>
      <w:r w:rsidRPr="007E27D9">
        <w:rPr>
          <w:rFonts w:ascii="Verdana" w:hAnsi="Verdana"/>
          <w:sz w:val="14"/>
          <w:szCs w:val="14"/>
          <w:vertAlign w:val="superscript"/>
        </w:rPr>
        <w:footnoteRef/>
      </w:r>
      <w:r w:rsidRPr="007E27D9">
        <w:rPr>
          <w:rFonts w:ascii="Verdana" w:hAnsi="Verdana"/>
          <w:sz w:val="14"/>
          <w:szCs w:val="14"/>
          <w:vertAlign w:val="superscript"/>
        </w:rPr>
        <w:t xml:space="preserve"> </w:t>
      </w:r>
      <w:r w:rsidRPr="007E27D9">
        <w:rPr>
          <w:rFonts w:ascii="Verdana" w:hAnsi="Verdana" w:cs="Arial"/>
          <w:sz w:val="14"/>
          <w:szCs w:val="14"/>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6267902B" w14:textId="77777777" w:rsidR="007E3C0E" w:rsidRPr="007E27D9" w:rsidRDefault="007E3C0E" w:rsidP="007E27D9">
      <w:pPr>
        <w:pStyle w:val="Textonotapie"/>
        <w:ind w:firstLine="709"/>
        <w:jc w:val="both"/>
        <w:rPr>
          <w:rFonts w:ascii="Verdana" w:hAnsi="Verdana" w:cs="Arial"/>
          <w:sz w:val="14"/>
          <w:szCs w:val="14"/>
        </w:rPr>
      </w:pPr>
    </w:p>
  </w:footnote>
  <w:footnote w:id="24">
    <w:p w14:paraId="3A12BF94" w14:textId="77777777" w:rsidR="007E3C0E" w:rsidRPr="007E27D9" w:rsidRDefault="007E3C0E" w:rsidP="007E27D9">
      <w:pPr>
        <w:pStyle w:val="Textonotapie"/>
        <w:ind w:firstLine="709"/>
        <w:jc w:val="both"/>
        <w:rPr>
          <w:rFonts w:ascii="Verdana" w:hAnsi="Verdana" w:cs="Arial"/>
          <w:sz w:val="14"/>
          <w:szCs w:val="14"/>
        </w:rPr>
      </w:pPr>
      <w:r w:rsidRPr="007E27D9">
        <w:rPr>
          <w:rFonts w:ascii="Verdana" w:hAnsi="Verdana"/>
          <w:sz w:val="14"/>
          <w:szCs w:val="14"/>
          <w:vertAlign w:val="superscript"/>
        </w:rPr>
        <w:footnoteRef/>
      </w:r>
      <w:r w:rsidRPr="007E27D9">
        <w:rPr>
          <w:rFonts w:ascii="Verdana" w:hAnsi="Verdana" w:cs="Arial"/>
          <w:sz w:val="14"/>
          <w:szCs w:val="14"/>
          <w:vertAlign w:val="superscript"/>
        </w:rPr>
        <w:t xml:space="preserve"> </w:t>
      </w:r>
      <w:r w:rsidRPr="007E27D9">
        <w:rPr>
          <w:rFonts w:ascii="Verdana" w:hAnsi="Verdana" w:cs="Arial"/>
          <w:sz w:val="14"/>
          <w:szCs w:val="14"/>
        </w:rPr>
        <w:t xml:space="preserve">Ley 80 de 1993: “Artículo 41. Del perfeccionamiento del contrato. Los contratos del Estado se perfeccionan cuando se logre acuerdo sobre el objeto y la contraprestación y éste se eleve a escrito (…)”. </w:t>
      </w:r>
    </w:p>
    <w:p w14:paraId="7C4C5133" w14:textId="77777777" w:rsidR="007E3C0E" w:rsidRPr="007E27D9" w:rsidRDefault="007E3C0E" w:rsidP="007E27D9">
      <w:pPr>
        <w:pStyle w:val="Textonotapie"/>
        <w:ind w:firstLine="709"/>
        <w:jc w:val="both"/>
        <w:rPr>
          <w:rFonts w:ascii="Verdana" w:hAnsi="Verdana" w:cs="Arial"/>
          <w:sz w:val="14"/>
          <w:szCs w:val="14"/>
        </w:rPr>
      </w:pPr>
    </w:p>
  </w:footnote>
  <w:footnote w:id="25">
    <w:p w14:paraId="16D419D3" w14:textId="3D74C299" w:rsidR="007E3C0E" w:rsidRPr="007E27D9" w:rsidRDefault="007E3C0E" w:rsidP="007E27D9">
      <w:pPr>
        <w:pStyle w:val="Textonotapie"/>
        <w:ind w:firstLine="709"/>
        <w:jc w:val="both"/>
        <w:rPr>
          <w:rFonts w:ascii="Verdana" w:hAnsi="Verdana" w:cs="Arial"/>
          <w:sz w:val="14"/>
          <w:szCs w:val="14"/>
        </w:rPr>
      </w:pPr>
      <w:r w:rsidRPr="007E27D9">
        <w:rPr>
          <w:rFonts w:ascii="Verdana" w:hAnsi="Verdana"/>
          <w:sz w:val="14"/>
          <w:szCs w:val="14"/>
          <w:vertAlign w:val="superscript"/>
        </w:rPr>
        <w:footnoteRef/>
      </w:r>
      <w:r w:rsidRPr="007E27D9">
        <w:rPr>
          <w:rFonts w:ascii="Verdana" w:hAnsi="Verdana" w:cs="Arial"/>
          <w:sz w:val="14"/>
          <w:szCs w:val="14"/>
          <w:vertAlign w:val="superscript"/>
        </w:rPr>
        <w:t xml:space="preserve"> </w:t>
      </w:r>
      <w:r w:rsidRPr="007E27D9">
        <w:rPr>
          <w:rFonts w:ascii="Verdana" w:hAnsi="Verdana" w:cs="Arial"/>
          <w:sz w:val="14"/>
          <w:szCs w:val="14"/>
        </w:rPr>
        <w:t>Código Civil: “Artículo 27. Cuando el sentido de la ley sea claro, no se desatenderá su tenor a pretexto de consultar su espíritu”.</w:t>
      </w:r>
    </w:p>
    <w:p w14:paraId="435A4851" w14:textId="77777777" w:rsidR="007E3C0E" w:rsidRPr="007E27D9" w:rsidRDefault="007E3C0E" w:rsidP="007E27D9">
      <w:pPr>
        <w:pStyle w:val="Textonotapie"/>
        <w:ind w:firstLine="709"/>
        <w:jc w:val="both"/>
        <w:rPr>
          <w:rFonts w:ascii="Verdana" w:hAnsi="Verdana" w:cs="Arial"/>
          <w:sz w:val="14"/>
          <w:szCs w:val="14"/>
        </w:rPr>
      </w:pPr>
    </w:p>
  </w:footnote>
  <w:footnote w:id="26">
    <w:p w14:paraId="61EF76B6" w14:textId="77777777" w:rsidR="007E3C0E" w:rsidRPr="007E27D9" w:rsidRDefault="007E3C0E" w:rsidP="007E3C0E">
      <w:pPr>
        <w:pStyle w:val="Textonotapie"/>
        <w:ind w:firstLine="709"/>
        <w:jc w:val="both"/>
        <w:rPr>
          <w:rFonts w:ascii="Verdana" w:hAnsi="Verdana"/>
          <w:sz w:val="14"/>
          <w:szCs w:val="14"/>
          <w:lang w:val="es-ES"/>
        </w:rPr>
      </w:pPr>
      <w:r w:rsidRPr="007E27D9">
        <w:rPr>
          <w:rStyle w:val="Refdenotaalpie"/>
          <w:rFonts w:ascii="Verdana" w:hAnsi="Verdana"/>
          <w:sz w:val="14"/>
          <w:szCs w:val="14"/>
        </w:rPr>
        <w:footnoteRef/>
      </w:r>
      <w:r w:rsidRPr="007E27D9">
        <w:rPr>
          <w:rFonts w:ascii="Verdana" w:hAnsi="Verdana"/>
          <w:sz w:val="14"/>
          <w:szCs w:val="14"/>
        </w:rPr>
        <w:t xml:space="preserve"> </w:t>
      </w:r>
      <w:r w:rsidRPr="007E27D9">
        <w:rPr>
          <w:rFonts w:ascii="Verdana" w:hAnsi="Verdana"/>
          <w:sz w:val="14"/>
          <w:szCs w:val="14"/>
          <w:lang w:val="es-ES"/>
        </w:rPr>
        <w:t xml:space="preserve">Circular Externa 006 del 25 de septiembre de 2025. Disponible en </w:t>
      </w:r>
      <w:hyperlink r:id="rId1" w:history="1">
        <w:r w:rsidRPr="007E27D9">
          <w:rPr>
            <w:rStyle w:val="Hipervnculo"/>
            <w:rFonts w:ascii="Verdana" w:hAnsi="Verdana"/>
            <w:sz w:val="14"/>
            <w:szCs w:val="14"/>
            <w:lang w:val="es-CO"/>
          </w:rPr>
          <w:t>006-de-2025-Circular-Externa-L996-ajustado-comentarios-BM-BID-Rev-ARSC-V3.d-1.pdf</w:t>
        </w:r>
      </w:hyperlink>
      <w:r w:rsidRPr="007E27D9">
        <w:rPr>
          <w:rFonts w:ascii="Verdana" w:hAnsi="Verdana"/>
          <w:sz w:val="14"/>
          <w:szCs w:val="14"/>
          <w:lang w:val="es-ES"/>
        </w:rPr>
        <w:t xml:space="preserve"> </w:t>
      </w:r>
    </w:p>
    <w:p w14:paraId="3AAA13C3" w14:textId="77777777" w:rsidR="007E3C0E" w:rsidRPr="007E27D9" w:rsidRDefault="007E3C0E" w:rsidP="007E3C0E">
      <w:pPr>
        <w:pStyle w:val="Textonotapie"/>
        <w:ind w:firstLine="709"/>
        <w:rPr>
          <w:rFonts w:ascii="Verdana" w:hAnsi="Verdana"/>
          <w:sz w:val="14"/>
          <w:szCs w:val="14"/>
          <w:lang w:val="es-ES"/>
        </w:rPr>
      </w:pPr>
    </w:p>
  </w:footnote>
  <w:footnote w:id="27">
    <w:p w14:paraId="29C4EC0B" w14:textId="771149EF" w:rsidR="007E3C0E" w:rsidRDefault="007E3C0E" w:rsidP="00A83E37">
      <w:pPr>
        <w:pStyle w:val="Textonotapie"/>
        <w:ind w:firstLine="709"/>
        <w:jc w:val="both"/>
        <w:rPr>
          <w:rFonts w:ascii="Verdana" w:hAnsi="Verdana"/>
          <w:sz w:val="14"/>
          <w:szCs w:val="14"/>
          <w:lang w:val="es-CO"/>
        </w:rPr>
      </w:pPr>
      <w:r w:rsidRPr="007E27D9">
        <w:rPr>
          <w:rStyle w:val="Refdenotaalpie"/>
          <w:rFonts w:ascii="Verdana" w:hAnsi="Verdana"/>
          <w:sz w:val="14"/>
          <w:szCs w:val="14"/>
        </w:rPr>
        <w:footnoteRef/>
      </w:r>
      <w:r w:rsidRPr="007E27D9">
        <w:rPr>
          <w:rFonts w:ascii="Verdana" w:hAnsi="Verdana"/>
          <w:sz w:val="14"/>
          <w:szCs w:val="14"/>
          <w:lang w:val="es-CO"/>
        </w:rPr>
        <w:t xml:space="preserve"> Consejo de Estado. Sala de lo Contencioso Administrativo. Sección Tercera. Auto del 4 de octubre de 2024. </w:t>
      </w:r>
      <w:proofErr w:type="spellStart"/>
      <w:r w:rsidRPr="007E27D9">
        <w:rPr>
          <w:rFonts w:ascii="Verdana" w:hAnsi="Verdana"/>
          <w:sz w:val="14"/>
          <w:szCs w:val="14"/>
          <w:lang w:val="es-CO"/>
        </w:rPr>
        <w:t>Exp</w:t>
      </w:r>
      <w:proofErr w:type="spellEnd"/>
      <w:r w:rsidRPr="007E27D9">
        <w:rPr>
          <w:rFonts w:ascii="Verdana" w:hAnsi="Verdana"/>
          <w:sz w:val="14"/>
          <w:szCs w:val="14"/>
          <w:lang w:val="es-CO"/>
        </w:rPr>
        <w:t>. 70.313. C.P: Fredy Ibarra Martínez.</w:t>
      </w:r>
    </w:p>
    <w:p w14:paraId="6D4E40D2" w14:textId="77777777" w:rsidR="007E3C0E" w:rsidRPr="003A04BF" w:rsidRDefault="007E3C0E" w:rsidP="003A04BF">
      <w:pPr>
        <w:pStyle w:val="Textonotapie"/>
        <w:ind w:firstLine="709"/>
        <w:jc w:val="both"/>
        <w:rPr>
          <w:rFonts w:ascii="Verdana" w:hAnsi="Verdana"/>
          <w:sz w:val="14"/>
          <w:szCs w:val="14"/>
          <w:lang w:val="es-CO"/>
        </w:rPr>
      </w:pPr>
    </w:p>
  </w:footnote>
  <w:footnote w:id="28">
    <w:p w14:paraId="02A0316D" w14:textId="77777777" w:rsidR="007E3C0E" w:rsidRPr="007E27D9" w:rsidRDefault="007E3C0E" w:rsidP="007E27D9">
      <w:pPr>
        <w:pStyle w:val="Textonotapie"/>
        <w:ind w:firstLine="709"/>
        <w:jc w:val="both"/>
        <w:rPr>
          <w:rFonts w:ascii="Verdana" w:hAnsi="Verdana"/>
          <w:sz w:val="14"/>
          <w:szCs w:val="14"/>
          <w:lang w:val="es-CO"/>
        </w:rPr>
      </w:pPr>
      <w:r w:rsidRPr="007E27D9">
        <w:rPr>
          <w:rStyle w:val="Refdenotaalpie"/>
          <w:rFonts w:ascii="Verdana" w:hAnsi="Verdana"/>
          <w:sz w:val="14"/>
          <w:szCs w:val="14"/>
        </w:rPr>
        <w:footnoteRef/>
      </w:r>
      <w:r w:rsidRPr="007E27D9">
        <w:rPr>
          <w:rFonts w:ascii="Verdana" w:hAnsi="Verdana"/>
          <w:sz w:val="14"/>
          <w:szCs w:val="14"/>
        </w:rPr>
        <w:t xml:space="preserve"> La parte resolutiva del auto dispone lo siguiente; “</w:t>
      </w:r>
      <w:r w:rsidRPr="007E27D9">
        <w:rPr>
          <w:rFonts w:ascii="Verdana" w:hAnsi="Verdana"/>
          <w:b/>
          <w:sz w:val="14"/>
          <w:szCs w:val="14"/>
          <w:lang w:val="es-CO"/>
        </w:rPr>
        <w:t xml:space="preserve">PRIMERO: DECRETAR </w:t>
      </w:r>
      <w:r w:rsidRPr="007E27D9">
        <w:rPr>
          <w:rFonts w:ascii="Verdana" w:hAnsi="Verdana"/>
          <w:sz w:val="14"/>
          <w:szCs w:val="14"/>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7E27D9">
        <w:rPr>
          <w:rFonts w:ascii="Verdana" w:hAnsi="Verdana"/>
          <w:i/>
          <w:sz w:val="14"/>
          <w:szCs w:val="14"/>
          <w:lang w:val="es-CO"/>
        </w:rPr>
        <w:t>“[e]</w:t>
      </w:r>
      <w:proofErr w:type="spellStart"/>
      <w:r w:rsidRPr="007E27D9">
        <w:rPr>
          <w:rFonts w:ascii="Verdana" w:hAnsi="Verdana"/>
          <w:i/>
          <w:sz w:val="14"/>
          <w:szCs w:val="14"/>
          <w:lang w:val="es-CO"/>
        </w:rPr>
        <w:t>sta</w:t>
      </w:r>
      <w:proofErr w:type="spellEnd"/>
      <w:r w:rsidRPr="007E27D9">
        <w:rPr>
          <w:rFonts w:ascii="Verdana" w:hAnsi="Verdana"/>
          <w:i/>
          <w:sz w:val="14"/>
          <w:szCs w:val="14"/>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7E27D9">
        <w:rPr>
          <w:rFonts w:ascii="Verdana" w:hAnsi="Verdana"/>
          <w:sz w:val="14"/>
          <w:szCs w:val="14"/>
          <w:lang w:val="es-CO"/>
        </w:rPr>
        <w:t xml:space="preserve">, por las razones expuestas en precedencia. </w:t>
      </w:r>
    </w:p>
    <w:p w14:paraId="5694C464" w14:textId="77777777" w:rsidR="007E3C0E" w:rsidRPr="007E27D9" w:rsidRDefault="007E3C0E" w:rsidP="007E27D9">
      <w:pPr>
        <w:pStyle w:val="Textonotapie"/>
        <w:ind w:firstLine="709"/>
        <w:jc w:val="both"/>
        <w:rPr>
          <w:rFonts w:ascii="Verdana" w:hAnsi="Verdana"/>
          <w:sz w:val="14"/>
          <w:szCs w:val="14"/>
          <w:lang w:val="es-CO"/>
        </w:rPr>
      </w:pPr>
      <w:r w:rsidRPr="007E27D9">
        <w:rPr>
          <w:rFonts w:ascii="Verdana" w:hAnsi="Verdana"/>
          <w:b/>
          <w:sz w:val="14"/>
          <w:szCs w:val="14"/>
          <w:lang w:val="es-CO"/>
        </w:rPr>
        <w:t xml:space="preserve">SEGUNDO: DECRETAR </w:t>
      </w:r>
      <w:r w:rsidRPr="007E27D9">
        <w:rPr>
          <w:rFonts w:ascii="Verdana" w:hAnsi="Verdana"/>
          <w:sz w:val="14"/>
          <w:szCs w:val="14"/>
          <w:lang w:val="es-CO"/>
        </w:rPr>
        <w:t>la suspensión provisional de la expresión “</w:t>
      </w:r>
      <w:r w:rsidRPr="007E27D9">
        <w:rPr>
          <w:rFonts w:ascii="Verdana" w:hAnsi="Verdana"/>
          <w:i/>
          <w:sz w:val="14"/>
          <w:szCs w:val="14"/>
          <w:lang w:val="es-CO"/>
        </w:rPr>
        <w:t>contratos</w:t>
      </w:r>
      <w:r w:rsidRPr="007E27D9">
        <w:rPr>
          <w:rFonts w:ascii="Verdana" w:hAnsi="Verdana"/>
          <w:sz w:val="14"/>
          <w:szCs w:val="14"/>
          <w:lang w:val="es-CO"/>
        </w:rPr>
        <w:t xml:space="preserve">” y del párrafo </w:t>
      </w:r>
      <w:r w:rsidRPr="007E27D9">
        <w:rPr>
          <w:rFonts w:ascii="Verdana" w:hAnsi="Verdana"/>
          <w:i/>
          <w:sz w:val="14"/>
          <w:szCs w:val="14"/>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7E27D9">
        <w:rPr>
          <w:rFonts w:ascii="Verdana" w:hAnsi="Verdana"/>
          <w:sz w:val="14"/>
          <w:szCs w:val="14"/>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Sala de lo Contencioso Administrativo. Sección Tercera. Auto del 6 de noviembre de 2025. </w:t>
      </w:r>
      <w:proofErr w:type="spellStart"/>
      <w:r w:rsidRPr="007E27D9">
        <w:rPr>
          <w:rFonts w:ascii="Verdana" w:hAnsi="Verdana"/>
          <w:sz w:val="14"/>
          <w:szCs w:val="14"/>
          <w:lang w:val="es-CO"/>
        </w:rPr>
        <w:t>Exp</w:t>
      </w:r>
      <w:proofErr w:type="spellEnd"/>
      <w:r w:rsidRPr="007E27D9">
        <w:rPr>
          <w:rFonts w:ascii="Verdana" w:hAnsi="Verdana"/>
          <w:sz w:val="14"/>
          <w:szCs w:val="14"/>
          <w:lang w:val="es-CO"/>
        </w:rPr>
        <w:t xml:space="preserve">. 72.424. C.P: Fernando Alexei Pardo Flórez. </w:t>
      </w:r>
    </w:p>
    <w:p w14:paraId="243F0719" w14:textId="77777777" w:rsidR="007E3C0E" w:rsidRPr="007E27D9" w:rsidRDefault="007E3C0E" w:rsidP="007E27D9">
      <w:pPr>
        <w:pStyle w:val="Textonotapie"/>
        <w:ind w:firstLine="709"/>
        <w:jc w:val="both"/>
        <w:rPr>
          <w:rFonts w:ascii="Verdana" w:hAnsi="Verdana"/>
          <w:sz w:val="14"/>
          <w:szCs w:val="14"/>
          <w:lang w:val="es-CO"/>
        </w:rPr>
      </w:pPr>
    </w:p>
  </w:footnote>
  <w:footnote w:id="29">
    <w:p w14:paraId="2100219A" w14:textId="77777777" w:rsidR="007E3C0E" w:rsidRPr="007E27D9" w:rsidRDefault="007E3C0E" w:rsidP="007E27D9">
      <w:pPr>
        <w:spacing w:after="0" w:line="240" w:lineRule="auto"/>
        <w:ind w:firstLine="709"/>
        <w:jc w:val="both"/>
        <w:rPr>
          <w:rFonts w:ascii="Verdana" w:eastAsia="Times New Roman" w:hAnsi="Verdana" w:cs="Times New Roman"/>
          <w:sz w:val="14"/>
          <w:szCs w:val="14"/>
          <w:lang w:eastAsia="es-ES"/>
        </w:rPr>
      </w:pPr>
      <w:r w:rsidRPr="007E27D9">
        <w:rPr>
          <w:rStyle w:val="Refdenotaalpie"/>
          <w:rFonts w:ascii="Verdana" w:hAnsi="Verdana"/>
          <w:sz w:val="14"/>
          <w:szCs w:val="14"/>
        </w:rPr>
        <w:footnoteRef/>
      </w:r>
      <w:r w:rsidRPr="007E27D9">
        <w:rPr>
          <w:rFonts w:ascii="Verdana" w:hAnsi="Verdana"/>
          <w:sz w:val="14"/>
          <w:szCs w:val="14"/>
        </w:rPr>
        <w:t xml:space="preserve"> </w:t>
      </w:r>
      <w:r w:rsidRPr="007E27D9">
        <w:rPr>
          <w:rFonts w:ascii="Verdana" w:eastAsia="Times New Roman" w:hAnsi="Verdana" w:cs="Times New Roman"/>
          <w:sz w:val="14"/>
          <w:szCs w:val="14"/>
          <w:lang w:eastAsia="es-ES"/>
        </w:rPr>
        <w:t xml:space="preserve">Consejo de Estado. Sala de lo Contencioso Administrativo. Sección Tercera. Subsección B. 17 de octubre de 2025. Magistrado Ponente: Fredy Ibarra Martínez.  </w:t>
      </w:r>
      <w:r w:rsidRPr="007E27D9">
        <w:rPr>
          <w:rFonts w:ascii="Verdana" w:hAnsi="Verdana"/>
          <w:sz w:val="14"/>
          <w:szCs w:val="14"/>
        </w:rPr>
        <w:t xml:space="preserve">La parte de la providencia señala: </w:t>
      </w:r>
      <w:r w:rsidRPr="007E27D9">
        <w:rPr>
          <w:rFonts w:ascii="Verdana" w:eastAsia="Times New Roman" w:hAnsi="Verdana" w:cs="Times New Roman"/>
          <w:sz w:val="14"/>
          <w:szCs w:val="14"/>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7E27D9">
        <w:rPr>
          <w:rFonts w:ascii="Verdana" w:eastAsia="Times New Roman" w:hAnsi="Verdana" w:cs="Times New Roman"/>
          <w:sz w:val="14"/>
          <w:szCs w:val="14"/>
          <w:lang w:eastAsia="es-ES"/>
        </w:rPr>
        <w:t>ii</w:t>
      </w:r>
      <w:proofErr w:type="spellEnd"/>
      <w:r w:rsidRPr="007E27D9">
        <w:rPr>
          <w:rFonts w:ascii="Verdana" w:eastAsia="Times New Roman" w:hAnsi="Verdana" w:cs="Times New Roman"/>
          <w:sz w:val="14"/>
          <w:szCs w:val="14"/>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1D15CA6B" w14:textId="77777777" w:rsidR="007E3C0E" w:rsidRPr="007E27D9" w:rsidRDefault="007E3C0E" w:rsidP="007E27D9">
      <w:pPr>
        <w:spacing w:after="0" w:line="240" w:lineRule="auto"/>
        <w:ind w:firstLine="709"/>
        <w:jc w:val="both"/>
        <w:rPr>
          <w:rFonts w:ascii="Verdana" w:eastAsia="Times New Roman" w:hAnsi="Verdana" w:cs="Times New Roman"/>
          <w:sz w:val="14"/>
          <w:szCs w:val="14"/>
          <w:lang w:eastAsia="es-ES"/>
        </w:rPr>
      </w:pPr>
    </w:p>
  </w:footnote>
  <w:footnote w:id="30">
    <w:p w14:paraId="68032A8F" w14:textId="6E19A0D0" w:rsidR="007E3C0E" w:rsidRDefault="007E3C0E" w:rsidP="00A83E37">
      <w:pPr>
        <w:pStyle w:val="Textonotapie"/>
        <w:ind w:firstLine="709"/>
        <w:jc w:val="both"/>
        <w:rPr>
          <w:rFonts w:ascii="Verdana" w:hAnsi="Verdana"/>
          <w:sz w:val="14"/>
          <w:szCs w:val="14"/>
        </w:rPr>
      </w:pPr>
      <w:r w:rsidRPr="007E27D9">
        <w:rPr>
          <w:rStyle w:val="Refdenotaalpie"/>
          <w:rFonts w:ascii="Verdana" w:hAnsi="Verdana"/>
          <w:sz w:val="14"/>
          <w:szCs w:val="14"/>
        </w:rPr>
        <w:footnoteRef/>
      </w:r>
      <w:r w:rsidRPr="007E27D9">
        <w:rPr>
          <w:rFonts w:ascii="Verdana" w:hAnsi="Verdana"/>
          <w:sz w:val="14"/>
          <w:szCs w:val="14"/>
        </w:rPr>
        <w:t xml:space="preserve"> No </w:t>
      </w:r>
      <w:proofErr w:type="gramStart"/>
      <w:r w:rsidRPr="007E27D9">
        <w:rPr>
          <w:rFonts w:ascii="Verdana" w:hAnsi="Verdana"/>
          <w:sz w:val="14"/>
          <w:szCs w:val="14"/>
        </w:rPr>
        <w:t>obstante</w:t>
      </w:r>
      <w:proofErr w:type="gramEnd"/>
      <w:r w:rsidRPr="007E27D9">
        <w:rPr>
          <w:rFonts w:ascii="Verdana" w:hAnsi="Verdana"/>
          <w:sz w:val="14"/>
          <w:szCs w:val="14"/>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683B3463" w14:textId="77777777" w:rsidR="007E3C0E" w:rsidRPr="007E27D9" w:rsidRDefault="007E3C0E" w:rsidP="007E3C0E">
      <w:pPr>
        <w:pStyle w:val="Textonotapie"/>
        <w:ind w:firstLine="709"/>
        <w:jc w:val="both"/>
        <w:rPr>
          <w:rFonts w:ascii="Verdana" w:hAnsi="Verdana"/>
          <w:sz w:val="14"/>
          <w:szCs w:val="14"/>
          <w:lang w:val="es-CO"/>
        </w:rPr>
      </w:pPr>
    </w:p>
  </w:footnote>
  <w:footnote w:id="31">
    <w:p w14:paraId="5C8498EC" w14:textId="4255984D" w:rsidR="007E3C0E" w:rsidRDefault="007E3C0E" w:rsidP="00A83E37">
      <w:pPr>
        <w:pStyle w:val="Textonotapie"/>
        <w:ind w:firstLine="709"/>
        <w:jc w:val="both"/>
        <w:rPr>
          <w:rStyle w:val="Hipervnculo"/>
          <w:rFonts w:ascii="Verdana" w:hAnsi="Verdana"/>
          <w:sz w:val="14"/>
          <w:szCs w:val="14"/>
          <w:lang w:val="es-CO"/>
        </w:rPr>
      </w:pPr>
      <w:r w:rsidRPr="007E27D9">
        <w:rPr>
          <w:rStyle w:val="Refdenotaalpie"/>
          <w:rFonts w:ascii="Verdana" w:hAnsi="Verdana"/>
          <w:sz w:val="14"/>
          <w:szCs w:val="14"/>
        </w:rPr>
        <w:footnoteRef/>
      </w:r>
      <w:r w:rsidRPr="007E27D9">
        <w:rPr>
          <w:rFonts w:ascii="Verdana" w:hAnsi="Verdana"/>
          <w:sz w:val="14"/>
          <w:szCs w:val="14"/>
          <w:lang w:val="es-CO"/>
        </w:rPr>
        <w:t xml:space="preserve"> Circular única Externa de Colombia Compra Eficiente. Disponible en </w:t>
      </w:r>
      <w:hyperlink r:id="rId2" w:history="1">
        <w:r w:rsidRPr="007E27D9">
          <w:rPr>
            <w:rStyle w:val="Hipervnculo"/>
            <w:rFonts w:ascii="Verdana" w:hAnsi="Verdana"/>
            <w:sz w:val="14"/>
            <w:szCs w:val="14"/>
            <w:lang w:val="es-CO"/>
          </w:rPr>
          <w:t>circular_externa_unica_version_3_vf49.pdf</w:t>
        </w:r>
      </w:hyperlink>
    </w:p>
    <w:p w14:paraId="68C08FBF" w14:textId="6247C3FB" w:rsidR="007E3C0E" w:rsidRPr="007E27D9" w:rsidRDefault="007E3C0E" w:rsidP="007E3C0E">
      <w:pPr>
        <w:pStyle w:val="Textonotapie"/>
        <w:ind w:firstLine="709"/>
        <w:jc w:val="both"/>
        <w:rPr>
          <w:rFonts w:ascii="Verdana" w:hAnsi="Verdana"/>
          <w:sz w:val="14"/>
          <w:szCs w:val="14"/>
          <w:lang w:val="es-CO"/>
        </w:rPr>
      </w:pPr>
    </w:p>
  </w:footnote>
  <w:footnote w:id="32">
    <w:p w14:paraId="65EB81EE" w14:textId="77777777" w:rsidR="007E3C0E" w:rsidRPr="007E27D9" w:rsidRDefault="007E3C0E" w:rsidP="007E27D9">
      <w:pPr>
        <w:pStyle w:val="Textonotapie"/>
        <w:ind w:firstLine="709"/>
        <w:jc w:val="both"/>
        <w:rPr>
          <w:rFonts w:ascii="Verdana" w:hAnsi="Verdana"/>
          <w:sz w:val="14"/>
          <w:szCs w:val="14"/>
          <w:lang w:val="es-ES"/>
        </w:rPr>
      </w:pPr>
      <w:r w:rsidRPr="007E27D9">
        <w:rPr>
          <w:rStyle w:val="Refdenotaalpie"/>
          <w:rFonts w:ascii="Verdana" w:hAnsi="Verdana"/>
          <w:sz w:val="14"/>
          <w:szCs w:val="14"/>
        </w:rPr>
        <w:footnoteRef/>
      </w:r>
      <w:r w:rsidRPr="007E27D9">
        <w:rPr>
          <w:rFonts w:ascii="Verdana" w:hAnsi="Verdana"/>
          <w:sz w:val="14"/>
          <w:szCs w:val="14"/>
        </w:rPr>
        <w:t xml:space="preserve"> </w:t>
      </w:r>
      <w:r w:rsidRPr="007E27D9">
        <w:rPr>
          <w:rFonts w:ascii="Verdana" w:hAnsi="Verdana"/>
          <w:sz w:val="14"/>
          <w:szCs w:val="14"/>
          <w:lang w:val="es-ES"/>
        </w:rPr>
        <w:t xml:space="preserve">En el mismo sentido se puede consultar la Circular Externa 006 del 25 de septiembre de 2025. Disponible en </w:t>
      </w:r>
      <w:hyperlink r:id="rId3" w:history="1">
        <w:r w:rsidRPr="007E27D9">
          <w:rPr>
            <w:rStyle w:val="Hipervnculo"/>
            <w:rFonts w:ascii="Verdana" w:hAnsi="Verdana"/>
            <w:sz w:val="14"/>
            <w:szCs w:val="14"/>
            <w:lang w:val="es-CO"/>
          </w:rPr>
          <w:t>006-de-2025-Circular-Externa-L996-ajustado-comentarios-BM-BID-Rev-ARSC-V3.d-1.pdf</w:t>
        </w:r>
      </w:hyperlink>
      <w:r w:rsidRPr="007E27D9">
        <w:rPr>
          <w:rFonts w:ascii="Verdana" w:hAnsi="Verdana"/>
          <w:sz w:val="14"/>
          <w:szCs w:val="14"/>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C811DB"/>
    <w:multiLevelType w:val="hybridMultilevel"/>
    <w:tmpl w:val="41104C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308650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384C"/>
    <w:rsid w:val="000A683E"/>
    <w:rsid w:val="000B19B9"/>
    <w:rsid w:val="000D0334"/>
    <w:rsid w:val="000D5DA7"/>
    <w:rsid w:val="000F6486"/>
    <w:rsid w:val="00116940"/>
    <w:rsid w:val="00125105"/>
    <w:rsid w:val="00127233"/>
    <w:rsid w:val="0015699B"/>
    <w:rsid w:val="001A33BF"/>
    <w:rsid w:val="001B0B2F"/>
    <w:rsid w:val="001E4177"/>
    <w:rsid w:val="001F0B24"/>
    <w:rsid w:val="001F7DC6"/>
    <w:rsid w:val="0020025E"/>
    <w:rsid w:val="0022400B"/>
    <w:rsid w:val="00235F63"/>
    <w:rsid w:val="002421BB"/>
    <w:rsid w:val="0025796E"/>
    <w:rsid w:val="002707A2"/>
    <w:rsid w:val="002827F8"/>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04BF"/>
    <w:rsid w:val="003A779E"/>
    <w:rsid w:val="003D0F4D"/>
    <w:rsid w:val="003D5B0D"/>
    <w:rsid w:val="003E0499"/>
    <w:rsid w:val="003E4F80"/>
    <w:rsid w:val="003E6439"/>
    <w:rsid w:val="003F3941"/>
    <w:rsid w:val="00406575"/>
    <w:rsid w:val="00414C74"/>
    <w:rsid w:val="0042722E"/>
    <w:rsid w:val="0044528D"/>
    <w:rsid w:val="00466E39"/>
    <w:rsid w:val="0048766C"/>
    <w:rsid w:val="004A1847"/>
    <w:rsid w:val="004A305D"/>
    <w:rsid w:val="004F21C4"/>
    <w:rsid w:val="004F685F"/>
    <w:rsid w:val="005566E8"/>
    <w:rsid w:val="00574867"/>
    <w:rsid w:val="00591460"/>
    <w:rsid w:val="005954BB"/>
    <w:rsid w:val="005A556C"/>
    <w:rsid w:val="005A65E0"/>
    <w:rsid w:val="005C3777"/>
    <w:rsid w:val="005C5CDC"/>
    <w:rsid w:val="005D476C"/>
    <w:rsid w:val="005E5983"/>
    <w:rsid w:val="006200BF"/>
    <w:rsid w:val="006219F8"/>
    <w:rsid w:val="006302F7"/>
    <w:rsid w:val="00646B9F"/>
    <w:rsid w:val="00665D70"/>
    <w:rsid w:val="006900D9"/>
    <w:rsid w:val="00706C16"/>
    <w:rsid w:val="007340C3"/>
    <w:rsid w:val="0075235A"/>
    <w:rsid w:val="00756841"/>
    <w:rsid w:val="007649AB"/>
    <w:rsid w:val="00771D0C"/>
    <w:rsid w:val="007833AC"/>
    <w:rsid w:val="007905B3"/>
    <w:rsid w:val="007B268C"/>
    <w:rsid w:val="007B7171"/>
    <w:rsid w:val="007C0C0F"/>
    <w:rsid w:val="007C3DC2"/>
    <w:rsid w:val="007E27D9"/>
    <w:rsid w:val="007E3C0E"/>
    <w:rsid w:val="007E5497"/>
    <w:rsid w:val="00806F5F"/>
    <w:rsid w:val="00820278"/>
    <w:rsid w:val="008258C9"/>
    <w:rsid w:val="00826C1B"/>
    <w:rsid w:val="008309DF"/>
    <w:rsid w:val="00844AE9"/>
    <w:rsid w:val="00867F95"/>
    <w:rsid w:val="008843B6"/>
    <w:rsid w:val="00891928"/>
    <w:rsid w:val="008A446D"/>
    <w:rsid w:val="008B25F1"/>
    <w:rsid w:val="008D180B"/>
    <w:rsid w:val="008E2DE7"/>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E3ED9"/>
    <w:rsid w:val="009F3A13"/>
    <w:rsid w:val="00A122D3"/>
    <w:rsid w:val="00A14468"/>
    <w:rsid w:val="00A17F13"/>
    <w:rsid w:val="00A20739"/>
    <w:rsid w:val="00A21C5F"/>
    <w:rsid w:val="00A23AF9"/>
    <w:rsid w:val="00A33C78"/>
    <w:rsid w:val="00A83E37"/>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A4D88"/>
    <w:rsid w:val="00DA7239"/>
    <w:rsid w:val="00DC39FC"/>
    <w:rsid w:val="00DF5254"/>
    <w:rsid w:val="00E02524"/>
    <w:rsid w:val="00E16408"/>
    <w:rsid w:val="00E20894"/>
    <w:rsid w:val="00E245AB"/>
    <w:rsid w:val="00E2764C"/>
    <w:rsid w:val="00E27F2E"/>
    <w:rsid w:val="00E50AFE"/>
    <w:rsid w:val="00E75C92"/>
    <w:rsid w:val="00E771DC"/>
    <w:rsid w:val="00E84275"/>
    <w:rsid w:val="00E8772A"/>
    <w:rsid w:val="00E90F6B"/>
    <w:rsid w:val="00E92C27"/>
    <w:rsid w:val="00EA0E3D"/>
    <w:rsid w:val="00EA211C"/>
    <w:rsid w:val="00EC38A7"/>
    <w:rsid w:val="00ED631D"/>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7E3C0E"/>
    <w:rPr>
      <w:rFonts w:ascii="Geomanist Light" w:hAnsi="Geomanist Light"/>
      <w:lang w:val="es-ES"/>
    </w:rPr>
  </w:style>
  <w:style w:type="paragraph" w:customStyle="1" w:styleId="Appelnotedebasde">
    <w:name w:val="Appel note de bas de..."/>
    <w:basedOn w:val="Normal"/>
    <w:link w:val="Refdenotaalpie"/>
    <w:uiPriority w:val="99"/>
    <w:rsid w:val="007E3C0E"/>
    <w:pPr>
      <w:spacing w:line="240" w:lineRule="exact"/>
    </w:pPr>
    <w:rPr>
      <w:vertAlign w:val="superscript"/>
    </w:rPr>
  </w:style>
  <w:style w:type="character" w:customStyle="1" w:styleId="NormalWebCar">
    <w:name w:val="Normal (Web) Car"/>
    <w:link w:val="NormalWeb"/>
    <w:uiPriority w:val="99"/>
    <w:locked/>
    <w:rsid w:val="007E3C0E"/>
    <w:rPr>
      <w:rFonts w:ascii="Times New Roman" w:eastAsia="Times New Roman" w:hAnsi="Times New Roman" w:cs="Times New Roman"/>
      <w:sz w:val="24"/>
      <w:szCs w:val="24"/>
      <w:lang w:eastAsia="es-CO"/>
    </w:rPr>
  </w:style>
  <w:style w:type="character" w:customStyle="1" w:styleId="baj">
    <w:name w:val="b_aj"/>
    <w:basedOn w:val="Fuentedeprrafopredeter"/>
    <w:rsid w:val="007E3C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wp-content/uploads/2024/08/circular_externa_unica_version_3_vf49.pdf"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mailto:eva@funcionpublica.gov.co"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acmabogado@jacmabogado.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wp-content/uploads/2025/09/006-de-2025-Circular-Externa-L996-ajustado-comentarios-BM-BID-Rev-ARSC-V3.d-1.pdf"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5/09/006-de-2025-Circular-Externa-L996-ajustado-comentarios-BM-BID-Rev-ARSC-V3.d-1.pdf" TargetMode="External"/><Relationship Id="rId2" Type="http://schemas.openxmlformats.org/officeDocument/2006/relationships/hyperlink" Target="https://www.colombiacompra.gov.co/wp-content/uploads/2024/08/circular_externa_unica_version_3_vf49.pdf" TargetMode="External"/><Relationship Id="rId1" Type="http://schemas.openxmlformats.org/officeDocument/2006/relationships/hyperlink" Target="https://www.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CBF3BE-1806-4E0E-9C24-E0F9779F5A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21</TotalTime>
  <Pages>30</Pages>
  <Words>9877</Words>
  <Characters>54228</Characters>
  <Application>Microsoft Office Word</Application>
  <DocSecurity>0</DocSecurity>
  <Lines>1042</Lines>
  <Paragraphs>200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5</cp:revision>
  <cp:lastPrinted>2023-01-10T21:18:00Z</cp:lastPrinted>
  <dcterms:created xsi:type="dcterms:W3CDTF">2025-12-29T10:56:00Z</dcterms:created>
  <dcterms:modified xsi:type="dcterms:W3CDTF">2025-12-30T16:55:00Z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