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B9F8B1" w14:textId="77777777" w:rsidR="002F0AC3" w:rsidRPr="001448FA" w:rsidRDefault="002F0AC3" w:rsidP="002F0AC3">
      <w:pPr>
        <w:spacing w:after="0"/>
        <w:rPr>
          <w:rFonts w:ascii="Verdana" w:hAnsi="Verdana"/>
        </w:rPr>
      </w:pPr>
      <w:bookmarkStart w:id="0" w:name="_Hlk143780582"/>
      <w:r w:rsidRPr="00682C93">
        <w:rPr>
          <w:rFonts w:ascii="Verdana" w:hAnsi="Verdana" w:cs="Arial"/>
          <w:b/>
          <w:lang w:val="es-MX" w:eastAsia="es-ES_tradnl"/>
        </w:rPr>
        <w:t xml:space="preserve">LEY DE GARANTÍAS ELECTORALES </w:t>
      </w:r>
      <w:r w:rsidRPr="00682C93">
        <w:rPr>
          <w:rFonts w:ascii="Verdana" w:hAnsi="Verdana" w:cs="Arial"/>
          <w:b/>
          <w:bCs/>
          <w:lang w:val="es-MX" w:eastAsia="es-ES_tradnl"/>
        </w:rPr>
        <w:t>‒</w:t>
      </w:r>
      <w:r w:rsidRPr="00682C93">
        <w:rPr>
          <w:rFonts w:ascii="Verdana" w:hAnsi="Verdana" w:cs="Arial"/>
          <w:b/>
          <w:lang w:val="es-MX" w:eastAsia="es-ES_tradnl"/>
        </w:rPr>
        <w:t xml:space="preserve"> Finalidad </w:t>
      </w:r>
    </w:p>
    <w:p w14:paraId="5C86845A" w14:textId="77777777" w:rsidR="002F0AC3" w:rsidRDefault="002F0AC3" w:rsidP="002F0AC3">
      <w:pPr>
        <w:spacing w:after="0" w:line="240" w:lineRule="auto"/>
        <w:jc w:val="both"/>
        <w:rPr>
          <w:rFonts w:ascii="Verdana" w:hAnsi="Verdana" w:cs="Arial"/>
          <w:b/>
          <w:lang w:val="es-MX" w:eastAsia="es-ES_tradnl"/>
        </w:rPr>
      </w:pPr>
    </w:p>
    <w:p w14:paraId="2F9059AC" w14:textId="77777777" w:rsidR="002F0AC3" w:rsidRDefault="002F0AC3" w:rsidP="002F0AC3">
      <w:pPr>
        <w:spacing w:after="0" w:line="240" w:lineRule="auto"/>
        <w:jc w:val="both"/>
        <w:rPr>
          <w:rFonts w:ascii="Verdana" w:eastAsia="Times New Roman" w:hAnsi="Verdana" w:cs="Arial"/>
          <w:sz w:val="20"/>
          <w:lang w:val="es-MX" w:eastAsia="es-CO"/>
        </w:rPr>
      </w:pPr>
      <w:r w:rsidRPr="00682C93">
        <w:rPr>
          <w:rFonts w:ascii="Verdana" w:eastAsia="Times New Roman" w:hAnsi="Verdana" w:cs="Arial"/>
          <w:sz w:val="20"/>
          <w:lang w:val="es-MX" w:eastAsia="es-CO"/>
        </w:rPr>
        <w:t>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w:t>
      </w:r>
    </w:p>
    <w:p w14:paraId="4FCCE151" w14:textId="77777777" w:rsidR="002F0AC3" w:rsidRPr="00682C93" w:rsidRDefault="002F0AC3" w:rsidP="002F0AC3">
      <w:pPr>
        <w:spacing w:after="0" w:line="240" w:lineRule="auto"/>
        <w:jc w:val="both"/>
        <w:rPr>
          <w:rFonts w:ascii="Verdana" w:hAnsi="Verdana" w:cs="Arial"/>
          <w:b/>
          <w:sz w:val="20"/>
          <w:lang w:val="es-MX" w:eastAsia="es-ES_tradnl"/>
        </w:rPr>
      </w:pPr>
    </w:p>
    <w:p w14:paraId="01ECC55C" w14:textId="77777777" w:rsidR="002F0AC3" w:rsidRPr="00682C93" w:rsidRDefault="002F0AC3" w:rsidP="002F0AC3">
      <w:pPr>
        <w:spacing w:after="0" w:line="240" w:lineRule="auto"/>
        <w:jc w:val="both"/>
        <w:rPr>
          <w:rFonts w:ascii="Verdana" w:hAnsi="Verdana" w:cs="Arial"/>
          <w:b/>
          <w:lang w:val="es-MX" w:eastAsia="es-ES_tradnl"/>
        </w:rPr>
      </w:pPr>
      <w:r w:rsidRPr="00682C93">
        <w:rPr>
          <w:rFonts w:ascii="Verdana" w:hAnsi="Verdana" w:cs="Arial"/>
          <w:b/>
          <w:lang w:val="es-MX" w:eastAsia="es-ES_tradnl"/>
        </w:rPr>
        <w:t xml:space="preserve">LEY DE GARANTÍAS ELECTORALES </w:t>
      </w:r>
      <w:r w:rsidRPr="00682C93">
        <w:rPr>
          <w:rFonts w:ascii="Verdana" w:hAnsi="Verdana" w:cs="Arial"/>
          <w:b/>
          <w:bCs/>
          <w:lang w:val="es-MX" w:eastAsia="es-ES_tradnl"/>
        </w:rPr>
        <w:t>‒</w:t>
      </w:r>
      <w:r w:rsidRPr="00682C93">
        <w:rPr>
          <w:rFonts w:ascii="Verdana" w:hAnsi="Verdana" w:cs="Arial"/>
          <w:b/>
          <w:lang w:val="es-MX" w:eastAsia="es-ES_tradnl"/>
        </w:rPr>
        <w:t xml:space="preserve"> Tipos de restricciones </w:t>
      </w:r>
      <w:r w:rsidRPr="00682C93">
        <w:rPr>
          <w:rFonts w:ascii="Verdana" w:hAnsi="Verdana" w:cs="Arial"/>
          <w:b/>
          <w:bCs/>
          <w:lang w:val="es-MX" w:eastAsia="es-ES_tradnl"/>
        </w:rPr>
        <w:t>‒</w:t>
      </w:r>
      <w:r w:rsidRPr="00682C93">
        <w:rPr>
          <w:rFonts w:ascii="Verdana" w:hAnsi="Verdana" w:cs="Arial"/>
          <w:b/>
          <w:lang w:val="es-MX" w:eastAsia="es-ES_tradnl"/>
        </w:rPr>
        <w:t xml:space="preserve"> Ámbito temporal – celebración</w:t>
      </w:r>
      <w:r>
        <w:rPr>
          <w:rFonts w:ascii="Verdana" w:hAnsi="Verdana" w:cs="Arial"/>
          <w:b/>
          <w:lang w:val="es-MX" w:eastAsia="es-ES_tradnl"/>
        </w:rPr>
        <w:t xml:space="preserve"> </w:t>
      </w:r>
      <w:r w:rsidRPr="001448FA">
        <w:rPr>
          <w:rFonts w:ascii="Verdana" w:hAnsi="Verdana" w:cs="Arial"/>
          <w:b/>
          <w:bCs/>
          <w:lang w:val="es-ES" w:eastAsia="es-ES_tradnl"/>
        </w:rPr>
        <w:t>–</w:t>
      </w:r>
      <w:r>
        <w:rPr>
          <w:rFonts w:ascii="Verdana" w:hAnsi="Verdana" w:cs="Arial"/>
          <w:b/>
          <w:lang w:val="es-MX" w:eastAsia="es-ES_tradnl"/>
        </w:rPr>
        <w:t xml:space="preserve"> L</w:t>
      </w:r>
      <w:r w:rsidRPr="00682C93">
        <w:rPr>
          <w:rFonts w:ascii="Verdana" w:hAnsi="Verdana" w:cs="Arial"/>
          <w:b/>
          <w:lang w:val="es-MX" w:eastAsia="es-ES_tradnl"/>
        </w:rPr>
        <w:t>ímite</w:t>
      </w:r>
    </w:p>
    <w:p w14:paraId="735C013B" w14:textId="77777777" w:rsidR="002F0AC3" w:rsidRDefault="002F0AC3" w:rsidP="002F0AC3">
      <w:pPr>
        <w:spacing w:after="0" w:line="240" w:lineRule="auto"/>
        <w:jc w:val="both"/>
        <w:rPr>
          <w:rFonts w:ascii="Verdana" w:hAnsi="Verdana" w:cs="Arial"/>
          <w:b/>
          <w:lang w:val="es-MX" w:eastAsia="es-ES_tradnl"/>
        </w:rPr>
      </w:pPr>
    </w:p>
    <w:p w14:paraId="2BA83816" w14:textId="77777777" w:rsidR="002F0AC3" w:rsidRPr="00E41F23" w:rsidRDefault="002F0AC3" w:rsidP="002F0AC3">
      <w:pPr>
        <w:spacing w:after="0" w:line="240" w:lineRule="auto"/>
        <w:jc w:val="both"/>
        <w:rPr>
          <w:rFonts w:ascii="Verdana" w:eastAsia="Calibri" w:hAnsi="Verdana" w:cs="Arial"/>
          <w:sz w:val="20"/>
        </w:rPr>
      </w:pPr>
      <w:r w:rsidRPr="00E41F23">
        <w:rPr>
          <w:rFonts w:ascii="Verdana" w:eastAsia="Calibri" w:hAnsi="Verdana" w:cs="Arial"/>
          <w:sz w:val="20"/>
        </w:rPr>
        <w:t xml:space="preserve">Por un lado, el </w:t>
      </w:r>
      <w:r w:rsidRPr="00E41F23">
        <w:rPr>
          <w:rFonts w:ascii="Verdana" w:eastAsia="Calibri" w:hAnsi="Verdana" w:cs="Arial"/>
          <w:i/>
          <w:iCs/>
          <w:sz w:val="20"/>
        </w:rPr>
        <w:t>artículo 33 de la Ley 996 de 2005</w:t>
      </w:r>
      <w:r w:rsidRPr="00E41F23">
        <w:rPr>
          <w:rFonts w:ascii="Verdana" w:eastAsia="Calibri" w:hAnsi="Verdana" w:cs="Arial"/>
          <w:sz w:val="20"/>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6F7C73F0" w14:textId="77777777" w:rsidR="002F0AC3" w:rsidRPr="00E41F23" w:rsidRDefault="002F0AC3" w:rsidP="002F0AC3">
      <w:pPr>
        <w:spacing w:after="0" w:line="240" w:lineRule="auto"/>
        <w:jc w:val="both"/>
        <w:rPr>
          <w:rFonts w:ascii="Verdana" w:eastAsia="Calibri" w:hAnsi="Verdana" w:cs="Arial"/>
          <w:sz w:val="20"/>
        </w:rPr>
      </w:pPr>
    </w:p>
    <w:p w14:paraId="1478B720" w14:textId="77777777" w:rsidR="002F0AC3" w:rsidRDefault="002F0AC3" w:rsidP="002F0AC3">
      <w:pPr>
        <w:widowControl w:val="0"/>
        <w:autoSpaceDE w:val="0"/>
        <w:autoSpaceDN w:val="0"/>
        <w:spacing w:after="0" w:line="240" w:lineRule="auto"/>
        <w:ind w:right="113"/>
        <w:jc w:val="both"/>
        <w:rPr>
          <w:rFonts w:ascii="Verdana" w:eastAsia="Arial" w:hAnsi="Verdana" w:cs="Arial"/>
          <w:sz w:val="20"/>
          <w:lang w:val="es-ES" w:eastAsia="es-ES" w:bidi="es-ES"/>
        </w:rPr>
      </w:pPr>
      <w:r w:rsidRPr="00E41F23">
        <w:rPr>
          <w:rFonts w:ascii="Verdana" w:eastAsia="Calibri" w:hAnsi="Verdana" w:cs="Arial"/>
          <w:sz w:val="20"/>
        </w:rPr>
        <w:t xml:space="preserve">Por otro lado, </w:t>
      </w:r>
      <w:r w:rsidRPr="00E41F23">
        <w:rPr>
          <w:rFonts w:ascii="Verdana" w:eastAsia="Calibri" w:hAnsi="Verdana" w:cs="Arial"/>
          <w:i/>
          <w:iCs/>
          <w:sz w:val="20"/>
        </w:rPr>
        <w:t>el parágrafo del artículo 38 de la Ley 996 de 2005</w:t>
      </w:r>
      <w:r w:rsidRPr="00E41F23">
        <w:rPr>
          <w:rFonts w:ascii="Verdana" w:eastAsia="Calibri" w:hAnsi="Verdana" w:cs="Arial"/>
          <w:sz w:val="20"/>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E41F23">
        <w:rPr>
          <w:rFonts w:ascii="Verdana" w:eastAsia="Calibri" w:hAnsi="Verdana" w:cs="Arial"/>
          <w:sz w:val="20"/>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E41F23">
        <w:rPr>
          <w:rFonts w:ascii="Verdana" w:eastAsia="Calibri" w:hAnsi="Verdana" w:cs="Arial"/>
          <w:sz w:val="20"/>
        </w:rPr>
        <w:t>”</w:t>
      </w:r>
      <w:r w:rsidRPr="00E41F23">
        <w:rPr>
          <w:rFonts w:ascii="Verdana" w:eastAsia="Calibri" w:hAnsi="Verdana" w:cs="Arial"/>
          <w:sz w:val="20"/>
          <w:lang w:val="es-MX"/>
        </w:rPr>
        <w:t>.</w:t>
      </w:r>
      <w:r w:rsidRPr="00E41F23">
        <w:rPr>
          <w:rFonts w:ascii="Verdana" w:eastAsia="Arial" w:hAnsi="Verdana" w:cs="Arial"/>
          <w:sz w:val="20"/>
          <w:lang w:val="es-ES" w:eastAsia="es-ES" w:bidi="es-ES"/>
        </w:rPr>
        <w:t xml:space="preserve"> </w:t>
      </w:r>
    </w:p>
    <w:p w14:paraId="761600B1" w14:textId="77777777" w:rsidR="002F0AC3" w:rsidRPr="00E41F23" w:rsidRDefault="002F0AC3" w:rsidP="002F0AC3">
      <w:pPr>
        <w:widowControl w:val="0"/>
        <w:autoSpaceDE w:val="0"/>
        <w:autoSpaceDN w:val="0"/>
        <w:spacing w:after="0" w:line="240" w:lineRule="auto"/>
        <w:ind w:right="113"/>
        <w:jc w:val="both"/>
        <w:rPr>
          <w:rFonts w:ascii="Verdana" w:eastAsia="Arial" w:hAnsi="Verdana" w:cs="Arial"/>
          <w:sz w:val="20"/>
          <w:lang w:val="es-ES" w:eastAsia="es-ES" w:bidi="es-ES"/>
        </w:rPr>
      </w:pPr>
    </w:p>
    <w:p w14:paraId="45257DBD" w14:textId="77777777" w:rsidR="002F0AC3" w:rsidRPr="00E41F23" w:rsidRDefault="002F0AC3" w:rsidP="002F0AC3">
      <w:pPr>
        <w:spacing w:after="0" w:line="240" w:lineRule="auto"/>
        <w:jc w:val="both"/>
        <w:rPr>
          <w:rFonts w:ascii="Verdana" w:eastAsia="Times New Roman" w:hAnsi="Verdana" w:cs="Arial"/>
          <w:bCs/>
          <w:sz w:val="20"/>
          <w:lang w:val="es-ES" w:eastAsia="es-CO"/>
        </w:rPr>
      </w:pPr>
      <w:r w:rsidRPr="00E41F23">
        <w:rPr>
          <w:rFonts w:ascii="Verdana" w:eastAsia="Times New Roman" w:hAnsi="Verdana" w:cs="Arial"/>
          <w:bCs/>
          <w:sz w:val="20"/>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E41F23">
        <w:rPr>
          <w:rFonts w:ascii="Verdana" w:eastAsia="Times New Roman" w:hAnsi="Verdana" w:cs="Arial"/>
          <w:bCs/>
          <w:sz w:val="20"/>
          <w:lang w:val="es-ES" w:eastAsia="es-CO"/>
        </w:rPr>
        <w:t xml:space="preserve">la existencia de los contratos estatales, es decir, la producción de efectos jurídicos en los términos del artículo 1501 </w:t>
      </w:r>
      <w:proofErr w:type="spellStart"/>
      <w:r w:rsidRPr="00E41F23">
        <w:rPr>
          <w:rFonts w:ascii="Verdana" w:eastAsia="Times New Roman" w:hAnsi="Verdana" w:cs="Arial"/>
          <w:bCs/>
          <w:i/>
          <w:sz w:val="20"/>
          <w:lang w:val="es-ES" w:eastAsia="es-CO"/>
        </w:rPr>
        <w:t>ibídem</w:t>
      </w:r>
      <w:proofErr w:type="spellEnd"/>
      <w:r w:rsidRPr="00E41F23">
        <w:rPr>
          <w:rFonts w:ascii="Verdana" w:eastAsia="Times New Roman" w:hAnsi="Verdana" w:cs="Arial"/>
          <w:bCs/>
          <w:sz w:val="20"/>
          <w:lang w:val="es-ES" w:eastAsia="es-CO"/>
        </w:rPr>
        <w:t xml:space="preserve">,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4A5583D1" w14:textId="77777777" w:rsidR="002F0AC3" w:rsidRPr="003F2A9C" w:rsidRDefault="002F0AC3" w:rsidP="002F0AC3">
      <w:pPr>
        <w:spacing w:after="0" w:line="240" w:lineRule="auto"/>
        <w:jc w:val="both"/>
        <w:rPr>
          <w:rFonts w:ascii="Verdana" w:hAnsi="Verdana" w:cs="Arial"/>
          <w:b/>
          <w:sz w:val="20"/>
          <w:lang w:val="es-MX" w:eastAsia="es-ES_tradnl"/>
        </w:rPr>
      </w:pPr>
    </w:p>
    <w:p w14:paraId="4DAEBFB1" w14:textId="77777777" w:rsidR="002F0AC3" w:rsidRPr="00682C93" w:rsidRDefault="002F0AC3" w:rsidP="002F0AC3">
      <w:pPr>
        <w:spacing w:after="0" w:line="240" w:lineRule="auto"/>
        <w:jc w:val="both"/>
        <w:rPr>
          <w:rFonts w:ascii="Verdana" w:hAnsi="Verdana" w:cs="Arial"/>
          <w:b/>
          <w:lang w:val="es-MX" w:eastAsia="es-ES_tradnl"/>
        </w:rPr>
      </w:pPr>
      <w:r w:rsidRPr="00682C93">
        <w:rPr>
          <w:rFonts w:ascii="Verdana" w:hAnsi="Verdana" w:cs="Arial"/>
          <w:b/>
          <w:lang w:val="es-MX" w:eastAsia="es-ES_tradnl"/>
        </w:rPr>
        <w:lastRenderedPageBreak/>
        <w:t xml:space="preserve">LEY DE GARANTÍAS ELECTORALES – Prohibición artículo 33 – Contratación directa – Alcance </w:t>
      </w:r>
    </w:p>
    <w:p w14:paraId="43FCD02D" w14:textId="77777777" w:rsidR="002F0AC3" w:rsidRDefault="002F0AC3" w:rsidP="002F0AC3">
      <w:pPr>
        <w:spacing w:after="0" w:line="240" w:lineRule="auto"/>
        <w:jc w:val="both"/>
        <w:rPr>
          <w:rFonts w:ascii="Verdana" w:hAnsi="Verdana" w:cs="Arial"/>
          <w:b/>
          <w:lang w:val="es-MX" w:eastAsia="es-ES_tradnl"/>
        </w:rPr>
      </w:pPr>
    </w:p>
    <w:p w14:paraId="54CB373F" w14:textId="77777777" w:rsidR="002F0AC3" w:rsidRPr="00E41F23" w:rsidRDefault="002F0AC3" w:rsidP="002F0AC3">
      <w:pPr>
        <w:spacing w:after="0" w:line="240" w:lineRule="auto"/>
        <w:jc w:val="both"/>
        <w:rPr>
          <w:rFonts w:ascii="Verdana" w:eastAsia="Times New Roman" w:hAnsi="Verdana" w:cs="Arial"/>
          <w:bCs/>
          <w:sz w:val="20"/>
          <w:lang w:eastAsia="x-none"/>
        </w:rPr>
      </w:pPr>
      <w:r w:rsidRPr="00E41F23">
        <w:rPr>
          <w:rFonts w:ascii="Verdana" w:eastAsia="Times New Roman" w:hAnsi="Verdana" w:cs="Arial"/>
          <w:sz w:val="20"/>
          <w:lang w:eastAsia="x-none"/>
        </w:rPr>
        <w:t xml:space="preserve">De acuerdo con el citado concepto, la prohibición del artículo 33 de la Ley de Garantías Electorales se refiere a </w:t>
      </w:r>
      <w:r w:rsidRPr="00E41F23">
        <w:rPr>
          <w:rFonts w:ascii="Verdana" w:eastAsia="Times New Roman" w:hAnsi="Verdana" w:cs="Arial"/>
          <w:sz w:val="18"/>
          <w:szCs w:val="19"/>
          <w:lang w:eastAsia="en-GB"/>
        </w:rPr>
        <w:t>“</w:t>
      </w:r>
      <w:r w:rsidRPr="00E41F23">
        <w:rPr>
          <w:rFonts w:ascii="Verdana" w:eastAsia="Times New Roman" w:hAnsi="Verdana" w:cs="Arial"/>
          <w:sz w:val="20"/>
          <w:lang w:eastAsia="x-none"/>
        </w:rPr>
        <w:t>cualquier sistema que no implique convocatoria pública y posibilidad de pluralidad de oferentes</w:t>
      </w:r>
      <w:r w:rsidRPr="00E41F23">
        <w:rPr>
          <w:rFonts w:ascii="Verdana" w:eastAsia="Times New Roman" w:hAnsi="Verdana" w:cs="Arial"/>
          <w:sz w:val="20"/>
          <w:lang w:eastAsia="en-GB"/>
        </w:rPr>
        <w:t>”</w:t>
      </w:r>
      <w:r w:rsidRPr="00E41F23">
        <w:rPr>
          <w:rFonts w:ascii="Verdana" w:eastAsia="Times New Roman" w:hAnsi="Verdana" w:cs="Arial"/>
          <w:sz w:val="20"/>
          <w:lang w:eastAsia="x-none"/>
        </w:rPr>
        <w:t xml:space="preserve">, por lo que excluye las demás modalidades de contratación previstas en la Ley 1150 de 2007, es decir, la licitación pública, la selección abreviada, el concurso de méritos </w:t>
      </w:r>
      <w:r w:rsidRPr="00E41F23">
        <w:rPr>
          <w:rFonts w:ascii="Verdana" w:eastAsia="Times New Roman" w:hAnsi="Verdana" w:cs="Arial"/>
          <w:sz w:val="20"/>
          <w:lang w:val="es-ES_tradnl" w:eastAsia="x-none"/>
        </w:rPr>
        <w:t>y la mínima cuantía</w:t>
      </w:r>
      <w:r w:rsidRPr="00E41F23" w:rsidDel="00A85D9F">
        <w:rPr>
          <w:rFonts w:ascii="Verdana" w:eastAsia="Times New Roman" w:hAnsi="Verdana" w:cs="Arial"/>
          <w:sz w:val="20"/>
          <w:lang w:eastAsia="x-none"/>
        </w:rPr>
        <w:t xml:space="preserve"> </w:t>
      </w:r>
      <w:r w:rsidRPr="00E41F23">
        <w:rPr>
          <w:rFonts w:ascii="Verdana" w:eastAsia="Times New Roman" w:hAnsi="Verdana" w:cs="Arial"/>
          <w:sz w:val="20"/>
          <w:lang w:eastAsia="x-none"/>
        </w:rPr>
        <w:t xml:space="preserve">u otros previstos en normas especiales. Esta posición es congruente con la expedición de la Ley 1150 de 2007 que, entre otras reformas, introdujo la selección abreviada, rediseñó el concurso de méritos y sistematizó las causales de contratación directa, </w:t>
      </w:r>
      <w:r w:rsidRPr="00E41F23">
        <w:rPr>
          <w:rFonts w:ascii="Verdana" w:eastAsia="Calibri" w:hAnsi="Verdana" w:cs="Arial"/>
          <w:sz w:val="20"/>
          <w:szCs w:val="24"/>
          <w:lang w:eastAsia="x-none"/>
        </w:rPr>
        <w:t>además lo es con la posterior creación de la modalidad de mínima cuantía establecida actualmente en el numeral 5 del artículo 2 de la Ley 1150 de 2007, de acuerdo con las modificaciones realizadas por leyes posteriores.</w:t>
      </w:r>
    </w:p>
    <w:p w14:paraId="1313511E" w14:textId="77777777" w:rsidR="002F0AC3" w:rsidRPr="00E41F23" w:rsidRDefault="002F0AC3" w:rsidP="002F0AC3">
      <w:pPr>
        <w:spacing w:after="0" w:line="240" w:lineRule="auto"/>
        <w:jc w:val="both"/>
        <w:rPr>
          <w:rFonts w:ascii="Verdana" w:hAnsi="Verdana" w:cs="Arial"/>
          <w:b/>
          <w:lang w:eastAsia="es-ES_tradnl"/>
        </w:rPr>
      </w:pPr>
    </w:p>
    <w:p w14:paraId="671BAE95" w14:textId="77777777" w:rsidR="002F0AC3" w:rsidRPr="00682C93" w:rsidRDefault="002F0AC3" w:rsidP="002F0AC3">
      <w:pPr>
        <w:spacing w:after="0" w:line="240" w:lineRule="auto"/>
        <w:jc w:val="both"/>
        <w:rPr>
          <w:rFonts w:ascii="Verdana" w:hAnsi="Verdana" w:cs="Arial"/>
          <w:b/>
          <w:lang w:val="es-MX" w:eastAsia="es-ES_tradnl"/>
        </w:rPr>
      </w:pPr>
      <w:r w:rsidRPr="00682C93">
        <w:rPr>
          <w:rFonts w:ascii="Verdana" w:hAnsi="Verdana" w:cs="Arial"/>
          <w:b/>
          <w:lang w:val="es-MX" w:eastAsia="es-ES_tradnl"/>
        </w:rPr>
        <w:t>LEY DE GARANTÍAS ELECTORALES – Excepciones</w:t>
      </w:r>
    </w:p>
    <w:p w14:paraId="2C057D4C" w14:textId="77777777" w:rsidR="002F0AC3" w:rsidRPr="00E41F23" w:rsidRDefault="002F0AC3" w:rsidP="002F0AC3">
      <w:pPr>
        <w:spacing w:after="0" w:line="240" w:lineRule="auto"/>
        <w:jc w:val="both"/>
        <w:rPr>
          <w:rFonts w:ascii="Verdana" w:hAnsi="Verdana" w:cs="Arial"/>
          <w:b/>
          <w:sz w:val="20"/>
          <w:lang w:val="es-MX" w:eastAsia="es-ES_tradnl"/>
        </w:rPr>
      </w:pPr>
    </w:p>
    <w:p w14:paraId="69A4870D" w14:textId="77777777" w:rsidR="002F0AC3" w:rsidRPr="00E41F23" w:rsidRDefault="002F0AC3" w:rsidP="002F0AC3">
      <w:pPr>
        <w:spacing w:after="0" w:line="240" w:lineRule="auto"/>
        <w:jc w:val="both"/>
        <w:rPr>
          <w:rFonts w:ascii="Verdana" w:eastAsia="Times New Roman" w:hAnsi="Verdana" w:cs="Arial"/>
          <w:bCs/>
          <w:sz w:val="20"/>
          <w:lang w:val="es-MX" w:eastAsia="es-CO"/>
        </w:rPr>
      </w:pPr>
      <w:r w:rsidRPr="00E41F23">
        <w:rPr>
          <w:rFonts w:ascii="Verdana" w:eastAsia="Times New Roman" w:hAnsi="Verdana" w:cs="Arial"/>
          <w:bCs/>
          <w:sz w:val="20"/>
          <w:lang w:val="es-MX" w:eastAsia="x-none"/>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w:t>
      </w:r>
      <w:proofErr w:type="spellStart"/>
      <w:r w:rsidRPr="00E41F23">
        <w:rPr>
          <w:rFonts w:ascii="Verdana" w:eastAsia="Times New Roman" w:hAnsi="Verdana" w:cs="Arial"/>
          <w:bCs/>
          <w:sz w:val="20"/>
          <w:lang w:val="es-MX" w:eastAsia="x-none"/>
        </w:rPr>
        <w:t>ii</w:t>
      </w:r>
      <w:proofErr w:type="spellEnd"/>
      <w:r w:rsidRPr="00E41F23">
        <w:rPr>
          <w:rFonts w:ascii="Verdana" w:eastAsia="Times New Roman" w:hAnsi="Verdana" w:cs="Arial"/>
          <w:bCs/>
          <w:sz w:val="20"/>
          <w:lang w:val="es-MX" w:eastAsia="x-none"/>
        </w:rPr>
        <w:t xml:space="preserve">) los contratos de crédito público; </w:t>
      </w:r>
      <w:proofErr w:type="spellStart"/>
      <w:r w:rsidRPr="00E41F23">
        <w:rPr>
          <w:rFonts w:ascii="Verdana" w:eastAsia="Times New Roman" w:hAnsi="Verdana" w:cs="Arial"/>
          <w:bCs/>
          <w:sz w:val="20"/>
          <w:lang w:val="es-MX" w:eastAsia="x-none"/>
        </w:rPr>
        <w:t>iii</w:t>
      </w:r>
      <w:proofErr w:type="spellEnd"/>
      <w:r w:rsidRPr="00E41F23">
        <w:rPr>
          <w:rFonts w:ascii="Verdana" w:eastAsia="Times New Roman" w:hAnsi="Verdana" w:cs="Arial"/>
          <w:bCs/>
          <w:sz w:val="20"/>
          <w:lang w:val="es-MX" w:eastAsia="x-none"/>
        </w:rPr>
        <w:t xml:space="preserve">) los requeridos para cubrir las emergencias educativas, sanitarias y desastres; </w:t>
      </w:r>
      <w:proofErr w:type="spellStart"/>
      <w:r w:rsidRPr="00E41F23">
        <w:rPr>
          <w:rFonts w:ascii="Verdana" w:eastAsia="Times New Roman" w:hAnsi="Verdana" w:cs="Arial"/>
          <w:bCs/>
          <w:sz w:val="20"/>
          <w:lang w:val="es-MX" w:eastAsia="x-none"/>
        </w:rPr>
        <w:t>iv</w:t>
      </w:r>
      <w:proofErr w:type="spellEnd"/>
      <w:r w:rsidRPr="00E41F23">
        <w:rPr>
          <w:rFonts w:ascii="Verdana" w:eastAsia="Times New Roman" w:hAnsi="Verdana" w:cs="Arial"/>
          <w:bCs/>
          <w:sz w:val="20"/>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E41F23">
        <w:rPr>
          <w:rFonts w:ascii="Verdana" w:eastAsia="Times New Roman" w:hAnsi="Verdana" w:cs="Arial"/>
          <w:bCs/>
          <w:sz w:val="20"/>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67DDF1A2" w14:textId="77777777" w:rsidR="002F0AC3" w:rsidRPr="00682C93" w:rsidRDefault="002F0AC3" w:rsidP="002F0AC3">
      <w:pPr>
        <w:spacing w:after="0" w:line="240" w:lineRule="auto"/>
        <w:jc w:val="both"/>
        <w:rPr>
          <w:rFonts w:ascii="Verdana" w:hAnsi="Verdana" w:cs="Arial"/>
          <w:b/>
          <w:lang w:val="es-MX" w:eastAsia="es-ES_tradnl"/>
        </w:rPr>
      </w:pPr>
    </w:p>
    <w:p w14:paraId="488BD3FB" w14:textId="77777777" w:rsidR="002F0AC3" w:rsidRPr="00682C93" w:rsidRDefault="002F0AC3" w:rsidP="002F0AC3">
      <w:pPr>
        <w:spacing w:after="0" w:line="240" w:lineRule="auto"/>
        <w:jc w:val="both"/>
        <w:rPr>
          <w:rFonts w:ascii="Verdana" w:hAnsi="Verdana" w:cs="Arial"/>
          <w:b/>
          <w:lang w:val="es-MX" w:eastAsia="es-ES_tradnl"/>
        </w:rPr>
      </w:pPr>
      <w:r w:rsidRPr="00682C93">
        <w:rPr>
          <w:rFonts w:ascii="Verdana" w:hAnsi="Verdana" w:cs="Arial"/>
          <w:b/>
          <w:lang w:val="es-MX" w:eastAsia="es-ES_tradnl"/>
        </w:rPr>
        <w:t xml:space="preserve"> LEY DE GARANTÍAS ELECTORALES – Prohibición del artículo 33 – Destinatarios </w:t>
      </w:r>
    </w:p>
    <w:p w14:paraId="37500EE3" w14:textId="77777777" w:rsidR="002F0AC3" w:rsidRDefault="002F0AC3" w:rsidP="002F0AC3">
      <w:pPr>
        <w:spacing w:after="0" w:line="240" w:lineRule="auto"/>
        <w:rPr>
          <w:rFonts w:ascii="Verdana" w:hAnsi="Verdana" w:cs="Arial"/>
          <w:lang w:val="es-MX" w:eastAsia="es-ES_tradnl"/>
        </w:rPr>
      </w:pPr>
    </w:p>
    <w:p w14:paraId="6EED38C2" w14:textId="2CEBCBFD" w:rsidR="002F0AC3" w:rsidRPr="003B5E87" w:rsidRDefault="002F0AC3" w:rsidP="003B5E87">
      <w:pPr>
        <w:spacing w:after="0" w:line="240" w:lineRule="auto"/>
        <w:jc w:val="both"/>
        <w:rPr>
          <w:rFonts w:ascii="Verdana" w:hAnsi="Verdana" w:cs="Arial"/>
          <w:sz w:val="20"/>
          <w:lang w:val="es-MX" w:eastAsia="es-ES_tradnl"/>
        </w:rPr>
      </w:pPr>
      <w:r w:rsidRPr="00E41F23">
        <w:rPr>
          <w:rFonts w:ascii="Verdana" w:eastAsia="Calibri" w:hAnsi="Verdana" w:cs="Arial"/>
          <w:sz w:val="20"/>
          <w:lang w:val="es-MX"/>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sidRPr="00E41F23">
        <w:rPr>
          <w:rFonts w:ascii="Verdana" w:eastAsia="Times New Roman" w:hAnsi="Verdana" w:cs="Arial"/>
          <w:bCs/>
          <w:sz w:val="20"/>
          <w:lang w:val="es-MX" w:eastAsia="x-none"/>
        </w:rPr>
        <w:t>establecimientos de crédito, las sociedades de servicios financieros y las entidades aseguradoras</w:t>
      </w:r>
      <w:r w:rsidRPr="00E41F23">
        <w:rPr>
          <w:rFonts w:ascii="Verdana" w:eastAsia="Calibri" w:hAnsi="Verdana" w:cs="Arial"/>
          <w:sz w:val="20"/>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w:t>
      </w:r>
      <w:r w:rsidRPr="00E41F23">
        <w:rPr>
          <w:rFonts w:ascii="Verdana" w:eastAsia="Calibri" w:hAnsi="Verdana" w:cs="Arial"/>
          <w:sz w:val="20"/>
          <w:lang w:val="es-MX"/>
        </w:rPr>
        <w:lastRenderedPageBreak/>
        <w:t>indicó que en estos casos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1DA74B36" w14:textId="77777777" w:rsidR="002F0AC3" w:rsidRPr="00A17597" w:rsidRDefault="002F0AC3" w:rsidP="002F0AC3">
      <w:pPr>
        <w:spacing w:after="0" w:line="240" w:lineRule="auto"/>
        <w:jc w:val="both"/>
        <w:rPr>
          <w:rFonts w:ascii="Verdana" w:hAnsi="Verdana"/>
          <w:b/>
        </w:rPr>
      </w:pPr>
    </w:p>
    <w:p w14:paraId="35FD1D47" w14:textId="77777777" w:rsidR="002F0AC3" w:rsidRPr="00A17597" w:rsidRDefault="002F0AC3" w:rsidP="002F0AC3">
      <w:pPr>
        <w:spacing w:after="0" w:line="240" w:lineRule="auto"/>
        <w:jc w:val="both"/>
        <w:rPr>
          <w:rFonts w:ascii="Verdana" w:hAnsi="Verdana"/>
          <w:b/>
        </w:rPr>
      </w:pPr>
      <w:r w:rsidRPr="00A17597">
        <w:rPr>
          <w:rFonts w:ascii="Verdana" w:hAnsi="Verdana"/>
          <w:b/>
        </w:rPr>
        <w:t xml:space="preserve">LEY DE GARANTÍAS ELECTORALES – Contratos y convenios interadministrativos – Criterio orgánico </w:t>
      </w:r>
    </w:p>
    <w:p w14:paraId="4A58EB48" w14:textId="77777777" w:rsidR="002F0AC3" w:rsidRDefault="002F0AC3" w:rsidP="002F0AC3">
      <w:pPr>
        <w:spacing w:after="0" w:line="240" w:lineRule="auto"/>
        <w:jc w:val="both"/>
        <w:rPr>
          <w:rFonts w:ascii="Verdana" w:hAnsi="Verdana"/>
          <w:b/>
        </w:rPr>
      </w:pPr>
    </w:p>
    <w:p w14:paraId="504715BA" w14:textId="77777777" w:rsidR="002F0AC3" w:rsidRDefault="002F0AC3" w:rsidP="002F0AC3">
      <w:pPr>
        <w:spacing w:after="0" w:line="240" w:lineRule="auto"/>
        <w:jc w:val="both"/>
        <w:rPr>
          <w:rFonts w:ascii="Verdana" w:hAnsi="Verdana"/>
          <w:sz w:val="20"/>
        </w:rPr>
      </w:pPr>
      <w:r w:rsidRPr="005C70EF">
        <w:rPr>
          <w:rFonts w:ascii="Verdana" w:hAnsi="Verdana"/>
          <w:sz w:val="20"/>
          <w:lang w:val="es-MX"/>
        </w:rPr>
        <w:t xml:space="preserve">Sobre este aspecto, es importante señalar que esta Subdirección, en los conceptos emitidos sobre la aplicación de la Ley de Garantías Electorales, ha defendido y mantenido la postura acerca de que la prohibición señalada en </w:t>
      </w:r>
      <w:r w:rsidRPr="005C70EF">
        <w:rPr>
          <w:rFonts w:ascii="Verdana" w:hAnsi="Verdana"/>
          <w:sz w:val="20"/>
          <w:lang w:bidi="es-ES"/>
        </w:rPr>
        <w:t>e</w:t>
      </w:r>
      <w:r w:rsidRPr="005C70EF">
        <w:rPr>
          <w:rFonts w:ascii="Verdana" w:hAnsi="Verdana"/>
          <w:sz w:val="20"/>
        </w:rPr>
        <w:t xml:space="preserve">l parágrafo del artículo 38 cobija tanto a los convenios como a los contratos interadministrativos. Esta tesis se fundamenta en que si bien actualmente el Estatuto General de Contratación de la Administración Pública – en adelante EGCAP – se refiere de manera expresa al contrato interadministrativo o en términos generales a los interadministrativos y no al convenio, no por esto puede concluirse que se trate de figuras totalmente diferentes, pues las Entidades del Estado, en el marco de la Ley 80 de 1993, pueden acordar entre sí diferentes tipos de obligaciones, siempre que su objeto de creación les permita cumplirlas, con el objetivo común de materializar los fines del Estado. </w:t>
      </w:r>
    </w:p>
    <w:p w14:paraId="521961FA" w14:textId="77777777" w:rsidR="002F0AC3" w:rsidRPr="005C70EF" w:rsidRDefault="002F0AC3" w:rsidP="002F0AC3">
      <w:pPr>
        <w:spacing w:after="0" w:line="240" w:lineRule="auto"/>
        <w:jc w:val="both"/>
        <w:rPr>
          <w:rFonts w:ascii="Verdana" w:hAnsi="Verdana"/>
          <w:sz w:val="20"/>
        </w:rPr>
      </w:pPr>
    </w:p>
    <w:p w14:paraId="32D092C1" w14:textId="77777777" w:rsidR="002F0AC3" w:rsidRPr="005C70EF" w:rsidRDefault="002F0AC3" w:rsidP="002F0AC3">
      <w:pPr>
        <w:spacing w:after="0" w:line="240" w:lineRule="auto"/>
        <w:jc w:val="both"/>
        <w:rPr>
          <w:rFonts w:ascii="Verdana" w:hAnsi="Verdana"/>
          <w:sz w:val="20"/>
        </w:rPr>
      </w:pPr>
      <w:r w:rsidRPr="005C70EF">
        <w:rPr>
          <w:rFonts w:ascii="Verdana" w:hAnsi="Verdana"/>
          <w:sz w:val="20"/>
        </w:rPr>
        <w:t xml:space="preserve">Por este motivo, se argumenta en dichos conceptos que cuando la Ley 80 de 1993 se refiere a contratos interadministrativos de la misma forma lo hace frente a los convenios, entre otras razones, porque este cuerpo normativo faculta a las Entidades Públicas a celebrar los demás acuerdos que permitan la autonomía de la voluntad y requieran el cumplimiento de los fines estatales. Además, se señala que </w:t>
      </w:r>
      <w:r w:rsidRPr="005C70EF">
        <w:rPr>
          <w:rFonts w:ascii="Verdana" w:hAnsi="Verdana"/>
          <w:sz w:val="20"/>
          <w:lang w:bidi="es-ES"/>
        </w:rPr>
        <w:t>el legislador y el ordenamiento jurídico, en general, en distintas ocasiones utiliza de forma indistinta los conceptos de contrato o convenio para referirse a la misma institución jurídica. Incluso, la Corte Constitucional fundamenta la posibilidad de celebrar convenios interadministrativos de forma directa, con fundamento en la causal establecida en la Ley 1150 de 2007 respecto a los contratos interadministrativos.</w:t>
      </w:r>
    </w:p>
    <w:p w14:paraId="069AD547" w14:textId="77777777" w:rsidR="002F0AC3" w:rsidRPr="00A17597" w:rsidRDefault="002F0AC3" w:rsidP="002F0AC3">
      <w:pPr>
        <w:spacing w:after="0" w:line="240" w:lineRule="auto"/>
        <w:jc w:val="both"/>
        <w:rPr>
          <w:rFonts w:ascii="Verdana" w:hAnsi="Verdana"/>
          <w:b/>
        </w:rPr>
      </w:pPr>
    </w:p>
    <w:p w14:paraId="7CF4AC20" w14:textId="77777777" w:rsidR="002F0AC3" w:rsidRPr="001448FA" w:rsidRDefault="002F0AC3" w:rsidP="002F0AC3">
      <w:pPr>
        <w:spacing w:after="0" w:line="240" w:lineRule="auto"/>
        <w:jc w:val="both"/>
        <w:rPr>
          <w:rFonts w:ascii="Verdana" w:hAnsi="Verdana"/>
          <w:b/>
        </w:rPr>
      </w:pPr>
      <w:r w:rsidRPr="001448FA">
        <w:rPr>
          <w:rFonts w:ascii="Verdana" w:hAnsi="Verdana"/>
          <w:b/>
        </w:rPr>
        <w:t>CONTRATOS Y CONVENIOS INTERADMINISTRATIVOS – Circular Externa Única – Auto de suspensión – Numeral 16.2</w:t>
      </w:r>
      <w:r w:rsidRPr="001448FA">
        <w:rPr>
          <w:rFonts w:ascii="Verdana" w:eastAsia="Times New Roman" w:hAnsi="Verdana" w:cs="Arial"/>
          <w:b/>
          <w:lang w:eastAsia="es-CO"/>
        </w:rPr>
        <w:t xml:space="preserve"> </w:t>
      </w:r>
      <w:r w:rsidRPr="001448FA">
        <w:rPr>
          <w:rFonts w:ascii="Verdana" w:hAnsi="Verdana"/>
          <w:b/>
        </w:rPr>
        <w:t xml:space="preserve">– </w:t>
      </w:r>
      <w:r w:rsidRPr="001448FA">
        <w:rPr>
          <w:rFonts w:ascii="Verdana" w:eastAsia="Times New Roman" w:hAnsi="Verdana" w:cs="Arial"/>
          <w:b/>
          <w:lang w:eastAsia="es-CO"/>
        </w:rPr>
        <w:t>Sentencia expedida por la Sección Tercera de la Sala de lo Contencioso Administrativo del 17 de octubre de 2025, los autos del 4 de octubre de 2024 y 6 de noviembre de 2025</w:t>
      </w:r>
    </w:p>
    <w:p w14:paraId="517C55B0" w14:textId="77777777" w:rsidR="002F0AC3" w:rsidRDefault="002F0AC3" w:rsidP="002F0AC3">
      <w:pPr>
        <w:spacing w:after="0" w:line="240" w:lineRule="auto"/>
        <w:jc w:val="both"/>
        <w:rPr>
          <w:rFonts w:ascii="Verdana" w:hAnsi="Verdana"/>
          <w:b/>
        </w:rPr>
      </w:pPr>
    </w:p>
    <w:p w14:paraId="29F029C4" w14:textId="77777777" w:rsidR="002F0AC3" w:rsidRDefault="002F0AC3" w:rsidP="002F0AC3">
      <w:pPr>
        <w:spacing w:after="0" w:line="240" w:lineRule="auto"/>
        <w:jc w:val="both"/>
        <w:rPr>
          <w:rFonts w:ascii="Verdana" w:hAnsi="Verdana"/>
          <w:sz w:val="20"/>
          <w:lang w:val="es-MX"/>
        </w:rPr>
      </w:pPr>
      <w:r w:rsidRPr="00A17C8D">
        <w:rPr>
          <w:rFonts w:ascii="Verdana" w:hAnsi="Verdana"/>
          <w:sz w:val="20"/>
          <w:lang w:val="es-MX"/>
        </w:rPr>
        <w:t xml:space="preserve">[…] </w:t>
      </w:r>
    </w:p>
    <w:p w14:paraId="7D7EFC19" w14:textId="77777777" w:rsidR="002F0AC3" w:rsidRPr="008C05F5" w:rsidRDefault="002F0AC3" w:rsidP="002F0AC3">
      <w:pPr>
        <w:spacing w:after="0" w:line="240" w:lineRule="auto"/>
        <w:jc w:val="both"/>
        <w:rPr>
          <w:rFonts w:ascii="Verdana" w:hAnsi="Verdana"/>
          <w:sz w:val="20"/>
          <w:lang w:val="es-MX"/>
        </w:rPr>
      </w:pPr>
    </w:p>
    <w:p w14:paraId="0B9A3842" w14:textId="77777777" w:rsidR="002F0AC3" w:rsidRPr="008C05F5" w:rsidRDefault="002F0AC3" w:rsidP="002F0AC3">
      <w:pPr>
        <w:spacing w:after="0" w:line="240" w:lineRule="auto"/>
        <w:jc w:val="both"/>
        <w:rPr>
          <w:rFonts w:ascii="Verdana" w:hAnsi="Verdana"/>
          <w:sz w:val="20"/>
          <w:lang w:val="es-MX"/>
        </w:rPr>
      </w:pPr>
      <w:r w:rsidRPr="008C05F5">
        <w:rPr>
          <w:rFonts w:ascii="Verdana" w:hAnsi="Verdana"/>
          <w:sz w:val="20"/>
          <w:lang w:val="es-MX"/>
        </w:rPr>
        <w:t xml:space="preserve">a la luz de lo expuesto por el Consejo de Estado en la sentencia expedida por la Sección Tercera de la Sala de lo Contencioso Administrativo del 17 de octubre de 2025,  los autos del 4 de octubre de 2024 y 6 de noviembre de 2025, en los cuales se declaró la nulidad parcial, se decretó la medida de suspensión provisional parcial del numeral 16.2 de la </w:t>
      </w:r>
      <w:r w:rsidRPr="008C05F5">
        <w:rPr>
          <w:rFonts w:ascii="Verdana" w:hAnsi="Verdana"/>
          <w:sz w:val="20"/>
          <w:lang w:val="es-MX"/>
        </w:rPr>
        <w:lastRenderedPageBreak/>
        <w:t>Circular Externa Única de 2022 expedida por la Agencia Nacional de Contratación Pública -Colombia Compra Eficiente-, y de los apartes cuestionados del inciso segundo y del inciso cuarto del numeral 16.2 de la Circular Externa Única, versión 3 del 27 de diciembre de 2023, no resultaría aplicable la prohibición del parágrafo del artículo 38 de la Ley de Garantías Electorales a los contratos interadministrativos.</w:t>
      </w:r>
    </w:p>
    <w:p w14:paraId="366CE21E" w14:textId="77777777" w:rsidR="002F0AC3" w:rsidRDefault="002F0AC3" w:rsidP="002F0AC3">
      <w:pPr>
        <w:spacing w:after="0" w:line="240" w:lineRule="auto"/>
        <w:jc w:val="both"/>
        <w:rPr>
          <w:rFonts w:ascii="Verdana" w:hAnsi="Verdana"/>
          <w:sz w:val="20"/>
          <w:lang w:val="es-MX"/>
        </w:rPr>
      </w:pPr>
    </w:p>
    <w:p w14:paraId="0A2B5DD6" w14:textId="77777777" w:rsidR="002F0AC3" w:rsidRPr="008C05F5" w:rsidRDefault="002F0AC3" w:rsidP="002F0AC3">
      <w:pPr>
        <w:spacing w:after="0" w:line="240" w:lineRule="auto"/>
        <w:jc w:val="both"/>
        <w:rPr>
          <w:rFonts w:ascii="Verdana" w:hAnsi="Verdana"/>
          <w:sz w:val="20"/>
          <w:lang w:val="es-MX"/>
        </w:rPr>
      </w:pPr>
      <w:r w:rsidRPr="008C05F5">
        <w:rPr>
          <w:rFonts w:ascii="Verdana" w:hAnsi="Verdana"/>
          <w:sz w:val="20"/>
          <w:lang w:val="es-MX"/>
        </w:rPr>
        <w:t xml:space="preserve">Así las cosas, conforme a lo señalado por el Consejo de Estado, cuando dos entidades públicas celebren un contrato interadministrativo, independientemente del objeto, dicho contrato puede suscribirse durante el periodo preelectoral. </w:t>
      </w:r>
    </w:p>
    <w:p w14:paraId="3CBB926A" w14:textId="77777777" w:rsidR="002F0AC3" w:rsidRDefault="002F0AC3" w:rsidP="002F0AC3">
      <w:pPr>
        <w:spacing w:after="0" w:line="240" w:lineRule="auto"/>
        <w:jc w:val="both"/>
        <w:rPr>
          <w:rFonts w:ascii="Verdana" w:hAnsi="Verdana"/>
          <w:sz w:val="20"/>
          <w:lang w:val="es-MX"/>
        </w:rPr>
      </w:pPr>
    </w:p>
    <w:p w14:paraId="02ECC4C7" w14:textId="77777777" w:rsidR="002F0AC3" w:rsidRPr="00A17C8D" w:rsidRDefault="002F0AC3" w:rsidP="002F0AC3">
      <w:pPr>
        <w:spacing w:after="0" w:line="240" w:lineRule="auto"/>
        <w:jc w:val="both"/>
        <w:rPr>
          <w:rFonts w:ascii="Verdana" w:hAnsi="Verdana"/>
          <w:sz w:val="20"/>
          <w:lang w:val="es-MX"/>
        </w:rPr>
      </w:pPr>
      <w:r w:rsidRPr="008C05F5">
        <w:rPr>
          <w:rFonts w:ascii="Verdana" w:hAnsi="Verdana"/>
          <w:sz w:val="20"/>
          <w:lang w:val="es-MX"/>
        </w:rPr>
        <w:t>No obstante,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r w:rsidRPr="00A17C8D">
        <w:rPr>
          <w:rFonts w:ascii="Verdana" w:hAnsi="Verdana"/>
          <w:sz w:val="20"/>
          <w:lang w:val="es-MX"/>
        </w:rPr>
        <w:t xml:space="preserve"> </w:t>
      </w:r>
    </w:p>
    <w:p w14:paraId="5045B8B8" w14:textId="77777777" w:rsidR="002F0AC3" w:rsidRPr="005C70EF" w:rsidRDefault="002F0AC3" w:rsidP="002F0AC3">
      <w:pPr>
        <w:spacing w:after="0" w:line="240" w:lineRule="auto"/>
        <w:jc w:val="both"/>
        <w:rPr>
          <w:rFonts w:ascii="Verdana" w:hAnsi="Verdana"/>
          <w:b/>
          <w:lang w:val="es-MX"/>
        </w:rPr>
      </w:pPr>
    </w:p>
    <w:p w14:paraId="1DCC4E0E" w14:textId="77777777" w:rsidR="002F0AC3" w:rsidRDefault="002F0AC3" w:rsidP="002F0AC3">
      <w:pPr>
        <w:spacing w:after="0" w:line="240" w:lineRule="auto"/>
        <w:jc w:val="both"/>
        <w:rPr>
          <w:rFonts w:ascii="Verdana" w:hAnsi="Verdana"/>
          <w:lang w:val="es-MX"/>
        </w:rPr>
      </w:pPr>
    </w:p>
    <w:p w14:paraId="41DB2615" w14:textId="77777777" w:rsidR="002F0AC3" w:rsidRDefault="002F0AC3" w:rsidP="002F0AC3">
      <w:pPr>
        <w:spacing w:after="0" w:line="240" w:lineRule="auto"/>
        <w:jc w:val="both"/>
        <w:rPr>
          <w:rFonts w:ascii="Verdana" w:hAnsi="Verdana"/>
          <w:lang w:val="es-MX"/>
        </w:rPr>
      </w:pPr>
    </w:p>
    <w:p w14:paraId="0F50D9E9" w14:textId="77777777" w:rsidR="002F0AC3" w:rsidRDefault="002F0AC3" w:rsidP="002F0AC3">
      <w:pPr>
        <w:spacing w:after="0" w:line="240" w:lineRule="auto"/>
        <w:jc w:val="both"/>
        <w:rPr>
          <w:rFonts w:ascii="Verdana" w:hAnsi="Verdana"/>
          <w:lang w:val="es-MX"/>
        </w:rPr>
      </w:pPr>
    </w:p>
    <w:p w14:paraId="2BC470CD" w14:textId="77777777" w:rsidR="002F0AC3" w:rsidRDefault="002F0AC3" w:rsidP="002F0AC3">
      <w:pPr>
        <w:spacing w:after="0" w:line="240" w:lineRule="auto"/>
        <w:jc w:val="both"/>
        <w:rPr>
          <w:rFonts w:ascii="Verdana" w:hAnsi="Verdana"/>
          <w:lang w:val="es-MX"/>
        </w:rPr>
      </w:pPr>
    </w:p>
    <w:p w14:paraId="2A2821F2" w14:textId="77777777" w:rsidR="002F0AC3" w:rsidRDefault="002F0AC3" w:rsidP="002F0AC3">
      <w:pPr>
        <w:spacing w:after="0" w:line="240" w:lineRule="auto"/>
        <w:jc w:val="both"/>
        <w:rPr>
          <w:rFonts w:ascii="Verdana" w:hAnsi="Verdana"/>
          <w:lang w:val="es-MX"/>
        </w:rPr>
      </w:pPr>
    </w:p>
    <w:p w14:paraId="60AB009A" w14:textId="77777777" w:rsidR="002F0AC3" w:rsidRDefault="002F0AC3" w:rsidP="002F0AC3">
      <w:pPr>
        <w:spacing w:after="0" w:line="240" w:lineRule="auto"/>
        <w:jc w:val="both"/>
        <w:rPr>
          <w:rFonts w:ascii="Verdana" w:hAnsi="Verdana"/>
          <w:lang w:val="es-MX"/>
        </w:rPr>
      </w:pPr>
    </w:p>
    <w:p w14:paraId="1B42FCEC" w14:textId="77777777" w:rsidR="002F0AC3" w:rsidRDefault="002F0AC3" w:rsidP="002F0AC3">
      <w:pPr>
        <w:spacing w:after="0" w:line="240" w:lineRule="auto"/>
        <w:jc w:val="both"/>
        <w:rPr>
          <w:rFonts w:ascii="Verdana" w:hAnsi="Verdana"/>
          <w:lang w:val="es-MX"/>
        </w:rPr>
      </w:pPr>
    </w:p>
    <w:p w14:paraId="73EDAF91" w14:textId="77777777" w:rsidR="002F0AC3" w:rsidRDefault="002F0AC3" w:rsidP="002F0AC3">
      <w:pPr>
        <w:spacing w:after="0" w:line="240" w:lineRule="auto"/>
        <w:jc w:val="both"/>
        <w:rPr>
          <w:rFonts w:ascii="Verdana" w:hAnsi="Verdana"/>
          <w:lang w:val="es-MX"/>
        </w:rPr>
      </w:pPr>
    </w:p>
    <w:p w14:paraId="0075329C" w14:textId="77777777" w:rsidR="002F0AC3" w:rsidRDefault="002F0AC3" w:rsidP="002F0AC3">
      <w:pPr>
        <w:spacing w:after="0" w:line="240" w:lineRule="auto"/>
        <w:jc w:val="both"/>
        <w:rPr>
          <w:rFonts w:ascii="Verdana" w:hAnsi="Verdana"/>
          <w:lang w:val="es-MX"/>
        </w:rPr>
      </w:pPr>
    </w:p>
    <w:p w14:paraId="2B233190" w14:textId="77777777" w:rsidR="002F0AC3" w:rsidRDefault="002F0AC3" w:rsidP="002F0AC3">
      <w:pPr>
        <w:spacing w:after="0" w:line="240" w:lineRule="auto"/>
        <w:jc w:val="both"/>
        <w:rPr>
          <w:rFonts w:ascii="Verdana" w:hAnsi="Verdana"/>
          <w:lang w:val="es-MX"/>
        </w:rPr>
      </w:pPr>
    </w:p>
    <w:p w14:paraId="00311F35" w14:textId="77777777" w:rsidR="002F0AC3" w:rsidRDefault="002F0AC3" w:rsidP="002F0AC3">
      <w:pPr>
        <w:spacing w:after="0" w:line="240" w:lineRule="auto"/>
        <w:jc w:val="both"/>
        <w:rPr>
          <w:rFonts w:ascii="Verdana" w:hAnsi="Verdana"/>
          <w:lang w:val="es-MX"/>
        </w:rPr>
      </w:pPr>
    </w:p>
    <w:p w14:paraId="7786F494" w14:textId="77777777" w:rsidR="002F0AC3" w:rsidRDefault="002F0AC3" w:rsidP="002F0AC3">
      <w:pPr>
        <w:spacing w:after="0" w:line="240" w:lineRule="auto"/>
        <w:jc w:val="both"/>
        <w:rPr>
          <w:rFonts w:ascii="Verdana" w:hAnsi="Verdana"/>
          <w:lang w:val="es-MX"/>
        </w:rPr>
      </w:pPr>
    </w:p>
    <w:p w14:paraId="0F61BC6E" w14:textId="77777777" w:rsidR="002F0AC3" w:rsidRDefault="002F0AC3" w:rsidP="002F0AC3">
      <w:pPr>
        <w:spacing w:after="0" w:line="240" w:lineRule="auto"/>
        <w:jc w:val="both"/>
        <w:rPr>
          <w:rFonts w:ascii="Verdana" w:hAnsi="Verdana"/>
          <w:lang w:val="es-MX"/>
        </w:rPr>
      </w:pPr>
    </w:p>
    <w:p w14:paraId="33868C5F" w14:textId="77777777" w:rsidR="002F0AC3" w:rsidRDefault="002F0AC3" w:rsidP="002F0AC3">
      <w:pPr>
        <w:spacing w:after="0" w:line="240" w:lineRule="auto"/>
        <w:jc w:val="both"/>
        <w:rPr>
          <w:rFonts w:ascii="Verdana" w:hAnsi="Verdana"/>
          <w:lang w:val="es-MX"/>
        </w:rPr>
      </w:pPr>
    </w:p>
    <w:p w14:paraId="4BC3EC22" w14:textId="77777777" w:rsidR="002F0AC3" w:rsidRDefault="002F0AC3" w:rsidP="002F0AC3">
      <w:pPr>
        <w:spacing w:after="0" w:line="240" w:lineRule="auto"/>
        <w:jc w:val="both"/>
        <w:rPr>
          <w:rFonts w:ascii="Verdana" w:hAnsi="Verdana"/>
          <w:lang w:val="es-MX"/>
        </w:rPr>
      </w:pPr>
    </w:p>
    <w:p w14:paraId="3646A31A" w14:textId="77777777" w:rsidR="002F0AC3" w:rsidRDefault="002F0AC3" w:rsidP="002F0AC3">
      <w:pPr>
        <w:spacing w:after="0" w:line="240" w:lineRule="auto"/>
        <w:jc w:val="both"/>
        <w:rPr>
          <w:rFonts w:ascii="Verdana" w:hAnsi="Verdana"/>
          <w:lang w:val="es-MX"/>
        </w:rPr>
      </w:pPr>
    </w:p>
    <w:p w14:paraId="4EEBF29D" w14:textId="77777777" w:rsidR="002F0AC3" w:rsidRDefault="002F0AC3" w:rsidP="002F0AC3">
      <w:pPr>
        <w:spacing w:after="0" w:line="240" w:lineRule="auto"/>
        <w:jc w:val="both"/>
        <w:rPr>
          <w:rFonts w:ascii="Verdana" w:hAnsi="Verdana"/>
          <w:lang w:val="es-MX"/>
        </w:rPr>
      </w:pPr>
    </w:p>
    <w:p w14:paraId="4CC74687" w14:textId="77777777" w:rsidR="002F0AC3" w:rsidRDefault="002F0AC3" w:rsidP="002F0AC3">
      <w:pPr>
        <w:spacing w:after="0" w:line="240" w:lineRule="auto"/>
        <w:jc w:val="both"/>
        <w:rPr>
          <w:rFonts w:ascii="Verdana" w:hAnsi="Verdana"/>
          <w:lang w:val="es-MX"/>
        </w:rPr>
      </w:pPr>
    </w:p>
    <w:p w14:paraId="13E98C8D" w14:textId="77777777" w:rsidR="002F0AC3" w:rsidRDefault="002F0AC3" w:rsidP="002F0AC3">
      <w:pPr>
        <w:spacing w:after="0" w:line="240" w:lineRule="auto"/>
        <w:jc w:val="both"/>
        <w:rPr>
          <w:rFonts w:ascii="Verdana" w:hAnsi="Verdana"/>
          <w:lang w:val="es-MX"/>
        </w:rPr>
      </w:pPr>
    </w:p>
    <w:p w14:paraId="01C1B918" w14:textId="77777777" w:rsidR="002F0AC3" w:rsidRDefault="002F0AC3" w:rsidP="002F0AC3">
      <w:pPr>
        <w:spacing w:after="0" w:line="240" w:lineRule="auto"/>
        <w:jc w:val="both"/>
        <w:rPr>
          <w:rFonts w:ascii="Verdana" w:hAnsi="Verdana"/>
          <w:lang w:val="es-MX"/>
        </w:rPr>
      </w:pPr>
    </w:p>
    <w:p w14:paraId="7FE68636" w14:textId="77777777" w:rsidR="002F0AC3" w:rsidRDefault="002F0AC3" w:rsidP="002F0AC3">
      <w:pPr>
        <w:spacing w:after="0" w:line="240" w:lineRule="auto"/>
        <w:jc w:val="both"/>
        <w:rPr>
          <w:rFonts w:ascii="Verdana" w:hAnsi="Verdana"/>
          <w:lang w:val="es-MX"/>
        </w:rPr>
      </w:pPr>
    </w:p>
    <w:p w14:paraId="49B7C42C" w14:textId="77777777" w:rsidR="002F0AC3" w:rsidRPr="009E19E4" w:rsidRDefault="002F0AC3" w:rsidP="002F0AC3">
      <w:pPr>
        <w:rPr>
          <w:lang w:val="es-MX"/>
        </w:rPr>
      </w:pPr>
    </w:p>
    <w:p w14:paraId="29EDB4D0" w14:textId="77777777" w:rsidR="002F0AC3" w:rsidRDefault="002F0AC3" w:rsidP="002F0AC3">
      <w:pPr>
        <w:spacing w:after="0"/>
        <w:rPr>
          <w:rFonts w:ascii="Verdana" w:hAnsi="Verdana"/>
          <w:lang w:val="es-MX"/>
        </w:rPr>
      </w:pPr>
    </w:p>
    <w:p w14:paraId="442B201F" w14:textId="77777777" w:rsidR="002F0AC3" w:rsidRDefault="002F0AC3" w:rsidP="002F0AC3">
      <w:pPr>
        <w:spacing w:after="0"/>
        <w:rPr>
          <w:rFonts w:ascii="Verdana" w:hAnsi="Verdana"/>
          <w:lang w:val="es-MX"/>
        </w:rPr>
      </w:pPr>
    </w:p>
    <w:p w14:paraId="0C73B2B6" w14:textId="332E06E3" w:rsidR="002F0AC3" w:rsidRPr="002E5746" w:rsidRDefault="002E5746" w:rsidP="002F0AC3">
      <w:pPr>
        <w:spacing w:after="0"/>
        <w:rPr>
          <w:rFonts w:ascii="Verdana" w:hAnsi="Verdana"/>
        </w:rPr>
      </w:pPr>
      <w:r w:rsidRPr="002E5746">
        <w:rPr>
          <w:rFonts w:ascii="Verdana" w:hAnsi="Verdana"/>
        </w:rPr>
        <w:t xml:space="preserve">Bogotá D.C, 22 </w:t>
      </w:r>
      <w:r>
        <w:rPr>
          <w:rFonts w:ascii="Verdana" w:hAnsi="Verdana"/>
        </w:rPr>
        <w:t>d</w:t>
      </w:r>
      <w:r w:rsidRPr="002E5746">
        <w:rPr>
          <w:rFonts w:ascii="Verdana" w:hAnsi="Verdana"/>
        </w:rPr>
        <w:t>iciembre 2025</w:t>
      </w:r>
      <w:r w:rsidR="002F0AC3" w:rsidRPr="002E5746">
        <w:rPr>
          <w:rFonts w:ascii="Verdana" w:hAnsi="Verdana"/>
        </w:rPr>
        <w:tab/>
      </w:r>
      <w:r w:rsidR="002F0AC3" w:rsidRPr="002E5746">
        <w:rPr>
          <w:rFonts w:ascii="Verdana" w:hAnsi="Verdana"/>
        </w:rPr>
        <w:br/>
      </w:r>
    </w:p>
    <w:p w14:paraId="58D3DC90" w14:textId="49F6A0A2" w:rsidR="002F0AC3" w:rsidRPr="005D3C67" w:rsidRDefault="002F0AC3" w:rsidP="002F0AC3">
      <w:pPr>
        <w:spacing w:after="0"/>
        <w:rPr>
          <w:rFonts w:ascii="Verdana" w:hAnsi="Verdana"/>
        </w:rPr>
      </w:pPr>
    </w:p>
    <w:p w14:paraId="4D9BA89D" w14:textId="5F27334C" w:rsidR="002F0AC3" w:rsidRDefault="002F0AC3" w:rsidP="002F0AC3">
      <w:pPr>
        <w:spacing w:after="0" w:line="240" w:lineRule="auto"/>
        <w:rPr>
          <w:rFonts w:ascii="Verdana" w:eastAsia="Calibri" w:hAnsi="Verdana" w:cs="Times New Roman"/>
          <w:lang w:val="es-MX"/>
        </w:rPr>
      </w:pPr>
    </w:p>
    <w:p w14:paraId="67A06739" w14:textId="07CB135A" w:rsidR="002F0AC3" w:rsidRPr="007215D5" w:rsidRDefault="003B5E87" w:rsidP="002F0AC3">
      <w:pPr>
        <w:spacing w:after="0" w:line="240" w:lineRule="auto"/>
        <w:rPr>
          <w:rFonts w:ascii="Verdana" w:eastAsia="Calibri" w:hAnsi="Verdana" w:cs="Times New Roman"/>
          <w:lang w:val="es-MX"/>
        </w:rPr>
      </w:pPr>
      <w:r w:rsidRPr="00747187">
        <w:rPr>
          <w:rFonts w:ascii="Verdana" w:hAnsi="Verdana"/>
          <w:noProof/>
        </w:rPr>
        <w:drawing>
          <wp:anchor distT="0" distB="0" distL="114300" distR="114300" simplePos="0" relativeHeight="251660288" behindDoc="1" locked="0" layoutInCell="1" allowOverlap="1" wp14:anchorId="29B4ACAC" wp14:editId="168077C0">
            <wp:simplePos x="0" y="0"/>
            <wp:positionH relativeFrom="margin">
              <wp:align>right</wp:align>
            </wp:positionH>
            <wp:positionV relativeFrom="paragraph">
              <wp:posOffset>5715</wp:posOffset>
            </wp:positionV>
            <wp:extent cx="2790825" cy="752475"/>
            <wp:effectExtent l="0" t="0" r="9525" b="9525"/>
            <wp:wrapSquare wrapText="bothSides"/>
            <wp:docPr id="1"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exto&#10;&#10;Descripción generada automáticamente"/>
                    <pic:cNvPicPr/>
                  </pic:nvPicPr>
                  <pic:blipFill>
                    <a:blip r:embed="rId10">
                      <a:extLst>
                        <a:ext uri="{28A0092B-C50C-407E-A947-70E740481C1C}">
                          <a14:useLocalDpi xmlns:a14="http://schemas.microsoft.com/office/drawing/2010/main" val="0"/>
                        </a:ext>
                      </a:extLst>
                    </a:blip>
                    <a:stretch>
                      <a:fillRect/>
                    </a:stretch>
                  </pic:blipFill>
                  <pic:spPr>
                    <a:xfrm>
                      <a:off x="0" y="0"/>
                      <a:ext cx="2790825" cy="752475"/>
                    </a:xfrm>
                    <a:prstGeom prst="rect">
                      <a:avLst/>
                    </a:prstGeom>
                  </pic:spPr>
                </pic:pic>
              </a:graphicData>
            </a:graphic>
            <wp14:sizeRelH relativeFrom="margin">
              <wp14:pctWidth>0</wp14:pctWidth>
            </wp14:sizeRelH>
            <wp14:sizeRelV relativeFrom="margin">
              <wp14:pctHeight>0</wp14:pctHeight>
            </wp14:sizeRelV>
          </wp:anchor>
        </w:drawing>
      </w:r>
      <w:r w:rsidR="002F0AC3" w:rsidRPr="007215D5">
        <w:rPr>
          <w:rFonts w:ascii="Verdana" w:eastAsia="Calibri" w:hAnsi="Verdana" w:cs="Times New Roman"/>
          <w:lang w:val="es-MX"/>
        </w:rPr>
        <w:t>Señor</w:t>
      </w:r>
    </w:p>
    <w:p w14:paraId="0FA4EDE5" w14:textId="77777777" w:rsidR="002F0AC3" w:rsidRPr="00735395" w:rsidRDefault="002F0AC3" w:rsidP="002F0AC3">
      <w:pPr>
        <w:spacing w:after="0" w:line="240" w:lineRule="auto"/>
        <w:rPr>
          <w:rFonts w:ascii="Verdana" w:eastAsia="Calibri" w:hAnsi="Verdana" w:cs="Times New Roman"/>
          <w:b/>
        </w:rPr>
      </w:pPr>
      <w:r w:rsidRPr="00735395">
        <w:rPr>
          <w:rFonts w:ascii="Verdana" w:eastAsia="Calibri" w:hAnsi="Verdana" w:cs="Times New Roman"/>
          <w:b/>
        </w:rPr>
        <w:t>Omar Enrique Flórez Escorcia</w:t>
      </w:r>
      <w:r>
        <w:rPr>
          <w:rFonts w:ascii="Verdana" w:eastAsia="Calibri" w:hAnsi="Verdana" w:cs="Times New Roman"/>
          <w:b/>
        </w:rPr>
        <w:t xml:space="preserve"> </w:t>
      </w:r>
    </w:p>
    <w:p w14:paraId="45472B27" w14:textId="77777777" w:rsidR="002F0AC3" w:rsidRPr="00322677" w:rsidRDefault="002F0AC3" w:rsidP="002F0AC3">
      <w:pPr>
        <w:spacing w:after="0" w:line="240" w:lineRule="auto"/>
        <w:rPr>
          <w:rFonts w:ascii="Verdana" w:hAnsi="Verdana"/>
        </w:rPr>
      </w:pPr>
      <w:hyperlink r:id="rId11" w:history="1">
        <w:r w:rsidRPr="00C36F2D">
          <w:rPr>
            <w:rStyle w:val="Hipervnculo"/>
            <w:rFonts w:ascii="Verdana" w:hAnsi="Verdana"/>
          </w:rPr>
          <w:t>info@aldesarrollo.gov.co</w:t>
        </w:r>
      </w:hyperlink>
      <w:r>
        <w:rPr>
          <w:rFonts w:ascii="Verdana" w:hAnsi="Verdana"/>
        </w:rPr>
        <w:t xml:space="preserve"> </w:t>
      </w:r>
    </w:p>
    <w:p w14:paraId="564F6383" w14:textId="77777777" w:rsidR="002F0AC3" w:rsidRPr="00AE4EA1" w:rsidRDefault="002F0AC3" w:rsidP="002F0AC3">
      <w:pPr>
        <w:spacing w:after="0" w:line="240" w:lineRule="auto"/>
        <w:rPr>
          <w:rFonts w:ascii="Verdana" w:eastAsia="Calibri" w:hAnsi="Verdana" w:cs="Times New Roman"/>
        </w:rPr>
      </w:pPr>
      <w:r w:rsidRPr="00AE4EA1">
        <w:rPr>
          <w:rFonts w:ascii="Verdana" w:eastAsia="Calibri" w:hAnsi="Verdana" w:cs="Times New Roman"/>
        </w:rPr>
        <w:t xml:space="preserve">Bogotá D.C. </w:t>
      </w:r>
    </w:p>
    <w:p w14:paraId="3EA98B75" w14:textId="77777777" w:rsidR="002F0AC3" w:rsidRDefault="002F0AC3" w:rsidP="002F0AC3">
      <w:pPr>
        <w:spacing w:after="0" w:line="256" w:lineRule="auto"/>
        <w:rPr>
          <w:rFonts w:ascii="Verdana" w:eastAsia="Calibri" w:hAnsi="Verdana" w:cs="Times New Roman"/>
        </w:rPr>
      </w:pPr>
    </w:p>
    <w:p w14:paraId="0957CC71" w14:textId="77777777" w:rsidR="002F0AC3" w:rsidRPr="00A12CB6" w:rsidRDefault="002F0AC3" w:rsidP="002F0AC3">
      <w:pPr>
        <w:spacing w:after="0" w:line="256" w:lineRule="auto"/>
        <w:rPr>
          <w:rFonts w:ascii="Verdana" w:eastAsia="Calibri" w:hAnsi="Verdana" w:cs="Times New Roman"/>
        </w:rPr>
      </w:pPr>
    </w:p>
    <w:p w14:paraId="084AC2BA" w14:textId="77777777" w:rsidR="002F0AC3" w:rsidRDefault="002F0AC3" w:rsidP="002F0AC3">
      <w:pPr>
        <w:spacing w:after="0" w:line="256" w:lineRule="auto"/>
        <w:rPr>
          <w:rFonts w:ascii="Verdana" w:eastAsia="Calibri" w:hAnsi="Verdana" w:cs="Times New Roman"/>
          <w:b/>
          <w:bCs/>
          <w:lang w:val="es-ES"/>
        </w:rPr>
      </w:pPr>
      <w:r w:rsidRPr="00A12CB6">
        <w:rPr>
          <w:rFonts w:ascii="Verdana" w:eastAsia="Calibri" w:hAnsi="Verdana" w:cs="Times New Roman"/>
          <w:b/>
          <w:bCs/>
          <w:lang w:val="es-ES"/>
        </w:rPr>
        <w:t xml:space="preserve">                  </w:t>
      </w:r>
      <w:r>
        <w:rPr>
          <w:rFonts w:ascii="Verdana" w:eastAsia="Calibri" w:hAnsi="Verdana" w:cs="Times New Roman"/>
          <w:b/>
          <w:bCs/>
          <w:lang w:val="es-ES"/>
        </w:rPr>
        <w:t xml:space="preserve">                  Concepto C- 1742 de 2025</w:t>
      </w:r>
    </w:p>
    <w:p w14:paraId="371D0B79" w14:textId="77777777" w:rsidR="002F0AC3" w:rsidRPr="00A12CB6" w:rsidRDefault="002F0AC3" w:rsidP="002F0AC3">
      <w:pPr>
        <w:spacing w:after="0" w:line="256" w:lineRule="auto"/>
        <w:rPr>
          <w:rFonts w:ascii="Verdana" w:eastAsia="Calibri" w:hAnsi="Verdana" w:cs="Times New Roman"/>
          <w:b/>
          <w:bCs/>
          <w:lang w:val="es-ES"/>
        </w:rPr>
      </w:pPr>
    </w:p>
    <w:p w14:paraId="704DF9BF" w14:textId="77777777" w:rsidR="002F0AC3" w:rsidRPr="00A12CB6" w:rsidRDefault="002F0AC3" w:rsidP="002F0AC3">
      <w:pPr>
        <w:spacing w:after="0" w:line="256" w:lineRule="auto"/>
        <w:rPr>
          <w:rFonts w:ascii="Verdana" w:eastAsia="Calibri" w:hAnsi="Verdana" w:cs="Times New Roman"/>
          <w:lang w:val="es-ES_tradnl"/>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2F0AC3" w:rsidRPr="00A12CB6" w14:paraId="329D3BF3" w14:textId="77777777" w:rsidTr="00046D79">
        <w:trPr>
          <w:trHeight w:val="645"/>
        </w:trPr>
        <w:tc>
          <w:tcPr>
            <w:tcW w:w="2685" w:type="dxa"/>
            <w:hideMark/>
          </w:tcPr>
          <w:p w14:paraId="7A72F797" w14:textId="77777777" w:rsidR="002F0AC3" w:rsidRPr="00A12CB6" w:rsidRDefault="002F0AC3" w:rsidP="00046D79">
            <w:pPr>
              <w:spacing w:line="256" w:lineRule="auto"/>
              <w:rPr>
                <w:rFonts w:ascii="Verdana" w:hAnsi="Verdana"/>
                <w:b/>
                <w:bCs/>
                <w:lang w:val="es-ES_tradnl"/>
              </w:rPr>
            </w:pPr>
            <w:r w:rsidRPr="00A12CB6">
              <w:rPr>
                <w:rFonts w:ascii="Verdana" w:hAnsi="Verdana"/>
                <w:b/>
                <w:bCs/>
                <w:lang w:val="es-ES_tradnl"/>
              </w:rPr>
              <w:t xml:space="preserve">Temas:                   </w:t>
            </w:r>
          </w:p>
        </w:tc>
        <w:tc>
          <w:tcPr>
            <w:tcW w:w="6241" w:type="dxa"/>
            <w:hideMark/>
          </w:tcPr>
          <w:p w14:paraId="27914894" w14:textId="77777777" w:rsidR="002F0AC3" w:rsidRPr="00B74FAE" w:rsidRDefault="002F0AC3" w:rsidP="00046D79">
            <w:pPr>
              <w:spacing w:line="276" w:lineRule="auto"/>
              <w:jc w:val="both"/>
              <w:rPr>
                <w:rFonts w:ascii="Verdana" w:hAnsi="Verdana" w:cs="Arial"/>
                <w:lang w:val="es-MX" w:eastAsia="es-ES_tradnl"/>
              </w:rPr>
            </w:pPr>
            <w:r w:rsidRPr="00273620">
              <w:rPr>
                <w:rFonts w:ascii="Verdana" w:hAnsi="Verdana" w:cs="Arial"/>
                <w:lang w:val="es-MX" w:eastAsia="es-ES_tradnl"/>
              </w:rPr>
              <w:t xml:space="preserve">LEY DE GARANTÍAS ELECTORALES </w:t>
            </w:r>
            <w:r w:rsidRPr="00273620">
              <w:rPr>
                <w:rFonts w:ascii="Verdana" w:hAnsi="Verdana" w:cs="Arial"/>
                <w:bCs/>
                <w:lang w:val="es-MX" w:eastAsia="es-ES_tradnl"/>
              </w:rPr>
              <w:t>‒</w:t>
            </w:r>
            <w:r w:rsidRPr="00273620">
              <w:rPr>
                <w:rFonts w:ascii="Verdana" w:hAnsi="Verdana" w:cs="Arial"/>
                <w:lang w:val="es-MX" w:eastAsia="es-ES_tradnl"/>
              </w:rPr>
              <w:t xml:space="preserve"> Finalidad / LEY DE GARANTÍAS ELECTORALES </w:t>
            </w:r>
            <w:r w:rsidRPr="00273620">
              <w:rPr>
                <w:rFonts w:ascii="Verdana" w:hAnsi="Verdana" w:cs="Arial"/>
                <w:bCs/>
                <w:lang w:val="es-MX" w:eastAsia="es-ES_tradnl"/>
              </w:rPr>
              <w:t>‒</w:t>
            </w:r>
            <w:r w:rsidRPr="00273620">
              <w:rPr>
                <w:rFonts w:ascii="Verdana" w:hAnsi="Verdana" w:cs="Arial"/>
                <w:lang w:val="es-MX" w:eastAsia="es-ES_tradnl"/>
              </w:rPr>
              <w:t xml:space="preserve"> Tipos de restricciones </w:t>
            </w:r>
            <w:r w:rsidRPr="00273620">
              <w:rPr>
                <w:rFonts w:ascii="Verdana" w:hAnsi="Verdana" w:cs="Arial"/>
                <w:bCs/>
                <w:lang w:val="es-MX" w:eastAsia="es-ES_tradnl"/>
              </w:rPr>
              <w:t>‒</w:t>
            </w:r>
            <w:r w:rsidRPr="00273620">
              <w:rPr>
                <w:rFonts w:ascii="Verdana" w:hAnsi="Verdana" w:cs="Arial"/>
                <w:lang w:val="es-MX" w:eastAsia="es-ES_tradnl"/>
              </w:rPr>
              <w:t xml:space="preserve"> Ámbito temporal</w:t>
            </w:r>
            <w:r>
              <w:rPr>
                <w:rFonts w:ascii="Verdana" w:hAnsi="Verdana" w:cs="Arial"/>
                <w:lang w:val="es-MX" w:eastAsia="es-ES_tradnl"/>
              </w:rPr>
              <w:t xml:space="preserve"> – celebración- límite / LEY DE GARANTÍAS ELECTORALES – Prohibición artículo 33 – Contratación directa – Alcance / LEY DE GARANTÍAS ELECTORALES – Excepciones / LEY DE GARANTÍAS ELECTORALES – Prohibición del artículo 33 – Destinatarios / </w:t>
            </w:r>
            <w:r w:rsidRPr="00B74FAE">
              <w:rPr>
                <w:rFonts w:ascii="Verdana" w:hAnsi="Verdana" w:cs="Arial"/>
                <w:lang w:val="es-MX" w:eastAsia="es-ES_tradnl"/>
              </w:rPr>
              <w:t>LEY DE GARANTÍAS ELECTORALES – Contratos y convenios interadministrativos – Criterio orgánico</w:t>
            </w:r>
            <w:r>
              <w:rPr>
                <w:rFonts w:ascii="Verdana" w:hAnsi="Verdana" w:cs="Arial"/>
                <w:lang w:val="es-MX" w:eastAsia="es-ES_tradnl"/>
              </w:rPr>
              <w:t xml:space="preserve"> / </w:t>
            </w:r>
            <w:r w:rsidRPr="00B74FAE">
              <w:rPr>
                <w:rFonts w:ascii="Verdana" w:hAnsi="Verdana" w:cs="Arial"/>
                <w:lang w:val="es-MX" w:eastAsia="es-ES_tradnl"/>
              </w:rPr>
              <w:t>CONTRATOS Y CONVENIOS INTERADMINISTRATIVOS – Circular Externa Única – A</w:t>
            </w:r>
            <w:r>
              <w:rPr>
                <w:rFonts w:ascii="Verdana" w:hAnsi="Verdana" w:cs="Arial"/>
                <w:lang w:val="es-MX" w:eastAsia="es-ES_tradnl"/>
              </w:rPr>
              <w:t>uto de suspensión –numeral 16.2.</w:t>
            </w:r>
            <w:r w:rsidRPr="31E4E861">
              <w:rPr>
                <w:rFonts w:ascii="Verdana" w:eastAsia="Times New Roman" w:hAnsi="Verdana" w:cs="Arial"/>
                <w:lang w:eastAsia="es-CO"/>
              </w:rPr>
              <w:t xml:space="preserve"> </w:t>
            </w:r>
            <w:r>
              <w:rPr>
                <w:rFonts w:ascii="Verdana" w:eastAsia="Times New Roman" w:hAnsi="Verdana" w:cs="Arial"/>
                <w:lang w:eastAsia="es-CO"/>
              </w:rPr>
              <w:t>S</w:t>
            </w:r>
            <w:r w:rsidRPr="31E4E861">
              <w:rPr>
                <w:rFonts w:ascii="Verdana" w:eastAsia="Times New Roman" w:hAnsi="Verdana" w:cs="Arial"/>
                <w:lang w:eastAsia="es-CO"/>
              </w:rPr>
              <w:t>entencia expedida por la Sección Tercera de la Sala de lo Contencioso Administrativo del 17 de octubre de 2025, los autos del 4 de octubre de 2024 y 6 de noviembre de 2025</w:t>
            </w:r>
          </w:p>
        </w:tc>
        <w:tc>
          <w:tcPr>
            <w:tcW w:w="6237" w:type="dxa"/>
          </w:tcPr>
          <w:p w14:paraId="0B9A1ED3" w14:textId="77777777" w:rsidR="002F0AC3" w:rsidRPr="00A12CB6" w:rsidRDefault="002F0AC3" w:rsidP="00046D79">
            <w:pPr>
              <w:spacing w:line="256" w:lineRule="auto"/>
              <w:rPr>
                <w:rFonts w:ascii="Verdana" w:hAnsi="Verdana"/>
              </w:rPr>
            </w:pPr>
          </w:p>
        </w:tc>
      </w:tr>
      <w:tr w:rsidR="002F0AC3" w:rsidRPr="00A12CB6" w14:paraId="3E2B1109" w14:textId="77777777" w:rsidTr="00046D79">
        <w:tc>
          <w:tcPr>
            <w:tcW w:w="2685" w:type="dxa"/>
          </w:tcPr>
          <w:p w14:paraId="5511B510" w14:textId="77777777" w:rsidR="002F0AC3" w:rsidRDefault="002F0AC3" w:rsidP="00046D79">
            <w:pPr>
              <w:spacing w:line="256" w:lineRule="auto"/>
              <w:rPr>
                <w:rFonts w:ascii="Verdana" w:hAnsi="Verdana"/>
                <w:b/>
                <w:bCs/>
                <w:lang w:val="es-ES_tradnl"/>
              </w:rPr>
            </w:pPr>
          </w:p>
          <w:p w14:paraId="235C1436" w14:textId="77777777" w:rsidR="002F0AC3" w:rsidRDefault="002F0AC3" w:rsidP="00046D79">
            <w:pPr>
              <w:spacing w:line="256" w:lineRule="auto"/>
              <w:rPr>
                <w:rFonts w:ascii="Verdana" w:hAnsi="Verdana"/>
                <w:b/>
                <w:bCs/>
                <w:lang w:val="es-ES_tradnl"/>
              </w:rPr>
            </w:pPr>
          </w:p>
          <w:p w14:paraId="1E801697" w14:textId="77777777" w:rsidR="002F0AC3" w:rsidRPr="00A12CB6" w:rsidRDefault="002F0AC3" w:rsidP="00046D79">
            <w:pPr>
              <w:spacing w:line="256" w:lineRule="auto"/>
              <w:rPr>
                <w:rFonts w:ascii="Verdana" w:hAnsi="Verdana"/>
                <w:b/>
                <w:bCs/>
                <w:lang w:val="es-ES_tradnl"/>
              </w:rPr>
            </w:pPr>
            <w:r w:rsidRPr="00A12CB6">
              <w:rPr>
                <w:rFonts w:ascii="Verdana" w:hAnsi="Verdana"/>
                <w:b/>
                <w:bCs/>
                <w:lang w:val="es-ES_tradnl"/>
              </w:rPr>
              <w:t xml:space="preserve">Radicación:               </w:t>
            </w:r>
          </w:p>
        </w:tc>
        <w:tc>
          <w:tcPr>
            <w:tcW w:w="6241" w:type="dxa"/>
          </w:tcPr>
          <w:p w14:paraId="32EF5076" w14:textId="77777777" w:rsidR="002F0AC3" w:rsidRPr="00273620" w:rsidRDefault="002F0AC3" w:rsidP="00046D79">
            <w:pPr>
              <w:spacing w:line="257" w:lineRule="auto"/>
              <w:jc w:val="both"/>
              <w:rPr>
                <w:rFonts w:ascii="Verdana" w:hAnsi="Verdana"/>
                <w:lang w:val="es-ES_tradnl"/>
              </w:rPr>
            </w:pPr>
          </w:p>
          <w:p w14:paraId="21EE7BC9" w14:textId="77777777" w:rsidR="002F0AC3" w:rsidRPr="00273620" w:rsidRDefault="002F0AC3" w:rsidP="00046D79">
            <w:pPr>
              <w:spacing w:line="257" w:lineRule="auto"/>
              <w:jc w:val="both"/>
              <w:rPr>
                <w:rFonts w:ascii="Verdana" w:hAnsi="Verdana"/>
                <w:lang w:val="es-ES_tradnl"/>
              </w:rPr>
            </w:pPr>
          </w:p>
          <w:p w14:paraId="550F9B58" w14:textId="77777777" w:rsidR="002F0AC3" w:rsidRPr="00273620" w:rsidRDefault="002F0AC3" w:rsidP="00046D79">
            <w:pPr>
              <w:spacing w:line="257" w:lineRule="auto"/>
              <w:jc w:val="both"/>
              <w:rPr>
                <w:rFonts w:ascii="Verdana" w:hAnsi="Verdana"/>
              </w:rPr>
            </w:pPr>
            <w:r w:rsidRPr="00273620">
              <w:rPr>
                <w:rFonts w:ascii="Verdana" w:hAnsi="Verdana"/>
                <w:lang w:val="es-ES_tradnl"/>
              </w:rPr>
              <w:t xml:space="preserve">Respuesta a consulta con radicado No. </w:t>
            </w:r>
            <w:r w:rsidRPr="00735395">
              <w:rPr>
                <w:rFonts w:ascii="Verdana" w:hAnsi="Verdana"/>
              </w:rPr>
              <w:t>1_2025_11_25_013270</w:t>
            </w:r>
            <w:r>
              <w:rPr>
                <w:rFonts w:ascii="Verdana" w:hAnsi="Verdana"/>
              </w:rPr>
              <w:t xml:space="preserve"> </w:t>
            </w:r>
          </w:p>
          <w:p w14:paraId="52C76A31" w14:textId="77777777" w:rsidR="002F0AC3" w:rsidRPr="00273620" w:rsidRDefault="002F0AC3" w:rsidP="00046D79">
            <w:pPr>
              <w:spacing w:line="257" w:lineRule="auto"/>
              <w:jc w:val="both"/>
              <w:rPr>
                <w:rFonts w:ascii="Verdana" w:hAnsi="Verdana"/>
              </w:rPr>
            </w:pPr>
          </w:p>
        </w:tc>
        <w:tc>
          <w:tcPr>
            <w:tcW w:w="6237" w:type="dxa"/>
          </w:tcPr>
          <w:p w14:paraId="4741B0DE" w14:textId="77777777" w:rsidR="002F0AC3" w:rsidRPr="00A12CB6" w:rsidRDefault="002F0AC3" w:rsidP="00046D79">
            <w:pPr>
              <w:spacing w:line="256" w:lineRule="auto"/>
              <w:rPr>
                <w:rFonts w:ascii="Verdana" w:hAnsi="Verdana"/>
                <w:lang w:val="es-ES_tradnl"/>
              </w:rPr>
            </w:pPr>
          </w:p>
        </w:tc>
      </w:tr>
    </w:tbl>
    <w:p w14:paraId="15395EB0" w14:textId="77777777" w:rsidR="002F0AC3" w:rsidRPr="00A12CB6" w:rsidRDefault="002F0AC3" w:rsidP="002F0AC3">
      <w:pPr>
        <w:spacing w:after="0" w:line="256" w:lineRule="auto"/>
        <w:rPr>
          <w:rFonts w:ascii="Verdana" w:eastAsia="Calibri" w:hAnsi="Verdana" w:cs="Times New Roman"/>
          <w:lang w:val="es-ES"/>
        </w:rPr>
      </w:pPr>
      <w:r>
        <w:rPr>
          <w:rFonts w:ascii="Verdana" w:eastAsia="Calibri" w:hAnsi="Verdana" w:cs="Times New Roman"/>
          <w:lang w:val="es-ES"/>
        </w:rPr>
        <w:t xml:space="preserve">Estimado Señor Flórez: </w:t>
      </w:r>
      <w:r w:rsidRPr="00A12CB6">
        <w:rPr>
          <w:rFonts w:ascii="Verdana" w:eastAsia="Calibri" w:hAnsi="Verdana" w:cs="Times New Roman"/>
          <w:lang w:val="es-ES"/>
        </w:rPr>
        <w:t xml:space="preserve"> </w:t>
      </w:r>
    </w:p>
    <w:p w14:paraId="54F2464D" w14:textId="77777777" w:rsidR="002F0AC3" w:rsidRPr="00A12CB6" w:rsidRDefault="002F0AC3" w:rsidP="002F0AC3">
      <w:pPr>
        <w:spacing w:after="0" w:line="256" w:lineRule="auto"/>
        <w:rPr>
          <w:rFonts w:ascii="Verdana" w:eastAsia="Calibri" w:hAnsi="Verdana" w:cs="Times New Roman"/>
          <w:lang w:val="es-ES"/>
        </w:rPr>
      </w:pPr>
    </w:p>
    <w:p w14:paraId="6D7FD2EF" w14:textId="77777777" w:rsidR="002F0AC3" w:rsidRDefault="002F0AC3" w:rsidP="002F0AC3">
      <w:pPr>
        <w:spacing w:after="0" w:line="276" w:lineRule="auto"/>
        <w:jc w:val="both"/>
        <w:rPr>
          <w:rFonts w:ascii="Verdana" w:eastAsia="Calibri" w:hAnsi="Verdana" w:cs="Times New Roman"/>
        </w:rPr>
      </w:pPr>
      <w:r w:rsidRPr="005D3C67">
        <w:rPr>
          <w:rFonts w:ascii="Verdana" w:eastAsia="Calibri" w:hAnsi="Verdana" w:cs="Times New Roman"/>
          <w:bCs/>
          <w:lang w:val="es-ES" w:bidi="es-ES"/>
        </w:rPr>
        <w:t xml:space="preserve">En ejercicio de la competencia otorgada por los artículos 3, numeral 5º, y 11, numeral 8º, del Decreto Ley 4170 de 2011, </w:t>
      </w:r>
      <w:r w:rsidRPr="005D3C67">
        <w:rPr>
          <w:rFonts w:ascii="Verdana" w:eastAsia="Calibri" w:hAnsi="Verdana" w:cs="Times New Roman"/>
          <w:bCs/>
        </w:rPr>
        <w:t xml:space="preserve">así como lo establecido por la Resolución 469 de 2025 expedida por esta Entidad, </w:t>
      </w:r>
      <w:r w:rsidRPr="005D3C67">
        <w:rPr>
          <w:rFonts w:ascii="Verdana" w:eastAsia="Calibri" w:hAnsi="Verdana" w:cs="Times New Roman"/>
          <w:bCs/>
          <w:lang w:val="es-ES" w:bidi="es-ES"/>
        </w:rPr>
        <w:t xml:space="preserve">la Agencia Nacional de </w:t>
      </w:r>
      <w:r w:rsidRPr="005D3C67">
        <w:rPr>
          <w:rFonts w:ascii="Verdana" w:eastAsia="Calibri" w:hAnsi="Verdana" w:cs="Times New Roman"/>
          <w:bCs/>
          <w:lang w:val="es-ES" w:bidi="es-ES"/>
        </w:rPr>
        <w:lastRenderedPageBreak/>
        <w:t>Contratación Pública – Colombia Compra Eficiente–</w:t>
      </w:r>
      <w:r>
        <w:rPr>
          <w:rFonts w:ascii="Verdana" w:eastAsia="Calibri" w:hAnsi="Verdana" w:cs="Times New Roman"/>
          <w:lang w:val="es-ES"/>
        </w:rPr>
        <w:t xml:space="preserve"> </w:t>
      </w:r>
      <w:r w:rsidRPr="00A12061">
        <w:rPr>
          <w:rFonts w:ascii="Verdana" w:eastAsia="Calibri" w:hAnsi="Verdana" w:cs="Times New Roman"/>
          <w:lang w:val="es-ES"/>
        </w:rPr>
        <w:t>responde la solicit</w:t>
      </w:r>
      <w:r>
        <w:rPr>
          <w:rFonts w:ascii="Verdana" w:eastAsia="Calibri" w:hAnsi="Verdana" w:cs="Times New Roman"/>
          <w:lang w:val="es-ES"/>
        </w:rPr>
        <w:t>ud de consulta presentada el 25 de noviembre de 2025, en la cual manifiesta</w:t>
      </w:r>
      <w:r w:rsidRPr="00A12061">
        <w:rPr>
          <w:rFonts w:ascii="Verdana" w:eastAsia="Calibri" w:hAnsi="Verdana" w:cs="Times New Roman"/>
          <w:lang w:val="es-ES"/>
        </w:rPr>
        <w:t>:</w:t>
      </w:r>
      <w:r w:rsidRPr="000D6D0E">
        <w:rPr>
          <w:rFonts w:ascii="Verdana" w:eastAsia="Calibri" w:hAnsi="Verdana" w:cs="Times New Roman"/>
        </w:rPr>
        <w:t xml:space="preserve"> </w:t>
      </w:r>
    </w:p>
    <w:p w14:paraId="5BCC084B" w14:textId="77777777" w:rsidR="002F0AC3" w:rsidRPr="004252BF" w:rsidRDefault="002F0AC3" w:rsidP="002F0AC3">
      <w:pPr>
        <w:spacing w:after="0" w:line="276" w:lineRule="auto"/>
        <w:ind w:right="709"/>
        <w:jc w:val="both"/>
        <w:rPr>
          <w:rFonts w:ascii="Verdana" w:eastAsia="Calibri" w:hAnsi="Verdana" w:cs="Times New Roman"/>
          <w:iCs/>
          <w:sz w:val="20"/>
        </w:rPr>
      </w:pPr>
    </w:p>
    <w:p w14:paraId="3D670D9F" w14:textId="77777777" w:rsidR="002F0AC3" w:rsidRPr="00735395" w:rsidRDefault="002F0AC3" w:rsidP="002F0AC3">
      <w:pPr>
        <w:pStyle w:val="Prrafodelista"/>
        <w:spacing w:after="0" w:line="240" w:lineRule="auto"/>
        <w:ind w:right="709"/>
        <w:jc w:val="both"/>
        <w:rPr>
          <w:rFonts w:ascii="Verdana" w:eastAsia="Calibri" w:hAnsi="Verdana" w:cs="Times New Roman"/>
          <w:i/>
          <w:iCs/>
          <w:sz w:val="20"/>
          <w:szCs w:val="20"/>
          <w:lang w:val="es-ES"/>
        </w:rPr>
      </w:pPr>
      <w:r w:rsidRPr="00F64FF9">
        <w:rPr>
          <w:rFonts w:ascii="Verdana" w:eastAsia="Calibri" w:hAnsi="Verdana" w:cs="Times New Roman"/>
          <w:i/>
          <w:iCs/>
          <w:sz w:val="20"/>
          <w:szCs w:val="20"/>
        </w:rPr>
        <w:t>“</w:t>
      </w:r>
      <w:r w:rsidRPr="00735395">
        <w:rPr>
          <w:rFonts w:ascii="Verdana" w:eastAsia="Calibri" w:hAnsi="Verdana" w:cs="Times New Roman"/>
          <w:i/>
          <w:iCs/>
          <w:sz w:val="20"/>
          <w:szCs w:val="20"/>
        </w:rPr>
        <w:t>solicitando concepto sobre la</w:t>
      </w:r>
      <w:r>
        <w:rPr>
          <w:rFonts w:ascii="Verdana" w:eastAsia="Calibri" w:hAnsi="Verdana" w:cs="Times New Roman"/>
          <w:i/>
          <w:iCs/>
          <w:sz w:val="20"/>
          <w:szCs w:val="20"/>
        </w:rPr>
        <w:t xml:space="preserve"> </w:t>
      </w:r>
      <w:r w:rsidRPr="00735395">
        <w:rPr>
          <w:rFonts w:ascii="Verdana" w:eastAsia="Calibri" w:hAnsi="Verdana" w:cs="Times New Roman"/>
          <w:i/>
          <w:iCs/>
          <w:sz w:val="20"/>
          <w:szCs w:val="20"/>
        </w:rPr>
        <w:t>aplicación temporal y material de la Ley 996 de 2005 (Ley de Garantías Electorales) respecto de la</w:t>
      </w:r>
      <w:r>
        <w:rPr>
          <w:rFonts w:ascii="Verdana" w:eastAsia="Calibri" w:hAnsi="Verdana" w:cs="Times New Roman"/>
          <w:i/>
          <w:iCs/>
          <w:sz w:val="20"/>
          <w:szCs w:val="20"/>
        </w:rPr>
        <w:t xml:space="preserve"> </w:t>
      </w:r>
      <w:r w:rsidRPr="00735395">
        <w:rPr>
          <w:rFonts w:ascii="Verdana" w:eastAsia="Calibri" w:hAnsi="Verdana" w:cs="Times New Roman"/>
          <w:i/>
          <w:iCs/>
          <w:sz w:val="20"/>
          <w:szCs w:val="20"/>
        </w:rPr>
        <w:t>contratación pública y la celebración directa de convenios / contratos interadministrativos, atendiendo la</w:t>
      </w:r>
      <w:r>
        <w:rPr>
          <w:rFonts w:ascii="Verdana" w:eastAsia="Calibri" w:hAnsi="Verdana" w:cs="Times New Roman"/>
          <w:i/>
          <w:iCs/>
          <w:sz w:val="20"/>
          <w:szCs w:val="20"/>
        </w:rPr>
        <w:t xml:space="preserve"> </w:t>
      </w:r>
      <w:r w:rsidRPr="00735395">
        <w:rPr>
          <w:rFonts w:ascii="Verdana" w:eastAsia="Calibri" w:hAnsi="Verdana" w:cs="Times New Roman"/>
          <w:i/>
          <w:iCs/>
          <w:sz w:val="20"/>
          <w:szCs w:val="20"/>
        </w:rPr>
        <w:t>naturaleza jurídica de nuestra entidad</w:t>
      </w:r>
      <w:r>
        <w:rPr>
          <w:rFonts w:ascii="Verdana" w:eastAsia="Calibri" w:hAnsi="Verdana" w:cs="Times New Roman"/>
          <w:i/>
          <w:iCs/>
          <w:sz w:val="20"/>
          <w:szCs w:val="20"/>
        </w:rPr>
        <w:t>.”</w:t>
      </w:r>
    </w:p>
    <w:p w14:paraId="35826793" w14:textId="77777777" w:rsidR="002F0AC3" w:rsidRPr="0038606D" w:rsidRDefault="002F0AC3" w:rsidP="002F0AC3">
      <w:pPr>
        <w:spacing w:after="0" w:line="240" w:lineRule="auto"/>
        <w:ind w:right="709"/>
        <w:jc w:val="both"/>
        <w:rPr>
          <w:rFonts w:ascii="Verdana" w:eastAsia="Calibri" w:hAnsi="Verdana" w:cs="Times New Roman"/>
          <w:i/>
          <w:iCs/>
          <w:sz w:val="20"/>
        </w:rPr>
      </w:pPr>
    </w:p>
    <w:p w14:paraId="66CC51EF" w14:textId="77777777" w:rsidR="002F0AC3" w:rsidRPr="00A12CB6" w:rsidRDefault="002F0AC3" w:rsidP="002F0AC3">
      <w:pPr>
        <w:spacing w:after="120" w:line="276" w:lineRule="auto"/>
        <w:ind w:firstLine="709"/>
        <w:jc w:val="both"/>
        <w:rPr>
          <w:rFonts w:ascii="Verdana" w:eastAsia="Calibri" w:hAnsi="Verdana" w:cs="Times New Roman"/>
          <w:lang w:val="es-ES"/>
        </w:rPr>
      </w:pPr>
      <w:r w:rsidRPr="00A12CB6">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47702E5E" w14:textId="77777777" w:rsidR="002F0AC3" w:rsidRPr="00A12CB6" w:rsidRDefault="002F0AC3" w:rsidP="002F0AC3">
      <w:pPr>
        <w:spacing w:after="0" w:line="276" w:lineRule="auto"/>
        <w:ind w:firstLine="708"/>
        <w:jc w:val="both"/>
        <w:rPr>
          <w:rFonts w:ascii="Verdana" w:eastAsia="Calibri" w:hAnsi="Verdana" w:cs="Times New Roman"/>
          <w:lang w:val="es-ES"/>
        </w:rPr>
      </w:pPr>
      <w:r w:rsidRPr="00A12CB6">
        <w:rPr>
          <w:rFonts w:ascii="Verdana" w:eastAsia="Calibri" w:hAnsi="Verdana" w:cs="Times New Roman"/>
          <w:lang w:val="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w:t>
      </w:r>
      <w:r>
        <w:rPr>
          <w:rFonts w:ascii="Verdana" w:eastAsia="Calibri" w:hAnsi="Verdana" w:cs="Times New Roman"/>
          <w:lang w:val="es-ES"/>
        </w:rPr>
        <w:t xml:space="preserve">s generales relacionadas con el problema jurídico de su consulta. </w:t>
      </w:r>
    </w:p>
    <w:p w14:paraId="35AF9F3F" w14:textId="77777777" w:rsidR="002F0AC3" w:rsidRPr="00A12CB6" w:rsidRDefault="002F0AC3" w:rsidP="002F0AC3">
      <w:pPr>
        <w:spacing w:after="0" w:line="276" w:lineRule="auto"/>
        <w:rPr>
          <w:rFonts w:ascii="Verdana" w:eastAsia="Calibri" w:hAnsi="Verdana" w:cs="Times New Roman"/>
          <w:lang w:val="es-ES"/>
        </w:rPr>
      </w:pPr>
    </w:p>
    <w:p w14:paraId="2D7CF839" w14:textId="77777777" w:rsidR="002F0AC3" w:rsidRPr="00A12CB6" w:rsidRDefault="002F0AC3" w:rsidP="002F0AC3">
      <w:pPr>
        <w:numPr>
          <w:ilvl w:val="0"/>
          <w:numId w:val="2"/>
        </w:numPr>
        <w:spacing w:after="0" w:line="276" w:lineRule="auto"/>
        <w:contextualSpacing/>
        <w:rPr>
          <w:rFonts w:ascii="Verdana" w:eastAsia="Calibri" w:hAnsi="Verdana" w:cs="Times New Roman"/>
          <w:b/>
          <w:bCs/>
          <w:lang w:val="es-ES"/>
        </w:rPr>
      </w:pPr>
      <w:r w:rsidRPr="00A12CB6">
        <w:rPr>
          <w:rFonts w:ascii="Verdana" w:eastAsia="Calibri" w:hAnsi="Verdana" w:cs="Times New Roman"/>
          <w:b/>
          <w:bCs/>
          <w:lang w:val="es-ES"/>
        </w:rPr>
        <w:t>Problema planteado:</w:t>
      </w:r>
    </w:p>
    <w:p w14:paraId="2E4B6F5C" w14:textId="77777777" w:rsidR="002F0AC3" w:rsidRPr="00A12CB6" w:rsidRDefault="002F0AC3" w:rsidP="002F0AC3">
      <w:pPr>
        <w:spacing w:after="0" w:line="276" w:lineRule="auto"/>
        <w:rPr>
          <w:rFonts w:ascii="Verdana" w:eastAsia="Calibri" w:hAnsi="Verdana" w:cs="Times New Roman"/>
        </w:rPr>
      </w:pPr>
    </w:p>
    <w:p w14:paraId="1EFBEF4B" w14:textId="77777777" w:rsidR="002F0AC3" w:rsidRPr="00EE45BC" w:rsidRDefault="002F0AC3" w:rsidP="002F0AC3">
      <w:pPr>
        <w:spacing w:after="0" w:line="276" w:lineRule="auto"/>
        <w:jc w:val="both"/>
        <w:rPr>
          <w:rFonts w:ascii="Verdana" w:eastAsia="Century Gothic" w:hAnsi="Verdana" w:cs="Century Gothic"/>
          <w:color w:val="000000" w:themeColor="text1"/>
        </w:rPr>
      </w:pPr>
      <w:r w:rsidRPr="134495F9">
        <w:rPr>
          <w:rFonts w:ascii="Verdana" w:eastAsia="Calibri" w:hAnsi="Verdana" w:cs="Times New Roman"/>
        </w:rPr>
        <w:t>De acuerdo con el contenido de sus solicitudes, esta Agencia procede a resolver</w:t>
      </w:r>
      <w:r>
        <w:rPr>
          <w:rFonts w:ascii="Verdana" w:eastAsia="Calibri" w:hAnsi="Verdana" w:cs="Times New Roman"/>
        </w:rPr>
        <w:t xml:space="preserve"> el siguiente problema jurídico</w:t>
      </w:r>
      <w:r w:rsidRPr="134495F9">
        <w:rPr>
          <w:rFonts w:ascii="Verdana" w:eastAsia="Calibri" w:hAnsi="Verdana" w:cs="Times New Roman"/>
        </w:rPr>
        <w:t>:</w:t>
      </w:r>
      <w:r>
        <w:rPr>
          <w:rFonts w:ascii="Verdana" w:eastAsia="Calibri" w:hAnsi="Verdana" w:cs="Times New Roman"/>
          <w:iCs/>
          <w:lang w:val="es-ES"/>
        </w:rPr>
        <w:t xml:space="preserve"> </w:t>
      </w:r>
      <w:r>
        <w:rPr>
          <w:rFonts w:ascii="Verdana" w:eastAsia="Century Gothic" w:hAnsi="Verdana" w:cs="Century Gothic"/>
          <w:color w:val="000000" w:themeColor="text1"/>
        </w:rPr>
        <w:t xml:space="preserve">¿Cuál es el alcance de las restricciones </w:t>
      </w:r>
      <w:r>
        <w:rPr>
          <w:rFonts w:ascii="Verdana" w:eastAsia="Times New Roman" w:hAnsi="Verdana" w:cs="Arial"/>
          <w:lang w:eastAsia="es-CO"/>
        </w:rPr>
        <w:t>establecidas en los artículos 33 y 38 de</w:t>
      </w:r>
      <w:r w:rsidRPr="00C55BDE">
        <w:rPr>
          <w:rFonts w:ascii="Verdana" w:eastAsia="Times New Roman" w:hAnsi="Verdana" w:cs="Arial"/>
          <w:lang w:eastAsia="es-CO"/>
        </w:rPr>
        <w:t xml:space="preserve"> la Ley de Garantías Electorales -</w:t>
      </w:r>
      <w:r w:rsidRPr="00C55BDE">
        <w:rPr>
          <w:rFonts w:ascii="Verdana" w:hAnsi="Verdana"/>
          <w:iCs/>
        </w:rPr>
        <w:t xml:space="preserve"> Ley 996 de 2005</w:t>
      </w:r>
      <w:r>
        <w:rPr>
          <w:rFonts w:ascii="Verdana" w:hAnsi="Verdana"/>
          <w:iCs/>
        </w:rPr>
        <w:t xml:space="preserve"> en materia de contratación pública</w:t>
      </w:r>
      <w:r w:rsidRPr="00C55BDE">
        <w:rPr>
          <w:rFonts w:ascii="Verdana" w:hAnsi="Verdana"/>
          <w:iCs/>
        </w:rPr>
        <w:t>?</w:t>
      </w:r>
    </w:p>
    <w:p w14:paraId="4217E60A" w14:textId="77777777" w:rsidR="002F0AC3" w:rsidRPr="008A0221" w:rsidRDefault="002F0AC3" w:rsidP="002F0AC3">
      <w:pPr>
        <w:spacing w:after="0" w:line="276" w:lineRule="auto"/>
        <w:jc w:val="both"/>
        <w:rPr>
          <w:rFonts w:ascii="Verdana" w:eastAsia="Calibri" w:hAnsi="Verdana" w:cs="Times New Roman"/>
          <w:iCs/>
        </w:rPr>
      </w:pPr>
    </w:p>
    <w:p w14:paraId="29E0E6A6" w14:textId="77777777" w:rsidR="002F0AC3" w:rsidRDefault="002F0AC3" w:rsidP="002F0AC3">
      <w:pPr>
        <w:numPr>
          <w:ilvl w:val="0"/>
          <w:numId w:val="2"/>
        </w:numPr>
        <w:spacing w:after="0" w:line="276" w:lineRule="auto"/>
        <w:contextualSpacing/>
        <w:rPr>
          <w:rFonts w:ascii="Verdana" w:eastAsia="Calibri" w:hAnsi="Verdana" w:cs="Times New Roman"/>
          <w:b/>
          <w:bCs/>
          <w:lang w:val="es-ES"/>
        </w:rPr>
      </w:pPr>
      <w:r w:rsidRPr="00A12CB6">
        <w:rPr>
          <w:rFonts w:ascii="Verdana" w:eastAsia="Calibri" w:hAnsi="Verdana" w:cs="Times New Roman"/>
          <w:b/>
          <w:bCs/>
          <w:lang w:val="es-ES"/>
        </w:rPr>
        <w:t>Respuesta:</w:t>
      </w:r>
    </w:p>
    <w:p w14:paraId="33FD400D" w14:textId="77777777" w:rsidR="002F0AC3" w:rsidRPr="00A12CB6" w:rsidRDefault="002F0AC3" w:rsidP="002F0AC3">
      <w:pPr>
        <w:spacing w:after="0" w:line="276" w:lineRule="auto"/>
        <w:rPr>
          <w:rFonts w:ascii="Verdana" w:eastAsia="Calibri" w:hAnsi="Verdana" w:cs="Times New Roman"/>
          <w:b/>
          <w:bCs/>
          <w:lang w:val="es-ES"/>
        </w:rPr>
      </w:pPr>
    </w:p>
    <w:tbl>
      <w:tblPr>
        <w:tblStyle w:val="Tablaconcuadrcula"/>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2F0AC3" w:rsidRPr="001205D1" w14:paraId="1DE06988" w14:textId="77777777" w:rsidTr="00046D79">
        <w:trPr>
          <w:trHeight w:val="618"/>
          <w:jc w:val="center"/>
        </w:trPr>
        <w:tc>
          <w:tcPr>
            <w:tcW w:w="8784" w:type="dxa"/>
            <w:tcBorders>
              <w:bottom w:val="single" w:sz="4" w:space="0" w:color="auto"/>
            </w:tcBorders>
          </w:tcPr>
          <w:p w14:paraId="158F1315" w14:textId="77777777" w:rsidR="002F0AC3" w:rsidRPr="00FF007A" w:rsidRDefault="002F0AC3" w:rsidP="00046D79">
            <w:pPr>
              <w:spacing w:after="120" w:line="276" w:lineRule="auto"/>
              <w:jc w:val="both"/>
              <w:rPr>
                <w:rFonts w:ascii="Verdana" w:eastAsia="Arial" w:hAnsi="Verdana" w:cs="Arial"/>
                <w:lang w:eastAsia="es-ES" w:bidi="es-ES"/>
              </w:rPr>
            </w:pPr>
            <w:r w:rsidRPr="00FF007A">
              <w:rPr>
                <w:rFonts w:ascii="Verdana" w:eastAsia="Arial" w:hAnsi="Verdana" w:cs="Arial"/>
                <w:lang w:eastAsia="es-ES" w:bidi="es-ES"/>
              </w:rPr>
              <w:t xml:space="preserve">Las restricciones consagradas en la Ley de Garantías se dirigen a dos (2) tipos de campañas electorales diferenciadas: </w:t>
            </w:r>
            <w:r>
              <w:rPr>
                <w:rFonts w:ascii="Verdana" w:eastAsia="Arial" w:hAnsi="Verdana" w:cs="Arial"/>
                <w:lang w:eastAsia="es-ES" w:bidi="es-ES"/>
              </w:rPr>
              <w:t xml:space="preserve">i) </w:t>
            </w:r>
            <w:r w:rsidRPr="00FF007A">
              <w:rPr>
                <w:rFonts w:ascii="Verdana" w:eastAsia="Arial" w:hAnsi="Verdana" w:cs="Arial"/>
                <w:lang w:eastAsia="es-ES" w:bidi="es-ES"/>
              </w:rPr>
              <w:t xml:space="preserve">las presidenciales y </w:t>
            </w:r>
            <w:proofErr w:type="spellStart"/>
            <w:r>
              <w:rPr>
                <w:rFonts w:ascii="Verdana" w:eastAsia="Arial" w:hAnsi="Verdana" w:cs="Arial"/>
                <w:lang w:eastAsia="es-ES" w:bidi="es-ES"/>
              </w:rPr>
              <w:t>ii</w:t>
            </w:r>
            <w:proofErr w:type="spellEnd"/>
            <w:r>
              <w:rPr>
                <w:rFonts w:ascii="Verdana" w:eastAsia="Arial" w:hAnsi="Verdana" w:cs="Arial"/>
                <w:lang w:eastAsia="es-ES" w:bidi="es-ES"/>
              </w:rPr>
              <w:t xml:space="preserve">) </w:t>
            </w:r>
            <w:r w:rsidRPr="00FF007A">
              <w:rPr>
                <w:rFonts w:ascii="Verdana" w:eastAsia="Arial" w:hAnsi="Verdana" w:cs="Arial"/>
                <w:lang w:eastAsia="es-ES" w:bidi="es-ES"/>
              </w:rPr>
              <w:t>las que se adelanten para la elección de los demás cargos de elección popular, tanto a nivel nacional como territorial.</w:t>
            </w:r>
          </w:p>
          <w:p w14:paraId="2CDBD6BC" w14:textId="77777777" w:rsidR="002F0AC3" w:rsidRPr="00FF007A" w:rsidRDefault="002F0AC3" w:rsidP="00046D79">
            <w:pPr>
              <w:spacing w:after="120" w:line="276" w:lineRule="auto"/>
              <w:ind w:firstLine="709"/>
              <w:jc w:val="both"/>
              <w:rPr>
                <w:rFonts w:ascii="Verdana" w:eastAsia="Calibri" w:hAnsi="Verdana" w:cs="Arial"/>
              </w:rPr>
            </w:pPr>
            <w:r>
              <w:rPr>
                <w:rFonts w:ascii="Verdana" w:eastAsia="Calibri" w:hAnsi="Verdana" w:cs="Arial"/>
              </w:rPr>
              <w:t xml:space="preserve">Para las primeras, es decir las presidenciales, </w:t>
            </w:r>
            <w:r w:rsidRPr="00FF007A">
              <w:rPr>
                <w:rFonts w:ascii="Verdana" w:eastAsia="Calibri" w:hAnsi="Verdana" w:cs="Arial"/>
              </w:rPr>
              <w:t xml:space="preserve">el </w:t>
            </w:r>
            <w:r w:rsidRPr="00FF007A">
              <w:rPr>
                <w:rFonts w:ascii="Verdana" w:eastAsia="Calibri" w:hAnsi="Verdana" w:cs="Arial"/>
                <w:i/>
                <w:iCs/>
              </w:rPr>
              <w:t xml:space="preserve">artículo 33 </w:t>
            </w:r>
            <w:r w:rsidRPr="00FF007A">
              <w:rPr>
                <w:rFonts w:ascii="Verdana" w:eastAsia="Calibri" w:hAnsi="Verdana" w:cs="Arial"/>
              </w:rPr>
              <w:t>de la Ley 996 de 2005 prohíbe “</w:t>
            </w:r>
            <w:r>
              <w:rPr>
                <w:rFonts w:ascii="Verdana" w:eastAsia="Calibri" w:hAnsi="Verdana" w:cs="Arial"/>
              </w:rPr>
              <w:t>(…)</w:t>
            </w:r>
            <w:r w:rsidRPr="00FF007A">
              <w:rPr>
                <w:rFonts w:ascii="Verdana" w:eastAsia="Calibri" w:hAnsi="Verdana" w:cs="Arial"/>
              </w:rPr>
              <w:t xml:space="preserve"> la contratación directa por parte de </w:t>
            </w:r>
            <w:r w:rsidRPr="00FF007A">
              <w:rPr>
                <w:rFonts w:ascii="Verdana" w:eastAsia="Calibri" w:hAnsi="Verdana" w:cs="Arial"/>
                <w:i/>
                <w:iCs/>
              </w:rPr>
              <w:t>todos los entes del Estado</w:t>
            </w:r>
            <w:r w:rsidRPr="00FF007A">
              <w:rPr>
                <w:rFonts w:ascii="Verdana" w:eastAsia="Calibri" w:hAnsi="Verdana" w:cs="Arial"/>
              </w:rPr>
              <w:t xml:space="preserve">” durante los cuatro (4) meses anteriores a las </w:t>
            </w:r>
            <w:r w:rsidRPr="00FF007A">
              <w:rPr>
                <w:rFonts w:ascii="Verdana" w:eastAsia="Calibri" w:hAnsi="Verdana" w:cs="Arial"/>
                <w:i/>
                <w:iCs/>
              </w:rPr>
              <w:t>elecciones presidenciales</w:t>
            </w:r>
            <w:r w:rsidRPr="00FF007A">
              <w:rPr>
                <w:rFonts w:ascii="Verdana" w:eastAsia="Calibri" w:hAnsi="Verdana" w:cs="Arial"/>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08C9B66D" w14:textId="77777777" w:rsidR="002F0AC3" w:rsidRPr="00667CD6" w:rsidRDefault="002F0AC3" w:rsidP="00046D79">
            <w:pPr>
              <w:spacing w:after="120" w:line="276" w:lineRule="auto"/>
              <w:ind w:firstLine="709"/>
              <w:jc w:val="both"/>
              <w:rPr>
                <w:rFonts w:ascii="Verdana" w:eastAsia="Times New Roman" w:hAnsi="Verdana" w:cs="Arial"/>
                <w:lang w:eastAsia="es-CO"/>
              </w:rPr>
            </w:pPr>
            <w:r w:rsidRPr="00FF007A">
              <w:rPr>
                <w:rFonts w:ascii="Verdana" w:eastAsia="Calibri" w:hAnsi="Verdana" w:cs="Arial"/>
              </w:rPr>
              <w:t>Por otro lado,</w:t>
            </w:r>
            <w:r>
              <w:rPr>
                <w:rFonts w:ascii="Verdana" w:eastAsia="Calibri" w:hAnsi="Verdana" w:cs="Arial"/>
              </w:rPr>
              <w:t xml:space="preserve"> para las segundas,</w:t>
            </w:r>
            <w:r w:rsidRPr="00FF007A">
              <w:rPr>
                <w:rFonts w:ascii="Verdana" w:eastAsia="Calibri" w:hAnsi="Verdana" w:cs="Arial"/>
              </w:rPr>
              <w:t xml:space="preserve"> </w:t>
            </w:r>
            <w:r w:rsidRPr="00FF007A">
              <w:rPr>
                <w:rFonts w:ascii="Verdana" w:eastAsia="Calibri" w:hAnsi="Verdana" w:cs="Arial"/>
                <w:i/>
                <w:iCs/>
              </w:rPr>
              <w:t xml:space="preserve">el parágrafo del artículo 38 </w:t>
            </w:r>
            <w:r w:rsidRPr="00FF007A">
              <w:rPr>
                <w:rFonts w:ascii="Verdana" w:eastAsia="Calibri" w:hAnsi="Verdana" w:cs="Arial"/>
              </w:rPr>
              <w:t xml:space="preserve">de la Ley 996 de 2005 prevé una restricción, aplicable respecto de </w:t>
            </w:r>
            <w:r w:rsidRPr="00FF007A">
              <w:rPr>
                <w:rFonts w:ascii="Verdana" w:eastAsia="Calibri" w:hAnsi="Verdana" w:cs="Arial"/>
                <w:i/>
                <w:iCs/>
              </w:rPr>
              <w:t>cualquier tipo de contienda electoral</w:t>
            </w:r>
            <w:r w:rsidRPr="00FF007A">
              <w:rPr>
                <w:rFonts w:ascii="Verdana" w:eastAsia="Calibri" w:hAnsi="Verdana" w:cs="Arial"/>
              </w:rPr>
              <w:t>, que prohíbe a los gobernadores, alcaldes municipales o distritales, secretarios, gerentes y directores de entidades descentralizadas del orden municipal, departamental o distrital “</w:t>
            </w:r>
            <w:r>
              <w:rPr>
                <w:rFonts w:ascii="Verdana" w:eastAsia="Calibri" w:hAnsi="Verdana" w:cs="Arial"/>
              </w:rPr>
              <w:t xml:space="preserve">(…) </w:t>
            </w:r>
            <w:r w:rsidRPr="00FF007A">
              <w:rPr>
                <w:rFonts w:ascii="Verdana" w:eastAsia="Calibri" w:hAnsi="Verdana" w:cs="Arial"/>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FF007A">
              <w:rPr>
                <w:rFonts w:ascii="Verdana" w:eastAsia="Arial" w:hAnsi="Verdana" w:cs="Arial"/>
                <w:lang w:eastAsia="es-ES" w:bidi="es-ES"/>
              </w:rPr>
              <w:t xml:space="preserve"> </w:t>
            </w:r>
            <w:r w:rsidRPr="00667CD6">
              <w:rPr>
                <w:rFonts w:ascii="Verdana" w:eastAsia="Times New Roman" w:hAnsi="Verdana" w:cs="Arial"/>
                <w:lang w:eastAsia="es-CO"/>
              </w:rPr>
              <w:t xml:space="preserve">En este sentido, si una o ambas partes de la relación contractual es una entidad de aquellas descritas en el parágrafo </w:t>
            </w:r>
            <w:r w:rsidRPr="00667CD6">
              <w:rPr>
                <w:rFonts w:ascii="Verdana" w:eastAsia="Times New Roman" w:hAnsi="Verdana" w:cs="Arial"/>
                <w:i/>
                <w:lang w:eastAsia="es-CO"/>
              </w:rPr>
              <w:t>ibidem</w:t>
            </w:r>
            <w:r w:rsidRPr="00667CD6">
              <w:rPr>
                <w:rFonts w:ascii="Verdana" w:eastAsia="Times New Roman" w:hAnsi="Verdana" w:cs="Arial"/>
                <w:lang w:eastAsia="es-CO"/>
              </w:rPr>
              <w:t xml:space="preserve">, no podrá celebrar tales </w:t>
            </w:r>
            <w:r w:rsidRPr="00667CD6">
              <w:rPr>
                <w:rFonts w:ascii="Verdana" w:eastAsia="Times New Roman" w:hAnsi="Verdana" w:cs="Arial"/>
                <w:i/>
                <w:iCs/>
                <w:lang w:eastAsia="es-CO"/>
              </w:rPr>
              <w:t>convenios</w:t>
            </w:r>
            <w:r w:rsidRPr="00667CD6">
              <w:rPr>
                <w:rFonts w:ascii="Verdana" w:eastAsia="Times New Roman" w:hAnsi="Verdana" w:cs="Arial"/>
                <w:lang w:eastAsia="es-CO"/>
              </w:rPr>
              <w:t xml:space="preserve"> durante la aplicación de la Ley de Garantías Electorales, toda vez que la citada disposición hace referencia a dicha tipología contractual sin que el legislador hubiere contemplado un efecto extensivo a otra tipología. </w:t>
            </w:r>
          </w:p>
          <w:p w14:paraId="3D683C0E" w14:textId="77777777" w:rsidR="002F0AC3" w:rsidRPr="00667CD6" w:rsidRDefault="002F0AC3" w:rsidP="00046D79">
            <w:pPr>
              <w:spacing w:after="120" w:line="276" w:lineRule="auto"/>
              <w:ind w:firstLine="708"/>
              <w:jc w:val="both"/>
              <w:rPr>
                <w:rFonts w:ascii="Verdana" w:eastAsia="Times New Roman" w:hAnsi="Verdana" w:cs="Arial"/>
                <w:lang w:eastAsia="es-CO"/>
              </w:rPr>
            </w:pPr>
            <w:r w:rsidRPr="31E4E861">
              <w:rPr>
                <w:rFonts w:ascii="Verdana" w:eastAsia="Times New Roman" w:hAnsi="Verdana" w:cs="Arial"/>
                <w:lang w:eastAsia="es-CO"/>
              </w:rPr>
              <w:t xml:space="preserve">Ahora bien, a la luz de lo expuesto por el Consejo de Estado en la sentencia expedida por la Sección Tercera de la Sala de lo Contencioso Administrativo del 17 de octubre de 2025,  los autos del 4 de octubre de 2024 y 6 de noviembre de 2025, en los cuales se declaró la nulidad parcial, se decretó la medida </w:t>
            </w:r>
            <w:r w:rsidRPr="31E4E861">
              <w:rPr>
                <w:rFonts w:ascii="Verdana" w:eastAsia="Arial" w:hAnsi="Verdana" w:cs="Arial"/>
                <w:lang w:eastAsia="es-ES" w:bidi="es-ES"/>
              </w:rPr>
              <w:t xml:space="preserve">de suspensión provisional parcial del </w:t>
            </w:r>
            <w:r w:rsidRPr="31E4E861">
              <w:rPr>
                <w:rFonts w:ascii="Verdana" w:hAnsi="Verdana" w:cs="Arial"/>
              </w:rPr>
              <w:t xml:space="preserve">numeral 16.2 de la </w:t>
            </w:r>
            <w:r w:rsidRPr="31E4E861">
              <w:rPr>
                <w:rFonts w:ascii="Verdana" w:hAnsi="Verdana" w:cs="Arial"/>
              </w:rPr>
              <w:lastRenderedPageBreak/>
              <w:t xml:space="preserve">Circular Externa Única de 2022 expedida por la Agencia Nacional de Contratación Pública -Colombia Compra Eficiente-, y </w:t>
            </w:r>
            <w:r w:rsidRPr="31E4E861">
              <w:rPr>
                <w:rFonts w:ascii="Verdana" w:eastAsia="Arial" w:hAnsi="Verdana" w:cs="Arial"/>
                <w:lang w:eastAsia="es-ES" w:bidi="es-ES"/>
              </w:rPr>
              <w:t>de los apartes cuestionados del inciso segundo y del inciso cuarto del numeral 16.2 de la Circular Externa Única, versión 3 del 27 de diciembre de 2023,</w:t>
            </w:r>
            <w:r w:rsidRPr="31E4E861">
              <w:rPr>
                <w:rFonts w:ascii="Verdana" w:eastAsia="Times New Roman" w:hAnsi="Verdana" w:cs="Arial"/>
                <w:lang w:eastAsia="es-CO"/>
              </w:rPr>
              <w:t xml:space="preserve"> no resultaría aplicable la prohibición del parágrafo del artículo 38 de la Ley de Garantías Electorales a los </w:t>
            </w:r>
            <w:r w:rsidRPr="31E4E861">
              <w:rPr>
                <w:rFonts w:ascii="Verdana" w:eastAsia="Times New Roman" w:hAnsi="Verdana" w:cs="Arial"/>
                <w:i/>
                <w:lang w:eastAsia="es-CO"/>
              </w:rPr>
              <w:t>contratos interadministrativos</w:t>
            </w:r>
            <w:r w:rsidRPr="31E4E861">
              <w:rPr>
                <w:rFonts w:ascii="Verdana" w:eastAsia="Times New Roman" w:hAnsi="Verdana" w:cs="Arial"/>
                <w:lang w:eastAsia="es-CO"/>
              </w:rPr>
              <w:t>.</w:t>
            </w:r>
          </w:p>
          <w:p w14:paraId="62D4B15C" w14:textId="24420074" w:rsidR="002F0AC3" w:rsidRPr="006866D1" w:rsidRDefault="006866D1" w:rsidP="00046D79">
            <w:pPr>
              <w:spacing w:after="120" w:line="276" w:lineRule="auto"/>
              <w:ind w:firstLine="708"/>
              <w:jc w:val="both"/>
              <w:rPr>
                <w:rFonts w:ascii="Verdana" w:eastAsia="Times New Roman" w:hAnsi="Verdana" w:cs="Arial"/>
                <w:lang w:eastAsia="es-CO"/>
              </w:rPr>
            </w:pPr>
            <w:r w:rsidRPr="006866D1">
              <w:rPr>
                <w:rFonts w:ascii="Verdana" w:hAnsi="Verdana"/>
              </w:rPr>
              <w:t>Así las cosas, conforme a la jurisprudencia del Consejo de Estado, los contratos interadministrativos celebrados entre entidades públicas pueden suscribirse durante el período preelectoral, con independencia de su objeto; sin embargo , dicha posibilidad no se extiende más allá del 31 de enero de 2026 , en tanto a partir de esa fecha resulta aplicable la restricción prevista en el artículo 33 para las modalidades de contratación directa , dentro de las cuales se encuentra comprendido el contrato interadministrativo, razón por la cual su celebración posterior a dicha fecha se encuentra legalmente prohibida.</w:t>
            </w:r>
          </w:p>
          <w:p w14:paraId="14A5132E" w14:textId="77777777" w:rsidR="002F0AC3" w:rsidRPr="00322677" w:rsidRDefault="002F0AC3" w:rsidP="00046D79">
            <w:pPr>
              <w:spacing w:after="120" w:line="276" w:lineRule="auto"/>
              <w:ind w:firstLine="708"/>
              <w:jc w:val="both"/>
              <w:rPr>
                <w:rFonts w:ascii="Verdana" w:eastAsia="Times New Roman" w:hAnsi="Verdana" w:cs="Arial"/>
                <w:lang w:eastAsia="es-CO"/>
              </w:rPr>
            </w:pPr>
            <w:r w:rsidRPr="605533EB">
              <w:rPr>
                <w:rFonts w:ascii="Verdana" w:eastAsia="Times New Roman" w:hAnsi="Verdana" w:cs="Arial"/>
                <w:lang w:eastAsia="es-CO"/>
              </w:rPr>
              <w:t xml:space="preserve">No obstante, lo anterior, es importante mencionar que aún se encuentra por definir la demanda </w:t>
            </w:r>
            <w:r w:rsidRPr="605533EB">
              <w:rPr>
                <w:rFonts w:ascii="Verdana" w:eastAsia="Calibri" w:hAnsi="Verdana" w:cs="Arial"/>
                <w:lang w:val="es-ES" w:eastAsia="es-ES"/>
              </w:rPr>
              <w:t xml:space="preserve">de nulidad simple, identificada con el Radicado número 11001-03-26-000-2025-00016-00, en la cual se cuestiona </w:t>
            </w:r>
            <w:r w:rsidRPr="605533EB">
              <w:rPr>
                <w:rFonts w:ascii="Verdana" w:eastAsia="Calibri" w:hAnsi="Verdana" w:cs="Arial"/>
                <w:lang w:eastAsia="es-ES"/>
              </w:rPr>
              <w:t>parcialmente el numeral 16.2 de la Circular Externa Única CCE-EICP-MA-06, Versión 03 del 27 de diciembre de 2023.</w:t>
            </w:r>
            <w:r w:rsidRPr="605533EB">
              <w:rPr>
                <w:rFonts w:ascii="Verdana" w:eastAsia="Calibri" w:hAnsi="Verdana" w:cs="Arial"/>
                <w:lang w:val="es-ES" w:eastAsia="es-ES"/>
              </w:rPr>
              <w:t xml:space="preserve"> </w:t>
            </w:r>
          </w:p>
          <w:p w14:paraId="1BDD8FC0" w14:textId="77777777" w:rsidR="002F0AC3" w:rsidRPr="00F62736" w:rsidRDefault="002F0AC3" w:rsidP="00046D79">
            <w:pPr>
              <w:spacing w:line="276" w:lineRule="auto"/>
              <w:ind w:firstLine="708"/>
              <w:jc w:val="both"/>
              <w:rPr>
                <w:rFonts w:ascii="Verdana" w:eastAsia="Calibri" w:hAnsi="Verdana" w:cs="Arial"/>
                <w:bCs/>
                <w:color w:val="000000" w:themeColor="text1"/>
              </w:rPr>
            </w:pPr>
            <w:r w:rsidRPr="008D191C">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tc>
      </w:tr>
    </w:tbl>
    <w:p w14:paraId="453D4366" w14:textId="77777777" w:rsidR="002F0AC3" w:rsidRDefault="002F0AC3" w:rsidP="002F0AC3">
      <w:pPr>
        <w:spacing w:after="0" w:line="276" w:lineRule="auto"/>
        <w:jc w:val="both"/>
        <w:rPr>
          <w:rFonts w:ascii="Verdana" w:eastAsia="Calibri" w:hAnsi="Verdana" w:cs="Arial"/>
          <w:bCs/>
          <w:color w:val="000000" w:themeColor="text1"/>
        </w:rPr>
      </w:pPr>
    </w:p>
    <w:p w14:paraId="5A4F7459" w14:textId="77777777" w:rsidR="002F0AC3" w:rsidRPr="0093558D" w:rsidRDefault="002F0AC3" w:rsidP="002F0AC3">
      <w:pPr>
        <w:numPr>
          <w:ilvl w:val="0"/>
          <w:numId w:val="2"/>
        </w:numPr>
        <w:tabs>
          <w:tab w:val="left" w:pos="2268"/>
        </w:tabs>
        <w:spacing w:after="0" w:line="276" w:lineRule="auto"/>
        <w:rPr>
          <w:rFonts w:ascii="Verdana" w:eastAsia="Calibri" w:hAnsi="Verdana" w:cs="Times New Roman"/>
          <w:b/>
          <w:bCs/>
          <w:lang w:val="es-ES"/>
        </w:rPr>
      </w:pPr>
      <w:r w:rsidRPr="134495F9">
        <w:rPr>
          <w:rFonts w:ascii="Verdana" w:eastAsia="Calibri" w:hAnsi="Verdana" w:cs="Times New Roman"/>
          <w:b/>
          <w:bCs/>
          <w:lang w:val="es-ES"/>
        </w:rPr>
        <w:t>Razones de la respuesta:</w:t>
      </w:r>
    </w:p>
    <w:p w14:paraId="352F616F" w14:textId="77777777" w:rsidR="002F0AC3" w:rsidRPr="00A12CB6" w:rsidRDefault="002F0AC3" w:rsidP="002F0AC3">
      <w:pPr>
        <w:spacing w:after="0" w:line="276" w:lineRule="auto"/>
        <w:rPr>
          <w:rFonts w:ascii="Verdana" w:eastAsia="Calibri" w:hAnsi="Verdana" w:cs="Times New Roman"/>
          <w:b/>
          <w:bCs/>
          <w:lang w:val="es-ES"/>
        </w:rPr>
      </w:pPr>
    </w:p>
    <w:p w14:paraId="75B9B6C3" w14:textId="77777777" w:rsidR="002F0AC3" w:rsidRPr="00A12CB6" w:rsidRDefault="002F0AC3" w:rsidP="002F0AC3">
      <w:pPr>
        <w:spacing w:after="0" w:line="276" w:lineRule="auto"/>
        <w:jc w:val="both"/>
        <w:rPr>
          <w:rFonts w:ascii="Verdana" w:eastAsia="Calibri" w:hAnsi="Verdana" w:cs="Arial"/>
          <w:lang w:val="es-ES"/>
        </w:rPr>
      </w:pPr>
      <w:r w:rsidRPr="00A12CB6">
        <w:rPr>
          <w:rFonts w:ascii="Verdana" w:eastAsia="Calibri" w:hAnsi="Verdana" w:cs="Arial"/>
          <w:lang w:val="es-ES"/>
        </w:rPr>
        <w:t xml:space="preserve">Lo anterior se sustenta en las siguientes consideraciones: </w:t>
      </w:r>
    </w:p>
    <w:p w14:paraId="70A55611" w14:textId="77777777" w:rsidR="002F0AC3" w:rsidRPr="00E2397D" w:rsidRDefault="002F0AC3" w:rsidP="002F0AC3">
      <w:pPr>
        <w:spacing w:after="0" w:line="276" w:lineRule="auto"/>
        <w:jc w:val="both"/>
        <w:rPr>
          <w:rFonts w:ascii="Verdana" w:eastAsia="Calibri" w:hAnsi="Verdana" w:cs="Arial"/>
          <w:color w:val="000000" w:themeColor="text1"/>
        </w:rPr>
      </w:pPr>
    </w:p>
    <w:p w14:paraId="11E3B481" w14:textId="77777777" w:rsidR="002F0AC3" w:rsidRPr="002D6B43" w:rsidRDefault="002F0AC3" w:rsidP="002F0AC3">
      <w:pPr>
        <w:tabs>
          <w:tab w:val="left" w:pos="426"/>
        </w:tabs>
        <w:spacing w:after="120" w:line="276" w:lineRule="auto"/>
        <w:jc w:val="both"/>
        <w:rPr>
          <w:rFonts w:ascii="Verdana" w:eastAsia="Times New Roman" w:hAnsi="Verdana" w:cs="Arial"/>
          <w:lang w:eastAsia="es-CO"/>
        </w:rPr>
      </w:pPr>
      <w:r w:rsidRPr="002D6B43">
        <w:rPr>
          <w:rFonts w:ascii="Verdana" w:eastAsia="Calibri" w:hAnsi="Verdana" w:cs="Arial"/>
        </w:rPr>
        <w:lastRenderedPageBreak/>
        <w:t>El ordenamiento jurídico colombiano contempla previsiones claras para evitar la obtención de beneficios personales en asuntos propios de la administración pública</w:t>
      </w:r>
      <w:r w:rsidRPr="002D6B43">
        <w:rPr>
          <w:rFonts w:ascii="Verdana" w:eastAsia="Calibri" w:hAnsi="Verdana" w:cs="Arial"/>
          <w:i/>
        </w:rPr>
        <w:t xml:space="preserve">. </w:t>
      </w:r>
      <w:r w:rsidRPr="002D6B43">
        <w:rPr>
          <w:rFonts w:ascii="Verdana" w:eastAsia="Calibri" w:hAnsi="Verdana" w:cs="Arial"/>
        </w:rPr>
        <w:t>Por ejemplo, el artículo 127 de la Constitución Política establece una prohibición contractual a los servidores públicos y, en cuanto a aspectos políticos, establece restricciones a ciertos empleados del Estado, incluso en época no electoral</w:t>
      </w:r>
      <w:r w:rsidRPr="001924B7">
        <w:rPr>
          <w:rFonts w:ascii="Verdana" w:hAnsi="Verdana"/>
          <w:vertAlign w:val="superscript"/>
        </w:rPr>
        <w:footnoteReference w:id="1"/>
      </w:r>
      <w:r w:rsidRPr="002D6B43">
        <w:rPr>
          <w:rFonts w:ascii="Verdana" w:eastAsia="Calibri" w:hAnsi="Verdana" w:cs="Arial"/>
        </w:rPr>
        <w:t xml:space="preserve">. </w:t>
      </w:r>
    </w:p>
    <w:p w14:paraId="679062BF" w14:textId="77777777" w:rsidR="002F0AC3" w:rsidRPr="006B14B5" w:rsidRDefault="002F0AC3" w:rsidP="002F0AC3">
      <w:pPr>
        <w:tabs>
          <w:tab w:val="left" w:pos="426"/>
        </w:tabs>
        <w:spacing w:after="0" w:line="276" w:lineRule="auto"/>
        <w:ind w:firstLine="425"/>
        <w:jc w:val="both"/>
        <w:rPr>
          <w:rFonts w:ascii="Verdana" w:eastAsia="Calibri" w:hAnsi="Verdana" w:cs="Arial"/>
          <w:lang w:val="es-ES_tradnl"/>
        </w:rPr>
      </w:pPr>
      <w:r>
        <w:rPr>
          <w:rFonts w:ascii="Verdana" w:eastAsia="Times New Roman" w:hAnsi="Verdana" w:cs="Arial"/>
          <w:lang w:eastAsia="es-CO"/>
        </w:rPr>
        <w:tab/>
      </w:r>
      <w:r>
        <w:rPr>
          <w:rFonts w:ascii="Verdana" w:eastAsia="Times New Roman" w:hAnsi="Verdana" w:cs="Arial"/>
          <w:lang w:eastAsia="es-CO"/>
        </w:rPr>
        <w:tab/>
      </w:r>
      <w:r w:rsidRPr="00E2397D">
        <w:rPr>
          <w:rFonts w:ascii="Verdana" w:eastAsia="Times New Roman" w:hAnsi="Verdana" w:cs="Arial"/>
          <w:lang w:eastAsia="es-CO"/>
        </w:rPr>
        <w:t>En el mismo sentido</w:t>
      </w:r>
      <w:r w:rsidRPr="00E2397D">
        <w:rPr>
          <w:rFonts w:ascii="Verdana" w:eastAsia="Times New Roman" w:hAnsi="Verdana" w:cs="Arial"/>
          <w:lang w:val="es-MX" w:eastAsia="es-CO"/>
        </w:rPr>
        <w:t xml:space="preserve">, </w:t>
      </w:r>
      <w:bookmarkStart w:id="1" w:name="_Hlk99576829"/>
      <w:r w:rsidRPr="00E2397D">
        <w:rPr>
          <w:rFonts w:ascii="Verdana" w:eastAsia="Times New Roman" w:hAnsi="Verdana" w:cs="Arial"/>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E2397D">
        <w:rPr>
          <w:rFonts w:ascii="Verdana" w:eastAsia="Times New Roman" w:hAnsi="Verdana" w:cs="Arial"/>
          <w:vertAlign w:val="superscript"/>
          <w:lang w:val="es-MX" w:eastAsia="es-CO"/>
        </w:rPr>
        <w:footnoteReference w:id="2"/>
      </w:r>
      <w:r w:rsidRPr="00E2397D">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E2397D">
        <w:rPr>
          <w:rFonts w:ascii="Verdana" w:eastAsia="Calibri" w:hAnsi="Verdana" w:cs="Arial"/>
          <w:lang w:val="es-ES_tradnl"/>
        </w:rPr>
        <w:t xml:space="preserve"> </w:t>
      </w:r>
      <w:bookmarkEnd w:id="1"/>
      <w:r w:rsidRPr="00E2397D">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292927D5" w14:textId="77777777" w:rsidR="002F0AC3" w:rsidRPr="00E2397D" w:rsidRDefault="002F0AC3" w:rsidP="002F0AC3">
      <w:pPr>
        <w:spacing w:after="0" w:line="276" w:lineRule="auto"/>
        <w:ind w:right="709" w:firstLine="425"/>
        <w:contextualSpacing/>
        <w:jc w:val="both"/>
        <w:rPr>
          <w:rFonts w:ascii="Verdana" w:eastAsia="Times New Roman" w:hAnsi="Verdana" w:cs="Arial"/>
          <w:lang w:val="es-ES" w:eastAsia="es-CO"/>
        </w:rPr>
      </w:pPr>
    </w:p>
    <w:p w14:paraId="2AE9E62E" w14:textId="77777777" w:rsidR="002F0AC3" w:rsidRPr="00E2397D" w:rsidRDefault="002F0AC3" w:rsidP="002F0AC3">
      <w:pPr>
        <w:spacing w:after="12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ES" w:eastAsia="es-CO"/>
        </w:rPr>
        <w:t xml:space="preserve">“[…] </w:t>
      </w:r>
      <w:r w:rsidRPr="00E2397D">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6A303758" w14:textId="77777777" w:rsidR="002F0AC3" w:rsidRDefault="002F0AC3" w:rsidP="002F0AC3">
      <w:pPr>
        <w:spacing w:after="120" w:line="240" w:lineRule="auto"/>
        <w:ind w:right="709" w:firstLine="708"/>
        <w:contextualSpacing/>
        <w:jc w:val="both"/>
        <w:rPr>
          <w:rFonts w:ascii="Verdana" w:eastAsia="Times New Roman" w:hAnsi="Verdana" w:cs="Arial"/>
          <w:sz w:val="20"/>
          <w:szCs w:val="20"/>
          <w:lang w:val="es-MX" w:eastAsia="es-CO"/>
        </w:rPr>
      </w:pPr>
    </w:p>
    <w:p w14:paraId="56C8137E" w14:textId="77777777" w:rsidR="002F0AC3" w:rsidRDefault="002F0AC3" w:rsidP="002F0AC3">
      <w:pPr>
        <w:spacing w:after="120" w:line="240" w:lineRule="auto"/>
        <w:ind w:right="709" w:firstLine="708"/>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 xml:space="preserve">[…] </w:t>
      </w:r>
    </w:p>
    <w:p w14:paraId="54A0B186" w14:textId="77777777" w:rsidR="002F0AC3" w:rsidRDefault="002F0AC3" w:rsidP="002F0AC3">
      <w:pPr>
        <w:spacing w:after="120" w:line="240" w:lineRule="auto"/>
        <w:ind w:right="709" w:firstLine="708"/>
        <w:contextualSpacing/>
        <w:jc w:val="both"/>
        <w:rPr>
          <w:rFonts w:ascii="Verdana" w:eastAsia="Times New Roman" w:hAnsi="Verdana" w:cs="Arial"/>
          <w:sz w:val="20"/>
          <w:szCs w:val="20"/>
          <w:lang w:val="es-MX" w:eastAsia="es-CO"/>
        </w:rPr>
      </w:pPr>
    </w:p>
    <w:p w14:paraId="33C738F9" w14:textId="77777777" w:rsidR="002F0AC3" w:rsidRPr="00E2397D" w:rsidRDefault="002F0AC3" w:rsidP="002F0AC3">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 xml:space="preserve">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w:t>
      </w:r>
      <w:r w:rsidRPr="00E2397D">
        <w:rPr>
          <w:rFonts w:ascii="Verdana" w:eastAsia="Times New Roman" w:hAnsi="Verdana" w:cs="Arial"/>
          <w:sz w:val="20"/>
          <w:szCs w:val="20"/>
          <w:lang w:val="es-MX" w:eastAsia="es-CO"/>
        </w:rPr>
        <w:lastRenderedPageBreak/>
        <w:t>una ley de garantías debe permitir que, en el debate democrático, sean las ideas y las propuestas las que definan el ascenso al poder, y no el músculo económico de los que se lo disputan”.</w:t>
      </w:r>
      <w:r w:rsidRPr="00E2397D">
        <w:rPr>
          <w:rFonts w:ascii="Verdana" w:eastAsia="Calibri" w:hAnsi="Verdana" w:cs="Arial"/>
          <w:sz w:val="20"/>
          <w:szCs w:val="20"/>
          <w:vertAlign w:val="superscript"/>
          <w:lang w:val="es-MX"/>
        </w:rPr>
        <w:footnoteReference w:id="3"/>
      </w:r>
    </w:p>
    <w:p w14:paraId="7CE17362" w14:textId="77777777" w:rsidR="002F0AC3" w:rsidRPr="00E2397D" w:rsidRDefault="002F0AC3" w:rsidP="002F0AC3">
      <w:pPr>
        <w:spacing w:after="0" w:line="276" w:lineRule="auto"/>
        <w:ind w:firstLine="425"/>
        <w:jc w:val="both"/>
        <w:rPr>
          <w:rFonts w:ascii="Verdana" w:eastAsia="Times New Roman" w:hAnsi="Verdana" w:cs="Arial"/>
          <w:lang w:val="es-MX" w:eastAsia="es-CO"/>
        </w:rPr>
      </w:pPr>
      <w:bookmarkStart w:id="2" w:name="_Hlk78818186"/>
    </w:p>
    <w:p w14:paraId="70146904" w14:textId="77777777" w:rsidR="002F0AC3" w:rsidRDefault="002F0AC3" w:rsidP="002F0AC3">
      <w:pPr>
        <w:spacing w:after="120" w:line="276" w:lineRule="auto"/>
        <w:ind w:firstLine="708"/>
        <w:jc w:val="both"/>
        <w:rPr>
          <w:rFonts w:ascii="Verdana" w:eastAsia="Times New Roman" w:hAnsi="Verdana" w:cs="Arial"/>
          <w:lang w:val="es-MX" w:eastAsia="es-CO"/>
        </w:rPr>
      </w:pPr>
      <w:r w:rsidRPr="00E2397D">
        <w:rPr>
          <w:rFonts w:ascii="Verdana" w:eastAsia="Times New Roman" w:hAnsi="Verdana" w:cs="Arial"/>
          <w:lang w:val="es-MX" w:eastAsia="es-CO"/>
        </w:rPr>
        <w:t>En este contexto, la Ley de Garantías Electorales establece el marco jurídico para el desarrollo de las elecciones, procurando condiciones de igualdad y transparencia para los aspirantes. Paralelamente,</w:t>
      </w:r>
      <w:r>
        <w:rPr>
          <w:rFonts w:ascii="Verdana" w:eastAsia="Times New Roman" w:hAnsi="Verdana" w:cs="Arial"/>
          <w:lang w:val="es-MX" w:eastAsia="es-CO"/>
        </w:rPr>
        <w:t xml:space="preserve"> se incluyen restricciones en las actuaciones</w:t>
      </w:r>
      <w:r w:rsidRPr="00E2397D">
        <w:rPr>
          <w:rFonts w:ascii="Verdana" w:eastAsia="Times New Roman" w:hAnsi="Verdana" w:cs="Arial"/>
          <w:lang w:val="es-MX" w:eastAsia="es-CO"/>
        </w:rPr>
        <w:t xml:space="preserve"> de los servidores públicos, evitando interferencias en la contienda electoral, así como la posible desviación de recursos públicos en aspiraciones electorales. </w:t>
      </w:r>
      <w:bookmarkEnd w:id="2"/>
      <w:r w:rsidRPr="00E2397D">
        <w:rPr>
          <w:rFonts w:ascii="Verdana" w:eastAsia="Times New Roman" w:hAnsi="Verdana" w:cs="Arial"/>
          <w:lang w:val="es-MX" w:eastAsia="es-CO"/>
        </w:rPr>
        <w:t>Por ello, varias de las disposiciones de la Ley 996 de 2005, al contener normas prohibitivas, no admiten una interpretación amplia, sino que deben interpretarse restrictivamente. En efecto, la Sala de Consulta y Servicio Civil del Consejo de Estado, pre</w:t>
      </w:r>
      <w:r>
        <w:rPr>
          <w:rFonts w:ascii="Verdana" w:eastAsia="Times New Roman" w:hAnsi="Verdana" w:cs="Arial"/>
          <w:lang w:val="es-MX" w:eastAsia="es-CO"/>
        </w:rPr>
        <w:t>cisó</w:t>
      </w:r>
      <w:r w:rsidRPr="00E2397D">
        <w:rPr>
          <w:rFonts w:ascii="Verdana" w:eastAsia="Times New Roman" w:hAnsi="Verdana" w:cs="Arial"/>
          <w:lang w:val="es-MX" w:eastAsia="es-CO"/>
        </w:rPr>
        <w:t>:</w:t>
      </w:r>
    </w:p>
    <w:p w14:paraId="5A0DA661" w14:textId="77777777" w:rsidR="002F0AC3" w:rsidRPr="00E2397D" w:rsidRDefault="002F0AC3" w:rsidP="002F0AC3">
      <w:pPr>
        <w:spacing w:after="12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E2397D">
        <w:rPr>
          <w:rFonts w:ascii="Verdana" w:eastAsia="Times New Roman" w:hAnsi="Verdana" w:cs="Arial"/>
          <w:sz w:val="20"/>
          <w:szCs w:val="20"/>
          <w:lang w:val="es-MX" w:eastAsia="es-CO"/>
        </w:rPr>
        <w:t>legis</w:t>
      </w:r>
      <w:proofErr w:type="spellEnd"/>
      <w:r w:rsidRPr="00E2397D">
        <w:rPr>
          <w:rFonts w:ascii="Verdana" w:eastAsia="Times New Roman" w:hAnsi="Verdana" w:cs="Arial"/>
          <w:sz w:val="20"/>
          <w:szCs w:val="20"/>
          <w:lang w:val="es-MX"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58B4AEAE" w14:textId="77777777" w:rsidR="002F0AC3" w:rsidRPr="00E2397D" w:rsidRDefault="002F0AC3" w:rsidP="002F0AC3">
      <w:pPr>
        <w:spacing w:after="0" w:line="240" w:lineRule="auto"/>
        <w:ind w:right="709"/>
        <w:contextualSpacing/>
        <w:jc w:val="both"/>
        <w:rPr>
          <w:rFonts w:ascii="Verdana" w:eastAsia="Times New Roman" w:hAnsi="Verdana" w:cs="Arial"/>
          <w:lang w:val="es-MX" w:eastAsia="es-CO"/>
        </w:rPr>
      </w:pPr>
    </w:p>
    <w:p w14:paraId="269E2214" w14:textId="77777777" w:rsidR="002F0AC3" w:rsidRDefault="002F0AC3" w:rsidP="002F0AC3">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La jurisprudencia de la Corte Constitucional</w:t>
      </w:r>
      <w:r w:rsidRPr="00E2397D">
        <w:rPr>
          <w:rFonts w:ascii="Verdana" w:eastAsia="Times New Roman" w:hAnsi="Verdana" w:cs="Arial"/>
          <w:sz w:val="20"/>
          <w:szCs w:val="20"/>
          <w:vertAlign w:val="superscript"/>
          <w:lang w:val="es-MX" w:eastAsia="es-CO"/>
        </w:rPr>
        <w:footnoteReference w:id="4"/>
      </w:r>
      <w:r w:rsidRPr="00E2397D">
        <w:rPr>
          <w:rFonts w:ascii="Verdana" w:eastAsia="Times New Roman" w:hAnsi="Verdana" w:cs="Arial"/>
          <w:sz w:val="20"/>
          <w:szCs w:val="20"/>
          <w:lang w:val="es-MX" w:eastAsia="es-CO"/>
        </w:rPr>
        <w:t> y del Consejo de Estado</w:t>
      </w:r>
      <w:r w:rsidRPr="00E2397D">
        <w:rPr>
          <w:rFonts w:ascii="Verdana" w:eastAsia="Times New Roman" w:hAnsi="Verdana" w:cs="Arial"/>
          <w:sz w:val="20"/>
          <w:szCs w:val="20"/>
          <w:vertAlign w:val="superscript"/>
          <w:lang w:val="es-MX" w:eastAsia="es-CO"/>
        </w:rPr>
        <w:footnoteReference w:id="5"/>
      </w:r>
      <w:r w:rsidRPr="00E2397D">
        <w:rPr>
          <w:rFonts w:ascii="Verdana" w:eastAsia="Times New Roman" w:hAnsi="Verdana" w:cs="Arial"/>
          <w:sz w:val="20"/>
          <w:szCs w:val="20"/>
          <w:lang w:val="es-MX" w:eastAsia="es-CO"/>
        </w:rPr>
        <w:t xml:space="preserve">,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w:t>
      </w:r>
      <w:r w:rsidRPr="00E2397D">
        <w:rPr>
          <w:rFonts w:ascii="Verdana" w:eastAsia="Times New Roman" w:hAnsi="Verdana" w:cs="Arial"/>
          <w:sz w:val="20"/>
          <w:szCs w:val="20"/>
          <w:lang w:val="es-MX" w:eastAsia="es-CO"/>
        </w:rPr>
        <w:lastRenderedPageBreak/>
        <w:t>o capacidad de obrar, sobrepasar sus precisos términos comporta el desconocimiento de la voluntad del legislador”</w:t>
      </w:r>
      <w:r w:rsidRPr="00E2397D">
        <w:rPr>
          <w:rFonts w:ascii="Verdana" w:eastAsia="Times New Roman" w:hAnsi="Verdana" w:cs="Arial"/>
          <w:sz w:val="20"/>
          <w:szCs w:val="20"/>
          <w:vertAlign w:val="superscript"/>
          <w:lang w:val="es-MX" w:eastAsia="es-CO"/>
        </w:rPr>
        <w:footnoteReference w:id="6"/>
      </w:r>
      <w:r w:rsidRPr="00E2397D">
        <w:rPr>
          <w:rFonts w:ascii="Verdana" w:eastAsia="Times New Roman" w:hAnsi="Verdana" w:cs="Arial"/>
          <w:sz w:val="20"/>
          <w:szCs w:val="20"/>
          <w:lang w:val="es-MX" w:eastAsia="es-CO"/>
        </w:rPr>
        <w:t>.</w:t>
      </w:r>
    </w:p>
    <w:p w14:paraId="1B8E1D14" w14:textId="77777777" w:rsidR="002F0AC3" w:rsidRPr="00322677" w:rsidRDefault="002F0AC3" w:rsidP="002F0AC3">
      <w:pPr>
        <w:spacing w:after="0" w:line="276" w:lineRule="auto"/>
        <w:ind w:left="709" w:right="709"/>
        <w:contextualSpacing/>
        <w:jc w:val="both"/>
        <w:rPr>
          <w:rFonts w:ascii="Verdana" w:eastAsia="Times New Roman" w:hAnsi="Verdana" w:cs="Arial"/>
          <w:lang w:val="es-MX" w:eastAsia="es-CO"/>
        </w:rPr>
      </w:pPr>
    </w:p>
    <w:p w14:paraId="35FE4A81" w14:textId="77777777" w:rsidR="002F0AC3" w:rsidRDefault="002F0AC3" w:rsidP="002F0AC3">
      <w:pPr>
        <w:spacing w:after="120" w:line="276" w:lineRule="auto"/>
        <w:ind w:firstLine="709"/>
        <w:jc w:val="both"/>
        <w:rPr>
          <w:rFonts w:ascii="Verdana" w:eastAsia="Arial" w:hAnsi="Verdana" w:cs="Arial"/>
          <w:lang w:val="es-ES" w:eastAsia="es-ES" w:bidi="es-ES"/>
        </w:rPr>
      </w:pPr>
      <w:r w:rsidRPr="00E2397D">
        <w:rPr>
          <w:rFonts w:ascii="Verdana" w:eastAsia="Times New Roman" w:hAnsi="Verdana" w:cs="Arial"/>
          <w:lang w:val="es-MX" w:eastAsia="es-CO"/>
        </w:rPr>
        <w:t>De</w:t>
      </w:r>
      <w:r w:rsidRPr="00E2397D">
        <w:rPr>
          <w:rFonts w:ascii="Verdana" w:eastAsia="Arial" w:hAnsi="Verdana" w:cs="Arial"/>
          <w:lang w:val="es-ES" w:eastAsia="es-ES" w:bidi="es-ES"/>
        </w:rPr>
        <w:t xml:space="preserve"> conformidad con lo anterior, </w:t>
      </w:r>
      <w:bookmarkStart w:id="3" w:name="_Hlk77236098"/>
      <w:bookmarkStart w:id="4" w:name="_Hlk100679383"/>
      <w:r w:rsidRPr="00E2397D">
        <w:rPr>
          <w:rFonts w:ascii="Verdana" w:eastAsia="Arial" w:hAnsi="Verdana" w:cs="Arial"/>
          <w:lang w:val="es-ES" w:eastAsia="es-ES" w:bidi="es-ES"/>
        </w:rPr>
        <w:t>la L</w:t>
      </w:r>
      <w:r>
        <w:rPr>
          <w:rFonts w:ascii="Verdana" w:eastAsia="Arial" w:hAnsi="Verdana" w:cs="Arial"/>
          <w:lang w:val="es-ES" w:eastAsia="es-ES" w:bidi="es-ES"/>
        </w:rPr>
        <w:t>ey de Garantías Electorales estableció</w:t>
      </w:r>
      <w:r w:rsidRPr="00E2397D">
        <w:rPr>
          <w:rFonts w:ascii="Verdana" w:eastAsia="Arial" w:hAnsi="Verdana" w:cs="Arial"/>
          <w:lang w:val="es-ES" w:eastAsia="es-ES" w:bidi="es-ES"/>
        </w:rPr>
        <w:t xml:space="preserve">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777D0037" w14:textId="77777777" w:rsidR="002F0AC3" w:rsidRPr="00E2397D" w:rsidRDefault="002F0AC3" w:rsidP="002F0AC3">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Precisado el propósito de la Ley, es pertinente señalar que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3"/>
    </w:p>
    <w:p w14:paraId="117E3784" w14:textId="77777777" w:rsidR="002F0AC3" w:rsidRPr="00E2397D" w:rsidRDefault="002F0AC3" w:rsidP="002F0AC3">
      <w:pPr>
        <w:spacing w:after="120" w:line="276" w:lineRule="auto"/>
        <w:ind w:firstLine="709"/>
        <w:jc w:val="both"/>
        <w:rPr>
          <w:rFonts w:ascii="Verdana" w:eastAsia="Calibri" w:hAnsi="Verdana" w:cs="Arial"/>
        </w:rPr>
      </w:pPr>
      <w:r w:rsidRPr="00E2397D">
        <w:rPr>
          <w:rFonts w:ascii="Verdana" w:eastAsia="Calibri" w:hAnsi="Verdana" w:cs="Arial"/>
        </w:rPr>
        <w:t xml:space="preserve">Por un lado, el </w:t>
      </w:r>
      <w:r w:rsidRPr="00E2397D">
        <w:rPr>
          <w:rFonts w:ascii="Verdana" w:eastAsia="Calibri" w:hAnsi="Verdana" w:cs="Arial"/>
          <w:i/>
          <w:iCs/>
        </w:rPr>
        <w:t>artículo 33 de la Ley 996 de 2005</w:t>
      </w:r>
      <w:r w:rsidRPr="00E2397D">
        <w:rPr>
          <w:rFonts w:ascii="Verdana" w:eastAsia="Calibri" w:hAnsi="Verdana" w:cs="Arial"/>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E2397D">
        <w:rPr>
          <w:rFonts w:ascii="Verdana" w:eastAsia="Calibri" w:hAnsi="Verdana" w:cs="Arial"/>
          <w:vertAlign w:val="superscript"/>
        </w:rPr>
        <w:footnoteReference w:id="7"/>
      </w:r>
      <w:r w:rsidRPr="00E2397D">
        <w:rPr>
          <w:rFonts w:ascii="Verdana" w:eastAsia="Calibri" w:hAnsi="Verdana" w:cs="Arial"/>
        </w:rPr>
        <w:t>.</w:t>
      </w:r>
    </w:p>
    <w:p w14:paraId="32248E68" w14:textId="77777777" w:rsidR="002F0AC3" w:rsidRDefault="002F0AC3" w:rsidP="002F0AC3">
      <w:pPr>
        <w:widowControl w:val="0"/>
        <w:autoSpaceDE w:val="0"/>
        <w:autoSpaceDN w:val="0"/>
        <w:spacing w:after="120" w:line="276" w:lineRule="auto"/>
        <w:ind w:firstLine="709"/>
        <w:jc w:val="both"/>
        <w:rPr>
          <w:rFonts w:ascii="Verdana" w:eastAsia="Arial" w:hAnsi="Verdana" w:cs="Arial"/>
          <w:lang w:val="es-ES" w:eastAsia="es-ES" w:bidi="es-ES"/>
        </w:rPr>
      </w:pPr>
      <w:r w:rsidRPr="00E2397D">
        <w:rPr>
          <w:rFonts w:ascii="Verdana" w:eastAsia="Calibri" w:hAnsi="Verdana" w:cs="Arial"/>
        </w:rPr>
        <w:t xml:space="preserve">Por otro lado, </w:t>
      </w:r>
      <w:r w:rsidRPr="00E2397D">
        <w:rPr>
          <w:rFonts w:ascii="Verdana" w:eastAsia="Calibri" w:hAnsi="Verdana" w:cs="Arial"/>
          <w:i/>
          <w:iCs/>
        </w:rPr>
        <w:t>el parágrafo del artículo 38 de la Ley 996 de 2005</w:t>
      </w:r>
      <w:r w:rsidRPr="00E2397D">
        <w:rPr>
          <w:rFonts w:ascii="Verdana" w:eastAsia="Calibri" w:hAnsi="Verdana" w:cs="Arial"/>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E2397D">
        <w:rPr>
          <w:rFonts w:ascii="Verdana" w:eastAsia="Calibri" w:hAnsi="Verdana" w:cs="Arial"/>
          <w:lang w:val="es-MX"/>
        </w:rPr>
        <w:t xml:space="preserve">celebrar convenios interadministrativos para la </w:t>
      </w:r>
      <w:r w:rsidRPr="00E2397D">
        <w:rPr>
          <w:rFonts w:ascii="Verdana" w:eastAsia="Calibri" w:hAnsi="Verdana" w:cs="Arial"/>
          <w:lang w:val="es-MX"/>
        </w:rPr>
        <w:lastRenderedPageBreak/>
        <w:t>ejecución de recursos públicos, ni participar, promover y destinar recursos públicos de las entidades a su cargo, como tampoco de las que participen como miembros de sus juntas directivas, en o para reuniones de carácter proselitista</w:t>
      </w:r>
      <w:r w:rsidRPr="00E2397D">
        <w:rPr>
          <w:rFonts w:ascii="Verdana" w:eastAsia="Calibri" w:hAnsi="Verdana" w:cs="Arial"/>
        </w:rPr>
        <w:t>”</w:t>
      </w:r>
      <w:bookmarkEnd w:id="4"/>
      <w:r w:rsidRPr="00E2397D">
        <w:rPr>
          <w:rFonts w:ascii="Verdana" w:eastAsia="Calibri" w:hAnsi="Verdana" w:cs="Arial"/>
          <w:vertAlign w:val="superscript"/>
        </w:rPr>
        <w:footnoteReference w:id="8"/>
      </w:r>
      <w:r w:rsidRPr="00E2397D">
        <w:rPr>
          <w:rFonts w:ascii="Verdana" w:eastAsia="Calibri" w:hAnsi="Verdana" w:cs="Arial"/>
          <w:lang w:val="es-MX"/>
        </w:rPr>
        <w:t>.</w:t>
      </w:r>
      <w:r w:rsidRPr="00E2397D">
        <w:rPr>
          <w:rFonts w:ascii="Verdana" w:eastAsia="Arial" w:hAnsi="Verdana" w:cs="Arial"/>
          <w:lang w:val="es-ES" w:eastAsia="es-ES" w:bidi="es-ES"/>
        </w:rPr>
        <w:t xml:space="preserve"> </w:t>
      </w:r>
    </w:p>
    <w:p w14:paraId="3F780240" w14:textId="77777777" w:rsidR="002F0AC3" w:rsidRDefault="002F0AC3" w:rsidP="002F0AC3">
      <w:pPr>
        <w:spacing w:after="120" w:line="276" w:lineRule="auto"/>
        <w:ind w:firstLine="709"/>
        <w:jc w:val="both"/>
        <w:rPr>
          <w:rFonts w:ascii="Verdana" w:eastAsia="Times New Roman" w:hAnsi="Verdana" w:cs="Arial"/>
          <w:bCs/>
          <w:lang w:eastAsia="es-CO"/>
        </w:rPr>
      </w:pPr>
      <w:r>
        <w:rPr>
          <w:rFonts w:ascii="Verdana" w:eastAsia="Times New Roman" w:hAnsi="Verdana" w:cs="Arial"/>
          <w:bCs/>
          <w:lang w:val="es-MX" w:eastAsia="es-CO"/>
        </w:rPr>
        <w:t>Para entender el momento de aplicación de estas restricciones, es preciso señalar que el vocablo “celebrar” es definido por el Diccionario Panhispánico del Español Jurídico como:</w:t>
      </w:r>
      <w:r w:rsidRPr="00116894">
        <w:rPr>
          <w:rFonts w:ascii="Verdana" w:eastAsia="Times New Roman" w:hAnsi="Verdana" w:cs="Arial"/>
          <w:bCs/>
          <w:lang w:val="es-MX" w:eastAsia="es-CO"/>
        </w:rPr>
        <w:t xml:space="preserve"> “</w:t>
      </w:r>
      <w:r w:rsidRPr="00116894">
        <w:rPr>
          <w:rFonts w:ascii="Verdana" w:eastAsia="Times New Roman" w:hAnsi="Verdana" w:cs="Arial"/>
          <w:bCs/>
          <w:lang w:eastAsia="es-CO"/>
        </w:rPr>
        <w:t>1. </w:t>
      </w:r>
      <w:r w:rsidRPr="00116894">
        <w:rPr>
          <w:rFonts w:ascii="Verdana" w:eastAsia="Times New Roman" w:hAnsi="Verdana" w:cs="Arial"/>
          <w:bCs/>
          <w:i/>
          <w:iCs/>
          <w:lang w:eastAsia="es-CO"/>
        </w:rPr>
        <w:t>Gral.</w:t>
      </w:r>
      <w:r>
        <w:rPr>
          <w:rFonts w:ascii="Verdana" w:eastAsia="Times New Roman" w:hAnsi="Verdana" w:cs="Arial"/>
          <w:bCs/>
          <w:lang w:eastAsia="es-CO"/>
        </w:rPr>
        <w:t xml:space="preserve"> </w:t>
      </w:r>
      <w:r w:rsidRPr="00116894">
        <w:rPr>
          <w:rFonts w:ascii="Verdana" w:eastAsia="Times New Roman" w:hAnsi="Verdana" w:cs="Arial"/>
          <w:bCs/>
          <w:lang w:eastAsia="es-CO"/>
        </w:rPr>
        <w:t>Otorgar o firmar un contrato. 2</w:t>
      </w:r>
      <w:r>
        <w:rPr>
          <w:rFonts w:ascii="Verdana" w:eastAsia="Times New Roman" w:hAnsi="Verdana" w:cs="Arial"/>
          <w:bCs/>
          <w:lang w:eastAsia="es-CO"/>
        </w:rPr>
        <w:t xml:space="preserve">. </w:t>
      </w:r>
      <w:proofErr w:type="spellStart"/>
      <w:r w:rsidRPr="00116894">
        <w:rPr>
          <w:rFonts w:ascii="Verdana" w:eastAsia="Times New Roman" w:hAnsi="Verdana" w:cs="Arial"/>
          <w:bCs/>
          <w:i/>
          <w:iCs/>
          <w:lang w:eastAsia="es-CO"/>
        </w:rPr>
        <w:t>Proc</w:t>
      </w:r>
      <w:proofErr w:type="spellEnd"/>
      <w:r w:rsidRPr="00116894">
        <w:rPr>
          <w:rFonts w:ascii="Verdana" w:eastAsia="Times New Roman" w:hAnsi="Verdana" w:cs="Arial"/>
          <w:bCs/>
          <w:i/>
          <w:iCs/>
          <w:lang w:eastAsia="es-CO"/>
        </w:rPr>
        <w:t>.</w:t>
      </w:r>
      <w:r>
        <w:rPr>
          <w:rFonts w:ascii="Verdana" w:eastAsia="Times New Roman" w:hAnsi="Verdana" w:cs="Arial"/>
          <w:bCs/>
          <w:lang w:eastAsia="es-CO"/>
        </w:rPr>
        <w:t xml:space="preserve"> </w:t>
      </w:r>
      <w:r w:rsidRPr="00116894">
        <w:rPr>
          <w:rFonts w:ascii="Verdana" w:eastAsia="Times New Roman" w:hAnsi="Verdana" w:cs="Arial"/>
          <w:bCs/>
          <w:lang w:eastAsia="es-CO"/>
        </w:rPr>
        <w:t>Realizar los actos procesa</w:t>
      </w:r>
      <w:r>
        <w:rPr>
          <w:rFonts w:ascii="Verdana" w:eastAsia="Times New Roman" w:hAnsi="Verdana" w:cs="Arial"/>
          <w:bCs/>
          <w:lang w:eastAsia="es-CO"/>
        </w:rPr>
        <w:t xml:space="preserve">les propios de un juicio o vista”. Dentro de las dos definiciones, la que se acerca a la expresión “celebrar” en el contexto de la Ley de Garantías Electorales es la primera, esto es, al perfeccionamiento del contrato. </w:t>
      </w:r>
    </w:p>
    <w:p w14:paraId="79FB1C40" w14:textId="77777777" w:rsidR="002F0AC3" w:rsidRDefault="002F0AC3" w:rsidP="002F0AC3">
      <w:pPr>
        <w:spacing w:after="120" w:line="276" w:lineRule="auto"/>
        <w:ind w:firstLine="709"/>
        <w:jc w:val="both"/>
        <w:rPr>
          <w:rFonts w:ascii="Verdana" w:eastAsia="Times New Roman" w:hAnsi="Verdana" w:cs="Arial"/>
          <w:bCs/>
          <w:lang w:val="es-ES" w:eastAsia="es-CO"/>
        </w:rPr>
      </w:pPr>
      <w:r>
        <w:rPr>
          <w:rFonts w:ascii="Verdana" w:eastAsia="Times New Roman" w:hAnsi="Verdana" w:cs="Arial"/>
          <w:bCs/>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447D82">
        <w:rPr>
          <w:rFonts w:ascii="Verdana" w:eastAsia="Times New Roman" w:hAnsi="Verdana" w:cs="Arial"/>
          <w:bCs/>
          <w:lang w:val="es-ES" w:eastAsia="es-CO"/>
        </w:rPr>
        <w:t xml:space="preserve">la existencia de los contratos estatales, es decir, la producción de efectos jurídicos en los términos del artículo 1501 </w:t>
      </w:r>
      <w:proofErr w:type="spellStart"/>
      <w:r w:rsidRPr="00447D82">
        <w:rPr>
          <w:rFonts w:ascii="Verdana" w:eastAsia="Times New Roman" w:hAnsi="Verdana" w:cs="Arial"/>
          <w:bCs/>
          <w:i/>
          <w:lang w:val="es-ES" w:eastAsia="es-CO"/>
        </w:rPr>
        <w:t>ibídem</w:t>
      </w:r>
      <w:proofErr w:type="spellEnd"/>
      <w:r w:rsidRPr="00447D82">
        <w:rPr>
          <w:rFonts w:ascii="Verdana" w:eastAsia="Times New Roman" w:hAnsi="Verdana" w:cs="Arial"/>
          <w:bCs/>
          <w:lang w:val="es-ES" w:eastAsia="es-CO"/>
        </w:rPr>
        <w:t>, depende de la regulación del inciso primero d</w:t>
      </w:r>
      <w:r>
        <w:rPr>
          <w:rFonts w:ascii="Verdana" w:eastAsia="Times New Roman" w:hAnsi="Verdana" w:cs="Arial"/>
          <w:bCs/>
          <w:lang w:val="es-ES" w:eastAsia="es-CO"/>
        </w:rPr>
        <w:t>e los artículos 39 y 41 de la Ley 80 de 1993</w:t>
      </w:r>
      <w:r w:rsidRPr="00447D82">
        <w:rPr>
          <w:rFonts w:ascii="Verdana" w:eastAsia="Times New Roman" w:hAnsi="Verdana" w:cs="Arial"/>
          <w:bCs/>
          <w:lang w:val="es-ES" w:eastAsia="es-CO"/>
        </w:rPr>
        <w:t xml:space="preserve">. Por un lado, “Los contratos </w:t>
      </w:r>
    </w:p>
    <w:p w14:paraId="3177BCA3" w14:textId="77777777" w:rsidR="002F0AC3" w:rsidRDefault="002F0AC3" w:rsidP="002F0AC3">
      <w:pPr>
        <w:spacing w:after="120" w:line="276" w:lineRule="auto"/>
        <w:jc w:val="both"/>
        <w:rPr>
          <w:rFonts w:ascii="Verdana" w:eastAsia="Times New Roman" w:hAnsi="Verdana" w:cs="Arial"/>
          <w:bCs/>
          <w:lang w:val="es-ES" w:eastAsia="es-CO"/>
        </w:rPr>
      </w:pPr>
      <w:r w:rsidRPr="00447D82">
        <w:rPr>
          <w:rFonts w:ascii="Verdana" w:eastAsia="Times New Roman" w:hAnsi="Verdana" w:cs="Arial"/>
          <w:bCs/>
          <w:lang w:val="es-ES" w:eastAsia="es-CO"/>
        </w:rPr>
        <w:t>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w:t>
      </w:r>
      <w:r>
        <w:rPr>
          <w:rFonts w:ascii="Verdana" w:eastAsia="Times New Roman" w:hAnsi="Verdana" w:cs="Arial"/>
          <w:bCs/>
          <w:lang w:val="es-ES" w:eastAsia="es-CO"/>
        </w:rPr>
        <w:t xml:space="preserve"> </w:t>
      </w:r>
    </w:p>
    <w:p w14:paraId="598C7694" w14:textId="77777777" w:rsidR="002F0AC3" w:rsidRDefault="002F0AC3" w:rsidP="002F0AC3">
      <w:pPr>
        <w:spacing w:after="120" w:line="276" w:lineRule="auto"/>
        <w:ind w:firstLine="709"/>
        <w:jc w:val="both"/>
        <w:rPr>
          <w:rFonts w:ascii="Verdana" w:eastAsia="Times New Roman" w:hAnsi="Verdana" w:cs="Arial"/>
          <w:bCs/>
          <w:lang w:val="es-ES" w:eastAsia="es-CO"/>
        </w:rPr>
      </w:pPr>
      <w:r>
        <w:rPr>
          <w:rFonts w:ascii="Verdana" w:eastAsia="Times New Roman" w:hAnsi="Verdana" w:cs="Arial"/>
          <w:bCs/>
          <w:lang w:val="es-ES" w:eastAsia="es-CO"/>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w:t>
      </w:r>
      <w:r>
        <w:rPr>
          <w:rFonts w:ascii="Verdana" w:eastAsia="Times New Roman" w:hAnsi="Verdana" w:cs="Arial"/>
          <w:bCs/>
          <w:lang w:val="es-ES" w:eastAsia="es-CO"/>
        </w:rPr>
        <w:lastRenderedPageBreak/>
        <w:t xml:space="preserve">registro presupuestal, o en algunos casos, la firma del acta de inicio, si así se determinó. </w:t>
      </w:r>
    </w:p>
    <w:p w14:paraId="7CAE02E6" w14:textId="77777777" w:rsidR="002F0AC3" w:rsidRPr="00894384" w:rsidRDefault="002F0AC3" w:rsidP="002F0AC3">
      <w:pPr>
        <w:spacing w:after="120" w:line="276" w:lineRule="auto"/>
        <w:ind w:firstLine="709"/>
        <w:jc w:val="both"/>
        <w:rPr>
          <w:rFonts w:ascii="Verdana" w:eastAsia="Times New Roman" w:hAnsi="Verdana" w:cs="Arial"/>
          <w:bCs/>
          <w:lang w:val="es-ES" w:eastAsia="es-CO"/>
        </w:rPr>
      </w:pPr>
      <w:r>
        <w:rPr>
          <w:rFonts w:ascii="Verdana" w:eastAsia="Times New Roman" w:hAnsi="Verdana" w:cs="Arial"/>
          <w:bCs/>
          <w:lang w:val="es-ES" w:eastAsia="es-CO"/>
        </w:rPr>
        <w:t xml:space="preserve">Así mismo, </w:t>
      </w:r>
      <w:r>
        <w:rPr>
          <w:rFonts w:ascii="Verdana" w:eastAsia="Times New Roman" w:hAnsi="Verdana" w:cs="Arial"/>
          <w:bCs/>
          <w:lang w:val="es-MX" w:eastAsia="es-CO"/>
        </w:rPr>
        <w:t>c</w:t>
      </w:r>
      <w:r w:rsidRPr="00894384">
        <w:rPr>
          <w:rFonts w:ascii="Verdana" w:eastAsia="Times New Roman" w:hAnsi="Verdana" w:cs="Arial"/>
          <w:bCs/>
          <w:lang w:val="es-MX" w:eastAsia="es-CO"/>
        </w:rPr>
        <w:t xml:space="preserve">omo en otras oportunidades lo ha manifestado esta Agencia, las prórrogas, modificaciones o adiciones de los contratos suscritos antes de la </w:t>
      </w:r>
      <w:proofErr w:type="gramStart"/>
      <w:r w:rsidRPr="00894384">
        <w:rPr>
          <w:rFonts w:ascii="Verdana" w:eastAsia="Times New Roman" w:hAnsi="Verdana" w:cs="Arial"/>
          <w:bCs/>
          <w:lang w:val="es-MX" w:eastAsia="es-CO"/>
        </w:rPr>
        <w:t>entrada en vigencia</w:t>
      </w:r>
      <w:proofErr w:type="gramEnd"/>
      <w:r w:rsidRPr="00894384">
        <w:rPr>
          <w:rFonts w:ascii="Verdana" w:eastAsia="Times New Roman" w:hAnsi="Verdana" w:cs="Arial"/>
          <w:bCs/>
          <w:lang w:val="es-MX" w:eastAsia="es-CO"/>
        </w:rPr>
        <w:t xml:space="preserve"> de las prohibiciones anotadas, así como la cesión de </w:t>
      </w:r>
      <w:proofErr w:type="gramStart"/>
      <w:r w:rsidRPr="00894384">
        <w:rPr>
          <w:rFonts w:ascii="Verdana" w:eastAsia="Times New Roman" w:hAnsi="Verdana" w:cs="Arial"/>
          <w:bCs/>
          <w:lang w:val="es-MX" w:eastAsia="es-CO"/>
        </w:rPr>
        <w:t>los mismos</w:t>
      </w:r>
      <w:proofErr w:type="gramEnd"/>
      <w:r w:rsidRPr="00894384">
        <w:rPr>
          <w:rFonts w:ascii="Verdana" w:eastAsia="Times New Roman" w:hAnsi="Verdana" w:cs="Arial"/>
          <w:bCs/>
          <w:lang w:val="es-MX" w:eastAsia="es-CO"/>
        </w:rPr>
        <w:t>, pueden tener lugar en el período de aplicación de la Ley de Garantías, sin que ello haga nugatoria la restricción de la contratación directa y siempre que cumplan los principios de planeación, transparencia y responsabilidad</w:t>
      </w:r>
      <w:r w:rsidRPr="00894384">
        <w:rPr>
          <w:rFonts w:ascii="Verdana" w:eastAsia="Times New Roman" w:hAnsi="Verdana" w:cs="Arial"/>
          <w:bCs/>
          <w:vertAlign w:val="superscript"/>
          <w:lang w:val="es-MX" w:eastAsia="es-CO"/>
        </w:rPr>
        <w:footnoteReference w:id="9"/>
      </w:r>
      <w:r w:rsidRPr="00894384">
        <w:rPr>
          <w:rFonts w:ascii="Verdana" w:eastAsia="Times New Roman" w:hAnsi="Verdana" w:cs="Arial"/>
          <w:bCs/>
          <w:lang w:val="es-MX" w:eastAsia="es-CO"/>
        </w:rPr>
        <w:t xml:space="preserve">. </w:t>
      </w:r>
    </w:p>
    <w:p w14:paraId="3AB22A6A" w14:textId="77777777" w:rsidR="002F0AC3" w:rsidRPr="00E2397D" w:rsidRDefault="002F0AC3" w:rsidP="002F0AC3">
      <w:pPr>
        <w:widowControl w:val="0"/>
        <w:autoSpaceDE w:val="0"/>
        <w:autoSpaceDN w:val="0"/>
        <w:spacing w:after="0" w:line="276" w:lineRule="auto"/>
        <w:ind w:right="113" w:firstLine="709"/>
        <w:contextualSpacing/>
        <w:jc w:val="both"/>
        <w:rPr>
          <w:rFonts w:ascii="Verdana" w:eastAsia="Arial" w:hAnsi="Verdana" w:cs="Arial"/>
          <w:lang w:val="es-ES" w:eastAsia="es-ES" w:bidi="es-ES"/>
        </w:rPr>
      </w:pPr>
      <w:r w:rsidRPr="00E2397D">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w:t>
      </w:r>
      <w:r>
        <w:rPr>
          <w:rFonts w:ascii="Verdana" w:eastAsia="Arial" w:hAnsi="Verdana" w:cs="Arial"/>
          <w:lang w:val="es-ES" w:eastAsia="es-ES" w:bidi="es-ES"/>
        </w:rPr>
        <w:t>era</w:t>
      </w:r>
      <w:r w:rsidRPr="00E2397D">
        <w:rPr>
          <w:rFonts w:ascii="Verdana" w:eastAsia="Arial" w:hAnsi="Verdana" w:cs="Arial"/>
          <w:lang w:val="es-ES" w:eastAsia="es-ES" w:bidi="es-ES"/>
        </w:rPr>
        <w:t>:</w:t>
      </w:r>
    </w:p>
    <w:p w14:paraId="6011FDE5" w14:textId="77777777" w:rsidR="002F0AC3" w:rsidRPr="00E2397D" w:rsidRDefault="002F0AC3" w:rsidP="002F0AC3">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2D462EC8" w14:textId="77777777" w:rsidR="002F0AC3" w:rsidRDefault="002F0AC3" w:rsidP="002F0AC3">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E2397D">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7" w:name="_Hlk76109421"/>
      <w:r w:rsidRPr="00E2397D">
        <w:rPr>
          <w:rFonts w:ascii="Verdana" w:eastAsia="Arial" w:hAnsi="Verdana" w:cs="Arial"/>
          <w:sz w:val="20"/>
          <w:szCs w:val="20"/>
          <w:lang w:eastAsia="es-ES" w:bidi="es-ES"/>
        </w:rPr>
        <w:t>se integran parcialmente</w:t>
      </w:r>
      <w:bookmarkEnd w:id="7"/>
      <w:r w:rsidRPr="00E2397D">
        <w:rPr>
          <w:rFonts w:ascii="Verdana" w:eastAsia="Arial" w:hAnsi="Verdana" w:cs="Arial"/>
          <w:sz w:val="20"/>
          <w:szCs w:val="20"/>
          <w:lang w:eastAsia="es-ES" w:bidi="es-ES"/>
        </w:rPr>
        <w:t xml:space="preserv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E2397D">
        <w:rPr>
          <w:rFonts w:ascii="Verdana" w:eastAsia="Arial" w:hAnsi="Verdana" w:cs="Arial"/>
          <w:sz w:val="20"/>
          <w:szCs w:val="20"/>
          <w:lang w:eastAsia="es-ES" w:bidi="es-ES"/>
        </w:rPr>
        <w:t>Presidente</w:t>
      </w:r>
      <w:proofErr w:type="gramEnd"/>
      <w:r w:rsidRPr="00E2397D">
        <w:rPr>
          <w:rFonts w:ascii="Verdana" w:eastAsia="Arial" w:hAnsi="Verdana" w:cs="Arial"/>
          <w:sz w:val="20"/>
          <w:szCs w:val="20"/>
          <w:lang w:eastAsia="es-ES" w:bidi="es-ES"/>
        </w:rPr>
        <w:t xml:space="preserve"> de la República, a las autoridades territoriales allí mencionadas sólo se aplican las restricciones contenidas en el parágrafo del artículo 38”.</w:t>
      </w:r>
      <w:r w:rsidRPr="00E2397D">
        <w:rPr>
          <w:rFonts w:ascii="Verdana" w:eastAsia="Arial" w:hAnsi="Verdana" w:cs="Arial"/>
          <w:sz w:val="20"/>
          <w:szCs w:val="20"/>
          <w:vertAlign w:val="superscript"/>
          <w:lang w:eastAsia="es-ES" w:bidi="es-ES"/>
        </w:rPr>
        <w:footnoteReference w:id="10"/>
      </w:r>
    </w:p>
    <w:p w14:paraId="787D7A68" w14:textId="77777777" w:rsidR="002F0AC3" w:rsidRPr="00E2397D" w:rsidRDefault="002F0AC3" w:rsidP="002F0AC3">
      <w:pPr>
        <w:widowControl w:val="0"/>
        <w:autoSpaceDE w:val="0"/>
        <w:autoSpaceDN w:val="0"/>
        <w:spacing w:after="0" w:line="240" w:lineRule="auto"/>
        <w:ind w:left="709" w:right="709"/>
        <w:jc w:val="both"/>
        <w:rPr>
          <w:rFonts w:ascii="Verdana" w:eastAsia="Arial" w:hAnsi="Verdana" w:cs="Arial"/>
          <w:lang w:val="es-ES" w:eastAsia="es-ES" w:bidi="es-ES"/>
        </w:rPr>
      </w:pPr>
    </w:p>
    <w:p w14:paraId="00CDDA20" w14:textId="77777777" w:rsidR="002F0AC3" w:rsidRPr="00E2397D" w:rsidRDefault="002F0AC3" w:rsidP="002F0AC3">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 xml:space="preserve">De conformidad con lo anterior, </w:t>
      </w:r>
      <w:bookmarkStart w:id="8" w:name="_Hlk77236420"/>
      <w:bookmarkStart w:id="9" w:name="_Hlk78818435"/>
      <w:bookmarkStart w:id="10" w:name="_Hlk75780333"/>
      <w:r w:rsidRPr="00E2397D">
        <w:rPr>
          <w:rFonts w:ascii="Verdana" w:eastAsia="Arial" w:hAnsi="Verdana" w:cs="Arial"/>
          <w:lang w:val="es-ES" w:eastAsia="es-ES" w:bidi="es-ES"/>
        </w:rPr>
        <w:t xml:space="preserve">la Ley 996 de 2005 establece dos (2) tipos de restricciones en materia de contratación, las cuales coinciden parcialmente. </w:t>
      </w:r>
      <w:r w:rsidRPr="00E2397D">
        <w:rPr>
          <w:rFonts w:ascii="Verdana" w:eastAsia="Arial" w:hAnsi="Verdana" w:cs="Arial"/>
          <w:i/>
          <w:lang w:val="es-ES" w:eastAsia="es-ES" w:bidi="es-ES"/>
        </w:rPr>
        <w:t>En primer lugar</w:t>
      </w:r>
      <w:r w:rsidRPr="00E2397D">
        <w:rPr>
          <w:rFonts w:ascii="Verdana" w:eastAsia="Arial" w:hAnsi="Verdana" w:cs="Arial"/>
          <w:lang w:val="es-ES" w:eastAsia="es-ES" w:bidi="es-ES"/>
        </w:rPr>
        <w:t xml:space="preserve">, la del artículo 33 que </w:t>
      </w:r>
      <w:r>
        <w:rPr>
          <w:rFonts w:ascii="Verdana" w:eastAsia="Arial" w:hAnsi="Verdana" w:cs="Arial"/>
          <w:lang w:val="es-ES" w:eastAsia="es-ES" w:bidi="es-ES"/>
        </w:rPr>
        <w:t xml:space="preserve">aplica </w:t>
      </w:r>
      <w:r w:rsidRPr="00E2397D">
        <w:rPr>
          <w:rFonts w:ascii="Verdana" w:eastAsia="Arial" w:hAnsi="Verdana" w:cs="Arial"/>
          <w:lang w:val="es-ES" w:eastAsia="es-ES" w:bidi="es-ES"/>
        </w:rPr>
        <w:t xml:space="preserve">solo respecto de las elecciones presidenciales, en virtud de la cual queda proscrita la contratación directa dentro de los cuatro (4) meses anteriores a la celebración de los comicios, salvo las citadas excepciones. Sin embargo, si ningún candidato obtiene la mitad más uno </w:t>
      </w:r>
      <w:r w:rsidRPr="00E2397D">
        <w:rPr>
          <w:rFonts w:ascii="Verdana" w:eastAsia="Arial" w:hAnsi="Verdana" w:cs="Arial"/>
          <w:lang w:val="es-ES" w:eastAsia="es-ES" w:bidi="es-ES"/>
        </w:rPr>
        <w:lastRenderedPageBreak/>
        <w:t xml:space="preserve">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E2397D">
        <w:rPr>
          <w:rFonts w:ascii="Verdana" w:eastAsia="Arial" w:hAnsi="Verdana" w:cs="Arial"/>
          <w:i/>
          <w:lang w:val="es-ES" w:eastAsia="es-ES" w:bidi="es-ES"/>
        </w:rPr>
        <w:t>En segundo lugar</w:t>
      </w:r>
      <w:r w:rsidRPr="00E2397D">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8"/>
    </w:p>
    <w:bookmarkEnd w:id="9"/>
    <w:p w14:paraId="7435B84A" w14:textId="77777777" w:rsidR="002F0AC3" w:rsidRPr="00E2397D" w:rsidRDefault="002F0AC3" w:rsidP="002F0AC3">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Ambas restricciones no son excluyentes, lo que permite concluir que</w:t>
      </w:r>
      <w:r>
        <w:rPr>
          <w:rFonts w:ascii="Verdana" w:eastAsia="Arial" w:hAnsi="Verdana" w:cs="Arial"/>
          <w:lang w:val="es-ES" w:eastAsia="es-ES" w:bidi="es-ES"/>
        </w:rPr>
        <w:t>,</w:t>
      </w:r>
      <w:r w:rsidRPr="00E2397D">
        <w:rPr>
          <w:rFonts w:ascii="Verdana" w:eastAsia="Arial" w:hAnsi="Verdana" w:cs="Arial"/>
          <w:lang w:val="es-ES" w:eastAsia="es-ES" w:bidi="es-ES"/>
        </w:rPr>
        <w:t xml:space="preserve"> en el período preelectoral para elección de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de la República, las autoridades allí mencionadas sólo deben aplicar las restricciones contenidas en el parágrafo del artículo 38.</w:t>
      </w:r>
    </w:p>
    <w:bookmarkEnd w:id="10"/>
    <w:p w14:paraId="4BEBF7B4" w14:textId="77777777" w:rsidR="002F0AC3" w:rsidRDefault="002F0AC3" w:rsidP="002F0AC3">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o el </w:t>
      </w:r>
      <w:proofErr w:type="gramStart"/>
      <w:r w:rsidRPr="00E2397D">
        <w:rPr>
          <w:rFonts w:ascii="Verdana" w:eastAsia="Arial" w:hAnsi="Verdana" w:cs="Arial"/>
          <w:lang w:val="es-ES" w:eastAsia="es-ES" w:bidi="es-ES"/>
        </w:rPr>
        <w:t>Vicepresidente</w:t>
      </w:r>
      <w:proofErr w:type="gramEnd"/>
      <w:r w:rsidRPr="00E2397D">
        <w:rPr>
          <w:rFonts w:ascii="Verdana" w:eastAsia="Arial" w:hAnsi="Verdana" w:cs="Arial"/>
          <w:lang w:val="es-ES" w:eastAsia="es-ES" w:bidi="es-ES"/>
        </w:rPr>
        <w:t xml:space="preserv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y el </w:t>
      </w:r>
      <w:proofErr w:type="gramStart"/>
      <w:r w:rsidRPr="00E2397D">
        <w:rPr>
          <w:rFonts w:ascii="Verdana" w:eastAsia="Arial" w:hAnsi="Verdana" w:cs="Arial"/>
          <w:lang w:val="es-ES" w:eastAsia="es-ES" w:bidi="es-ES"/>
        </w:rPr>
        <w:t>Vicepresidente</w:t>
      </w:r>
      <w:proofErr w:type="gramEnd"/>
      <w:r w:rsidRPr="00E2397D">
        <w:rPr>
          <w:rFonts w:ascii="Verdana" w:eastAsia="Arial" w:hAnsi="Verdana" w:cs="Arial"/>
          <w:lang w:val="es-ES" w:eastAsia="es-ES" w:bidi="es-ES"/>
        </w:rPr>
        <w:t xml:space="preserve"> de la República, ha perdido vigencia ante la prohibición de la reelección presidencial, restablecida por el Acto Legislativo 2 de 2015. Esto excepto para el </w:t>
      </w:r>
      <w:proofErr w:type="gramStart"/>
      <w:r w:rsidRPr="00E2397D">
        <w:rPr>
          <w:rFonts w:ascii="Verdana" w:eastAsia="Arial" w:hAnsi="Verdana" w:cs="Arial"/>
          <w:lang w:val="es-ES" w:eastAsia="es-ES" w:bidi="es-ES"/>
        </w:rPr>
        <w:t>Vicepresidente</w:t>
      </w:r>
      <w:proofErr w:type="gramEnd"/>
      <w:r w:rsidRPr="00E2397D">
        <w:rPr>
          <w:rFonts w:ascii="Verdana" w:eastAsia="Arial" w:hAnsi="Verdana" w:cs="Arial"/>
          <w:lang w:val="es-ES" w:eastAsia="es-ES" w:bidi="es-ES"/>
        </w:rPr>
        <w:t xml:space="preserve"> que no haya ejercido la presidencia o que la haya ejercido por un tiempo inferior a tres (3) meses durante el respectivo cuatrienio, en forma continua o discontinua, conforme al artículo 197 de la Constitución Política. </w:t>
      </w:r>
    </w:p>
    <w:p w14:paraId="368A8D55" w14:textId="77777777" w:rsidR="002F0AC3" w:rsidRPr="00667CD6" w:rsidRDefault="002F0AC3" w:rsidP="002F0AC3">
      <w:pPr>
        <w:spacing w:after="120" w:line="276" w:lineRule="auto"/>
        <w:ind w:firstLine="709"/>
        <w:jc w:val="both"/>
        <w:rPr>
          <w:rFonts w:ascii="Verdana" w:hAnsi="Verdana" w:cs="Arial"/>
          <w:lang w:val="es-ES"/>
        </w:rPr>
      </w:pPr>
      <w:r w:rsidRPr="00667CD6">
        <w:rPr>
          <w:rFonts w:ascii="Verdana" w:hAnsi="Verdana" w:cs="Arial"/>
          <w:lang w:val="es-ES"/>
        </w:rPr>
        <w:t xml:space="preserve">Ahora bien, para proceder a dar respuesta a la consulta elevada, debe indicarse que respecto del alcance del parágrafo </w:t>
      </w:r>
      <w:r w:rsidRPr="00667CD6">
        <w:rPr>
          <w:rFonts w:ascii="Verdana" w:hAnsi="Verdana" w:cs="Arial"/>
        </w:rPr>
        <w:t xml:space="preserve">del artículo 38 de la Ley 996 de 2005, esta prohibición dispone </w:t>
      </w:r>
      <w:r>
        <w:rPr>
          <w:rFonts w:ascii="Verdana" w:hAnsi="Verdana" w:cs="Arial"/>
        </w:rPr>
        <w:t xml:space="preserve">en primera medida </w:t>
      </w:r>
      <w:r w:rsidRPr="00667CD6">
        <w:rPr>
          <w:rFonts w:ascii="Verdana" w:hAnsi="Verdana" w:cs="Arial"/>
        </w:rPr>
        <w:t xml:space="preserve">que: “[l]os Gobernadores, </w:t>
      </w:r>
      <w:r w:rsidRPr="00667CD6">
        <w:rPr>
          <w:rFonts w:ascii="Verdana" w:hAnsi="Verdana" w:cs="Arial"/>
        </w:rPr>
        <w:lastRenderedPageBreak/>
        <w:t xml:space="preserve">Alcaldes Municipales y/o Distritales, Secretarios, Gerentes y directores de Entidades Descentralizadas del orden Municipal, Departamental o Distrital, dentro de los cuatro (4) meses anteriores a las elecciones, no podrán celebrar </w:t>
      </w:r>
      <w:r w:rsidRPr="00667CD6">
        <w:rPr>
          <w:rFonts w:ascii="Verdana" w:hAnsi="Verdana" w:cs="Arial"/>
          <w:i/>
          <w:iCs/>
        </w:rPr>
        <w:t>convenios interadministrativos</w:t>
      </w:r>
      <w:r w:rsidRPr="00667CD6">
        <w:rPr>
          <w:rFonts w:ascii="Verdana" w:hAnsi="Verdana" w:cs="Arial"/>
        </w:rPr>
        <w:t xml:space="preserve"> </w:t>
      </w:r>
      <w:r w:rsidRPr="00667CD6">
        <w:rPr>
          <w:rFonts w:ascii="Verdana" w:hAnsi="Verdana" w:cs="Arial"/>
          <w:i/>
          <w:iCs/>
        </w:rPr>
        <w:t>para la ejecución de recursos públicos</w:t>
      </w:r>
      <w:r w:rsidRPr="00667CD6">
        <w:rPr>
          <w:rFonts w:ascii="Verdana" w:hAnsi="Verdana" w:cs="Arial"/>
        </w:rPr>
        <w:t>”.</w:t>
      </w:r>
      <w:r w:rsidRPr="00667CD6">
        <w:rPr>
          <w:rFonts w:ascii="Verdana" w:eastAsia="Times New Roman" w:hAnsi="Verdana" w:cs="Arial"/>
          <w:lang w:val="es-MX" w:eastAsia="x-none"/>
        </w:rPr>
        <w:t xml:space="preserve"> [Énfasis fuera del texto original]</w:t>
      </w:r>
    </w:p>
    <w:p w14:paraId="7C5CC0A7" w14:textId="77777777" w:rsidR="002F0AC3" w:rsidRPr="00667CD6" w:rsidRDefault="002F0AC3" w:rsidP="002F0AC3">
      <w:pPr>
        <w:spacing w:after="120" w:line="276" w:lineRule="auto"/>
        <w:ind w:firstLine="709"/>
        <w:jc w:val="both"/>
        <w:rPr>
          <w:rFonts w:ascii="Verdana" w:hAnsi="Verdana" w:cs="Arial"/>
          <w:lang w:eastAsia="es-ES"/>
        </w:rPr>
      </w:pPr>
      <w:r w:rsidRPr="2035D652">
        <w:rPr>
          <w:rFonts w:ascii="Verdana" w:eastAsia="Times New Roman" w:hAnsi="Verdana" w:cs="Arial"/>
          <w:lang w:val="es-ES" w:eastAsia="es-ES"/>
        </w:rPr>
        <w:t xml:space="preserve">Para tales efectos, debe precisarse que </w:t>
      </w:r>
      <w:r w:rsidRPr="00667CD6">
        <w:rPr>
          <w:rFonts w:ascii="Verdana" w:eastAsia="Times New Roman" w:hAnsi="Verdana" w:cs="Arial"/>
          <w:color w:val="000000" w:themeColor="text1"/>
          <w:lang w:val="es-ES" w:eastAsia="es-CO"/>
        </w:rPr>
        <w:t xml:space="preserve">los contratos o convenios interadministrativos están determinados por un criterio orgánico, pues es necesario que los extremos de la relación contractual sean entidades públicas, </w:t>
      </w:r>
      <w:r w:rsidRPr="00667CD6">
        <w:rPr>
          <w:rFonts w:ascii="Verdana" w:hAnsi="Verdana" w:cs="Arial"/>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r w:rsidRPr="00667CD6">
        <w:rPr>
          <w:rFonts w:ascii="Verdana" w:hAnsi="Verdana" w:cs="Arial"/>
          <w:vertAlign w:val="superscript"/>
          <w:lang w:eastAsia="es-ES"/>
        </w:rPr>
        <w:footnoteReference w:id="11"/>
      </w:r>
      <w:r w:rsidRPr="00667CD6">
        <w:rPr>
          <w:rFonts w:ascii="Verdana" w:hAnsi="Verdana" w:cs="Arial"/>
          <w:lang w:eastAsia="es-ES"/>
        </w:rPr>
        <w:t>.</w:t>
      </w:r>
    </w:p>
    <w:p w14:paraId="0D57D183" w14:textId="77777777" w:rsidR="002F0AC3" w:rsidRPr="00667CD6" w:rsidRDefault="002F0AC3" w:rsidP="002F0AC3">
      <w:pPr>
        <w:spacing w:after="120" w:line="276" w:lineRule="auto"/>
        <w:ind w:firstLine="709"/>
        <w:jc w:val="both"/>
        <w:rPr>
          <w:rFonts w:ascii="Verdana" w:hAnsi="Verdana" w:cs="Arial"/>
          <w:color w:val="000000" w:themeColor="text1"/>
          <w:lang w:val="es-ES_tradnl"/>
        </w:rPr>
      </w:pPr>
      <w:r w:rsidRPr="00667CD6">
        <w:rPr>
          <w:rFonts w:ascii="Verdana" w:hAnsi="Verdana" w:cs="Arial"/>
          <w:color w:val="000000" w:themeColor="text1"/>
          <w:lang w:val="es-ES_tradnl"/>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7D0D5864" w14:textId="77777777" w:rsidR="002F0AC3" w:rsidRPr="00667CD6" w:rsidRDefault="002F0AC3" w:rsidP="002F0AC3">
      <w:pPr>
        <w:spacing w:before="120" w:after="0" w:line="276" w:lineRule="auto"/>
        <w:ind w:firstLine="708"/>
        <w:jc w:val="both"/>
        <w:rPr>
          <w:rFonts w:ascii="Verdana" w:hAnsi="Verdana" w:cs="Arial"/>
          <w:lang w:val="es-ES_tradnl"/>
        </w:rPr>
      </w:pPr>
      <w:r w:rsidRPr="2035D652">
        <w:rPr>
          <w:rFonts w:ascii="Verdana" w:hAnsi="Verdana" w:cs="Arial"/>
          <w:lang w:val="es-ES"/>
        </w:rPr>
        <w:t>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w:t>
      </w:r>
      <w:r w:rsidRPr="2035D652">
        <w:rPr>
          <w:rFonts w:ascii="Verdana" w:hAnsi="Verdana" w:cs="Arial"/>
          <w:vertAlign w:val="superscript"/>
          <w:lang w:val="es-ES"/>
        </w:rPr>
        <w:footnoteReference w:id="12"/>
      </w:r>
      <w:r w:rsidRPr="2035D652">
        <w:rPr>
          <w:rFonts w:ascii="Verdana" w:hAnsi="Verdana" w:cs="Arial"/>
          <w:lang w:val="es-ES"/>
        </w:rPr>
        <w:t>. Nótese que, en este caso, lo que cambia es la modalidad de selección y no la naturaleza de contrato interadministrativo.</w:t>
      </w:r>
    </w:p>
    <w:p w14:paraId="0404F150" w14:textId="77777777" w:rsidR="002F0AC3" w:rsidRPr="00667CD6" w:rsidRDefault="002F0AC3" w:rsidP="002F0AC3">
      <w:pPr>
        <w:spacing w:before="120" w:after="0" w:line="276" w:lineRule="auto"/>
        <w:ind w:firstLine="708"/>
        <w:jc w:val="both"/>
        <w:rPr>
          <w:rFonts w:ascii="Verdana" w:hAnsi="Verdana" w:cs="Arial"/>
          <w:lang w:val="es-ES_tradnl"/>
        </w:rPr>
      </w:pPr>
      <w:r w:rsidRPr="2035D652">
        <w:rPr>
          <w:rFonts w:ascii="Verdana" w:hAnsi="Verdana" w:cs="Arial"/>
          <w:lang w:val="es-ES"/>
        </w:rPr>
        <w:lastRenderedPageBreak/>
        <w:t>Además, es necesario tener en cuenta que para que un contrato o convenio interadministrativo exista debe cumplir con los siguientes elementos: acuerdo sobre el objeto y la contraprestación y que conste por escrito</w:t>
      </w:r>
      <w:r w:rsidRPr="2035D652">
        <w:rPr>
          <w:rFonts w:ascii="Verdana" w:hAnsi="Verdana" w:cs="Arial"/>
          <w:vertAlign w:val="superscript"/>
          <w:lang w:val="es-ES"/>
        </w:rPr>
        <w:footnoteReference w:id="13"/>
      </w:r>
      <w:r w:rsidRPr="2035D652">
        <w:rPr>
          <w:rFonts w:ascii="Verdana" w:hAnsi="Verdana" w:cs="Arial"/>
          <w:lang w:val="es-ES"/>
        </w:rPr>
        <w:t>. Entonces, si ambas partes son entidades estatales, pueden celebrar convenios interadministrativos, porque las disposiciones que regulan esta tipología hacen referencia a la calidad de los sujetos que intervienen en la contratación, que deben ser entidades estatales o de derecho público.</w:t>
      </w:r>
    </w:p>
    <w:p w14:paraId="4CAA3CA3" w14:textId="77777777" w:rsidR="002F0AC3" w:rsidRDefault="002F0AC3" w:rsidP="002F0AC3">
      <w:pPr>
        <w:spacing w:before="120" w:after="0" w:line="276" w:lineRule="auto"/>
        <w:ind w:firstLine="708"/>
        <w:jc w:val="both"/>
        <w:rPr>
          <w:rFonts w:ascii="Verdana" w:hAnsi="Verdana" w:cs="Arial"/>
          <w:lang w:val="es-ES"/>
        </w:rPr>
      </w:pPr>
      <w:r w:rsidRPr="2035D652">
        <w:rPr>
          <w:rFonts w:ascii="Verdana" w:hAnsi="Verdana" w:cs="Arial"/>
          <w:lang w:val="es-ES"/>
        </w:rPr>
        <w:t>Sobre este aspecto, se resalta que la Corte Constitucional señaló en la Sentencia C–671 de 2015 que “Lo que hace interadministrativo a un contrato o convenio no es el procedimiento de selección aplicable, sino la calidad de los sujetos contratantes, esto es que las dos partes de la relación jurídica contractual formen parte de la administración pública”. Así las cosas, atendiendo a la literalidad de las normas enunciadas, no cabe una interpretación diferente</w:t>
      </w:r>
      <w:r w:rsidRPr="2035D652">
        <w:rPr>
          <w:rFonts w:ascii="Verdana" w:hAnsi="Verdana" w:cs="Arial"/>
          <w:vertAlign w:val="superscript"/>
          <w:lang w:val="es-ES"/>
        </w:rPr>
        <w:footnoteReference w:id="14"/>
      </w:r>
      <w:r w:rsidRPr="2035D652">
        <w:rPr>
          <w:rFonts w:ascii="Verdana" w:hAnsi="Verdana" w:cs="Arial"/>
          <w:lang w:val="es-ES"/>
        </w:rPr>
        <w:t xml:space="preserve">, pues, de acuerdo con lo anotado, esta clase de acuerdos de voluntades se </w:t>
      </w:r>
    </w:p>
    <w:p w14:paraId="39E52A5B" w14:textId="77777777" w:rsidR="002F0AC3" w:rsidRPr="00667CD6" w:rsidRDefault="002F0AC3" w:rsidP="002F0AC3">
      <w:pPr>
        <w:spacing w:before="120" w:after="0" w:line="276" w:lineRule="auto"/>
        <w:jc w:val="both"/>
        <w:rPr>
          <w:rFonts w:ascii="Verdana" w:hAnsi="Verdana"/>
          <w:sz w:val="24"/>
          <w:szCs w:val="24"/>
          <w:lang w:eastAsia="es-CO"/>
        </w:rPr>
      </w:pPr>
      <w:r w:rsidRPr="2035D652">
        <w:rPr>
          <w:rFonts w:ascii="Verdana" w:hAnsi="Verdana" w:cs="Arial"/>
          <w:lang w:val="es-ES"/>
        </w:rPr>
        <w:t>definen por un criterio orgánico, por lo que uno de sus elementos esenciales es que en los extremos de la relación jurídico negocial concurran personas de derecho público</w:t>
      </w:r>
      <w:r w:rsidRPr="00667CD6">
        <w:rPr>
          <w:rFonts w:ascii="Verdana" w:hAnsi="Verdana"/>
          <w:sz w:val="24"/>
          <w:szCs w:val="24"/>
          <w:lang w:eastAsia="es-CO"/>
        </w:rPr>
        <w:t>.</w:t>
      </w:r>
    </w:p>
    <w:p w14:paraId="2796C98A" w14:textId="77777777" w:rsidR="002F0AC3" w:rsidRPr="00667CD6" w:rsidRDefault="002F0AC3" w:rsidP="002F0AC3">
      <w:pPr>
        <w:spacing w:before="120" w:after="0" w:line="276" w:lineRule="auto"/>
        <w:ind w:firstLine="708"/>
        <w:jc w:val="both"/>
        <w:rPr>
          <w:rFonts w:ascii="Verdana" w:eastAsia="Times New Roman" w:hAnsi="Verdana" w:cs="Arial"/>
          <w:lang w:val="es-MX" w:eastAsia="es-CO"/>
        </w:rPr>
      </w:pPr>
      <w:r w:rsidRPr="00667CD6">
        <w:rPr>
          <w:rFonts w:ascii="Verdana" w:eastAsia="Arial" w:hAnsi="Verdana" w:cs="Arial"/>
          <w:lang w:val="es-MX" w:eastAsia="es-ES" w:bidi="es-ES"/>
        </w:rPr>
        <w:t>De esta manera, se</w:t>
      </w:r>
      <w:r w:rsidRPr="00667CD6">
        <w:rPr>
          <w:rFonts w:ascii="Verdana" w:eastAsia="Times New Roman" w:hAnsi="Verdana" w:cs="Arial"/>
          <w:lang w:eastAsia="es-CO"/>
        </w:rPr>
        <w:t xml:space="preserve"> observa entonces que </w:t>
      </w:r>
      <w:r w:rsidRPr="00667CD6">
        <w:rPr>
          <w:rFonts w:ascii="Verdana" w:eastAsia="Times New Roman" w:hAnsi="Verdana" w:cs="Arial"/>
          <w:lang w:val="es-MX" w:eastAsia="es-CO"/>
        </w:rPr>
        <w:t xml:space="preserve">el parágrafo del artículo 38 de la Ley 996 de 2005 prohíbe a los </w:t>
      </w:r>
      <w:proofErr w:type="gramStart"/>
      <w:r w:rsidRPr="00667CD6">
        <w:rPr>
          <w:rFonts w:ascii="Verdana" w:eastAsia="Times New Roman" w:hAnsi="Verdana" w:cs="Arial"/>
          <w:lang w:val="es-MX" w:eastAsia="es-CO"/>
        </w:rPr>
        <w:t>Alcaldes</w:t>
      </w:r>
      <w:proofErr w:type="gramEnd"/>
      <w:r w:rsidRPr="00667CD6">
        <w:rPr>
          <w:rFonts w:ascii="Verdana" w:eastAsia="Times New Roman" w:hAnsi="Verdana" w:cs="Arial"/>
          <w:lang w:val="es-MX" w:eastAsia="es-CO"/>
        </w:rPr>
        <w:t xml:space="preserve">, Gobernadores, </w:t>
      </w:r>
      <w:proofErr w:type="gramStart"/>
      <w:r w:rsidRPr="00667CD6">
        <w:rPr>
          <w:rFonts w:ascii="Verdana" w:eastAsia="Times New Roman" w:hAnsi="Verdana" w:cs="Arial"/>
          <w:lang w:val="es-MX" w:eastAsia="es-CO"/>
        </w:rPr>
        <w:t>Secretarios</w:t>
      </w:r>
      <w:proofErr w:type="gramEnd"/>
      <w:r w:rsidRPr="00667CD6">
        <w:rPr>
          <w:rFonts w:ascii="Verdana" w:eastAsia="Times New Roman" w:hAnsi="Verdana" w:cs="Arial"/>
          <w:lang w:val="es-MX" w:eastAsia="es-CO"/>
        </w:rPr>
        <w:t xml:space="preserve">, Gerentes y </w:t>
      </w:r>
      <w:proofErr w:type="gramStart"/>
      <w:r w:rsidRPr="00667CD6">
        <w:rPr>
          <w:rFonts w:ascii="Verdana" w:eastAsia="Times New Roman" w:hAnsi="Verdana" w:cs="Arial"/>
          <w:lang w:val="es-MX" w:eastAsia="es-CO"/>
        </w:rPr>
        <w:t>Directores</w:t>
      </w:r>
      <w:proofErr w:type="gramEnd"/>
      <w:r w:rsidRPr="00667CD6">
        <w:rPr>
          <w:rFonts w:ascii="Verdana" w:eastAsia="Times New Roman" w:hAnsi="Verdana" w:cs="Arial"/>
          <w:lang w:val="es-MX" w:eastAsia="es-CO"/>
        </w:rPr>
        <w:t xml:space="preserve"> de las entidades del orden municipal, departamental o distrital celebrar </w:t>
      </w:r>
      <w:r w:rsidRPr="00667CD6">
        <w:rPr>
          <w:rFonts w:ascii="Verdana" w:eastAsia="Times New Roman" w:hAnsi="Verdana" w:cs="Arial"/>
          <w:i/>
          <w:iCs/>
          <w:lang w:val="es-MX" w:eastAsia="es-CO"/>
        </w:rPr>
        <w:t>convenios interadministrativos</w:t>
      </w:r>
      <w:r w:rsidRPr="00667CD6">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667CD6">
        <w:rPr>
          <w:rFonts w:ascii="Verdana" w:eastAsia="Times New Roman" w:hAnsi="Verdana" w:cs="Arial"/>
          <w:i/>
          <w:lang w:val="es-MX" w:eastAsia="es-CO"/>
        </w:rPr>
        <w:t>ibidem</w:t>
      </w:r>
      <w:r w:rsidRPr="00667CD6">
        <w:rPr>
          <w:rFonts w:ascii="Verdana" w:eastAsia="Times New Roman" w:hAnsi="Verdana" w:cs="Arial"/>
          <w:lang w:val="es-MX" w:eastAsia="es-CO"/>
        </w:rPr>
        <w:t xml:space="preserve">, no podrá celebrar tales </w:t>
      </w:r>
      <w:r w:rsidRPr="00667CD6">
        <w:rPr>
          <w:rFonts w:ascii="Verdana" w:eastAsia="Times New Roman" w:hAnsi="Verdana" w:cs="Arial"/>
          <w:i/>
          <w:iCs/>
          <w:lang w:val="es-MX" w:eastAsia="es-CO"/>
        </w:rPr>
        <w:t>convenios</w:t>
      </w:r>
      <w:r w:rsidRPr="00667CD6">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p>
    <w:p w14:paraId="5EBE7CDC" w14:textId="77777777" w:rsidR="002F0AC3" w:rsidRPr="00667CD6" w:rsidRDefault="002F0AC3" w:rsidP="002F0AC3">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val="es-MX" w:eastAsia="es-CO"/>
        </w:rPr>
        <w:lastRenderedPageBreak/>
        <w:t xml:space="preserve">Respecto del alcance de esta prohibición la Circular Externa No. 006 de 2025 expedida por la ANCP -CCE, en los literales </w:t>
      </w:r>
      <w:proofErr w:type="spellStart"/>
      <w:r w:rsidRPr="00667CD6">
        <w:rPr>
          <w:rFonts w:ascii="Verdana" w:eastAsia="Times New Roman" w:hAnsi="Verdana" w:cs="Arial"/>
          <w:lang w:val="es-MX" w:eastAsia="es-CO"/>
        </w:rPr>
        <w:t>ii</w:t>
      </w:r>
      <w:proofErr w:type="spellEnd"/>
      <w:r w:rsidRPr="00667CD6">
        <w:rPr>
          <w:rFonts w:ascii="Verdana" w:eastAsia="Times New Roman" w:hAnsi="Verdana" w:cs="Arial"/>
          <w:lang w:val="es-MX" w:eastAsia="es-CO"/>
        </w:rPr>
        <w:t xml:space="preserve">) y </w:t>
      </w:r>
      <w:proofErr w:type="spellStart"/>
      <w:r w:rsidRPr="00667CD6">
        <w:rPr>
          <w:rFonts w:ascii="Verdana" w:eastAsia="Times New Roman" w:hAnsi="Verdana" w:cs="Arial"/>
          <w:lang w:val="es-MX" w:eastAsia="es-CO"/>
        </w:rPr>
        <w:t>iv</w:t>
      </w:r>
      <w:proofErr w:type="spellEnd"/>
      <w:r w:rsidRPr="00667CD6">
        <w:rPr>
          <w:rFonts w:ascii="Verdana" w:eastAsia="Times New Roman" w:hAnsi="Verdana" w:cs="Arial"/>
          <w:lang w:val="es-MX" w:eastAsia="es-CO"/>
        </w:rPr>
        <w:t>) del numeral 2</w:t>
      </w:r>
      <w:r w:rsidRPr="00667CD6">
        <w:rPr>
          <w:rFonts w:ascii="Verdana" w:eastAsia="Times New Roman" w:hAnsi="Verdana" w:cs="Arial"/>
          <w:lang w:eastAsia="es-CO"/>
        </w:rPr>
        <w:t>,</w:t>
      </w:r>
      <w:r w:rsidRPr="00667CD6">
        <w:rPr>
          <w:rFonts w:ascii="Verdana" w:eastAsia="Times New Roman" w:hAnsi="Verdana" w:cs="Arial"/>
          <w:lang w:val="es-MX" w:eastAsia="es-CO"/>
        </w:rPr>
        <w:t xml:space="preserve"> indica que el </w:t>
      </w:r>
      <w:r w:rsidRPr="00667CD6">
        <w:rPr>
          <w:rFonts w:ascii="Verdana" w:eastAsia="Times New Roman" w:hAnsi="Verdana" w:cs="Arial"/>
          <w:lang w:eastAsia="es-CO"/>
        </w:rPr>
        <w:t xml:space="preserve">parágrafo del artículo 38 de la Ley 996 de 2005 cobija expresamente a los </w:t>
      </w:r>
      <w:r w:rsidRPr="00667CD6">
        <w:rPr>
          <w:rFonts w:ascii="Verdana" w:eastAsia="Times New Roman" w:hAnsi="Verdana" w:cs="Arial"/>
          <w:i/>
          <w:iCs/>
          <w:lang w:eastAsia="es-CO"/>
        </w:rPr>
        <w:t>convenios interadministrativos</w:t>
      </w:r>
      <w:r w:rsidRPr="00667CD6">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667CD6">
        <w:rPr>
          <w:rFonts w:ascii="Verdana" w:eastAsia="Times New Roman" w:hAnsi="Verdana" w:cs="Arial"/>
          <w:i/>
          <w:iCs/>
          <w:lang w:eastAsia="es-CO"/>
        </w:rPr>
        <w:t>“aunque se configure alguno de los supuestos de excepción que señaló el inciso final del artículo 33”.</w:t>
      </w:r>
      <w:r w:rsidRPr="00667CD6">
        <w:rPr>
          <w:rFonts w:ascii="Verdana" w:eastAsia="Times New Roman" w:hAnsi="Verdana" w:cs="Arial"/>
          <w:lang w:eastAsia="es-CO"/>
        </w:rPr>
        <w:t xml:space="preserve"> </w:t>
      </w:r>
    </w:p>
    <w:p w14:paraId="4CC8F9EF" w14:textId="77777777" w:rsidR="002F0AC3" w:rsidRPr="00667CD6" w:rsidRDefault="002F0AC3" w:rsidP="002F0AC3">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Sin embargo, es importante tener en cuenta que el ámbito de aplicación de la restricción prevista en el parágrafo del artículo 38 de la Ley 996 de 2005 solo se extiende a los </w:t>
      </w:r>
      <w:r w:rsidRPr="00667CD6">
        <w:rPr>
          <w:rFonts w:ascii="Verdana" w:eastAsia="Times New Roman" w:hAnsi="Verdana" w:cs="Arial"/>
          <w:i/>
          <w:iCs/>
          <w:lang w:eastAsia="es-CO"/>
        </w:rPr>
        <w:t>convenios interadministrativos</w:t>
      </w:r>
      <w:r w:rsidRPr="00667CD6">
        <w:rPr>
          <w:rFonts w:ascii="Verdana" w:eastAsia="Times New Roman" w:hAnsi="Verdana" w:cs="Arial"/>
          <w:lang w:eastAsia="es-CO"/>
        </w:rPr>
        <w:t xml:space="preserve"> en los que se contemple la </w:t>
      </w:r>
      <w:r w:rsidRPr="00667CD6">
        <w:rPr>
          <w:rFonts w:ascii="Verdana" w:eastAsia="Times New Roman" w:hAnsi="Verdana" w:cs="Arial"/>
          <w:i/>
          <w:iCs/>
          <w:lang w:eastAsia="es-CO"/>
        </w:rPr>
        <w:t>ejecución de recursos públicos</w:t>
      </w:r>
      <w:r w:rsidRPr="00667CD6">
        <w:rPr>
          <w:rFonts w:ascii="Verdana" w:eastAsia="Times New Roman" w:hAnsi="Verdana" w:cs="Arial"/>
          <w:lang w:eastAsia="es-CO"/>
        </w:rPr>
        <w:t xml:space="preserve">. Esto significa que la prohibición no resulta aplicable a </w:t>
      </w:r>
      <w:r w:rsidRPr="00667CD6">
        <w:rPr>
          <w:rFonts w:ascii="Verdana" w:eastAsia="Times New Roman" w:hAnsi="Verdana" w:cs="Arial"/>
          <w:i/>
          <w:iCs/>
          <w:lang w:eastAsia="es-CO"/>
        </w:rPr>
        <w:t>convenios interadministrativos a título gratuito,</w:t>
      </w:r>
      <w:r w:rsidRPr="00667CD6">
        <w:rPr>
          <w:rFonts w:ascii="Verdana" w:eastAsia="Times New Roman" w:hAnsi="Verdana" w:cs="Arial"/>
          <w:lang w:eastAsia="es-CO"/>
        </w:rPr>
        <w:t xml:space="preserve"> los cuales pueden celebrarse válidamente durante la vigencia de la mencionada restricción. </w:t>
      </w:r>
    </w:p>
    <w:p w14:paraId="552922E2" w14:textId="77777777" w:rsidR="002F0AC3" w:rsidRDefault="002F0AC3" w:rsidP="002F0AC3">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De esta manera, conforme a lo dispuesto en la Circular referida, si se suscriben </w:t>
      </w:r>
      <w:r w:rsidRPr="00667CD6">
        <w:rPr>
          <w:rFonts w:ascii="Verdana" w:eastAsia="Times New Roman" w:hAnsi="Verdana" w:cs="Arial"/>
          <w:i/>
          <w:iCs/>
          <w:lang w:eastAsia="es-CO"/>
        </w:rPr>
        <w:t>convenios interadministrativos para la ejecución de recursos públicos</w:t>
      </w:r>
      <w:r w:rsidRPr="00667CD6">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sidRPr="00667CD6">
        <w:rPr>
          <w:rFonts w:ascii="Verdana" w:eastAsia="Times New Roman" w:hAnsi="Verdana" w:cs="Arial"/>
          <w:i/>
          <w:iCs/>
          <w:lang w:eastAsia="es-CO"/>
        </w:rPr>
        <w:t>ibidem</w:t>
      </w:r>
      <w:r w:rsidRPr="00667CD6">
        <w:rPr>
          <w:rFonts w:ascii="Verdana" w:eastAsia="Times New Roman" w:hAnsi="Verdana" w:cs="Arial"/>
          <w:lang w:eastAsia="es-CO"/>
        </w:rPr>
        <w:t xml:space="preserve">, independientemente de que se configure </w:t>
      </w:r>
    </w:p>
    <w:p w14:paraId="262C28DF" w14:textId="77777777" w:rsidR="002F0AC3" w:rsidRPr="00667CD6" w:rsidRDefault="002F0AC3" w:rsidP="002F0AC3">
      <w:pPr>
        <w:spacing w:before="120" w:after="0" w:line="276" w:lineRule="auto"/>
        <w:jc w:val="both"/>
        <w:rPr>
          <w:rFonts w:ascii="Verdana" w:eastAsia="Times New Roman" w:hAnsi="Verdana" w:cs="Arial"/>
          <w:lang w:eastAsia="es-CO"/>
        </w:rPr>
      </w:pPr>
      <w:r w:rsidRPr="00667CD6">
        <w:rPr>
          <w:rFonts w:ascii="Verdana" w:eastAsia="Times New Roman" w:hAnsi="Verdana" w:cs="Arial"/>
          <w:lang w:eastAsia="es-CO"/>
        </w:rPr>
        <w:t>alguno de los supuestos de excepción que señaló el inciso final del artículo 33, es decir, que se trate de:</w:t>
      </w:r>
      <w:r w:rsidRPr="00667CD6">
        <w:rPr>
          <w:rFonts w:ascii="Verdana" w:hAnsi="Verdana" w:cs="Arial"/>
          <w:bCs/>
          <w:lang w:val="es-MX" w:eastAsia="x-none"/>
        </w:rPr>
        <w:t xml:space="preserve"> i) la defensa y seguridad del Estado; </w:t>
      </w:r>
      <w:proofErr w:type="spellStart"/>
      <w:r w:rsidRPr="00667CD6">
        <w:rPr>
          <w:rFonts w:ascii="Verdana" w:hAnsi="Verdana" w:cs="Arial"/>
          <w:bCs/>
          <w:lang w:val="es-MX" w:eastAsia="x-none"/>
        </w:rPr>
        <w:t>ii</w:t>
      </w:r>
      <w:proofErr w:type="spellEnd"/>
      <w:r w:rsidRPr="00667CD6">
        <w:rPr>
          <w:rFonts w:ascii="Verdana" w:hAnsi="Verdana" w:cs="Arial"/>
          <w:bCs/>
          <w:lang w:val="es-MX" w:eastAsia="x-none"/>
        </w:rPr>
        <w:t xml:space="preserve">) los contratos de crédito público; </w:t>
      </w:r>
      <w:proofErr w:type="spellStart"/>
      <w:r w:rsidRPr="00667CD6">
        <w:rPr>
          <w:rFonts w:ascii="Verdana" w:hAnsi="Verdana" w:cs="Arial"/>
          <w:bCs/>
          <w:lang w:val="es-MX" w:eastAsia="x-none"/>
        </w:rPr>
        <w:t>iii</w:t>
      </w:r>
      <w:proofErr w:type="spellEnd"/>
      <w:r w:rsidRPr="00667CD6">
        <w:rPr>
          <w:rFonts w:ascii="Verdana" w:hAnsi="Verdana" w:cs="Arial"/>
          <w:bCs/>
          <w:lang w:val="es-MX" w:eastAsia="x-none"/>
        </w:rPr>
        <w:t xml:space="preserve">) los requeridos para cubrir las emergencias educativas, sanitarias y desastres; </w:t>
      </w:r>
      <w:proofErr w:type="spellStart"/>
      <w:r w:rsidRPr="00667CD6">
        <w:rPr>
          <w:rFonts w:ascii="Verdana" w:hAnsi="Verdana" w:cs="Arial"/>
          <w:bCs/>
          <w:lang w:val="es-MX" w:eastAsia="x-none"/>
        </w:rPr>
        <w:t>iv</w:t>
      </w:r>
      <w:proofErr w:type="spellEnd"/>
      <w:r w:rsidRPr="00667CD6">
        <w:rPr>
          <w:rFonts w:ascii="Verdana"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667CD6">
        <w:rPr>
          <w:rFonts w:ascii="Verdana" w:hAnsi="Verdana" w:cs="Arial"/>
          <w:bCs/>
          <w:lang w:val="es-MX" w:eastAsia="es-CO"/>
        </w:rPr>
        <w:t xml:space="preserve"> </w:t>
      </w:r>
      <w:r w:rsidRPr="00667CD6">
        <w:rPr>
          <w:rFonts w:ascii="Verdana" w:eastAsia="Times New Roman" w:hAnsi="Verdana" w:cs="Arial"/>
          <w:lang w:eastAsia="es-CO"/>
        </w:rPr>
        <w:t xml:space="preserve">  </w:t>
      </w:r>
    </w:p>
    <w:p w14:paraId="0728B4A7" w14:textId="77777777" w:rsidR="002F0AC3" w:rsidRPr="00667CD6" w:rsidRDefault="002F0AC3" w:rsidP="002F0AC3">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En este punto, </w:t>
      </w:r>
      <w:r>
        <w:rPr>
          <w:rFonts w:ascii="Verdana" w:eastAsia="Times New Roman" w:hAnsi="Verdana" w:cs="Arial"/>
          <w:lang w:eastAsia="es-CO"/>
        </w:rPr>
        <w:t>teniendo en cuenta lo señalado en el contenido de su petición</w:t>
      </w:r>
      <w:r w:rsidRPr="00667CD6">
        <w:rPr>
          <w:rFonts w:ascii="Verdana" w:eastAsia="Times New Roman" w:hAnsi="Verdana" w:cs="Arial"/>
          <w:lang w:eastAsia="es-CO"/>
        </w:rPr>
        <w:t xml:space="preserve">, vale la pena destacar </w:t>
      </w:r>
      <w:proofErr w:type="gramStart"/>
      <w:r w:rsidRPr="00667CD6">
        <w:rPr>
          <w:rFonts w:ascii="Verdana" w:eastAsia="Times New Roman" w:hAnsi="Verdana" w:cs="Arial"/>
          <w:lang w:eastAsia="es-CO"/>
        </w:rPr>
        <w:t>que</w:t>
      </w:r>
      <w:proofErr w:type="gramEnd"/>
      <w:r w:rsidRPr="00667CD6">
        <w:rPr>
          <w:rFonts w:ascii="Verdana" w:eastAsia="Times New Roman" w:hAnsi="Verdana" w:cs="Arial"/>
          <w:lang w:eastAsia="es-CO"/>
        </w:rPr>
        <w:t xml:space="preserve"> </w:t>
      </w:r>
      <w:r w:rsidRPr="00667CD6">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sidRPr="00667CD6">
        <w:rPr>
          <w:rFonts w:ascii="Verdana" w:hAnsi="Verdana" w:cs="Arial"/>
        </w:rPr>
        <w:t xml:space="preserve">numeral 16.2 de la Circular Externa Única de 2022 expedida por la Agencia Nacional de Contratación Pública -Colombia </w:t>
      </w:r>
      <w:r w:rsidRPr="00667CD6">
        <w:rPr>
          <w:rFonts w:ascii="Verdana" w:hAnsi="Verdana" w:cs="Arial"/>
        </w:rPr>
        <w:lastRenderedPageBreak/>
        <w:t>Compra Eficiente-, concretamente, respecto de los siguientes apartes normativos</w:t>
      </w:r>
      <w:r w:rsidRPr="00667CD6">
        <w:rPr>
          <w:rFonts w:ascii="Verdana" w:hAnsi="Verdana" w:cs="Arial"/>
          <w:vertAlign w:val="superscript"/>
        </w:rPr>
        <w:footnoteReference w:id="15"/>
      </w:r>
      <w:r w:rsidRPr="00667CD6">
        <w:rPr>
          <w:rFonts w:ascii="Verdana" w:hAnsi="Verdana" w:cs="Arial"/>
        </w:rPr>
        <w:t xml:space="preserve">: </w:t>
      </w:r>
    </w:p>
    <w:p w14:paraId="3FA722A4" w14:textId="77777777" w:rsidR="002F0AC3" w:rsidRPr="00667CD6" w:rsidRDefault="002F0AC3" w:rsidP="002F0AC3">
      <w:pPr>
        <w:spacing w:after="0" w:line="276" w:lineRule="auto"/>
        <w:ind w:firstLine="709"/>
        <w:jc w:val="both"/>
        <w:rPr>
          <w:rFonts w:ascii="Verdana" w:hAnsi="Verdana" w:cs="Arial"/>
        </w:rPr>
      </w:pPr>
    </w:p>
    <w:p w14:paraId="09E8BB5B" w14:textId="77777777" w:rsidR="002F0AC3" w:rsidRPr="00667CD6" w:rsidRDefault="002F0AC3" w:rsidP="002F0AC3">
      <w:pPr>
        <w:spacing w:after="0" w:line="240" w:lineRule="auto"/>
        <w:ind w:left="709" w:right="709"/>
        <w:jc w:val="both"/>
        <w:rPr>
          <w:rFonts w:ascii="Verdana" w:hAnsi="Verdana" w:cs="Arial"/>
          <w:sz w:val="20"/>
          <w:szCs w:val="20"/>
        </w:rPr>
      </w:pPr>
      <w:r w:rsidRPr="00667CD6">
        <w:rPr>
          <w:rFonts w:ascii="Verdana" w:hAnsi="Verdana" w:cs="Arial"/>
          <w:sz w:val="20"/>
          <w:szCs w:val="20"/>
          <w:lang w:val="es-MX"/>
        </w:rPr>
        <w:t>i)</w:t>
      </w:r>
      <w:r w:rsidRPr="00667CD6">
        <w:rPr>
          <w:rFonts w:ascii="Verdana"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40685A5D" w14:textId="77777777" w:rsidR="002F0AC3" w:rsidRPr="00667CD6" w:rsidRDefault="002F0AC3" w:rsidP="002F0AC3">
      <w:pPr>
        <w:spacing w:after="0" w:line="240" w:lineRule="auto"/>
        <w:ind w:left="709" w:right="709"/>
        <w:jc w:val="both"/>
        <w:rPr>
          <w:rFonts w:ascii="Verdana" w:hAnsi="Verdana" w:cs="Arial"/>
          <w:sz w:val="20"/>
          <w:szCs w:val="20"/>
        </w:rPr>
      </w:pPr>
    </w:p>
    <w:p w14:paraId="7E5F867C" w14:textId="77777777" w:rsidR="002F0AC3" w:rsidRPr="00667CD6" w:rsidRDefault="002F0AC3" w:rsidP="002F0AC3">
      <w:pPr>
        <w:spacing w:after="0" w:line="240" w:lineRule="auto"/>
        <w:ind w:left="709" w:right="709"/>
        <w:jc w:val="both"/>
        <w:rPr>
          <w:rFonts w:ascii="Verdana" w:hAnsi="Verdana" w:cs="Arial"/>
          <w:sz w:val="20"/>
          <w:szCs w:val="20"/>
        </w:rPr>
      </w:pPr>
      <w:proofErr w:type="spellStart"/>
      <w:r w:rsidRPr="00667CD6">
        <w:rPr>
          <w:rFonts w:ascii="Verdana" w:hAnsi="Verdana" w:cs="Arial"/>
          <w:sz w:val="20"/>
          <w:szCs w:val="20"/>
        </w:rPr>
        <w:t>ii</w:t>
      </w:r>
      <w:proofErr w:type="spellEnd"/>
      <w:r w:rsidRPr="00667CD6">
        <w:rPr>
          <w:rFonts w:ascii="Verdana" w:hAnsi="Verdana" w:cs="Arial"/>
          <w:sz w:val="20"/>
          <w:szCs w:val="20"/>
        </w:rPr>
        <w:t xml:space="preserve">)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31B7480C" w14:textId="77777777" w:rsidR="002F0AC3" w:rsidRPr="00667CD6" w:rsidRDefault="002F0AC3" w:rsidP="002F0AC3">
      <w:pPr>
        <w:spacing w:after="0" w:line="276" w:lineRule="auto"/>
        <w:ind w:left="709" w:right="709"/>
        <w:jc w:val="both"/>
        <w:rPr>
          <w:rFonts w:ascii="Verdana" w:hAnsi="Verdana" w:cs="Arial"/>
        </w:rPr>
      </w:pPr>
    </w:p>
    <w:p w14:paraId="5F53B7B8" w14:textId="77777777" w:rsidR="002F0AC3" w:rsidRDefault="002F0AC3" w:rsidP="002F0AC3">
      <w:pPr>
        <w:spacing w:after="120" w:line="276" w:lineRule="auto"/>
        <w:ind w:firstLine="709"/>
        <w:jc w:val="both"/>
        <w:rPr>
          <w:rFonts w:ascii="Verdana" w:eastAsia="Arial" w:hAnsi="Verdana" w:cs="Arial"/>
          <w:i/>
          <w:iCs/>
          <w:lang w:eastAsia="es-ES" w:bidi="es-ES"/>
        </w:rPr>
      </w:pPr>
      <w:r w:rsidRPr="00667CD6">
        <w:rPr>
          <w:rFonts w:ascii="Verdana" w:eastAsia="Arial" w:hAnsi="Verdana" w:cs="Arial"/>
          <w:lang w:val="es-MX" w:eastAsia="es-ES" w:bidi="es-ES"/>
        </w:rPr>
        <w:t xml:space="preserve">De conformidad con los argumentos de dicha providencia, se parte de la distinción entre los conceptos </w:t>
      </w:r>
      <w:r w:rsidRPr="00667CD6">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sidRPr="00667CD6">
        <w:rPr>
          <w:rFonts w:ascii="Verdana" w:hAnsi="Verdana"/>
          <w:sz w:val="24"/>
          <w:szCs w:val="24"/>
          <w:lang w:eastAsia="es-CO"/>
        </w:rPr>
        <w:t xml:space="preserve"> </w:t>
      </w:r>
      <w:r w:rsidRPr="00667CD6">
        <w:rPr>
          <w:rFonts w:ascii="Verdana" w:eastAsia="Arial" w:hAnsi="Verdana" w:cs="Arial"/>
          <w:lang w:eastAsia="es-ES" w:bidi="es-ES"/>
        </w:rPr>
        <w:t xml:space="preserve">En este sentido, en relación con el parágrafo del artículo 38 de la Ley 996 de 2005 concluyó que </w:t>
      </w:r>
      <w:r w:rsidRPr="00667CD6">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667CD6">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667CD6">
        <w:rPr>
          <w:rFonts w:ascii="Verdana" w:eastAsia="Arial" w:hAnsi="Verdana" w:cs="Arial"/>
          <w:i/>
          <w:iCs/>
          <w:lang w:eastAsia="es-ES" w:bidi="es-ES"/>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29BBF300" w14:textId="77777777" w:rsidR="002F0AC3" w:rsidRPr="00667CD6" w:rsidRDefault="002F0AC3" w:rsidP="002F0AC3">
      <w:pPr>
        <w:spacing w:after="120" w:line="276" w:lineRule="auto"/>
        <w:ind w:firstLine="709"/>
        <w:jc w:val="both"/>
        <w:rPr>
          <w:rFonts w:ascii="Verdana" w:eastAsia="Arial" w:hAnsi="Verdana" w:cs="Arial"/>
          <w:lang w:eastAsia="es-ES" w:bidi="es-ES"/>
        </w:rPr>
      </w:pPr>
      <w:r w:rsidRPr="00667CD6">
        <w:rPr>
          <w:rFonts w:ascii="Verdana" w:eastAsia="Arial" w:hAnsi="Verdana" w:cs="Arial"/>
          <w:lang w:eastAsia="es-ES" w:bidi="es-ES"/>
        </w:rPr>
        <w:lastRenderedPageBreak/>
        <w:t>De igual manera, mediante auto del 6 de noviembre de 2025, el Consejo de Estado, Subsección A de la Sección Tercera, decretó</w:t>
      </w:r>
      <w:r w:rsidRPr="00667CD6">
        <w:rPr>
          <w:rFonts w:ascii="Verdana" w:eastAsia="Arial" w:hAnsi="Verdana" w:cs="Arial"/>
          <w:b/>
          <w:bCs/>
          <w:lang w:eastAsia="es-ES" w:bidi="es-ES"/>
        </w:rPr>
        <w:t xml:space="preserve"> </w:t>
      </w:r>
      <w:r w:rsidRPr="00667CD6">
        <w:rPr>
          <w:rFonts w:ascii="Verdana" w:eastAsia="Arial" w:hAnsi="Verdana" w:cs="Arial"/>
          <w:lang w:eastAsia="es-ES" w:bidi="es-ES"/>
        </w:rPr>
        <w:t>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w:t>
      </w:r>
      <w:r w:rsidRPr="00667CD6">
        <w:rPr>
          <w:rFonts w:ascii="Verdana" w:eastAsia="Arial" w:hAnsi="Verdana" w:cs="Arial"/>
          <w:vertAlign w:val="superscript"/>
          <w:lang w:eastAsia="es-ES" w:bidi="es-ES"/>
        </w:rPr>
        <w:footnoteReference w:id="16"/>
      </w:r>
      <w:r w:rsidRPr="00667CD6">
        <w:rPr>
          <w:rFonts w:ascii="Verdana" w:eastAsia="Arial" w:hAnsi="Verdana" w:cs="Arial"/>
          <w:lang w:eastAsia="es-ES" w:bidi="es-ES"/>
        </w:rPr>
        <w:t xml:space="preserve">. Para tales efectos, el alto tribunal resaltó la interpretación restrictiva de las normas que contienen prohibiciones, como la del parágrafo del artículo 38 de la Ley 996 de 2005, por manera que se excluye la analogía </w:t>
      </w:r>
      <w:proofErr w:type="spellStart"/>
      <w:r w:rsidRPr="00667CD6">
        <w:rPr>
          <w:rFonts w:ascii="Verdana" w:eastAsia="Arial" w:hAnsi="Verdana" w:cs="Arial"/>
          <w:lang w:eastAsia="es-ES" w:bidi="es-ES"/>
        </w:rPr>
        <w:t>legis</w:t>
      </w:r>
      <w:proofErr w:type="spellEnd"/>
      <w:r w:rsidRPr="00667CD6">
        <w:rPr>
          <w:rFonts w:ascii="Verdana" w:eastAsia="Arial" w:hAnsi="Verdana" w:cs="Arial"/>
          <w:lang w:eastAsia="es-ES" w:bidi="es-ES"/>
        </w:rPr>
        <w:t xml:space="preserve"> o iuris y la interpretación extensiva y reiteró los argumentos sobre la diferencia entre contratos y convenios interadministrativos. </w:t>
      </w:r>
    </w:p>
    <w:p w14:paraId="2A6602B8" w14:textId="77777777" w:rsidR="002F0AC3" w:rsidRDefault="002F0AC3" w:rsidP="002F0AC3">
      <w:pPr>
        <w:spacing w:after="120" w:line="276" w:lineRule="auto"/>
        <w:ind w:firstLine="709"/>
        <w:jc w:val="both"/>
        <w:rPr>
          <w:rFonts w:ascii="Verdana" w:eastAsia="Times New Roman" w:hAnsi="Verdana" w:cs="Times New Roman"/>
          <w:lang w:eastAsia="es-ES"/>
        </w:rPr>
      </w:pPr>
      <w:r w:rsidRPr="31E4E861">
        <w:rPr>
          <w:rFonts w:ascii="Verdana" w:eastAsia="Arial" w:hAnsi="Verdana" w:cs="Arial"/>
          <w:lang w:eastAsia="es-ES" w:bidi="es-ES"/>
        </w:rPr>
        <w:t xml:space="preserve">Finalmente, mediante sentencia del 17 de octubre de 2025, emitida por la Sala de lo Contencioso Administrativo del Consejo de Estado, dentro del expediente </w:t>
      </w:r>
      <w:r w:rsidRPr="31E4E861">
        <w:rPr>
          <w:rFonts w:ascii="Verdana" w:eastAsia="Times New Roman" w:hAnsi="Verdana" w:cs="Times New Roman"/>
          <w:lang w:eastAsia="es-ES"/>
        </w:rPr>
        <w:t xml:space="preserve">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w:t>
      </w:r>
    </w:p>
    <w:p w14:paraId="26831DC5" w14:textId="77777777" w:rsidR="002F0AC3" w:rsidRDefault="002F0AC3" w:rsidP="002F0AC3">
      <w:pPr>
        <w:spacing w:after="120" w:line="276" w:lineRule="auto"/>
        <w:ind w:firstLine="709"/>
        <w:jc w:val="both"/>
        <w:rPr>
          <w:rFonts w:ascii="Verdana" w:eastAsia="Times New Roman" w:hAnsi="Verdana" w:cs="Times New Roman"/>
          <w:lang w:eastAsia="es-ES"/>
        </w:rPr>
      </w:pPr>
      <w:r w:rsidRPr="2035D652">
        <w:rPr>
          <w:rFonts w:ascii="Verdana" w:eastAsia="Times New Roman" w:hAnsi="Verdana" w:cs="Times New Roman"/>
          <w:lang w:eastAsia="es-ES"/>
        </w:rPr>
        <w:t xml:space="preserve">La anterior decisión se adoptó al considerar que la Agencia excedió su competencia material al incluir contratos en una restricción que la Ley de </w:t>
      </w:r>
      <w:r w:rsidRPr="2035D652">
        <w:rPr>
          <w:rFonts w:ascii="Verdana" w:eastAsia="Times New Roman" w:hAnsi="Verdana" w:cs="Times New Roman"/>
          <w:lang w:eastAsia="es-ES"/>
        </w:rPr>
        <w:lastRenderedPageBreak/>
        <w:t>Garantías Electorales solo previó para convenios, cuando no es posible aplicar por analogía o extensión una norma que establece prohibiciones</w:t>
      </w:r>
      <w:r w:rsidRPr="2035D652">
        <w:rPr>
          <w:rStyle w:val="Refdenotaalpie"/>
          <w:rFonts w:ascii="Verdana" w:eastAsia="Times New Roman" w:hAnsi="Verdana" w:cs="Times New Roman"/>
          <w:lang w:eastAsia="es-ES"/>
        </w:rPr>
        <w:footnoteReference w:id="17"/>
      </w:r>
      <w:r w:rsidRPr="2035D652">
        <w:rPr>
          <w:rFonts w:ascii="Verdana" w:eastAsia="Times New Roman" w:hAnsi="Verdana" w:cs="Times New Roman"/>
          <w:lang w:eastAsia="es-ES"/>
        </w:rPr>
        <w:t xml:space="preserve">. Sobre el 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0F19C8A4" w14:textId="77777777" w:rsidR="002F0AC3" w:rsidRPr="00670659" w:rsidRDefault="002F0AC3" w:rsidP="002F0AC3">
      <w:pPr>
        <w:spacing w:after="120" w:line="276" w:lineRule="auto"/>
        <w:ind w:firstLine="709"/>
        <w:jc w:val="both"/>
        <w:rPr>
          <w:rFonts w:ascii="Verdana" w:eastAsia="Times New Roman" w:hAnsi="Verdana" w:cs="Times New Roman"/>
          <w:lang w:eastAsia="es-ES"/>
        </w:rPr>
      </w:pPr>
      <w:r w:rsidRPr="2035D652">
        <w:rPr>
          <w:rFonts w:ascii="Verdana" w:eastAsia="Times New Roman" w:hAnsi="Verdana" w:cs="Times New Roman"/>
          <w:lang w:eastAsia="es-ES"/>
        </w:rPr>
        <w:t xml:space="preserve">A juicio de la Sala, aunque el propósito de la Circular Externa era legítimo —evitar el uso indebido de recursos en época electoral—, el numeral 16.2. desconoció el alcance literal del artículo 38 de la Ley 996 de 2005 y los límites de la potestad reglamentaria, lo que configuró un vicio de contenido. </w:t>
      </w:r>
    </w:p>
    <w:p w14:paraId="6B32E649" w14:textId="77777777" w:rsidR="002F0AC3" w:rsidRPr="00667CD6" w:rsidRDefault="002F0AC3" w:rsidP="002F0AC3">
      <w:pPr>
        <w:spacing w:after="120" w:line="276" w:lineRule="auto"/>
        <w:ind w:firstLine="709"/>
        <w:jc w:val="both"/>
        <w:rPr>
          <w:rFonts w:ascii="Verdana" w:eastAsia="Times New Roman" w:hAnsi="Verdana" w:cs="Arial"/>
          <w:lang w:eastAsia="es-CO"/>
        </w:rPr>
      </w:pPr>
      <w:r w:rsidRPr="00667CD6">
        <w:rPr>
          <w:rFonts w:ascii="Verdana" w:eastAsia="Times New Roman" w:hAnsi="Verdana" w:cs="Arial"/>
          <w:lang w:eastAsia="es-CO"/>
        </w:rPr>
        <w:t>Así las cosas, a la luz de lo expuesto por el Consejo de Estado</w:t>
      </w:r>
      <w:r>
        <w:rPr>
          <w:rFonts w:ascii="Verdana" w:eastAsia="Times New Roman" w:hAnsi="Verdana" w:cs="Arial"/>
          <w:lang w:eastAsia="es-CO"/>
        </w:rPr>
        <w:t xml:space="preserve">, </w:t>
      </w:r>
      <w:r w:rsidRPr="2035D652">
        <w:rPr>
          <w:rFonts w:ascii="Verdana" w:eastAsia="Times New Roman" w:hAnsi="Verdana" w:cs="Arial"/>
          <w:lang w:eastAsia="es-CO"/>
        </w:rPr>
        <w:t>en la sentencia expedida por la Sección Tercera de la Sala de lo Contencioso Administrativo del 17 de octubre de 2025</w:t>
      </w:r>
      <w:r>
        <w:rPr>
          <w:rFonts w:ascii="Verdana" w:eastAsia="Times New Roman" w:hAnsi="Verdana" w:cs="Arial"/>
          <w:lang w:eastAsia="es-CO"/>
        </w:rPr>
        <w:t>,</w:t>
      </w:r>
      <w:r w:rsidRPr="00667CD6">
        <w:rPr>
          <w:rFonts w:ascii="Verdana" w:eastAsia="Times New Roman" w:hAnsi="Verdana" w:cs="Arial"/>
          <w:lang w:eastAsia="es-CO"/>
        </w:rPr>
        <w:t xml:space="preserve"> en los autos del 4 de octubre de 2024 y 6 de noviembre de 2025, no resultaría aplicable la prohibición del parágrafo del artículo 38 de la Ley de Garantías Electorales a los </w:t>
      </w:r>
      <w:r w:rsidRPr="00667CD6">
        <w:rPr>
          <w:rFonts w:ascii="Verdana" w:eastAsia="Times New Roman" w:hAnsi="Verdana" w:cs="Arial"/>
          <w:i/>
          <w:iCs/>
          <w:lang w:eastAsia="es-CO"/>
        </w:rPr>
        <w:t>contratos interadministrativos</w:t>
      </w:r>
      <w:r>
        <w:rPr>
          <w:rFonts w:ascii="Verdana" w:eastAsia="Times New Roman" w:hAnsi="Verdana" w:cs="Arial"/>
          <w:lang w:eastAsia="es-CO"/>
        </w:rPr>
        <w:t>, esta prohibición solo aplicaría a los convenios interadministrativos que impliquen la ejecución de recursos públicos</w:t>
      </w:r>
      <w:r>
        <w:rPr>
          <w:rStyle w:val="Refdenotaalpie"/>
          <w:rFonts w:ascii="Verdana" w:eastAsia="Times New Roman" w:hAnsi="Verdana" w:cs="Arial"/>
          <w:lang w:eastAsia="es-CO"/>
        </w:rPr>
        <w:footnoteReference w:id="18"/>
      </w:r>
      <w:r>
        <w:rPr>
          <w:rFonts w:ascii="Verdana" w:eastAsia="Times New Roman" w:hAnsi="Verdana" w:cs="Arial"/>
          <w:lang w:eastAsia="es-CO"/>
        </w:rPr>
        <w:t>.</w:t>
      </w:r>
    </w:p>
    <w:p w14:paraId="1AB96CE4" w14:textId="77777777" w:rsidR="002F0AC3" w:rsidRPr="00667CD6" w:rsidRDefault="002F0AC3" w:rsidP="002F0AC3">
      <w:pPr>
        <w:spacing w:after="120" w:line="276" w:lineRule="auto"/>
        <w:ind w:firstLine="708"/>
        <w:jc w:val="both"/>
        <w:rPr>
          <w:rFonts w:ascii="Verdana" w:eastAsia="Times New Roman" w:hAnsi="Verdana" w:cs="Arial"/>
          <w:lang w:eastAsia="es-CO"/>
        </w:rPr>
      </w:pPr>
      <w:r w:rsidRPr="00667CD6">
        <w:rPr>
          <w:rFonts w:ascii="Verdana" w:hAnsi="Verdana" w:cs="Arial"/>
          <w:bCs/>
          <w:color w:val="000000" w:themeColor="text1"/>
        </w:rPr>
        <w:lastRenderedPageBreak/>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56932FBB" w14:textId="77777777" w:rsidR="002F0AC3" w:rsidRDefault="002F0AC3" w:rsidP="002F0AC3">
      <w:pPr>
        <w:spacing w:after="0" w:line="276" w:lineRule="auto"/>
        <w:ind w:firstLine="708"/>
        <w:jc w:val="both"/>
        <w:rPr>
          <w:rFonts w:ascii="Verdana" w:hAnsi="Verdana" w:cs="Arial"/>
          <w:bCs/>
          <w:color w:val="000000" w:themeColor="text1"/>
        </w:rPr>
      </w:pPr>
      <w:r w:rsidRPr="00667CD6">
        <w:rPr>
          <w:rFonts w:ascii="Verdana"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679B0F05" w14:textId="77777777" w:rsidR="002F0AC3" w:rsidRPr="00657CF4" w:rsidRDefault="002F0AC3" w:rsidP="002F0AC3">
      <w:pPr>
        <w:spacing w:after="0" w:line="276" w:lineRule="auto"/>
        <w:ind w:firstLine="708"/>
        <w:jc w:val="both"/>
        <w:rPr>
          <w:rFonts w:ascii="Verdana" w:eastAsia="Arial" w:hAnsi="Verdana" w:cs="Arial"/>
          <w:lang w:val="es-ES" w:eastAsia="es-ES" w:bidi="es-ES"/>
        </w:rPr>
      </w:pPr>
    </w:p>
    <w:p w14:paraId="429C16D9" w14:textId="77777777" w:rsidR="002F0AC3" w:rsidRPr="00657CF4" w:rsidRDefault="002F0AC3" w:rsidP="002F0AC3">
      <w:pPr>
        <w:pStyle w:val="Prrafodelista"/>
        <w:numPr>
          <w:ilvl w:val="0"/>
          <w:numId w:val="2"/>
        </w:numPr>
        <w:tabs>
          <w:tab w:val="left" w:pos="142"/>
          <w:tab w:val="left" w:pos="284"/>
        </w:tabs>
        <w:spacing w:after="0" w:line="276" w:lineRule="auto"/>
        <w:contextualSpacing w:val="0"/>
        <w:jc w:val="both"/>
        <w:rPr>
          <w:rFonts w:ascii="Verdana" w:eastAsia="Century Gothic" w:hAnsi="Verdana" w:cs="Century Gothic"/>
          <w:b/>
          <w:bCs/>
        </w:rPr>
      </w:pPr>
      <w:r w:rsidRPr="00657CF4">
        <w:rPr>
          <w:rFonts w:ascii="Verdana" w:eastAsia="Century Gothic" w:hAnsi="Verdana" w:cs="Century Gothic"/>
          <w:b/>
          <w:bCs/>
        </w:rPr>
        <w:t xml:space="preserve">Referencias normativas, jurisprudenciales y otras fuentes </w:t>
      </w:r>
    </w:p>
    <w:p w14:paraId="7925491D" w14:textId="77777777" w:rsidR="002F0AC3" w:rsidRPr="00657CF4" w:rsidRDefault="002F0AC3" w:rsidP="002F0AC3">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F0AC3" w:rsidRPr="00657CF4" w14:paraId="3729D1A0" w14:textId="77777777" w:rsidTr="00046D79">
        <w:trPr>
          <w:trHeight w:val="477"/>
          <w:jc w:val="center"/>
        </w:trPr>
        <w:tc>
          <w:tcPr>
            <w:tcW w:w="8647" w:type="dxa"/>
          </w:tcPr>
          <w:p w14:paraId="2672C5EA" w14:textId="77777777" w:rsidR="002F0AC3" w:rsidRPr="00667CD6" w:rsidRDefault="002F0AC3" w:rsidP="00046D79">
            <w:pPr>
              <w:widowControl w:val="0"/>
              <w:numPr>
                <w:ilvl w:val="0"/>
                <w:numId w:val="3"/>
              </w:numPr>
              <w:autoSpaceDE w:val="0"/>
              <w:autoSpaceDN w:val="0"/>
              <w:spacing w:before="120" w:after="120" w:line="276" w:lineRule="auto"/>
              <w:jc w:val="both"/>
              <w:rPr>
                <w:rFonts w:ascii="Verdana" w:eastAsia="Arial MT" w:hAnsi="Verdana" w:cs="Arial"/>
                <w:lang w:val="es-ES" w:eastAsia="es-ES" w:bidi="es-ES"/>
              </w:rPr>
            </w:pPr>
            <w:r w:rsidRPr="00667CD6">
              <w:rPr>
                <w:rFonts w:ascii="Verdana" w:eastAsia="Arial MT" w:hAnsi="Verdana" w:cs="Arial"/>
                <w:lang w:val="es-ES" w:eastAsia="es-ES" w:bidi="es-ES"/>
              </w:rPr>
              <w:t>Constitución Política, artículo 127.</w:t>
            </w:r>
          </w:p>
          <w:p w14:paraId="1C1F5689" w14:textId="77777777" w:rsidR="002F0AC3" w:rsidRPr="00667CD6" w:rsidRDefault="002F0AC3" w:rsidP="00046D79">
            <w:pPr>
              <w:widowControl w:val="0"/>
              <w:numPr>
                <w:ilvl w:val="0"/>
                <w:numId w:val="3"/>
              </w:numPr>
              <w:autoSpaceDE w:val="0"/>
              <w:autoSpaceDN w:val="0"/>
              <w:spacing w:after="120" w:line="276" w:lineRule="auto"/>
              <w:jc w:val="both"/>
              <w:rPr>
                <w:rFonts w:ascii="Verdana" w:eastAsia="Arial MT" w:hAnsi="Verdana" w:cs="Arial"/>
                <w:lang w:val="es-ES" w:eastAsia="es-ES" w:bidi="es-ES"/>
              </w:rPr>
            </w:pPr>
            <w:r w:rsidRPr="00667CD6">
              <w:rPr>
                <w:rFonts w:ascii="Verdana" w:eastAsia="Arial MT" w:hAnsi="Verdana" w:cs="Arial"/>
                <w:bCs/>
                <w:lang w:val="es-ES" w:eastAsia="es-ES" w:bidi="es-ES"/>
              </w:rPr>
              <w:t>Ley 996 de 2005, artículos 33 y 38.</w:t>
            </w:r>
          </w:p>
          <w:p w14:paraId="794785E8" w14:textId="77777777" w:rsidR="002F0AC3" w:rsidRPr="00667CD6" w:rsidRDefault="002F0AC3" w:rsidP="00046D79">
            <w:pPr>
              <w:widowControl w:val="0"/>
              <w:numPr>
                <w:ilvl w:val="0"/>
                <w:numId w:val="3"/>
              </w:numPr>
              <w:autoSpaceDE w:val="0"/>
              <w:autoSpaceDN w:val="0"/>
              <w:spacing w:after="120" w:line="276" w:lineRule="auto"/>
              <w:jc w:val="both"/>
              <w:rPr>
                <w:rFonts w:ascii="Verdana" w:eastAsia="Arial MT" w:hAnsi="Verdana" w:cs="Arial"/>
                <w:lang w:val="es-ES" w:eastAsia="es-ES" w:bidi="es-ES"/>
              </w:rPr>
            </w:pPr>
            <w:r w:rsidRPr="00667CD6">
              <w:rPr>
                <w:rFonts w:ascii="Verdana" w:hAnsi="Verdana" w:cs="Arial"/>
                <w:bCs/>
                <w:color w:val="000000" w:themeColor="text1"/>
                <w:lang w:val="es-ES"/>
              </w:rPr>
              <w:t>Decreto 1068 de 2015, artículo 2.2.1.1.1.</w:t>
            </w:r>
          </w:p>
          <w:p w14:paraId="47E901B4" w14:textId="77777777" w:rsidR="002F0AC3" w:rsidRPr="00C71E4F" w:rsidRDefault="002F0AC3" w:rsidP="00046D79">
            <w:pPr>
              <w:widowControl w:val="0"/>
              <w:numPr>
                <w:ilvl w:val="0"/>
                <w:numId w:val="3"/>
              </w:numPr>
              <w:autoSpaceDE w:val="0"/>
              <w:autoSpaceDN w:val="0"/>
              <w:spacing w:after="120" w:line="276" w:lineRule="auto"/>
              <w:jc w:val="both"/>
              <w:rPr>
                <w:rFonts w:ascii="Verdana" w:hAnsi="Verdana" w:cs="Arial"/>
                <w:lang w:val="es-ES"/>
              </w:rPr>
            </w:pPr>
            <w:r w:rsidRPr="00C71E4F">
              <w:rPr>
                <w:rFonts w:ascii="Verdana" w:hAnsi="Verdana" w:cs="Arial"/>
                <w:lang w:val="pt-BR"/>
              </w:rPr>
              <w:t>Corte Constitucional. Sentencia C-671 de 2015. M.P. Alberto Rojas Ríos.</w:t>
            </w:r>
          </w:p>
          <w:p w14:paraId="50F329EF" w14:textId="77777777" w:rsidR="002F0AC3" w:rsidRPr="00667CD6" w:rsidRDefault="002F0AC3" w:rsidP="00046D79">
            <w:pPr>
              <w:widowControl w:val="0"/>
              <w:numPr>
                <w:ilvl w:val="0"/>
                <w:numId w:val="3"/>
              </w:numPr>
              <w:autoSpaceDE w:val="0"/>
              <w:autoSpaceDN w:val="0"/>
              <w:spacing w:after="120" w:line="276" w:lineRule="auto"/>
              <w:jc w:val="both"/>
              <w:rPr>
                <w:rFonts w:ascii="Verdana" w:hAnsi="Verdana" w:cs="Arial"/>
                <w:lang w:val="es-ES"/>
              </w:rPr>
            </w:pPr>
            <w:r w:rsidRPr="00667CD6">
              <w:rPr>
                <w:rFonts w:ascii="Verdana" w:hAnsi="Verdana" w:cs="Arial"/>
                <w:lang w:val="es-ES"/>
              </w:rPr>
              <w:t xml:space="preserve">Consejo de Estado, Sección Primera. Sentencia de 3 de marzo de 2005, </w:t>
            </w:r>
            <w:proofErr w:type="spellStart"/>
            <w:r w:rsidRPr="00667CD6">
              <w:rPr>
                <w:rFonts w:ascii="Verdana" w:hAnsi="Verdana" w:cs="Arial"/>
                <w:lang w:val="es-ES"/>
              </w:rPr>
              <w:t>Exp</w:t>
            </w:r>
            <w:proofErr w:type="spellEnd"/>
            <w:r w:rsidRPr="00667CD6">
              <w:rPr>
                <w:rFonts w:ascii="Verdana" w:hAnsi="Verdana" w:cs="Arial"/>
                <w:lang w:val="es-ES"/>
              </w:rPr>
              <w:t xml:space="preserve">. 2004-00823-01(PI). </w:t>
            </w:r>
          </w:p>
          <w:p w14:paraId="1B9CA3F9" w14:textId="77777777" w:rsidR="002F0AC3" w:rsidRPr="00C71E4F" w:rsidRDefault="002F0AC3" w:rsidP="00046D79">
            <w:pPr>
              <w:numPr>
                <w:ilvl w:val="0"/>
                <w:numId w:val="3"/>
              </w:numPr>
              <w:spacing w:before="120" w:after="120" w:line="276" w:lineRule="auto"/>
              <w:jc w:val="both"/>
              <w:rPr>
                <w:rFonts w:ascii="Verdana" w:hAnsi="Verdana" w:cs="Arial"/>
                <w:lang w:val="es-ES"/>
              </w:rPr>
            </w:pPr>
            <w:r w:rsidRPr="00C71E4F">
              <w:rPr>
                <w:rFonts w:ascii="Verdana" w:hAnsi="Verdana" w:cs="Arial"/>
              </w:rPr>
              <w:t>Consejo de Estado. Sala de Consulta y Servicio Civil. Concepto del 15 de noviembre de 2007. Expediente número 1863. Consejero Ponente: Luis Fernando Álvarez Jaramillo</w:t>
            </w:r>
          </w:p>
          <w:p w14:paraId="634B3B61" w14:textId="77777777" w:rsidR="002F0AC3" w:rsidRPr="00667CD6" w:rsidRDefault="002F0AC3" w:rsidP="00046D79">
            <w:pPr>
              <w:widowControl w:val="0"/>
              <w:numPr>
                <w:ilvl w:val="0"/>
                <w:numId w:val="3"/>
              </w:numPr>
              <w:autoSpaceDE w:val="0"/>
              <w:autoSpaceDN w:val="0"/>
              <w:spacing w:after="120" w:line="276" w:lineRule="auto"/>
              <w:jc w:val="both"/>
              <w:rPr>
                <w:rFonts w:ascii="Verdana" w:hAnsi="Verdana" w:cs="Arial"/>
                <w:lang w:val="es-ES"/>
              </w:rPr>
            </w:pPr>
            <w:r w:rsidRPr="00667CD6">
              <w:rPr>
                <w:rFonts w:ascii="Verdana" w:hAnsi="Verdana" w:cs="Arial"/>
                <w:lang w:val="es-ES"/>
              </w:rPr>
              <w:lastRenderedPageBreak/>
              <w:t xml:space="preserve">Consejo de Estado, Sala de Consulta y Servicio Civil, Concepto de fecha 24 de julio de 2013, Rad. 2166, C. P. Álvaro </w:t>
            </w:r>
            <w:proofErr w:type="spellStart"/>
            <w:r w:rsidRPr="00667CD6">
              <w:rPr>
                <w:rFonts w:ascii="Verdana" w:hAnsi="Verdana" w:cs="Arial"/>
                <w:lang w:val="es-ES"/>
              </w:rPr>
              <w:t>Namén</w:t>
            </w:r>
            <w:proofErr w:type="spellEnd"/>
            <w:r w:rsidRPr="00667CD6">
              <w:rPr>
                <w:rFonts w:ascii="Verdana" w:hAnsi="Verdana" w:cs="Arial"/>
                <w:lang w:val="es-ES"/>
              </w:rPr>
              <w:t xml:space="preserve"> Vargas. </w:t>
            </w:r>
          </w:p>
          <w:p w14:paraId="5831F3B8" w14:textId="77777777" w:rsidR="002F0AC3" w:rsidRPr="00C71E4F" w:rsidRDefault="002F0AC3" w:rsidP="00046D79">
            <w:pPr>
              <w:numPr>
                <w:ilvl w:val="0"/>
                <w:numId w:val="3"/>
              </w:numPr>
              <w:spacing w:before="120" w:after="120" w:line="276" w:lineRule="auto"/>
              <w:jc w:val="both"/>
              <w:rPr>
                <w:rFonts w:ascii="Verdana" w:hAnsi="Verdana" w:cs="Arial"/>
                <w:lang w:val="es-ES"/>
              </w:rPr>
            </w:pPr>
            <w:r w:rsidRPr="00C71E4F">
              <w:rPr>
                <w:rFonts w:ascii="Verdana" w:hAnsi="Verdana" w:cs="Arial"/>
              </w:rPr>
              <w:t xml:space="preserve">Consejo de Estado. Sala de Consulta y Servicio Civil. Concepto del 2 de septiembre de 2013 Radicado No: 2168. CP: </w:t>
            </w:r>
            <w:proofErr w:type="spellStart"/>
            <w:r w:rsidRPr="00C71E4F">
              <w:rPr>
                <w:rFonts w:ascii="Verdana" w:hAnsi="Verdana" w:cs="Arial"/>
              </w:rPr>
              <w:t>Alvaro</w:t>
            </w:r>
            <w:proofErr w:type="spellEnd"/>
            <w:r w:rsidRPr="00C71E4F">
              <w:rPr>
                <w:rFonts w:ascii="Verdana" w:hAnsi="Verdana" w:cs="Arial"/>
              </w:rPr>
              <w:t xml:space="preserve"> </w:t>
            </w:r>
            <w:proofErr w:type="spellStart"/>
            <w:r w:rsidRPr="00C71E4F">
              <w:rPr>
                <w:rFonts w:ascii="Verdana" w:hAnsi="Verdana" w:cs="Arial"/>
              </w:rPr>
              <w:t>Namén</w:t>
            </w:r>
            <w:proofErr w:type="spellEnd"/>
            <w:r w:rsidRPr="00C71E4F">
              <w:rPr>
                <w:rFonts w:ascii="Verdana" w:hAnsi="Verdana" w:cs="Arial"/>
              </w:rPr>
              <w:t xml:space="preserve"> Vargas.</w:t>
            </w:r>
          </w:p>
          <w:p w14:paraId="0F5FC0E0" w14:textId="77777777" w:rsidR="002F0AC3" w:rsidRPr="00667CD6" w:rsidRDefault="002F0AC3" w:rsidP="00046D79">
            <w:pPr>
              <w:numPr>
                <w:ilvl w:val="0"/>
                <w:numId w:val="3"/>
              </w:numPr>
              <w:spacing w:before="120" w:after="120" w:line="276" w:lineRule="auto"/>
              <w:jc w:val="both"/>
              <w:rPr>
                <w:rFonts w:ascii="Verdana" w:hAnsi="Verdana" w:cs="Arial"/>
                <w:lang w:val="es-ES"/>
              </w:rPr>
            </w:pPr>
            <w:r w:rsidRPr="00667CD6">
              <w:rPr>
                <w:rFonts w:ascii="Verdana" w:hAnsi="Verdana" w:cs="Arial"/>
                <w:lang w:val="es-ES"/>
              </w:rPr>
              <w:t>Consejo de Estado. Sala de Consulta y Servicio Civil. Concepto del 17 de febrero de 2015. C.P. William Zambrano Cetina. Radicación No. 11001-03-06-000-2015-00164-00(2269).</w:t>
            </w:r>
          </w:p>
          <w:p w14:paraId="6776FB7C" w14:textId="77777777" w:rsidR="002F0AC3" w:rsidRPr="00667CD6" w:rsidRDefault="002F0AC3" w:rsidP="00046D79">
            <w:pPr>
              <w:numPr>
                <w:ilvl w:val="0"/>
                <w:numId w:val="3"/>
              </w:numPr>
              <w:spacing w:before="120" w:after="120" w:line="276" w:lineRule="auto"/>
              <w:jc w:val="both"/>
              <w:rPr>
                <w:rFonts w:ascii="Verdana" w:hAnsi="Verdana" w:cs="Arial"/>
                <w:lang w:val="es-ES"/>
              </w:rPr>
            </w:pPr>
            <w:r w:rsidRPr="00667CD6">
              <w:rPr>
                <w:rFonts w:ascii="Verdana" w:hAnsi="Verdana" w:cs="Arial"/>
                <w:lang w:val="es-ES"/>
              </w:rPr>
              <w:t xml:space="preserve">Consejo de Estado, Sala de Consulta y Servicio Civil, Concepto de fecha 8 de mayo de 2018, No. 2382. C. P. Álvaro </w:t>
            </w:r>
            <w:proofErr w:type="spellStart"/>
            <w:r w:rsidRPr="00667CD6">
              <w:rPr>
                <w:rFonts w:ascii="Verdana" w:hAnsi="Verdana" w:cs="Arial"/>
                <w:lang w:val="es-ES"/>
              </w:rPr>
              <w:t>Namén</w:t>
            </w:r>
            <w:proofErr w:type="spellEnd"/>
            <w:r w:rsidRPr="00667CD6">
              <w:rPr>
                <w:rFonts w:ascii="Verdana" w:hAnsi="Verdana" w:cs="Arial"/>
                <w:lang w:val="es-ES"/>
              </w:rPr>
              <w:t xml:space="preserve"> Vargas.</w:t>
            </w:r>
          </w:p>
          <w:p w14:paraId="5A9AA108" w14:textId="77777777" w:rsidR="002F0AC3" w:rsidRPr="008D30C0" w:rsidRDefault="002F0AC3" w:rsidP="00046D79">
            <w:pPr>
              <w:widowControl w:val="0"/>
              <w:numPr>
                <w:ilvl w:val="0"/>
                <w:numId w:val="3"/>
              </w:numPr>
              <w:autoSpaceDE w:val="0"/>
              <w:autoSpaceDN w:val="0"/>
              <w:spacing w:after="120" w:line="276" w:lineRule="auto"/>
              <w:jc w:val="both"/>
              <w:rPr>
                <w:rFonts w:ascii="Verdana" w:hAnsi="Verdana" w:cs="Arial"/>
                <w:lang w:val="es-ES"/>
              </w:rPr>
            </w:pPr>
            <w:proofErr w:type="spellStart"/>
            <w:r w:rsidRPr="00667CD6">
              <w:rPr>
                <w:rFonts w:ascii="Verdana" w:hAnsi="Verdana" w:cs="Arial"/>
                <w:lang w:val="pt-BR"/>
              </w:rPr>
              <w:t>Consejo</w:t>
            </w:r>
            <w:proofErr w:type="spellEnd"/>
            <w:r w:rsidRPr="00667CD6">
              <w:rPr>
                <w:rFonts w:ascii="Verdana" w:hAnsi="Verdana" w:cs="Arial"/>
                <w:lang w:val="pt-BR"/>
              </w:rPr>
              <w:t xml:space="preserve"> de Estado, </w:t>
            </w:r>
            <w:proofErr w:type="spellStart"/>
            <w:r w:rsidRPr="00667CD6">
              <w:rPr>
                <w:rFonts w:ascii="Verdana" w:hAnsi="Verdana" w:cs="Arial"/>
                <w:lang w:val="pt-BR"/>
              </w:rPr>
              <w:t>Sección</w:t>
            </w:r>
            <w:proofErr w:type="spellEnd"/>
            <w:r w:rsidRPr="00667CD6">
              <w:rPr>
                <w:rFonts w:ascii="Verdana" w:hAnsi="Verdana" w:cs="Arial"/>
                <w:lang w:val="pt-BR"/>
              </w:rPr>
              <w:t xml:space="preserve"> Tercera. Auto </w:t>
            </w:r>
            <w:proofErr w:type="spellStart"/>
            <w:r w:rsidRPr="00667CD6">
              <w:rPr>
                <w:rFonts w:ascii="Verdana" w:hAnsi="Verdana" w:cs="Arial"/>
                <w:lang w:val="pt-BR"/>
              </w:rPr>
              <w:t>del</w:t>
            </w:r>
            <w:proofErr w:type="spellEnd"/>
            <w:r w:rsidRPr="00667CD6">
              <w:rPr>
                <w:rFonts w:ascii="Verdana" w:hAnsi="Verdana" w:cs="Arial"/>
                <w:lang w:val="pt-BR"/>
              </w:rPr>
              <w:t xml:space="preserve"> 4 de </w:t>
            </w:r>
            <w:proofErr w:type="spellStart"/>
            <w:r w:rsidRPr="00667CD6">
              <w:rPr>
                <w:rFonts w:ascii="Verdana" w:hAnsi="Verdana" w:cs="Arial"/>
                <w:lang w:val="pt-BR"/>
              </w:rPr>
              <w:t>octubre</w:t>
            </w:r>
            <w:proofErr w:type="spellEnd"/>
            <w:r w:rsidRPr="00667CD6">
              <w:rPr>
                <w:rFonts w:ascii="Verdana" w:hAnsi="Verdana" w:cs="Arial"/>
                <w:lang w:val="pt-BR"/>
              </w:rPr>
              <w:t xml:space="preserve"> de 2024. Exp. 70.313. C.P: Fredy Ibarra Martínez.</w:t>
            </w:r>
          </w:p>
          <w:p w14:paraId="792099B4" w14:textId="77777777" w:rsidR="002F0AC3" w:rsidRPr="00C71E4F" w:rsidRDefault="002F0AC3" w:rsidP="00046D79">
            <w:pPr>
              <w:widowControl w:val="0"/>
              <w:numPr>
                <w:ilvl w:val="0"/>
                <w:numId w:val="3"/>
              </w:numPr>
              <w:autoSpaceDE w:val="0"/>
              <w:autoSpaceDN w:val="0"/>
              <w:spacing w:after="120" w:line="276" w:lineRule="auto"/>
              <w:jc w:val="both"/>
              <w:rPr>
                <w:rFonts w:ascii="Verdana" w:hAnsi="Verdana" w:cs="Arial"/>
                <w:lang w:val="es-ES"/>
              </w:rPr>
            </w:pPr>
            <w:r w:rsidRPr="00670659">
              <w:rPr>
                <w:rFonts w:ascii="Verdana" w:eastAsia="Times New Roman" w:hAnsi="Verdana" w:cs="Times New Roman"/>
                <w:lang w:eastAsia="es-ES_tradnl"/>
              </w:rPr>
              <w:t xml:space="preserve">Consejo de Estado. Sala de lo Contencioso Administrativo. Sección Tercera. Subsección B. 17 de octubre de 2025. Magistrado Ponente: Fredy Ibarra Martínez.  </w:t>
            </w:r>
          </w:p>
          <w:p w14:paraId="72B57A82" w14:textId="77777777" w:rsidR="002F0AC3" w:rsidRPr="00657CF4" w:rsidRDefault="002F0AC3" w:rsidP="00046D79">
            <w:pPr>
              <w:widowControl w:val="0"/>
              <w:numPr>
                <w:ilvl w:val="0"/>
                <w:numId w:val="3"/>
              </w:numPr>
              <w:autoSpaceDE w:val="0"/>
              <w:autoSpaceDN w:val="0"/>
              <w:spacing w:line="276" w:lineRule="auto"/>
              <w:jc w:val="both"/>
              <w:rPr>
                <w:rFonts w:ascii="Verdana" w:eastAsia="Calibri" w:hAnsi="Verdana" w:cs="Arial"/>
                <w:lang w:val="pt-BR"/>
              </w:rPr>
            </w:pPr>
            <w:r w:rsidRPr="00C71E4F">
              <w:rPr>
                <w:rFonts w:ascii="Verdana" w:hAnsi="Verdana" w:cs="Arial"/>
              </w:rPr>
              <w:t xml:space="preserve">Circular Externa No. 006 de 2025 </w:t>
            </w:r>
            <w:hyperlink r:id="rId12" w:history="1">
              <w:r w:rsidRPr="00C71E4F">
                <w:rPr>
                  <w:rFonts w:ascii="Verdana" w:hAnsi="Verdana" w:cs="Arial"/>
                  <w:color w:val="0000FF"/>
                  <w:u w:val="single"/>
                </w:rPr>
                <w:t>https://www.colombiacompra.gov.co/archivos/circular/circular-externa-006-de-2025</w:t>
              </w:r>
            </w:hyperlink>
          </w:p>
        </w:tc>
      </w:tr>
    </w:tbl>
    <w:p w14:paraId="5A5BBF77" w14:textId="77777777" w:rsidR="002F0AC3" w:rsidRPr="00657CF4" w:rsidRDefault="002F0AC3" w:rsidP="002F0AC3">
      <w:pPr>
        <w:widowControl w:val="0"/>
        <w:autoSpaceDE w:val="0"/>
        <w:autoSpaceDN w:val="0"/>
        <w:spacing w:after="0" w:line="276" w:lineRule="auto"/>
        <w:jc w:val="both"/>
        <w:rPr>
          <w:rFonts w:ascii="Verdana" w:hAnsi="Verdana" w:cs="Arial"/>
          <w:lang w:val="pt-BR"/>
        </w:rPr>
      </w:pPr>
    </w:p>
    <w:p w14:paraId="0CCD17FE" w14:textId="77777777" w:rsidR="002F0AC3" w:rsidRPr="00657CF4" w:rsidRDefault="002F0AC3" w:rsidP="002F0AC3">
      <w:pPr>
        <w:pStyle w:val="Prrafodelista"/>
        <w:numPr>
          <w:ilvl w:val="0"/>
          <w:numId w:val="2"/>
        </w:numPr>
        <w:tabs>
          <w:tab w:val="left" w:pos="142"/>
          <w:tab w:val="left" w:pos="284"/>
        </w:tabs>
        <w:spacing w:after="0" w:line="276" w:lineRule="auto"/>
        <w:contextualSpacing w:val="0"/>
        <w:jc w:val="both"/>
        <w:rPr>
          <w:rFonts w:ascii="Verdana" w:eastAsia="Century Gothic" w:hAnsi="Verdana" w:cs="Century Gothic"/>
          <w:b/>
          <w:bCs/>
        </w:rPr>
      </w:pPr>
      <w:r w:rsidRPr="00657CF4">
        <w:rPr>
          <w:rFonts w:ascii="Verdana" w:eastAsia="Century Gothic" w:hAnsi="Verdana" w:cs="Century Gothic"/>
          <w:b/>
          <w:bCs/>
        </w:rPr>
        <w:t>Doctrina de la Agencia Nacional de Contratación Pública:</w:t>
      </w:r>
    </w:p>
    <w:p w14:paraId="331E23FF" w14:textId="77777777" w:rsidR="002F0AC3" w:rsidRPr="00657CF4" w:rsidRDefault="002F0AC3" w:rsidP="002F0AC3">
      <w:pPr>
        <w:widowControl w:val="0"/>
        <w:autoSpaceDE w:val="0"/>
        <w:autoSpaceDN w:val="0"/>
        <w:spacing w:after="0" w:line="276" w:lineRule="auto"/>
        <w:jc w:val="both"/>
        <w:rPr>
          <w:rFonts w:ascii="Verdana" w:hAnsi="Verdana" w:cs="Arial"/>
          <w:bCs/>
          <w:shd w:val="clear" w:color="auto" w:fill="FFFFFF"/>
        </w:rPr>
      </w:pPr>
      <w:r w:rsidRPr="00657CF4">
        <w:rPr>
          <w:rFonts w:ascii="Verdana" w:eastAsia="Calibri" w:hAnsi="Verdana" w:cs="Arial"/>
        </w:rPr>
        <w:t xml:space="preserve">La Agencia Nacional de Contratación Pública – Colombia Compra Eficiente se ha referido </w:t>
      </w:r>
      <w:r w:rsidRPr="00657CF4">
        <w:rPr>
          <w:rFonts w:ascii="Verdana" w:hAnsi="Verdana" w:cs="Arial"/>
          <w:shd w:val="clear" w:color="auto" w:fill="FFFFFF"/>
        </w:rPr>
        <w:t xml:space="preserve">sobre la Ley de Garantías Electorales en los conceptos con radicado C-227 del 24 de mayo de 2021 y 396 del 13 de agosto de 2021, C-439 del 27 de agosto de 2021, C-456 del 3 de septiembre de 2021, C-614 del 2 de noviembre de 2021, C-636 del 16 de noviembre de 2021, C-681 del 7 de diciembre de 2021, C-686 del 21 de diciembre de 2021, C-180 del 21 de marzo de 2025, C-317 del 25 de abril de 2025, C-510 del 4 de junio de 2025, </w:t>
      </w:r>
      <w:r w:rsidRPr="00657CF4">
        <w:rPr>
          <w:rFonts w:ascii="Verdana" w:hAnsi="Verdana" w:cs="Arial"/>
          <w:shd w:val="clear" w:color="auto" w:fill="FFFFFF"/>
          <w:lang w:val="es-ES"/>
        </w:rPr>
        <w:t xml:space="preserve">646 del 26 de junio de 2025, C-957 del 23 de agosto de 2025, C-975 del 28 de agosto de 2025, C-1015 del 4 de septiembre de 2025, C-1096 del 28 de agosto de 2025, C-1170 del 16 de septiembre de 2025, </w:t>
      </w:r>
      <w:r w:rsidRPr="00657CF4">
        <w:rPr>
          <w:rFonts w:ascii="Verdana" w:hAnsi="Verdana" w:cs="Arial"/>
          <w:shd w:val="clear" w:color="auto" w:fill="FFFFFF"/>
        </w:rPr>
        <w:t xml:space="preserve">C–750 de 17 de julio 2025, C-868 del 12 de agosto de 2025, C-1057 del 5 de septiembre de 2025, C-1195 del 3 de octubre de 2025, C-1350 del 19 de septiembre de 2025 y C- 1236 del 27 de octubre de 2025, </w:t>
      </w:r>
      <w:r w:rsidRPr="00657CF4">
        <w:rPr>
          <w:rFonts w:ascii="Verdana" w:hAnsi="Verdana" w:cs="Arial"/>
          <w:shd w:val="clear" w:color="auto" w:fill="FFFFFF"/>
          <w:lang w:val="es-ES"/>
        </w:rPr>
        <w:t xml:space="preserve">entre otros. </w:t>
      </w:r>
      <w:r w:rsidRPr="00657CF4">
        <w:rPr>
          <w:rFonts w:ascii="Verdana" w:eastAsia="Calibri" w:hAnsi="Verdana" w:cs="Times New Roman"/>
        </w:rPr>
        <w:t xml:space="preserve">Estos y otros conceptos se encuentran disponibles para consulta en el Sistema de Relatoría de la Agencia, en el cual también podrás </w:t>
      </w:r>
      <w:r w:rsidRPr="00657CF4">
        <w:rPr>
          <w:rFonts w:ascii="Verdana" w:eastAsia="Calibri" w:hAnsi="Verdana" w:cs="Times New Roman"/>
        </w:rPr>
        <w:lastRenderedPageBreak/>
        <w:t>encontrar jurisprudencia del Consejo de Estado, laudos arbitrales y la normativa de la contratación concordada con la doctrina de la Subdirección de Gestión Contractual, accede a través del siguiente enlace:</w:t>
      </w:r>
    </w:p>
    <w:p w14:paraId="2657B45F" w14:textId="77777777" w:rsidR="002F0AC3" w:rsidRPr="00657CF4" w:rsidRDefault="002F0AC3" w:rsidP="002F0AC3">
      <w:pPr>
        <w:spacing w:after="0" w:line="276" w:lineRule="auto"/>
        <w:jc w:val="both"/>
        <w:rPr>
          <w:rFonts w:ascii="Verdana" w:eastAsia="Calibri" w:hAnsi="Verdana" w:cs="Times New Roman"/>
        </w:rPr>
      </w:pPr>
      <w:hyperlink r:id="rId13" w:history="1">
        <w:r w:rsidRPr="00657CF4">
          <w:rPr>
            <w:rFonts w:ascii="Verdana" w:eastAsia="Calibri" w:hAnsi="Verdana" w:cs="Times New Roman"/>
            <w:color w:val="0000FF"/>
            <w:u w:val="single"/>
            <w:lang w:val="es-ES"/>
          </w:rPr>
          <w:t>https://relatoria.colombiacompra.gov.co/busqueda/conceptos</w:t>
        </w:r>
      </w:hyperlink>
      <w:r w:rsidRPr="00657CF4">
        <w:rPr>
          <w:rFonts w:ascii="Verdana" w:eastAsia="Calibri" w:hAnsi="Verdana" w:cs="Times New Roman"/>
        </w:rPr>
        <w:t xml:space="preserve">. </w:t>
      </w:r>
    </w:p>
    <w:p w14:paraId="0DAF65F9" w14:textId="77777777" w:rsidR="002F0AC3" w:rsidRPr="00657CF4" w:rsidRDefault="002F0AC3" w:rsidP="002F0AC3">
      <w:pPr>
        <w:spacing w:after="0" w:line="276" w:lineRule="auto"/>
        <w:jc w:val="both"/>
        <w:rPr>
          <w:rFonts w:ascii="Verdana" w:eastAsia="Calibri" w:hAnsi="Verdana" w:cs="Times New Roman"/>
        </w:rPr>
      </w:pPr>
    </w:p>
    <w:p w14:paraId="1CE7C38C" w14:textId="77777777" w:rsidR="002F0AC3" w:rsidRPr="00657CF4" w:rsidRDefault="002F0AC3" w:rsidP="002F0AC3">
      <w:pPr>
        <w:spacing w:after="0" w:line="276" w:lineRule="auto"/>
        <w:jc w:val="both"/>
        <w:rPr>
          <w:rFonts w:ascii="Verdana" w:hAnsi="Verdana"/>
        </w:rPr>
      </w:pPr>
      <w:r w:rsidRPr="00657CF4">
        <w:rPr>
          <w:rFonts w:ascii="Verdana" w:hAnsi="Verdana"/>
        </w:rPr>
        <w:t xml:space="preserve">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02458D48" w14:textId="77777777" w:rsidR="002F0AC3" w:rsidRPr="00657CF4" w:rsidRDefault="002F0AC3" w:rsidP="002F0AC3">
      <w:pPr>
        <w:spacing w:after="0" w:line="276" w:lineRule="auto"/>
        <w:jc w:val="both"/>
        <w:rPr>
          <w:rFonts w:ascii="Verdana" w:hAnsi="Verdana"/>
        </w:rPr>
      </w:pPr>
    </w:p>
    <w:p w14:paraId="4149B835" w14:textId="77777777" w:rsidR="002F0AC3" w:rsidRPr="00657CF4" w:rsidRDefault="002F0AC3" w:rsidP="002F0AC3">
      <w:pPr>
        <w:pStyle w:val="Prrafodelista"/>
        <w:numPr>
          <w:ilvl w:val="0"/>
          <w:numId w:val="1"/>
        </w:numPr>
        <w:spacing w:after="0" w:line="276" w:lineRule="auto"/>
        <w:contextualSpacing w:val="0"/>
        <w:jc w:val="both"/>
        <w:rPr>
          <w:rFonts w:ascii="Verdana" w:eastAsia="Verdana" w:hAnsi="Verdana" w:cs="Verdana"/>
          <w:color w:val="156082" w:themeColor="accent1"/>
          <w:u w:val="single"/>
          <w:lang w:val="es-MX"/>
        </w:rPr>
      </w:pPr>
      <w:r w:rsidRPr="00657CF4">
        <w:rPr>
          <w:rFonts w:ascii="Verdana" w:eastAsia="Verdana" w:hAnsi="Verdana" w:cs="Verdana"/>
          <w:lang w:val="es-MX"/>
        </w:rPr>
        <w:t xml:space="preserve">Línea nacional gratuita o servicio a la ciudadanía (Mesa de servicio): </w:t>
      </w:r>
      <w:r w:rsidRPr="00657CF4">
        <w:rPr>
          <w:rStyle w:val="Hipervnculo"/>
          <w:rFonts w:ascii="Verdana" w:hAnsi="Verdana"/>
        </w:rPr>
        <w:t>01800 0520808</w:t>
      </w:r>
    </w:p>
    <w:p w14:paraId="442C93CF" w14:textId="77777777" w:rsidR="002F0AC3" w:rsidRPr="00657CF4" w:rsidRDefault="002F0AC3" w:rsidP="002F0AC3">
      <w:pPr>
        <w:pStyle w:val="Prrafodelista"/>
        <w:numPr>
          <w:ilvl w:val="0"/>
          <w:numId w:val="1"/>
        </w:numPr>
        <w:spacing w:after="0" w:line="276" w:lineRule="auto"/>
        <w:contextualSpacing w:val="0"/>
        <w:rPr>
          <w:rFonts w:ascii="Verdana" w:eastAsia="Verdana" w:hAnsi="Verdana" w:cs="Verdana"/>
          <w:color w:val="156082" w:themeColor="accent1"/>
          <w:u w:val="single"/>
          <w:lang w:val="es-MX"/>
        </w:rPr>
      </w:pPr>
      <w:r w:rsidRPr="00657CF4">
        <w:rPr>
          <w:rFonts w:ascii="Verdana" w:eastAsia="Verdana" w:hAnsi="Verdana" w:cs="Verdana"/>
          <w:lang w:val="es-MX"/>
        </w:rPr>
        <w:t>Línea en Bogotá (Mesa de servicio</w:t>
      </w:r>
      <w:proofErr w:type="gramStart"/>
      <w:r w:rsidRPr="00657CF4">
        <w:rPr>
          <w:rFonts w:ascii="Verdana" w:eastAsia="Verdana" w:hAnsi="Verdana" w:cs="Verdana"/>
          <w:lang w:val="es-MX"/>
        </w:rPr>
        <w:t>):</w:t>
      </w:r>
      <w:r w:rsidRPr="00657CF4">
        <w:rPr>
          <w:rStyle w:val="Hipervnculo"/>
          <w:rFonts w:ascii="Verdana" w:hAnsi="Verdana"/>
        </w:rPr>
        <w:t>+</w:t>
      </w:r>
      <w:proofErr w:type="gramEnd"/>
      <w:r w:rsidRPr="00657CF4">
        <w:rPr>
          <w:rStyle w:val="Hipervnculo"/>
          <w:rFonts w:ascii="Verdana" w:hAnsi="Verdana"/>
        </w:rPr>
        <w:t>57 601 7456788</w:t>
      </w:r>
    </w:p>
    <w:p w14:paraId="7D2F52C6" w14:textId="77777777" w:rsidR="002F0AC3" w:rsidRPr="00657CF4" w:rsidRDefault="002F0AC3" w:rsidP="002F0AC3">
      <w:pPr>
        <w:pStyle w:val="Prrafodelista"/>
        <w:numPr>
          <w:ilvl w:val="0"/>
          <w:numId w:val="1"/>
        </w:numPr>
        <w:spacing w:after="0" w:line="276" w:lineRule="auto"/>
        <w:contextualSpacing w:val="0"/>
        <w:rPr>
          <w:rFonts w:ascii="Verdana" w:eastAsia="Verdana" w:hAnsi="Verdana" w:cs="Verdana"/>
          <w:color w:val="0000FF"/>
          <w:u w:val="single"/>
          <w:lang w:val="es-MX"/>
        </w:rPr>
      </w:pPr>
      <w:r w:rsidRPr="00657CF4">
        <w:rPr>
          <w:rFonts w:ascii="Verdana" w:eastAsia="Verdana" w:hAnsi="Verdana" w:cs="Verdana"/>
          <w:lang w:val="es-MX"/>
        </w:rPr>
        <w:t xml:space="preserve">Correo de radicación de correspondencia: </w:t>
      </w:r>
      <w:hyperlink r:id="rId14">
        <w:r w:rsidRPr="00657CF4">
          <w:rPr>
            <w:rStyle w:val="Hipervnculo"/>
            <w:rFonts w:ascii="Verdana" w:eastAsia="Verdana" w:hAnsi="Verdana" w:cs="Verdana"/>
            <w:lang w:val="es-MX"/>
          </w:rPr>
          <w:t>ventanilladeradicacion@colombiacompra.gov.co</w:t>
        </w:r>
      </w:hyperlink>
    </w:p>
    <w:p w14:paraId="1B876952" w14:textId="77777777" w:rsidR="002F0AC3" w:rsidRPr="00657CF4" w:rsidRDefault="002F0AC3" w:rsidP="002F0AC3">
      <w:pPr>
        <w:pStyle w:val="Prrafodelista"/>
        <w:numPr>
          <w:ilvl w:val="0"/>
          <w:numId w:val="1"/>
        </w:numPr>
        <w:spacing w:after="0" w:line="276" w:lineRule="auto"/>
        <w:contextualSpacing w:val="0"/>
        <w:rPr>
          <w:rFonts w:ascii="Verdana" w:eastAsia="Verdana" w:hAnsi="Verdana" w:cs="Verdana"/>
          <w:color w:val="0000FF"/>
          <w:u w:val="single"/>
          <w:lang w:val="es-MX"/>
        </w:rPr>
      </w:pPr>
      <w:r w:rsidRPr="00657CF4">
        <w:rPr>
          <w:rFonts w:ascii="Verdana" w:eastAsia="Verdana" w:hAnsi="Verdana" w:cs="Verdana"/>
        </w:rPr>
        <w:t>Formulario web para</w:t>
      </w:r>
      <w:r w:rsidRPr="00657CF4">
        <w:rPr>
          <w:rFonts w:ascii="Verdana" w:eastAsia="Verdana" w:hAnsi="Verdana" w:cs="Verdana"/>
          <w:lang w:val="es"/>
        </w:rPr>
        <w:t xml:space="preserve"> PQRSD: </w:t>
      </w:r>
      <w:hyperlink r:id="rId15">
        <w:r w:rsidRPr="00657CF4">
          <w:rPr>
            <w:rStyle w:val="Hipervnculo"/>
            <w:rFonts w:ascii="Verdana" w:eastAsia="Verdana" w:hAnsi="Verdana" w:cs="Verdana"/>
            <w:lang w:val="es-MX"/>
          </w:rPr>
          <w:t>https://www.colombiacompra.gov.co/pqrsd/informacion-importante-antes-de-formular-una-pqrsd</w:t>
        </w:r>
      </w:hyperlink>
    </w:p>
    <w:p w14:paraId="34E03E24" w14:textId="77777777" w:rsidR="002F0AC3" w:rsidRPr="00657CF4" w:rsidRDefault="002F0AC3" w:rsidP="002F0AC3">
      <w:pPr>
        <w:spacing w:after="0" w:line="276" w:lineRule="auto"/>
        <w:ind w:left="720"/>
        <w:jc w:val="both"/>
        <w:rPr>
          <w:rFonts w:ascii="Verdana" w:hAnsi="Verdana"/>
        </w:rPr>
      </w:pPr>
    </w:p>
    <w:p w14:paraId="19BCAC45" w14:textId="77777777" w:rsidR="002F0AC3" w:rsidRPr="00657CF4" w:rsidRDefault="002F0AC3" w:rsidP="002F0AC3">
      <w:pPr>
        <w:spacing w:after="0" w:line="276" w:lineRule="auto"/>
        <w:rPr>
          <w:rFonts w:ascii="Verdana" w:hAnsi="Verdana"/>
        </w:rPr>
      </w:pPr>
      <w:r w:rsidRPr="00657CF4">
        <w:rPr>
          <w:rFonts w:ascii="Verdana" w:hAnsi="Verdana"/>
        </w:rPr>
        <w:t xml:space="preserve">Evalúa el servicio que ofrece la Agencia por el canal de atención de PQRSD en el siguiente </w:t>
      </w:r>
      <w:proofErr w:type="gramStart"/>
      <w:r w:rsidRPr="00657CF4">
        <w:rPr>
          <w:rFonts w:ascii="Verdana" w:hAnsi="Verdana"/>
        </w:rPr>
        <w:t>enlace :</w:t>
      </w:r>
      <w:proofErr w:type="gramEnd"/>
      <w:hyperlink r:id="rId16" w:tgtFrame="_blank" w:tooltip="https://forms.office.com/r/pphywvs2sz" w:history="1">
        <w:r w:rsidRPr="00657CF4">
          <w:rPr>
            <w:rStyle w:val="Hipervnculo"/>
            <w:rFonts w:ascii="Verdana" w:hAnsi="Verdana"/>
          </w:rPr>
          <w:t>https://forms.office.com/r/pPHyWVs2SZ</w:t>
        </w:r>
      </w:hyperlink>
      <w:r w:rsidRPr="00657CF4">
        <w:rPr>
          <w:rFonts w:ascii="Verdana" w:hAnsi="Verdana"/>
        </w:rPr>
        <w:t xml:space="preserve"> .¡Ayúdanos a mejorar porque el compromiso es de todos!</w:t>
      </w:r>
    </w:p>
    <w:p w14:paraId="76298797" w14:textId="77777777" w:rsidR="002F0AC3" w:rsidRPr="00657CF4" w:rsidRDefault="002F0AC3" w:rsidP="002F0AC3">
      <w:pPr>
        <w:spacing w:after="0" w:line="276" w:lineRule="auto"/>
        <w:rPr>
          <w:rFonts w:ascii="Verdana" w:hAnsi="Verdana"/>
        </w:rPr>
      </w:pPr>
    </w:p>
    <w:p w14:paraId="3243925C" w14:textId="77777777" w:rsidR="002F0AC3" w:rsidRPr="00657CF4" w:rsidRDefault="002F0AC3" w:rsidP="002F0AC3">
      <w:pPr>
        <w:spacing w:after="0" w:line="276" w:lineRule="auto"/>
        <w:jc w:val="both"/>
        <w:rPr>
          <w:rFonts w:ascii="Verdana" w:hAnsi="Verdana"/>
        </w:rPr>
      </w:pPr>
      <w:r w:rsidRPr="00657CF4">
        <w:rPr>
          <w:rFonts w:ascii="Verdana" w:hAnsi="Verdana"/>
        </w:rPr>
        <w:t xml:space="preserve">Por último, lo invitamos a seguirnos en las redes sociales en las cuales se difunde información institucional: </w:t>
      </w:r>
    </w:p>
    <w:p w14:paraId="6552997A" w14:textId="77777777" w:rsidR="002F0AC3" w:rsidRPr="00657CF4" w:rsidRDefault="002F0AC3" w:rsidP="002F0AC3">
      <w:pPr>
        <w:spacing w:after="0" w:line="276" w:lineRule="auto"/>
        <w:jc w:val="both"/>
        <w:rPr>
          <w:rFonts w:ascii="Verdana" w:hAnsi="Verdana"/>
        </w:rPr>
      </w:pPr>
    </w:p>
    <w:p w14:paraId="2CD6D728" w14:textId="77777777" w:rsidR="002F0AC3" w:rsidRPr="00657CF4" w:rsidRDefault="002F0AC3" w:rsidP="002F0AC3">
      <w:pPr>
        <w:spacing w:after="0" w:line="276" w:lineRule="auto"/>
        <w:jc w:val="both"/>
        <w:rPr>
          <w:rFonts w:ascii="Verdana" w:hAnsi="Verdana"/>
        </w:rPr>
      </w:pPr>
      <w:r w:rsidRPr="00657CF4">
        <w:rPr>
          <w:rFonts w:ascii="Verdana" w:hAnsi="Verdana"/>
        </w:rPr>
        <w:t xml:space="preserve">Twitter: </w:t>
      </w:r>
      <w:r w:rsidRPr="00657CF4">
        <w:rPr>
          <w:rStyle w:val="Hipervnculo"/>
          <w:rFonts w:ascii="Verdana" w:hAnsi="Verdana"/>
        </w:rPr>
        <w:t>@colombiacompra</w:t>
      </w:r>
      <w:r w:rsidRPr="00657CF4">
        <w:rPr>
          <w:rFonts w:ascii="Verdana" w:hAnsi="Verdana"/>
        </w:rPr>
        <w:t xml:space="preserve"> </w:t>
      </w:r>
    </w:p>
    <w:p w14:paraId="4908DA58" w14:textId="77777777" w:rsidR="002F0AC3" w:rsidRPr="00657CF4" w:rsidRDefault="002F0AC3" w:rsidP="002F0AC3">
      <w:pPr>
        <w:spacing w:after="0" w:line="276" w:lineRule="auto"/>
        <w:jc w:val="both"/>
        <w:rPr>
          <w:rFonts w:ascii="Verdana" w:hAnsi="Verdana"/>
        </w:rPr>
      </w:pPr>
      <w:r w:rsidRPr="00657CF4">
        <w:rPr>
          <w:rFonts w:ascii="Verdana" w:hAnsi="Verdana"/>
        </w:rPr>
        <w:t xml:space="preserve">Facebook: </w:t>
      </w:r>
      <w:proofErr w:type="spellStart"/>
      <w:r w:rsidRPr="00657CF4">
        <w:rPr>
          <w:rStyle w:val="Hipervnculo"/>
          <w:rFonts w:ascii="Verdana" w:hAnsi="Verdana"/>
        </w:rPr>
        <w:t>ColombiaCompraEficiente</w:t>
      </w:r>
      <w:proofErr w:type="spellEnd"/>
    </w:p>
    <w:p w14:paraId="73AD4060" w14:textId="77777777" w:rsidR="002F0AC3" w:rsidRPr="00657CF4" w:rsidRDefault="002F0AC3" w:rsidP="002F0AC3">
      <w:pPr>
        <w:spacing w:after="0" w:line="276" w:lineRule="auto"/>
        <w:jc w:val="both"/>
        <w:rPr>
          <w:rFonts w:ascii="Verdana" w:hAnsi="Verdana"/>
        </w:rPr>
      </w:pPr>
      <w:r w:rsidRPr="00657CF4">
        <w:rPr>
          <w:rFonts w:ascii="Verdana" w:hAnsi="Verdana"/>
        </w:rPr>
        <w:t xml:space="preserve">LinkedIn: </w:t>
      </w:r>
      <w:r w:rsidRPr="00657CF4">
        <w:rPr>
          <w:rStyle w:val="Hipervnculo"/>
          <w:rFonts w:ascii="Verdana" w:hAnsi="Verdana"/>
        </w:rPr>
        <w:t>Agencia Nacional de Contratación Pública - Colombia Compra Eficiente</w:t>
      </w:r>
      <w:r w:rsidRPr="00657CF4">
        <w:rPr>
          <w:rFonts w:ascii="Verdana" w:hAnsi="Verdana"/>
        </w:rPr>
        <w:t xml:space="preserve"> Instagram: </w:t>
      </w:r>
      <w:r w:rsidRPr="00657CF4">
        <w:rPr>
          <w:rStyle w:val="Hipervnculo"/>
          <w:rFonts w:ascii="Verdana" w:hAnsi="Verdana"/>
        </w:rPr>
        <w:t>@colombiacompraeficiente_cce</w:t>
      </w:r>
    </w:p>
    <w:p w14:paraId="588B9DFB" w14:textId="77777777" w:rsidR="002F0AC3" w:rsidRPr="00657CF4" w:rsidRDefault="002F0AC3" w:rsidP="002F0AC3">
      <w:pPr>
        <w:spacing w:after="0" w:line="276" w:lineRule="auto"/>
        <w:jc w:val="both"/>
        <w:rPr>
          <w:rFonts w:ascii="Verdana" w:eastAsia="Calibri" w:hAnsi="Verdana" w:cs="Times New Roman"/>
        </w:rPr>
      </w:pPr>
    </w:p>
    <w:p w14:paraId="7F3890CE" w14:textId="77777777" w:rsidR="002F0AC3" w:rsidRPr="00657CF4" w:rsidRDefault="002F0AC3" w:rsidP="002F0AC3">
      <w:pPr>
        <w:spacing w:after="0" w:line="276" w:lineRule="auto"/>
        <w:jc w:val="both"/>
        <w:rPr>
          <w:rFonts w:ascii="Verdana" w:eastAsia="Calibri" w:hAnsi="Verdana" w:cs="Times New Roman"/>
          <w:bCs/>
          <w:lang w:val="es-ES_tradnl"/>
        </w:rPr>
      </w:pPr>
      <w:r w:rsidRPr="00657CF4">
        <w:rPr>
          <w:rFonts w:ascii="Verdana" w:eastAsia="Calibri" w:hAnsi="Verdana" w:cs="Times New Roman"/>
          <w:lang w:val="es-ES_tradnl"/>
        </w:rPr>
        <w:t xml:space="preserve">Este concepto tiene el alcance previsto en el artículo 28 del Código de Procedimiento Administrativo y de lo Contencioso Administrativo y las </w:t>
      </w:r>
      <w:r w:rsidRPr="00657CF4">
        <w:rPr>
          <w:rFonts w:ascii="Verdana" w:eastAsia="Calibri" w:hAnsi="Verdana" w:cs="Times New Roman"/>
          <w:lang w:val="es-ES_tradnl"/>
        </w:rPr>
        <w:lastRenderedPageBreak/>
        <w:t>expresiones utilizadas con mayúscula inicial deben ser entendidas con el significado que les otorga el artículo 2.2.1.1.1.3.1 del Decreto 1082 de 2015.</w:t>
      </w:r>
    </w:p>
    <w:p w14:paraId="38181AE2" w14:textId="77777777" w:rsidR="002F0AC3" w:rsidRPr="00657CF4" w:rsidRDefault="002F0AC3" w:rsidP="002F0AC3">
      <w:pPr>
        <w:spacing w:after="0" w:line="276" w:lineRule="auto"/>
        <w:jc w:val="both"/>
        <w:rPr>
          <w:rFonts w:ascii="Verdana" w:eastAsia="Calibri" w:hAnsi="Verdana" w:cs="Times New Roman"/>
        </w:rPr>
      </w:pPr>
    </w:p>
    <w:p w14:paraId="0FCC273F" w14:textId="77777777" w:rsidR="002F0AC3" w:rsidRPr="00657CF4" w:rsidRDefault="002F0AC3" w:rsidP="002F0AC3">
      <w:pPr>
        <w:spacing w:after="0" w:line="276" w:lineRule="auto"/>
        <w:jc w:val="both"/>
        <w:rPr>
          <w:rFonts w:ascii="Verdana" w:eastAsia="Times New Roman" w:hAnsi="Verdana" w:cs="Arial"/>
          <w:lang w:eastAsia="es-CO"/>
        </w:rPr>
      </w:pPr>
      <w:bookmarkStart w:id="11" w:name="_Hlk117695077"/>
      <w:r w:rsidRPr="00657CF4">
        <w:rPr>
          <w:rFonts w:ascii="Verdana" w:eastAsia="Times New Roman" w:hAnsi="Verdana" w:cs="Arial"/>
          <w:lang w:eastAsia="es-CO"/>
        </w:rPr>
        <w:t>Atentamente,</w:t>
      </w:r>
    </w:p>
    <w:bookmarkEnd w:id="11"/>
    <w:p w14:paraId="260A58E1" w14:textId="77777777" w:rsidR="002F0AC3" w:rsidRDefault="002F0AC3" w:rsidP="002F0AC3">
      <w:pPr>
        <w:spacing w:after="0" w:line="276" w:lineRule="auto"/>
        <w:jc w:val="center"/>
        <w:rPr>
          <w:rFonts w:ascii="Verdana" w:eastAsia="Times New Roman" w:hAnsi="Verdana" w:cs="Arial"/>
        </w:rPr>
      </w:pPr>
    </w:p>
    <w:p w14:paraId="76008408" w14:textId="743B1ECD" w:rsidR="002F0AC3" w:rsidRDefault="00391EDD" w:rsidP="002F0AC3">
      <w:pPr>
        <w:spacing w:after="0" w:line="276" w:lineRule="auto"/>
        <w:jc w:val="both"/>
        <w:rPr>
          <w:rFonts w:ascii="Verdana" w:eastAsia="Times New Roman" w:hAnsi="Verdana" w:cs="Arial"/>
        </w:rPr>
      </w:pPr>
      <w:r w:rsidRPr="002C3AD6">
        <w:rPr>
          <w:rFonts w:ascii="Century Gothic" w:hAnsi="Century Gothic"/>
          <w:noProof/>
        </w:rPr>
        <w:drawing>
          <wp:anchor distT="0" distB="0" distL="114300" distR="114300" simplePos="0" relativeHeight="251661312" behindDoc="1" locked="0" layoutInCell="1" allowOverlap="1" wp14:anchorId="1B19953D" wp14:editId="7DBD245E">
            <wp:simplePos x="0" y="0"/>
            <wp:positionH relativeFrom="margin">
              <wp:align>center</wp:align>
            </wp:positionH>
            <wp:positionV relativeFrom="paragraph">
              <wp:posOffset>0</wp:posOffset>
            </wp:positionV>
            <wp:extent cx="3772426" cy="1400370"/>
            <wp:effectExtent l="0" t="0" r="0" b="9525"/>
            <wp:wrapTight wrapText="bothSides">
              <wp:wrapPolygon edited="0">
                <wp:start x="0" y="0"/>
                <wp:lineTo x="0" y="21453"/>
                <wp:lineTo x="21491" y="21453"/>
                <wp:lineTo x="21491" y="0"/>
                <wp:lineTo x="0" y="0"/>
              </wp:wrapPolygon>
            </wp:wrapTight>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7">
                      <a:extLst>
                        <a:ext uri="{28A0092B-C50C-407E-A947-70E740481C1C}">
                          <a14:useLocalDpi xmlns:a14="http://schemas.microsoft.com/office/drawing/2010/main" val="0"/>
                        </a:ext>
                      </a:extLst>
                    </a:blip>
                    <a:stretch>
                      <a:fillRect/>
                    </a:stretch>
                  </pic:blipFill>
                  <pic:spPr>
                    <a:xfrm>
                      <a:off x="0" y="0"/>
                      <a:ext cx="3772426" cy="1400370"/>
                    </a:xfrm>
                    <a:prstGeom prst="rect">
                      <a:avLst/>
                    </a:prstGeom>
                  </pic:spPr>
                </pic:pic>
              </a:graphicData>
            </a:graphic>
          </wp:anchor>
        </w:drawing>
      </w:r>
    </w:p>
    <w:p w14:paraId="0CD60E03" w14:textId="77777777" w:rsidR="002F0AC3" w:rsidRDefault="002F0AC3" w:rsidP="002F0AC3">
      <w:pPr>
        <w:spacing w:after="0" w:line="240" w:lineRule="auto"/>
        <w:rPr>
          <w:rFonts w:ascii="Verdana" w:eastAsia="Aptos" w:hAnsi="Verdana" w:cs="Arial"/>
          <w:color w:val="000000"/>
          <w:lang w:eastAsia="es-CO"/>
        </w:rPr>
      </w:pPr>
    </w:p>
    <w:p w14:paraId="0AE43A2C" w14:textId="77777777" w:rsidR="002F0AC3" w:rsidRDefault="002F0AC3" w:rsidP="002F0AC3">
      <w:pPr>
        <w:spacing w:after="0" w:line="240" w:lineRule="auto"/>
        <w:rPr>
          <w:rFonts w:ascii="Verdana" w:eastAsia="Aptos" w:hAnsi="Verdana" w:cs="Arial"/>
          <w:color w:val="000000"/>
          <w:lang w:eastAsia="es-CO"/>
        </w:rPr>
      </w:pPr>
    </w:p>
    <w:p w14:paraId="70985C7C" w14:textId="77777777" w:rsidR="002F0AC3" w:rsidRDefault="002F0AC3" w:rsidP="002F0AC3">
      <w:pPr>
        <w:spacing w:after="0" w:line="240" w:lineRule="auto"/>
        <w:rPr>
          <w:rFonts w:ascii="Verdana" w:eastAsia="Aptos" w:hAnsi="Verdana" w:cs="Arial"/>
          <w:color w:val="000000"/>
          <w:lang w:eastAsia="es-CO"/>
        </w:rPr>
      </w:pPr>
    </w:p>
    <w:p w14:paraId="2020EB39" w14:textId="77777777" w:rsidR="002F0AC3" w:rsidRDefault="002F0AC3" w:rsidP="002F0AC3">
      <w:pPr>
        <w:spacing w:after="0" w:line="240" w:lineRule="auto"/>
        <w:rPr>
          <w:rFonts w:ascii="Verdana" w:eastAsia="Aptos" w:hAnsi="Verdana" w:cs="Arial"/>
          <w:color w:val="000000"/>
          <w:lang w:eastAsia="es-CO"/>
        </w:rPr>
      </w:pPr>
    </w:p>
    <w:p w14:paraId="29ECAC05" w14:textId="77777777" w:rsidR="002F0AC3" w:rsidRDefault="002F0AC3" w:rsidP="002F0AC3">
      <w:pPr>
        <w:spacing w:after="0" w:line="240" w:lineRule="auto"/>
        <w:rPr>
          <w:rFonts w:ascii="Verdana" w:eastAsia="Aptos" w:hAnsi="Verdana" w:cs="Arial"/>
          <w:color w:val="000000"/>
          <w:lang w:eastAsia="es-CO"/>
        </w:rPr>
      </w:pPr>
    </w:p>
    <w:p w14:paraId="77900C23" w14:textId="77777777" w:rsidR="002F0AC3" w:rsidRDefault="002F0AC3" w:rsidP="002F0AC3">
      <w:pPr>
        <w:spacing w:after="0" w:line="240" w:lineRule="auto"/>
        <w:rPr>
          <w:rFonts w:ascii="Verdana" w:eastAsia="Aptos" w:hAnsi="Verdana" w:cs="Arial"/>
          <w:color w:val="000000"/>
          <w:lang w:eastAsia="es-CO"/>
        </w:rPr>
      </w:pPr>
    </w:p>
    <w:p w14:paraId="515C0DBD" w14:textId="77777777" w:rsidR="002F0AC3" w:rsidRDefault="002F0AC3" w:rsidP="002F0AC3">
      <w:pPr>
        <w:spacing w:after="0" w:line="240" w:lineRule="auto"/>
        <w:rPr>
          <w:rFonts w:ascii="Verdana" w:eastAsia="Aptos" w:hAnsi="Verdana" w:cs="Arial"/>
          <w:color w:val="000000"/>
          <w:lang w:eastAsia="es-CO"/>
        </w:rPr>
      </w:pPr>
    </w:p>
    <w:p w14:paraId="5387FE13" w14:textId="77777777" w:rsidR="002F0AC3" w:rsidRPr="00E74941" w:rsidRDefault="002F0AC3" w:rsidP="002F0AC3">
      <w:pPr>
        <w:spacing w:after="0" w:line="240" w:lineRule="auto"/>
        <w:rPr>
          <w:rFonts w:ascii="Verdana" w:eastAsia="Aptos" w:hAnsi="Verdana" w:cs="Arial"/>
          <w:color w:val="000000"/>
          <w:lang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2F0AC3" w:rsidRPr="0080053F" w14:paraId="6DB11D3A" w14:textId="77777777" w:rsidTr="00046D79">
        <w:trPr>
          <w:trHeight w:val="315"/>
        </w:trPr>
        <w:tc>
          <w:tcPr>
            <w:tcW w:w="893" w:type="dxa"/>
            <w:vAlign w:val="center"/>
            <w:hideMark/>
          </w:tcPr>
          <w:bookmarkEnd w:id="0"/>
          <w:p w14:paraId="232B06C1" w14:textId="77777777" w:rsidR="002F0AC3" w:rsidRPr="0080053F" w:rsidRDefault="002F0AC3" w:rsidP="00046D79">
            <w:pPr>
              <w:contextualSpacing/>
              <w:rPr>
                <w:rFonts w:ascii="Verdana" w:hAnsi="Verdana" w:cs="Arial"/>
                <w:color w:val="000000" w:themeColor="text1"/>
                <w:sz w:val="14"/>
                <w:szCs w:val="14"/>
                <w:lang w:val="es-ES" w:eastAsia="es-ES"/>
              </w:rPr>
            </w:pPr>
            <w:r w:rsidRPr="0080053F">
              <w:rPr>
                <w:rFonts w:ascii="Verdana" w:hAnsi="Verdana" w:cs="Arial"/>
                <w:color w:val="000000" w:themeColor="text1"/>
                <w:sz w:val="14"/>
                <w:szCs w:val="14"/>
                <w:lang w:val="es-ES" w:eastAsia="es-ES"/>
              </w:rPr>
              <w:t>Elaboró:</w:t>
            </w:r>
          </w:p>
        </w:tc>
        <w:tc>
          <w:tcPr>
            <w:tcW w:w="5628" w:type="dxa"/>
            <w:tcBorders>
              <w:top w:val="nil"/>
              <w:left w:val="nil"/>
              <w:bottom w:val="dotted" w:sz="4" w:space="0" w:color="7F7F7F" w:themeColor="text1" w:themeTint="80"/>
              <w:right w:val="nil"/>
            </w:tcBorders>
            <w:vAlign w:val="center"/>
            <w:hideMark/>
          </w:tcPr>
          <w:p w14:paraId="44AEEA83" w14:textId="77777777" w:rsidR="002F0AC3" w:rsidRPr="0080053F" w:rsidRDefault="002F0AC3" w:rsidP="00046D79">
            <w:pPr>
              <w:contextualSpacing/>
              <w:rPr>
                <w:rFonts w:ascii="Verdana" w:eastAsia="Arial" w:hAnsi="Verdana" w:cs="Arial"/>
                <w:color w:val="000000" w:themeColor="text1"/>
                <w:sz w:val="14"/>
                <w:szCs w:val="14"/>
              </w:rPr>
            </w:pPr>
            <w:r w:rsidRPr="0080053F">
              <w:rPr>
                <w:rFonts w:ascii="Verdana" w:eastAsia="Arial" w:hAnsi="Verdana" w:cs="Arial"/>
                <w:color w:val="000000" w:themeColor="text1"/>
                <w:sz w:val="14"/>
                <w:szCs w:val="14"/>
              </w:rPr>
              <w:t xml:space="preserve">Andreina Cerpa Muñoz </w:t>
            </w:r>
          </w:p>
          <w:p w14:paraId="0567799D" w14:textId="77777777" w:rsidR="002F0AC3" w:rsidRPr="0080053F" w:rsidRDefault="002F0AC3" w:rsidP="00046D79">
            <w:pPr>
              <w:contextualSpacing/>
              <w:rPr>
                <w:rFonts w:ascii="Verdana" w:eastAsia="Arial" w:hAnsi="Verdana" w:cs="Arial"/>
                <w:color w:val="000000" w:themeColor="text1"/>
                <w:sz w:val="14"/>
                <w:szCs w:val="14"/>
              </w:rPr>
            </w:pPr>
            <w:r w:rsidRPr="0080053F">
              <w:rPr>
                <w:rStyle w:val="normaltextrun"/>
                <w:rFonts w:ascii="Verdana" w:eastAsia="Arial" w:hAnsi="Verdana" w:cs="Arial"/>
                <w:color w:val="000000" w:themeColor="text1"/>
                <w:sz w:val="14"/>
                <w:szCs w:val="14"/>
              </w:rPr>
              <w:t>Analista T2-02 de la Subdirección de Gestión Contractual</w:t>
            </w:r>
          </w:p>
        </w:tc>
      </w:tr>
      <w:tr w:rsidR="002F0AC3" w:rsidRPr="0080053F" w14:paraId="7D395B64" w14:textId="77777777" w:rsidTr="00046D79">
        <w:trPr>
          <w:trHeight w:val="330"/>
        </w:trPr>
        <w:tc>
          <w:tcPr>
            <w:tcW w:w="893" w:type="dxa"/>
            <w:vAlign w:val="center"/>
            <w:hideMark/>
          </w:tcPr>
          <w:p w14:paraId="3EBB25D1" w14:textId="77777777" w:rsidR="002F0AC3" w:rsidRPr="0080053F" w:rsidRDefault="002F0AC3" w:rsidP="00046D79">
            <w:pPr>
              <w:contextualSpacing/>
              <w:rPr>
                <w:rFonts w:ascii="Verdana" w:hAnsi="Verdana" w:cs="Arial"/>
                <w:color w:val="000000" w:themeColor="text1"/>
                <w:sz w:val="14"/>
                <w:szCs w:val="14"/>
                <w:lang w:val="es-ES" w:eastAsia="es-ES"/>
              </w:rPr>
            </w:pPr>
            <w:r w:rsidRPr="0080053F">
              <w:rPr>
                <w:rFonts w:ascii="Verdana" w:hAnsi="Verdana" w:cs="Arial"/>
                <w:color w:val="000000" w:themeColor="text1"/>
                <w:sz w:val="14"/>
                <w:szCs w:val="14"/>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CA6A48F" w14:textId="77777777" w:rsidR="002F0AC3" w:rsidRPr="0080053F" w:rsidRDefault="002F0AC3" w:rsidP="00046D79">
            <w:pPr>
              <w:pStyle w:val="paragraph"/>
              <w:spacing w:before="0" w:beforeAutospacing="0" w:after="0" w:afterAutospacing="0"/>
              <w:contextualSpacing/>
              <w:textAlignment w:val="baseline"/>
              <w:rPr>
                <w:rFonts w:ascii="Verdana" w:hAnsi="Verdana" w:cs="Segoe UI"/>
                <w:color w:val="000000" w:themeColor="text1"/>
                <w:sz w:val="14"/>
                <w:szCs w:val="14"/>
              </w:rPr>
            </w:pPr>
            <w:r w:rsidRPr="0080053F">
              <w:rPr>
                <w:rFonts w:ascii="Verdana" w:hAnsi="Verdana" w:cs="Segoe UI"/>
                <w:color w:val="000000" w:themeColor="text1"/>
                <w:sz w:val="14"/>
                <w:szCs w:val="14"/>
              </w:rPr>
              <w:t xml:space="preserve">Juan Carlos González </w:t>
            </w:r>
          </w:p>
          <w:p w14:paraId="1003CF6E" w14:textId="77777777" w:rsidR="002F0AC3" w:rsidRPr="0080053F" w:rsidRDefault="002F0AC3" w:rsidP="00046D79">
            <w:pPr>
              <w:pStyle w:val="paragraph"/>
              <w:spacing w:before="0" w:beforeAutospacing="0" w:after="0" w:afterAutospacing="0"/>
              <w:contextualSpacing/>
              <w:textAlignment w:val="baseline"/>
              <w:rPr>
                <w:rFonts w:ascii="Verdana" w:hAnsi="Verdana" w:cs="Segoe UI"/>
                <w:color w:val="000000" w:themeColor="text1"/>
                <w:sz w:val="14"/>
                <w:szCs w:val="14"/>
              </w:rPr>
            </w:pPr>
            <w:r w:rsidRPr="0080053F">
              <w:rPr>
                <w:rStyle w:val="normaltextrun"/>
                <w:rFonts w:ascii="Verdana" w:hAnsi="Verdana" w:cs="Arial"/>
                <w:color w:val="000000" w:themeColor="text1"/>
                <w:sz w:val="14"/>
                <w:szCs w:val="14"/>
                <w:lang w:val="es-ES"/>
              </w:rPr>
              <w:t>Contratista de la Subdirección de Gestión Contractual</w:t>
            </w:r>
            <w:r w:rsidRPr="0080053F">
              <w:rPr>
                <w:rStyle w:val="eop"/>
                <w:rFonts w:ascii="Verdana" w:hAnsi="Verdana" w:cs="Arial"/>
                <w:color w:val="000000" w:themeColor="text1"/>
                <w:sz w:val="14"/>
                <w:szCs w:val="14"/>
              </w:rPr>
              <w:t> </w:t>
            </w:r>
          </w:p>
        </w:tc>
      </w:tr>
      <w:tr w:rsidR="002F0AC3" w:rsidRPr="0080053F" w14:paraId="09B9A774" w14:textId="77777777" w:rsidTr="00046D79">
        <w:trPr>
          <w:trHeight w:val="300"/>
        </w:trPr>
        <w:tc>
          <w:tcPr>
            <w:tcW w:w="893" w:type="dxa"/>
            <w:vAlign w:val="center"/>
          </w:tcPr>
          <w:p w14:paraId="1C740085" w14:textId="77777777" w:rsidR="002F0AC3" w:rsidRPr="0080053F" w:rsidRDefault="002F0AC3" w:rsidP="00046D79">
            <w:pPr>
              <w:contextualSpacing/>
              <w:rPr>
                <w:rFonts w:ascii="Verdana" w:hAnsi="Verdana" w:cs="Arial"/>
                <w:color w:val="000000" w:themeColor="text1"/>
                <w:sz w:val="14"/>
                <w:szCs w:val="14"/>
                <w:lang w:val="es-ES" w:eastAsia="es-ES"/>
              </w:rPr>
            </w:pPr>
            <w:r w:rsidRPr="0080053F">
              <w:rPr>
                <w:rFonts w:ascii="Verdana" w:hAnsi="Verdana" w:cs="Arial"/>
                <w:color w:val="000000" w:themeColor="text1"/>
                <w:sz w:val="14"/>
                <w:szCs w:val="14"/>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944A517" w14:textId="77777777" w:rsidR="002F0AC3" w:rsidRPr="0080053F" w:rsidRDefault="002F0AC3" w:rsidP="00046D79">
            <w:pPr>
              <w:contextualSpacing/>
              <w:rPr>
                <w:rFonts w:ascii="Verdana" w:eastAsia="Calibri" w:hAnsi="Verdana" w:cs="Arial"/>
                <w:color w:val="000000" w:themeColor="text1"/>
                <w:sz w:val="14"/>
                <w:szCs w:val="14"/>
                <w:lang w:val="pt-BR" w:eastAsia="es-ES"/>
              </w:rPr>
            </w:pPr>
            <w:r w:rsidRPr="0080053F">
              <w:rPr>
                <w:rFonts w:ascii="Verdana" w:eastAsia="Calibri" w:hAnsi="Verdana" w:cs="Arial"/>
                <w:color w:val="000000" w:themeColor="text1"/>
                <w:sz w:val="14"/>
                <w:szCs w:val="14"/>
                <w:lang w:val="pt-BR" w:eastAsia="es-ES"/>
              </w:rPr>
              <w:t xml:space="preserve">Carolina Quintero </w:t>
            </w:r>
            <w:proofErr w:type="spellStart"/>
            <w:r w:rsidRPr="0080053F">
              <w:rPr>
                <w:rFonts w:ascii="Verdana" w:eastAsia="Calibri" w:hAnsi="Verdana" w:cs="Arial"/>
                <w:color w:val="000000" w:themeColor="text1"/>
                <w:sz w:val="14"/>
                <w:szCs w:val="14"/>
                <w:lang w:val="pt-BR" w:eastAsia="es-ES"/>
              </w:rPr>
              <w:t>Gacharná</w:t>
            </w:r>
            <w:proofErr w:type="spellEnd"/>
          </w:p>
          <w:p w14:paraId="497E34BA" w14:textId="77777777" w:rsidR="002F0AC3" w:rsidRPr="0080053F" w:rsidRDefault="002F0AC3" w:rsidP="00046D79">
            <w:pPr>
              <w:contextualSpacing/>
              <w:rPr>
                <w:rFonts w:ascii="Verdana" w:eastAsia="Calibri" w:hAnsi="Verdana" w:cs="Arial"/>
                <w:color w:val="000000" w:themeColor="text1"/>
                <w:sz w:val="14"/>
                <w:szCs w:val="14"/>
                <w:lang w:val="pt-BR" w:eastAsia="es-ES"/>
              </w:rPr>
            </w:pPr>
            <w:r w:rsidRPr="0080053F">
              <w:rPr>
                <w:rFonts w:ascii="Verdana" w:eastAsia="Calibri" w:hAnsi="Verdana" w:cs="Arial"/>
                <w:color w:val="000000" w:themeColor="text1"/>
                <w:sz w:val="14"/>
                <w:szCs w:val="14"/>
                <w:lang w:eastAsia="es-ES"/>
              </w:rPr>
              <w:t>Subdirectora</w:t>
            </w:r>
            <w:r w:rsidRPr="0080053F">
              <w:rPr>
                <w:rFonts w:ascii="Verdana" w:eastAsia="Calibri" w:hAnsi="Verdana" w:cs="Arial"/>
                <w:color w:val="000000" w:themeColor="text1"/>
                <w:sz w:val="14"/>
                <w:szCs w:val="14"/>
                <w:lang w:val="pt-BR" w:eastAsia="es-ES"/>
              </w:rPr>
              <w:t xml:space="preserve"> de Gestión </w:t>
            </w:r>
            <w:proofErr w:type="spellStart"/>
            <w:r w:rsidRPr="0080053F">
              <w:rPr>
                <w:rFonts w:ascii="Verdana" w:eastAsia="Calibri" w:hAnsi="Verdana" w:cs="Arial"/>
                <w:color w:val="000000" w:themeColor="text1"/>
                <w:sz w:val="14"/>
                <w:szCs w:val="14"/>
                <w:lang w:val="pt-BR" w:eastAsia="es-ES"/>
              </w:rPr>
              <w:t>Contractual</w:t>
            </w:r>
            <w:proofErr w:type="spellEnd"/>
            <w:r w:rsidRPr="0080053F">
              <w:rPr>
                <w:rFonts w:ascii="Verdana" w:eastAsia="Calibri" w:hAnsi="Verdana" w:cs="Arial"/>
                <w:color w:val="000000" w:themeColor="text1"/>
                <w:sz w:val="14"/>
                <w:szCs w:val="14"/>
                <w:lang w:val="pt-BR" w:eastAsia="es-ES"/>
              </w:rPr>
              <w:t xml:space="preserve"> ANCP – CCE</w:t>
            </w:r>
          </w:p>
        </w:tc>
      </w:tr>
    </w:tbl>
    <w:p w14:paraId="3259C57D" w14:textId="77777777" w:rsidR="002F0AC3" w:rsidRPr="0024624F" w:rsidRDefault="002F0AC3" w:rsidP="002F0AC3">
      <w:pPr>
        <w:spacing w:after="0"/>
        <w:rPr>
          <w:rFonts w:ascii="Verdana" w:hAnsi="Verdana"/>
        </w:rPr>
      </w:pPr>
    </w:p>
    <w:p w14:paraId="3FFF6AF4" w14:textId="77777777" w:rsidR="000F5A42" w:rsidRDefault="000F5A42"/>
    <w:sectPr w:rsidR="000F5A42" w:rsidSect="002F0AC3">
      <w:headerReference w:type="default" r:id="rId18"/>
      <w:footerReference w:type="default" r:id="rId19"/>
      <w:pgSz w:w="12240" w:h="15840" w:code="1"/>
      <w:pgMar w:top="1417" w:right="1701" w:bottom="1417" w:left="1701" w:header="709" w:footer="101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F3C431" w14:textId="77777777" w:rsidR="00CF07D4" w:rsidRDefault="00CF07D4" w:rsidP="002F0AC3">
      <w:pPr>
        <w:spacing w:after="0" w:line="240" w:lineRule="auto"/>
      </w:pPr>
      <w:r>
        <w:separator/>
      </w:r>
    </w:p>
  </w:endnote>
  <w:endnote w:type="continuationSeparator" w:id="0">
    <w:p w14:paraId="224BE0A9" w14:textId="77777777" w:rsidR="00CF07D4" w:rsidRDefault="00CF07D4" w:rsidP="002F0A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90AA86" w14:textId="77777777" w:rsidR="002F0AC3" w:rsidRDefault="002F0AC3">
    <w:pPr>
      <w:pStyle w:val="Piedepgina"/>
    </w:pPr>
  </w:p>
  <w:p w14:paraId="28EABA09" w14:textId="77777777" w:rsidR="002F0AC3" w:rsidRPr="00174B77" w:rsidRDefault="002F0AC3"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4FEFBF90" w14:textId="77777777" w:rsidR="002F0AC3" w:rsidRDefault="002F0AC3"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3B94DE6A" w14:textId="77777777" w:rsidR="002F0AC3" w:rsidRPr="00E41027" w:rsidRDefault="002F0AC3" w:rsidP="00D520D8">
    <w:pPr>
      <w:spacing w:after="0"/>
      <w:jc w:val="both"/>
      <w:rPr>
        <w:rFonts w:ascii="Verdana" w:hAnsi="Verdana"/>
        <w:sz w:val="18"/>
        <w:szCs w:val="18"/>
      </w:rPr>
    </w:pPr>
    <w:r w:rsidRPr="00E41027">
      <w:rPr>
        <w:rFonts w:ascii="Verdana" w:hAnsi="Verdana"/>
        <w:sz w:val="18"/>
        <w:szCs w:val="18"/>
      </w:rPr>
      <w:t>Mesa de servicio: (+57) 601 7456788</w:t>
    </w:r>
  </w:p>
  <w:p w14:paraId="59255FF3" w14:textId="77777777" w:rsidR="002F0AC3" w:rsidRDefault="002F0AC3"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D9D998" w14:textId="77777777" w:rsidR="00CF07D4" w:rsidRDefault="00CF07D4" w:rsidP="002F0AC3">
      <w:pPr>
        <w:spacing w:after="0" w:line="240" w:lineRule="auto"/>
      </w:pPr>
      <w:r>
        <w:separator/>
      </w:r>
    </w:p>
  </w:footnote>
  <w:footnote w:type="continuationSeparator" w:id="0">
    <w:p w14:paraId="3313D516" w14:textId="77777777" w:rsidR="00CF07D4" w:rsidRDefault="00CF07D4" w:rsidP="002F0AC3">
      <w:pPr>
        <w:spacing w:after="0" w:line="240" w:lineRule="auto"/>
      </w:pPr>
      <w:r>
        <w:continuationSeparator/>
      </w:r>
    </w:p>
  </w:footnote>
  <w:footnote w:id="1">
    <w:p w14:paraId="7103CBDD" w14:textId="77777777" w:rsidR="002F0AC3" w:rsidRPr="00F95083" w:rsidRDefault="002F0AC3" w:rsidP="002F0AC3">
      <w:pPr>
        <w:pStyle w:val="Textonotapie"/>
        <w:ind w:firstLine="709"/>
        <w:jc w:val="both"/>
        <w:rPr>
          <w:rFonts w:ascii="Verdana"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39B0D0C0" w14:textId="77777777" w:rsidR="002F0AC3" w:rsidRPr="00F95083" w:rsidRDefault="002F0AC3" w:rsidP="002F0AC3">
      <w:pPr>
        <w:pStyle w:val="Textonotapie"/>
        <w:ind w:firstLine="709"/>
        <w:jc w:val="both"/>
        <w:rPr>
          <w:rFonts w:ascii="Verdana" w:hAnsi="Verdana" w:cs="Arial"/>
          <w:sz w:val="15"/>
          <w:szCs w:val="15"/>
        </w:rPr>
      </w:pPr>
      <w:r w:rsidRPr="00F95083">
        <w:rPr>
          <w:rFonts w:ascii="Verdana" w:hAnsi="Verdana" w:cs="Arial"/>
          <w:sz w:val="15"/>
          <w:szCs w:val="15"/>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2">
    <w:p w14:paraId="4F452C24" w14:textId="77777777" w:rsidR="002F0AC3" w:rsidRPr="00F95083" w:rsidRDefault="002F0AC3" w:rsidP="002F0AC3">
      <w:pPr>
        <w:pStyle w:val="Textonotapie"/>
        <w:ind w:firstLine="709"/>
        <w:jc w:val="both"/>
        <w:rPr>
          <w:rFonts w:ascii="Verdana"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Gaceta del Congreso de la República No. 71 del 2005.</w:t>
      </w:r>
    </w:p>
  </w:footnote>
  <w:footnote w:id="3">
    <w:p w14:paraId="2BBB4B7A" w14:textId="77777777" w:rsidR="002F0AC3" w:rsidRPr="00F95083" w:rsidRDefault="002F0AC3" w:rsidP="002F0AC3">
      <w:pPr>
        <w:pStyle w:val="Textonotapie"/>
        <w:ind w:firstLine="709"/>
        <w:jc w:val="both"/>
        <w:rPr>
          <w:rFonts w:ascii="Verdana" w:hAnsi="Verdana" w:cs="Arial"/>
          <w:sz w:val="15"/>
          <w:szCs w:val="15"/>
          <w:lang w:val="pt-BR"/>
        </w:rPr>
      </w:pPr>
      <w:r w:rsidRPr="00F95083">
        <w:rPr>
          <w:rStyle w:val="Refdenotaalpie"/>
          <w:rFonts w:ascii="Verdana" w:hAnsi="Verdana" w:cs="Arial"/>
          <w:sz w:val="15"/>
          <w:szCs w:val="15"/>
        </w:rPr>
        <w:footnoteRef/>
      </w:r>
      <w:r w:rsidRPr="00F95083">
        <w:rPr>
          <w:rFonts w:ascii="Verdana" w:hAnsi="Verdana" w:cs="Arial"/>
          <w:sz w:val="15"/>
          <w:szCs w:val="15"/>
          <w:lang w:val="pt-BR"/>
        </w:rPr>
        <w:t xml:space="preserve"> Corte Constitucional, Sentencia C- 1153 de 2005, M.P. Marco Gerardo </w:t>
      </w:r>
      <w:r w:rsidRPr="00F95083">
        <w:rPr>
          <w:rFonts w:ascii="Verdana" w:hAnsi="Verdana" w:cs="Arial"/>
          <w:sz w:val="15"/>
          <w:szCs w:val="15"/>
          <w:lang w:val="pt-BR"/>
        </w:rPr>
        <w:t>Monroy Cabra.</w:t>
      </w:r>
    </w:p>
  </w:footnote>
  <w:footnote w:id="4">
    <w:p w14:paraId="4B4B5E76" w14:textId="77777777" w:rsidR="002F0AC3" w:rsidRPr="00F95083" w:rsidRDefault="002F0AC3" w:rsidP="002F0AC3">
      <w:pPr>
        <w:pStyle w:val="Textonotapie"/>
        <w:ind w:firstLine="709"/>
        <w:jc w:val="both"/>
        <w:rPr>
          <w:rFonts w:ascii="Verdana" w:hAnsi="Verdana" w:cs="Arial"/>
          <w:sz w:val="15"/>
          <w:szCs w:val="15"/>
          <w:lang w:val="pt-BR"/>
        </w:rPr>
      </w:pPr>
      <w:r w:rsidRPr="00F95083">
        <w:rPr>
          <w:rStyle w:val="Refdenotaalpie"/>
          <w:rFonts w:ascii="Verdana" w:hAnsi="Verdana" w:cs="Arial"/>
          <w:sz w:val="15"/>
          <w:szCs w:val="15"/>
        </w:rPr>
        <w:footnoteRef/>
      </w:r>
      <w:r w:rsidRPr="00F95083">
        <w:rPr>
          <w:rFonts w:ascii="Verdana" w:hAnsi="Verdana" w:cs="Arial"/>
          <w:sz w:val="15"/>
          <w:szCs w:val="15"/>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5">
    <w:p w14:paraId="2573B839" w14:textId="77777777" w:rsidR="002F0AC3" w:rsidRPr="00F95083" w:rsidRDefault="002F0AC3" w:rsidP="002F0AC3">
      <w:pPr>
        <w:pStyle w:val="Textonotapie"/>
        <w:ind w:firstLine="709"/>
        <w:jc w:val="both"/>
        <w:rPr>
          <w:rFonts w:ascii="Verdana" w:hAnsi="Verdana" w:cs="Arial"/>
          <w:sz w:val="15"/>
          <w:szCs w:val="15"/>
          <w:lang w:val="es-CO"/>
        </w:rPr>
      </w:pPr>
      <w:r w:rsidRPr="00F95083">
        <w:rPr>
          <w:rStyle w:val="Refdenotaalpie"/>
          <w:rFonts w:ascii="Verdana" w:hAnsi="Verdana" w:cs="Arial"/>
          <w:sz w:val="15"/>
          <w:szCs w:val="15"/>
        </w:rPr>
        <w:footnoteRef/>
      </w:r>
      <w:r w:rsidRPr="00F95083">
        <w:rPr>
          <w:rFonts w:ascii="Verdana" w:hAnsi="Verdana" w:cs="Arial"/>
          <w:sz w:val="15"/>
          <w:szCs w:val="15"/>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6">
    <w:p w14:paraId="636F3700" w14:textId="77777777" w:rsidR="002F0AC3" w:rsidRPr="00F95083" w:rsidRDefault="002F0AC3" w:rsidP="002F0AC3">
      <w:pPr>
        <w:pStyle w:val="Textonotapie"/>
        <w:ind w:firstLine="709"/>
        <w:jc w:val="both"/>
        <w:rPr>
          <w:rFonts w:ascii="Verdana"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Consejo de Estado, Sala de Consulta y Servicio Civil de fecha 24 de julio de 2013, radicado 2166, C. P. Álvaro Namén Vargas.  </w:t>
      </w:r>
    </w:p>
  </w:footnote>
  <w:footnote w:id="7">
    <w:p w14:paraId="3C9DE21A" w14:textId="77777777" w:rsidR="002F0AC3" w:rsidRPr="00F95083" w:rsidRDefault="002F0AC3" w:rsidP="002F0AC3">
      <w:pPr>
        <w:spacing w:after="0" w:line="240" w:lineRule="auto"/>
        <w:ind w:firstLine="709"/>
        <w:jc w:val="both"/>
        <w:rPr>
          <w:rFonts w:ascii="Verdana" w:eastAsia="Times New Roman"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w:t>
      </w:r>
      <w:bookmarkStart w:id="5" w:name="33"/>
      <w:r w:rsidRPr="00F95083">
        <w:rPr>
          <w:rFonts w:ascii="Verdana" w:eastAsia="Calibri" w:hAnsi="Verdana" w:cs="Arial"/>
          <w:color w:val="000000"/>
          <w:sz w:val="15"/>
          <w:szCs w:val="15"/>
        </w:rPr>
        <w:t>“</w:t>
      </w:r>
      <w:r w:rsidRPr="00F95083">
        <w:rPr>
          <w:rFonts w:ascii="Verdana" w:eastAsia="Times New Roman" w:hAnsi="Verdana" w:cs="Arial"/>
          <w:sz w:val="15"/>
          <w:szCs w:val="15"/>
        </w:rPr>
        <w:t>Artículo 33. Restricciones a la contratación pública.</w:t>
      </w:r>
      <w:bookmarkEnd w:id="5"/>
      <w:r w:rsidRPr="00F95083">
        <w:rPr>
          <w:rFonts w:ascii="Verdana" w:eastAsia="Times New Roman" w:hAnsi="Verdana" w:cs="Arial"/>
          <w:sz w:val="15"/>
          <w:szCs w:val="15"/>
        </w:rPr>
        <w:t> Durante los cuatro (4) meses anteriores a la elección presidencial y hasta la realización de la elección en la segunda vuelta, si fuere el caso, queda prohibida la contratación directa por parte de todos los entes del Estado.</w:t>
      </w:r>
    </w:p>
    <w:p w14:paraId="0FF7D6E4" w14:textId="77777777" w:rsidR="002F0AC3" w:rsidRPr="00F95083" w:rsidRDefault="002F0AC3" w:rsidP="002F0AC3">
      <w:pPr>
        <w:spacing w:after="0" w:line="240" w:lineRule="auto"/>
        <w:ind w:firstLine="709"/>
        <w:jc w:val="both"/>
        <w:rPr>
          <w:rFonts w:ascii="Verdana" w:eastAsia="Times New Roman" w:hAnsi="Verdana" w:cs="Arial"/>
          <w:sz w:val="15"/>
          <w:szCs w:val="15"/>
        </w:rPr>
      </w:pPr>
      <w:r w:rsidRPr="00F95083">
        <w:rPr>
          <w:rFonts w:ascii="Verdana" w:eastAsia="Times New Roman" w:hAnsi="Verdana" w:cs="Arial"/>
          <w:sz w:val="15"/>
          <w:szCs w:val="15"/>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F95083">
        <w:rPr>
          <w:rFonts w:ascii="Verdana" w:eastAsia="Calibri" w:hAnsi="Verdana" w:cs="Arial"/>
          <w:color w:val="000000"/>
          <w:sz w:val="15"/>
          <w:szCs w:val="15"/>
        </w:rPr>
        <w:t>”</w:t>
      </w:r>
      <w:r w:rsidRPr="00F95083">
        <w:rPr>
          <w:rFonts w:ascii="Verdana" w:eastAsia="Times New Roman" w:hAnsi="Verdana" w:cs="Arial"/>
          <w:sz w:val="15"/>
          <w:szCs w:val="15"/>
        </w:rPr>
        <w:t>.</w:t>
      </w:r>
    </w:p>
  </w:footnote>
  <w:footnote w:id="8">
    <w:p w14:paraId="31FB9B55" w14:textId="77777777" w:rsidR="002F0AC3" w:rsidRPr="00F95083" w:rsidRDefault="002F0AC3" w:rsidP="002F0AC3">
      <w:pPr>
        <w:pStyle w:val="NormalWeb"/>
        <w:spacing w:before="0" w:beforeAutospacing="0" w:after="0" w:afterAutospacing="0"/>
        <w:ind w:firstLine="709"/>
        <w:jc w:val="both"/>
        <w:rPr>
          <w:rFonts w:ascii="Verdana" w:hAnsi="Verdana" w:cs="Arial"/>
          <w:sz w:val="15"/>
          <w:szCs w:val="15"/>
          <w:lang w:val="es-MX"/>
        </w:rPr>
      </w:pPr>
      <w:r w:rsidRPr="00F95083">
        <w:rPr>
          <w:rStyle w:val="Refdenotaalpie"/>
          <w:rFonts w:ascii="Verdana" w:eastAsiaTheme="majorEastAsia" w:hAnsi="Verdana" w:cs="Arial"/>
          <w:sz w:val="15"/>
          <w:szCs w:val="15"/>
        </w:rPr>
        <w:footnoteRef/>
      </w:r>
      <w:r w:rsidRPr="00F95083">
        <w:rPr>
          <w:rFonts w:ascii="Verdana" w:hAnsi="Verdana" w:cs="Arial"/>
          <w:sz w:val="15"/>
          <w:szCs w:val="15"/>
        </w:rPr>
        <w:t xml:space="preserve"> </w:t>
      </w:r>
      <w:bookmarkStart w:id="6" w:name="38"/>
      <w:r w:rsidRPr="00F95083">
        <w:rPr>
          <w:rFonts w:ascii="Verdana" w:eastAsia="Calibri" w:hAnsi="Verdana" w:cs="Arial"/>
          <w:color w:val="000000"/>
          <w:sz w:val="15"/>
          <w:szCs w:val="15"/>
        </w:rPr>
        <w:t>“</w:t>
      </w:r>
      <w:r w:rsidRPr="00F95083">
        <w:rPr>
          <w:rFonts w:ascii="Verdana" w:hAnsi="Verdana" w:cs="Arial"/>
          <w:sz w:val="15"/>
          <w:szCs w:val="15"/>
          <w:lang w:val="es-MX"/>
        </w:rPr>
        <w:t>Artículo 38. Prohibiciones para los servidores públicos. A los empleados del Estado les está prohibido:</w:t>
      </w:r>
      <w:bookmarkEnd w:id="6"/>
      <w:r w:rsidRPr="00F95083">
        <w:rPr>
          <w:rFonts w:ascii="Verdana" w:hAnsi="Verdana" w:cs="Arial"/>
          <w:sz w:val="15"/>
          <w:szCs w:val="15"/>
          <w:lang w:val="es-MX"/>
        </w:rPr>
        <w:t xml:space="preserve"> […]</w:t>
      </w:r>
    </w:p>
    <w:p w14:paraId="1C82CFB1" w14:textId="77777777" w:rsidR="002F0AC3" w:rsidRPr="00F95083" w:rsidRDefault="002F0AC3" w:rsidP="002F0AC3">
      <w:pPr>
        <w:pStyle w:val="NormalWeb"/>
        <w:spacing w:before="0" w:beforeAutospacing="0" w:after="0" w:afterAutospacing="0"/>
        <w:ind w:firstLine="709"/>
        <w:jc w:val="both"/>
        <w:rPr>
          <w:rFonts w:ascii="Verdana" w:hAnsi="Verdana" w:cs="Arial"/>
          <w:sz w:val="15"/>
          <w:szCs w:val="15"/>
          <w:lang w:val="es-MX"/>
        </w:rPr>
      </w:pPr>
      <w:r w:rsidRPr="00F95083">
        <w:rPr>
          <w:rStyle w:val="baj"/>
          <w:rFonts w:ascii="Verdana" w:hAnsi="Verdana" w:cs="Arial"/>
          <w:sz w:val="15"/>
          <w:szCs w:val="15"/>
          <w:lang w:val="es-MX"/>
        </w:rPr>
        <w:t>Parágrafo.</w:t>
      </w:r>
      <w:r w:rsidRPr="00F95083">
        <w:rPr>
          <w:rFonts w:ascii="Verdana" w:hAnsi="Verdana" w:cs="Arial"/>
          <w:sz w:val="15"/>
          <w:szCs w:val="15"/>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F95083">
        <w:rPr>
          <w:rFonts w:ascii="Verdana" w:eastAsia="Calibri" w:hAnsi="Verdana" w:cs="Arial"/>
          <w:color w:val="000000"/>
          <w:sz w:val="15"/>
          <w:szCs w:val="15"/>
        </w:rPr>
        <w:t>”</w:t>
      </w:r>
      <w:r w:rsidRPr="00F95083">
        <w:rPr>
          <w:rFonts w:ascii="Verdana" w:hAnsi="Verdana" w:cs="Arial"/>
          <w:sz w:val="15"/>
          <w:szCs w:val="15"/>
          <w:lang w:val="es-MX"/>
        </w:rPr>
        <w:t>.</w:t>
      </w:r>
    </w:p>
  </w:footnote>
  <w:footnote w:id="9">
    <w:p w14:paraId="61667B89" w14:textId="77777777" w:rsidR="002F0AC3" w:rsidRPr="00F95083" w:rsidRDefault="002F0AC3" w:rsidP="002F0AC3">
      <w:pPr>
        <w:pStyle w:val="Textonotapie"/>
        <w:ind w:firstLine="708"/>
        <w:jc w:val="both"/>
        <w:rPr>
          <w:rFonts w:ascii="Verdana"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Colombia Compra Eficiente. Circular Externa Única. Numeral 16.5. </w:t>
      </w:r>
    </w:p>
  </w:footnote>
  <w:footnote w:id="10">
    <w:p w14:paraId="339E267D" w14:textId="77777777" w:rsidR="002F0AC3" w:rsidRPr="00F95083" w:rsidRDefault="002F0AC3" w:rsidP="002F0AC3">
      <w:pPr>
        <w:spacing w:after="0" w:line="240" w:lineRule="auto"/>
        <w:ind w:left="100" w:right="244" w:firstLine="709"/>
        <w:jc w:val="both"/>
        <w:rPr>
          <w:rFonts w:ascii="Verdana" w:hAnsi="Verdana" w:cs="Arial"/>
          <w:sz w:val="15"/>
          <w:szCs w:val="15"/>
          <w:lang w:val="es-ES"/>
        </w:rPr>
      </w:pPr>
      <w:r w:rsidRPr="00F95083">
        <w:rPr>
          <w:rStyle w:val="Refdenotaalpie"/>
          <w:rFonts w:ascii="Verdana" w:hAnsi="Verdana" w:cs="Arial"/>
          <w:sz w:val="15"/>
          <w:szCs w:val="15"/>
        </w:rPr>
        <w:footnoteRef/>
      </w:r>
      <w:r w:rsidRPr="00F95083">
        <w:rPr>
          <w:rFonts w:ascii="Verdana" w:hAnsi="Verdana" w:cs="Arial"/>
          <w:sz w:val="15"/>
          <w:szCs w:val="15"/>
        </w:rPr>
        <w:t xml:space="preserve"> Consejo de Estado. Sala de Consulta y Servicio Civil. Concepto del 17 de febrero de 2015. C.P. William Zambrano Cetina. Radicación No. 11001-03-06-000-2015-00164-00(2269).</w:t>
      </w:r>
    </w:p>
  </w:footnote>
  <w:footnote w:id="11">
    <w:p w14:paraId="55375C94" w14:textId="77777777" w:rsidR="002F0AC3" w:rsidRPr="00B8555A" w:rsidRDefault="002F0AC3" w:rsidP="002F0AC3">
      <w:pPr>
        <w:pStyle w:val="Textonotapie"/>
        <w:ind w:firstLine="709"/>
        <w:contextualSpacing/>
        <w:jc w:val="both"/>
        <w:rPr>
          <w:rFonts w:ascii="Verdana" w:hAnsi="Verdana" w:cs="Arial"/>
          <w:sz w:val="18"/>
          <w:szCs w:val="18"/>
        </w:rPr>
      </w:pPr>
      <w:r w:rsidRPr="001D30AB">
        <w:rPr>
          <w:rStyle w:val="Refdenotaalpie"/>
          <w:rFonts w:ascii="Verdana" w:hAnsi="Verdana"/>
          <w:sz w:val="18"/>
          <w:szCs w:val="18"/>
        </w:rPr>
        <w:footnoteRef/>
      </w:r>
      <w:r w:rsidRPr="001D30AB">
        <w:rPr>
          <w:rFonts w:ascii="Verdana" w:hAnsi="Verdana"/>
          <w:sz w:val="18"/>
          <w:szCs w:val="18"/>
        </w:rPr>
        <w:t xml:space="preserve"> </w:t>
      </w:r>
      <w:r w:rsidRPr="001D30AB">
        <w:rPr>
          <w:rFonts w:ascii="Verdana" w:hAnsi="Verdana" w:cs="Arial"/>
          <w:sz w:val="18"/>
          <w:szCs w:val="18"/>
        </w:rPr>
        <w:t>Consejo de Estado -Sección Tercera-. Sentencia del 21 de febrero de 2025. Radicación Número: 68.280. CP: José Roberto Sáchica Méndez.</w:t>
      </w:r>
    </w:p>
  </w:footnote>
  <w:footnote w:id="12">
    <w:p w14:paraId="47E78B6F" w14:textId="77777777" w:rsidR="002F0AC3" w:rsidRPr="001D30AB" w:rsidRDefault="002F0AC3" w:rsidP="002F0AC3">
      <w:pPr>
        <w:pStyle w:val="Textonotapie"/>
        <w:ind w:firstLine="709"/>
        <w:contextualSpacing/>
        <w:jc w:val="both"/>
        <w:rPr>
          <w:rFonts w:ascii="Verdana" w:hAnsi="Verdana" w:cs="Arial"/>
          <w:sz w:val="18"/>
          <w:szCs w:val="18"/>
        </w:rPr>
      </w:pPr>
      <w:r w:rsidRPr="001D30AB">
        <w:rPr>
          <w:rFonts w:ascii="Verdana" w:hAnsi="Verdana"/>
          <w:sz w:val="18"/>
          <w:szCs w:val="18"/>
          <w:vertAlign w:val="superscript"/>
        </w:rPr>
        <w:footnoteRef/>
      </w:r>
      <w:r w:rsidRPr="001D30AB">
        <w:rPr>
          <w:rFonts w:ascii="Verdana" w:hAnsi="Verdana"/>
          <w:sz w:val="18"/>
          <w:szCs w:val="18"/>
          <w:vertAlign w:val="superscript"/>
        </w:rPr>
        <w:t xml:space="preserve"> </w:t>
      </w:r>
      <w:r w:rsidRPr="001D30AB">
        <w:rPr>
          <w:rFonts w:ascii="Verdana" w:hAnsi="Verdana" w:cs="Arial"/>
          <w:sz w:val="18"/>
          <w:szCs w:val="18"/>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p w14:paraId="18DCE9DC" w14:textId="77777777" w:rsidR="002F0AC3" w:rsidRPr="001D30AB" w:rsidRDefault="002F0AC3" w:rsidP="002F0AC3">
      <w:pPr>
        <w:pStyle w:val="Textonotapie"/>
        <w:ind w:firstLine="709"/>
        <w:contextualSpacing/>
        <w:jc w:val="both"/>
        <w:rPr>
          <w:rFonts w:ascii="Verdana" w:hAnsi="Verdana" w:cs="Arial"/>
          <w:sz w:val="18"/>
          <w:szCs w:val="18"/>
        </w:rPr>
      </w:pPr>
    </w:p>
  </w:footnote>
  <w:footnote w:id="13">
    <w:p w14:paraId="6E0449CD" w14:textId="77777777" w:rsidR="002F0AC3" w:rsidRPr="001D30AB" w:rsidRDefault="002F0AC3" w:rsidP="002F0AC3">
      <w:pPr>
        <w:pStyle w:val="Textonotapie"/>
        <w:ind w:firstLine="709"/>
        <w:contextualSpacing/>
        <w:jc w:val="both"/>
        <w:rPr>
          <w:rFonts w:ascii="Verdana" w:hAnsi="Verdana" w:cs="Arial"/>
          <w:sz w:val="18"/>
          <w:szCs w:val="18"/>
        </w:rPr>
      </w:pPr>
      <w:r w:rsidRPr="001D30AB">
        <w:rPr>
          <w:rFonts w:ascii="Verdana" w:hAnsi="Verdana"/>
          <w:sz w:val="18"/>
          <w:szCs w:val="18"/>
          <w:vertAlign w:val="superscript"/>
        </w:rPr>
        <w:footnoteRef/>
      </w:r>
      <w:r w:rsidRPr="001D30AB">
        <w:rPr>
          <w:rFonts w:ascii="Verdana" w:hAnsi="Verdana" w:cs="Arial"/>
          <w:sz w:val="18"/>
          <w:szCs w:val="18"/>
          <w:vertAlign w:val="superscript"/>
        </w:rPr>
        <w:t xml:space="preserve"> </w:t>
      </w:r>
      <w:r w:rsidRPr="001D30AB">
        <w:rPr>
          <w:rFonts w:ascii="Verdana" w:hAnsi="Verdana" w:cs="Arial"/>
          <w:sz w:val="18"/>
          <w:szCs w:val="18"/>
        </w:rPr>
        <w:t>Ley 80 de 1993: “Artículo 41. Del perfeccionamiento del contrato. Los contratos del Estado se perfeccionan cuando se logre acuerdo sobre el objeto y la contraprestación y éste se eleve a escrito.</w:t>
      </w:r>
    </w:p>
    <w:p w14:paraId="3590361C" w14:textId="77777777" w:rsidR="002F0AC3" w:rsidRPr="001D30AB" w:rsidRDefault="002F0AC3" w:rsidP="002F0AC3">
      <w:pPr>
        <w:pStyle w:val="Textonotapie"/>
        <w:ind w:firstLine="709"/>
        <w:contextualSpacing/>
        <w:jc w:val="both"/>
        <w:rPr>
          <w:rFonts w:ascii="Verdana" w:hAnsi="Verdana" w:cs="Arial"/>
          <w:sz w:val="18"/>
          <w:szCs w:val="18"/>
        </w:rPr>
      </w:pPr>
      <w:r w:rsidRPr="001D30AB">
        <w:rPr>
          <w:rFonts w:ascii="Verdana" w:hAnsi="Verdana" w:cs="Arial"/>
          <w:sz w:val="18"/>
          <w:szCs w:val="18"/>
        </w:rPr>
        <w:t>[…]”.</w:t>
      </w:r>
    </w:p>
  </w:footnote>
  <w:footnote w:id="14">
    <w:p w14:paraId="787894BA" w14:textId="77777777" w:rsidR="002F0AC3" w:rsidRPr="001D30AB" w:rsidRDefault="002F0AC3" w:rsidP="002F0AC3">
      <w:pPr>
        <w:pStyle w:val="Textonotapie"/>
        <w:ind w:firstLine="709"/>
        <w:contextualSpacing/>
        <w:jc w:val="both"/>
        <w:rPr>
          <w:rFonts w:ascii="Verdana" w:hAnsi="Verdana" w:cs="Arial"/>
          <w:sz w:val="18"/>
          <w:szCs w:val="18"/>
        </w:rPr>
      </w:pPr>
      <w:r w:rsidRPr="001D30AB">
        <w:rPr>
          <w:rFonts w:ascii="Verdana" w:hAnsi="Verdana"/>
          <w:sz w:val="18"/>
          <w:szCs w:val="18"/>
          <w:vertAlign w:val="superscript"/>
        </w:rPr>
        <w:footnoteRef/>
      </w:r>
      <w:r w:rsidRPr="001D30AB">
        <w:rPr>
          <w:rFonts w:ascii="Verdana" w:hAnsi="Verdana" w:cs="Arial"/>
          <w:sz w:val="18"/>
          <w:szCs w:val="18"/>
          <w:vertAlign w:val="superscript"/>
        </w:rPr>
        <w:t xml:space="preserve"> </w:t>
      </w:r>
      <w:r w:rsidRPr="001D30AB">
        <w:rPr>
          <w:rFonts w:ascii="Verdana" w:hAnsi="Verdana" w:cs="Arial"/>
          <w:sz w:val="18"/>
          <w:szCs w:val="18"/>
        </w:rPr>
        <w:t>Código Civil: “Artículo 27. Cuando el sentido de la ley sea claro, no se desatenderá su tenor a pretexto de consultar su espíritu”.</w:t>
      </w:r>
    </w:p>
  </w:footnote>
  <w:footnote w:id="15">
    <w:p w14:paraId="44EEAB7E" w14:textId="77777777" w:rsidR="002F0AC3" w:rsidRPr="004D7A1D" w:rsidRDefault="002F0AC3" w:rsidP="002F0AC3">
      <w:pPr>
        <w:pStyle w:val="Textonotapie"/>
        <w:ind w:firstLine="709"/>
        <w:contextualSpacing/>
        <w:jc w:val="both"/>
        <w:rPr>
          <w:rFonts w:ascii="Verdana" w:hAnsi="Verdana"/>
          <w:sz w:val="18"/>
          <w:szCs w:val="18"/>
          <w:lang w:val="es-CO"/>
        </w:rPr>
      </w:pPr>
      <w:r w:rsidRPr="001D30AB">
        <w:rPr>
          <w:rStyle w:val="Refdenotaalpie"/>
          <w:rFonts w:ascii="Verdana" w:hAnsi="Verdana"/>
          <w:sz w:val="18"/>
          <w:szCs w:val="18"/>
        </w:rPr>
        <w:footnoteRef/>
      </w:r>
      <w:r w:rsidRPr="001D30AB">
        <w:rPr>
          <w:rFonts w:ascii="Verdana" w:hAnsi="Verdana"/>
          <w:sz w:val="18"/>
          <w:szCs w:val="18"/>
          <w:lang w:val="es-CO"/>
        </w:rPr>
        <w:t xml:space="preserve"> Consejo de Estado, Sección Tercera. Auto del 4 de octubre de 2024. Exp. 70.313. C.P: Fredy Ibarra Martínez.</w:t>
      </w:r>
    </w:p>
  </w:footnote>
  <w:footnote w:id="16">
    <w:p w14:paraId="1335C76F" w14:textId="77777777" w:rsidR="002F0AC3" w:rsidRPr="001D30AB" w:rsidRDefault="002F0AC3" w:rsidP="002F0AC3">
      <w:pPr>
        <w:pStyle w:val="Textonotapie"/>
        <w:ind w:firstLine="709"/>
        <w:contextualSpacing/>
        <w:jc w:val="both"/>
        <w:rPr>
          <w:rFonts w:ascii="Verdana" w:hAnsi="Verdana"/>
          <w:sz w:val="18"/>
          <w:szCs w:val="18"/>
          <w:lang w:val="es-CO"/>
        </w:rPr>
      </w:pPr>
      <w:r w:rsidRPr="001D30AB">
        <w:rPr>
          <w:rStyle w:val="Refdenotaalpie"/>
          <w:rFonts w:ascii="Verdana" w:hAnsi="Verdana"/>
          <w:sz w:val="18"/>
          <w:szCs w:val="18"/>
        </w:rPr>
        <w:footnoteRef/>
      </w:r>
      <w:r w:rsidRPr="001D30AB">
        <w:rPr>
          <w:rFonts w:ascii="Verdana" w:hAnsi="Verdana"/>
          <w:sz w:val="18"/>
          <w:szCs w:val="18"/>
        </w:rPr>
        <w:t xml:space="preserve"> La parte resolutiva del auto dispone lo siguiente; “</w:t>
      </w:r>
      <w:r w:rsidRPr="001D30AB">
        <w:rPr>
          <w:rFonts w:ascii="Verdana" w:hAnsi="Verdana"/>
          <w:b/>
          <w:sz w:val="18"/>
          <w:szCs w:val="18"/>
          <w:lang w:val="es-CO"/>
        </w:rPr>
        <w:t xml:space="preserve">PRIMERO: DECRETAR </w:t>
      </w:r>
      <w:r w:rsidRPr="001D30AB">
        <w:rPr>
          <w:rFonts w:ascii="Verdana" w:hAnsi="Verdana"/>
          <w:sz w:val="18"/>
          <w:szCs w:val="18"/>
          <w:lang w:val="es-CO"/>
        </w:rPr>
        <w:t xml:space="preserve">la suspensión provisional de los apartes cuestionados del inciso segundo del numeral 16.2 de la Circular Externa única, versión 3 del 27 de diciembre de 2023, expedida por la Agencia Nacional de Contratación Pública – Colombia Compra Eficiente, según el cual </w:t>
      </w:r>
      <w:r w:rsidRPr="001D30AB">
        <w:rPr>
          <w:rFonts w:ascii="Verdana" w:hAnsi="Verdana"/>
          <w:i/>
          <w:sz w:val="18"/>
          <w:szCs w:val="18"/>
          <w:lang w:val="es-CO"/>
        </w:rPr>
        <w:t>“[e]sta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1D30AB">
        <w:rPr>
          <w:rFonts w:ascii="Verdana" w:hAnsi="Verdana"/>
          <w:sz w:val="18"/>
          <w:szCs w:val="18"/>
          <w:lang w:val="es-CO"/>
        </w:rPr>
        <w:t xml:space="preserve">, por las razones expuestas en precedencia. </w:t>
      </w:r>
    </w:p>
    <w:p w14:paraId="1130ABD1" w14:textId="77777777" w:rsidR="002F0AC3" w:rsidRPr="00591AA5" w:rsidRDefault="002F0AC3" w:rsidP="002F0AC3">
      <w:pPr>
        <w:pStyle w:val="Textonotapie"/>
        <w:ind w:firstLine="709"/>
        <w:contextualSpacing/>
        <w:jc w:val="both"/>
        <w:rPr>
          <w:rFonts w:ascii="Verdana" w:hAnsi="Verdana"/>
          <w:sz w:val="18"/>
          <w:szCs w:val="18"/>
          <w:lang w:val="es-CO"/>
        </w:rPr>
      </w:pPr>
      <w:r w:rsidRPr="001D30AB">
        <w:rPr>
          <w:rFonts w:ascii="Verdana" w:hAnsi="Verdana"/>
          <w:b/>
          <w:sz w:val="18"/>
          <w:szCs w:val="18"/>
          <w:lang w:val="es-CO"/>
        </w:rPr>
        <w:t xml:space="preserve">SEGUNDO: DECRETAR </w:t>
      </w:r>
      <w:r w:rsidRPr="001D30AB">
        <w:rPr>
          <w:rFonts w:ascii="Verdana" w:hAnsi="Verdana"/>
          <w:sz w:val="18"/>
          <w:szCs w:val="18"/>
          <w:lang w:val="es-CO"/>
        </w:rPr>
        <w:t>la suspensión provisional de la expresión “</w:t>
      </w:r>
      <w:r w:rsidRPr="001D30AB">
        <w:rPr>
          <w:rFonts w:ascii="Verdana" w:hAnsi="Verdana"/>
          <w:i/>
          <w:sz w:val="18"/>
          <w:szCs w:val="18"/>
          <w:lang w:val="es-CO"/>
        </w:rPr>
        <w:t>contratos</w:t>
      </w:r>
      <w:r w:rsidRPr="001D30AB">
        <w:rPr>
          <w:rFonts w:ascii="Verdana" w:hAnsi="Verdana"/>
          <w:sz w:val="18"/>
          <w:szCs w:val="18"/>
          <w:lang w:val="es-CO"/>
        </w:rPr>
        <w:t xml:space="preserve">” y del párrafo </w:t>
      </w:r>
      <w:r w:rsidRPr="001D30AB">
        <w:rPr>
          <w:rFonts w:ascii="Verdana" w:hAnsi="Verdana"/>
          <w:i/>
          <w:sz w:val="18"/>
          <w:szCs w:val="18"/>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1D30AB">
        <w:rPr>
          <w:rFonts w:ascii="Verdana" w:hAnsi="Verdana"/>
          <w:sz w:val="18"/>
          <w:szCs w:val="18"/>
          <w:lang w:val="es-CO"/>
        </w:rPr>
        <w:t xml:space="preserve">”, contenidos en el inciso cuarto del numeral 16.2 de la Circular Externa única, versión 3 del 27 de diciembre de 2023, expedida por la Agencia Nacional de Contratación Pública – Colombia Compra Eficiente, por las razones expuestas de manera precedente”. Consejo de Estado, Sección Tercera. Auto del 6 de noviembre de 2025. Exp. 72.424. C.P: Fernando Alexei Pardo Florez. </w:t>
      </w:r>
    </w:p>
  </w:footnote>
  <w:footnote w:id="17">
    <w:p w14:paraId="133C3723" w14:textId="77777777" w:rsidR="002F0AC3" w:rsidRPr="001D30AB" w:rsidRDefault="002F0AC3" w:rsidP="002F0AC3">
      <w:pPr>
        <w:spacing w:after="0" w:line="240" w:lineRule="auto"/>
        <w:ind w:firstLine="709"/>
        <w:contextualSpacing/>
        <w:jc w:val="both"/>
        <w:rPr>
          <w:rFonts w:ascii="Verdana" w:eastAsia="Times New Roman" w:hAnsi="Verdana" w:cs="Times New Roman"/>
          <w:sz w:val="18"/>
          <w:szCs w:val="18"/>
          <w:lang w:eastAsia="es-ES"/>
        </w:rPr>
      </w:pPr>
      <w:r w:rsidRPr="001D30AB">
        <w:rPr>
          <w:rStyle w:val="Refdenotaalpie"/>
          <w:rFonts w:ascii="Verdana" w:hAnsi="Verdana"/>
          <w:sz w:val="18"/>
          <w:szCs w:val="18"/>
        </w:rPr>
        <w:footnoteRef/>
      </w:r>
      <w:r w:rsidRPr="001D30AB">
        <w:rPr>
          <w:rFonts w:ascii="Verdana" w:hAnsi="Verdana"/>
          <w:sz w:val="18"/>
          <w:szCs w:val="18"/>
        </w:rPr>
        <w:t xml:space="preserve"> </w:t>
      </w:r>
      <w:r w:rsidRPr="001D30AB">
        <w:rPr>
          <w:rFonts w:ascii="Verdana" w:eastAsia="Times New Roman" w:hAnsi="Verdana" w:cs="Times New Roman"/>
          <w:sz w:val="18"/>
          <w:szCs w:val="18"/>
          <w:lang w:eastAsia="es-ES"/>
        </w:rPr>
        <w:t xml:space="preserve">Consejo de Estado. Sala de lo Contencioso Administrativo. Sección Tercera. Subsección B. 17 de octubre de 2025. Magistrado Ponente: Fredy Ibarra Martínez.  </w:t>
      </w:r>
      <w:r w:rsidRPr="001D30AB">
        <w:rPr>
          <w:rFonts w:ascii="Verdana" w:hAnsi="Verdana"/>
          <w:sz w:val="18"/>
          <w:szCs w:val="18"/>
        </w:rPr>
        <w:t xml:space="preserve">La parte de la providencia señala: </w:t>
      </w:r>
      <w:r w:rsidRPr="001D30AB">
        <w:rPr>
          <w:rFonts w:ascii="Verdana" w:eastAsia="Times New Roman" w:hAnsi="Verdana" w:cs="Times New Roman"/>
          <w:sz w:val="18"/>
          <w:szCs w:val="18"/>
          <w:lang w:eastAsia="es-ES"/>
        </w:rPr>
        <w:t>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ii)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footnote>
  <w:footnote w:id="18">
    <w:p w14:paraId="081BF4C3" w14:textId="77777777" w:rsidR="002F0AC3" w:rsidRPr="001D30AB" w:rsidRDefault="002F0AC3" w:rsidP="002F0AC3">
      <w:pPr>
        <w:pStyle w:val="Textonotapie"/>
        <w:ind w:firstLine="709"/>
        <w:rPr>
          <w:rFonts w:ascii="Verdana" w:hAnsi="Verdana"/>
          <w:sz w:val="18"/>
          <w:szCs w:val="18"/>
          <w:lang w:val="es-CO"/>
        </w:rPr>
      </w:pPr>
      <w:r w:rsidRPr="001D30AB">
        <w:rPr>
          <w:rStyle w:val="Refdenotaalpie"/>
          <w:rFonts w:ascii="Verdana" w:hAnsi="Verdana"/>
          <w:sz w:val="18"/>
          <w:szCs w:val="18"/>
        </w:rPr>
        <w:footnoteRef/>
      </w:r>
      <w:r w:rsidRPr="001D30AB">
        <w:rPr>
          <w:rFonts w:ascii="Verdana" w:hAnsi="Verdana"/>
          <w:sz w:val="18"/>
          <w:szCs w:val="18"/>
        </w:rPr>
        <w:t xml:space="preserve"> No obstante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899569" w14:textId="77777777" w:rsidR="002F0AC3" w:rsidRDefault="002F0AC3"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0288" behindDoc="1" locked="0" layoutInCell="1" allowOverlap="1" wp14:anchorId="07B25BDE" wp14:editId="607AF98F">
          <wp:simplePos x="0" y="0"/>
          <wp:positionH relativeFrom="margin">
            <wp:align>center</wp:align>
          </wp:positionH>
          <wp:positionV relativeFrom="paragraph">
            <wp:posOffset>-256388</wp:posOffset>
          </wp:positionV>
          <wp:extent cx="1924050" cy="856004"/>
          <wp:effectExtent l="0" t="0" r="0" b="1270"/>
          <wp:wrapNone/>
          <wp:docPr id="422968247"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68C4DFB4" wp14:editId="63C6E6C9">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1478030364" name="Imagen 14780303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4035BC4E" w14:textId="77777777" w:rsidR="002F0AC3" w:rsidRDefault="002F0AC3">
    <w:pPr>
      <w:pStyle w:val="Encabezado"/>
    </w:pPr>
  </w:p>
  <w:p w14:paraId="6885CA09" w14:textId="77777777" w:rsidR="002F0AC3" w:rsidRPr="004A305D" w:rsidRDefault="002F0AC3" w:rsidP="00B01B1A">
    <w:pPr>
      <w:spacing w:after="0" w:line="120" w:lineRule="auto"/>
      <w:rPr>
        <w:rFonts w:ascii="Century Gothic" w:eastAsia="Geo" w:hAnsi="Century Gothic" w:cs="Geo"/>
        <w:sz w:val="16"/>
        <w:szCs w:val="16"/>
        <w:lang w:eastAsia="es-CO"/>
      </w:rPr>
    </w:pPr>
  </w:p>
  <w:p w14:paraId="6FA4A2F8" w14:textId="77777777" w:rsidR="002F0AC3" w:rsidRDefault="002F0AC3" w:rsidP="00844AE9">
    <w:pPr>
      <w:spacing w:after="0" w:line="240" w:lineRule="auto"/>
      <w:rPr>
        <w:rFonts w:ascii="Verdana" w:hAnsi="Verdana"/>
        <w:sz w:val="24"/>
        <w:szCs w:val="24"/>
      </w:rPr>
    </w:pPr>
  </w:p>
  <w:p w14:paraId="1A0CECEC" w14:textId="77777777" w:rsidR="002F0AC3" w:rsidRPr="00C925AC" w:rsidRDefault="002F0AC3" w:rsidP="00844AE9">
    <w:pPr>
      <w:spacing w:after="0" w:line="240" w:lineRule="auto"/>
      <w:rPr>
        <w:rFonts w:ascii="Verdana" w:hAnsi="Verdana"/>
        <w:sz w:val="24"/>
        <w:szCs w:val="24"/>
      </w:rPr>
    </w:pPr>
  </w:p>
  <w:p w14:paraId="7CE9D1B4" w14:textId="77777777" w:rsidR="002F0AC3" w:rsidRPr="00C925AC" w:rsidRDefault="002F0AC3"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5425A2"/>
    <w:multiLevelType w:val="hybridMultilevel"/>
    <w:tmpl w:val="88B61660"/>
    <w:lvl w:ilvl="0" w:tplc="240A000F">
      <w:start w:val="1"/>
      <w:numFmt w:val="decimal"/>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num w:numId="1" w16cid:durableId="110170454">
    <w:abstractNumId w:val="2"/>
  </w:num>
  <w:num w:numId="2" w16cid:durableId="1724674457">
    <w:abstractNumId w:val="0"/>
  </w:num>
  <w:num w:numId="3" w16cid:durableId="113144037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0AC3"/>
    <w:rsid w:val="000F5A42"/>
    <w:rsid w:val="002E5746"/>
    <w:rsid w:val="002F0AC3"/>
    <w:rsid w:val="00391EDD"/>
    <w:rsid w:val="003B5E87"/>
    <w:rsid w:val="00635B9E"/>
    <w:rsid w:val="006866D1"/>
    <w:rsid w:val="006B20DA"/>
    <w:rsid w:val="00743020"/>
    <w:rsid w:val="00747187"/>
    <w:rsid w:val="00975C53"/>
    <w:rsid w:val="00A12218"/>
    <w:rsid w:val="00A90678"/>
    <w:rsid w:val="00BF117D"/>
    <w:rsid w:val="00CD24B9"/>
    <w:rsid w:val="00CF07D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870226"/>
  <w15:chartTrackingRefBased/>
  <w15:docId w15:val="{CE2970EA-7605-4565-8D5F-8507CE6D77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0AC3"/>
    <w:rPr>
      <w:kern w:val="0"/>
      <w14:ligatures w14:val="none"/>
    </w:rPr>
  </w:style>
  <w:style w:type="paragraph" w:styleId="Ttulo1">
    <w:name w:val="heading 1"/>
    <w:basedOn w:val="Normal"/>
    <w:next w:val="Normal"/>
    <w:link w:val="Ttulo1Car"/>
    <w:uiPriority w:val="9"/>
    <w:qFormat/>
    <w:rsid w:val="002F0AC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2F0AC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2F0AC3"/>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2F0AC3"/>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2F0AC3"/>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2F0AC3"/>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2F0AC3"/>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2F0AC3"/>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2F0AC3"/>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F0AC3"/>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2F0AC3"/>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2F0AC3"/>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2F0AC3"/>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2F0AC3"/>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2F0AC3"/>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2F0AC3"/>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2F0AC3"/>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2F0AC3"/>
    <w:rPr>
      <w:rFonts w:eastAsiaTheme="majorEastAsia" w:cstheme="majorBidi"/>
      <w:color w:val="272727" w:themeColor="text1" w:themeTint="D8"/>
    </w:rPr>
  </w:style>
  <w:style w:type="paragraph" w:styleId="Ttulo">
    <w:name w:val="Title"/>
    <w:basedOn w:val="Normal"/>
    <w:next w:val="Normal"/>
    <w:link w:val="TtuloCar"/>
    <w:uiPriority w:val="10"/>
    <w:qFormat/>
    <w:rsid w:val="002F0AC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2F0AC3"/>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2F0AC3"/>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2F0AC3"/>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2F0AC3"/>
    <w:pPr>
      <w:spacing w:before="160"/>
      <w:jc w:val="center"/>
    </w:pPr>
    <w:rPr>
      <w:i/>
      <w:iCs/>
      <w:color w:val="404040" w:themeColor="text1" w:themeTint="BF"/>
    </w:rPr>
  </w:style>
  <w:style w:type="character" w:customStyle="1" w:styleId="CitaCar">
    <w:name w:val="Cita Car"/>
    <w:basedOn w:val="Fuentedeprrafopredeter"/>
    <w:link w:val="Cita"/>
    <w:uiPriority w:val="29"/>
    <w:rsid w:val="002F0AC3"/>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2F0AC3"/>
    <w:pPr>
      <w:ind w:left="720"/>
      <w:contextualSpacing/>
    </w:pPr>
  </w:style>
  <w:style w:type="character" w:styleId="nfasisintenso">
    <w:name w:val="Intense Emphasis"/>
    <w:basedOn w:val="Fuentedeprrafopredeter"/>
    <w:uiPriority w:val="21"/>
    <w:qFormat/>
    <w:rsid w:val="002F0AC3"/>
    <w:rPr>
      <w:i/>
      <w:iCs/>
      <w:color w:val="0F4761" w:themeColor="accent1" w:themeShade="BF"/>
    </w:rPr>
  </w:style>
  <w:style w:type="paragraph" w:styleId="Citadestacada">
    <w:name w:val="Intense Quote"/>
    <w:basedOn w:val="Normal"/>
    <w:next w:val="Normal"/>
    <w:link w:val="CitadestacadaCar"/>
    <w:uiPriority w:val="30"/>
    <w:qFormat/>
    <w:rsid w:val="002F0AC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2F0AC3"/>
    <w:rPr>
      <w:i/>
      <w:iCs/>
      <w:color w:val="0F4761" w:themeColor="accent1" w:themeShade="BF"/>
    </w:rPr>
  </w:style>
  <w:style w:type="character" w:styleId="Referenciaintensa">
    <w:name w:val="Intense Reference"/>
    <w:basedOn w:val="Fuentedeprrafopredeter"/>
    <w:uiPriority w:val="32"/>
    <w:qFormat/>
    <w:rsid w:val="002F0AC3"/>
    <w:rPr>
      <w:b/>
      <w:bCs/>
      <w:smallCaps/>
      <w:color w:val="0F4761" w:themeColor="accent1" w:themeShade="BF"/>
      <w:spacing w:val="5"/>
    </w:rPr>
  </w:style>
  <w:style w:type="paragraph" w:styleId="Encabezado">
    <w:name w:val="header"/>
    <w:basedOn w:val="Normal"/>
    <w:link w:val="EncabezadoCar"/>
    <w:uiPriority w:val="99"/>
    <w:unhideWhenUsed/>
    <w:rsid w:val="002F0AC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F0AC3"/>
    <w:rPr>
      <w:kern w:val="0"/>
      <w14:ligatures w14:val="none"/>
    </w:rPr>
  </w:style>
  <w:style w:type="paragraph" w:styleId="Piedepgina">
    <w:name w:val="footer"/>
    <w:basedOn w:val="Normal"/>
    <w:link w:val="PiedepginaCar"/>
    <w:uiPriority w:val="99"/>
    <w:unhideWhenUsed/>
    <w:rsid w:val="002F0AC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F0AC3"/>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2F0AC3"/>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2F0AC3"/>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2F0AC3"/>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2F0AC3"/>
    <w:rPr>
      <w:vertAlign w:val="superscript"/>
    </w:rPr>
  </w:style>
  <w:style w:type="character" w:customStyle="1" w:styleId="normaltextrun">
    <w:name w:val="normaltextrun"/>
    <w:basedOn w:val="Fuentedeprrafopredeter"/>
    <w:rsid w:val="002F0AC3"/>
  </w:style>
  <w:style w:type="table" w:styleId="Tablaconcuadrcula">
    <w:name w:val="Table Grid"/>
    <w:basedOn w:val="Tablanormal"/>
    <w:uiPriority w:val="39"/>
    <w:qFormat/>
    <w:rsid w:val="002F0AC3"/>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2F0AC3"/>
    <w:rPr>
      <w:color w:val="0000FF"/>
      <w:u w:val="single"/>
    </w:rPr>
  </w:style>
  <w:style w:type="paragraph" w:customStyle="1" w:styleId="paragraph">
    <w:name w:val="paragraph"/>
    <w:basedOn w:val="Normal"/>
    <w:rsid w:val="002F0AC3"/>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eop">
    <w:name w:val="eop"/>
    <w:basedOn w:val="Fuentedeprrafopredeter"/>
    <w:rsid w:val="002F0AC3"/>
  </w:style>
  <w:style w:type="paragraph" w:styleId="NormalWeb">
    <w:name w:val="Normal (Web)"/>
    <w:basedOn w:val="Normal"/>
    <w:link w:val="NormalWebCar"/>
    <w:uiPriority w:val="99"/>
    <w:unhideWhenUsed/>
    <w:rsid w:val="002F0AC3"/>
    <w:pPr>
      <w:spacing w:before="100" w:beforeAutospacing="1" w:after="100" w:afterAutospacing="1" w:line="240" w:lineRule="auto"/>
    </w:pPr>
    <w:rPr>
      <w:rFonts w:ascii="Times New Roman" w:eastAsia="Times New Roman" w:hAnsi="Times New Roman" w:cs="Times New Roman"/>
      <w:sz w:val="24"/>
      <w:szCs w:val="24"/>
      <w:lang w:eastAsia="es-CO"/>
    </w:rPr>
  </w:style>
  <w:style w:type="table" w:customStyle="1" w:styleId="Tablaconcuadrcula1">
    <w:name w:val="Tabla con cuadrícula1"/>
    <w:basedOn w:val="Tablanormal"/>
    <w:next w:val="Tablaconcuadrcula"/>
    <w:uiPriority w:val="39"/>
    <w:qFormat/>
    <w:rsid w:val="002F0AC3"/>
    <w:pPr>
      <w:spacing w:after="0" w:line="240" w:lineRule="auto"/>
    </w:pPr>
    <w:rPr>
      <w:rFonts w:ascii="Calibri" w:eastAsia="Calibri" w:hAnsi="Calibri" w:cs="Times New Roman"/>
      <w:kern w:val="0"/>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2F0AC3"/>
    <w:pPr>
      <w:spacing w:line="240" w:lineRule="exact"/>
    </w:pPr>
    <w:rPr>
      <w:kern w:val="2"/>
      <w:vertAlign w:val="superscript"/>
      <w14:ligatures w14:val="standardContextua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2F0AC3"/>
  </w:style>
  <w:style w:type="character" w:customStyle="1" w:styleId="NormalWebCar">
    <w:name w:val="Normal (Web) Car"/>
    <w:link w:val="NormalWeb"/>
    <w:uiPriority w:val="99"/>
    <w:locked/>
    <w:rsid w:val="002F0AC3"/>
    <w:rPr>
      <w:rFonts w:ascii="Times New Roman" w:eastAsia="Times New Roman" w:hAnsi="Times New Roman" w:cs="Times New Roman"/>
      <w:kern w:val="0"/>
      <w:sz w:val="24"/>
      <w:szCs w:val="24"/>
      <w:lang w:eastAsia="es-CO"/>
      <w14:ligatures w14:val="none"/>
    </w:rPr>
  </w:style>
  <w:style w:type="character" w:customStyle="1" w:styleId="baj">
    <w:name w:val="b_aj"/>
    <w:basedOn w:val="Fuentedeprrafopredeter"/>
    <w:rsid w:val="002F0A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www.colombiacompra.gov.co/archivos/circular/circular-externa-006-de-2025" TargetMode="External"/><Relationship Id="rId17"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hyperlink" Target="https://forms.office.com/r/pPHyWVs2SZ"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info@aldesarrollo.gov.co" TargetMode="External"/><Relationship Id="rId5" Type="http://schemas.openxmlformats.org/officeDocument/2006/relationships/styles" Target="styles.xml"/><Relationship Id="rId15" Type="http://schemas.openxmlformats.org/officeDocument/2006/relationships/hyperlink" Target="https://www.colombiacompra.gov.co/pqrsd/informacion-importante-antes-de-formular-una-pqrsd" TargetMode="External"/><Relationship Id="rId10" Type="http://schemas.openxmlformats.org/officeDocument/2006/relationships/image" Target="media/image1.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ventanilladeradicacion@colombiacompra.gov.c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057AE9E-48D4-481A-8729-4D95F5ED9AA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210AFA1-F3B7-4B4D-BEE6-B2944B6341F3}">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8205367C-A5C9-457E-B5F9-419576A7618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24</Pages>
  <Words>7506</Words>
  <Characters>41213</Characters>
  <Application>Microsoft Office Word</Application>
  <DocSecurity>0</DocSecurity>
  <Lines>808</Lines>
  <Paragraphs>155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48564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Andreina Cerpa Muñoz</dc:creator>
  <cp:keywords/>
  <dc:description/>
  <cp:lastModifiedBy>Sergio Andrés Rivera Cano</cp:lastModifiedBy>
  <cp:revision>8</cp:revision>
  <dcterms:created xsi:type="dcterms:W3CDTF">2025-12-19T20:04:00Z</dcterms:created>
  <dcterms:modified xsi:type="dcterms:W3CDTF">2025-12-24T16:17:00Z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