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B018A" w14:textId="77777777" w:rsidR="00BD4793" w:rsidRPr="00BD4793" w:rsidRDefault="00BD4793" w:rsidP="00BD4793">
      <w:pPr>
        <w:spacing w:after="0"/>
        <w:contextualSpacing/>
        <w:jc w:val="both"/>
        <w:rPr>
          <w:rFonts w:ascii="Verdana" w:eastAsia="Calibri" w:hAnsi="Verdana" w:cs="Arial"/>
          <w:b/>
          <w:bCs/>
          <w:lang w:val="es-ES" w:eastAsia="es-ES"/>
        </w:rPr>
      </w:pPr>
      <w:r w:rsidRPr="00BD4793">
        <w:rPr>
          <w:rFonts w:ascii="Verdana" w:eastAsia="Calibri" w:hAnsi="Verdana" w:cs="Arial"/>
          <w:b/>
          <w:bCs/>
          <w:lang w:val="es-ES" w:eastAsia="es-ES"/>
        </w:rPr>
        <w:t>LEY DE GARANTÍAS ELECTORALES – Finalidad</w:t>
      </w:r>
    </w:p>
    <w:p w14:paraId="6226F168" w14:textId="77777777" w:rsidR="00BD4793" w:rsidRPr="00BD4793" w:rsidRDefault="00BD4793" w:rsidP="00BD4793">
      <w:pPr>
        <w:contextualSpacing/>
        <w:jc w:val="both"/>
        <w:rPr>
          <w:rFonts w:ascii="Verdana" w:eastAsia="Calibri" w:hAnsi="Verdana" w:cs="Arial"/>
          <w:b/>
          <w:bCs/>
          <w:lang w:val="es-ES" w:eastAsia="es-ES"/>
        </w:rPr>
      </w:pPr>
    </w:p>
    <w:p w14:paraId="0B0820AA" w14:textId="77777777" w:rsidR="00BD4793" w:rsidRPr="00BD4793" w:rsidRDefault="00BD4793" w:rsidP="00BD4793">
      <w:pPr>
        <w:spacing w:line="240" w:lineRule="auto"/>
        <w:contextualSpacing/>
        <w:jc w:val="both"/>
        <w:rPr>
          <w:rFonts w:ascii="Verdana" w:eastAsia="Times New Roman" w:hAnsi="Verdana" w:cs="Arial"/>
          <w:sz w:val="20"/>
          <w:szCs w:val="20"/>
          <w:lang w:val="es-ES" w:eastAsia="es-CO"/>
        </w:rPr>
      </w:pPr>
      <w:r w:rsidRPr="00BD4793">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1D9D33A" w14:textId="77777777" w:rsidR="00BD4793" w:rsidRPr="00BD4793" w:rsidRDefault="00BD4793" w:rsidP="00BD4793">
      <w:pPr>
        <w:spacing w:after="0" w:line="240" w:lineRule="auto"/>
        <w:contextualSpacing/>
        <w:jc w:val="both"/>
        <w:rPr>
          <w:rFonts w:ascii="Verdana" w:eastAsia="Calibri" w:hAnsi="Verdana" w:cs="Arial"/>
          <w:b/>
          <w:bCs/>
          <w:lang w:val="es-ES" w:eastAsia="es-ES"/>
        </w:rPr>
      </w:pPr>
    </w:p>
    <w:p w14:paraId="2C893E20" w14:textId="77777777" w:rsidR="00BD4793" w:rsidRPr="00BD4793" w:rsidRDefault="00BD4793" w:rsidP="00BD4793">
      <w:pPr>
        <w:contextualSpacing/>
        <w:jc w:val="both"/>
        <w:rPr>
          <w:rFonts w:ascii="Verdana" w:eastAsia="Calibri" w:hAnsi="Verdana" w:cs="Arial"/>
          <w:b/>
          <w:bCs/>
          <w:lang w:val="es-ES" w:eastAsia="es-ES"/>
        </w:rPr>
      </w:pPr>
      <w:r w:rsidRPr="00BD4793">
        <w:rPr>
          <w:rFonts w:ascii="Verdana" w:eastAsia="Calibri" w:hAnsi="Verdana" w:cs="Arial"/>
          <w:b/>
          <w:bCs/>
          <w:lang w:val="es-ES" w:eastAsia="es-ES"/>
        </w:rPr>
        <w:t>LEY DE GARANTÍAS ELECTORALES ‒ Restricciones ‒ Contratación ‒ Tipos de elección</w:t>
      </w:r>
    </w:p>
    <w:p w14:paraId="2821143D" w14:textId="77777777" w:rsidR="00BD4793" w:rsidRPr="00BD4793" w:rsidRDefault="00BD4793" w:rsidP="00BD4793">
      <w:pPr>
        <w:contextualSpacing/>
        <w:jc w:val="both"/>
        <w:rPr>
          <w:rFonts w:ascii="Verdana" w:eastAsia="Calibri" w:hAnsi="Verdana" w:cs="Arial"/>
          <w:b/>
          <w:bCs/>
          <w:lang w:val="es-ES" w:eastAsia="es-ES"/>
        </w:rPr>
      </w:pPr>
    </w:p>
    <w:p w14:paraId="18122DFF" w14:textId="77777777" w:rsidR="00BD4793" w:rsidRPr="00BD4793" w:rsidRDefault="00BD4793" w:rsidP="00BD4793">
      <w:pPr>
        <w:spacing w:after="0" w:line="240" w:lineRule="auto"/>
        <w:jc w:val="both"/>
        <w:rPr>
          <w:rFonts w:ascii="Verdana" w:eastAsia="Calibri" w:hAnsi="Verdana" w:cs="Arial"/>
          <w:sz w:val="20"/>
          <w:szCs w:val="20"/>
          <w:lang w:val="es-ES"/>
        </w:rPr>
      </w:pPr>
      <w:r w:rsidRPr="00BD4793">
        <w:rPr>
          <w:rFonts w:ascii="Verdana" w:eastAsia="Calibri" w:hAnsi="Verdana" w:cs="Arial"/>
          <w:sz w:val="20"/>
          <w:szCs w:val="20"/>
          <w:lang w:val="es-ES"/>
        </w:rPr>
        <w:t xml:space="preserve">Por un lado, el </w:t>
      </w:r>
      <w:r w:rsidRPr="00BD4793">
        <w:rPr>
          <w:rFonts w:ascii="Verdana" w:eastAsia="Calibri" w:hAnsi="Verdana" w:cs="Arial"/>
          <w:i/>
          <w:iCs/>
          <w:sz w:val="20"/>
          <w:szCs w:val="20"/>
          <w:lang w:val="es-ES"/>
        </w:rPr>
        <w:t xml:space="preserve">artículo 33 </w:t>
      </w:r>
      <w:r w:rsidRPr="00BD4793">
        <w:rPr>
          <w:rFonts w:ascii="Verdana" w:eastAsia="Calibri" w:hAnsi="Verdana" w:cs="Arial"/>
          <w:sz w:val="20"/>
          <w:szCs w:val="20"/>
          <w:lang w:val="es-ES"/>
        </w:rPr>
        <w:t xml:space="preserve">de la Ley 996 de 2005 prohíbe “[…] la contratación directa por parte de </w:t>
      </w:r>
      <w:r w:rsidRPr="00BD4793">
        <w:rPr>
          <w:rFonts w:ascii="Verdana" w:eastAsia="Calibri" w:hAnsi="Verdana" w:cs="Arial"/>
          <w:i/>
          <w:iCs/>
          <w:sz w:val="20"/>
          <w:szCs w:val="20"/>
          <w:lang w:val="es-ES"/>
        </w:rPr>
        <w:t>todos los entes del Estado</w:t>
      </w:r>
      <w:r w:rsidRPr="00BD4793">
        <w:rPr>
          <w:rFonts w:ascii="Verdana" w:eastAsia="Calibri" w:hAnsi="Verdana" w:cs="Arial"/>
          <w:sz w:val="20"/>
          <w:szCs w:val="20"/>
          <w:lang w:val="es-ES"/>
        </w:rPr>
        <w:t xml:space="preserve">” durante los cuatro (4) meses anteriores a las </w:t>
      </w:r>
      <w:r w:rsidRPr="00BD4793">
        <w:rPr>
          <w:rFonts w:ascii="Verdana" w:eastAsia="Calibri" w:hAnsi="Verdana" w:cs="Arial"/>
          <w:i/>
          <w:iCs/>
          <w:sz w:val="20"/>
          <w:szCs w:val="20"/>
          <w:lang w:val="es-ES"/>
        </w:rPr>
        <w:t>elecciones presidenciales</w:t>
      </w:r>
      <w:r w:rsidRPr="00BD4793">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C7B4E35" w14:textId="77777777" w:rsidR="00BD4793" w:rsidRPr="00BD4793" w:rsidRDefault="00BD4793" w:rsidP="00BD4793">
      <w:pPr>
        <w:spacing w:after="0" w:line="240" w:lineRule="auto"/>
        <w:jc w:val="both"/>
        <w:rPr>
          <w:rFonts w:ascii="Verdana" w:eastAsia="Calibri" w:hAnsi="Verdana" w:cs="Arial"/>
          <w:sz w:val="20"/>
          <w:szCs w:val="20"/>
          <w:lang w:val="es-ES"/>
        </w:rPr>
      </w:pPr>
    </w:p>
    <w:p w14:paraId="7173EE10" w14:textId="77777777" w:rsidR="00BD4793" w:rsidRPr="00BD4793" w:rsidRDefault="00BD4793" w:rsidP="00BD4793">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BD4793">
        <w:rPr>
          <w:rFonts w:ascii="Verdana" w:eastAsia="Calibri" w:hAnsi="Verdana" w:cs="Arial"/>
          <w:sz w:val="20"/>
          <w:szCs w:val="20"/>
          <w:lang w:val="es-ES"/>
        </w:rPr>
        <w:t xml:space="preserve">Por otro lado, </w:t>
      </w:r>
      <w:r w:rsidRPr="00BD4793">
        <w:rPr>
          <w:rFonts w:ascii="Verdana" w:eastAsia="Calibri" w:hAnsi="Verdana" w:cs="Arial"/>
          <w:i/>
          <w:iCs/>
          <w:sz w:val="20"/>
          <w:szCs w:val="20"/>
          <w:lang w:val="es-ES"/>
        </w:rPr>
        <w:t xml:space="preserve">el parágrafo del artículo 38 </w:t>
      </w:r>
      <w:r w:rsidRPr="00BD4793">
        <w:rPr>
          <w:rFonts w:ascii="Verdana" w:eastAsia="Calibri" w:hAnsi="Verdana" w:cs="Arial"/>
          <w:sz w:val="20"/>
          <w:szCs w:val="20"/>
          <w:lang w:val="es-ES"/>
        </w:rPr>
        <w:t xml:space="preserve">de la Ley 996 de 2005 prevé una restricción, aplicable respecto de </w:t>
      </w:r>
      <w:r w:rsidRPr="00BD4793">
        <w:rPr>
          <w:rFonts w:ascii="Verdana" w:eastAsia="Calibri" w:hAnsi="Verdana" w:cs="Arial"/>
          <w:i/>
          <w:iCs/>
          <w:sz w:val="20"/>
          <w:szCs w:val="20"/>
          <w:lang w:val="es-ES"/>
        </w:rPr>
        <w:t>cualquier tipo de contienda electoral</w:t>
      </w:r>
      <w:r w:rsidRPr="00BD4793">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D4793">
        <w:rPr>
          <w:rFonts w:ascii="Verdana" w:eastAsia="Arial" w:hAnsi="Verdana" w:cs="Arial"/>
          <w:sz w:val="20"/>
          <w:szCs w:val="20"/>
          <w:lang w:val="es-ES" w:eastAsia="es-ES" w:bidi="es-ES"/>
        </w:rPr>
        <w:t xml:space="preserve"> </w:t>
      </w:r>
    </w:p>
    <w:p w14:paraId="0780DF77" w14:textId="77777777" w:rsidR="00BD4793" w:rsidRPr="00BD4793" w:rsidRDefault="00BD4793" w:rsidP="00BD4793">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7609913F" w14:textId="77777777" w:rsidR="00BD4793" w:rsidRPr="00BD4793" w:rsidRDefault="00BD4793" w:rsidP="00BD4793">
      <w:pPr>
        <w:spacing w:after="0" w:line="240" w:lineRule="auto"/>
        <w:jc w:val="both"/>
        <w:rPr>
          <w:rFonts w:ascii="Verdana" w:eastAsia="Arial" w:hAnsi="Verdana" w:cs="Arial"/>
          <w:sz w:val="20"/>
          <w:szCs w:val="20"/>
          <w:lang w:val="es-ES" w:eastAsia="es-ES" w:bidi="es-ES"/>
        </w:rPr>
      </w:pPr>
      <w:r w:rsidRPr="00BD4793">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BD4793">
        <w:rPr>
          <w:rFonts w:ascii="Verdana" w:eastAsia="Arial" w:hAnsi="Verdana" w:cs="Arial"/>
          <w:i/>
          <w:sz w:val="20"/>
          <w:szCs w:val="20"/>
          <w:lang w:val="es-ES" w:eastAsia="es-ES" w:bidi="es-ES"/>
        </w:rPr>
        <w:t>En primer lugar</w:t>
      </w:r>
      <w:r w:rsidRPr="00BD4793">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D4793">
        <w:rPr>
          <w:rFonts w:ascii="Verdana" w:eastAsia="Arial" w:hAnsi="Verdana" w:cs="Arial"/>
          <w:i/>
          <w:sz w:val="20"/>
          <w:szCs w:val="20"/>
          <w:lang w:val="es-ES" w:eastAsia="es-ES" w:bidi="es-ES"/>
        </w:rPr>
        <w:t>En segundo lugar</w:t>
      </w:r>
      <w:r w:rsidRPr="00BD4793">
        <w:rPr>
          <w:rFonts w:ascii="Verdana" w:eastAsia="Arial" w:hAnsi="Verdana" w:cs="Arial"/>
          <w:sz w:val="20"/>
          <w:szCs w:val="20"/>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w:t>
      </w:r>
      <w:r w:rsidRPr="00BD4793">
        <w:rPr>
          <w:rFonts w:ascii="Verdana" w:eastAsia="Arial" w:hAnsi="Verdana" w:cs="Arial"/>
          <w:sz w:val="20"/>
          <w:szCs w:val="20"/>
          <w:lang w:val="es-ES" w:eastAsia="es-ES" w:bidi="es-ES"/>
        </w:rPr>
        <w:lastRenderedPageBreak/>
        <w:t>ejecución de recursos públicos dentro de los cuatro (4) meses anteriores a la respectiva jornada de votaciones.</w:t>
      </w:r>
    </w:p>
    <w:p w14:paraId="681626DA" w14:textId="77777777" w:rsidR="00BD4793" w:rsidRPr="00BD4793" w:rsidRDefault="00BD4793" w:rsidP="00BD4793">
      <w:pPr>
        <w:spacing w:line="240" w:lineRule="auto"/>
        <w:contextualSpacing/>
        <w:jc w:val="both"/>
        <w:rPr>
          <w:rFonts w:ascii="Verdana" w:eastAsia="Times New Roman" w:hAnsi="Verdana" w:cs="Arial"/>
          <w:highlight w:val="yellow"/>
          <w:lang w:val="es-ES" w:eastAsia="x-none"/>
        </w:rPr>
      </w:pPr>
    </w:p>
    <w:p w14:paraId="34DD7AE6" w14:textId="77777777" w:rsidR="00BD4793" w:rsidRPr="00BD4793" w:rsidRDefault="00BD4793" w:rsidP="00BD4793">
      <w:pPr>
        <w:tabs>
          <w:tab w:val="left" w:pos="426"/>
        </w:tabs>
        <w:spacing w:line="240" w:lineRule="auto"/>
        <w:contextualSpacing/>
        <w:jc w:val="both"/>
        <w:rPr>
          <w:rFonts w:ascii="Verdana" w:eastAsia="Calibri" w:hAnsi="Verdana" w:cs="Arial"/>
          <w:b/>
          <w:bCs/>
          <w:sz w:val="20"/>
          <w:szCs w:val="20"/>
          <w:lang w:val="es-MX"/>
        </w:rPr>
      </w:pPr>
      <w:r w:rsidRPr="00BD4793">
        <w:rPr>
          <w:rFonts w:ascii="Verdana" w:eastAsia="Calibri" w:hAnsi="Verdana" w:cs="Arial"/>
          <w:b/>
          <w:bCs/>
          <w:lang w:val="es-MX"/>
        </w:rPr>
        <w:t>LEY DE GARANTÍAS ELECTORALES ─ Prohibición ‒ Convenios interadministrativos ‒</w:t>
      </w:r>
      <w:r w:rsidRPr="00BD4793">
        <w:rPr>
          <w:rFonts w:ascii="Calibri" w:eastAsia="Calibri" w:hAnsi="Calibri" w:cs="Times New Roman"/>
        </w:rPr>
        <w:t xml:space="preserve"> </w:t>
      </w:r>
      <w:r w:rsidRPr="00BD4793">
        <w:rPr>
          <w:rFonts w:ascii="Verdana" w:eastAsia="Calibri" w:hAnsi="Verdana" w:cs="Arial"/>
          <w:b/>
          <w:bCs/>
          <w:lang w:val="es-MX"/>
        </w:rPr>
        <w:t>Convenios solidarios</w:t>
      </w:r>
    </w:p>
    <w:p w14:paraId="2FC08D24" w14:textId="77777777" w:rsidR="00BD4793" w:rsidRPr="00BD4793" w:rsidRDefault="00BD4793" w:rsidP="00BD4793">
      <w:pPr>
        <w:spacing w:line="240" w:lineRule="auto"/>
        <w:contextualSpacing/>
        <w:jc w:val="both"/>
        <w:rPr>
          <w:rFonts w:ascii="Verdana" w:eastAsia="Times New Roman" w:hAnsi="Verdana" w:cs="Arial"/>
          <w:bCs/>
          <w:sz w:val="20"/>
          <w:szCs w:val="20"/>
          <w:highlight w:val="yellow"/>
          <w:lang w:val="es-MX" w:eastAsia="es-CO"/>
        </w:rPr>
      </w:pPr>
    </w:p>
    <w:p w14:paraId="08F371C7" w14:textId="77777777" w:rsidR="00BD4793" w:rsidRPr="00BD4793" w:rsidRDefault="00BD4793" w:rsidP="00BD4793">
      <w:pPr>
        <w:spacing w:line="240" w:lineRule="auto"/>
        <w:contextualSpacing/>
        <w:jc w:val="both"/>
        <w:rPr>
          <w:rFonts w:ascii="Verdana" w:eastAsia="Times New Roman" w:hAnsi="Verdana" w:cs="Arial"/>
          <w:bCs/>
          <w:sz w:val="20"/>
          <w:szCs w:val="20"/>
          <w:lang w:val="es-MX" w:eastAsia="es-CO"/>
        </w:rPr>
      </w:pPr>
      <w:r w:rsidRPr="00BD4793">
        <w:rPr>
          <w:rFonts w:ascii="Verdana" w:eastAsia="Times New Roman" w:hAnsi="Verdana" w:cs="Arial"/>
          <w:bCs/>
          <w:sz w:val="20"/>
          <w:szCs w:val="20"/>
          <w:lang w:val="es-MX" w:eastAsia="es-CO"/>
        </w:rPr>
        <w:t>De acuerdo con el artículo 38 de la Ley 996 de 2005, la restricción que iniciaría el 8 de noviembre de 2025, es decir, 4 meses antes de la fecha de las elecciones,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E608EA5" w14:textId="77777777" w:rsidR="00BD4793" w:rsidRPr="00BD4793" w:rsidRDefault="00BD4793" w:rsidP="00BD4793">
      <w:pPr>
        <w:spacing w:line="240" w:lineRule="auto"/>
        <w:contextualSpacing/>
        <w:jc w:val="both"/>
        <w:rPr>
          <w:rFonts w:ascii="Verdana" w:eastAsia="Times New Roman" w:hAnsi="Verdana" w:cs="Arial"/>
          <w:bCs/>
          <w:sz w:val="20"/>
          <w:szCs w:val="20"/>
          <w:lang w:val="es-MX" w:eastAsia="es-CO"/>
        </w:rPr>
      </w:pPr>
    </w:p>
    <w:p w14:paraId="594D485A" w14:textId="77777777" w:rsidR="00BD4793" w:rsidRPr="00BD4793" w:rsidRDefault="00BD4793" w:rsidP="00BD4793">
      <w:pPr>
        <w:spacing w:line="240" w:lineRule="auto"/>
        <w:contextualSpacing/>
        <w:jc w:val="both"/>
        <w:rPr>
          <w:rFonts w:ascii="Verdana" w:eastAsia="Times New Roman" w:hAnsi="Verdana" w:cs="Arial"/>
          <w:bCs/>
          <w:sz w:val="20"/>
          <w:szCs w:val="20"/>
          <w:lang w:val="es-MX" w:eastAsia="es-CO"/>
        </w:rPr>
      </w:pPr>
      <w:r w:rsidRPr="00BD4793">
        <w:rPr>
          <w:rFonts w:ascii="Verdana" w:eastAsia="Times New Roman" w:hAnsi="Verdana" w:cs="Arial"/>
          <w:bCs/>
          <w:sz w:val="20"/>
          <w:szCs w:val="20"/>
          <w:lang w:val="es-MX" w:eastAsia="es-CO"/>
        </w:rPr>
        <w:t>Por tanto, teniendo en cuenta que el artículo 95 de la Ley 2166 de 2021 dispone que “Se autoriza a los entes del orden Nacional, Departamental, Distrital y municipal para celebrar directamente convenios solidarios con los Organismos de Acción Comunal con el fin de contratar con los habitantes de la comunidad”; esta contratación no se encuentra cobijada por la prohibición del artículo 38 de la Ley de Garantías Electorales, ya que como se señaló en el párrafo anterior, la prohibición solo aplica a convenios interadministrativos, y por su carácter restrictivo no admite una interpretación amplia que cobije convenios diferentes a los interadministrativos.</w:t>
      </w:r>
    </w:p>
    <w:p w14:paraId="04DD7AA4" w14:textId="77777777" w:rsidR="00BD4793" w:rsidRPr="00BD4793" w:rsidRDefault="00BD4793" w:rsidP="00BD4793">
      <w:pPr>
        <w:spacing w:after="0" w:line="240" w:lineRule="auto"/>
        <w:jc w:val="both"/>
        <w:rPr>
          <w:rFonts w:ascii="Verdana" w:eastAsia="Times New Roman" w:hAnsi="Verdana" w:cs="Arial"/>
          <w:noProof/>
          <w:lang w:val="es-ES" w:eastAsia="es-ES_tradnl"/>
        </w:rPr>
      </w:pPr>
    </w:p>
    <w:p w14:paraId="3FB6A62B"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5D118920"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04C671BC"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4C05FC5B"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1CAF1EB4"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0539AB99"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1078B5A5"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01DD431A"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2063ECDA"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348227B6"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003A4AA9"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574EEB31"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09A1A0AE"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189DE7F7"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7CD89D68"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1D1BA534"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489D90A2"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5FC28166"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43EB0B22"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58A558E6" w14:textId="677F7F4D" w:rsidR="00253109" w:rsidRDefault="00BD4793" w:rsidP="00BD4793">
      <w:pPr>
        <w:spacing w:after="0" w:line="240" w:lineRule="auto"/>
        <w:jc w:val="both"/>
        <w:rPr>
          <w:rFonts w:ascii="Verdana" w:eastAsia="Times New Roman" w:hAnsi="Verdana" w:cs="Arial"/>
          <w:noProof/>
          <w:lang w:val="es-ES_tradnl" w:eastAsia="es-ES_tradnl"/>
        </w:rPr>
      </w:pPr>
      <w:r w:rsidRPr="00BD4793">
        <w:rPr>
          <w:rFonts w:ascii="Verdana" w:eastAsia="Times New Roman" w:hAnsi="Verdana" w:cs="Arial"/>
          <w:noProof/>
          <w:lang w:val="es-ES_tradnl" w:eastAsia="es-ES_tradnl"/>
        </w:rPr>
        <w:lastRenderedPageBreak/>
        <w:t xml:space="preserve">Bogotá D.C., </w:t>
      </w:r>
      <w:r w:rsidR="00253109">
        <w:rPr>
          <w:rFonts w:ascii="Verdana" w:eastAsia="Times New Roman" w:hAnsi="Verdana" w:cs="Arial"/>
          <w:noProof/>
          <w:lang w:val="es-ES_tradnl" w:eastAsia="es-ES_tradnl"/>
        </w:rPr>
        <w:t>18 de diciembre de 2025</w:t>
      </w:r>
    </w:p>
    <w:p w14:paraId="3C6E67FC" w14:textId="77777777" w:rsidR="00253109" w:rsidRDefault="00253109" w:rsidP="00BD4793">
      <w:pPr>
        <w:spacing w:after="0" w:line="240" w:lineRule="auto"/>
        <w:jc w:val="both"/>
        <w:rPr>
          <w:rFonts w:ascii="Verdana" w:eastAsia="Times New Roman" w:hAnsi="Verdana" w:cs="Arial"/>
          <w:noProof/>
          <w:lang w:val="es-ES_tradnl" w:eastAsia="es-ES_tradnl"/>
        </w:rPr>
      </w:pPr>
    </w:p>
    <w:p w14:paraId="4E44471A" w14:textId="1189FF74" w:rsidR="00253109" w:rsidRPr="00BD4793" w:rsidRDefault="00253109" w:rsidP="00253109">
      <w:pPr>
        <w:spacing w:after="0" w:line="240" w:lineRule="auto"/>
        <w:jc w:val="right"/>
        <w:rPr>
          <w:rFonts w:ascii="Verdana" w:eastAsia="Times New Roman" w:hAnsi="Verdana" w:cs="Arial"/>
          <w:noProof/>
          <w:lang w:val="es-ES_tradnl" w:eastAsia="es-ES_tradnl"/>
        </w:rPr>
      </w:pPr>
      <w:r w:rsidRPr="00253109">
        <w:rPr>
          <w:rFonts w:ascii="Verdana" w:eastAsia="Times New Roman" w:hAnsi="Verdana" w:cs="Arial"/>
          <w:noProof/>
          <w:lang w:val="es-ES_tradnl" w:eastAsia="es-ES_tradnl"/>
        </w:rPr>
        <w:drawing>
          <wp:inline distT="0" distB="0" distL="0" distR="0" wp14:anchorId="7619D157" wp14:editId="152C22A6">
            <wp:extent cx="3419952" cy="971686"/>
            <wp:effectExtent l="0" t="0" r="0" b="0"/>
            <wp:docPr id="64922214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22148" name="Imagen 1" descr="Texto&#10;&#10;El contenido generado por IA puede ser incorrecto."/>
                    <pic:cNvPicPr/>
                  </pic:nvPicPr>
                  <pic:blipFill>
                    <a:blip r:embed="rId10"/>
                    <a:stretch>
                      <a:fillRect/>
                    </a:stretch>
                  </pic:blipFill>
                  <pic:spPr>
                    <a:xfrm>
                      <a:off x="0" y="0"/>
                      <a:ext cx="3419952" cy="971686"/>
                    </a:xfrm>
                    <a:prstGeom prst="rect">
                      <a:avLst/>
                    </a:prstGeom>
                  </pic:spPr>
                </pic:pic>
              </a:graphicData>
            </a:graphic>
          </wp:inline>
        </w:drawing>
      </w:r>
    </w:p>
    <w:p w14:paraId="49D1ACC7" w14:textId="77777777" w:rsidR="00BD4793" w:rsidRPr="00BD4793" w:rsidRDefault="00BD4793" w:rsidP="00BD4793">
      <w:pPr>
        <w:spacing w:after="0" w:line="240" w:lineRule="auto"/>
        <w:jc w:val="both"/>
        <w:rPr>
          <w:rFonts w:ascii="Verdana" w:eastAsia="Times New Roman" w:hAnsi="Verdana" w:cs="Arial"/>
          <w:noProof/>
          <w:lang w:val="es-ES_tradnl" w:eastAsia="es-ES_tradnl"/>
        </w:rPr>
      </w:pPr>
    </w:p>
    <w:p w14:paraId="0BDE28A9" w14:textId="77777777" w:rsidR="00BD4793" w:rsidRPr="00BD4793" w:rsidRDefault="00BD4793" w:rsidP="00BD4793">
      <w:pPr>
        <w:spacing w:after="0" w:line="240" w:lineRule="auto"/>
        <w:jc w:val="right"/>
        <w:rPr>
          <w:rFonts w:ascii="Verdana" w:eastAsia="Times New Roman" w:hAnsi="Verdana" w:cs="Arial"/>
          <w:noProof/>
          <w:lang w:val="es-ES_tradnl" w:eastAsia="es-ES_tradnl"/>
        </w:rPr>
      </w:pPr>
    </w:p>
    <w:p w14:paraId="64CA911E" w14:textId="77777777" w:rsidR="00BD4793" w:rsidRPr="00BD4793" w:rsidRDefault="00BD4793" w:rsidP="00BD4793">
      <w:pPr>
        <w:spacing w:after="0" w:line="240" w:lineRule="auto"/>
        <w:jc w:val="both"/>
        <w:rPr>
          <w:rFonts w:ascii="Verdana" w:eastAsia="Calibri" w:hAnsi="Verdana" w:cs="Arial"/>
          <w:lang w:val="es-ES" w:eastAsia="es-ES_tradnl"/>
        </w:rPr>
      </w:pPr>
      <w:r w:rsidRPr="00BD4793">
        <w:rPr>
          <w:rFonts w:ascii="Verdana" w:eastAsia="Calibri" w:hAnsi="Verdana" w:cs="Arial"/>
          <w:lang w:val="es-ES" w:eastAsia="es-ES_tradnl"/>
        </w:rPr>
        <w:t>Señora</w:t>
      </w:r>
    </w:p>
    <w:p w14:paraId="4A2E0ECE" w14:textId="77777777" w:rsidR="00BD4793" w:rsidRPr="00BD4793" w:rsidRDefault="00BD4793" w:rsidP="00BD4793">
      <w:pPr>
        <w:spacing w:after="0" w:line="240" w:lineRule="auto"/>
        <w:rPr>
          <w:rFonts w:ascii="Verdana" w:eastAsia="Calibri" w:hAnsi="Verdana" w:cs="Arial"/>
          <w:b/>
          <w:bCs/>
          <w:lang w:val="es-ES" w:eastAsia="es-ES_tradnl"/>
        </w:rPr>
      </w:pPr>
      <w:r w:rsidRPr="00BD4793">
        <w:rPr>
          <w:rFonts w:ascii="Verdana" w:eastAsia="Calibri" w:hAnsi="Verdana" w:cs="Arial"/>
          <w:b/>
          <w:bCs/>
          <w:lang w:val="es-ES" w:eastAsia="es-ES_tradnl"/>
        </w:rPr>
        <w:t>Marcela del Pilar Castrillón Zape</w:t>
      </w:r>
    </w:p>
    <w:p w14:paraId="63FAC5AF" w14:textId="77777777" w:rsidR="00BD4793" w:rsidRPr="00BD4793" w:rsidRDefault="00BD4793" w:rsidP="00BD4793">
      <w:pPr>
        <w:spacing w:after="0" w:line="240" w:lineRule="auto"/>
        <w:rPr>
          <w:rFonts w:ascii="Verdana" w:eastAsia="Calibri" w:hAnsi="Verdana" w:cs="Times New Roman"/>
        </w:rPr>
      </w:pPr>
      <w:hyperlink r:id="rId11" w:history="1">
        <w:r w:rsidRPr="00BD4793">
          <w:rPr>
            <w:rFonts w:ascii="Verdana" w:eastAsia="Calibri" w:hAnsi="Verdana" w:cs="Times New Roman"/>
            <w:color w:val="0000FF"/>
            <w:u w:val="single"/>
          </w:rPr>
          <w:t>luiret2126@hotmail.com</w:t>
        </w:r>
      </w:hyperlink>
    </w:p>
    <w:p w14:paraId="267EA40A" w14:textId="77777777" w:rsidR="00BD4793" w:rsidRPr="00BD4793" w:rsidRDefault="00BD4793" w:rsidP="00BD4793">
      <w:pPr>
        <w:spacing w:after="0" w:line="240" w:lineRule="auto"/>
        <w:rPr>
          <w:rFonts w:ascii="Verdana" w:eastAsia="Calibri" w:hAnsi="Verdana" w:cs="Arial"/>
          <w:lang w:val="es-ES_tradnl" w:eastAsia="es-ES_tradnl"/>
        </w:rPr>
      </w:pPr>
      <w:r w:rsidRPr="00BD4793">
        <w:rPr>
          <w:rFonts w:ascii="Verdana" w:eastAsia="Calibri" w:hAnsi="Verdana" w:cs="Arial"/>
          <w:bCs/>
          <w:lang w:val="es-ES_tradnl" w:eastAsia="es-ES_tradnl"/>
        </w:rPr>
        <w:t>Ciudad</w:t>
      </w:r>
    </w:p>
    <w:p w14:paraId="6367E8D3" w14:textId="77777777" w:rsidR="00BD4793" w:rsidRPr="00BD4793" w:rsidRDefault="00BD4793" w:rsidP="00BD4793">
      <w:pPr>
        <w:spacing w:after="0" w:line="240" w:lineRule="auto"/>
        <w:rPr>
          <w:rFonts w:ascii="Verdana" w:eastAsia="Calibri" w:hAnsi="Verdana" w:cs="Arial"/>
          <w:lang w:val="es-ES_tradnl" w:eastAsia="es-ES_tradnl"/>
        </w:rPr>
      </w:pPr>
    </w:p>
    <w:p w14:paraId="245BD4A6" w14:textId="77777777" w:rsidR="00BD4793" w:rsidRPr="00BD4793" w:rsidRDefault="00BD4793" w:rsidP="00BD4793">
      <w:pPr>
        <w:spacing w:after="0" w:line="240" w:lineRule="auto"/>
        <w:rPr>
          <w:rFonts w:ascii="Verdana" w:eastAsia="Calibri" w:hAnsi="Verdana" w:cs="Arial"/>
          <w:lang w:val="es-ES_tradnl" w:eastAsia="es-ES_tradnl"/>
        </w:rPr>
      </w:pPr>
    </w:p>
    <w:p w14:paraId="71F9B0A7" w14:textId="77777777" w:rsidR="00BD4793" w:rsidRPr="00BD4793" w:rsidRDefault="00BD4793" w:rsidP="00BD4793">
      <w:pPr>
        <w:spacing w:after="0" w:line="240" w:lineRule="auto"/>
        <w:ind w:left="2694"/>
        <w:rPr>
          <w:rFonts w:ascii="Verdana" w:eastAsia="Calibri" w:hAnsi="Verdana" w:cs="Arial"/>
          <w:b/>
          <w:bCs/>
          <w:lang w:val="es-ES" w:eastAsia="es-ES_tradnl"/>
        </w:rPr>
      </w:pPr>
      <w:r w:rsidRPr="00BD4793">
        <w:rPr>
          <w:rFonts w:ascii="Verdana" w:eastAsia="Calibri" w:hAnsi="Verdana" w:cs="Arial"/>
          <w:b/>
          <w:bCs/>
          <w:lang w:val="es-ES" w:eastAsia="es-ES_tradnl"/>
        </w:rPr>
        <w:t>Concepto C-1750 de 2025</w:t>
      </w:r>
    </w:p>
    <w:p w14:paraId="12FAFA65" w14:textId="77777777" w:rsidR="00BD4793" w:rsidRPr="00BD4793" w:rsidRDefault="00BD4793" w:rsidP="00BD4793">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BD4793" w:rsidRPr="00BD4793" w14:paraId="2B4ED345" w14:textId="77777777" w:rsidTr="004A17DE">
        <w:tc>
          <w:tcPr>
            <w:tcW w:w="2694" w:type="dxa"/>
          </w:tcPr>
          <w:p w14:paraId="4164B4C1" w14:textId="77777777" w:rsidR="00BD4793" w:rsidRPr="00BD4793" w:rsidRDefault="00BD4793" w:rsidP="00BD4793">
            <w:pPr>
              <w:rPr>
                <w:rFonts w:ascii="Verdana" w:eastAsia="Calibri" w:hAnsi="Verdana" w:cs="Arial"/>
                <w:lang w:val="es-ES_tradnl" w:eastAsia="es-ES_tradnl"/>
              </w:rPr>
            </w:pPr>
            <w:r w:rsidRPr="00BD4793">
              <w:rPr>
                <w:rFonts w:ascii="Verdana" w:eastAsia="Calibri" w:hAnsi="Verdana" w:cs="Arial"/>
                <w:b/>
                <w:lang w:val="es-ES_tradnl" w:eastAsia="es-ES_tradnl"/>
              </w:rPr>
              <w:t>Temas:</w:t>
            </w:r>
          </w:p>
        </w:tc>
        <w:tc>
          <w:tcPr>
            <w:tcW w:w="6095" w:type="dxa"/>
          </w:tcPr>
          <w:p w14:paraId="4F773591" w14:textId="77777777" w:rsidR="00BD4793" w:rsidRPr="00BD4793" w:rsidRDefault="00BD4793" w:rsidP="00BD4793">
            <w:pPr>
              <w:spacing w:line="276" w:lineRule="auto"/>
              <w:jc w:val="both"/>
              <w:textAlignment w:val="baseline"/>
              <w:rPr>
                <w:rFonts w:ascii="Verdana" w:eastAsia="Times New Roman" w:hAnsi="Verdana" w:cs="Arial"/>
                <w:lang w:val="es-ES_tradnl" w:eastAsia="es-ES_tradnl"/>
              </w:rPr>
            </w:pPr>
            <w:r w:rsidRPr="00BD4793">
              <w:rPr>
                <w:rFonts w:ascii="Verdana" w:eastAsia="Times New Roman" w:hAnsi="Verdana" w:cs="Arial"/>
                <w:lang w:eastAsia="es-ES_tradnl"/>
              </w:rPr>
              <w:t>LEY DE GARANTÍAS ELECTORALES – Finalidad / LEY DE GARANTÍAS ELECTORALES ‒ Restricciones ‒ Contratación ‒ Tipos de elección / LEY DE GARANTÍAS ELECTORALES ─ Prohibición ‒ Convenios interadministrativos ‒ Convenios solidarios</w:t>
            </w:r>
          </w:p>
        </w:tc>
      </w:tr>
      <w:tr w:rsidR="00BD4793" w:rsidRPr="00BD4793" w14:paraId="0E612119" w14:textId="77777777" w:rsidTr="004A17DE">
        <w:tc>
          <w:tcPr>
            <w:tcW w:w="2694" w:type="dxa"/>
          </w:tcPr>
          <w:p w14:paraId="0A0BBE82" w14:textId="77777777" w:rsidR="00BD4793" w:rsidRPr="00BD4793" w:rsidRDefault="00BD4793" w:rsidP="00BD4793">
            <w:pPr>
              <w:rPr>
                <w:rFonts w:ascii="Verdana" w:eastAsia="Calibri" w:hAnsi="Verdana" w:cs="Arial"/>
                <w:b/>
                <w:lang w:val="es-ES" w:eastAsia="es-ES_tradnl"/>
              </w:rPr>
            </w:pPr>
            <w:r w:rsidRPr="00BD4793">
              <w:rPr>
                <w:rFonts w:ascii="Verdana" w:eastAsia="Calibri" w:hAnsi="Verdana" w:cs="Arial"/>
                <w:b/>
                <w:lang w:val="es-ES" w:eastAsia="es-ES_tradnl"/>
              </w:rPr>
              <w:t>Radicación:</w:t>
            </w:r>
          </w:p>
        </w:tc>
        <w:tc>
          <w:tcPr>
            <w:tcW w:w="6095" w:type="dxa"/>
          </w:tcPr>
          <w:p w14:paraId="7F983CCA" w14:textId="77777777" w:rsidR="00BD4793" w:rsidRPr="00BD4793" w:rsidRDefault="00BD4793" w:rsidP="00BD4793">
            <w:pPr>
              <w:jc w:val="both"/>
              <w:rPr>
                <w:rFonts w:ascii="Verdana" w:eastAsia="Calibri" w:hAnsi="Verdana" w:cs="Arial"/>
                <w:lang w:val="es-ES" w:eastAsia="es-ES_tradnl"/>
              </w:rPr>
            </w:pPr>
            <w:r w:rsidRPr="00BD4793">
              <w:rPr>
                <w:rFonts w:ascii="Verdana" w:eastAsia="Calibri" w:hAnsi="Verdana" w:cs="Arial"/>
                <w:lang w:val="es-ES" w:eastAsia="es-ES_tradnl"/>
              </w:rPr>
              <w:t xml:space="preserve">Respuesta a consulta radicado No. </w:t>
            </w:r>
            <w:r w:rsidRPr="00BD4793">
              <w:rPr>
                <w:rFonts w:ascii="Verdana" w:eastAsia="Times New Roman" w:hAnsi="Verdana" w:cs="Arial"/>
                <w:lang w:eastAsia="es-ES_tradnl"/>
              </w:rPr>
              <w:t>1_2025_11_25_013301</w:t>
            </w:r>
          </w:p>
        </w:tc>
      </w:tr>
    </w:tbl>
    <w:p w14:paraId="3F3F7E8B" w14:textId="77777777" w:rsidR="00BD4793" w:rsidRPr="00BD4793" w:rsidRDefault="00BD4793" w:rsidP="00BD4793">
      <w:pPr>
        <w:spacing w:after="0" w:line="240" w:lineRule="auto"/>
        <w:jc w:val="both"/>
        <w:rPr>
          <w:rFonts w:ascii="Verdana" w:eastAsia="Calibri" w:hAnsi="Verdana" w:cs="Arial"/>
          <w:lang w:val="es-ES_tradnl" w:eastAsia="es-ES_tradnl"/>
        </w:rPr>
      </w:pPr>
    </w:p>
    <w:p w14:paraId="01E678C3" w14:textId="77777777" w:rsidR="00BD4793" w:rsidRPr="00BD4793" w:rsidRDefault="00BD4793" w:rsidP="00BD4793">
      <w:pPr>
        <w:spacing w:after="0" w:line="240" w:lineRule="auto"/>
        <w:jc w:val="both"/>
        <w:rPr>
          <w:rFonts w:ascii="Verdana" w:eastAsia="Calibri" w:hAnsi="Verdana" w:cs="Arial"/>
          <w:lang w:val="es-ES_tradnl" w:eastAsia="es-ES_tradnl"/>
        </w:rPr>
      </w:pPr>
    </w:p>
    <w:p w14:paraId="01B3714A" w14:textId="77777777" w:rsidR="00BD4793" w:rsidRPr="00BD4793" w:rsidRDefault="00BD4793" w:rsidP="00BD4793">
      <w:pPr>
        <w:spacing w:after="0" w:line="276" w:lineRule="auto"/>
        <w:contextualSpacing/>
        <w:jc w:val="both"/>
        <w:rPr>
          <w:rFonts w:ascii="Verdana" w:eastAsia="Calibri" w:hAnsi="Verdana" w:cs="Arial"/>
          <w:bCs/>
          <w:lang w:val="es-ES_tradnl" w:eastAsia="es-ES_tradnl"/>
        </w:rPr>
      </w:pPr>
      <w:r w:rsidRPr="00BD4793">
        <w:rPr>
          <w:rFonts w:ascii="Verdana" w:eastAsia="Calibri" w:hAnsi="Verdana" w:cs="Arial"/>
          <w:lang w:val="es-ES_tradnl" w:eastAsia="es-ES_tradnl"/>
        </w:rPr>
        <w:t>Estimada señora Castrillón</w:t>
      </w:r>
      <w:r w:rsidRPr="00BD4793">
        <w:rPr>
          <w:rFonts w:ascii="Verdana" w:eastAsia="Calibri" w:hAnsi="Verdana" w:cs="Arial"/>
          <w:bCs/>
          <w:lang w:val="es-ES_tradnl" w:eastAsia="es-ES_tradnl"/>
        </w:rPr>
        <w:t>:</w:t>
      </w:r>
    </w:p>
    <w:p w14:paraId="5C0DC9F3" w14:textId="77777777" w:rsidR="00BD4793" w:rsidRPr="00BD4793" w:rsidRDefault="00BD4793" w:rsidP="00BD4793">
      <w:pPr>
        <w:spacing w:after="0" w:line="276" w:lineRule="auto"/>
        <w:contextualSpacing/>
        <w:jc w:val="both"/>
        <w:rPr>
          <w:rFonts w:ascii="Verdana" w:eastAsia="Calibri" w:hAnsi="Verdana" w:cs="Arial"/>
          <w:lang w:val="es-ES_tradnl" w:eastAsia="es-ES_tradnl"/>
        </w:rPr>
      </w:pPr>
    </w:p>
    <w:p w14:paraId="1809443E" w14:textId="77777777" w:rsidR="00BD4793" w:rsidRPr="00BD4793" w:rsidRDefault="00BD4793" w:rsidP="00BD4793">
      <w:pPr>
        <w:spacing w:after="0" w:line="276" w:lineRule="auto"/>
        <w:contextualSpacing/>
        <w:jc w:val="both"/>
        <w:rPr>
          <w:rFonts w:ascii="Verdana" w:eastAsia="Calibri" w:hAnsi="Verdana" w:cs="Arial"/>
          <w:lang w:val="es-ES" w:eastAsia="es-ES_tradnl"/>
        </w:rPr>
      </w:pPr>
      <w:r w:rsidRPr="00BD4793">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25 de noviembre de 2025, remitida por el Departamento Administrativo de la Función Pública mediante oficio remisorio No. 20256000556101 en la cual manifiesta lo siguiente:</w:t>
      </w:r>
    </w:p>
    <w:p w14:paraId="368BCFF9" w14:textId="77777777" w:rsidR="00BD4793" w:rsidRPr="00BD4793" w:rsidRDefault="00BD4793" w:rsidP="00BD4793">
      <w:pPr>
        <w:spacing w:after="0" w:line="276" w:lineRule="auto"/>
        <w:contextualSpacing/>
        <w:jc w:val="both"/>
        <w:rPr>
          <w:rFonts w:ascii="Verdana" w:eastAsia="Calibri" w:hAnsi="Verdana" w:cs="Arial"/>
          <w:b/>
          <w:szCs w:val="24"/>
          <w:lang w:val="es-ES_tradnl" w:eastAsia="es-ES_tradnl"/>
        </w:rPr>
      </w:pPr>
    </w:p>
    <w:p w14:paraId="2CB647F1" w14:textId="77777777" w:rsidR="00BD4793" w:rsidRPr="00BD4793" w:rsidRDefault="00BD4793" w:rsidP="00BD4793">
      <w:pPr>
        <w:spacing w:after="0" w:line="240" w:lineRule="auto"/>
        <w:ind w:left="709" w:right="709"/>
        <w:contextualSpacing/>
        <w:jc w:val="both"/>
        <w:rPr>
          <w:rFonts w:ascii="Verdana" w:eastAsia="Times New Roman" w:hAnsi="Verdana" w:cs="Arial"/>
          <w:sz w:val="21"/>
          <w:szCs w:val="21"/>
          <w:lang w:eastAsia="es-ES_tradnl"/>
        </w:rPr>
      </w:pPr>
      <w:r w:rsidRPr="00BD4793">
        <w:rPr>
          <w:rFonts w:ascii="Verdana" w:eastAsia="Times New Roman" w:hAnsi="Verdana" w:cs="Arial"/>
          <w:sz w:val="21"/>
          <w:szCs w:val="21"/>
          <w:lang w:eastAsia="es-ES_tradnl"/>
        </w:rPr>
        <w:t xml:space="preserve">“Teniendo en cuenta la ley de garantías para las próximas elecciones, la restricción sobre celebrar convenios interadministrativos hasta el día </w:t>
      </w:r>
      <w:r w:rsidRPr="00BD4793">
        <w:rPr>
          <w:rFonts w:ascii="Verdana" w:eastAsia="Times New Roman" w:hAnsi="Verdana" w:cs="Arial"/>
          <w:sz w:val="21"/>
          <w:szCs w:val="21"/>
          <w:lang w:eastAsia="es-ES_tradnl"/>
        </w:rPr>
        <w:lastRenderedPageBreak/>
        <w:t>08 de noviembre de 2025, aplica también para celebrar convenios solidarios con las juntas de acción comunal para ejecutar obras?”</w:t>
      </w:r>
    </w:p>
    <w:p w14:paraId="67F2C323" w14:textId="77777777" w:rsidR="00BD4793" w:rsidRPr="00BD4793" w:rsidRDefault="00BD4793" w:rsidP="00BD4793">
      <w:pPr>
        <w:spacing w:after="0" w:line="240" w:lineRule="auto"/>
        <w:ind w:left="709" w:right="709"/>
        <w:contextualSpacing/>
        <w:jc w:val="both"/>
        <w:rPr>
          <w:rFonts w:ascii="Verdana" w:eastAsia="Times New Roman" w:hAnsi="Verdana" w:cs="Arial"/>
          <w:sz w:val="21"/>
          <w:szCs w:val="21"/>
          <w:lang w:eastAsia="es-ES_tradnl"/>
        </w:rPr>
      </w:pPr>
    </w:p>
    <w:p w14:paraId="673506B4" w14:textId="77777777" w:rsidR="00BD4793" w:rsidRPr="00BD4793" w:rsidRDefault="00BD4793" w:rsidP="00BD4793">
      <w:pPr>
        <w:spacing w:after="120" w:line="276" w:lineRule="auto"/>
        <w:ind w:firstLine="709"/>
        <w:jc w:val="both"/>
        <w:rPr>
          <w:rFonts w:ascii="Verdana" w:eastAsia="Calibri" w:hAnsi="Verdana" w:cs="Arial"/>
          <w:color w:val="000000"/>
          <w:szCs w:val="24"/>
          <w:lang w:val="es-ES_tradnl" w:eastAsia="es-ES_tradnl"/>
        </w:rPr>
      </w:pPr>
      <w:r w:rsidRPr="00BD479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D4793">
        <w:rPr>
          <w:rFonts w:ascii="Verdana" w:eastAsia="Calibri" w:hAnsi="Verdana" w:cs="Arial"/>
          <w:color w:val="000000"/>
          <w:szCs w:val="24"/>
          <w:lang w:val="es-ES_tradnl" w:eastAsia="es-ES_tradnl"/>
        </w:rPr>
        <w:tab/>
      </w:r>
    </w:p>
    <w:p w14:paraId="784F244B" w14:textId="77777777" w:rsidR="00BD4793" w:rsidRPr="00BD4793" w:rsidRDefault="00BD4793" w:rsidP="00BD4793">
      <w:pPr>
        <w:spacing w:after="0" w:line="276" w:lineRule="auto"/>
        <w:ind w:firstLine="709"/>
        <w:jc w:val="both"/>
        <w:rPr>
          <w:rFonts w:ascii="Verdana" w:eastAsia="Calibri" w:hAnsi="Verdana" w:cs="Arial"/>
          <w:lang w:val="es-ES" w:eastAsia="es-ES"/>
        </w:rPr>
      </w:pPr>
      <w:r w:rsidRPr="00BD479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F304996" w14:textId="77777777" w:rsidR="00BD4793" w:rsidRPr="00BD4793" w:rsidRDefault="00BD4793" w:rsidP="00BD4793">
      <w:pPr>
        <w:spacing w:after="0" w:line="276" w:lineRule="auto"/>
        <w:contextualSpacing/>
        <w:jc w:val="both"/>
        <w:rPr>
          <w:rFonts w:ascii="Verdana" w:eastAsia="Times New Roman" w:hAnsi="Verdana" w:cs="Arial"/>
          <w:szCs w:val="24"/>
          <w:lang w:val="es-ES_tradnl" w:eastAsia="es-ES_tradnl"/>
        </w:rPr>
      </w:pPr>
    </w:p>
    <w:p w14:paraId="4A83A82E" w14:textId="77777777" w:rsidR="00BD4793" w:rsidRPr="00BD4793" w:rsidRDefault="00BD4793" w:rsidP="00BD4793">
      <w:pPr>
        <w:tabs>
          <w:tab w:val="left" w:pos="0"/>
          <w:tab w:val="left" w:pos="284"/>
        </w:tabs>
        <w:spacing w:after="0" w:line="276" w:lineRule="auto"/>
        <w:contextualSpacing/>
        <w:jc w:val="both"/>
        <w:rPr>
          <w:rFonts w:ascii="Verdana" w:eastAsia="Calibri" w:hAnsi="Verdana" w:cs="Arial"/>
          <w:b/>
          <w:lang w:val="es-ES"/>
        </w:rPr>
      </w:pPr>
      <w:r w:rsidRPr="6C044C51">
        <w:rPr>
          <w:rFonts w:ascii="Verdana" w:eastAsia="Calibri" w:hAnsi="Verdana" w:cs="Arial"/>
          <w:b/>
          <w:lang w:val="es-ES"/>
        </w:rPr>
        <w:t>1. Problema planteado:</w:t>
      </w:r>
    </w:p>
    <w:p w14:paraId="37D7B864" w14:textId="77777777" w:rsidR="00BD4793" w:rsidRPr="00BD4793" w:rsidRDefault="00BD4793" w:rsidP="00BD4793">
      <w:pPr>
        <w:tabs>
          <w:tab w:val="left" w:pos="0"/>
          <w:tab w:val="left" w:pos="284"/>
        </w:tabs>
        <w:spacing w:after="0" w:line="276" w:lineRule="auto"/>
        <w:contextualSpacing/>
        <w:jc w:val="both"/>
        <w:rPr>
          <w:rFonts w:ascii="Verdana" w:eastAsia="Calibri" w:hAnsi="Verdana" w:cs="Arial"/>
          <w:b/>
          <w:lang w:val="es-ES_tradnl"/>
        </w:rPr>
      </w:pPr>
    </w:p>
    <w:p w14:paraId="69C99956" w14:textId="77777777" w:rsidR="00BD4793" w:rsidRPr="00BD4793" w:rsidRDefault="00BD4793" w:rsidP="00BD4793">
      <w:pPr>
        <w:spacing w:after="0" w:line="276" w:lineRule="auto"/>
        <w:jc w:val="both"/>
        <w:rPr>
          <w:rFonts w:ascii="Verdana" w:eastAsia="Century Gothic" w:hAnsi="Verdana" w:cs="Century Gothic"/>
        </w:rPr>
      </w:pPr>
      <w:r w:rsidRPr="00BD4793">
        <w:rPr>
          <w:rFonts w:ascii="Verdana" w:eastAsia="Century Gothic" w:hAnsi="Verdana" w:cs="Century Gothic"/>
        </w:rPr>
        <w:t>De acuerdo con el contenido de su solicitud, esta Agencia resolverá el siguiente problema jurídico: ¿La restricción a los convenios interadministrativos de la Ley de garantías aplica a convenios solidarios?</w:t>
      </w:r>
    </w:p>
    <w:p w14:paraId="760C5D3E" w14:textId="77777777" w:rsidR="00BD4793" w:rsidRPr="00BD4793" w:rsidRDefault="00BD4793" w:rsidP="00BD4793">
      <w:pPr>
        <w:spacing w:after="0" w:line="276" w:lineRule="auto"/>
        <w:ind w:firstLine="709"/>
        <w:jc w:val="both"/>
        <w:rPr>
          <w:rFonts w:ascii="Verdana" w:eastAsia="Calibri" w:hAnsi="Verdana" w:cs="Arial"/>
          <w:lang w:eastAsia="es-ES_tradnl"/>
        </w:rPr>
      </w:pPr>
    </w:p>
    <w:p w14:paraId="53620E08"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bCs/>
        </w:rPr>
      </w:pPr>
      <w:r w:rsidRPr="00BD4793">
        <w:rPr>
          <w:rFonts w:ascii="Verdana" w:eastAsia="Century Gothic" w:hAnsi="Verdana" w:cs="Century Gothic"/>
          <w:b/>
          <w:bCs/>
        </w:rPr>
        <w:t>2. Respuesta:</w:t>
      </w:r>
    </w:p>
    <w:p w14:paraId="73C12225"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4793" w:rsidRPr="00BD4793" w14:paraId="79285F72" w14:textId="77777777" w:rsidTr="004A17DE">
        <w:tc>
          <w:tcPr>
            <w:tcW w:w="8828" w:type="dxa"/>
          </w:tcPr>
          <w:p w14:paraId="5347CC18" w14:textId="77777777" w:rsidR="00BD4793" w:rsidRPr="00BD4793" w:rsidRDefault="00BD4793" w:rsidP="00BD4793">
            <w:pPr>
              <w:spacing w:after="120" w:line="276" w:lineRule="auto"/>
              <w:jc w:val="both"/>
              <w:rPr>
                <w:rFonts w:ascii="Verdana" w:eastAsia="Times New Roman" w:hAnsi="Verdana" w:cs="Arial"/>
                <w:lang w:eastAsia="x-none"/>
              </w:rPr>
            </w:pPr>
            <w:r w:rsidRPr="00BD4793">
              <w:rPr>
                <w:rFonts w:ascii="Verdana" w:eastAsia="Times New Roman" w:hAnsi="Verdana" w:cs="Arial"/>
                <w:lang w:eastAsia="x-none"/>
              </w:rPr>
              <w:t xml:space="preserve">De acuerdo con el artículo 38 de la Ley 996 de 2005, </w:t>
            </w:r>
            <w:r w:rsidRPr="00BD4793">
              <w:rPr>
                <w:rFonts w:ascii="Verdana" w:eastAsia="Calibri" w:hAnsi="Verdana" w:cs="Arial"/>
              </w:rPr>
              <w:t xml:space="preserve">la restricción que iniciaría el 8 de noviembre de 2025, es decir, 4 meses antes de la fecha de las elecciones, prohíbe a los gobernadores, alcaldes municipales o distritales, secretarios, gerentes y directores de entidades descentralizadas del orden municipal, departamental o distrital </w:t>
            </w:r>
            <w:r w:rsidRPr="00BD4793">
              <w:rPr>
                <w:rFonts w:ascii="Verdana" w:eastAsia="Calibri" w:hAnsi="Verdana" w:cs="Arial"/>
                <w:lang w:val="es-MX"/>
              </w:rPr>
              <w:t xml:space="preserve">celebrar convenios interadministrativos para la ejecución de recursos públicos, ni participar, promover y destinar </w:t>
            </w:r>
            <w:r w:rsidRPr="00BD4793">
              <w:rPr>
                <w:rFonts w:ascii="Verdana" w:eastAsia="Calibri" w:hAnsi="Verdana" w:cs="Arial"/>
                <w:lang w:val="es-MX"/>
              </w:rPr>
              <w:lastRenderedPageBreak/>
              <w:t>recursos públicos de las entidades a su cargo, como tampoco de las que participen como miembros de sus juntas directivas, en o para reuniones de carácter proselitista</w:t>
            </w:r>
            <w:r w:rsidRPr="00BD4793">
              <w:rPr>
                <w:rFonts w:ascii="Verdana" w:eastAsia="Calibri" w:hAnsi="Verdana" w:cs="Arial"/>
              </w:rPr>
              <w:t>.</w:t>
            </w:r>
          </w:p>
          <w:p w14:paraId="21E1D54E" w14:textId="77777777" w:rsidR="00BD4793" w:rsidRDefault="00BD4793" w:rsidP="00BD4793">
            <w:pPr>
              <w:spacing w:after="120" w:line="276" w:lineRule="auto"/>
              <w:jc w:val="both"/>
              <w:rPr>
                <w:rFonts w:ascii="Verdana" w:eastAsia="Times New Roman" w:hAnsi="Verdana" w:cs="Arial"/>
                <w:lang w:eastAsia="x-none"/>
              </w:rPr>
            </w:pPr>
            <w:r w:rsidRPr="00BD4793">
              <w:rPr>
                <w:rFonts w:ascii="Verdana" w:eastAsia="Times New Roman" w:hAnsi="Verdana" w:cs="Arial"/>
                <w:lang w:eastAsia="x-none"/>
              </w:rPr>
              <w:t>Por tanto, teniendo en cuenta que el artículo 95 de la Ley 2166 de 2021 dispone que “</w:t>
            </w:r>
            <w:r w:rsidRPr="00BD4793">
              <w:rPr>
                <w:rFonts w:ascii="Verdana" w:eastAsia="Times New Roman" w:hAnsi="Verdana" w:cs="Arial"/>
                <w:i/>
                <w:iCs/>
                <w:lang w:eastAsia="x-none"/>
              </w:rPr>
              <w:t>Se autoriza a los entes del orden Nacional, Departamental, Distrital y municipal para celebrar directamente convenios solidarios con los Organismos de Acción Comunal con el fin de contratar con los habitantes de la comunidad</w:t>
            </w:r>
            <w:r w:rsidRPr="00BD4793">
              <w:rPr>
                <w:rFonts w:ascii="Verdana" w:eastAsia="Times New Roman" w:hAnsi="Verdana" w:cs="Arial"/>
                <w:lang w:eastAsia="x-none"/>
              </w:rPr>
              <w:t>”; esta contratación no se encuentra cobijada por la prohibición del artículo 38 de la Ley de Garantías Electorales, ya que como se señaló en el párrafo anterior, la prohibición solo aplica a convenios interadministrativos, y por su carácter restrictivo no admite una interpretación amplia que cobije convenios diferentes a los interadministrativos.</w:t>
            </w:r>
          </w:p>
          <w:p w14:paraId="046D88DE" w14:textId="4C281455" w:rsidR="00583AAD" w:rsidRPr="00BD4793" w:rsidRDefault="00583AAD" w:rsidP="001D59CE">
            <w:pPr>
              <w:spacing w:after="120" w:line="276" w:lineRule="auto"/>
              <w:jc w:val="both"/>
              <w:rPr>
                <w:rFonts w:ascii="Verdana" w:eastAsia="Calibri" w:hAnsi="Verdana" w:cs="Arial"/>
              </w:rPr>
            </w:pPr>
            <w:r>
              <w:rPr>
                <w:rFonts w:ascii="Verdana" w:eastAsia="Times New Roman" w:hAnsi="Verdana" w:cs="Arial"/>
                <w:lang w:eastAsia="x-none"/>
              </w:rPr>
              <w:t xml:space="preserve">No obstante, respecto de la restricción del artículo 33 de la Ley de Garantías, se debe tener en cuenta que </w:t>
            </w:r>
            <w:r w:rsidR="0009143D" w:rsidRPr="0009143D">
              <w:rPr>
                <w:rFonts w:ascii="Verdana" w:eastAsia="Times New Roman" w:hAnsi="Verdana" w:cs="Arial"/>
                <w:lang w:eastAsia="x-none"/>
              </w:rPr>
              <w:t xml:space="preserve">se refiere a “cualquier sistema que no implique convocatoria pública y posibilidad de pluralidad de oferentes”, </w:t>
            </w:r>
            <w:r w:rsidR="001B7AB7">
              <w:rPr>
                <w:rFonts w:ascii="Verdana" w:eastAsia="Times New Roman" w:hAnsi="Verdana" w:cs="Arial"/>
                <w:lang w:eastAsia="x-none"/>
              </w:rPr>
              <w:t xml:space="preserve">y </w:t>
            </w:r>
            <w:r w:rsidR="0009143D" w:rsidRPr="0009143D">
              <w:rPr>
                <w:rFonts w:ascii="Verdana" w:eastAsia="Times New Roman" w:hAnsi="Verdana" w:cs="Arial"/>
                <w:lang w:eastAsia="x-none"/>
              </w:rPr>
              <w:t xml:space="preserve">el artículo 95 de la Ley 2166 de 2021 </w:t>
            </w:r>
            <w:r w:rsidR="001B7AB7">
              <w:rPr>
                <w:rFonts w:ascii="Verdana" w:eastAsia="Times New Roman" w:hAnsi="Verdana" w:cs="Arial"/>
                <w:lang w:eastAsia="x-none"/>
              </w:rPr>
              <w:t>es una</w:t>
            </w:r>
            <w:r w:rsidR="0009143D" w:rsidRPr="0009143D">
              <w:rPr>
                <w:rFonts w:ascii="Verdana" w:eastAsia="Times New Roman" w:hAnsi="Verdana" w:cs="Arial"/>
                <w:lang w:eastAsia="x-none"/>
              </w:rPr>
              <w:t xml:space="preserve"> contratación </w:t>
            </w:r>
            <w:r w:rsidR="001B7AB7">
              <w:rPr>
                <w:rFonts w:ascii="Verdana" w:eastAsia="Times New Roman" w:hAnsi="Verdana" w:cs="Arial"/>
                <w:lang w:eastAsia="x-none"/>
              </w:rPr>
              <w:t xml:space="preserve">que </w:t>
            </w:r>
            <w:r w:rsidR="0009143D" w:rsidRPr="0009143D">
              <w:rPr>
                <w:rFonts w:ascii="Verdana" w:eastAsia="Times New Roman" w:hAnsi="Verdana" w:cs="Arial"/>
                <w:lang w:eastAsia="x-none"/>
              </w:rPr>
              <w:t>al ser directa se encuentra cobijada por la prohibición del artículo 33 de la Ley de Garantías Electorales, ya que la prohibición es amplia y aplica a toda la contratación que no implique convocatoria pública.</w:t>
            </w:r>
          </w:p>
        </w:tc>
      </w:tr>
    </w:tbl>
    <w:p w14:paraId="1CE29E77" w14:textId="77777777" w:rsidR="00BD4793" w:rsidRPr="00BD4793" w:rsidRDefault="00BD4793" w:rsidP="00BD4793">
      <w:pPr>
        <w:spacing w:after="0" w:line="276" w:lineRule="auto"/>
        <w:contextualSpacing/>
        <w:jc w:val="both"/>
        <w:rPr>
          <w:rFonts w:ascii="Verdana" w:eastAsia="Times New Roman" w:hAnsi="Verdana" w:cs="Arial"/>
          <w:lang w:eastAsia="es-ES_tradnl"/>
        </w:rPr>
      </w:pPr>
    </w:p>
    <w:p w14:paraId="3CE5ED0F"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bCs/>
        </w:rPr>
      </w:pPr>
      <w:r w:rsidRPr="00BD4793">
        <w:rPr>
          <w:rFonts w:ascii="Verdana" w:eastAsia="Century Gothic" w:hAnsi="Verdana" w:cs="Century Gothic"/>
          <w:b/>
          <w:bCs/>
        </w:rPr>
        <w:t>3. Razones de la respuesta:</w:t>
      </w:r>
    </w:p>
    <w:p w14:paraId="5BC42A45" w14:textId="77777777" w:rsidR="00BD4793" w:rsidRPr="00BD4793" w:rsidRDefault="00BD4793" w:rsidP="00BD4793">
      <w:pPr>
        <w:spacing w:after="0" w:line="276" w:lineRule="auto"/>
        <w:jc w:val="both"/>
        <w:rPr>
          <w:rFonts w:ascii="Verdana" w:eastAsia="Calibri" w:hAnsi="Verdana" w:cs="Arial"/>
          <w:color w:val="7030A0"/>
          <w:lang w:val="es-ES"/>
        </w:rPr>
      </w:pPr>
    </w:p>
    <w:p w14:paraId="0F968065" w14:textId="77777777" w:rsidR="00BD4793" w:rsidRPr="00BD4793" w:rsidRDefault="00BD4793" w:rsidP="00BD4793">
      <w:pPr>
        <w:spacing w:after="0" w:line="276" w:lineRule="auto"/>
        <w:jc w:val="both"/>
        <w:rPr>
          <w:rFonts w:ascii="Verdana" w:eastAsia="Calibri" w:hAnsi="Verdana" w:cs="Arial"/>
          <w:lang w:val="es-ES"/>
        </w:rPr>
      </w:pPr>
      <w:r w:rsidRPr="00BD4793">
        <w:rPr>
          <w:rFonts w:ascii="Verdana" w:eastAsia="Calibri" w:hAnsi="Verdana" w:cs="Arial"/>
          <w:lang w:val="es-ES"/>
        </w:rPr>
        <w:t xml:space="preserve">Lo anterior se sustenta en las siguientes consideraciones: </w:t>
      </w:r>
    </w:p>
    <w:p w14:paraId="1BC868AD" w14:textId="77777777" w:rsidR="00BD4793" w:rsidRPr="00BD4793" w:rsidRDefault="00BD4793" w:rsidP="00BD4793">
      <w:pPr>
        <w:spacing w:after="0" w:line="276" w:lineRule="auto"/>
        <w:jc w:val="both"/>
        <w:rPr>
          <w:rFonts w:ascii="Verdana" w:eastAsia="Calibri" w:hAnsi="Verdana" w:cs="Arial"/>
          <w:lang w:val="es-ES"/>
        </w:rPr>
      </w:pPr>
    </w:p>
    <w:p w14:paraId="72648159" w14:textId="77777777" w:rsidR="00BD4793" w:rsidRPr="00BD4793" w:rsidRDefault="00BD4793" w:rsidP="00BD4793">
      <w:pPr>
        <w:tabs>
          <w:tab w:val="left" w:pos="426"/>
        </w:tabs>
        <w:spacing w:after="120" w:line="276" w:lineRule="auto"/>
        <w:jc w:val="both"/>
        <w:rPr>
          <w:rFonts w:ascii="Verdana" w:eastAsia="Times New Roman" w:hAnsi="Verdana" w:cs="Arial"/>
          <w:lang w:val="es-ES" w:eastAsia="es-CO"/>
        </w:rPr>
      </w:pPr>
      <w:bookmarkStart w:id="0" w:name="_Hlk102983874"/>
      <w:bookmarkStart w:id="1" w:name="_Hlk102388095"/>
      <w:r w:rsidRPr="00BD4793">
        <w:rPr>
          <w:rFonts w:ascii="Verdana" w:eastAsia="Calibri" w:hAnsi="Verdana" w:cs="Arial"/>
          <w:color w:val="000000"/>
          <w:lang w:val="es-ES"/>
        </w:rPr>
        <w:t>i)</w:t>
      </w:r>
      <w:r w:rsidRPr="00BD4793">
        <w:rPr>
          <w:rFonts w:ascii="Verdana" w:eastAsia="Verdana" w:hAnsi="Verdana" w:cs="Verdana"/>
          <w:lang w:val="es-ES"/>
        </w:rPr>
        <w:t xml:space="preserve"> </w:t>
      </w:r>
      <w:r w:rsidRPr="00BD4793">
        <w:rPr>
          <w:rFonts w:ascii="Verdana" w:eastAsia="Calibri" w:hAnsi="Verdana" w:cs="Arial"/>
          <w:lang w:val="es-ES"/>
        </w:rPr>
        <w:t>El ordenamiento jurídico colombiano contempla medidas para evitar la obtención de beneficios personales en asuntos propios de la administración pública</w:t>
      </w:r>
      <w:r w:rsidRPr="00BD4793">
        <w:rPr>
          <w:rFonts w:ascii="Verdana" w:eastAsia="Calibri" w:hAnsi="Verdana" w:cs="Arial"/>
          <w:i/>
          <w:lang w:val="es-ES"/>
        </w:rPr>
        <w:t xml:space="preserve">. </w:t>
      </w:r>
      <w:r w:rsidRPr="00BD4793">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D4793">
        <w:rPr>
          <w:rFonts w:ascii="Verdana" w:eastAsia="Calibri" w:hAnsi="Verdana" w:cs="Times New Roman"/>
          <w:vertAlign w:val="superscript"/>
          <w:lang w:val="es-ES"/>
        </w:rPr>
        <w:footnoteReference w:id="1"/>
      </w:r>
      <w:r w:rsidRPr="00BD4793">
        <w:rPr>
          <w:rFonts w:ascii="Verdana" w:eastAsia="Calibri" w:hAnsi="Verdana" w:cs="Arial"/>
          <w:lang w:val="es-ES"/>
        </w:rPr>
        <w:t xml:space="preserve">. </w:t>
      </w:r>
    </w:p>
    <w:p w14:paraId="14C31EA2" w14:textId="77777777" w:rsidR="00BD4793" w:rsidRPr="00BD4793" w:rsidRDefault="00BD4793" w:rsidP="00BD4793">
      <w:pPr>
        <w:tabs>
          <w:tab w:val="left" w:pos="426"/>
        </w:tabs>
        <w:spacing w:after="120" w:line="276" w:lineRule="auto"/>
        <w:ind w:firstLine="709"/>
        <w:jc w:val="both"/>
        <w:rPr>
          <w:rFonts w:ascii="Verdana" w:eastAsia="Calibri" w:hAnsi="Verdana" w:cs="Arial"/>
          <w:lang w:val="es-ES"/>
        </w:rPr>
      </w:pPr>
      <w:r w:rsidRPr="00BD4793">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D4793">
        <w:rPr>
          <w:rFonts w:ascii="Verdana" w:eastAsia="Times New Roman" w:hAnsi="Verdana" w:cs="Arial"/>
          <w:vertAlign w:val="superscript"/>
          <w:lang w:val="es-ES" w:eastAsia="es-CO"/>
        </w:rPr>
        <w:footnoteReference w:id="2"/>
      </w:r>
      <w:r w:rsidRPr="00BD4793">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D4793">
        <w:rPr>
          <w:rFonts w:ascii="Verdana" w:eastAsia="Calibri" w:hAnsi="Verdana" w:cs="Arial"/>
          <w:lang w:val="es-ES"/>
        </w:rPr>
        <w:t xml:space="preserve"> </w:t>
      </w:r>
    </w:p>
    <w:p w14:paraId="1C7AE487" w14:textId="77777777" w:rsidR="00BD4793" w:rsidRPr="00BD4793" w:rsidRDefault="00BD4793" w:rsidP="00BD4793">
      <w:pPr>
        <w:tabs>
          <w:tab w:val="left" w:pos="426"/>
        </w:tabs>
        <w:spacing w:after="0" w:line="276" w:lineRule="auto"/>
        <w:ind w:firstLine="709"/>
        <w:jc w:val="both"/>
        <w:rPr>
          <w:rFonts w:ascii="Verdana" w:eastAsia="Calibri" w:hAnsi="Verdana" w:cs="Arial"/>
          <w:lang w:val="es-ES"/>
        </w:rPr>
      </w:pPr>
      <w:r w:rsidRPr="00BD4793">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19DC0F2" w14:textId="77777777" w:rsidR="00BD4793" w:rsidRPr="00BD4793" w:rsidRDefault="00BD4793" w:rsidP="00BD4793">
      <w:pPr>
        <w:spacing w:after="0" w:line="276" w:lineRule="auto"/>
        <w:ind w:right="709"/>
        <w:jc w:val="both"/>
        <w:rPr>
          <w:rFonts w:ascii="Verdana" w:eastAsia="Times New Roman" w:hAnsi="Verdana" w:cs="Arial"/>
          <w:lang w:val="es-ES" w:eastAsia="es-CO"/>
        </w:rPr>
      </w:pPr>
    </w:p>
    <w:p w14:paraId="0BFFDCB5" w14:textId="77777777" w:rsidR="00BD4793" w:rsidRPr="00BD4793" w:rsidRDefault="00BD4793" w:rsidP="00BD4793">
      <w:pPr>
        <w:spacing w:after="0" w:line="240" w:lineRule="auto"/>
        <w:ind w:left="709" w:right="709"/>
        <w:contextualSpacing/>
        <w:jc w:val="both"/>
        <w:rPr>
          <w:rFonts w:ascii="Verdana" w:eastAsia="Times New Roman" w:hAnsi="Verdana" w:cs="Arial"/>
          <w:sz w:val="20"/>
          <w:szCs w:val="20"/>
          <w:lang w:val="es-ES" w:eastAsia="es-CO"/>
        </w:rPr>
      </w:pPr>
      <w:r w:rsidRPr="00BD4793">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71C2C898" w14:textId="77777777" w:rsidR="00BD4793" w:rsidRPr="00BD4793" w:rsidRDefault="00BD4793" w:rsidP="00BD4793">
      <w:pPr>
        <w:spacing w:after="0" w:line="240" w:lineRule="auto"/>
        <w:ind w:left="709" w:right="709"/>
        <w:contextualSpacing/>
        <w:jc w:val="both"/>
        <w:rPr>
          <w:rFonts w:ascii="Verdana" w:eastAsia="Times New Roman" w:hAnsi="Verdana" w:cs="Arial"/>
          <w:sz w:val="20"/>
          <w:szCs w:val="20"/>
          <w:lang w:val="es-ES" w:eastAsia="es-CO"/>
        </w:rPr>
      </w:pPr>
      <w:r w:rsidRPr="00BD4793">
        <w:rPr>
          <w:rFonts w:ascii="Verdana" w:eastAsia="Times New Roman" w:hAnsi="Verdana" w:cs="Arial"/>
          <w:sz w:val="20"/>
          <w:szCs w:val="20"/>
          <w:lang w:val="es-ES" w:eastAsia="es-CO"/>
        </w:rPr>
        <w:t xml:space="preserve">[…] </w:t>
      </w:r>
    </w:p>
    <w:p w14:paraId="58965BF0" w14:textId="77777777" w:rsidR="00BD4793" w:rsidRPr="00BD4793" w:rsidRDefault="00BD4793" w:rsidP="00BD4793">
      <w:pPr>
        <w:spacing w:after="0" w:line="240" w:lineRule="auto"/>
        <w:ind w:left="709" w:right="709"/>
        <w:contextualSpacing/>
        <w:jc w:val="both"/>
        <w:rPr>
          <w:rFonts w:ascii="Verdana" w:eastAsia="Times New Roman" w:hAnsi="Verdana" w:cs="Arial"/>
          <w:sz w:val="20"/>
          <w:szCs w:val="20"/>
          <w:lang w:val="es-ES" w:eastAsia="es-CO"/>
        </w:rPr>
      </w:pPr>
      <w:r w:rsidRPr="00BD4793">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D4793">
        <w:rPr>
          <w:rFonts w:ascii="Verdana" w:eastAsia="Calibri" w:hAnsi="Verdana" w:cs="Arial"/>
          <w:sz w:val="20"/>
          <w:szCs w:val="20"/>
          <w:vertAlign w:val="superscript"/>
          <w:lang w:val="es-ES"/>
        </w:rPr>
        <w:footnoteReference w:id="3"/>
      </w:r>
    </w:p>
    <w:p w14:paraId="1B51F59C" w14:textId="77777777" w:rsidR="00BD4793" w:rsidRPr="00BD4793" w:rsidRDefault="00BD4793" w:rsidP="00BD4793">
      <w:pPr>
        <w:spacing w:after="0" w:line="276" w:lineRule="auto"/>
        <w:ind w:firstLine="709"/>
        <w:jc w:val="both"/>
        <w:rPr>
          <w:rFonts w:ascii="Verdana" w:eastAsia="Times New Roman" w:hAnsi="Verdana" w:cs="Arial"/>
          <w:lang w:val="es-ES" w:eastAsia="es-CO"/>
        </w:rPr>
      </w:pPr>
    </w:p>
    <w:p w14:paraId="324818F8" w14:textId="77777777" w:rsidR="00BD4793" w:rsidRPr="00BD4793" w:rsidRDefault="00BD4793" w:rsidP="00BD4793">
      <w:pPr>
        <w:spacing w:after="0" w:line="276" w:lineRule="auto"/>
        <w:ind w:firstLine="709"/>
        <w:jc w:val="both"/>
        <w:rPr>
          <w:rFonts w:ascii="Verdana" w:eastAsia="Times New Roman" w:hAnsi="Verdana" w:cs="Arial"/>
          <w:lang w:val="es-ES" w:eastAsia="es-CO"/>
        </w:rPr>
      </w:pPr>
      <w:r w:rsidRPr="00BD4793">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w:t>
      </w:r>
      <w:r w:rsidRPr="00BD4793">
        <w:rPr>
          <w:rFonts w:ascii="Verdana" w:eastAsia="Times New Roman" w:hAnsi="Verdana" w:cs="Arial"/>
          <w:lang w:val="es-ES" w:eastAsia="es-CO"/>
        </w:rPr>
        <w:lastRenderedPageBreak/>
        <w:t>electorales. Por ello, varias disposiciones de la Ley 996 de 2005, al contener normas prohibitivas, deben interpretarse restrictivamente. En efecto, la Sala de Consulta y Servicio Civil del Consejo de Estado, precisó:</w:t>
      </w:r>
    </w:p>
    <w:p w14:paraId="12F2BDE2" w14:textId="77777777" w:rsidR="00BD4793" w:rsidRPr="00BD4793" w:rsidRDefault="00BD4793" w:rsidP="00BD4793">
      <w:pPr>
        <w:spacing w:after="0" w:line="276" w:lineRule="auto"/>
        <w:ind w:firstLine="709"/>
        <w:jc w:val="both"/>
        <w:rPr>
          <w:rFonts w:ascii="Verdana" w:eastAsia="Times New Roman" w:hAnsi="Verdana" w:cs="Arial"/>
          <w:lang w:val="es-ES" w:eastAsia="es-CO"/>
        </w:rPr>
      </w:pPr>
    </w:p>
    <w:p w14:paraId="056B4E23" w14:textId="77777777" w:rsidR="00BD4793" w:rsidRPr="00BD4793" w:rsidRDefault="00BD4793" w:rsidP="00BD4793">
      <w:pPr>
        <w:spacing w:after="0" w:line="240" w:lineRule="auto"/>
        <w:ind w:left="709" w:right="709"/>
        <w:jc w:val="both"/>
        <w:rPr>
          <w:rFonts w:ascii="Verdana" w:eastAsia="Times New Roman" w:hAnsi="Verdana" w:cs="Arial"/>
          <w:sz w:val="20"/>
          <w:szCs w:val="20"/>
          <w:lang w:val="es-ES" w:eastAsia="es-CO"/>
        </w:rPr>
      </w:pPr>
      <w:r w:rsidRPr="00BD4793">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D4793">
        <w:rPr>
          <w:rFonts w:ascii="Verdana" w:eastAsia="Times New Roman" w:hAnsi="Verdana" w:cs="Arial"/>
          <w:sz w:val="20"/>
          <w:szCs w:val="20"/>
          <w:lang w:val="es-ES" w:eastAsia="es-CO"/>
        </w:rPr>
        <w:t>legis</w:t>
      </w:r>
      <w:proofErr w:type="spellEnd"/>
      <w:r w:rsidRPr="00BD4793">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0A14FB0" w14:textId="77777777" w:rsidR="00BD4793" w:rsidRPr="00BD4793" w:rsidRDefault="00BD4793" w:rsidP="00BD4793">
      <w:pPr>
        <w:spacing w:after="0" w:line="240" w:lineRule="auto"/>
        <w:ind w:right="709"/>
        <w:jc w:val="both"/>
        <w:rPr>
          <w:rFonts w:ascii="Verdana" w:eastAsia="Times New Roman" w:hAnsi="Verdana" w:cs="Arial"/>
          <w:lang w:val="es-ES" w:eastAsia="es-CO"/>
        </w:rPr>
      </w:pPr>
    </w:p>
    <w:p w14:paraId="477AC48A" w14:textId="77777777" w:rsidR="00BD4793" w:rsidRPr="00BD4793" w:rsidRDefault="00BD4793" w:rsidP="00BD4793">
      <w:pPr>
        <w:spacing w:after="0" w:line="240" w:lineRule="auto"/>
        <w:ind w:left="709" w:right="709"/>
        <w:jc w:val="both"/>
        <w:rPr>
          <w:rFonts w:ascii="Verdana" w:eastAsia="Times New Roman" w:hAnsi="Verdana" w:cs="Arial"/>
          <w:sz w:val="20"/>
          <w:szCs w:val="20"/>
          <w:lang w:val="es-ES" w:eastAsia="es-CO"/>
        </w:rPr>
      </w:pPr>
      <w:r w:rsidRPr="00BD4793">
        <w:rPr>
          <w:rFonts w:ascii="Verdana" w:eastAsia="Times New Roman" w:hAnsi="Verdana" w:cs="Arial"/>
          <w:sz w:val="20"/>
          <w:szCs w:val="20"/>
          <w:lang w:val="es-ES" w:eastAsia="es-CO"/>
        </w:rPr>
        <w:t>La jurisprudencia de la Corte Constitucional</w:t>
      </w:r>
      <w:r w:rsidRPr="00BD4793">
        <w:rPr>
          <w:rFonts w:ascii="Verdana" w:eastAsia="Times New Roman" w:hAnsi="Verdana" w:cs="Arial"/>
          <w:sz w:val="20"/>
          <w:szCs w:val="20"/>
          <w:vertAlign w:val="superscript"/>
          <w:lang w:val="es-ES" w:eastAsia="es-CO"/>
        </w:rPr>
        <w:footnoteReference w:id="4"/>
      </w:r>
      <w:r w:rsidRPr="00BD4793">
        <w:rPr>
          <w:rFonts w:ascii="Verdana" w:eastAsia="Times New Roman" w:hAnsi="Verdana" w:cs="Arial"/>
          <w:sz w:val="20"/>
          <w:szCs w:val="20"/>
          <w:lang w:val="es-ES" w:eastAsia="es-CO"/>
        </w:rPr>
        <w:t> y del Consejo de Estado</w:t>
      </w:r>
      <w:r w:rsidRPr="00BD4793">
        <w:rPr>
          <w:rFonts w:ascii="Verdana" w:eastAsia="Times New Roman" w:hAnsi="Verdana" w:cs="Arial"/>
          <w:sz w:val="20"/>
          <w:szCs w:val="20"/>
          <w:vertAlign w:val="superscript"/>
          <w:lang w:val="es-ES" w:eastAsia="es-CO"/>
        </w:rPr>
        <w:footnoteReference w:id="5"/>
      </w:r>
      <w:r w:rsidRPr="00BD4793">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D4793">
        <w:rPr>
          <w:rFonts w:ascii="Verdana" w:eastAsia="Times New Roman" w:hAnsi="Verdana" w:cs="Arial"/>
          <w:sz w:val="20"/>
          <w:szCs w:val="20"/>
          <w:vertAlign w:val="superscript"/>
          <w:lang w:val="es-ES" w:eastAsia="es-CO"/>
        </w:rPr>
        <w:footnoteReference w:id="6"/>
      </w:r>
      <w:r w:rsidRPr="00BD4793">
        <w:rPr>
          <w:rFonts w:ascii="Verdana" w:eastAsia="Times New Roman" w:hAnsi="Verdana" w:cs="Arial"/>
          <w:sz w:val="20"/>
          <w:szCs w:val="20"/>
          <w:lang w:val="es-ES" w:eastAsia="es-CO"/>
        </w:rPr>
        <w:t>.</w:t>
      </w:r>
    </w:p>
    <w:p w14:paraId="4BD2C56A" w14:textId="77777777" w:rsidR="00BD4793" w:rsidRPr="00BD4793" w:rsidRDefault="00BD4793" w:rsidP="00BD4793">
      <w:pPr>
        <w:spacing w:after="0" w:line="276" w:lineRule="auto"/>
        <w:jc w:val="both"/>
        <w:rPr>
          <w:rFonts w:ascii="Verdana" w:eastAsia="Calibri" w:hAnsi="Verdana" w:cs="Arial"/>
          <w:bCs/>
          <w:lang w:val="es-ES"/>
        </w:rPr>
      </w:pPr>
    </w:p>
    <w:p w14:paraId="6FEC4C4C" w14:textId="77777777" w:rsidR="00BD4793" w:rsidRPr="00BD4793" w:rsidRDefault="00BD4793" w:rsidP="00BD4793">
      <w:pPr>
        <w:spacing w:after="0" w:line="276" w:lineRule="auto"/>
        <w:ind w:firstLine="709"/>
        <w:jc w:val="both"/>
        <w:rPr>
          <w:rFonts w:ascii="Verdana" w:eastAsia="Arial" w:hAnsi="Verdana" w:cs="Arial"/>
          <w:lang w:val="es-ES" w:eastAsia="es-ES" w:bidi="es-ES"/>
        </w:rPr>
      </w:pPr>
      <w:r w:rsidRPr="00BD4793">
        <w:rPr>
          <w:rFonts w:ascii="Verdana" w:eastAsia="Times New Roman" w:hAnsi="Verdana" w:cs="Arial"/>
          <w:lang w:val="es-ES" w:eastAsia="es-CO"/>
        </w:rPr>
        <w:t>De</w:t>
      </w:r>
      <w:r w:rsidRPr="00BD4793">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w:t>
      </w:r>
      <w:r w:rsidRPr="00BD4793">
        <w:rPr>
          <w:rFonts w:ascii="Verdana" w:eastAsia="Arial" w:hAnsi="Verdana" w:cs="Arial"/>
          <w:lang w:val="es-ES" w:eastAsia="es-ES" w:bidi="es-ES"/>
        </w:rPr>
        <w:lastRenderedPageBreak/>
        <w:t xml:space="preserve">siquiera sospecha de que, por ese medio, en los periodos previos a la contienda electoral, se alteren las condiciones de igualdad entre los candidatos. </w:t>
      </w:r>
    </w:p>
    <w:p w14:paraId="5737E2D0" w14:textId="77777777" w:rsidR="00BD4793" w:rsidRPr="00BD4793" w:rsidRDefault="00BD4793" w:rsidP="00BD4793">
      <w:pPr>
        <w:spacing w:after="0" w:line="276" w:lineRule="auto"/>
        <w:ind w:firstLine="709"/>
        <w:jc w:val="both"/>
        <w:rPr>
          <w:rFonts w:ascii="Verdana" w:eastAsia="Arial" w:hAnsi="Verdana" w:cs="Arial"/>
          <w:lang w:val="es-ES" w:eastAsia="es-ES" w:bidi="es-ES"/>
        </w:rPr>
      </w:pPr>
    </w:p>
    <w:p w14:paraId="16053249" w14:textId="77777777" w:rsidR="00BD4793" w:rsidRPr="00BD4793" w:rsidRDefault="00BD4793" w:rsidP="00BD4793">
      <w:pPr>
        <w:spacing w:after="120" w:line="276" w:lineRule="auto"/>
        <w:jc w:val="both"/>
        <w:rPr>
          <w:rFonts w:ascii="Verdana" w:eastAsia="Arial" w:hAnsi="Verdana" w:cs="Arial"/>
          <w:lang w:val="es-ES" w:eastAsia="es-ES" w:bidi="es-ES"/>
        </w:rPr>
      </w:pPr>
      <w:proofErr w:type="spellStart"/>
      <w:r w:rsidRPr="00BD4793">
        <w:rPr>
          <w:rFonts w:ascii="Verdana" w:eastAsia="Arial" w:hAnsi="Verdana" w:cs="Arial"/>
          <w:lang w:val="es-ES" w:eastAsia="es-ES" w:bidi="es-ES"/>
        </w:rPr>
        <w:t>ii</w:t>
      </w:r>
      <w:proofErr w:type="spellEnd"/>
      <w:r w:rsidRPr="00BD4793">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6066E37F" w14:textId="77777777" w:rsidR="00BD4793" w:rsidRPr="00BD4793" w:rsidRDefault="00BD4793" w:rsidP="00BD4793">
      <w:pPr>
        <w:spacing w:after="120" w:line="276" w:lineRule="auto"/>
        <w:ind w:firstLine="708"/>
        <w:jc w:val="both"/>
        <w:rPr>
          <w:rFonts w:ascii="Verdana" w:eastAsia="Calibri" w:hAnsi="Verdana" w:cs="Arial"/>
          <w:lang w:val="es-ES"/>
        </w:rPr>
      </w:pPr>
      <w:r w:rsidRPr="00BD4793">
        <w:rPr>
          <w:rFonts w:ascii="Verdana" w:eastAsia="Calibri" w:hAnsi="Verdana" w:cs="Arial"/>
          <w:lang w:val="es-ES"/>
        </w:rPr>
        <w:t xml:space="preserve">Por un lado, el </w:t>
      </w:r>
      <w:r w:rsidRPr="00BD4793">
        <w:rPr>
          <w:rFonts w:ascii="Verdana" w:eastAsia="Calibri" w:hAnsi="Verdana" w:cs="Arial"/>
          <w:i/>
          <w:iCs/>
          <w:lang w:val="es-ES"/>
        </w:rPr>
        <w:t xml:space="preserve">artículo 33 </w:t>
      </w:r>
      <w:r w:rsidRPr="00BD4793">
        <w:rPr>
          <w:rFonts w:ascii="Verdana" w:eastAsia="Calibri" w:hAnsi="Verdana" w:cs="Arial"/>
          <w:lang w:val="es-ES"/>
        </w:rPr>
        <w:t xml:space="preserve">de la Ley 996 de 2005 prohíbe “[…] la contratación directa por parte de </w:t>
      </w:r>
      <w:r w:rsidRPr="00BD4793">
        <w:rPr>
          <w:rFonts w:ascii="Verdana" w:eastAsia="Calibri" w:hAnsi="Verdana" w:cs="Arial"/>
          <w:i/>
          <w:iCs/>
          <w:lang w:val="es-ES"/>
        </w:rPr>
        <w:t>todos los entes del Estado</w:t>
      </w:r>
      <w:r w:rsidRPr="00BD4793">
        <w:rPr>
          <w:rFonts w:ascii="Verdana" w:eastAsia="Calibri" w:hAnsi="Verdana" w:cs="Arial"/>
          <w:lang w:val="es-ES"/>
        </w:rPr>
        <w:t xml:space="preserve">” durante los cuatro (4) meses anteriores a las </w:t>
      </w:r>
      <w:r w:rsidRPr="00BD4793">
        <w:rPr>
          <w:rFonts w:ascii="Verdana" w:eastAsia="Calibri" w:hAnsi="Verdana" w:cs="Arial"/>
          <w:i/>
          <w:iCs/>
          <w:lang w:val="es-ES"/>
        </w:rPr>
        <w:t>elecciones presidenciales</w:t>
      </w:r>
      <w:r w:rsidRPr="00BD4793">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D4793">
        <w:rPr>
          <w:rFonts w:ascii="Verdana" w:eastAsia="Calibri" w:hAnsi="Verdana" w:cs="Arial"/>
          <w:vertAlign w:val="superscript"/>
          <w:lang w:val="es-ES"/>
        </w:rPr>
        <w:footnoteReference w:id="7"/>
      </w:r>
      <w:r w:rsidRPr="00BD4793">
        <w:rPr>
          <w:rFonts w:ascii="Verdana" w:eastAsia="Calibri" w:hAnsi="Verdana" w:cs="Arial"/>
          <w:lang w:val="es-ES"/>
        </w:rPr>
        <w:t>.</w:t>
      </w:r>
    </w:p>
    <w:p w14:paraId="66327C31" w14:textId="77777777" w:rsidR="00BD4793" w:rsidRPr="00BD4793" w:rsidRDefault="00BD4793" w:rsidP="00BD4793">
      <w:pPr>
        <w:widowControl w:val="0"/>
        <w:autoSpaceDE w:val="0"/>
        <w:autoSpaceDN w:val="0"/>
        <w:spacing w:after="120" w:line="276" w:lineRule="auto"/>
        <w:ind w:right="113" w:firstLine="709"/>
        <w:jc w:val="both"/>
        <w:rPr>
          <w:rFonts w:ascii="Verdana" w:eastAsia="Arial" w:hAnsi="Verdana" w:cs="Arial"/>
          <w:lang w:val="es-ES" w:eastAsia="es-ES" w:bidi="es-ES"/>
        </w:rPr>
      </w:pPr>
      <w:r w:rsidRPr="00BD4793">
        <w:rPr>
          <w:rFonts w:ascii="Verdana" w:eastAsia="Calibri" w:hAnsi="Verdana" w:cs="Arial"/>
          <w:lang w:val="es-ES"/>
        </w:rPr>
        <w:t xml:space="preserve">Por otro lado, </w:t>
      </w:r>
      <w:r w:rsidRPr="00BD4793">
        <w:rPr>
          <w:rFonts w:ascii="Verdana" w:eastAsia="Calibri" w:hAnsi="Verdana" w:cs="Arial"/>
          <w:i/>
          <w:iCs/>
          <w:lang w:val="es-ES"/>
        </w:rPr>
        <w:t xml:space="preserve">el parágrafo del artículo 38 </w:t>
      </w:r>
      <w:r w:rsidRPr="00BD4793">
        <w:rPr>
          <w:rFonts w:ascii="Verdana" w:eastAsia="Calibri" w:hAnsi="Verdana" w:cs="Arial"/>
          <w:lang w:val="es-ES"/>
        </w:rPr>
        <w:t xml:space="preserve">de la Ley 996 de 2005 prevé una restricción, aplicable respecto de </w:t>
      </w:r>
      <w:r w:rsidRPr="00BD4793">
        <w:rPr>
          <w:rFonts w:ascii="Verdana" w:eastAsia="Calibri" w:hAnsi="Verdana" w:cs="Arial"/>
          <w:i/>
          <w:iCs/>
          <w:lang w:val="es-ES"/>
        </w:rPr>
        <w:t>cualquier tipo de contienda electoral</w:t>
      </w:r>
      <w:r w:rsidRPr="00BD4793">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D4793">
        <w:rPr>
          <w:rFonts w:ascii="Verdana" w:eastAsia="Calibri" w:hAnsi="Verdana" w:cs="Arial"/>
          <w:vertAlign w:val="superscript"/>
          <w:lang w:val="es-ES"/>
        </w:rPr>
        <w:footnoteReference w:id="8"/>
      </w:r>
      <w:r w:rsidRPr="00BD4793">
        <w:rPr>
          <w:rFonts w:ascii="Verdana" w:eastAsia="Calibri" w:hAnsi="Verdana" w:cs="Arial"/>
          <w:lang w:val="es-ES"/>
        </w:rPr>
        <w:t>.</w:t>
      </w:r>
      <w:r w:rsidRPr="00BD4793">
        <w:rPr>
          <w:rFonts w:ascii="Verdana" w:eastAsia="Arial" w:hAnsi="Verdana" w:cs="Arial"/>
          <w:lang w:val="es-ES" w:eastAsia="es-ES" w:bidi="es-ES"/>
        </w:rPr>
        <w:t xml:space="preserve"> </w:t>
      </w:r>
    </w:p>
    <w:p w14:paraId="39D343B6" w14:textId="77777777" w:rsidR="00BD4793" w:rsidRPr="00BD4793" w:rsidRDefault="00BD4793" w:rsidP="00BD479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D4793">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señala:</w:t>
      </w:r>
    </w:p>
    <w:p w14:paraId="78D963C5" w14:textId="77777777" w:rsidR="00BD4793" w:rsidRPr="00BD4793" w:rsidRDefault="00BD4793" w:rsidP="00BD479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6D587C8" w14:textId="77777777" w:rsidR="00BD4793" w:rsidRPr="00BD4793" w:rsidRDefault="00BD4793" w:rsidP="00BD479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D4793">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D4793">
        <w:rPr>
          <w:rFonts w:ascii="Verdana" w:eastAsia="Arial" w:hAnsi="Verdana" w:cs="Arial"/>
          <w:sz w:val="20"/>
          <w:szCs w:val="20"/>
          <w:vertAlign w:val="superscript"/>
          <w:lang w:val="es-ES" w:eastAsia="es-ES" w:bidi="es-ES"/>
        </w:rPr>
        <w:footnoteReference w:id="9"/>
      </w:r>
    </w:p>
    <w:p w14:paraId="08C6F062" w14:textId="77777777" w:rsidR="00BD4793" w:rsidRPr="00BD4793" w:rsidRDefault="00BD4793" w:rsidP="00BD4793">
      <w:pPr>
        <w:widowControl w:val="0"/>
        <w:autoSpaceDE w:val="0"/>
        <w:autoSpaceDN w:val="0"/>
        <w:spacing w:after="0" w:line="276" w:lineRule="auto"/>
        <w:contextualSpacing/>
        <w:rPr>
          <w:rFonts w:ascii="Verdana" w:eastAsia="Arial" w:hAnsi="Verdana" w:cs="Arial"/>
          <w:lang w:val="es-ES" w:eastAsia="es-ES" w:bidi="es-ES"/>
        </w:rPr>
      </w:pPr>
    </w:p>
    <w:p w14:paraId="53008238" w14:textId="77777777" w:rsidR="00BD4793" w:rsidRPr="00BD4793" w:rsidRDefault="00BD4793" w:rsidP="00BD4793">
      <w:pPr>
        <w:spacing w:after="120" w:line="276" w:lineRule="auto"/>
        <w:ind w:firstLine="709"/>
        <w:jc w:val="both"/>
        <w:rPr>
          <w:rFonts w:ascii="Verdana" w:eastAsia="Arial" w:hAnsi="Verdana" w:cs="Arial"/>
          <w:lang w:val="es-ES" w:eastAsia="es-ES" w:bidi="es-ES"/>
        </w:rPr>
      </w:pPr>
      <w:r w:rsidRPr="00BD4793">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D4793">
        <w:rPr>
          <w:rFonts w:ascii="Verdana" w:eastAsia="Arial" w:hAnsi="Verdana" w:cs="Arial"/>
          <w:i/>
          <w:lang w:val="es-ES" w:eastAsia="es-ES" w:bidi="es-ES"/>
        </w:rPr>
        <w:t>En primer lugar</w:t>
      </w:r>
      <w:r w:rsidRPr="00BD4793">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D4793">
        <w:rPr>
          <w:rFonts w:ascii="Verdana" w:eastAsia="Arial" w:hAnsi="Verdana" w:cs="Arial"/>
          <w:i/>
          <w:lang w:val="es-ES" w:eastAsia="es-ES" w:bidi="es-ES"/>
        </w:rPr>
        <w:t>En segundo lugar</w:t>
      </w:r>
      <w:r w:rsidRPr="00BD4793">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BD4793">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p>
    <w:p w14:paraId="55907509" w14:textId="77777777" w:rsidR="00BD4793" w:rsidRPr="00BD4793" w:rsidRDefault="00BD4793" w:rsidP="00BD4793">
      <w:pPr>
        <w:spacing w:after="120" w:line="276" w:lineRule="auto"/>
        <w:ind w:firstLine="709"/>
        <w:jc w:val="both"/>
        <w:rPr>
          <w:rFonts w:ascii="Verdana" w:eastAsia="Arial" w:hAnsi="Verdana" w:cs="Arial"/>
          <w:lang w:val="es-ES" w:eastAsia="es-ES" w:bidi="es-ES"/>
        </w:rPr>
      </w:pPr>
      <w:r w:rsidRPr="00BD4793">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21E6BA2E" w14:textId="77777777" w:rsidR="00BD4793" w:rsidRPr="00BD4793" w:rsidRDefault="00BD4793" w:rsidP="00BD4793">
      <w:pPr>
        <w:spacing w:after="0" w:line="276" w:lineRule="auto"/>
        <w:ind w:firstLine="709"/>
        <w:jc w:val="both"/>
        <w:rPr>
          <w:rFonts w:ascii="Verdana" w:eastAsia="Arial" w:hAnsi="Verdana" w:cs="Arial"/>
          <w:lang w:val="es-ES" w:eastAsia="es-ES" w:bidi="es-ES"/>
        </w:rPr>
      </w:pPr>
      <w:r w:rsidRPr="00BD4793">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bookmarkEnd w:id="0"/>
    <w:bookmarkEnd w:id="1"/>
    <w:p w14:paraId="2B813D5F"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color w:val="000000"/>
          <w:lang w:val="es-ES"/>
        </w:rPr>
      </w:pPr>
    </w:p>
    <w:p w14:paraId="181C2401"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color w:val="000000"/>
          <w:lang w:val="es-ES"/>
        </w:rPr>
      </w:pPr>
      <w:r w:rsidRPr="00BD4793">
        <w:rPr>
          <w:rFonts w:ascii="Verdana" w:eastAsia="Century Gothic" w:hAnsi="Verdana" w:cs="Century Gothic"/>
          <w:b/>
          <w:color w:val="000000"/>
          <w:lang w:val="es-ES"/>
        </w:rPr>
        <w:t>4. Referencias normativas, jurisprudenciales y otras fuentes:</w:t>
      </w:r>
    </w:p>
    <w:p w14:paraId="0A9E0093" w14:textId="77777777" w:rsidR="00BD4793" w:rsidRPr="00BD4793" w:rsidRDefault="00BD4793" w:rsidP="00BD4793">
      <w:pPr>
        <w:widowControl w:val="0"/>
        <w:autoSpaceDE w:val="0"/>
        <w:autoSpaceDN w:val="0"/>
        <w:spacing w:after="0" w:line="276" w:lineRule="auto"/>
        <w:jc w:val="both"/>
        <w:rPr>
          <w:rFonts w:ascii="Verdana" w:eastAsia="Calibri" w:hAnsi="Verdana" w:cs="Arial"/>
          <w:color w:val="00000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4793" w:rsidRPr="00BD4793" w14:paraId="05CA6653" w14:textId="77777777" w:rsidTr="004A17DE">
        <w:trPr>
          <w:trHeight w:val="870"/>
        </w:trPr>
        <w:tc>
          <w:tcPr>
            <w:tcW w:w="8647" w:type="dxa"/>
          </w:tcPr>
          <w:p w14:paraId="6A88C272"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Constitución Política, artículo 127.</w:t>
            </w:r>
          </w:p>
          <w:p w14:paraId="1B986E5A" w14:textId="77777777" w:rsidR="00BD4793" w:rsidRPr="00BD4793" w:rsidRDefault="00BD4793" w:rsidP="00BD4793">
            <w:pPr>
              <w:numPr>
                <w:ilvl w:val="0"/>
                <w:numId w:val="16"/>
              </w:numPr>
              <w:spacing w:line="276" w:lineRule="auto"/>
              <w:ind w:left="714" w:hanging="357"/>
              <w:contextualSpacing/>
              <w:jc w:val="both"/>
              <w:rPr>
                <w:rFonts w:ascii="Verdana" w:eastAsia="Calibri" w:hAnsi="Verdana" w:cs="Arial"/>
                <w:lang w:val="es-ES"/>
              </w:rPr>
            </w:pPr>
            <w:r w:rsidRPr="00BD4793">
              <w:rPr>
                <w:rFonts w:ascii="Verdana" w:eastAsia="Calibri" w:hAnsi="Verdana" w:cs="Arial"/>
                <w:lang w:val="es-ES"/>
              </w:rPr>
              <w:t>Ley 80 de 1993, artículos 30 y 32.</w:t>
            </w:r>
          </w:p>
          <w:p w14:paraId="41CE2B7E"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bCs/>
                <w:lang w:val="es-ES" w:eastAsia="es-ES" w:bidi="es-ES"/>
              </w:rPr>
              <w:t>Ley 996 de 2005: artículos 33 y 38.</w:t>
            </w:r>
          </w:p>
          <w:p w14:paraId="1D674E7A"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Times New Roman" w:hAnsi="Verdana" w:cs="Times New Roman"/>
                <w:lang w:val="es-ES" w:eastAsia="es-MX"/>
              </w:rPr>
              <w:t xml:space="preserve">Ley 1150 de 2007: </w:t>
            </w:r>
            <w:r w:rsidRPr="00BD4793">
              <w:rPr>
                <w:rFonts w:ascii="Verdana" w:eastAsia="Arial MT" w:hAnsi="Verdana" w:cs="Arial"/>
                <w:lang w:val="es-ES" w:eastAsia="es-ES" w:bidi="es-ES"/>
              </w:rPr>
              <w:t xml:space="preserve">artículo 2, numeral 4. </w:t>
            </w:r>
          </w:p>
          <w:p w14:paraId="1F3A5FA9"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1D7498DC"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 xml:space="preserve">Consejo de Estado, Sección Primera. Sentencia de 3 de marzo de 2005, </w:t>
            </w:r>
            <w:proofErr w:type="spellStart"/>
            <w:r w:rsidRPr="00BD4793">
              <w:rPr>
                <w:rFonts w:ascii="Verdana" w:eastAsia="Arial MT" w:hAnsi="Verdana" w:cs="Arial"/>
                <w:lang w:val="es-ES" w:eastAsia="es-ES" w:bidi="es-ES"/>
              </w:rPr>
              <w:t>Exp</w:t>
            </w:r>
            <w:proofErr w:type="spellEnd"/>
            <w:r w:rsidRPr="00BD4793">
              <w:rPr>
                <w:rFonts w:ascii="Verdana" w:eastAsia="Arial MT" w:hAnsi="Verdana" w:cs="Arial"/>
                <w:lang w:val="es-ES" w:eastAsia="es-ES" w:bidi="es-ES"/>
              </w:rPr>
              <w:t xml:space="preserve">. 2004-00823-01(PI). </w:t>
            </w:r>
          </w:p>
          <w:p w14:paraId="1D18E7D2"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lastRenderedPageBreak/>
              <w:t xml:space="preserve">Consejo de Estado, Sala de Consulta y Servicio Civil, Concepto de fecha 8 de mayo de 2018, No. 2382. C. P. Álvaro </w:t>
            </w:r>
            <w:proofErr w:type="spellStart"/>
            <w:r w:rsidRPr="00BD4793">
              <w:rPr>
                <w:rFonts w:ascii="Verdana" w:eastAsia="Arial MT" w:hAnsi="Verdana" w:cs="Arial"/>
                <w:lang w:val="es-ES" w:eastAsia="es-ES" w:bidi="es-ES"/>
              </w:rPr>
              <w:t>Namén</w:t>
            </w:r>
            <w:proofErr w:type="spellEnd"/>
            <w:r w:rsidRPr="00BD4793">
              <w:rPr>
                <w:rFonts w:ascii="Verdana" w:eastAsia="Arial MT" w:hAnsi="Verdana" w:cs="Arial"/>
                <w:lang w:val="es-ES" w:eastAsia="es-ES" w:bidi="es-ES"/>
              </w:rPr>
              <w:t xml:space="preserve"> Vargas.</w:t>
            </w:r>
          </w:p>
          <w:p w14:paraId="5F822A18"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 xml:space="preserve">Consejo de Estado. Sala de Consulta y Servicio Civil. Concepto del 02 de septiembre de 2013. Rad. 11001-03-06-000-2013-00412-00 (2168). C.P. Álvaro </w:t>
            </w:r>
            <w:proofErr w:type="spellStart"/>
            <w:r w:rsidRPr="00BD4793">
              <w:rPr>
                <w:rFonts w:ascii="Verdana" w:eastAsia="Arial MT" w:hAnsi="Verdana" w:cs="Arial"/>
                <w:lang w:val="es-ES" w:eastAsia="es-ES" w:bidi="es-ES"/>
              </w:rPr>
              <w:t>Namén</w:t>
            </w:r>
            <w:proofErr w:type="spellEnd"/>
            <w:r w:rsidRPr="00BD4793">
              <w:rPr>
                <w:rFonts w:ascii="Verdana" w:eastAsia="Arial MT" w:hAnsi="Verdana" w:cs="Arial"/>
                <w:lang w:val="es-ES" w:eastAsia="es-ES" w:bidi="es-ES"/>
              </w:rPr>
              <w:t xml:space="preserve"> Vargas.</w:t>
            </w:r>
          </w:p>
          <w:p w14:paraId="1F95CD83" w14:textId="77777777" w:rsidR="00BD4793" w:rsidRPr="00BD4793" w:rsidRDefault="00BD4793" w:rsidP="00BD4793">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 xml:space="preserve">Consejo de Estado, Sala de Consulta y Servicio Civil, Concepto de fecha 24 de julio de 2013, Rad. 2166, C. P. Álvaro </w:t>
            </w:r>
            <w:proofErr w:type="spellStart"/>
            <w:r w:rsidRPr="00BD4793">
              <w:rPr>
                <w:rFonts w:ascii="Verdana" w:eastAsia="Arial MT" w:hAnsi="Verdana" w:cs="Arial"/>
                <w:lang w:val="es-ES" w:eastAsia="es-ES" w:bidi="es-ES"/>
              </w:rPr>
              <w:t>Namén</w:t>
            </w:r>
            <w:proofErr w:type="spellEnd"/>
            <w:r w:rsidRPr="00BD4793">
              <w:rPr>
                <w:rFonts w:ascii="Verdana" w:eastAsia="Arial MT" w:hAnsi="Verdana" w:cs="Arial"/>
                <w:lang w:val="es-ES" w:eastAsia="es-ES" w:bidi="es-ES"/>
              </w:rPr>
              <w:t xml:space="preserve"> Vargas. </w:t>
            </w:r>
          </w:p>
          <w:p w14:paraId="50F9D88E" w14:textId="77777777" w:rsidR="00BD4793" w:rsidRPr="00BD4793" w:rsidRDefault="00BD4793" w:rsidP="00BD4793">
            <w:pPr>
              <w:numPr>
                <w:ilvl w:val="0"/>
                <w:numId w:val="16"/>
              </w:numPr>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Consejo de Estado. Sala de Consulta y Servicio Civil. Concepto del 17 de febrero de 2015. C.P. William Zambrano Cetina. Radicación No. 11001-03-06-000-2015-00164-00(2269).</w:t>
            </w:r>
          </w:p>
          <w:p w14:paraId="1BF5A1BF" w14:textId="77777777" w:rsidR="00BD4793" w:rsidRPr="00BD4793" w:rsidRDefault="00BD4793" w:rsidP="00BD4793">
            <w:pPr>
              <w:numPr>
                <w:ilvl w:val="0"/>
                <w:numId w:val="16"/>
              </w:numPr>
              <w:spacing w:line="276" w:lineRule="auto"/>
              <w:ind w:left="714" w:hanging="357"/>
              <w:contextualSpacing/>
              <w:jc w:val="both"/>
              <w:rPr>
                <w:rFonts w:ascii="Verdana" w:eastAsia="Arial MT" w:hAnsi="Verdana" w:cs="Arial"/>
                <w:lang w:val="es-ES" w:eastAsia="es-ES" w:bidi="es-ES"/>
              </w:rPr>
            </w:pPr>
            <w:r w:rsidRPr="00BD4793">
              <w:rPr>
                <w:rFonts w:ascii="Verdana" w:eastAsia="Arial MT" w:hAnsi="Verdana" w:cs="Arial"/>
                <w:lang w:val="es-ES" w:eastAsia="es-ES" w:bidi="es-ES"/>
              </w:rPr>
              <w:t xml:space="preserve">Consejo de Estado, Sala de Consulta y Servicio Civil, Concepto de fecha 8 de mayo de 2018, No. 2382. C. P. Álvaro </w:t>
            </w:r>
            <w:proofErr w:type="spellStart"/>
            <w:r w:rsidRPr="00BD4793">
              <w:rPr>
                <w:rFonts w:ascii="Verdana" w:eastAsia="Arial MT" w:hAnsi="Verdana" w:cs="Arial"/>
                <w:lang w:val="es-ES" w:eastAsia="es-ES" w:bidi="es-ES"/>
              </w:rPr>
              <w:t>Namén</w:t>
            </w:r>
            <w:proofErr w:type="spellEnd"/>
            <w:r w:rsidRPr="00BD4793">
              <w:rPr>
                <w:rFonts w:ascii="Verdana" w:eastAsia="Arial MT" w:hAnsi="Verdana" w:cs="Arial"/>
                <w:lang w:val="es-ES" w:eastAsia="es-ES" w:bidi="es-ES"/>
              </w:rPr>
              <w:t xml:space="preserve"> Vargas.</w:t>
            </w:r>
          </w:p>
          <w:p w14:paraId="394ACDEA" w14:textId="77777777" w:rsidR="00BD4793" w:rsidRPr="00BD4793" w:rsidRDefault="00BD4793" w:rsidP="00BD4793">
            <w:pPr>
              <w:numPr>
                <w:ilvl w:val="0"/>
                <w:numId w:val="16"/>
              </w:numPr>
              <w:spacing w:line="276" w:lineRule="auto"/>
              <w:ind w:left="714" w:hanging="357"/>
              <w:contextualSpacing/>
              <w:jc w:val="both"/>
              <w:rPr>
                <w:rFonts w:ascii="Verdana" w:eastAsia="Calibri" w:hAnsi="Verdana" w:cs="Arial"/>
                <w:lang w:val="es-ES"/>
              </w:rPr>
            </w:pPr>
            <w:r w:rsidRPr="00BD4793">
              <w:rPr>
                <w:rFonts w:ascii="Verdana" w:eastAsia="Arial MT" w:hAnsi="Verdana" w:cs="Arial"/>
                <w:lang w:val="es-ES" w:eastAsia="es-ES" w:bidi="es-ES"/>
              </w:rPr>
              <w:t>Corte Constitucional. Sentencia C-1153 de 2005 M.P. Marco Gerardo Monroy Cabra.</w:t>
            </w:r>
          </w:p>
        </w:tc>
      </w:tr>
    </w:tbl>
    <w:p w14:paraId="40C4293D"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bCs/>
        </w:rPr>
      </w:pPr>
    </w:p>
    <w:p w14:paraId="406ECDA5" w14:textId="77777777" w:rsidR="00BD4793" w:rsidRPr="00BD4793" w:rsidRDefault="00BD4793" w:rsidP="00BD4793">
      <w:pPr>
        <w:tabs>
          <w:tab w:val="left" w:pos="142"/>
          <w:tab w:val="left" w:pos="284"/>
        </w:tabs>
        <w:spacing w:after="0" w:line="276" w:lineRule="auto"/>
        <w:jc w:val="both"/>
        <w:rPr>
          <w:rFonts w:ascii="Verdana" w:eastAsia="Century Gothic" w:hAnsi="Verdana" w:cs="Century Gothic"/>
          <w:b/>
          <w:bCs/>
        </w:rPr>
      </w:pPr>
      <w:r w:rsidRPr="00BD4793">
        <w:rPr>
          <w:rFonts w:ascii="Verdana" w:eastAsia="Century Gothic" w:hAnsi="Verdana" w:cs="Century Gothic"/>
          <w:b/>
          <w:bCs/>
        </w:rPr>
        <w:t>5. Doctrina de la Agencia Nacional de Contratación Pública:</w:t>
      </w:r>
    </w:p>
    <w:p w14:paraId="75D40D87" w14:textId="77777777" w:rsidR="00BD4793" w:rsidRPr="00BD4793" w:rsidRDefault="00BD4793" w:rsidP="00BD4793">
      <w:pPr>
        <w:spacing w:after="0" w:line="276" w:lineRule="auto"/>
        <w:ind w:firstLine="709"/>
        <w:jc w:val="both"/>
        <w:rPr>
          <w:rFonts w:ascii="Verdana" w:eastAsia="Times New Roman" w:hAnsi="Verdana" w:cs="Arial"/>
          <w:szCs w:val="24"/>
          <w:lang w:val="es-ES" w:eastAsia="es-ES_tradnl"/>
        </w:rPr>
      </w:pPr>
    </w:p>
    <w:p w14:paraId="6317E508" w14:textId="77777777" w:rsidR="00BD4793" w:rsidRPr="00BD4793" w:rsidRDefault="00BD4793" w:rsidP="00BD4793">
      <w:pPr>
        <w:widowControl w:val="0"/>
        <w:autoSpaceDE w:val="0"/>
        <w:autoSpaceDN w:val="0"/>
        <w:spacing w:after="0" w:line="276" w:lineRule="auto"/>
        <w:jc w:val="both"/>
        <w:rPr>
          <w:rFonts w:ascii="Verdana" w:eastAsia="Calibri" w:hAnsi="Verdana" w:cs="Arial"/>
          <w:color w:val="000000"/>
          <w:shd w:val="clear" w:color="auto" w:fill="FFFFFF"/>
          <w:lang w:val="es-ES"/>
        </w:rPr>
      </w:pPr>
      <w:r w:rsidRPr="00BD4793">
        <w:rPr>
          <w:rFonts w:ascii="Verdana" w:eastAsia="Calibri" w:hAnsi="Verdana" w:cs="Arial"/>
          <w:lang w:val="es-ES_tradnl" w:eastAsia="es-ES_tradnl"/>
        </w:rPr>
        <w:t xml:space="preserve">Sobre las restricciones de la Ley de Garantías Electorales, se pronunció esta Subdirección en los conceptos </w:t>
      </w:r>
      <w:r w:rsidRPr="00BD4793">
        <w:rPr>
          <w:rFonts w:ascii="Verdana" w:eastAsia="Calibri"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BD4793">
        <w:rPr>
          <w:rFonts w:ascii="Verdana" w:eastAsia="Calibri" w:hAnsi="Verdana" w:cs="Arial"/>
          <w:color w:val="000000"/>
          <w:shd w:val="clear" w:color="auto" w:fill="FFFFFF"/>
        </w:rPr>
        <w:t xml:space="preserve">C-715 del 21 de enero de 2022, C-718 del 24 de enero de 2022 y C-726 del 24 de </w:t>
      </w:r>
      <w:r w:rsidRPr="00BD4793">
        <w:rPr>
          <w:rFonts w:ascii="Verdana" w:eastAsia="Calibri" w:hAnsi="Verdana" w:cs="Arial"/>
          <w:color w:val="000000"/>
          <w:shd w:val="clear" w:color="auto" w:fill="FFFFFF"/>
        </w:rPr>
        <w:lastRenderedPageBreak/>
        <w:t>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 C-149 del 1° de junio de 2023, C-345 del 14 de julio de 2023, C-317 del 25 de abril de 2025, C-584 del 24 de junio de 2025 y C-1096 del 28 de agosto de 2025</w:t>
      </w:r>
      <w:r w:rsidRPr="00BD4793">
        <w:rPr>
          <w:rFonts w:ascii="Verdana" w:eastAsia="Calibri" w:hAnsi="Verdana" w:cs="Arial"/>
          <w:lang w:val="es-ES_tradnl" w:eastAsia="es-ES_tradnl"/>
        </w:rPr>
        <w:t xml:space="preserve">. </w:t>
      </w:r>
      <w:r w:rsidRPr="00BD4793">
        <w:rPr>
          <w:rFonts w:ascii="Verdana" w:eastAsia="Calibri" w:hAnsi="Verdana" w:cs="Arial"/>
          <w:lang w:val="es-ES" w:eastAsia="es-ES_tradnl"/>
        </w:rPr>
        <w:t>Estos</w:t>
      </w:r>
      <w:r w:rsidRPr="00BD4793">
        <w:rPr>
          <w:rFonts w:ascii="Verdana" w:eastAsia="Calibri" w:hAnsi="Verdana" w:cs="Times New Roman"/>
        </w:rPr>
        <w:t xml:space="preserve"> y otros conceptos se encuentran disponibles para consulta en el Sistema de relatoría de la Agencia, al cual se puede acceder a través del siguiente enlace:</w:t>
      </w:r>
      <w:r w:rsidRPr="00BD4793">
        <w:rPr>
          <w:rFonts w:ascii="Verdana" w:eastAsia="Calibri" w:hAnsi="Verdana" w:cs="Arial"/>
          <w:shd w:val="clear" w:color="auto" w:fill="FFFFFF"/>
          <w:lang w:val="es-ES"/>
        </w:rPr>
        <w:t xml:space="preserve"> </w:t>
      </w:r>
      <w:hyperlink r:id="rId12" w:history="1">
        <w:r w:rsidRPr="00BD4793">
          <w:rPr>
            <w:rFonts w:ascii="Verdana" w:eastAsia="Calibri" w:hAnsi="Verdana" w:cs="Arial"/>
            <w:color w:val="0000FF"/>
            <w:u w:val="single"/>
            <w:shd w:val="clear" w:color="auto" w:fill="FFFFFF"/>
            <w:lang w:val="es-ES"/>
          </w:rPr>
          <w:t>https://relatoria.colombiacompra.gov.co/busqueda/conceptos</w:t>
        </w:r>
      </w:hyperlink>
    </w:p>
    <w:p w14:paraId="26BA60D0" w14:textId="77777777" w:rsidR="00BD4793" w:rsidRPr="00BD4793" w:rsidRDefault="00BD4793" w:rsidP="00BD4793">
      <w:pPr>
        <w:widowControl w:val="0"/>
        <w:autoSpaceDE w:val="0"/>
        <w:autoSpaceDN w:val="0"/>
        <w:spacing w:after="0" w:line="276" w:lineRule="auto"/>
        <w:jc w:val="both"/>
        <w:rPr>
          <w:rFonts w:ascii="Verdana" w:eastAsia="Calibri" w:hAnsi="Verdana" w:cs="Arial"/>
          <w:color w:val="000000"/>
          <w:shd w:val="clear" w:color="auto" w:fill="FFFFFF"/>
          <w:lang w:val="es-ES"/>
        </w:rPr>
      </w:pPr>
    </w:p>
    <w:p w14:paraId="5720DD88" w14:textId="77777777" w:rsidR="00BD4793" w:rsidRPr="00BD4793" w:rsidRDefault="00BD4793" w:rsidP="00BD4793">
      <w:pPr>
        <w:spacing w:after="0" w:line="276" w:lineRule="auto"/>
        <w:jc w:val="both"/>
        <w:rPr>
          <w:rFonts w:ascii="Verdana" w:eastAsia="Calibri" w:hAnsi="Verdana" w:cs="Times New Roman"/>
        </w:rPr>
      </w:pPr>
      <w:r w:rsidRPr="00BD4793">
        <w:rPr>
          <w:rFonts w:ascii="Verdana" w:eastAsia="Calibri" w:hAnsi="Verdana" w:cs="Times New Roman"/>
        </w:rPr>
        <w:t>También le contamos que ya se encuentra disponible la </w:t>
      </w:r>
      <w:r w:rsidRPr="00BD4793">
        <w:rPr>
          <w:rFonts w:ascii="Verdana" w:eastAsia="Calibri" w:hAnsi="Verdana" w:cs="Times New Roman"/>
          <w:b/>
          <w:bCs/>
        </w:rPr>
        <w:t>Guía de lineamientos de transparencia y selección objetiva para el departamento de La Guajira – Objetivo sexto constitucional de la Sentencia T-302 del 2017. </w:t>
      </w:r>
      <w:r w:rsidRPr="00BD4793">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D4793">
        <w:rPr>
          <w:rFonts w:ascii="Verdana" w:eastAsia="Calibri" w:hAnsi="Verdana" w:cs="Times New Roman"/>
        </w:rPr>
        <w:t>Wayúu</w:t>
      </w:r>
      <w:proofErr w:type="spellEnd"/>
      <w:r w:rsidRPr="00BD4793">
        <w:rPr>
          <w:rFonts w:ascii="Verdana" w:eastAsia="Calibri" w:hAnsi="Verdana" w:cs="Times New Roman"/>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D4793">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p>
    <w:p w14:paraId="22DF9FAC" w14:textId="77777777" w:rsidR="00BD4793" w:rsidRPr="00BD4793" w:rsidRDefault="00BD4793" w:rsidP="00BD4793">
      <w:pPr>
        <w:spacing w:after="0" w:line="240" w:lineRule="auto"/>
        <w:jc w:val="both"/>
        <w:rPr>
          <w:rFonts w:ascii="Verdana" w:eastAsia="Calibri" w:hAnsi="Verdana" w:cs="Times New Roman"/>
        </w:rPr>
      </w:pPr>
    </w:p>
    <w:p w14:paraId="77FD4739" w14:textId="77777777" w:rsidR="00BD4793" w:rsidRPr="00BD4793" w:rsidRDefault="00BD4793" w:rsidP="00BD4793">
      <w:pPr>
        <w:spacing w:after="0" w:line="240" w:lineRule="auto"/>
        <w:jc w:val="both"/>
        <w:rPr>
          <w:rFonts w:ascii="Verdana" w:eastAsia="Calibri" w:hAnsi="Verdana" w:cs="Times New Roman"/>
        </w:rPr>
      </w:pPr>
      <w:r w:rsidRPr="00BD4793">
        <w:rPr>
          <w:rFonts w:ascii="Verdana" w:eastAsia="Calibri" w:hAnsi="Verdana" w:cs="Times New Roman"/>
        </w:rPr>
        <w:t xml:space="preserve">Por último, lo invitamos a seguirnos en las redes sociales en las cuales se difunde información institucional: </w:t>
      </w:r>
    </w:p>
    <w:p w14:paraId="4AA24952" w14:textId="77777777" w:rsidR="00BD4793" w:rsidRPr="00BD4793" w:rsidRDefault="00BD4793" w:rsidP="00BD4793">
      <w:pPr>
        <w:spacing w:after="0" w:line="240" w:lineRule="auto"/>
        <w:jc w:val="both"/>
        <w:rPr>
          <w:rFonts w:ascii="Verdana" w:eastAsia="Calibri" w:hAnsi="Verdana" w:cs="Times New Roman"/>
        </w:rPr>
      </w:pPr>
    </w:p>
    <w:p w14:paraId="4EE3B31E" w14:textId="77777777" w:rsidR="00BD4793" w:rsidRPr="00BD4793" w:rsidRDefault="00BD4793" w:rsidP="00BD4793">
      <w:pPr>
        <w:spacing w:after="0" w:line="240" w:lineRule="auto"/>
        <w:jc w:val="both"/>
        <w:rPr>
          <w:rFonts w:ascii="Verdana" w:eastAsia="Calibri" w:hAnsi="Verdana" w:cs="Times New Roman"/>
        </w:rPr>
      </w:pPr>
      <w:r w:rsidRPr="00BD4793">
        <w:rPr>
          <w:rFonts w:ascii="Verdana" w:eastAsia="Calibri" w:hAnsi="Verdana" w:cs="Times New Roman"/>
        </w:rPr>
        <w:t xml:space="preserve">Twitter: </w:t>
      </w:r>
      <w:r w:rsidRPr="00BD4793">
        <w:rPr>
          <w:rFonts w:ascii="Verdana" w:eastAsia="Calibri" w:hAnsi="Verdana" w:cs="Times New Roman"/>
          <w:color w:val="4472C4"/>
          <w:u w:val="single"/>
        </w:rPr>
        <w:t>@colombiacompra</w:t>
      </w:r>
      <w:r w:rsidRPr="00BD4793">
        <w:rPr>
          <w:rFonts w:ascii="Verdana" w:eastAsia="Calibri" w:hAnsi="Verdana" w:cs="Times New Roman"/>
          <w:color w:val="4472C4"/>
        </w:rPr>
        <w:t xml:space="preserve"> </w:t>
      </w:r>
    </w:p>
    <w:p w14:paraId="105B680F" w14:textId="77777777" w:rsidR="00BD4793" w:rsidRPr="00BD4793" w:rsidRDefault="00BD4793" w:rsidP="00BD4793">
      <w:pPr>
        <w:spacing w:after="0" w:line="240" w:lineRule="auto"/>
        <w:jc w:val="both"/>
        <w:rPr>
          <w:rFonts w:ascii="Verdana" w:eastAsia="Calibri" w:hAnsi="Verdana" w:cs="Times New Roman"/>
        </w:rPr>
      </w:pPr>
      <w:r w:rsidRPr="00BD4793">
        <w:rPr>
          <w:rFonts w:ascii="Verdana" w:eastAsia="Calibri" w:hAnsi="Verdana" w:cs="Times New Roman"/>
        </w:rPr>
        <w:t xml:space="preserve">Facebook: </w:t>
      </w:r>
      <w:proofErr w:type="spellStart"/>
      <w:r w:rsidRPr="00BD4793">
        <w:rPr>
          <w:rFonts w:ascii="Verdana" w:eastAsia="Calibri" w:hAnsi="Verdana" w:cs="Times New Roman"/>
          <w:color w:val="4472C4"/>
          <w:u w:val="single"/>
        </w:rPr>
        <w:t>ColombiaCompraEficiente</w:t>
      </w:r>
      <w:proofErr w:type="spellEnd"/>
    </w:p>
    <w:p w14:paraId="1DB3B8FB" w14:textId="77777777" w:rsidR="00BD4793" w:rsidRPr="00BD4793" w:rsidRDefault="00BD4793" w:rsidP="00BD4793">
      <w:pPr>
        <w:spacing w:after="0" w:line="240" w:lineRule="auto"/>
        <w:jc w:val="both"/>
        <w:rPr>
          <w:rFonts w:ascii="Verdana" w:eastAsia="Calibri" w:hAnsi="Verdana" w:cs="Times New Roman"/>
        </w:rPr>
      </w:pPr>
      <w:r w:rsidRPr="00BD4793">
        <w:rPr>
          <w:rFonts w:ascii="Verdana" w:eastAsia="Calibri" w:hAnsi="Verdana" w:cs="Times New Roman"/>
        </w:rPr>
        <w:t xml:space="preserve">LinkedIn: </w:t>
      </w:r>
      <w:r w:rsidRPr="00BD4793">
        <w:rPr>
          <w:rFonts w:ascii="Verdana" w:eastAsia="Calibri" w:hAnsi="Verdana" w:cs="Times New Roman"/>
          <w:color w:val="4472C4"/>
          <w:u w:val="single"/>
        </w:rPr>
        <w:t>Agencia Nacional de Contratación Pública - Colombia Compra Eficiente</w:t>
      </w:r>
      <w:r w:rsidRPr="00BD4793">
        <w:rPr>
          <w:rFonts w:ascii="Verdana" w:eastAsia="Calibri" w:hAnsi="Verdana" w:cs="Times New Roman"/>
          <w:color w:val="4472C4"/>
        </w:rPr>
        <w:t xml:space="preserve"> </w:t>
      </w:r>
      <w:r w:rsidRPr="00BD4793">
        <w:rPr>
          <w:rFonts w:ascii="Verdana" w:eastAsia="Calibri" w:hAnsi="Verdana" w:cs="Times New Roman"/>
        </w:rPr>
        <w:t xml:space="preserve">Instagram: </w:t>
      </w:r>
      <w:r w:rsidRPr="00BD4793">
        <w:rPr>
          <w:rFonts w:ascii="Verdana" w:eastAsia="Calibri" w:hAnsi="Verdana" w:cs="Times New Roman"/>
          <w:color w:val="4472C4"/>
          <w:u w:val="single"/>
        </w:rPr>
        <w:t>@colombiacompraeficiente_cce</w:t>
      </w:r>
    </w:p>
    <w:p w14:paraId="12CC2B23" w14:textId="77777777" w:rsidR="00BD4793" w:rsidRPr="00BD4793" w:rsidRDefault="00BD4793" w:rsidP="00BD4793">
      <w:pPr>
        <w:widowControl w:val="0"/>
        <w:autoSpaceDE w:val="0"/>
        <w:autoSpaceDN w:val="0"/>
        <w:spacing w:after="0" w:line="276" w:lineRule="auto"/>
        <w:jc w:val="both"/>
        <w:rPr>
          <w:rFonts w:ascii="Verdana" w:eastAsia="Calibri" w:hAnsi="Verdana" w:cs="Times New Roman"/>
        </w:rPr>
      </w:pPr>
    </w:p>
    <w:p w14:paraId="3D9F88CD" w14:textId="77777777" w:rsidR="00BD4793" w:rsidRPr="00BD4793" w:rsidRDefault="00BD4793" w:rsidP="00BD4793">
      <w:pPr>
        <w:widowControl w:val="0"/>
        <w:autoSpaceDE w:val="0"/>
        <w:autoSpaceDN w:val="0"/>
        <w:spacing w:after="0" w:line="276" w:lineRule="auto"/>
        <w:jc w:val="both"/>
        <w:rPr>
          <w:rFonts w:ascii="Verdana" w:eastAsia="Calibri" w:hAnsi="Verdana" w:cs="Arial"/>
          <w:lang w:val="es-ES_tradnl"/>
        </w:rPr>
      </w:pPr>
      <w:r w:rsidRPr="00BD4793">
        <w:rPr>
          <w:rFonts w:ascii="Verdana" w:eastAsia="Calibri" w:hAnsi="Verdana" w:cs="Arial"/>
        </w:rPr>
        <w:t xml:space="preserve">Este concepto tiene el alcance previsto en el artículo 28 del Código de Procedimiento Administrativo y de lo Contencioso Administrativo </w:t>
      </w:r>
      <w:r w:rsidRPr="00BD4793">
        <w:rPr>
          <w:rFonts w:ascii="Verdana" w:eastAsia="Calibri" w:hAnsi="Verdana" w:cs="Arial"/>
          <w:lang w:val="es-ES_tradnl"/>
        </w:rPr>
        <w:t>y las expresiones aquí utilizadas con mayúscula inicial deben ser entendidas con el significado que les otorga el artículo 2.2.1.1.1.3.1. del Decreto 1082 de 2015.</w:t>
      </w:r>
    </w:p>
    <w:p w14:paraId="2C4FE4F5" w14:textId="77777777" w:rsidR="00BD4793" w:rsidRPr="00BD4793" w:rsidRDefault="00BD4793" w:rsidP="00BD4793">
      <w:pPr>
        <w:spacing w:after="0" w:line="276" w:lineRule="auto"/>
        <w:ind w:firstLine="709"/>
        <w:jc w:val="both"/>
        <w:rPr>
          <w:rFonts w:ascii="Verdana" w:eastAsia="Times New Roman" w:hAnsi="Verdana" w:cs="Arial"/>
          <w:szCs w:val="24"/>
          <w:lang w:val="es-ES_tradnl" w:eastAsia="es-ES_tradnl"/>
        </w:rPr>
      </w:pPr>
    </w:p>
    <w:p w14:paraId="100F6598" w14:textId="77777777" w:rsidR="00BD4793" w:rsidRPr="00BD4793" w:rsidRDefault="00BD4793" w:rsidP="00BD4793">
      <w:pPr>
        <w:spacing w:after="0" w:line="276" w:lineRule="auto"/>
        <w:jc w:val="both"/>
        <w:rPr>
          <w:rFonts w:ascii="Verdana" w:eastAsia="Times New Roman" w:hAnsi="Verdana" w:cs="Arial"/>
          <w:lang w:val="es-ES_tradnl" w:eastAsia="es-CO"/>
        </w:rPr>
      </w:pPr>
      <w:bookmarkStart w:id="2" w:name="_Hlk117695077"/>
      <w:r w:rsidRPr="00BD4793">
        <w:rPr>
          <w:rFonts w:ascii="Verdana" w:eastAsia="Times New Roman" w:hAnsi="Verdana" w:cs="Arial"/>
          <w:lang w:val="es-ES_tradnl" w:eastAsia="es-CO"/>
        </w:rPr>
        <w:t>Atentamente,</w:t>
      </w:r>
    </w:p>
    <w:bookmarkEnd w:id="2"/>
    <w:p w14:paraId="39B942D9" w14:textId="7C6EE249" w:rsidR="00BD4793" w:rsidRPr="00BD4793" w:rsidRDefault="00513777" w:rsidP="00BD4793">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44EBFC1C" wp14:editId="2C33A61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BD4793" w:rsidRPr="00BD4793" w14:paraId="40798E0A" w14:textId="77777777" w:rsidTr="004A17DE">
        <w:trPr>
          <w:trHeight w:val="286"/>
        </w:trPr>
        <w:tc>
          <w:tcPr>
            <w:tcW w:w="893" w:type="dxa"/>
            <w:vAlign w:val="center"/>
            <w:hideMark/>
          </w:tcPr>
          <w:p w14:paraId="13465561" w14:textId="77777777" w:rsidR="00BD4793" w:rsidRPr="00BD4793" w:rsidRDefault="00BD4793" w:rsidP="00BD4793">
            <w:pPr>
              <w:rPr>
                <w:rFonts w:ascii="Verdana" w:eastAsia="Times New Roman" w:hAnsi="Verdana" w:cs="Arial"/>
                <w:sz w:val="14"/>
                <w:szCs w:val="14"/>
                <w:lang w:eastAsia="es-ES"/>
              </w:rPr>
            </w:pPr>
            <w:r w:rsidRPr="00BD4793">
              <w:rPr>
                <w:rFonts w:ascii="Verdana" w:eastAsia="Times New Roman" w:hAnsi="Verdana" w:cs="Arial"/>
                <w:sz w:val="16"/>
                <w:szCs w:val="16"/>
                <w:lang w:eastAsia="es-ES"/>
              </w:rPr>
              <w:t>Elaboró:</w:t>
            </w:r>
          </w:p>
        </w:tc>
        <w:tc>
          <w:tcPr>
            <w:tcW w:w="4777" w:type="dxa"/>
            <w:vAlign w:val="center"/>
            <w:hideMark/>
          </w:tcPr>
          <w:p w14:paraId="0C4615DA" w14:textId="77777777" w:rsidR="00BD4793" w:rsidRPr="00BD4793" w:rsidRDefault="00BD4793" w:rsidP="00BD4793">
            <w:pPr>
              <w:rPr>
                <w:rFonts w:ascii="Verdana" w:eastAsia="Times New Roman" w:hAnsi="Verdana" w:cs="Arial"/>
                <w:sz w:val="16"/>
                <w:szCs w:val="16"/>
                <w:lang w:val="es-ES_tradnl" w:eastAsia="es-ES"/>
              </w:rPr>
            </w:pPr>
            <w:r w:rsidRPr="00BD4793">
              <w:rPr>
                <w:rFonts w:ascii="Verdana" w:eastAsia="Times New Roman" w:hAnsi="Verdana" w:cs="Arial"/>
                <w:sz w:val="16"/>
                <w:szCs w:val="16"/>
                <w:lang w:val="es-ES_tradnl" w:eastAsia="es-ES"/>
              </w:rPr>
              <w:t>Ximena Ríos López</w:t>
            </w:r>
          </w:p>
          <w:p w14:paraId="77C0F4BA" w14:textId="77777777" w:rsidR="00BD4793" w:rsidRPr="00BD4793" w:rsidRDefault="00BD4793" w:rsidP="00BD4793">
            <w:pPr>
              <w:rPr>
                <w:rFonts w:ascii="Verdana" w:eastAsia="Times New Roman" w:hAnsi="Verdana" w:cs="Arial"/>
                <w:sz w:val="14"/>
                <w:szCs w:val="14"/>
                <w:lang w:eastAsia="es-ES"/>
              </w:rPr>
            </w:pPr>
            <w:r w:rsidRPr="00BD4793">
              <w:rPr>
                <w:rFonts w:ascii="Verdana" w:eastAsia="Times New Roman" w:hAnsi="Verdana" w:cs="Arial"/>
                <w:sz w:val="16"/>
                <w:szCs w:val="16"/>
                <w:lang w:eastAsia="es-ES"/>
              </w:rPr>
              <w:t>Gestor T1-11 de la Subdirección de Gestión Contractual</w:t>
            </w:r>
          </w:p>
        </w:tc>
      </w:tr>
      <w:tr w:rsidR="00BD4793" w:rsidRPr="00BD4793" w14:paraId="1F60CEE7" w14:textId="77777777" w:rsidTr="004A17DE">
        <w:trPr>
          <w:trHeight w:val="299"/>
        </w:trPr>
        <w:tc>
          <w:tcPr>
            <w:tcW w:w="893" w:type="dxa"/>
            <w:vAlign w:val="center"/>
            <w:hideMark/>
          </w:tcPr>
          <w:p w14:paraId="124AE2E3" w14:textId="77777777" w:rsidR="00BD4793" w:rsidRPr="00BD4793" w:rsidRDefault="00BD4793" w:rsidP="00BD4793">
            <w:pPr>
              <w:rPr>
                <w:rFonts w:ascii="Verdana" w:eastAsia="Times New Roman" w:hAnsi="Verdana" w:cs="Arial"/>
                <w:sz w:val="14"/>
                <w:szCs w:val="14"/>
                <w:lang w:eastAsia="es-ES"/>
              </w:rPr>
            </w:pPr>
            <w:r w:rsidRPr="00BD4793">
              <w:rPr>
                <w:rFonts w:ascii="Verdana" w:eastAsia="Times New Roman" w:hAnsi="Verdana" w:cs="Arial"/>
                <w:sz w:val="16"/>
                <w:szCs w:val="16"/>
                <w:lang w:eastAsia="es-ES"/>
              </w:rPr>
              <w:t>Revisó:</w:t>
            </w:r>
          </w:p>
        </w:tc>
        <w:tc>
          <w:tcPr>
            <w:tcW w:w="4777" w:type="dxa"/>
            <w:vAlign w:val="center"/>
            <w:hideMark/>
          </w:tcPr>
          <w:p w14:paraId="5DEEDC5B" w14:textId="77777777" w:rsidR="00BD4793" w:rsidRPr="00BD4793" w:rsidRDefault="00BD4793" w:rsidP="00BD4793">
            <w:pPr>
              <w:rPr>
                <w:rFonts w:ascii="Verdana" w:eastAsia="Times New Roman" w:hAnsi="Verdana" w:cs="Arial"/>
                <w:sz w:val="16"/>
                <w:szCs w:val="16"/>
                <w:lang w:val="es-ES" w:eastAsia="es-ES"/>
              </w:rPr>
            </w:pPr>
            <w:r w:rsidRPr="6C044C51">
              <w:rPr>
                <w:rFonts w:ascii="Verdana" w:eastAsia="Times New Roman" w:hAnsi="Verdana" w:cs="Arial"/>
                <w:sz w:val="16"/>
                <w:szCs w:val="16"/>
                <w:lang w:val="es-ES" w:eastAsia="es-ES"/>
              </w:rPr>
              <w:t>Juan Carlos Gonzalez</w:t>
            </w:r>
          </w:p>
          <w:p w14:paraId="2F886A3F" w14:textId="77777777" w:rsidR="00BD4793" w:rsidRPr="00BD4793" w:rsidRDefault="00BD4793" w:rsidP="00BD4793">
            <w:pPr>
              <w:rPr>
                <w:rFonts w:ascii="Verdana" w:eastAsia="Times New Roman" w:hAnsi="Verdana" w:cs="Arial"/>
                <w:sz w:val="14"/>
                <w:szCs w:val="14"/>
                <w:lang w:eastAsia="es-ES"/>
              </w:rPr>
            </w:pPr>
            <w:r w:rsidRPr="00BD4793">
              <w:rPr>
                <w:rFonts w:ascii="Verdana" w:eastAsia="Times New Roman" w:hAnsi="Verdana" w:cs="Arial"/>
                <w:sz w:val="16"/>
                <w:szCs w:val="16"/>
                <w:lang w:eastAsia="es-ES"/>
              </w:rPr>
              <w:t>Contratista de la Subdirección de Gestión Contractual</w:t>
            </w:r>
          </w:p>
        </w:tc>
      </w:tr>
      <w:tr w:rsidR="00BD4793" w:rsidRPr="00BD4793" w14:paraId="5532AE40" w14:textId="77777777" w:rsidTr="004A17DE">
        <w:trPr>
          <w:trHeight w:val="272"/>
        </w:trPr>
        <w:tc>
          <w:tcPr>
            <w:tcW w:w="893" w:type="dxa"/>
            <w:vAlign w:val="center"/>
            <w:hideMark/>
          </w:tcPr>
          <w:p w14:paraId="5FEE297D" w14:textId="77777777" w:rsidR="00BD4793" w:rsidRPr="00BD4793" w:rsidRDefault="00BD4793" w:rsidP="00BD4793">
            <w:pPr>
              <w:rPr>
                <w:rFonts w:ascii="Verdana" w:eastAsia="Times New Roman" w:hAnsi="Verdana" w:cs="Arial"/>
                <w:sz w:val="14"/>
                <w:szCs w:val="14"/>
                <w:lang w:eastAsia="es-ES"/>
              </w:rPr>
            </w:pPr>
            <w:r w:rsidRPr="00BD4793">
              <w:rPr>
                <w:rFonts w:ascii="Verdana" w:eastAsia="Times New Roman" w:hAnsi="Verdana" w:cs="Arial"/>
                <w:sz w:val="16"/>
                <w:szCs w:val="16"/>
                <w:lang w:eastAsia="es-ES"/>
              </w:rPr>
              <w:t>Aprobó:</w:t>
            </w:r>
          </w:p>
        </w:tc>
        <w:tc>
          <w:tcPr>
            <w:tcW w:w="4777" w:type="dxa"/>
            <w:vAlign w:val="center"/>
            <w:hideMark/>
          </w:tcPr>
          <w:p w14:paraId="4EBA9BBE" w14:textId="77777777" w:rsidR="00BD4793" w:rsidRPr="00BD4793" w:rsidRDefault="00BD4793" w:rsidP="00BD4793">
            <w:pPr>
              <w:rPr>
                <w:rFonts w:ascii="Verdana" w:eastAsia="Times New Roman" w:hAnsi="Verdana" w:cs="Arial"/>
                <w:sz w:val="16"/>
                <w:szCs w:val="16"/>
                <w:lang w:eastAsia="es-ES"/>
              </w:rPr>
            </w:pPr>
            <w:r w:rsidRPr="00BD4793">
              <w:rPr>
                <w:rFonts w:ascii="Verdana" w:eastAsia="Times New Roman" w:hAnsi="Verdana" w:cs="Arial"/>
                <w:sz w:val="16"/>
                <w:szCs w:val="16"/>
                <w:lang w:eastAsia="es-ES"/>
              </w:rPr>
              <w:t>Carolina Quintero Gacharná</w:t>
            </w:r>
          </w:p>
          <w:p w14:paraId="67F5A11C" w14:textId="77777777" w:rsidR="00BD4793" w:rsidRPr="00BD4793" w:rsidRDefault="00BD4793" w:rsidP="00BD4793">
            <w:pPr>
              <w:rPr>
                <w:rFonts w:ascii="Verdana" w:eastAsia="Times New Roman" w:hAnsi="Verdana" w:cs="Arial"/>
                <w:sz w:val="14"/>
                <w:szCs w:val="14"/>
                <w:lang w:eastAsia="es-ES"/>
              </w:rPr>
            </w:pPr>
            <w:r w:rsidRPr="00BD4793">
              <w:rPr>
                <w:rFonts w:ascii="Verdana" w:eastAsia="Times New Roman" w:hAnsi="Verdana" w:cs="Arial"/>
                <w:sz w:val="16"/>
                <w:szCs w:val="16"/>
                <w:lang w:eastAsia="es-ES"/>
              </w:rPr>
              <w:t>Subdirectora de Gestión Contractual ANCP – CCE</w:t>
            </w:r>
          </w:p>
        </w:tc>
      </w:tr>
    </w:tbl>
    <w:p w14:paraId="1453A97D" w14:textId="77777777" w:rsidR="00BD4793" w:rsidRPr="00BD4793" w:rsidRDefault="00BD4793" w:rsidP="00BD4793">
      <w:pPr>
        <w:spacing w:after="0" w:line="276" w:lineRule="auto"/>
        <w:jc w:val="both"/>
        <w:rPr>
          <w:rFonts w:ascii="Verdana" w:eastAsia="Times New Roman" w:hAnsi="Verdana" w:cs="Arial"/>
          <w:lang w:val="es-ES_tradnl"/>
        </w:rPr>
      </w:pPr>
    </w:p>
    <w:p w14:paraId="6899EAE3" w14:textId="77777777" w:rsidR="00BD4793" w:rsidRPr="00BD4793" w:rsidRDefault="00BD4793" w:rsidP="00BD4793">
      <w:pPr>
        <w:spacing w:after="0" w:line="240" w:lineRule="auto"/>
        <w:rPr>
          <w:rFonts w:ascii="Verdana" w:eastAsia="Times New Roman" w:hAnsi="Verdana" w:cs="Arial"/>
          <w:sz w:val="24"/>
          <w:szCs w:val="24"/>
          <w:lang w:eastAsia="es-ES_tradnl"/>
        </w:rPr>
      </w:pPr>
    </w:p>
    <w:p w14:paraId="73D4F56E" w14:textId="77777777" w:rsidR="00BD4793" w:rsidRPr="00BD4793" w:rsidRDefault="00BD4793" w:rsidP="00BD4793">
      <w:pPr>
        <w:rPr>
          <w:rFonts w:ascii="Verdana" w:eastAsia="Calibri" w:hAnsi="Verdana" w:cs="Times New Roman"/>
        </w:rPr>
      </w:pPr>
    </w:p>
    <w:p w14:paraId="4BD87D8A" w14:textId="77777777" w:rsidR="00BD4793" w:rsidRPr="00BD4793" w:rsidRDefault="00BD4793" w:rsidP="00BD4793">
      <w:pPr>
        <w:rPr>
          <w:rFonts w:ascii="Calibri" w:eastAsia="Calibri" w:hAnsi="Calibri" w:cs="Times New Roman"/>
        </w:rPr>
      </w:pPr>
    </w:p>
    <w:p w14:paraId="4B54E548" w14:textId="77777777" w:rsidR="00BD4793" w:rsidRPr="00BD4793" w:rsidRDefault="00BD4793" w:rsidP="00BD4793">
      <w:pPr>
        <w:rPr>
          <w:rFonts w:ascii="Calibri" w:eastAsia="Calibri" w:hAnsi="Calibri" w:cs="Times New Roman"/>
        </w:rPr>
      </w:pPr>
    </w:p>
    <w:p w14:paraId="0F293BF4" w14:textId="0EC23D9D" w:rsidR="00127233" w:rsidRPr="00BD4793" w:rsidRDefault="00127233" w:rsidP="00BD4793"/>
    <w:sectPr w:rsidR="00127233" w:rsidRPr="00BD479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333DC" w14:textId="77777777" w:rsidR="009A1C6F" w:rsidRDefault="009A1C6F" w:rsidP="004A1847">
      <w:pPr>
        <w:spacing w:after="0" w:line="240" w:lineRule="auto"/>
      </w:pPr>
      <w:r>
        <w:separator/>
      </w:r>
    </w:p>
  </w:endnote>
  <w:endnote w:type="continuationSeparator" w:id="0">
    <w:p w14:paraId="1BC71718"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BD4793">
      <w:rPr>
        <w:rFonts w:ascii="Verdana" w:eastAsia="Times New Roman" w:hAnsi="Verdana" w:cs="Times New Roman"/>
        <w:b/>
        <w:bCs/>
        <w:sz w:val="16"/>
        <w:szCs w:val="16"/>
        <w:lang w:val="es-ES"/>
      </w:rPr>
      <w:t xml:space="preserve">pág. </w:t>
    </w:r>
    <w:r w:rsidRPr="00BD4793">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BD4793">
      <w:rPr>
        <w:rFonts w:ascii="Verdana" w:eastAsia="Times New Roman" w:hAnsi="Verdana"/>
        <w:b/>
        <w:bCs/>
        <w:sz w:val="16"/>
        <w:szCs w:val="16"/>
      </w:rPr>
      <w:fldChar w:fldCharType="separate"/>
    </w:r>
    <w:r w:rsidRPr="00BD4793">
      <w:rPr>
        <w:rFonts w:ascii="Verdana" w:eastAsia="Times New Roman" w:hAnsi="Verdana"/>
        <w:b/>
        <w:bCs/>
        <w:sz w:val="16"/>
        <w:szCs w:val="16"/>
      </w:rPr>
      <w:t>1</w:t>
    </w:r>
    <w:r w:rsidRPr="00BD4793">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BD4793">
      <w:rPr>
        <w:rFonts w:ascii="Century Gothic" w:eastAsia="Geo" w:hAnsi="Century Gothic" w:cs="Geo"/>
        <w:b/>
        <w:bCs/>
        <w:color w:val="000000"/>
        <w:sz w:val="16"/>
        <w:szCs w:val="16"/>
        <w:lang w:eastAsia="es-CO"/>
      </w:rPr>
      <w:t xml:space="preserve">Código: </w:t>
    </w:r>
    <w:r w:rsidRPr="00BD4793">
      <w:rPr>
        <w:rFonts w:ascii="Century Gothic" w:eastAsia="Geo" w:hAnsi="Century Gothic" w:cs="Geo"/>
        <w:color w:val="000000"/>
        <w:sz w:val="16"/>
        <w:szCs w:val="16"/>
        <w:lang w:eastAsia="es-CO"/>
      </w:rPr>
      <w:t xml:space="preserve">CCE-REC-FM-17 </w:t>
    </w:r>
    <w:r w:rsidRPr="00BD4793">
      <w:rPr>
        <w:rFonts w:ascii="Century Gothic" w:eastAsia="Geo" w:hAnsi="Century Gothic" w:cs="Geo"/>
        <w:b/>
        <w:bCs/>
        <w:color w:val="000000"/>
        <w:sz w:val="16"/>
        <w:szCs w:val="16"/>
        <w:lang w:eastAsia="es-CO"/>
      </w:rPr>
      <w:t>V</w:t>
    </w:r>
    <w:r w:rsidRPr="00BD4793">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D5D63" w14:textId="77777777" w:rsidR="009A1C6F" w:rsidRDefault="009A1C6F" w:rsidP="004A1847">
      <w:pPr>
        <w:spacing w:after="0" w:line="240" w:lineRule="auto"/>
      </w:pPr>
      <w:r>
        <w:separator/>
      </w:r>
    </w:p>
  </w:footnote>
  <w:footnote w:type="continuationSeparator" w:id="0">
    <w:p w14:paraId="26A87FA4" w14:textId="77777777" w:rsidR="009A1C6F" w:rsidRDefault="009A1C6F" w:rsidP="004A1847">
      <w:pPr>
        <w:spacing w:after="0" w:line="240" w:lineRule="auto"/>
      </w:pPr>
      <w:r>
        <w:continuationSeparator/>
      </w:r>
    </w:p>
  </w:footnote>
  <w:footnote w:id="1">
    <w:p w14:paraId="71D298D4" w14:textId="77777777" w:rsidR="00BD4793" w:rsidRPr="0016660C" w:rsidRDefault="00BD4793" w:rsidP="00BD4793">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73DFB6C" w14:textId="77777777" w:rsidR="00BD4793" w:rsidRDefault="00BD4793" w:rsidP="00BD4793">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FE32231" w14:textId="77777777" w:rsidR="00BD4793" w:rsidRPr="0016660C" w:rsidRDefault="00BD4793" w:rsidP="00BD4793">
      <w:pPr>
        <w:pStyle w:val="Textonotapie"/>
        <w:ind w:firstLine="709"/>
        <w:contextualSpacing/>
        <w:jc w:val="both"/>
        <w:rPr>
          <w:rFonts w:ascii="Verdana" w:hAnsi="Verdana" w:cs="Arial"/>
          <w:sz w:val="16"/>
          <w:szCs w:val="16"/>
        </w:rPr>
      </w:pPr>
    </w:p>
  </w:footnote>
  <w:footnote w:id="2">
    <w:p w14:paraId="27A3A857" w14:textId="77777777" w:rsidR="00BD4793" w:rsidRDefault="00BD4793" w:rsidP="00BD4793">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p w14:paraId="4C7DD2B8" w14:textId="77777777" w:rsidR="00BD4793" w:rsidRPr="0016660C" w:rsidRDefault="00BD4793" w:rsidP="00BD4793">
      <w:pPr>
        <w:pStyle w:val="Textonotapie"/>
        <w:ind w:firstLine="709"/>
        <w:contextualSpacing/>
        <w:jc w:val="both"/>
        <w:rPr>
          <w:rFonts w:ascii="Verdana" w:hAnsi="Verdana" w:cs="Arial"/>
          <w:sz w:val="16"/>
          <w:szCs w:val="16"/>
        </w:rPr>
      </w:pPr>
    </w:p>
  </w:footnote>
  <w:footnote w:id="3">
    <w:p w14:paraId="1209B0C4" w14:textId="77777777" w:rsidR="00BD4793" w:rsidRDefault="00BD4793" w:rsidP="00BD4793">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w:t>
      </w:r>
      <w:r w:rsidRPr="0016660C">
        <w:rPr>
          <w:rFonts w:ascii="Verdana" w:hAnsi="Verdana" w:cs="Arial"/>
          <w:sz w:val="16"/>
          <w:szCs w:val="16"/>
          <w:lang w:val="pt-BR"/>
        </w:rPr>
        <w:t>Monroy Cabra.</w:t>
      </w:r>
    </w:p>
    <w:p w14:paraId="18CF1377" w14:textId="77777777" w:rsidR="00BD4793" w:rsidRPr="0016660C" w:rsidRDefault="00BD4793" w:rsidP="00BD4793">
      <w:pPr>
        <w:pStyle w:val="Textonotapie"/>
        <w:ind w:firstLine="709"/>
        <w:contextualSpacing/>
        <w:jc w:val="both"/>
        <w:rPr>
          <w:rFonts w:ascii="Verdana" w:hAnsi="Verdana" w:cs="Arial"/>
          <w:sz w:val="16"/>
          <w:szCs w:val="16"/>
          <w:lang w:val="pt-BR"/>
        </w:rPr>
      </w:pPr>
    </w:p>
  </w:footnote>
  <w:footnote w:id="4">
    <w:p w14:paraId="5B2A81EA" w14:textId="77777777" w:rsidR="00BD4793" w:rsidRDefault="00BD4793" w:rsidP="00BD4793">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w:t>
      </w:r>
      <w:r w:rsidRPr="0016660C">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p w14:paraId="08C6C501" w14:textId="77777777" w:rsidR="00BD4793" w:rsidRPr="0016660C" w:rsidRDefault="00BD4793" w:rsidP="00BD4793">
      <w:pPr>
        <w:pStyle w:val="Textonotapie"/>
        <w:ind w:firstLine="709"/>
        <w:contextualSpacing/>
        <w:jc w:val="both"/>
        <w:rPr>
          <w:rFonts w:ascii="Verdana" w:hAnsi="Verdana" w:cs="Arial"/>
          <w:sz w:val="16"/>
          <w:szCs w:val="16"/>
          <w:lang w:val="pt-BR"/>
        </w:rPr>
      </w:pPr>
    </w:p>
  </w:footnote>
  <w:footnote w:id="5">
    <w:p w14:paraId="4C80666B" w14:textId="77777777" w:rsidR="00BD4793" w:rsidRPr="0016660C" w:rsidRDefault="00BD4793" w:rsidP="00BD4793">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4E5F368" w14:textId="77777777" w:rsidR="00BD4793" w:rsidRDefault="00BD4793" w:rsidP="00BD4793">
      <w:pPr>
        <w:pStyle w:val="Textonotapie"/>
        <w:ind w:firstLine="709"/>
        <w:contextualSpacing/>
        <w:jc w:val="both"/>
        <w:rPr>
          <w:rFonts w:ascii="Verdana" w:hAnsi="Verdana" w:cs="Arial"/>
          <w:sz w:val="16"/>
          <w:szCs w:val="16"/>
        </w:rPr>
      </w:pPr>
    </w:p>
    <w:p w14:paraId="34B7C322" w14:textId="77777777" w:rsidR="00BD4793" w:rsidRDefault="00BD4793" w:rsidP="00BD4793">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w:t>
      </w:r>
      <w:r w:rsidRPr="0016660C">
        <w:rPr>
          <w:rFonts w:ascii="Verdana" w:hAnsi="Verdana" w:cs="Arial"/>
          <w:sz w:val="16"/>
          <w:szCs w:val="16"/>
        </w:rPr>
        <w:t xml:space="preserve">Namén Vargas.  </w:t>
      </w:r>
    </w:p>
    <w:p w14:paraId="08C5CDFD" w14:textId="77777777" w:rsidR="00BD4793" w:rsidRPr="0016660C" w:rsidRDefault="00BD4793" w:rsidP="00BD4793">
      <w:pPr>
        <w:pStyle w:val="Textonotapie"/>
        <w:ind w:firstLine="709"/>
        <w:contextualSpacing/>
        <w:jc w:val="both"/>
        <w:rPr>
          <w:rFonts w:ascii="Verdana" w:hAnsi="Verdana" w:cs="Arial"/>
          <w:sz w:val="16"/>
          <w:szCs w:val="16"/>
        </w:rPr>
      </w:pPr>
    </w:p>
  </w:footnote>
  <w:footnote w:id="7">
    <w:p w14:paraId="277C2633" w14:textId="77777777" w:rsidR="00BD4793" w:rsidRPr="0016660C" w:rsidRDefault="00BD4793" w:rsidP="00BD4793">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0D22A59" w14:textId="77777777" w:rsidR="00BD4793" w:rsidRDefault="00BD4793" w:rsidP="00BD4793">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p w14:paraId="79AF7E88" w14:textId="77777777" w:rsidR="00BD4793" w:rsidRPr="0016660C" w:rsidRDefault="00BD4793" w:rsidP="00BD4793">
      <w:pPr>
        <w:spacing w:after="0" w:line="240" w:lineRule="auto"/>
        <w:ind w:firstLine="709"/>
        <w:contextualSpacing/>
        <w:jc w:val="both"/>
        <w:rPr>
          <w:rFonts w:ascii="Verdana" w:eastAsia="Times New Roman" w:hAnsi="Verdana" w:cs="Arial"/>
          <w:sz w:val="16"/>
          <w:szCs w:val="16"/>
        </w:rPr>
      </w:pPr>
    </w:p>
  </w:footnote>
  <w:footnote w:id="8">
    <w:p w14:paraId="5C961E51" w14:textId="77777777" w:rsidR="00BD4793" w:rsidRPr="0016660C" w:rsidRDefault="00BD4793" w:rsidP="00BD4793">
      <w:pPr>
        <w:pStyle w:val="NormalWeb"/>
        <w:spacing w:before="0" w:beforeAutospacing="0" w:after="0" w:afterAutospacing="0"/>
        <w:ind w:firstLine="709"/>
        <w:contextualSpacing/>
        <w:jc w:val="both"/>
        <w:rPr>
          <w:rFonts w:ascii="Verdana" w:hAnsi="Verdana" w:cs="Arial"/>
          <w:sz w:val="16"/>
          <w:szCs w:val="16"/>
          <w:lang w:val="es-MX"/>
        </w:rPr>
      </w:pPr>
      <w:r w:rsidRPr="008F5857">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0615ED75" w14:textId="77777777" w:rsidR="00BD4793" w:rsidRDefault="00BD4793" w:rsidP="00BD4793">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124367CA" w14:textId="77777777" w:rsidR="00BD4793" w:rsidRPr="0016660C" w:rsidRDefault="00BD4793" w:rsidP="00BD4793">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3EF17265" w14:textId="77777777" w:rsidR="00BD4793" w:rsidRPr="0016660C" w:rsidRDefault="00BD4793" w:rsidP="00BD4793">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143D"/>
    <w:rsid w:val="000A683E"/>
    <w:rsid w:val="000B19B9"/>
    <w:rsid w:val="000D0334"/>
    <w:rsid w:val="000D5DA7"/>
    <w:rsid w:val="000F6486"/>
    <w:rsid w:val="00116940"/>
    <w:rsid w:val="00125105"/>
    <w:rsid w:val="00127233"/>
    <w:rsid w:val="0015699B"/>
    <w:rsid w:val="001A33BF"/>
    <w:rsid w:val="001B7AB7"/>
    <w:rsid w:val="001D59CE"/>
    <w:rsid w:val="001E4177"/>
    <w:rsid w:val="001F0B24"/>
    <w:rsid w:val="001F7DC6"/>
    <w:rsid w:val="0022400B"/>
    <w:rsid w:val="002421BB"/>
    <w:rsid w:val="00253109"/>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01DB"/>
    <w:rsid w:val="003F3941"/>
    <w:rsid w:val="00406575"/>
    <w:rsid w:val="00414C74"/>
    <w:rsid w:val="0042722E"/>
    <w:rsid w:val="0044528D"/>
    <w:rsid w:val="00466E39"/>
    <w:rsid w:val="004A1847"/>
    <w:rsid w:val="004A305D"/>
    <w:rsid w:val="004F21C4"/>
    <w:rsid w:val="004F685F"/>
    <w:rsid w:val="00513777"/>
    <w:rsid w:val="005566E8"/>
    <w:rsid w:val="00574867"/>
    <w:rsid w:val="00583AAD"/>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6EA8"/>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4793"/>
    <w:rsid w:val="00BD54A6"/>
    <w:rsid w:val="00BD7F72"/>
    <w:rsid w:val="00BF1886"/>
    <w:rsid w:val="00BF7425"/>
    <w:rsid w:val="00C04FB3"/>
    <w:rsid w:val="00C11D8B"/>
    <w:rsid w:val="00C15139"/>
    <w:rsid w:val="00C25EAB"/>
    <w:rsid w:val="00C330EB"/>
    <w:rsid w:val="00C45DEC"/>
    <w:rsid w:val="00C50D69"/>
    <w:rsid w:val="00C5365C"/>
    <w:rsid w:val="00C754BE"/>
    <w:rsid w:val="00C76B1C"/>
    <w:rsid w:val="00C925AC"/>
    <w:rsid w:val="00CB6357"/>
    <w:rsid w:val="00CC1B26"/>
    <w:rsid w:val="00D361FD"/>
    <w:rsid w:val="00D423A2"/>
    <w:rsid w:val="00D44E26"/>
    <w:rsid w:val="00D520D8"/>
    <w:rsid w:val="00D63AC2"/>
    <w:rsid w:val="00D67E18"/>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7A70"/>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6C044C51"/>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BD479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D4793"/>
    <w:pPr>
      <w:spacing w:line="240" w:lineRule="exact"/>
    </w:pPr>
    <w:rPr>
      <w:vertAlign w:val="superscript"/>
    </w:rPr>
  </w:style>
  <w:style w:type="character" w:customStyle="1" w:styleId="baj">
    <w:name w:val="b_aj"/>
    <w:basedOn w:val="Fuentedeprrafopredeter"/>
    <w:rsid w:val="00BD4793"/>
  </w:style>
  <w:style w:type="character" w:customStyle="1" w:styleId="NormalWebCar">
    <w:name w:val="Normal (Web) Car"/>
    <w:link w:val="NormalWeb"/>
    <w:uiPriority w:val="99"/>
    <w:locked/>
    <w:rsid w:val="00BD4793"/>
    <w:rPr>
      <w:rFonts w:ascii="Times New Roman" w:eastAsia="Times New Roman" w:hAnsi="Times New Roman" w:cs="Times New Roman"/>
      <w:sz w:val="24"/>
      <w:szCs w:val="24"/>
      <w:lang w:eastAsia="es-CO"/>
    </w:rPr>
  </w:style>
  <w:style w:type="paragraph" w:styleId="Textocomentario">
    <w:name w:val="annotation text"/>
    <w:basedOn w:val="Normal"/>
    <w:link w:val="TextocomentarioCar"/>
    <w:uiPriority w:val="99"/>
    <w:semiHidden/>
    <w:unhideWhenUsed/>
    <w:rsid w:val="00C25EA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25EAB"/>
    <w:rPr>
      <w:sz w:val="20"/>
      <w:szCs w:val="20"/>
    </w:rPr>
  </w:style>
  <w:style w:type="character" w:styleId="Refdecomentario">
    <w:name w:val="annotation reference"/>
    <w:basedOn w:val="Fuentedeprrafopredeter"/>
    <w:uiPriority w:val="99"/>
    <w:semiHidden/>
    <w:unhideWhenUsed/>
    <w:rsid w:val="00C25EA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ret2126@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CC3CA6E-EDAD-4F69-832A-0CEC898B8D6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purl.org/dc/elements/1.1/"/>
    <ds:schemaRef ds:uri="8ae15d26-076e-464e-81a7-6f76a0fb3917"/>
    <ds:schemaRef ds:uri="1aae7ce2-01f1-44de-ad9f-ef43eb06f92c"/>
    <ds:schemaRef ds:uri="http://schemas.microsoft.com/office/2006/documentManagement/types"/>
    <ds:schemaRef ds:uri="http://www.w3.org/XML/1998/namespace"/>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13</Pages>
  <Words>4126</Words>
  <Characters>22695</Characters>
  <Application>Microsoft Office Word</Application>
  <DocSecurity>0</DocSecurity>
  <Lines>189</Lines>
  <Paragraphs>53</Paragraphs>
  <ScaleCrop>false</ScaleCrop>
  <Company/>
  <LinksUpToDate>false</LinksUpToDate>
  <CharactersWithSpaces>26768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cp:revision>
  <cp:lastPrinted>2023-01-10T21:18:00Z</cp:lastPrinted>
  <dcterms:created xsi:type="dcterms:W3CDTF">2025-12-17T19:56:00Z</dcterms:created>
  <dcterms:modified xsi:type="dcterms:W3CDTF">2025-12-18T15:44:00Z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