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6E462E" w14:textId="0381D94E" w:rsidR="00B042DF" w:rsidRPr="00B042DF" w:rsidRDefault="00B042DF" w:rsidP="00C15139">
      <w:pPr>
        <w:spacing w:after="0"/>
        <w:rPr>
          <w:rFonts w:ascii="Verdana" w:eastAsia="Calibri" w:hAnsi="Verdana" w:cs="Arial"/>
          <w:b/>
          <w:bCs/>
          <w:lang w:val="es-ES" w:eastAsia="es-ES"/>
        </w:rPr>
      </w:pPr>
      <w:bookmarkStart w:id="0" w:name="_Hlk143780582"/>
      <w:r w:rsidRPr="00B042DF">
        <w:rPr>
          <w:rFonts w:ascii="Verdana" w:eastAsia="Calibri" w:hAnsi="Verdana" w:cs="Arial"/>
          <w:b/>
          <w:bCs/>
          <w:lang w:val="es-ES" w:eastAsia="es-ES"/>
        </w:rPr>
        <w:t xml:space="preserve">CAPACIDAD JURÍDICA – Limitaciones </w:t>
      </w:r>
    </w:p>
    <w:p w14:paraId="277A4447" w14:textId="23FEC6B0" w:rsidR="00B042DF" w:rsidRDefault="00B042DF" w:rsidP="00C15139">
      <w:pPr>
        <w:spacing w:after="0"/>
        <w:rPr>
          <w:rFonts w:ascii="Verdana" w:eastAsia="Calibri" w:hAnsi="Verdana" w:cs="Arial"/>
          <w:lang w:val="es-ES" w:eastAsia="es-ES"/>
        </w:rPr>
      </w:pPr>
    </w:p>
    <w:p w14:paraId="0019180C" w14:textId="5DBC2A1F" w:rsidR="00B042DF" w:rsidRDefault="00B042DF" w:rsidP="00B042DF">
      <w:pPr>
        <w:spacing w:after="0"/>
        <w:jc w:val="both"/>
        <w:rPr>
          <w:rFonts w:ascii="Verdana" w:eastAsia="Calibri" w:hAnsi="Verdana" w:cs="Arial"/>
          <w:lang w:val="es-ES" w:eastAsia="es-ES"/>
        </w:rPr>
      </w:pPr>
      <w:r>
        <w:rPr>
          <w:rFonts w:ascii="Verdana" w:eastAsia="Calibri" w:hAnsi="Verdana" w:cs="Arial"/>
          <w:lang w:val="es-ES"/>
        </w:rPr>
        <w:t>Sobre las limitaciones a la capacidad jurídica, se destaca el régimen de inhabilidades e incompatibilidades como</w:t>
      </w:r>
      <w:r w:rsidRPr="00BE021E">
        <w:rPr>
          <w:rFonts w:ascii="Verdana" w:eastAsia="Calibri" w:hAnsi="Verdana" w:cs="Arial"/>
          <w:lang w:val="es-ES"/>
        </w:rPr>
        <w:t xml:space="preserve"> un conjunto de normas que impone restricciones para los sujetos que eventualmente pretendan participar en los procedimientos de selección o en la celebración de contratos con las entidades estatales, constituyendo “</w:t>
      </w:r>
      <w:r w:rsidRPr="00BE021E">
        <w:rPr>
          <w:rFonts w:ascii="Verdana" w:eastAsia="Calibri" w:hAnsi="Verdana" w:cs="Arial"/>
          <w:i/>
          <w:iCs/>
          <w:lang w:val="es-ES"/>
        </w:rPr>
        <w:t>prohibiciones que restringen la capacidad y la libertad de un contratista para acceder a la contratación</w:t>
      </w:r>
      <w:r w:rsidRPr="00BE021E">
        <w:rPr>
          <w:rFonts w:ascii="Verdana" w:eastAsia="Calibri" w:hAnsi="Verdana" w:cs="Arial"/>
          <w:lang w:val="es-ES"/>
        </w:rPr>
        <w:t>”</w:t>
      </w:r>
    </w:p>
    <w:p w14:paraId="6C020175" w14:textId="77777777" w:rsidR="00B042DF" w:rsidRDefault="00B042DF" w:rsidP="00C15139">
      <w:pPr>
        <w:spacing w:after="0"/>
        <w:rPr>
          <w:rFonts w:ascii="Verdana" w:eastAsia="Calibri" w:hAnsi="Verdana" w:cs="Arial"/>
          <w:lang w:val="es-ES" w:eastAsia="es-ES"/>
        </w:rPr>
      </w:pPr>
    </w:p>
    <w:p w14:paraId="322421EA" w14:textId="16A8D616" w:rsidR="00B042DF" w:rsidRDefault="00B042DF" w:rsidP="00C15139">
      <w:pPr>
        <w:spacing w:after="0"/>
        <w:rPr>
          <w:rFonts w:ascii="Verdana" w:eastAsia="Calibri" w:hAnsi="Verdana" w:cs="Arial"/>
          <w:b/>
          <w:bCs/>
          <w:lang w:val="es-ES" w:eastAsia="es-ES"/>
        </w:rPr>
      </w:pPr>
      <w:r w:rsidRPr="00B042DF">
        <w:rPr>
          <w:rFonts w:ascii="Verdana" w:eastAsia="Calibri" w:hAnsi="Verdana" w:cs="Arial"/>
          <w:b/>
          <w:bCs/>
          <w:lang w:val="es-ES" w:eastAsia="es-ES"/>
        </w:rPr>
        <w:t xml:space="preserve">RÉGIMEN DE INHABILIDADES – Carácter restrictivo </w:t>
      </w:r>
    </w:p>
    <w:p w14:paraId="6629BD8A" w14:textId="10B3D82F" w:rsidR="00B042DF" w:rsidRDefault="00B042DF" w:rsidP="00C15139">
      <w:pPr>
        <w:spacing w:after="0"/>
        <w:rPr>
          <w:rFonts w:ascii="Verdana" w:eastAsia="Calibri" w:hAnsi="Verdana" w:cs="Arial"/>
          <w:b/>
          <w:bCs/>
          <w:lang w:val="es-ES" w:eastAsia="es-ES"/>
        </w:rPr>
      </w:pPr>
    </w:p>
    <w:p w14:paraId="5E79399F" w14:textId="6BA46B97" w:rsidR="00B042DF" w:rsidRDefault="00B042DF" w:rsidP="00B042DF">
      <w:pPr>
        <w:spacing w:after="0"/>
        <w:jc w:val="both"/>
        <w:rPr>
          <w:rFonts w:ascii="Verdana" w:eastAsia="Calibri" w:hAnsi="Verdana" w:cs="Arial"/>
          <w:b/>
          <w:bCs/>
          <w:lang w:val="es-ES" w:eastAsia="es-ES"/>
        </w:rPr>
      </w:pPr>
      <w:r w:rsidRPr="00BE021E">
        <w:rPr>
          <w:rFonts w:ascii="Verdana" w:eastAsia="Calibri" w:hAnsi="Verdana" w:cs="Arial"/>
          <w:lang w:val="es-ES"/>
        </w:rPr>
        <w:t>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w:t>
      </w:r>
    </w:p>
    <w:p w14:paraId="05441D0A" w14:textId="77777777" w:rsidR="00B042DF" w:rsidRPr="00B042DF" w:rsidRDefault="00B042DF" w:rsidP="00C15139">
      <w:pPr>
        <w:spacing w:after="0"/>
        <w:rPr>
          <w:rFonts w:ascii="Verdana" w:eastAsia="Calibri" w:hAnsi="Verdana" w:cs="Arial"/>
          <w:b/>
          <w:bCs/>
          <w:lang w:val="es-ES" w:eastAsia="es-ES"/>
        </w:rPr>
      </w:pPr>
    </w:p>
    <w:p w14:paraId="0743C322" w14:textId="1DC0701A" w:rsidR="00B042DF" w:rsidRDefault="00B042DF" w:rsidP="00C15139">
      <w:pPr>
        <w:spacing w:after="0"/>
        <w:rPr>
          <w:rFonts w:ascii="Verdana" w:eastAsia="Calibri" w:hAnsi="Verdana" w:cs="Arial"/>
          <w:b/>
          <w:bCs/>
          <w:lang w:val="es-ES" w:eastAsia="es-ES"/>
        </w:rPr>
      </w:pPr>
      <w:r w:rsidRPr="00B042DF">
        <w:rPr>
          <w:rFonts w:ascii="Verdana" w:eastAsia="Calibri" w:hAnsi="Verdana" w:cs="Arial"/>
          <w:b/>
          <w:bCs/>
          <w:lang w:val="es-ES" w:eastAsia="es-ES"/>
        </w:rPr>
        <w:t>CONFLICTOS DE INTERÉS</w:t>
      </w:r>
    </w:p>
    <w:p w14:paraId="7A994CD0" w14:textId="6624D0AE" w:rsidR="00B042DF" w:rsidRDefault="00B042DF" w:rsidP="00C15139">
      <w:pPr>
        <w:spacing w:after="0"/>
        <w:rPr>
          <w:rFonts w:ascii="Verdana" w:eastAsia="Calibri" w:hAnsi="Verdana" w:cs="Arial"/>
          <w:b/>
          <w:bCs/>
          <w:lang w:val="es-ES" w:eastAsia="es-ES"/>
        </w:rPr>
      </w:pPr>
    </w:p>
    <w:p w14:paraId="492EEB95" w14:textId="764A8C4F" w:rsidR="00B042DF" w:rsidRDefault="00B042DF" w:rsidP="00B042DF">
      <w:pPr>
        <w:spacing w:after="120" w:line="276" w:lineRule="auto"/>
        <w:jc w:val="both"/>
        <w:rPr>
          <w:rFonts w:ascii="Verdana" w:eastAsia="Calibri" w:hAnsi="Verdana" w:cs="Arial"/>
          <w:color w:val="000000" w:themeColor="text1"/>
          <w:lang w:val="es-ES"/>
        </w:rPr>
      </w:pPr>
      <w:r w:rsidRPr="00896343">
        <w:rPr>
          <w:rFonts w:ascii="Verdana" w:eastAsia="Calibri" w:hAnsi="Verdana" w:cs="Arial"/>
          <w:color w:val="000000" w:themeColor="text1"/>
          <w:lang w:val="es-ES"/>
        </w:rPr>
        <w:t xml:space="preserve">En desarrollo de esta directriz, el régimen de los </w:t>
      </w:r>
      <w:r w:rsidRPr="00896343">
        <w:rPr>
          <w:rFonts w:ascii="Verdana" w:eastAsia="Calibri" w:hAnsi="Verdana" w:cs="Arial"/>
          <w:i/>
          <w:iCs/>
          <w:color w:val="000000" w:themeColor="text1"/>
          <w:lang w:val="es-ES"/>
        </w:rPr>
        <w:t>conflictos de interés</w:t>
      </w:r>
      <w:r w:rsidRPr="00896343">
        <w:rPr>
          <w:rFonts w:ascii="Verdana" w:eastAsia="Calibri" w:hAnsi="Verdana" w:cs="Arial"/>
          <w:color w:val="000000" w:themeColor="text1"/>
          <w:lang w:val="es-ES"/>
        </w:rPr>
        <w:t xml:space="preserve"> tiene como objetivo la prevalencia del bien común sobre el particular, razón por la cual se configuran cuando los servidores públicos </w:t>
      </w:r>
      <w:r>
        <w:rPr>
          <w:rFonts w:ascii="Verdana" w:eastAsia="Calibri" w:hAnsi="Verdana" w:cs="Arial"/>
          <w:color w:val="000000" w:themeColor="text1"/>
          <w:lang w:val="es-ES"/>
        </w:rPr>
        <w:t xml:space="preserve">o contratistas </w:t>
      </w:r>
      <w:r w:rsidRPr="00896343">
        <w:rPr>
          <w:rFonts w:ascii="Verdana" w:eastAsia="Calibri" w:hAnsi="Verdana" w:cs="Arial"/>
          <w:color w:val="000000" w:themeColor="text1"/>
          <w:lang w:val="es-ES"/>
        </w:rPr>
        <w:t>actúan influenciados por consideraciones personales que colisionan con el deber de preservar su independencia e imparcialidad. En este sentido, se definen como la concurrencia de intereses antagónicos que afectan la transparencia de las decisiones, al implicar –en detrimento del interés general– el aprovechamiento personal, familiar o particular.</w:t>
      </w:r>
    </w:p>
    <w:p w14:paraId="24F5983B" w14:textId="7CDDC7B4" w:rsidR="00B042DF" w:rsidRDefault="00B042DF" w:rsidP="00B042DF">
      <w:pPr>
        <w:spacing w:after="120" w:line="276" w:lineRule="auto"/>
        <w:jc w:val="both"/>
        <w:rPr>
          <w:rFonts w:ascii="Verdana" w:eastAsia="Calibri" w:hAnsi="Verdana" w:cs="Arial"/>
          <w:color w:val="000000" w:themeColor="text1"/>
          <w:lang w:val="es-ES"/>
        </w:rPr>
      </w:pPr>
    </w:p>
    <w:p w14:paraId="63432E0A" w14:textId="234A13F8" w:rsidR="00B042DF" w:rsidRDefault="00B042DF" w:rsidP="00B042DF">
      <w:pPr>
        <w:spacing w:after="120" w:line="276" w:lineRule="auto"/>
        <w:jc w:val="both"/>
        <w:rPr>
          <w:rFonts w:ascii="Verdana" w:eastAsia="Calibri" w:hAnsi="Verdana" w:cs="Arial"/>
          <w:color w:val="000000" w:themeColor="text1"/>
          <w:lang w:val="es-ES"/>
        </w:rPr>
      </w:pPr>
    </w:p>
    <w:p w14:paraId="6BECDEDE" w14:textId="77777777" w:rsidR="00B042DF" w:rsidRPr="00896343" w:rsidRDefault="00B042DF" w:rsidP="00B042DF">
      <w:pPr>
        <w:spacing w:after="120" w:line="276" w:lineRule="auto"/>
        <w:jc w:val="both"/>
        <w:rPr>
          <w:rFonts w:ascii="Verdana" w:eastAsia="Calibri" w:hAnsi="Verdana" w:cs="Arial"/>
          <w:color w:val="000000"/>
          <w:lang w:val="es-ES"/>
        </w:rPr>
      </w:pPr>
    </w:p>
    <w:p w14:paraId="2D668CA3" w14:textId="77777777" w:rsidR="00B042DF" w:rsidRPr="00B042DF" w:rsidRDefault="00B042DF" w:rsidP="00C15139">
      <w:pPr>
        <w:spacing w:after="0"/>
        <w:rPr>
          <w:rFonts w:ascii="Verdana" w:hAnsi="Verdana"/>
          <w:b/>
          <w:bCs/>
        </w:rPr>
      </w:pPr>
    </w:p>
    <w:p w14:paraId="4CCDF23D" w14:textId="77777777" w:rsidR="00B042DF" w:rsidRDefault="00B042DF" w:rsidP="00C15139">
      <w:pPr>
        <w:spacing w:after="0"/>
        <w:rPr>
          <w:rFonts w:ascii="Verdana" w:hAnsi="Verdana"/>
        </w:rPr>
      </w:pPr>
    </w:p>
    <w:p w14:paraId="1EB3474F" w14:textId="77777777" w:rsidR="00B042DF" w:rsidRDefault="00B042DF" w:rsidP="00C15139">
      <w:pPr>
        <w:spacing w:after="0"/>
        <w:rPr>
          <w:rFonts w:ascii="Verdana" w:hAnsi="Verdana"/>
        </w:rPr>
      </w:pPr>
    </w:p>
    <w:p w14:paraId="1468C46D" w14:textId="13D2F2A4" w:rsidR="00C15139" w:rsidRPr="0024624F" w:rsidRDefault="00B042DF" w:rsidP="00C15139">
      <w:pPr>
        <w:spacing w:after="0"/>
        <w:rPr>
          <w:rFonts w:ascii="Verdana" w:hAnsi="Verdana"/>
        </w:rPr>
      </w:pPr>
      <w:r>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4461A5C7" wp14:editId="4AEA83D2">
            <wp:simplePos x="0" y="0"/>
            <wp:positionH relativeFrom="column">
              <wp:posOffset>3022600</wp:posOffset>
            </wp:positionH>
            <wp:positionV relativeFrom="paragraph">
              <wp:posOffset>276860</wp:posOffset>
            </wp:positionV>
            <wp:extent cx="2527300" cy="793750"/>
            <wp:effectExtent l="0" t="0" r="635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2527300" cy="793750"/>
                    </a:xfrm>
                    <a:prstGeom prst="rect">
                      <a:avLst/>
                    </a:prstGeom>
                  </pic:spPr>
                </pic:pic>
              </a:graphicData>
            </a:graphic>
            <wp14:sizeRelH relativeFrom="page">
              <wp14:pctWidth>0</wp14:pctWidth>
            </wp14:sizeRelH>
            <wp14:sizeRelV relativeFrom="page">
              <wp14:pctHeight>0</wp14:pctHeight>
            </wp14:sizeRelV>
          </wp:anchor>
        </w:drawing>
      </w:r>
      <w:r w:rsidR="00C15139" w:rsidRPr="0024624F">
        <w:rPr>
          <w:rFonts w:ascii="Verdana" w:hAnsi="Verdana"/>
        </w:rPr>
        <w:t xml:space="preserve">Bogotá D.C., </w:t>
      </w:r>
      <w:r>
        <w:rPr>
          <w:rFonts w:ascii="Verdana" w:hAnsi="Verdana"/>
        </w:rPr>
        <w:t>30 Diciembre 2025</w:t>
      </w:r>
      <w:r w:rsidR="00C15139" w:rsidRPr="000E2B93">
        <w:rPr>
          <w:rFonts w:ascii="Verdana" w:hAnsi="Verdana"/>
        </w:rPr>
        <w:tab/>
      </w:r>
      <w:r w:rsidR="00C15139" w:rsidRPr="000E2B93">
        <w:rPr>
          <w:rFonts w:ascii="Verdana" w:hAnsi="Verdana"/>
        </w:rPr>
        <w:br/>
      </w:r>
      <w:r w:rsidR="00C15139" w:rsidRPr="0024624F">
        <w:rPr>
          <w:rFonts w:ascii="Verdana" w:hAnsi="Verdana"/>
        </w:rPr>
        <w:tab/>
      </w:r>
    </w:p>
    <w:p w14:paraId="5FD7045B" w14:textId="247F0B4B" w:rsidR="00A85D55" w:rsidRDefault="00A85D55" w:rsidP="00A85D55">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56CEFB63" w14:textId="77777777" w:rsidR="00A85D55" w:rsidRPr="001752A3" w:rsidRDefault="00A85D55" w:rsidP="00A85D55">
      <w:pPr>
        <w:spacing w:after="0" w:line="240" w:lineRule="auto"/>
        <w:jc w:val="both"/>
        <w:rPr>
          <w:rFonts w:ascii="Verdana" w:eastAsia="Calibri" w:hAnsi="Verdana" w:cs="Arial"/>
          <w:b/>
          <w:bCs/>
          <w:lang w:val="es-ES" w:eastAsia="es-ES"/>
        </w:rPr>
      </w:pPr>
      <w:r w:rsidRPr="001752A3">
        <w:rPr>
          <w:rFonts w:ascii="Verdana" w:eastAsia="Calibri" w:hAnsi="Verdana" w:cs="Arial"/>
          <w:b/>
          <w:bCs/>
          <w:lang w:val="es-ES" w:eastAsia="es-ES"/>
        </w:rPr>
        <w:t>Yulieth Johana Mendez Ramirez</w:t>
      </w:r>
    </w:p>
    <w:p w14:paraId="5D8EE71F" w14:textId="77777777" w:rsidR="00A85D55" w:rsidRDefault="00F0711F" w:rsidP="00A85D55">
      <w:pPr>
        <w:spacing w:after="0" w:line="240" w:lineRule="auto"/>
        <w:rPr>
          <w:rFonts w:ascii="ArialMT" w:hAnsi="ArialMT" w:cs="ArialMT"/>
        </w:rPr>
      </w:pPr>
      <w:hyperlink r:id="rId12" w:history="1">
        <w:r w:rsidR="00A85D55" w:rsidRPr="00245D6C">
          <w:rPr>
            <w:rStyle w:val="Hipervnculo"/>
            <w:rFonts w:ascii="ArialMT" w:hAnsi="ArialMT" w:cs="ArialMT"/>
          </w:rPr>
          <w:t>julimen26@gmail.com</w:t>
        </w:r>
      </w:hyperlink>
    </w:p>
    <w:p w14:paraId="4E456827" w14:textId="77777777" w:rsidR="00A85D55" w:rsidRPr="00DF029D" w:rsidRDefault="00A85D55" w:rsidP="00A85D55">
      <w:pPr>
        <w:spacing w:after="0" w:line="240" w:lineRule="auto"/>
        <w:rPr>
          <w:rFonts w:ascii="Verdana" w:eastAsia="Calibri" w:hAnsi="Verdana" w:cs="Arial"/>
          <w:lang w:val="es-ES" w:eastAsia="es-ES"/>
        </w:rPr>
      </w:pPr>
      <w:r w:rsidRPr="00DF029D">
        <w:rPr>
          <w:rFonts w:ascii="Verdana" w:eastAsia="Calibri" w:hAnsi="Verdana" w:cs="Arial"/>
          <w:lang w:val="es-ES" w:eastAsia="es-ES"/>
        </w:rPr>
        <w:t>El Espino, Boyacá</w:t>
      </w:r>
    </w:p>
    <w:p w14:paraId="57B97C7A" w14:textId="77777777" w:rsidR="00A85D55" w:rsidRPr="00593A5F" w:rsidRDefault="00A85D55" w:rsidP="00A85D55">
      <w:pPr>
        <w:spacing w:after="0" w:line="240" w:lineRule="auto"/>
        <w:rPr>
          <w:rFonts w:ascii="Verdana" w:eastAsia="Calibri" w:hAnsi="Verdana" w:cs="Arial"/>
          <w:b/>
          <w:bCs/>
          <w:color w:val="000000"/>
          <w:lang w:val="es-ES_tradnl" w:eastAsia="es-ES_tradnl"/>
        </w:rPr>
      </w:pPr>
    </w:p>
    <w:p w14:paraId="01E94C22" w14:textId="77777777" w:rsidR="00A85D55" w:rsidRPr="00593A5F" w:rsidRDefault="00A85D55" w:rsidP="00A85D5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85D55" w:rsidRPr="00593A5F" w14:paraId="2AD39283" w14:textId="77777777" w:rsidTr="001F3D02">
        <w:trPr>
          <w:trHeight w:val="884"/>
        </w:trPr>
        <w:tc>
          <w:tcPr>
            <w:tcW w:w="2689" w:type="dxa"/>
          </w:tcPr>
          <w:p w14:paraId="6E1A78D5" w14:textId="77777777" w:rsidR="00A85D55" w:rsidRPr="00C00976" w:rsidRDefault="00A85D55" w:rsidP="001F3D02">
            <w:pPr>
              <w:jc w:val="both"/>
              <w:rPr>
                <w:rFonts w:ascii="Verdana" w:eastAsia="Calibri" w:hAnsi="Verdana" w:cs="Arial"/>
                <w:b/>
                <w:bCs/>
                <w:color w:val="7030A0"/>
                <w:lang w:val="es-ES_tradnl" w:eastAsia="es-ES_tradnl"/>
              </w:rPr>
            </w:pPr>
          </w:p>
        </w:tc>
        <w:tc>
          <w:tcPr>
            <w:tcW w:w="6100" w:type="dxa"/>
          </w:tcPr>
          <w:p w14:paraId="089A8456" w14:textId="77777777" w:rsidR="00A85D55" w:rsidRPr="00C00976" w:rsidRDefault="00A85D55" w:rsidP="001F3D02">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1753</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w:t>
            </w:r>
            <w:r w:rsidRPr="006B3E7F">
              <w:rPr>
                <w:rFonts w:ascii="Verdana" w:eastAsia="Calibri" w:hAnsi="Verdana" w:cs="Arial"/>
                <w:b/>
                <w:bCs/>
                <w:lang w:val="es-ES" w:eastAsia="es-ES"/>
              </w:rPr>
              <w:t>e 2025</w:t>
            </w:r>
          </w:p>
        </w:tc>
      </w:tr>
      <w:tr w:rsidR="00A85D55" w:rsidRPr="00593A5F" w14:paraId="5830154A" w14:textId="77777777" w:rsidTr="001F3D02">
        <w:trPr>
          <w:trHeight w:val="884"/>
        </w:trPr>
        <w:tc>
          <w:tcPr>
            <w:tcW w:w="2689" w:type="dxa"/>
          </w:tcPr>
          <w:p w14:paraId="11A87912" w14:textId="77777777" w:rsidR="00A85D55" w:rsidRPr="00593A5F" w:rsidRDefault="00A85D55" w:rsidP="001F3D0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73953FA" w14:textId="77777777" w:rsidR="00A85D55" w:rsidRPr="000654E8" w:rsidRDefault="00A85D55" w:rsidP="001F3D02">
            <w:pPr>
              <w:spacing w:line="276" w:lineRule="auto"/>
              <w:jc w:val="both"/>
              <w:rPr>
                <w:rFonts w:ascii="Verdana" w:eastAsia="Calibri" w:hAnsi="Verdana" w:cs="Arial"/>
                <w:lang w:val="es-ES" w:eastAsia="es-ES"/>
              </w:rPr>
            </w:pPr>
            <w:r w:rsidRPr="000654E8">
              <w:rPr>
                <w:rFonts w:ascii="Verdana" w:eastAsia="Calibri" w:hAnsi="Verdana" w:cs="Arial"/>
                <w:lang w:val="es-ES" w:eastAsia="es-ES"/>
              </w:rPr>
              <w:t xml:space="preserve">CAPACIDAD JURÍDICA – Limitaciones / RÉGIMEN DE INHABILIDADES – Carácter restrictivo / CONFLICTOS DE INTERÉS    </w:t>
            </w:r>
          </w:p>
          <w:p w14:paraId="3D574648" w14:textId="77777777" w:rsidR="00A85D55" w:rsidRPr="00DF029D" w:rsidRDefault="00A85D55" w:rsidP="001F3D02">
            <w:pPr>
              <w:spacing w:line="276" w:lineRule="auto"/>
              <w:jc w:val="both"/>
              <w:rPr>
                <w:rFonts w:ascii="Verdana" w:eastAsia="Calibri" w:hAnsi="Verdana" w:cs="Arial"/>
                <w:highlight w:val="yellow"/>
                <w:lang w:val="es-ES" w:eastAsia="es-ES"/>
              </w:rPr>
            </w:pPr>
          </w:p>
        </w:tc>
      </w:tr>
      <w:tr w:rsidR="00A85D55" w:rsidRPr="00593A5F" w14:paraId="77779680" w14:textId="77777777" w:rsidTr="001F3D02">
        <w:tc>
          <w:tcPr>
            <w:tcW w:w="2689" w:type="dxa"/>
          </w:tcPr>
          <w:p w14:paraId="47ADAF9E" w14:textId="77777777" w:rsidR="00A85D55" w:rsidRPr="00461CD3" w:rsidRDefault="00A85D55" w:rsidP="001F3D02">
            <w:pPr>
              <w:jc w:val="both"/>
              <w:rPr>
                <w:rFonts w:ascii="Verdana" w:eastAsia="Calibri" w:hAnsi="Verdana" w:cs="Arial"/>
                <w:b/>
                <w:lang w:val="es-ES_tradnl" w:eastAsia="es-ES_tradnl"/>
              </w:rPr>
            </w:pPr>
            <w:r w:rsidRPr="00461CD3">
              <w:rPr>
                <w:rFonts w:ascii="Verdana" w:eastAsia="Calibri" w:hAnsi="Verdana" w:cs="Arial"/>
                <w:b/>
                <w:lang w:val="es-ES_tradnl" w:eastAsia="es-ES_tradnl"/>
              </w:rPr>
              <w:t>Radicación:</w:t>
            </w:r>
            <w:r w:rsidRPr="00461CD3">
              <w:rPr>
                <w:rFonts w:ascii="Verdana" w:eastAsia="Calibri" w:hAnsi="Verdana" w:cs="Arial"/>
                <w:lang w:val="es-ES_tradnl" w:eastAsia="es-ES_tradnl"/>
              </w:rPr>
              <w:t xml:space="preserve">               </w:t>
            </w:r>
          </w:p>
        </w:tc>
        <w:tc>
          <w:tcPr>
            <w:tcW w:w="6100" w:type="dxa"/>
          </w:tcPr>
          <w:p w14:paraId="6D372447" w14:textId="77777777" w:rsidR="00A85D55" w:rsidRPr="00461CD3" w:rsidRDefault="00A85D55" w:rsidP="001F3D02">
            <w:pPr>
              <w:jc w:val="both"/>
              <w:rPr>
                <w:rFonts w:ascii="Verdana" w:eastAsia="Calibri" w:hAnsi="Verdana" w:cs="Arial"/>
                <w:lang w:val="es-ES_tradnl" w:eastAsia="es-ES_tradnl"/>
              </w:rPr>
            </w:pPr>
            <w:r w:rsidRPr="00461CD3">
              <w:rPr>
                <w:rFonts w:ascii="Verdana" w:eastAsia="Calibri" w:hAnsi="Verdana" w:cs="Arial"/>
                <w:lang w:val="es-ES_tradnl" w:eastAsia="es-ES_tradnl"/>
              </w:rPr>
              <w:t xml:space="preserve">Respuesta a consulta con radicado No. </w:t>
            </w:r>
            <w:r w:rsidRPr="00DF029D">
              <w:rPr>
                <w:rFonts w:ascii="Verdana" w:eastAsia="Calibri" w:hAnsi="Verdana" w:cs="Arial"/>
                <w:lang w:val="es-ES_tradnl" w:eastAsia="es-ES_tradnl"/>
              </w:rPr>
              <w:t>1_2025_11_25_013318</w:t>
            </w:r>
          </w:p>
        </w:tc>
      </w:tr>
    </w:tbl>
    <w:p w14:paraId="41D59D1E" w14:textId="77777777" w:rsidR="00A85D55" w:rsidRPr="00593A5F" w:rsidRDefault="00A85D55" w:rsidP="00A85D55">
      <w:pPr>
        <w:spacing w:after="0" w:line="240" w:lineRule="auto"/>
        <w:jc w:val="both"/>
        <w:rPr>
          <w:rFonts w:ascii="Verdana" w:eastAsia="Calibri" w:hAnsi="Verdana" w:cs="Arial"/>
          <w:color w:val="000000"/>
          <w:lang w:val="es-ES_tradnl" w:eastAsia="es-ES_tradnl"/>
        </w:rPr>
      </w:pPr>
    </w:p>
    <w:p w14:paraId="3AF9620A" w14:textId="77777777" w:rsidR="00A85D55" w:rsidRPr="00593A5F" w:rsidRDefault="00A85D55" w:rsidP="00A85D55">
      <w:pPr>
        <w:spacing w:after="0" w:line="240" w:lineRule="auto"/>
        <w:jc w:val="both"/>
        <w:rPr>
          <w:rFonts w:ascii="Verdana" w:eastAsia="Calibri" w:hAnsi="Verdana" w:cs="Arial"/>
          <w:color w:val="000000"/>
          <w:lang w:val="es-ES_tradnl" w:eastAsia="es-ES_tradnl"/>
        </w:rPr>
      </w:pPr>
    </w:p>
    <w:p w14:paraId="0C32E0D1" w14:textId="77777777" w:rsidR="00A85D55" w:rsidRDefault="00A85D55" w:rsidP="00A85D55">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593A5F">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Mendez</w:t>
      </w:r>
      <w:r>
        <w:rPr>
          <w:rFonts w:ascii="Verdana" w:eastAsia="Calibri" w:hAnsi="Verdana" w:cs="Arial"/>
          <w:color w:val="7030A0"/>
          <w:lang w:val="es-ES" w:eastAsia="es-ES"/>
        </w:rPr>
        <w:t>:</w:t>
      </w:r>
      <w:r w:rsidRPr="00593A5F">
        <w:rPr>
          <w:rFonts w:ascii="Verdana" w:eastAsia="Calibri" w:hAnsi="Verdana" w:cs="Arial"/>
          <w:color w:val="000000" w:themeColor="text1"/>
          <w:lang w:val="es-ES" w:eastAsia="es-ES"/>
        </w:rPr>
        <w:t xml:space="preserve"> </w:t>
      </w:r>
    </w:p>
    <w:p w14:paraId="16E77AD5" w14:textId="77777777" w:rsidR="00A85D55" w:rsidRDefault="00A85D55" w:rsidP="00A85D5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9600D1A" w14:textId="77777777" w:rsidR="00A85D55" w:rsidRPr="00593A5F" w:rsidRDefault="00A85D55" w:rsidP="00A85D5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w:t>
      </w:r>
      <w:r w:rsidRPr="006B3E7F">
        <w:rPr>
          <w:rFonts w:ascii="Verdana" w:eastAsia="Calibri" w:hAnsi="Verdana" w:cs="Arial"/>
          <w:lang w:val="es-ES" w:eastAsia="es-ES"/>
        </w:rPr>
        <w:t>Pública – Colombia Compra Eficiente– responde su solicitud</w:t>
      </w:r>
      <w:r>
        <w:rPr>
          <w:rFonts w:ascii="Verdana" w:eastAsia="Calibri" w:hAnsi="Verdana" w:cs="Arial"/>
          <w:lang w:val="es-ES" w:eastAsia="es-ES"/>
        </w:rPr>
        <w:t xml:space="preserve"> trasladada por el Departamento Administrativo de la Función Pública el</w:t>
      </w:r>
      <w:r w:rsidRPr="006B3E7F">
        <w:rPr>
          <w:rFonts w:ascii="Verdana" w:eastAsia="Calibri" w:hAnsi="Verdana" w:cs="Arial"/>
          <w:lang w:val="es-ES" w:eastAsia="es-ES"/>
        </w:rPr>
        <w:t xml:space="preserve"> 25 de </w:t>
      </w:r>
      <w:r>
        <w:rPr>
          <w:rFonts w:ascii="Verdana" w:eastAsia="Calibri" w:hAnsi="Verdana" w:cs="Arial"/>
          <w:lang w:val="es-ES" w:eastAsia="es-ES"/>
        </w:rPr>
        <w:t>noviembre</w:t>
      </w:r>
      <w:r w:rsidRPr="006B3E7F">
        <w:rPr>
          <w:rFonts w:ascii="Verdana" w:eastAsia="Calibri" w:hAnsi="Verdana" w:cs="Arial"/>
          <w:lang w:val="es-ES" w:eastAsia="es-ES"/>
        </w:rPr>
        <w:t xml:space="preserve"> de 2025, en la cual manifiesta lo siguiente: </w:t>
      </w:r>
    </w:p>
    <w:p w14:paraId="04E3827A" w14:textId="77777777" w:rsidR="00A85D55" w:rsidRPr="00272A7B" w:rsidRDefault="00A85D55" w:rsidP="00A85D55">
      <w:pPr>
        <w:pStyle w:val="Prrafodelista"/>
        <w:tabs>
          <w:tab w:val="left" w:pos="142"/>
          <w:tab w:val="left" w:pos="284"/>
        </w:tabs>
        <w:spacing w:line="276" w:lineRule="auto"/>
        <w:ind w:left="0"/>
        <w:jc w:val="both"/>
        <w:rPr>
          <w:rFonts w:ascii="Verdana" w:eastAsia="Century Gothic" w:hAnsi="Verdana" w:cs="Century Gothic"/>
          <w:b/>
          <w:bCs/>
        </w:rPr>
      </w:pPr>
    </w:p>
    <w:p w14:paraId="2711489B"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6B3E7F">
        <w:rPr>
          <w:rFonts w:ascii="Verdana" w:eastAsia="Century Gothic" w:hAnsi="Verdana" w:cs="Century Gothic"/>
          <w:sz w:val="20"/>
          <w:szCs w:val="20"/>
        </w:rPr>
        <w:t>“</w:t>
      </w:r>
      <w:r w:rsidRPr="001752A3">
        <w:rPr>
          <w:rFonts w:ascii="Verdana" w:eastAsia="Century Gothic" w:hAnsi="Verdana" w:cs="Century Gothic"/>
          <w:sz w:val="20"/>
          <w:szCs w:val="20"/>
        </w:rPr>
        <w:t>Situación objeto de consulta</w:t>
      </w:r>
    </w:p>
    <w:p w14:paraId="5D1B2452"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t>El contratista mencionado, además de desempeñar dicho contrato de prestación de servicios</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profesionales con el Municipio de El Espino, se encuentra registrado como:</w:t>
      </w:r>
    </w:p>
    <w:p w14:paraId="754D3899" w14:textId="77777777" w:rsidR="00A85D55"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t>Subgerente y representante legal suplente de la empresa K MURO INGENIERÍA LOGÍSTICA Y</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CONSTRUCCIONES S.A.S., identificada con NIT 901.949.576-2.</w:t>
      </w:r>
    </w:p>
    <w:p w14:paraId="2E814B7B"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p>
    <w:p w14:paraId="313977F0" w14:textId="77777777" w:rsidR="00A85D55"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t>Dicha sociedad ha suscrito varios contratos con el Municipio de El Espino, respecto de los cuales existen</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actas de aceptación y ejecución vigentes.</w:t>
      </w:r>
    </w:p>
    <w:p w14:paraId="04BB0C41"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p>
    <w:p w14:paraId="16D1D9D4"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t>3. Consulta jurídica puntual</w:t>
      </w:r>
    </w:p>
    <w:p w14:paraId="0B9E670C"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lastRenderedPageBreak/>
        <w:t>Teniendo en cuenta esta doble condición, se solicita muy respetuosamente al Departamento</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Administrativo de la Función Pública emitir concepto jurídico sobre:</w:t>
      </w:r>
    </w:p>
    <w:p w14:paraId="56E3E058"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t>Si el ejercicio de un contrato de prestación de servicios de apoyo a la gestión, en especial en áreas</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relacionadas con la planeación, formulación, supervisión, interventoría o procesos contractuales del</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Municipio, resulta incompatible con la calidad de representante legal suplente o directivo de una empresa</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que, simultáneamente, es contratista del mismo Municipio.</w:t>
      </w:r>
    </w:p>
    <w:p w14:paraId="7F227784"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t>Si dicha situación podría configurar inhabilidad, incompatibilidad, conflicto de intereses o violación del</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principio de imparcialidad y moralidad administrativa, conforme a lo dispuesto en la Constitución</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Política, la Ley 80 de 1993, Ley 1474 de 2011, Ley 734 de 2002, Ley 1551 de 2012, Ley 1952 de 2019,Decreto 1083 de 2015 y demás normas concordantes.</w:t>
      </w:r>
    </w:p>
    <w:p w14:paraId="68500434" w14:textId="77777777" w:rsidR="00A85D55" w:rsidRPr="001752A3"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t>Si es jurídicamente viable que esta persona continúe ejerciendo ambas calidades (contratista de apoyo a</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la administración y representante legal suplente de una empresa contratista del municipio), o si se debe</w:t>
      </w:r>
      <w:r>
        <w:rPr>
          <w:rFonts w:ascii="Verdana" w:eastAsia="Century Gothic" w:hAnsi="Verdana" w:cs="Century Gothic"/>
          <w:sz w:val="20"/>
          <w:szCs w:val="20"/>
        </w:rPr>
        <w:t xml:space="preserve"> </w:t>
      </w:r>
      <w:r w:rsidRPr="001752A3">
        <w:rPr>
          <w:rFonts w:ascii="Verdana" w:eastAsia="Century Gothic" w:hAnsi="Verdana" w:cs="Century Gothic"/>
          <w:sz w:val="20"/>
          <w:szCs w:val="20"/>
        </w:rPr>
        <w:t>adoptar alguna medida administrativa para prevenir posibles responsabilidades disciplinarias, fiscales o</w:t>
      </w:r>
    </w:p>
    <w:p w14:paraId="60BE2577" w14:textId="77777777" w:rsidR="00A85D55" w:rsidRDefault="00A85D55" w:rsidP="00A85D55">
      <w:pPr>
        <w:pStyle w:val="Prrafodelista"/>
        <w:tabs>
          <w:tab w:val="left" w:pos="142"/>
          <w:tab w:val="left" w:pos="284"/>
        </w:tabs>
        <w:spacing w:line="276" w:lineRule="auto"/>
        <w:jc w:val="both"/>
        <w:rPr>
          <w:rFonts w:ascii="Verdana" w:eastAsia="Century Gothic" w:hAnsi="Verdana" w:cs="Century Gothic"/>
          <w:sz w:val="20"/>
          <w:szCs w:val="20"/>
        </w:rPr>
      </w:pPr>
      <w:r w:rsidRPr="001752A3">
        <w:rPr>
          <w:rFonts w:ascii="Verdana" w:eastAsia="Century Gothic" w:hAnsi="Verdana" w:cs="Century Gothic"/>
          <w:sz w:val="20"/>
          <w:szCs w:val="20"/>
        </w:rPr>
        <w:t>contractuales.</w:t>
      </w:r>
      <w:r>
        <w:rPr>
          <w:rFonts w:ascii="Verdana" w:eastAsia="Century Gothic" w:hAnsi="Verdana" w:cs="Century Gothic"/>
          <w:sz w:val="20"/>
          <w:szCs w:val="20"/>
        </w:rPr>
        <w:t>”</w:t>
      </w:r>
    </w:p>
    <w:p w14:paraId="79B0399E" w14:textId="77777777" w:rsidR="00A85D55" w:rsidRPr="001752A3" w:rsidRDefault="00A85D55" w:rsidP="00A85D55">
      <w:pPr>
        <w:tabs>
          <w:tab w:val="left" w:pos="142"/>
          <w:tab w:val="left" w:pos="284"/>
        </w:tabs>
        <w:spacing w:line="276" w:lineRule="auto"/>
        <w:jc w:val="both"/>
        <w:rPr>
          <w:rFonts w:ascii="Verdana" w:eastAsia="Calibri" w:hAnsi="Verdana" w:cs="Arial"/>
          <w:color w:val="000000"/>
          <w:szCs w:val="24"/>
          <w:lang w:val="es-ES_tradnl" w:eastAsia="es-ES_tradnl"/>
        </w:rPr>
      </w:pPr>
      <w:r>
        <w:rPr>
          <w:rFonts w:ascii="Verdana" w:eastAsia="Calibri" w:hAnsi="Verdana" w:cs="Arial"/>
          <w:color w:val="000000"/>
          <w:lang w:eastAsia="es-ES"/>
        </w:rPr>
        <w:tab/>
      </w:r>
      <w:r>
        <w:rPr>
          <w:rFonts w:ascii="Verdana" w:eastAsia="Calibri" w:hAnsi="Verdana" w:cs="Arial"/>
          <w:color w:val="000000"/>
          <w:lang w:eastAsia="es-ES"/>
        </w:rPr>
        <w:tab/>
      </w:r>
      <w:r>
        <w:rPr>
          <w:rFonts w:ascii="Verdana" w:eastAsia="Calibri" w:hAnsi="Verdana" w:cs="Arial"/>
          <w:color w:val="000000"/>
          <w:lang w:eastAsia="es-ES"/>
        </w:rPr>
        <w:tab/>
      </w:r>
      <w:r w:rsidRPr="001752A3">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752A3">
        <w:rPr>
          <w:rFonts w:ascii="Verdana" w:eastAsia="Calibri" w:hAnsi="Verdana" w:cs="Arial"/>
          <w:color w:val="000000"/>
          <w:szCs w:val="24"/>
          <w:lang w:val="es-ES_tradnl" w:eastAsia="es-ES_tradnl"/>
        </w:rPr>
        <w:tab/>
      </w:r>
    </w:p>
    <w:p w14:paraId="789F581C" w14:textId="77777777" w:rsidR="00A85D55" w:rsidRDefault="00A85D55" w:rsidP="00A85D5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53CDE5FB" w14:textId="77777777" w:rsidR="00A85D55" w:rsidRPr="00593A5F" w:rsidRDefault="00A85D55" w:rsidP="00A85D55">
      <w:pPr>
        <w:spacing w:after="0" w:line="276" w:lineRule="auto"/>
        <w:ind w:firstLine="709"/>
        <w:jc w:val="both"/>
        <w:rPr>
          <w:rFonts w:ascii="Verdana" w:eastAsia="Calibri" w:hAnsi="Verdana" w:cs="Arial"/>
          <w:color w:val="000000"/>
          <w:lang w:val="es-ES" w:eastAsia="es-ES"/>
        </w:rPr>
      </w:pPr>
    </w:p>
    <w:p w14:paraId="1CFCB703" w14:textId="77777777" w:rsidR="00A85D55" w:rsidRPr="00593A5F" w:rsidRDefault="00A85D55" w:rsidP="00A85D5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605A5FD" w14:textId="77777777" w:rsidR="00A85D55" w:rsidRPr="00593A5F" w:rsidRDefault="00A85D55" w:rsidP="00A85D55">
      <w:pPr>
        <w:tabs>
          <w:tab w:val="left" w:pos="426"/>
        </w:tabs>
        <w:spacing w:after="0" w:line="276" w:lineRule="auto"/>
        <w:jc w:val="both"/>
        <w:rPr>
          <w:rFonts w:ascii="Verdana" w:eastAsia="Century Gothic" w:hAnsi="Verdana" w:cs="Century Gothic"/>
          <w:lang w:val="es-ES"/>
        </w:rPr>
      </w:pPr>
    </w:p>
    <w:p w14:paraId="41BDA1B8" w14:textId="77777777" w:rsidR="00A85D55" w:rsidRPr="00593A5F" w:rsidRDefault="00A85D55" w:rsidP="00A85D55">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siguiente problema jurídico</w:t>
      </w:r>
      <w:r w:rsidRPr="002A7FB2">
        <w:rPr>
          <w:rFonts w:ascii="Verdana" w:eastAsia="Century Gothic" w:hAnsi="Verdana" w:cs="Century Gothic"/>
        </w:rPr>
        <w:t>: ¿existe alguna limitación en la capacidad jurídica de una persona natural p</w:t>
      </w:r>
      <w:r>
        <w:rPr>
          <w:rFonts w:ascii="Verdana" w:eastAsia="Century Gothic" w:hAnsi="Verdana" w:cs="Century Gothic"/>
        </w:rPr>
        <w:t>ara celebrar contratos de prestación de servicios con una entidad estatal y ser representante legal de una persona jurídica que también es contratista de la misma entidad estatal</w:t>
      </w:r>
      <w:r w:rsidRPr="002A7FB2">
        <w:rPr>
          <w:rFonts w:ascii="Verdana" w:eastAsia="Century Gothic" w:hAnsi="Verdana" w:cs="Century Gothic"/>
        </w:rPr>
        <w:t>?</w:t>
      </w:r>
    </w:p>
    <w:p w14:paraId="22F1DC46" w14:textId="77777777" w:rsidR="00A85D55" w:rsidRPr="00593A5F" w:rsidRDefault="00A85D55" w:rsidP="00A85D55">
      <w:pPr>
        <w:spacing w:after="0" w:line="276" w:lineRule="auto"/>
        <w:jc w:val="both"/>
        <w:rPr>
          <w:rFonts w:ascii="Verdana" w:eastAsia="Calibri" w:hAnsi="Verdana" w:cs="Arial"/>
          <w:color w:val="7030A0"/>
          <w:lang w:val="es-ES"/>
        </w:rPr>
      </w:pPr>
    </w:p>
    <w:p w14:paraId="339C2765" w14:textId="77777777" w:rsidR="00A85D55" w:rsidRPr="00593A5F" w:rsidRDefault="00A85D55" w:rsidP="00A85D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8A02FDA" w14:textId="77777777" w:rsidR="00A85D55" w:rsidRPr="00593A5F" w:rsidRDefault="00A85D55" w:rsidP="00A85D5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85D55" w:rsidRPr="00593A5F" w14:paraId="2C3C5B0F" w14:textId="77777777" w:rsidTr="001F3D02">
        <w:tc>
          <w:tcPr>
            <w:tcW w:w="8828" w:type="dxa"/>
            <w:shd w:val="clear" w:color="auto" w:fill="auto"/>
          </w:tcPr>
          <w:p w14:paraId="04586FBA" w14:textId="77777777" w:rsidR="00A85D55" w:rsidRDefault="00A85D55" w:rsidP="00D00359">
            <w:pPr>
              <w:spacing w:after="120" w:line="276" w:lineRule="auto"/>
              <w:jc w:val="both"/>
              <w:rPr>
                <w:rFonts w:ascii="Verdana" w:eastAsia="Calibri" w:hAnsi="Verdana" w:cs="Arial"/>
                <w:color w:val="000000" w:themeColor="text1"/>
                <w:lang w:val="es-ES"/>
              </w:rPr>
            </w:pPr>
            <w:r w:rsidRPr="596E802C">
              <w:rPr>
                <w:rFonts w:ascii="Verdana" w:eastAsia="Calibri" w:hAnsi="Verdana" w:cs="Arial"/>
                <w:color w:val="000000" w:themeColor="text1"/>
                <w:lang w:val="es-ES"/>
              </w:rPr>
              <w:t>Para efectos de las relaciones contractuales en las que uno de los extremos de la relación sea una entidad estatal, la capacidad jurídica es la facultad que tiene una persona natural o jurídica para celebrar contratos con una entidad estatal. En otras palabras, es: i) la capacidad de obligarse a cumplir el objeto del contrato y ii) de no estar incursa en inhabilidades o incompatibilidades que impidan la celebración del negocio. Para efectos de la aplicación del Estatuto General de la Contratación de la Administración Pública, la capacidad para contratar la tienen las personas consideradas legalmente capaces en las disposiciones vigentes. Las personas naturales que tienen capacidad jurídica para contratar son los mayores de edad, a menos que por disposición expresa se encuentren limitados por decisión judicial, como la interdicción judicial, y que no estén incursas en inhabilidades, incompatibilidades o prohibiciones para contratar derivadas de la ley.</w:t>
            </w:r>
          </w:p>
          <w:p w14:paraId="22AB510C" w14:textId="0DFDB007" w:rsidR="00A85D55" w:rsidRPr="00D00359" w:rsidRDefault="00A85D55" w:rsidP="6303DB19">
            <w:pPr>
              <w:spacing w:after="120" w:line="276" w:lineRule="auto"/>
              <w:ind w:firstLine="709"/>
              <w:jc w:val="both"/>
              <w:rPr>
                <w:rFonts w:ascii="Verdana" w:eastAsia="Calibri" w:hAnsi="Verdana" w:cs="Arial"/>
                <w:color w:val="000000" w:themeColor="text1"/>
                <w:lang w:val="es-ES"/>
              </w:rPr>
            </w:pPr>
            <w:r w:rsidRPr="6303DB19">
              <w:rPr>
                <w:rFonts w:ascii="Verdana" w:eastAsia="Calibri" w:hAnsi="Verdana" w:cs="Arial"/>
                <w:lang w:val="es-ES"/>
              </w:rPr>
              <w:t>Ahora bien, para el problema jurídico expuesto en esta consulta, tenemos que la doble calidad de la persona natural como contratista y representante legal suplente de una sociedad comercial</w:t>
            </w:r>
            <w:r w:rsidRPr="6303DB19">
              <w:rPr>
                <w:rFonts w:ascii="Verdana" w:hAnsi="Verdana"/>
                <w:color w:val="000000" w:themeColor="text1"/>
              </w:rPr>
              <w:t xml:space="preserve"> que es contratista del estado no comportan una inhabilidad o incompatibilidad</w:t>
            </w:r>
            <w:r w:rsidRPr="6303DB19">
              <w:rPr>
                <w:rFonts w:ascii="Verdana" w:eastAsia="Calibri" w:hAnsi="Verdana" w:cs="Arial"/>
                <w:lang w:val="es-ES"/>
              </w:rPr>
              <w:t xml:space="preserve"> de las dispuestas en el artículo 8 de la Ley 80 de 1993.</w:t>
            </w:r>
            <w:r w:rsidR="1FEBFA54" w:rsidRPr="6303DB19">
              <w:rPr>
                <w:rFonts w:ascii="Verdana" w:eastAsia="Calibri" w:hAnsi="Verdana" w:cs="Arial"/>
                <w:lang w:val="es-ES"/>
              </w:rPr>
              <w:t xml:space="preserve"> </w:t>
            </w:r>
          </w:p>
          <w:p w14:paraId="035F07C4" w14:textId="2C4FCC74" w:rsidR="00A85D55" w:rsidRPr="00D00359" w:rsidRDefault="00A85D55" w:rsidP="00D00359">
            <w:pPr>
              <w:spacing w:after="120" w:line="276" w:lineRule="auto"/>
              <w:ind w:firstLine="709"/>
              <w:jc w:val="both"/>
              <w:rPr>
                <w:rFonts w:ascii="Verdana" w:eastAsia="Calibri" w:hAnsi="Verdana" w:cs="Arial"/>
                <w:color w:val="000000"/>
                <w:lang w:val="es-ES"/>
              </w:rPr>
            </w:pPr>
            <w:r w:rsidRPr="6303DB19">
              <w:rPr>
                <w:rFonts w:ascii="Verdana" w:eastAsia="Calibri" w:hAnsi="Verdana" w:cs="Arial"/>
                <w:lang w:val="es-ES"/>
              </w:rPr>
              <w:t xml:space="preserve">No obstante lo anterior, otras limitaciones a la capacidad de las personas naturales pueden provenir de los conflictos de interés. </w:t>
            </w:r>
            <w:r w:rsidRPr="6303DB19">
              <w:rPr>
                <w:rFonts w:ascii="Verdana" w:eastAsia="Calibri" w:hAnsi="Verdana" w:cs="Arial"/>
                <w:color w:val="000000" w:themeColor="text1"/>
                <w:lang w:val="es-ES"/>
              </w:rPr>
              <w:t xml:space="preserve">Al respecto, debe señalarse que, 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w:t>
            </w:r>
          </w:p>
          <w:p w14:paraId="6FB9AEAF" w14:textId="77777777" w:rsidR="00A85D55" w:rsidRDefault="00A85D55" w:rsidP="001F3D02">
            <w:pPr>
              <w:spacing w:after="120" w:line="276" w:lineRule="auto"/>
              <w:ind w:firstLine="708"/>
              <w:jc w:val="both"/>
              <w:rPr>
                <w:rFonts w:ascii="Verdana" w:eastAsia="Calibri" w:hAnsi="Verdana" w:cs="Arial"/>
                <w:color w:val="000000"/>
                <w:lang w:val="es-ES"/>
              </w:rPr>
            </w:pPr>
            <w:r>
              <w:rPr>
                <w:rFonts w:ascii="Verdana" w:eastAsia="Calibri" w:hAnsi="Verdana" w:cs="Arial"/>
                <w:lang w:val="es-ES_tradnl"/>
              </w:rPr>
              <w:lastRenderedPageBreak/>
              <w:t>Aunque l</w:t>
            </w:r>
            <w:r w:rsidRPr="00896343">
              <w:rPr>
                <w:rFonts w:ascii="Verdana" w:eastAsia="Calibri" w:hAnsi="Verdana" w:cs="Arial"/>
                <w:color w:val="000000"/>
                <w:lang w:val="es-ES"/>
              </w:rPr>
              <w:t>a institución jurídica de los conflictos de interés no está definida con carácter general en el ordenamiento jurídico y tampoco de forma precisa en las normas que regulan la contratación estatal, por lo que es un asunto ausente en el EGCAP</w:t>
            </w:r>
            <w:r>
              <w:rPr>
                <w:rFonts w:ascii="Verdana" w:eastAsia="Calibri" w:hAnsi="Verdana" w:cs="Arial"/>
                <w:color w:val="000000"/>
                <w:lang w:val="es-ES"/>
              </w:rPr>
              <w:t>,</w:t>
            </w:r>
            <w:r w:rsidRPr="00896343">
              <w:rPr>
                <w:rFonts w:ascii="Verdana" w:eastAsia="Calibri" w:hAnsi="Verdana" w:cs="Arial"/>
                <w:color w:val="000000"/>
                <w:lang w:val="es-ES"/>
              </w:rPr>
              <w:t xml:space="preserve"> existen disposiciones especiales como el régimen de los congresistas, de los concejales o el régimen disciplinario de los servidores públicos, donde se definen causales de conflictos de interés.</w:t>
            </w:r>
            <w:r>
              <w:rPr>
                <w:rFonts w:ascii="Verdana" w:eastAsia="Calibri" w:hAnsi="Verdana" w:cs="Arial"/>
                <w:color w:val="000000"/>
                <w:lang w:val="es-ES"/>
              </w:rPr>
              <w:t xml:space="preserve"> Resaltándose que e</w:t>
            </w:r>
            <w:r w:rsidRPr="00896343">
              <w:rPr>
                <w:rFonts w:ascii="Verdana" w:eastAsia="Calibri" w:hAnsi="Verdana" w:cs="Arial"/>
                <w:color w:val="000000"/>
                <w:lang w:val="es-ES"/>
              </w:rPr>
              <w:t xml:space="preserve">n todo caso, la satisfacción del principio de moralidad, el deber de probidad y rectitud también se exige a los contratistas. </w:t>
            </w:r>
          </w:p>
          <w:p w14:paraId="416F7087" w14:textId="77777777" w:rsidR="00A85D55" w:rsidRPr="00896343" w:rsidRDefault="00A85D55" w:rsidP="001F3D02">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lang w:val="es-ES"/>
              </w:rPr>
              <w:t xml:space="preserve">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6B3CB5BF" w14:textId="77777777" w:rsidR="00A85D55" w:rsidRPr="008557D1" w:rsidRDefault="00A85D55" w:rsidP="001F3D02">
            <w:pPr>
              <w:widowControl w:val="0"/>
              <w:autoSpaceDE w:val="0"/>
              <w:autoSpaceDN w:val="0"/>
              <w:spacing w:after="120" w:line="276" w:lineRule="auto"/>
              <w:ind w:firstLine="709"/>
              <w:jc w:val="both"/>
              <w:rPr>
                <w:rFonts w:ascii="Verdana" w:eastAsia="Arial MT" w:hAnsi="Verdana" w:cs="Arial"/>
                <w:lang w:eastAsia="es-ES" w:bidi="es-ES"/>
              </w:rPr>
            </w:pPr>
            <w:r w:rsidRPr="008557D1">
              <w:rPr>
                <w:rFonts w:ascii="Verdana" w:eastAsia="Arial MT" w:hAnsi="Verdana" w:cs="Arial"/>
                <w:lang w:eastAsia="es-ES" w:bidi="es-ES"/>
              </w:rPr>
              <w:t xml:space="preserve">En conclusión, </w:t>
            </w:r>
            <w:r>
              <w:rPr>
                <w:rFonts w:ascii="Verdana" w:eastAsia="Arial MT" w:hAnsi="Verdana" w:cs="Arial"/>
                <w:lang w:eastAsia="es-ES" w:bidi="es-ES"/>
              </w:rPr>
              <w:t>para analizar el caso puesto en consideración de esta Agencia deberá revisarse si se encuadra en una de las</w:t>
            </w:r>
            <w:r w:rsidRPr="008557D1">
              <w:rPr>
                <w:rFonts w:ascii="Verdana" w:eastAsia="Arial MT" w:hAnsi="Verdana" w:cs="Arial"/>
                <w:lang w:eastAsia="es-ES" w:bidi="es-ES"/>
              </w:rPr>
              <w:t xml:space="preserve"> causal</w:t>
            </w:r>
            <w:r>
              <w:rPr>
                <w:rFonts w:ascii="Verdana" w:eastAsia="Arial MT" w:hAnsi="Verdana" w:cs="Arial"/>
                <w:lang w:eastAsia="es-ES" w:bidi="es-ES"/>
              </w:rPr>
              <w:t>es</w:t>
            </w:r>
            <w:r w:rsidRPr="008557D1">
              <w:rPr>
                <w:rFonts w:ascii="Verdana" w:eastAsia="Arial MT" w:hAnsi="Verdana" w:cs="Arial"/>
                <w:lang w:eastAsia="es-ES" w:bidi="es-ES"/>
              </w:rPr>
              <w:t xml:space="preserve"> de inhabilidad</w:t>
            </w:r>
            <w:r>
              <w:rPr>
                <w:rFonts w:ascii="Verdana" w:eastAsia="Arial MT" w:hAnsi="Verdana" w:cs="Arial"/>
                <w:lang w:eastAsia="es-ES" w:bidi="es-ES"/>
              </w:rPr>
              <w:t xml:space="preserve"> establecidas en el EGCAP. </w:t>
            </w:r>
            <w:r w:rsidRPr="008557D1">
              <w:rPr>
                <w:rFonts w:ascii="Verdana" w:eastAsia="Arial MT" w:hAnsi="Verdana" w:cs="Arial"/>
                <w:lang w:eastAsia="es-ES" w:bidi="es-ES"/>
              </w:rPr>
              <w:t xml:space="preserve">Sin embargo, la entidad contratante deberá identificar cualquier conducta que pueda llegar a tener la connotación de un conflicto de interés, producto de la concurrencia de intereses antagónicos en el </w:t>
            </w:r>
            <w:r>
              <w:rPr>
                <w:rFonts w:ascii="Verdana" w:eastAsia="Arial MT" w:hAnsi="Verdana" w:cs="Arial"/>
                <w:lang w:eastAsia="es-ES" w:bidi="es-ES"/>
              </w:rPr>
              <w:t>servidor público o contratista</w:t>
            </w:r>
            <w:r w:rsidRPr="008557D1">
              <w:rPr>
                <w:rFonts w:ascii="Verdana" w:eastAsia="Arial MT" w:hAnsi="Verdana" w:cs="Arial"/>
                <w:lang w:eastAsia="es-ES" w:bidi="es-ES"/>
              </w:rPr>
              <w:t xml:space="preserve"> que afecten la transparencia de las decisiones que le competen o lo lleven a adoptar determinaciones de aprovechamiento personal, familiar o particular, en detrimento del interés público. En estos casos, es necesario que el conflicto de interés satisfaga los requisitos de</w:t>
            </w:r>
            <w:r w:rsidRPr="008557D1">
              <w:rPr>
                <w:rFonts w:ascii="Verdana" w:eastAsia="Arial MT" w:hAnsi="Verdana" w:cs="Arial"/>
                <w:i/>
                <w:iCs/>
                <w:lang w:eastAsia="es-ES" w:bidi="es-ES"/>
              </w:rPr>
              <w:t xml:space="preserve"> tipicidad</w:t>
            </w:r>
            <w:r w:rsidRPr="008557D1">
              <w:rPr>
                <w:rFonts w:ascii="Verdana" w:eastAsia="Arial MT" w:hAnsi="Verdana" w:cs="Arial"/>
                <w:lang w:eastAsia="es-ES" w:bidi="es-ES"/>
              </w:rPr>
              <w:t xml:space="preserve"> y </w:t>
            </w:r>
            <w:r w:rsidRPr="008557D1">
              <w:rPr>
                <w:rFonts w:ascii="Verdana" w:eastAsia="Arial MT" w:hAnsi="Verdana" w:cs="Arial"/>
                <w:i/>
                <w:iCs/>
                <w:lang w:eastAsia="es-ES" w:bidi="es-ES"/>
              </w:rPr>
              <w:t xml:space="preserve">objetividad. </w:t>
            </w:r>
          </w:p>
          <w:p w14:paraId="30F46E68" w14:textId="02B30309" w:rsidR="00A85D55" w:rsidRPr="00D00359" w:rsidRDefault="00A85D55" w:rsidP="00D00359">
            <w:pPr>
              <w:spacing w:after="120" w:line="276" w:lineRule="auto"/>
              <w:ind w:firstLine="738"/>
              <w:jc w:val="both"/>
              <w:rPr>
                <w:rFonts w:ascii="Verdana" w:eastAsia="Calibri" w:hAnsi="Verdana" w:cs="Arial"/>
                <w:color w:val="000000" w:themeColor="text1"/>
                <w:lang w:val="es-ES_tradnl"/>
              </w:rPr>
            </w:pPr>
            <w:r w:rsidRPr="008557D1">
              <w:rPr>
                <w:rFonts w:ascii="Verdana" w:eastAsia="Calibri" w:hAnsi="Verdana" w:cs="Arial"/>
                <w:lang w:val="es-ES_tradnl"/>
              </w:rPr>
              <w:t xml:space="preserve">Bajo estas consideraciones, </w:t>
            </w:r>
            <w:r w:rsidRPr="00FB49A3">
              <w:rPr>
                <w:rFonts w:ascii="Verdana" w:eastAsia="Calibri" w:hAnsi="Verdana" w:cs="Arial"/>
              </w:rPr>
              <w:t xml:space="preserve">al tratarse de un análisis que debe realizarse 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w:t>
            </w:r>
            <w:r w:rsidRPr="008557D1">
              <w:rPr>
                <w:rFonts w:ascii="Verdana" w:eastAsia="Calibri" w:hAnsi="Verdana" w:cs="Arial"/>
                <w:lang w:val="es-ES_tradnl"/>
              </w:rPr>
              <w:t xml:space="preserve">corresponde a cada entidad pública, en ejercicio de su competencia y previa valoración de los elementos </w:t>
            </w:r>
            <w:r w:rsidRPr="008557D1">
              <w:rPr>
                <w:rFonts w:ascii="Verdana" w:eastAsia="Calibri" w:hAnsi="Verdana" w:cs="Arial"/>
                <w:lang w:val="es-ES_tradnl"/>
              </w:rPr>
              <w:lastRenderedPageBreak/>
              <w:t>fácticos y jurídicos</w:t>
            </w:r>
            <w:r w:rsidRPr="00FB49A3">
              <w:rPr>
                <w:rFonts w:ascii="Verdana" w:eastAsia="Calibri" w:hAnsi="Verdana" w:cs="Arial"/>
              </w:rPr>
              <w:t xml:space="preserve"> definir la forma de adelantar su gestión contractual, sin que sea atribución de Colombia Compra Eficiente validar sus actuaciones.</w:t>
            </w:r>
          </w:p>
        </w:tc>
      </w:tr>
    </w:tbl>
    <w:p w14:paraId="227E08AC" w14:textId="77777777" w:rsidR="00A85D55" w:rsidRPr="00593A5F" w:rsidRDefault="00A85D55" w:rsidP="00A85D55">
      <w:pPr>
        <w:tabs>
          <w:tab w:val="left" w:pos="142"/>
          <w:tab w:val="left" w:pos="284"/>
        </w:tabs>
        <w:spacing w:after="0" w:line="276" w:lineRule="auto"/>
        <w:jc w:val="both"/>
        <w:rPr>
          <w:rFonts w:ascii="Verdana" w:eastAsia="Century Gothic" w:hAnsi="Verdana" w:cs="Century Gothic"/>
          <w:b/>
          <w:bCs/>
          <w:lang w:val="es-ES"/>
        </w:rPr>
      </w:pPr>
    </w:p>
    <w:p w14:paraId="581F6721" w14:textId="77777777" w:rsidR="00A85D55" w:rsidRPr="00593A5F" w:rsidRDefault="00A85D55" w:rsidP="00A85D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7C4431E" w14:textId="77777777" w:rsidR="00A85D55" w:rsidRPr="00593A5F" w:rsidRDefault="00A85D55" w:rsidP="00A85D55">
      <w:pPr>
        <w:spacing w:after="0" w:line="276" w:lineRule="auto"/>
        <w:jc w:val="both"/>
        <w:rPr>
          <w:rFonts w:ascii="Verdana" w:eastAsia="Calibri" w:hAnsi="Verdana" w:cs="Arial"/>
          <w:color w:val="7030A0"/>
          <w:lang w:val="es-ES"/>
        </w:rPr>
      </w:pPr>
    </w:p>
    <w:p w14:paraId="4F4F9F7A" w14:textId="77777777" w:rsidR="00A85D55" w:rsidRDefault="00A85D55" w:rsidP="00A85D55">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3CA5F365" w14:textId="77777777" w:rsidR="00A85D55" w:rsidRDefault="00A85D55" w:rsidP="00A85D55">
      <w:pPr>
        <w:spacing w:after="0" w:line="276" w:lineRule="auto"/>
        <w:jc w:val="both"/>
        <w:rPr>
          <w:rFonts w:ascii="Verdana" w:eastAsia="Calibri" w:hAnsi="Verdana" w:cs="Arial"/>
          <w:lang w:val="es-ES"/>
        </w:rPr>
      </w:pPr>
    </w:p>
    <w:p w14:paraId="45774EFF" w14:textId="77777777" w:rsidR="00A85D55" w:rsidRDefault="00A85D55" w:rsidP="00C535B5">
      <w:pPr>
        <w:spacing w:after="120" w:line="276" w:lineRule="auto"/>
        <w:jc w:val="both"/>
        <w:rPr>
          <w:rFonts w:ascii="Verdana" w:eastAsia="Calibri" w:hAnsi="Verdana" w:cs="Arial"/>
          <w:lang w:val="es-ES"/>
        </w:rPr>
      </w:pPr>
      <w:r>
        <w:rPr>
          <w:rFonts w:ascii="Verdana" w:eastAsia="Calibri" w:hAnsi="Verdana" w:cs="Arial"/>
          <w:color w:val="000000" w:themeColor="text1"/>
          <w:lang w:val="es-ES_tradnl"/>
        </w:rPr>
        <w:t>Para empezar, l</w:t>
      </w:r>
      <w:r w:rsidRPr="008E0EA5">
        <w:rPr>
          <w:rFonts w:ascii="Verdana" w:eastAsia="Calibri" w:hAnsi="Verdana" w:cs="Arial"/>
          <w:color w:val="000000" w:themeColor="text1"/>
          <w:lang w:val="es-ES_tradnl"/>
        </w:rPr>
        <w:t>a capacidad jurídica es la aptitud que recae en los sujeto activos o pasivos de las relaciones jurídicas. Para efectos de las relaciones contractuales en las que uno de los extremos de la relación sea una entidad estatal, la capacidad jurídica es la facultad que tiene una persona natural o jurídica para celebrar contratos con una entidad estatal. En otras palabras, es: i) la capacidad de obligarse a cumplir el objeto del contrato y ii) de no estar incursa en inhabilidades o incompatibilidades que impidan la celebración del negocio. Para efectos de la aplicación del Estatuto General de la Contratación de la Administración Pública, la capacidad para contratar la tienen las personas consideradas legalmente capaces en las disposiciones vigentes. Las personas naturales que tienen capacidad jurídica para contratar son los mayores de edad, a menos que por disposición expresa se encuentren limitados por decisión judicial, como la interdicción judicial, y que no estén incursas en inhabilidades, incompatibilidades o prohibiciones para contratar derivadas de la ley.</w:t>
      </w:r>
    </w:p>
    <w:p w14:paraId="0D1E564B" w14:textId="77777777" w:rsidR="00A85D55" w:rsidRDefault="00A85D55" w:rsidP="00A85D55">
      <w:pPr>
        <w:widowControl w:val="0"/>
        <w:autoSpaceDE w:val="0"/>
        <w:autoSpaceDN w:val="0"/>
        <w:spacing w:after="120" w:line="276" w:lineRule="auto"/>
        <w:ind w:firstLine="708"/>
        <w:jc w:val="both"/>
        <w:rPr>
          <w:rFonts w:ascii="Verdana" w:eastAsia="Calibri" w:hAnsi="Verdana" w:cs="Arial"/>
          <w:lang w:val="es-ES"/>
        </w:rPr>
      </w:pPr>
      <w:r>
        <w:rPr>
          <w:rFonts w:ascii="Verdana" w:eastAsia="Calibri" w:hAnsi="Verdana" w:cs="Arial"/>
          <w:lang w:val="es-ES"/>
        </w:rPr>
        <w:t>Sobre las limitaciones a la capacidad jurídica, se destaca el régimen de inhabilidades e incompatibilidades como</w:t>
      </w:r>
      <w:r w:rsidRPr="00BE021E">
        <w:rPr>
          <w:rFonts w:ascii="Verdana" w:eastAsia="Calibri" w:hAnsi="Verdana" w:cs="Arial"/>
          <w:lang w:val="es-ES"/>
        </w:rPr>
        <w:t xml:space="preserve"> un conjunto de normas que impone restricciones para los sujetos que eventualmente pretendan participar en los procedimientos de selección o en la celebración de contratos con las entidades estatales, constituyendo “</w:t>
      </w:r>
      <w:r w:rsidRPr="00BE021E">
        <w:rPr>
          <w:rFonts w:ascii="Verdana" w:eastAsia="Calibri" w:hAnsi="Verdana" w:cs="Arial"/>
          <w:i/>
          <w:iCs/>
          <w:lang w:val="es-ES"/>
        </w:rPr>
        <w:t>prohibiciones que restringen la capacidad y la libertad de un contratista para acceder a la contratación</w:t>
      </w:r>
      <w:r w:rsidRPr="00BE021E">
        <w:rPr>
          <w:rFonts w:ascii="Verdana" w:eastAsia="Calibri" w:hAnsi="Verdana" w:cs="Arial"/>
          <w:lang w:val="es-ES"/>
        </w:rPr>
        <w:t>”</w:t>
      </w:r>
      <w:r w:rsidRPr="00BE021E">
        <w:rPr>
          <w:rStyle w:val="Refdenotaalpie"/>
          <w:rFonts w:ascii="Verdana" w:eastAsia="Calibri" w:hAnsi="Verdana" w:cs="Arial"/>
          <w:lang w:val="es-ES"/>
        </w:rPr>
        <w:footnoteReference w:id="2"/>
      </w:r>
      <w:r w:rsidRPr="00BE021E">
        <w:rPr>
          <w:rFonts w:ascii="Verdana" w:eastAsia="Calibri" w:hAnsi="Verdana" w:cs="Arial"/>
          <w:lang w:val="es-ES"/>
        </w:rPr>
        <w:t xml:space="preserve">. </w:t>
      </w:r>
    </w:p>
    <w:p w14:paraId="5FE143ED" w14:textId="77777777" w:rsidR="00A85D55" w:rsidRPr="00BE021E" w:rsidRDefault="00A85D55" w:rsidP="00A85D55">
      <w:pPr>
        <w:widowControl w:val="0"/>
        <w:autoSpaceDE w:val="0"/>
        <w:autoSpaceDN w:val="0"/>
        <w:spacing w:after="120" w:line="276" w:lineRule="auto"/>
        <w:ind w:firstLine="708"/>
        <w:jc w:val="both"/>
        <w:rPr>
          <w:rFonts w:ascii="Verdana" w:eastAsia="Calibri" w:hAnsi="Verdana" w:cs="Arial"/>
          <w:lang w:val="es-ES"/>
        </w:rPr>
      </w:pPr>
      <w:r w:rsidRPr="00BE021E">
        <w:rPr>
          <w:rFonts w:ascii="Verdana" w:eastAsia="Calibri" w:hAnsi="Verdana" w:cs="Arial"/>
          <w:lang w:val="es-ES"/>
        </w:rPr>
        <w:t xml:space="preserve">De una parte, las inhabilidades son prohibiciones para concurrir a los procedimientos de selección y para contratar con el Estado, que se derivan i) de la existencia de comportamientos reprochables o de sanciones anteriormente </w:t>
      </w:r>
      <w:r w:rsidRPr="00BE021E">
        <w:rPr>
          <w:rFonts w:ascii="Verdana" w:eastAsia="Calibri" w:hAnsi="Verdana" w:cs="Arial"/>
          <w:lang w:val="es-ES"/>
        </w:rPr>
        <w:lastRenderedPageBreak/>
        <w:t>impuestas</w:t>
      </w:r>
      <w:r w:rsidRPr="00BE021E">
        <w:rPr>
          <w:rFonts w:ascii="Verdana" w:eastAsia="Calibri" w:hAnsi="Verdana" w:cs="Arial"/>
          <w:vertAlign w:val="superscript"/>
          <w:lang w:val="es-ES"/>
        </w:rPr>
        <w:footnoteReference w:id="3"/>
      </w:r>
      <w:r w:rsidRPr="00BE021E">
        <w:rPr>
          <w:rFonts w:ascii="Verdana" w:eastAsia="Calibri" w:hAnsi="Verdana" w:cs="Arial"/>
          <w:lang w:val="es-ES"/>
        </w:rPr>
        <w:t>, ii) de vínculos personales relativos al parentesco o al estado civil</w:t>
      </w:r>
      <w:r w:rsidRPr="00BE021E">
        <w:rPr>
          <w:rFonts w:ascii="Verdana" w:eastAsia="Calibri" w:hAnsi="Verdana" w:cs="Arial"/>
          <w:vertAlign w:val="superscript"/>
          <w:lang w:val="es-ES"/>
        </w:rPr>
        <w:footnoteReference w:id="4"/>
      </w:r>
      <w:r w:rsidRPr="00BE021E">
        <w:rPr>
          <w:rFonts w:ascii="Verdana" w:eastAsia="Calibri" w:hAnsi="Verdana" w:cs="Arial"/>
          <w:lang w:val="es-ES"/>
        </w:rPr>
        <w:t xml:space="preserve"> o iii) de una actividad u oficio que se desempeñó en el pasado</w:t>
      </w:r>
      <w:r w:rsidRPr="00BE021E">
        <w:rPr>
          <w:rFonts w:ascii="Verdana" w:eastAsia="Calibri" w:hAnsi="Verdana" w:cs="Arial"/>
          <w:vertAlign w:val="superscript"/>
          <w:lang w:val="es-ES"/>
        </w:rPr>
        <w:footnoteReference w:id="5"/>
      </w:r>
      <w:r>
        <w:rPr>
          <w:rFonts w:ascii="Verdana" w:eastAsia="Calibri" w:hAnsi="Verdana" w:cs="Arial"/>
          <w:lang w:val="es-ES"/>
        </w:rPr>
        <w:t xml:space="preserve"> (se encuentran </w:t>
      </w:r>
      <w:r>
        <w:rPr>
          <w:rFonts w:ascii="Verdana" w:eastAsia="Calibri" w:hAnsi="Verdana" w:cs="Arial"/>
          <w:lang w:val="es-ES"/>
        </w:rPr>
        <w:lastRenderedPageBreak/>
        <w:t>principalmente en el artículo 8 de la Ley 80 de 1993)</w:t>
      </w:r>
      <w:r w:rsidRPr="00BE021E">
        <w:rPr>
          <w:rFonts w:ascii="Verdana" w:eastAsia="Calibri" w:hAnsi="Verdana" w:cs="Arial"/>
          <w:lang w:val="es-ES"/>
        </w:rPr>
        <w:t>. De otra,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BE021E">
        <w:rPr>
          <w:rFonts w:ascii="Verdana" w:eastAsia="Calibri" w:hAnsi="Verdana" w:cs="Arial"/>
          <w:vertAlign w:val="superscript"/>
          <w:lang w:val="es-ES"/>
        </w:rPr>
        <w:footnoteReference w:id="6"/>
      </w:r>
      <w:r w:rsidRPr="00BE021E">
        <w:rPr>
          <w:rFonts w:ascii="Verdana" w:eastAsia="Calibri" w:hAnsi="Verdana" w:cs="Arial"/>
          <w:lang w:val="es-ES"/>
        </w:rPr>
        <w:t>.</w:t>
      </w:r>
    </w:p>
    <w:p w14:paraId="5FF7BC47" w14:textId="77777777" w:rsidR="00A85D55" w:rsidRDefault="00A85D55" w:rsidP="00A85D55">
      <w:pPr>
        <w:widowControl w:val="0"/>
        <w:autoSpaceDE w:val="0"/>
        <w:autoSpaceDN w:val="0"/>
        <w:spacing w:after="120" w:line="276" w:lineRule="auto"/>
        <w:jc w:val="both"/>
        <w:rPr>
          <w:rFonts w:ascii="Verdana" w:eastAsia="Calibri" w:hAnsi="Verdana" w:cs="Arial"/>
          <w:lang w:val="es-ES"/>
        </w:rPr>
      </w:pPr>
      <w:r w:rsidRPr="00BE021E">
        <w:rPr>
          <w:rFonts w:ascii="Verdana" w:eastAsia="Calibri" w:hAnsi="Verdana" w:cs="Arial"/>
          <w:lang w:val="es-ES"/>
        </w:rPr>
        <w:tab/>
        <w:t>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w:t>
      </w:r>
      <w:r>
        <w:rPr>
          <w:rFonts w:ascii="Verdana" w:eastAsia="Calibri" w:hAnsi="Verdana" w:cs="Arial"/>
          <w:lang w:val="es-ES"/>
        </w:rPr>
        <w:t xml:space="preserve"> </w:t>
      </w:r>
    </w:p>
    <w:p w14:paraId="3DFEE030" w14:textId="77777777" w:rsidR="00A85D55" w:rsidRPr="00141FE3" w:rsidRDefault="00A85D55" w:rsidP="00A85D55">
      <w:pPr>
        <w:widowControl w:val="0"/>
        <w:autoSpaceDE w:val="0"/>
        <w:autoSpaceDN w:val="0"/>
        <w:spacing w:after="120" w:line="276" w:lineRule="auto"/>
        <w:ind w:firstLine="708"/>
        <w:jc w:val="both"/>
        <w:rPr>
          <w:rFonts w:ascii="Verdana" w:eastAsia="Calibri" w:hAnsi="Verdana" w:cs="Arial"/>
          <w:szCs w:val="24"/>
          <w:lang w:val="es-ES_tradnl" w:eastAsia="es-ES_tradnl"/>
        </w:rPr>
      </w:pPr>
      <w:r>
        <w:rPr>
          <w:rFonts w:ascii="Verdana" w:eastAsia="Calibri" w:hAnsi="Verdana" w:cs="Arial"/>
          <w:lang w:val="es-ES"/>
        </w:rPr>
        <w:t>En efecto,</w:t>
      </w:r>
      <w:r w:rsidRPr="00140995">
        <w:rPr>
          <w:rFonts w:ascii="Verdana" w:eastAsia="Calibri" w:hAnsi="Verdana" w:cs="Arial"/>
          <w:lang w:val="es-ES"/>
        </w:rPr>
        <w:t xml:space="preserve"> sobre la interpretación de este tipo de normas, la Corte Constitucional ha aclarado que</w:t>
      </w:r>
      <w:r w:rsidRPr="00140995">
        <w:rPr>
          <w:rFonts w:ascii="Verdana" w:eastAsia="Calibri" w:hAnsi="Verdana" w:cs="Arial"/>
          <w:szCs w:val="24"/>
          <w:lang w:val="es-ES_tradnl" w:eastAsia="es-ES_tradnl"/>
        </w:rPr>
        <w:t xml:space="preserv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w:t>
      </w:r>
      <w:r w:rsidRPr="00140995">
        <w:rPr>
          <w:rFonts w:ascii="Verdana" w:eastAsia="Calibri" w:hAnsi="Verdana" w:cs="Arial"/>
          <w:szCs w:val="24"/>
          <w:lang w:val="es-ES_tradnl" w:eastAsia="es-ES_tradnl"/>
        </w:rPr>
        <w:lastRenderedPageBreak/>
        <w:t>ampliar el alcance de las causales legalmente fijadas”</w:t>
      </w:r>
      <w:r w:rsidRPr="00140995">
        <w:rPr>
          <w:rFonts w:ascii="Verdana" w:eastAsia="Aptos" w:hAnsi="Verdana" w:cs="Times New Roman"/>
          <w:vertAlign w:val="superscript"/>
        </w:rPr>
        <w:footnoteReference w:id="7"/>
      </w:r>
      <w:r w:rsidRPr="00140995">
        <w:rPr>
          <w:rFonts w:ascii="Verdana" w:eastAsia="Calibri" w:hAnsi="Verdana" w:cs="Arial"/>
          <w:szCs w:val="24"/>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140995">
        <w:rPr>
          <w:rFonts w:ascii="Verdana" w:eastAsia="Aptos" w:hAnsi="Verdana" w:cs="Times New Roman"/>
          <w:vertAlign w:val="superscript"/>
        </w:rPr>
        <w:footnoteReference w:id="8"/>
      </w:r>
      <w:r w:rsidRPr="00140995">
        <w:rPr>
          <w:rFonts w:ascii="Verdana" w:eastAsia="Calibri" w:hAnsi="Verdana" w:cs="Arial"/>
          <w:szCs w:val="24"/>
          <w:lang w:val="es-ES_tradnl" w:eastAsia="es-ES_tradnl"/>
        </w:rPr>
        <w:t>.</w:t>
      </w:r>
    </w:p>
    <w:p w14:paraId="75EB5698" w14:textId="77777777" w:rsidR="00A85D55" w:rsidRPr="0060163E" w:rsidRDefault="00A85D55" w:rsidP="00A85D55">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En tal sentido, la Sección Tercera ha señalado que:</w:t>
      </w:r>
    </w:p>
    <w:p w14:paraId="6065F828" w14:textId="77777777" w:rsidR="00A85D55" w:rsidRPr="0060163E" w:rsidRDefault="00A85D55" w:rsidP="00A85D55">
      <w:pPr>
        <w:spacing w:after="0" w:line="276" w:lineRule="auto"/>
        <w:ind w:firstLine="709"/>
        <w:jc w:val="both"/>
        <w:rPr>
          <w:rFonts w:ascii="Verdana" w:eastAsia="Calibri" w:hAnsi="Verdana" w:cs="Arial"/>
          <w:lang w:val="es-ES_tradnl"/>
        </w:rPr>
      </w:pPr>
    </w:p>
    <w:p w14:paraId="42EE08F2" w14:textId="77777777" w:rsidR="00A85D55" w:rsidRPr="0060163E" w:rsidRDefault="00A85D55" w:rsidP="00A85D55">
      <w:pPr>
        <w:spacing w:after="0" w:line="240" w:lineRule="auto"/>
        <w:ind w:left="709" w:right="709"/>
        <w:jc w:val="both"/>
        <w:rPr>
          <w:rFonts w:ascii="Verdana" w:eastAsia="Calibri" w:hAnsi="Verdana" w:cs="Arial"/>
          <w:sz w:val="20"/>
          <w:szCs w:val="20"/>
          <w:lang w:val="es-ES_tradnl"/>
        </w:rPr>
      </w:pPr>
      <w:r w:rsidRPr="0060163E">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60163E">
        <w:rPr>
          <w:rFonts w:ascii="Verdana" w:eastAsia="Calibri" w:hAnsi="Verdana" w:cs="Arial"/>
          <w:sz w:val="20"/>
          <w:szCs w:val="20"/>
          <w:vertAlign w:val="superscript"/>
          <w:lang w:val="es-ES_tradnl"/>
        </w:rPr>
        <w:footnoteReference w:id="9"/>
      </w:r>
      <w:r w:rsidRPr="0060163E">
        <w:rPr>
          <w:rFonts w:ascii="Verdana" w:eastAsia="Calibri" w:hAnsi="Verdana" w:cs="Arial"/>
          <w:sz w:val="20"/>
          <w:szCs w:val="20"/>
          <w:lang w:val="es-ES_tradnl"/>
        </w:rPr>
        <w:t>.</w:t>
      </w:r>
    </w:p>
    <w:p w14:paraId="40DA13C4" w14:textId="77777777" w:rsidR="00A85D55" w:rsidRPr="0060163E" w:rsidRDefault="00A85D55" w:rsidP="00A85D55">
      <w:pPr>
        <w:spacing w:after="0" w:line="240" w:lineRule="auto"/>
        <w:ind w:firstLine="709"/>
        <w:jc w:val="both"/>
        <w:rPr>
          <w:rFonts w:ascii="Verdana" w:eastAsia="Calibri" w:hAnsi="Verdana" w:cs="Arial"/>
          <w:sz w:val="20"/>
          <w:szCs w:val="20"/>
          <w:lang w:val="es-ES_tradnl"/>
        </w:rPr>
      </w:pPr>
    </w:p>
    <w:p w14:paraId="0935169B" w14:textId="77777777" w:rsidR="00A85D55" w:rsidRPr="0060163E" w:rsidRDefault="00A85D55" w:rsidP="00A85D55">
      <w:pPr>
        <w:spacing w:after="0" w:line="240" w:lineRule="auto"/>
        <w:ind w:firstLine="709"/>
        <w:jc w:val="both"/>
        <w:rPr>
          <w:rFonts w:ascii="Verdana" w:eastAsia="Calibri" w:hAnsi="Verdana" w:cs="Arial"/>
          <w:sz w:val="20"/>
          <w:szCs w:val="20"/>
          <w:lang w:val="es-ES_tradnl"/>
        </w:rPr>
      </w:pPr>
      <w:r w:rsidRPr="0060163E">
        <w:rPr>
          <w:rFonts w:ascii="Verdana" w:eastAsia="Calibri" w:hAnsi="Verdana" w:cs="Arial"/>
          <w:sz w:val="20"/>
          <w:szCs w:val="20"/>
          <w:lang w:val="es-ES_tradnl"/>
        </w:rPr>
        <w:t>También ha dicho que:</w:t>
      </w:r>
    </w:p>
    <w:p w14:paraId="54B0E7F6" w14:textId="77777777" w:rsidR="00A85D55" w:rsidRPr="0060163E" w:rsidRDefault="00A85D55" w:rsidP="00A85D55">
      <w:pPr>
        <w:spacing w:after="0" w:line="240" w:lineRule="auto"/>
        <w:ind w:left="709" w:right="616"/>
        <w:jc w:val="both"/>
        <w:rPr>
          <w:rFonts w:ascii="Verdana" w:eastAsia="Calibri" w:hAnsi="Verdana" w:cs="Arial"/>
          <w:sz w:val="20"/>
          <w:szCs w:val="20"/>
          <w:lang w:val="es-ES"/>
        </w:rPr>
      </w:pPr>
      <w:r w:rsidRPr="0060163E">
        <w:rPr>
          <w:rFonts w:ascii="Verdana" w:eastAsia="Calibri" w:hAnsi="Verdana" w:cs="Arial"/>
          <w:sz w:val="20"/>
          <w:szCs w:val="20"/>
          <w:lang w:val="es-ES"/>
        </w:rPr>
        <w:t xml:space="preserve">[…] la aplicación de estos preceptos exige una interpretación restrictiva, dado que según el principio hermenéutico </w:t>
      </w:r>
      <w:r w:rsidRPr="0060163E">
        <w:rPr>
          <w:rFonts w:ascii="Verdana" w:eastAsia="Calibri" w:hAnsi="Verdana" w:cs="Arial"/>
          <w:i/>
          <w:iCs/>
          <w:sz w:val="20"/>
          <w:szCs w:val="20"/>
          <w:lang w:val="es-ES"/>
        </w:rPr>
        <w:t>pro libertate</w:t>
      </w:r>
      <w:r w:rsidRPr="0060163E">
        <w:rPr>
          <w:rFonts w:ascii="Verdana" w:eastAsia="Calibri" w:hAnsi="Verdana" w:cs="Arial"/>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60163E">
        <w:rPr>
          <w:rFonts w:ascii="Verdana" w:eastAsia="Calibri" w:hAnsi="Verdana" w:cs="Arial"/>
          <w:sz w:val="20"/>
          <w:szCs w:val="20"/>
          <w:vertAlign w:val="superscript"/>
          <w:lang w:val="es-ES"/>
        </w:rPr>
        <w:footnoteReference w:id="10"/>
      </w:r>
      <w:r w:rsidRPr="0060163E">
        <w:rPr>
          <w:rFonts w:ascii="Verdana" w:eastAsia="Calibri" w:hAnsi="Verdana" w:cs="Arial"/>
          <w:sz w:val="20"/>
          <w:szCs w:val="20"/>
          <w:lang w:val="es-ES"/>
        </w:rPr>
        <w:t>.</w:t>
      </w:r>
    </w:p>
    <w:p w14:paraId="21BFB64A" w14:textId="77777777" w:rsidR="00A85D55" w:rsidRPr="0060163E" w:rsidRDefault="00A85D55" w:rsidP="00A85D55">
      <w:pPr>
        <w:spacing w:after="0" w:line="276" w:lineRule="auto"/>
        <w:jc w:val="both"/>
        <w:rPr>
          <w:rFonts w:ascii="Verdana" w:eastAsia="Arial" w:hAnsi="Verdana" w:cs="Arial"/>
          <w:color w:val="000000"/>
          <w:lang w:val="es-ES_tradnl"/>
        </w:rPr>
      </w:pPr>
    </w:p>
    <w:p w14:paraId="52C0FA44" w14:textId="77777777" w:rsidR="00A85D55" w:rsidRPr="0060163E" w:rsidRDefault="00A85D55" w:rsidP="00A85D55">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pro libertate</w:t>
      </w:r>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w:t>
      </w:r>
      <w:r w:rsidRPr="0060163E">
        <w:rPr>
          <w:rFonts w:ascii="Verdana" w:eastAsia="Arial" w:hAnsi="Verdana" w:cs="Arial"/>
          <w:color w:val="000000"/>
          <w:lang w:val="es-ES_tradnl"/>
        </w:rPr>
        <w:lastRenderedPageBreak/>
        <w:t>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1"/>
      </w:r>
    </w:p>
    <w:p w14:paraId="504DE42F" w14:textId="77777777" w:rsidR="00A85D55" w:rsidRDefault="00A85D55" w:rsidP="00A85D55">
      <w:pPr>
        <w:spacing w:after="0" w:line="276" w:lineRule="auto"/>
        <w:ind w:left="708" w:firstLine="708"/>
        <w:jc w:val="both"/>
        <w:rPr>
          <w:rFonts w:ascii="Verdana" w:eastAsia="Calibri" w:hAnsi="Verdana" w:cs="Arial"/>
          <w:lang w:val="es-ES"/>
        </w:rPr>
      </w:pPr>
      <w:r>
        <w:rPr>
          <w:rFonts w:ascii="Verdana" w:eastAsia="Calibri" w:hAnsi="Verdana" w:cs="Arial"/>
          <w:lang w:val="es-ES"/>
        </w:rPr>
        <w:t>Ahora bien, en relación con la consulta del presente caso, se analizará el artículo 8 de la Ley 80 de 1993, que dispone:</w:t>
      </w:r>
    </w:p>
    <w:p w14:paraId="5737C4FA" w14:textId="77777777" w:rsidR="00A85D55" w:rsidRDefault="00A85D55" w:rsidP="00A85D55">
      <w:pPr>
        <w:spacing w:after="0" w:line="276" w:lineRule="auto"/>
        <w:jc w:val="both"/>
        <w:rPr>
          <w:rFonts w:ascii="Verdana" w:eastAsia="Calibri" w:hAnsi="Verdana" w:cs="Arial"/>
          <w:lang w:val="es-ES"/>
        </w:rPr>
      </w:pPr>
    </w:p>
    <w:p w14:paraId="118C85DD"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“ARTICULO 8°. DE LAS INHABILIDADES E INCOMPATIBILIDADES PARA CONTRATAR.</w:t>
      </w:r>
    </w:p>
    <w:p w14:paraId="56F816FF"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069718D2"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1°. Son inhábiles para participar en licitaciones o concursos y para celebrar contratos con las entidades estatales:</w:t>
      </w:r>
    </w:p>
    <w:p w14:paraId="6D9FDE25"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291A1193"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a) Las personas que se hallen inhabilitadas para contratar por la Constitución y las leyes.</w:t>
      </w:r>
    </w:p>
    <w:p w14:paraId="6821100A"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57712F17"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b) Quienes participaron en las licitaciones o concursos o celebraron los contratos de que trata el literal anterior estando inhabilitados.</w:t>
      </w:r>
    </w:p>
    <w:p w14:paraId="2C286EEE"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263477AE"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c) Quienes dieron lugar a la declaratoria de caducidad.</w:t>
      </w:r>
    </w:p>
    <w:p w14:paraId="45E0122C"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4025F228"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d) Quienes en sentencia judicial hayan sido condenados a la pena accesoria de interdicción de derechos y funciones públicas y quienes hayan sido sancionados disciplinariamente con destitución. </w:t>
      </w:r>
    </w:p>
    <w:p w14:paraId="0AC7D003"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2E83B0A6"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e) Quienes sin justa causa se abstengan de suscribir el contrato estatal adjudicado.</w:t>
      </w:r>
    </w:p>
    <w:p w14:paraId="0D1C9491"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1C7C445D"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f) Los servidores públicos.</w:t>
      </w:r>
    </w:p>
    <w:p w14:paraId="66575469" w14:textId="77777777" w:rsidR="00A85D55" w:rsidRPr="00B720A5"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3F4E3BED" w14:textId="77777777" w:rsidR="00A85D55" w:rsidRPr="00B720A5"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B720A5">
        <w:rPr>
          <w:rFonts w:ascii="Verdana" w:eastAsia="Aptos" w:hAnsi="Verdana" w:cs="Arial"/>
          <w:sz w:val="20"/>
          <w:szCs w:val="20"/>
          <w:lang w:val="es-MX" w:eastAsia="es-MX"/>
        </w:rPr>
        <w:t>g) Quienes sean cónyuges o compañeros permanentes y quienes se encuentren dentro del segundo grado de consanguinidad o segundo de afinidad con cualquier otra persona que formalmente haya presentado propuesta para una misma licitación.</w:t>
      </w:r>
    </w:p>
    <w:p w14:paraId="375DCFA3" w14:textId="77777777" w:rsidR="00A85D55" w:rsidRPr="00B720A5"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24F36035" w14:textId="77777777" w:rsidR="00A85D55" w:rsidRPr="00B720A5"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B720A5">
        <w:rPr>
          <w:rFonts w:ascii="Verdana" w:eastAsia="Aptos" w:hAnsi="Verdana" w:cs="Arial"/>
          <w:sz w:val="20"/>
          <w:szCs w:val="20"/>
          <w:lang w:val="es-MX" w:eastAsia="es-MX"/>
        </w:rPr>
        <w:lastRenderedPageBreak/>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w:t>
      </w:r>
    </w:p>
    <w:p w14:paraId="27BE8961"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53A90396"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i) Los socios de sociedades de personas a las cuales se haya declarado la caducidad, así como las sociedades de personas de las que aquellos formen parte con posterioridad a dicha declaratoria.</w:t>
      </w:r>
    </w:p>
    <w:p w14:paraId="15FB77EC"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6B3457D2"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de la de celebración del contrato, o de la de expiración del plazo para su firma.</w:t>
      </w:r>
    </w:p>
    <w:p w14:paraId="521A113E"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4D145E66"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j) Literal reglamentado por el Decreto 1358 de 2020. Literal modificado por la Ley 2014 de 2019, artículo 2º.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217657F5"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541910DE"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Esta inhabilidad procederá preventivamente aún en los casos en los que esté pendiente la decisión sobre la impugnación de la sentencia condenatoria.  </w:t>
      </w:r>
    </w:p>
    <w:p w14:paraId="60A8FDB2"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4E1988D4"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Asimismo, la inhabilidad se extenderá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excepción de las sociedades anónimas abiertas.</w:t>
      </w:r>
    </w:p>
    <w:p w14:paraId="44A30DD3"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3E562534"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 xml:space="preserve">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w:t>
      </w:r>
      <w:r w:rsidRPr="00896343">
        <w:rPr>
          <w:rFonts w:ascii="Verdana" w:eastAsia="Aptos" w:hAnsi="Verdana" w:cs="Arial"/>
          <w:sz w:val="20"/>
          <w:szCs w:val="20"/>
          <w:lang w:val="es-MX" w:eastAsia="es-MX"/>
        </w:rPr>
        <w:lastRenderedPageBreak/>
        <w:t>sociedades extranjeras, hayan sido beneficiados con la aplicación de un principio de oportunidad por cualquier delito contra la Administración pública o el patrimonio del Estado.</w:t>
      </w:r>
    </w:p>
    <w:p w14:paraId="09DE15A9"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27F198BD"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La inhabilidad prevista en este literal se extenderá de forma permanente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w:t>
      </w:r>
    </w:p>
    <w:p w14:paraId="7A7D41CE"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3252700D"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k) Literal adicionado por la Ley 1474 de 2011, artículo 2º. Éste modificado por la Ley 1778 de 2016, artículo 33. Inhabilidad para contratar de quienes financien campañas políticas. Las personas naturales o jurídicas que hayan financiado campañas políticas a la Presidencia de la República, a las gobernaciones, a las alcaldías o al Congreso de la República, con aportes superiores al dos por ciento (2.0%)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1FA17213"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0FA20418"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w:t>
      </w:r>
    </w:p>
    <w:p w14:paraId="5583C13E"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3A994E07"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Esta inhabilidad comprenderá también a las personas jurídicas en las cuales el representante legal, los miembros de junta directiva o cualquiera de sus socios controlantes hayan financiado directamente o por interpuesta persona campañas políticas a la Presidencia de la República, a las gobernaciones, las alcaldías o al Congreso de la República.</w:t>
      </w:r>
    </w:p>
    <w:p w14:paraId="2653289A"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5F496F6A"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La inhabilidad contemplada en esta norma no se aplicará respecto de los contratos de prestación de servicios profesionales.</w:t>
      </w:r>
    </w:p>
    <w:p w14:paraId="1F441CB0"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130D43FD"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k) Literal adicionado por la Ley 1474 de 2011, artículo 84, parágrafo 2º. (éste declarado exequible condicionalmente por los cargos analizados por la Corte Constitucional en la Sentencia C-434 de 2013.).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w:t>
      </w:r>
    </w:p>
    <w:p w14:paraId="7EF5EF4A"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3BE9D46E"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lastRenderedPageBreak/>
        <w:t>Esta inhabilidad se extenderá por un término de cinco (5) años, contados a partir de la ejecutoria del acto administrativo que así lo declare, previa la actuación administrativa correspondiente.</w:t>
      </w:r>
    </w:p>
    <w:p w14:paraId="14876531"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2941CB7D"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2°. Tampoco podrán participar en licitaciones o concursos ni celebrar contratos estatales con la entidad respectiva:</w:t>
      </w:r>
    </w:p>
    <w:p w14:paraId="5C284736"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1040C36E"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w:t>
      </w:r>
    </w:p>
    <w:p w14:paraId="1F95FA27"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57AA5D91" w14:textId="77777777" w:rsidR="00A85D55" w:rsidRPr="00FA32DF"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FA32DF">
        <w:rPr>
          <w:rFonts w:ascii="Verdana" w:eastAsia="Aptos" w:hAnsi="Verdana" w:cs="Arial"/>
          <w:sz w:val="20"/>
          <w:szCs w:val="20"/>
          <w:lang w:val="es-MX" w:eastAsia="es-MX"/>
        </w:rPr>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ejerzan el control interno o fiscal de la entidad contratante.</w:t>
      </w:r>
    </w:p>
    <w:p w14:paraId="3DD474BE" w14:textId="77777777" w:rsidR="00A85D55" w:rsidRPr="00FA32DF"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1A8F7A89" w14:textId="77777777" w:rsidR="00A85D55" w:rsidRPr="00FA32DF"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FA32DF">
        <w:rPr>
          <w:rFonts w:ascii="Verdana" w:eastAsia="Aptos" w:hAnsi="Verdana" w:cs="Arial"/>
          <w:sz w:val="20"/>
          <w:szCs w:val="20"/>
          <w:lang w:val="es-MX" w:eastAsia="es-MX"/>
        </w:rPr>
        <w:t xml:space="preserve">c) El cónyuge, compañero o compañera permanente del servidor público en los niveles directivo, asesor, ejecutivo, o de un miembro de la junta o consejo directivo, o de quien ejerza funciones de control interno o de control fiscal.  </w:t>
      </w:r>
    </w:p>
    <w:p w14:paraId="0D5CA7A0"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36974E09"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w:t>
      </w:r>
    </w:p>
    <w:p w14:paraId="65998FDA"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4F307D34"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e) Los miembros de las juntas o consejos directivos. Esta incompatibilidad sólo se predica respecto de la entidad a la cual prestan sus servicios y de las del sector administrativo al que la misma esté adscrita o vinculada.</w:t>
      </w:r>
    </w:p>
    <w:p w14:paraId="12401A05"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4032FB65"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f) Literal adicionado por la Ley 1474 de 2011, artículo 4º.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w:t>
      </w:r>
    </w:p>
    <w:p w14:paraId="7EE339C3"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6E2BF981"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lastRenderedPageBreak/>
        <w:t>Esta incompatibilidad también operará para las personas que se encuentren dentro del primer grado de consanguinidad, primero de afinidad, o primero civil del ex empleado público.</w:t>
      </w:r>
    </w:p>
    <w:p w14:paraId="280FB9E2"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7E5ADBDA"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PARAGRAFO 1°. La inhabilidad prevista en el literal d) del ordinal 2°. de este artículo no se aplicará en relación con las corporaciones, asociaciones, fundaciones y sociedades allí mencionadas, cuando por disposición legal o estatutaria el servidor público en los niveles referidos debe desempeñar en ellas cargos de dirección o manejo.</w:t>
      </w:r>
    </w:p>
    <w:p w14:paraId="7EB148B5"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723F342C"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Inciso adicionado por la Ley 1150 de 2007, artículo 18. En las causales de inhabilidad por parentesco o por matrimonio, los vínculos desaparecen por muerte o por disolución del matrimonio.</w:t>
      </w:r>
    </w:p>
    <w:p w14:paraId="7DC175E4"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01D49A0D"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PARAGRAFO 2°. Para los efectos previstos en este artículo, el Gobierno Nacional determinará que debe entenderse por sociedades anónimas abiertas.</w:t>
      </w:r>
    </w:p>
    <w:p w14:paraId="54269FB1" w14:textId="77777777" w:rsidR="00A85D55" w:rsidRPr="00896343" w:rsidRDefault="00A85D55" w:rsidP="00A85D55">
      <w:pPr>
        <w:spacing w:after="0" w:line="240" w:lineRule="auto"/>
        <w:ind w:left="709" w:right="709"/>
        <w:contextualSpacing/>
        <w:jc w:val="both"/>
        <w:rPr>
          <w:rFonts w:ascii="Verdana" w:eastAsia="Aptos" w:hAnsi="Verdana" w:cs="Arial"/>
          <w:sz w:val="20"/>
          <w:szCs w:val="20"/>
          <w:lang w:val="es-MX" w:eastAsia="es-MX"/>
        </w:rPr>
      </w:pPr>
    </w:p>
    <w:p w14:paraId="68C92144" w14:textId="77777777" w:rsidR="00A85D55" w:rsidRDefault="00A85D55" w:rsidP="00A85D55">
      <w:pPr>
        <w:spacing w:after="0" w:line="276" w:lineRule="auto"/>
        <w:ind w:left="708"/>
        <w:jc w:val="both"/>
        <w:rPr>
          <w:rFonts w:ascii="Verdana" w:eastAsia="Aptos" w:hAnsi="Verdana" w:cs="Arial"/>
          <w:sz w:val="20"/>
          <w:szCs w:val="20"/>
          <w:lang w:val="es-MX" w:eastAsia="es-MX"/>
        </w:rPr>
      </w:pPr>
      <w:r w:rsidRPr="00896343">
        <w:rPr>
          <w:rFonts w:ascii="Verdana" w:eastAsia="Aptos" w:hAnsi="Verdana" w:cs="Arial"/>
          <w:sz w:val="20"/>
          <w:szCs w:val="20"/>
          <w:lang w:val="es-MX" w:eastAsia="es-MX"/>
        </w:rPr>
        <w:t>PARÁGRAFO 3º. Adicionado por la Ley 2014 de 2019, artículo 3o. Las inhabilidades e incompatibilidades contempladas en este artículo se aplicarán a cualquier proceso de contratación privada en el que se comprometan recursos públicos”</w:t>
      </w:r>
      <w:r>
        <w:rPr>
          <w:rFonts w:ascii="Verdana" w:eastAsia="Aptos" w:hAnsi="Verdana" w:cs="Arial"/>
          <w:sz w:val="20"/>
          <w:szCs w:val="20"/>
          <w:lang w:val="es-MX" w:eastAsia="es-MX"/>
        </w:rPr>
        <w:t>.</w:t>
      </w:r>
    </w:p>
    <w:p w14:paraId="070E27FD" w14:textId="77777777" w:rsidR="00A85D55" w:rsidRDefault="00A85D55" w:rsidP="00A85D55">
      <w:pPr>
        <w:spacing w:after="0" w:line="276" w:lineRule="auto"/>
        <w:ind w:firstLine="708"/>
        <w:jc w:val="both"/>
        <w:rPr>
          <w:rFonts w:ascii="Verdana" w:eastAsia="Aptos" w:hAnsi="Verdana" w:cs="Arial"/>
          <w:lang w:val="es-MX" w:eastAsia="es-MX"/>
        </w:rPr>
      </w:pPr>
    </w:p>
    <w:p w14:paraId="183832AC" w14:textId="271C119E" w:rsidR="00A85D55" w:rsidRDefault="00A85D55" w:rsidP="008D5BAF">
      <w:pPr>
        <w:spacing w:after="120" w:line="276" w:lineRule="auto"/>
        <w:ind w:firstLine="708"/>
        <w:jc w:val="both"/>
        <w:rPr>
          <w:rFonts w:ascii="Verdana" w:eastAsia="Aptos" w:hAnsi="Verdana" w:cs="Arial"/>
          <w:lang w:eastAsia="es-MX"/>
        </w:rPr>
      </w:pPr>
      <w:r w:rsidRPr="00B720A5">
        <w:rPr>
          <w:rFonts w:ascii="Verdana" w:eastAsia="Aptos" w:hAnsi="Verdana" w:cs="Arial"/>
          <w:lang w:val="es-MX" w:eastAsia="es-MX"/>
        </w:rPr>
        <w:t xml:space="preserve">Como se puede observar, la norma dispone restricciones a la capacidad jurídica de personas naturales </w:t>
      </w:r>
      <w:r>
        <w:rPr>
          <w:rFonts w:ascii="Verdana" w:eastAsia="Aptos" w:hAnsi="Verdana" w:cs="Arial"/>
          <w:lang w:val="es-MX" w:eastAsia="es-MX"/>
        </w:rPr>
        <w:t xml:space="preserve">como representantes legales </w:t>
      </w:r>
      <w:r w:rsidRPr="00B720A5">
        <w:rPr>
          <w:rFonts w:ascii="Verdana" w:eastAsia="Aptos" w:hAnsi="Verdana" w:cs="Arial"/>
          <w:lang w:val="es-MX" w:eastAsia="es-MX"/>
        </w:rPr>
        <w:t xml:space="preserve">en virtud de sus relaciones familiares o vínculos de parentesco, </w:t>
      </w:r>
      <w:r>
        <w:rPr>
          <w:rFonts w:ascii="Verdana" w:eastAsia="Aptos" w:hAnsi="Verdana" w:cs="Arial"/>
          <w:lang w:val="es-MX" w:eastAsia="es-MX"/>
        </w:rPr>
        <w:t xml:space="preserve">o por financiamiento de campañas electorales. </w:t>
      </w:r>
    </w:p>
    <w:p w14:paraId="3EFCA11D" w14:textId="77777777" w:rsidR="00A85D55" w:rsidRPr="00896343" w:rsidRDefault="00A85D55" w:rsidP="00A85D55">
      <w:pPr>
        <w:spacing w:after="120" w:line="276" w:lineRule="auto"/>
        <w:ind w:firstLine="708"/>
        <w:jc w:val="both"/>
        <w:rPr>
          <w:rFonts w:ascii="Verdana" w:eastAsia="Calibri" w:hAnsi="Verdana" w:cs="Arial"/>
          <w:lang w:val="es-ES_tradnl"/>
        </w:rPr>
      </w:pPr>
      <w:r w:rsidRPr="00896343">
        <w:rPr>
          <w:rFonts w:ascii="Verdana" w:eastAsia="Calibri" w:hAnsi="Verdana" w:cs="Arial"/>
          <w:lang w:val="es-ES_tradnl"/>
        </w:rPr>
        <w:t xml:space="preserve">Dichas inhabilidades tienen fundamento en las relaciones familiares o de parentesco, tales como los cónyuges o compañeros permanentes, así como aquellas personas respecto de las cuales se predican relaciones de consanguinidad o afinidad hasta el segundo grado. Esto implica que las referidas causales de inhabilidad se instituyen, única y exclusivamente, con el propósito de limitar la capacidad en la participación en Procesos de Contratación de las </w:t>
      </w:r>
      <w:r w:rsidRPr="00896343">
        <w:rPr>
          <w:rFonts w:ascii="Verdana" w:eastAsia="Calibri" w:hAnsi="Verdana" w:cs="Arial"/>
          <w:lang w:val="es-ES_tradnl"/>
        </w:rPr>
        <w:lastRenderedPageBreak/>
        <w:t>denominadas personas naturales</w:t>
      </w:r>
      <w:r w:rsidRPr="00896343">
        <w:rPr>
          <w:rFonts w:ascii="Verdana" w:eastAsia="Calibri" w:hAnsi="Verdana" w:cs="Arial"/>
          <w:vertAlign w:val="superscript"/>
          <w:lang w:val="es-ES"/>
        </w:rPr>
        <w:footnoteReference w:id="12"/>
      </w:r>
      <w:r w:rsidRPr="00896343">
        <w:rPr>
          <w:rFonts w:ascii="Verdana" w:eastAsia="Calibri" w:hAnsi="Verdana" w:cs="Arial"/>
          <w:lang w:val="es-ES"/>
        </w:rPr>
        <w:t>, esto es, sujetos de derechos y obligaciones de la especie humana unidos entre sí, ya sea por vínculos naturales o jurídicos</w:t>
      </w:r>
      <w:r w:rsidRPr="00896343">
        <w:rPr>
          <w:rFonts w:ascii="Verdana" w:eastAsia="Calibri" w:hAnsi="Verdana" w:cs="Arial"/>
          <w:vertAlign w:val="superscript"/>
          <w:lang w:val="es-ES"/>
        </w:rPr>
        <w:footnoteReference w:id="13"/>
      </w:r>
      <w:r w:rsidRPr="00896343">
        <w:rPr>
          <w:rFonts w:ascii="Verdana" w:eastAsia="Calibri" w:hAnsi="Verdana" w:cs="Arial"/>
          <w:lang w:val="es-ES"/>
        </w:rPr>
        <w:t>.</w:t>
      </w:r>
    </w:p>
    <w:p w14:paraId="7CBDAAF3" w14:textId="77777777" w:rsidR="00A85D55" w:rsidRPr="00B720A5" w:rsidRDefault="00A85D55" w:rsidP="00A85D55">
      <w:pPr>
        <w:spacing w:after="120" w:line="276" w:lineRule="auto"/>
        <w:jc w:val="both"/>
        <w:rPr>
          <w:rFonts w:ascii="Verdana" w:eastAsia="Calibri" w:hAnsi="Verdana" w:cs="Arial"/>
          <w:lang w:val="es-ES_tradnl"/>
        </w:rPr>
      </w:pPr>
      <w:r w:rsidRPr="00896343">
        <w:rPr>
          <w:rFonts w:ascii="Verdana" w:eastAsia="Calibri" w:hAnsi="Verdana" w:cs="Arial"/>
          <w:lang w:val="es-ES_tradnl"/>
        </w:rPr>
        <w:tab/>
        <w:t>Los cónyuges son aquellas personas vinculadas entre sí a través del contrato de matrimonio</w:t>
      </w:r>
      <w:r w:rsidRPr="00896343">
        <w:rPr>
          <w:rFonts w:ascii="Verdana" w:eastAsia="Calibri" w:hAnsi="Verdana" w:cs="Arial"/>
          <w:vertAlign w:val="superscript"/>
          <w:lang w:val="es-ES_tradnl"/>
        </w:rPr>
        <w:footnoteReference w:id="14"/>
      </w:r>
      <w:r w:rsidRPr="00896343">
        <w:rPr>
          <w:rFonts w:ascii="Verdana" w:eastAsia="Calibri" w:hAnsi="Verdana" w:cs="Arial"/>
          <w:lang w:val="es-ES_tradnl"/>
        </w:rPr>
        <w:t>, que puede ser civil o religioso. Mientras que los compañeros permanentes son aquellas personas que integran una comunidad de vida, sin estar casados, denominada unión marital de hecho</w:t>
      </w:r>
      <w:r w:rsidRPr="00896343">
        <w:rPr>
          <w:rFonts w:ascii="Verdana" w:eastAsia="Calibri" w:hAnsi="Verdana" w:cs="Arial"/>
          <w:vertAlign w:val="superscript"/>
          <w:lang w:val="es-ES_tradnl"/>
        </w:rPr>
        <w:footnoteReference w:id="15"/>
      </w:r>
      <w:r w:rsidRPr="00896343">
        <w:rPr>
          <w:rFonts w:ascii="Verdana" w:eastAsia="Calibri" w:hAnsi="Verdana" w:cs="Arial"/>
          <w:lang w:val="es-ES_tradnl"/>
        </w:rPr>
        <w:t>. Tratándose de compañeros permanentes, la Corte Constitucional extendió los efectos de la inhabilidad objeto de estudio a las parejas del mismo sexo, considerando la protección o salvaguarda del principio de igualdad</w:t>
      </w:r>
      <w:r w:rsidRPr="00896343">
        <w:rPr>
          <w:rFonts w:ascii="Verdana" w:eastAsia="Calibri" w:hAnsi="Verdana" w:cs="Arial"/>
          <w:vertAlign w:val="superscript"/>
          <w:lang w:val="es-ES_tradnl"/>
        </w:rPr>
        <w:footnoteReference w:id="16"/>
      </w:r>
      <w:r w:rsidRPr="00896343">
        <w:rPr>
          <w:rFonts w:ascii="Verdana" w:eastAsia="Calibri" w:hAnsi="Verdana" w:cs="Arial"/>
          <w:lang w:val="es-ES_tradnl"/>
        </w:rPr>
        <w:t>.</w:t>
      </w:r>
    </w:p>
    <w:p w14:paraId="13542F2E" w14:textId="77777777" w:rsidR="00A85D55" w:rsidRDefault="00A85D55" w:rsidP="008D5BAF">
      <w:pPr>
        <w:spacing w:after="120" w:line="276" w:lineRule="auto"/>
        <w:ind w:firstLine="709"/>
        <w:jc w:val="both"/>
        <w:rPr>
          <w:rFonts w:ascii="Verdana" w:eastAsia="Calibri" w:hAnsi="Verdana" w:cs="Arial"/>
          <w:lang w:val="es-ES_tradnl" w:eastAsia="es-CO"/>
        </w:rPr>
      </w:pPr>
      <w:r w:rsidRPr="00896343">
        <w:rPr>
          <w:rFonts w:ascii="Verdana" w:eastAsia="Calibri" w:hAnsi="Verdana" w:cs="Arial"/>
          <w:lang w:val="es-ES_tradnl" w:eastAsia="es-CO"/>
        </w:rPr>
        <w:t xml:space="preserve">La Corte Constitucional justifica estas inhabilidades en la medida que garantizan la competencia en igualdad de oportunidades para los proponentes que participan en los </w:t>
      </w:r>
      <w:r w:rsidRPr="007B2088">
        <w:rPr>
          <w:rFonts w:ascii="Verdana" w:eastAsia="Calibri" w:hAnsi="Verdana" w:cs="Arial"/>
          <w:lang w:val="es-ES_tradnl" w:eastAsia="es-CO"/>
        </w:rPr>
        <w:t>procesos de contratación</w:t>
      </w:r>
      <w:r w:rsidRPr="00896343">
        <w:rPr>
          <w:rFonts w:ascii="Verdana" w:eastAsia="Calibri" w:hAnsi="Verdana" w:cs="Arial"/>
          <w:lang w:val="es-ES_tradnl" w:eastAsia="es-CO"/>
        </w:rPr>
        <w:t xml:space="preserve">, así como la selección objetiva del contratista que se traduce en la obtención de mejores condiciones en la celebración del negocio jurídico propuesto por la Entidad Estatal contratante, materializándose los fines de la contratación estatal, especialmente, la satisfacción del interés general. </w:t>
      </w:r>
    </w:p>
    <w:p w14:paraId="1FA2B7C7" w14:textId="77777777" w:rsidR="00A85D55" w:rsidRDefault="00A85D55" w:rsidP="008D5BAF">
      <w:pPr>
        <w:spacing w:after="120" w:line="276" w:lineRule="auto"/>
        <w:ind w:firstLine="709"/>
        <w:jc w:val="both"/>
        <w:rPr>
          <w:rFonts w:ascii="Verdana" w:eastAsia="Calibri" w:hAnsi="Verdana" w:cs="Arial"/>
          <w:lang w:val="es-ES" w:eastAsia="es-CO"/>
        </w:rPr>
      </w:pPr>
      <w:r w:rsidRPr="00896343">
        <w:rPr>
          <w:rFonts w:ascii="Verdana" w:eastAsia="Calibri" w:hAnsi="Verdana" w:cs="Arial"/>
          <w:i/>
          <w:iCs/>
          <w:lang w:val="es-ES" w:eastAsia="es-CO"/>
        </w:rPr>
        <w:t>Contrario sensu</w:t>
      </w:r>
      <w:r w:rsidRPr="00896343">
        <w:rPr>
          <w:rFonts w:ascii="Verdana" w:eastAsia="Calibri" w:hAnsi="Verdana" w:cs="Arial"/>
          <w:lang w:val="es-ES" w:eastAsia="es-CO"/>
        </w:rPr>
        <w:t xml:space="preserve">, en virtud de la lealtad e intimidad propias de las relaciones familiares, la participación en </w:t>
      </w:r>
      <w:r w:rsidRPr="795AA69A">
        <w:rPr>
          <w:rFonts w:ascii="Verdana" w:eastAsia="Calibri" w:hAnsi="Verdana" w:cs="Arial"/>
          <w:lang w:val="es-ES" w:eastAsia="es-CO"/>
        </w:rPr>
        <w:t>procesos de contratación</w:t>
      </w:r>
      <w:r w:rsidRPr="00896343">
        <w:rPr>
          <w:rFonts w:ascii="Verdana" w:eastAsia="Calibri" w:hAnsi="Verdana" w:cs="Arial"/>
          <w:lang w:val="es-ES" w:eastAsia="es-CO"/>
        </w:rPr>
        <w:t xml:space="preserve"> de personas unidas por vínculos familiares frustran la igualdad de oportunidades entre los participantes, así como la obtención de mejores condiciones de contratación para el Estado, pues los miembros de una misma familia pueden concertar entre sí con el propósito de hacerse al contrato y obtener un provecho económico, en perjuicio tanto de los demás participantes como del Estado, y en contravía de </w:t>
      </w:r>
      <w:r w:rsidRPr="00896343">
        <w:rPr>
          <w:rFonts w:ascii="Verdana" w:eastAsia="Calibri" w:hAnsi="Verdana" w:cs="Arial"/>
          <w:lang w:val="es-ES" w:eastAsia="es-CO"/>
        </w:rPr>
        <w:lastRenderedPageBreak/>
        <w:t xml:space="preserve">los principios que rigen la contratación pública y la función administrativa, especialmente, los de transparencia y moralidad. </w:t>
      </w:r>
    </w:p>
    <w:p w14:paraId="40710C62" w14:textId="77777777" w:rsidR="00A85D55" w:rsidRPr="00896343" w:rsidRDefault="00A85D55" w:rsidP="00A85D55">
      <w:pPr>
        <w:spacing w:before="120" w:after="0" w:line="276" w:lineRule="auto"/>
        <w:ind w:firstLine="709"/>
        <w:jc w:val="both"/>
        <w:rPr>
          <w:rFonts w:ascii="Verdana" w:eastAsia="Calibri" w:hAnsi="Verdana" w:cs="Arial"/>
          <w:lang w:val="es-ES_tradnl" w:eastAsia="es-CO"/>
        </w:rPr>
      </w:pPr>
      <w:r w:rsidRPr="00896343">
        <w:rPr>
          <w:rFonts w:ascii="Verdana" w:eastAsia="Calibri" w:hAnsi="Verdana" w:cs="Arial"/>
          <w:lang w:val="es-ES_tradnl" w:eastAsia="es-CO"/>
        </w:rPr>
        <w:t>Por esas razones, la jurisprudencia explica que:</w:t>
      </w:r>
    </w:p>
    <w:p w14:paraId="4BF4E331" w14:textId="77777777" w:rsidR="00A85D55" w:rsidRPr="00896343" w:rsidRDefault="00A85D55" w:rsidP="00A85D55">
      <w:pPr>
        <w:spacing w:after="0" w:line="240" w:lineRule="auto"/>
        <w:ind w:left="709" w:right="709"/>
        <w:jc w:val="both"/>
        <w:rPr>
          <w:rFonts w:ascii="Verdana" w:eastAsia="Times New Roman" w:hAnsi="Verdana" w:cs="Arial"/>
          <w:sz w:val="21"/>
          <w:szCs w:val="21"/>
          <w:lang w:eastAsia="es-CO"/>
        </w:rPr>
      </w:pPr>
    </w:p>
    <w:p w14:paraId="0CBCB59B" w14:textId="77777777" w:rsidR="00A85D55" w:rsidRPr="00896343" w:rsidRDefault="00A85D55" w:rsidP="00A85D55">
      <w:pPr>
        <w:spacing w:after="0" w:line="240" w:lineRule="auto"/>
        <w:ind w:left="709" w:right="709"/>
        <w:jc w:val="both"/>
        <w:rPr>
          <w:rFonts w:ascii="Verdana" w:eastAsia="Times New Roman" w:hAnsi="Verdana" w:cs="Arial"/>
          <w:sz w:val="20"/>
          <w:szCs w:val="20"/>
          <w:lang w:eastAsia="es-CO"/>
        </w:rPr>
      </w:pPr>
      <w:r w:rsidRPr="00896343">
        <w:rPr>
          <w:rFonts w:ascii="Verdana" w:eastAsia="Times New Roman" w:hAnsi="Verdana" w:cs="Arial"/>
          <w:sz w:val="20"/>
          <w:szCs w:val="20"/>
          <w:lang w:eastAsia="es-CO"/>
        </w:rPr>
        <w:t>“Concluye la Corte que dado que los intereses de los miembros de una familia, tienen una alta probabilidad de incidir negativamente en la consecución de los objetivos que el Estado se traza al abrir una licitación o concurso, vale decir, obtener las mejores condiciones y promover al máximo la igualdad de acceso de los particulares, se justifica que en este caso, en razón del interés general, se dicte una regla que restrinja su participación”</w:t>
      </w:r>
      <w:r w:rsidRPr="00896343">
        <w:rPr>
          <w:rFonts w:ascii="Verdana" w:eastAsia="Calibri" w:hAnsi="Verdana" w:cs="Arial"/>
          <w:sz w:val="20"/>
          <w:szCs w:val="20"/>
          <w:vertAlign w:val="superscript"/>
          <w:lang w:val="es-ES_tradnl" w:eastAsia="es-CO"/>
        </w:rPr>
        <w:t xml:space="preserve"> </w:t>
      </w:r>
      <w:r w:rsidRPr="00896343">
        <w:rPr>
          <w:rFonts w:ascii="Verdana" w:eastAsia="Calibri" w:hAnsi="Verdana" w:cs="Arial"/>
          <w:sz w:val="20"/>
          <w:szCs w:val="20"/>
          <w:vertAlign w:val="superscript"/>
          <w:lang w:val="es-ES_tradnl" w:eastAsia="es-CO"/>
        </w:rPr>
        <w:footnoteReference w:id="17"/>
      </w:r>
      <w:r w:rsidRPr="00896343">
        <w:rPr>
          <w:rFonts w:ascii="Verdana" w:eastAsia="Times New Roman" w:hAnsi="Verdana" w:cs="Arial"/>
          <w:sz w:val="20"/>
          <w:szCs w:val="20"/>
          <w:lang w:eastAsia="es-CO"/>
        </w:rPr>
        <w:t>.</w:t>
      </w:r>
    </w:p>
    <w:p w14:paraId="3E8FB6E1" w14:textId="77777777" w:rsidR="00A85D55" w:rsidRPr="00896343" w:rsidRDefault="00A85D55" w:rsidP="00A85D55">
      <w:pPr>
        <w:spacing w:after="0"/>
        <w:ind w:firstLine="709"/>
        <w:jc w:val="both"/>
        <w:rPr>
          <w:rFonts w:ascii="Verdana" w:eastAsia="Calibri" w:hAnsi="Verdana" w:cs="Arial"/>
          <w:lang w:val="es-ES_tradnl"/>
        </w:rPr>
      </w:pPr>
    </w:p>
    <w:p w14:paraId="2A6798BA" w14:textId="77777777" w:rsidR="00A85D55" w:rsidRPr="00896343" w:rsidRDefault="00A85D55" w:rsidP="00A85D55">
      <w:pPr>
        <w:spacing w:after="120" w:line="276" w:lineRule="auto"/>
        <w:ind w:firstLine="709"/>
        <w:jc w:val="both"/>
        <w:rPr>
          <w:rFonts w:ascii="Verdana" w:eastAsia="Calibri" w:hAnsi="Verdana" w:cs="Arial"/>
          <w:lang w:val="es-ES_tradnl"/>
        </w:rPr>
      </w:pPr>
      <w:r w:rsidRPr="00896343">
        <w:rPr>
          <w:rFonts w:ascii="Verdana" w:eastAsia="Calibri" w:hAnsi="Verdana" w:cs="Arial"/>
        </w:rPr>
        <w:t>A su vez, el Consejo de Estado reconoce que, si bien estas inhabilidades son una limitación a la libertad negocial de las personas, las mismas se justifican en la medida que previene la utilización de factores de poder, consecuencia de relaciones familiares, cuyo propósito es obtener un provecho económico individual, en perjuicio del interés general que prevalece en el ejercicio de la función pública</w:t>
      </w:r>
      <w:r w:rsidRPr="00896343">
        <w:rPr>
          <w:rFonts w:ascii="Verdana" w:eastAsia="Calibri" w:hAnsi="Verdana" w:cs="Arial"/>
          <w:vertAlign w:val="superscript"/>
        </w:rPr>
        <w:footnoteReference w:id="18"/>
      </w:r>
      <w:r w:rsidRPr="00896343">
        <w:rPr>
          <w:rFonts w:ascii="Verdana" w:eastAsia="Calibri" w:hAnsi="Verdana" w:cs="Arial"/>
        </w:rPr>
        <w:t>.</w:t>
      </w:r>
      <w:r w:rsidRPr="00896343">
        <w:rPr>
          <w:rFonts w:ascii="Verdana" w:eastAsia="Calibri" w:hAnsi="Verdana" w:cs="Arial"/>
          <w:lang w:val="es-ES_tradnl"/>
        </w:rPr>
        <w:tab/>
      </w:r>
    </w:p>
    <w:p w14:paraId="635AD9E1" w14:textId="77777777" w:rsidR="00A85D55" w:rsidRDefault="00A85D55" w:rsidP="00A85D55">
      <w:pPr>
        <w:spacing w:after="120" w:line="276" w:lineRule="auto"/>
        <w:ind w:firstLine="709"/>
        <w:jc w:val="both"/>
        <w:rPr>
          <w:rFonts w:ascii="Verdana" w:eastAsia="Calibri" w:hAnsi="Verdana" w:cs="Arial"/>
          <w:color w:val="000000"/>
          <w:lang w:val="es-ES"/>
        </w:rPr>
      </w:pPr>
      <w:r>
        <w:rPr>
          <w:rFonts w:ascii="Verdana" w:eastAsia="Calibri" w:hAnsi="Verdana" w:cs="Arial"/>
          <w:lang w:val="es-ES"/>
        </w:rPr>
        <w:t>Ahora bien, para el problema jurídico expuesto en esta consulta, tenemos que la doble calidad de la persona natural como contratista y representante legal suplente de una sociedad comercial</w:t>
      </w:r>
      <w:r w:rsidRPr="00140995">
        <w:rPr>
          <w:rFonts w:ascii="Verdana" w:hAnsi="Verdana"/>
          <w:color w:val="000000" w:themeColor="text1"/>
        </w:rPr>
        <w:t xml:space="preserve"> </w:t>
      </w:r>
      <w:r>
        <w:rPr>
          <w:rFonts w:ascii="Verdana" w:hAnsi="Verdana"/>
          <w:color w:val="000000" w:themeColor="text1"/>
        </w:rPr>
        <w:t xml:space="preserve">que es contratista del estado </w:t>
      </w:r>
      <w:r w:rsidRPr="00140995">
        <w:rPr>
          <w:rFonts w:ascii="Verdana" w:hAnsi="Verdana"/>
          <w:color w:val="000000" w:themeColor="text1"/>
        </w:rPr>
        <w:t xml:space="preserve">no comportan </w:t>
      </w:r>
      <w:bookmarkStart w:id="3" w:name="_Hlk143237097"/>
      <w:r>
        <w:rPr>
          <w:rFonts w:ascii="Verdana" w:hAnsi="Verdana"/>
          <w:color w:val="000000" w:themeColor="text1"/>
        </w:rPr>
        <w:t>una inhabilidad o incompatibilidad</w:t>
      </w:r>
      <w:r w:rsidRPr="00896343">
        <w:rPr>
          <w:rFonts w:ascii="Verdana" w:eastAsia="Calibri" w:hAnsi="Verdana" w:cs="Arial"/>
          <w:lang w:val="es-ES_tradnl"/>
        </w:rPr>
        <w:t xml:space="preserve"> </w:t>
      </w:r>
      <w:r>
        <w:rPr>
          <w:rFonts w:ascii="Verdana" w:eastAsia="Calibri" w:hAnsi="Verdana" w:cs="Arial"/>
          <w:lang w:val="es-ES_tradnl"/>
        </w:rPr>
        <w:t xml:space="preserve">de las dispuestas en el </w:t>
      </w:r>
      <w:r w:rsidRPr="00896343">
        <w:rPr>
          <w:rFonts w:ascii="Verdana" w:eastAsia="Calibri" w:hAnsi="Verdana" w:cs="Arial"/>
          <w:lang w:val="es-ES_tradnl"/>
        </w:rPr>
        <w:t>artículo 8 de la Ley 80 de 1993</w:t>
      </w:r>
      <w:bookmarkEnd w:id="3"/>
      <w:r w:rsidRPr="00896343">
        <w:rPr>
          <w:rFonts w:ascii="Verdana" w:eastAsia="Calibri" w:hAnsi="Verdana" w:cs="Arial"/>
          <w:lang w:val="es-ES_tradnl"/>
        </w:rPr>
        <w:t>.</w:t>
      </w:r>
      <w:r w:rsidRPr="596E802C">
        <w:rPr>
          <w:rFonts w:ascii="Verdana" w:eastAsia="Calibri" w:hAnsi="Verdana" w:cs="Arial"/>
          <w:lang w:val="es-ES"/>
        </w:rPr>
        <w:t xml:space="preserve">No obstante lo anterior, otras limitaciones a la capacidad de las personas naturales pueden provenir de los conflictos de interés. </w:t>
      </w:r>
      <w:r w:rsidRPr="596E802C">
        <w:rPr>
          <w:rFonts w:ascii="Verdana" w:eastAsia="Calibri" w:hAnsi="Verdana" w:cs="Arial"/>
          <w:color w:val="000000" w:themeColor="text1"/>
          <w:lang w:val="es-ES"/>
        </w:rPr>
        <w:t xml:space="preserve">Al respecto, debe señalarse que, 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w:t>
      </w:r>
    </w:p>
    <w:p w14:paraId="2F65836D" w14:textId="77777777" w:rsidR="00A85D55" w:rsidRPr="00896343" w:rsidRDefault="00A85D55" w:rsidP="00A85D55">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themeColor="text1"/>
          <w:lang w:val="es-ES"/>
        </w:rPr>
        <w:t xml:space="preserve">En desarrollo de esta directriz, </w:t>
      </w:r>
      <w:bookmarkStart w:id="4" w:name="_Hlk36672204"/>
      <w:r w:rsidRPr="00896343">
        <w:rPr>
          <w:rFonts w:ascii="Verdana" w:eastAsia="Calibri" w:hAnsi="Verdana" w:cs="Arial"/>
          <w:color w:val="000000" w:themeColor="text1"/>
          <w:lang w:val="es-ES"/>
        </w:rPr>
        <w:t xml:space="preserve">el régimen de los </w:t>
      </w:r>
      <w:r w:rsidRPr="00896343">
        <w:rPr>
          <w:rFonts w:ascii="Verdana" w:eastAsia="Calibri" w:hAnsi="Verdana" w:cs="Arial"/>
          <w:i/>
          <w:iCs/>
          <w:color w:val="000000" w:themeColor="text1"/>
          <w:lang w:val="es-ES"/>
        </w:rPr>
        <w:t>conflictos de interés</w:t>
      </w:r>
      <w:r w:rsidRPr="00896343">
        <w:rPr>
          <w:rFonts w:ascii="Verdana" w:eastAsia="Calibri" w:hAnsi="Verdana" w:cs="Arial"/>
          <w:color w:val="000000" w:themeColor="text1"/>
          <w:lang w:val="es-ES"/>
        </w:rPr>
        <w:t xml:space="preserve"> tiene como objetivo la prevalencia del bien común sobre el particular, razón por la cual se configuran cuando los servidores públicos </w:t>
      </w:r>
      <w:r>
        <w:rPr>
          <w:rFonts w:ascii="Verdana" w:eastAsia="Calibri" w:hAnsi="Verdana" w:cs="Arial"/>
          <w:color w:val="000000" w:themeColor="text1"/>
          <w:lang w:val="es-ES"/>
        </w:rPr>
        <w:t xml:space="preserve">o contratistas </w:t>
      </w:r>
      <w:r w:rsidRPr="00896343">
        <w:rPr>
          <w:rFonts w:ascii="Verdana" w:eastAsia="Calibri" w:hAnsi="Verdana" w:cs="Arial"/>
          <w:color w:val="000000" w:themeColor="text1"/>
          <w:lang w:val="es-ES"/>
        </w:rPr>
        <w:t xml:space="preserve">actúan </w:t>
      </w:r>
      <w:r w:rsidRPr="00896343">
        <w:rPr>
          <w:rFonts w:ascii="Verdana" w:eastAsia="Calibri" w:hAnsi="Verdana" w:cs="Arial"/>
          <w:color w:val="000000" w:themeColor="text1"/>
          <w:lang w:val="es-ES"/>
        </w:rPr>
        <w:lastRenderedPageBreak/>
        <w:t xml:space="preserve">influenciados por consideraciones personales que colisionan con el deber de preservar su independencia e imparcialidad. En este sentido, se definen como la </w:t>
      </w:r>
      <w:bookmarkStart w:id="5" w:name="_Hlk36668905"/>
      <w:r w:rsidRPr="00896343">
        <w:rPr>
          <w:rFonts w:ascii="Verdana" w:eastAsia="Calibri" w:hAnsi="Verdana" w:cs="Arial"/>
          <w:color w:val="000000" w:themeColor="text1"/>
          <w:lang w:val="es-ES"/>
        </w:rPr>
        <w:t>concurrencia de intereses antagónicos que afectan la transparencia de las decisiones, al implicar –en detrimento del interés general– el aprovechamiento personal, familiar o particular</w:t>
      </w:r>
      <w:bookmarkEnd w:id="4"/>
      <w:bookmarkEnd w:id="5"/>
      <w:r w:rsidRPr="00896343">
        <w:rPr>
          <w:rFonts w:ascii="Verdana" w:eastAsia="Calibri" w:hAnsi="Verdana" w:cs="Arial"/>
          <w:color w:val="000000"/>
          <w:vertAlign w:val="superscript"/>
          <w:lang w:val="es-ES_tradnl"/>
        </w:rPr>
        <w:footnoteReference w:id="19"/>
      </w:r>
      <w:r w:rsidRPr="00896343">
        <w:rPr>
          <w:rFonts w:ascii="Verdana" w:eastAsia="Calibri" w:hAnsi="Verdana" w:cs="Arial"/>
          <w:color w:val="000000" w:themeColor="text1"/>
          <w:lang w:val="es-ES"/>
        </w:rPr>
        <w:t>.</w:t>
      </w:r>
    </w:p>
    <w:p w14:paraId="646FBBA5" w14:textId="77777777" w:rsidR="00A85D55" w:rsidRDefault="00A85D55" w:rsidP="00A85D55">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lang w:val="es-ES"/>
        </w:rPr>
        <w:t xml:space="preserve">La institución jurídica de los conflictos de interés no está definida con carácter general en el ordenamiento jurídico y tampoco de forma precisa en las normas que regulan la contratación estatal, por lo que es un asunto ausente en el EGCAP. No obstante, existen disposiciones especiales como el régimen de los congresistas, de los concejales o el régimen disciplinario de los servidores públicos, donde se definen causales de conflictos de interés. En todo caso, la satisfacción del principio de moralidad, el deber de probidad y rectitud también se exige a los contratistas. </w:t>
      </w:r>
    </w:p>
    <w:p w14:paraId="2D7E9AFC" w14:textId="77777777" w:rsidR="00A85D55" w:rsidRPr="00896343" w:rsidRDefault="00A85D55" w:rsidP="00A85D55">
      <w:pPr>
        <w:spacing w:after="120" w:line="276" w:lineRule="auto"/>
        <w:ind w:firstLine="708"/>
        <w:jc w:val="both"/>
        <w:rPr>
          <w:rFonts w:ascii="Verdana" w:eastAsia="Calibri" w:hAnsi="Verdana" w:cs="Arial"/>
          <w:color w:val="000000"/>
          <w:lang w:val="es-ES"/>
        </w:rPr>
      </w:pPr>
      <w:r w:rsidRPr="00896343">
        <w:rPr>
          <w:rFonts w:ascii="Verdana" w:eastAsia="Calibri" w:hAnsi="Verdana" w:cs="Arial"/>
          <w:color w:val="000000"/>
          <w:lang w:val="es-ES"/>
        </w:rPr>
        <w:t xml:space="preserve">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6D0C7A8E" w14:textId="77777777" w:rsidR="00A85D55" w:rsidRPr="008557D1" w:rsidRDefault="00A85D55" w:rsidP="00A85D55">
      <w:pPr>
        <w:widowControl w:val="0"/>
        <w:autoSpaceDE w:val="0"/>
        <w:autoSpaceDN w:val="0"/>
        <w:spacing w:after="120" w:line="276" w:lineRule="auto"/>
        <w:ind w:firstLine="709"/>
        <w:jc w:val="both"/>
        <w:rPr>
          <w:rFonts w:ascii="Verdana" w:eastAsia="Arial MT" w:hAnsi="Verdana" w:cs="Arial"/>
          <w:lang w:eastAsia="es-ES" w:bidi="es-ES"/>
        </w:rPr>
      </w:pPr>
      <w:r w:rsidRPr="008557D1">
        <w:rPr>
          <w:rFonts w:ascii="Verdana" w:eastAsia="Arial MT" w:hAnsi="Verdana" w:cs="Arial"/>
          <w:lang w:eastAsia="es-ES" w:bidi="es-ES"/>
        </w:rPr>
        <w:t xml:space="preserve">En conclusión, </w:t>
      </w:r>
      <w:r>
        <w:rPr>
          <w:rFonts w:ascii="Verdana" w:eastAsia="Arial MT" w:hAnsi="Verdana" w:cs="Arial"/>
          <w:lang w:eastAsia="es-ES" w:bidi="es-ES"/>
        </w:rPr>
        <w:t>para analizar el caso puesto en consideración de esta Agencia deberá revisarse si se encuadra en una de las</w:t>
      </w:r>
      <w:r w:rsidRPr="008557D1">
        <w:rPr>
          <w:rFonts w:ascii="Verdana" w:eastAsia="Arial MT" w:hAnsi="Verdana" w:cs="Arial"/>
          <w:lang w:eastAsia="es-ES" w:bidi="es-ES"/>
        </w:rPr>
        <w:t xml:space="preserve"> causal</w:t>
      </w:r>
      <w:r>
        <w:rPr>
          <w:rFonts w:ascii="Verdana" w:eastAsia="Arial MT" w:hAnsi="Verdana" w:cs="Arial"/>
          <w:lang w:eastAsia="es-ES" w:bidi="es-ES"/>
        </w:rPr>
        <w:t>es</w:t>
      </w:r>
      <w:r w:rsidRPr="008557D1">
        <w:rPr>
          <w:rFonts w:ascii="Verdana" w:eastAsia="Arial MT" w:hAnsi="Verdana" w:cs="Arial"/>
          <w:lang w:eastAsia="es-ES" w:bidi="es-ES"/>
        </w:rPr>
        <w:t xml:space="preserve"> de inhabilidad</w:t>
      </w:r>
      <w:r>
        <w:rPr>
          <w:rFonts w:ascii="Verdana" w:eastAsia="Arial MT" w:hAnsi="Verdana" w:cs="Arial"/>
          <w:lang w:eastAsia="es-ES" w:bidi="es-ES"/>
        </w:rPr>
        <w:t xml:space="preserve"> establecidas en el EGCAP</w:t>
      </w:r>
      <w:r w:rsidRPr="008557D1">
        <w:rPr>
          <w:rFonts w:ascii="Verdana" w:eastAsia="Arial MT" w:hAnsi="Verdana" w:cs="Arial"/>
          <w:lang w:eastAsia="es-ES" w:bidi="es-ES"/>
        </w:rPr>
        <w:t xml:space="preserve">. Sin embargo, la entidad contratante deberá identificar cualquier conducta que pueda llegar a tener la connotación de un conflicto de interés, producto de la concurrencia de intereses antagónicos en el </w:t>
      </w:r>
      <w:r>
        <w:rPr>
          <w:rFonts w:ascii="Verdana" w:eastAsia="Arial MT" w:hAnsi="Verdana" w:cs="Arial"/>
          <w:lang w:eastAsia="es-ES" w:bidi="es-ES"/>
        </w:rPr>
        <w:t>servidor público o contratista</w:t>
      </w:r>
      <w:r w:rsidRPr="008557D1">
        <w:rPr>
          <w:rFonts w:ascii="Verdana" w:eastAsia="Arial MT" w:hAnsi="Verdana" w:cs="Arial"/>
          <w:lang w:eastAsia="es-ES" w:bidi="es-ES"/>
        </w:rPr>
        <w:t xml:space="preserve"> que afecten la transparencia de las decisiones que le competen o lo lleven a adoptar determinaciones de aprovechamiento personal, familiar o particular, en detrimento del interés público. En estos casos, es necesario que el conflicto de interés satisfaga los requisitos de</w:t>
      </w:r>
      <w:r w:rsidRPr="008557D1">
        <w:rPr>
          <w:rFonts w:ascii="Verdana" w:eastAsia="Arial MT" w:hAnsi="Verdana" w:cs="Arial"/>
          <w:i/>
          <w:iCs/>
          <w:lang w:eastAsia="es-ES" w:bidi="es-ES"/>
        </w:rPr>
        <w:t xml:space="preserve"> tipicidad</w:t>
      </w:r>
      <w:r w:rsidRPr="008557D1">
        <w:rPr>
          <w:rFonts w:ascii="Verdana" w:eastAsia="Arial MT" w:hAnsi="Verdana" w:cs="Arial"/>
          <w:lang w:eastAsia="es-ES" w:bidi="es-ES"/>
        </w:rPr>
        <w:t xml:space="preserve"> y </w:t>
      </w:r>
      <w:r w:rsidRPr="008557D1">
        <w:rPr>
          <w:rFonts w:ascii="Verdana" w:eastAsia="Arial MT" w:hAnsi="Verdana" w:cs="Arial"/>
          <w:i/>
          <w:iCs/>
          <w:lang w:eastAsia="es-ES" w:bidi="es-ES"/>
        </w:rPr>
        <w:t xml:space="preserve">objetividad. </w:t>
      </w:r>
    </w:p>
    <w:p w14:paraId="12C67E98" w14:textId="77777777" w:rsidR="00A85D55" w:rsidRPr="00A81BB5" w:rsidRDefault="00A85D55" w:rsidP="008D5BAF">
      <w:pPr>
        <w:widowControl w:val="0"/>
        <w:autoSpaceDE w:val="0"/>
        <w:autoSpaceDN w:val="0"/>
        <w:spacing w:after="120" w:line="276" w:lineRule="auto"/>
        <w:ind w:firstLine="708"/>
        <w:jc w:val="both"/>
        <w:rPr>
          <w:rFonts w:ascii="Verdana" w:eastAsia="Calibri" w:hAnsi="Verdana" w:cs="Arial"/>
        </w:rPr>
      </w:pPr>
      <w:r w:rsidRPr="008557D1">
        <w:rPr>
          <w:rFonts w:ascii="Verdana" w:eastAsia="Calibri" w:hAnsi="Verdana" w:cs="Arial"/>
          <w:lang w:val="es-ES_tradnl"/>
        </w:rPr>
        <w:t xml:space="preserve">Bajo estas consideraciones, </w:t>
      </w:r>
      <w:r w:rsidRPr="00FB49A3">
        <w:rPr>
          <w:rFonts w:ascii="Verdana" w:eastAsia="Calibri" w:hAnsi="Verdana" w:cs="Arial"/>
        </w:rPr>
        <w:t xml:space="preserve">al tratarse de un análisis que debe realizarse </w:t>
      </w:r>
      <w:r w:rsidRPr="00FB49A3">
        <w:rPr>
          <w:rFonts w:ascii="Verdana" w:eastAsia="Calibri" w:hAnsi="Verdana" w:cs="Arial"/>
        </w:rPr>
        <w:lastRenderedPageBreak/>
        <w:t xml:space="preserve">en cada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w:t>
      </w:r>
      <w:r w:rsidRPr="008557D1">
        <w:rPr>
          <w:rFonts w:ascii="Verdana" w:eastAsia="Calibri" w:hAnsi="Verdana" w:cs="Arial"/>
          <w:lang w:val="es-ES_tradnl"/>
        </w:rPr>
        <w:t>corresponde a cada entidad pública, en ejercicio de su competencia y previa valoración de los elementos fácticos y jurídicos</w:t>
      </w:r>
      <w:r w:rsidRPr="00FB49A3">
        <w:rPr>
          <w:rFonts w:ascii="Verdana" w:eastAsia="Calibri" w:hAnsi="Verdana" w:cs="Arial"/>
        </w:rPr>
        <w:t xml:space="preserve"> definir la forma de adelantar su gestión contractual, sin que sea atribución de Colombia Compra Eficiente validar sus actuaciones.</w:t>
      </w:r>
    </w:p>
    <w:p w14:paraId="63F33B00" w14:textId="77777777" w:rsidR="00A85D55" w:rsidRPr="00BC405A" w:rsidRDefault="00A85D55" w:rsidP="00A85D55">
      <w:pPr>
        <w:shd w:val="clear" w:color="auto" w:fill="FFFFFF" w:themeFill="background1"/>
        <w:spacing w:after="0" w:line="276" w:lineRule="auto"/>
        <w:ind w:firstLine="709"/>
        <w:jc w:val="both"/>
        <w:textAlignment w:val="baseline"/>
        <w:rPr>
          <w:rFonts w:ascii="Verdana" w:hAnsi="Verdana"/>
          <w:color w:val="000000" w:themeColor="text1"/>
          <w:lang w:val="es-ES_tradnl"/>
        </w:rPr>
      </w:pPr>
      <w:r w:rsidRPr="00BC405A">
        <w:rPr>
          <w:rFonts w:ascii="Verdana" w:eastAsia="Calibri" w:hAnsi="Verdana" w:cs="Arial"/>
          <w:bCs/>
          <w:color w:val="000000" w:themeColor="text1"/>
          <w:lang w:val="es-ES_tradnl"/>
        </w:rPr>
        <w:t xml:space="preserve">Por último, respecto </w:t>
      </w:r>
      <w:r>
        <w:rPr>
          <w:rFonts w:ascii="Verdana" w:eastAsia="Calibri" w:hAnsi="Verdana" w:cs="Arial"/>
          <w:bCs/>
          <w:color w:val="000000" w:themeColor="text1"/>
          <w:lang w:val="es-ES_tradnl"/>
        </w:rPr>
        <w:t>a las consecuencias para los ordenadores del gasto frente a la inobservancia del régimen de inhabilidades, incompatibilidades o prohibiciones para contratar</w:t>
      </w:r>
      <w:r w:rsidRPr="00BC405A">
        <w:rPr>
          <w:rFonts w:ascii="Verdana" w:eastAsia="Calibri" w:hAnsi="Verdana" w:cs="Arial"/>
          <w:bCs/>
          <w:color w:val="000000" w:themeColor="text1"/>
          <w:lang w:val="es-ES_tradnl"/>
        </w:rPr>
        <w:t>, esta Agencia no tiene competencia para la interpretación de normas que no hagan parte del sistema de compras públicas, ni determinar la responsabilidad de naturaleza disciplinaria, penal o fiscal, por cuanto serán las autoridades competentes en cada materia quienes determinen los efectos jurídicos de su inobservancia.</w:t>
      </w:r>
      <w:r w:rsidRPr="00BC405A">
        <w:rPr>
          <w:rFonts w:ascii="Verdana" w:eastAsia="Calibri" w:hAnsi="Verdana" w:cs="Arial"/>
          <w:bCs/>
          <w:color w:val="000000" w:themeColor="text1"/>
          <w:lang w:val="es-ES_tradnl"/>
        </w:rPr>
        <w:tab/>
      </w:r>
    </w:p>
    <w:p w14:paraId="052B482B" w14:textId="77777777" w:rsidR="00A85D55" w:rsidRPr="00593A5F" w:rsidRDefault="00A85D55" w:rsidP="00A85D55">
      <w:pPr>
        <w:widowControl w:val="0"/>
        <w:autoSpaceDE w:val="0"/>
        <w:autoSpaceDN w:val="0"/>
        <w:spacing w:after="0" w:line="276" w:lineRule="auto"/>
        <w:jc w:val="both"/>
        <w:rPr>
          <w:rFonts w:ascii="Verdana" w:hAnsi="Verdana" w:cs="Arial"/>
        </w:rPr>
      </w:pPr>
    </w:p>
    <w:p w14:paraId="687C52F0" w14:textId="77777777" w:rsidR="00A85D55" w:rsidRPr="00593A5F" w:rsidRDefault="00A85D55" w:rsidP="00A85D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486BFAC" w14:textId="77777777" w:rsidR="00A85D55" w:rsidRPr="00593A5F" w:rsidRDefault="00A85D55" w:rsidP="00A85D5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85D55" w:rsidRPr="00593A5F" w14:paraId="58EA6BBC" w14:textId="77777777" w:rsidTr="001F3D02">
        <w:trPr>
          <w:trHeight w:val="870"/>
        </w:trPr>
        <w:tc>
          <w:tcPr>
            <w:tcW w:w="8647" w:type="dxa"/>
          </w:tcPr>
          <w:p w14:paraId="6FCF560F" w14:textId="76301809" w:rsidR="00F47F56" w:rsidRPr="00461CD3" w:rsidRDefault="00F47F56" w:rsidP="00F47F56">
            <w:pPr>
              <w:pStyle w:val="Prrafodelista"/>
              <w:numPr>
                <w:ilvl w:val="0"/>
                <w:numId w:val="17"/>
              </w:numPr>
              <w:rPr>
                <w:rFonts w:ascii="Verdana" w:hAnsi="Verdana"/>
              </w:rPr>
            </w:pPr>
            <w:r w:rsidRPr="00461CD3">
              <w:rPr>
                <w:rFonts w:ascii="Verdana" w:hAnsi="Verdana"/>
              </w:rPr>
              <w:t>Constitución Política de 1991, artículo 209</w:t>
            </w:r>
            <w:r>
              <w:rPr>
                <w:rFonts w:ascii="Verdana" w:hAnsi="Verdana"/>
              </w:rPr>
              <w:t>.</w:t>
            </w:r>
          </w:p>
          <w:p w14:paraId="68CC06DC" w14:textId="2E17039D" w:rsidR="00F47F56" w:rsidRPr="00461CD3" w:rsidRDefault="00F47F56" w:rsidP="00F47F56">
            <w:pPr>
              <w:pStyle w:val="Prrafodelista"/>
              <w:numPr>
                <w:ilvl w:val="0"/>
                <w:numId w:val="17"/>
              </w:numPr>
              <w:rPr>
                <w:rFonts w:ascii="Verdana" w:hAnsi="Verdana"/>
              </w:rPr>
            </w:pPr>
            <w:r w:rsidRPr="00461CD3">
              <w:rPr>
                <w:rFonts w:ascii="Verdana" w:hAnsi="Verdana"/>
              </w:rPr>
              <w:t>Código Civil</w:t>
            </w:r>
            <w:r>
              <w:rPr>
                <w:rFonts w:ascii="Verdana" w:hAnsi="Verdana"/>
              </w:rPr>
              <w:t>.</w:t>
            </w:r>
          </w:p>
          <w:p w14:paraId="4073CDFA" w14:textId="4F68F93B" w:rsidR="00A85D55" w:rsidRPr="00461CD3" w:rsidRDefault="00A85D55" w:rsidP="001F3D02">
            <w:pPr>
              <w:pStyle w:val="Prrafodelista"/>
              <w:numPr>
                <w:ilvl w:val="0"/>
                <w:numId w:val="17"/>
              </w:numPr>
              <w:rPr>
                <w:rFonts w:ascii="Verdana" w:hAnsi="Verdana"/>
              </w:rPr>
            </w:pPr>
            <w:r w:rsidRPr="00461CD3">
              <w:rPr>
                <w:rFonts w:ascii="Verdana" w:hAnsi="Verdana"/>
              </w:rPr>
              <w:t>Ley 80 de 1993, artículos 3, 5 y 8</w:t>
            </w:r>
            <w:r w:rsidR="00F47F56">
              <w:rPr>
                <w:rFonts w:ascii="Verdana" w:hAnsi="Verdana"/>
              </w:rPr>
              <w:t>.</w:t>
            </w:r>
          </w:p>
          <w:p w14:paraId="303413DA" w14:textId="43F258B4" w:rsidR="00A85D55" w:rsidRPr="00461CD3" w:rsidRDefault="00A85D55" w:rsidP="001F3D02">
            <w:pPr>
              <w:pStyle w:val="Prrafodelista"/>
              <w:numPr>
                <w:ilvl w:val="0"/>
                <w:numId w:val="17"/>
              </w:numPr>
              <w:rPr>
                <w:rFonts w:ascii="Verdana" w:hAnsi="Verdana"/>
              </w:rPr>
            </w:pPr>
            <w:r w:rsidRPr="00461CD3">
              <w:rPr>
                <w:rFonts w:ascii="Verdana" w:hAnsi="Verdana"/>
              </w:rPr>
              <w:t>Ley 1437 de 2011</w:t>
            </w:r>
            <w:r w:rsidR="00F47F56">
              <w:rPr>
                <w:rFonts w:ascii="Verdana" w:hAnsi="Verdana"/>
              </w:rPr>
              <w:t>.</w:t>
            </w:r>
          </w:p>
        </w:tc>
      </w:tr>
    </w:tbl>
    <w:p w14:paraId="3433E776" w14:textId="77777777" w:rsidR="00A85D55" w:rsidRPr="00593A5F" w:rsidRDefault="00A85D55" w:rsidP="00A85D55">
      <w:pPr>
        <w:widowControl w:val="0"/>
        <w:autoSpaceDE w:val="0"/>
        <w:autoSpaceDN w:val="0"/>
        <w:spacing w:after="0" w:line="276" w:lineRule="auto"/>
        <w:jc w:val="both"/>
        <w:rPr>
          <w:rFonts w:ascii="Verdana" w:hAnsi="Verdana" w:cs="Arial"/>
        </w:rPr>
      </w:pPr>
    </w:p>
    <w:p w14:paraId="46435D61" w14:textId="77777777" w:rsidR="00A85D55" w:rsidRPr="00593A5F" w:rsidRDefault="00A85D55" w:rsidP="00A85D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1621EF8" w14:textId="77777777" w:rsidR="00A85D55" w:rsidRPr="00593A5F" w:rsidRDefault="00A85D55" w:rsidP="00A85D55">
      <w:pPr>
        <w:widowControl w:val="0"/>
        <w:autoSpaceDE w:val="0"/>
        <w:autoSpaceDN w:val="0"/>
        <w:spacing w:after="0" w:line="276" w:lineRule="auto"/>
        <w:jc w:val="both"/>
        <w:rPr>
          <w:rFonts w:ascii="Verdana" w:hAnsi="Verdana" w:cs="Arial"/>
        </w:rPr>
      </w:pPr>
    </w:p>
    <w:p w14:paraId="4C4AC392" w14:textId="77777777" w:rsidR="00A85D55" w:rsidRPr="008557D1" w:rsidRDefault="00A85D55" w:rsidP="00A85D55">
      <w:pPr>
        <w:widowControl w:val="0"/>
        <w:autoSpaceDE w:val="0"/>
        <w:autoSpaceDN w:val="0"/>
        <w:spacing w:after="120" w:line="276" w:lineRule="auto"/>
        <w:jc w:val="both"/>
        <w:rPr>
          <w:rFonts w:ascii="Verdana" w:hAnsi="Verdana" w:cs="Arial"/>
        </w:rPr>
      </w:pPr>
      <w:r w:rsidRPr="008557D1">
        <w:rPr>
          <w:rFonts w:ascii="Verdana" w:eastAsia="Calibri" w:hAnsi="Verdana" w:cs="Arial"/>
          <w:lang w:val="es-ES_tradnl" w:eastAsia="es-ES_tradnl"/>
        </w:rPr>
        <w:t xml:space="preserve">Sobre el régimen de inhabilidades e incompatibilidades se pronunció esta Subdirección en los conceptos </w:t>
      </w:r>
      <w:r w:rsidRPr="008557D1">
        <w:rPr>
          <w:rFonts w:ascii="Verdana" w:eastAsia="Calibri" w:hAnsi="Verdana" w:cs="Arial"/>
          <w:lang w:val="es-MX"/>
        </w:rPr>
        <w:t xml:space="preserve">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w:t>
      </w:r>
      <w:r w:rsidRPr="008557D1">
        <w:rPr>
          <w:rFonts w:ascii="Verdana" w:eastAsia="Calibri" w:hAnsi="Verdana" w:cs="Arial"/>
          <w:lang w:val="es-MX"/>
        </w:rPr>
        <w:lastRenderedPageBreak/>
        <w:t>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8557D1">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w:t>
      </w:r>
      <w:r>
        <w:rPr>
          <w:rFonts w:ascii="Verdana" w:hAnsi="Verdana" w:cs="Arial"/>
        </w:rPr>
        <w:t>,</w:t>
      </w:r>
      <w:r w:rsidRPr="008557D1">
        <w:rPr>
          <w:rFonts w:ascii="Verdana" w:hAnsi="Verdana" w:cs="Arial"/>
        </w:rPr>
        <w:t xml:space="preserve"> C-839 del 13 de diciembre de 2024</w:t>
      </w:r>
      <w:r>
        <w:rPr>
          <w:rFonts w:ascii="Verdana" w:hAnsi="Verdana" w:cs="Arial"/>
          <w:shd w:val="clear" w:color="auto" w:fill="FFFFFF"/>
          <w:lang w:val="es-ES"/>
        </w:rPr>
        <w:t>, C-400 de 2025.</w:t>
      </w:r>
      <w:r w:rsidRPr="008557D1">
        <w:rPr>
          <w:rFonts w:ascii="Verdana" w:hAnsi="Verdana" w:cs="Arial"/>
          <w:shd w:val="clear" w:color="auto" w:fill="FFFFFF"/>
          <w:lang w:val="es-ES"/>
        </w:rPr>
        <w:t xml:space="preserve"> Es</w:t>
      </w:r>
      <w:r w:rsidRPr="008557D1">
        <w:rPr>
          <w:rFonts w:ascii="Verdana" w:hAnsi="Verdana"/>
        </w:rPr>
        <w:t>tos y otros conceptos se encuentran disponibles para consulta en el Sistema de relatoría de la Agencia, al cual se puede acceder a través del siguiente enlace:</w:t>
      </w:r>
      <w:r w:rsidRPr="008557D1">
        <w:rPr>
          <w:rFonts w:ascii="Verdana" w:hAnsi="Verdana" w:cs="Arial"/>
          <w:shd w:val="clear" w:color="auto" w:fill="FFFFFF"/>
          <w:lang w:val="es-ES"/>
        </w:rPr>
        <w:t xml:space="preserve"> </w:t>
      </w:r>
      <w:hyperlink r:id="rId13" w:history="1">
        <w:r w:rsidRPr="008557D1">
          <w:rPr>
            <w:rFonts w:ascii="Verdana" w:hAnsi="Verdana" w:cs="Arial"/>
            <w:color w:val="0563C1" w:themeColor="hyperlink"/>
            <w:u w:val="single"/>
            <w:shd w:val="clear" w:color="auto" w:fill="FFFFFF"/>
            <w:lang w:val="es-ES"/>
          </w:rPr>
          <w:t>https://relatoria.colombiacompra.gov.co/busqueda/conceptos</w:t>
        </w:r>
      </w:hyperlink>
      <w:r w:rsidRPr="008557D1">
        <w:rPr>
          <w:rFonts w:ascii="Verdana" w:hAnsi="Verdana" w:cs="Arial"/>
          <w:shd w:val="clear" w:color="auto" w:fill="FFFFFF"/>
          <w:lang w:val="es-ES"/>
        </w:rPr>
        <w:t>.</w:t>
      </w:r>
      <w:r w:rsidRPr="008557D1">
        <w:rPr>
          <w:rFonts w:ascii="Verdana" w:hAnsi="Verdana" w:cs="Arial"/>
          <w:color w:val="FF0000"/>
          <w:shd w:val="clear" w:color="auto" w:fill="FFFFFF"/>
          <w:lang w:val="es-ES"/>
        </w:rPr>
        <w:t xml:space="preserve"> </w:t>
      </w:r>
      <w:r w:rsidRPr="008557D1">
        <w:rPr>
          <w:rFonts w:ascii="Verdana" w:hAnsi="Verdana" w:cs="Arial"/>
          <w:color w:val="000000" w:themeColor="text1"/>
          <w:shd w:val="clear" w:color="auto" w:fill="FFFFFF"/>
        </w:rPr>
        <w:t>  </w:t>
      </w:r>
    </w:p>
    <w:p w14:paraId="6B3D89B5" w14:textId="77777777" w:rsidR="00A85D55" w:rsidRDefault="00A85D55" w:rsidP="00A85D5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2D8E482" w14:textId="77777777" w:rsidR="00A85D55" w:rsidRPr="003E2460" w:rsidRDefault="00A85D55" w:rsidP="00A85D5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45C31D87" w14:textId="77777777" w:rsidR="00A85D55" w:rsidRPr="003E2460" w:rsidRDefault="00A85D55" w:rsidP="00A85D55">
      <w:pPr>
        <w:spacing w:after="0" w:line="240" w:lineRule="auto"/>
        <w:jc w:val="both"/>
        <w:rPr>
          <w:rFonts w:ascii="Verdana" w:hAnsi="Verdana"/>
        </w:rPr>
      </w:pPr>
    </w:p>
    <w:p w14:paraId="695096C3" w14:textId="77777777" w:rsidR="00A85D55" w:rsidRPr="003E2460" w:rsidRDefault="00A85D55" w:rsidP="00A85D5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53B4A50F" w14:textId="77777777" w:rsidR="00A85D55" w:rsidRPr="003E2460" w:rsidRDefault="00A85D55" w:rsidP="00A85D55">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542D11B5" w14:textId="77777777" w:rsidR="00A85D55" w:rsidRPr="003E2460" w:rsidRDefault="00A85D55" w:rsidP="00A85D5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00D1DC0" w14:textId="77777777" w:rsidR="00A85D55" w:rsidRPr="00593A5F" w:rsidRDefault="00A85D55" w:rsidP="00A85D55">
      <w:pPr>
        <w:widowControl w:val="0"/>
        <w:autoSpaceDE w:val="0"/>
        <w:autoSpaceDN w:val="0"/>
        <w:spacing w:after="0" w:line="276" w:lineRule="auto"/>
        <w:jc w:val="both"/>
        <w:rPr>
          <w:rFonts w:ascii="Verdana" w:hAnsi="Verdana" w:cs="Arial"/>
        </w:rPr>
      </w:pPr>
    </w:p>
    <w:p w14:paraId="723B3626" w14:textId="77777777" w:rsidR="00A85D55" w:rsidRPr="00593A5F" w:rsidRDefault="00A85D55" w:rsidP="00A85D5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6499431E" w14:textId="77777777" w:rsidR="00A85D55" w:rsidRPr="00593A5F" w:rsidRDefault="00A85D55" w:rsidP="00A85D55">
      <w:pPr>
        <w:widowControl w:val="0"/>
        <w:autoSpaceDE w:val="0"/>
        <w:autoSpaceDN w:val="0"/>
        <w:spacing w:after="0" w:line="276" w:lineRule="auto"/>
        <w:jc w:val="both"/>
        <w:rPr>
          <w:rFonts w:ascii="Verdana" w:hAnsi="Verdana" w:cs="Arial"/>
        </w:rPr>
      </w:pPr>
    </w:p>
    <w:p w14:paraId="66B0C4B7" w14:textId="77777777" w:rsidR="00A85D55" w:rsidRPr="00593A5F" w:rsidRDefault="00A85D55" w:rsidP="00A85D5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677931F" w14:textId="64846991" w:rsidR="00A85D55" w:rsidRPr="00593A5F" w:rsidRDefault="00844DAD" w:rsidP="00A85D55">
      <w:pPr>
        <w:spacing w:line="276" w:lineRule="auto"/>
        <w:jc w:val="center"/>
        <w:rPr>
          <w:rFonts w:ascii="Verdana" w:hAnsi="Verdana" w:cs="Arial"/>
          <w:color w:val="000000"/>
          <w:lang w:val="es-ES_tradnl" w:eastAsia="es-CO"/>
        </w:rPr>
      </w:pPr>
      <w:r>
        <w:rPr>
          <w:noProof/>
        </w:rPr>
        <w:drawing>
          <wp:inline distT="0" distB="0" distL="0" distR="0" wp14:anchorId="46D2CC66" wp14:editId="1FF82E0A">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85D55" w:rsidRPr="00593A5F" w14:paraId="4F4CA0C8" w14:textId="77777777" w:rsidTr="001F3D02">
        <w:trPr>
          <w:trHeight w:val="315"/>
        </w:trPr>
        <w:tc>
          <w:tcPr>
            <w:tcW w:w="893" w:type="dxa"/>
            <w:vAlign w:val="center"/>
            <w:hideMark/>
          </w:tcPr>
          <w:p w14:paraId="5453E2A7" w14:textId="77777777" w:rsidR="00A85D55" w:rsidRPr="003751C7" w:rsidRDefault="00A85D55" w:rsidP="001F3D0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12B0B11" w14:textId="77777777" w:rsidR="00A85D55" w:rsidRPr="00420CC5" w:rsidRDefault="00A85D55" w:rsidP="001F3D02">
            <w:pPr>
              <w:contextualSpacing/>
              <w:rPr>
                <w:rFonts w:ascii="Verdana" w:eastAsia="Arial" w:hAnsi="Verdana" w:cs="Arial"/>
                <w:sz w:val="16"/>
                <w:szCs w:val="16"/>
              </w:rPr>
            </w:pPr>
            <w:r w:rsidRPr="00420CC5">
              <w:rPr>
                <w:rFonts w:ascii="Verdana" w:eastAsia="Arial" w:hAnsi="Verdana" w:cs="Arial"/>
                <w:sz w:val="16"/>
                <w:szCs w:val="16"/>
              </w:rPr>
              <w:t>Catalina Cubides Estupiñan</w:t>
            </w:r>
          </w:p>
          <w:p w14:paraId="5B546251" w14:textId="77777777" w:rsidR="00A85D55" w:rsidRPr="00420CC5" w:rsidRDefault="00A85D55" w:rsidP="001F3D02">
            <w:pPr>
              <w:contextualSpacing/>
              <w:rPr>
                <w:rFonts w:ascii="Verdana" w:eastAsia="Arial" w:hAnsi="Verdana" w:cs="Arial"/>
                <w:sz w:val="16"/>
                <w:szCs w:val="16"/>
              </w:rPr>
            </w:pPr>
            <w:r w:rsidRPr="00420CC5">
              <w:rPr>
                <w:rStyle w:val="normaltextrun"/>
                <w:rFonts w:ascii="Verdana" w:eastAsia="Arial" w:hAnsi="Verdana" w:cs="Arial"/>
                <w:sz w:val="16"/>
                <w:szCs w:val="16"/>
              </w:rPr>
              <w:t>Contratista de la Subdirección de Gestión Contractual</w:t>
            </w:r>
          </w:p>
        </w:tc>
      </w:tr>
      <w:tr w:rsidR="00A85D55" w:rsidRPr="00593A5F" w14:paraId="63030113" w14:textId="77777777" w:rsidTr="001F3D02">
        <w:trPr>
          <w:trHeight w:val="330"/>
        </w:trPr>
        <w:tc>
          <w:tcPr>
            <w:tcW w:w="893" w:type="dxa"/>
            <w:vAlign w:val="center"/>
            <w:hideMark/>
          </w:tcPr>
          <w:p w14:paraId="49C0ECF3" w14:textId="77777777" w:rsidR="00A85D55" w:rsidRPr="003751C7" w:rsidRDefault="00A85D55" w:rsidP="001F3D02">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4F0D62" w14:textId="77777777" w:rsidR="00A85D55" w:rsidRPr="00420CC5" w:rsidRDefault="00A85D55" w:rsidP="001F3D02">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Diana Lucía Saavedra Castañeda</w:t>
            </w:r>
            <w:r w:rsidRPr="00420CC5">
              <w:rPr>
                <w:rFonts w:ascii="Verdana" w:hAnsi="Verdana" w:cs="Segoe UI"/>
                <w:sz w:val="16"/>
                <w:szCs w:val="16"/>
              </w:rPr>
              <w:t xml:space="preserve"> </w:t>
            </w:r>
          </w:p>
          <w:p w14:paraId="38C119AE" w14:textId="77777777" w:rsidR="00A85D55" w:rsidRPr="00420CC5" w:rsidRDefault="00A85D55" w:rsidP="001F3D02">
            <w:pPr>
              <w:pStyle w:val="paragraph"/>
              <w:spacing w:before="0" w:beforeAutospacing="0" w:after="0" w:afterAutospacing="0"/>
              <w:contextualSpacing/>
              <w:textAlignment w:val="baseline"/>
              <w:rPr>
                <w:rFonts w:ascii="Verdana" w:hAnsi="Verdana" w:cs="Segoe UI"/>
                <w:sz w:val="16"/>
                <w:szCs w:val="16"/>
              </w:rPr>
            </w:pPr>
            <w:r w:rsidRPr="00420CC5">
              <w:rPr>
                <w:rStyle w:val="normaltextrun"/>
                <w:rFonts w:ascii="Verdana" w:hAnsi="Verdana" w:cs="Arial"/>
                <w:sz w:val="16"/>
                <w:szCs w:val="16"/>
                <w:lang w:val="es-ES"/>
              </w:rPr>
              <w:t>Contratista de la Subdirección de Gestión Contractual</w:t>
            </w:r>
            <w:r w:rsidRPr="00420CC5">
              <w:rPr>
                <w:rStyle w:val="eop"/>
                <w:rFonts w:ascii="Verdana" w:hAnsi="Verdana" w:cs="Arial"/>
                <w:sz w:val="16"/>
                <w:szCs w:val="16"/>
              </w:rPr>
              <w:t> </w:t>
            </w:r>
          </w:p>
        </w:tc>
      </w:tr>
      <w:tr w:rsidR="00A85D55" w:rsidRPr="00593A5F" w14:paraId="55914697" w14:textId="77777777" w:rsidTr="001F3D02">
        <w:trPr>
          <w:trHeight w:val="300"/>
        </w:trPr>
        <w:tc>
          <w:tcPr>
            <w:tcW w:w="893" w:type="dxa"/>
            <w:vAlign w:val="center"/>
          </w:tcPr>
          <w:p w14:paraId="054D2014" w14:textId="77777777" w:rsidR="00A85D55" w:rsidRPr="003751C7" w:rsidRDefault="00A85D55" w:rsidP="001F3D0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D46180" w14:textId="77777777" w:rsidR="00A85D55" w:rsidRPr="003751C7" w:rsidRDefault="00A85D55" w:rsidP="001F3D02">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40AD5B38" w14:textId="77777777" w:rsidR="00A85D55" w:rsidRPr="003751C7" w:rsidRDefault="00A85D55" w:rsidP="001F3D02">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414DE121" w14:textId="77777777" w:rsidR="00A85D55" w:rsidRPr="00593A5F" w:rsidRDefault="00A85D55" w:rsidP="00A85D55">
      <w:pPr>
        <w:spacing w:after="0" w:line="240" w:lineRule="auto"/>
        <w:rPr>
          <w:rFonts w:ascii="Verdana" w:eastAsia="Times New Roman" w:hAnsi="Verdana" w:cs="Arial"/>
          <w:sz w:val="24"/>
          <w:szCs w:val="24"/>
          <w:lang w:eastAsia="es-ES"/>
        </w:rPr>
      </w:pPr>
    </w:p>
    <w:p w14:paraId="63C27365" w14:textId="77777777" w:rsidR="00A85D55" w:rsidRPr="00871B59" w:rsidRDefault="00A85D55" w:rsidP="00A85D55"/>
    <w:p w14:paraId="35D1E3AD" w14:textId="77777777" w:rsidR="00A85D55" w:rsidRPr="0044528D" w:rsidRDefault="00A85D55" w:rsidP="00A85D55">
      <w:pPr>
        <w:spacing w:after="0"/>
        <w:jc w:val="both"/>
        <w:rPr>
          <w:rStyle w:val="Hipervnculo"/>
          <w:rFonts w:ascii="Verdana" w:hAnsi="Verdana"/>
        </w:rPr>
      </w:pPr>
    </w:p>
    <w:p w14:paraId="50183299" w14:textId="77777777" w:rsidR="00A85D55" w:rsidRPr="0044528D" w:rsidRDefault="00A85D55" w:rsidP="00A85D55">
      <w:pPr>
        <w:spacing w:after="0" w:line="240" w:lineRule="auto"/>
        <w:textAlignment w:val="baseline"/>
        <w:rPr>
          <w:rFonts w:ascii="Verdana" w:eastAsia="Times New Roman" w:hAnsi="Verdana" w:cs="Segoe UI"/>
          <w:b/>
          <w:bCs/>
          <w:color w:val="46589C"/>
          <w:lang w:val="es-ES" w:eastAsia="es-CO"/>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6944E" w14:textId="77777777" w:rsidR="00F0711F" w:rsidRDefault="00F0711F" w:rsidP="004A1847">
      <w:pPr>
        <w:spacing w:after="0" w:line="240" w:lineRule="auto"/>
      </w:pPr>
      <w:r>
        <w:separator/>
      </w:r>
    </w:p>
  </w:endnote>
  <w:endnote w:type="continuationSeparator" w:id="0">
    <w:p w14:paraId="25FF4C8F" w14:textId="77777777" w:rsidR="00F0711F" w:rsidRDefault="00F0711F" w:rsidP="004A1847">
      <w:pPr>
        <w:spacing w:after="0" w:line="240" w:lineRule="auto"/>
      </w:pPr>
      <w:r>
        <w:continuationSeparator/>
      </w:r>
    </w:p>
  </w:endnote>
  <w:endnote w:type="continuationNotice" w:id="1">
    <w:p w14:paraId="11B78E0F" w14:textId="77777777" w:rsidR="00F0711F" w:rsidRDefault="00F071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A4A948" w14:textId="77777777" w:rsidR="00F0711F" w:rsidRDefault="00F0711F" w:rsidP="004A1847">
      <w:pPr>
        <w:spacing w:after="0" w:line="240" w:lineRule="auto"/>
      </w:pPr>
      <w:r>
        <w:separator/>
      </w:r>
    </w:p>
  </w:footnote>
  <w:footnote w:type="continuationSeparator" w:id="0">
    <w:p w14:paraId="6C58BEB8" w14:textId="77777777" w:rsidR="00F0711F" w:rsidRDefault="00F0711F" w:rsidP="004A1847">
      <w:pPr>
        <w:spacing w:after="0" w:line="240" w:lineRule="auto"/>
      </w:pPr>
      <w:r>
        <w:continuationSeparator/>
      </w:r>
    </w:p>
  </w:footnote>
  <w:footnote w:type="continuationNotice" w:id="1">
    <w:p w14:paraId="561B587B" w14:textId="77777777" w:rsidR="00F0711F" w:rsidRDefault="00F0711F">
      <w:pPr>
        <w:spacing w:after="0" w:line="240" w:lineRule="auto"/>
      </w:pPr>
    </w:p>
  </w:footnote>
  <w:footnote w:id="2">
    <w:p w14:paraId="06C99208" w14:textId="77777777" w:rsidR="00A85D55" w:rsidRPr="007F6E1C" w:rsidRDefault="00A85D55" w:rsidP="00A85D55">
      <w:pPr>
        <w:pStyle w:val="Textonotapie"/>
        <w:rPr>
          <w:lang w:val="es-ES"/>
        </w:rPr>
      </w:pPr>
      <w:bookmarkStart w:id="1" w:name="_Hlk194585808"/>
      <w:r>
        <w:rPr>
          <w:rStyle w:val="Refdenotaalpie"/>
        </w:rPr>
        <w:footnoteRef/>
      </w:r>
      <w:r>
        <w:t xml:space="preserve"> </w:t>
      </w:r>
      <w:r>
        <w:rPr>
          <w:lang w:val="es-ES"/>
        </w:rPr>
        <w:t>Corte Constitucional. Sentencia C-489/96. M.P: Antonio Barrera Carbonell</w:t>
      </w:r>
      <w:bookmarkEnd w:id="1"/>
    </w:p>
  </w:footnote>
  <w:footnote w:id="3">
    <w:p w14:paraId="7DF3F8C5" w14:textId="77777777" w:rsidR="00A85D55" w:rsidRPr="001A625A" w:rsidRDefault="00A85D55" w:rsidP="00A85D55">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139BA2CB" w14:textId="77777777" w:rsidR="00A85D55" w:rsidRPr="001A625A" w:rsidRDefault="00A85D55" w:rsidP="00A85D55">
      <w:pPr>
        <w:spacing w:after="0" w:line="240" w:lineRule="auto"/>
        <w:ind w:firstLine="709"/>
        <w:jc w:val="both"/>
        <w:rPr>
          <w:rFonts w:ascii="Verdana" w:hAnsi="Verdana" w:cs="Arial"/>
          <w:color w:val="000000" w:themeColor="text1"/>
          <w:sz w:val="16"/>
          <w:szCs w:val="16"/>
          <w:lang w:val="es-ES"/>
        </w:rPr>
      </w:pPr>
    </w:p>
  </w:footnote>
  <w:footnote w:id="4">
    <w:p w14:paraId="54C0F7B9" w14:textId="77777777" w:rsidR="00A85D55" w:rsidRPr="001A625A" w:rsidRDefault="00A85D55" w:rsidP="00A85D55">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09EC53F8" w14:textId="77777777" w:rsidR="00A85D55" w:rsidRPr="001A625A" w:rsidRDefault="00A85D55" w:rsidP="00A85D55">
      <w:pPr>
        <w:pStyle w:val="Textonotapie"/>
        <w:ind w:firstLine="709"/>
        <w:jc w:val="both"/>
        <w:rPr>
          <w:rFonts w:ascii="Verdana" w:hAnsi="Verdana" w:cs="Arial"/>
          <w:color w:val="000000" w:themeColor="text1"/>
          <w:sz w:val="16"/>
          <w:szCs w:val="16"/>
          <w:lang w:val="es-CO"/>
        </w:rPr>
      </w:pPr>
    </w:p>
  </w:footnote>
  <w:footnote w:id="5">
    <w:p w14:paraId="4A5E09D0" w14:textId="77777777" w:rsidR="00A85D55" w:rsidRPr="001A625A" w:rsidRDefault="00A85D55" w:rsidP="00A85D55">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14AB5DA9" w14:textId="77777777" w:rsidR="00A85D55" w:rsidRPr="001A625A" w:rsidRDefault="00A85D55" w:rsidP="00A85D55">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6">
    <w:p w14:paraId="0D34E1DB" w14:textId="77777777" w:rsidR="00A85D55" w:rsidRPr="001A625A" w:rsidRDefault="00A85D55" w:rsidP="00A85D55">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40C950A5" w14:textId="77777777" w:rsidR="00A85D55" w:rsidRPr="001A625A" w:rsidRDefault="00A85D55" w:rsidP="00A85D55">
      <w:pPr>
        <w:spacing w:after="0" w:line="240" w:lineRule="auto"/>
        <w:ind w:firstLine="709"/>
        <w:jc w:val="both"/>
        <w:rPr>
          <w:rFonts w:ascii="Verdana" w:hAnsi="Verdana" w:cs="Arial"/>
          <w:color w:val="000000" w:themeColor="text1"/>
          <w:sz w:val="16"/>
          <w:szCs w:val="16"/>
          <w:lang w:val="es-ES"/>
        </w:rPr>
      </w:pPr>
    </w:p>
  </w:footnote>
  <w:footnote w:id="7">
    <w:p w14:paraId="0627ABBA" w14:textId="77777777" w:rsidR="00A85D55" w:rsidRPr="00140995" w:rsidRDefault="00A85D55" w:rsidP="00A85D55">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 xml:space="preserve">Corte Constitucional. Sentencia T-1039 de 2006. </w:t>
      </w:r>
      <w:r w:rsidRPr="00140995">
        <w:rPr>
          <w:rFonts w:ascii="Verdana" w:hAnsi="Verdana" w:cs="Arial"/>
          <w:color w:val="000000"/>
          <w:sz w:val="16"/>
          <w:szCs w:val="16"/>
          <w:lang w:val="it-IT"/>
        </w:rPr>
        <w:t xml:space="preserve">Magistrado Ponente: Humberto Sierra Porto. </w:t>
      </w:r>
      <w:r w:rsidRPr="00140995">
        <w:rPr>
          <w:rFonts w:ascii="Verdana" w:hAnsi="Verdana" w:cs="Arial"/>
          <w:color w:val="000000"/>
          <w:sz w:val="16"/>
          <w:szCs w:val="16"/>
          <w:lang w:val="es-ES"/>
        </w:rPr>
        <w:t xml:space="preserve">La Corte ha mantenido este criterio en las sentencias: C-903 de 2008. Magistrado Ponente: Jaime Araujo Rentería; C-101 de 2018. Magistrada Ponente Gloria Stella Ortiz Delgado; entre otras. </w:t>
      </w:r>
    </w:p>
    <w:p w14:paraId="3AF3B39F" w14:textId="77777777" w:rsidR="00A85D55" w:rsidRPr="00140995" w:rsidRDefault="00A85D55" w:rsidP="00A85D55">
      <w:pPr>
        <w:pStyle w:val="Textonotapie"/>
        <w:ind w:firstLine="709"/>
        <w:contextualSpacing/>
        <w:jc w:val="both"/>
        <w:rPr>
          <w:rFonts w:ascii="Verdana" w:hAnsi="Verdana" w:cs="Arial"/>
          <w:color w:val="000000"/>
          <w:sz w:val="16"/>
          <w:szCs w:val="16"/>
          <w:lang w:val="es-ES"/>
        </w:rPr>
      </w:pPr>
    </w:p>
  </w:footnote>
  <w:footnote w:id="8">
    <w:p w14:paraId="323EA551" w14:textId="77777777" w:rsidR="00A85D55" w:rsidRPr="00140995" w:rsidRDefault="00A85D55" w:rsidP="00A85D55">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Consejo de Estado. Sala de Consulta y Servicio Civil. Concepto del 30 de abril de 2015. Expediente: 2.251. Consejero Ponente: Álvaro Namén Vargas.</w:t>
      </w:r>
    </w:p>
    <w:p w14:paraId="2858E400" w14:textId="77777777" w:rsidR="00A85D55" w:rsidRPr="00140995" w:rsidRDefault="00A85D55" w:rsidP="00A85D55">
      <w:pPr>
        <w:pStyle w:val="Textonotapie"/>
        <w:ind w:firstLine="709"/>
        <w:contextualSpacing/>
        <w:jc w:val="both"/>
        <w:rPr>
          <w:rFonts w:ascii="Verdana" w:hAnsi="Verdana" w:cs="Arial"/>
          <w:color w:val="000000"/>
          <w:sz w:val="16"/>
          <w:szCs w:val="16"/>
          <w:lang w:val="es-ES"/>
        </w:rPr>
      </w:pPr>
    </w:p>
  </w:footnote>
  <w:footnote w:id="9">
    <w:p w14:paraId="752FAA17" w14:textId="77777777" w:rsidR="00A85D55" w:rsidRPr="00172FAD" w:rsidRDefault="00A85D55" w:rsidP="00A85D55">
      <w:pPr>
        <w:pStyle w:val="Textonotapie"/>
        <w:ind w:firstLine="708"/>
        <w:jc w:val="both"/>
        <w:rPr>
          <w:rFonts w:ascii="Verdana" w:hAnsi="Verdana" w:cs="Arial"/>
          <w:sz w:val="16"/>
          <w:szCs w:val="16"/>
        </w:rPr>
      </w:pPr>
      <w:r w:rsidRPr="00172FAD">
        <w:rPr>
          <w:rStyle w:val="Refdenotaalpie"/>
          <w:rFonts w:ascii="Verdana" w:hAnsi="Verdana"/>
          <w:sz w:val="16"/>
          <w:szCs w:val="16"/>
        </w:rPr>
        <w:footnoteRef/>
      </w:r>
      <w:r w:rsidRPr="00172FAD">
        <w:rPr>
          <w:rFonts w:ascii="Verdana" w:hAnsi="Verdana"/>
          <w:sz w:val="16"/>
          <w:szCs w:val="16"/>
        </w:rPr>
        <w:t xml:space="preserve"> </w:t>
      </w:r>
      <w:r w:rsidRPr="00172FAD">
        <w:rPr>
          <w:rFonts w:ascii="Verdana" w:hAnsi="Verdana" w:cs="Arial"/>
          <w:sz w:val="16"/>
          <w:szCs w:val="16"/>
        </w:rPr>
        <w:t>CONSEJO DE ESTADO. Sección Tercera. Subsección A. Sentencia del 24 de junio de 2015. Exp. 40.635. C.P. Hernán Andrade Rincón (E).</w:t>
      </w:r>
    </w:p>
    <w:p w14:paraId="409D293E" w14:textId="77777777" w:rsidR="00A85D55" w:rsidRPr="00172FAD" w:rsidRDefault="00A85D55" w:rsidP="00A85D55">
      <w:pPr>
        <w:pStyle w:val="Textonotapie"/>
        <w:jc w:val="both"/>
        <w:rPr>
          <w:rFonts w:ascii="Verdana" w:hAnsi="Verdana"/>
          <w:sz w:val="16"/>
          <w:szCs w:val="16"/>
          <w:lang w:val="es-ES_tradnl"/>
        </w:rPr>
      </w:pPr>
    </w:p>
  </w:footnote>
  <w:footnote w:id="10">
    <w:p w14:paraId="68441726" w14:textId="77777777" w:rsidR="00A85D55" w:rsidRPr="00725B23" w:rsidRDefault="00A85D55" w:rsidP="00A85D55">
      <w:pPr>
        <w:pStyle w:val="Textonotapie"/>
        <w:ind w:firstLine="708"/>
        <w:jc w:val="both"/>
        <w:rPr>
          <w:rFonts w:ascii="Verdana" w:hAnsi="Verdana"/>
          <w:sz w:val="16"/>
          <w:szCs w:val="16"/>
          <w:lang w:val="es-ES_tradnl"/>
        </w:rPr>
      </w:pPr>
      <w:r w:rsidRPr="00172FAD">
        <w:rPr>
          <w:rStyle w:val="Refdenotaalpie"/>
          <w:rFonts w:ascii="Verdana" w:hAnsi="Verdana"/>
          <w:sz w:val="16"/>
          <w:szCs w:val="16"/>
        </w:rPr>
        <w:footnoteRef/>
      </w:r>
      <w:r w:rsidRPr="00172FAD">
        <w:rPr>
          <w:rFonts w:ascii="Verdana" w:hAnsi="Verdana"/>
          <w:sz w:val="16"/>
          <w:szCs w:val="16"/>
        </w:rPr>
        <w:t xml:space="preserve"> </w:t>
      </w:r>
      <w:r w:rsidRPr="00172FAD">
        <w:rPr>
          <w:rFonts w:ascii="Verdana" w:hAnsi="Verdana" w:cs="Arial"/>
          <w:sz w:val="16"/>
          <w:szCs w:val="16"/>
        </w:rPr>
        <w:t>CONSEJO DE ESTADO. Sección Tercera. Subsección C. Sentencia del 22 de mayo de 2013. Rad. 24.057. C.P. Olga Mélida Valle De De La Hoz.</w:t>
      </w:r>
    </w:p>
  </w:footnote>
  <w:footnote w:id="11">
    <w:p w14:paraId="1738EEAA" w14:textId="77777777" w:rsidR="00A85D55" w:rsidRPr="00725B23" w:rsidRDefault="00A85D55" w:rsidP="00A85D55">
      <w:pPr>
        <w:pStyle w:val="Textonotapie"/>
        <w:ind w:firstLine="708"/>
        <w:jc w:val="both"/>
        <w:rPr>
          <w:rFonts w:ascii="Verdana" w:hAnsi="Verdana" w:cs="Arial"/>
          <w:sz w:val="16"/>
          <w:szCs w:val="16"/>
          <w:lang w:val="pt-BR"/>
        </w:rPr>
      </w:pPr>
      <w:r w:rsidRPr="00725B23">
        <w:rPr>
          <w:rStyle w:val="Refdenotaalpie"/>
          <w:rFonts w:ascii="Verdana" w:hAnsi="Verdana"/>
          <w:sz w:val="16"/>
          <w:szCs w:val="16"/>
        </w:rPr>
        <w:footnoteRef/>
      </w:r>
      <w:r w:rsidRPr="00725B23">
        <w:rPr>
          <w:rFonts w:ascii="Verdana" w:hAnsi="Verdana"/>
          <w:sz w:val="16"/>
          <w:szCs w:val="16"/>
          <w:lang w:val="pt-BR"/>
        </w:rPr>
        <w:t xml:space="preserve"> </w:t>
      </w:r>
      <w:bookmarkStart w:id="2" w:name="_Hlk195172194"/>
      <w:r w:rsidRPr="00725B23">
        <w:rPr>
          <w:rFonts w:ascii="Verdana" w:hAnsi="Verdana" w:cs="Arial"/>
          <w:sz w:val="16"/>
          <w:szCs w:val="16"/>
          <w:lang w:val="pt-BR"/>
        </w:rPr>
        <w:t>Corte Constitucional. Sentencia C-415 de 1994. M.P. Eduardo Cifuentes Muñoz.</w:t>
      </w:r>
      <w:bookmarkEnd w:id="2"/>
    </w:p>
    <w:p w14:paraId="7E28ABC6" w14:textId="77777777" w:rsidR="00A85D55" w:rsidRPr="00725B23" w:rsidRDefault="00A85D55" w:rsidP="00A85D55">
      <w:pPr>
        <w:pStyle w:val="Textonotapie"/>
        <w:jc w:val="both"/>
        <w:rPr>
          <w:rFonts w:ascii="Verdana" w:hAnsi="Verdana"/>
          <w:sz w:val="16"/>
          <w:szCs w:val="16"/>
          <w:lang w:val="pt-BR"/>
        </w:rPr>
      </w:pPr>
    </w:p>
  </w:footnote>
  <w:footnote w:id="12">
    <w:p w14:paraId="7952B7B9" w14:textId="77777777" w:rsidR="00A85D55" w:rsidRPr="007A0D4B" w:rsidRDefault="00A85D55" w:rsidP="00A85D55">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Código Civil: “Artículo 33. Palabras relacionadas con las personas. La palabra persona en su sentido general se aplica(rá) a la especie humana, sin distinción de sexo”.</w:t>
      </w:r>
    </w:p>
    <w:p w14:paraId="755F2A84" w14:textId="77777777" w:rsidR="00A85D55" w:rsidRPr="007A0D4B" w:rsidRDefault="00A85D55" w:rsidP="00A85D55">
      <w:pPr>
        <w:pStyle w:val="Textonotapie"/>
        <w:ind w:firstLine="709"/>
        <w:contextualSpacing/>
        <w:jc w:val="both"/>
        <w:rPr>
          <w:rFonts w:ascii="Century Gothic" w:hAnsi="Century Gothic" w:cs="Arial"/>
          <w:sz w:val="16"/>
          <w:szCs w:val="16"/>
          <w:lang w:val="es-CO"/>
        </w:rPr>
      </w:pPr>
    </w:p>
  </w:footnote>
  <w:footnote w:id="13">
    <w:p w14:paraId="5EEF02F6" w14:textId="77777777" w:rsidR="00A85D55" w:rsidRPr="007A0D4B" w:rsidRDefault="00A85D55" w:rsidP="00A85D55">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Constitución Política de Colombia: “Artículo 42. La familia es el núcleo fundamental de la sociedad. Se constituye por vínculos naturales o jurídicos, por la decisión libre de un hombre y una mujer de contraer matrimonio o por la voluntad responsable de conformarla”.</w:t>
      </w:r>
    </w:p>
    <w:p w14:paraId="12517EB2" w14:textId="77777777" w:rsidR="00A85D55" w:rsidRPr="007A0D4B" w:rsidRDefault="00A85D55" w:rsidP="00A85D55">
      <w:pPr>
        <w:pStyle w:val="Textonotapie"/>
        <w:ind w:firstLine="709"/>
        <w:contextualSpacing/>
        <w:jc w:val="both"/>
        <w:rPr>
          <w:rFonts w:ascii="Century Gothic" w:hAnsi="Century Gothic" w:cs="Arial"/>
          <w:sz w:val="16"/>
          <w:szCs w:val="16"/>
          <w:lang w:val="es-CO"/>
        </w:rPr>
      </w:pPr>
    </w:p>
  </w:footnote>
  <w:footnote w:id="14">
    <w:p w14:paraId="5B7638A5" w14:textId="77777777" w:rsidR="00A85D55" w:rsidRPr="007A0D4B" w:rsidRDefault="00A85D55" w:rsidP="00A85D55">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Código Civil: “Artículo 113. Definición. El matrimonio es un contrato solemne por el cual un hombre y una mujer se unen con el fin de vivir juntos, de procrear y de auxiliarse mutuamente”.</w:t>
      </w:r>
    </w:p>
    <w:p w14:paraId="616804CE" w14:textId="77777777" w:rsidR="00A85D55" w:rsidRPr="007A0D4B" w:rsidRDefault="00A85D55" w:rsidP="00A85D55">
      <w:pPr>
        <w:pStyle w:val="Textonotapie"/>
        <w:ind w:firstLine="709"/>
        <w:contextualSpacing/>
        <w:jc w:val="both"/>
        <w:rPr>
          <w:rFonts w:ascii="Century Gothic" w:hAnsi="Century Gothic" w:cs="Arial"/>
          <w:sz w:val="16"/>
          <w:szCs w:val="16"/>
          <w:lang w:val="es-CO"/>
        </w:rPr>
      </w:pPr>
    </w:p>
  </w:footnote>
  <w:footnote w:id="15">
    <w:p w14:paraId="6E8D3E21" w14:textId="77777777" w:rsidR="00A85D55" w:rsidRPr="007A0D4B" w:rsidRDefault="00A85D55" w:rsidP="00A85D55">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Ley 54 de 1990: “Artículo 1. A partir de la vigencia de la presente Ley y para todos los efectos civiles, se denomina Unión Marital de Hecho, la formada entre un hombre y una mujer, que sin estar casados, hacen una comunidad de vida permanente y singular.</w:t>
      </w:r>
    </w:p>
    <w:p w14:paraId="3B957C63" w14:textId="77777777" w:rsidR="00A85D55" w:rsidRPr="007A0D4B" w:rsidRDefault="00A85D55" w:rsidP="00A85D55">
      <w:pPr>
        <w:pStyle w:val="Textonotapie"/>
        <w:ind w:firstLine="709"/>
        <w:contextualSpacing/>
        <w:jc w:val="both"/>
        <w:rPr>
          <w:rFonts w:ascii="Century Gothic" w:hAnsi="Century Gothic" w:cs="Arial"/>
          <w:sz w:val="16"/>
          <w:szCs w:val="16"/>
        </w:rPr>
      </w:pPr>
      <w:r w:rsidRPr="007A0D4B">
        <w:rPr>
          <w:rFonts w:ascii="Century Gothic" w:hAnsi="Century Gothic" w:cs="Arial"/>
          <w:sz w:val="16"/>
          <w:szCs w:val="16"/>
        </w:rPr>
        <w:t>Igualmente, y para todos los efectos civiles, se denominan compañero y compañera permanente, al hombre y la mujer que forman parte de la unión marital de hecho”.</w:t>
      </w:r>
    </w:p>
    <w:p w14:paraId="70D1BA4D" w14:textId="77777777" w:rsidR="00A85D55" w:rsidRPr="007A0D4B" w:rsidRDefault="00A85D55" w:rsidP="00A85D55">
      <w:pPr>
        <w:pStyle w:val="Textonotapie"/>
        <w:ind w:firstLine="709"/>
        <w:contextualSpacing/>
        <w:jc w:val="both"/>
        <w:rPr>
          <w:rFonts w:ascii="Century Gothic" w:hAnsi="Century Gothic" w:cs="Arial"/>
          <w:sz w:val="16"/>
          <w:szCs w:val="16"/>
          <w:lang w:val="es-CO"/>
        </w:rPr>
      </w:pPr>
    </w:p>
  </w:footnote>
  <w:footnote w:id="16">
    <w:p w14:paraId="38E52218" w14:textId="77777777" w:rsidR="00A85D55" w:rsidRPr="007A0D4B" w:rsidRDefault="00A85D55" w:rsidP="00A85D55">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Corte Constitucional. Sentencia C-029 de 2009. M.P. Rodrigo Escobar Gil.</w:t>
      </w:r>
    </w:p>
    <w:p w14:paraId="4959D1F4" w14:textId="77777777" w:rsidR="00A85D55" w:rsidRPr="007A0D4B" w:rsidRDefault="00A85D55" w:rsidP="00A85D55">
      <w:pPr>
        <w:pStyle w:val="Textonotapie"/>
        <w:ind w:firstLine="709"/>
        <w:contextualSpacing/>
        <w:jc w:val="both"/>
        <w:rPr>
          <w:rFonts w:ascii="Century Gothic" w:hAnsi="Century Gothic" w:cs="Arial"/>
          <w:sz w:val="16"/>
          <w:szCs w:val="16"/>
          <w:lang w:val="es-CO"/>
        </w:rPr>
      </w:pPr>
    </w:p>
  </w:footnote>
  <w:footnote w:id="17">
    <w:p w14:paraId="15D85250" w14:textId="77777777" w:rsidR="00A85D55" w:rsidRPr="007A0D4B" w:rsidRDefault="00A85D55" w:rsidP="00A85D55">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Corte Constitucional. Sentencia C-415 de 1994. M.P. Eduardo Cifuentes Muñoz.</w:t>
      </w:r>
    </w:p>
    <w:p w14:paraId="26DA8448" w14:textId="77777777" w:rsidR="00A85D55" w:rsidRPr="007A0D4B" w:rsidRDefault="00A85D55" w:rsidP="00A85D55">
      <w:pPr>
        <w:pStyle w:val="Textonotapie"/>
        <w:ind w:firstLine="709"/>
        <w:contextualSpacing/>
        <w:jc w:val="both"/>
        <w:rPr>
          <w:rFonts w:ascii="Century Gothic" w:hAnsi="Century Gothic" w:cs="Arial"/>
          <w:sz w:val="16"/>
          <w:szCs w:val="16"/>
          <w:lang w:val="es-CO"/>
        </w:rPr>
      </w:pPr>
    </w:p>
  </w:footnote>
  <w:footnote w:id="18">
    <w:p w14:paraId="281180FE" w14:textId="77777777" w:rsidR="00A85D55" w:rsidRPr="007A0D4B" w:rsidRDefault="00A85D55" w:rsidP="00A85D55">
      <w:pPr>
        <w:pStyle w:val="Textonotapie"/>
        <w:ind w:firstLine="709"/>
        <w:contextualSpacing/>
        <w:jc w:val="both"/>
        <w:rPr>
          <w:rFonts w:ascii="Century Gothic" w:hAnsi="Century Gothic" w:cs="Arial"/>
          <w:sz w:val="16"/>
          <w:szCs w:val="16"/>
        </w:rPr>
      </w:pPr>
      <w:r w:rsidRPr="007A0D4B">
        <w:rPr>
          <w:rStyle w:val="Refdenotaalpie"/>
          <w:rFonts w:ascii="Century Gothic" w:hAnsi="Century Gothic" w:cs="Arial"/>
          <w:sz w:val="16"/>
          <w:szCs w:val="16"/>
        </w:rPr>
        <w:footnoteRef/>
      </w:r>
      <w:r w:rsidRPr="007A0D4B">
        <w:rPr>
          <w:rFonts w:ascii="Century Gothic" w:hAnsi="Century Gothic" w:cs="Arial"/>
          <w:sz w:val="16"/>
          <w:szCs w:val="16"/>
        </w:rPr>
        <w:t xml:space="preserve"> Consejo de Estado. Sección Tercera. Subsección C. Sentencia del 9 de julio de 2014. Rad. 47.830. C.P. Jaime Orlando Santofimio Gamboa.</w:t>
      </w:r>
    </w:p>
    <w:p w14:paraId="428E6B03" w14:textId="77777777" w:rsidR="00A85D55" w:rsidRPr="007A0D4B" w:rsidRDefault="00A85D55" w:rsidP="00A85D55">
      <w:pPr>
        <w:pStyle w:val="Textonotapie"/>
        <w:ind w:firstLine="709"/>
        <w:contextualSpacing/>
        <w:jc w:val="both"/>
        <w:rPr>
          <w:rFonts w:ascii="Century Gothic" w:hAnsi="Century Gothic" w:cs="Arial"/>
          <w:sz w:val="16"/>
          <w:szCs w:val="16"/>
          <w:lang w:val="es-CO"/>
        </w:rPr>
      </w:pPr>
    </w:p>
  </w:footnote>
  <w:footnote w:id="19">
    <w:p w14:paraId="6CAC2AA7" w14:textId="77777777" w:rsidR="00A85D55" w:rsidRPr="0065478C" w:rsidRDefault="00A85D55" w:rsidP="00A85D55">
      <w:pPr>
        <w:pStyle w:val="Textonotapie"/>
        <w:ind w:firstLine="708"/>
        <w:contextualSpacing/>
        <w:jc w:val="both"/>
        <w:rPr>
          <w:rFonts w:ascii="Century Gothic" w:hAnsi="Century Gothic" w:cs="Arial"/>
          <w:color w:val="000000"/>
          <w:sz w:val="16"/>
          <w:szCs w:val="16"/>
        </w:rPr>
      </w:pPr>
      <w:r w:rsidRPr="0065478C">
        <w:rPr>
          <w:rStyle w:val="Refdenotaalpie"/>
          <w:rFonts w:ascii="Century Gothic" w:hAnsi="Century Gothic" w:cs="Arial"/>
          <w:color w:val="000000"/>
          <w:sz w:val="16"/>
          <w:szCs w:val="16"/>
        </w:rPr>
        <w:footnoteRef/>
      </w:r>
      <w:r w:rsidRPr="0065478C">
        <w:rPr>
          <w:rFonts w:ascii="Century Gothic" w:hAnsi="Century Gothic" w:cs="Arial"/>
          <w:color w:val="000000"/>
          <w:sz w:val="16"/>
          <w:szCs w:val="16"/>
        </w:rPr>
        <w:t xml:space="preserve"> Consejo de Estado. Sala de Consulta y de Servicio Civil. Concepto del 23 de marzo de 2011. Rad. 2.045. C.P. Enrique José Arboleda Perdomo.</w:t>
      </w:r>
    </w:p>
    <w:p w14:paraId="23ED3D55" w14:textId="77777777" w:rsidR="00A85D55" w:rsidRPr="0065478C" w:rsidRDefault="00A85D55" w:rsidP="00A85D55">
      <w:pPr>
        <w:pStyle w:val="Textonotapie"/>
        <w:ind w:firstLine="708"/>
        <w:contextualSpacing/>
        <w:jc w:val="both"/>
        <w:rPr>
          <w:rFonts w:ascii="Century Gothic" w:hAnsi="Century Gothic" w:cs="Arial"/>
          <w:color w:val="000000"/>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3DC16BB"/>
    <w:multiLevelType w:val="hybridMultilevel"/>
    <w:tmpl w:val="634845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2"/>
  </w:num>
  <w:num w:numId="7">
    <w:abstractNumId w:val="5"/>
  </w:num>
  <w:num w:numId="8">
    <w:abstractNumId w:val="11"/>
  </w:num>
  <w:num w:numId="9">
    <w:abstractNumId w:val="7"/>
  </w:num>
  <w:num w:numId="10">
    <w:abstractNumId w:val="10"/>
  </w:num>
  <w:num w:numId="11">
    <w:abstractNumId w:val="8"/>
  </w:num>
  <w:num w:numId="12">
    <w:abstractNumId w:val="1"/>
  </w:num>
  <w:num w:numId="13">
    <w:abstractNumId w:val="3"/>
  </w:num>
  <w:num w:numId="14">
    <w:abstractNumId w:val="13"/>
  </w:num>
  <w:num w:numId="15">
    <w:abstractNumId w:val="9"/>
  </w:num>
  <w:num w:numId="16">
    <w:abstractNumId w:val="0"/>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4DAD"/>
    <w:rsid w:val="00867F95"/>
    <w:rsid w:val="008843B6"/>
    <w:rsid w:val="00891928"/>
    <w:rsid w:val="008A446D"/>
    <w:rsid w:val="008B25F1"/>
    <w:rsid w:val="008D180B"/>
    <w:rsid w:val="008D5BAF"/>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5D55"/>
    <w:rsid w:val="00AB0ADB"/>
    <w:rsid w:val="00B00C0E"/>
    <w:rsid w:val="00B01B1A"/>
    <w:rsid w:val="00B0381D"/>
    <w:rsid w:val="00B042DF"/>
    <w:rsid w:val="00B44A47"/>
    <w:rsid w:val="00B72CD3"/>
    <w:rsid w:val="00B72FFF"/>
    <w:rsid w:val="00BA4602"/>
    <w:rsid w:val="00BC3D36"/>
    <w:rsid w:val="00BD54A6"/>
    <w:rsid w:val="00BD7F72"/>
    <w:rsid w:val="00BF7425"/>
    <w:rsid w:val="00C04FB3"/>
    <w:rsid w:val="00C11D8B"/>
    <w:rsid w:val="00C15139"/>
    <w:rsid w:val="00C330EB"/>
    <w:rsid w:val="00C50D69"/>
    <w:rsid w:val="00C535B5"/>
    <w:rsid w:val="00C5365C"/>
    <w:rsid w:val="00C754BE"/>
    <w:rsid w:val="00C76B1C"/>
    <w:rsid w:val="00C925AC"/>
    <w:rsid w:val="00CB6357"/>
    <w:rsid w:val="00CB6C82"/>
    <w:rsid w:val="00CC1B26"/>
    <w:rsid w:val="00D00359"/>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0D5D"/>
    <w:rsid w:val="00E75C92"/>
    <w:rsid w:val="00E771DC"/>
    <w:rsid w:val="00E8772A"/>
    <w:rsid w:val="00E90F6B"/>
    <w:rsid w:val="00E92C27"/>
    <w:rsid w:val="00EA0E3D"/>
    <w:rsid w:val="00EC38A7"/>
    <w:rsid w:val="00EE1AA8"/>
    <w:rsid w:val="00F0158E"/>
    <w:rsid w:val="00F0711F"/>
    <w:rsid w:val="00F12571"/>
    <w:rsid w:val="00F23FEA"/>
    <w:rsid w:val="00F31EDC"/>
    <w:rsid w:val="00F462B3"/>
    <w:rsid w:val="00F47F56"/>
    <w:rsid w:val="00F5664F"/>
    <w:rsid w:val="00F666C4"/>
    <w:rsid w:val="00F76AFC"/>
    <w:rsid w:val="00FA47C0"/>
    <w:rsid w:val="00FB5DD1"/>
    <w:rsid w:val="00FC2B5D"/>
    <w:rsid w:val="00FF1449"/>
    <w:rsid w:val="00FF4E6A"/>
    <w:rsid w:val="00FF7963"/>
    <w:rsid w:val="071B8F93"/>
    <w:rsid w:val="09908A09"/>
    <w:rsid w:val="0FF4CCA8"/>
    <w:rsid w:val="13CFC91B"/>
    <w:rsid w:val="19A2EC2C"/>
    <w:rsid w:val="1FEBFA54"/>
    <w:rsid w:val="2859CA1B"/>
    <w:rsid w:val="32A4F9CF"/>
    <w:rsid w:val="356CEDFD"/>
    <w:rsid w:val="6303DB19"/>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85D5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85D5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limen26@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tmp"/><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2.xml><?xml version="1.0" encoding="utf-8"?>
<ds:datastoreItem xmlns:ds="http://schemas.openxmlformats.org/officeDocument/2006/customXml" ds:itemID="{5B0FBDF2-C6A9-4D24-8940-AB6EA54996D5}">
  <ds:schemaRefs>
    <ds:schemaRef ds:uri="http://schemas.openxmlformats.org/officeDocument/2006/bibliography"/>
  </ds:schemaRefs>
</ds:datastoreItem>
</file>

<file path=customXml/itemProps3.xml><?xml version="1.0" encoding="utf-8"?>
<ds:datastoreItem xmlns:ds="http://schemas.openxmlformats.org/officeDocument/2006/customXml" ds:itemID="{D9A2160B-534D-4DC4-8CD1-BB5119E74866}"/>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20</Pages>
  <Words>5682</Words>
  <Characters>31252</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2025-12-30T11:58:00Z</dcterms:created>
  <dcterms:modified xsi:type="dcterms:W3CDTF">2025-12-31T01:59:00Z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