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1B5C78" w14:textId="77777777" w:rsidR="00144A14" w:rsidRPr="00EB73BF" w:rsidRDefault="00144A14" w:rsidP="00822A37">
      <w:pPr>
        <w:spacing w:after="0" w:line="240" w:lineRule="auto"/>
        <w:jc w:val="both"/>
        <w:rPr>
          <w:rFonts w:ascii="Verdana" w:eastAsia="Times New Roman" w:hAnsi="Verdana" w:cs="Arial"/>
          <w:b/>
          <w:lang w:eastAsia="es-ES"/>
        </w:rPr>
      </w:pPr>
      <w:bookmarkStart w:id="0" w:name="_Hlk143780582"/>
      <w:r w:rsidRPr="00EB73BF">
        <w:rPr>
          <w:rFonts w:ascii="Verdana" w:eastAsia="Times New Roman" w:hAnsi="Verdana" w:cs="Arial"/>
          <w:b/>
          <w:lang w:eastAsia="es-ES"/>
        </w:rPr>
        <w:t xml:space="preserve">CONTRATO DE PRESTACIÓN DE SERVICIOS – Concepto </w:t>
      </w:r>
    </w:p>
    <w:p w14:paraId="27B718E6" w14:textId="77777777" w:rsidR="00144A14" w:rsidRPr="00133A58" w:rsidRDefault="00144A14" w:rsidP="00822A37">
      <w:pPr>
        <w:spacing w:after="0" w:line="240" w:lineRule="auto"/>
        <w:jc w:val="both"/>
        <w:rPr>
          <w:rFonts w:ascii="Verdana" w:eastAsia="Times New Roman" w:hAnsi="Verdana" w:cs="Arial"/>
          <w:sz w:val="20"/>
          <w:lang w:eastAsia="es-ES"/>
        </w:rPr>
      </w:pPr>
    </w:p>
    <w:p w14:paraId="3642F6F6" w14:textId="77777777" w:rsidR="00144A14" w:rsidRPr="00133A58" w:rsidRDefault="00144A14" w:rsidP="00822A37">
      <w:pPr>
        <w:spacing w:after="0" w:line="240" w:lineRule="auto"/>
        <w:jc w:val="both"/>
        <w:rPr>
          <w:rFonts w:ascii="Verdana" w:eastAsia="Times New Roman" w:hAnsi="Verdana" w:cs="Arial"/>
          <w:sz w:val="20"/>
          <w:lang w:eastAsia="es-ES"/>
        </w:rPr>
      </w:pPr>
      <w:r w:rsidRPr="00133A58">
        <w:rPr>
          <w:rFonts w:ascii="Verdana" w:eastAsia="Times New Roman" w:hAnsi="Verdana" w:cs="Arial"/>
          <w:sz w:val="20"/>
          <w:lang w:eastAsia="es-ES"/>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 “Son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p>
    <w:p w14:paraId="4209192D" w14:textId="77777777" w:rsidR="00144A14" w:rsidRPr="00EB73BF" w:rsidRDefault="00144A14" w:rsidP="00822A37">
      <w:pPr>
        <w:spacing w:after="0" w:line="240" w:lineRule="auto"/>
        <w:jc w:val="both"/>
        <w:rPr>
          <w:rFonts w:ascii="Verdana" w:eastAsia="Times New Roman" w:hAnsi="Verdana" w:cs="Arial"/>
          <w:b/>
          <w:lang w:eastAsia="es-ES"/>
        </w:rPr>
      </w:pPr>
    </w:p>
    <w:p w14:paraId="7217BD12" w14:textId="77777777" w:rsidR="00144A14" w:rsidRPr="00EB73BF" w:rsidRDefault="00144A14" w:rsidP="00822A37">
      <w:pPr>
        <w:spacing w:after="0" w:line="240" w:lineRule="auto"/>
        <w:jc w:val="both"/>
        <w:rPr>
          <w:rFonts w:ascii="Verdana" w:eastAsia="Times New Roman" w:hAnsi="Verdana" w:cs="Arial"/>
          <w:b/>
          <w:lang w:eastAsia="es-ES"/>
        </w:rPr>
      </w:pPr>
      <w:r w:rsidRPr="00EB73BF">
        <w:rPr>
          <w:rFonts w:ascii="Verdana" w:eastAsia="Times New Roman" w:hAnsi="Verdana" w:cs="Arial"/>
          <w:b/>
          <w:lang w:eastAsia="es-ES"/>
        </w:rPr>
        <w:t>CONTRATO DE PRESTACIÓN DE SERVICIOS – Características</w:t>
      </w:r>
    </w:p>
    <w:p w14:paraId="13BD40B2" w14:textId="77777777" w:rsidR="00144A14" w:rsidRDefault="00144A14" w:rsidP="00822A37">
      <w:pPr>
        <w:spacing w:after="0" w:line="240" w:lineRule="auto"/>
        <w:jc w:val="both"/>
        <w:rPr>
          <w:rFonts w:ascii="Verdana" w:eastAsia="Times New Roman" w:hAnsi="Verdana" w:cs="Arial"/>
          <w:b/>
          <w:lang w:eastAsia="es-ES"/>
        </w:rPr>
      </w:pPr>
    </w:p>
    <w:p w14:paraId="5E67A888" w14:textId="77777777" w:rsidR="00144A14" w:rsidRPr="00133A58" w:rsidRDefault="00144A14" w:rsidP="00822A37">
      <w:pPr>
        <w:spacing w:after="0" w:line="240" w:lineRule="auto"/>
        <w:jc w:val="both"/>
        <w:rPr>
          <w:rFonts w:ascii="Verdana" w:eastAsia="Times New Roman" w:hAnsi="Verdana" w:cs="Arial"/>
          <w:sz w:val="20"/>
          <w:lang w:val="es-ES" w:eastAsia="es-ES"/>
        </w:rPr>
      </w:pPr>
      <w:r w:rsidRPr="00133A58">
        <w:rPr>
          <w:rFonts w:ascii="Verdana" w:eastAsia="Times New Roman" w:hAnsi="Verdana" w:cs="Arial"/>
          <w:sz w:val="20"/>
          <w:lang w:eastAsia="es-ES"/>
        </w:rPr>
        <w:t xml:space="preserve">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 profesionales: a) Solo puede celebrarse para realizar “actividades relacionadas con la administración o funcionamiento de la entidad”, es decir, que hagan parte de su giro ordinario o quehacer cotidiano. 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c) Si bien se celebran para obtener la prestación personal de un servicio, se diferencian del contrato de trabajo en que quien celebra el contrato de prestación de servicios profesionales debe mantener autonomía e independencia en la ejecución de la labor, lo que significa que no puede existir la </w:t>
      </w:r>
      <w:r w:rsidRPr="00133A58">
        <w:rPr>
          <w:rFonts w:ascii="Verdana" w:eastAsia="Times New Roman" w:hAnsi="Verdana" w:cs="Arial"/>
          <w:i/>
          <w:iCs/>
          <w:sz w:val="20"/>
          <w:lang w:eastAsia="es-ES"/>
        </w:rPr>
        <w:t>subordinación y dependencia</w:t>
      </w:r>
      <w:r w:rsidRPr="00133A58">
        <w:rPr>
          <w:rFonts w:ascii="Verdana" w:eastAsia="Times New Roman" w:hAnsi="Verdana" w:cs="Arial"/>
          <w:sz w:val="20"/>
          <w:lang w:eastAsia="es-ES"/>
        </w:rPr>
        <w:t>, que es uno de los elementos constitutivos del vínculo laboral. d) Deben ser temporales. e</w:t>
      </w:r>
      <w:r w:rsidRPr="00133A58">
        <w:rPr>
          <w:rFonts w:ascii="Verdana" w:eastAsia="Times New Roman" w:hAnsi="Verdana" w:cs="Arial"/>
          <w:sz w:val="20"/>
          <w:lang w:val="es-ES" w:eastAsia="es-ES"/>
        </w:rPr>
        <w:t xml:space="preserve">) Los contratos de prestación de servicios constituyen un </w:t>
      </w:r>
      <w:r w:rsidRPr="00133A58">
        <w:rPr>
          <w:rFonts w:ascii="Verdana" w:eastAsia="Times New Roman" w:hAnsi="Verdana" w:cs="Arial"/>
          <w:i/>
          <w:iCs/>
          <w:sz w:val="20"/>
          <w:lang w:val="es-ES" w:eastAsia="es-ES"/>
        </w:rPr>
        <w:t>género</w:t>
      </w:r>
      <w:r w:rsidRPr="00133A58">
        <w:rPr>
          <w:rFonts w:ascii="Verdana" w:eastAsia="Times New Roman" w:hAnsi="Verdana" w:cs="Arial"/>
          <w:sz w:val="20"/>
          <w:lang w:val="es-ES" w:eastAsia="es-ES"/>
        </w:rPr>
        <w:t xml:space="preserve"> que incluye, como </w:t>
      </w:r>
      <w:r w:rsidRPr="00133A58">
        <w:rPr>
          <w:rFonts w:ascii="Verdana" w:eastAsia="Times New Roman" w:hAnsi="Verdana" w:cs="Arial"/>
          <w:i/>
          <w:iCs/>
          <w:sz w:val="20"/>
          <w:lang w:val="es-ES" w:eastAsia="es-ES"/>
        </w:rPr>
        <w:t>especies</w:t>
      </w:r>
      <w:r w:rsidRPr="00133A58">
        <w:rPr>
          <w:rFonts w:ascii="Verdana" w:eastAsia="Times New Roman" w:hAnsi="Verdana" w:cs="Arial"/>
          <w:sz w:val="20"/>
          <w:lang w:val="es-ES" w:eastAsia="es-ES"/>
        </w:rPr>
        <w:t xml:space="preserve">, los contratos de prestación de servicios profesionales, los contratos de prestación de servicios de apoyo a la gestión y los contratos de prestación de servicios artísticos que solo pueden encomendarse a determinadas personas naturales. La diferencia entre el contrato de prestación de servicios </w:t>
      </w:r>
      <w:r w:rsidRPr="00133A58">
        <w:rPr>
          <w:rFonts w:ascii="Verdana" w:eastAsia="Times New Roman" w:hAnsi="Verdana" w:cs="Arial"/>
          <w:i/>
          <w:iCs/>
          <w:sz w:val="20"/>
          <w:lang w:val="es-ES" w:eastAsia="es-ES"/>
        </w:rPr>
        <w:t>profesionales</w:t>
      </w:r>
      <w:r w:rsidRPr="00133A58">
        <w:rPr>
          <w:rFonts w:ascii="Verdana" w:eastAsia="Times New Roman" w:hAnsi="Verdana" w:cs="Arial"/>
          <w:sz w:val="20"/>
          <w:lang w:val="es-ES" w:eastAsia="es-ES"/>
        </w:rPr>
        <w:t xml:space="preserve"> con las otras dos especies del género en el cual se ubican radica en su contenido intelectual intangible y, al mismo tiempo, en la formación profesional que se exige para desempeñar la labor</w:t>
      </w:r>
      <w:r w:rsidRPr="00133A58">
        <w:rPr>
          <w:rFonts w:ascii="Verdana" w:eastAsia="Times New Roman" w:hAnsi="Verdana" w:cs="Arial"/>
          <w:sz w:val="20"/>
          <w:vertAlign w:val="superscript"/>
          <w:lang w:val="es-ES" w:eastAsia="es-ES"/>
        </w:rPr>
        <w:t xml:space="preserve">. </w:t>
      </w:r>
      <w:r w:rsidRPr="00133A58">
        <w:rPr>
          <w:rFonts w:ascii="Verdana" w:eastAsia="Times New Roman" w:hAnsi="Verdana" w:cs="Arial"/>
          <w:sz w:val="20"/>
          <w:lang w:val="es-ES" w:eastAsia="es-ES"/>
        </w:rPr>
        <w:t xml:space="preserve">f)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 Pero, tampoco puede suscribirse un contrato de prestación de servicios profesionales para que el contratista ejecute labores que se enmarcan dentro de los otros contratos tipificados en el artículo 32 de la Ley 80 de 1993, como, </w:t>
      </w:r>
      <w:r w:rsidRPr="00133A58">
        <w:rPr>
          <w:rFonts w:ascii="Verdana" w:eastAsia="Times New Roman" w:hAnsi="Verdana" w:cs="Arial"/>
          <w:sz w:val="20"/>
          <w:lang w:val="es-ES" w:eastAsia="es-ES"/>
        </w:rPr>
        <w:lastRenderedPageBreak/>
        <w:t>por ejemplo, para que el contratista de prestación de servicios construya una obra.</w:t>
      </w:r>
      <w:r w:rsidRPr="00133A58">
        <w:rPr>
          <w:rFonts w:ascii="Verdana" w:eastAsia="Times New Roman" w:hAnsi="Verdana" w:cs="Arial"/>
          <w:sz w:val="20"/>
          <w:lang w:eastAsia="es-ES"/>
        </w:rPr>
        <w:t xml:space="preserve"> </w:t>
      </w:r>
      <w:r w:rsidRPr="00133A58">
        <w:rPr>
          <w:rFonts w:ascii="Verdana" w:eastAsia="Times New Roman" w:hAnsi="Verdana" w:cs="Arial"/>
          <w:sz w:val="20"/>
          <w:lang w:val="es-ES" w:eastAsia="es-ES"/>
        </w:rPr>
        <w:t xml:space="preserve">g) Para su celebración no se requiere en algunos casos la expedición del acto administrativo de justificación de la contratación directa. h) Admiten el pacto de cláusulas excepcionales. </w:t>
      </w:r>
    </w:p>
    <w:p w14:paraId="42F6A4E3" w14:textId="77777777" w:rsidR="00144A14" w:rsidRPr="00144A14" w:rsidRDefault="00144A14" w:rsidP="00144A14">
      <w:pPr>
        <w:spacing w:after="0" w:line="240" w:lineRule="auto"/>
        <w:jc w:val="both"/>
        <w:rPr>
          <w:rFonts w:ascii="Verdana" w:hAnsi="Verdana"/>
          <w:b/>
        </w:rPr>
      </w:pPr>
    </w:p>
    <w:p w14:paraId="1F71BFDA" w14:textId="77777777" w:rsidR="00144A14" w:rsidRPr="00144A14" w:rsidRDefault="00144A14" w:rsidP="00144A14">
      <w:pPr>
        <w:spacing w:after="0" w:line="240" w:lineRule="auto"/>
        <w:jc w:val="both"/>
        <w:rPr>
          <w:rFonts w:ascii="Verdana" w:hAnsi="Verdana"/>
          <w:b/>
        </w:rPr>
      </w:pPr>
      <w:r w:rsidRPr="00144A14">
        <w:rPr>
          <w:rFonts w:ascii="Verdana" w:hAnsi="Verdana"/>
          <w:b/>
        </w:rPr>
        <w:t>ESTABILIDAD OCUPACIONAL REFORZADA DE MUJER EMBARAZADA – Concepto</w:t>
      </w:r>
    </w:p>
    <w:p w14:paraId="7602E112" w14:textId="355A8182" w:rsidR="00144A14" w:rsidRPr="00822A37" w:rsidRDefault="00144A14" w:rsidP="00822A37">
      <w:pPr>
        <w:spacing w:after="0" w:line="240" w:lineRule="auto"/>
        <w:jc w:val="both"/>
        <w:rPr>
          <w:rFonts w:ascii="Verdana" w:hAnsi="Verdana"/>
          <w:sz w:val="20"/>
        </w:rPr>
      </w:pPr>
    </w:p>
    <w:p w14:paraId="07C11017" w14:textId="42DE1C2E" w:rsidR="00822A37" w:rsidRPr="00822A37" w:rsidRDefault="00822A37" w:rsidP="00822A37">
      <w:pPr>
        <w:spacing w:after="0" w:line="240" w:lineRule="auto"/>
        <w:jc w:val="both"/>
        <w:rPr>
          <w:rFonts w:ascii="Verdana" w:hAnsi="Verdana"/>
          <w:sz w:val="20"/>
        </w:rPr>
      </w:pPr>
      <w:r w:rsidRPr="00822A37">
        <w:rPr>
          <w:rFonts w:ascii="Verdana" w:hAnsi="Verdana"/>
          <w:sz w:val="20"/>
          <w:lang w:val="es-ES"/>
        </w:rPr>
        <w:t>El</w:t>
      </w:r>
      <w:r w:rsidRPr="00822A37">
        <w:rPr>
          <w:rFonts w:ascii="Verdana" w:hAnsi="Verdana"/>
          <w:sz w:val="20"/>
        </w:rPr>
        <w:t xml:space="preserve"> fuero de maternidad es una institución jurídica que otorga una protección reforzada a la futura madre y a la que acaba de serlo, es decir, a la mujer que se encuentra en estado de embarazo, en licencia de maternidad y en periodo de lactancia. Esto con el fin de que el proceso de gestación no interfiera en la estabilidad ocupacional que, como trabajadora, le asiste. El propósito es que las aspiraciones familiares y profesionales de la mujer no se excluyan y puedan armonizarse, al punto de desarrollar su proyecto de vida y su personalidad en condiciones de dignidad y libertad, pues históricamente el estado de gravidez ha constituido un motivo de exclusión de la mujer en el trabajo, en el que es preciso “impedir la discriminación constituida por el despido, la terminación o la no renovación del contrato por causa o con ocasión del embarazo o la lactancia”.</w:t>
      </w:r>
    </w:p>
    <w:p w14:paraId="6C272E18" w14:textId="77777777" w:rsidR="00822A37" w:rsidRPr="00144A14" w:rsidRDefault="00822A37" w:rsidP="00144A14">
      <w:pPr>
        <w:spacing w:after="0" w:line="240" w:lineRule="auto"/>
        <w:jc w:val="both"/>
        <w:rPr>
          <w:rFonts w:ascii="Verdana" w:hAnsi="Verdana"/>
          <w:b/>
        </w:rPr>
      </w:pPr>
    </w:p>
    <w:p w14:paraId="3DEE8BBD" w14:textId="2DF582A1" w:rsidR="00144A14" w:rsidRPr="00144A14" w:rsidRDefault="00144A14" w:rsidP="00144A14">
      <w:pPr>
        <w:spacing w:after="0" w:line="240" w:lineRule="auto"/>
        <w:jc w:val="both"/>
        <w:rPr>
          <w:rFonts w:ascii="Verdana" w:hAnsi="Verdana"/>
          <w:b/>
        </w:rPr>
      </w:pPr>
      <w:r w:rsidRPr="00144A14">
        <w:rPr>
          <w:rFonts w:ascii="Verdana" w:hAnsi="Verdana"/>
          <w:b/>
        </w:rPr>
        <w:t>ESTABILIDAD OCUPACIONAL REFORZADA DE MUJER EMBARAZADA – Unificación jurisprudencial</w:t>
      </w:r>
    </w:p>
    <w:p w14:paraId="20F03314" w14:textId="77777777" w:rsidR="00144A14" w:rsidRPr="00144A14" w:rsidRDefault="00144A14" w:rsidP="00144A14">
      <w:pPr>
        <w:spacing w:after="0" w:line="240" w:lineRule="auto"/>
        <w:jc w:val="both"/>
        <w:rPr>
          <w:rFonts w:ascii="Verdana" w:hAnsi="Verdana"/>
          <w:b/>
        </w:rPr>
      </w:pPr>
    </w:p>
    <w:p w14:paraId="4372324A" w14:textId="7A58A45F" w:rsidR="00822A37" w:rsidRPr="00822A37" w:rsidRDefault="00822A37" w:rsidP="00822A37">
      <w:pPr>
        <w:spacing w:after="0" w:line="240" w:lineRule="auto"/>
        <w:jc w:val="both"/>
        <w:rPr>
          <w:rFonts w:ascii="Verdana" w:hAnsi="Verdana"/>
          <w:sz w:val="20"/>
        </w:rPr>
      </w:pPr>
      <w:r w:rsidRPr="00822A37">
        <w:rPr>
          <w:rFonts w:ascii="Verdana" w:hAnsi="Verdana"/>
          <w:sz w:val="20"/>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0DEC6FB7" w14:textId="77777777" w:rsidR="00144A14" w:rsidRPr="00144A14" w:rsidRDefault="00144A14" w:rsidP="00144A14">
      <w:pPr>
        <w:spacing w:after="0" w:line="240" w:lineRule="auto"/>
        <w:jc w:val="both"/>
        <w:rPr>
          <w:rFonts w:ascii="Verdana" w:hAnsi="Verdana"/>
          <w:b/>
        </w:rPr>
      </w:pPr>
    </w:p>
    <w:p w14:paraId="1201CC8F" w14:textId="77777777" w:rsidR="00144A14" w:rsidRPr="00144A14" w:rsidRDefault="00144A14" w:rsidP="00144A14">
      <w:pPr>
        <w:spacing w:after="0" w:line="240" w:lineRule="auto"/>
        <w:jc w:val="both"/>
        <w:rPr>
          <w:rFonts w:ascii="Verdana" w:hAnsi="Verdana"/>
          <w:b/>
        </w:rPr>
      </w:pPr>
      <w:r w:rsidRPr="00144A14">
        <w:rPr>
          <w:rFonts w:ascii="Verdana" w:hAnsi="Verdana"/>
          <w:b/>
        </w:rPr>
        <w:t xml:space="preserve"> ESTABILIDAD OCUPACIONAL REFORZADA DE MUJER EMBARAZADA – Procedencia – Contratos de prestación de servicios</w:t>
      </w:r>
    </w:p>
    <w:p w14:paraId="7ED117B7" w14:textId="2D0D26E3" w:rsidR="00822A37" w:rsidRDefault="00822A37" w:rsidP="00144A14">
      <w:pPr>
        <w:spacing w:after="0" w:line="240" w:lineRule="auto"/>
        <w:jc w:val="both"/>
        <w:rPr>
          <w:rFonts w:ascii="Verdana" w:hAnsi="Verdana"/>
          <w:b/>
        </w:rPr>
      </w:pPr>
    </w:p>
    <w:p w14:paraId="067C0D82" w14:textId="77777777" w:rsidR="00822A37" w:rsidRPr="00822A37" w:rsidRDefault="00822A37" w:rsidP="00822A37">
      <w:pPr>
        <w:spacing w:after="0" w:line="240" w:lineRule="auto"/>
        <w:jc w:val="both"/>
        <w:rPr>
          <w:rFonts w:ascii="Verdana" w:hAnsi="Verdana"/>
          <w:sz w:val="20"/>
          <w:szCs w:val="20"/>
          <w:lang w:val="es-ES"/>
        </w:rPr>
      </w:pPr>
      <w:r w:rsidRPr="00822A37">
        <w:rPr>
          <w:rFonts w:ascii="Verdana" w:hAnsi="Verdana"/>
          <w:sz w:val="20"/>
          <w:szCs w:val="20"/>
          <w:lang w:val="es-ES"/>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59E1896C" w14:textId="4F455445" w:rsidR="00822A37" w:rsidRPr="00822A37" w:rsidRDefault="00822A37" w:rsidP="00822A37">
      <w:pPr>
        <w:spacing w:after="0" w:line="240" w:lineRule="auto"/>
        <w:jc w:val="both"/>
        <w:rPr>
          <w:rFonts w:ascii="Verdana" w:hAnsi="Verdana"/>
          <w:sz w:val="20"/>
          <w:szCs w:val="20"/>
          <w:lang w:val="es-ES"/>
        </w:rPr>
      </w:pPr>
      <w:r w:rsidRPr="00822A37">
        <w:rPr>
          <w:rFonts w:ascii="Verdana" w:hAnsi="Verdana"/>
          <w:sz w:val="20"/>
          <w:szCs w:val="20"/>
          <w:lang w:val="es-ES"/>
        </w:rPr>
        <w:lastRenderedPageBreak/>
        <w:t>[…]</w:t>
      </w:r>
    </w:p>
    <w:p w14:paraId="19FF94D8" w14:textId="22F631CF" w:rsidR="00822A37" w:rsidRPr="00822A37" w:rsidRDefault="00822A37" w:rsidP="00822A37">
      <w:pPr>
        <w:spacing w:after="0" w:line="240" w:lineRule="auto"/>
        <w:jc w:val="both"/>
        <w:rPr>
          <w:rFonts w:ascii="Verdana" w:hAnsi="Verdana"/>
          <w:sz w:val="20"/>
          <w:szCs w:val="20"/>
          <w:lang w:val="es-ES"/>
        </w:rPr>
      </w:pPr>
      <w:r w:rsidRPr="00822A37">
        <w:rPr>
          <w:rFonts w:ascii="Verdana" w:hAnsi="Verdana"/>
          <w:sz w:val="20"/>
          <w:szCs w:val="20"/>
          <w:lang w:val="es-ES"/>
        </w:rPr>
        <w:t>El despido por estas causas en el contrato de prestación de servicios es determinado según la Corte Constitucional a través de tres componentes: (i) el contratante conoce el estado de embarazo de la contratista, (ii) subsiste la causa del contrato y (iii) no cuenta con permiso del inspector del trabajo para terminar el contrato. En estos eventos procede la garantía de estabilidad reforzada por lo que la entidad deberá proceder a la renovación de la relación contractual.</w:t>
      </w:r>
    </w:p>
    <w:p w14:paraId="6C99AF4C" w14:textId="77777777" w:rsidR="00822A37" w:rsidRPr="00822A37" w:rsidRDefault="00822A37" w:rsidP="00144A14">
      <w:pPr>
        <w:spacing w:after="0" w:line="240" w:lineRule="auto"/>
        <w:jc w:val="both"/>
        <w:rPr>
          <w:rFonts w:ascii="Verdana" w:hAnsi="Verdana"/>
          <w:b/>
          <w:lang w:val="es-ES"/>
        </w:rPr>
      </w:pPr>
    </w:p>
    <w:p w14:paraId="0DBD5EED" w14:textId="77777777" w:rsidR="00144A14" w:rsidRPr="00144A14" w:rsidRDefault="00144A14" w:rsidP="00144A14">
      <w:pPr>
        <w:spacing w:after="0" w:line="240" w:lineRule="auto"/>
        <w:jc w:val="both"/>
        <w:rPr>
          <w:rFonts w:ascii="Verdana" w:hAnsi="Verdana"/>
          <w:b/>
        </w:rPr>
      </w:pPr>
      <w:r w:rsidRPr="00144A14">
        <w:rPr>
          <w:rFonts w:ascii="Verdana" w:hAnsi="Verdana"/>
          <w:b/>
        </w:rPr>
        <w:t xml:space="preserve">ESTABILIDAD OCUPACIONAL REFORZADA – Periodo de lactancia – Contratos de prestación de servicios </w:t>
      </w:r>
    </w:p>
    <w:p w14:paraId="2D7896CB" w14:textId="27C55BE9" w:rsidR="00144A14" w:rsidRDefault="00144A14" w:rsidP="00144A14">
      <w:pPr>
        <w:spacing w:after="0" w:line="240" w:lineRule="auto"/>
        <w:jc w:val="both"/>
        <w:rPr>
          <w:rFonts w:ascii="Verdana" w:hAnsi="Verdana"/>
          <w:b/>
        </w:rPr>
      </w:pPr>
    </w:p>
    <w:p w14:paraId="1273348E" w14:textId="64F3E39D" w:rsidR="00822A37" w:rsidRDefault="00822A37" w:rsidP="00822A37">
      <w:pPr>
        <w:spacing w:after="0" w:line="240" w:lineRule="auto"/>
        <w:jc w:val="both"/>
        <w:rPr>
          <w:rFonts w:ascii="Verdana" w:hAnsi="Verdana"/>
          <w:sz w:val="20"/>
          <w:lang w:val="es-ES"/>
        </w:rPr>
      </w:pPr>
      <w:r>
        <w:rPr>
          <w:rFonts w:ascii="Verdana" w:hAnsi="Verdana"/>
          <w:sz w:val="20"/>
          <w:lang w:val="es-ES"/>
        </w:rPr>
        <w:t xml:space="preserve">[…] </w:t>
      </w:r>
      <w:r w:rsidRPr="00822A37">
        <w:rPr>
          <w:rFonts w:ascii="Verdana" w:hAnsi="Verdana"/>
          <w:sz w:val="20"/>
          <w:lang w:val="es-ES"/>
        </w:rPr>
        <w:t>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que por lo general, es de seis (6) meses, sin perjuicio de otras consideraciones planteadas por el Ministerio de Trabajo. De acuerdo con esto, aplica para la madre – contratista, una protección de estabilidad que evita que sea despedida por causa de embarazo o en periodo de la licencia de maternidad o durante el periodo de lactancia, enfatizando que cada periodo la presunción de despido aplicar de forma diferente conforme lo expuesto.</w:t>
      </w:r>
    </w:p>
    <w:p w14:paraId="5963B609" w14:textId="77777777" w:rsidR="00822A37" w:rsidRPr="00822A37" w:rsidRDefault="00822A37" w:rsidP="00144A14">
      <w:pPr>
        <w:spacing w:after="0" w:line="240" w:lineRule="auto"/>
        <w:jc w:val="both"/>
        <w:rPr>
          <w:rFonts w:ascii="Verdana" w:hAnsi="Verdana"/>
          <w:b/>
          <w:lang w:val="es-ES"/>
        </w:rPr>
      </w:pPr>
    </w:p>
    <w:p w14:paraId="79780988" w14:textId="7BCB3688" w:rsidR="00144A14" w:rsidRPr="00144A14" w:rsidRDefault="00144A14" w:rsidP="00144A14">
      <w:pPr>
        <w:spacing w:after="0" w:line="240" w:lineRule="auto"/>
        <w:jc w:val="both"/>
        <w:rPr>
          <w:rFonts w:ascii="Verdana" w:hAnsi="Verdana"/>
          <w:b/>
        </w:rPr>
      </w:pPr>
      <w:r w:rsidRPr="00144A14">
        <w:rPr>
          <w:rFonts w:ascii="Verdana" w:hAnsi="Verdana"/>
          <w:b/>
        </w:rPr>
        <w:t>SUSPENSIÓN DEL CONTRATO – Estado de embarazo y li</w:t>
      </w:r>
      <w:r w:rsidR="00822A37">
        <w:rPr>
          <w:rFonts w:ascii="Verdana" w:hAnsi="Verdana"/>
          <w:b/>
        </w:rPr>
        <w:t xml:space="preserve">cencia de maternidad – Vigencia - </w:t>
      </w:r>
      <w:r w:rsidRPr="00144A14">
        <w:rPr>
          <w:rFonts w:ascii="Verdana" w:hAnsi="Verdana"/>
          <w:b/>
        </w:rPr>
        <w:t>Mecanismos Administrativos.</w:t>
      </w:r>
    </w:p>
    <w:p w14:paraId="6824F9BE" w14:textId="0117CD12" w:rsidR="00144A14" w:rsidRDefault="00144A14" w:rsidP="0045785F">
      <w:pPr>
        <w:spacing w:after="0" w:line="240" w:lineRule="auto"/>
        <w:rPr>
          <w:rFonts w:ascii="Verdana" w:hAnsi="Verdana"/>
        </w:rPr>
      </w:pPr>
    </w:p>
    <w:p w14:paraId="53AC772F" w14:textId="62C4B248" w:rsidR="00822A37" w:rsidRPr="00822A37" w:rsidRDefault="00822A37" w:rsidP="00822A37">
      <w:pPr>
        <w:spacing w:after="0" w:line="240" w:lineRule="auto"/>
        <w:jc w:val="both"/>
        <w:rPr>
          <w:rFonts w:ascii="Verdana" w:hAnsi="Verdana"/>
          <w:sz w:val="20"/>
          <w:lang w:val="es-ES_tradnl"/>
        </w:rPr>
      </w:pPr>
      <w:r w:rsidRPr="00822A37">
        <w:rPr>
          <w:rFonts w:ascii="Verdana" w:hAnsi="Verdana"/>
          <w:sz w:val="20"/>
        </w:rPr>
        <w:t>En esta línea, a</w:t>
      </w:r>
      <w:r w:rsidRPr="00822A37">
        <w:rPr>
          <w:rFonts w:ascii="Verdana" w:hAnsi="Verdana"/>
          <w:sz w:val="20"/>
          <w:lang w:val="es-ES_tradnl"/>
        </w:rPr>
        <w:t xml:space="preserve">tendiendo a los términos en los que se haya pactado la suspensión es posible que no sea necesario suscribir luego un acta de reinicio para que se reactive la ejecución del contrato, sino que tal reactivación opere </w:t>
      </w:r>
      <w:r w:rsidRPr="00822A37">
        <w:rPr>
          <w:rFonts w:ascii="Verdana" w:hAnsi="Verdana"/>
          <w:i/>
          <w:iCs/>
          <w:sz w:val="20"/>
          <w:lang w:val="es-ES_tradnl"/>
        </w:rPr>
        <w:t>automáticamente</w:t>
      </w:r>
      <w:r w:rsidRPr="00822A37">
        <w:rPr>
          <w:rFonts w:ascii="Verdana" w:hAnsi="Verdana"/>
          <w:sz w:val="20"/>
          <w:lang w:val="es-ES_tradnl"/>
        </w:rPr>
        <w:t xml:space="preserve">, cuando se cumpla la condición o fecha cierta que las partes hayan pactado. </w:t>
      </w:r>
      <w:r w:rsidRPr="00822A37">
        <w:rPr>
          <w:rFonts w:ascii="Verdana" w:hAnsi="Verdana"/>
          <w:sz w:val="20"/>
          <w:lang w:val="es-ES"/>
        </w:rPr>
        <w:t>Ahora bien, lo usual es suspender el contrato durante el periodo de disfrute de la licencia, reiniciando la ejecución al cabo de la misma, modificándose el valor del contrato en orden de reducirlo de manera proporcional a los días durante los que el contrato estuvo suspendido. En todo caso, hay que tener en cuenta lo dispuesto en el Decreto 780 de 2016 sobre las condiciones para el reconocimiento y pago de la licencia de maternidad.</w:t>
      </w:r>
    </w:p>
    <w:p w14:paraId="6006D073" w14:textId="77777777" w:rsidR="00822A37" w:rsidRDefault="00822A37" w:rsidP="00822A37">
      <w:pPr>
        <w:spacing w:after="0" w:line="240" w:lineRule="auto"/>
        <w:jc w:val="both"/>
        <w:rPr>
          <w:rFonts w:ascii="Verdana" w:hAnsi="Verdana"/>
          <w:sz w:val="20"/>
          <w:lang w:val="es-ES_tradnl"/>
        </w:rPr>
      </w:pPr>
    </w:p>
    <w:p w14:paraId="1A6519B2" w14:textId="3D3CC964" w:rsidR="00822A37" w:rsidRPr="00822A37" w:rsidRDefault="00822A37" w:rsidP="00822A37">
      <w:pPr>
        <w:spacing w:after="0" w:line="240" w:lineRule="auto"/>
        <w:jc w:val="both"/>
        <w:rPr>
          <w:rFonts w:ascii="Verdana" w:hAnsi="Verdana"/>
          <w:sz w:val="20"/>
          <w:lang w:val="es-ES_tradnl"/>
        </w:rPr>
      </w:pPr>
      <w:r w:rsidRPr="00822A37">
        <w:rPr>
          <w:rFonts w:ascii="Verdana" w:hAnsi="Verdana"/>
          <w:sz w:val="20"/>
          <w:lang w:val="es-ES_tradnl"/>
        </w:rPr>
        <w:t xml:space="preserve">Otra opción para pactar la suspensión del contrato en estos eventos, sin que se reduzca el valor del contrato, consiste en extender el plazo de ejecución, por un periodo equivalente al lapso durante el cual estuvo suspendido. Sin embargo, esta posibilidad no resulta viable cuando el plazo del contrato finaliza al cabo de la vigencia fiscal, tratándose de contratos sometidos al principio de anualidad, tal como los financiados por el presupuesto general de la nación, regidos por el Estatuto Orgánico del Presupuesto, cuyo artículo 14 proscribe la posibilidad de asumir compromisos más allá del 31 de diciembre, fecha que marca el final del año fiscal. </w:t>
      </w:r>
    </w:p>
    <w:p w14:paraId="71F06299" w14:textId="77777777" w:rsidR="00822A37" w:rsidRDefault="00822A37" w:rsidP="00822A37">
      <w:pPr>
        <w:spacing w:after="0" w:line="240" w:lineRule="auto"/>
        <w:jc w:val="both"/>
        <w:rPr>
          <w:rFonts w:ascii="Verdana" w:hAnsi="Verdana"/>
          <w:sz w:val="20"/>
          <w:lang w:val="es-ES_tradnl"/>
        </w:rPr>
      </w:pPr>
    </w:p>
    <w:p w14:paraId="588C08AD" w14:textId="4E1FF57B" w:rsidR="00822A37" w:rsidRPr="00822A37" w:rsidRDefault="00822A37" w:rsidP="00822A37">
      <w:pPr>
        <w:spacing w:after="0" w:line="240" w:lineRule="auto"/>
        <w:jc w:val="both"/>
        <w:rPr>
          <w:rFonts w:ascii="Verdana" w:hAnsi="Verdana"/>
          <w:sz w:val="20"/>
          <w:lang w:val="es-ES_tradnl"/>
        </w:rPr>
      </w:pPr>
      <w:r w:rsidRPr="00822A37">
        <w:rPr>
          <w:rFonts w:ascii="Verdana" w:hAnsi="Verdana"/>
          <w:sz w:val="20"/>
          <w:lang w:val="es-ES_tradnl"/>
        </w:rPr>
        <w:t xml:space="preserve">Dentro de los mecanismos presupuestales que constituyen excepciones al principio de anualidad se identifican: i) las vigencias futuras, ii) las cuentas por pagar y iii) las reservas presupuestales. Las </w:t>
      </w:r>
      <w:r w:rsidRPr="00822A37">
        <w:rPr>
          <w:rFonts w:ascii="Verdana" w:hAnsi="Verdana"/>
          <w:i/>
          <w:iCs/>
          <w:sz w:val="20"/>
          <w:lang w:val="es-ES_tradnl"/>
        </w:rPr>
        <w:t>primeras</w:t>
      </w:r>
      <w:r w:rsidRPr="00822A37">
        <w:rPr>
          <w:rFonts w:ascii="Verdana" w:hAnsi="Verdana"/>
          <w:sz w:val="20"/>
          <w:lang w:val="es-ES_tradnl"/>
        </w:rPr>
        <w:t>, de conformidad con el artículo 23 del Estatuto Orgánico del Presupuesto</w:t>
      </w:r>
      <w:r w:rsidRPr="00822A37">
        <w:rPr>
          <w:rFonts w:ascii="Verdana" w:hAnsi="Verdana"/>
          <w:i/>
          <w:iCs/>
          <w:sz w:val="20"/>
          <w:lang w:val="es-ES_tradnl"/>
        </w:rPr>
        <w:t xml:space="preserve">, </w:t>
      </w:r>
      <w:r w:rsidRPr="00822A37">
        <w:rPr>
          <w:rFonts w:ascii="Verdana" w:hAnsi="Verdana"/>
          <w:sz w:val="20"/>
          <w:lang w:val="es-ES_tradnl"/>
        </w:rPr>
        <w:t>se</w:t>
      </w:r>
      <w:r w:rsidRPr="00822A37">
        <w:rPr>
          <w:rFonts w:ascii="Verdana" w:hAnsi="Verdana"/>
          <w:i/>
          <w:iCs/>
          <w:sz w:val="20"/>
          <w:lang w:val="es-ES_tradnl"/>
        </w:rPr>
        <w:t xml:space="preserve"> </w:t>
      </w:r>
      <w:r w:rsidRPr="00822A37">
        <w:rPr>
          <w:rFonts w:ascii="Verdana" w:hAnsi="Verdana"/>
          <w:sz w:val="20"/>
          <w:lang w:val="es-ES_tradnl"/>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 Sobre esta institución el Consejo de Estado precisó que “</w:t>
      </w:r>
      <w:r w:rsidRPr="00822A37">
        <w:rPr>
          <w:rFonts w:ascii="Verdana" w:hAnsi="Verdana"/>
          <w:sz w:val="20"/>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822A37">
        <w:rPr>
          <w:rFonts w:ascii="Verdana" w:hAnsi="Verdana"/>
          <w:sz w:val="20"/>
          <w:lang w:val="es-ES_tradnl"/>
        </w:rPr>
        <w:t xml:space="preserve">”. Las </w:t>
      </w:r>
      <w:r w:rsidRPr="00822A37">
        <w:rPr>
          <w:rFonts w:ascii="Verdana" w:hAnsi="Verdana"/>
          <w:i/>
          <w:iCs/>
          <w:sz w:val="20"/>
          <w:lang w:val="es-ES_tradnl"/>
        </w:rPr>
        <w:t>segundas</w:t>
      </w:r>
      <w:r w:rsidRPr="00822A37">
        <w:rPr>
          <w:rFonts w:ascii="Verdana" w:hAnsi="Verdana"/>
          <w:sz w:val="20"/>
          <w:lang w:val="es-ES_tradnl"/>
        </w:rPr>
        <w:t xml:space="preserve">, esto es, </w:t>
      </w:r>
      <w:r w:rsidRPr="00822A37">
        <w:rPr>
          <w:rFonts w:ascii="Verdana" w:hAnsi="Verdana"/>
          <w:i/>
          <w:iCs/>
          <w:sz w:val="20"/>
          <w:lang w:val="es-ES_tradnl"/>
        </w:rPr>
        <w:t>las cuentas por pagar</w:t>
      </w:r>
      <w:r w:rsidRPr="00822A37">
        <w:rPr>
          <w:rFonts w:ascii="Verdana" w:hAnsi="Verdana"/>
          <w:sz w:val="20"/>
          <w:lang w:val="es-ES_tradnl"/>
        </w:rPr>
        <w:t xml:space="preserve"> consisten en obligaciones cumplidas en la vigencia actual, correspondientes a los anticipos pactados en los contratos y a la entrega de bienes y servicios, de las cuales solo se encuentra pendiente el pago de acuerdo con los compromisos presupuestales adquiridos por la entidad. Y las </w:t>
      </w:r>
      <w:r w:rsidRPr="00822A37">
        <w:rPr>
          <w:rFonts w:ascii="Verdana" w:hAnsi="Verdana"/>
          <w:i/>
          <w:iCs/>
          <w:sz w:val="20"/>
          <w:lang w:val="es-ES_tradnl"/>
        </w:rPr>
        <w:t xml:space="preserve">terceras, </w:t>
      </w:r>
      <w:r w:rsidRPr="00822A37">
        <w:rPr>
          <w:rFonts w:ascii="Verdana" w:hAnsi="Verdana"/>
          <w:sz w:val="20"/>
          <w:lang w:val="es-ES_tradnl"/>
        </w:rPr>
        <w:t xml:space="preserve">las </w:t>
      </w:r>
      <w:r w:rsidRPr="00822A37">
        <w:rPr>
          <w:rFonts w:ascii="Verdana" w:hAnsi="Verdana"/>
          <w:i/>
          <w:iCs/>
          <w:sz w:val="20"/>
          <w:lang w:val="es-ES_tradnl"/>
        </w:rPr>
        <w:t>reservas presupuestales</w:t>
      </w:r>
      <w:r w:rsidRPr="00822A37">
        <w:rPr>
          <w:rFonts w:ascii="Verdana" w:hAnsi="Verdana"/>
          <w:sz w:val="20"/>
          <w:lang w:val="es-ES_tradnl"/>
        </w:rPr>
        <w:t xml:space="preserve"> </w:t>
      </w:r>
      <w:r w:rsidRPr="00822A37">
        <w:rPr>
          <w:rFonts w:ascii="Verdana" w:hAnsi="Verdana"/>
          <w:sz w:val="20"/>
          <w:lang w:val="es-ES"/>
        </w:rPr>
        <w:t>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p>
    <w:p w14:paraId="6EE0F7DA" w14:textId="3A7F8D60" w:rsidR="00822A37" w:rsidRDefault="00822A37" w:rsidP="00822A37">
      <w:pPr>
        <w:spacing w:after="0" w:line="240" w:lineRule="auto"/>
        <w:jc w:val="both"/>
        <w:rPr>
          <w:rFonts w:ascii="Verdana" w:hAnsi="Verdana"/>
          <w:sz w:val="20"/>
          <w:lang w:val="es-ES_tradnl"/>
        </w:rPr>
      </w:pPr>
      <w:r>
        <w:rPr>
          <w:rFonts w:ascii="Verdana" w:hAnsi="Verdana"/>
          <w:sz w:val="20"/>
          <w:lang w:val="es-ES_tradnl"/>
        </w:rPr>
        <w:t>[…]</w:t>
      </w:r>
    </w:p>
    <w:p w14:paraId="18D4AF1D" w14:textId="3DD6A767" w:rsidR="00822A37" w:rsidRPr="00822A37" w:rsidRDefault="00822A37" w:rsidP="00822A37">
      <w:pPr>
        <w:spacing w:after="0" w:line="240" w:lineRule="auto"/>
        <w:jc w:val="both"/>
        <w:rPr>
          <w:rFonts w:ascii="Verdana" w:hAnsi="Verdana"/>
          <w:sz w:val="20"/>
        </w:rPr>
      </w:pPr>
      <w:r w:rsidRPr="00822A37">
        <w:rPr>
          <w:rFonts w:ascii="Verdana" w:hAnsi="Verdana"/>
          <w:sz w:val="20"/>
        </w:rPr>
        <w:t xml:space="preserve">No obstante, a efectos de garantizar la estabilidad ocupacional reforzada de mujeres contratistas de prestación de servicios, en estado de embarazo o en periodo de lactancia, en situaciones en los que el principio de anualidad presupuestal impida extender plazo de ejecución del contrato previamente suspendido más allá del 31 de diciembre, las entidades pueden optar por celebrar nuevos contratos de prestación de servicios al inicio de la vigencia fiscal siguiente, procurando una mínima solución de continuidad. </w:t>
      </w:r>
    </w:p>
    <w:p w14:paraId="0922E384" w14:textId="6FA9E543" w:rsidR="00822A37" w:rsidRDefault="00822A37" w:rsidP="0045785F">
      <w:pPr>
        <w:spacing w:after="0" w:line="240" w:lineRule="auto"/>
        <w:rPr>
          <w:rFonts w:ascii="Verdana" w:hAnsi="Verdana"/>
        </w:rPr>
      </w:pPr>
    </w:p>
    <w:p w14:paraId="63CD280F" w14:textId="5DB3EA06" w:rsidR="00822A37" w:rsidRDefault="00822A37" w:rsidP="0045785F">
      <w:pPr>
        <w:spacing w:after="0" w:line="240" w:lineRule="auto"/>
        <w:rPr>
          <w:rFonts w:ascii="Verdana" w:hAnsi="Verdana"/>
        </w:rPr>
      </w:pPr>
    </w:p>
    <w:p w14:paraId="5A25D619" w14:textId="13D494B6" w:rsidR="00822A37" w:rsidRDefault="00822A37" w:rsidP="0045785F">
      <w:pPr>
        <w:spacing w:after="0" w:line="240" w:lineRule="auto"/>
        <w:rPr>
          <w:rFonts w:ascii="Verdana" w:hAnsi="Verdana"/>
        </w:rPr>
      </w:pPr>
    </w:p>
    <w:p w14:paraId="5D59D5CB" w14:textId="18C66B94" w:rsidR="00822A37" w:rsidRDefault="00822A37" w:rsidP="0045785F">
      <w:pPr>
        <w:spacing w:after="0" w:line="240" w:lineRule="auto"/>
        <w:rPr>
          <w:rFonts w:ascii="Verdana" w:hAnsi="Verdana"/>
        </w:rPr>
      </w:pPr>
    </w:p>
    <w:p w14:paraId="0F19CB09" w14:textId="63542432" w:rsidR="00822A37" w:rsidRDefault="00822A37" w:rsidP="0045785F">
      <w:pPr>
        <w:spacing w:after="0" w:line="240" w:lineRule="auto"/>
        <w:rPr>
          <w:rFonts w:ascii="Verdana" w:hAnsi="Verdana"/>
        </w:rPr>
      </w:pPr>
    </w:p>
    <w:p w14:paraId="2DFD6DA7" w14:textId="0A677CCA" w:rsidR="00822A37" w:rsidRDefault="00822A37" w:rsidP="0045785F">
      <w:pPr>
        <w:spacing w:after="0" w:line="240" w:lineRule="auto"/>
        <w:rPr>
          <w:rFonts w:ascii="Verdana" w:hAnsi="Verdana"/>
        </w:rPr>
      </w:pPr>
    </w:p>
    <w:p w14:paraId="3F2B0B4E" w14:textId="5E46C535" w:rsidR="00822A37" w:rsidRDefault="00822A37" w:rsidP="0045785F">
      <w:pPr>
        <w:spacing w:after="0" w:line="240" w:lineRule="auto"/>
        <w:rPr>
          <w:rFonts w:ascii="Verdana" w:hAnsi="Verdana"/>
        </w:rPr>
      </w:pPr>
    </w:p>
    <w:p w14:paraId="5C086D8D" w14:textId="1C044EDB" w:rsidR="00822A37" w:rsidRDefault="00822A37" w:rsidP="0045785F">
      <w:pPr>
        <w:spacing w:after="0" w:line="240" w:lineRule="auto"/>
        <w:rPr>
          <w:rFonts w:ascii="Verdana" w:hAnsi="Verdana"/>
        </w:rPr>
      </w:pPr>
    </w:p>
    <w:p w14:paraId="6C51DBDB" w14:textId="3CB53DCC" w:rsidR="00822A37" w:rsidRDefault="00822A37" w:rsidP="0045785F">
      <w:pPr>
        <w:spacing w:after="0" w:line="240" w:lineRule="auto"/>
        <w:rPr>
          <w:rFonts w:ascii="Verdana" w:hAnsi="Verdana"/>
        </w:rPr>
      </w:pPr>
    </w:p>
    <w:p w14:paraId="10107FAC" w14:textId="551A20B7" w:rsidR="00822A37" w:rsidRDefault="00822A37" w:rsidP="0045785F">
      <w:pPr>
        <w:spacing w:after="0" w:line="240" w:lineRule="auto"/>
        <w:rPr>
          <w:rFonts w:ascii="Verdana" w:hAnsi="Verdana"/>
        </w:rPr>
      </w:pPr>
    </w:p>
    <w:p w14:paraId="6665FC7F" w14:textId="069773CF" w:rsidR="00822A37" w:rsidRDefault="00822A37" w:rsidP="0045785F">
      <w:pPr>
        <w:spacing w:after="0" w:line="240" w:lineRule="auto"/>
        <w:rPr>
          <w:rFonts w:ascii="Verdana" w:hAnsi="Verdana"/>
        </w:rPr>
      </w:pPr>
    </w:p>
    <w:p w14:paraId="7B42787B" w14:textId="356EE5A0" w:rsidR="00822A37" w:rsidRDefault="00822A37" w:rsidP="0045785F">
      <w:pPr>
        <w:spacing w:after="0" w:line="240" w:lineRule="auto"/>
        <w:rPr>
          <w:rFonts w:ascii="Verdana" w:hAnsi="Verdana"/>
        </w:rPr>
      </w:pPr>
    </w:p>
    <w:p w14:paraId="7A6BE86A" w14:textId="77777777" w:rsidR="00822A37" w:rsidRDefault="00822A37" w:rsidP="0045785F">
      <w:pPr>
        <w:spacing w:after="0" w:line="240" w:lineRule="auto"/>
        <w:rPr>
          <w:rFonts w:ascii="Verdana" w:hAnsi="Verdana"/>
        </w:rPr>
      </w:pPr>
    </w:p>
    <w:p w14:paraId="0CBAE336" w14:textId="5072ED83" w:rsidR="003B0DFC" w:rsidRDefault="000D4734" w:rsidP="0045785F">
      <w:pPr>
        <w:spacing w:after="0" w:line="240" w:lineRule="auto"/>
        <w:rPr>
          <w:rFonts w:ascii="Verdana" w:hAnsi="Verdana"/>
        </w:rPr>
      </w:pPr>
      <w:r>
        <w:rPr>
          <w:rFonts w:ascii="Verdana" w:hAnsi="Verdana"/>
        </w:rPr>
        <w:lastRenderedPageBreak/>
        <w:t xml:space="preserve">Bogotá D.C., </w:t>
      </w:r>
      <w:r w:rsidR="00144A14">
        <w:rPr>
          <w:rFonts w:ascii="Verdana" w:hAnsi="Verdana"/>
        </w:rPr>
        <w:t>29 de diciembre de 2025</w:t>
      </w:r>
    </w:p>
    <w:p w14:paraId="5F5C3E5B" w14:textId="640E9733" w:rsidR="00144A14" w:rsidRDefault="00144A14" w:rsidP="0045785F">
      <w:pPr>
        <w:spacing w:after="0" w:line="240" w:lineRule="auto"/>
        <w:rPr>
          <w:rFonts w:ascii="Verdana" w:hAnsi="Verdana"/>
        </w:rPr>
      </w:pPr>
      <w:r w:rsidRPr="00144A14">
        <w:rPr>
          <w:rFonts w:ascii="Verdana" w:hAnsi="Verdana"/>
          <w:noProof/>
          <w:lang w:val="en-US"/>
        </w:rPr>
        <w:drawing>
          <wp:anchor distT="0" distB="0" distL="114300" distR="114300" simplePos="0" relativeHeight="251658240" behindDoc="0" locked="0" layoutInCell="1" allowOverlap="1" wp14:anchorId="5048C89D" wp14:editId="1E8A05D1">
            <wp:simplePos x="0" y="0"/>
            <wp:positionH relativeFrom="column">
              <wp:posOffset>2746331</wp:posOffset>
            </wp:positionH>
            <wp:positionV relativeFrom="paragraph">
              <wp:posOffset>13773</wp:posOffset>
            </wp:positionV>
            <wp:extent cx="2878455" cy="794385"/>
            <wp:effectExtent l="0" t="0" r="0" b="571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78455" cy="7943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9284C4A" w14:textId="07ED43AC" w:rsidR="00F60F65" w:rsidRDefault="00F60F65" w:rsidP="0045785F">
      <w:pPr>
        <w:spacing w:after="0" w:line="240" w:lineRule="auto"/>
        <w:rPr>
          <w:rFonts w:ascii="Verdana" w:hAnsi="Verdana"/>
        </w:rPr>
      </w:pPr>
    </w:p>
    <w:p w14:paraId="6CDEF9A3" w14:textId="50072776" w:rsidR="00F60F65" w:rsidRPr="002B4BE9" w:rsidRDefault="00F60F65" w:rsidP="0045785F">
      <w:pPr>
        <w:spacing w:after="0" w:line="240" w:lineRule="auto"/>
        <w:rPr>
          <w:rFonts w:ascii="Verdana" w:hAnsi="Verdana"/>
        </w:rPr>
      </w:pPr>
    </w:p>
    <w:p w14:paraId="13B49159" w14:textId="32350092" w:rsidR="0045785F" w:rsidRPr="00F60F65" w:rsidRDefault="0045785F" w:rsidP="0045785F">
      <w:pPr>
        <w:spacing w:after="0" w:line="240" w:lineRule="auto"/>
        <w:rPr>
          <w:rFonts w:ascii="Verdana" w:eastAsia="Calibri" w:hAnsi="Verdana" w:cs="Times New Roman"/>
          <w:lang w:val="es-MX"/>
        </w:rPr>
      </w:pPr>
      <w:r w:rsidRPr="00F60F65">
        <w:rPr>
          <w:rFonts w:ascii="Verdana" w:eastAsia="Calibri" w:hAnsi="Verdana" w:cs="Times New Roman"/>
          <w:lang w:val="es-MX"/>
        </w:rPr>
        <w:t>Señor</w:t>
      </w:r>
      <w:r w:rsidR="00F60F65" w:rsidRPr="00F60F65">
        <w:rPr>
          <w:rFonts w:ascii="Verdana" w:eastAsia="Calibri" w:hAnsi="Verdana" w:cs="Times New Roman"/>
          <w:lang w:val="es-MX"/>
        </w:rPr>
        <w:t>a</w:t>
      </w:r>
    </w:p>
    <w:p w14:paraId="3663A467" w14:textId="4D70DCB0" w:rsidR="00F60F65" w:rsidRPr="00F60F65" w:rsidRDefault="00F60F65" w:rsidP="0045785F">
      <w:pPr>
        <w:spacing w:after="0" w:line="240" w:lineRule="auto"/>
        <w:rPr>
          <w:rFonts w:ascii="Verdana" w:eastAsia="Calibri" w:hAnsi="Verdana" w:cs="Times New Roman"/>
          <w:b/>
          <w:lang w:val="es-MX"/>
        </w:rPr>
      </w:pPr>
      <w:r w:rsidRPr="00F60F65">
        <w:rPr>
          <w:rFonts w:ascii="Verdana" w:eastAsia="Calibri" w:hAnsi="Verdana" w:cs="Times New Roman"/>
          <w:b/>
          <w:lang w:val="es-MX"/>
        </w:rPr>
        <w:t>Diana Marcela Herrera González</w:t>
      </w:r>
    </w:p>
    <w:p w14:paraId="164E5E3F" w14:textId="53A1FC99" w:rsidR="00F60F65" w:rsidRPr="00F60F65" w:rsidRDefault="00055901" w:rsidP="0045785F">
      <w:pPr>
        <w:spacing w:after="0" w:line="240" w:lineRule="auto"/>
        <w:rPr>
          <w:rFonts w:ascii="Verdana" w:hAnsi="Verdana"/>
        </w:rPr>
      </w:pPr>
      <w:hyperlink r:id="rId12" w:history="1">
        <w:r w:rsidR="00F60F65" w:rsidRPr="00F60F65">
          <w:rPr>
            <w:rStyle w:val="Hipervnculo"/>
            <w:rFonts w:ascii="Verdana" w:hAnsi="Verdana"/>
          </w:rPr>
          <w:t>saludpublica@dolores-tolima.gov.co</w:t>
        </w:r>
      </w:hyperlink>
      <w:r w:rsidR="00F60F65" w:rsidRPr="00F60F65">
        <w:rPr>
          <w:rFonts w:ascii="Verdana" w:hAnsi="Verdana"/>
        </w:rPr>
        <w:t xml:space="preserve"> </w:t>
      </w:r>
    </w:p>
    <w:p w14:paraId="48065228" w14:textId="76310E54" w:rsidR="0045785F" w:rsidRPr="00F60F65" w:rsidRDefault="00F60F65" w:rsidP="0045785F">
      <w:pPr>
        <w:spacing w:after="0" w:line="240" w:lineRule="auto"/>
        <w:rPr>
          <w:rFonts w:ascii="Verdana" w:eastAsia="Calibri" w:hAnsi="Verdana" w:cs="Times New Roman"/>
          <w:bCs/>
        </w:rPr>
      </w:pPr>
      <w:r w:rsidRPr="00F60F65">
        <w:rPr>
          <w:rFonts w:ascii="Verdana" w:eastAsia="Calibri" w:hAnsi="Verdana" w:cs="Times New Roman"/>
          <w:bCs/>
        </w:rPr>
        <w:t xml:space="preserve">Bogotá D.C. </w:t>
      </w:r>
      <w:r w:rsidR="003B0DFC" w:rsidRPr="00F60F65">
        <w:rPr>
          <w:rFonts w:ascii="Verdana" w:eastAsia="Calibri" w:hAnsi="Verdana" w:cs="Times New Roman"/>
          <w:bCs/>
        </w:rPr>
        <w:t xml:space="preserve"> </w:t>
      </w:r>
    </w:p>
    <w:p w14:paraId="358A981B" w14:textId="77777777" w:rsidR="0045785F" w:rsidRPr="002B4BE9" w:rsidRDefault="0045785F" w:rsidP="0045785F">
      <w:pPr>
        <w:spacing w:after="0" w:line="240" w:lineRule="auto"/>
        <w:rPr>
          <w:rFonts w:ascii="Verdana" w:eastAsia="Calibri" w:hAnsi="Verdana" w:cs="Times New Roman"/>
        </w:rPr>
      </w:pPr>
    </w:p>
    <w:p w14:paraId="6A7740E0" w14:textId="66DA43F5" w:rsidR="003B0DFC" w:rsidRPr="002B4BE9" w:rsidRDefault="003B0DFC" w:rsidP="0045785F">
      <w:pPr>
        <w:spacing w:after="0" w:line="240" w:lineRule="auto"/>
        <w:rPr>
          <w:rFonts w:ascii="Verdana" w:eastAsia="Calibri" w:hAnsi="Verdana" w:cs="Times New Roman"/>
        </w:rPr>
      </w:pPr>
    </w:p>
    <w:p w14:paraId="35C08172" w14:textId="1B493E75" w:rsidR="0045785F" w:rsidRPr="002B4BE9" w:rsidRDefault="0045785F" w:rsidP="0045785F">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sidR="00F60F65">
        <w:rPr>
          <w:rFonts w:ascii="Verdana" w:eastAsia="Calibri" w:hAnsi="Verdana" w:cs="Times New Roman"/>
          <w:b/>
          <w:bCs/>
          <w:lang w:val="es-ES"/>
        </w:rPr>
        <w:t xml:space="preserve">                 Concepto C–1754</w:t>
      </w:r>
      <w:r w:rsidRPr="002B4BE9">
        <w:rPr>
          <w:rFonts w:ascii="Verdana" w:eastAsia="Calibri" w:hAnsi="Verdana" w:cs="Times New Roman"/>
          <w:b/>
          <w:bCs/>
          <w:lang w:val="es-ES"/>
        </w:rPr>
        <w:t xml:space="preserve"> de 2025</w:t>
      </w:r>
    </w:p>
    <w:p w14:paraId="3532B3AD" w14:textId="77777777" w:rsidR="0045785F" w:rsidRPr="002B4BE9" w:rsidRDefault="0045785F" w:rsidP="0045785F">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45785F" w:rsidRPr="002B4BE9" w14:paraId="418A25AE" w14:textId="77777777" w:rsidTr="009B3C20">
        <w:trPr>
          <w:trHeight w:val="645"/>
        </w:trPr>
        <w:tc>
          <w:tcPr>
            <w:tcW w:w="2685" w:type="dxa"/>
            <w:hideMark/>
          </w:tcPr>
          <w:p w14:paraId="7523D5B3" w14:textId="77777777" w:rsidR="0045785F" w:rsidRPr="002B4BE9" w:rsidRDefault="0045785F" w:rsidP="009B3C20">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7ACA3CC5" w14:textId="36A8A562" w:rsidR="0045785F" w:rsidRPr="00917FBF" w:rsidRDefault="00917FBF" w:rsidP="00FD5BCD">
            <w:pPr>
              <w:snapToGrid w:val="0"/>
              <w:spacing w:line="276" w:lineRule="auto"/>
              <w:jc w:val="both"/>
              <w:rPr>
                <w:rFonts w:ascii="Verdana" w:hAnsi="Verdana" w:cs="Arial"/>
                <w:bCs/>
                <w:highlight w:val="yellow"/>
                <w:lang w:eastAsia="es-ES"/>
              </w:rPr>
            </w:pPr>
            <w:r w:rsidRPr="00917FBF">
              <w:rPr>
                <w:rFonts w:ascii="Verdana" w:hAnsi="Verdana" w:cs="Arial"/>
                <w:bCs/>
                <w:lang w:eastAsia="es-ES"/>
              </w:rPr>
              <w:t xml:space="preserve">CONTRATO DE PRESTACIÓN DE SERVICIOS – Concepto </w:t>
            </w:r>
            <w:r w:rsidR="00486E52">
              <w:rPr>
                <w:rFonts w:ascii="Verdana" w:hAnsi="Verdana" w:cs="Arial"/>
                <w:bCs/>
                <w:lang w:eastAsia="es-ES"/>
              </w:rPr>
              <w:t xml:space="preserve">/ </w:t>
            </w:r>
            <w:r w:rsidRPr="00917FBF">
              <w:rPr>
                <w:rFonts w:ascii="Verdana" w:hAnsi="Verdana" w:cs="Arial"/>
                <w:bCs/>
                <w:lang w:eastAsia="es-ES"/>
              </w:rPr>
              <w:t>CONTRATO DE PRESTACIÓN DE SERVICIOS – Características /</w:t>
            </w:r>
            <w:r w:rsidRPr="00917FBF">
              <w:rPr>
                <w:rFonts w:ascii="Verdana" w:hAnsi="Verdana" w:cs="Arial"/>
                <w:color w:val="000000" w:themeColor="text1"/>
                <w:szCs w:val="24"/>
                <w:lang w:eastAsia="es-ES_tradnl"/>
              </w:rPr>
              <w:t xml:space="preserve"> </w:t>
            </w:r>
            <w:r w:rsidRPr="00917FBF">
              <w:rPr>
                <w:rFonts w:ascii="Verdana" w:hAnsi="Verdana" w:cs="Arial"/>
                <w:bCs/>
                <w:lang w:eastAsia="es-ES"/>
              </w:rPr>
              <w:t>ESTABILIDAD OCUPACIONAL REFORZADA DE MUJER EMBARAZADA – Concepto / ESTABILIDAD OCUPACIONAL REFORZADA DE MUJER EMBARAZADA – Unificación jurisprudencial / ESTABILIDAD OCUPACIONAL REFORZADA DE MUJER EMBARAZADA – Procedencia – Contratos de prestación de servicios / ESTABILIDAD OCUPACIONAL REFORZADA – Periodo de lactancia – Contratos de prestación de servicios / SUSPENSIÓN DEL CONTRATO – Estado de embarazo y licencia de maternidad</w:t>
            </w:r>
            <w:r>
              <w:rPr>
                <w:rFonts w:ascii="Verdana" w:hAnsi="Verdana" w:cs="Arial"/>
                <w:bCs/>
                <w:lang w:eastAsia="es-ES"/>
              </w:rPr>
              <w:t xml:space="preserve"> – </w:t>
            </w:r>
            <w:r w:rsidR="009A4368">
              <w:rPr>
                <w:rFonts w:ascii="Verdana" w:hAnsi="Verdana" w:cs="Arial"/>
                <w:bCs/>
                <w:lang w:eastAsia="es-ES"/>
              </w:rPr>
              <w:t xml:space="preserve">Vigencia </w:t>
            </w:r>
            <w:r w:rsidR="00486E52">
              <w:rPr>
                <w:rFonts w:ascii="Verdana" w:hAnsi="Verdana" w:cs="Arial"/>
                <w:bCs/>
                <w:lang w:eastAsia="es-ES"/>
              </w:rPr>
              <w:t xml:space="preserve">- </w:t>
            </w:r>
            <w:r>
              <w:rPr>
                <w:rFonts w:ascii="Verdana" w:hAnsi="Verdana" w:cs="Arial"/>
                <w:bCs/>
                <w:lang w:eastAsia="es-ES"/>
              </w:rPr>
              <w:t xml:space="preserve">Mecanismos Administrativos. </w:t>
            </w:r>
          </w:p>
        </w:tc>
        <w:tc>
          <w:tcPr>
            <w:tcW w:w="6237" w:type="dxa"/>
          </w:tcPr>
          <w:p w14:paraId="3B8A3E70" w14:textId="77777777" w:rsidR="0045785F" w:rsidRPr="002B4BE9" w:rsidRDefault="0045785F" w:rsidP="009B3C20">
            <w:pPr>
              <w:rPr>
                <w:rFonts w:ascii="Verdana" w:hAnsi="Verdana"/>
                <w:lang w:val="es-ES"/>
              </w:rPr>
            </w:pPr>
          </w:p>
        </w:tc>
      </w:tr>
      <w:tr w:rsidR="0045785F" w:rsidRPr="002B4BE9" w14:paraId="149824FC" w14:textId="77777777" w:rsidTr="009B3C20">
        <w:tc>
          <w:tcPr>
            <w:tcW w:w="2685" w:type="dxa"/>
          </w:tcPr>
          <w:p w14:paraId="6BD459A0" w14:textId="77777777" w:rsidR="0045785F" w:rsidRPr="002B4BE9" w:rsidRDefault="0045785F" w:rsidP="009B3C20">
            <w:pPr>
              <w:rPr>
                <w:rFonts w:ascii="Verdana" w:hAnsi="Verdana"/>
                <w:b/>
                <w:bCs/>
                <w:lang w:val="es-ES_tradnl"/>
              </w:rPr>
            </w:pPr>
          </w:p>
          <w:p w14:paraId="4C7F5206" w14:textId="77777777" w:rsidR="0045785F" w:rsidRPr="002B4BE9" w:rsidRDefault="0045785F" w:rsidP="009B3C20">
            <w:pPr>
              <w:rPr>
                <w:rFonts w:ascii="Verdana" w:hAnsi="Verdana"/>
                <w:b/>
                <w:bCs/>
                <w:lang w:val="es-ES_tradnl"/>
              </w:rPr>
            </w:pPr>
          </w:p>
          <w:p w14:paraId="4B7A969B" w14:textId="77777777" w:rsidR="0045785F" w:rsidRPr="00995618" w:rsidRDefault="0045785F" w:rsidP="009B3C20">
            <w:pPr>
              <w:rPr>
                <w:rFonts w:ascii="Verdana" w:hAnsi="Verdana"/>
                <w:b/>
                <w:bCs/>
                <w:lang w:val="es-ES_tradnl"/>
              </w:rPr>
            </w:pPr>
            <w:r w:rsidRPr="002B4BE9">
              <w:rPr>
                <w:rFonts w:ascii="Verdana" w:hAnsi="Verdana"/>
                <w:b/>
                <w:bCs/>
                <w:lang w:val="es-ES_tradnl"/>
              </w:rPr>
              <w:t xml:space="preserve">Radicación:               </w:t>
            </w:r>
          </w:p>
        </w:tc>
        <w:tc>
          <w:tcPr>
            <w:tcW w:w="6241" w:type="dxa"/>
          </w:tcPr>
          <w:p w14:paraId="38F09DC3" w14:textId="658872B6" w:rsidR="0045785F" w:rsidRDefault="0045785F" w:rsidP="009B3C20">
            <w:pPr>
              <w:jc w:val="both"/>
              <w:rPr>
                <w:rFonts w:ascii="Verdana" w:hAnsi="Verdana"/>
                <w:lang w:val="es-ES_tradnl"/>
              </w:rPr>
            </w:pPr>
          </w:p>
          <w:p w14:paraId="3EA5AA7A" w14:textId="77777777" w:rsidR="00F60F65" w:rsidRPr="002B4BE9" w:rsidRDefault="00F60F65" w:rsidP="009B3C20">
            <w:pPr>
              <w:jc w:val="both"/>
              <w:rPr>
                <w:rFonts w:ascii="Verdana" w:hAnsi="Verdana"/>
                <w:lang w:val="es-ES_tradnl"/>
              </w:rPr>
            </w:pPr>
          </w:p>
          <w:p w14:paraId="01E1196F" w14:textId="26C7E7EE" w:rsidR="0045785F" w:rsidRPr="002B4BE9" w:rsidRDefault="0045785F" w:rsidP="009B3C20">
            <w:pPr>
              <w:jc w:val="both"/>
              <w:rPr>
                <w:rFonts w:ascii="Verdana" w:hAnsi="Verdana"/>
                <w:lang w:val="es-ES_tradnl"/>
              </w:rPr>
            </w:pPr>
            <w:r w:rsidRPr="002B4BE9">
              <w:rPr>
                <w:rFonts w:ascii="Verdana" w:hAnsi="Verdana"/>
                <w:lang w:val="es-ES_tradnl"/>
              </w:rPr>
              <w:t xml:space="preserve">Respuesta a consulta con radicados </w:t>
            </w:r>
            <w:r w:rsidR="00F60F65" w:rsidRPr="00F60F65">
              <w:rPr>
                <w:rFonts w:ascii="Verdana" w:hAnsi="Verdana"/>
              </w:rPr>
              <w:t>1_2025_11_25_013320</w:t>
            </w:r>
          </w:p>
          <w:p w14:paraId="339977C3" w14:textId="77777777" w:rsidR="0045785F" w:rsidRPr="002B4BE9" w:rsidRDefault="0045785F" w:rsidP="009B3C20">
            <w:pPr>
              <w:jc w:val="both"/>
              <w:rPr>
                <w:rFonts w:ascii="Verdana" w:hAnsi="Verdana"/>
              </w:rPr>
            </w:pPr>
          </w:p>
          <w:p w14:paraId="219455C7" w14:textId="77777777" w:rsidR="0045785F" w:rsidRPr="002B4BE9" w:rsidRDefault="0045785F" w:rsidP="009B3C20">
            <w:pPr>
              <w:jc w:val="both"/>
              <w:rPr>
                <w:rFonts w:ascii="Verdana" w:hAnsi="Verdana"/>
              </w:rPr>
            </w:pPr>
          </w:p>
        </w:tc>
        <w:tc>
          <w:tcPr>
            <w:tcW w:w="6237" w:type="dxa"/>
          </w:tcPr>
          <w:p w14:paraId="52AB66EB" w14:textId="77777777" w:rsidR="0045785F" w:rsidRPr="002B4BE9" w:rsidRDefault="0045785F" w:rsidP="009B3C20">
            <w:pPr>
              <w:rPr>
                <w:rFonts w:ascii="Verdana" w:hAnsi="Verdana"/>
              </w:rPr>
            </w:pPr>
          </w:p>
        </w:tc>
      </w:tr>
    </w:tbl>
    <w:p w14:paraId="2BCF8255" w14:textId="0AD25C5A" w:rsidR="0045785F" w:rsidRPr="009037F6" w:rsidRDefault="00F9721B" w:rsidP="0045785F">
      <w:pPr>
        <w:spacing w:after="0" w:line="256" w:lineRule="auto"/>
        <w:rPr>
          <w:rFonts w:ascii="Verdana" w:eastAsia="Calibri" w:hAnsi="Verdana" w:cs="Times New Roman"/>
          <w:lang w:val="es-ES"/>
        </w:rPr>
      </w:pPr>
      <w:r>
        <w:rPr>
          <w:rFonts w:ascii="Verdana" w:eastAsia="Calibri" w:hAnsi="Verdana" w:cs="Times New Roman"/>
          <w:lang w:val="es-ES"/>
        </w:rPr>
        <w:t>Estimada Señora Herrera</w:t>
      </w:r>
      <w:r w:rsidR="0045785F" w:rsidRPr="009037F6">
        <w:rPr>
          <w:rFonts w:ascii="Verdana" w:eastAsia="Calibri" w:hAnsi="Verdana" w:cs="Times New Roman"/>
          <w:lang w:val="es-ES"/>
        </w:rPr>
        <w:t xml:space="preserve">: </w:t>
      </w:r>
    </w:p>
    <w:p w14:paraId="52C7C5DA" w14:textId="77777777" w:rsidR="0045785F" w:rsidRPr="009037F6" w:rsidRDefault="0045785F" w:rsidP="0045785F">
      <w:pPr>
        <w:spacing w:after="0" w:line="276" w:lineRule="auto"/>
        <w:rPr>
          <w:rFonts w:ascii="Verdana" w:eastAsia="Calibri" w:hAnsi="Verdana" w:cs="Times New Roman"/>
          <w:lang w:val="es-ES"/>
        </w:rPr>
      </w:pPr>
    </w:p>
    <w:p w14:paraId="54FE2744" w14:textId="0F68CE78" w:rsidR="0045785F" w:rsidRPr="009037F6" w:rsidRDefault="0045785F" w:rsidP="0045785F">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w:t>
      </w:r>
      <w:r w:rsidR="00F9721B">
        <w:rPr>
          <w:rFonts w:ascii="Verdana" w:eastAsia="Calibri" w:hAnsi="Verdana" w:cs="Times New Roman"/>
          <w:bCs/>
          <w:lang w:val="es-ES" w:bidi="es-ES"/>
        </w:rPr>
        <w:t xml:space="preserve">e la solicitud de consulta </w:t>
      </w:r>
      <w:r w:rsidR="00F9721B">
        <w:rPr>
          <w:rFonts w:ascii="Verdana" w:eastAsia="Calibri" w:hAnsi="Verdana" w:cs="Times New Roman"/>
          <w:bCs/>
          <w:lang w:val="es-ES" w:bidi="es-ES"/>
        </w:rPr>
        <w:lastRenderedPageBreak/>
        <w:t>del 25 de noviembre de 2025 que gira en torno a una situación de una contratista que está en embarazo</w:t>
      </w:r>
      <w:r w:rsidRPr="009037F6">
        <w:rPr>
          <w:rFonts w:ascii="Verdana" w:eastAsia="Calibri" w:hAnsi="Verdana" w:cs="Times New Roman"/>
          <w:bCs/>
          <w:lang w:val="es-ES" w:bidi="es-ES"/>
        </w:rPr>
        <w:t xml:space="preserve">, en la cual manifiesta: </w:t>
      </w:r>
    </w:p>
    <w:p w14:paraId="65441456" w14:textId="163DB64B" w:rsidR="00F9721B" w:rsidRPr="00F9721B" w:rsidRDefault="00F9721B" w:rsidP="00F9721B">
      <w:pPr>
        <w:spacing w:after="0" w:line="240" w:lineRule="auto"/>
        <w:ind w:right="709"/>
        <w:jc w:val="both"/>
        <w:rPr>
          <w:rFonts w:ascii="Verdana" w:eastAsia="Calibri" w:hAnsi="Verdana" w:cs="Times New Roman"/>
          <w:bCs/>
          <w:sz w:val="20"/>
          <w:szCs w:val="20"/>
          <w:lang w:bidi="es-ES"/>
        </w:rPr>
      </w:pPr>
    </w:p>
    <w:p w14:paraId="58E8D835" w14:textId="77777777" w:rsidR="00F9721B" w:rsidRPr="00F9721B" w:rsidRDefault="00F9721B" w:rsidP="00F9721B">
      <w:pPr>
        <w:pStyle w:val="Prrafodelista"/>
        <w:numPr>
          <w:ilvl w:val="0"/>
          <w:numId w:val="26"/>
        </w:numPr>
        <w:spacing w:after="0" w:line="240" w:lineRule="auto"/>
        <w:ind w:right="709"/>
        <w:jc w:val="both"/>
        <w:rPr>
          <w:rFonts w:ascii="Verdana" w:eastAsia="Calibri" w:hAnsi="Verdana" w:cs="Times New Roman"/>
          <w:bCs/>
          <w:sz w:val="20"/>
          <w:szCs w:val="20"/>
          <w:lang w:val="es-CO" w:bidi="es-ES"/>
        </w:rPr>
      </w:pPr>
      <w:r w:rsidRPr="00F9721B">
        <w:rPr>
          <w:rFonts w:ascii="Verdana" w:eastAsia="Calibri" w:hAnsi="Verdana" w:cs="Times New Roman"/>
          <w:bCs/>
          <w:sz w:val="20"/>
          <w:szCs w:val="20"/>
          <w:lang w:bidi="es-ES"/>
        </w:rPr>
        <w:t xml:space="preserve">Figura contractual aplicable durante la incapacidad: ¿Es procedente suspender el contrato por el periodo de incapacidad y reanudarlo una vez la contratista se reintegre? En caso afirmativo, ¿cuál sería el procedimiento administrativo adecuado para dicha suspensión y reanudación? </w:t>
      </w:r>
    </w:p>
    <w:p w14:paraId="1D93DE79" w14:textId="77777777" w:rsidR="00F9721B" w:rsidRDefault="00F9721B" w:rsidP="00F9721B">
      <w:pPr>
        <w:pStyle w:val="Prrafodelista"/>
        <w:numPr>
          <w:ilvl w:val="0"/>
          <w:numId w:val="26"/>
        </w:numPr>
        <w:spacing w:after="0" w:line="240" w:lineRule="auto"/>
        <w:ind w:right="709"/>
        <w:jc w:val="both"/>
        <w:rPr>
          <w:rFonts w:ascii="Verdana" w:eastAsia="Calibri" w:hAnsi="Verdana" w:cs="Times New Roman"/>
          <w:bCs/>
          <w:sz w:val="20"/>
          <w:szCs w:val="20"/>
          <w:lang w:val="es-CO" w:bidi="es-ES"/>
        </w:rPr>
      </w:pPr>
      <w:r w:rsidRPr="00F9721B">
        <w:rPr>
          <w:rFonts w:ascii="Verdana" w:eastAsia="Calibri" w:hAnsi="Verdana" w:cs="Times New Roman"/>
          <w:bCs/>
          <w:sz w:val="20"/>
          <w:szCs w:val="20"/>
          <w:lang w:val="es-CO" w:bidi="es-ES"/>
        </w:rPr>
        <w:t xml:space="preserve">Extensión del contrato en nueva vigencia: Si la reanudación del contrato implica que los 30 días restantes se ejecuten en la vigencia fiscal 2026, ¿cuál sería el mecanismo legal y presupuestal para garantizar el pago correspondiente en la nueva anualidad? </w:t>
      </w:r>
    </w:p>
    <w:p w14:paraId="2B278E4F" w14:textId="26D206FF" w:rsidR="0045785F" w:rsidRPr="00917FBF" w:rsidRDefault="00F9721B" w:rsidP="00917FBF">
      <w:pPr>
        <w:pStyle w:val="Prrafodelista"/>
        <w:numPr>
          <w:ilvl w:val="0"/>
          <w:numId w:val="26"/>
        </w:numPr>
        <w:spacing w:after="0" w:line="240" w:lineRule="auto"/>
        <w:ind w:right="709"/>
        <w:jc w:val="both"/>
        <w:rPr>
          <w:rFonts w:ascii="Verdana" w:eastAsia="Calibri" w:hAnsi="Verdana" w:cs="Times New Roman"/>
          <w:bCs/>
          <w:sz w:val="20"/>
          <w:szCs w:val="20"/>
          <w:lang w:val="es-CO" w:bidi="es-ES"/>
        </w:rPr>
      </w:pPr>
      <w:r w:rsidRPr="00F9721B">
        <w:rPr>
          <w:rFonts w:ascii="Verdana" w:eastAsia="Calibri" w:hAnsi="Verdana" w:cs="Times New Roman"/>
          <w:bCs/>
          <w:sz w:val="20"/>
          <w:szCs w:val="20"/>
          <w:lang w:val="es-CO" w:bidi="es-ES"/>
        </w:rPr>
        <w:t xml:space="preserve">Protección durante el embarazo y lactancia: Esta administración tiene el compromiso de garantizar la continuidad del contrato durante el periodo de gestación, licencia de maternidad y lactancia. En ese sentido, solicitamos se nos indique hasta qué edad del bebé se extiende la obligación de garantizar dicha protección contractual, en el marco de la estabilidad laboral reforzada y la jurisprudencia vigente. </w:t>
      </w:r>
    </w:p>
    <w:p w14:paraId="278B2725" w14:textId="77777777" w:rsidR="0045785F" w:rsidRPr="00E27341" w:rsidRDefault="0045785F" w:rsidP="0045785F">
      <w:pPr>
        <w:spacing w:after="0" w:line="240" w:lineRule="auto"/>
        <w:ind w:right="709"/>
        <w:jc w:val="both"/>
        <w:rPr>
          <w:rFonts w:ascii="Verdana" w:eastAsia="Calibri" w:hAnsi="Verdana" w:cs="Times New Roman"/>
          <w:bCs/>
          <w:sz w:val="21"/>
          <w:szCs w:val="21"/>
          <w:lang w:bidi="es-ES"/>
        </w:rPr>
      </w:pPr>
    </w:p>
    <w:p w14:paraId="206983FF" w14:textId="77777777" w:rsidR="0045785F" w:rsidRPr="009037F6" w:rsidRDefault="0045785F" w:rsidP="0045785F">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0AF9810B" w14:textId="77777777" w:rsidR="0045785F" w:rsidRPr="009037F6" w:rsidRDefault="0045785F" w:rsidP="0045785F">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20D82757" w14:textId="77777777" w:rsidR="0045785F" w:rsidRPr="009037F6" w:rsidRDefault="0045785F" w:rsidP="0045785F">
      <w:pPr>
        <w:spacing w:after="0" w:line="276" w:lineRule="auto"/>
        <w:rPr>
          <w:rFonts w:ascii="Verdana" w:eastAsia="Calibri" w:hAnsi="Verdana" w:cs="Times New Roman"/>
          <w:lang w:val="es-ES"/>
        </w:rPr>
      </w:pPr>
    </w:p>
    <w:p w14:paraId="1F69EBC1" w14:textId="77777777" w:rsidR="0045785F" w:rsidRPr="009037F6" w:rsidRDefault="0045785F" w:rsidP="0045785F">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3D8618F7" w14:textId="77777777" w:rsidR="0045785F" w:rsidRPr="009037F6" w:rsidRDefault="0045785F" w:rsidP="0045785F">
      <w:pPr>
        <w:spacing w:after="0" w:line="276" w:lineRule="auto"/>
        <w:rPr>
          <w:rFonts w:ascii="Verdana" w:eastAsia="Calibri" w:hAnsi="Verdana" w:cs="Times New Roman"/>
        </w:rPr>
      </w:pPr>
    </w:p>
    <w:p w14:paraId="5C788B01" w14:textId="1A6EA62E" w:rsidR="0045785F" w:rsidRPr="00D1210B" w:rsidRDefault="0045785F" w:rsidP="00F9721B">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los siguientes problemas jurídicos: </w:t>
      </w:r>
      <w:r w:rsidR="00F9721B">
        <w:rPr>
          <w:rFonts w:ascii="Verdana" w:eastAsia="Calibri" w:hAnsi="Verdana" w:cs="Times New Roman"/>
        </w:rPr>
        <w:t xml:space="preserve">i) </w:t>
      </w:r>
      <w:r w:rsidR="001A3A16" w:rsidRPr="00F9721B">
        <w:rPr>
          <w:rFonts w:ascii="Verdana" w:eastAsia="Calibri" w:hAnsi="Verdana" w:cs="Times New Roman"/>
        </w:rPr>
        <w:t xml:space="preserve">¿Hasta qué </w:t>
      </w:r>
      <w:r w:rsidR="001A3A16">
        <w:rPr>
          <w:rFonts w:ascii="Verdana" w:eastAsia="Calibri" w:hAnsi="Verdana" w:cs="Times New Roman"/>
        </w:rPr>
        <w:t xml:space="preserve">período se extiende </w:t>
      </w:r>
      <w:r w:rsidR="001A3A16" w:rsidRPr="00F9721B">
        <w:rPr>
          <w:rFonts w:ascii="Verdana" w:eastAsia="Calibri" w:hAnsi="Verdana" w:cs="Times New Roman"/>
        </w:rPr>
        <w:t>la obligación de garantizar la continuidad del contrato en el marco de la estabilidad laboral reforz</w:t>
      </w:r>
      <w:r w:rsidR="001A3A16">
        <w:rPr>
          <w:rFonts w:ascii="Verdana" w:eastAsia="Calibri" w:hAnsi="Verdana" w:cs="Times New Roman"/>
        </w:rPr>
        <w:t>ada y la jurisprudencia vigente</w:t>
      </w:r>
      <w:r w:rsidR="001A3A16" w:rsidRPr="00F9721B">
        <w:rPr>
          <w:rFonts w:ascii="Verdana" w:eastAsia="Calibri" w:hAnsi="Verdana" w:cs="Times New Roman"/>
        </w:rPr>
        <w:t>?</w:t>
      </w:r>
      <w:r w:rsidR="001A3A16">
        <w:rPr>
          <w:rFonts w:ascii="Verdana" w:eastAsia="Calibri" w:hAnsi="Verdana" w:cs="Times New Roman"/>
        </w:rPr>
        <w:t xml:space="preserve">; ii) </w:t>
      </w:r>
      <w:r w:rsidR="00F9721B" w:rsidRPr="00F9721B">
        <w:rPr>
          <w:rFonts w:ascii="Verdana" w:eastAsia="Calibri" w:hAnsi="Verdana" w:cs="Times New Roman"/>
        </w:rPr>
        <w:t>¿Es procedente suspender el contrato durante el periodo de incapacidad y reanudarlo al reintegro de la contratista, y cuál sería el procedimiento administrativo adecuado para</w:t>
      </w:r>
      <w:r w:rsidR="009736BF">
        <w:rPr>
          <w:rFonts w:ascii="Verdana" w:eastAsia="Calibri" w:hAnsi="Verdana" w:cs="Times New Roman"/>
        </w:rPr>
        <w:t xml:space="preserve"> dicha suspensión y reanudación</w:t>
      </w:r>
      <w:r w:rsidR="00917FBF">
        <w:rPr>
          <w:rFonts w:ascii="Verdana" w:eastAsia="Calibri" w:hAnsi="Verdana" w:cs="Times New Roman"/>
        </w:rPr>
        <w:t xml:space="preserve"> cuando supera la vigencia fiscal</w:t>
      </w:r>
      <w:r w:rsidR="001A3A16">
        <w:rPr>
          <w:rFonts w:ascii="Verdana" w:eastAsia="Calibri" w:hAnsi="Verdana" w:cs="Times New Roman"/>
        </w:rPr>
        <w:t>?</w:t>
      </w:r>
    </w:p>
    <w:p w14:paraId="177985F3" w14:textId="77777777" w:rsidR="0045785F" w:rsidRPr="00917FBF" w:rsidRDefault="0045785F" w:rsidP="0045785F">
      <w:pPr>
        <w:spacing w:after="0" w:line="276" w:lineRule="auto"/>
        <w:jc w:val="both"/>
        <w:rPr>
          <w:rFonts w:ascii="Verdana" w:eastAsia="Calibri" w:hAnsi="Verdana" w:cs="Times New Roman"/>
          <w:i/>
          <w:iCs/>
        </w:rPr>
      </w:pPr>
    </w:p>
    <w:p w14:paraId="2C1473ED" w14:textId="77777777" w:rsidR="0045785F" w:rsidRPr="009037F6" w:rsidRDefault="0045785F" w:rsidP="0045785F">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27B00ADD" w14:textId="77777777" w:rsidR="0045785F" w:rsidRPr="009037F6" w:rsidRDefault="0045785F" w:rsidP="0045785F">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45785F" w:rsidRPr="009037F6" w14:paraId="5AAC5D69" w14:textId="77777777" w:rsidTr="009B3C20">
        <w:trPr>
          <w:trHeight w:val="345"/>
          <w:jc w:val="center"/>
        </w:trPr>
        <w:tc>
          <w:tcPr>
            <w:tcW w:w="8784" w:type="dxa"/>
            <w:tcBorders>
              <w:bottom w:val="single" w:sz="4" w:space="0" w:color="auto"/>
            </w:tcBorders>
          </w:tcPr>
          <w:p w14:paraId="279D89DE" w14:textId="77777777" w:rsidR="0045785F" w:rsidRDefault="0045785F" w:rsidP="009B3C20">
            <w:pPr>
              <w:spacing w:line="276" w:lineRule="auto"/>
              <w:jc w:val="both"/>
              <w:rPr>
                <w:rFonts w:ascii="Verdana" w:eastAsia="Calibri" w:hAnsi="Verdana" w:cs="Arial"/>
                <w:color w:val="000000" w:themeColor="text1"/>
              </w:rPr>
            </w:pPr>
            <w:r>
              <w:rPr>
                <w:rFonts w:ascii="Verdana" w:eastAsia="Calibri" w:hAnsi="Verdana" w:cs="Arial"/>
                <w:color w:val="000000" w:themeColor="text1"/>
              </w:rPr>
              <w:t>Para resolver los problemas jurídicos, objeto de consulta, se señala:</w:t>
            </w:r>
          </w:p>
          <w:p w14:paraId="61BECB5C" w14:textId="6C4C6A65" w:rsidR="0045785F" w:rsidRDefault="0045785F" w:rsidP="009B3C20">
            <w:pPr>
              <w:spacing w:line="276" w:lineRule="auto"/>
              <w:jc w:val="both"/>
              <w:rPr>
                <w:rFonts w:ascii="Verdana" w:eastAsia="Calibri" w:hAnsi="Verdana" w:cs="Arial"/>
                <w:color w:val="000000" w:themeColor="text1"/>
              </w:rPr>
            </w:pPr>
          </w:p>
          <w:p w14:paraId="608108CD" w14:textId="27F4FB49" w:rsidR="001A3A16" w:rsidRPr="00917FBF" w:rsidRDefault="001A3A16" w:rsidP="002F7AD4">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i. </w:t>
            </w:r>
            <w:r w:rsidRPr="001A3A16">
              <w:rPr>
                <w:rFonts w:ascii="Verdana" w:eastAsia="Arial" w:hAnsi="Verdana" w:cs="Arial"/>
                <w:lang w:val="es-ES"/>
              </w:rPr>
              <w:t>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aplica para la madre – contratista, 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513B8EB1" w14:textId="77777777" w:rsidR="001A3A16" w:rsidRPr="001A3A16" w:rsidRDefault="001A3A16" w:rsidP="002F7AD4">
            <w:pPr>
              <w:widowControl w:val="0"/>
              <w:autoSpaceDE w:val="0"/>
              <w:autoSpaceDN w:val="0"/>
              <w:snapToGrid w:val="0"/>
              <w:spacing w:after="120" w:line="276" w:lineRule="auto"/>
              <w:ind w:firstLine="709"/>
              <w:jc w:val="both"/>
              <w:rPr>
                <w:rFonts w:ascii="Verdana" w:eastAsia="Arial" w:hAnsi="Verdana" w:cs="Arial"/>
                <w:lang w:val="es-ES"/>
              </w:rPr>
            </w:pPr>
            <w:r w:rsidRPr="001A3A16">
              <w:rPr>
                <w:rFonts w:ascii="Verdana" w:eastAsia="Arial" w:hAnsi="Verdana" w:cs="Arial"/>
                <w:lang w:val="es-ES"/>
              </w:rPr>
              <w:t>El despido por estas causas en el contrato de prestación de servicios es determinado según la Corte Constitucional a través de tres componentes: (i) el contratante conoce el estado de embarazo de la contratista, (ii) subsiste la causa del contrato y (iii) no cuenta con permiso del inspector del trabajo para terminar el contrato. En estos eventos procede la garantía de estabilidad reforzada por lo que la entidad deberá proceder a la renovación de la relación contractual.</w:t>
            </w:r>
          </w:p>
          <w:p w14:paraId="5427812A" w14:textId="77777777" w:rsidR="0045785F" w:rsidRDefault="001A3A16" w:rsidP="001A3A16">
            <w:pPr>
              <w:widowControl w:val="0"/>
              <w:autoSpaceDE w:val="0"/>
              <w:autoSpaceDN w:val="0"/>
              <w:spacing w:line="276" w:lineRule="auto"/>
              <w:ind w:firstLine="709"/>
              <w:jc w:val="both"/>
              <w:rPr>
                <w:rFonts w:ascii="Verdana" w:eastAsia="Arial" w:hAnsi="Verdana" w:cs="Arial"/>
                <w:lang w:val="es-ES"/>
              </w:rPr>
            </w:pPr>
            <w:r w:rsidRPr="001A3A16">
              <w:rPr>
                <w:rFonts w:ascii="Verdana" w:eastAsia="Arial" w:hAnsi="Verdana" w:cs="Arial"/>
                <w:lang w:val="es-ES"/>
              </w:rPr>
              <w:t xml:space="preserve">En el mismo sentido, esta tesis jurisprudencial de la Corte </w:t>
            </w:r>
            <w:r w:rsidRPr="001A3A16">
              <w:rPr>
                <w:rFonts w:ascii="Verdana" w:eastAsia="Arial" w:hAnsi="Verdana" w:cs="Arial"/>
                <w:lang w:val="es-ES"/>
              </w:rPr>
              <w:lastRenderedPageBreak/>
              <w:t>Constitucional fue acogida por el Consejo de Estado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07A6D3AC" w14:textId="77777777" w:rsidR="00917FBF" w:rsidRDefault="00917FBF" w:rsidP="00917FBF">
            <w:pPr>
              <w:widowControl w:val="0"/>
              <w:autoSpaceDE w:val="0"/>
              <w:autoSpaceDN w:val="0"/>
              <w:spacing w:line="276" w:lineRule="auto"/>
              <w:jc w:val="both"/>
              <w:rPr>
                <w:rFonts w:ascii="Verdana" w:eastAsia="Arial" w:hAnsi="Verdana" w:cs="Arial"/>
                <w:lang w:val="es-ES"/>
              </w:rPr>
            </w:pPr>
          </w:p>
          <w:p w14:paraId="70BA0024" w14:textId="4D0C8EF3" w:rsidR="00A13FAB" w:rsidRPr="00476D7D" w:rsidRDefault="00917FBF" w:rsidP="00A13FAB">
            <w:pPr>
              <w:spacing w:line="276" w:lineRule="auto"/>
              <w:jc w:val="both"/>
              <w:rPr>
                <w:rFonts w:ascii="Verdana" w:eastAsia="Times New Roman" w:hAnsi="Verdana" w:cs="Arial"/>
                <w:color w:val="000000"/>
                <w:lang w:val="es-ES_tradnl" w:eastAsia="es-ES_tradnl"/>
              </w:rPr>
            </w:pPr>
            <w:r>
              <w:rPr>
                <w:rFonts w:ascii="Verdana" w:eastAsia="Arial" w:hAnsi="Verdana" w:cs="Arial"/>
                <w:lang w:val="es-ES"/>
              </w:rPr>
              <w:t>ii.</w:t>
            </w:r>
            <w:r w:rsidR="00AC694F">
              <w:rPr>
                <w:rFonts w:ascii="Verdana" w:eastAsia="Arial" w:hAnsi="Verdana" w:cs="Arial"/>
                <w:lang w:val="es-ES"/>
              </w:rPr>
              <w:t xml:space="preserve"> </w:t>
            </w:r>
            <w:r w:rsidR="00AC694F">
              <w:rPr>
                <w:rFonts w:ascii="Verdana" w:eastAsia="Times New Roman" w:hAnsi="Verdana" w:cs="Arial"/>
                <w:color w:val="000000"/>
                <w:lang w:val="es-ES" w:eastAsia="es-ES"/>
              </w:rPr>
              <w:t xml:space="preserve">De acuerdo al segundo problema jurídico, objeto de consulta, </w:t>
            </w:r>
            <w:r w:rsidR="00A13FAB">
              <w:rPr>
                <w:rFonts w:ascii="Verdana" w:hAnsi="Verdana" w:cs="Arial"/>
                <w:lang w:val="es-ES"/>
              </w:rPr>
              <w:t>se precisa que e</w:t>
            </w:r>
            <w:r w:rsidR="00A13FAB" w:rsidRPr="00E65094">
              <w:rPr>
                <w:rFonts w:ascii="Verdana" w:hAnsi="Verdana" w:cs="Arial"/>
              </w:rPr>
              <w:t>n ejercicio de la autonomía de las partes contratantes, las mismas podrán convenir la cláusula de suspensión del contrato de prestación de servicios, fijando las reglas por las cuales procederán las mismas teniendo en cuenta las disposiciones ref</w:t>
            </w:r>
            <w:r w:rsidR="00A13FAB">
              <w:rPr>
                <w:rFonts w:ascii="Verdana" w:hAnsi="Verdana" w:cs="Arial"/>
              </w:rPr>
              <w:t xml:space="preserve">eridas en la Ley </w:t>
            </w:r>
            <w:hyperlink r:id="rId13" w:anchor="80" w:history="1">
              <w:r w:rsidR="00A13FAB" w:rsidRPr="00E65094">
                <w:rPr>
                  <w:rFonts w:ascii="Verdana" w:hAnsi="Verdana" w:cs="Arial"/>
                </w:rPr>
                <w:t>80</w:t>
              </w:r>
            </w:hyperlink>
            <w:r w:rsidR="00A13FAB">
              <w:rPr>
                <w:rFonts w:ascii="Verdana" w:hAnsi="Verdana" w:cs="Arial"/>
              </w:rPr>
              <w:t xml:space="preserve"> de 1993 y Ley </w:t>
            </w:r>
            <w:hyperlink r:id="rId14" w:anchor="1150" w:history="1">
              <w:r w:rsidR="00A13FAB" w:rsidRPr="00E65094">
                <w:rPr>
                  <w:rFonts w:ascii="Verdana" w:hAnsi="Verdana" w:cs="Arial"/>
                </w:rPr>
                <w:t>1150</w:t>
              </w:r>
            </w:hyperlink>
            <w:r w:rsidR="00A13FAB">
              <w:rPr>
                <w:rFonts w:ascii="Verdana" w:hAnsi="Verdana" w:cs="Arial"/>
              </w:rPr>
              <w:t xml:space="preserve"> </w:t>
            </w:r>
            <w:r w:rsidR="00A13FAB" w:rsidRPr="00E65094">
              <w:rPr>
                <w:rFonts w:ascii="Verdana" w:hAnsi="Verdana" w:cs="Arial"/>
              </w:rPr>
              <w:t xml:space="preserve">de 2007. </w:t>
            </w:r>
            <w:r w:rsidR="00A13FAB">
              <w:rPr>
                <w:rFonts w:ascii="Verdana" w:eastAsia="Times New Roman" w:hAnsi="Verdana" w:cs="Arial"/>
                <w:color w:val="000000"/>
                <w:lang w:eastAsia="es-ES_tradnl"/>
              </w:rPr>
              <w:t>En esta línea, a</w:t>
            </w:r>
            <w:r w:rsidR="00A13FAB" w:rsidRPr="00AB5C5E">
              <w:rPr>
                <w:rFonts w:ascii="Verdana" w:eastAsia="Times New Roman" w:hAnsi="Verdana" w:cs="Arial"/>
                <w:color w:val="000000"/>
                <w:lang w:val="es-ES_tradnl" w:eastAsia="es-ES_tradnl"/>
              </w:rPr>
              <w:t>tendiendo a los términos en los que se haya pactado la suspensión es posible que no sea necesario suscribir luego un acta de reinicio para que se reactive la ejecución del contrato</w:t>
            </w:r>
            <w:r w:rsidR="00F7218F">
              <w:rPr>
                <w:rFonts w:ascii="Verdana" w:eastAsia="Times New Roman" w:hAnsi="Verdana" w:cs="Arial"/>
                <w:color w:val="000000"/>
                <w:lang w:val="es-ES_tradnl" w:eastAsia="es-ES_tradnl"/>
              </w:rPr>
              <w:t>, sino que tal reactivación apliqu</w:t>
            </w:r>
            <w:r w:rsidR="00A13FAB" w:rsidRPr="00AB5C5E">
              <w:rPr>
                <w:rFonts w:ascii="Verdana" w:eastAsia="Times New Roman" w:hAnsi="Verdana" w:cs="Arial"/>
                <w:color w:val="000000"/>
                <w:lang w:val="es-ES_tradnl" w:eastAsia="es-ES_tradnl"/>
              </w:rPr>
              <w:t xml:space="preserve">e </w:t>
            </w:r>
            <w:r w:rsidR="00A13FAB" w:rsidRPr="00AB5C5E">
              <w:rPr>
                <w:rFonts w:ascii="Verdana" w:eastAsia="Times New Roman" w:hAnsi="Verdana" w:cs="Arial"/>
                <w:i/>
                <w:iCs/>
                <w:color w:val="000000"/>
                <w:lang w:val="es-ES_tradnl" w:eastAsia="es-ES_tradnl"/>
              </w:rPr>
              <w:t>automáticamente</w:t>
            </w:r>
            <w:r w:rsidR="00A13FAB" w:rsidRPr="00AB5C5E">
              <w:rPr>
                <w:rFonts w:ascii="Verdana" w:eastAsia="Times New Roman" w:hAnsi="Verdana" w:cs="Arial"/>
                <w:color w:val="000000"/>
                <w:lang w:val="es-ES_tradnl" w:eastAsia="es-ES_tradnl"/>
              </w:rPr>
              <w:t>, cuando se cumpla la condición o fecha cierta que las partes hayan pactado.</w:t>
            </w:r>
            <w:r w:rsidR="00A13FAB">
              <w:rPr>
                <w:rFonts w:ascii="Verdana" w:eastAsia="Times New Roman" w:hAnsi="Verdana" w:cs="Arial"/>
                <w:color w:val="000000"/>
                <w:lang w:val="es-ES_tradnl" w:eastAsia="es-ES_tradnl"/>
              </w:rPr>
              <w:t xml:space="preserve"> </w:t>
            </w:r>
            <w:r w:rsidR="00A13FAB">
              <w:rPr>
                <w:rFonts w:ascii="Verdana" w:eastAsia="Times New Roman" w:hAnsi="Verdana" w:cs="Arial"/>
                <w:color w:val="000000"/>
                <w:lang w:val="es-ES" w:eastAsia="es-ES"/>
              </w:rPr>
              <w:t>Ahora bien,</w:t>
            </w:r>
            <w:r w:rsidR="00A13FAB" w:rsidRPr="00476D7D">
              <w:rPr>
                <w:rFonts w:ascii="Verdana" w:eastAsia="Times New Roman" w:hAnsi="Verdana" w:cs="Arial"/>
                <w:color w:val="000000"/>
                <w:lang w:val="es-ES" w:eastAsia="es-ES"/>
              </w:rPr>
              <w:t xml:space="preserve"> lo usual es suspender el contrato durante el periodo de disfrute de la licencia, reiniciando la ejecución al cabo de la misma, modificándose el valor del contrato en orden de reducirlo de manera proporcional a los días durante los que el contrato estuvo suspendido</w:t>
            </w:r>
            <w:r w:rsidR="00F7218F">
              <w:rPr>
                <w:rFonts w:ascii="Verdana" w:eastAsia="Times New Roman" w:hAnsi="Verdana" w:cs="Arial"/>
                <w:color w:val="000000"/>
                <w:lang w:val="es-ES" w:eastAsia="es-ES"/>
              </w:rPr>
              <w:t xml:space="preserve">. En todo caso, hay que tener en cuenta </w:t>
            </w:r>
            <w:r w:rsidR="00C661E0">
              <w:rPr>
                <w:rFonts w:ascii="Verdana" w:eastAsia="Times New Roman" w:hAnsi="Verdana" w:cs="Arial"/>
                <w:color w:val="000000"/>
                <w:lang w:val="es-ES" w:eastAsia="es-ES"/>
              </w:rPr>
              <w:t>lo dispuesto en el Decreto 780 de 2016 sobre las condiciones para el reconocimiento y pago de la licencia de maternidad.</w:t>
            </w:r>
          </w:p>
          <w:p w14:paraId="0E3A0C67" w14:textId="77777777" w:rsidR="00AC694F" w:rsidRPr="00476D7D" w:rsidRDefault="00AC694F" w:rsidP="00AC694F">
            <w:pPr>
              <w:spacing w:before="120" w:after="120" w:line="276" w:lineRule="auto"/>
              <w:jc w:val="both"/>
              <w:rPr>
                <w:rFonts w:ascii="Verdana" w:eastAsia="Times New Roman" w:hAnsi="Verdana" w:cs="Arial"/>
                <w:color w:val="000000"/>
                <w:lang w:val="es-ES_tradnl" w:eastAsia="es-ES_tradnl"/>
              </w:rPr>
            </w:pPr>
            <w:r w:rsidRPr="00476D7D">
              <w:rPr>
                <w:rFonts w:ascii="Verdana" w:eastAsia="Times New Roman" w:hAnsi="Verdana" w:cs="Arial"/>
                <w:color w:val="000000"/>
                <w:lang w:val="es-ES_tradnl" w:eastAsia="es-ES_tradnl"/>
              </w:rPr>
              <w:tab/>
              <w:t xml:space="preserve">Otra opción para pactar la suspensión del contrato en estos eventos, sin que se reduzca el valor del contrato, consiste en extender el plazo de ejecución, por un periodo equivalente al lapso durante el cual estuvo suspendido. Sin embargo, esta posibilidad no resulta viable cuando el plazo del contrato finaliza al cabo de la vigencia fiscal, tratándose de contratos sometidos al principio de anualidad, tal como los financiados por el presupuesto general de la nación, regidos por el Estatuto Orgánico del Presupuesto, cuyo artículo 14 proscribe la posibilidad de asumir compromisos más allá del 31 de diciembre, fecha que marca el final del año fiscal. </w:t>
            </w:r>
          </w:p>
          <w:p w14:paraId="1BCBE9E6" w14:textId="749C2432" w:rsidR="00AC694F" w:rsidRPr="00476D7D" w:rsidRDefault="00AC694F" w:rsidP="00A13FAB">
            <w:pPr>
              <w:shd w:val="clear" w:color="auto" w:fill="FFFFFF"/>
              <w:spacing w:after="120" w:line="276" w:lineRule="auto"/>
              <w:ind w:right="51" w:firstLine="708"/>
              <w:jc w:val="both"/>
              <w:rPr>
                <w:rFonts w:ascii="Verdana" w:eastAsia="Calibri" w:hAnsi="Verdana" w:cs="Arial"/>
                <w:color w:val="000000"/>
              </w:rPr>
            </w:pPr>
            <w:r w:rsidRPr="00476D7D">
              <w:rPr>
                <w:rFonts w:ascii="Verdana" w:eastAsia="Calibri" w:hAnsi="Verdana" w:cs="Arial"/>
                <w:color w:val="000000"/>
                <w:lang w:val="es-ES_tradnl"/>
              </w:rPr>
              <w:t xml:space="preserve">Sin perjuicio de lo anterior, conforme lo ha señalado el Consejo de Estado, el principio de anualidad no es absoluto </w:t>
            </w:r>
            <w:r w:rsidRPr="00476D7D">
              <w:rPr>
                <w:rFonts w:ascii="Verdana" w:eastAsia="Calibri" w:hAnsi="Verdana" w:cs="Arial"/>
                <w:color w:val="000000"/>
              </w:rPr>
              <w:t xml:space="preserve">en </w:t>
            </w:r>
            <w:r w:rsidRPr="00476D7D">
              <w:rPr>
                <w:rFonts w:ascii="Verdana" w:eastAsia="Calibri" w:hAnsi="Verdana" w:cs="Arial"/>
                <w:lang w:val="es-ES_tradnl"/>
              </w:rPr>
              <w:t>“</w:t>
            </w:r>
            <w:r w:rsidRPr="00476D7D">
              <w:rPr>
                <w:rFonts w:ascii="Verdana" w:eastAsia="Calibri" w:hAnsi="Verdana" w:cs="Arial"/>
                <w:color w:val="000000"/>
              </w:rPr>
              <w:t xml:space="preserve">la medida en que la actividad presupuestal está íntimamente ligada con el principio de planeación, </w:t>
            </w:r>
            <w:r w:rsidRPr="00476D7D">
              <w:rPr>
                <w:rFonts w:ascii="Verdana" w:eastAsia="Calibri" w:hAnsi="Verdana" w:cs="Arial"/>
                <w:color w:val="000000"/>
              </w:rPr>
              <w:lastRenderedPageBreak/>
              <w:t>la cual normalmente es efectuada para periodos que superan el año calendario. Esta realidad impone la configuración de mecanismos presupuestales que permitan compatibilizar tales principios</w:t>
            </w:r>
            <w:r w:rsidRPr="00476D7D">
              <w:rPr>
                <w:rFonts w:ascii="Verdana" w:eastAsia="Calibri" w:hAnsi="Verdana" w:cs="Arial"/>
                <w:lang w:val="es-ES_tradnl"/>
              </w:rPr>
              <w:t>”.</w:t>
            </w:r>
            <w:r w:rsidRPr="00476D7D">
              <w:rPr>
                <w:rFonts w:ascii="Verdana" w:eastAsia="Calibri" w:hAnsi="Verdana" w:cs="Arial"/>
                <w:color w:val="000000"/>
              </w:rPr>
              <w:t xml:space="preserve"> </w:t>
            </w:r>
            <w:r w:rsidRPr="00476D7D">
              <w:rPr>
                <w:rFonts w:ascii="Verdana" w:eastAsia="Calibri" w:hAnsi="Verdana" w:cs="Arial"/>
                <w:color w:val="000000"/>
                <w:lang w:val="es-ES_tradnl"/>
              </w:rPr>
              <w:t xml:space="preserve">Dentro de los mecanismos presupuestales que constituyen excepciones al principio de anualidad se identifican: i) las vigencias futuras, ii) las cuentas por pagar y iii) las reservas presupuestales. Las </w:t>
            </w:r>
            <w:r w:rsidRPr="00476D7D">
              <w:rPr>
                <w:rFonts w:ascii="Verdana" w:eastAsia="Calibri" w:hAnsi="Verdana" w:cs="Arial"/>
                <w:i/>
                <w:iCs/>
                <w:color w:val="000000"/>
                <w:lang w:val="es-ES_tradnl"/>
              </w:rPr>
              <w:t>primeras</w:t>
            </w:r>
            <w:r w:rsidRPr="00476D7D">
              <w:rPr>
                <w:rFonts w:ascii="Verdana" w:eastAsia="Calibri" w:hAnsi="Verdana" w:cs="Arial"/>
                <w:color w:val="000000"/>
                <w:lang w:val="es-ES_tradnl"/>
              </w:rPr>
              <w:t>, de conformidad con el artículo 23 del Estatuto Orgánico del Presupuesto</w:t>
            </w:r>
            <w:r w:rsidRPr="00476D7D">
              <w:rPr>
                <w:rFonts w:ascii="Verdana" w:eastAsia="Calibri" w:hAnsi="Verdana" w:cs="Arial"/>
                <w:i/>
                <w:iCs/>
                <w:color w:val="000000"/>
                <w:lang w:val="es-ES_tradnl"/>
              </w:rPr>
              <w:t xml:space="preserve">, </w:t>
            </w:r>
            <w:r w:rsidRPr="00476D7D">
              <w:rPr>
                <w:rFonts w:ascii="Verdana" w:eastAsia="Calibri" w:hAnsi="Verdana" w:cs="Arial"/>
                <w:color w:val="000000"/>
                <w:lang w:val="es-ES_tradnl"/>
              </w:rPr>
              <w:t>se</w:t>
            </w:r>
            <w:r w:rsidRPr="00476D7D">
              <w:rPr>
                <w:rFonts w:ascii="Verdana" w:eastAsia="Calibri" w:hAnsi="Verdana" w:cs="Arial"/>
                <w:i/>
                <w:iCs/>
                <w:color w:val="000000"/>
                <w:lang w:val="es-ES_tradnl"/>
              </w:rPr>
              <w:t xml:space="preserve"> </w:t>
            </w:r>
            <w:r w:rsidRPr="00476D7D">
              <w:rPr>
                <w:rFonts w:ascii="Verdana" w:eastAsia="Calibri" w:hAnsi="Verdana" w:cs="Arial"/>
                <w:color w:val="000000"/>
                <w:lang w:val="es-ES_tradnl"/>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w:t>
            </w:r>
            <w:r>
              <w:rPr>
                <w:rFonts w:ascii="Verdana" w:eastAsia="Calibri" w:hAnsi="Verdana" w:cs="Arial"/>
                <w:color w:val="000000"/>
                <w:lang w:val="es-ES_tradnl"/>
              </w:rPr>
              <w:t xml:space="preserve"> Sobre esta institución </w:t>
            </w:r>
            <w:r w:rsidRPr="00476D7D">
              <w:rPr>
                <w:rFonts w:ascii="Verdana" w:eastAsia="Calibri" w:hAnsi="Verdana" w:cs="Arial"/>
                <w:color w:val="000000"/>
                <w:lang w:val="es-ES_tradnl"/>
              </w:rPr>
              <w:t xml:space="preserve">el Consejo de Estado precisó que </w:t>
            </w:r>
            <w:r w:rsidRPr="00476D7D">
              <w:rPr>
                <w:rFonts w:ascii="Verdana" w:eastAsia="Calibri" w:hAnsi="Verdana" w:cs="Arial"/>
                <w:lang w:val="es-ES_tradnl"/>
              </w:rPr>
              <w:t>“</w:t>
            </w:r>
            <w:r w:rsidRPr="00476D7D">
              <w:rPr>
                <w:rFonts w:ascii="Verdana" w:eastAsia="Calibri" w:hAnsi="Verdana" w:cs="Arial"/>
                <w:color w:val="000000"/>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476D7D">
              <w:rPr>
                <w:rFonts w:ascii="Verdana" w:eastAsia="Calibri" w:hAnsi="Verdana" w:cs="Arial"/>
                <w:lang w:val="es-ES_tradnl"/>
              </w:rPr>
              <w:t xml:space="preserve">”. Las </w:t>
            </w:r>
            <w:r w:rsidRPr="00476D7D">
              <w:rPr>
                <w:rFonts w:ascii="Verdana" w:eastAsia="Calibri" w:hAnsi="Verdana" w:cs="Arial"/>
                <w:i/>
                <w:iCs/>
                <w:lang w:val="es-ES_tradnl"/>
              </w:rPr>
              <w:t>segundas</w:t>
            </w:r>
            <w:r w:rsidRPr="00476D7D">
              <w:rPr>
                <w:rFonts w:ascii="Verdana" w:eastAsia="Calibri" w:hAnsi="Verdana" w:cs="Arial"/>
                <w:lang w:val="es-ES_tradnl"/>
              </w:rPr>
              <w:t xml:space="preserve">, esto es, </w:t>
            </w:r>
            <w:r w:rsidRPr="00476D7D">
              <w:rPr>
                <w:rFonts w:ascii="Verdana" w:eastAsia="Calibri" w:hAnsi="Verdana" w:cs="Arial"/>
                <w:i/>
                <w:iCs/>
                <w:lang w:val="es-ES_tradnl"/>
              </w:rPr>
              <w:t>las cuentas por pagar</w:t>
            </w:r>
            <w:r w:rsidRPr="00476D7D">
              <w:rPr>
                <w:rFonts w:ascii="Verdana" w:eastAsia="Calibri" w:hAnsi="Verdana" w:cs="Arial"/>
                <w:lang w:val="es-ES_tradnl"/>
              </w:rPr>
              <w:t xml:space="preserve"> consisten en obligaciones cumplidas en la vigencia actual, correspondientes a los anticipos pactados en los contratos y a la entrega de bienes y servicios, de las cuales solo se encuentra pendiente el pago de acuerdo con los compromisos presupuestales adquiridos por la entidad. </w:t>
            </w:r>
            <w:r w:rsidRPr="00476D7D">
              <w:rPr>
                <w:rFonts w:ascii="Verdana" w:eastAsia="Calibri" w:hAnsi="Verdana" w:cs="Arial"/>
                <w:color w:val="000000"/>
                <w:lang w:val="es-ES_tradnl"/>
              </w:rPr>
              <w:t xml:space="preserve">Y las </w:t>
            </w:r>
            <w:r w:rsidRPr="00476D7D">
              <w:rPr>
                <w:rFonts w:ascii="Verdana" w:eastAsia="Calibri" w:hAnsi="Verdana" w:cs="Arial"/>
                <w:i/>
                <w:iCs/>
                <w:color w:val="000000"/>
                <w:lang w:val="es-ES_tradnl"/>
              </w:rPr>
              <w:t xml:space="preserve">terceras, </w:t>
            </w:r>
            <w:r w:rsidRPr="00476D7D">
              <w:rPr>
                <w:rFonts w:ascii="Verdana" w:eastAsia="Calibri" w:hAnsi="Verdana" w:cs="Arial"/>
                <w:color w:val="000000"/>
                <w:lang w:val="es-ES_tradnl"/>
              </w:rPr>
              <w:t xml:space="preserve">las </w:t>
            </w:r>
            <w:r w:rsidRPr="00476D7D">
              <w:rPr>
                <w:rFonts w:ascii="Verdana" w:eastAsia="Calibri" w:hAnsi="Verdana" w:cs="Arial"/>
                <w:i/>
                <w:iCs/>
                <w:color w:val="000000"/>
                <w:lang w:val="es-ES_tradnl"/>
              </w:rPr>
              <w:t>reservas presupuestales</w:t>
            </w:r>
            <w:r w:rsidRPr="00476D7D">
              <w:rPr>
                <w:rFonts w:ascii="Verdana" w:eastAsia="Calibri" w:hAnsi="Verdana" w:cs="Arial"/>
                <w:color w:val="000000"/>
                <w:lang w:val="es-ES_tradnl"/>
              </w:rPr>
              <w:t xml:space="preserve"> </w:t>
            </w:r>
            <w:r w:rsidRPr="00476D7D">
              <w:rPr>
                <w:rFonts w:ascii="Verdana" w:eastAsia="Calibri" w:hAnsi="Verdana" w:cs="Arial"/>
                <w:color w:val="000000"/>
                <w:lang w:val="es-ES"/>
              </w:rPr>
              <w:t>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p>
          <w:p w14:paraId="2A820FFE" w14:textId="47C9823D" w:rsidR="00917FBF" w:rsidRPr="00AC694F" w:rsidRDefault="00AC694F" w:rsidP="00DA6CAC">
            <w:pPr>
              <w:widowControl w:val="0"/>
              <w:autoSpaceDE w:val="0"/>
              <w:autoSpaceDN w:val="0"/>
              <w:spacing w:after="120" w:line="276" w:lineRule="auto"/>
              <w:ind w:firstLine="709"/>
              <w:jc w:val="both"/>
              <w:rPr>
                <w:rFonts w:ascii="Verdana" w:eastAsia="Arial" w:hAnsi="Verdana" w:cs="Arial"/>
                <w:lang w:val="es-MX"/>
              </w:rPr>
            </w:pPr>
            <w:r w:rsidRPr="00476D7D">
              <w:rPr>
                <w:rFonts w:ascii="Verdana" w:eastAsia="Times New Roman" w:hAnsi="Verdana" w:cs="Arial"/>
                <w:color w:val="000000"/>
                <w:lang w:val="es-ES_tradnl" w:eastAsia="es-ES_tradnl"/>
              </w:rPr>
              <w:t xml:space="preserve">Con todo, se estima que estos mecanismos </w:t>
            </w:r>
            <w:r>
              <w:rPr>
                <w:rFonts w:ascii="Verdana" w:eastAsia="Times New Roman" w:hAnsi="Verdana" w:cs="Arial"/>
                <w:color w:val="000000"/>
                <w:lang w:val="es-ES_tradnl" w:eastAsia="es-ES_tradnl"/>
              </w:rPr>
              <w:t xml:space="preserve">no </w:t>
            </w:r>
            <w:r w:rsidRPr="00476D7D">
              <w:rPr>
                <w:rFonts w:ascii="Verdana" w:eastAsia="Times New Roman" w:hAnsi="Verdana" w:cs="Arial"/>
                <w:color w:val="000000"/>
                <w:lang w:val="es-ES_tradnl" w:eastAsia="es-ES_tradnl"/>
              </w:rPr>
              <w:t xml:space="preserve">resultan aplicable a situaciones como la que es objeto de consulta, en la medida en que, salvo las vigencias futuras, ninguno de este mecanismo permite extender el plazo del contrato más allá de la vigencia fiscal. </w:t>
            </w:r>
            <w:r w:rsidR="00DA6CAC" w:rsidRPr="00186A6A">
              <w:rPr>
                <w:rFonts w:ascii="Verdana" w:eastAsia="Calibri" w:hAnsi="Verdana" w:cs="Arial"/>
                <w:shd w:val="clear" w:color="auto" w:fill="FFFFFF"/>
              </w:rPr>
              <w:t xml:space="preserve">No obstante, a efectos de garantizar la estabilidad ocupacional reforzada de mujeres contratistas de prestación de servicios, en estado de embarazo o en periodo de lactancia, en situaciones en </w:t>
            </w:r>
            <w:r w:rsidR="00DA6CAC" w:rsidRPr="00186A6A">
              <w:rPr>
                <w:rFonts w:ascii="Verdana" w:eastAsia="Calibri" w:hAnsi="Verdana" w:cs="Arial"/>
                <w:shd w:val="clear" w:color="auto" w:fill="FFFFFF"/>
              </w:rPr>
              <w:lastRenderedPageBreak/>
              <w:t xml:space="preserve">los que el principio de anualidad presupuestal impida extender plazo de ejecución del contrato previamente suspendido más allá del 31 de diciembre, las entidades pueden optar por celebrar nuevos contratos de prestación de servicios al inicio de la vigencia fiscal siguiente, procurando una mínima solución de continuidad. </w:t>
            </w:r>
          </w:p>
        </w:tc>
      </w:tr>
    </w:tbl>
    <w:p w14:paraId="218872B1" w14:textId="77777777" w:rsidR="0045785F" w:rsidRPr="00B57A1B" w:rsidRDefault="0045785F" w:rsidP="0045785F">
      <w:pPr>
        <w:spacing w:after="0" w:line="276" w:lineRule="auto"/>
        <w:jc w:val="both"/>
        <w:rPr>
          <w:rFonts w:ascii="Verdana" w:eastAsia="Calibri" w:hAnsi="Verdana" w:cs="Arial"/>
          <w:bCs/>
          <w:color w:val="000000" w:themeColor="text1"/>
        </w:rPr>
      </w:pPr>
      <w:bookmarkStart w:id="1" w:name="_Hlk78820161"/>
      <w:bookmarkStart w:id="2" w:name="_Hlk37703813"/>
    </w:p>
    <w:p w14:paraId="0AA4B936" w14:textId="77777777" w:rsidR="0045785F" w:rsidRPr="00B57A1B" w:rsidRDefault="0045785F" w:rsidP="0045785F">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C61F5FA" w14:textId="77777777" w:rsidR="0045785F" w:rsidRPr="00B57A1B" w:rsidRDefault="0045785F" w:rsidP="0045785F">
      <w:pPr>
        <w:spacing w:after="0" w:line="276" w:lineRule="auto"/>
        <w:rPr>
          <w:rFonts w:ascii="Verdana" w:eastAsia="Calibri" w:hAnsi="Verdana" w:cs="Times New Roman"/>
          <w:b/>
          <w:bCs/>
          <w:lang w:val="es-ES"/>
        </w:rPr>
      </w:pPr>
    </w:p>
    <w:p w14:paraId="05265BDA" w14:textId="77777777" w:rsidR="0045785F" w:rsidRDefault="0045785F" w:rsidP="0045785F">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2B9E808E" w14:textId="77777777" w:rsidR="0045785F" w:rsidRPr="003C0ED7" w:rsidRDefault="0045785F" w:rsidP="0045785F">
      <w:pPr>
        <w:spacing w:after="0" w:line="276" w:lineRule="auto"/>
        <w:jc w:val="both"/>
        <w:rPr>
          <w:rFonts w:ascii="Verdana" w:eastAsia="Calibri" w:hAnsi="Verdana" w:cs="Arial"/>
          <w:lang w:val="es-ES"/>
        </w:rPr>
      </w:pPr>
    </w:p>
    <w:p w14:paraId="4B922935" w14:textId="79E6F5FB" w:rsidR="009B3C20" w:rsidRPr="00342512" w:rsidRDefault="0045785F" w:rsidP="009B3C20">
      <w:pPr>
        <w:tabs>
          <w:tab w:val="left" w:pos="3276"/>
        </w:tabs>
        <w:spacing w:after="0" w:line="276" w:lineRule="auto"/>
        <w:jc w:val="both"/>
        <w:rPr>
          <w:rFonts w:ascii="Verdana" w:eastAsia="Calibri" w:hAnsi="Verdana" w:cs="Arial"/>
          <w:color w:val="000000"/>
        </w:rPr>
      </w:pPr>
      <w:r w:rsidRPr="00E7254D">
        <w:rPr>
          <w:rFonts w:ascii="Verdana" w:eastAsia="Calibri" w:hAnsi="Verdana" w:cs="Arial"/>
          <w:color w:val="000000"/>
          <w:lang w:val="es-ES"/>
        </w:rPr>
        <w:t xml:space="preserve">i. </w:t>
      </w:r>
      <w:bookmarkEnd w:id="1"/>
      <w:bookmarkEnd w:id="2"/>
      <w:r w:rsidR="009B3C20" w:rsidRPr="00342512">
        <w:rPr>
          <w:rFonts w:ascii="Verdana" w:eastAsia="Calibri" w:hAnsi="Verdana" w:cs="Arial"/>
          <w:color w:val="00000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4143A7ED" w14:textId="77777777" w:rsidR="009B3C20" w:rsidRPr="00917FBF" w:rsidRDefault="009B3C20" w:rsidP="009B3C20">
      <w:pPr>
        <w:tabs>
          <w:tab w:val="left" w:pos="3276"/>
        </w:tabs>
        <w:spacing w:after="0" w:line="276" w:lineRule="auto"/>
        <w:jc w:val="both"/>
        <w:rPr>
          <w:rFonts w:ascii="Verdana" w:eastAsia="Calibri" w:hAnsi="Verdana" w:cs="Arial"/>
          <w:color w:val="000000"/>
          <w:sz w:val="20"/>
          <w:szCs w:val="20"/>
        </w:rPr>
      </w:pPr>
    </w:p>
    <w:p w14:paraId="5B8E087C" w14:textId="77777777" w:rsidR="009B3C20" w:rsidRPr="00917FBF" w:rsidRDefault="009B3C20" w:rsidP="009B3C20">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themeColor="text1"/>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72E871A2" w14:textId="77777777" w:rsidR="009B3C20" w:rsidRPr="00917FBF" w:rsidRDefault="009B3C20" w:rsidP="009B3C20">
      <w:pPr>
        <w:tabs>
          <w:tab w:val="left" w:pos="3276"/>
        </w:tabs>
        <w:spacing w:after="0" w:line="240" w:lineRule="auto"/>
        <w:ind w:left="709" w:right="709"/>
        <w:jc w:val="both"/>
        <w:rPr>
          <w:rFonts w:ascii="Verdana" w:eastAsia="Calibri" w:hAnsi="Verdana" w:cs="Arial"/>
          <w:color w:val="000000"/>
          <w:sz w:val="20"/>
          <w:szCs w:val="20"/>
        </w:rPr>
      </w:pPr>
    </w:p>
    <w:p w14:paraId="5A5C45F7" w14:textId="77777777" w:rsidR="009B3C20" w:rsidRPr="00917FBF" w:rsidRDefault="009B3C20" w:rsidP="009B3C20">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themeColor="text1"/>
          <w:sz w:val="20"/>
          <w:szCs w:val="20"/>
        </w:rPr>
        <w:t>En ningún caso estos contratos generan relación laboral ni prestaciones sociales y se celebrarán por el término estrictamente indispensable”.</w:t>
      </w:r>
    </w:p>
    <w:p w14:paraId="20F50726" w14:textId="77777777" w:rsidR="009B3C20" w:rsidRPr="00342512" w:rsidRDefault="009B3C20" w:rsidP="009B3C20">
      <w:pPr>
        <w:tabs>
          <w:tab w:val="left" w:pos="284"/>
          <w:tab w:val="left" w:pos="3276"/>
        </w:tabs>
        <w:spacing w:after="0" w:line="276" w:lineRule="auto"/>
        <w:contextualSpacing/>
        <w:jc w:val="both"/>
        <w:rPr>
          <w:rFonts w:ascii="Verdana" w:eastAsia="Calibri" w:hAnsi="Verdana" w:cs="Arial"/>
          <w:b/>
          <w:color w:val="000000"/>
        </w:rPr>
      </w:pPr>
    </w:p>
    <w:p w14:paraId="731FFE4A" w14:textId="77777777" w:rsidR="009B3C20" w:rsidRPr="00342512" w:rsidRDefault="009B3C20" w:rsidP="009B3C20">
      <w:pPr>
        <w:tabs>
          <w:tab w:val="left" w:pos="3276"/>
        </w:tabs>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De otro lado, la celebración de dicho contrato debe efectuar</w:t>
      </w:r>
      <w:r>
        <w:rPr>
          <w:rFonts w:ascii="Verdana" w:eastAsia="Calibri" w:hAnsi="Verdana" w:cs="Arial"/>
          <w:color w:val="000000"/>
        </w:rPr>
        <w:t xml:space="preserve">se mediante </w:t>
      </w:r>
      <w:r w:rsidRPr="00342512">
        <w:rPr>
          <w:rFonts w:ascii="Verdana" w:eastAsia="Calibri" w:hAnsi="Verdana" w:cs="Arial"/>
          <w:color w:val="000000"/>
        </w:rPr>
        <w:t>la modalidad de la contratación directa. Así lo prevé el artículo 2, numeral 4º, literal h) de la Ley 1150 de 2007, que dispone:</w:t>
      </w:r>
    </w:p>
    <w:p w14:paraId="2D6B53A5" w14:textId="77777777" w:rsidR="009B3C20" w:rsidRPr="00342512" w:rsidRDefault="009B3C20" w:rsidP="00917FBF">
      <w:pPr>
        <w:tabs>
          <w:tab w:val="left" w:pos="3276"/>
        </w:tabs>
        <w:spacing w:after="0" w:line="240" w:lineRule="auto"/>
        <w:ind w:firstLine="709"/>
        <w:jc w:val="both"/>
        <w:rPr>
          <w:rFonts w:ascii="Verdana" w:eastAsia="Calibri" w:hAnsi="Verdana" w:cs="Arial"/>
          <w:color w:val="000000"/>
        </w:rPr>
      </w:pPr>
    </w:p>
    <w:p w14:paraId="0974B70A" w14:textId="77777777" w:rsidR="009B3C20" w:rsidRPr="00EE4799" w:rsidRDefault="009B3C20" w:rsidP="00917FBF">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“[…]Contratación directa. La modalidad de selección de contratación directa, solamente procederá en los siguientes casos:</w:t>
      </w:r>
    </w:p>
    <w:p w14:paraId="5D9EA2CB" w14:textId="77777777" w:rsidR="009B3C20" w:rsidRPr="00EE4799" w:rsidRDefault="009B3C20" w:rsidP="00917FBF">
      <w:pPr>
        <w:tabs>
          <w:tab w:val="left" w:pos="3276"/>
        </w:tabs>
        <w:spacing w:after="0" w:line="240" w:lineRule="auto"/>
        <w:ind w:left="709" w:right="709"/>
        <w:jc w:val="both"/>
        <w:rPr>
          <w:rFonts w:ascii="Verdana" w:eastAsia="Calibri" w:hAnsi="Verdana" w:cs="Arial"/>
          <w:color w:val="000000"/>
          <w:sz w:val="20"/>
          <w:szCs w:val="20"/>
        </w:rPr>
      </w:pPr>
    </w:p>
    <w:p w14:paraId="29D82D60" w14:textId="77777777" w:rsidR="009B3C20" w:rsidRPr="00EE4799" w:rsidRDefault="009B3C20" w:rsidP="00917FBF">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w:t>
      </w:r>
    </w:p>
    <w:p w14:paraId="6551775E" w14:textId="77777777" w:rsidR="009B3C20" w:rsidRPr="00EE4799" w:rsidRDefault="009B3C20" w:rsidP="00917FBF">
      <w:pPr>
        <w:tabs>
          <w:tab w:val="left" w:pos="3276"/>
        </w:tabs>
        <w:spacing w:after="0" w:line="240" w:lineRule="auto"/>
        <w:ind w:left="709" w:right="709"/>
        <w:jc w:val="both"/>
        <w:rPr>
          <w:rFonts w:ascii="Verdana" w:eastAsia="Calibri" w:hAnsi="Verdana" w:cs="Arial"/>
          <w:color w:val="000000"/>
          <w:sz w:val="20"/>
          <w:szCs w:val="20"/>
        </w:rPr>
      </w:pPr>
      <w:r w:rsidRPr="328AD567">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015D3389" w14:textId="77777777" w:rsidR="009B3C20" w:rsidRPr="00342512" w:rsidRDefault="009B3C20" w:rsidP="009B3C20">
      <w:pPr>
        <w:tabs>
          <w:tab w:val="left" w:pos="3276"/>
        </w:tabs>
        <w:spacing w:after="0" w:line="240" w:lineRule="auto"/>
        <w:ind w:right="709"/>
        <w:jc w:val="both"/>
        <w:rPr>
          <w:rFonts w:ascii="Verdana" w:eastAsia="Calibri" w:hAnsi="Verdana" w:cs="Arial"/>
          <w:color w:val="000000"/>
        </w:rPr>
      </w:pPr>
    </w:p>
    <w:p w14:paraId="6F8EAED6" w14:textId="77777777" w:rsidR="009B3C20" w:rsidRPr="00342512" w:rsidRDefault="009B3C20" w:rsidP="009B3C20">
      <w:pPr>
        <w:tabs>
          <w:tab w:val="left" w:pos="3276"/>
        </w:tabs>
        <w:spacing w:after="0" w:line="276" w:lineRule="auto"/>
        <w:ind w:firstLine="709"/>
        <w:jc w:val="both"/>
        <w:rPr>
          <w:rFonts w:ascii="Verdana" w:eastAsia="Calibri" w:hAnsi="Verdana" w:cs="Arial"/>
          <w:color w:val="000000"/>
        </w:rPr>
      </w:pPr>
      <w:r w:rsidRPr="00342512">
        <w:rPr>
          <w:rFonts w:ascii="Verdana" w:eastAsia="Calibri" w:hAnsi="Verdana" w:cs="Arial"/>
          <w:color w:val="000000"/>
        </w:rPr>
        <w:t xml:space="preserve">A partir de estos enunciados normativos, así como de otros, de carácter legal y reglamentario, que complementan su regulación, y de los </w:t>
      </w:r>
      <w:r w:rsidRPr="00342512">
        <w:rPr>
          <w:rFonts w:ascii="Verdana" w:eastAsia="Calibri" w:hAnsi="Verdana" w:cs="Arial"/>
          <w:color w:val="000000"/>
        </w:rPr>
        <w:lastRenderedPageBreak/>
        <w:t>pronunciamientos judiciales más destacados sobre el tema, es posible señalar las siguientes características del contrato de prestación de servicios profesionales:</w:t>
      </w:r>
    </w:p>
    <w:p w14:paraId="4FD63E0E" w14:textId="77777777" w:rsidR="009B3C20" w:rsidRPr="00342512" w:rsidRDefault="009B3C20" w:rsidP="009B3C20">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a</w:t>
      </w:r>
      <w:r w:rsidRPr="00342512">
        <w:rPr>
          <w:rFonts w:ascii="Verdana" w:eastAsia="Calibri" w:hAnsi="Verdana" w:cs="Arial"/>
          <w:color w:val="000000"/>
        </w:rPr>
        <w:t xml:space="preserve">) Solo puede celebrarse para realizar </w:t>
      </w:r>
      <w:r>
        <w:rPr>
          <w:rFonts w:ascii="Verdana" w:eastAsia="Calibri" w:hAnsi="Verdana" w:cs="Arial"/>
          <w:color w:val="000000"/>
        </w:rPr>
        <w:t>“</w:t>
      </w:r>
      <w:r w:rsidRPr="00342512">
        <w:rPr>
          <w:rFonts w:ascii="Verdana" w:eastAsia="Calibri" w:hAnsi="Verdana" w:cs="Arial"/>
          <w:color w:val="000000"/>
        </w:rPr>
        <w:t>actividades relacionadas con la administración o funcionamiento de la entidad</w:t>
      </w:r>
      <w:r>
        <w:rPr>
          <w:rFonts w:ascii="Verdana" w:eastAsia="Calibri" w:hAnsi="Verdana" w:cs="Arial"/>
          <w:color w:val="000000"/>
        </w:rPr>
        <w:t>”</w:t>
      </w:r>
      <w:r w:rsidRPr="00342512">
        <w:rPr>
          <w:rFonts w:ascii="Verdana" w:eastAsia="Calibri" w:hAnsi="Verdana" w:cs="Arial"/>
          <w:color w:val="000000"/>
        </w:rPr>
        <w:t>, es decir, que hagan parte de su giro ordinario o quehacer cotidiano.</w:t>
      </w:r>
    </w:p>
    <w:p w14:paraId="69177D45" w14:textId="77777777" w:rsidR="009B3C20" w:rsidRPr="00342512" w:rsidRDefault="009B3C20" w:rsidP="009B3C20">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b</w:t>
      </w:r>
      <w:r w:rsidRPr="00342512">
        <w:rPr>
          <w:rFonts w:ascii="Verdana" w:eastAsia="Calibri" w:hAnsi="Verdana" w:cs="Arial"/>
          <w:color w:val="000000"/>
        </w:rPr>
        <w:t>) Admite que se suscriba tanto con personas naturales, como con personas jurídicas. Sin embargo, cuando pretenda celebrarse con una persona natural, la entidad estatal debe justificar en los estudios previos que las actividades que</w:t>
      </w:r>
      <w:r>
        <w:rPr>
          <w:rFonts w:ascii="Verdana" w:eastAsia="Calibri" w:hAnsi="Verdana" w:cs="Arial"/>
          <w:color w:val="000000"/>
        </w:rPr>
        <w:t xml:space="preserve"> buscan encomendarse a aquella “</w:t>
      </w:r>
      <w:r w:rsidRPr="00342512">
        <w:rPr>
          <w:rFonts w:ascii="Verdana" w:eastAsia="Calibri" w:hAnsi="Verdana" w:cs="Arial"/>
          <w:color w:val="000000"/>
        </w:rPr>
        <w:t>no puedan realizarse con personal de planta o requier</w:t>
      </w:r>
      <w:r>
        <w:rPr>
          <w:rFonts w:ascii="Verdana" w:eastAsia="Calibri" w:hAnsi="Verdana" w:cs="Arial"/>
          <w:color w:val="000000"/>
        </w:rPr>
        <w:t>an conocimientos especializados”</w:t>
      </w:r>
      <w:r w:rsidRPr="00342512">
        <w:rPr>
          <w:rFonts w:ascii="Verdana" w:eastAsia="Calibri" w:hAnsi="Verdana" w:cs="Arial"/>
          <w:color w:val="000000"/>
        </w:rPr>
        <w:t>.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452DA645" w14:textId="77777777" w:rsidR="009B3C20" w:rsidRPr="00342512" w:rsidRDefault="009B3C20" w:rsidP="009B3C20">
      <w:pPr>
        <w:tabs>
          <w:tab w:val="left" w:pos="3276"/>
        </w:tabs>
        <w:spacing w:before="120" w:after="120" w:line="276" w:lineRule="auto"/>
        <w:ind w:firstLine="709"/>
        <w:jc w:val="both"/>
        <w:rPr>
          <w:rFonts w:ascii="Verdana" w:eastAsia="Calibri" w:hAnsi="Verdana" w:cs="Arial"/>
          <w:color w:val="000000"/>
        </w:rPr>
      </w:pPr>
      <w:r>
        <w:rPr>
          <w:rFonts w:ascii="Verdana" w:eastAsia="Calibri" w:hAnsi="Verdana" w:cs="Arial"/>
          <w:color w:val="000000"/>
        </w:rPr>
        <w:t>c</w:t>
      </w:r>
      <w:r w:rsidRPr="00342512">
        <w:rPr>
          <w:rFonts w:ascii="Verdana" w:eastAsia="Calibri" w:hAnsi="Verdana" w:cs="Arial"/>
          <w:color w:val="000000"/>
        </w:rPr>
        <w:t>) Si bien se celebran para obtener la prestación personal de un servicio, se diferencian del contrato de trabajo</w:t>
      </w:r>
      <w:r>
        <w:rPr>
          <w:rStyle w:val="Refdenotaalpie"/>
          <w:rFonts w:ascii="Verdana" w:eastAsia="Calibri" w:hAnsi="Verdana" w:cs="Arial"/>
          <w:color w:val="000000"/>
        </w:rPr>
        <w:footnoteReference w:id="1"/>
      </w:r>
      <w:r w:rsidRPr="00342512">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328AD567">
        <w:rPr>
          <w:rFonts w:ascii="Verdana" w:eastAsia="Calibri" w:hAnsi="Verdana" w:cs="Arial"/>
          <w:i/>
          <w:iCs/>
          <w:color w:val="000000"/>
        </w:rPr>
        <w:t>subordinación y dependencia</w:t>
      </w:r>
      <w:r w:rsidRPr="328AD567">
        <w:rPr>
          <w:rFonts w:ascii="Verdana" w:eastAsia="Calibri" w:hAnsi="Verdana" w:cs="Arial"/>
          <w:color w:val="000000"/>
        </w:rPr>
        <w:t>,</w:t>
      </w:r>
      <w:r w:rsidRPr="00342512">
        <w:rPr>
          <w:rFonts w:ascii="Verdana" w:eastAsia="Calibri" w:hAnsi="Verdana" w:cs="Arial"/>
          <w:color w:val="000000"/>
        </w:rPr>
        <w:t xml:space="preserve"> que es uno de los elementos constitutivos del vínculo laboral. Por ello el artículo 32, numeral 3º, de l</w:t>
      </w:r>
      <w:r>
        <w:rPr>
          <w:rFonts w:ascii="Verdana" w:eastAsia="Calibri" w:hAnsi="Verdana" w:cs="Arial"/>
          <w:color w:val="000000"/>
        </w:rPr>
        <w:t>a Ley 80 de 1993 establece que “</w:t>
      </w:r>
      <w:r w:rsidRPr="00342512">
        <w:rPr>
          <w:rFonts w:ascii="Verdana" w:eastAsia="Calibri" w:hAnsi="Verdana" w:cs="Arial"/>
          <w:color w:val="000000"/>
        </w:rPr>
        <w:t>En ningún caso estos contratos generan relación laboral ni prestaciones sociales</w:t>
      </w:r>
      <w:r>
        <w:rPr>
          <w:rFonts w:ascii="Verdana" w:eastAsia="Calibri" w:hAnsi="Verdana" w:cs="Arial"/>
          <w:color w:val="000000"/>
        </w:rPr>
        <w:t>”</w:t>
      </w:r>
      <w:r w:rsidRPr="00342512">
        <w:rPr>
          <w:rFonts w:ascii="Verdana" w:eastAsia="Calibri" w:hAnsi="Verdana" w:cs="Arial"/>
          <w:color w:val="000000"/>
        </w:rPr>
        <w:t xml:space="preserve">, inciso que más que un enunciado que aluda al </w:t>
      </w:r>
      <w:r>
        <w:rPr>
          <w:rFonts w:ascii="Verdana" w:eastAsia="Calibri" w:hAnsi="Verdana" w:cs="Arial"/>
          <w:color w:val="000000"/>
        </w:rPr>
        <w:t>“ser”</w:t>
      </w:r>
      <w:r w:rsidRPr="00342512">
        <w:rPr>
          <w:rFonts w:ascii="Verdana" w:eastAsia="Calibri" w:hAnsi="Verdana" w:cs="Arial"/>
          <w:color w:val="000000"/>
        </w:rPr>
        <w:t xml:space="preserve"> se refiere al </w:t>
      </w:r>
      <w:r>
        <w:rPr>
          <w:rFonts w:ascii="Verdana" w:eastAsia="Calibri" w:hAnsi="Verdana" w:cs="Arial"/>
          <w:color w:val="000000"/>
        </w:rPr>
        <w:t>“deber ser”</w:t>
      </w:r>
      <w:r w:rsidRPr="00342512">
        <w:rPr>
          <w:rFonts w:ascii="Verdana" w:eastAsia="Calibri" w:hAnsi="Verdana" w:cs="Arial"/>
          <w:color w:val="000000"/>
        </w:rPr>
        <w:t xml:space="preserve">, pues debe interpretarse en el sentido de que los contratos de prestación de servicios profesionales </w:t>
      </w:r>
      <w:r w:rsidRPr="328AD567">
        <w:rPr>
          <w:rFonts w:ascii="Verdana" w:eastAsia="Calibri" w:hAnsi="Verdana" w:cs="Arial"/>
          <w:i/>
          <w:iCs/>
          <w:color w:val="000000"/>
        </w:rPr>
        <w:t>no pueden</w:t>
      </w:r>
      <w:r w:rsidRPr="00342512">
        <w:rPr>
          <w:rFonts w:ascii="Verdana" w:eastAsia="Calibri" w:hAnsi="Verdana" w:cs="Arial"/>
          <w:color w:val="000000"/>
        </w:rPr>
        <w:t xml:space="preserve"> generar relación laboral, ni dar lugar a que las entidades estatales paguen por su cuenta los aportes al Sistema de Seguridad Social Integral del contratista. Ello por cuanto, según se indicó, en dichos </w:t>
      </w:r>
      <w:r w:rsidRPr="00342512">
        <w:rPr>
          <w:rFonts w:ascii="Verdana" w:eastAsia="Calibri" w:hAnsi="Verdana" w:cs="Arial"/>
          <w:color w:val="000000"/>
        </w:rPr>
        <w:lastRenderedPageBreak/>
        <w:t>contratos no puede existir subordinación y dependencia; entonces, la relación laboral está proscrita y</w:t>
      </w:r>
      <w:r>
        <w:rPr>
          <w:rFonts w:ascii="Verdana" w:eastAsia="Calibri" w:hAnsi="Verdana" w:cs="Arial"/>
          <w:color w:val="000000"/>
        </w:rPr>
        <w:t xml:space="preserve"> es el contratista quien, como “</w:t>
      </w:r>
      <w:r w:rsidRPr="00342512">
        <w:rPr>
          <w:rFonts w:ascii="Verdana" w:eastAsia="Calibri" w:hAnsi="Verdana" w:cs="Arial"/>
          <w:color w:val="000000"/>
        </w:rPr>
        <w:t>trabajador independiente</w:t>
      </w:r>
      <w:r>
        <w:rPr>
          <w:rFonts w:ascii="Verdana" w:eastAsia="Calibri" w:hAnsi="Verdana" w:cs="Arial"/>
          <w:color w:val="000000"/>
        </w:rPr>
        <w:t xml:space="preserve">” </w:t>
      </w:r>
      <w:r w:rsidRPr="00342512">
        <w:rPr>
          <w:rFonts w:ascii="Verdana" w:eastAsia="Calibri" w:hAnsi="Verdana" w:cs="Arial"/>
          <w:color w:val="000000"/>
        </w:rPr>
        <w:t xml:space="preserve">–como lo califican las normas en materia de seguridad social– debe cotizar por </w:t>
      </w:r>
      <w:r w:rsidRPr="00BC1DCC">
        <w:rPr>
          <w:rFonts w:ascii="Verdana" w:eastAsia="Calibri" w:hAnsi="Verdana" w:cs="Arial"/>
          <w:color w:val="000000"/>
        </w:rPr>
        <w:t xml:space="preserve">su cuenta y riesgo al Sistema de Seguridad Social Integral. Pero es posible que, a pesar de este mandato deontológico, en la práctica surja la relación laboral, pues, como se sabe, el contrato de trabajo es un </w:t>
      </w:r>
      <w:r w:rsidRPr="328AD567">
        <w:rPr>
          <w:rFonts w:ascii="Verdana" w:eastAsia="Calibri" w:hAnsi="Verdana" w:cs="Arial"/>
          <w:i/>
          <w:iCs/>
          <w:color w:val="000000"/>
        </w:rPr>
        <w:t>contrato realidad</w:t>
      </w:r>
      <w:r w:rsidRPr="00BC1DCC">
        <w:rPr>
          <w:rFonts w:ascii="Verdana" w:eastAsia="Calibri" w:hAnsi="Verdana" w:cs="Arial"/>
          <w:color w:val="000000"/>
        </w:rPr>
        <w:t>, ya que para su perfeccionamiento rige el principio de la prevalencia de la realidad sobre las formalidades. En esa perspectiva, la Corte Constitucional declaró la constitucionalidad condicionada del segundo inciso del numeral 3º del artículo 32, indicando que “las expresiones acusadas del numeral 3o. del artículo 32 de la Ley 80 de 1993, no vulneran los preceptos constitucionales, razón por la cual deberán ser declaradas exequibles, salvo que se acredite por parte del contratista la existencia de una relación laboral subordinada”</w:t>
      </w:r>
      <w:r>
        <w:rPr>
          <w:rStyle w:val="Refdenotaalpie"/>
          <w:rFonts w:ascii="Verdana" w:eastAsia="Calibri" w:hAnsi="Verdana" w:cs="Arial"/>
          <w:color w:val="000000"/>
        </w:rPr>
        <w:footnoteReference w:id="2"/>
      </w:r>
      <w:r w:rsidRPr="00BC1DCC">
        <w:rPr>
          <w:rFonts w:ascii="Verdana" w:eastAsia="Calibri" w:hAnsi="Verdana" w:cs="Arial"/>
          <w:color w:val="000000"/>
        </w:rPr>
        <w:t>. En esta misma línea, la Corte Constitucional en el control de constitucionalidad a un aparte del artículo 2° del Decreto Ley 2400 de 1968 modificado por el Decreto Ley 3074 de 1968 señaló que el indebido uso del contrato de prestación de servicios, constituye una violación del derecho a la igualdad, pues tratándose de funciones de carácter permanentes, los trabajadores que se presentan en esos supuestos, podrían encontrarse en la práctica, bajo una continuada dependencia o subordinación, características que eventualmente configurarían una vinculación legal y reglamentaria y/o un contrato de trabajo, según sea la naturaleza jurídica de la entidad pública y el tipo de cargo</w:t>
      </w:r>
      <w:r w:rsidRPr="00BC1DCC">
        <w:rPr>
          <w:rFonts w:ascii="Verdana" w:eastAsia="Calibri" w:hAnsi="Verdana" w:cs="Arial"/>
          <w:color w:val="000000"/>
          <w:vertAlign w:val="superscript"/>
        </w:rPr>
        <w:footnoteReference w:id="3"/>
      </w:r>
      <w:r w:rsidRPr="00BC1DCC">
        <w:rPr>
          <w:rFonts w:ascii="Verdana" w:eastAsia="Calibri" w:hAnsi="Verdana" w:cs="Arial"/>
          <w:color w:val="000000"/>
        </w:rPr>
        <w:t>. De modo que, bajo la perspectiva indicada, se podría invocar la presunción de la existencia de una relación laboral; siendo contrario a uno de los aspectos más relevantes del contrato de prestación de servicio, la autonomía e independe</w:t>
      </w:r>
      <w:r>
        <w:rPr>
          <w:rFonts w:ascii="Verdana" w:eastAsia="Calibri" w:hAnsi="Verdana" w:cs="Arial"/>
          <w:color w:val="000000"/>
        </w:rPr>
        <w:t>ncia en la ejecución del mismo.</w:t>
      </w:r>
    </w:p>
    <w:p w14:paraId="0350759E" w14:textId="77777777" w:rsidR="009B3C20" w:rsidRPr="00342512" w:rsidRDefault="009B3C20" w:rsidP="009B3C20">
      <w:pPr>
        <w:tabs>
          <w:tab w:val="left" w:pos="3276"/>
        </w:tabs>
        <w:spacing w:after="0" w:line="276" w:lineRule="auto"/>
        <w:ind w:firstLine="709"/>
        <w:jc w:val="both"/>
        <w:rPr>
          <w:rFonts w:ascii="Verdana" w:eastAsia="Calibri" w:hAnsi="Verdana" w:cs="Arial"/>
          <w:color w:val="000000"/>
        </w:rPr>
      </w:pPr>
      <w:r>
        <w:rPr>
          <w:rFonts w:ascii="Verdana" w:eastAsia="Calibri" w:hAnsi="Verdana" w:cs="Arial"/>
          <w:color w:val="000000"/>
        </w:rPr>
        <w:t>d</w:t>
      </w:r>
      <w:r w:rsidRPr="00342512">
        <w:rPr>
          <w:rFonts w:ascii="Verdana" w:eastAsia="Calibri" w:hAnsi="Verdana" w:cs="Arial"/>
          <w:color w:val="000000"/>
        </w:rPr>
        <w:t>) Deben ser temporales. Así lo señaló la Corte Constitucional en la misma providencia a la que se aludió previamente, expresando que:</w:t>
      </w:r>
    </w:p>
    <w:p w14:paraId="40BCEBFD" w14:textId="77777777" w:rsidR="009B3C20" w:rsidRPr="00342512" w:rsidRDefault="009B3C20" w:rsidP="009B3C20">
      <w:pPr>
        <w:tabs>
          <w:tab w:val="left" w:pos="3276"/>
        </w:tabs>
        <w:spacing w:after="0" w:line="276" w:lineRule="auto"/>
        <w:ind w:firstLine="709"/>
        <w:jc w:val="both"/>
        <w:rPr>
          <w:rFonts w:ascii="Verdana" w:eastAsia="Calibri" w:hAnsi="Verdana" w:cs="Arial"/>
          <w:color w:val="000000"/>
        </w:rPr>
      </w:pPr>
    </w:p>
    <w:p w14:paraId="2AB62E98" w14:textId="77777777" w:rsidR="009B3C20" w:rsidRPr="00917FBF" w:rsidRDefault="009B3C20" w:rsidP="009B3C20">
      <w:pPr>
        <w:tabs>
          <w:tab w:val="left" w:pos="3276"/>
        </w:tabs>
        <w:spacing w:after="0" w:line="240" w:lineRule="auto"/>
        <w:ind w:left="709" w:right="709"/>
        <w:jc w:val="both"/>
        <w:rPr>
          <w:rFonts w:ascii="Verdana" w:eastAsia="Calibri" w:hAnsi="Verdana" w:cs="Arial"/>
          <w:color w:val="000000"/>
          <w:sz w:val="20"/>
          <w:szCs w:val="20"/>
        </w:rPr>
      </w:pPr>
      <w:r w:rsidRPr="00917FBF">
        <w:rPr>
          <w:rFonts w:ascii="Verdana" w:eastAsia="Calibri" w:hAnsi="Verdana" w:cs="Arial"/>
          <w:color w:val="000000"/>
          <w:sz w:val="20"/>
          <w:szCs w:val="20"/>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w:t>
      </w:r>
      <w:r w:rsidRPr="00917FBF">
        <w:rPr>
          <w:rFonts w:ascii="Verdana" w:eastAsia="Calibri" w:hAnsi="Verdana" w:cs="Arial"/>
          <w:color w:val="000000"/>
          <w:sz w:val="20"/>
          <w:szCs w:val="20"/>
        </w:rPr>
        <w:lastRenderedPageBreak/>
        <w:t>fin de que se dé cabal cumplimiento a lo previsto en el artículo 122 de la Carta Política, según el cual se requiere que el empleo público quede contemplado en la respectiva planta y previstos sus emolumentos en el presupuesto correspondiente</w:t>
      </w:r>
      <w:r w:rsidRPr="00917FBF">
        <w:rPr>
          <w:rStyle w:val="Refdenotaalpie"/>
          <w:rFonts w:ascii="Verdana" w:eastAsia="Calibri" w:hAnsi="Verdana" w:cs="Arial"/>
          <w:color w:val="000000"/>
          <w:sz w:val="20"/>
          <w:szCs w:val="20"/>
        </w:rPr>
        <w:footnoteReference w:id="4"/>
      </w:r>
      <w:r w:rsidRPr="00917FBF">
        <w:rPr>
          <w:rFonts w:ascii="Verdana" w:eastAsia="Calibri" w:hAnsi="Verdana" w:cs="Arial"/>
          <w:color w:val="000000"/>
          <w:sz w:val="20"/>
          <w:szCs w:val="20"/>
        </w:rPr>
        <w:t>.</w:t>
      </w:r>
    </w:p>
    <w:p w14:paraId="2A2633FE" w14:textId="77777777" w:rsidR="009B3C20" w:rsidRPr="009E0E25" w:rsidRDefault="009B3C20" w:rsidP="009B3C20">
      <w:pPr>
        <w:widowControl w:val="0"/>
        <w:tabs>
          <w:tab w:val="left" w:pos="3276"/>
        </w:tabs>
        <w:autoSpaceDE w:val="0"/>
        <w:autoSpaceDN w:val="0"/>
        <w:spacing w:after="120" w:line="276" w:lineRule="auto"/>
        <w:jc w:val="both"/>
        <w:rPr>
          <w:rFonts w:ascii="Verdana" w:eastAsia="Arial" w:hAnsi="Verdana" w:cs="Arial"/>
        </w:rPr>
      </w:pPr>
    </w:p>
    <w:p w14:paraId="16A568A6" w14:textId="77777777" w:rsidR="009B3C20" w:rsidRPr="009E0E25" w:rsidRDefault="009B3C20" w:rsidP="009B3C20">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eastAsia="es-ES"/>
        </w:rPr>
        <w:t>e</w:t>
      </w:r>
      <w:r w:rsidRPr="328AD567">
        <w:rPr>
          <w:rFonts w:ascii="Verdana" w:eastAsia="Calibri" w:hAnsi="Verdana" w:cs="Arial"/>
          <w:color w:val="000000"/>
          <w:lang w:val="es-ES" w:eastAsia="es-ES"/>
        </w:rPr>
        <w:t xml:space="preserve">) Los contratos de prestación de servicios constituyen un </w:t>
      </w:r>
      <w:r w:rsidRPr="328AD567">
        <w:rPr>
          <w:rFonts w:ascii="Verdana" w:eastAsia="Calibri" w:hAnsi="Verdana" w:cs="Arial"/>
          <w:i/>
          <w:iCs/>
          <w:color w:val="000000"/>
          <w:lang w:val="es-ES" w:eastAsia="es-ES"/>
        </w:rPr>
        <w:t>género</w:t>
      </w:r>
      <w:r w:rsidRPr="328AD567">
        <w:rPr>
          <w:rFonts w:ascii="Verdana" w:eastAsia="Calibri" w:hAnsi="Verdana" w:cs="Arial"/>
          <w:color w:val="000000"/>
          <w:lang w:val="es-ES" w:eastAsia="es-ES"/>
        </w:rPr>
        <w:t xml:space="preserve"> que incluye, como </w:t>
      </w:r>
      <w:r w:rsidRPr="328AD567">
        <w:rPr>
          <w:rFonts w:ascii="Verdana" w:eastAsia="Calibri" w:hAnsi="Verdana" w:cs="Arial"/>
          <w:i/>
          <w:iCs/>
          <w:color w:val="000000"/>
          <w:lang w:val="es-ES" w:eastAsia="es-ES"/>
        </w:rPr>
        <w:t>especies</w:t>
      </w:r>
      <w:r w:rsidRPr="328AD567">
        <w:rPr>
          <w:rFonts w:ascii="Verdana" w:eastAsia="Calibri" w:hAnsi="Verdana" w:cs="Arial"/>
          <w:color w:val="000000"/>
          <w:lang w:val="es-ES" w:eastAsia="es-ES"/>
        </w:rPr>
        <w:t>, los contratos de prestación de servicios profesionales, los contratos de prestación de servicios de apoyo a la gestión y los contratos de prestación de servicios artísticos que solo pueden encomendarse a determinadas personas naturales</w:t>
      </w:r>
      <w:r w:rsidRPr="328AD567">
        <w:rPr>
          <w:rFonts w:ascii="Verdana" w:eastAsia="Calibri" w:hAnsi="Verdana" w:cs="Arial"/>
          <w:color w:val="000000"/>
          <w:vertAlign w:val="superscript"/>
          <w:lang w:val="es-ES" w:eastAsia="es-ES"/>
        </w:rPr>
        <w:footnoteReference w:id="5"/>
      </w:r>
      <w:r w:rsidRPr="328AD567">
        <w:rPr>
          <w:rFonts w:ascii="Verdana" w:eastAsia="Calibri" w:hAnsi="Verdana" w:cs="Arial"/>
          <w:color w:val="000000"/>
          <w:lang w:val="es-ES" w:eastAsia="es-ES"/>
        </w:rPr>
        <w:t xml:space="preserve">. La diferencia entre el contrato de prestación de servicios </w:t>
      </w:r>
      <w:r w:rsidRPr="328AD567">
        <w:rPr>
          <w:rFonts w:ascii="Verdana" w:eastAsia="Calibri" w:hAnsi="Verdana" w:cs="Arial"/>
          <w:i/>
          <w:iCs/>
          <w:color w:val="000000"/>
          <w:lang w:val="es-ES" w:eastAsia="es-ES"/>
        </w:rPr>
        <w:t>profesionales</w:t>
      </w:r>
      <w:r w:rsidRPr="328AD567">
        <w:rPr>
          <w:rFonts w:ascii="Verdana" w:eastAsia="Calibri" w:hAnsi="Verdana" w:cs="Arial"/>
          <w:color w:val="000000"/>
          <w:lang w:val="es-ES" w:eastAsia="es-ES"/>
        </w:rPr>
        <w:t xml:space="preserve"> con las otras dos especies del género en el cual se ubican radica en su contenido intelectual intangible y, al mismo tiempo, en la formación profesional que se exige para desempeñar la labor</w:t>
      </w:r>
      <w:r w:rsidRPr="328AD567">
        <w:rPr>
          <w:rFonts w:ascii="Verdana" w:eastAsia="Calibri" w:hAnsi="Verdana" w:cs="Arial"/>
          <w:color w:val="000000"/>
          <w:vertAlign w:val="superscript"/>
          <w:lang w:val="es-ES" w:eastAsia="es-ES"/>
        </w:rPr>
        <w:footnoteReference w:id="6"/>
      </w:r>
      <w:r w:rsidRPr="328AD567">
        <w:rPr>
          <w:rFonts w:ascii="Verdana" w:eastAsia="Calibri" w:hAnsi="Verdana" w:cs="Arial"/>
          <w:color w:val="000000"/>
          <w:lang w:val="es-ES" w:eastAsia="es-ES"/>
        </w:rPr>
        <w:t>.</w:t>
      </w:r>
    </w:p>
    <w:p w14:paraId="62AC65D2" w14:textId="77777777" w:rsidR="009B3C20" w:rsidRPr="009E0E25" w:rsidRDefault="009B3C20" w:rsidP="009B3C20">
      <w:pPr>
        <w:tabs>
          <w:tab w:val="left" w:pos="3276"/>
        </w:tabs>
        <w:spacing w:after="120" w:line="276" w:lineRule="auto"/>
        <w:ind w:firstLine="709"/>
        <w:jc w:val="both"/>
        <w:rPr>
          <w:rFonts w:ascii="Verdana" w:eastAsia="Calibri" w:hAnsi="Verdana" w:cs="Arial"/>
          <w:color w:val="000000"/>
          <w:lang w:val="es-ES" w:eastAsia="es-ES"/>
        </w:rPr>
      </w:pPr>
      <w:r w:rsidRPr="328AD567">
        <w:rPr>
          <w:rFonts w:ascii="Verdana" w:eastAsia="Calibri" w:hAnsi="Verdana" w:cs="Arial"/>
          <w:color w:val="000000"/>
          <w:lang w:val="es-ES" w:eastAsia="es-ES"/>
        </w:rPr>
        <w:t>f</w:t>
      </w:r>
      <w:r w:rsidRPr="009E0E25">
        <w:rPr>
          <w:rFonts w:ascii="Verdana" w:eastAsia="Calibri" w:hAnsi="Verdana" w:cs="Arial"/>
          <w:color w:val="000000"/>
          <w:lang w:val="es-ES" w:eastAsia="es-ES"/>
        </w:rPr>
        <w:t>) Su celebración debe realizarse a través de la modalidad de contratación directa, independientemente de la cuantía y del tipo de servicio, siempre que este no ingrese dentro del objeto del contrato de consultoría, pues, como lo indicó el Consejo de Estado en la sentencia de unificación jurisprudencial, si bien en ambos existe un componente intelectual intangible, el objeto del contrato de consultoría es especial y debe celebrarse, por regla general, precedido de un concurso de méritos</w:t>
      </w:r>
      <w:r w:rsidRPr="009E0E25">
        <w:rPr>
          <w:rFonts w:ascii="Verdana" w:eastAsia="Calibri" w:hAnsi="Verdana" w:cs="Arial"/>
          <w:color w:val="000000"/>
          <w:vertAlign w:val="superscript"/>
          <w:lang w:val="es-ES" w:eastAsia="es-ES"/>
        </w:rPr>
        <w:footnoteReference w:id="7"/>
      </w:r>
      <w:r w:rsidRPr="009E0E25">
        <w:rPr>
          <w:rFonts w:ascii="Verdana" w:eastAsia="Calibri" w:hAnsi="Verdana" w:cs="Arial"/>
          <w:color w:val="000000"/>
          <w:lang w:val="es-ES" w:eastAsia="es-ES"/>
        </w:rPr>
        <w:t xml:space="preserve">. Pero, tampoco puede suscribirse un contrato de prestación </w:t>
      </w:r>
      <w:r w:rsidRPr="009E0E25">
        <w:rPr>
          <w:rFonts w:ascii="Verdana" w:eastAsia="Calibri" w:hAnsi="Verdana" w:cs="Arial"/>
          <w:color w:val="000000"/>
          <w:lang w:val="es-ES" w:eastAsia="es-ES"/>
        </w:rPr>
        <w:lastRenderedPageBreak/>
        <w:t>de servicios profesionales para que el contratista ejecute labores que se enmarcan dentro de los otros contratos tipificados en el artículo 32 de la Ley 80 de 1993, como, por ejemplo, para que el contratista de prestación de servicios construya una obra.</w:t>
      </w:r>
    </w:p>
    <w:p w14:paraId="0ACB0801" w14:textId="77777777" w:rsidR="009B3C20" w:rsidRPr="009E0E25" w:rsidRDefault="009B3C20" w:rsidP="009B3C20">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g</w:t>
      </w:r>
      <w:r w:rsidRPr="009E0E25">
        <w:rPr>
          <w:rFonts w:ascii="Verdana" w:eastAsia="Calibri" w:hAnsi="Verdana" w:cs="Arial"/>
          <w:color w:val="000000"/>
          <w:lang w:val="es-ES" w:eastAsia="es-ES"/>
        </w:rPr>
        <w:t>) Para su celebración no se requiere en algunos casos la expedición del acto administrativo de justificación de la contratación directa</w:t>
      </w:r>
      <w:r w:rsidRPr="009E0E25">
        <w:rPr>
          <w:rFonts w:ascii="Verdana" w:eastAsia="Calibri" w:hAnsi="Verdana" w:cs="Arial"/>
          <w:color w:val="000000"/>
          <w:vertAlign w:val="superscript"/>
          <w:lang w:val="es-ES" w:eastAsia="es-ES"/>
        </w:rPr>
        <w:footnoteReference w:id="8"/>
      </w:r>
      <w:r w:rsidRPr="009E0E25">
        <w:rPr>
          <w:rFonts w:ascii="Verdana" w:eastAsia="Calibri" w:hAnsi="Verdana" w:cs="Arial"/>
          <w:color w:val="000000"/>
          <w:lang w:val="es-ES" w:eastAsia="es-ES"/>
        </w:rPr>
        <w:t xml:space="preserve">. </w:t>
      </w:r>
    </w:p>
    <w:p w14:paraId="29FEB241" w14:textId="77777777" w:rsidR="009B3C20" w:rsidRPr="009E0E25" w:rsidRDefault="009B3C20" w:rsidP="009B3C20">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h</w:t>
      </w:r>
      <w:r w:rsidRPr="009E0E25">
        <w:rPr>
          <w:rFonts w:ascii="Verdana" w:eastAsia="Calibri" w:hAnsi="Verdana" w:cs="Arial"/>
          <w:color w:val="000000"/>
          <w:lang w:val="es-ES" w:eastAsia="es-ES"/>
        </w:rPr>
        <w:t>) Admiten el pacto de cláusulas excepcionales. Es decir, en los contratos de prestación de servicios se puede estipular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9E0E25">
        <w:rPr>
          <w:rFonts w:ascii="Verdana" w:eastAsia="Calibri" w:hAnsi="Verdana" w:cs="Arial"/>
          <w:color w:val="000000"/>
          <w:vertAlign w:val="superscript"/>
          <w:lang w:val="es-ES" w:eastAsia="es-ES"/>
        </w:rPr>
        <w:footnoteReference w:id="9"/>
      </w:r>
      <w:r w:rsidRPr="009E0E25">
        <w:rPr>
          <w:rFonts w:ascii="Verdana" w:eastAsia="Calibri" w:hAnsi="Verdana" w:cs="Arial"/>
          <w:color w:val="000000"/>
          <w:lang w:val="es-ES" w:eastAsia="es-ES"/>
        </w:rPr>
        <w:t>.</w:t>
      </w:r>
    </w:p>
    <w:p w14:paraId="2B0941AE" w14:textId="77777777" w:rsidR="009B3C20" w:rsidRPr="009E0E25" w:rsidRDefault="009B3C20" w:rsidP="009B3C20">
      <w:pPr>
        <w:tabs>
          <w:tab w:val="left" w:pos="3276"/>
        </w:tabs>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i</w:t>
      </w:r>
      <w:r w:rsidRPr="009E0E25">
        <w:rPr>
          <w:rFonts w:ascii="Verdana" w:eastAsia="Calibri" w:hAnsi="Verdana" w:cs="Arial"/>
          <w:color w:val="000000"/>
          <w:lang w:val="es-ES" w:eastAsia="es-ES"/>
        </w:rPr>
        <w:t>) En algunos casos no es obligatoria la liquidación, pues así lo estableció el artículo 217 del Decreto 019 de 2012, que modificó el artículo 60 de la Ley 80 de 1993</w:t>
      </w:r>
      <w:r w:rsidRPr="009E0E25">
        <w:rPr>
          <w:rFonts w:ascii="Verdana" w:eastAsia="Calibri" w:hAnsi="Verdana" w:cs="Arial"/>
          <w:color w:val="000000"/>
          <w:vertAlign w:val="superscript"/>
          <w:lang w:val="es-ES" w:eastAsia="es-ES"/>
        </w:rPr>
        <w:footnoteReference w:id="10"/>
      </w:r>
      <w:r w:rsidRPr="009E0E25">
        <w:rPr>
          <w:rFonts w:ascii="Verdana" w:eastAsia="Calibri" w:hAnsi="Verdana" w:cs="Arial"/>
          <w:color w:val="000000"/>
          <w:lang w:val="es-ES" w:eastAsia="es-ES"/>
        </w:rPr>
        <w:t>, refiriéndose a los contratos de prestación de servicios profesionales y de apoyo a la gestión.</w:t>
      </w:r>
    </w:p>
    <w:p w14:paraId="1D29706D" w14:textId="77777777" w:rsidR="009B3C20" w:rsidRPr="009E0E25" w:rsidRDefault="009B3C20" w:rsidP="009B3C20">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val="es-ES" w:eastAsia="es-ES"/>
        </w:rPr>
        <w:lastRenderedPageBreak/>
        <w:t>j) Para su celebración no se requiere inscripción en el Registro Único de Proponentes (RUP), según lo prevé el artículo 6 de la Ley 1150 de 2007</w:t>
      </w:r>
      <w:r w:rsidRPr="328AD567">
        <w:rPr>
          <w:rFonts w:ascii="Verdana" w:eastAsia="Calibri" w:hAnsi="Verdana" w:cs="Arial"/>
          <w:color w:val="000000"/>
          <w:vertAlign w:val="superscript"/>
          <w:lang w:val="es-ES" w:eastAsia="es-ES"/>
        </w:rPr>
        <w:footnoteReference w:id="11"/>
      </w:r>
      <w:r w:rsidRPr="328AD567">
        <w:rPr>
          <w:rFonts w:ascii="Verdana" w:eastAsia="Calibri" w:hAnsi="Verdana" w:cs="Arial"/>
          <w:color w:val="000000"/>
          <w:lang w:val="es-ES" w:eastAsia="es-ES"/>
        </w:rPr>
        <w:t>.</w:t>
      </w:r>
    </w:p>
    <w:p w14:paraId="59CAD29F" w14:textId="77777777" w:rsidR="009B3C20" w:rsidRPr="009E0E25" w:rsidRDefault="009B3C20" w:rsidP="009B3C20">
      <w:pPr>
        <w:tabs>
          <w:tab w:val="left" w:pos="3276"/>
        </w:tabs>
        <w:spacing w:after="120" w:line="276" w:lineRule="auto"/>
        <w:ind w:firstLine="709"/>
        <w:jc w:val="both"/>
        <w:rPr>
          <w:rFonts w:ascii="Verdana" w:eastAsia="Calibri" w:hAnsi="Verdana" w:cs="Arial"/>
          <w:color w:val="000000"/>
          <w:lang w:val="es-ES_tradnl" w:eastAsia="es-ES_tradnl"/>
        </w:rPr>
      </w:pPr>
      <w:r w:rsidRPr="328AD567">
        <w:rPr>
          <w:rFonts w:ascii="Verdana" w:eastAsia="Calibri" w:hAnsi="Verdana" w:cs="Arial"/>
          <w:color w:val="000000"/>
          <w:lang w:val="es-ES" w:eastAsia="es-ES"/>
        </w:rPr>
        <w:t>xi) En ellos no son necesarias las garantías</w:t>
      </w:r>
      <w:r w:rsidRPr="328AD567">
        <w:rPr>
          <w:rFonts w:ascii="Verdana" w:eastAsia="Calibri" w:hAnsi="Verdana" w:cs="Arial"/>
          <w:color w:val="000000"/>
          <w:vertAlign w:val="superscript"/>
          <w:lang w:val="es-ES" w:eastAsia="es-ES"/>
        </w:rPr>
        <w:footnoteReference w:id="12"/>
      </w:r>
      <w:r w:rsidRPr="328AD567">
        <w:rPr>
          <w:rFonts w:ascii="Verdana" w:eastAsia="Calibri" w:hAnsi="Verdana" w:cs="Arial"/>
          <w:color w:val="000000"/>
          <w:lang w:val="es-ES" w:eastAsia="es-ES"/>
        </w:rPr>
        <w:t>.</w:t>
      </w:r>
    </w:p>
    <w:p w14:paraId="5C0D9B82" w14:textId="626E44BD" w:rsidR="0045785F" w:rsidRPr="009B3C20" w:rsidRDefault="0045785F" w:rsidP="0007149E">
      <w:pPr>
        <w:spacing w:after="120" w:line="276" w:lineRule="auto"/>
        <w:jc w:val="both"/>
        <w:rPr>
          <w:rFonts w:ascii="Verdana" w:eastAsia="Calibri" w:hAnsi="Verdana" w:cs="Arial"/>
          <w:color w:val="000000" w:themeColor="text1"/>
          <w:lang w:val="es-ES_tradnl"/>
        </w:rPr>
      </w:pPr>
    </w:p>
    <w:p w14:paraId="47C22809" w14:textId="79974748" w:rsidR="009B3C20" w:rsidRPr="009B3C20" w:rsidRDefault="009B3C20" w:rsidP="009B3C20">
      <w:pPr>
        <w:spacing w:after="120"/>
        <w:jc w:val="both"/>
        <w:rPr>
          <w:rFonts w:ascii="Verdana" w:hAnsi="Verdana"/>
        </w:rPr>
      </w:pPr>
      <w:r w:rsidRPr="009736BF">
        <w:rPr>
          <w:rFonts w:ascii="Verdana" w:eastAsia="Calibri" w:hAnsi="Verdana" w:cs="Arial"/>
          <w:color w:val="000000" w:themeColor="text1"/>
          <w:lang w:val="es-ES"/>
        </w:rPr>
        <w:t xml:space="preserve">ii. </w:t>
      </w:r>
      <w:r w:rsidR="008236EF">
        <w:rPr>
          <w:rFonts w:ascii="Verdana" w:hAnsi="Verdana"/>
          <w:lang w:val="es-ES"/>
        </w:rPr>
        <w:t>El</w:t>
      </w:r>
      <w:r w:rsidRPr="009736BF">
        <w:rPr>
          <w:rFonts w:ascii="Verdana" w:hAnsi="Verdana"/>
        </w:rPr>
        <w:t xml:space="preserve"> fuero de maternidad es una institución jurídica que otorga una protección reforzada a la futura madre y a la que acaba de serlo, es decir, a la mujer</w:t>
      </w:r>
      <w:r w:rsidRPr="009736BF">
        <w:rPr>
          <w:rFonts w:ascii="Verdana" w:hAnsi="Verdana"/>
          <w:spacing w:val="-6"/>
        </w:rPr>
        <w:t xml:space="preserve"> </w:t>
      </w:r>
      <w:r w:rsidRPr="009736BF">
        <w:rPr>
          <w:rFonts w:ascii="Verdana" w:hAnsi="Verdana"/>
        </w:rPr>
        <w:t>que</w:t>
      </w:r>
      <w:r w:rsidRPr="009736BF">
        <w:rPr>
          <w:rFonts w:ascii="Verdana" w:hAnsi="Verdana"/>
          <w:spacing w:val="-7"/>
        </w:rPr>
        <w:t xml:space="preserve"> </w:t>
      </w:r>
      <w:r w:rsidRPr="009736BF">
        <w:rPr>
          <w:rFonts w:ascii="Verdana" w:hAnsi="Verdana"/>
        </w:rPr>
        <w:t>se</w:t>
      </w:r>
      <w:r w:rsidRPr="009736BF">
        <w:rPr>
          <w:rFonts w:ascii="Verdana" w:hAnsi="Verdana"/>
          <w:spacing w:val="-7"/>
        </w:rPr>
        <w:t xml:space="preserve"> </w:t>
      </w:r>
      <w:r w:rsidRPr="009736BF">
        <w:rPr>
          <w:rFonts w:ascii="Verdana" w:hAnsi="Verdana"/>
        </w:rPr>
        <w:t>encuentra</w:t>
      </w:r>
      <w:r w:rsidRPr="009736BF">
        <w:rPr>
          <w:rFonts w:ascii="Verdana" w:hAnsi="Verdana"/>
          <w:spacing w:val="-5"/>
        </w:rPr>
        <w:t xml:space="preserve"> </w:t>
      </w:r>
      <w:r w:rsidRPr="009736BF">
        <w:rPr>
          <w:rFonts w:ascii="Verdana" w:hAnsi="Verdana"/>
        </w:rPr>
        <w:t>en</w:t>
      </w:r>
      <w:r w:rsidRPr="009736BF">
        <w:rPr>
          <w:rFonts w:ascii="Verdana" w:hAnsi="Verdana"/>
          <w:spacing w:val="-7"/>
        </w:rPr>
        <w:t xml:space="preserve"> </w:t>
      </w:r>
      <w:r w:rsidRPr="009736BF">
        <w:rPr>
          <w:rFonts w:ascii="Verdana" w:hAnsi="Verdana"/>
        </w:rPr>
        <w:t>estado</w:t>
      </w:r>
      <w:r w:rsidRPr="009736BF">
        <w:rPr>
          <w:rFonts w:ascii="Verdana" w:hAnsi="Verdana"/>
          <w:spacing w:val="-6"/>
        </w:rPr>
        <w:t xml:space="preserve"> </w:t>
      </w:r>
      <w:r w:rsidRPr="009736BF">
        <w:rPr>
          <w:rFonts w:ascii="Verdana" w:hAnsi="Verdana"/>
        </w:rPr>
        <w:t>de</w:t>
      </w:r>
      <w:r w:rsidRPr="009736BF">
        <w:rPr>
          <w:rFonts w:ascii="Verdana" w:hAnsi="Verdana"/>
          <w:spacing w:val="-7"/>
        </w:rPr>
        <w:t xml:space="preserve"> </w:t>
      </w:r>
      <w:r w:rsidRPr="009736BF">
        <w:rPr>
          <w:rFonts w:ascii="Verdana" w:hAnsi="Verdana"/>
        </w:rPr>
        <w:t>embarazo,</w:t>
      </w:r>
      <w:r w:rsidRPr="009736BF">
        <w:rPr>
          <w:rFonts w:ascii="Verdana" w:hAnsi="Verdana"/>
          <w:spacing w:val="-7"/>
        </w:rPr>
        <w:t xml:space="preserve"> </w:t>
      </w:r>
      <w:r w:rsidRPr="009736BF">
        <w:rPr>
          <w:rFonts w:ascii="Verdana" w:hAnsi="Verdana"/>
        </w:rPr>
        <w:t>en</w:t>
      </w:r>
      <w:r w:rsidRPr="009736BF">
        <w:rPr>
          <w:rFonts w:ascii="Verdana" w:hAnsi="Verdana"/>
          <w:spacing w:val="-7"/>
        </w:rPr>
        <w:t xml:space="preserve"> </w:t>
      </w:r>
      <w:r w:rsidRPr="009736BF">
        <w:rPr>
          <w:rFonts w:ascii="Verdana" w:hAnsi="Verdana"/>
        </w:rPr>
        <w:t>licencia</w:t>
      </w:r>
      <w:r w:rsidRPr="009736BF">
        <w:rPr>
          <w:rFonts w:ascii="Verdana" w:hAnsi="Verdana"/>
          <w:spacing w:val="-5"/>
        </w:rPr>
        <w:t xml:space="preserve"> </w:t>
      </w:r>
      <w:r w:rsidRPr="009736BF">
        <w:rPr>
          <w:rFonts w:ascii="Verdana" w:hAnsi="Verdana"/>
        </w:rPr>
        <w:t>de</w:t>
      </w:r>
      <w:r w:rsidRPr="009736BF">
        <w:rPr>
          <w:rFonts w:ascii="Verdana" w:hAnsi="Verdana"/>
          <w:spacing w:val="-7"/>
        </w:rPr>
        <w:t xml:space="preserve"> </w:t>
      </w:r>
      <w:r w:rsidRPr="009736BF">
        <w:rPr>
          <w:rFonts w:ascii="Verdana" w:hAnsi="Verdana"/>
        </w:rPr>
        <w:t>maternidad</w:t>
      </w:r>
      <w:r w:rsidRPr="009736BF">
        <w:rPr>
          <w:rFonts w:ascii="Verdana" w:hAnsi="Verdana"/>
          <w:spacing w:val="-5"/>
        </w:rPr>
        <w:t xml:space="preserve"> </w:t>
      </w:r>
      <w:r w:rsidRPr="009736BF">
        <w:rPr>
          <w:rFonts w:ascii="Verdana" w:hAnsi="Verdana"/>
        </w:rPr>
        <w:t>y</w:t>
      </w:r>
      <w:r w:rsidRPr="009736BF">
        <w:rPr>
          <w:rFonts w:ascii="Verdana" w:hAnsi="Verdana"/>
          <w:spacing w:val="-7"/>
        </w:rPr>
        <w:t xml:space="preserve"> </w:t>
      </w:r>
      <w:r w:rsidRPr="009736BF">
        <w:rPr>
          <w:rFonts w:ascii="Verdana" w:hAnsi="Verdana"/>
        </w:rPr>
        <w:t>en periodo</w:t>
      </w:r>
      <w:r w:rsidRPr="009736BF">
        <w:rPr>
          <w:rFonts w:ascii="Verdana" w:hAnsi="Verdana"/>
          <w:spacing w:val="-10"/>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lactancia. Esto</w:t>
      </w:r>
      <w:r w:rsidRPr="009736BF">
        <w:rPr>
          <w:rFonts w:ascii="Verdana" w:hAnsi="Verdana"/>
          <w:spacing w:val="-12"/>
        </w:rPr>
        <w:t xml:space="preserve"> </w:t>
      </w:r>
      <w:r w:rsidRPr="009736BF">
        <w:rPr>
          <w:rFonts w:ascii="Verdana" w:hAnsi="Verdana"/>
        </w:rPr>
        <w:t>con</w:t>
      </w:r>
      <w:r w:rsidRPr="009736BF">
        <w:rPr>
          <w:rFonts w:ascii="Verdana" w:hAnsi="Verdana"/>
          <w:spacing w:val="-11"/>
        </w:rPr>
        <w:t xml:space="preserve"> </w:t>
      </w:r>
      <w:r w:rsidRPr="009736BF">
        <w:rPr>
          <w:rFonts w:ascii="Verdana" w:hAnsi="Verdana"/>
        </w:rPr>
        <w:t>el</w:t>
      </w:r>
      <w:r w:rsidRPr="009736BF">
        <w:rPr>
          <w:rFonts w:ascii="Verdana" w:hAnsi="Verdana"/>
          <w:spacing w:val="-11"/>
        </w:rPr>
        <w:t xml:space="preserve"> </w:t>
      </w:r>
      <w:r w:rsidRPr="009736BF">
        <w:rPr>
          <w:rFonts w:ascii="Verdana" w:hAnsi="Verdana"/>
        </w:rPr>
        <w:t>fin</w:t>
      </w:r>
      <w:r w:rsidRPr="009736BF">
        <w:rPr>
          <w:rFonts w:ascii="Verdana" w:hAnsi="Verdana"/>
          <w:spacing w:val="-11"/>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que</w:t>
      </w:r>
      <w:r w:rsidRPr="009736BF">
        <w:rPr>
          <w:rFonts w:ascii="Verdana" w:hAnsi="Verdana"/>
          <w:spacing w:val="-11"/>
        </w:rPr>
        <w:t xml:space="preserve"> </w:t>
      </w:r>
      <w:r w:rsidRPr="009736BF">
        <w:rPr>
          <w:rFonts w:ascii="Verdana" w:hAnsi="Verdana"/>
        </w:rPr>
        <w:t>el</w:t>
      </w:r>
      <w:r w:rsidRPr="009736BF">
        <w:rPr>
          <w:rFonts w:ascii="Verdana" w:hAnsi="Verdana"/>
          <w:spacing w:val="-11"/>
        </w:rPr>
        <w:t xml:space="preserve"> </w:t>
      </w:r>
      <w:r w:rsidRPr="009736BF">
        <w:rPr>
          <w:rFonts w:ascii="Verdana" w:hAnsi="Verdana"/>
        </w:rPr>
        <w:t>proceso</w:t>
      </w:r>
      <w:r w:rsidRPr="009736BF">
        <w:rPr>
          <w:rFonts w:ascii="Verdana" w:hAnsi="Verdana"/>
          <w:spacing w:val="-9"/>
        </w:rPr>
        <w:t xml:space="preserve"> </w:t>
      </w:r>
      <w:r w:rsidRPr="009736BF">
        <w:rPr>
          <w:rFonts w:ascii="Verdana" w:hAnsi="Verdana"/>
        </w:rPr>
        <w:t>de</w:t>
      </w:r>
      <w:r w:rsidRPr="009736BF">
        <w:rPr>
          <w:rFonts w:ascii="Verdana" w:hAnsi="Verdana"/>
          <w:spacing w:val="-11"/>
        </w:rPr>
        <w:t xml:space="preserve"> </w:t>
      </w:r>
      <w:r w:rsidRPr="009736BF">
        <w:rPr>
          <w:rFonts w:ascii="Verdana" w:hAnsi="Verdana"/>
        </w:rPr>
        <w:t>gestación</w:t>
      </w:r>
      <w:r w:rsidRPr="009736BF">
        <w:rPr>
          <w:rFonts w:ascii="Verdana" w:hAnsi="Verdana"/>
          <w:spacing w:val="-8"/>
        </w:rPr>
        <w:t xml:space="preserve"> </w:t>
      </w:r>
      <w:r w:rsidRPr="009736BF">
        <w:rPr>
          <w:rFonts w:ascii="Verdana" w:hAnsi="Verdana"/>
        </w:rPr>
        <w:t>no</w:t>
      </w:r>
      <w:r w:rsidRPr="009736BF">
        <w:rPr>
          <w:rFonts w:ascii="Verdana" w:hAnsi="Verdana"/>
          <w:spacing w:val="-11"/>
        </w:rPr>
        <w:t xml:space="preserve"> </w:t>
      </w:r>
      <w:r w:rsidRPr="009736BF">
        <w:rPr>
          <w:rFonts w:ascii="Verdana" w:hAnsi="Verdana"/>
        </w:rPr>
        <w:t>interfiera</w:t>
      </w:r>
      <w:r w:rsidRPr="009736BF">
        <w:rPr>
          <w:rFonts w:ascii="Verdana" w:hAnsi="Verdana"/>
          <w:spacing w:val="-9"/>
        </w:rPr>
        <w:t xml:space="preserve"> </w:t>
      </w:r>
      <w:r w:rsidRPr="009736BF">
        <w:rPr>
          <w:rFonts w:ascii="Verdana" w:hAnsi="Verdana"/>
        </w:rPr>
        <w:t>en</w:t>
      </w:r>
      <w:r w:rsidRPr="009736BF">
        <w:rPr>
          <w:rFonts w:ascii="Verdana" w:hAnsi="Verdana"/>
          <w:spacing w:val="-11"/>
        </w:rPr>
        <w:t xml:space="preserve"> </w:t>
      </w:r>
      <w:r w:rsidRPr="009736BF">
        <w:rPr>
          <w:rFonts w:ascii="Verdana" w:hAnsi="Verdana"/>
        </w:rPr>
        <w:t>la estabilidad ocupacional que, como trabajadora, le asiste. El propósito es que las aspiraciones familiares y profesionales de la mujer no se excluyan y puedan armonizarse, al punto de desarrollar su proyecto de vida y su personalidad en condiciones</w:t>
      </w:r>
      <w:r w:rsidRPr="009736BF">
        <w:rPr>
          <w:rFonts w:ascii="Verdana" w:hAnsi="Verdana"/>
          <w:spacing w:val="-12"/>
        </w:rPr>
        <w:t xml:space="preserve"> </w:t>
      </w:r>
      <w:r w:rsidRPr="009736BF">
        <w:rPr>
          <w:rFonts w:ascii="Verdana" w:hAnsi="Verdana"/>
        </w:rPr>
        <w:t>de</w:t>
      </w:r>
      <w:r w:rsidRPr="009736BF">
        <w:rPr>
          <w:rFonts w:ascii="Verdana" w:hAnsi="Verdana"/>
          <w:spacing w:val="-15"/>
        </w:rPr>
        <w:t xml:space="preserve"> </w:t>
      </w:r>
      <w:r w:rsidRPr="009736BF">
        <w:rPr>
          <w:rFonts w:ascii="Verdana" w:hAnsi="Verdana"/>
        </w:rPr>
        <w:t>dignidad</w:t>
      </w:r>
      <w:r w:rsidRPr="009736BF">
        <w:rPr>
          <w:rFonts w:ascii="Verdana" w:hAnsi="Verdana"/>
          <w:spacing w:val="-14"/>
        </w:rPr>
        <w:t xml:space="preserve"> </w:t>
      </w:r>
      <w:r w:rsidRPr="009736BF">
        <w:rPr>
          <w:rFonts w:ascii="Verdana" w:hAnsi="Verdana"/>
        </w:rPr>
        <w:t>y</w:t>
      </w:r>
      <w:r w:rsidRPr="009736BF">
        <w:rPr>
          <w:rFonts w:ascii="Verdana" w:hAnsi="Verdana"/>
          <w:spacing w:val="-15"/>
        </w:rPr>
        <w:t xml:space="preserve"> </w:t>
      </w:r>
      <w:r w:rsidRPr="009736BF">
        <w:rPr>
          <w:rFonts w:ascii="Verdana" w:hAnsi="Verdana"/>
        </w:rPr>
        <w:t>libertad,</w:t>
      </w:r>
      <w:r w:rsidRPr="009736BF">
        <w:rPr>
          <w:rFonts w:ascii="Verdana" w:hAnsi="Verdana"/>
          <w:spacing w:val="-13"/>
        </w:rPr>
        <w:t xml:space="preserve"> </w:t>
      </w:r>
      <w:r w:rsidRPr="009736BF">
        <w:rPr>
          <w:rFonts w:ascii="Verdana" w:hAnsi="Verdana"/>
        </w:rPr>
        <w:t>pues</w:t>
      </w:r>
      <w:r w:rsidRPr="009736BF">
        <w:rPr>
          <w:rFonts w:ascii="Verdana" w:hAnsi="Verdana"/>
          <w:spacing w:val="-14"/>
        </w:rPr>
        <w:t xml:space="preserve"> </w:t>
      </w:r>
      <w:r w:rsidRPr="009736BF">
        <w:rPr>
          <w:rFonts w:ascii="Verdana" w:hAnsi="Verdana"/>
        </w:rPr>
        <w:t>históricamente</w:t>
      </w:r>
      <w:r w:rsidRPr="009736BF">
        <w:rPr>
          <w:rFonts w:ascii="Verdana" w:hAnsi="Verdana"/>
          <w:spacing w:val="-11"/>
        </w:rPr>
        <w:t xml:space="preserve"> </w:t>
      </w:r>
      <w:r w:rsidRPr="009736BF">
        <w:rPr>
          <w:rFonts w:ascii="Verdana" w:hAnsi="Verdana"/>
        </w:rPr>
        <w:t>el</w:t>
      </w:r>
      <w:r w:rsidRPr="009736BF">
        <w:rPr>
          <w:rFonts w:ascii="Verdana" w:hAnsi="Verdana"/>
          <w:spacing w:val="-15"/>
        </w:rPr>
        <w:t xml:space="preserve"> </w:t>
      </w:r>
      <w:r w:rsidRPr="009736BF">
        <w:rPr>
          <w:rFonts w:ascii="Verdana" w:hAnsi="Verdana"/>
        </w:rPr>
        <w:t>estado</w:t>
      </w:r>
      <w:r w:rsidRPr="009736BF">
        <w:rPr>
          <w:rFonts w:ascii="Verdana" w:hAnsi="Verdana"/>
          <w:spacing w:val="-14"/>
        </w:rPr>
        <w:t xml:space="preserve"> </w:t>
      </w:r>
      <w:r w:rsidRPr="009736BF">
        <w:rPr>
          <w:rFonts w:ascii="Verdana" w:hAnsi="Verdana"/>
        </w:rPr>
        <w:t>de</w:t>
      </w:r>
      <w:r w:rsidRPr="009736BF">
        <w:rPr>
          <w:rFonts w:ascii="Verdana" w:hAnsi="Verdana"/>
          <w:spacing w:val="-15"/>
        </w:rPr>
        <w:t xml:space="preserve"> </w:t>
      </w:r>
      <w:r w:rsidRPr="009736BF">
        <w:rPr>
          <w:rFonts w:ascii="Verdana" w:hAnsi="Verdana"/>
        </w:rPr>
        <w:t>gravidez</w:t>
      </w:r>
      <w:r w:rsidRPr="009736BF">
        <w:rPr>
          <w:rFonts w:ascii="Verdana" w:hAnsi="Verdana"/>
          <w:spacing w:val="-13"/>
        </w:rPr>
        <w:t xml:space="preserve"> </w:t>
      </w:r>
      <w:r w:rsidRPr="009736BF">
        <w:rPr>
          <w:rFonts w:ascii="Verdana" w:hAnsi="Verdana"/>
        </w:rPr>
        <w:t>ha constituido</w:t>
      </w:r>
      <w:r w:rsidRPr="009736BF">
        <w:rPr>
          <w:rFonts w:ascii="Verdana" w:hAnsi="Verdana"/>
          <w:spacing w:val="-14"/>
        </w:rPr>
        <w:t xml:space="preserve"> </w:t>
      </w:r>
      <w:r w:rsidRPr="009736BF">
        <w:rPr>
          <w:rFonts w:ascii="Verdana" w:hAnsi="Verdana"/>
        </w:rPr>
        <w:t>un</w:t>
      </w:r>
      <w:r w:rsidRPr="009736BF">
        <w:rPr>
          <w:rFonts w:ascii="Verdana" w:hAnsi="Verdana"/>
          <w:spacing w:val="-17"/>
        </w:rPr>
        <w:t xml:space="preserve"> </w:t>
      </w:r>
      <w:r w:rsidRPr="009736BF">
        <w:rPr>
          <w:rFonts w:ascii="Verdana" w:hAnsi="Verdana"/>
        </w:rPr>
        <w:t>motivo</w:t>
      </w:r>
      <w:r w:rsidRPr="009736BF">
        <w:rPr>
          <w:rFonts w:ascii="Verdana" w:hAnsi="Verdana"/>
          <w:spacing w:val="-16"/>
        </w:rPr>
        <w:t xml:space="preserve"> </w:t>
      </w:r>
      <w:r w:rsidRPr="009736BF">
        <w:rPr>
          <w:rFonts w:ascii="Verdana" w:hAnsi="Verdana"/>
        </w:rPr>
        <w:t>de</w:t>
      </w:r>
      <w:r w:rsidRPr="009736BF">
        <w:rPr>
          <w:rFonts w:ascii="Verdana" w:hAnsi="Verdana"/>
          <w:spacing w:val="-18"/>
        </w:rPr>
        <w:t xml:space="preserve"> </w:t>
      </w:r>
      <w:r w:rsidRPr="009736BF">
        <w:rPr>
          <w:rFonts w:ascii="Verdana" w:hAnsi="Verdana"/>
        </w:rPr>
        <w:t>exclusión</w:t>
      </w:r>
      <w:r w:rsidRPr="009736BF">
        <w:rPr>
          <w:rFonts w:ascii="Verdana" w:hAnsi="Verdana"/>
          <w:spacing w:val="-15"/>
        </w:rPr>
        <w:t xml:space="preserve"> </w:t>
      </w:r>
      <w:r w:rsidRPr="009736BF">
        <w:rPr>
          <w:rFonts w:ascii="Verdana" w:hAnsi="Verdana"/>
        </w:rPr>
        <w:t>de</w:t>
      </w:r>
      <w:r w:rsidRPr="009736BF">
        <w:rPr>
          <w:rFonts w:ascii="Verdana" w:hAnsi="Verdana"/>
          <w:spacing w:val="-18"/>
        </w:rPr>
        <w:t xml:space="preserve"> </w:t>
      </w:r>
      <w:r w:rsidRPr="009736BF">
        <w:rPr>
          <w:rFonts w:ascii="Verdana" w:hAnsi="Verdana"/>
        </w:rPr>
        <w:t>la</w:t>
      </w:r>
      <w:r w:rsidRPr="009736BF">
        <w:rPr>
          <w:rFonts w:ascii="Verdana" w:hAnsi="Verdana"/>
          <w:spacing w:val="-18"/>
        </w:rPr>
        <w:t xml:space="preserve"> </w:t>
      </w:r>
      <w:r w:rsidRPr="009736BF">
        <w:rPr>
          <w:rFonts w:ascii="Verdana" w:hAnsi="Verdana"/>
        </w:rPr>
        <w:t>mujer</w:t>
      </w:r>
      <w:r w:rsidRPr="009736BF">
        <w:rPr>
          <w:rFonts w:ascii="Verdana" w:hAnsi="Verdana"/>
          <w:spacing w:val="-16"/>
        </w:rPr>
        <w:t xml:space="preserve"> </w:t>
      </w:r>
      <w:r w:rsidRPr="009736BF">
        <w:rPr>
          <w:rFonts w:ascii="Verdana" w:hAnsi="Verdana"/>
        </w:rPr>
        <w:t>en</w:t>
      </w:r>
      <w:r w:rsidRPr="009736BF">
        <w:rPr>
          <w:rFonts w:ascii="Verdana" w:hAnsi="Verdana"/>
          <w:spacing w:val="-17"/>
        </w:rPr>
        <w:t xml:space="preserve"> </w:t>
      </w:r>
      <w:r w:rsidRPr="009736BF">
        <w:rPr>
          <w:rFonts w:ascii="Verdana" w:hAnsi="Verdana"/>
        </w:rPr>
        <w:t>el</w:t>
      </w:r>
      <w:r w:rsidRPr="009736BF">
        <w:rPr>
          <w:rFonts w:ascii="Verdana" w:hAnsi="Verdana"/>
          <w:spacing w:val="-18"/>
        </w:rPr>
        <w:t xml:space="preserve"> </w:t>
      </w:r>
      <w:r w:rsidRPr="009736BF">
        <w:rPr>
          <w:rFonts w:ascii="Verdana" w:hAnsi="Verdana"/>
        </w:rPr>
        <w:t>trabajo,</w:t>
      </w:r>
      <w:r w:rsidRPr="009736BF">
        <w:rPr>
          <w:rFonts w:ascii="Verdana" w:hAnsi="Verdana"/>
          <w:spacing w:val="-16"/>
        </w:rPr>
        <w:t xml:space="preserve"> </w:t>
      </w:r>
      <w:r w:rsidRPr="009736BF">
        <w:rPr>
          <w:rFonts w:ascii="Verdana" w:hAnsi="Verdana"/>
        </w:rPr>
        <w:t>en</w:t>
      </w:r>
      <w:r w:rsidRPr="009736BF">
        <w:rPr>
          <w:rFonts w:ascii="Verdana" w:hAnsi="Verdana"/>
          <w:spacing w:val="-17"/>
        </w:rPr>
        <w:t xml:space="preserve"> </w:t>
      </w:r>
      <w:r w:rsidRPr="009736BF">
        <w:rPr>
          <w:rFonts w:ascii="Verdana" w:hAnsi="Verdana"/>
        </w:rPr>
        <w:t>el</w:t>
      </w:r>
      <w:r w:rsidRPr="009736BF">
        <w:rPr>
          <w:rFonts w:ascii="Verdana" w:hAnsi="Verdana"/>
          <w:spacing w:val="-18"/>
        </w:rPr>
        <w:t xml:space="preserve"> </w:t>
      </w:r>
      <w:r w:rsidRPr="009736BF">
        <w:rPr>
          <w:rFonts w:ascii="Verdana" w:hAnsi="Verdana"/>
        </w:rPr>
        <w:t>que</w:t>
      </w:r>
      <w:r w:rsidRPr="009736BF">
        <w:rPr>
          <w:rFonts w:ascii="Verdana" w:hAnsi="Verdana"/>
          <w:spacing w:val="-17"/>
        </w:rPr>
        <w:t xml:space="preserve"> </w:t>
      </w:r>
      <w:r w:rsidRPr="009736BF">
        <w:rPr>
          <w:rFonts w:ascii="Verdana" w:hAnsi="Verdana"/>
        </w:rPr>
        <w:t>es</w:t>
      </w:r>
      <w:r w:rsidRPr="009736BF">
        <w:rPr>
          <w:rFonts w:ascii="Verdana" w:hAnsi="Verdana"/>
          <w:spacing w:val="-17"/>
        </w:rPr>
        <w:t xml:space="preserve"> </w:t>
      </w:r>
      <w:r w:rsidRPr="009736BF">
        <w:rPr>
          <w:rFonts w:ascii="Verdana" w:hAnsi="Verdana"/>
        </w:rPr>
        <w:t>preciso “impedir la discriminación constituida por el despido, la terminación o la no renovación del contrato por causa o con ocasión del embarazo o la lactancia</w:t>
      </w:r>
      <w:r w:rsidRPr="009736BF">
        <w:rPr>
          <w:rFonts w:ascii="Verdana" w:hAnsi="Verdana"/>
          <w:spacing w:val="-52"/>
        </w:rPr>
        <w:t xml:space="preserve"> </w:t>
      </w:r>
      <w:r w:rsidRPr="009736BF">
        <w:rPr>
          <w:rFonts w:ascii="Verdana" w:hAnsi="Verdana"/>
        </w:rPr>
        <w:t>”</w:t>
      </w:r>
      <w:r w:rsidRPr="009736BF">
        <w:rPr>
          <w:rFonts w:ascii="Verdana" w:hAnsi="Verdana"/>
          <w:vertAlign w:val="superscript"/>
        </w:rPr>
        <w:footnoteReference w:id="13"/>
      </w:r>
      <w:r w:rsidRPr="009736BF">
        <w:rPr>
          <w:rFonts w:ascii="Verdana" w:hAnsi="Verdana"/>
        </w:rPr>
        <w:t>.</w:t>
      </w:r>
    </w:p>
    <w:p w14:paraId="7E86B7E2" w14:textId="77777777" w:rsidR="009B3C20" w:rsidRPr="009B3C20" w:rsidRDefault="009B3C20" w:rsidP="009B3C20">
      <w:pPr>
        <w:spacing w:after="120"/>
        <w:ind w:firstLine="709"/>
        <w:jc w:val="both"/>
        <w:rPr>
          <w:rFonts w:ascii="Verdana" w:hAnsi="Verdana"/>
        </w:rPr>
      </w:pPr>
      <w:r w:rsidRPr="009B3C20">
        <w:rPr>
          <w:rFonts w:ascii="Verdana" w:hAnsi="Verdana"/>
        </w:rPr>
        <w:t>La Corte Constitucional profirió la sentencia de unificación SU-075 de 2018</w:t>
      </w:r>
      <w:r w:rsidRPr="009B3C20">
        <w:rPr>
          <w:rFonts w:ascii="Verdana" w:hAnsi="Verdana"/>
          <w:vertAlign w:val="superscript"/>
        </w:rPr>
        <w:footnoteReference w:id="14"/>
      </w:r>
      <w:r w:rsidRPr="009B3C20">
        <w:rPr>
          <w:rFonts w:ascii="Verdana" w:hAnsi="Verdana"/>
        </w:rPr>
        <w:t>, en la cual recoge, entre otras, las sentencias T-350 del 2016</w:t>
      </w:r>
      <w:r w:rsidRPr="009B3C20">
        <w:rPr>
          <w:rFonts w:ascii="Verdana" w:hAnsi="Verdana"/>
          <w:vertAlign w:val="superscript"/>
        </w:rPr>
        <w:footnoteReference w:id="15"/>
      </w:r>
      <w:r w:rsidRPr="009B3C20">
        <w:rPr>
          <w:rFonts w:ascii="Verdana" w:hAnsi="Verdana"/>
        </w:rPr>
        <w:t>, T-030 de 2018</w:t>
      </w:r>
      <w:r w:rsidRPr="009B3C20">
        <w:rPr>
          <w:rFonts w:ascii="Verdana" w:hAnsi="Verdana"/>
          <w:vertAlign w:val="superscript"/>
        </w:rPr>
        <w:footnoteReference w:id="16"/>
      </w:r>
      <w:r w:rsidRPr="009B3C20">
        <w:rPr>
          <w:rFonts w:ascii="Verdana" w:hAnsi="Verdana"/>
        </w:rPr>
        <w:t xml:space="preserve">.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w:t>
      </w:r>
      <w:r w:rsidRPr="009B3C20">
        <w:rPr>
          <w:rFonts w:ascii="Verdana" w:hAnsi="Verdana"/>
        </w:rPr>
        <w:lastRenderedPageBreak/>
        <w:t>encuentra también su sustento en la cláusula general de igualdad de la Constitución “que proscribe la discriminación por razones de sexo, así como en el ya mencionado artículo 43 Superior, que dispone la igualdad de derechos y oportunidades entre hombres y mujeres”.</w:t>
      </w:r>
    </w:p>
    <w:p w14:paraId="11495868" w14:textId="129ED738" w:rsidR="009B3C20" w:rsidRPr="009B3C20" w:rsidRDefault="001A3A16" w:rsidP="009B3C20">
      <w:pPr>
        <w:widowControl w:val="0"/>
        <w:autoSpaceDE w:val="0"/>
        <w:autoSpaceDN w:val="0"/>
        <w:spacing w:after="0" w:line="276" w:lineRule="auto"/>
        <w:ind w:firstLine="709"/>
        <w:jc w:val="both"/>
        <w:rPr>
          <w:rFonts w:ascii="Verdana" w:eastAsia="Arial" w:hAnsi="Verdana" w:cs="Arial"/>
          <w:lang w:val="es-ES"/>
        </w:rPr>
      </w:pPr>
      <w:r>
        <w:rPr>
          <w:rFonts w:ascii="Verdana" w:eastAsia="Arial" w:hAnsi="Verdana" w:cs="Arial"/>
          <w:lang w:val="es-ES"/>
        </w:rPr>
        <w:t>La Sentencia de U</w:t>
      </w:r>
      <w:r w:rsidR="009B3C20" w:rsidRPr="009B3C20">
        <w:rPr>
          <w:rFonts w:ascii="Verdana" w:eastAsia="Arial" w:hAnsi="Verdana" w:cs="Arial"/>
          <w:lang w:val="es-ES"/>
        </w:rPr>
        <w:t>nificación citada determina el tratamiento que deberían darles las entidades a sus trabajadoras o contratistas cuando se encuentren en estado de embarazo o lactancia, estableciendo su procedencia en los siguientes términos:</w:t>
      </w:r>
    </w:p>
    <w:p w14:paraId="45D158A2" w14:textId="77777777" w:rsidR="009B3C20" w:rsidRPr="009B3C20" w:rsidRDefault="009B3C20" w:rsidP="009B3C20">
      <w:pPr>
        <w:widowControl w:val="0"/>
        <w:autoSpaceDE w:val="0"/>
        <w:autoSpaceDN w:val="0"/>
        <w:spacing w:after="0" w:line="240" w:lineRule="auto"/>
        <w:ind w:firstLine="709"/>
        <w:jc w:val="both"/>
        <w:rPr>
          <w:rFonts w:ascii="Verdana" w:eastAsia="Arial" w:hAnsi="Verdana" w:cs="Arial"/>
          <w:lang w:val="es-ES"/>
        </w:rPr>
      </w:pPr>
    </w:p>
    <w:p w14:paraId="0B422A4D" w14:textId="77777777" w:rsidR="009B3C20" w:rsidRPr="009B3C20" w:rsidRDefault="009B3C20" w:rsidP="009B3C20">
      <w:pPr>
        <w:spacing w:after="0" w:line="240" w:lineRule="auto"/>
        <w:ind w:left="709" w:right="709"/>
        <w:jc w:val="both"/>
        <w:rPr>
          <w:rFonts w:ascii="Verdana" w:hAnsi="Verdana"/>
          <w:sz w:val="20"/>
          <w:szCs w:val="20"/>
        </w:rPr>
      </w:pPr>
      <w:r w:rsidRPr="009B3C20">
        <w:rPr>
          <w:rFonts w:ascii="Verdana" w:hAnsi="Verdana"/>
          <w:sz w:val="20"/>
          <w:szCs w:val="20"/>
        </w:rPr>
        <w:t>“La protección reforzada a la maternidad y la lactancia en el ámbito del trabajo</w:t>
      </w:r>
      <w:r w:rsidRPr="009B3C20">
        <w:rPr>
          <w:rFonts w:ascii="Verdana" w:hAnsi="Verdana"/>
          <w:spacing w:val="-1"/>
          <w:sz w:val="20"/>
          <w:szCs w:val="20"/>
        </w:rPr>
        <w:t xml:space="preserve"> </w:t>
      </w:r>
      <w:r w:rsidRPr="009B3C20">
        <w:rPr>
          <w:rFonts w:ascii="Verdana" w:hAnsi="Verdana"/>
          <w:sz w:val="20"/>
          <w:szCs w:val="20"/>
        </w:rPr>
        <w:t>procede cuando se demuestre, sin ninguna otra exigencia adicional, lo siguiente:</w:t>
      </w:r>
    </w:p>
    <w:p w14:paraId="045D9196" w14:textId="77777777" w:rsidR="009B3C20" w:rsidRPr="009B3C20" w:rsidRDefault="009B3C20" w:rsidP="009B3C20">
      <w:pPr>
        <w:spacing w:after="0" w:line="240" w:lineRule="auto"/>
        <w:ind w:left="709" w:right="709"/>
        <w:jc w:val="both"/>
        <w:rPr>
          <w:rFonts w:ascii="Verdana" w:hAnsi="Verdana"/>
          <w:sz w:val="20"/>
          <w:szCs w:val="20"/>
        </w:rPr>
      </w:pPr>
    </w:p>
    <w:p w14:paraId="14A6D128" w14:textId="77777777" w:rsidR="009B3C20" w:rsidRPr="009B3C20" w:rsidRDefault="009B3C20" w:rsidP="009B3C20">
      <w:pPr>
        <w:widowControl w:val="0"/>
        <w:numPr>
          <w:ilvl w:val="1"/>
          <w:numId w:val="28"/>
        </w:numPr>
        <w:tabs>
          <w:tab w:val="left" w:pos="1339"/>
        </w:tabs>
        <w:autoSpaceDE w:val="0"/>
        <w:autoSpaceDN w:val="0"/>
        <w:spacing w:after="0" w:line="240" w:lineRule="auto"/>
        <w:ind w:left="709" w:right="709"/>
        <w:contextualSpacing/>
        <w:jc w:val="both"/>
        <w:rPr>
          <w:rFonts w:ascii="Verdana" w:hAnsi="Verdana"/>
          <w:sz w:val="20"/>
          <w:szCs w:val="20"/>
          <w:lang w:val="es-ES"/>
        </w:rPr>
      </w:pPr>
      <w:r w:rsidRPr="009B3C20">
        <w:rPr>
          <w:rFonts w:ascii="Verdana" w:hAnsi="Verdana"/>
          <w:sz w:val="20"/>
          <w:szCs w:val="20"/>
          <w:lang w:val="es-ES"/>
        </w:rPr>
        <w:t>La</w:t>
      </w:r>
      <w:r w:rsidRPr="009B3C20">
        <w:rPr>
          <w:rFonts w:ascii="Verdana" w:hAnsi="Verdana"/>
          <w:spacing w:val="-11"/>
          <w:sz w:val="20"/>
          <w:szCs w:val="20"/>
          <w:lang w:val="es-ES"/>
        </w:rPr>
        <w:t xml:space="preserve"> </w:t>
      </w:r>
      <w:r w:rsidRPr="009B3C20">
        <w:rPr>
          <w:rFonts w:ascii="Verdana" w:hAnsi="Verdana"/>
          <w:sz w:val="20"/>
          <w:szCs w:val="20"/>
          <w:lang w:val="es-ES"/>
        </w:rPr>
        <w:t>existencia</w:t>
      </w:r>
      <w:r w:rsidRPr="009B3C20">
        <w:rPr>
          <w:rFonts w:ascii="Verdana" w:hAnsi="Verdana"/>
          <w:spacing w:val="-10"/>
          <w:sz w:val="20"/>
          <w:szCs w:val="20"/>
          <w:lang w:val="es-ES"/>
        </w:rPr>
        <w:t xml:space="preserve"> </w:t>
      </w:r>
      <w:r w:rsidRPr="009B3C20">
        <w:rPr>
          <w:rFonts w:ascii="Verdana" w:hAnsi="Verdana"/>
          <w:sz w:val="20"/>
          <w:szCs w:val="20"/>
          <w:lang w:val="es-ES"/>
        </w:rPr>
        <w:t>de</w:t>
      </w:r>
      <w:r w:rsidRPr="009B3C20">
        <w:rPr>
          <w:rFonts w:ascii="Verdana" w:hAnsi="Verdana"/>
          <w:spacing w:val="-6"/>
          <w:sz w:val="20"/>
          <w:szCs w:val="20"/>
          <w:lang w:val="es-ES"/>
        </w:rPr>
        <w:t xml:space="preserve"> </w:t>
      </w:r>
      <w:r w:rsidRPr="009B3C20">
        <w:rPr>
          <w:rFonts w:ascii="Verdana" w:hAnsi="Verdana"/>
          <w:sz w:val="20"/>
          <w:szCs w:val="20"/>
          <w:lang w:val="es-ES"/>
        </w:rPr>
        <w:t>una</w:t>
      </w:r>
      <w:r w:rsidRPr="009B3C20">
        <w:rPr>
          <w:rFonts w:ascii="Verdana" w:hAnsi="Verdana"/>
          <w:spacing w:val="-10"/>
          <w:sz w:val="20"/>
          <w:szCs w:val="20"/>
          <w:lang w:val="es-ES"/>
        </w:rPr>
        <w:t xml:space="preserve"> </w:t>
      </w:r>
      <w:r w:rsidRPr="009B3C20">
        <w:rPr>
          <w:rFonts w:ascii="Verdana" w:hAnsi="Verdana"/>
          <w:sz w:val="20"/>
          <w:szCs w:val="20"/>
          <w:lang w:val="es-ES"/>
        </w:rPr>
        <w:t>relación</w:t>
      </w:r>
      <w:r w:rsidRPr="009B3C20">
        <w:rPr>
          <w:rFonts w:ascii="Verdana" w:hAnsi="Verdana"/>
          <w:spacing w:val="-10"/>
          <w:sz w:val="20"/>
          <w:szCs w:val="20"/>
          <w:lang w:val="es-ES"/>
        </w:rPr>
        <w:t xml:space="preserve"> </w:t>
      </w:r>
      <w:r w:rsidRPr="009B3C20">
        <w:rPr>
          <w:rFonts w:ascii="Verdana" w:hAnsi="Verdana"/>
          <w:sz w:val="20"/>
          <w:szCs w:val="20"/>
          <w:lang w:val="es-ES"/>
        </w:rPr>
        <w:t>laboral</w:t>
      </w:r>
      <w:r w:rsidRPr="009B3C20">
        <w:rPr>
          <w:rFonts w:ascii="Verdana" w:hAnsi="Verdana"/>
          <w:spacing w:val="-10"/>
          <w:sz w:val="20"/>
          <w:szCs w:val="20"/>
          <w:lang w:val="es-ES"/>
        </w:rPr>
        <w:t xml:space="preserve"> </w:t>
      </w:r>
      <w:r w:rsidRPr="009B3C20">
        <w:rPr>
          <w:rFonts w:ascii="Verdana" w:hAnsi="Verdana"/>
          <w:sz w:val="20"/>
          <w:szCs w:val="20"/>
          <w:lang w:val="es-ES"/>
        </w:rPr>
        <w:t>o</w:t>
      </w:r>
      <w:r w:rsidRPr="009B3C20">
        <w:rPr>
          <w:rFonts w:ascii="Verdana" w:hAnsi="Verdana"/>
          <w:spacing w:val="-11"/>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prestación</w:t>
      </w:r>
      <w:r w:rsidRPr="009B3C20">
        <w:rPr>
          <w:rFonts w:ascii="Verdana" w:hAnsi="Verdana"/>
          <w:spacing w:val="-10"/>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servicios</w:t>
      </w:r>
      <w:r w:rsidRPr="009B3C20">
        <w:rPr>
          <w:rFonts w:ascii="Verdana" w:hAnsi="Verdana"/>
          <w:spacing w:val="-11"/>
          <w:sz w:val="20"/>
          <w:szCs w:val="20"/>
          <w:lang w:val="es-ES"/>
        </w:rPr>
        <w:t xml:space="preserve"> </w:t>
      </w:r>
      <w:r w:rsidRPr="009B3C20">
        <w:rPr>
          <w:rFonts w:ascii="Verdana" w:hAnsi="Verdana"/>
          <w:spacing w:val="-5"/>
          <w:sz w:val="20"/>
          <w:szCs w:val="20"/>
          <w:lang w:val="es-ES"/>
        </w:rPr>
        <w:t>y;</w:t>
      </w:r>
    </w:p>
    <w:p w14:paraId="5EB29EB5" w14:textId="77777777" w:rsidR="009B3C20" w:rsidRPr="009B3C20" w:rsidRDefault="009B3C20" w:rsidP="009B3C20">
      <w:pPr>
        <w:widowControl w:val="0"/>
        <w:tabs>
          <w:tab w:val="left" w:pos="1339"/>
        </w:tabs>
        <w:autoSpaceDE w:val="0"/>
        <w:autoSpaceDN w:val="0"/>
        <w:spacing w:after="0" w:line="240" w:lineRule="auto"/>
        <w:ind w:left="709" w:right="709"/>
        <w:contextualSpacing/>
        <w:jc w:val="both"/>
        <w:rPr>
          <w:rFonts w:ascii="Verdana" w:hAnsi="Verdana"/>
          <w:sz w:val="20"/>
          <w:szCs w:val="20"/>
          <w:lang w:val="es-ES"/>
        </w:rPr>
      </w:pPr>
    </w:p>
    <w:p w14:paraId="057F61EB" w14:textId="77777777" w:rsidR="009B3C20" w:rsidRPr="009B3C20" w:rsidRDefault="009B3C20" w:rsidP="009B3C20">
      <w:pPr>
        <w:widowControl w:val="0"/>
        <w:numPr>
          <w:ilvl w:val="1"/>
          <w:numId w:val="28"/>
        </w:numPr>
        <w:tabs>
          <w:tab w:val="left" w:pos="1339"/>
        </w:tabs>
        <w:autoSpaceDE w:val="0"/>
        <w:autoSpaceDN w:val="0"/>
        <w:spacing w:after="0" w:line="240" w:lineRule="auto"/>
        <w:ind w:left="709" w:right="709"/>
        <w:contextualSpacing/>
        <w:jc w:val="both"/>
        <w:rPr>
          <w:rFonts w:ascii="Verdana" w:hAnsi="Verdana"/>
          <w:sz w:val="20"/>
          <w:szCs w:val="20"/>
          <w:lang w:val="es-ES"/>
        </w:rPr>
      </w:pPr>
      <w:r w:rsidRPr="009B3C20">
        <w:rPr>
          <w:rFonts w:ascii="Verdana" w:hAnsi="Verdana"/>
          <w:sz w:val="20"/>
          <w:szCs w:val="20"/>
          <w:lang w:val="es-ES"/>
        </w:rPr>
        <w:t>Que la mujer se encuentra en estado de embarazo o dentro de los tres meses siguientes al parto, en vigencia de dicha relación laboral o de prestación.</w:t>
      </w:r>
    </w:p>
    <w:p w14:paraId="02DC37E3" w14:textId="77777777" w:rsidR="009B3C20" w:rsidRPr="009B3C20" w:rsidRDefault="009B3C20" w:rsidP="009B3C20">
      <w:pPr>
        <w:widowControl w:val="0"/>
        <w:tabs>
          <w:tab w:val="left" w:pos="1339"/>
        </w:tabs>
        <w:autoSpaceDE w:val="0"/>
        <w:autoSpaceDN w:val="0"/>
        <w:spacing w:after="0" w:line="240" w:lineRule="auto"/>
        <w:ind w:left="709" w:right="709"/>
        <w:contextualSpacing/>
        <w:jc w:val="both"/>
        <w:rPr>
          <w:rFonts w:ascii="Verdana" w:hAnsi="Verdana"/>
          <w:sz w:val="20"/>
          <w:szCs w:val="20"/>
          <w:lang w:val="es-ES"/>
        </w:rPr>
      </w:pPr>
    </w:p>
    <w:p w14:paraId="5558A5D4" w14:textId="77777777" w:rsidR="009B3C20" w:rsidRPr="009B3C20" w:rsidRDefault="009B3C20" w:rsidP="009B3C20">
      <w:pPr>
        <w:widowControl w:val="0"/>
        <w:tabs>
          <w:tab w:val="left" w:pos="1339"/>
        </w:tabs>
        <w:autoSpaceDE w:val="0"/>
        <w:autoSpaceDN w:val="0"/>
        <w:spacing w:after="0" w:line="240" w:lineRule="auto"/>
        <w:ind w:left="709" w:right="709"/>
        <w:contextualSpacing/>
        <w:jc w:val="both"/>
        <w:rPr>
          <w:rFonts w:ascii="Verdana" w:hAnsi="Verdana"/>
          <w:sz w:val="20"/>
          <w:szCs w:val="20"/>
          <w:lang w:val="es-ES"/>
        </w:rPr>
      </w:pPr>
      <w:r w:rsidRPr="009B3C20">
        <w:rPr>
          <w:rFonts w:ascii="Verdana" w:hAnsi="Verdana"/>
          <w:sz w:val="20"/>
          <w:szCs w:val="20"/>
          <w:lang w:val="es-ES"/>
        </w:rPr>
        <w:t>No obstante, el alcance de la protección se debe determinar a partir de dos factores:</w:t>
      </w:r>
    </w:p>
    <w:p w14:paraId="44DE8FDB" w14:textId="77777777" w:rsidR="009B3C20" w:rsidRPr="009B3C20" w:rsidRDefault="009B3C20" w:rsidP="009B3C20">
      <w:pPr>
        <w:widowControl w:val="0"/>
        <w:tabs>
          <w:tab w:val="left" w:pos="1339"/>
        </w:tabs>
        <w:autoSpaceDE w:val="0"/>
        <w:autoSpaceDN w:val="0"/>
        <w:spacing w:after="0" w:line="240" w:lineRule="auto"/>
        <w:ind w:left="709" w:right="709"/>
        <w:contextualSpacing/>
        <w:jc w:val="both"/>
        <w:rPr>
          <w:rFonts w:ascii="Verdana" w:hAnsi="Verdana"/>
          <w:sz w:val="20"/>
          <w:szCs w:val="20"/>
          <w:lang w:val="es-ES"/>
        </w:rPr>
      </w:pPr>
    </w:p>
    <w:p w14:paraId="2941AD3C" w14:textId="77777777" w:rsidR="009B3C20" w:rsidRPr="009B3C20" w:rsidRDefault="009B3C20" w:rsidP="009B3C20">
      <w:pPr>
        <w:widowControl w:val="0"/>
        <w:numPr>
          <w:ilvl w:val="0"/>
          <w:numId w:val="29"/>
        </w:numPr>
        <w:tabs>
          <w:tab w:val="left" w:pos="1339"/>
        </w:tabs>
        <w:autoSpaceDE w:val="0"/>
        <w:autoSpaceDN w:val="0"/>
        <w:spacing w:after="0" w:line="240" w:lineRule="auto"/>
        <w:ind w:right="709"/>
        <w:contextualSpacing/>
        <w:jc w:val="both"/>
        <w:rPr>
          <w:rFonts w:ascii="Verdana" w:hAnsi="Verdana"/>
          <w:sz w:val="20"/>
          <w:szCs w:val="20"/>
          <w:lang w:val="es-ES"/>
        </w:rPr>
      </w:pPr>
      <w:r w:rsidRPr="009B3C20">
        <w:rPr>
          <w:rFonts w:ascii="Verdana" w:hAnsi="Verdana"/>
          <w:sz w:val="20"/>
          <w:szCs w:val="20"/>
          <w:lang w:val="es-ES"/>
        </w:rPr>
        <w:t>El conocimiento del embarazo por parte del empleador; y</w:t>
      </w:r>
    </w:p>
    <w:p w14:paraId="579FA71E" w14:textId="77777777" w:rsidR="009B3C20" w:rsidRPr="009B3C20" w:rsidRDefault="009B3C20" w:rsidP="009B3C20">
      <w:pPr>
        <w:widowControl w:val="0"/>
        <w:tabs>
          <w:tab w:val="left" w:pos="1339"/>
        </w:tabs>
        <w:autoSpaceDE w:val="0"/>
        <w:autoSpaceDN w:val="0"/>
        <w:spacing w:after="0" w:line="240" w:lineRule="auto"/>
        <w:ind w:left="709" w:right="709"/>
        <w:contextualSpacing/>
        <w:jc w:val="both"/>
        <w:rPr>
          <w:rFonts w:ascii="Verdana" w:hAnsi="Verdana"/>
          <w:sz w:val="20"/>
          <w:szCs w:val="20"/>
          <w:lang w:val="es-ES"/>
        </w:rPr>
      </w:pPr>
    </w:p>
    <w:p w14:paraId="22DB1F50" w14:textId="77777777" w:rsidR="009B3C20" w:rsidRPr="009B3C20" w:rsidRDefault="009B3C20" w:rsidP="009B3C20">
      <w:pPr>
        <w:widowControl w:val="0"/>
        <w:numPr>
          <w:ilvl w:val="0"/>
          <w:numId w:val="29"/>
        </w:numPr>
        <w:tabs>
          <w:tab w:val="left" w:pos="1339"/>
        </w:tabs>
        <w:autoSpaceDE w:val="0"/>
        <w:autoSpaceDN w:val="0"/>
        <w:spacing w:after="0" w:line="240" w:lineRule="auto"/>
        <w:ind w:right="709"/>
        <w:contextualSpacing/>
        <w:jc w:val="both"/>
        <w:rPr>
          <w:rFonts w:ascii="Verdana" w:hAnsi="Verdana"/>
          <w:sz w:val="20"/>
          <w:szCs w:val="20"/>
          <w:lang w:val="es-ES"/>
        </w:rPr>
      </w:pPr>
      <w:r w:rsidRPr="009B3C20">
        <w:rPr>
          <w:rFonts w:ascii="Verdana" w:hAnsi="Verdana"/>
          <w:sz w:val="20"/>
          <w:szCs w:val="20"/>
          <w:lang w:val="es-ES"/>
        </w:rPr>
        <w:t>La alternativa laboral mediante la cual se encontraba vinculada la mujer embarazada”.</w:t>
      </w:r>
    </w:p>
    <w:p w14:paraId="4B4D0BBD" w14:textId="77777777" w:rsidR="009B3C20" w:rsidRPr="009B3C20" w:rsidRDefault="009B3C20" w:rsidP="009B3C20">
      <w:pPr>
        <w:widowControl w:val="0"/>
        <w:tabs>
          <w:tab w:val="left" w:pos="1339"/>
        </w:tabs>
        <w:autoSpaceDE w:val="0"/>
        <w:autoSpaceDN w:val="0"/>
        <w:spacing w:after="0" w:line="276" w:lineRule="auto"/>
        <w:ind w:left="709" w:right="618"/>
        <w:contextualSpacing/>
        <w:rPr>
          <w:rFonts w:ascii="Verdana" w:hAnsi="Verdana"/>
          <w:lang w:val="es-ES"/>
        </w:rPr>
      </w:pPr>
    </w:p>
    <w:p w14:paraId="65C83D08" w14:textId="77777777" w:rsidR="009B3C20" w:rsidRPr="009B3C20" w:rsidRDefault="009B3C20" w:rsidP="009B3C20">
      <w:pPr>
        <w:widowControl w:val="0"/>
        <w:autoSpaceDE w:val="0"/>
        <w:autoSpaceDN w:val="0"/>
        <w:spacing w:after="0" w:line="276" w:lineRule="auto"/>
        <w:ind w:right="49" w:firstLine="709"/>
        <w:jc w:val="both"/>
        <w:rPr>
          <w:rFonts w:ascii="Verdana" w:eastAsia="Arial" w:hAnsi="Verdana" w:cs="Arial"/>
          <w:lang w:val="es-ES"/>
        </w:rPr>
      </w:pPr>
      <w:r w:rsidRPr="009B3C20">
        <w:rPr>
          <w:rFonts w:ascii="Verdana" w:eastAsia="Arial" w:hAnsi="Verdana" w:cs="Arial"/>
          <w:lang w:val="es-ES"/>
        </w:rPr>
        <w:t>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w:t>
      </w:r>
    </w:p>
    <w:p w14:paraId="4DDA40E9" w14:textId="77777777" w:rsidR="009B3C20" w:rsidRPr="009B3C20" w:rsidRDefault="009B3C20" w:rsidP="009B3C20">
      <w:pPr>
        <w:widowControl w:val="0"/>
        <w:autoSpaceDE w:val="0"/>
        <w:autoSpaceDN w:val="0"/>
        <w:spacing w:after="0" w:line="276" w:lineRule="auto"/>
        <w:ind w:right="49" w:firstLine="709"/>
        <w:jc w:val="both"/>
        <w:rPr>
          <w:rFonts w:ascii="Verdana" w:eastAsia="Arial" w:hAnsi="Verdana" w:cs="Arial"/>
          <w:lang w:val="es-ES"/>
        </w:rPr>
      </w:pPr>
    </w:p>
    <w:p w14:paraId="48F8FECA" w14:textId="45DB79FC" w:rsidR="009B3C20" w:rsidRPr="009B3C20" w:rsidRDefault="001A3A16" w:rsidP="009B3C20">
      <w:pPr>
        <w:spacing w:after="0" w:line="240" w:lineRule="auto"/>
        <w:ind w:left="709" w:right="709"/>
        <w:jc w:val="both"/>
        <w:rPr>
          <w:rFonts w:ascii="Verdana" w:hAnsi="Verdana"/>
          <w:sz w:val="20"/>
          <w:szCs w:val="20"/>
        </w:rPr>
      </w:pPr>
      <w:r>
        <w:rPr>
          <w:rFonts w:ascii="Verdana" w:hAnsi="Verdana"/>
          <w:sz w:val="20"/>
          <w:szCs w:val="20"/>
        </w:rPr>
        <w:t>“[…]</w:t>
      </w:r>
      <w:r w:rsidR="009B3C20" w:rsidRPr="009B3C20">
        <w:rPr>
          <w:rFonts w:ascii="Verdana" w:hAnsi="Verdana"/>
          <w:sz w:val="20"/>
          <w:szCs w:val="20"/>
        </w:rPr>
        <w:t xml:space="preserve">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w:t>
      </w:r>
      <w:r w:rsidR="009B3C20" w:rsidRPr="009B3C20">
        <w:rPr>
          <w:rFonts w:ascii="Verdana" w:hAnsi="Verdana"/>
          <w:sz w:val="20"/>
          <w:szCs w:val="20"/>
        </w:rPr>
        <w:lastRenderedPageBreak/>
        <w:t>temporal, cuya duración es por un tiempo limitado, que es además el indispensable para ejecutar e</w:t>
      </w:r>
      <w:r>
        <w:rPr>
          <w:rFonts w:ascii="Verdana" w:hAnsi="Verdana"/>
          <w:sz w:val="20"/>
          <w:szCs w:val="20"/>
        </w:rPr>
        <w:t>l objeto contractual convenido […]</w:t>
      </w:r>
      <w:r w:rsidR="009B3C20" w:rsidRPr="009B3C20">
        <w:rPr>
          <w:rFonts w:ascii="Verdana" w:hAnsi="Verdana"/>
          <w:sz w:val="20"/>
          <w:szCs w:val="20"/>
        </w:rPr>
        <w:t>”.</w:t>
      </w:r>
    </w:p>
    <w:p w14:paraId="1353648D" w14:textId="77777777" w:rsidR="009B3C20" w:rsidRPr="009B3C20" w:rsidRDefault="009B3C20" w:rsidP="009B3C20">
      <w:pPr>
        <w:spacing w:after="0" w:line="240" w:lineRule="auto"/>
        <w:ind w:left="709" w:right="709"/>
        <w:jc w:val="both"/>
        <w:rPr>
          <w:rFonts w:ascii="Verdana" w:hAnsi="Verdana"/>
          <w:sz w:val="20"/>
          <w:szCs w:val="20"/>
        </w:rPr>
      </w:pPr>
    </w:p>
    <w:p w14:paraId="01452E8C" w14:textId="77777777" w:rsidR="009B3C20" w:rsidRPr="009B3C20" w:rsidRDefault="009B3C20" w:rsidP="009B3C20">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5617629C" w14:textId="6010131C" w:rsidR="009B3C20" w:rsidRPr="009B3C20" w:rsidRDefault="009B3C20" w:rsidP="009B3C20">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Asimismo, se resalta que el Alto </w:t>
      </w:r>
      <w:r w:rsidR="001A3A16">
        <w:rPr>
          <w:rFonts w:ascii="Verdana" w:eastAsia="Arial" w:hAnsi="Verdana" w:cs="Arial"/>
          <w:lang w:val="es-ES"/>
        </w:rPr>
        <w:t>Tribunal Constitucional, en la S</w:t>
      </w:r>
      <w:r w:rsidRPr="009B3C20">
        <w:rPr>
          <w:rFonts w:ascii="Verdana" w:eastAsia="Arial" w:hAnsi="Verdana" w:cs="Arial"/>
          <w:lang w:val="es-ES"/>
        </w:rPr>
        <w:t>entencia T-743 de 2017</w:t>
      </w:r>
      <w:r w:rsidRPr="009B3C20">
        <w:rPr>
          <w:rFonts w:ascii="Verdana" w:eastAsia="Arial" w:hAnsi="Verdana" w:cs="Arial"/>
          <w:vertAlign w:val="superscript"/>
          <w:lang w:val="es-ES"/>
        </w:rPr>
        <w:footnoteReference w:id="17"/>
      </w:r>
      <w:r w:rsidRPr="009B3C20">
        <w:rPr>
          <w:rFonts w:ascii="Verdana" w:eastAsia="Arial" w:hAnsi="Verdana" w:cs="Arial"/>
          <w:lang w:val="es-ES"/>
        </w:rPr>
        <w:t>, reiteró que la protección a la mujer en estado de embarazo, en licencia de maternidad y en periodo de lactancia está sustentada en cuatro presupuestos de origen constitucional: i) el deber de protección especial a la mujer gestante, ii) la contención de prácticas discriminatorias en el escenario laboral contra la mujer con ocasión del estado de embarazo, iii) la protección a la vida y a la mujer como su gestora y iv) la relevancia de la familia en el ordenamiento social colombiano.</w:t>
      </w:r>
    </w:p>
    <w:p w14:paraId="5A2EEBE3" w14:textId="30CC420C" w:rsidR="009B3C20" w:rsidRPr="009B3C20" w:rsidRDefault="009B3C20" w:rsidP="009B3C20">
      <w:pPr>
        <w:widowControl w:val="0"/>
        <w:autoSpaceDE w:val="0"/>
        <w:autoSpaceDN w:val="0"/>
        <w:spacing w:after="0" w:line="276" w:lineRule="auto"/>
        <w:ind w:firstLine="709"/>
        <w:jc w:val="both"/>
        <w:rPr>
          <w:rFonts w:ascii="Verdana" w:eastAsia="Arial" w:hAnsi="Verdana" w:cs="Arial"/>
          <w:lang w:val="es-ES"/>
        </w:rPr>
      </w:pPr>
      <w:r w:rsidRPr="009B3C20">
        <w:rPr>
          <w:rFonts w:ascii="Verdana" w:eastAsia="Arial" w:hAnsi="Verdana" w:cs="Arial"/>
          <w:lang w:val="es-ES"/>
        </w:rPr>
        <w:t>Adicionalmente, la Co</w:t>
      </w:r>
      <w:r w:rsidR="001A3A16">
        <w:rPr>
          <w:rFonts w:ascii="Verdana" w:eastAsia="Arial" w:hAnsi="Verdana" w:cs="Arial"/>
          <w:lang w:val="es-ES"/>
        </w:rPr>
        <w:t>rte Constitucional profirió la S</w:t>
      </w:r>
      <w:r w:rsidRPr="009B3C20">
        <w:rPr>
          <w:rFonts w:ascii="Verdana" w:eastAsia="Arial" w:hAnsi="Verdana" w:cs="Arial"/>
          <w:lang w:val="es-ES"/>
        </w:rPr>
        <w:t>entencia T-329 de 2022</w:t>
      </w:r>
      <w:r w:rsidRPr="009B3C20">
        <w:rPr>
          <w:rFonts w:ascii="Verdana" w:eastAsia="Arial" w:hAnsi="Verdana" w:cs="Arial"/>
          <w:vertAlign w:val="superscript"/>
          <w:lang w:val="es-ES"/>
        </w:rPr>
        <w:footnoteReference w:id="18"/>
      </w:r>
      <w:r w:rsidRPr="009B3C20">
        <w:rPr>
          <w:rFonts w:ascii="Verdana" w:eastAsia="Arial" w:hAnsi="Verdana" w:cs="Arial"/>
          <w:lang w:val="es-ES"/>
        </w:rPr>
        <w:t>, con ponencia de la magistrada Natalia Ángel Cabo, en la cual reiteró el precedente sobre la protección de la mujer embarazada y en período de lactancia en contratos de prestación de servicios establecido en la Sentencia SU-070 de 2013</w:t>
      </w:r>
      <w:r w:rsidRPr="009B3C20">
        <w:rPr>
          <w:rFonts w:ascii="Verdana" w:eastAsia="Arial" w:hAnsi="Verdana" w:cs="Arial"/>
          <w:vertAlign w:val="superscript"/>
          <w:lang w:val="es-ES"/>
        </w:rPr>
        <w:footnoteReference w:id="19"/>
      </w:r>
      <w:r w:rsidRPr="009B3C20">
        <w:rPr>
          <w:rFonts w:ascii="Verdana" w:eastAsia="Arial" w:hAnsi="Verdana" w:cs="Arial"/>
          <w:lang w:val="es-ES"/>
        </w:rPr>
        <w:t>, al indicar lo siguiente:</w:t>
      </w:r>
    </w:p>
    <w:p w14:paraId="551C5A60" w14:textId="77777777" w:rsidR="009B3C20" w:rsidRPr="009B3C20" w:rsidRDefault="009B3C20" w:rsidP="009B3C20">
      <w:pPr>
        <w:widowControl w:val="0"/>
        <w:autoSpaceDE w:val="0"/>
        <w:autoSpaceDN w:val="0"/>
        <w:spacing w:after="0" w:line="276" w:lineRule="auto"/>
        <w:ind w:firstLine="709"/>
        <w:jc w:val="both"/>
        <w:rPr>
          <w:rFonts w:ascii="Verdana" w:eastAsia="Arial" w:hAnsi="Verdana" w:cs="Arial"/>
          <w:lang w:val="es-ES"/>
        </w:rPr>
      </w:pPr>
    </w:p>
    <w:p w14:paraId="3BC3F8D4" w14:textId="77777777" w:rsidR="009B3C20" w:rsidRPr="009B3C20" w:rsidRDefault="009B3C20" w:rsidP="009B3C20">
      <w:pPr>
        <w:widowControl w:val="0"/>
        <w:autoSpaceDE w:val="0"/>
        <w:autoSpaceDN w:val="0"/>
        <w:spacing w:after="0" w:line="240" w:lineRule="auto"/>
        <w:ind w:left="709" w:right="709"/>
        <w:jc w:val="both"/>
        <w:rPr>
          <w:rFonts w:ascii="Verdana" w:eastAsiaTheme="minorEastAsia" w:hAnsi="Verdana" w:cs="Arial"/>
          <w:sz w:val="20"/>
          <w:szCs w:val="20"/>
          <w:lang w:val="es-ES"/>
        </w:rPr>
      </w:pPr>
      <w:r w:rsidRPr="009B3C20">
        <w:rPr>
          <w:rFonts w:ascii="Verdana" w:eastAsiaTheme="minorEastAsia" w:hAnsi="Verdana" w:cs="Arial"/>
          <w:sz w:val="20"/>
          <w:szCs w:val="20"/>
          <w:lang w:val="es-ES"/>
        </w:rPr>
        <w:t xml:space="preserve">“[…]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w:t>
      </w:r>
      <w:r w:rsidRPr="009B3C20">
        <w:rPr>
          <w:rFonts w:ascii="Verdana" w:eastAsiaTheme="minorEastAsia" w:hAnsi="Verdana" w:cs="Arial"/>
          <w:sz w:val="20"/>
          <w:szCs w:val="20"/>
          <w:lang w:val="es-ES"/>
        </w:rPr>
        <w:lastRenderedPageBreak/>
        <w:t>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682DC2B1" w14:textId="77777777" w:rsidR="009B3C20" w:rsidRPr="009B3C20" w:rsidRDefault="009B3C20" w:rsidP="009B3C20">
      <w:pPr>
        <w:widowControl w:val="0"/>
        <w:autoSpaceDE w:val="0"/>
        <w:autoSpaceDN w:val="0"/>
        <w:spacing w:after="0" w:line="276" w:lineRule="auto"/>
        <w:ind w:left="709" w:right="709"/>
        <w:jc w:val="both"/>
        <w:rPr>
          <w:rFonts w:ascii="Verdana" w:eastAsiaTheme="minorEastAsia" w:hAnsi="Verdana" w:cs="Arial"/>
          <w:lang w:val="es-ES"/>
        </w:rPr>
      </w:pPr>
    </w:p>
    <w:p w14:paraId="3E92ECCC" w14:textId="77777777" w:rsidR="009B3C20" w:rsidRPr="009B3C20" w:rsidRDefault="009B3C20" w:rsidP="009B3C20">
      <w:pPr>
        <w:widowControl w:val="0"/>
        <w:autoSpaceDE w:val="0"/>
        <w:autoSpaceDN w:val="0"/>
        <w:spacing w:after="0" w:line="276" w:lineRule="auto"/>
        <w:ind w:right="49" w:firstLine="709"/>
        <w:jc w:val="both"/>
        <w:rPr>
          <w:rFonts w:ascii="Verdana" w:eastAsia="Arial" w:hAnsi="Verdana" w:cs="Arial"/>
          <w:lang w:val="es-ES"/>
        </w:rPr>
      </w:pPr>
      <w:r w:rsidRPr="009B3C20">
        <w:rPr>
          <w:rFonts w:ascii="Verdana" w:eastAsia="Arial" w:hAnsi="Verdana" w:cs="Arial"/>
          <w:lang w:val="es-ES"/>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2593288D" w14:textId="77777777" w:rsidR="009B3C20" w:rsidRPr="009B3C20" w:rsidRDefault="009B3C20" w:rsidP="009B3C20">
      <w:pPr>
        <w:widowControl w:val="0"/>
        <w:autoSpaceDE w:val="0"/>
        <w:autoSpaceDN w:val="0"/>
        <w:spacing w:after="0" w:line="276" w:lineRule="auto"/>
        <w:ind w:right="49" w:firstLine="709"/>
        <w:jc w:val="both"/>
        <w:rPr>
          <w:rFonts w:ascii="Verdana" w:eastAsia="Arial" w:hAnsi="Verdana" w:cs="Arial"/>
          <w:lang w:val="es-ES"/>
        </w:rPr>
      </w:pPr>
    </w:p>
    <w:p w14:paraId="198765EB" w14:textId="77777777" w:rsidR="009B3C20" w:rsidRPr="009B3C20" w:rsidRDefault="009B3C20" w:rsidP="009B3C20">
      <w:pPr>
        <w:widowControl w:val="0"/>
        <w:autoSpaceDE w:val="0"/>
        <w:autoSpaceDN w:val="0"/>
        <w:spacing w:after="0" w:line="240" w:lineRule="auto"/>
        <w:ind w:left="709" w:right="709"/>
        <w:jc w:val="both"/>
        <w:rPr>
          <w:rFonts w:ascii="Verdana" w:eastAsia="Arial" w:hAnsi="Verdana" w:cs="Arial"/>
          <w:spacing w:val="-2"/>
          <w:sz w:val="20"/>
          <w:szCs w:val="20"/>
          <w:lang w:val="es-ES"/>
        </w:rPr>
      </w:pPr>
      <w:r w:rsidRPr="009B3C20">
        <w:rPr>
          <w:rFonts w:ascii="Verdana" w:eastAsia="Arial" w:hAnsi="Verdana" w:cs="Arial"/>
          <w:sz w:val="20"/>
          <w:szCs w:val="20"/>
          <w:lang w:val="es-ES"/>
        </w:rPr>
        <w:t xml:space="preserve">“(i) la protección de la mujer gestante o en periodo de lactancia se deriva de, entre otros, los artículos 43, 53 y 13 de la Constitución Nacional; (ii) la Sentencia SU-070 de 2013 reiteró la protección a la mujer embarazada en todas las alternativas laborales o de trabajo en las que se incluye el contrato de prestación de servicios; (iii)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(iv) las salas de revisión de la Corte Constitucional reconocen la protección derivada del fuero de maternidad en los contratos de prestación de </w:t>
      </w:r>
      <w:r w:rsidRPr="009B3C20">
        <w:rPr>
          <w:rFonts w:ascii="Verdana" w:eastAsia="Arial" w:hAnsi="Verdana" w:cs="Arial"/>
          <w:spacing w:val="-2"/>
          <w:sz w:val="20"/>
          <w:szCs w:val="20"/>
          <w:lang w:val="es-ES"/>
        </w:rPr>
        <w:t>servicios”</w:t>
      </w:r>
      <w:r w:rsidRPr="009B3C20">
        <w:rPr>
          <w:rFonts w:ascii="Verdana" w:eastAsia="Arial" w:hAnsi="Verdana" w:cs="Arial"/>
          <w:spacing w:val="-2"/>
          <w:sz w:val="20"/>
          <w:szCs w:val="20"/>
          <w:vertAlign w:val="superscript"/>
          <w:lang w:val="es-ES"/>
        </w:rPr>
        <w:footnoteReference w:id="20"/>
      </w:r>
      <w:r w:rsidRPr="009B3C20">
        <w:rPr>
          <w:rFonts w:ascii="Verdana" w:eastAsia="Arial" w:hAnsi="Verdana" w:cs="Arial"/>
          <w:spacing w:val="-2"/>
          <w:sz w:val="20"/>
          <w:szCs w:val="20"/>
          <w:lang w:val="es-ES"/>
        </w:rPr>
        <w:t>.</w:t>
      </w:r>
    </w:p>
    <w:p w14:paraId="7A5DA0CA" w14:textId="77777777" w:rsidR="009B3C20" w:rsidRPr="009B3C20" w:rsidRDefault="009B3C20" w:rsidP="009B3C20">
      <w:pPr>
        <w:widowControl w:val="0"/>
        <w:autoSpaceDE w:val="0"/>
        <w:autoSpaceDN w:val="0"/>
        <w:spacing w:after="0" w:line="276" w:lineRule="auto"/>
        <w:ind w:left="709" w:right="709"/>
        <w:jc w:val="both"/>
        <w:rPr>
          <w:rFonts w:ascii="Verdana" w:eastAsia="Arial" w:hAnsi="Verdana" w:cs="Arial"/>
          <w:spacing w:val="-2"/>
          <w:sz w:val="20"/>
          <w:szCs w:val="20"/>
          <w:lang w:val="es-ES"/>
        </w:rPr>
      </w:pPr>
    </w:p>
    <w:p w14:paraId="74EE5CF7" w14:textId="77777777" w:rsidR="009B3C20" w:rsidRPr="009B3C20" w:rsidRDefault="009B3C20" w:rsidP="009B3C20">
      <w:pPr>
        <w:widowControl w:val="0"/>
        <w:autoSpaceDE w:val="0"/>
        <w:autoSpaceDN w:val="0"/>
        <w:spacing w:after="0" w:line="276" w:lineRule="auto"/>
        <w:ind w:right="51" w:firstLine="709"/>
        <w:jc w:val="both"/>
        <w:rPr>
          <w:rFonts w:ascii="Verdana" w:eastAsia="Arial" w:hAnsi="Verdana" w:cs="Arial"/>
          <w:lang w:val="es-ES"/>
        </w:rPr>
      </w:pPr>
      <w:r w:rsidRPr="009B3C20">
        <w:rPr>
          <w:rFonts w:ascii="Verdana" w:eastAsia="Arial" w:hAnsi="Verdana" w:cs="Arial"/>
          <w:lang w:val="es-ES"/>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77716C09" w14:textId="77777777" w:rsidR="009B3C20" w:rsidRPr="009B3C20" w:rsidRDefault="009B3C20" w:rsidP="009B3C20">
      <w:pPr>
        <w:widowControl w:val="0"/>
        <w:autoSpaceDE w:val="0"/>
        <w:autoSpaceDN w:val="0"/>
        <w:spacing w:after="0" w:line="276" w:lineRule="auto"/>
        <w:ind w:right="49" w:firstLine="709"/>
        <w:jc w:val="both"/>
        <w:rPr>
          <w:rFonts w:ascii="Verdana" w:eastAsia="Arial" w:hAnsi="Verdana" w:cs="Arial"/>
          <w:lang w:val="es-ES"/>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2689"/>
        <w:gridCol w:w="6148"/>
      </w:tblGrid>
      <w:tr w:rsidR="009B3C20" w:rsidRPr="009B3C20" w14:paraId="3E40D4BA" w14:textId="77777777" w:rsidTr="009B3C20">
        <w:trPr>
          <w:trHeight w:val="729"/>
          <w:jc w:val="center"/>
        </w:trPr>
        <w:tc>
          <w:tcPr>
            <w:tcW w:w="2689" w:type="dxa"/>
            <w:tcBorders>
              <w:bottom w:val="single" w:sz="4" w:space="0" w:color="auto"/>
            </w:tcBorders>
            <w:shd w:val="clear" w:color="auto" w:fill="D9E2F3" w:themeFill="accent1" w:themeFillTint="33"/>
            <w:vAlign w:val="center"/>
          </w:tcPr>
          <w:p w14:paraId="554A7C4C" w14:textId="77777777" w:rsidR="009B3C20" w:rsidRPr="009B3C20" w:rsidRDefault="009B3C20" w:rsidP="009B3C20">
            <w:pPr>
              <w:ind w:left="438" w:right="428" w:firstLine="58"/>
              <w:jc w:val="center"/>
              <w:rPr>
                <w:rFonts w:ascii="Verdana" w:eastAsia="Calibri" w:hAnsi="Verdana" w:cs="Calibri"/>
                <w:b/>
                <w:sz w:val="20"/>
                <w:szCs w:val="20"/>
              </w:rPr>
            </w:pPr>
            <w:r w:rsidRPr="009B3C20">
              <w:rPr>
                <w:rFonts w:ascii="Verdana" w:eastAsia="Calibri" w:hAnsi="Verdana" w:cs="Calibri"/>
                <w:b/>
                <w:sz w:val="20"/>
                <w:szCs w:val="20"/>
              </w:rPr>
              <w:t xml:space="preserve">Tipo de </w:t>
            </w:r>
            <w:r w:rsidRPr="009B3C20">
              <w:rPr>
                <w:rFonts w:ascii="Verdana" w:eastAsia="Calibri" w:hAnsi="Verdana" w:cs="Calibri"/>
                <w:b/>
                <w:spacing w:val="-2"/>
                <w:sz w:val="20"/>
                <w:szCs w:val="20"/>
              </w:rPr>
              <w:t>relación material</w:t>
            </w:r>
          </w:p>
        </w:tc>
        <w:tc>
          <w:tcPr>
            <w:tcW w:w="6148" w:type="dxa"/>
            <w:tcBorders>
              <w:bottom w:val="single" w:sz="4" w:space="0" w:color="auto"/>
            </w:tcBorders>
            <w:shd w:val="clear" w:color="auto" w:fill="D9E2F3" w:themeFill="accent1" w:themeFillTint="33"/>
            <w:vAlign w:val="center"/>
          </w:tcPr>
          <w:p w14:paraId="258F4029" w14:textId="77777777" w:rsidR="009B3C20" w:rsidRPr="009B3C20" w:rsidRDefault="009B3C20" w:rsidP="009B3C20">
            <w:pPr>
              <w:ind w:left="119"/>
              <w:jc w:val="center"/>
              <w:rPr>
                <w:rFonts w:ascii="Verdana" w:eastAsia="Calibri" w:hAnsi="Verdana" w:cs="Calibri"/>
                <w:sz w:val="20"/>
                <w:szCs w:val="20"/>
              </w:rPr>
            </w:pPr>
          </w:p>
          <w:p w14:paraId="039D227D" w14:textId="77777777" w:rsidR="009B3C20" w:rsidRPr="009B3C20" w:rsidRDefault="009B3C20" w:rsidP="009B3C20">
            <w:pPr>
              <w:ind w:left="4"/>
              <w:jc w:val="center"/>
              <w:rPr>
                <w:rFonts w:ascii="Verdana" w:eastAsia="Calibri" w:hAnsi="Verdana" w:cs="Calibri"/>
                <w:b/>
                <w:sz w:val="20"/>
                <w:szCs w:val="20"/>
              </w:rPr>
            </w:pPr>
            <w:r w:rsidRPr="009B3C20">
              <w:rPr>
                <w:rFonts w:ascii="Verdana" w:eastAsia="Calibri" w:hAnsi="Verdana" w:cs="Calibri"/>
                <w:b/>
                <w:sz w:val="20"/>
                <w:szCs w:val="20"/>
              </w:rPr>
              <w:t>Alcance</w:t>
            </w:r>
            <w:r w:rsidRPr="009B3C20">
              <w:rPr>
                <w:rFonts w:ascii="Verdana" w:eastAsia="Calibri" w:hAnsi="Verdana" w:cs="Calibri"/>
                <w:b/>
                <w:spacing w:val="-9"/>
                <w:sz w:val="20"/>
                <w:szCs w:val="20"/>
              </w:rPr>
              <w:t xml:space="preserve"> </w:t>
            </w:r>
            <w:r w:rsidRPr="009B3C20">
              <w:rPr>
                <w:rFonts w:ascii="Verdana" w:eastAsia="Calibri" w:hAnsi="Verdana" w:cs="Calibri"/>
                <w:b/>
                <w:sz w:val="20"/>
                <w:szCs w:val="20"/>
              </w:rPr>
              <w:t>de</w:t>
            </w:r>
            <w:r w:rsidRPr="009B3C20">
              <w:rPr>
                <w:rFonts w:ascii="Verdana" w:eastAsia="Calibri" w:hAnsi="Verdana" w:cs="Calibri"/>
                <w:b/>
                <w:spacing w:val="-8"/>
                <w:sz w:val="20"/>
                <w:szCs w:val="20"/>
              </w:rPr>
              <w:t xml:space="preserve"> </w:t>
            </w:r>
            <w:r w:rsidRPr="009B3C20">
              <w:rPr>
                <w:rFonts w:ascii="Verdana" w:eastAsia="Calibri" w:hAnsi="Verdana" w:cs="Calibri"/>
                <w:b/>
                <w:sz w:val="20"/>
                <w:szCs w:val="20"/>
              </w:rPr>
              <w:t>la</w:t>
            </w:r>
            <w:r w:rsidRPr="009B3C20">
              <w:rPr>
                <w:rFonts w:ascii="Verdana" w:eastAsia="Calibri" w:hAnsi="Verdana" w:cs="Calibri"/>
                <w:b/>
                <w:spacing w:val="-8"/>
                <w:sz w:val="20"/>
                <w:szCs w:val="20"/>
              </w:rPr>
              <w:t xml:space="preserve"> </w:t>
            </w:r>
            <w:r w:rsidRPr="009B3C20">
              <w:rPr>
                <w:rFonts w:ascii="Verdana" w:eastAsia="Calibri" w:hAnsi="Verdana" w:cs="Calibri"/>
                <w:b/>
                <w:spacing w:val="-2"/>
                <w:sz w:val="20"/>
                <w:szCs w:val="20"/>
              </w:rPr>
              <w:t>protección</w:t>
            </w:r>
          </w:p>
        </w:tc>
      </w:tr>
      <w:tr w:rsidR="009B3C20" w:rsidRPr="009B3C20" w14:paraId="71309178" w14:textId="77777777" w:rsidTr="009B3C2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2689" w:type="dxa"/>
            <w:tcBorders>
              <w:top w:val="single" w:sz="4" w:space="0" w:color="auto"/>
              <w:left w:val="single" w:sz="4" w:space="0" w:color="auto"/>
              <w:bottom w:val="nil"/>
              <w:right w:val="single" w:sz="4" w:space="0" w:color="auto"/>
            </w:tcBorders>
            <w:vAlign w:val="center"/>
          </w:tcPr>
          <w:p w14:paraId="582DA9B4" w14:textId="77777777" w:rsidR="009B3C20" w:rsidRPr="009B3C20" w:rsidRDefault="009B3C20" w:rsidP="009B3C20">
            <w:pPr>
              <w:ind w:left="89" w:right="80"/>
              <w:jc w:val="center"/>
              <w:rPr>
                <w:rFonts w:ascii="Verdana" w:eastAsia="Calibri" w:hAnsi="Verdana" w:cs="Calibri"/>
                <w:b/>
                <w:sz w:val="20"/>
                <w:szCs w:val="20"/>
                <w:lang w:val="es-CO"/>
              </w:rPr>
            </w:pPr>
          </w:p>
          <w:p w14:paraId="6AD438D4" w14:textId="77777777" w:rsidR="009B3C20" w:rsidRPr="009B3C20" w:rsidRDefault="009B3C20" w:rsidP="009B3C20">
            <w:pPr>
              <w:ind w:left="89" w:right="80"/>
              <w:jc w:val="center"/>
              <w:rPr>
                <w:rFonts w:ascii="Verdana" w:eastAsia="Calibri" w:hAnsi="Verdana" w:cs="Calibri"/>
                <w:b/>
                <w:sz w:val="20"/>
                <w:szCs w:val="20"/>
                <w:lang w:val="es-CO"/>
              </w:rPr>
            </w:pPr>
            <w:r w:rsidRPr="009B3C20">
              <w:rPr>
                <w:rFonts w:ascii="Verdana" w:eastAsia="Calibri" w:hAnsi="Verdana" w:cs="Calibri"/>
                <w:b/>
                <w:sz w:val="20"/>
                <w:szCs w:val="20"/>
                <w:lang w:val="es-CO"/>
              </w:rPr>
              <w:t>Se</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configura un contrato </w:t>
            </w:r>
            <w:r w:rsidRPr="009B3C20">
              <w:rPr>
                <w:rFonts w:ascii="Verdana" w:eastAsia="Calibri" w:hAnsi="Verdana" w:cs="Calibri"/>
                <w:b/>
                <w:spacing w:val="-2"/>
                <w:sz w:val="20"/>
                <w:szCs w:val="20"/>
                <w:lang w:val="es-CO"/>
              </w:rPr>
              <w:t>realidad</w:t>
            </w:r>
          </w:p>
        </w:tc>
        <w:tc>
          <w:tcPr>
            <w:tcW w:w="6148" w:type="dxa"/>
            <w:tcBorders>
              <w:top w:val="single" w:sz="4" w:space="0" w:color="auto"/>
              <w:left w:val="single" w:sz="4" w:space="0" w:color="auto"/>
              <w:bottom w:val="nil"/>
              <w:right w:val="single" w:sz="4" w:space="0" w:color="auto"/>
            </w:tcBorders>
          </w:tcPr>
          <w:p w14:paraId="6A950012" w14:textId="77777777" w:rsidR="009B3C20" w:rsidRPr="009B3C20" w:rsidRDefault="009B3C20" w:rsidP="009B3C20">
            <w:pPr>
              <w:ind w:left="108" w:right="95"/>
              <w:jc w:val="both"/>
              <w:rPr>
                <w:rFonts w:ascii="Verdana" w:eastAsia="Calibri" w:hAnsi="Verdana" w:cs="Calibri"/>
                <w:sz w:val="20"/>
                <w:szCs w:val="20"/>
                <w:lang w:val="es-CO"/>
              </w:rPr>
            </w:pPr>
            <w:r w:rsidRPr="009B3C20">
              <w:rPr>
                <w:rFonts w:ascii="Verdana" w:eastAsia="Calibri" w:hAnsi="Verdana" w:cs="Calibri"/>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009B3C20">
              <w:rPr>
                <w:rFonts w:ascii="Verdana" w:eastAsia="Calibri" w:hAnsi="Verdana" w:cs="Calibri"/>
                <w:sz w:val="20"/>
                <w:szCs w:val="20"/>
                <w:vertAlign w:val="superscript"/>
              </w:rPr>
              <w:footnoteReference w:id="21"/>
            </w:r>
            <w:r w:rsidRPr="009B3C20">
              <w:rPr>
                <w:rFonts w:ascii="Verdana" w:eastAsia="Calibri" w:hAnsi="Verdana" w:cs="Calibri"/>
                <w:sz w:val="20"/>
                <w:szCs w:val="20"/>
                <w:lang w:val="es-CO"/>
              </w:rPr>
              <w:t>.</w:t>
            </w:r>
          </w:p>
        </w:tc>
      </w:tr>
      <w:tr w:rsidR="009B3C20" w:rsidRPr="009B3C20" w14:paraId="1629A873" w14:textId="77777777" w:rsidTr="009B3C20">
        <w:trPr>
          <w:trHeight w:val="267"/>
          <w:jc w:val="center"/>
        </w:trPr>
        <w:tc>
          <w:tcPr>
            <w:tcW w:w="2689" w:type="dxa"/>
            <w:tcBorders>
              <w:top w:val="nil"/>
              <w:left w:val="nil"/>
              <w:bottom w:val="nil"/>
              <w:right w:val="nil"/>
            </w:tcBorders>
          </w:tcPr>
          <w:p w14:paraId="6F49AE1D" w14:textId="77777777" w:rsidR="009B3C20" w:rsidRPr="009B3C20" w:rsidRDefault="009B3C20" w:rsidP="009B3C20">
            <w:pPr>
              <w:ind w:left="119"/>
              <w:rPr>
                <w:rFonts w:ascii="Verdana" w:eastAsia="Calibri" w:hAnsi="Verdana" w:cs="Calibri"/>
                <w:sz w:val="20"/>
                <w:szCs w:val="20"/>
                <w:lang w:val="es-CO"/>
              </w:rPr>
            </w:pPr>
          </w:p>
          <w:p w14:paraId="78A982BF" w14:textId="77777777" w:rsidR="009B3C20" w:rsidRPr="009B3C20" w:rsidRDefault="009B3C20" w:rsidP="009B3C20">
            <w:pPr>
              <w:ind w:left="119"/>
              <w:rPr>
                <w:rFonts w:ascii="Verdana" w:eastAsia="Calibri" w:hAnsi="Verdana" w:cs="Calibri"/>
                <w:sz w:val="20"/>
                <w:szCs w:val="20"/>
                <w:lang w:val="es-CO"/>
              </w:rPr>
            </w:pPr>
          </w:p>
          <w:p w14:paraId="1A09CF1A" w14:textId="77777777" w:rsidR="009B3C20" w:rsidRPr="009B3C20" w:rsidRDefault="009B3C20" w:rsidP="009B3C20">
            <w:pPr>
              <w:ind w:left="119"/>
              <w:rPr>
                <w:rFonts w:ascii="Verdana" w:eastAsia="Calibri" w:hAnsi="Verdana" w:cs="Calibri"/>
                <w:sz w:val="20"/>
                <w:szCs w:val="20"/>
                <w:lang w:val="es-CO"/>
              </w:rPr>
            </w:pPr>
          </w:p>
          <w:p w14:paraId="055AD9B6" w14:textId="77777777" w:rsidR="009B3C20" w:rsidRPr="009B3C20" w:rsidRDefault="009B3C20" w:rsidP="009B3C20">
            <w:pPr>
              <w:ind w:left="119"/>
              <w:rPr>
                <w:rFonts w:ascii="Verdana" w:eastAsia="Calibri" w:hAnsi="Verdana" w:cs="Calibri"/>
                <w:sz w:val="20"/>
                <w:szCs w:val="20"/>
                <w:lang w:val="es-CO"/>
              </w:rPr>
            </w:pPr>
          </w:p>
          <w:p w14:paraId="095ED69D" w14:textId="77777777" w:rsidR="009B3C20" w:rsidRPr="009B3C20" w:rsidRDefault="009B3C20" w:rsidP="009B3C20">
            <w:pPr>
              <w:ind w:left="119"/>
              <w:rPr>
                <w:rFonts w:ascii="Verdana" w:eastAsia="Calibri" w:hAnsi="Verdana" w:cs="Calibri"/>
                <w:sz w:val="20"/>
                <w:szCs w:val="20"/>
                <w:lang w:val="es-CO"/>
              </w:rPr>
            </w:pPr>
          </w:p>
          <w:p w14:paraId="165C010E" w14:textId="77777777" w:rsidR="009B3C20" w:rsidRPr="009B3C20" w:rsidRDefault="009B3C20" w:rsidP="009B3C20">
            <w:pPr>
              <w:ind w:left="119"/>
              <w:rPr>
                <w:rFonts w:ascii="Verdana" w:eastAsia="Calibri" w:hAnsi="Verdana" w:cs="Calibri"/>
                <w:sz w:val="20"/>
                <w:szCs w:val="20"/>
                <w:lang w:val="es-CO"/>
              </w:rPr>
            </w:pPr>
          </w:p>
          <w:p w14:paraId="62A13C84" w14:textId="77777777" w:rsidR="009B3C20" w:rsidRPr="009B3C20" w:rsidRDefault="009B3C20" w:rsidP="009B3C20">
            <w:pPr>
              <w:ind w:left="119"/>
              <w:rPr>
                <w:rFonts w:ascii="Verdana" w:eastAsia="Calibri" w:hAnsi="Verdana" w:cs="Calibri"/>
                <w:sz w:val="20"/>
                <w:szCs w:val="20"/>
                <w:lang w:val="es-CO"/>
              </w:rPr>
            </w:pPr>
          </w:p>
          <w:p w14:paraId="5E9B8A43" w14:textId="77777777" w:rsidR="009B3C20" w:rsidRPr="009B3C20" w:rsidRDefault="009B3C20" w:rsidP="009B3C20">
            <w:pPr>
              <w:ind w:left="198" w:right="189" w:firstLine="2"/>
              <w:jc w:val="center"/>
              <w:rPr>
                <w:rFonts w:ascii="Verdana" w:eastAsia="Calibri" w:hAnsi="Verdana" w:cs="Calibri"/>
                <w:b/>
                <w:sz w:val="20"/>
                <w:szCs w:val="20"/>
                <w:lang w:val="es-CO"/>
              </w:rPr>
            </w:pPr>
            <w:r w:rsidRPr="009B3C20">
              <w:rPr>
                <w:rFonts w:ascii="Verdana" w:eastAsia="Calibri" w:hAnsi="Verdana" w:cs="Calibri"/>
                <w:b/>
                <w:sz w:val="20"/>
                <w:szCs w:val="20"/>
                <w:lang w:val="es-CO"/>
              </w:rPr>
              <w:t>No se configura</w:t>
            </w:r>
            <w:r w:rsidRPr="009B3C20">
              <w:rPr>
                <w:rFonts w:ascii="Verdana" w:eastAsia="Calibri" w:hAnsi="Verdana" w:cs="Calibri"/>
                <w:b/>
                <w:spacing w:val="-18"/>
                <w:sz w:val="20"/>
                <w:szCs w:val="20"/>
                <w:lang w:val="es-CO"/>
              </w:rPr>
              <w:t xml:space="preserve"> </w:t>
            </w:r>
            <w:r w:rsidRPr="009B3C20">
              <w:rPr>
                <w:rFonts w:ascii="Verdana" w:eastAsia="Calibri" w:hAnsi="Verdana" w:cs="Calibri"/>
                <w:b/>
                <w:sz w:val="20"/>
                <w:szCs w:val="20"/>
                <w:lang w:val="es-CO"/>
              </w:rPr>
              <w:t xml:space="preserve">un </w:t>
            </w:r>
            <w:r w:rsidRPr="009B3C20">
              <w:rPr>
                <w:rFonts w:ascii="Verdana" w:eastAsia="Calibri" w:hAnsi="Verdana" w:cs="Calibri"/>
                <w:b/>
                <w:spacing w:val="-2"/>
                <w:sz w:val="20"/>
                <w:szCs w:val="20"/>
                <w:lang w:val="es-CO"/>
              </w:rPr>
              <w:t>contrato realidad</w:t>
            </w:r>
          </w:p>
        </w:tc>
        <w:tc>
          <w:tcPr>
            <w:tcW w:w="6148" w:type="dxa"/>
            <w:tcBorders>
              <w:top w:val="nil"/>
              <w:left w:val="nil"/>
              <w:bottom w:val="nil"/>
              <w:right w:val="nil"/>
            </w:tcBorders>
          </w:tcPr>
          <w:p w14:paraId="10142547" w14:textId="77777777" w:rsidR="009B3C20" w:rsidRPr="009B3C20" w:rsidRDefault="009B3C20" w:rsidP="009B3C20">
            <w:pPr>
              <w:tabs>
                <w:tab w:val="left" w:pos="828"/>
              </w:tabs>
              <w:ind w:left="119" w:right="96"/>
              <w:jc w:val="both"/>
              <w:rPr>
                <w:rFonts w:ascii="Verdana" w:eastAsia="Calibri" w:hAnsi="Verdana" w:cs="Calibri"/>
                <w:sz w:val="20"/>
                <w:szCs w:val="20"/>
                <w:lang w:val="es-CO"/>
              </w:rPr>
            </w:pPr>
          </w:p>
          <w:p w14:paraId="6FE6CEB6" w14:textId="77777777" w:rsidR="009B3C20" w:rsidRPr="009B3C20" w:rsidRDefault="009B3C20" w:rsidP="009B3C20">
            <w:pPr>
              <w:tabs>
                <w:tab w:val="left" w:pos="828"/>
              </w:tabs>
              <w:ind w:left="119" w:right="96"/>
              <w:jc w:val="both"/>
              <w:rPr>
                <w:rFonts w:ascii="Verdana" w:eastAsia="Calibri" w:hAnsi="Verdana" w:cs="Calibri"/>
                <w:spacing w:val="-2"/>
                <w:sz w:val="20"/>
                <w:szCs w:val="20"/>
                <w:lang w:val="es-CO"/>
              </w:rPr>
            </w:pPr>
            <w:r w:rsidRPr="009B3C20">
              <w:rPr>
                <w:rFonts w:ascii="Verdana" w:eastAsia="Calibri" w:hAnsi="Verdana" w:cs="Calibri"/>
                <w:sz w:val="20"/>
                <w:szCs w:val="20"/>
                <w:lang w:val="es-CO"/>
              </w:rPr>
              <w:lastRenderedPageBreak/>
              <w:t>Si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(i)</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contratante</w:t>
            </w:r>
            <w:r w:rsidRPr="009B3C20">
              <w:rPr>
                <w:rFonts w:ascii="Verdana" w:eastAsia="Calibri" w:hAnsi="Verdana" w:cs="Calibri"/>
                <w:spacing w:val="-11"/>
                <w:sz w:val="20"/>
                <w:szCs w:val="20"/>
                <w:lang w:val="es-CO"/>
              </w:rPr>
              <w:t xml:space="preserve"> </w:t>
            </w:r>
            <w:r w:rsidRPr="009B3C20">
              <w:rPr>
                <w:rFonts w:ascii="Verdana" w:eastAsia="Calibri" w:hAnsi="Verdana" w:cs="Calibri"/>
                <w:sz w:val="20"/>
                <w:szCs w:val="20"/>
                <w:lang w:val="es-CO"/>
              </w:rPr>
              <w:t>conoce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estado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4"/>
                <w:sz w:val="20"/>
                <w:szCs w:val="20"/>
                <w:lang w:val="es-CO"/>
              </w:rPr>
              <w:t xml:space="preserve"> </w:t>
            </w:r>
            <w:r w:rsidRPr="009B3C20">
              <w:rPr>
                <w:rFonts w:ascii="Verdana" w:eastAsia="Calibri" w:hAnsi="Verdana" w:cs="Calibri"/>
                <w:sz w:val="20"/>
                <w:szCs w:val="20"/>
                <w:lang w:val="es-CO"/>
              </w:rPr>
              <w:t>embarazo</w:t>
            </w:r>
            <w:r w:rsidRPr="009B3C20">
              <w:rPr>
                <w:rFonts w:ascii="Verdana" w:eastAsia="Calibri" w:hAnsi="Verdana" w:cs="Calibri"/>
                <w:spacing w:val="-12"/>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3"/>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4"/>
                <w:sz w:val="20"/>
                <w:szCs w:val="20"/>
                <w:lang w:val="es-CO"/>
              </w:rPr>
              <w:t xml:space="preserve"> </w:t>
            </w:r>
            <w:r w:rsidRPr="009B3C20">
              <w:rPr>
                <w:rFonts w:ascii="Verdana" w:eastAsia="Calibri" w:hAnsi="Verdana" w:cs="Calibri"/>
                <w:spacing w:val="-2"/>
                <w:sz w:val="20"/>
                <w:szCs w:val="20"/>
                <w:lang w:val="es-CO"/>
              </w:rPr>
              <w:t>contratista,</w:t>
            </w:r>
            <w:r w:rsidRPr="009B3C20">
              <w:rPr>
                <w:rFonts w:ascii="Verdana" w:eastAsia="Calibri" w:hAnsi="Verdana" w:cs="Calibri"/>
                <w:sz w:val="20"/>
                <w:szCs w:val="20"/>
                <w:lang w:val="es-CO"/>
              </w:rPr>
              <w:t xml:space="preserve"> (ii) subsiste la causa del contrato y (iii) no cuenta con permiso del inspector del trabajo para terminar el contrato, el juez deberá </w:t>
            </w:r>
            <w:r w:rsidRPr="009B3C20">
              <w:rPr>
                <w:rFonts w:ascii="Verdana" w:eastAsia="Calibri" w:hAnsi="Verdana" w:cs="Calibri"/>
                <w:spacing w:val="-2"/>
                <w:sz w:val="20"/>
                <w:szCs w:val="20"/>
                <w:lang w:val="es-CO"/>
              </w:rPr>
              <w:t>ordenar:</w:t>
            </w:r>
          </w:p>
          <w:p w14:paraId="0495059F" w14:textId="77777777" w:rsidR="009B3C20" w:rsidRPr="009B3C20" w:rsidRDefault="009B3C20" w:rsidP="009B3C20">
            <w:pPr>
              <w:tabs>
                <w:tab w:val="left" w:pos="828"/>
              </w:tabs>
              <w:ind w:left="119" w:right="96"/>
              <w:jc w:val="both"/>
              <w:rPr>
                <w:rFonts w:ascii="Verdana" w:eastAsia="Calibri" w:hAnsi="Verdana" w:cs="Calibri"/>
                <w:spacing w:val="-2"/>
                <w:sz w:val="20"/>
                <w:szCs w:val="20"/>
                <w:lang w:val="es-CO"/>
              </w:rPr>
            </w:pPr>
          </w:p>
          <w:p w14:paraId="64054EA5" w14:textId="77777777" w:rsidR="009B3C20" w:rsidRPr="009B3C20" w:rsidRDefault="009B3C20" w:rsidP="009B3C20">
            <w:pPr>
              <w:numPr>
                <w:ilvl w:val="0"/>
                <w:numId w:val="31"/>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renovación</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relación</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contractual,</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cual</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18"/>
                <w:sz w:val="20"/>
                <w:szCs w:val="20"/>
                <w:lang w:val="es-CO"/>
              </w:rPr>
              <w:t xml:space="preserve"> </w:t>
            </w:r>
            <w:r w:rsidRPr="009B3C20">
              <w:rPr>
                <w:rFonts w:ascii="Verdana" w:eastAsia="Calibri" w:hAnsi="Verdana" w:cs="Calibri"/>
                <w:sz w:val="20"/>
                <w:szCs w:val="20"/>
                <w:lang w:val="es-CO"/>
              </w:rPr>
              <w:t>dará</w:t>
            </w:r>
            <w:r w:rsidRPr="009B3C20">
              <w:rPr>
                <w:rFonts w:ascii="Verdana" w:eastAsia="Calibri" w:hAnsi="Verdana" w:cs="Calibri"/>
                <w:spacing w:val="-17"/>
                <w:sz w:val="20"/>
                <w:szCs w:val="20"/>
                <w:lang w:val="es-CO"/>
              </w:rPr>
              <w:t xml:space="preserve"> </w:t>
            </w:r>
            <w:r w:rsidRPr="009B3C20">
              <w:rPr>
                <w:rFonts w:ascii="Verdana" w:eastAsia="Calibri" w:hAnsi="Verdana" w:cs="Calibri"/>
                <w:sz w:val="20"/>
                <w:szCs w:val="20"/>
                <w:lang w:val="es-CO"/>
              </w:rPr>
              <w:t>hasta por el término del periodo de lactancia.</w:t>
            </w:r>
          </w:p>
          <w:p w14:paraId="3AA6FE63" w14:textId="77777777" w:rsidR="009B3C20" w:rsidRPr="009B3C20" w:rsidRDefault="009B3C20" w:rsidP="009B3C20">
            <w:pPr>
              <w:numPr>
                <w:ilvl w:val="0"/>
                <w:numId w:val="31"/>
              </w:numPr>
              <w:tabs>
                <w:tab w:val="left" w:pos="828"/>
              </w:tabs>
              <w:ind w:right="96"/>
              <w:jc w:val="both"/>
              <w:rPr>
                <w:rFonts w:ascii="Verdana" w:eastAsia="Calibri" w:hAnsi="Verdana" w:cs="Calibri"/>
                <w:sz w:val="20"/>
                <w:szCs w:val="20"/>
                <w:lang w:val="es-CO"/>
              </w:rPr>
            </w:pPr>
            <w:r w:rsidRPr="009B3C20">
              <w:rPr>
                <w:rFonts w:ascii="Verdana" w:eastAsia="Calibri" w:hAnsi="Verdana" w:cs="Calibri"/>
                <w:sz w:val="20"/>
                <w:szCs w:val="20"/>
                <w:lang w:val="es-CO"/>
              </w:rPr>
              <w:t>El</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pago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los</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honorarios dejados de</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percibir desde la</w:t>
            </w:r>
            <w:r w:rsidRPr="009B3C20">
              <w:rPr>
                <w:rFonts w:ascii="Verdana" w:eastAsia="Calibri" w:hAnsi="Verdana" w:cs="Calibri"/>
                <w:spacing w:val="-1"/>
                <w:sz w:val="20"/>
                <w:szCs w:val="20"/>
                <w:lang w:val="es-CO"/>
              </w:rPr>
              <w:t xml:space="preserve"> </w:t>
            </w:r>
            <w:r w:rsidRPr="009B3C20">
              <w:rPr>
                <w:rFonts w:ascii="Verdana" w:eastAsia="Calibri" w:hAnsi="Verdana" w:cs="Calibri"/>
                <w:sz w:val="20"/>
                <w:szCs w:val="20"/>
                <w:lang w:val="es-CO"/>
              </w:rPr>
              <w:t xml:space="preserve">fecha de no renovación del contrato, hasta la renovación del </w:t>
            </w:r>
            <w:r w:rsidRPr="009B3C20">
              <w:rPr>
                <w:rFonts w:ascii="Verdana" w:eastAsia="Calibri" w:hAnsi="Verdana" w:cs="Calibri"/>
                <w:spacing w:val="-2"/>
                <w:sz w:val="20"/>
                <w:szCs w:val="20"/>
                <w:lang w:val="es-CO"/>
              </w:rPr>
              <w:t>mismo;</w:t>
            </w:r>
          </w:p>
          <w:p w14:paraId="3379EBC4" w14:textId="77777777" w:rsidR="009B3C20" w:rsidRPr="009B3C20" w:rsidRDefault="009B3C20" w:rsidP="009B3C20">
            <w:pPr>
              <w:numPr>
                <w:ilvl w:val="0"/>
                <w:numId w:val="31"/>
              </w:numPr>
              <w:tabs>
                <w:tab w:val="left" w:pos="826"/>
                <w:tab w:val="left" w:pos="828"/>
              </w:tabs>
              <w:ind w:right="97"/>
              <w:jc w:val="both"/>
              <w:rPr>
                <w:rFonts w:ascii="Verdana" w:eastAsia="Calibri" w:hAnsi="Verdana" w:cs="Calibri"/>
                <w:sz w:val="20"/>
                <w:szCs w:val="20"/>
                <w:lang w:val="es-CO"/>
              </w:rPr>
            </w:pPr>
            <w:r w:rsidRPr="009B3C20">
              <w:rPr>
                <w:rFonts w:ascii="Verdana" w:eastAsia="Calibri" w:hAnsi="Verdana" w:cs="Calibri"/>
                <w:sz w:val="20"/>
                <w:szCs w:val="20"/>
                <w:lang w:val="es-CO"/>
              </w:rPr>
              <w:t>El pago por concepto de la indemnización por despido discriminatorio</w:t>
            </w:r>
            <w:r w:rsidRPr="009B3C20">
              <w:rPr>
                <w:rFonts w:ascii="Verdana" w:eastAsia="Calibri" w:hAnsi="Verdana" w:cs="Calibri"/>
                <w:sz w:val="20"/>
                <w:szCs w:val="20"/>
                <w:vertAlign w:val="superscript"/>
              </w:rPr>
              <w:footnoteReference w:id="22"/>
            </w:r>
            <w:r w:rsidRPr="009B3C20">
              <w:rPr>
                <w:rFonts w:ascii="Verdana" w:eastAsia="Calibri" w:hAnsi="Verdana" w:cs="Calibri"/>
                <w:sz w:val="20"/>
                <w:szCs w:val="20"/>
                <w:lang w:val="es-CO"/>
              </w:rPr>
              <w:t>; y</w:t>
            </w:r>
          </w:p>
          <w:p w14:paraId="675682D6" w14:textId="77777777" w:rsidR="009B3C20" w:rsidRPr="009B3C20" w:rsidRDefault="009B3C20" w:rsidP="009B3C20">
            <w:pPr>
              <w:numPr>
                <w:ilvl w:val="0"/>
                <w:numId w:val="31"/>
              </w:numPr>
              <w:tabs>
                <w:tab w:val="left" w:pos="826"/>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El pago de la licencia de maternidad. Este pago no se realizará</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si</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se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acredita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madre</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disfrutó</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la licencia de maternidad</w:t>
            </w:r>
            <w:r w:rsidRPr="009B3C20">
              <w:rPr>
                <w:rFonts w:ascii="Verdana" w:eastAsia="Calibri" w:hAnsi="Verdana" w:cs="Calibri"/>
                <w:sz w:val="20"/>
                <w:szCs w:val="20"/>
                <w:vertAlign w:val="superscript"/>
              </w:rPr>
              <w:footnoteReference w:id="23"/>
            </w:r>
            <w:r w:rsidRPr="009B3C20">
              <w:rPr>
                <w:rFonts w:ascii="Verdana" w:eastAsia="Calibri" w:hAnsi="Verdana" w:cs="Calibri"/>
                <w:sz w:val="20"/>
                <w:szCs w:val="20"/>
                <w:lang w:val="es-CO"/>
              </w:rPr>
              <w:t>.</w:t>
            </w:r>
          </w:p>
          <w:p w14:paraId="7CE63444" w14:textId="77777777" w:rsidR="009B3C20" w:rsidRPr="009B3C20" w:rsidRDefault="009B3C20" w:rsidP="009B3C20">
            <w:pPr>
              <w:numPr>
                <w:ilvl w:val="0"/>
                <w:numId w:val="31"/>
              </w:numPr>
              <w:tabs>
                <w:tab w:val="left" w:pos="828"/>
              </w:tabs>
              <w:ind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evento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en</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que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término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del</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periodo</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6"/>
                <w:sz w:val="20"/>
                <w:szCs w:val="20"/>
                <w:lang w:val="es-CO"/>
              </w:rPr>
              <w:t xml:space="preserve"> </w:t>
            </w:r>
            <w:r w:rsidRPr="009B3C20">
              <w:rPr>
                <w:rFonts w:ascii="Verdana" w:eastAsia="Calibri" w:hAnsi="Verdana" w:cs="Calibri"/>
                <w:sz w:val="20"/>
                <w:szCs w:val="20"/>
                <w:lang w:val="es-CO"/>
              </w:rPr>
              <w:t>lactancia</w:t>
            </w:r>
            <w:r w:rsidRPr="009B3C20">
              <w:rPr>
                <w:rFonts w:ascii="Verdana" w:eastAsia="Calibri" w:hAnsi="Verdana" w:cs="Calibri"/>
                <w:spacing w:val="-5"/>
                <w:sz w:val="20"/>
                <w:szCs w:val="20"/>
                <w:lang w:val="es-CO"/>
              </w:rPr>
              <w:t xml:space="preserve"> </w:t>
            </w:r>
            <w:r w:rsidRPr="009B3C20">
              <w:rPr>
                <w:rFonts w:ascii="Verdana" w:eastAsia="Calibri" w:hAnsi="Verdana" w:cs="Calibri"/>
                <w:sz w:val="20"/>
                <w:szCs w:val="20"/>
                <w:lang w:val="es-CO"/>
              </w:rPr>
              <w:t>ya haya terminado, procederá el reconocimiento de los honorarios dejados de percibir hasta la terminación de periodo de lactancia</w:t>
            </w:r>
            <w:r w:rsidRPr="009B3C20">
              <w:rPr>
                <w:rFonts w:ascii="Verdana" w:eastAsia="Calibri" w:hAnsi="Verdana" w:cs="Calibri"/>
                <w:sz w:val="20"/>
                <w:szCs w:val="20"/>
                <w:vertAlign w:val="superscript"/>
              </w:rPr>
              <w:footnoteReference w:id="24"/>
            </w:r>
            <w:r w:rsidRPr="009B3C20">
              <w:rPr>
                <w:rFonts w:ascii="Verdana" w:eastAsia="Calibri" w:hAnsi="Verdana" w:cs="Calibri"/>
                <w:sz w:val="20"/>
                <w:szCs w:val="20"/>
                <w:lang w:val="es-CO"/>
              </w:rPr>
              <w:t xml:space="preserve">. </w:t>
            </w:r>
          </w:p>
          <w:p w14:paraId="266FFD74" w14:textId="77777777" w:rsidR="009B3C20" w:rsidRPr="009B3C20" w:rsidRDefault="009B3C20" w:rsidP="009B3C20">
            <w:pPr>
              <w:tabs>
                <w:tab w:val="left" w:pos="828"/>
              </w:tabs>
              <w:ind w:left="360" w:right="95"/>
              <w:jc w:val="both"/>
              <w:rPr>
                <w:rFonts w:ascii="Verdana" w:eastAsia="Calibri" w:hAnsi="Verdana" w:cs="Calibri"/>
                <w:sz w:val="20"/>
                <w:szCs w:val="20"/>
                <w:lang w:val="es-CO"/>
              </w:rPr>
            </w:pPr>
          </w:p>
          <w:p w14:paraId="315B2295" w14:textId="77777777" w:rsidR="009B3C20" w:rsidRPr="009B3C20" w:rsidRDefault="009B3C20" w:rsidP="009B3C20">
            <w:pPr>
              <w:tabs>
                <w:tab w:val="left" w:pos="828"/>
              </w:tabs>
              <w:ind w:left="119" w:right="95"/>
              <w:jc w:val="both"/>
              <w:rPr>
                <w:rFonts w:ascii="Verdana" w:eastAsia="Calibri" w:hAnsi="Verdana" w:cs="Calibri"/>
                <w:sz w:val="20"/>
                <w:szCs w:val="20"/>
                <w:lang w:val="es-CO"/>
              </w:rPr>
            </w:pPr>
            <w:r w:rsidRPr="009B3C20">
              <w:rPr>
                <w:rFonts w:ascii="Verdana" w:eastAsia="Calibri" w:hAnsi="Verdana" w:cs="Calibri"/>
                <w:sz w:val="20"/>
                <w:szCs w:val="20"/>
                <w:lang w:val="es-CO"/>
              </w:rPr>
              <w:t>En</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todo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caso,</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el</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juez</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deberá</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estudiar</w:t>
            </w:r>
            <w:r w:rsidRPr="009B3C20">
              <w:rPr>
                <w:rFonts w:ascii="Verdana" w:eastAsia="Calibri" w:hAnsi="Verdana" w:cs="Calibri"/>
                <w:spacing w:val="-8"/>
                <w:sz w:val="20"/>
                <w:szCs w:val="20"/>
                <w:lang w:val="es-CO"/>
              </w:rPr>
              <w:t xml:space="preserve"> </w:t>
            </w:r>
            <w:r w:rsidRPr="009B3C20">
              <w:rPr>
                <w:rFonts w:ascii="Verdana" w:eastAsia="Calibri" w:hAnsi="Verdana" w:cs="Calibri"/>
                <w:sz w:val="20"/>
                <w:szCs w:val="20"/>
                <w:lang w:val="es-CO"/>
              </w:rPr>
              <w:t>la</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procedencia</w:t>
            </w:r>
            <w:r w:rsidRPr="009B3C20">
              <w:rPr>
                <w:rFonts w:ascii="Verdana" w:eastAsia="Calibri" w:hAnsi="Verdana" w:cs="Calibri"/>
                <w:spacing w:val="-7"/>
                <w:sz w:val="20"/>
                <w:szCs w:val="20"/>
                <w:lang w:val="es-CO"/>
              </w:rPr>
              <w:t xml:space="preserve"> </w:t>
            </w:r>
            <w:r w:rsidRPr="009B3C20">
              <w:rPr>
                <w:rFonts w:ascii="Verdana" w:eastAsia="Calibri" w:hAnsi="Verdana" w:cs="Calibri"/>
                <w:sz w:val="20"/>
                <w:szCs w:val="20"/>
                <w:lang w:val="es-CO"/>
              </w:rPr>
              <w:t>de</w:t>
            </w:r>
            <w:r w:rsidRPr="009B3C20">
              <w:rPr>
                <w:rFonts w:ascii="Verdana" w:eastAsia="Calibri" w:hAnsi="Verdana" w:cs="Calibri"/>
                <w:spacing w:val="-10"/>
                <w:sz w:val="20"/>
                <w:szCs w:val="20"/>
                <w:lang w:val="es-CO"/>
              </w:rPr>
              <w:t xml:space="preserve"> </w:t>
            </w:r>
            <w:r w:rsidRPr="009B3C20">
              <w:rPr>
                <w:rFonts w:ascii="Verdana" w:eastAsia="Calibri" w:hAnsi="Verdana" w:cs="Calibri"/>
                <w:sz w:val="20"/>
                <w:szCs w:val="20"/>
                <w:lang w:val="es-CO"/>
              </w:rPr>
              <w:t>cada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una</w:t>
            </w:r>
            <w:r w:rsidRPr="009B3C20">
              <w:rPr>
                <w:rFonts w:ascii="Verdana" w:eastAsia="Calibri" w:hAnsi="Verdana" w:cs="Calibri"/>
                <w:spacing w:val="-9"/>
                <w:sz w:val="20"/>
                <w:szCs w:val="20"/>
                <w:lang w:val="es-CO"/>
              </w:rPr>
              <w:t xml:space="preserve"> </w:t>
            </w:r>
            <w:r w:rsidRPr="009B3C20">
              <w:rPr>
                <w:rFonts w:ascii="Verdana" w:eastAsia="Calibri" w:hAnsi="Verdana" w:cs="Calibri"/>
                <w:sz w:val="20"/>
                <w:szCs w:val="20"/>
                <w:lang w:val="es-CO"/>
              </w:rPr>
              <w:t>de estas medidas de protección para lo cual tendrá en cuenta las particularidades del caso</w:t>
            </w:r>
            <w:r w:rsidRPr="009B3C20">
              <w:rPr>
                <w:rFonts w:ascii="Verdana" w:eastAsia="Calibri" w:hAnsi="Verdana" w:cs="Calibri"/>
                <w:sz w:val="20"/>
                <w:szCs w:val="20"/>
                <w:vertAlign w:val="superscript"/>
              </w:rPr>
              <w:footnoteReference w:id="25"/>
            </w:r>
            <w:r w:rsidRPr="009B3C20">
              <w:rPr>
                <w:rFonts w:ascii="Verdana" w:eastAsia="Calibri" w:hAnsi="Verdana" w:cs="Calibri"/>
                <w:sz w:val="20"/>
                <w:szCs w:val="20"/>
                <w:lang w:val="es-CO"/>
              </w:rPr>
              <w:t>.</w:t>
            </w:r>
          </w:p>
          <w:p w14:paraId="104A86FF" w14:textId="77777777" w:rsidR="009B3C20" w:rsidRPr="009B3C20" w:rsidRDefault="009B3C20" w:rsidP="009B3C20">
            <w:pPr>
              <w:tabs>
                <w:tab w:val="left" w:pos="828"/>
              </w:tabs>
              <w:ind w:left="119" w:right="95"/>
              <w:jc w:val="both"/>
              <w:rPr>
                <w:rFonts w:ascii="Verdana" w:eastAsia="Calibri" w:hAnsi="Verdana" w:cs="Calibri"/>
                <w:sz w:val="20"/>
                <w:szCs w:val="20"/>
                <w:lang w:val="es-CO"/>
              </w:rPr>
            </w:pPr>
          </w:p>
        </w:tc>
      </w:tr>
    </w:tbl>
    <w:p w14:paraId="57300603" w14:textId="77777777" w:rsidR="009B3C20" w:rsidRPr="009B3C20" w:rsidRDefault="009B3C20" w:rsidP="009B3C20">
      <w:pPr>
        <w:spacing w:after="0"/>
        <w:ind w:right="49"/>
        <w:jc w:val="center"/>
        <w:rPr>
          <w:rFonts w:ascii="Verdana" w:hAnsi="Verdana"/>
          <w:b/>
          <w:sz w:val="16"/>
          <w:szCs w:val="16"/>
        </w:rPr>
      </w:pPr>
    </w:p>
    <w:p w14:paraId="686390CE" w14:textId="77777777" w:rsidR="009B3C20" w:rsidRPr="009B3C20" w:rsidRDefault="009B3C20" w:rsidP="009B3C20">
      <w:pPr>
        <w:spacing w:after="0"/>
        <w:ind w:right="49"/>
        <w:jc w:val="center"/>
        <w:rPr>
          <w:rFonts w:ascii="Verdana" w:hAnsi="Verdana"/>
          <w:bCs/>
          <w:sz w:val="16"/>
          <w:szCs w:val="16"/>
        </w:rPr>
      </w:pPr>
      <w:r w:rsidRPr="009B3C20">
        <w:rPr>
          <w:rFonts w:ascii="Verdana" w:hAnsi="Verdana"/>
          <w:b/>
          <w:sz w:val="16"/>
          <w:szCs w:val="16"/>
        </w:rPr>
        <w:t>Tabla:</w:t>
      </w:r>
      <w:r w:rsidRPr="009B3C20">
        <w:rPr>
          <w:rFonts w:ascii="Verdana" w:hAnsi="Verdana"/>
          <w:b/>
          <w:spacing w:val="-5"/>
          <w:sz w:val="16"/>
          <w:szCs w:val="16"/>
        </w:rPr>
        <w:t xml:space="preserve"> </w:t>
      </w:r>
      <w:r w:rsidRPr="009B3C20">
        <w:rPr>
          <w:rFonts w:ascii="Verdana" w:hAnsi="Verdana"/>
          <w:bCs/>
          <w:sz w:val="16"/>
          <w:szCs w:val="16"/>
        </w:rPr>
        <w:t>Reglas</w:t>
      </w:r>
      <w:r w:rsidRPr="009B3C20">
        <w:rPr>
          <w:rFonts w:ascii="Verdana" w:hAnsi="Verdana"/>
          <w:bCs/>
          <w:spacing w:val="-5"/>
          <w:sz w:val="16"/>
          <w:szCs w:val="16"/>
        </w:rPr>
        <w:t xml:space="preserve"> </w:t>
      </w:r>
      <w:r w:rsidRPr="009B3C20">
        <w:rPr>
          <w:rFonts w:ascii="Verdana" w:hAnsi="Verdana"/>
          <w:bCs/>
          <w:sz w:val="16"/>
          <w:szCs w:val="16"/>
        </w:rPr>
        <w:t>para</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protección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la</w:t>
      </w:r>
      <w:r w:rsidRPr="009B3C20">
        <w:rPr>
          <w:rFonts w:ascii="Verdana" w:hAnsi="Verdana"/>
          <w:bCs/>
          <w:spacing w:val="-5"/>
          <w:sz w:val="16"/>
          <w:szCs w:val="16"/>
        </w:rPr>
        <w:t xml:space="preserve"> </w:t>
      </w:r>
      <w:r w:rsidRPr="009B3C20">
        <w:rPr>
          <w:rFonts w:ascii="Verdana" w:hAnsi="Verdana"/>
          <w:bCs/>
          <w:sz w:val="16"/>
          <w:szCs w:val="16"/>
        </w:rPr>
        <w:t>mujer</w:t>
      </w:r>
      <w:r w:rsidRPr="009B3C20">
        <w:rPr>
          <w:rFonts w:ascii="Verdana" w:hAnsi="Verdana"/>
          <w:bCs/>
          <w:spacing w:val="-5"/>
          <w:sz w:val="16"/>
          <w:szCs w:val="16"/>
        </w:rPr>
        <w:t xml:space="preserve"> </w:t>
      </w:r>
      <w:r w:rsidRPr="009B3C20">
        <w:rPr>
          <w:rFonts w:ascii="Verdana" w:hAnsi="Verdana"/>
          <w:bCs/>
          <w:sz w:val="16"/>
          <w:szCs w:val="16"/>
        </w:rPr>
        <w:t>embarazada</w:t>
      </w:r>
      <w:r w:rsidRPr="009B3C20">
        <w:rPr>
          <w:rFonts w:ascii="Verdana" w:hAnsi="Verdana"/>
          <w:bCs/>
          <w:spacing w:val="-5"/>
          <w:sz w:val="16"/>
          <w:szCs w:val="16"/>
        </w:rPr>
        <w:t xml:space="preserve"> </w:t>
      </w:r>
      <w:r w:rsidRPr="009B3C20">
        <w:rPr>
          <w:rFonts w:ascii="Verdana" w:hAnsi="Verdana"/>
          <w:bCs/>
          <w:sz w:val="16"/>
          <w:szCs w:val="16"/>
        </w:rPr>
        <w:t>en</w:t>
      </w:r>
      <w:r w:rsidRPr="009B3C20">
        <w:rPr>
          <w:rFonts w:ascii="Verdana" w:hAnsi="Verdana"/>
          <w:bCs/>
          <w:spacing w:val="-5"/>
          <w:sz w:val="16"/>
          <w:szCs w:val="16"/>
        </w:rPr>
        <w:t xml:space="preserve"> </w:t>
      </w:r>
      <w:r w:rsidRPr="009B3C20">
        <w:rPr>
          <w:rFonts w:ascii="Verdana" w:hAnsi="Verdana"/>
          <w:bCs/>
          <w:sz w:val="16"/>
          <w:szCs w:val="16"/>
        </w:rPr>
        <w:t>contratos</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prestación</w:t>
      </w:r>
      <w:r w:rsidRPr="009B3C20">
        <w:rPr>
          <w:rFonts w:ascii="Verdana" w:hAnsi="Verdana"/>
          <w:bCs/>
          <w:spacing w:val="-5"/>
          <w:sz w:val="16"/>
          <w:szCs w:val="16"/>
        </w:rPr>
        <w:t xml:space="preserve"> </w:t>
      </w:r>
      <w:r w:rsidRPr="009B3C20">
        <w:rPr>
          <w:rFonts w:ascii="Verdana" w:hAnsi="Verdana"/>
          <w:bCs/>
          <w:sz w:val="16"/>
          <w:szCs w:val="16"/>
        </w:rPr>
        <w:t>de</w:t>
      </w:r>
      <w:r w:rsidRPr="009B3C20">
        <w:rPr>
          <w:rFonts w:ascii="Verdana" w:hAnsi="Verdana"/>
          <w:bCs/>
          <w:spacing w:val="-5"/>
          <w:sz w:val="16"/>
          <w:szCs w:val="16"/>
        </w:rPr>
        <w:t xml:space="preserve"> </w:t>
      </w:r>
      <w:r w:rsidRPr="009B3C20">
        <w:rPr>
          <w:rFonts w:ascii="Verdana" w:hAnsi="Verdana"/>
          <w:bCs/>
          <w:sz w:val="16"/>
          <w:szCs w:val="16"/>
        </w:rPr>
        <w:t>servicios. – Tomada de la Sentencia T-329 de 2022.</w:t>
      </w:r>
    </w:p>
    <w:p w14:paraId="4EB7285E" w14:textId="77777777" w:rsidR="009B3C20" w:rsidRPr="009B3C20" w:rsidRDefault="009B3C20" w:rsidP="009B3C20">
      <w:pPr>
        <w:spacing w:after="0" w:line="276" w:lineRule="auto"/>
        <w:ind w:right="49"/>
        <w:jc w:val="center"/>
        <w:rPr>
          <w:rFonts w:ascii="Verdana" w:hAnsi="Verdana"/>
          <w:bCs/>
          <w:sz w:val="16"/>
          <w:szCs w:val="16"/>
        </w:rPr>
      </w:pPr>
    </w:p>
    <w:p w14:paraId="63948FD0" w14:textId="77777777" w:rsidR="009B3C20" w:rsidRPr="009B3C20" w:rsidRDefault="009B3C20" w:rsidP="009B3C20">
      <w:pPr>
        <w:widowControl w:val="0"/>
        <w:autoSpaceDE w:val="0"/>
        <w:autoSpaceDN w:val="0"/>
        <w:spacing w:after="0" w:line="276" w:lineRule="auto"/>
        <w:ind w:right="49" w:firstLine="709"/>
        <w:jc w:val="both"/>
        <w:rPr>
          <w:rFonts w:ascii="Verdana" w:eastAsia="Arial" w:hAnsi="Verdana" w:cs="Arial"/>
          <w:lang w:val="es-ES"/>
        </w:rPr>
      </w:pPr>
      <w:r w:rsidRPr="009B3C20">
        <w:rPr>
          <w:rFonts w:ascii="Verdana" w:eastAsia="Arial" w:hAnsi="Verdana" w:cs="Arial"/>
          <w:lang w:val="es-ES"/>
        </w:rPr>
        <w:t>Ahora bien, resulta necesario referirse a las modificaciones introducidas por la Ley 2306 de 2023 frente a la estabilidad ocupacional reforzada de las mujeres en periodo de lactancia. Al respecto, debe señalarse que, el Congreso de la Republica expidió dicha Ley 2306</w:t>
      </w:r>
      <w:r w:rsidRPr="009B3C20" w:rsidDel="00916E7B">
        <w:rPr>
          <w:rFonts w:ascii="Verdana" w:eastAsia="Arial" w:hAnsi="Verdana" w:cs="Arial"/>
          <w:lang w:val="es-ES"/>
        </w:rPr>
        <w:t xml:space="preserve"> </w:t>
      </w:r>
      <w:r w:rsidRPr="009B3C20">
        <w:rPr>
          <w:rFonts w:ascii="Verdana" w:eastAsia="Arial" w:hAnsi="Verdana" w:cs="Arial"/>
          <w:lang w:val="es-ES"/>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5">
        <w:r w:rsidRPr="009B3C20">
          <w:rPr>
            <w:rFonts w:ascii="Verdana" w:eastAsia="Arial" w:hAnsi="Verdana" w:cs="Arial"/>
            <w:lang w:val="es-ES"/>
          </w:rPr>
          <w:t>238</w:t>
        </w:r>
      </w:hyperlink>
      <w:r w:rsidRPr="009B3C20">
        <w:rPr>
          <w:rFonts w:ascii="Verdana" w:eastAsia="Arial" w:hAnsi="Verdana" w:cs="Arial"/>
          <w:lang w:val="es-ES"/>
        </w:rPr>
        <w:t xml:space="preserve"> del Código Sustantivo del Trabajo quedando este así:</w:t>
      </w:r>
    </w:p>
    <w:p w14:paraId="555E0D75" w14:textId="77777777" w:rsidR="009B3C20" w:rsidRPr="009B3C20" w:rsidRDefault="009B3C20" w:rsidP="009B3C20">
      <w:pPr>
        <w:widowControl w:val="0"/>
        <w:autoSpaceDE w:val="0"/>
        <w:autoSpaceDN w:val="0"/>
        <w:spacing w:after="0" w:line="276" w:lineRule="auto"/>
        <w:ind w:right="49" w:firstLine="709"/>
        <w:jc w:val="both"/>
        <w:rPr>
          <w:rFonts w:ascii="Verdana" w:eastAsia="Arial" w:hAnsi="Verdana" w:cs="Arial"/>
          <w:lang w:val="es-ES"/>
        </w:rPr>
      </w:pPr>
    </w:p>
    <w:p w14:paraId="143714C1" w14:textId="77777777" w:rsidR="009B3C20" w:rsidRPr="009B3C20" w:rsidRDefault="009B3C20" w:rsidP="009B3C20">
      <w:pPr>
        <w:widowControl w:val="0"/>
        <w:autoSpaceDE w:val="0"/>
        <w:autoSpaceDN w:val="0"/>
        <w:spacing w:after="0" w:line="240" w:lineRule="auto"/>
        <w:ind w:left="709" w:right="709"/>
        <w:jc w:val="both"/>
        <w:rPr>
          <w:rFonts w:ascii="Verdana" w:eastAsia="Arial" w:hAnsi="Verdana" w:cs="Arial"/>
          <w:spacing w:val="-2"/>
          <w:sz w:val="20"/>
          <w:szCs w:val="20"/>
          <w:lang w:val="es-ES"/>
        </w:rPr>
      </w:pPr>
      <w:r w:rsidRPr="009B3C20">
        <w:rPr>
          <w:rFonts w:ascii="Verdana" w:eastAsia="Arial" w:hAnsi="Verdana" w:cs="Arial"/>
          <w:sz w:val="20"/>
          <w:szCs w:val="20"/>
          <w:lang w:val="es-ES"/>
        </w:rPr>
        <w:t>“Artículo</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238.</w:t>
      </w:r>
      <w:r w:rsidRPr="009B3C20">
        <w:rPr>
          <w:rFonts w:ascii="Verdana" w:eastAsia="Arial" w:hAnsi="Verdana" w:cs="Arial"/>
          <w:spacing w:val="-15"/>
          <w:sz w:val="20"/>
          <w:szCs w:val="20"/>
          <w:lang w:val="es-ES"/>
        </w:rPr>
        <w:t xml:space="preserve"> </w:t>
      </w:r>
      <w:r w:rsidRPr="009B3C20">
        <w:rPr>
          <w:rFonts w:ascii="Verdana" w:eastAsia="Arial" w:hAnsi="Verdana" w:cs="Arial"/>
          <w:sz w:val="20"/>
          <w:szCs w:val="20"/>
          <w:lang w:val="es-ES"/>
        </w:rPr>
        <w:t>Descanso</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remunerado</w:t>
      </w:r>
      <w:r w:rsidRPr="009B3C20">
        <w:rPr>
          <w:rFonts w:ascii="Verdana" w:eastAsia="Arial" w:hAnsi="Verdana" w:cs="Arial"/>
          <w:spacing w:val="-15"/>
          <w:sz w:val="20"/>
          <w:szCs w:val="20"/>
          <w:lang w:val="es-ES"/>
        </w:rPr>
        <w:t xml:space="preserve"> </w:t>
      </w:r>
      <w:r w:rsidRPr="009B3C20">
        <w:rPr>
          <w:rFonts w:ascii="Verdana" w:eastAsia="Arial" w:hAnsi="Verdana" w:cs="Arial"/>
          <w:sz w:val="20"/>
          <w:szCs w:val="20"/>
          <w:lang w:val="es-ES"/>
        </w:rPr>
        <w:t>durante</w:t>
      </w:r>
      <w:r w:rsidRPr="009B3C20">
        <w:rPr>
          <w:rFonts w:ascii="Verdana" w:eastAsia="Arial" w:hAnsi="Verdana" w:cs="Arial"/>
          <w:spacing w:val="-16"/>
          <w:sz w:val="20"/>
          <w:szCs w:val="20"/>
          <w:lang w:val="es-ES"/>
        </w:rPr>
        <w:t xml:space="preserve"> </w:t>
      </w:r>
      <w:r w:rsidRPr="009B3C20">
        <w:rPr>
          <w:rFonts w:ascii="Verdana" w:eastAsia="Arial" w:hAnsi="Verdana" w:cs="Arial"/>
          <w:sz w:val="20"/>
          <w:szCs w:val="20"/>
          <w:lang w:val="es-ES"/>
        </w:rPr>
        <w:t>la</w:t>
      </w:r>
      <w:r w:rsidRPr="009B3C20">
        <w:rPr>
          <w:rFonts w:ascii="Verdana" w:eastAsia="Arial" w:hAnsi="Verdana" w:cs="Arial"/>
          <w:spacing w:val="-15"/>
          <w:sz w:val="20"/>
          <w:szCs w:val="20"/>
          <w:lang w:val="es-ES"/>
        </w:rPr>
        <w:t xml:space="preserve"> </w:t>
      </w:r>
      <w:r w:rsidRPr="009B3C20">
        <w:rPr>
          <w:rFonts w:ascii="Verdana" w:eastAsia="Arial" w:hAnsi="Verdana" w:cs="Arial"/>
          <w:spacing w:val="-2"/>
          <w:sz w:val="20"/>
          <w:szCs w:val="20"/>
          <w:lang w:val="es-ES"/>
        </w:rPr>
        <w:t>lactancia.</w:t>
      </w:r>
    </w:p>
    <w:p w14:paraId="2023DC06" w14:textId="77777777" w:rsidR="009B3C20" w:rsidRPr="009B3C20" w:rsidRDefault="009B3C20" w:rsidP="009B3C20">
      <w:pPr>
        <w:widowControl w:val="0"/>
        <w:autoSpaceDE w:val="0"/>
        <w:autoSpaceDN w:val="0"/>
        <w:spacing w:after="0" w:line="240" w:lineRule="auto"/>
        <w:ind w:left="709" w:right="709"/>
        <w:jc w:val="both"/>
        <w:rPr>
          <w:rFonts w:ascii="Verdana" w:eastAsia="Arial" w:hAnsi="Verdana" w:cs="Arial"/>
          <w:sz w:val="20"/>
          <w:szCs w:val="20"/>
          <w:lang w:val="es-ES"/>
        </w:rPr>
      </w:pPr>
    </w:p>
    <w:p w14:paraId="1ABC9698" w14:textId="77777777" w:rsidR="009B3C20" w:rsidRPr="009B3C20" w:rsidRDefault="009B3C20" w:rsidP="009B3C20">
      <w:pPr>
        <w:widowControl w:val="0"/>
        <w:numPr>
          <w:ilvl w:val="0"/>
          <w:numId w:val="30"/>
        </w:numPr>
        <w:tabs>
          <w:tab w:val="left" w:pos="1167"/>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 xml:space="preserve">El empleador está en la obligación de conceder a la trabajadora dos (2) descansos, de treinta (30) minutos cada uno, dentro de la jornada para </w:t>
      </w:r>
      <w:r w:rsidRPr="009B3C20">
        <w:rPr>
          <w:rFonts w:ascii="Verdana" w:hAnsi="Verdana"/>
          <w:spacing w:val="-2"/>
          <w:sz w:val="20"/>
          <w:szCs w:val="20"/>
          <w:lang w:val="es-ES"/>
        </w:rPr>
        <w:t>amamantar</w:t>
      </w:r>
      <w:r w:rsidRPr="009B3C20">
        <w:rPr>
          <w:rFonts w:ascii="Verdana" w:hAnsi="Verdana"/>
          <w:spacing w:val="-9"/>
          <w:sz w:val="20"/>
          <w:szCs w:val="20"/>
          <w:lang w:val="es-ES"/>
        </w:rPr>
        <w:t xml:space="preserve"> </w:t>
      </w:r>
      <w:r w:rsidRPr="009B3C20">
        <w:rPr>
          <w:rFonts w:ascii="Verdana" w:hAnsi="Verdana"/>
          <w:spacing w:val="-2"/>
          <w:sz w:val="20"/>
          <w:szCs w:val="20"/>
          <w:lang w:val="es-ES"/>
        </w:rPr>
        <w:t>a</w:t>
      </w:r>
      <w:r w:rsidRPr="009B3C20">
        <w:rPr>
          <w:rFonts w:ascii="Verdana" w:hAnsi="Verdana"/>
          <w:spacing w:val="-12"/>
          <w:sz w:val="20"/>
          <w:szCs w:val="20"/>
          <w:lang w:val="es-ES"/>
        </w:rPr>
        <w:t xml:space="preserve"> </w:t>
      </w:r>
      <w:r w:rsidRPr="009B3C20">
        <w:rPr>
          <w:rFonts w:ascii="Verdana" w:hAnsi="Verdana"/>
          <w:spacing w:val="-2"/>
          <w:sz w:val="20"/>
          <w:szCs w:val="20"/>
          <w:lang w:val="es-ES"/>
        </w:rPr>
        <w:t>su</w:t>
      </w:r>
      <w:r w:rsidRPr="009B3C20">
        <w:rPr>
          <w:rFonts w:ascii="Verdana" w:hAnsi="Verdana"/>
          <w:spacing w:val="-11"/>
          <w:sz w:val="20"/>
          <w:szCs w:val="20"/>
          <w:lang w:val="es-ES"/>
        </w:rPr>
        <w:t xml:space="preserve"> </w:t>
      </w:r>
      <w:r w:rsidRPr="009B3C20">
        <w:rPr>
          <w:rFonts w:ascii="Verdana" w:hAnsi="Verdana"/>
          <w:spacing w:val="-2"/>
          <w:sz w:val="20"/>
          <w:szCs w:val="20"/>
          <w:lang w:val="es-ES"/>
        </w:rPr>
        <w:t>hijo,</w:t>
      </w:r>
      <w:r w:rsidRPr="009B3C20">
        <w:rPr>
          <w:rFonts w:ascii="Verdana" w:hAnsi="Verdana"/>
          <w:spacing w:val="-11"/>
          <w:sz w:val="20"/>
          <w:szCs w:val="20"/>
          <w:lang w:val="es-ES"/>
        </w:rPr>
        <w:t xml:space="preserve"> </w:t>
      </w:r>
      <w:r w:rsidRPr="009B3C20">
        <w:rPr>
          <w:rFonts w:ascii="Verdana" w:hAnsi="Verdana"/>
          <w:spacing w:val="-2"/>
          <w:sz w:val="20"/>
          <w:szCs w:val="20"/>
          <w:lang w:val="es-ES"/>
        </w:rPr>
        <w:t>sin</w:t>
      </w:r>
      <w:r w:rsidRPr="009B3C20">
        <w:rPr>
          <w:rFonts w:ascii="Verdana" w:hAnsi="Verdana"/>
          <w:spacing w:val="-11"/>
          <w:sz w:val="20"/>
          <w:szCs w:val="20"/>
          <w:lang w:val="es-ES"/>
        </w:rPr>
        <w:t xml:space="preserve"> </w:t>
      </w:r>
      <w:r w:rsidRPr="009B3C20">
        <w:rPr>
          <w:rFonts w:ascii="Verdana" w:hAnsi="Verdana"/>
          <w:spacing w:val="-2"/>
          <w:sz w:val="20"/>
          <w:szCs w:val="20"/>
          <w:lang w:val="es-ES"/>
        </w:rPr>
        <w:t>descuento</w:t>
      </w:r>
      <w:r w:rsidRPr="009B3C20">
        <w:rPr>
          <w:rFonts w:ascii="Verdana" w:hAnsi="Verdana"/>
          <w:spacing w:val="-9"/>
          <w:sz w:val="20"/>
          <w:szCs w:val="20"/>
          <w:lang w:val="es-ES"/>
        </w:rPr>
        <w:t xml:space="preserve"> </w:t>
      </w:r>
      <w:r w:rsidRPr="009B3C20">
        <w:rPr>
          <w:rFonts w:ascii="Verdana" w:hAnsi="Verdana"/>
          <w:spacing w:val="-2"/>
          <w:sz w:val="20"/>
          <w:szCs w:val="20"/>
          <w:lang w:val="es-ES"/>
        </w:rPr>
        <w:t>alguno</w:t>
      </w:r>
      <w:r w:rsidRPr="009B3C20">
        <w:rPr>
          <w:rFonts w:ascii="Verdana" w:hAnsi="Verdana"/>
          <w:spacing w:val="-10"/>
          <w:sz w:val="20"/>
          <w:szCs w:val="20"/>
          <w:lang w:val="es-ES"/>
        </w:rPr>
        <w:t xml:space="preserve"> </w:t>
      </w:r>
      <w:r w:rsidRPr="009B3C20">
        <w:rPr>
          <w:rFonts w:ascii="Verdana" w:hAnsi="Verdana"/>
          <w:spacing w:val="-2"/>
          <w:sz w:val="20"/>
          <w:szCs w:val="20"/>
          <w:lang w:val="es-ES"/>
        </w:rPr>
        <w:t>en</w:t>
      </w:r>
      <w:r w:rsidRPr="009B3C20">
        <w:rPr>
          <w:rFonts w:ascii="Verdana" w:hAnsi="Verdana"/>
          <w:spacing w:val="-11"/>
          <w:sz w:val="20"/>
          <w:szCs w:val="20"/>
          <w:lang w:val="es-ES"/>
        </w:rPr>
        <w:t xml:space="preserve"> </w:t>
      </w:r>
      <w:r w:rsidRPr="009B3C20">
        <w:rPr>
          <w:rFonts w:ascii="Verdana" w:hAnsi="Verdana"/>
          <w:spacing w:val="-2"/>
          <w:sz w:val="20"/>
          <w:szCs w:val="20"/>
          <w:lang w:val="es-ES"/>
        </w:rPr>
        <w:t>el</w:t>
      </w:r>
      <w:r w:rsidRPr="009B3C20">
        <w:rPr>
          <w:rFonts w:ascii="Verdana" w:hAnsi="Verdana"/>
          <w:spacing w:val="-11"/>
          <w:sz w:val="20"/>
          <w:szCs w:val="20"/>
          <w:lang w:val="es-ES"/>
        </w:rPr>
        <w:t xml:space="preserve"> </w:t>
      </w:r>
      <w:r w:rsidRPr="009B3C20">
        <w:rPr>
          <w:rFonts w:ascii="Verdana" w:hAnsi="Verdana"/>
          <w:spacing w:val="-2"/>
          <w:sz w:val="20"/>
          <w:szCs w:val="20"/>
          <w:lang w:val="es-ES"/>
        </w:rPr>
        <w:t>salario</w:t>
      </w:r>
      <w:r w:rsidRPr="009B3C20">
        <w:rPr>
          <w:rFonts w:ascii="Verdana" w:hAnsi="Verdana"/>
          <w:spacing w:val="-10"/>
          <w:sz w:val="20"/>
          <w:szCs w:val="20"/>
          <w:lang w:val="es-ES"/>
        </w:rPr>
        <w:t xml:space="preserve"> </w:t>
      </w:r>
      <w:r w:rsidRPr="009B3C20">
        <w:rPr>
          <w:rFonts w:ascii="Verdana" w:hAnsi="Verdana"/>
          <w:spacing w:val="-2"/>
          <w:sz w:val="20"/>
          <w:szCs w:val="20"/>
          <w:lang w:val="es-ES"/>
        </w:rPr>
        <w:t>por</w:t>
      </w:r>
      <w:r w:rsidRPr="009B3C20">
        <w:rPr>
          <w:rFonts w:ascii="Verdana" w:hAnsi="Verdana"/>
          <w:spacing w:val="-11"/>
          <w:sz w:val="20"/>
          <w:szCs w:val="20"/>
          <w:lang w:val="es-ES"/>
        </w:rPr>
        <w:t xml:space="preserve"> </w:t>
      </w:r>
      <w:r w:rsidRPr="009B3C20">
        <w:rPr>
          <w:rFonts w:ascii="Verdana" w:hAnsi="Verdana"/>
          <w:spacing w:val="-2"/>
          <w:sz w:val="20"/>
          <w:szCs w:val="20"/>
          <w:lang w:val="es-ES"/>
        </w:rPr>
        <w:t>dicho</w:t>
      </w:r>
      <w:r w:rsidRPr="009B3C20">
        <w:rPr>
          <w:rFonts w:ascii="Verdana" w:hAnsi="Verdana"/>
          <w:spacing w:val="-10"/>
          <w:sz w:val="20"/>
          <w:szCs w:val="20"/>
          <w:lang w:val="es-ES"/>
        </w:rPr>
        <w:t xml:space="preserve"> </w:t>
      </w:r>
      <w:r w:rsidRPr="009B3C20">
        <w:rPr>
          <w:rFonts w:ascii="Verdana" w:hAnsi="Verdana"/>
          <w:spacing w:val="-2"/>
          <w:sz w:val="20"/>
          <w:szCs w:val="20"/>
          <w:lang w:val="es-ES"/>
        </w:rPr>
        <w:t xml:space="preserve">concepto, </w:t>
      </w:r>
      <w:r w:rsidRPr="009B3C20">
        <w:rPr>
          <w:rFonts w:ascii="Verdana" w:hAnsi="Verdana"/>
          <w:sz w:val="20"/>
          <w:szCs w:val="20"/>
          <w:lang w:val="es-ES"/>
        </w:rPr>
        <w:t>durante los primeros seis (6) meses de edad, y una vez cumplido este</w:t>
      </w:r>
      <w:r w:rsidRPr="009B3C20">
        <w:rPr>
          <w:rFonts w:ascii="Verdana" w:hAnsi="Verdana"/>
          <w:spacing w:val="80"/>
          <w:sz w:val="20"/>
          <w:szCs w:val="20"/>
          <w:lang w:val="es-ES"/>
        </w:rPr>
        <w:t xml:space="preserve"> </w:t>
      </w:r>
      <w:r w:rsidRPr="009B3C20">
        <w:rPr>
          <w:rFonts w:ascii="Verdana" w:hAnsi="Verdana"/>
          <w:sz w:val="20"/>
          <w:szCs w:val="20"/>
          <w:lang w:val="es-ES"/>
        </w:rPr>
        <w:t>periodo, un (1) descanso de treinta (30) minutos en los mismos términos hasta</w:t>
      </w:r>
      <w:r w:rsidRPr="009B3C20">
        <w:rPr>
          <w:rFonts w:ascii="Verdana" w:hAnsi="Verdana"/>
          <w:spacing w:val="-9"/>
          <w:sz w:val="20"/>
          <w:szCs w:val="20"/>
          <w:lang w:val="es-ES"/>
        </w:rPr>
        <w:t xml:space="preserve"> </w:t>
      </w:r>
      <w:r w:rsidRPr="009B3C20">
        <w:rPr>
          <w:rFonts w:ascii="Verdana" w:hAnsi="Verdana"/>
          <w:sz w:val="20"/>
          <w:szCs w:val="20"/>
          <w:lang w:val="es-ES"/>
        </w:rPr>
        <w:t>los</w:t>
      </w:r>
      <w:r w:rsidRPr="009B3C20">
        <w:rPr>
          <w:rFonts w:ascii="Verdana" w:hAnsi="Verdana"/>
          <w:spacing w:val="-9"/>
          <w:sz w:val="20"/>
          <w:szCs w:val="20"/>
          <w:lang w:val="es-ES"/>
        </w:rPr>
        <w:t xml:space="preserve"> </w:t>
      </w:r>
      <w:r w:rsidRPr="009B3C20">
        <w:rPr>
          <w:rFonts w:ascii="Verdana" w:hAnsi="Verdana"/>
          <w:sz w:val="20"/>
          <w:szCs w:val="20"/>
          <w:lang w:val="es-ES"/>
        </w:rPr>
        <w:t>dos</w:t>
      </w:r>
      <w:r w:rsidRPr="009B3C20">
        <w:rPr>
          <w:rFonts w:ascii="Verdana" w:hAnsi="Verdana"/>
          <w:spacing w:val="-9"/>
          <w:sz w:val="20"/>
          <w:szCs w:val="20"/>
          <w:lang w:val="es-ES"/>
        </w:rPr>
        <w:t xml:space="preserve"> </w:t>
      </w:r>
      <w:r w:rsidRPr="009B3C20">
        <w:rPr>
          <w:rFonts w:ascii="Verdana" w:hAnsi="Verdana"/>
          <w:sz w:val="20"/>
          <w:szCs w:val="20"/>
          <w:lang w:val="es-ES"/>
        </w:rPr>
        <w:t>(2)</w:t>
      </w:r>
      <w:r w:rsidRPr="009B3C20">
        <w:rPr>
          <w:rFonts w:ascii="Verdana" w:hAnsi="Verdana"/>
          <w:spacing w:val="-9"/>
          <w:sz w:val="20"/>
          <w:szCs w:val="20"/>
          <w:lang w:val="es-ES"/>
        </w:rPr>
        <w:t xml:space="preserve"> </w:t>
      </w:r>
      <w:r w:rsidRPr="009B3C20">
        <w:rPr>
          <w:rFonts w:ascii="Verdana" w:hAnsi="Verdana"/>
          <w:sz w:val="20"/>
          <w:szCs w:val="20"/>
          <w:lang w:val="es-ES"/>
        </w:rPr>
        <w:t>años</w:t>
      </w:r>
      <w:r w:rsidRPr="009B3C20">
        <w:rPr>
          <w:rFonts w:ascii="Verdana" w:hAnsi="Verdana"/>
          <w:spacing w:val="-9"/>
          <w:sz w:val="20"/>
          <w:szCs w:val="20"/>
          <w:lang w:val="es-ES"/>
        </w:rPr>
        <w:t xml:space="preserve"> </w:t>
      </w:r>
      <w:r w:rsidRPr="009B3C20">
        <w:rPr>
          <w:rFonts w:ascii="Verdana" w:hAnsi="Verdana"/>
          <w:sz w:val="20"/>
          <w:szCs w:val="20"/>
          <w:lang w:val="es-ES"/>
        </w:rPr>
        <w:t>de</w:t>
      </w:r>
      <w:r w:rsidRPr="009B3C20">
        <w:rPr>
          <w:rFonts w:ascii="Verdana" w:hAnsi="Verdana"/>
          <w:spacing w:val="-10"/>
          <w:sz w:val="20"/>
          <w:szCs w:val="20"/>
          <w:lang w:val="es-ES"/>
        </w:rPr>
        <w:t xml:space="preserve"> </w:t>
      </w:r>
      <w:r w:rsidRPr="009B3C20">
        <w:rPr>
          <w:rFonts w:ascii="Verdana" w:hAnsi="Verdana"/>
          <w:sz w:val="20"/>
          <w:szCs w:val="20"/>
          <w:lang w:val="es-ES"/>
        </w:rPr>
        <w:t>edad</w:t>
      </w:r>
      <w:r w:rsidRPr="009B3C20">
        <w:rPr>
          <w:rFonts w:ascii="Verdana" w:hAnsi="Verdana"/>
          <w:spacing w:val="-9"/>
          <w:sz w:val="20"/>
          <w:szCs w:val="20"/>
          <w:lang w:val="es-ES"/>
        </w:rPr>
        <w:t xml:space="preserve"> </w:t>
      </w:r>
      <w:r w:rsidRPr="009B3C20">
        <w:rPr>
          <w:rFonts w:ascii="Verdana" w:hAnsi="Verdana"/>
          <w:sz w:val="20"/>
          <w:szCs w:val="20"/>
          <w:lang w:val="es-ES"/>
        </w:rPr>
        <w:t>de/</w:t>
      </w:r>
      <w:r w:rsidRPr="009B3C20">
        <w:rPr>
          <w:rFonts w:ascii="Verdana" w:hAnsi="Verdana"/>
          <w:spacing w:val="-9"/>
          <w:sz w:val="20"/>
          <w:szCs w:val="20"/>
          <w:lang w:val="es-ES"/>
        </w:rPr>
        <w:t xml:space="preserve"> </w:t>
      </w:r>
      <w:r w:rsidRPr="009B3C20">
        <w:rPr>
          <w:rFonts w:ascii="Verdana" w:hAnsi="Verdana"/>
          <w:sz w:val="20"/>
          <w:szCs w:val="20"/>
          <w:lang w:val="es-ES"/>
        </w:rPr>
        <w:t>menor:</w:t>
      </w:r>
      <w:r w:rsidRPr="009B3C20">
        <w:rPr>
          <w:rFonts w:ascii="Verdana" w:hAnsi="Verdana"/>
          <w:spacing w:val="-9"/>
          <w:sz w:val="20"/>
          <w:szCs w:val="20"/>
          <w:lang w:val="es-ES"/>
        </w:rPr>
        <w:t xml:space="preserve"> </w:t>
      </w:r>
      <w:r w:rsidRPr="009B3C20">
        <w:rPr>
          <w:rFonts w:ascii="Verdana" w:hAnsi="Verdana"/>
          <w:sz w:val="20"/>
          <w:szCs w:val="20"/>
          <w:lang w:val="es-ES"/>
        </w:rPr>
        <w:t>siempre</w:t>
      </w:r>
      <w:r w:rsidRPr="009B3C20">
        <w:rPr>
          <w:rFonts w:ascii="Verdana" w:hAnsi="Verdana"/>
          <w:spacing w:val="-8"/>
          <w:sz w:val="20"/>
          <w:szCs w:val="20"/>
          <w:lang w:val="es-ES"/>
        </w:rPr>
        <w:t xml:space="preserve"> </w:t>
      </w:r>
      <w:r w:rsidRPr="009B3C20">
        <w:rPr>
          <w:rFonts w:ascii="Verdana" w:hAnsi="Verdana"/>
          <w:sz w:val="20"/>
          <w:szCs w:val="20"/>
          <w:lang w:val="es-ES"/>
        </w:rPr>
        <w:t>y</w:t>
      </w:r>
      <w:r w:rsidRPr="009B3C20">
        <w:rPr>
          <w:rFonts w:ascii="Verdana" w:hAnsi="Verdana"/>
          <w:spacing w:val="-10"/>
          <w:sz w:val="20"/>
          <w:szCs w:val="20"/>
          <w:lang w:val="es-ES"/>
        </w:rPr>
        <w:t xml:space="preserve"> </w:t>
      </w:r>
      <w:r w:rsidRPr="009B3C20">
        <w:rPr>
          <w:rFonts w:ascii="Verdana" w:hAnsi="Verdana"/>
          <w:sz w:val="20"/>
          <w:szCs w:val="20"/>
          <w:lang w:val="es-ES"/>
        </w:rPr>
        <w:t>cuando</w:t>
      </w:r>
      <w:r w:rsidRPr="009B3C20">
        <w:rPr>
          <w:rFonts w:ascii="Verdana" w:hAnsi="Verdana"/>
          <w:spacing w:val="-8"/>
          <w:sz w:val="20"/>
          <w:szCs w:val="20"/>
          <w:lang w:val="es-ES"/>
        </w:rPr>
        <w:t xml:space="preserve"> </w:t>
      </w:r>
      <w:r w:rsidRPr="009B3C20">
        <w:rPr>
          <w:rFonts w:ascii="Verdana" w:hAnsi="Verdana"/>
          <w:sz w:val="20"/>
          <w:szCs w:val="20"/>
          <w:lang w:val="es-ES"/>
        </w:rPr>
        <w:t>se</w:t>
      </w:r>
      <w:r w:rsidRPr="009B3C20">
        <w:rPr>
          <w:rFonts w:ascii="Verdana" w:hAnsi="Verdana"/>
          <w:spacing w:val="-9"/>
          <w:sz w:val="20"/>
          <w:szCs w:val="20"/>
          <w:lang w:val="es-ES"/>
        </w:rPr>
        <w:t xml:space="preserve"> </w:t>
      </w:r>
      <w:r w:rsidRPr="009B3C20">
        <w:rPr>
          <w:rFonts w:ascii="Verdana" w:hAnsi="Verdana"/>
          <w:sz w:val="20"/>
          <w:szCs w:val="20"/>
          <w:lang w:val="es-ES"/>
        </w:rPr>
        <w:t>mantenga y manifieste una adecuada lactancia materno-continua.</w:t>
      </w:r>
    </w:p>
    <w:p w14:paraId="4FE9F27A" w14:textId="77777777" w:rsidR="009B3C20" w:rsidRPr="009B3C20" w:rsidRDefault="009B3C20" w:rsidP="009B3C20">
      <w:pPr>
        <w:widowControl w:val="0"/>
        <w:tabs>
          <w:tab w:val="left" w:pos="1167"/>
        </w:tabs>
        <w:autoSpaceDE w:val="0"/>
        <w:autoSpaceDN w:val="0"/>
        <w:spacing w:after="0" w:line="240" w:lineRule="auto"/>
        <w:ind w:left="709" w:right="709"/>
        <w:contextualSpacing/>
        <w:jc w:val="both"/>
        <w:rPr>
          <w:rFonts w:ascii="Verdana" w:hAnsi="Verdana"/>
          <w:sz w:val="20"/>
          <w:szCs w:val="20"/>
          <w:lang w:val="es-ES"/>
        </w:rPr>
      </w:pPr>
    </w:p>
    <w:p w14:paraId="5D080112" w14:textId="77777777" w:rsidR="009B3C20" w:rsidRPr="009B3C20" w:rsidRDefault="009B3C20" w:rsidP="009B3C20">
      <w:pPr>
        <w:widowControl w:val="0"/>
        <w:numPr>
          <w:ilvl w:val="0"/>
          <w:numId w:val="30"/>
        </w:numPr>
        <w:tabs>
          <w:tab w:val="left" w:pos="1241"/>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El</w:t>
      </w:r>
      <w:r w:rsidRPr="009B3C20">
        <w:rPr>
          <w:rFonts w:ascii="Verdana" w:hAnsi="Verdana"/>
          <w:spacing w:val="-2"/>
          <w:sz w:val="20"/>
          <w:szCs w:val="20"/>
          <w:lang w:val="es-ES"/>
        </w:rPr>
        <w:t xml:space="preserve"> </w:t>
      </w:r>
      <w:r w:rsidRPr="009B3C20">
        <w:rPr>
          <w:rFonts w:ascii="Verdana" w:hAnsi="Verdana"/>
          <w:sz w:val="20"/>
          <w:szCs w:val="20"/>
          <w:lang w:val="es-ES"/>
        </w:rPr>
        <w:t>empleador está</w:t>
      </w:r>
      <w:r w:rsidRPr="009B3C20">
        <w:rPr>
          <w:rFonts w:ascii="Verdana" w:hAnsi="Verdana"/>
          <w:spacing w:val="-1"/>
          <w:sz w:val="20"/>
          <w:szCs w:val="20"/>
          <w:lang w:val="es-ES"/>
        </w:rPr>
        <w:t xml:space="preserve"> </w:t>
      </w:r>
      <w:r w:rsidRPr="009B3C20">
        <w:rPr>
          <w:rFonts w:ascii="Verdana" w:hAnsi="Verdana"/>
          <w:sz w:val="20"/>
          <w:szCs w:val="20"/>
          <w:lang w:val="es-ES"/>
        </w:rPr>
        <w:t>en</w:t>
      </w:r>
      <w:r w:rsidRPr="009B3C20">
        <w:rPr>
          <w:rFonts w:ascii="Verdana" w:hAnsi="Verdana"/>
          <w:spacing w:val="-2"/>
          <w:sz w:val="20"/>
          <w:szCs w:val="20"/>
          <w:lang w:val="es-ES"/>
        </w:rPr>
        <w:t xml:space="preserve"> </w:t>
      </w:r>
      <w:r w:rsidRPr="009B3C20">
        <w:rPr>
          <w:rFonts w:ascii="Verdana" w:hAnsi="Verdana"/>
          <w:sz w:val="20"/>
          <w:szCs w:val="20"/>
          <w:lang w:val="es-ES"/>
        </w:rPr>
        <w:t>la</w:t>
      </w:r>
      <w:r w:rsidRPr="009B3C20">
        <w:rPr>
          <w:rFonts w:ascii="Verdana" w:hAnsi="Verdana"/>
          <w:spacing w:val="-2"/>
          <w:sz w:val="20"/>
          <w:szCs w:val="20"/>
          <w:lang w:val="es-ES"/>
        </w:rPr>
        <w:t xml:space="preserve"> </w:t>
      </w:r>
      <w:r w:rsidRPr="009B3C20">
        <w:rPr>
          <w:rFonts w:ascii="Verdana" w:hAnsi="Verdana"/>
          <w:sz w:val="20"/>
          <w:szCs w:val="20"/>
          <w:lang w:val="es-ES"/>
        </w:rPr>
        <w:t>obligación de</w:t>
      </w:r>
      <w:r w:rsidRPr="009B3C20">
        <w:rPr>
          <w:rFonts w:ascii="Verdana" w:hAnsi="Verdana"/>
          <w:spacing w:val="-2"/>
          <w:sz w:val="20"/>
          <w:szCs w:val="20"/>
          <w:lang w:val="es-ES"/>
        </w:rPr>
        <w:t xml:space="preserve"> </w:t>
      </w:r>
      <w:r w:rsidRPr="009B3C20">
        <w:rPr>
          <w:rFonts w:ascii="Verdana" w:hAnsi="Verdana"/>
          <w:sz w:val="20"/>
          <w:szCs w:val="20"/>
          <w:lang w:val="es-ES"/>
        </w:rPr>
        <w:t>conceder más</w:t>
      </w:r>
      <w:r w:rsidRPr="009B3C20">
        <w:rPr>
          <w:rFonts w:ascii="Verdana" w:hAnsi="Verdana"/>
          <w:spacing w:val="-2"/>
          <w:sz w:val="20"/>
          <w:szCs w:val="20"/>
          <w:lang w:val="es-ES"/>
        </w:rPr>
        <w:t xml:space="preserve"> </w:t>
      </w:r>
      <w:r w:rsidRPr="009B3C20">
        <w:rPr>
          <w:rFonts w:ascii="Verdana" w:hAnsi="Verdana"/>
          <w:sz w:val="20"/>
          <w:szCs w:val="20"/>
          <w:lang w:val="es-ES"/>
        </w:rPr>
        <w:t>descansos que</w:t>
      </w:r>
      <w:r w:rsidRPr="009B3C20">
        <w:rPr>
          <w:rFonts w:ascii="Verdana" w:hAnsi="Verdana"/>
          <w:spacing w:val="-2"/>
          <w:sz w:val="20"/>
          <w:szCs w:val="20"/>
          <w:lang w:val="es-ES"/>
        </w:rPr>
        <w:t xml:space="preserve"> </w:t>
      </w:r>
      <w:r w:rsidRPr="009B3C20">
        <w:rPr>
          <w:rFonts w:ascii="Verdana" w:hAnsi="Verdana"/>
          <w:sz w:val="20"/>
          <w:szCs w:val="20"/>
          <w:lang w:val="es-ES"/>
        </w:rPr>
        <w:t>los establecidos en el inciso anterior si lo trabajadora presenta certificado médico en el cual se expongan las razones que justifiquen ese mayor número de descansos.</w:t>
      </w:r>
    </w:p>
    <w:p w14:paraId="171DE5B6" w14:textId="77777777" w:rsidR="009B3C20" w:rsidRPr="009B3C20" w:rsidRDefault="009B3C20" w:rsidP="009B3C20">
      <w:pPr>
        <w:widowControl w:val="0"/>
        <w:autoSpaceDE w:val="0"/>
        <w:autoSpaceDN w:val="0"/>
        <w:spacing w:after="0" w:line="240" w:lineRule="auto"/>
        <w:ind w:left="709" w:right="709"/>
        <w:jc w:val="both"/>
        <w:rPr>
          <w:rFonts w:ascii="Verdana" w:eastAsia="Arial" w:hAnsi="Verdana" w:cs="Arial"/>
          <w:sz w:val="20"/>
          <w:szCs w:val="20"/>
          <w:lang w:val="es-ES"/>
        </w:rPr>
      </w:pPr>
    </w:p>
    <w:p w14:paraId="7102263F" w14:textId="77777777" w:rsidR="009B3C20" w:rsidRPr="009B3C20" w:rsidRDefault="009B3C20" w:rsidP="009B3C20">
      <w:pPr>
        <w:widowControl w:val="0"/>
        <w:numPr>
          <w:ilvl w:val="0"/>
          <w:numId w:val="30"/>
        </w:numPr>
        <w:tabs>
          <w:tab w:val="left" w:pos="1247"/>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Para dar cumplimiento a la obligación consagrada en este artículo, los empleadores deben establecer en un local contiguo a aquel en donde la mujer</w:t>
      </w:r>
      <w:r w:rsidRPr="009B3C20">
        <w:rPr>
          <w:rFonts w:ascii="Verdana" w:hAnsi="Verdana"/>
          <w:spacing w:val="-4"/>
          <w:sz w:val="20"/>
          <w:szCs w:val="20"/>
          <w:lang w:val="es-ES"/>
        </w:rPr>
        <w:t xml:space="preserve"> </w:t>
      </w:r>
      <w:r w:rsidRPr="009B3C20">
        <w:rPr>
          <w:rFonts w:ascii="Verdana" w:hAnsi="Verdana"/>
          <w:sz w:val="20"/>
          <w:szCs w:val="20"/>
          <w:lang w:val="es-ES"/>
        </w:rPr>
        <w:t>trabaja,</w:t>
      </w:r>
      <w:r w:rsidRPr="009B3C20">
        <w:rPr>
          <w:rFonts w:ascii="Verdana" w:hAnsi="Verdana"/>
          <w:spacing w:val="-3"/>
          <w:sz w:val="20"/>
          <w:szCs w:val="20"/>
          <w:lang w:val="es-ES"/>
        </w:rPr>
        <w:t xml:space="preserve"> </w:t>
      </w:r>
      <w:r w:rsidRPr="009B3C20">
        <w:rPr>
          <w:rFonts w:ascii="Verdana" w:hAnsi="Verdana"/>
          <w:sz w:val="20"/>
          <w:szCs w:val="20"/>
          <w:lang w:val="es-ES"/>
        </w:rPr>
        <w:t>una</w:t>
      </w:r>
      <w:r w:rsidRPr="009B3C20">
        <w:rPr>
          <w:rFonts w:ascii="Verdana" w:hAnsi="Verdana"/>
          <w:spacing w:val="-5"/>
          <w:sz w:val="20"/>
          <w:szCs w:val="20"/>
          <w:lang w:val="es-ES"/>
        </w:rPr>
        <w:t xml:space="preserve"> </w:t>
      </w:r>
      <w:r w:rsidRPr="009B3C20">
        <w:rPr>
          <w:rFonts w:ascii="Verdana" w:hAnsi="Verdana"/>
          <w:sz w:val="20"/>
          <w:szCs w:val="20"/>
          <w:lang w:val="es-ES"/>
        </w:rPr>
        <w:t>sala</w:t>
      </w:r>
      <w:r w:rsidRPr="009B3C20">
        <w:rPr>
          <w:rFonts w:ascii="Verdana" w:hAnsi="Verdana"/>
          <w:spacing w:val="-5"/>
          <w:sz w:val="20"/>
          <w:szCs w:val="20"/>
          <w:lang w:val="es-ES"/>
        </w:rPr>
        <w:t xml:space="preserve"> </w:t>
      </w:r>
      <w:r w:rsidRPr="009B3C20">
        <w:rPr>
          <w:rFonts w:ascii="Verdana" w:hAnsi="Verdana"/>
          <w:sz w:val="20"/>
          <w:szCs w:val="20"/>
          <w:lang w:val="es-ES"/>
        </w:rPr>
        <w:t>de</w:t>
      </w:r>
      <w:r w:rsidRPr="009B3C20">
        <w:rPr>
          <w:rFonts w:ascii="Verdana" w:hAnsi="Verdana"/>
          <w:spacing w:val="-5"/>
          <w:sz w:val="20"/>
          <w:szCs w:val="20"/>
          <w:lang w:val="es-ES"/>
        </w:rPr>
        <w:t xml:space="preserve"> </w:t>
      </w:r>
      <w:r w:rsidRPr="009B3C20">
        <w:rPr>
          <w:rFonts w:ascii="Verdana" w:hAnsi="Verdana"/>
          <w:sz w:val="20"/>
          <w:szCs w:val="20"/>
          <w:lang w:val="es-ES"/>
        </w:rPr>
        <w:t>lactancia</w:t>
      </w:r>
      <w:r w:rsidRPr="009B3C20">
        <w:rPr>
          <w:rFonts w:ascii="Verdana" w:hAnsi="Verdana"/>
          <w:spacing w:val="-3"/>
          <w:sz w:val="20"/>
          <w:szCs w:val="20"/>
          <w:lang w:val="es-ES"/>
        </w:rPr>
        <w:t xml:space="preserve"> </w:t>
      </w:r>
      <w:r w:rsidRPr="009B3C20">
        <w:rPr>
          <w:rFonts w:ascii="Verdana" w:hAnsi="Verdana"/>
          <w:sz w:val="20"/>
          <w:szCs w:val="20"/>
          <w:lang w:val="es-ES"/>
        </w:rPr>
        <w:t>o</w:t>
      </w:r>
      <w:r w:rsidRPr="009B3C20">
        <w:rPr>
          <w:rFonts w:ascii="Verdana" w:hAnsi="Verdana"/>
          <w:spacing w:val="-6"/>
          <w:sz w:val="20"/>
          <w:szCs w:val="20"/>
          <w:lang w:val="es-ES"/>
        </w:rPr>
        <w:t xml:space="preserve"> </w:t>
      </w:r>
      <w:r w:rsidRPr="009B3C20">
        <w:rPr>
          <w:rFonts w:ascii="Verdana" w:hAnsi="Verdana"/>
          <w:sz w:val="20"/>
          <w:szCs w:val="20"/>
          <w:lang w:val="es-ES"/>
        </w:rPr>
        <w:t>un</w:t>
      </w:r>
      <w:r w:rsidRPr="009B3C20">
        <w:rPr>
          <w:rFonts w:ascii="Verdana" w:hAnsi="Verdana"/>
          <w:spacing w:val="-5"/>
          <w:sz w:val="20"/>
          <w:szCs w:val="20"/>
          <w:lang w:val="es-ES"/>
        </w:rPr>
        <w:t xml:space="preserve"> </w:t>
      </w:r>
      <w:r w:rsidRPr="009B3C20">
        <w:rPr>
          <w:rFonts w:ascii="Verdana" w:hAnsi="Verdana"/>
          <w:sz w:val="20"/>
          <w:szCs w:val="20"/>
          <w:lang w:val="es-ES"/>
        </w:rPr>
        <w:t>lugar</w:t>
      </w:r>
      <w:r w:rsidRPr="009B3C20">
        <w:rPr>
          <w:rFonts w:ascii="Verdana" w:hAnsi="Verdana"/>
          <w:spacing w:val="-4"/>
          <w:sz w:val="20"/>
          <w:szCs w:val="20"/>
          <w:lang w:val="es-ES"/>
        </w:rPr>
        <w:t xml:space="preserve"> </w:t>
      </w:r>
      <w:r w:rsidRPr="009B3C20">
        <w:rPr>
          <w:rFonts w:ascii="Verdana" w:hAnsi="Verdana"/>
          <w:sz w:val="20"/>
          <w:szCs w:val="20"/>
          <w:lang w:val="es-ES"/>
        </w:rPr>
        <w:t>apropiado</w:t>
      </w:r>
      <w:r w:rsidRPr="009B3C20">
        <w:rPr>
          <w:rFonts w:ascii="Verdana" w:hAnsi="Verdana"/>
          <w:spacing w:val="-3"/>
          <w:sz w:val="20"/>
          <w:szCs w:val="20"/>
          <w:lang w:val="es-ES"/>
        </w:rPr>
        <w:t xml:space="preserve"> </w:t>
      </w:r>
      <w:r w:rsidRPr="009B3C20">
        <w:rPr>
          <w:rFonts w:ascii="Verdana" w:hAnsi="Verdana"/>
          <w:sz w:val="20"/>
          <w:szCs w:val="20"/>
          <w:lang w:val="es-ES"/>
        </w:rPr>
        <w:t>para</w:t>
      </w:r>
      <w:r w:rsidRPr="009B3C20">
        <w:rPr>
          <w:rFonts w:ascii="Verdana" w:hAnsi="Verdana"/>
          <w:spacing w:val="-5"/>
          <w:sz w:val="20"/>
          <w:szCs w:val="20"/>
          <w:lang w:val="es-ES"/>
        </w:rPr>
        <w:t xml:space="preserve"> </w:t>
      </w:r>
      <w:r w:rsidRPr="009B3C20">
        <w:rPr>
          <w:rFonts w:ascii="Verdana" w:hAnsi="Verdana"/>
          <w:sz w:val="20"/>
          <w:szCs w:val="20"/>
          <w:lang w:val="es-ES"/>
        </w:rPr>
        <w:t>guardar</w:t>
      </w:r>
      <w:r w:rsidRPr="009B3C20">
        <w:rPr>
          <w:rFonts w:ascii="Verdana" w:hAnsi="Verdana"/>
          <w:spacing w:val="-4"/>
          <w:sz w:val="20"/>
          <w:szCs w:val="20"/>
          <w:lang w:val="es-ES"/>
        </w:rPr>
        <w:t xml:space="preserve"> </w:t>
      </w:r>
      <w:r w:rsidRPr="009B3C20">
        <w:rPr>
          <w:rFonts w:ascii="Verdana" w:hAnsi="Verdana"/>
          <w:sz w:val="20"/>
          <w:szCs w:val="20"/>
          <w:lang w:val="es-ES"/>
        </w:rPr>
        <w:t xml:space="preserve">al </w:t>
      </w:r>
      <w:r w:rsidRPr="009B3C20">
        <w:rPr>
          <w:rFonts w:ascii="Verdana" w:hAnsi="Verdana"/>
          <w:spacing w:val="-2"/>
          <w:sz w:val="20"/>
          <w:szCs w:val="20"/>
          <w:lang w:val="es-ES"/>
        </w:rPr>
        <w:t>niño.</w:t>
      </w:r>
    </w:p>
    <w:p w14:paraId="7A822263" w14:textId="77777777" w:rsidR="009B3C20" w:rsidRPr="009B3C20" w:rsidRDefault="009B3C20" w:rsidP="009B3C20">
      <w:pPr>
        <w:widowControl w:val="0"/>
        <w:autoSpaceDE w:val="0"/>
        <w:autoSpaceDN w:val="0"/>
        <w:spacing w:after="0" w:line="240" w:lineRule="auto"/>
        <w:ind w:left="709" w:right="709"/>
        <w:jc w:val="both"/>
        <w:rPr>
          <w:rFonts w:ascii="Verdana" w:eastAsia="Arial" w:hAnsi="Verdana" w:cs="Arial"/>
          <w:sz w:val="20"/>
          <w:szCs w:val="20"/>
          <w:lang w:val="es-ES"/>
        </w:rPr>
      </w:pPr>
    </w:p>
    <w:p w14:paraId="6D6E388F" w14:textId="77777777" w:rsidR="009B3C20" w:rsidRPr="009B3C20" w:rsidRDefault="009B3C20" w:rsidP="009B3C20">
      <w:pPr>
        <w:widowControl w:val="0"/>
        <w:numPr>
          <w:ilvl w:val="0"/>
          <w:numId w:val="30"/>
        </w:numPr>
        <w:tabs>
          <w:tab w:val="left" w:pos="1253"/>
        </w:tabs>
        <w:autoSpaceDE w:val="0"/>
        <w:autoSpaceDN w:val="0"/>
        <w:spacing w:after="0" w:line="240" w:lineRule="auto"/>
        <w:ind w:left="709" w:right="709" w:firstLine="0"/>
        <w:contextualSpacing/>
        <w:jc w:val="both"/>
        <w:rPr>
          <w:rFonts w:ascii="Verdana" w:hAnsi="Verdana"/>
          <w:sz w:val="20"/>
          <w:szCs w:val="20"/>
          <w:lang w:val="es-ES"/>
        </w:rPr>
      </w:pPr>
      <w:r w:rsidRPr="009B3C20">
        <w:rPr>
          <w:rFonts w:ascii="Verdana" w:hAnsi="Verdana"/>
          <w:sz w:val="20"/>
          <w:szCs w:val="20"/>
          <w:lang w:val="es-ES"/>
        </w:rPr>
        <w:t>Los empleadores pueden contratar con las instituciones de protección infantil el inciso anterior”.</w:t>
      </w:r>
    </w:p>
    <w:p w14:paraId="387CA4E2" w14:textId="77777777" w:rsidR="009B3C20" w:rsidRPr="009B3C20" w:rsidRDefault="009B3C20" w:rsidP="009B3C20">
      <w:pPr>
        <w:spacing w:after="0" w:line="240" w:lineRule="auto"/>
        <w:contextualSpacing/>
        <w:rPr>
          <w:rFonts w:ascii="Verdana" w:hAnsi="Verdana"/>
          <w:lang w:val="es-ES"/>
        </w:rPr>
      </w:pPr>
    </w:p>
    <w:p w14:paraId="20CE5156" w14:textId="77777777" w:rsidR="009B3C20" w:rsidRPr="009B3C20" w:rsidRDefault="009B3C20" w:rsidP="009B3C20">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Según se deprende del texto transcrito, la norma concede un descanso remunerado para las trabajadoras durante el periodo de lactancia de la siguiente forma: </w:t>
      </w:r>
    </w:p>
    <w:p w14:paraId="261324EA" w14:textId="77777777" w:rsidR="009B3C20" w:rsidRPr="009B3C20" w:rsidRDefault="009B3C20" w:rsidP="009B3C20">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i) hasta los seis (6) meses de edad, los empleadores deben conceder dos (2) descansos de treinta (30) minutos cada uno durante la jornada laboral y; </w:t>
      </w:r>
    </w:p>
    <w:p w14:paraId="477BE239" w14:textId="77777777" w:rsidR="009B3C20" w:rsidRPr="009B3C20" w:rsidRDefault="009B3C20" w:rsidP="009B3C20">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ii) de los seis (6) en adelante y hasta los dos (2) años de edad, se debe conceder a la trabajadora un descanso de treinta (30) minutos durante la jornada laboral, sin que estos descansos impliquen una disminución en el salario devengado.</w:t>
      </w:r>
    </w:p>
    <w:p w14:paraId="76A28DE7" w14:textId="77777777" w:rsidR="009B3C20" w:rsidRPr="009B3C20" w:rsidRDefault="009B3C20" w:rsidP="009B3C20">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 xml:space="preserve">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cómo opera durante el periodo de lactancia. De acuerdo con lo establecido en el artículo 239 ibidem se presume </w:t>
      </w:r>
      <w:r w:rsidRPr="009B3C20">
        <w:rPr>
          <w:rFonts w:ascii="Verdana" w:eastAsia="Arial" w:hAnsi="Verdana" w:cs="Arial"/>
          <w:lang w:val="es-ES"/>
        </w:rPr>
        <w:lastRenderedPageBreak/>
        <w:t>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552AD805" w14:textId="77777777" w:rsidR="009B3C20" w:rsidRPr="009B3C20" w:rsidRDefault="009B3C20" w:rsidP="009B3C20">
      <w:pPr>
        <w:widowControl w:val="0"/>
        <w:autoSpaceDE w:val="0"/>
        <w:autoSpaceDN w:val="0"/>
        <w:spacing w:after="120" w:line="276" w:lineRule="auto"/>
        <w:ind w:firstLine="709"/>
        <w:jc w:val="both"/>
        <w:rPr>
          <w:rFonts w:ascii="Verdana" w:eastAsia="Arial" w:hAnsi="Verdana" w:cs="Arial"/>
          <w:lang w:val="es-ES"/>
        </w:rPr>
      </w:pPr>
      <w:r w:rsidRPr="009B3C20">
        <w:rPr>
          <w:rFonts w:ascii="Verdana" w:eastAsia="Arial" w:hAnsi="Verdana" w:cs="Arial"/>
          <w:lang w:val="es-ES"/>
        </w:rPr>
        <w:t>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 siempre y cuando se mantenga y manifieste una adecuada lactancia materno continua, la que deberá acreditar la Madre Trabajadora con los respectivos certificados médicos”.</w:t>
      </w:r>
    </w:p>
    <w:p w14:paraId="67AE1074" w14:textId="77777777" w:rsidR="009B3C20" w:rsidRPr="009B3C20" w:rsidRDefault="009B3C20" w:rsidP="009B3C20">
      <w:pPr>
        <w:widowControl w:val="0"/>
        <w:autoSpaceDE w:val="0"/>
        <w:autoSpaceDN w:val="0"/>
        <w:snapToGrid w:val="0"/>
        <w:spacing w:after="120" w:line="276" w:lineRule="auto"/>
        <w:ind w:firstLine="709"/>
        <w:jc w:val="both"/>
        <w:rPr>
          <w:rFonts w:ascii="Verdana" w:eastAsia="Arial" w:hAnsi="Verdana" w:cs="Arial"/>
          <w:lang w:val="es-ES"/>
        </w:rPr>
      </w:pPr>
      <w:r w:rsidRPr="009B3C20">
        <w:rPr>
          <w:rFonts w:ascii="Verdana" w:eastAsia="Arial" w:hAnsi="Verdana" w:cs="Arial"/>
          <w:lang w:val="es-ES"/>
        </w:rPr>
        <w:t>En este contexto,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1BBA2DC6" w14:textId="77777777" w:rsidR="009B3C20" w:rsidRPr="009B3C20" w:rsidRDefault="009B3C20" w:rsidP="009B3C20">
      <w:pPr>
        <w:widowControl w:val="0"/>
        <w:autoSpaceDE w:val="0"/>
        <w:autoSpaceDN w:val="0"/>
        <w:snapToGrid w:val="0"/>
        <w:spacing w:after="120" w:line="276" w:lineRule="auto"/>
        <w:ind w:firstLine="709"/>
        <w:jc w:val="both"/>
        <w:rPr>
          <w:rFonts w:ascii="Verdana" w:eastAsia="Arial" w:hAnsi="Verdana" w:cs="Arial"/>
          <w:lang w:val="es-ES"/>
        </w:rPr>
      </w:pPr>
      <w:r w:rsidRPr="009B3C20">
        <w:rPr>
          <w:rFonts w:ascii="Verdana" w:eastAsia="Arial" w:hAnsi="Verdana" w:cs="Arial"/>
          <w:lang w:val="es-ES"/>
        </w:rPr>
        <w:t>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el contrato de prestación de servicios no se generan las prerrogativas propias del contrato de trabajo como es el caso de los descansos remunerados en el periodo de lactancia y la extensión del fuero de maternidad que da en virtud de dicha prerrogativa por el tiempo de dos (2) años señalados en la disposición objeto de estudio.</w:t>
      </w:r>
    </w:p>
    <w:p w14:paraId="00D0E4A9" w14:textId="428F6651" w:rsidR="00144A14" w:rsidRPr="00144A14" w:rsidRDefault="00144A14" w:rsidP="00144A14">
      <w:pPr>
        <w:widowControl w:val="0"/>
        <w:autoSpaceDE w:val="0"/>
        <w:autoSpaceDN w:val="0"/>
        <w:snapToGrid w:val="0"/>
        <w:spacing w:after="120" w:line="276" w:lineRule="auto"/>
        <w:ind w:firstLine="709"/>
        <w:jc w:val="both"/>
        <w:rPr>
          <w:rFonts w:ascii="Verdana" w:eastAsia="Arial" w:hAnsi="Verdana" w:cs="Arial"/>
          <w:lang w:val="es-ES"/>
        </w:rPr>
      </w:pPr>
      <w:r w:rsidRPr="00144A14">
        <w:rPr>
          <w:rFonts w:ascii="Verdana" w:eastAsia="Arial" w:hAnsi="Verdana" w:cs="Arial"/>
          <w:lang w:val="es-ES"/>
        </w:rPr>
        <w:t xml:space="preserve">En este contexto, frente al problema jurídico planteado, que versa sobre </w:t>
      </w:r>
      <w:r w:rsidRPr="00144A14">
        <w:rPr>
          <w:rFonts w:ascii="Verdana" w:eastAsia="Arial" w:hAnsi="Verdana" w:cs="Arial"/>
          <w:lang w:val="es-ES"/>
        </w:rPr>
        <w:lastRenderedPageBreak/>
        <w:t>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que por lo general, es de seis (6) meses, sin perjuicio de otras consideraciones planteadas por el Ministerio de Trabajo</w:t>
      </w:r>
      <w:r>
        <w:rPr>
          <w:rStyle w:val="Refdenotaalpie"/>
          <w:rFonts w:ascii="Verdana" w:eastAsia="Arial" w:hAnsi="Verdana" w:cs="Arial"/>
          <w:lang w:val="es-ES"/>
        </w:rPr>
        <w:footnoteReference w:id="26"/>
      </w:r>
      <w:r w:rsidRPr="00144A14">
        <w:rPr>
          <w:rFonts w:ascii="Verdana" w:eastAsia="Arial" w:hAnsi="Verdana" w:cs="Arial"/>
          <w:lang w:val="es-ES"/>
        </w:rPr>
        <w:t>. De acuerdo con esto, aplica para la madre – contratista, una protección de estabilidad que evita que sea despedida por causa de embarazo o en periodo de la licencia de maternidad o durante el periodo de lactancia, enfatizando que cada periodo la presunción de despido aplicar de forma diferente conforme lo expuesto.</w:t>
      </w:r>
    </w:p>
    <w:p w14:paraId="50457F08" w14:textId="77777777" w:rsidR="009B3C20" w:rsidRPr="001A3A16" w:rsidRDefault="009B3C20" w:rsidP="009B3C20">
      <w:pPr>
        <w:widowControl w:val="0"/>
        <w:autoSpaceDE w:val="0"/>
        <w:autoSpaceDN w:val="0"/>
        <w:snapToGrid w:val="0"/>
        <w:spacing w:after="120" w:line="276" w:lineRule="auto"/>
        <w:ind w:firstLine="709"/>
        <w:jc w:val="both"/>
        <w:rPr>
          <w:rFonts w:ascii="Verdana" w:eastAsia="Arial" w:hAnsi="Verdana" w:cs="Arial"/>
          <w:lang w:val="es-ES"/>
        </w:rPr>
      </w:pPr>
      <w:r w:rsidRPr="001A3A16">
        <w:rPr>
          <w:rFonts w:ascii="Verdana" w:eastAsia="Arial" w:hAnsi="Verdana" w:cs="Arial"/>
          <w:lang w:val="es-ES"/>
        </w:rPr>
        <w:t>El despido por estas causas en el contrato de prestación de servicios es determinado según la Corte Constitucional a través de tres componentes: (i) el contratante conoce el estado de embarazo de la contratista, (ii) subsiste la causa del contrato y (iii) no cuenta con permiso del inspector del trabajo para terminar el contrato. En estos eventos procede la garantía de estabilidad reforzada por lo que la entidad deberá proceder a la renovación de la relación contractual.</w:t>
      </w:r>
    </w:p>
    <w:p w14:paraId="15273F2F" w14:textId="77777777" w:rsidR="009B3C20" w:rsidRPr="009B3C20" w:rsidRDefault="009B3C20" w:rsidP="009B3C20">
      <w:pPr>
        <w:widowControl w:val="0"/>
        <w:autoSpaceDE w:val="0"/>
        <w:autoSpaceDN w:val="0"/>
        <w:spacing w:after="0" w:line="276" w:lineRule="auto"/>
        <w:ind w:firstLine="709"/>
        <w:jc w:val="both"/>
        <w:rPr>
          <w:rFonts w:ascii="Verdana" w:eastAsia="Arial" w:hAnsi="Verdana" w:cs="Arial"/>
          <w:lang w:val="es-ES"/>
        </w:rPr>
      </w:pPr>
      <w:r w:rsidRPr="001A3A16">
        <w:rPr>
          <w:rFonts w:ascii="Verdana" w:eastAsia="Arial" w:hAnsi="Verdana" w:cs="Arial"/>
          <w:lang w:val="es-ES"/>
        </w:rPr>
        <w:t>En el mismo sentido, esta tesis jurisprudencial de la Corte Constitucional fue acogida por el Consejo de Estado</w:t>
      </w:r>
      <w:r w:rsidRPr="001A3A16">
        <w:rPr>
          <w:rFonts w:ascii="Verdana" w:eastAsia="Arial" w:hAnsi="Verdana" w:cs="Arial"/>
          <w:vertAlign w:val="superscript"/>
          <w:lang w:val="es-ES"/>
        </w:rPr>
        <w:footnoteReference w:id="27"/>
      </w:r>
      <w:r w:rsidRPr="001A3A16">
        <w:rPr>
          <w:rFonts w:ascii="Verdana" w:eastAsia="Arial" w:hAnsi="Verdana" w:cs="Arial"/>
          <w:lang w:val="es-ES"/>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1DAFA96B" w14:textId="77777777" w:rsidR="009B3C20" w:rsidRPr="009B3C20" w:rsidRDefault="009B3C20" w:rsidP="009B3C20">
      <w:pPr>
        <w:widowControl w:val="0"/>
        <w:autoSpaceDE w:val="0"/>
        <w:autoSpaceDN w:val="0"/>
        <w:snapToGrid w:val="0"/>
        <w:spacing w:after="0" w:line="240" w:lineRule="auto"/>
        <w:ind w:firstLine="709"/>
        <w:jc w:val="both"/>
        <w:rPr>
          <w:rFonts w:ascii="Verdana" w:eastAsia="Arial" w:hAnsi="Verdana" w:cs="Arial"/>
          <w:lang w:val="es-ES"/>
        </w:rPr>
      </w:pPr>
    </w:p>
    <w:p w14:paraId="11E3DC0A" w14:textId="128FC6EE" w:rsidR="008236EF" w:rsidRPr="009954A8" w:rsidRDefault="00AB5BE5" w:rsidP="001A3A16">
      <w:pPr>
        <w:pStyle w:val="NormalWeb"/>
        <w:shd w:val="clear" w:color="auto" w:fill="FFFFFF"/>
        <w:spacing w:before="0" w:beforeAutospacing="0" w:after="0" w:afterAutospacing="0" w:line="276" w:lineRule="auto"/>
        <w:jc w:val="both"/>
        <w:rPr>
          <w:rFonts w:ascii="Verdana" w:hAnsi="Verdana" w:cs="Arial"/>
          <w:sz w:val="22"/>
          <w:szCs w:val="22"/>
        </w:rPr>
      </w:pPr>
      <w:r w:rsidRPr="001A3A16">
        <w:rPr>
          <w:rFonts w:ascii="Verdana" w:eastAsia="Arial" w:hAnsi="Verdana" w:cs="Arial"/>
          <w:lang w:val="es-ES"/>
        </w:rPr>
        <w:t>iii.</w:t>
      </w:r>
      <w:r w:rsidR="008236EF" w:rsidRPr="001A3A16">
        <w:rPr>
          <w:rFonts w:ascii="Verdana" w:eastAsia="Arial" w:hAnsi="Verdana" w:cs="Arial"/>
          <w:lang w:val="es-ES"/>
        </w:rPr>
        <w:t xml:space="preserve"> </w:t>
      </w:r>
      <w:r w:rsidR="008236EF" w:rsidRPr="009954A8">
        <w:rPr>
          <w:rFonts w:ascii="Verdana" w:eastAsia="Arial" w:hAnsi="Verdana" w:cs="Arial"/>
          <w:sz w:val="22"/>
          <w:szCs w:val="22"/>
          <w:lang w:val="es-ES"/>
        </w:rPr>
        <w:t xml:space="preserve">Ahora bien, </w:t>
      </w:r>
      <w:r w:rsidR="008236EF" w:rsidRPr="009954A8">
        <w:rPr>
          <w:rFonts w:ascii="Verdana" w:eastAsia="Calibri" w:hAnsi="Verdana" w:cs="Arial"/>
          <w:bCs/>
          <w:sz w:val="22"/>
          <w:szCs w:val="22"/>
          <w:lang w:val="es-MX"/>
        </w:rPr>
        <w:t xml:space="preserve">frente a la consulta planteada acerca de si es procedente o no suspender un contrato de prestación de servicios cuando la contratista está en </w:t>
      </w:r>
      <w:r w:rsidR="008236EF" w:rsidRPr="009954A8">
        <w:rPr>
          <w:rFonts w:ascii="Verdana" w:eastAsia="Calibri" w:hAnsi="Verdana" w:cs="Arial"/>
          <w:bCs/>
          <w:sz w:val="22"/>
          <w:szCs w:val="22"/>
          <w:lang w:val="es-MX"/>
        </w:rPr>
        <w:lastRenderedPageBreak/>
        <w:t>estado de embarazo o durante la licencia de maternidad</w:t>
      </w:r>
      <w:r w:rsidR="008236EF" w:rsidRPr="009954A8">
        <w:rPr>
          <w:rStyle w:val="Refdenotaalpie"/>
          <w:rFonts w:ascii="Verdana" w:eastAsia="Calibri" w:hAnsi="Verdana" w:cs="Arial"/>
          <w:bCs/>
          <w:sz w:val="22"/>
          <w:szCs w:val="22"/>
          <w:lang w:val="es-MX"/>
        </w:rPr>
        <w:footnoteReference w:id="28"/>
      </w:r>
      <w:r w:rsidR="008236EF" w:rsidRPr="009954A8">
        <w:rPr>
          <w:rFonts w:ascii="Verdana" w:eastAsia="Calibri" w:hAnsi="Verdana" w:cs="Arial"/>
          <w:bCs/>
          <w:sz w:val="22"/>
          <w:szCs w:val="22"/>
          <w:lang w:val="es-MX"/>
        </w:rPr>
        <w:t xml:space="preserve"> debe señalarse que, </w:t>
      </w:r>
      <w:r w:rsidR="008236EF" w:rsidRPr="009954A8">
        <w:rPr>
          <w:rFonts w:ascii="Verdana" w:hAnsi="Verdana" w:cs="Arial"/>
          <w:sz w:val="22"/>
          <w:szCs w:val="22"/>
        </w:rPr>
        <w:t>no exi</w:t>
      </w:r>
      <w:r w:rsidR="002F43E6">
        <w:rPr>
          <w:rFonts w:ascii="Verdana" w:hAnsi="Verdana" w:cs="Arial"/>
          <w:sz w:val="22"/>
          <w:szCs w:val="22"/>
        </w:rPr>
        <w:t xml:space="preserve">ste disposición normativa que regule </w:t>
      </w:r>
      <w:r w:rsidR="008236EF" w:rsidRPr="009954A8">
        <w:rPr>
          <w:rFonts w:ascii="Verdana" w:hAnsi="Verdana" w:cs="Arial"/>
          <w:sz w:val="22"/>
          <w:szCs w:val="22"/>
        </w:rPr>
        <w:t>de forma expresa las causales de suspensión del contrato, mucho menos en virtud del estado de embarazo o de la licencia de maternidad. El Consejo de Estado, en sentencia del 28 de abril de 2010, se refirió a las causales que suspenden el contrato, en los siguientes términos:</w:t>
      </w:r>
    </w:p>
    <w:p w14:paraId="6D7D252D" w14:textId="77777777" w:rsidR="008236EF" w:rsidRPr="009954A8" w:rsidRDefault="008236EF" w:rsidP="008236EF">
      <w:pPr>
        <w:pStyle w:val="NormalWeb"/>
        <w:shd w:val="clear" w:color="auto" w:fill="FFFFFF"/>
        <w:spacing w:before="0" w:beforeAutospacing="0" w:after="0" w:afterAutospacing="0" w:line="276" w:lineRule="auto"/>
        <w:ind w:firstLine="709"/>
        <w:jc w:val="both"/>
        <w:rPr>
          <w:rFonts w:ascii="Verdana" w:hAnsi="Verdana" w:cs="Arial"/>
          <w:sz w:val="22"/>
          <w:szCs w:val="22"/>
        </w:rPr>
      </w:pPr>
    </w:p>
    <w:p w14:paraId="75081C5E" w14:textId="77777777" w:rsidR="008236EF" w:rsidRPr="00917FBF" w:rsidRDefault="008236EF" w:rsidP="008236EF">
      <w:pPr>
        <w:pStyle w:val="NormalWeb"/>
        <w:shd w:val="clear" w:color="auto" w:fill="FFFFFF"/>
        <w:spacing w:before="0" w:beforeAutospacing="0" w:after="0" w:afterAutospacing="0"/>
        <w:ind w:left="709" w:right="709"/>
        <w:contextualSpacing/>
        <w:jc w:val="both"/>
        <w:rPr>
          <w:rFonts w:ascii="Verdana" w:hAnsi="Verdana" w:cs="Arial"/>
          <w:sz w:val="20"/>
          <w:szCs w:val="20"/>
        </w:rPr>
      </w:pPr>
      <w:r w:rsidRPr="00917FBF">
        <w:rPr>
          <w:rFonts w:ascii="Verdana" w:hAnsi="Verdana" w:cs="Arial"/>
          <w:sz w:val="20"/>
          <w:szCs w:val="20"/>
        </w:rPr>
        <w:t>“En efecto, la finalidad de la suspensión del contrato estatal, como medida excepcional, está encaminada a reconocer la ocurrencia de situaciones de fuerza mayor, caso fortuito o de interés público que impiden la ejecución temporal del negocio jurídico, y es precisamente por ese motivo que la misma no puede ser indefinida, sino que debe estar sujeta al vencimiento de un plazo o al cumplimiento de una condición. Por lo tanto, la suspensión no adiciona el contrato en su vigencia o plazo, sino que se delimita como una medida de tipo provisional y excepcional que debe ajustarse a los criterios de necesidad y proporcionalidad, sujeta a un término o condición, período este durante el que las obligaciones contenidas en el contrato no se ejecutan, pero sin que se impute ese tiempo al plazo pactado inicialmente por las partes. […]”</w:t>
      </w:r>
    </w:p>
    <w:p w14:paraId="53352713" w14:textId="77777777" w:rsidR="008236EF" w:rsidRPr="009954A8" w:rsidRDefault="008236EF" w:rsidP="008236EF">
      <w:pPr>
        <w:spacing w:after="0" w:line="276" w:lineRule="auto"/>
        <w:ind w:firstLine="709"/>
        <w:jc w:val="both"/>
        <w:rPr>
          <w:rFonts w:ascii="Verdana" w:hAnsi="Verdana" w:cs="Arial"/>
        </w:rPr>
      </w:pPr>
    </w:p>
    <w:p w14:paraId="3928F784" w14:textId="77777777" w:rsidR="008236EF" w:rsidRPr="00E65094" w:rsidRDefault="008236EF" w:rsidP="008236EF">
      <w:pPr>
        <w:spacing w:after="0" w:line="276" w:lineRule="auto"/>
        <w:ind w:firstLine="708"/>
        <w:jc w:val="both"/>
        <w:rPr>
          <w:rFonts w:ascii="Verdana" w:hAnsi="Verdana" w:cs="Arial"/>
        </w:rPr>
      </w:pPr>
      <w:r w:rsidRPr="00E65094">
        <w:rPr>
          <w:rFonts w:ascii="Verdana" w:hAnsi="Verdana" w:cs="Arial"/>
        </w:rPr>
        <w:t>Por otro lado, el Ministerio de Trabajo al absolver una consulta en relación a la suspensión del contrato de prestación de servicios, por licencia de maternidad, conceptuó:</w:t>
      </w:r>
    </w:p>
    <w:p w14:paraId="73AC6734" w14:textId="77777777" w:rsidR="008236EF" w:rsidRPr="00917FBF" w:rsidRDefault="008236EF" w:rsidP="008236EF">
      <w:pPr>
        <w:spacing w:after="0"/>
        <w:ind w:left="709" w:right="709"/>
        <w:contextualSpacing/>
        <w:jc w:val="both"/>
        <w:rPr>
          <w:rFonts w:ascii="Verdana" w:hAnsi="Verdana" w:cs="Arial"/>
          <w:sz w:val="20"/>
          <w:szCs w:val="20"/>
        </w:rPr>
      </w:pPr>
    </w:p>
    <w:p w14:paraId="38003771" w14:textId="77777777" w:rsidR="008236EF" w:rsidRPr="00917FBF" w:rsidRDefault="008236EF" w:rsidP="008236EF">
      <w:pPr>
        <w:ind w:left="709" w:right="709"/>
        <w:contextualSpacing/>
        <w:jc w:val="both"/>
        <w:rPr>
          <w:rFonts w:ascii="Verdana" w:hAnsi="Verdana" w:cs="Arial"/>
          <w:sz w:val="20"/>
          <w:szCs w:val="20"/>
        </w:rPr>
      </w:pPr>
      <w:r w:rsidRPr="00917FBF">
        <w:rPr>
          <w:rFonts w:ascii="Verdana" w:hAnsi="Verdana" w:cs="Arial"/>
          <w:color w:val="333333"/>
          <w:sz w:val="20"/>
          <w:szCs w:val="20"/>
        </w:rPr>
        <w:t>“</w:t>
      </w:r>
      <w:r w:rsidRPr="00917FBF">
        <w:rPr>
          <w:rFonts w:ascii="Verdana" w:hAnsi="Verdana" w:cs="Arial"/>
          <w:sz w:val="20"/>
          <w:szCs w:val="20"/>
        </w:rPr>
        <w:t>La legislación que regula la contratación estatal, concretamente la Ley 80 de 1993, modificada por la Ley 1150 de 2007 y sus Decretos Reglamentarios, no contempló las causales de suspensión del contrato de prestación de servicios celebrado con entidad pública, motivo por el cual debe señalarse que no existe ninguna disposición normativa que consagre de forma expresa, la suspensión del contrato en virtud de la licencia de maternidad de la contratista […]</w:t>
      </w:r>
    </w:p>
    <w:p w14:paraId="7B5BC622" w14:textId="77777777" w:rsidR="008236EF" w:rsidRPr="00917FBF" w:rsidRDefault="008236EF" w:rsidP="008236EF">
      <w:pPr>
        <w:ind w:left="709" w:right="709"/>
        <w:contextualSpacing/>
        <w:jc w:val="both"/>
        <w:rPr>
          <w:rFonts w:ascii="Verdana" w:hAnsi="Verdana" w:cs="Arial"/>
          <w:sz w:val="20"/>
          <w:szCs w:val="20"/>
        </w:rPr>
      </w:pPr>
    </w:p>
    <w:p w14:paraId="0ACD0FA0" w14:textId="77777777" w:rsidR="008236EF" w:rsidRPr="009954A8" w:rsidRDefault="008236EF" w:rsidP="008236EF">
      <w:pPr>
        <w:shd w:val="clear" w:color="auto" w:fill="FFFFFF"/>
        <w:ind w:left="709" w:right="709"/>
        <w:contextualSpacing/>
        <w:jc w:val="both"/>
        <w:rPr>
          <w:rFonts w:ascii="Verdana" w:hAnsi="Verdana" w:cs="Arial"/>
          <w:sz w:val="21"/>
          <w:szCs w:val="21"/>
        </w:rPr>
      </w:pPr>
      <w:r w:rsidRPr="00917FBF">
        <w:rPr>
          <w:rFonts w:ascii="Verdana" w:hAnsi="Verdana" w:cs="Arial"/>
          <w:sz w:val="20"/>
          <w:szCs w:val="20"/>
        </w:rPr>
        <w:t xml:space="preserve">De conformidad con lo anterior, las partes podrán suspender el contrato de prestación de servicios cuando se determinen eventos que constituyen fuerza mayor o caso fortuito o de interés público que impida, temporalmente cumplir con el objeto de las obligaciones a cargo de las </w:t>
      </w:r>
      <w:r w:rsidRPr="00917FBF">
        <w:rPr>
          <w:rFonts w:ascii="Verdana" w:hAnsi="Verdana" w:cs="Arial"/>
          <w:sz w:val="20"/>
          <w:szCs w:val="20"/>
        </w:rPr>
        <w:lastRenderedPageBreak/>
        <w:t>partes contratantes, como es el caso de la contratista que</w:t>
      </w:r>
      <w:r w:rsidRPr="009954A8">
        <w:rPr>
          <w:rFonts w:ascii="Verdana" w:hAnsi="Verdana" w:cs="Arial"/>
          <w:sz w:val="21"/>
          <w:szCs w:val="21"/>
        </w:rPr>
        <w:t xml:space="preserve"> se encuentra en estado de embarazo y se encuentra incapacitada</w:t>
      </w:r>
      <w:r>
        <w:rPr>
          <w:rFonts w:ascii="Verdana" w:hAnsi="Verdana" w:cs="Arial"/>
          <w:color w:val="333333"/>
          <w:sz w:val="21"/>
          <w:szCs w:val="21"/>
        </w:rPr>
        <w:t>”</w:t>
      </w:r>
      <w:r w:rsidRPr="009954A8">
        <w:rPr>
          <w:rFonts w:ascii="Verdana" w:hAnsi="Verdana" w:cs="Arial"/>
          <w:color w:val="333333"/>
          <w:sz w:val="21"/>
          <w:szCs w:val="21"/>
        </w:rPr>
        <w:t>.</w:t>
      </w:r>
      <w:r w:rsidRPr="009954A8">
        <w:rPr>
          <w:rStyle w:val="Refdenotaalpie"/>
          <w:rFonts w:ascii="Verdana" w:hAnsi="Verdana" w:cs="Arial"/>
          <w:sz w:val="21"/>
          <w:szCs w:val="21"/>
        </w:rPr>
        <w:footnoteReference w:id="29"/>
      </w:r>
    </w:p>
    <w:p w14:paraId="77DD179B" w14:textId="77777777" w:rsidR="008236EF" w:rsidRDefault="008236EF" w:rsidP="008236EF">
      <w:pPr>
        <w:spacing w:after="120" w:line="276" w:lineRule="auto"/>
        <w:jc w:val="both"/>
        <w:rPr>
          <w:rFonts w:ascii="Verdana" w:hAnsi="Verdana" w:cs="Arial"/>
        </w:rPr>
      </w:pPr>
    </w:p>
    <w:p w14:paraId="28B8C839" w14:textId="4B8BB87B" w:rsidR="00476D7D" w:rsidRPr="00476D7D" w:rsidRDefault="008236EF" w:rsidP="00C661E0">
      <w:pPr>
        <w:spacing w:line="276" w:lineRule="auto"/>
        <w:ind w:firstLine="708"/>
        <w:jc w:val="both"/>
        <w:rPr>
          <w:rFonts w:ascii="Verdana" w:eastAsia="Times New Roman" w:hAnsi="Verdana" w:cs="Arial"/>
          <w:color w:val="000000"/>
          <w:lang w:val="es-ES_tradnl" w:eastAsia="es-ES_tradnl"/>
        </w:rPr>
      </w:pPr>
      <w:r w:rsidRPr="00E65094">
        <w:rPr>
          <w:rFonts w:ascii="Verdana" w:hAnsi="Verdana" w:cs="Arial"/>
        </w:rPr>
        <w:t>En ejercicio de la autonomía de las partes contratantes, las mismas podrán convenir la cláusula de suspensión del contrato de prestación de servicios, fijando las reglas por las cuales procederán las mismas teniendo en cuenta las disposiciones ref</w:t>
      </w:r>
      <w:r w:rsidR="00A2014A">
        <w:rPr>
          <w:rFonts w:ascii="Verdana" w:hAnsi="Verdana" w:cs="Arial"/>
        </w:rPr>
        <w:t xml:space="preserve">eridas en la Ley </w:t>
      </w:r>
      <w:hyperlink r:id="rId16" w:anchor="80" w:history="1">
        <w:r w:rsidRPr="00E65094">
          <w:rPr>
            <w:rFonts w:ascii="Verdana" w:hAnsi="Verdana" w:cs="Arial"/>
          </w:rPr>
          <w:t>80</w:t>
        </w:r>
      </w:hyperlink>
      <w:r w:rsidR="00A2014A">
        <w:rPr>
          <w:rFonts w:ascii="Verdana" w:hAnsi="Verdana" w:cs="Arial"/>
        </w:rPr>
        <w:t xml:space="preserve"> de 1993 y Ley </w:t>
      </w:r>
      <w:hyperlink r:id="rId17" w:anchor="1150" w:history="1">
        <w:r w:rsidRPr="00E65094">
          <w:rPr>
            <w:rFonts w:ascii="Verdana" w:hAnsi="Verdana" w:cs="Arial"/>
          </w:rPr>
          <w:t>1150</w:t>
        </w:r>
      </w:hyperlink>
      <w:r w:rsidR="00A2014A">
        <w:rPr>
          <w:rFonts w:ascii="Verdana" w:hAnsi="Verdana" w:cs="Arial"/>
        </w:rPr>
        <w:t xml:space="preserve"> </w:t>
      </w:r>
      <w:r w:rsidRPr="00E65094">
        <w:rPr>
          <w:rFonts w:ascii="Verdana" w:hAnsi="Verdana" w:cs="Arial"/>
        </w:rPr>
        <w:t xml:space="preserve">de 2007. </w:t>
      </w:r>
      <w:r w:rsidR="00A2014A">
        <w:rPr>
          <w:rFonts w:ascii="Verdana" w:eastAsia="Times New Roman" w:hAnsi="Verdana" w:cs="Arial"/>
          <w:color w:val="000000"/>
          <w:lang w:eastAsia="es-ES_tradnl"/>
        </w:rPr>
        <w:t>En esta línea, a</w:t>
      </w:r>
      <w:r w:rsidR="00A2014A" w:rsidRPr="00AB5C5E">
        <w:rPr>
          <w:rFonts w:ascii="Verdana" w:eastAsia="Times New Roman" w:hAnsi="Verdana" w:cs="Arial"/>
          <w:color w:val="000000"/>
          <w:lang w:val="es-ES_tradnl" w:eastAsia="es-ES_tradnl"/>
        </w:rPr>
        <w:t xml:space="preserve">tendiendo a los términos en los que se haya pactado la suspensión es posible que no sea necesario suscribir luego un acta de reinicio para que se reactive la ejecución del contrato, sino que tal reactivación opere </w:t>
      </w:r>
      <w:r w:rsidR="00A2014A" w:rsidRPr="00AB5C5E">
        <w:rPr>
          <w:rFonts w:ascii="Verdana" w:eastAsia="Times New Roman" w:hAnsi="Verdana" w:cs="Arial"/>
          <w:i/>
          <w:iCs/>
          <w:color w:val="000000"/>
          <w:lang w:val="es-ES_tradnl" w:eastAsia="es-ES_tradnl"/>
        </w:rPr>
        <w:t>automáticamente</w:t>
      </w:r>
      <w:r w:rsidR="00A2014A" w:rsidRPr="00AB5C5E">
        <w:rPr>
          <w:rFonts w:ascii="Verdana" w:eastAsia="Times New Roman" w:hAnsi="Verdana" w:cs="Arial"/>
          <w:color w:val="000000"/>
          <w:lang w:val="es-ES_tradnl" w:eastAsia="es-ES_tradnl"/>
        </w:rPr>
        <w:t>, cuando se cumpla la condición o fecha cierta que las partes hayan pactado.</w:t>
      </w:r>
      <w:r w:rsidR="00C661E0">
        <w:rPr>
          <w:rFonts w:ascii="Verdana" w:eastAsia="Times New Roman" w:hAnsi="Verdana" w:cs="Arial"/>
          <w:color w:val="000000"/>
          <w:lang w:val="es-ES_tradnl" w:eastAsia="es-ES_tradnl"/>
        </w:rPr>
        <w:t xml:space="preserve"> </w:t>
      </w:r>
      <w:r w:rsidR="00476D7D">
        <w:rPr>
          <w:rFonts w:ascii="Verdana" w:eastAsia="Times New Roman" w:hAnsi="Verdana" w:cs="Arial"/>
          <w:color w:val="000000"/>
          <w:lang w:val="es-ES" w:eastAsia="es-ES"/>
        </w:rPr>
        <w:t>Ahora bien,</w:t>
      </w:r>
      <w:r w:rsidR="00476D7D" w:rsidRPr="00476D7D">
        <w:rPr>
          <w:rFonts w:ascii="Verdana" w:eastAsia="Times New Roman" w:hAnsi="Verdana" w:cs="Arial"/>
          <w:color w:val="000000"/>
          <w:lang w:val="es-ES" w:eastAsia="es-ES"/>
        </w:rPr>
        <w:t xml:space="preserve"> lo usual es suspender el contrato durante el periodo de disfrute de la licencia, reiniciando la ejecución al cabo de la misma, modificándose el valor del contrato en orden de reducirlo de manera proporcional a los días durante los que el contrato estuvo suspendido. </w:t>
      </w:r>
      <w:r w:rsidR="00C661E0">
        <w:rPr>
          <w:rFonts w:ascii="Verdana" w:eastAsia="Times New Roman" w:hAnsi="Verdana" w:cs="Arial"/>
          <w:color w:val="000000"/>
          <w:lang w:val="es-ES" w:eastAsia="es-ES"/>
        </w:rPr>
        <w:t>En todo caso, hay que tener en cuenta lo dispuesto en el Decreto 780 de 2016 sobre las condiciones para el reconocimiento y pago de la licencia de maternidad</w:t>
      </w:r>
      <w:r w:rsidR="00C661E0">
        <w:rPr>
          <w:rStyle w:val="Refdenotaalpie"/>
          <w:rFonts w:ascii="Verdana" w:eastAsia="Times New Roman" w:hAnsi="Verdana" w:cs="Arial"/>
          <w:color w:val="000000"/>
          <w:lang w:val="es-ES" w:eastAsia="es-ES"/>
        </w:rPr>
        <w:footnoteReference w:id="30"/>
      </w:r>
      <w:r w:rsidR="00C661E0">
        <w:rPr>
          <w:rFonts w:ascii="Verdana" w:eastAsia="Times New Roman" w:hAnsi="Verdana" w:cs="Arial"/>
          <w:color w:val="000000"/>
          <w:lang w:val="es-ES" w:eastAsia="es-ES"/>
        </w:rPr>
        <w:t>.</w:t>
      </w:r>
    </w:p>
    <w:p w14:paraId="53E60700" w14:textId="77777777" w:rsidR="00476D7D" w:rsidRPr="00476D7D" w:rsidRDefault="00476D7D" w:rsidP="00476D7D">
      <w:pPr>
        <w:spacing w:before="120" w:after="120" w:line="276" w:lineRule="auto"/>
        <w:jc w:val="both"/>
        <w:rPr>
          <w:rFonts w:ascii="Verdana" w:eastAsia="Times New Roman" w:hAnsi="Verdana" w:cs="Arial"/>
          <w:color w:val="000000"/>
          <w:lang w:val="es-ES_tradnl" w:eastAsia="es-ES_tradnl"/>
        </w:rPr>
      </w:pPr>
      <w:r w:rsidRPr="00476D7D">
        <w:rPr>
          <w:rFonts w:ascii="Verdana" w:eastAsia="Times New Roman" w:hAnsi="Verdana" w:cs="Arial"/>
          <w:color w:val="000000"/>
          <w:lang w:val="es-ES_tradnl" w:eastAsia="es-ES_tradnl"/>
        </w:rPr>
        <w:lastRenderedPageBreak/>
        <w:tab/>
        <w:t xml:space="preserve">Otra opción para pactar la suspensión del contrato en estos eventos, sin que se reduzca el valor del contrato, consiste en extender el plazo de ejecución, por un periodo equivalente al lapso durante el cual estuvo suspendido. Sin embargo, esta posibilidad no resulta viable cuando el plazo del contrato finaliza al cabo de la vigencia fiscal, tratándose de contratos sometidos al principio de anualidad, tal como los financiados por el presupuesto general de la nación, regidos por el Estatuto Orgánico del Presupuesto, cuyo artículo 14 proscribe la posibilidad de asumir compromisos más allá del 31 de diciembre, fecha que marca el final del año fiscal. </w:t>
      </w:r>
    </w:p>
    <w:p w14:paraId="3AA7721A" w14:textId="77777777" w:rsidR="00476D7D" w:rsidRPr="00476D7D" w:rsidRDefault="00476D7D" w:rsidP="00476D7D">
      <w:pPr>
        <w:shd w:val="clear" w:color="auto" w:fill="FFFFFF"/>
        <w:spacing w:after="120" w:line="276" w:lineRule="auto"/>
        <w:ind w:right="51" w:firstLine="708"/>
        <w:jc w:val="both"/>
        <w:rPr>
          <w:rFonts w:ascii="Verdana" w:eastAsia="Calibri" w:hAnsi="Verdana" w:cs="Arial"/>
          <w:color w:val="000000"/>
        </w:rPr>
      </w:pPr>
      <w:r w:rsidRPr="00476D7D">
        <w:rPr>
          <w:rFonts w:ascii="Verdana" w:eastAsia="Calibri" w:hAnsi="Verdana" w:cs="Arial"/>
          <w:color w:val="000000"/>
          <w:lang w:val="es-ES_tradnl"/>
        </w:rPr>
        <w:t xml:space="preserve">Sin perjuicio de lo anterior, conforme lo ha señalado el Consejo de Estado, el principio de anualidad no es absoluto </w:t>
      </w:r>
      <w:r w:rsidRPr="00476D7D">
        <w:rPr>
          <w:rFonts w:ascii="Verdana" w:eastAsia="Calibri" w:hAnsi="Verdana" w:cs="Arial"/>
          <w:color w:val="000000"/>
        </w:rPr>
        <w:t xml:space="preserve">en </w:t>
      </w:r>
      <w:r w:rsidRPr="00476D7D">
        <w:rPr>
          <w:rFonts w:ascii="Verdana" w:eastAsia="Calibri" w:hAnsi="Verdana" w:cs="Arial"/>
          <w:lang w:val="es-ES_tradnl"/>
        </w:rPr>
        <w:t>“</w:t>
      </w:r>
      <w:r w:rsidRPr="00476D7D">
        <w:rPr>
          <w:rFonts w:ascii="Verdana" w:eastAsia="Calibri" w:hAnsi="Verdana" w:cs="Arial"/>
          <w:color w:val="000000"/>
        </w:rPr>
        <w:t>la medida en que la actividad presupuestal está íntimamente ligada con el principio de planeación, la cual normalmente es efectuada para periodos que superan el año calendario. Esta realidad impone la configuración de mecanismos presupuestales que permitan compatibilizar tales principios</w:t>
      </w:r>
      <w:r w:rsidRPr="00476D7D">
        <w:rPr>
          <w:rFonts w:ascii="Verdana" w:eastAsia="Calibri" w:hAnsi="Verdana" w:cs="Arial"/>
          <w:lang w:val="es-ES_tradnl"/>
        </w:rPr>
        <w:t>”</w:t>
      </w:r>
      <w:r w:rsidRPr="00476D7D">
        <w:rPr>
          <w:rFonts w:ascii="Verdana" w:eastAsia="Calibri" w:hAnsi="Verdana" w:cs="Arial"/>
          <w:vertAlign w:val="superscript"/>
          <w:lang w:val="es-ES_tradnl"/>
        </w:rPr>
        <w:footnoteReference w:id="31"/>
      </w:r>
      <w:r w:rsidRPr="00476D7D">
        <w:rPr>
          <w:rFonts w:ascii="Verdana" w:eastAsia="Calibri" w:hAnsi="Verdana" w:cs="Arial"/>
          <w:lang w:val="es-ES_tradnl"/>
        </w:rPr>
        <w:t>.</w:t>
      </w:r>
      <w:r w:rsidRPr="00476D7D">
        <w:rPr>
          <w:rFonts w:ascii="Verdana" w:eastAsia="Calibri" w:hAnsi="Verdana" w:cs="Arial"/>
          <w:color w:val="000000"/>
        </w:rPr>
        <w:t xml:space="preserve"> </w:t>
      </w:r>
    </w:p>
    <w:p w14:paraId="44D126E3" w14:textId="76B9AD6B" w:rsidR="00476D7D" w:rsidRPr="00476D7D" w:rsidRDefault="00476D7D" w:rsidP="00C3284D">
      <w:pPr>
        <w:shd w:val="clear" w:color="auto" w:fill="FFFFFF"/>
        <w:spacing w:after="120" w:line="276" w:lineRule="auto"/>
        <w:ind w:right="51" w:firstLine="708"/>
        <w:jc w:val="both"/>
        <w:rPr>
          <w:rFonts w:ascii="Verdana" w:eastAsia="Calibri" w:hAnsi="Verdana" w:cs="Arial"/>
          <w:lang w:val="es-ES_tradnl"/>
        </w:rPr>
      </w:pPr>
      <w:r w:rsidRPr="00476D7D">
        <w:rPr>
          <w:rFonts w:ascii="Verdana" w:eastAsia="Calibri" w:hAnsi="Verdana" w:cs="Arial"/>
          <w:color w:val="000000"/>
          <w:lang w:val="es-ES_tradnl"/>
        </w:rPr>
        <w:t xml:space="preserve">Dentro de los mecanismos presupuestales que constituyen excepciones al principio de anualidad se identifican: i) las vigencias futuras, ii) las cuentas por pagar y iii) las reservas presupuestales. Las </w:t>
      </w:r>
      <w:r w:rsidRPr="00476D7D">
        <w:rPr>
          <w:rFonts w:ascii="Verdana" w:eastAsia="Calibri" w:hAnsi="Verdana" w:cs="Arial"/>
          <w:i/>
          <w:iCs/>
          <w:color w:val="000000"/>
          <w:lang w:val="es-ES_tradnl"/>
        </w:rPr>
        <w:t>primeras</w:t>
      </w:r>
      <w:r w:rsidRPr="00476D7D">
        <w:rPr>
          <w:rFonts w:ascii="Verdana" w:eastAsia="Calibri" w:hAnsi="Verdana" w:cs="Arial"/>
          <w:color w:val="000000"/>
          <w:lang w:val="es-ES_tradnl"/>
        </w:rPr>
        <w:t>, de conformidad con el artículo 23 del Estatuto Orgánico del Presupuesto</w:t>
      </w:r>
      <w:r w:rsidRPr="00476D7D">
        <w:rPr>
          <w:rFonts w:ascii="Verdana" w:eastAsia="Calibri" w:hAnsi="Verdana" w:cs="Arial"/>
          <w:i/>
          <w:iCs/>
          <w:color w:val="000000"/>
          <w:lang w:val="es-ES_tradnl"/>
        </w:rPr>
        <w:t xml:space="preserve">, </w:t>
      </w:r>
      <w:r w:rsidRPr="00476D7D">
        <w:rPr>
          <w:rFonts w:ascii="Verdana" w:eastAsia="Calibri" w:hAnsi="Verdana" w:cs="Arial"/>
          <w:color w:val="000000"/>
          <w:lang w:val="es-ES_tradnl"/>
        </w:rPr>
        <w:t>se</w:t>
      </w:r>
      <w:r w:rsidRPr="00476D7D">
        <w:rPr>
          <w:rFonts w:ascii="Verdana" w:eastAsia="Calibri" w:hAnsi="Verdana" w:cs="Arial"/>
          <w:i/>
          <w:iCs/>
          <w:color w:val="000000"/>
          <w:lang w:val="es-ES_tradnl"/>
        </w:rPr>
        <w:t xml:space="preserve"> </w:t>
      </w:r>
      <w:r w:rsidRPr="00476D7D">
        <w:rPr>
          <w:rFonts w:ascii="Verdana" w:eastAsia="Calibri" w:hAnsi="Verdana" w:cs="Arial"/>
          <w:color w:val="000000"/>
          <w:lang w:val="es-ES_tradnl"/>
        </w:rPr>
        <w:t>refieren a la autorización que deben solicitar las entidades para asumir obligaciones que afectarán los presupuestos siguientes a los de la vigencia fiscal en la que inició la ejecución, es decir, correspondientes a las obligaciones cuya ejecución inició con presupuesto de una vigencia fiscal, pero que deberá continuarse con presupuestos de las siguientes vigencias.</w:t>
      </w:r>
      <w:r>
        <w:rPr>
          <w:rFonts w:ascii="Verdana" w:eastAsia="Calibri" w:hAnsi="Verdana" w:cs="Arial"/>
          <w:color w:val="000000"/>
          <w:lang w:val="es-ES_tradnl"/>
        </w:rPr>
        <w:t xml:space="preserve"> Sobre esta institución </w:t>
      </w:r>
      <w:r w:rsidRPr="00476D7D">
        <w:rPr>
          <w:rFonts w:ascii="Verdana" w:eastAsia="Calibri" w:hAnsi="Verdana" w:cs="Arial"/>
          <w:color w:val="000000"/>
          <w:lang w:val="es-ES_tradnl"/>
        </w:rPr>
        <w:t xml:space="preserve">el Consejo de Estado precisó que </w:t>
      </w:r>
      <w:r w:rsidRPr="00476D7D">
        <w:rPr>
          <w:rFonts w:ascii="Verdana" w:eastAsia="Calibri" w:hAnsi="Verdana" w:cs="Arial"/>
          <w:lang w:val="es-ES_tradnl"/>
        </w:rPr>
        <w:t>“</w:t>
      </w:r>
      <w:r w:rsidRPr="00476D7D">
        <w:rPr>
          <w:rFonts w:ascii="Verdana" w:eastAsia="Calibri" w:hAnsi="Verdana" w:cs="Arial"/>
          <w:color w:val="000000"/>
        </w:rPr>
        <w:t>son un instrumento de planificación presupuestal y financiero que permite autorizar la asunción de obligaciones que afecten los presupuestos de vigencias posteriores, y tienen como fin garantizar la existencia de apropiaciones suficientes en los años siguientes para asumir compromisos y obligaciones con cargo a ellas, así como también disponer de los recursos financieros, y de esa manera garantizar el avance y conclusión de proyectos plurianuales</w:t>
      </w:r>
      <w:r w:rsidRPr="00476D7D">
        <w:rPr>
          <w:rFonts w:ascii="Verdana" w:eastAsia="Calibri" w:hAnsi="Verdana" w:cs="Arial"/>
          <w:lang w:val="es-ES_tradnl"/>
        </w:rPr>
        <w:t>”</w:t>
      </w:r>
      <w:r w:rsidRPr="00476D7D">
        <w:rPr>
          <w:rFonts w:ascii="Verdana" w:eastAsia="Calibri" w:hAnsi="Verdana" w:cs="Arial"/>
          <w:vertAlign w:val="superscript"/>
          <w:lang w:val="es-ES_tradnl"/>
        </w:rPr>
        <w:footnoteReference w:id="32"/>
      </w:r>
      <w:r w:rsidRPr="00476D7D">
        <w:rPr>
          <w:rFonts w:ascii="Verdana" w:eastAsia="Calibri" w:hAnsi="Verdana" w:cs="Arial"/>
          <w:lang w:val="es-ES_tradnl"/>
        </w:rPr>
        <w:t xml:space="preserve">. Las </w:t>
      </w:r>
      <w:r w:rsidRPr="00476D7D">
        <w:rPr>
          <w:rFonts w:ascii="Verdana" w:eastAsia="Calibri" w:hAnsi="Verdana" w:cs="Arial"/>
          <w:i/>
          <w:iCs/>
          <w:lang w:val="es-ES_tradnl"/>
        </w:rPr>
        <w:t>segundas</w:t>
      </w:r>
      <w:r w:rsidRPr="00476D7D">
        <w:rPr>
          <w:rFonts w:ascii="Verdana" w:eastAsia="Calibri" w:hAnsi="Verdana" w:cs="Arial"/>
          <w:lang w:val="es-ES_tradnl"/>
        </w:rPr>
        <w:t xml:space="preserve">, esto es, </w:t>
      </w:r>
      <w:r w:rsidRPr="00476D7D">
        <w:rPr>
          <w:rFonts w:ascii="Verdana" w:eastAsia="Calibri" w:hAnsi="Verdana" w:cs="Arial"/>
          <w:i/>
          <w:iCs/>
          <w:lang w:val="es-ES_tradnl"/>
        </w:rPr>
        <w:t>las cuentas por pagar</w:t>
      </w:r>
      <w:r w:rsidRPr="00476D7D">
        <w:rPr>
          <w:rFonts w:ascii="Verdana" w:eastAsia="Calibri" w:hAnsi="Verdana" w:cs="Arial"/>
          <w:lang w:val="es-ES_tradnl"/>
        </w:rPr>
        <w:t xml:space="preserve"> consisten en </w:t>
      </w:r>
      <w:r w:rsidRPr="00476D7D">
        <w:rPr>
          <w:rFonts w:ascii="Verdana" w:eastAsia="Calibri" w:hAnsi="Verdana" w:cs="Arial"/>
          <w:lang w:val="es-ES_tradnl"/>
        </w:rPr>
        <w:lastRenderedPageBreak/>
        <w:t xml:space="preserve">obligaciones cumplidas en la vigencia actual, correspondientes a los anticipos pactados en los contratos y a la entrega de bienes y servicios, de las cuales solo se encuentra pendiente el pago de acuerdo con los compromisos presupuestales adquiridos por la entidad. </w:t>
      </w:r>
      <w:r w:rsidRPr="00476D7D">
        <w:rPr>
          <w:rFonts w:ascii="Verdana" w:eastAsia="Calibri" w:hAnsi="Verdana" w:cs="Arial"/>
          <w:color w:val="000000"/>
          <w:lang w:val="es-ES_tradnl"/>
        </w:rPr>
        <w:t xml:space="preserve">Y las </w:t>
      </w:r>
      <w:r w:rsidRPr="00476D7D">
        <w:rPr>
          <w:rFonts w:ascii="Verdana" w:eastAsia="Calibri" w:hAnsi="Verdana" w:cs="Arial"/>
          <w:i/>
          <w:iCs/>
          <w:color w:val="000000"/>
          <w:lang w:val="es-ES_tradnl"/>
        </w:rPr>
        <w:t xml:space="preserve">terceras, </w:t>
      </w:r>
      <w:r w:rsidRPr="00476D7D">
        <w:rPr>
          <w:rFonts w:ascii="Verdana" w:eastAsia="Calibri" w:hAnsi="Verdana" w:cs="Arial"/>
          <w:color w:val="000000"/>
          <w:lang w:val="es-ES_tradnl"/>
        </w:rPr>
        <w:t xml:space="preserve">las </w:t>
      </w:r>
      <w:r w:rsidRPr="00476D7D">
        <w:rPr>
          <w:rFonts w:ascii="Verdana" w:eastAsia="Calibri" w:hAnsi="Verdana" w:cs="Arial"/>
          <w:i/>
          <w:iCs/>
          <w:color w:val="000000"/>
          <w:lang w:val="es-ES_tradnl"/>
        </w:rPr>
        <w:t>reservas presupuestales</w:t>
      </w:r>
      <w:bookmarkStart w:id="3" w:name="_Hlk93517351"/>
      <w:r w:rsidRPr="00476D7D">
        <w:rPr>
          <w:rFonts w:ascii="Verdana" w:eastAsia="Calibri" w:hAnsi="Verdana" w:cs="Arial"/>
          <w:color w:val="000000"/>
          <w:lang w:val="es-ES_tradnl"/>
        </w:rPr>
        <w:t xml:space="preserve"> </w:t>
      </w:r>
      <w:r w:rsidRPr="00476D7D">
        <w:rPr>
          <w:rFonts w:ascii="Verdana" w:eastAsia="Calibri" w:hAnsi="Verdana" w:cs="Arial"/>
          <w:color w:val="000000"/>
          <w:lang w:val="es-ES"/>
        </w:rPr>
        <w:t>suponen que “Al cierre de la vigencia fiscal cada órgano constituirá las reservas presupuestales con los compromisos que al 31 de diciembre no se hayan cumplido, siempre y cuando estén legalmente contraídos y desarrollen el objeto de la apropiación. Las reservas presupuestales sólo podrán utilizarse para cancelar los compromisos que les dieron origen”</w:t>
      </w:r>
      <w:r w:rsidRPr="00476D7D">
        <w:rPr>
          <w:rFonts w:ascii="Verdana" w:eastAsia="Calibri" w:hAnsi="Verdana" w:cs="Arial"/>
          <w:color w:val="000000"/>
          <w:vertAlign w:val="superscript"/>
          <w:lang w:val="es-ES"/>
        </w:rPr>
        <w:footnoteReference w:id="33"/>
      </w:r>
      <w:r w:rsidRPr="00476D7D">
        <w:rPr>
          <w:rFonts w:ascii="Verdana" w:eastAsia="Calibri" w:hAnsi="Verdana" w:cs="Arial"/>
          <w:color w:val="000000"/>
          <w:lang w:val="es-ES"/>
        </w:rPr>
        <w:t>.</w:t>
      </w:r>
      <w:bookmarkEnd w:id="3"/>
    </w:p>
    <w:p w14:paraId="500837A6" w14:textId="118E0733" w:rsidR="002F43E6" w:rsidRDefault="00476D7D" w:rsidP="00C3284D">
      <w:pPr>
        <w:spacing w:line="276" w:lineRule="auto"/>
        <w:jc w:val="both"/>
        <w:rPr>
          <w:rFonts w:ascii="Verdana" w:eastAsia="Calibri" w:hAnsi="Verdana" w:cs="Arial"/>
          <w:color w:val="000000"/>
          <w:lang w:val="es-ES_tradnl"/>
        </w:rPr>
      </w:pPr>
      <w:r w:rsidRPr="00476D7D">
        <w:rPr>
          <w:rFonts w:ascii="Verdana" w:eastAsia="Times New Roman" w:hAnsi="Verdana" w:cs="Arial"/>
          <w:color w:val="000000"/>
          <w:lang w:val="es-ES_tradnl" w:eastAsia="es-ES_tradnl"/>
        </w:rPr>
        <w:tab/>
        <w:t xml:space="preserve">Con todo, se estima que </w:t>
      </w:r>
      <w:r w:rsidR="00C3284D" w:rsidRPr="00476D7D">
        <w:rPr>
          <w:rFonts w:ascii="Verdana" w:eastAsia="Times New Roman" w:hAnsi="Verdana" w:cs="Arial"/>
          <w:color w:val="000000"/>
          <w:lang w:val="es-ES_tradnl" w:eastAsia="es-ES_tradnl"/>
        </w:rPr>
        <w:t xml:space="preserve">estos mecanismos </w:t>
      </w:r>
      <w:r w:rsidR="00C3284D">
        <w:rPr>
          <w:rFonts w:ascii="Verdana" w:eastAsia="Times New Roman" w:hAnsi="Verdana" w:cs="Arial"/>
          <w:color w:val="000000"/>
          <w:lang w:val="es-ES_tradnl" w:eastAsia="es-ES_tradnl"/>
        </w:rPr>
        <w:t xml:space="preserve">no </w:t>
      </w:r>
      <w:r w:rsidR="00C3284D" w:rsidRPr="00476D7D">
        <w:rPr>
          <w:rFonts w:ascii="Verdana" w:eastAsia="Times New Roman" w:hAnsi="Verdana" w:cs="Arial"/>
          <w:color w:val="000000"/>
          <w:lang w:val="es-ES_tradnl" w:eastAsia="es-ES_tradnl"/>
        </w:rPr>
        <w:t>resultan</w:t>
      </w:r>
      <w:r w:rsidRPr="00476D7D">
        <w:rPr>
          <w:rFonts w:ascii="Verdana" w:eastAsia="Times New Roman" w:hAnsi="Verdana" w:cs="Arial"/>
          <w:color w:val="000000"/>
          <w:lang w:val="es-ES_tradnl" w:eastAsia="es-ES_tradnl"/>
        </w:rPr>
        <w:t xml:space="preserve"> aplicable a situaciones como la que es objeto de consulta, en la medida en que, salvo las vigencias futuras, ninguno de este mecanismo permite extender el plazo del contrato más allá de la vigencia fiscal. Es por esto por lo que situaciones como la descrita en la consulta pueden entenderse como escenarios problemáticos para la Entidad Estatal, en la medida en que, las mujeres embarazas y en periodo de lactancia, </w:t>
      </w:r>
      <w:r w:rsidRPr="00476D7D">
        <w:rPr>
          <w:rFonts w:ascii="Verdana" w:eastAsia="Calibri" w:hAnsi="Verdana" w:cs="Arial"/>
          <w:color w:val="000000"/>
          <w:lang w:val="es-ES_tradnl"/>
        </w:rPr>
        <w:t xml:space="preserve">tienen derecho a una estabilidad </w:t>
      </w:r>
      <w:r>
        <w:rPr>
          <w:rFonts w:ascii="Verdana" w:eastAsia="Calibri" w:hAnsi="Verdana" w:cs="Arial"/>
          <w:color w:val="000000"/>
          <w:lang w:val="es-ES_tradnl"/>
        </w:rPr>
        <w:t>ocupacional</w:t>
      </w:r>
      <w:r w:rsidRPr="00476D7D">
        <w:rPr>
          <w:rFonts w:ascii="Verdana" w:eastAsia="Calibri" w:hAnsi="Verdana" w:cs="Arial"/>
          <w:color w:val="000000"/>
          <w:lang w:val="es-ES_tradnl"/>
        </w:rPr>
        <w:t xml:space="preserve"> reforzada, de conformidad con la jurisprudencia de </w:t>
      </w:r>
      <w:r w:rsidRPr="00476D7D">
        <w:rPr>
          <w:rFonts w:ascii="Verdana" w:eastAsia="Yu Gothic UI Semibold" w:hAnsi="Verdana" w:cs="Arial"/>
        </w:rPr>
        <w:t xml:space="preserve">la Corte Constitucional, expresada en la </w:t>
      </w:r>
      <w:r>
        <w:rPr>
          <w:rFonts w:ascii="Verdana" w:eastAsia="Yu Gothic UI Semibold" w:hAnsi="Verdana" w:cs="Arial"/>
        </w:rPr>
        <w:t>Sentencia de U</w:t>
      </w:r>
      <w:r w:rsidRPr="00476D7D">
        <w:rPr>
          <w:rFonts w:ascii="Verdana" w:eastAsia="Yu Gothic UI Semibold" w:hAnsi="Verdana" w:cs="Arial"/>
        </w:rPr>
        <w:t>nificación SU-075 de 2018, en la cual recoge, entre otras, las sentencias T-030 de 2018 y T-350 del 2016.</w:t>
      </w:r>
      <w:r w:rsidRPr="00476D7D">
        <w:rPr>
          <w:rFonts w:ascii="Verdana" w:eastAsia="Calibri" w:hAnsi="Verdana" w:cs="Arial"/>
          <w:color w:val="000000"/>
          <w:lang w:val="es-ES_tradnl"/>
        </w:rPr>
        <w:t xml:space="preserve"> </w:t>
      </w:r>
    </w:p>
    <w:p w14:paraId="25D79318" w14:textId="6A3FD8BA" w:rsidR="00186A6A" w:rsidRPr="00186A6A" w:rsidRDefault="00186A6A" w:rsidP="00186A6A">
      <w:pPr>
        <w:widowControl w:val="0"/>
        <w:autoSpaceDE w:val="0"/>
        <w:autoSpaceDN w:val="0"/>
        <w:spacing w:after="120" w:line="276" w:lineRule="auto"/>
        <w:ind w:firstLine="709"/>
        <w:jc w:val="both"/>
        <w:rPr>
          <w:rFonts w:ascii="Verdana" w:eastAsia="Calibri" w:hAnsi="Verdana" w:cs="Arial"/>
          <w:shd w:val="clear" w:color="auto" w:fill="FFFFFF"/>
        </w:rPr>
      </w:pPr>
      <w:r w:rsidRPr="00186A6A">
        <w:rPr>
          <w:rFonts w:ascii="Verdana" w:eastAsia="Calibri" w:hAnsi="Verdana" w:cs="Arial"/>
          <w:shd w:val="clear" w:color="auto" w:fill="FFFFFF"/>
        </w:rPr>
        <w:t xml:space="preserve">No obstante, a efectos de garantizar la estabilidad ocupacional reforzada de mujeres contratistas de prestación de servicios, en estado de embarazo o en periodo de lactancia, en situaciones en los que el principio de anualidad presupuestal impida extender plazo de ejecución del contrato previamente suspendido más allá del 31 de diciembre, las entidades pueden optar por celebrar nuevos contratos de prestación de servicios al inicio de la vigencia fiscal siguiente, procurando una mínima solución de continuidad. </w:t>
      </w:r>
    </w:p>
    <w:p w14:paraId="5A32C10E" w14:textId="77777777" w:rsidR="00186A6A" w:rsidRPr="00186A6A" w:rsidRDefault="00186A6A" w:rsidP="00186A6A">
      <w:pPr>
        <w:widowControl w:val="0"/>
        <w:autoSpaceDE w:val="0"/>
        <w:autoSpaceDN w:val="0"/>
        <w:spacing w:after="120" w:line="276" w:lineRule="auto"/>
        <w:ind w:firstLine="709"/>
        <w:jc w:val="both"/>
        <w:rPr>
          <w:rFonts w:ascii="Verdana" w:eastAsia="Calibri" w:hAnsi="Verdana" w:cs="Arial"/>
          <w:shd w:val="clear" w:color="auto" w:fill="FFFFFF"/>
        </w:rPr>
      </w:pPr>
      <w:r w:rsidRPr="00186A6A">
        <w:rPr>
          <w:rFonts w:ascii="Verdana" w:eastAsia="Calibri" w:hAnsi="Verdana" w:cs="Arial"/>
          <w:shd w:val="clear" w:color="auto" w:fill="FFFFFF"/>
        </w:rPr>
        <w:t xml:space="preserve">Lo anterior, sin perjuicio de las medidas que estimen razonables las respectivas Entidades Estatales, en el marco de su autonomía y discrecionalidad administrativa, en orden de armonizar los principios de la gestión fiscal en la ejecución del contrato, la aplicación adecuada de la normativa presupuestal y garantizar los derechos fundamentales de las contratistas de prestación de servicios beneficiarias de estabilidad ocupacional reforzada.     </w:t>
      </w:r>
    </w:p>
    <w:p w14:paraId="1113A917" w14:textId="248C9888" w:rsidR="0045785F" w:rsidRPr="002F43E6" w:rsidRDefault="0045785F" w:rsidP="0045785F">
      <w:pPr>
        <w:spacing w:after="0" w:line="276" w:lineRule="auto"/>
        <w:jc w:val="both"/>
        <w:rPr>
          <w:rFonts w:ascii="Verdana" w:eastAsia="Calibri" w:hAnsi="Verdana" w:cs="Arial"/>
          <w:color w:val="000000" w:themeColor="text1"/>
          <w:lang w:val="es-MX"/>
        </w:rPr>
      </w:pPr>
    </w:p>
    <w:p w14:paraId="3A4A892F" w14:textId="0068D4F0" w:rsidR="0045785F" w:rsidRPr="009037F6" w:rsidRDefault="00A2014A" w:rsidP="0045785F">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iv</w:t>
      </w:r>
      <w:r w:rsidR="0045785F">
        <w:rPr>
          <w:rFonts w:ascii="Verdana" w:eastAsia="Calibri" w:hAnsi="Verdana" w:cs="Arial"/>
          <w:color w:val="000000" w:themeColor="text1"/>
          <w:lang w:val="es-ES"/>
        </w:rPr>
        <w:t xml:space="preserve">. </w:t>
      </w:r>
      <w:r w:rsidR="0045785F" w:rsidRPr="009037F6">
        <w:rPr>
          <w:rFonts w:ascii="Verdana" w:eastAsia="Calibri" w:hAnsi="Verdana" w:cs="Arial"/>
          <w:color w:val="000000" w:themeColor="text1"/>
          <w:lang w:val="es-ES"/>
        </w:rPr>
        <w:t xml:space="preserve">Al </w:t>
      </w:r>
      <w:r w:rsidR="0045785F" w:rsidRPr="009037F6">
        <w:rPr>
          <w:rFonts w:ascii="Verdana" w:hAnsi="Verdana" w:cs="Arial"/>
          <w:lang w:val="es-ES_tradnl" w:eastAsia="es-ES"/>
        </w:rPr>
        <w:t xml:space="preserve">margen de la explicación precedente debe advertirse que el análisis requerido para resolver problemas específicos </w:t>
      </w:r>
      <w:r w:rsidR="0045785F" w:rsidRPr="009B28B9">
        <w:rPr>
          <w:rFonts w:ascii="Verdana" w:hAnsi="Verdana" w:cs="Arial"/>
          <w:lang w:val="es-ES_tradnl" w:eastAsia="es-ES"/>
        </w:rPr>
        <w:t>en torno a</w:t>
      </w:r>
      <w:r w:rsidR="0045785F">
        <w:rPr>
          <w:rFonts w:ascii="Verdana" w:hAnsi="Verdana" w:cs="Arial"/>
          <w:lang w:val="es-ES_tradnl" w:eastAsia="es-ES"/>
        </w:rPr>
        <w:t xml:space="preserve"> la designación de la supervisión </w:t>
      </w:r>
      <w:r w:rsidR="0045785F"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87DA1E5" w14:textId="77777777" w:rsidR="0045785F" w:rsidRPr="009037F6" w:rsidRDefault="0045785F" w:rsidP="0045785F">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6B8B584" w14:textId="77777777" w:rsidR="0045785F" w:rsidRPr="009037F6" w:rsidRDefault="0045785F" w:rsidP="0045785F">
      <w:pPr>
        <w:spacing w:after="0" w:line="276" w:lineRule="auto"/>
        <w:jc w:val="both"/>
        <w:rPr>
          <w:rFonts w:ascii="Verdana" w:eastAsia="Calibri" w:hAnsi="Verdana" w:cs="Arial"/>
          <w:lang w:val="es-ES" w:eastAsia="es-MX"/>
        </w:rPr>
      </w:pPr>
    </w:p>
    <w:p w14:paraId="5718754C" w14:textId="2CD91305" w:rsidR="0045785F" w:rsidRPr="009037F6" w:rsidRDefault="002F43E6" w:rsidP="0045785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Referencias normativas</w:t>
      </w:r>
    </w:p>
    <w:p w14:paraId="6058D779" w14:textId="77777777" w:rsidR="0045785F" w:rsidRPr="009037F6" w:rsidRDefault="0045785F" w:rsidP="0045785F">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5785F" w:rsidRPr="009037F6" w14:paraId="36F0E628" w14:textId="77777777" w:rsidTr="009B3C20">
        <w:trPr>
          <w:trHeight w:val="487"/>
          <w:jc w:val="center"/>
        </w:trPr>
        <w:tc>
          <w:tcPr>
            <w:tcW w:w="8647" w:type="dxa"/>
          </w:tcPr>
          <w:p w14:paraId="1A23DA8A" w14:textId="77777777" w:rsidR="00C3284D" w:rsidRPr="00C3284D" w:rsidRDefault="00C3284D" w:rsidP="00C3284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bookmarkStart w:id="4" w:name="_Hlk215586792"/>
            <w:r w:rsidRPr="00C3284D">
              <w:rPr>
                <w:rFonts w:ascii="Verdana" w:eastAsia="Arial MT" w:hAnsi="Verdana" w:cs="Arial"/>
                <w:lang w:val="es-ES" w:eastAsia="es-ES" w:bidi="es-ES"/>
              </w:rPr>
              <w:t xml:space="preserve">Código Sustantivo del Trabajo. Artículo 238, 241A, numeral 1. </w:t>
            </w:r>
          </w:p>
          <w:p w14:paraId="7A691E61" w14:textId="2E39BA13" w:rsidR="002F43E6" w:rsidRPr="00C3284D" w:rsidRDefault="002F43E6" w:rsidP="00C3284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C3284D">
              <w:rPr>
                <w:rFonts w:ascii="Verdana" w:eastAsia="Arial MT" w:hAnsi="Verdana" w:cs="Arial"/>
                <w:lang w:val="es-ES" w:eastAsia="es-ES" w:bidi="es-ES"/>
              </w:rPr>
              <w:t xml:space="preserve">Ley 80 de 1993. Artículo 32 numeral 3. </w:t>
            </w:r>
          </w:p>
          <w:bookmarkEnd w:id="4"/>
          <w:p w14:paraId="3C41E926" w14:textId="77777777" w:rsidR="0045785F" w:rsidRDefault="00AC694F" w:rsidP="006F4199">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Decreto 111 de 1996, artículos 14, 23 y 89. </w:t>
            </w:r>
          </w:p>
          <w:p w14:paraId="170C8A8B" w14:textId="77777777" w:rsidR="00AC694F" w:rsidRPr="00AC694F" w:rsidRDefault="00AC694F" w:rsidP="00AC694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 xml:space="preserve">Ley 1150 de 2007. Artículo 2 numeral 4 literal h). </w:t>
            </w:r>
          </w:p>
          <w:p w14:paraId="572BC34C" w14:textId="77777777" w:rsidR="00AC694F" w:rsidRPr="00AC694F" w:rsidRDefault="00AC694F" w:rsidP="00AC694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Decreto 1082 de 2015. Artículo 2.2.1.2.1.4.9.</w:t>
            </w:r>
          </w:p>
          <w:p w14:paraId="44F01B6B" w14:textId="170F28F5" w:rsidR="00C3284D" w:rsidRPr="00AC694F" w:rsidRDefault="00C3284D" w:rsidP="00AC694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 xml:space="preserve">Decreto 780 de 2016, </w:t>
            </w:r>
            <w:r w:rsidR="00C661E0">
              <w:rPr>
                <w:rFonts w:ascii="Verdana" w:eastAsia="Arial MT" w:hAnsi="Verdana" w:cs="Arial"/>
                <w:bCs/>
                <w:lang w:eastAsia="es-ES" w:bidi="es-ES"/>
              </w:rPr>
              <w:t>a</w:t>
            </w:r>
            <w:r w:rsidR="00C661E0" w:rsidRPr="00C661E0">
              <w:rPr>
                <w:rFonts w:ascii="Verdana" w:eastAsia="Arial MT" w:hAnsi="Verdana" w:cs="Arial"/>
                <w:bCs/>
                <w:lang w:eastAsia="es-ES" w:bidi="es-ES"/>
              </w:rPr>
              <w:t>rtículo 2.2.3.2.1</w:t>
            </w:r>
            <w:r w:rsidR="00C661E0">
              <w:rPr>
                <w:rFonts w:ascii="Verdana" w:eastAsia="Arial MT" w:hAnsi="Verdana" w:cs="Arial"/>
                <w:bCs/>
                <w:lang w:eastAsia="es-ES" w:bidi="es-ES"/>
              </w:rPr>
              <w:t>.</w:t>
            </w:r>
          </w:p>
          <w:p w14:paraId="5A0CC510" w14:textId="5636F22F" w:rsidR="00AC694F" w:rsidRPr="00AC694F" w:rsidRDefault="00AC694F" w:rsidP="00AC694F">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AC694F">
              <w:rPr>
                <w:rFonts w:ascii="Verdana" w:eastAsia="Arial MT" w:hAnsi="Verdana" w:cs="Arial"/>
                <w:lang w:val="es-ES" w:eastAsia="es-ES" w:bidi="es-ES"/>
              </w:rPr>
              <w:t xml:space="preserve">Ley 2306 de 2023. Artículo 6. </w:t>
            </w:r>
          </w:p>
        </w:tc>
      </w:tr>
    </w:tbl>
    <w:p w14:paraId="52BA6339" w14:textId="03D13372" w:rsidR="0045785F" w:rsidRDefault="0045785F" w:rsidP="0045785F">
      <w:pPr>
        <w:widowControl w:val="0"/>
        <w:autoSpaceDE w:val="0"/>
        <w:autoSpaceDN w:val="0"/>
        <w:spacing w:after="0" w:line="276" w:lineRule="auto"/>
        <w:jc w:val="both"/>
        <w:rPr>
          <w:rFonts w:ascii="Verdana" w:hAnsi="Verdana" w:cs="Arial"/>
        </w:rPr>
      </w:pPr>
    </w:p>
    <w:p w14:paraId="0BAF56C9" w14:textId="77777777" w:rsidR="00486E52" w:rsidRPr="009037F6" w:rsidRDefault="00486E52" w:rsidP="0045785F">
      <w:pPr>
        <w:widowControl w:val="0"/>
        <w:autoSpaceDE w:val="0"/>
        <w:autoSpaceDN w:val="0"/>
        <w:spacing w:after="0" w:line="276" w:lineRule="auto"/>
        <w:jc w:val="both"/>
        <w:rPr>
          <w:rFonts w:ascii="Verdana" w:hAnsi="Verdana" w:cs="Arial"/>
        </w:rPr>
      </w:pPr>
    </w:p>
    <w:p w14:paraId="537D619D" w14:textId="77777777" w:rsidR="0045785F" w:rsidRPr="009037F6" w:rsidRDefault="0045785F" w:rsidP="0045785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lastRenderedPageBreak/>
        <w:t>Doctrina de la Agencia Nacional de Contratación Pública:</w:t>
      </w:r>
    </w:p>
    <w:p w14:paraId="0C16B10F" w14:textId="77777777" w:rsidR="0045785F" w:rsidRPr="009037F6" w:rsidRDefault="0045785F" w:rsidP="0045785F">
      <w:pPr>
        <w:widowControl w:val="0"/>
        <w:autoSpaceDE w:val="0"/>
        <w:autoSpaceDN w:val="0"/>
        <w:spacing w:after="0" w:line="276" w:lineRule="auto"/>
        <w:jc w:val="both"/>
        <w:rPr>
          <w:rFonts w:ascii="Verdana" w:hAnsi="Verdana" w:cs="Arial"/>
        </w:rPr>
      </w:pPr>
    </w:p>
    <w:p w14:paraId="5D934AF0" w14:textId="38637D10" w:rsidR="0045785F" w:rsidRPr="00AD7D5F" w:rsidRDefault="00AB5BE5" w:rsidP="0045785F">
      <w:pPr>
        <w:widowControl w:val="0"/>
        <w:autoSpaceDE w:val="0"/>
        <w:autoSpaceDN w:val="0"/>
        <w:spacing w:after="0" w:line="276" w:lineRule="auto"/>
        <w:jc w:val="both"/>
        <w:rPr>
          <w:rFonts w:ascii="Verdana" w:eastAsia="Calibri" w:hAnsi="Verdana" w:cs="Arial"/>
          <w:lang w:val="es-ES"/>
        </w:rPr>
      </w:pPr>
      <w:r w:rsidRPr="00E860E7">
        <w:rPr>
          <w:rFonts w:ascii="Verdana" w:hAnsi="Verdana" w:cs="Arial"/>
          <w:bCs/>
          <w:shd w:val="clear" w:color="auto" w:fill="FFFFFF"/>
        </w:rPr>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w:t>
      </w:r>
      <w:r w:rsidR="00B0459C">
        <w:rPr>
          <w:rFonts w:ascii="Verdana" w:hAnsi="Verdana" w:cs="Arial"/>
          <w:bCs/>
          <w:shd w:val="clear" w:color="auto" w:fill="FFFFFF"/>
        </w:rPr>
        <w:t xml:space="preserve">C-1003 del 30 de enero de 2025, </w:t>
      </w:r>
      <w:r w:rsidRPr="00E860E7">
        <w:rPr>
          <w:rFonts w:ascii="Verdana" w:hAnsi="Verdana" w:cs="Arial"/>
          <w:bCs/>
          <w:shd w:val="clear" w:color="auto" w:fill="FFFFFF"/>
        </w:rPr>
        <w:t xml:space="preserve">C-142 del 14 de marzo de 2025, C- 192 del 25 de marzo de 2025, C- 414 del 12 de mayo de 2025, </w:t>
      </w:r>
      <w:r>
        <w:rPr>
          <w:rFonts w:ascii="Verdana" w:hAnsi="Verdana" w:cs="Arial"/>
          <w:bCs/>
          <w:shd w:val="clear" w:color="auto" w:fill="FFFFFF"/>
        </w:rPr>
        <w:t>C-</w:t>
      </w:r>
      <w:r w:rsidRPr="001715C8">
        <w:rPr>
          <w:rFonts w:ascii="Verdana" w:hAnsi="Verdana" w:cs="Arial"/>
          <w:bCs/>
          <w:shd w:val="clear" w:color="auto" w:fill="FFFFFF"/>
        </w:rPr>
        <w:t>1271 del 17 de octubre de 2025</w:t>
      </w:r>
      <w:r w:rsidRPr="001715C8">
        <w:rPr>
          <w:rFonts w:ascii="Verdana" w:hAnsi="Verdana" w:cs="Arial"/>
          <w:shd w:val="clear" w:color="auto" w:fill="FFFFFF"/>
        </w:rPr>
        <w:t xml:space="preserve">, C-1415 del 11 de noviembre de 2025, </w:t>
      </w:r>
      <w:r>
        <w:rPr>
          <w:rFonts w:ascii="Verdana" w:hAnsi="Verdana" w:cs="Arial"/>
          <w:shd w:val="clear" w:color="auto" w:fill="FFFFFF"/>
        </w:rPr>
        <w:t xml:space="preserve">C-1602 del 11 de diciembre de 2025, </w:t>
      </w:r>
      <w:r w:rsidR="002F43E6">
        <w:rPr>
          <w:rFonts w:ascii="Verdana" w:hAnsi="Verdana" w:cs="Arial"/>
          <w:shd w:val="clear" w:color="auto" w:fill="FFFFFF"/>
        </w:rPr>
        <w:t xml:space="preserve">c-1672 del 19 de diciembre de 2025, </w:t>
      </w:r>
      <w:r w:rsidRPr="001715C8">
        <w:rPr>
          <w:rFonts w:ascii="Verdana" w:hAnsi="Verdana" w:cs="Arial"/>
          <w:shd w:val="clear" w:color="auto" w:fill="FFFFFF"/>
        </w:rPr>
        <w:t>entre otros</w:t>
      </w:r>
      <w:r w:rsidRPr="001715C8">
        <w:rPr>
          <w:rFonts w:ascii="Verdana" w:hAnsi="Verdana" w:cs="Arial"/>
          <w:shd w:val="clear" w:color="auto" w:fill="FFFFFF"/>
          <w:lang w:val="es-ES"/>
        </w:rPr>
        <w:t>.</w:t>
      </w:r>
      <w:r w:rsidRPr="001715C8">
        <w:rPr>
          <w:rStyle w:val="normaltextrun"/>
          <w:rFonts w:ascii="Verdana" w:hAnsi="Verdana" w:cs="Arial"/>
          <w:shd w:val="clear" w:color="auto" w:fill="FFFFFF"/>
          <w:lang w:val="es-ES"/>
        </w:rPr>
        <w:t xml:space="preserve"> </w:t>
      </w:r>
      <w:r w:rsidR="0045785F"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76AEC5C1" w14:textId="77777777" w:rsidR="0045785F" w:rsidRPr="009037F6" w:rsidRDefault="00055901" w:rsidP="0045785F">
      <w:pPr>
        <w:spacing w:after="0" w:line="256" w:lineRule="auto"/>
        <w:jc w:val="both"/>
        <w:rPr>
          <w:rFonts w:ascii="Verdana" w:eastAsia="Calibri" w:hAnsi="Verdana" w:cs="Times New Roman"/>
        </w:rPr>
      </w:pPr>
      <w:hyperlink r:id="rId18" w:history="1">
        <w:r w:rsidR="0045785F" w:rsidRPr="009037F6">
          <w:rPr>
            <w:rFonts w:ascii="Verdana" w:eastAsia="Calibri" w:hAnsi="Verdana" w:cs="Times New Roman"/>
            <w:color w:val="0000FF"/>
            <w:u w:val="single"/>
            <w:lang w:val="es-ES"/>
          </w:rPr>
          <w:t>https://relatoria.colombiacompra.gov.co/busqueda/conceptos</w:t>
        </w:r>
      </w:hyperlink>
      <w:r w:rsidR="0045785F" w:rsidRPr="009037F6">
        <w:rPr>
          <w:rFonts w:ascii="Verdana" w:eastAsia="Calibri" w:hAnsi="Verdana" w:cs="Times New Roman"/>
        </w:rPr>
        <w:t xml:space="preserve">. </w:t>
      </w:r>
    </w:p>
    <w:p w14:paraId="29E584E3" w14:textId="77777777" w:rsidR="0045785F" w:rsidRPr="009037F6" w:rsidRDefault="0045785F" w:rsidP="0045785F">
      <w:pPr>
        <w:spacing w:after="0"/>
        <w:jc w:val="both"/>
        <w:rPr>
          <w:rFonts w:ascii="Verdana" w:hAnsi="Verdana"/>
        </w:rPr>
      </w:pPr>
    </w:p>
    <w:p w14:paraId="6527B109" w14:textId="77777777" w:rsidR="0045785F" w:rsidRPr="009037F6" w:rsidRDefault="0045785F" w:rsidP="0045785F">
      <w:pPr>
        <w:spacing w:after="0" w:line="256" w:lineRule="auto"/>
        <w:jc w:val="both"/>
        <w:rPr>
          <w:rFonts w:ascii="Verdana" w:eastAsia="Calibri" w:hAnsi="Verdana" w:cs="Times New Roman"/>
        </w:rPr>
      </w:pPr>
      <w:r w:rsidRPr="009037F6">
        <w:rPr>
          <w:rFonts w:ascii="Verdana" w:eastAsia="Calibri" w:hAnsi="Verdana" w:cs="Times New Roman"/>
        </w:rPr>
        <w:t xml:space="preserve">Te informamos que ya se encuentra disponible la </w:t>
      </w:r>
      <w:r w:rsidRPr="009037F6">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037F6">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3EBF856E" w14:textId="77777777" w:rsidR="0045785F" w:rsidRPr="009037F6" w:rsidRDefault="0045785F" w:rsidP="0045785F">
      <w:pPr>
        <w:spacing w:after="0" w:line="240" w:lineRule="auto"/>
        <w:jc w:val="both"/>
        <w:rPr>
          <w:rFonts w:ascii="Verdana" w:hAnsi="Verdana"/>
        </w:rPr>
      </w:pPr>
    </w:p>
    <w:p w14:paraId="546E9AA9" w14:textId="77777777" w:rsidR="0045785F" w:rsidRPr="009037F6" w:rsidRDefault="0045785F" w:rsidP="0045785F">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2302D19" w14:textId="77777777" w:rsidR="0045785F" w:rsidRPr="009037F6" w:rsidRDefault="0045785F" w:rsidP="0045785F">
      <w:pPr>
        <w:spacing w:after="0" w:line="256" w:lineRule="auto"/>
        <w:jc w:val="both"/>
        <w:rPr>
          <w:rFonts w:ascii="Verdana" w:eastAsia="Calibri" w:hAnsi="Verdana" w:cs="Times New Roman"/>
        </w:rPr>
      </w:pPr>
    </w:p>
    <w:p w14:paraId="7D3EDA8A" w14:textId="77777777" w:rsidR="0045785F" w:rsidRDefault="0045785F" w:rsidP="0045785F">
      <w:pPr>
        <w:spacing w:after="0" w:line="256" w:lineRule="auto"/>
        <w:jc w:val="both"/>
        <w:rPr>
          <w:rFonts w:ascii="Verdana" w:eastAsia="Calibri" w:hAnsi="Verdana" w:cs="Times New Roman"/>
        </w:rPr>
      </w:pPr>
      <w:r w:rsidRPr="009037F6">
        <w:rPr>
          <w:rFonts w:ascii="Verdana" w:eastAsia="Calibri" w:hAnsi="Verdana" w:cs="Times New Roman"/>
        </w:rPr>
        <w:lastRenderedPageBreak/>
        <w:t>Atentamente,</w:t>
      </w:r>
    </w:p>
    <w:p w14:paraId="6F52E4C1" w14:textId="77777777" w:rsidR="0045785F" w:rsidRDefault="0045785F" w:rsidP="0045785F">
      <w:pPr>
        <w:spacing w:after="0" w:line="256" w:lineRule="auto"/>
        <w:jc w:val="both"/>
        <w:rPr>
          <w:rFonts w:ascii="Verdana" w:eastAsia="Calibri" w:hAnsi="Verdana" w:cs="Times New Roman"/>
        </w:rPr>
      </w:pPr>
    </w:p>
    <w:bookmarkEnd w:id="0"/>
    <w:p w14:paraId="172AE196" w14:textId="77777777" w:rsidR="00486E52" w:rsidRDefault="00486E52" w:rsidP="00486E52">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6A08F9F1" wp14:editId="75698C4E">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312722" cy="1229722"/>
                    </a:xfrm>
                    <a:prstGeom prst="rect">
                      <a:avLst/>
                    </a:prstGeom>
                  </pic:spPr>
                </pic:pic>
              </a:graphicData>
            </a:graphic>
          </wp:inline>
        </w:drawing>
      </w:r>
    </w:p>
    <w:p w14:paraId="631D0198" w14:textId="77777777" w:rsidR="00486E52" w:rsidRDefault="00486E52" w:rsidP="00486E52">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486E52" w:rsidRPr="00D81E8E" w14:paraId="1A3ADC7A" w14:textId="77777777" w:rsidTr="00667CD3">
        <w:trPr>
          <w:trHeight w:val="409"/>
        </w:trPr>
        <w:tc>
          <w:tcPr>
            <w:tcW w:w="817" w:type="dxa"/>
            <w:tcBorders>
              <w:top w:val="nil"/>
              <w:left w:val="nil"/>
              <w:bottom w:val="nil"/>
              <w:right w:val="nil"/>
            </w:tcBorders>
            <w:vAlign w:val="center"/>
            <w:hideMark/>
          </w:tcPr>
          <w:p w14:paraId="6AD316B5" w14:textId="77777777" w:rsidR="00486E52" w:rsidRPr="00D81E8E" w:rsidRDefault="00486E52" w:rsidP="00667CD3">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F1B0C93" w14:textId="77777777" w:rsidR="00486E52" w:rsidRPr="00D81E8E" w:rsidRDefault="00486E52" w:rsidP="00667CD3">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José Luis Sánchez Cardona</w:t>
            </w:r>
          </w:p>
          <w:p w14:paraId="0BBE2FC2" w14:textId="77777777" w:rsidR="00486E52" w:rsidRPr="00D81E8E" w:rsidRDefault="00486E52" w:rsidP="00667CD3">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Contratista de la Subdirección de Gestión Contractual</w:t>
            </w:r>
          </w:p>
        </w:tc>
      </w:tr>
      <w:tr w:rsidR="00486E52" w:rsidRPr="00D81E8E" w14:paraId="67B1243E" w14:textId="77777777" w:rsidTr="00667CD3">
        <w:trPr>
          <w:trHeight w:val="409"/>
        </w:trPr>
        <w:tc>
          <w:tcPr>
            <w:tcW w:w="817" w:type="dxa"/>
            <w:tcBorders>
              <w:top w:val="nil"/>
              <w:left w:val="nil"/>
              <w:bottom w:val="nil"/>
              <w:right w:val="nil"/>
            </w:tcBorders>
            <w:vAlign w:val="center"/>
            <w:hideMark/>
          </w:tcPr>
          <w:p w14:paraId="5F28F43C" w14:textId="77777777" w:rsidR="00486E52" w:rsidRPr="00D81E8E" w:rsidRDefault="00486E52" w:rsidP="00667CD3">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12E7950" w14:textId="5EF3E066" w:rsidR="00486E52" w:rsidRPr="00D81E8E" w:rsidRDefault="00486E52" w:rsidP="00667CD3">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 xml:space="preserve">Alejandro </w:t>
            </w:r>
            <w:r>
              <w:rPr>
                <w:rFonts w:ascii="Verdana" w:eastAsia="Calibri" w:hAnsi="Verdana" w:cs="Times New Roman"/>
                <w:sz w:val="16"/>
                <w:szCs w:val="16"/>
              </w:rPr>
              <w:t xml:space="preserve">R. </w:t>
            </w:r>
            <w:bookmarkStart w:id="5" w:name="_GoBack"/>
            <w:bookmarkEnd w:id="5"/>
            <w:r w:rsidRPr="00D81E8E">
              <w:rPr>
                <w:rFonts w:ascii="Verdana" w:eastAsia="Calibri" w:hAnsi="Verdana" w:cs="Times New Roman"/>
                <w:sz w:val="16"/>
                <w:szCs w:val="16"/>
              </w:rPr>
              <w:t>Sarmiento Cantillo</w:t>
            </w:r>
          </w:p>
          <w:p w14:paraId="2EF0D1E6" w14:textId="77777777" w:rsidR="00486E52" w:rsidRPr="00D81E8E" w:rsidRDefault="00486E52" w:rsidP="00667CD3">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Gestor T1-15 de la Subdirección de Gestión Contractual </w:t>
            </w:r>
          </w:p>
        </w:tc>
      </w:tr>
      <w:tr w:rsidR="00486E52" w:rsidRPr="00D81E8E" w14:paraId="05FD4661" w14:textId="77777777" w:rsidTr="00667CD3">
        <w:trPr>
          <w:trHeight w:val="389"/>
        </w:trPr>
        <w:tc>
          <w:tcPr>
            <w:tcW w:w="817" w:type="dxa"/>
            <w:tcBorders>
              <w:top w:val="nil"/>
              <w:left w:val="nil"/>
              <w:bottom w:val="nil"/>
              <w:right w:val="nil"/>
            </w:tcBorders>
            <w:vAlign w:val="center"/>
            <w:hideMark/>
          </w:tcPr>
          <w:p w14:paraId="11C84780" w14:textId="77777777" w:rsidR="00486E52" w:rsidRPr="00D81E8E" w:rsidRDefault="00486E52" w:rsidP="00667CD3">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B6BBF55" w14:textId="77777777" w:rsidR="00486E52" w:rsidRPr="00D81E8E" w:rsidRDefault="00486E52" w:rsidP="00667CD3">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Carolina Quintero Gacharná</w:t>
            </w:r>
          </w:p>
          <w:p w14:paraId="7F9804CE" w14:textId="77777777" w:rsidR="00486E52" w:rsidRPr="00D81E8E" w:rsidRDefault="00486E52" w:rsidP="00667CD3">
            <w:pPr>
              <w:spacing w:after="0" w:line="256" w:lineRule="auto"/>
              <w:rPr>
                <w:rFonts w:ascii="Verdana" w:eastAsia="Calibri" w:hAnsi="Verdana" w:cs="Times New Roman"/>
                <w:sz w:val="16"/>
                <w:szCs w:val="16"/>
              </w:rPr>
            </w:pPr>
            <w:r w:rsidRPr="00D81E8E">
              <w:rPr>
                <w:rFonts w:ascii="Verdana" w:eastAsia="Calibri" w:hAnsi="Verdana" w:cs="Times New Roman"/>
                <w:sz w:val="16"/>
                <w:szCs w:val="16"/>
              </w:rPr>
              <w:t>Subdirectora de Gestión Contractual ANCP – CCE</w:t>
            </w:r>
          </w:p>
        </w:tc>
      </w:tr>
    </w:tbl>
    <w:p w14:paraId="6081AE4F" w14:textId="77777777" w:rsidR="00486E52" w:rsidRPr="0044528D" w:rsidRDefault="00486E52" w:rsidP="00486E52">
      <w:pPr>
        <w:spacing w:after="0" w:line="240" w:lineRule="auto"/>
        <w:textAlignment w:val="baseline"/>
        <w:rPr>
          <w:rFonts w:ascii="Verdana" w:eastAsia="Times New Roman" w:hAnsi="Verdana" w:cs="Segoe UI"/>
          <w:b/>
          <w:bCs/>
          <w:color w:val="46589C"/>
          <w:lang w:val="es-ES" w:eastAsia="es-CO"/>
        </w:rPr>
      </w:pPr>
    </w:p>
    <w:p w14:paraId="73C61EC8" w14:textId="6072DA95" w:rsidR="00EB224C" w:rsidRPr="00486E52" w:rsidRDefault="00EB224C" w:rsidP="0045785F">
      <w:pPr>
        <w:rPr>
          <w:lang w:val="es-ES"/>
        </w:rPr>
      </w:pPr>
    </w:p>
    <w:sectPr w:rsidR="00EB224C" w:rsidRPr="00486E52" w:rsidSect="007C0C0F">
      <w:headerReference w:type="default" r:id="rId20"/>
      <w:footerReference w:type="default" r:id="rId2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ADC629" w14:textId="77777777" w:rsidR="00055901" w:rsidRDefault="00055901" w:rsidP="004A1847">
      <w:pPr>
        <w:spacing w:after="0" w:line="240" w:lineRule="auto"/>
      </w:pPr>
      <w:r>
        <w:separator/>
      </w:r>
    </w:p>
  </w:endnote>
  <w:endnote w:type="continuationSeparator" w:id="0">
    <w:p w14:paraId="21853D7B" w14:textId="77777777" w:rsidR="00055901" w:rsidRDefault="0005590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Arial Nova">
    <w:altName w:val="Arial"/>
    <w:charset w:val="00"/>
    <w:family w:val="swiss"/>
    <w:pitch w:val="variable"/>
    <w:sig w:usb0="0000028F" w:usb1="00000002" w:usb2="00000000" w:usb3="00000000" w:csb0="0000019F" w:csb1="00000000"/>
  </w:font>
  <w:font w:name="Yu Gothic UI Semibold">
    <w:panose1 w:val="020B0700000000000000"/>
    <w:charset w:val="80"/>
    <w:family w:val="swiss"/>
    <w:pitch w:val="variable"/>
    <w:sig w:usb0="E00002FF" w:usb1="2AC7FDFF" w:usb2="00000016" w:usb3="00000000" w:csb0="000200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9B3C20" w:rsidRDefault="009B3C20">
    <w:pPr>
      <w:pStyle w:val="Piedepgina"/>
    </w:pPr>
  </w:p>
  <w:p w14:paraId="594D6D9F" w14:textId="385FC86A" w:rsidR="009B3C20" w:rsidRPr="00174B77" w:rsidRDefault="009B3C2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486E52" w:rsidRPr="00486E52">
      <w:rPr>
        <w:rFonts w:ascii="Verdana" w:eastAsiaTheme="minorEastAsia" w:hAnsi="Verdana"/>
        <w:b/>
        <w:bCs/>
        <w:noProof/>
        <w:sz w:val="16"/>
        <w:szCs w:val="16"/>
      </w:rPr>
      <w:t>29</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9B3C20" w:rsidRDefault="009B3C2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9B3C20" w:rsidRPr="00E41027" w:rsidRDefault="009B3C20"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9B3C20" w:rsidRDefault="009B3C20">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2384A5" w14:textId="77777777" w:rsidR="00055901" w:rsidRDefault="00055901" w:rsidP="004A1847">
      <w:pPr>
        <w:spacing w:after="0" w:line="240" w:lineRule="auto"/>
      </w:pPr>
      <w:r>
        <w:separator/>
      </w:r>
    </w:p>
  </w:footnote>
  <w:footnote w:type="continuationSeparator" w:id="0">
    <w:p w14:paraId="422D9300" w14:textId="77777777" w:rsidR="00055901" w:rsidRDefault="00055901" w:rsidP="004A1847">
      <w:pPr>
        <w:spacing w:after="0" w:line="240" w:lineRule="auto"/>
      </w:pPr>
      <w:r>
        <w:continuationSeparator/>
      </w:r>
    </w:p>
  </w:footnote>
  <w:footnote w:id="1">
    <w:p w14:paraId="589AF082" w14:textId="77777777" w:rsidR="009B3C20" w:rsidRPr="00144A14" w:rsidRDefault="009B3C20" w:rsidP="009B3C20">
      <w:pPr>
        <w:pStyle w:val="Textonotapie"/>
        <w:ind w:firstLine="709"/>
        <w:jc w:val="both"/>
        <w:rPr>
          <w:rFonts w:ascii="Verdana" w:hAnsi="Verdana" w:cs="Arial"/>
          <w:color w:val="000000"/>
          <w:sz w:val="16"/>
          <w:szCs w:val="16"/>
          <w:lang w:val="es-ES"/>
        </w:rPr>
      </w:pPr>
      <w:r w:rsidRPr="00144A14">
        <w:rPr>
          <w:rStyle w:val="Refdenotaalpie"/>
          <w:rFonts w:ascii="Verdana" w:hAnsi="Verdana"/>
          <w:sz w:val="16"/>
          <w:szCs w:val="16"/>
        </w:rPr>
        <w:footnoteRef/>
      </w:r>
      <w:r w:rsidRPr="00144A14">
        <w:rPr>
          <w:rFonts w:ascii="Verdana" w:hAnsi="Verdana"/>
          <w:sz w:val="16"/>
          <w:szCs w:val="16"/>
        </w:rPr>
        <w:t xml:space="preserve"> </w:t>
      </w:r>
      <w:r w:rsidRPr="00144A14">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4B09861D" w14:textId="77777777" w:rsidR="009B3C20" w:rsidRPr="00144A14" w:rsidRDefault="009B3C20" w:rsidP="009B3C20">
      <w:pPr>
        <w:pStyle w:val="Textonotapie"/>
        <w:ind w:firstLine="709"/>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2. Quien presta el servicio se denomina trabajador, quien lo recibe y remunera, empleador, y la remuneración, cualquiera que sea su forma, salario”.</w:t>
      </w:r>
    </w:p>
  </w:footnote>
  <w:footnote w:id="2">
    <w:p w14:paraId="476AED09" w14:textId="45BBA8E6" w:rsidR="009B3C20" w:rsidRPr="00144A14" w:rsidRDefault="009B3C20" w:rsidP="009B3C20">
      <w:pPr>
        <w:pStyle w:val="Textonotapie"/>
        <w:ind w:firstLine="708"/>
        <w:rPr>
          <w:rFonts w:ascii="Verdana" w:hAnsi="Verdana"/>
          <w:sz w:val="16"/>
          <w:szCs w:val="16"/>
          <w:lang w:val="pt-BR"/>
        </w:rPr>
      </w:pPr>
      <w:r w:rsidRPr="00144A14">
        <w:rPr>
          <w:rStyle w:val="Refdenotaalpie"/>
          <w:rFonts w:ascii="Verdana" w:hAnsi="Verdana"/>
          <w:sz w:val="16"/>
          <w:szCs w:val="16"/>
        </w:rPr>
        <w:footnoteRef/>
      </w:r>
      <w:r w:rsidRPr="00144A14">
        <w:rPr>
          <w:rFonts w:ascii="Verdana" w:hAnsi="Verdana"/>
          <w:sz w:val="16"/>
          <w:szCs w:val="16"/>
          <w:lang w:val="pt-BR"/>
        </w:rPr>
        <w:t xml:space="preserve"> </w:t>
      </w:r>
      <w:r w:rsidR="00917FBF" w:rsidRPr="00144A14">
        <w:rPr>
          <w:rFonts w:ascii="Verdana" w:hAnsi="Verdana" w:cs="Arial"/>
          <w:color w:val="000000"/>
          <w:sz w:val="16"/>
          <w:szCs w:val="16"/>
          <w:lang w:val="pt-BR"/>
        </w:rPr>
        <w:t xml:space="preserve">Corte Constitucional. </w:t>
      </w:r>
      <w:r w:rsidRPr="00144A14">
        <w:rPr>
          <w:rFonts w:ascii="Verdana" w:hAnsi="Verdana" w:cs="Arial"/>
          <w:color w:val="000000"/>
          <w:sz w:val="16"/>
          <w:szCs w:val="16"/>
          <w:lang w:val="pt-BR"/>
        </w:rPr>
        <w:t>Sentencia C-154 de 1997. M.P. Hernando Herrera Vergara.</w:t>
      </w:r>
    </w:p>
  </w:footnote>
  <w:footnote w:id="3">
    <w:p w14:paraId="6C145EB0" w14:textId="466A4288" w:rsidR="009B3C20" w:rsidRPr="00144A14" w:rsidDel="00A37FEF" w:rsidRDefault="009B3C20" w:rsidP="009B3C20">
      <w:pPr>
        <w:spacing w:after="0"/>
        <w:ind w:firstLine="708"/>
        <w:jc w:val="both"/>
        <w:rPr>
          <w:rFonts w:ascii="Verdana" w:eastAsia="Arial Nova" w:hAnsi="Verdana" w:cs="Arial"/>
          <w:sz w:val="16"/>
          <w:szCs w:val="16"/>
          <w:lang w:val="pt-BR"/>
        </w:rPr>
      </w:pPr>
      <w:r w:rsidRPr="00144A14">
        <w:rPr>
          <w:rStyle w:val="Refdenotaalpie"/>
          <w:rFonts w:ascii="Verdana" w:hAnsi="Verdana" w:cs="Arial"/>
          <w:sz w:val="16"/>
          <w:szCs w:val="16"/>
        </w:rPr>
        <w:footnoteRef/>
      </w:r>
      <w:r w:rsidRPr="00144A14">
        <w:rPr>
          <w:rFonts w:ascii="Verdana" w:hAnsi="Verdana" w:cs="Arial"/>
          <w:sz w:val="16"/>
          <w:szCs w:val="16"/>
          <w:lang w:val="pt-BR"/>
        </w:rPr>
        <w:t xml:space="preserve"> </w:t>
      </w:r>
      <w:r w:rsidR="00917FBF" w:rsidRPr="00144A14">
        <w:rPr>
          <w:rFonts w:ascii="Verdana" w:eastAsia="Arial Nova" w:hAnsi="Verdana" w:cs="Arial"/>
          <w:sz w:val="16"/>
          <w:szCs w:val="16"/>
          <w:lang w:val="pt-BR"/>
        </w:rPr>
        <w:t xml:space="preserve">Corte Constitucional. </w:t>
      </w:r>
      <w:r w:rsidRPr="00144A14">
        <w:rPr>
          <w:rFonts w:ascii="Verdana" w:eastAsia="Arial Nova" w:hAnsi="Verdana" w:cs="Arial"/>
          <w:sz w:val="16"/>
          <w:szCs w:val="16"/>
          <w:lang w:val="pt-BR"/>
        </w:rPr>
        <w:t xml:space="preserve">Sentencia C-614 de 2009. M.P. Jorge Ignacio Pretelt Chaljub. </w:t>
      </w:r>
    </w:p>
  </w:footnote>
  <w:footnote w:id="4">
    <w:p w14:paraId="64817FC5" w14:textId="42BDC3F1" w:rsidR="009B3C20" w:rsidRPr="00144A14" w:rsidDel="00A37FEF" w:rsidRDefault="009B3C20" w:rsidP="009B3C20">
      <w:pPr>
        <w:pStyle w:val="Textonotapie"/>
        <w:ind w:firstLine="708"/>
        <w:rPr>
          <w:rFonts w:ascii="Verdana" w:hAnsi="Verdana" w:cs="Arial"/>
          <w:color w:val="000000" w:themeColor="text1"/>
          <w:sz w:val="16"/>
          <w:szCs w:val="16"/>
          <w:lang w:val="es-ES"/>
        </w:rPr>
      </w:pPr>
      <w:r w:rsidRPr="00144A14">
        <w:rPr>
          <w:rStyle w:val="Refdenotaalpie"/>
          <w:rFonts w:ascii="Verdana" w:hAnsi="Verdana"/>
          <w:sz w:val="16"/>
          <w:szCs w:val="16"/>
        </w:rPr>
        <w:footnoteRef/>
      </w:r>
      <w:r w:rsidRPr="00144A14">
        <w:rPr>
          <w:rFonts w:ascii="Verdana" w:hAnsi="Verdana"/>
          <w:sz w:val="16"/>
          <w:szCs w:val="16"/>
          <w:lang w:val="pt-BR"/>
        </w:rPr>
        <w:t xml:space="preserve"> </w:t>
      </w:r>
      <w:r w:rsidR="00917FBF" w:rsidRPr="00144A14">
        <w:rPr>
          <w:rFonts w:ascii="Verdana" w:hAnsi="Verdana" w:cs="Arial"/>
          <w:color w:val="000000"/>
          <w:sz w:val="16"/>
          <w:szCs w:val="16"/>
          <w:lang w:val="pt-BR"/>
        </w:rPr>
        <w:t>Corte Constitucional</w:t>
      </w:r>
      <w:r w:rsidRPr="00144A14">
        <w:rPr>
          <w:rFonts w:ascii="Verdana" w:hAnsi="Verdana" w:cs="Arial"/>
          <w:color w:val="000000"/>
          <w:sz w:val="16"/>
          <w:szCs w:val="16"/>
          <w:lang w:val="pt-BR"/>
        </w:rPr>
        <w:t xml:space="preserve">. Sentencia C-154 de 1997. </w:t>
      </w:r>
      <w:r w:rsidR="00917FBF" w:rsidRPr="00144A14">
        <w:rPr>
          <w:rFonts w:ascii="Verdana" w:hAnsi="Verdana" w:cs="Arial"/>
          <w:color w:val="000000"/>
          <w:sz w:val="16"/>
          <w:szCs w:val="16"/>
          <w:lang w:val="es-ES"/>
        </w:rPr>
        <w:t>M.P.</w:t>
      </w:r>
      <w:r w:rsidRPr="00144A14">
        <w:rPr>
          <w:rFonts w:ascii="Verdana" w:hAnsi="Verdana" w:cs="Arial"/>
          <w:color w:val="000000"/>
          <w:sz w:val="16"/>
          <w:szCs w:val="16"/>
          <w:lang w:val="es-ES"/>
        </w:rPr>
        <w:t xml:space="preserve"> Hernando Herrera Vergara.</w:t>
      </w:r>
    </w:p>
  </w:footnote>
  <w:footnote w:id="5">
    <w:p w14:paraId="570F8FE4"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0B100A2E"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1632CDB"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La Entidad Estatal, para la contratación de trabajos artísticos que solamente puedan en­comendarse a determinadas personas naturales, debe justificar esta situación en los estudios y documentos previos”.</w:t>
      </w:r>
    </w:p>
  </w:footnote>
  <w:footnote w:id="6">
    <w:p w14:paraId="54BC6C21" w14:textId="58D15301" w:rsidR="009B3C20" w:rsidRPr="00144A14" w:rsidDel="00A37FEF" w:rsidRDefault="009B3C20" w:rsidP="009B3C20">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00917FBF" w:rsidRPr="00144A14">
        <w:rPr>
          <w:rFonts w:ascii="Verdana" w:hAnsi="Verdana" w:cs="Arial"/>
          <w:color w:val="000000"/>
          <w:sz w:val="16"/>
          <w:szCs w:val="16"/>
          <w:lang w:val="es-ES"/>
        </w:rPr>
        <w:t xml:space="preserve">Consejo de Estado. </w:t>
      </w:r>
      <w:r w:rsidRPr="00144A14">
        <w:rPr>
          <w:rFonts w:ascii="Verdana" w:hAnsi="Verdana" w:cs="Arial"/>
          <w:color w:val="000000"/>
          <w:sz w:val="16"/>
          <w:szCs w:val="16"/>
          <w:lang w:val="es-ES"/>
        </w:rPr>
        <w:t>Sección Tercera. Subsección C. Sentencia del 2 de diciembre de 2013. Exp. 41719. C.P. Jaime Orlando Santofimio Gamboa.</w:t>
      </w:r>
    </w:p>
  </w:footnote>
  <w:footnote w:id="7">
    <w:p w14:paraId="5B8D0C06"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D1325E9"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Son también contratos de consultoría los que tienen por objeto la interventoría, asesoría, gerencia de obra o de proyectos, dirección, programación y la ejecución de diseños, planos, anteproyectos y proyectos.</w:t>
      </w:r>
    </w:p>
    <w:p w14:paraId="72A22C6A"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8">
    <w:p w14:paraId="528ED75E"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4CE90A8A"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1. La causal que invoca para contratar directamente.</w:t>
      </w:r>
    </w:p>
    <w:p w14:paraId="23461E5C"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2. El objeto del contrato.</w:t>
      </w:r>
    </w:p>
    <w:p w14:paraId="54077B2C"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3. El presupuesto para la contratación y las condiciones que exigirá al contratista.</w:t>
      </w:r>
    </w:p>
    <w:p w14:paraId="3E0D3953"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4. El lugar en el cual los interesados pueden consultar los estudios y documentos previos.</w:t>
      </w:r>
    </w:p>
    <w:p w14:paraId="1C5D060A"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9">
    <w:p w14:paraId="37BD5BCA"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Esta norma expresa: “</w:t>
      </w:r>
      <w:r w:rsidRPr="00144A14">
        <w:rPr>
          <w:rFonts w:ascii="Verdana" w:hAnsi="Verdana" w:cs="Arial"/>
          <w:color w:val="000000"/>
          <w:sz w:val="16"/>
          <w:szCs w:val="16"/>
        </w:rPr>
        <w:t>P</w:t>
      </w:r>
      <w:r w:rsidRPr="00144A14">
        <w:rPr>
          <w:rFonts w:ascii="Verdana" w:hAnsi="Verdana" w:cs="Arial"/>
          <w:color w:val="000000"/>
          <w:sz w:val="16"/>
          <w:szCs w:val="16"/>
          <w:lang w:val="es-ES"/>
        </w:rPr>
        <w:t>ara el cumplimiento de los fines de la contratación, las entidades estatales al celebrar un contrato:</w:t>
      </w:r>
    </w:p>
    <w:p w14:paraId="76772A06"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w:t>
      </w:r>
    </w:p>
    <w:p w14:paraId="5494199F"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50A7C2E6"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lang w:val="es-ES"/>
        </w:rPr>
        <w:t>Las entidades estatales podrán pactar estas cláusulas en los contratos de suministro y de prestación de servicios.[…]”.</w:t>
      </w:r>
    </w:p>
  </w:footnote>
  <w:footnote w:id="10">
    <w:p w14:paraId="7037B159" w14:textId="1B607032" w:rsidR="009B3C20" w:rsidRPr="00144A14" w:rsidRDefault="009B3C20" w:rsidP="00B0459C">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11">
    <w:p w14:paraId="239B996C" w14:textId="77777777" w:rsidR="009B3C20" w:rsidRPr="00144A14" w:rsidRDefault="009B3C20" w:rsidP="009B3C20">
      <w:pPr>
        <w:pStyle w:val="Textonotapie"/>
        <w:ind w:firstLine="709"/>
        <w:contextualSpacing/>
        <w:jc w:val="both"/>
        <w:rPr>
          <w:rFonts w:ascii="Verdana" w:hAnsi="Verdana" w:cs="Arial"/>
          <w:color w:val="000000"/>
          <w:sz w:val="16"/>
          <w:szCs w:val="16"/>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35981E7" w14:textId="77777777" w:rsidR="009B3C20" w:rsidRPr="00144A14" w:rsidRDefault="009B3C20" w:rsidP="009B3C20">
      <w:pPr>
        <w:pStyle w:val="Textonotapie"/>
        <w:ind w:firstLine="709"/>
        <w:contextualSpacing/>
        <w:jc w:val="both"/>
        <w:rPr>
          <w:rFonts w:ascii="Verdana" w:hAnsi="Verdana" w:cs="Arial"/>
          <w:color w:val="000000"/>
          <w:sz w:val="16"/>
          <w:szCs w:val="16"/>
          <w:lang w:val="es-ES"/>
        </w:rPr>
      </w:pPr>
      <w:r w:rsidRPr="00144A14">
        <w:rPr>
          <w:rFonts w:ascii="Verdana" w:hAnsi="Verdana" w:cs="Arial"/>
          <w:color w:val="000000" w:themeColor="text1"/>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12">
    <w:p w14:paraId="3BD94134" w14:textId="77777777" w:rsidR="009B3C20" w:rsidRPr="00144A14" w:rsidDel="00A37FEF" w:rsidRDefault="009B3C20" w:rsidP="009B3C20">
      <w:pPr>
        <w:pStyle w:val="Textonotapie"/>
        <w:ind w:firstLine="709"/>
        <w:contextualSpacing/>
        <w:jc w:val="both"/>
        <w:rPr>
          <w:rFonts w:ascii="Verdana" w:hAnsi="Verdana" w:cs="Arial"/>
          <w:color w:val="000000"/>
          <w:sz w:val="16"/>
          <w:szCs w:val="16"/>
          <w:lang w:val="es-ES"/>
        </w:rPr>
      </w:pPr>
      <w:r w:rsidRPr="00144A14">
        <w:rPr>
          <w:rStyle w:val="Refdenotaalpie"/>
          <w:rFonts w:ascii="Verdana" w:hAnsi="Verdana" w:cs="Arial"/>
          <w:color w:val="000000"/>
          <w:sz w:val="16"/>
          <w:szCs w:val="16"/>
        </w:rPr>
        <w:footnoteRef/>
      </w:r>
      <w:r w:rsidRPr="00144A14">
        <w:rPr>
          <w:rFonts w:ascii="Verdana" w:hAnsi="Verdana" w:cs="Arial"/>
          <w:color w:val="000000"/>
          <w:sz w:val="16"/>
          <w:szCs w:val="16"/>
        </w:rPr>
        <w:t xml:space="preserve"> </w:t>
      </w:r>
      <w:r w:rsidRPr="00144A14">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3">
    <w:p w14:paraId="1198CFB7" w14:textId="1F9F42D5" w:rsidR="009B3C20" w:rsidRPr="00144A14" w:rsidRDefault="009B3C20" w:rsidP="00B0459C">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T-743 de 2017. M.P: Gloria Stella Ortiz Delgado.</w:t>
      </w:r>
    </w:p>
  </w:footnote>
  <w:footnote w:id="14">
    <w:p w14:paraId="04036673" w14:textId="6BE1B351" w:rsidR="009B3C20" w:rsidRPr="00144A14" w:rsidRDefault="009B3C20" w:rsidP="00917FBF">
      <w:pPr>
        <w:pStyle w:val="Textonotapie"/>
        <w:ind w:firstLine="709"/>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SU-075 de 2018. M.P: Gloria Stella Ortiz Delgado.</w:t>
      </w:r>
    </w:p>
  </w:footnote>
  <w:footnote w:id="15">
    <w:p w14:paraId="2AD967BC" w14:textId="3183C942" w:rsidR="009B3C20" w:rsidRPr="00144A14" w:rsidRDefault="009B3C20" w:rsidP="00917FBF">
      <w:pPr>
        <w:pStyle w:val="Textonotapie"/>
        <w:ind w:firstLine="709"/>
        <w:rPr>
          <w:rFonts w:ascii="Verdana" w:hAnsi="Verdana"/>
          <w:sz w:val="16"/>
          <w:szCs w:val="16"/>
          <w:lang w:val="es-CO"/>
        </w:rPr>
      </w:pPr>
      <w:r w:rsidRPr="00144A14">
        <w:rPr>
          <w:rStyle w:val="Refdenotaalpie"/>
          <w:rFonts w:ascii="Verdana" w:hAnsi="Verdana"/>
          <w:sz w:val="16"/>
          <w:szCs w:val="16"/>
        </w:rPr>
        <w:footnoteRef/>
      </w:r>
      <w:r w:rsidRPr="00144A14">
        <w:rPr>
          <w:rFonts w:ascii="Verdana" w:hAnsi="Verdana"/>
          <w:sz w:val="16"/>
          <w:szCs w:val="16"/>
          <w:lang w:val="es-CO"/>
        </w:rPr>
        <w:t xml:space="preserve"> Corte Constitucional. Sentencia T-350 del 2016. M.P: María Victoria Calle Correa. </w:t>
      </w:r>
    </w:p>
  </w:footnote>
  <w:footnote w:id="16">
    <w:p w14:paraId="716D53E9" w14:textId="77777777" w:rsidR="009B3C20" w:rsidRPr="00144A14" w:rsidRDefault="009B3C20" w:rsidP="009B3C20">
      <w:pPr>
        <w:pStyle w:val="Textonotapie"/>
        <w:ind w:firstLine="709"/>
        <w:rPr>
          <w:rFonts w:ascii="Verdana" w:hAnsi="Verdana"/>
          <w:sz w:val="16"/>
          <w:szCs w:val="16"/>
          <w:lang w:val="es-ES"/>
        </w:rPr>
      </w:pPr>
      <w:r w:rsidRPr="00144A14">
        <w:rPr>
          <w:rStyle w:val="Refdenotaalpie"/>
          <w:rFonts w:ascii="Verdana" w:hAnsi="Verdana"/>
          <w:sz w:val="16"/>
          <w:szCs w:val="16"/>
        </w:rPr>
        <w:footnoteRef/>
      </w:r>
      <w:r w:rsidRPr="00144A14">
        <w:rPr>
          <w:rFonts w:ascii="Verdana" w:hAnsi="Verdana"/>
          <w:sz w:val="16"/>
          <w:szCs w:val="16"/>
        </w:rPr>
        <w:t xml:space="preserve"> </w:t>
      </w:r>
      <w:r w:rsidRPr="00144A14">
        <w:rPr>
          <w:rFonts w:ascii="Verdana" w:hAnsi="Verdana"/>
          <w:sz w:val="16"/>
          <w:szCs w:val="16"/>
          <w:lang w:val="es-ES"/>
        </w:rPr>
        <w:t xml:space="preserve">Corte Constitucional. Sentencia T-030 de 2018. M.P: </w:t>
      </w:r>
      <w:r w:rsidRPr="00144A14">
        <w:rPr>
          <w:rFonts w:ascii="Verdana" w:hAnsi="Verdana"/>
          <w:sz w:val="16"/>
          <w:szCs w:val="16"/>
          <w:lang w:val="es-CO"/>
        </w:rPr>
        <w:t>José Fernando Reyes Cuartas.</w:t>
      </w:r>
    </w:p>
  </w:footnote>
  <w:footnote w:id="17">
    <w:p w14:paraId="4A20E6FF" w14:textId="43780E54" w:rsidR="009B3C20" w:rsidRPr="00144A14" w:rsidRDefault="009B3C20" w:rsidP="00917FBF">
      <w:pPr>
        <w:pStyle w:val="Textonotapie"/>
        <w:ind w:firstLine="709"/>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w:t>
      </w:r>
      <w:r w:rsidRPr="00144A14">
        <w:rPr>
          <w:rFonts w:ascii="Verdana" w:hAnsi="Verdana"/>
          <w:sz w:val="16"/>
          <w:szCs w:val="16"/>
        </w:rPr>
        <w:t xml:space="preserve">T-743 de 2017. </w:t>
      </w:r>
      <w:r w:rsidRPr="00144A14">
        <w:rPr>
          <w:rFonts w:ascii="Verdana" w:hAnsi="Verdana"/>
          <w:sz w:val="16"/>
          <w:szCs w:val="16"/>
          <w:lang w:val="es-CO"/>
        </w:rPr>
        <w:t xml:space="preserve">M.P: Gloria Stella Ortiz Delgado. </w:t>
      </w:r>
    </w:p>
  </w:footnote>
  <w:footnote w:id="18">
    <w:p w14:paraId="280AA75E" w14:textId="40A43B29" w:rsidR="009B3C20" w:rsidRPr="00144A14" w:rsidRDefault="009B3C20" w:rsidP="00917FBF">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T-329 de 2022. M.P: Natalia Ángel Cabo. Reiterada en sentencia de la Corte Constitucional T-119 de 2023. M.P: Paola Andrea Meneses Mosquera.</w:t>
      </w:r>
    </w:p>
  </w:footnote>
  <w:footnote w:id="19">
    <w:p w14:paraId="5504A84C" w14:textId="5E3CACF4" w:rsidR="009B3C20" w:rsidRPr="00144A14" w:rsidRDefault="009B3C20" w:rsidP="00917FBF">
      <w:pPr>
        <w:pStyle w:val="Textonotapie"/>
        <w:ind w:firstLine="709"/>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Corte Constitucional. Sentencia SU</w:t>
      </w:r>
      <w:r w:rsidRPr="00144A14">
        <w:rPr>
          <w:rFonts w:ascii="Verdana" w:hAnsi="Verdana"/>
          <w:sz w:val="16"/>
          <w:szCs w:val="16"/>
        </w:rPr>
        <w:t xml:space="preserve">-070 de 2013. </w:t>
      </w:r>
      <w:r w:rsidRPr="00144A14">
        <w:rPr>
          <w:rFonts w:ascii="Verdana" w:hAnsi="Verdana"/>
          <w:sz w:val="16"/>
          <w:szCs w:val="16"/>
          <w:lang w:val="es-CO"/>
        </w:rPr>
        <w:t xml:space="preserve">M.P: Alexei Julio Estrada. </w:t>
      </w:r>
    </w:p>
  </w:footnote>
  <w:footnote w:id="20">
    <w:p w14:paraId="1345AE7D" w14:textId="4FD21D66" w:rsidR="009B3C20" w:rsidRPr="00144A14" w:rsidRDefault="009B3C20" w:rsidP="00917FBF">
      <w:pPr>
        <w:spacing w:after="0" w:line="240" w:lineRule="auto"/>
        <w:ind w:firstLine="709"/>
        <w:jc w:val="both"/>
        <w:rPr>
          <w:rFonts w:ascii="Verdana" w:hAnsi="Verdana"/>
          <w:spacing w:val="-2"/>
          <w:sz w:val="16"/>
          <w:szCs w:val="16"/>
        </w:rPr>
      </w:pPr>
      <w:r w:rsidRPr="00144A14">
        <w:rPr>
          <w:rStyle w:val="Refdenotaalpie"/>
          <w:rFonts w:ascii="Verdana" w:hAnsi="Verdana"/>
          <w:sz w:val="16"/>
          <w:szCs w:val="16"/>
        </w:rPr>
        <w:footnoteRef/>
      </w:r>
      <w:r w:rsidRPr="00144A14">
        <w:rPr>
          <w:rFonts w:ascii="Verdana" w:hAnsi="Verdana"/>
          <w:sz w:val="16"/>
          <w:szCs w:val="16"/>
        </w:rPr>
        <w:t xml:space="preserve"> Corte</w:t>
      </w:r>
      <w:r w:rsidRPr="00144A14">
        <w:rPr>
          <w:rFonts w:ascii="Verdana" w:hAnsi="Verdana"/>
          <w:spacing w:val="1"/>
          <w:sz w:val="16"/>
          <w:szCs w:val="16"/>
        </w:rPr>
        <w:t xml:space="preserve"> </w:t>
      </w:r>
      <w:r w:rsidRPr="00144A14">
        <w:rPr>
          <w:rFonts w:ascii="Verdana" w:hAnsi="Verdana"/>
          <w:sz w:val="16"/>
          <w:szCs w:val="16"/>
        </w:rPr>
        <w:t>Constitucional.</w:t>
      </w:r>
      <w:r w:rsidRPr="00144A14">
        <w:rPr>
          <w:rFonts w:ascii="Verdana" w:hAnsi="Verdana"/>
          <w:spacing w:val="3"/>
          <w:sz w:val="16"/>
          <w:szCs w:val="16"/>
        </w:rPr>
        <w:t xml:space="preserve"> </w:t>
      </w:r>
      <w:r w:rsidRPr="00144A14">
        <w:rPr>
          <w:rFonts w:ascii="Verdana" w:hAnsi="Verdana"/>
          <w:sz w:val="16"/>
          <w:szCs w:val="16"/>
        </w:rPr>
        <w:t>Sentencia</w:t>
      </w:r>
      <w:r w:rsidRPr="00144A14">
        <w:rPr>
          <w:rFonts w:ascii="Verdana" w:hAnsi="Verdana"/>
          <w:spacing w:val="2"/>
          <w:sz w:val="16"/>
          <w:szCs w:val="16"/>
        </w:rPr>
        <w:t xml:space="preserve"> </w:t>
      </w:r>
      <w:r w:rsidRPr="00144A14">
        <w:rPr>
          <w:rFonts w:ascii="Verdana" w:hAnsi="Verdana"/>
          <w:sz w:val="16"/>
          <w:szCs w:val="16"/>
        </w:rPr>
        <w:t>T-329</w:t>
      </w:r>
      <w:r w:rsidRPr="00144A14">
        <w:rPr>
          <w:rFonts w:ascii="Verdana" w:hAnsi="Verdana"/>
          <w:spacing w:val="1"/>
          <w:sz w:val="16"/>
          <w:szCs w:val="16"/>
        </w:rPr>
        <w:t xml:space="preserve"> </w:t>
      </w:r>
      <w:r w:rsidRPr="00144A14">
        <w:rPr>
          <w:rFonts w:ascii="Verdana" w:hAnsi="Verdana"/>
          <w:sz w:val="16"/>
          <w:szCs w:val="16"/>
        </w:rPr>
        <w:t>del</w:t>
      </w:r>
      <w:r w:rsidRPr="00144A14">
        <w:rPr>
          <w:rFonts w:ascii="Verdana" w:hAnsi="Verdana"/>
          <w:spacing w:val="2"/>
          <w:sz w:val="16"/>
          <w:szCs w:val="16"/>
        </w:rPr>
        <w:t xml:space="preserve"> </w:t>
      </w:r>
      <w:r w:rsidRPr="00144A14">
        <w:rPr>
          <w:rFonts w:ascii="Verdana" w:hAnsi="Verdana"/>
          <w:sz w:val="16"/>
          <w:szCs w:val="16"/>
        </w:rPr>
        <w:t>19 de septiembre</w:t>
      </w:r>
      <w:r w:rsidRPr="00144A14">
        <w:rPr>
          <w:rFonts w:ascii="Verdana" w:hAnsi="Verdana"/>
          <w:spacing w:val="2"/>
          <w:sz w:val="16"/>
          <w:szCs w:val="16"/>
        </w:rPr>
        <w:t xml:space="preserve"> </w:t>
      </w:r>
      <w:r w:rsidRPr="00144A14">
        <w:rPr>
          <w:rFonts w:ascii="Verdana" w:hAnsi="Verdana"/>
          <w:sz w:val="16"/>
          <w:szCs w:val="16"/>
        </w:rPr>
        <w:t>de</w:t>
      </w:r>
      <w:r w:rsidRPr="00144A14">
        <w:rPr>
          <w:rFonts w:ascii="Verdana" w:hAnsi="Verdana"/>
          <w:spacing w:val="1"/>
          <w:sz w:val="16"/>
          <w:szCs w:val="16"/>
        </w:rPr>
        <w:t xml:space="preserve"> </w:t>
      </w:r>
      <w:r w:rsidRPr="00144A14">
        <w:rPr>
          <w:rFonts w:ascii="Verdana" w:hAnsi="Verdana"/>
          <w:sz w:val="16"/>
          <w:szCs w:val="16"/>
        </w:rPr>
        <w:t>2022.</w:t>
      </w:r>
      <w:r w:rsidRPr="00144A14">
        <w:rPr>
          <w:rFonts w:ascii="Verdana" w:hAnsi="Verdana"/>
          <w:spacing w:val="1"/>
          <w:sz w:val="16"/>
          <w:szCs w:val="16"/>
        </w:rPr>
        <w:t xml:space="preserve"> </w:t>
      </w:r>
      <w:r w:rsidRPr="00144A14">
        <w:rPr>
          <w:rFonts w:ascii="Verdana" w:hAnsi="Verdana"/>
          <w:sz w:val="16"/>
          <w:szCs w:val="16"/>
        </w:rPr>
        <w:t>M.P:</w:t>
      </w:r>
      <w:r w:rsidRPr="00144A14">
        <w:rPr>
          <w:rFonts w:ascii="Verdana" w:hAnsi="Verdana"/>
          <w:spacing w:val="1"/>
          <w:sz w:val="16"/>
          <w:szCs w:val="16"/>
        </w:rPr>
        <w:t xml:space="preserve"> </w:t>
      </w:r>
      <w:r w:rsidRPr="00144A14">
        <w:rPr>
          <w:rFonts w:ascii="Verdana" w:hAnsi="Verdana"/>
          <w:sz w:val="16"/>
          <w:szCs w:val="16"/>
        </w:rPr>
        <w:t>Natalia</w:t>
      </w:r>
      <w:r w:rsidRPr="00144A14">
        <w:rPr>
          <w:rFonts w:ascii="Verdana" w:hAnsi="Verdana"/>
          <w:spacing w:val="1"/>
          <w:sz w:val="16"/>
          <w:szCs w:val="16"/>
        </w:rPr>
        <w:t xml:space="preserve"> </w:t>
      </w:r>
      <w:r w:rsidRPr="00144A14">
        <w:rPr>
          <w:rFonts w:ascii="Verdana" w:hAnsi="Verdana"/>
          <w:spacing w:val="-2"/>
          <w:sz w:val="16"/>
          <w:szCs w:val="16"/>
        </w:rPr>
        <w:t xml:space="preserve">Ángel Cabo. </w:t>
      </w:r>
    </w:p>
  </w:footnote>
  <w:footnote w:id="21">
    <w:p w14:paraId="06DF95B5" w14:textId="68CDEBFF" w:rsidR="009B3C20" w:rsidRPr="00144A14" w:rsidRDefault="009B3C20" w:rsidP="00917FBF">
      <w:pPr>
        <w:pStyle w:val="Textonotapie"/>
        <w:ind w:firstLine="709"/>
        <w:jc w:val="both"/>
        <w:rPr>
          <w:rFonts w:ascii="Verdana" w:hAnsi="Verdana"/>
          <w:spacing w:val="-2"/>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Sentencia</w:t>
      </w:r>
      <w:r w:rsidRPr="00144A14">
        <w:rPr>
          <w:rFonts w:ascii="Verdana" w:hAnsi="Verdana"/>
          <w:spacing w:val="-7"/>
          <w:sz w:val="16"/>
          <w:szCs w:val="16"/>
          <w:lang w:val="es-CO"/>
        </w:rPr>
        <w:t xml:space="preserve"> </w:t>
      </w:r>
      <w:r w:rsidRPr="00144A14">
        <w:rPr>
          <w:rFonts w:ascii="Verdana" w:hAnsi="Verdana"/>
          <w:sz w:val="16"/>
          <w:szCs w:val="16"/>
          <w:lang w:val="es-CO"/>
        </w:rPr>
        <w:t>SU-070</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7"/>
          <w:sz w:val="16"/>
          <w:szCs w:val="16"/>
          <w:lang w:val="es-CO"/>
        </w:rPr>
        <w:t xml:space="preserve"> </w:t>
      </w:r>
      <w:r w:rsidRPr="00144A14">
        <w:rPr>
          <w:rFonts w:ascii="Verdana" w:hAnsi="Verdana"/>
          <w:sz w:val="16"/>
          <w:szCs w:val="16"/>
          <w:lang w:val="es-CO"/>
        </w:rPr>
        <w:t>2013.</w:t>
      </w:r>
      <w:r w:rsidRPr="00144A14">
        <w:rPr>
          <w:rFonts w:ascii="Verdana" w:hAnsi="Verdana"/>
          <w:spacing w:val="-7"/>
          <w:sz w:val="16"/>
          <w:szCs w:val="16"/>
          <w:lang w:val="es-CO"/>
        </w:rPr>
        <w:t xml:space="preserve"> </w:t>
      </w:r>
      <w:r w:rsidRPr="00144A14">
        <w:rPr>
          <w:rFonts w:ascii="Verdana" w:hAnsi="Verdana"/>
          <w:sz w:val="16"/>
          <w:szCs w:val="16"/>
          <w:lang w:val="es-CO"/>
        </w:rPr>
        <w:t>Fund.</w:t>
      </w:r>
      <w:r w:rsidRPr="00144A14">
        <w:rPr>
          <w:rFonts w:ascii="Verdana" w:hAnsi="Verdana"/>
          <w:spacing w:val="-8"/>
          <w:sz w:val="16"/>
          <w:szCs w:val="16"/>
          <w:lang w:val="es-CO"/>
        </w:rPr>
        <w:t xml:space="preserve"> </w:t>
      </w:r>
      <w:r w:rsidRPr="00144A14">
        <w:rPr>
          <w:rFonts w:ascii="Verdana" w:hAnsi="Verdana"/>
          <w:sz w:val="16"/>
          <w:szCs w:val="16"/>
          <w:lang w:val="es-CO"/>
        </w:rPr>
        <w:t>6.</w:t>
      </w:r>
      <w:r w:rsidRPr="00144A14">
        <w:rPr>
          <w:rFonts w:ascii="Verdana" w:hAnsi="Verdana"/>
          <w:spacing w:val="-7"/>
          <w:sz w:val="16"/>
          <w:szCs w:val="16"/>
          <w:lang w:val="es-CO"/>
        </w:rPr>
        <w:t xml:space="preserve"> </w:t>
      </w:r>
      <w:r w:rsidRPr="00144A14">
        <w:rPr>
          <w:rFonts w:ascii="Verdana" w:hAnsi="Verdana"/>
          <w:sz w:val="16"/>
          <w:szCs w:val="16"/>
          <w:lang w:val="es-CO"/>
        </w:rPr>
        <w:t>Reiterado</w:t>
      </w:r>
      <w:r w:rsidRPr="00144A14">
        <w:rPr>
          <w:rFonts w:ascii="Verdana" w:hAnsi="Verdana"/>
          <w:spacing w:val="-7"/>
          <w:sz w:val="16"/>
          <w:szCs w:val="16"/>
          <w:lang w:val="es-CO"/>
        </w:rPr>
        <w:t xml:space="preserve"> </w:t>
      </w:r>
      <w:r w:rsidRPr="00144A14">
        <w:rPr>
          <w:rFonts w:ascii="Verdana" w:hAnsi="Verdana"/>
          <w:sz w:val="16"/>
          <w:szCs w:val="16"/>
          <w:lang w:val="es-CO"/>
        </w:rPr>
        <w:t>en</w:t>
      </w:r>
      <w:r w:rsidRPr="00144A14">
        <w:rPr>
          <w:rFonts w:ascii="Verdana" w:hAnsi="Verdana"/>
          <w:spacing w:val="-8"/>
          <w:sz w:val="16"/>
          <w:szCs w:val="16"/>
          <w:lang w:val="es-CO"/>
        </w:rPr>
        <w:t xml:space="preserve"> </w:t>
      </w:r>
      <w:r w:rsidRPr="00144A14">
        <w:rPr>
          <w:rFonts w:ascii="Verdana" w:hAnsi="Verdana"/>
          <w:sz w:val="16"/>
          <w:szCs w:val="16"/>
          <w:lang w:val="es-CO"/>
        </w:rPr>
        <w:t>las</w:t>
      </w:r>
      <w:r w:rsidRPr="00144A14">
        <w:rPr>
          <w:rFonts w:ascii="Verdana" w:hAnsi="Verdana"/>
          <w:spacing w:val="1"/>
          <w:sz w:val="16"/>
          <w:szCs w:val="16"/>
          <w:lang w:val="es-CO"/>
        </w:rPr>
        <w:t xml:space="preserve"> </w:t>
      </w:r>
      <w:r w:rsidRPr="00144A14">
        <w:rPr>
          <w:rFonts w:ascii="Verdana" w:hAnsi="Verdana"/>
          <w:sz w:val="16"/>
          <w:szCs w:val="16"/>
          <w:lang w:val="es-CO"/>
        </w:rPr>
        <w:t>sentencias</w:t>
      </w:r>
      <w:r w:rsidRPr="00144A14">
        <w:rPr>
          <w:rFonts w:ascii="Verdana" w:hAnsi="Verdana"/>
          <w:spacing w:val="-7"/>
          <w:sz w:val="16"/>
          <w:szCs w:val="16"/>
          <w:lang w:val="es-CO"/>
        </w:rPr>
        <w:t xml:space="preserve"> </w:t>
      </w:r>
      <w:r w:rsidRPr="00144A14">
        <w:rPr>
          <w:rFonts w:ascii="Verdana" w:hAnsi="Verdana"/>
          <w:sz w:val="16"/>
          <w:szCs w:val="16"/>
          <w:lang w:val="es-CO"/>
        </w:rPr>
        <w:t>SU-040</w:t>
      </w:r>
      <w:r w:rsidRPr="00144A14">
        <w:rPr>
          <w:rFonts w:ascii="Verdana" w:hAnsi="Verdana"/>
          <w:spacing w:val="-7"/>
          <w:sz w:val="16"/>
          <w:szCs w:val="16"/>
          <w:lang w:val="es-CO"/>
        </w:rPr>
        <w:t xml:space="preserve"> </w:t>
      </w:r>
      <w:r w:rsidRPr="00144A14">
        <w:rPr>
          <w:rFonts w:ascii="Verdana" w:hAnsi="Verdana"/>
          <w:sz w:val="16"/>
          <w:szCs w:val="16"/>
          <w:lang w:val="es-CO"/>
        </w:rPr>
        <w:t>de</w:t>
      </w:r>
      <w:r w:rsidRPr="00144A14">
        <w:rPr>
          <w:rFonts w:ascii="Verdana" w:hAnsi="Verdana"/>
          <w:spacing w:val="-8"/>
          <w:sz w:val="16"/>
          <w:szCs w:val="16"/>
          <w:lang w:val="es-CO"/>
        </w:rPr>
        <w:t xml:space="preserve"> </w:t>
      </w:r>
      <w:r w:rsidRPr="00144A14">
        <w:rPr>
          <w:rFonts w:ascii="Verdana" w:hAnsi="Verdana"/>
          <w:sz w:val="16"/>
          <w:szCs w:val="16"/>
          <w:lang w:val="es-CO"/>
        </w:rPr>
        <w:t>2018</w:t>
      </w:r>
      <w:r w:rsidRPr="00144A14">
        <w:rPr>
          <w:rFonts w:ascii="Verdana" w:hAnsi="Verdana"/>
          <w:spacing w:val="-7"/>
          <w:sz w:val="16"/>
          <w:szCs w:val="16"/>
          <w:lang w:val="es-CO"/>
        </w:rPr>
        <w:t xml:space="preserve"> </w:t>
      </w:r>
      <w:r w:rsidRPr="00144A14">
        <w:rPr>
          <w:rFonts w:ascii="Verdana" w:hAnsi="Verdana"/>
          <w:sz w:val="16"/>
          <w:szCs w:val="16"/>
          <w:lang w:val="es-CO"/>
        </w:rPr>
        <w:t>y</w:t>
      </w:r>
      <w:r w:rsidRPr="00144A14">
        <w:rPr>
          <w:rFonts w:ascii="Verdana" w:hAnsi="Verdana"/>
          <w:spacing w:val="-7"/>
          <w:sz w:val="16"/>
          <w:szCs w:val="16"/>
          <w:lang w:val="es-CO"/>
        </w:rPr>
        <w:t xml:space="preserve"> </w:t>
      </w:r>
      <w:r w:rsidRPr="00144A14">
        <w:rPr>
          <w:rFonts w:ascii="Verdana" w:hAnsi="Verdana"/>
          <w:sz w:val="16"/>
          <w:szCs w:val="16"/>
          <w:lang w:val="es-CO"/>
        </w:rPr>
        <w:t>SU-075</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7"/>
          <w:sz w:val="16"/>
          <w:szCs w:val="16"/>
          <w:lang w:val="es-CO"/>
        </w:rPr>
        <w:t xml:space="preserve"> </w:t>
      </w:r>
      <w:r w:rsidRPr="00144A14">
        <w:rPr>
          <w:rFonts w:ascii="Verdana" w:hAnsi="Verdana"/>
          <w:spacing w:val="-2"/>
          <w:sz w:val="16"/>
          <w:szCs w:val="16"/>
          <w:lang w:val="es-CO"/>
        </w:rPr>
        <w:t>2018.</w:t>
      </w:r>
    </w:p>
  </w:footnote>
  <w:footnote w:id="22">
    <w:p w14:paraId="03834C13" w14:textId="4548784D" w:rsidR="009B3C20" w:rsidRPr="00144A14" w:rsidRDefault="009B3C20" w:rsidP="00917FBF">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Esta indemnización se ha reconocido en contratos de prestación de servicios, entre otras las sentencias T-564 de 2017, T -316 de 2016, T-102 de 2016 y T-346 de 2013. </w:t>
      </w:r>
    </w:p>
  </w:footnote>
  <w:footnote w:id="23">
    <w:p w14:paraId="24799A60" w14:textId="18F34D84" w:rsidR="009B3C20" w:rsidRPr="00144A14" w:rsidRDefault="009B3C20" w:rsidP="00917FBF">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En las sentencias T-238 de 2015 y T-350 de 2016 la Corte Constitucional determinó que no procede el pago de la licencia de maternidad cuando en el caso se observe que la licencia de maternidad ya fue disfrutada.</w:t>
      </w:r>
    </w:p>
  </w:footnote>
  <w:footnote w:id="24">
    <w:p w14:paraId="4E8B7AE0" w14:textId="03174CF9" w:rsidR="009B3C20" w:rsidRPr="00144A14" w:rsidRDefault="009B3C20" w:rsidP="00917FBF">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Esta</w:t>
      </w:r>
      <w:r w:rsidRPr="00144A14">
        <w:rPr>
          <w:rFonts w:ascii="Verdana" w:hAnsi="Verdana"/>
          <w:spacing w:val="-9"/>
          <w:sz w:val="16"/>
          <w:szCs w:val="16"/>
          <w:lang w:val="es-CO"/>
        </w:rPr>
        <w:t xml:space="preserve"> </w:t>
      </w:r>
      <w:r w:rsidRPr="00144A14">
        <w:rPr>
          <w:rFonts w:ascii="Verdana" w:hAnsi="Verdana"/>
          <w:sz w:val="16"/>
          <w:szCs w:val="16"/>
          <w:lang w:val="es-CO"/>
        </w:rPr>
        <w:t>media</w:t>
      </w:r>
      <w:r w:rsidRPr="00144A14">
        <w:rPr>
          <w:rFonts w:ascii="Verdana" w:hAnsi="Verdana"/>
          <w:spacing w:val="-8"/>
          <w:sz w:val="16"/>
          <w:szCs w:val="16"/>
          <w:lang w:val="es-CO"/>
        </w:rPr>
        <w:t xml:space="preserve"> </w:t>
      </w:r>
      <w:r w:rsidRPr="00144A14">
        <w:rPr>
          <w:rFonts w:ascii="Verdana" w:hAnsi="Verdana"/>
          <w:sz w:val="16"/>
          <w:szCs w:val="16"/>
          <w:lang w:val="es-CO"/>
        </w:rPr>
        <w:t>fue</w:t>
      </w:r>
      <w:r w:rsidRPr="00144A14">
        <w:rPr>
          <w:rFonts w:ascii="Verdana" w:hAnsi="Verdana"/>
          <w:spacing w:val="-8"/>
          <w:sz w:val="16"/>
          <w:szCs w:val="16"/>
          <w:lang w:val="es-CO"/>
        </w:rPr>
        <w:t xml:space="preserve"> </w:t>
      </w:r>
      <w:r w:rsidRPr="00144A14">
        <w:rPr>
          <w:rFonts w:ascii="Verdana" w:hAnsi="Verdana"/>
          <w:sz w:val="16"/>
          <w:szCs w:val="16"/>
          <w:lang w:val="es-CO"/>
        </w:rPr>
        <w:t>aplicada</w:t>
      </w:r>
      <w:r w:rsidRPr="00144A14">
        <w:rPr>
          <w:rFonts w:ascii="Verdana" w:hAnsi="Verdana"/>
          <w:spacing w:val="-8"/>
          <w:sz w:val="16"/>
          <w:szCs w:val="16"/>
          <w:lang w:val="es-CO"/>
        </w:rPr>
        <w:t xml:space="preserve"> </w:t>
      </w:r>
      <w:r w:rsidRPr="00144A14">
        <w:rPr>
          <w:rFonts w:ascii="Verdana" w:hAnsi="Verdana"/>
          <w:sz w:val="16"/>
          <w:szCs w:val="16"/>
          <w:lang w:val="es-CO"/>
        </w:rPr>
        <w:t>en</w:t>
      </w:r>
      <w:r w:rsidRPr="00144A14">
        <w:rPr>
          <w:rFonts w:ascii="Verdana" w:hAnsi="Verdana"/>
          <w:spacing w:val="-8"/>
          <w:sz w:val="16"/>
          <w:szCs w:val="16"/>
          <w:lang w:val="es-CO"/>
        </w:rPr>
        <w:t xml:space="preserve"> </w:t>
      </w:r>
      <w:r w:rsidRPr="00144A14">
        <w:rPr>
          <w:rFonts w:ascii="Verdana" w:hAnsi="Verdana"/>
          <w:sz w:val="16"/>
          <w:szCs w:val="16"/>
          <w:lang w:val="es-CO"/>
        </w:rPr>
        <w:t>la</w:t>
      </w:r>
      <w:r w:rsidRPr="00144A14">
        <w:rPr>
          <w:rFonts w:ascii="Verdana" w:hAnsi="Verdana"/>
          <w:spacing w:val="-8"/>
          <w:sz w:val="16"/>
          <w:szCs w:val="16"/>
          <w:lang w:val="es-CO"/>
        </w:rPr>
        <w:t xml:space="preserve"> </w:t>
      </w:r>
      <w:r w:rsidRPr="00144A14">
        <w:rPr>
          <w:rFonts w:ascii="Verdana" w:hAnsi="Verdana"/>
          <w:sz w:val="16"/>
          <w:szCs w:val="16"/>
          <w:lang w:val="es-CO"/>
        </w:rPr>
        <w:t xml:space="preserve">Sentencia de la Corte Constitucional </w:t>
      </w:r>
      <w:r w:rsidRPr="00144A14">
        <w:rPr>
          <w:rFonts w:ascii="Verdana" w:hAnsi="Verdana"/>
          <w:spacing w:val="-8"/>
          <w:sz w:val="16"/>
          <w:szCs w:val="16"/>
          <w:lang w:val="es-CO"/>
        </w:rPr>
        <w:t>T</w:t>
      </w:r>
      <w:r w:rsidRPr="00144A14">
        <w:rPr>
          <w:rFonts w:ascii="Verdana" w:hAnsi="Verdana"/>
          <w:sz w:val="16"/>
          <w:szCs w:val="16"/>
          <w:lang w:val="es-CO"/>
        </w:rPr>
        <w:t>-030</w:t>
      </w:r>
      <w:r w:rsidRPr="00144A14">
        <w:rPr>
          <w:rFonts w:ascii="Verdana" w:hAnsi="Verdana"/>
          <w:spacing w:val="-8"/>
          <w:sz w:val="16"/>
          <w:szCs w:val="16"/>
          <w:lang w:val="es-CO"/>
        </w:rPr>
        <w:t xml:space="preserve"> </w:t>
      </w:r>
      <w:r w:rsidRPr="00144A14">
        <w:rPr>
          <w:rFonts w:ascii="Verdana" w:hAnsi="Verdana"/>
          <w:sz w:val="16"/>
          <w:szCs w:val="16"/>
          <w:lang w:val="es-CO"/>
        </w:rPr>
        <w:t>de</w:t>
      </w:r>
      <w:r w:rsidRPr="00144A14">
        <w:rPr>
          <w:rFonts w:ascii="Verdana" w:hAnsi="Verdana"/>
          <w:spacing w:val="-8"/>
          <w:sz w:val="16"/>
          <w:szCs w:val="16"/>
          <w:lang w:val="es-CO"/>
        </w:rPr>
        <w:t xml:space="preserve"> </w:t>
      </w:r>
      <w:r w:rsidRPr="00144A14">
        <w:rPr>
          <w:rFonts w:ascii="Verdana" w:hAnsi="Verdana"/>
          <w:sz w:val="16"/>
          <w:szCs w:val="16"/>
          <w:lang w:val="es-CO"/>
        </w:rPr>
        <w:t>2018.</w:t>
      </w:r>
    </w:p>
  </w:footnote>
  <w:footnote w:id="25">
    <w:p w14:paraId="0CB5D2A2" w14:textId="4BC46C0C" w:rsidR="009B3C20" w:rsidRPr="00144A14" w:rsidRDefault="009B3C20" w:rsidP="00917FBF">
      <w:pPr>
        <w:pStyle w:val="Textonotapie"/>
        <w:ind w:firstLine="709"/>
        <w:jc w:val="both"/>
        <w:rPr>
          <w:rFonts w:ascii="Verdana" w:hAnsi="Verdana"/>
          <w:sz w:val="16"/>
          <w:szCs w:val="16"/>
          <w:lang w:val="es-CO"/>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En algunas oportunidades las salas de revisión han reconocido el pago de las prestaciones en materia de seguridad social en salud como en la sentencia T-305 de 2020. M.P: Alberto Rojas Ríos. </w:t>
      </w:r>
    </w:p>
  </w:footnote>
  <w:footnote w:id="26">
    <w:p w14:paraId="12550CB1" w14:textId="10A67BDB" w:rsidR="00144A14" w:rsidRPr="00144A14" w:rsidRDefault="00144A14" w:rsidP="00144A14">
      <w:pPr>
        <w:pStyle w:val="Textonotapie"/>
        <w:ind w:firstLine="708"/>
        <w:jc w:val="both"/>
        <w:rPr>
          <w:rFonts w:ascii="Verdana" w:hAnsi="Verdana"/>
          <w:sz w:val="16"/>
          <w:szCs w:val="16"/>
          <w:lang w:val="es-ES"/>
        </w:rPr>
      </w:pPr>
      <w:r w:rsidRPr="00144A14">
        <w:rPr>
          <w:rStyle w:val="Refdenotaalpie"/>
          <w:rFonts w:ascii="Verdana" w:hAnsi="Verdana"/>
          <w:sz w:val="16"/>
          <w:szCs w:val="16"/>
        </w:rPr>
        <w:footnoteRef/>
      </w:r>
      <w:r w:rsidRPr="00144A14">
        <w:rPr>
          <w:rFonts w:ascii="Verdana" w:hAnsi="Verdana"/>
          <w:sz w:val="16"/>
          <w:szCs w:val="16"/>
        </w:rPr>
        <w:t xml:space="preserve"> </w:t>
      </w:r>
      <w:r w:rsidRPr="00144A14">
        <w:rPr>
          <w:rFonts w:ascii="Verdana" w:hAnsi="Verdana"/>
          <w:sz w:val="16"/>
          <w:szCs w:val="16"/>
          <w:lang w:val="es-ES"/>
        </w:rPr>
        <w:t>En torno al período de lactancia, el Ministerio de Trabajo en Concepto 02EE2019410600000051782 expresó: “Ahora bien, teniendo en cuenta que la normatividad legal referente al contrato de prestación de servicios no regula lo referente al tiempo de lactancia que tendría lugar en desarrollo de dicho contrato y las condiciones de ejecución del mismo se derivan del acuerdo de las partes, podríamos entender que este aspecto podría ser objeto de acuerdo contractual, teniendo en cuenta la estratégica y crucial importancia que de acuerdo con las normas antes referidas, tiene la lactancia de los niños para su desarrollo integral ”.</w:t>
      </w:r>
    </w:p>
  </w:footnote>
  <w:footnote w:id="27">
    <w:p w14:paraId="365E53EA" w14:textId="027A638C" w:rsidR="009B3C20" w:rsidRPr="00144A14" w:rsidRDefault="009B3C20" w:rsidP="009B3C20">
      <w:pPr>
        <w:pStyle w:val="Textonotapie"/>
        <w:ind w:firstLine="709"/>
        <w:jc w:val="both"/>
        <w:rPr>
          <w:rFonts w:ascii="Verdana" w:hAnsi="Verdana"/>
          <w:sz w:val="16"/>
          <w:szCs w:val="16"/>
          <w:lang w:val="es-ES"/>
        </w:rPr>
      </w:pPr>
      <w:r w:rsidRPr="00144A14">
        <w:rPr>
          <w:rStyle w:val="Refdenotaalpie"/>
          <w:rFonts w:ascii="Verdana" w:hAnsi="Verdana"/>
          <w:sz w:val="16"/>
          <w:szCs w:val="16"/>
          <w:lang w:val="es-CO"/>
        </w:rPr>
        <w:footnoteRef/>
      </w:r>
      <w:r w:rsidRPr="00144A14">
        <w:rPr>
          <w:rFonts w:ascii="Verdana" w:hAnsi="Verdana"/>
          <w:sz w:val="16"/>
          <w:szCs w:val="16"/>
          <w:lang w:val="es-CO"/>
        </w:rPr>
        <w:t xml:space="preserve"> Consejo</w:t>
      </w:r>
      <w:r w:rsidRPr="00144A14">
        <w:rPr>
          <w:rFonts w:ascii="Verdana" w:hAnsi="Verdana"/>
          <w:spacing w:val="-4"/>
          <w:sz w:val="16"/>
          <w:szCs w:val="16"/>
          <w:lang w:val="es-CO"/>
        </w:rPr>
        <w:t xml:space="preserve"> </w:t>
      </w:r>
      <w:r w:rsidRPr="00144A14">
        <w:rPr>
          <w:rFonts w:ascii="Verdana" w:hAnsi="Verdana"/>
          <w:sz w:val="16"/>
          <w:szCs w:val="16"/>
          <w:lang w:val="es-CO"/>
        </w:rPr>
        <w:t>de</w:t>
      </w:r>
      <w:r w:rsidRPr="00144A14">
        <w:rPr>
          <w:rFonts w:ascii="Verdana" w:hAnsi="Verdana"/>
          <w:spacing w:val="-4"/>
          <w:sz w:val="16"/>
          <w:szCs w:val="16"/>
          <w:lang w:val="es-CO"/>
        </w:rPr>
        <w:t xml:space="preserve"> </w:t>
      </w:r>
      <w:r w:rsidRPr="00144A14">
        <w:rPr>
          <w:rFonts w:ascii="Verdana" w:hAnsi="Verdana"/>
          <w:sz w:val="16"/>
          <w:szCs w:val="16"/>
          <w:lang w:val="es-CO"/>
        </w:rPr>
        <w:t>Estado. Sección</w:t>
      </w:r>
      <w:r w:rsidRPr="00144A14">
        <w:rPr>
          <w:rFonts w:ascii="Verdana" w:hAnsi="Verdana"/>
          <w:spacing w:val="-4"/>
          <w:sz w:val="16"/>
          <w:szCs w:val="16"/>
          <w:lang w:val="es-CO"/>
        </w:rPr>
        <w:t xml:space="preserve"> </w:t>
      </w:r>
      <w:r w:rsidRPr="00144A14">
        <w:rPr>
          <w:rFonts w:ascii="Verdana" w:hAnsi="Verdana"/>
          <w:sz w:val="16"/>
          <w:szCs w:val="16"/>
          <w:lang w:val="es-CO"/>
        </w:rPr>
        <w:t>Segunda,</w:t>
      </w:r>
      <w:r w:rsidRPr="00144A14">
        <w:rPr>
          <w:rFonts w:ascii="Verdana" w:hAnsi="Verdana"/>
          <w:spacing w:val="-4"/>
          <w:sz w:val="16"/>
          <w:szCs w:val="16"/>
          <w:lang w:val="es-CO"/>
        </w:rPr>
        <w:t xml:space="preserve"> </w:t>
      </w:r>
      <w:r w:rsidRPr="00144A14">
        <w:rPr>
          <w:rFonts w:ascii="Verdana" w:hAnsi="Verdana"/>
          <w:sz w:val="16"/>
          <w:szCs w:val="16"/>
          <w:lang w:val="es-CO"/>
        </w:rPr>
        <w:t>Subsección A.</w:t>
      </w:r>
      <w:r w:rsidRPr="00144A14">
        <w:rPr>
          <w:rFonts w:ascii="Verdana" w:hAnsi="Verdana"/>
          <w:spacing w:val="-4"/>
          <w:sz w:val="16"/>
          <w:szCs w:val="16"/>
          <w:lang w:val="es-CO"/>
        </w:rPr>
        <w:t xml:space="preserve"> </w:t>
      </w:r>
      <w:r w:rsidRPr="00144A14">
        <w:rPr>
          <w:rFonts w:ascii="Verdana" w:hAnsi="Verdana"/>
          <w:sz w:val="16"/>
          <w:szCs w:val="16"/>
          <w:lang w:val="es-CO"/>
        </w:rPr>
        <w:t>Sentencia</w:t>
      </w:r>
      <w:r w:rsidRPr="00144A14">
        <w:rPr>
          <w:rFonts w:ascii="Verdana" w:hAnsi="Verdana"/>
          <w:spacing w:val="-4"/>
          <w:sz w:val="16"/>
          <w:szCs w:val="16"/>
          <w:lang w:val="es-CO"/>
        </w:rPr>
        <w:t xml:space="preserve"> </w:t>
      </w:r>
      <w:r w:rsidRPr="00144A14">
        <w:rPr>
          <w:rFonts w:ascii="Verdana" w:hAnsi="Verdana"/>
          <w:sz w:val="16"/>
          <w:szCs w:val="16"/>
          <w:lang w:val="es-CO"/>
        </w:rPr>
        <w:t>del</w:t>
      </w:r>
      <w:r w:rsidRPr="00144A14">
        <w:rPr>
          <w:rFonts w:ascii="Verdana" w:hAnsi="Verdana"/>
          <w:spacing w:val="-4"/>
          <w:sz w:val="16"/>
          <w:szCs w:val="16"/>
          <w:lang w:val="es-CO"/>
        </w:rPr>
        <w:t xml:space="preserve"> </w:t>
      </w:r>
      <w:r w:rsidRPr="00144A14">
        <w:rPr>
          <w:rFonts w:ascii="Verdana" w:hAnsi="Verdana"/>
          <w:sz w:val="16"/>
          <w:szCs w:val="16"/>
          <w:lang w:val="es-CO"/>
        </w:rPr>
        <w:t>26 de</w:t>
      </w:r>
      <w:r w:rsidRPr="00144A14">
        <w:rPr>
          <w:rFonts w:ascii="Verdana" w:hAnsi="Verdana"/>
          <w:spacing w:val="-4"/>
          <w:sz w:val="16"/>
          <w:szCs w:val="16"/>
          <w:lang w:val="es-CO"/>
        </w:rPr>
        <w:t xml:space="preserve"> </w:t>
      </w:r>
      <w:r w:rsidRPr="00144A14">
        <w:rPr>
          <w:rFonts w:ascii="Verdana" w:hAnsi="Verdana"/>
          <w:sz w:val="16"/>
          <w:szCs w:val="16"/>
          <w:lang w:val="es-CO"/>
        </w:rPr>
        <w:t>enero</w:t>
      </w:r>
      <w:r w:rsidRPr="00144A14">
        <w:rPr>
          <w:rFonts w:ascii="Verdana" w:hAnsi="Verdana"/>
          <w:spacing w:val="-4"/>
          <w:sz w:val="16"/>
          <w:szCs w:val="16"/>
          <w:lang w:val="es-CO"/>
        </w:rPr>
        <w:t xml:space="preserve"> </w:t>
      </w:r>
      <w:r w:rsidRPr="00144A14">
        <w:rPr>
          <w:rFonts w:ascii="Verdana" w:hAnsi="Verdana"/>
          <w:sz w:val="16"/>
          <w:szCs w:val="16"/>
          <w:lang w:val="es-CO"/>
        </w:rPr>
        <w:t>de</w:t>
      </w:r>
      <w:r w:rsidRPr="00144A14">
        <w:rPr>
          <w:rFonts w:ascii="Verdana" w:hAnsi="Verdana"/>
          <w:spacing w:val="-4"/>
          <w:sz w:val="16"/>
          <w:szCs w:val="16"/>
          <w:lang w:val="es-CO"/>
        </w:rPr>
        <w:t xml:space="preserve"> </w:t>
      </w:r>
      <w:r w:rsidRPr="00144A14">
        <w:rPr>
          <w:rFonts w:ascii="Verdana" w:hAnsi="Verdana"/>
          <w:sz w:val="16"/>
          <w:szCs w:val="16"/>
          <w:lang w:val="es-CO"/>
        </w:rPr>
        <w:t>2023.</w:t>
      </w:r>
      <w:r w:rsidRPr="00144A14">
        <w:rPr>
          <w:rFonts w:ascii="Verdana" w:hAnsi="Verdana"/>
          <w:spacing w:val="-4"/>
          <w:sz w:val="16"/>
          <w:szCs w:val="16"/>
          <w:lang w:val="es-CO"/>
        </w:rPr>
        <w:t xml:space="preserve"> </w:t>
      </w:r>
      <w:r w:rsidRPr="00144A14">
        <w:rPr>
          <w:rFonts w:ascii="Verdana" w:hAnsi="Verdana"/>
          <w:sz w:val="16"/>
          <w:szCs w:val="16"/>
          <w:lang w:val="es-CO"/>
        </w:rPr>
        <w:t>Exp</w:t>
      </w:r>
      <w:r w:rsidRPr="00144A14">
        <w:rPr>
          <w:rFonts w:ascii="Verdana" w:hAnsi="Verdana"/>
          <w:spacing w:val="-4"/>
          <w:sz w:val="16"/>
          <w:szCs w:val="16"/>
          <w:lang w:val="es-CO"/>
        </w:rPr>
        <w:t xml:space="preserve"> </w:t>
      </w:r>
      <w:r w:rsidRPr="00144A14">
        <w:rPr>
          <w:rFonts w:ascii="Verdana" w:hAnsi="Verdana"/>
          <w:sz w:val="16"/>
          <w:szCs w:val="16"/>
          <w:lang w:val="es-CO"/>
        </w:rPr>
        <w:t>(4620-2017),</w:t>
      </w:r>
      <w:r w:rsidRPr="00144A14">
        <w:rPr>
          <w:rFonts w:ascii="Verdana" w:hAnsi="Verdana"/>
          <w:spacing w:val="-4"/>
          <w:sz w:val="16"/>
          <w:szCs w:val="16"/>
          <w:lang w:val="es-CO"/>
        </w:rPr>
        <w:t xml:space="preserve"> </w:t>
      </w:r>
      <w:r w:rsidRPr="00144A14">
        <w:rPr>
          <w:rFonts w:ascii="Verdana" w:hAnsi="Verdana"/>
          <w:sz w:val="16"/>
          <w:szCs w:val="16"/>
          <w:lang w:val="es-CO"/>
        </w:rPr>
        <w:t>C.P:</w:t>
      </w:r>
      <w:r w:rsidRPr="00144A14">
        <w:rPr>
          <w:rFonts w:ascii="Verdana" w:hAnsi="Verdana"/>
          <w:spacing w:val="-4"/>
          <w:sz w:val="16"/>
          <w:szCs w:val="16"/>
          <w:lang w:val="es-CO"/>
        </w:rPr>
        <w:t xml:space="preserve"> </w:t>
      </w:r>
      <w:r w:rsidRPr="00144A14">
        <w:rPr>
          <w:rFonts w:ascii="Verdana" w:hAnsi="Verdana"/>
          <w:sz w:val="16"/>
          <w:szCs w:val="16"/>
          <w:lang w:val="es-CO"/>
        </w:rPr>
        <w:t>Gabriel</w:t>
      </w:r>
      <w:r w:rsidRPr="00144A14">
        <w:rPr>
          <w:rFonts w:ascii="Verdana" w:hAnsi="Verdana"/>
          <w:spacing w:val="-4"/>
          <w:sz w:val="16"/>
          <w:szCs w:val="16"/>
          <w:lang w:val="es-CO"/>
        </w:rPr>
        <w:t xml:space="preserve"> </w:t>
      </w:r>
      <w:r w:rsidRPr="00144A14">
        <w:rPr>
          <w:rFonts w:ascii="Verdana" w:hAnsi="Verdana"/>
          <w:sz w:val="16"/>
          <w:szCs w:val="16"/>
          <w:lang w:val="es-CO"/>
        </w:rPr>
        <w:t xml:space="preserve">Valbuena </w:t>
      </w:r>
      <w:r w:rsidRPr="00144A14">
        <w:rPr>
          <w:rFonts w:ascii="Verdana" w:hAnsi="Verdana"/>
          <w:spacing w:val="-2"/>
          <w:sz w:val="16"/>
          <w:szCs w:val="16"/>
          <w:lang w:val="es-CO"/>
        </w:rPr>
        <w:t>Hernández.</w:t>
      </w:r>
    </w:p>
  </w:footnote>
  <w:footnote w:id="28">
    <w:p w14:paraId="0564A1CD" w14:textId="60B2875B" w:rsidR="008236EF" w:rsidRPr="00144A14" w:rsidRDefault="008236EF" w:rsidP="00B0459C">
      <w:pPr>
        <w:spacing w:after="0" w:line="240" w:lineRule="auto"/>
        <w:ind w:firstLine="708"/>
        <w:contextualSpacing/>
        <w:jc w:val="both"/>
        <w:rPr>
          <w:rFonts w:ascii="Verdana" w:hAnsi="Verdana" w:cs="Arial"/>
          <w:sz w:val="16"/>
          <w:szCs w:val="16"/>
        </w:rPr>
      </w:pPr>
      <w:r w:rsidRPr="00144A14">
        <w:rPr>
          <w:rStyle w:val="Refdenotaalpie"/>
          <w:rFonts w:ascii="Verdana" w:hAnsi="Verdana" w:cs="Arial"/>
          <w:sz w:val="16"/>
          <w:szCs w:val="16"/>
        </w:rPr>
        <w:footnoteRef/>
      </w:r>
      <w:r w:rsidRPr="00144A14">
        <w:rPr>
          <w:rFonts w:ascii="Verdana" w:hAnsi="Verdana" w:cs="Arial"/>
          <w:sz w:val="16"/>
          <w:szCs w:val="16"/>
        </w:rPr>
        <w:t xml:space="preserve"> La licencia de maternidad es un descanso remunerado que la ley confiere a la mujer que tiene un hijo, el cual aplica tanto para mujeres vinculadas por contrato de trabajo, como a las que están vinculadas por un contrato de prestación de servicios.</w:t>
      </w:r>
    </w:p>
  </w:footnote>
  <w:footnote w:id="29">
    <w:p w14:paraId="11C4036F" w14:textId="741CB950" w:rsidR="008236EF" w:rsidRPr="00144A14" w:rsidRDefault="008236EF" w:rsidP="00B0459C">
      <w:pPr>
        <w:shd w:val="clear" w:color="auto" w:fill="FFFFFF"/>
        <w:spacing w:after="0" w:line="240" w:lineRule="auto"/>
        <w:ind w:right="49" w:firstLine="708"/>
        <w:contextualSpacing/>
        <w:jc w:val="both"/>
        <w:rPr>
          <w:rFonts w:ascii="Verdana" w:hAnsi="Verdana" w:cs="Arial"/>
          <w:sz w:val="16"/>
          <w:szCs w:val="16"/>
        </w:rPr>
      </w:pPr>
      <w:r w:rsidRPr="00144A14">
        <w:rPr>
          <w:rStyle w:val="Refdenotaalpie"/>
          <w:rFonts w:ascii="Verdana" w:hAnsi="Verdana" w:cs="Arial"/>
          <w:sz w:val="16"/>
          <w:szCs w:val="16"/>
        </w:rPr>
        <w:footnoteRef/>
      </w:r>
      <w:r w:rsidRPr="00144A14">
        <w:rPr>
          <w:rFonts w:ascii="Verdana" w:hAnsi="Verdana" w:cs="Arial"/>
          <w:sz w:val="16"/>
          <w:szCs w:val="16"/>
        </w:rPr>
        <w:t xml:space="preserve"> Ministerio del Trabajo. Concepto 9972 de 5 de marzo de 2014. </w:t>
      </w:r>
    </w:p>
  </w:footnote>
  <w:footnote w:id="30">
    <w:p w14:paraId="1E1E9B8B" w14:textId="193713B7" w:rsidR="00C661E0" w:rsidRPr="00144A14" w:rsidRDefault="00C661E0" w:rsidP="00C661E0">
      <w:pPr>
        <w:pStyle w:val="Textonotapie"/>
        <w:ind w:firstLine="708"/>
        <w:jc w:val="both"/>
        <w:rPr>
          <w:rFonts w:ascii="Verdana" w:hAnsi="Verdana"/>
          <w:sz w:val="16"/>
          <w:szCs w:val="16"/>
          <w:lang w:val="es-CO"/>
        </w:rPr>
      </w:pPr>
      <w:r w:rsidRPr="00144A14">
        <w:rPr>
          <w:rStyle w:val="Refdenotaalpie"/>
          <w:rFonts w:ascii="Verdana" w:hAnsi="Verdana"/>
          <w:sz w:val="16"/>
          <w:szCs w:val="16"/>
        </w:rPr>
        <w:footnoteRef/>
      </w:r>
      <w:r w:rsidRPr="00144A14">
        <w:rPr>
          <w:rFonts w:ascii="Verdana" w:hAnsi="Verdana"/>
          <w:sz w:val="16"/>
          <w:szCs w:val="16"/>
        </w:rPr>
        <w:t xml:space="preserve"> </w:t>
      </w:r>
      <w:r w:rsidRPr="00144A14">
        <w:rPr>
          <w:rFonts w:ascii="Verdana" w:hAnsi="Verdana"/>
          <w:bCs/>
          <w:sz w:val="16"/>
          <w:szCs w:val="16"/>
          <w:lang w:val="es-CO"/>
        </w:rPr>
        <w:t>Artículo 2.2.3.2.1. </w:t>
      </w:r>
      <w:r w:rsidRPr="00144A14">
        <w:rPr>
          <w:rFonts w:ascii="Verdana" w:hAnsi="Verdana"/>
          <w:bCs/>
          <w:i/>
          <w:iCs/>
          <w:sz w:val="16"/>
          <w:szCs w:val="16"/>
          <w:lang w:val="es-CO"/>
        </w:rPr>
        <w:t>Condiciones para el reconocimiento y pago de la licencia de maternidad</w:t>
      </w:r>
      <w:r w:rsidRPr="00144A14">
        <w:rPr>
          <w:rFonts w:ascii="Verdana" w:hAnsi="Verdana"/>
          <w:i/>
          <w:iCs/>
          <w:sz w:val="16"/>
          <w:szCs w:val="16"/>
          <w:lang w:val="es-CO"/>
        </w:rPr>
        <w:t>. </w:t>
      </w:r>
      <w:r w:rsidRPr="00144A14">
        <w:rPr>
          <w:rFonts w:ascii="Verdana" w:hAnsi="Verdana"/>
          <w:sz w:val="16"/>
          <w:szCs w:val="16"/>
          <w:lang w:val="es-CO"/>
        </w:rPr>
        <w:t>Para el reconocimiento y pago de la prestación económica derivada de la licencia de maternidad conforme con las disposiciones laborales vigentes, se requerirá que la afiliada, acredite las siguientes condiciones:  </w:t>
      </w:r>
    </w:p>
    <w:p w14:paraId="67A477B9" w14:textId="77777777" w:rsidR="00C661E0" w:rsidRPr="00144A14" w:rsidRDefault="00C661E0" w:rsidP="00C661E0">
      <w:pPr>
        <w:pStyle w:val="Textonotapie"/>
        <w:ind w:firstLine="708"/>
        <w:jc w:val="both"/>
        <w:rPr>
          <w:rFonts w:ascii="Verdana" w:hAnsi="Verdana"/>
          <w:sz w:val="16"/>
          <w:szCs w:val="16"/>
          <w:lang w:val="es-CO"/>
        </w:rPr>
      </w:pPr>
      <w:r w:rsidRPr="00144A14">
        <w:rPr>
          <w:rFonts w:ascii="Verdana" w:hAnsi="Verdana"/>
          <w:sz w:val="16"/>
          <w:szCs w:val="16"/>
          <w:lang w:val="es-CO"/>
        </w:rPr>
        <w:t>1. Estar afiliada al Sistema General de Seguridad Social en Salud, en calidad de cotizante y en estado activo. </w:t>
      </w:r>
    </w:p>
    <w:p w14:paraId="0666D545" w14:textId="7EA4E636" w:rsidR="00C661E0" w:rsidRPr="00144A14" w:rsidRDefault="00C661E0" w:rsidP="00C661E0">
      <w:pPr>
        <w:pStyle w:val="Textonotapie"/>
        <w:ind w:firstLine="708"/>
        <w:jc w:val="both"/>
        <w:rPr>
          <w:rFonts w:ascii="Verdana" w:hAnsi="Verdana"/>
          <w:sz w:val="16"/>
          <w:szCs w:val="16"/>
          <w:lang w:val="es-CO"/>
        </w:rPr>
      </w:pPr>
      <w:r w:rsidRPr="00144A14">
        <w:rPr>
          <w:rFonts w:ascii="Verdana" w:hAnsi="Verdana"/>
          <w:sz w:val="16"/>
          <w:szCs w:val="16"/>
          <w:lang w:val="es-CO"/>
        </w:rPr>
        <w:t>2. Haber efectuado aportes durante los meses que correspondan al período de gestación, incluido el del mes de inicio de la licencia, los que serán tenidos en cuenta para efecto de la liquidación de la prestación económica.</w:t>
      </w:r>
    </w:p>
    <w:p w14:paraId="3A95E9B2" w14:textId="26119EFF" w:rsidR="00C661E0" w:rsidRPr="00144A14" w:rsidRDefault="00C661E0" w:rsidP="00C661E0">
      <w:pPr>
        <w:pStyle w:val="Textonotapie"/>
        <w:ind w:firstLine="708"/>
        <w:jc w:val="both"/>
        <w:rPr>
          <w:rFonts w:ascii="Verdana" w:hAnsi="Verdana"/>
          <w:sz w:val="16"/>
          <w:szCs w:val="16"/>
          <w:lang w:val="es-CO"/>
        </w:rPr>
      </w:pPr>
      <w:r w:rsidRPr="00144A14">
        <w:rPr>
          <w:rFonts w:ascii="Verdana" w:hAnsi="Verdana"/>
          <w:sz w:val="16"/>
          <w:szCs w:val="16"/>
          <w:lang w:val="es-CO"/>
        </w:rPr>
        <w:t>3. Contar con el certificado de licencia de maternidad expedido por el médico de la red de la entidad promotora de salud o entidad adaptada o validado por esta.</w:t>
      </w:r>
    </w:p>
    <w:p w14:paraId="58A5F638" w14:textId="15DF5600" w:rsidR="00C661E0" w:rsidRPr="00144A14" w:rsidRDefault="00C661E0" w:rsidP="00C661E0">
      <w:pPr>
        <w:pStyle w:val="Textonotapie"/>
        <w:ind w:firstLine="708"/>
        <w:jc w:val="both"/>
        <w:rPr>
          <w:rFonts w:ascii="Verdana" w:hAnsi="Verdana"/>
          <w:sz w:val="16"/>
          <w:szCs w:val="16"/>
          <w:lang w:val="es-CO"/>
        </w:rPr>
      </w:pPr>
      <w:r w:rsidRPr="00144A14">
        <w:rPr>
          <w:rFonts w:ascii="Verdana" w:hAnsi="Verdana"/>
          <w:sz w:val="16"/>
          <w:szCs w:val="16"/>
          <w:lang w:val="es-CO"/>
        </w:rPr>
        <w:t>Para el reconocimiento y pago de la licencia de maternidad, solo se tendrán en cuenta las cotizaciones efectuadas por el aportante que correspondan al periodo de gestación.</w:t>
      </w:r>
    </w:p>
    <w:p w14:paraId="430872F7" w14:textId="7BCB4593" w:rsidR="00C661E0" w:rsidRPr="00144A14" w:rsidRDefault="00C661E0" w:rsidP="00C661E0">
      <w:pPr>
        <w:pStyle w:val="Textonotapie"/>
        <w:ind w:firstLine="708"/>
        <w:jc w:val="both"/>
        <w:rPr>
          <w:rFonts w:ascii="Verdana" w:hAnsi="Verdana"/>
          <w:sz w:val="16"/>
          <w:szCs w:val="16"/>
          <w:lang w:val="es-CO"/>
        </w:rPr>
      </w:pPr>
      <w:r w:rsidRPr="00144A14">
        <w:rPr>
          <w:rFonts w:ascii="Verdana" w:hAnsi="Verdana"/>
          <w:sz w:val="16"/>
          <w:szCs w:val="16"/>
          <w:lang w:val="es-CO"/>
        </w:rPr>
        <w:t>A las afiliadas que hubieren cotizado por un período inferior al de la gestación, se les reconocerá y pagará proporcionalmente como valor de la licencia de maternidad, un monto equivalente al número de días cotizados frente al período real de gestación, salvo lo previsto en el artículo 2.2.3.2.4 de este Decreto, para las trabajadoras independientes cuyo ingreso base de cotización es de un salario mínimo legal mensual vigente.</w:t>
      </w:r>
    </w:p>
    <w:p w14:paraId="4BD7205F" w14:textId="04373E73" w:rsidR="00C661E0" w:rsidRPr="00144A14" w:rsidRDefault="00C661E0" w:rsidP="00C661E0">
      <w:pPr>
        <w:pStyle w:val="Textonotapie"/>
        <w:ind w:firstLine="708"/>
        <w:jc w:val="both"/>
        <w:rPr>
          <w:rFonts w:ascii="Verdana" w:hAnsi="Verdana"/>
          <w:sz w:val="16"/>
          <w:szCs w:val="16"/>
          <w:lang w:val="es-CO"/>
        </w:rPr>
      </w:pPr>
      <w:r w:rsidRPr="00144A14">
        <w:rPr>
          <w:rFonts w:ascii="Verdana" w:hAnsi="Verdana"/>
          <w:sz w:val="16"/>
          <w:szCs w:val="16"/>
          <w:lang w:val="es-CO"/>
        </w:rPr>
        <w:t>En ningún caso, la licencia de maternidad podrá ser liquidada con un Ingreso Base de Cotización inferior a un (1) salario mínimo mensual legal vigente para la fecha de inicio de la licencia; regla que aplica igualmente cuando por cambio de anualidad, el Ingreso Base de Cotización reportado sea inferior al salario mínimo mensual vigente.</w:t>
      </w:r>
    </w:p>
    <w:p w14:paraId="4A31374D" w14:textId="35ACE4B8" w:rsidR="00C661E0" w:rsidRPr="00144A14" w:rsidRDefault="00C661E0" w:rsidP="00C661E0">
      <w:pPr>
        <w:pStyle w:val="Textonotapie"/>
        <w:ind w:firstLine="708"/>
        <w:jc w:val="both"/>
        <w:rPr>
          <w:rFonts w:ascii="Verdana" w:hAnsi="Verdana"/>
          <w:sz w:val="16"/>
          <w:szCs w:val="16"/>
          <w:lang w:val="es-CO"/>
        </w:rPr>
      </w:pPr>
      <w:r w:rsidRPr="00144A14">
        <w:rPr>
          <w:rFonts w:ascii="Verdana" w:hAnsi="Verdana"/>
          <w:bCs/>
          <w:sz w:val="16"/>
          <w:szCs w:val="16"/>
          <w:lang w:val="es-CO"/>
        </w:rPr>
        <w:t>Parágrafo.</w:t>
      </w:r>
      <w:r w:rsidRPr="00144A14">
        <w:rPr>
          <w:rFonts w:ascii="Verdana" w:hAnsi="Verdana"/>
          <w:sz w:val="16"/>
          <w:szCs w:val="16"/>
          <w:lang w:val="es-CO"/>
        </w:rPr>
        <w:t> Cuando se presente un parto pretérmino, la licencia de maternidad será el resultado de calcular la diferencia entre la edad gestacional y el nacimiento a término, la que se sumará a las dieciocho (18) semanas que se establecen en la ley. En los casos de parto múltiple o de un hijo con discapacidad, se ampliará en dos semanas conforme con lo previsto en la normativa vigente, siempre y cuando los menores hayan nacido vivos.  </w:t>
      </w:r>
    </w:p>
  </w:footnote>
  <w:footnote w:id="31">
    <w:p w14:paraId="20250B8A" w14:textId="15FD1AD7" w:rsidR="00476D7D" w:rsidRPr="00144A14" w:rsidRDefault="00476D7D" w:rsidP="00C3284D">
      <w:pPr>
        <w:pStyle w:val="Textonotapie"/>
        <w:ind w:right="49" w:firstLine="708"/>
        <w:jc w:val="both"/>
        <w:rPr>
          <w:rFonts w:ascii="Verdana" w:hAnsi="Verdana" w:cs="Arial"/>
          <w:color w:val="000000"/>
          <w:sz w:val="16"/>
          <w:szCs w:val="16"/>
          <w:lang w:val="es-CO"/>
        </w:rPr>
      </w:pPr>
      <w:r w:rsidRPr="00144A14">
        <w:rPr>
          <w:rStyle w:val="Refdenotaalpie"/>
          <w:rFonts w:ascii="Verdana" w:hAnsi="Verdana" w:cs="Arial"/>
          <w:sz w:val="16"/>
          <w:szCs w:val="16"/>
          <w:lang w:val="es-CO"/>
        </w:rPr>
        <w:footnoteRef/>
      </w:r>
      <w:r w:rsidRPr="00144A14">
        <w:rPr>
          <w:rFonts w:ascii="Verdana" w:hAnsi="Verdana" w:cs="Arial"/>
          <w:sz w:val="16"/>
          <w:szCs w:val="16"/>
          <w:lang w:val="es-CO"/>
        </w:rPr>
        <w:t xml:space="preserve"> </w:t>
      </w:r>
      <w:r w:rsidRPr="00144A14">
        <w:rPr>
          <w:rFonts w:ascii="Verdana" w:hAnsi="Verdana" w:cs="Arial"/>
          <w:color w:val="000000"/>
          <w:sz w:val="16"/>
          <w:szCs w:val="16"/>
          <w:lang w:val="es-CO"/>
        </w:rPr>
        <w:t>Consejo de Estado. Sección Tercera. Sentencia del 1 de febrero de 2018. Radicado Nro. 08001-2331-000-2010-00987-01. C.P. Oswaldo Giraldo López</w:t>
      </w:r>
    </w:p>
  </w:footnote>
  <w:footnote w:id="32">
    <w:p w14:paraId="0C9BE6B2" w14:textId="602855B2" w:rsidR="00476D7D" w:rsidRPr="00144A14" w:rsidRDefault="00476D7D" w:rsidP="00144A14">
      <w:pPr>
        <w:pStyle w:val="Textonotapie"/>
        <w:ind w:firstLine="708"/>
        <w:jc w:val="both"/>
        <w:rPr>
          <w:rFonts w:ascii="Verdana" w:hAnsi="Verdana" w:cs="Arial"/>
          <w:sz w:val="16"/>
          <w:szCs w:val="16"/>
          <w:lang w:val="es-CO"/>
        </w:rPr>
      </w:pPr>
      <w:r w:rsidRPr="00144A14">
        <w:rPr>
          <w:rStyle w:val="Refdenotaalpie"/>
          <w:rFonts w:ascii="Verdana" w:hAnsi="Verdana" w:cs="Arial"/>
          <w:sz w:val="16"/>
          <w:szCs w:val="16"/>
          <w:lang w:val="es-CO"/>
        </w:rPr>
        <w:footnoteRef/>
      </w:r>
      <w:r w:rsidRPr="00144A14">
        <w:rPr>
          <w:rFonts w:ascii="Verdana" w:hAnsi="Verdana" w:cs="Arial"/>
          <w:sz w:val="16"/>
          <w:szCs w:val="16"/>
          <w:lang w:val="es-CO"/>
        </w:rPr>
        <w:t xml:space="preserve"> Consejo de Estado. Sección Tercera. Sentencia del 1 de febrero de 2018. Radicado Nro. 08001-2331-000-2010-00987-01. C.P. Oswaldo Giraldo López</w:t>
      </w:r>
    </w:p>
  </w:footnote>
  <w:footnote w:id="33">
    <w:p w14:paraId="53EDE8D2" w14:textId="77777777" w:rsidR="00476D7D" w:rsidRPr="002F43E6" w:rsidRDefault="00476D7D" w:rsidP="00476D7D">
      <w:pPr>
        <w:pStyle w:val="Textonotapie"/>
        <w:ind w:firstLine="709"/>
        <w:jc w:val="both"/>
        <w:rPr>
          <w:rFonts w:ascii="Verdana" w:hAnsi="Verdana" w:cs="Arial"/>
          <w:sz w:val="16"/>
          <w:szCs w:val="16"/>
          <w:lang w:val="es-CO"/>
        </w:rPr>
      </w:pPr>
      <w:r w:rsidRPr="00144A14">
        <w:rPr>
          <w:rStyle w:val="Refdenotaalpie"/>
          <w:rFonts w:ascii="Verdana" w:hAnsi="Verdana" w:cs="Arial"/>
          <w:sz w:val="16"/>
          <w:szCs w:val="16"/>
          <w:lang w:val="es-CO"/>
        </w:rPr>
        <w:footnoteRef/>
      </w:r>
      <w:r w:rsidRPr="00144A14">
        <w:rPr>
          <w:rFonts w:ascii="Verdana" w:hAnsi="Verdana" w:cs="Arial"/>
          <w:sz w:val="16"/>
          <w:szCs w:val="16"/>
          <w:lang w:val="es-CO"/>
        </w:rPr>
        <w:t xml:space="preserve"> </w:t>
      </w:r>
      <w:r w:rsidRPr="00144A14">
        <w:rPr>
          <w:rFonts w:ascii="Verdana" w:eastAsia="Calibri" w:hAnsi="Verdana" w:cs="Arial"/>
          <w:color w:val="000000"/>
          <w:sz w:val="16"/>
          <w:szCs w:val="16"/>
          <w:lang w:val="es-CO"/>
        </w:rPr>
        <w:t>Artículo 89 del Estatuto Orgánico del Presupuesto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9B3C20" w:rsidRDefault="009B3C20"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9B3C20" w:rsidRDefault="009B3C20">
    <w:pPr>
      <w:pStyle w:val="Encabezado"/>
    </w:pPr>
  </w:p>
  <w:p w14:paraId="5E18350A" w14:textId="705F7B76" w:rsidR="009B3C20" w:rsidRPr="004A305D" w:rsidRDefault="009B3C20" w:rsidP="00B01B1A">
    <w:pPr>
      <w:spacing w:after="0" w:line="120" w:lineRule="auto"/>
      <w:rPr>
        <w:rFonts w:ascii="Century Gothic" w:eastAsia="Geo" w:hAnsi="Century Gothic" w:cs="Geo"/>
        <w:sz w:val="16"/>
        <w:szCs w:val="16"/>
        <w:lang w:eastAsia="es-CO"/>
      </w:rPr>
    </w:pPr>
  </w:p>
  <w:p w14:paraId="211B7F5D" w14:textId="77777777" w:rsidR="009B3C20" w:rsidRDefault="009B3C20" w:rsidP="00844AE9">
    <w:pPr>
      <w:spacing w:after="0" w:line="240" w:lineRule="auto"/>
      <w:rPr>
        <w:rFonts w:ascii="Verdana" w:hAnsi="Verdana"/>
        <w:sz w:val="24"/>
        <w:szCs w:val="24"/>
      </w:rPr>
    </w:pPr>
  </w:p>
  <w:p w14:paraId="5A0054B1" w14:textId="77777777" w:rsidR="009B3C20" w:rsidRPr="00C925AC" w:rsidRDefault="009B3C20" w:rsidP="00844AE9">
    <w:pPr>
      <w:spacing w:after="0" w:line="240" w:lineRule="auto"/>
      <w:rPr>
        <w:rFonts w:ascii="Verdana" w:hAnsi="Verdana"/>
        <w:sz w:val="24"/>
        <w:szCs w:val="24"/>
      </w:rPr>
    </w:pPr>
  </w:p>
  <w:p w14:paraId="1FD1C243" w14:textId="37C5500A" w:rsidR="009B3C20" w:rsidRPr="00C925AC" w:rsidRDefault="009B3C20"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44" type="#_x0000_t75" style="width:11.6pt;height:11.6pt" o:bullet="t">
        <v:imagedata r:id="rId1" o:title="mso1B13"/>
      </v:shape>
    </w:pict>
  </w:numPicBullet>
  <w:abstractNum w:abstractNumId="0" w15:restartNumberingAfterBreak="0">
    <w:nsid w:val="874E1E31"/>
    <w:multiLevelType w:val="hybridMultilevel"/>
    <w:tmpl w:val="15B440BB"/>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5FF1201"/>
    <w:multiLevelType w:val="hybridMultilevel"/>
    <w:tmpl w:val="03B2583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4"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5"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7" w15:restartNumberingAfterBreak="0">
    <w:nsid w:val="21BD4E30"/>
    <w:multiLevelType w:val="hybridMultilevel"/>
    <w:tmpl w:val="3A0F72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1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494936A6"/>
    <w:multiLevelType w:val="hybridMultilevel"/>
    <w:tmpl w:val="D730E3DE"/>
    <w:lvl w:ilvl="0" w:tplc="416AD218">
      <w:start w:val="1"/>
      <w:numFmt w:val="decimal"/>
      <w:lvlText w:val="%1."/>
      <w:lvlJc w:val="left"/>
      <w:pPr>
        <w:ind w:left="970" w:hanging="201"/>
      </w:pPr>
      <w:rPr>
        <w:rFonts w:ascii="Verdana" w:eastAsia="Verdana" w:hAnsi="Verdana" w:cs="Verdana" w:hint="default"/>
        <w:b w:val="0"/>
        <w:bCs w:val="0"/>
        <w:i w:val="0"/>
        <w:iCs w:val="0"/>
        <w:spacing w:val="-1"/>
        <w:w w:val="98"/>
        <w:sz w:val="22"/>
        <w:szCs w:val="22"/>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9"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2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abstractNumId w:val="14"/>
  </w:num>
  <w:num w:numId="2">
    <w:abstractNumId w:val="4"/>
  </w:num>
  <w:num w:numId="3">
    <w:abstractNumId w:val="11"/>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23"/>
  </w:num>
  <w:num w:numId="7">
    <w:abstractNumId w:val="12"/>
  </w:num>
  <w:num w:numId="8">
    <w:abstractNumId w:val="22"/>
  </w:num>
  <w:num w:numId="9">
    <w:abstractNumId w:val="15"/>
  </w:num>
  <w:num w:numId="10">
    <w:abstractNumId w:val="21"/>
  </w:num>
  <w:num w:numId="11">
    <w:abstractNumId w:val="16"/>
  </w:num>
  <w:num w:numId="12">
    <w:abstractNumId w:val="2"/>
  </w:num>
  <w:num w:numId="13">
    <w:abstractNumId w:val="8"/>
  </w:num>
  <w:num w:numId="14">
    <w:abstractNumId w:val="24"/>
  </w:num>
  <w:num w:numId="15">
    <w:abstractNumId w:val="20"/>
  </w:num>
  <w:num w:numId="16">
    <w:abstractNumId w:val="9"/>
  </w:num>
  <w:num w:numId="17">
    <w:abstractNumId w:val="17"/>
  </w:num>
  <w:num w:numId="18">
    <w:abstractNumId w:val="27"/>
  </w:num>
  <w:num w:numId="19">
    <w:abstractNumId w:val="26"/>
  </w:num>
  <w:num w:numId="20">
    <w:abstractNumId w:val="3"/>
  </w:num>
  <w:num w:numId="21">
    <w:abstractNumId w:val="6"/>
  </w:num>
  <w:num w:numId="22">
    <w:abstractNumId w:val="10"/>
  </w:num>
  <w:num w:numId="23">
    <w:abstractNumId w:val="5"/>
  </w:num>
  <w:num w:numId="24">
    <w:abstractNumId w:val="25"/>
  </w:num>
  <w:num w:numId="25">
    <w:abstractNumId w:val="1"/>
  </w:num>
  <w:num w:numId="26">
    <w:abstractNumId w:val="0"/>
  </w:num>
  <w:num w:numId="27">
    <w:abstractNumId w:val="7"/>
  </w:num>
  <w:num w:numId="28">
    <w:abstractNumId w:val="13"/>
  </w:num>
  <w:num w:numId="29">
    <w:abstractNumId w:val="28"/>
  </w:num>
  <w:num w:numId="30">
    <w:abstractNumId w:val="18"/>
  </w:num>
  <w:num w:numId="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34D5"/>
    <w:rsid w:val="00016F78"/>
    <w:rsid w:val="000353BD"/>
    <w:rsid w:val="00046945"/>
    <w:rsid w:val="00055901"/>
    <w:rsid w:val="00061B2A"/>
    <w:rsid w:val="000711CF"/>
    <w:rsid w:val="0007149E"/>
    <w:rsid w:val="00076D52"/>
    <w:rsid w:val="00080B1D"/>
    <w:rsid w:val="00082362"/>
    <w:rsid w:val="0009079C"/>
    <w:rsid w:val="000A66E5"/>
    <w:rsid w:val="000A683E"/>
    <w:rsid w:val="000B19B9"/>
    <w:rsid w:val="000B27F0"/>
    <w:rsid w:val="000C5A9E"/>
    <w:rsid w:val="000D0334"/>
    <w:rsid w:val="000D1DC8"/>
    <w:rsid w:val="000D4734"/>
    <w:rsid w:val="000D5DA7"/>
    <w:rsid w:val="000E6E2C"/>
    <w:rsid w:val="000F078F"/>
    <w:rsid w:val="000F3444"/>
    <w:rsid w:val="000F512E"/>
    <w:rsid w:val="000F6486"/>
    <w:rsid w:val="00105C57"/>
    <w:rsid w:val="001161CA"/>
    <w:rsid w:val="001168F2"/>
    <w:rsid w:val="00116940"/>
    <w:rsid w:val="00125105"/>
    <w:rsid w:val="00127233"/>
    <w:rsid w:val="001328F3"/>
    <w:rsid w:val="001428DC"/>
    <w:rsid w:val="00144A14"/>
    <w:rsid w:val="0015699B"/>
    <w:rsid w:val="00171640"/>
    <w:rsid w:val="00174D6E"/>
    <w:rsid w:val="00186A6A"/>
    <w:rsid w:val="001A33BF"/>
    <w:rsid w:val="001A3A16"/>
    <w:rsid w:val="001C5AE4"/>
    <w:rsid w:val="001C61B3"/>
    <w:rsid w:val="001D02CC"/>
    <w:rsid w:val="001E2E05"/>
    <w:rsid w:val="001E4177"/>
    <w:rsid w:val="001F0B24"/>
    <w:rsid w:val="001F7DC6"/>
    <w:rsid w:val="00207466"/>
    <w:rsid w:val="00212AD1"/>
    <w:rsid w:val="002209DE"/>
    <w:rsid w:val="0022400B"/>
    <w:rsid w:val="002421BB"/>
    <w:rsid w:val="00253436"/>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F0847"/>
    <w:rsid w:val="002F43E6"/>
    <w:rsid w:val="002F7AD4"/>
    <w:rsid w:val="0030657A"/>
    <w:rsid w:val="003136DC"/>
    <w:rsid w:val="00316053"/>
    <w:rsid w:val="00322A85"/>
    <w:rsid w:val="00322C00"/>
    <w:rsid w:val="00322D77"/>
    <w:rsid w:val="00324168"/>
    <w:rsid w:val="00330834"/>
    <w:rsid w:val="003332A8"/>
    <w:rsid w:val="003448F4"/>
    <w:rsid w:val="00374F5E"/>
    <w:rsid w:val="003769E1"/>
    <w:rsid w:val="00377E3E"/>
    <w:rsid w:val="00381BAB"/>
    <w:rsid w:val="003A779E"/>
    <w:rsid w:val="003B0DFC"/>
    <w:rsid w:val="003C0ED7"/>
    <w:rsid w:val="003D0F4D"/>
    <w:rsid w:val="003D5B0D"/>
    <w:rsid w:val="003E0499"/>
    <w:rsid w:val="003E4F80"/>
    <w:rsid w:val="003E6439"/>
    <w:rsid w:val="003F1FD8"/>
    <w:rsid w:val="003F3941"/>
    <w:rsid w:val="00403EFA"/>
    <w:rsid w:val="00406575"/>
    <w:rsid w:val="004140B3"/>
    <w:rsid w:val="00414C74"/>
    <w:rsid w:val="0042722E"/>
    <w:rsid w:val="0044528D"/>
    <w:rsid w:val="00451137"/>
    <w:rsid w:val="004555EA"/>
    <w:rsid w:val="0045785F"/>
    <w:rsid w:val="00466E39"/>
    <w:rsid w:val="00476D7D"/>
    <w:rsid w:val="00484E40"/>
    <w:rsid w:val="00486E52"/>
    <w:rsid w:val="0048787A"/>
    <w:rsid w:val="00494F04"/>
    <w:rsid w:val="004A0A0B"/>
    <w:rsid w:val="004A0E5C"/>
    <w:rsid w:val="004A1847"/>
    <w:rsid w:val="004A305D"/>
    <w:rsid w:val="004B3DAC"/>
    <w:rsid w:val="004B73B9"/>
    <w:rsid w:val="004C0DBB"/>
    <w:rsid w:val="004E2B92"/>
    <w:rsid w:val="004F21C4"/>
    <w:rsid w:val="004F685F"/>
    <w:rsid w:val="00513BF7"/>
    <w:rsid w:val="00517955"/>
    <w:rsid w:val="005229DB"/>
    <w:rsid w:val="00534886"/>
    <w:rsid w:val="00536A0E"/>
    <w:rsid w:val="00553040"/>
    <w:rsid w:val="005566E8"/>
    <w:rsid w:val="00560892"/>
    <w:rsid w:val="00570B00"/>
    <w:rsid w:val="00572622"/>
    <w:rsid w:val="00573280"/>
    <w:rsid w:val="00574867"/>
    <w:rsid w:val="00591460"/>
    <w:rsid w:val="00592C94"/>
    <w:rsid w:val="005A2CAB"/>
    <w:rsid w:val="005A52A7"/>
    <w:rsid w:val="005A65E0"/>
    <w:rsid w:val="005C0881"/>
    <w:rsid w:val="005C3777"/>
    <w:rsid w:val="005C5CDC"/>
    <w:rsid w:val="005D2566"/>
    <w:rsid w:val="005D476C"/>
    <w:rsid w:val="005F20A4"/>
    <w:rsid w:val="00600D92"/>
    <w:rsid w:val="00603C5B"/>
    <w:rsid w:val="00611CE6"/>
    <w:rsid w:val="006137E1"/>
    <w:rsid w:val="00617E91"/>
    <w:rsid w:val="006200BF"/>
    <w:rsid w:val="0062143E"/>
    <w:rsid w:val="006219F8"/>
    <w:rsid w:val="00624A89"/>
    <w:rsid w:val="00624EEC"/>
    <w:rsid w:val="006302F7"/>
    <w:rsid w:val="00646B9F"/>
    <w:rsid w:val="00646F24"/>
    <w:rsid w:val="006547C3"/>
    <w:rsid w:val="00663A04"/>
    <w:rsid w:val="00665D70"/>
    <w:rsid w:val="00684F67"/>
    <w:rsid w:val="006900D9"/>
    <w:rsid w:val="0069741A"/>
    <w:rsid w:val="006A2BE4"/>
    <w:rsid w:val="006B4707"/>
    <w:rsid w:val="006D13BA"/>
    <w:rsid w:val="006D591D"/>
    <w:rsid w:val="006F2238"/>
    <w:rsid w:val="006F4199"/>
    <w:rsid w:val="007009D7"/>
    <w:rsid w:val="007025D7"/>
    <w:rsid w:val="00706C16"/>
    <w:rsid w:val="0071557C"/>
    <w:rsid w:val="00731F30"/>
    <w:rsid w:val="007340C3"/>
    <w:rsid w:val="0073510E"/>
    <w:rsid w:val="007458D3"/>
    <w:rsid w:val="0075235A"/>
    <w:rsid w:val="00752CDB"/>
    <w:rsid w:val="0075557D"/>
    <w:rsid w:val="00756841"/>
    <w:rsid w:val="007649AB"/>
    <w:rsid w:val="00771AEF"/>
    <w:rsid w:val="00771D0C"/>
    <w:rsid w:val="00782ED2"/>
    <w:rsid w:val="007833AC"/>
    <w:rsid w:val="00795086"/>
    <w:rsid w:val="007A037B"/>
    <w:rsid w:val="007A1830"/>
    <w:rsid w:val="007B268C"/>
    <w:rsid w:val="007B7171"/>
    <w:rsid w:val="007C0C0F"/>
    <w:rsid w:val="007C3DC2"/>
    <w:rsid w:val="007C4353"/>
    <w:rsid w:val="007C6A9F"/>
    <w:rsid w:val="007D3058"/>
    <w:rsid w:val="007D4B12"/>
    <w:rsid w:val="007E43AC"/>
    <w:rsid w:val="007E5497"/>
    <w:rsid w:val="00806F5F"/>
    <w:rsid w:val="00820278"/>
    <w:rsid w:val="00822A37"/>
    <w:rsid w:val="008236EF"/>
    <w:rsid w:val="008258C9"/>
    <w:rsid w:val="00830893"/>
    <w:rsid w:val="00833286"/>
    <w:rsid w:val="00836232"/>
    <w:rsid w:val="00841E29"/>
    <w:rsid w:val="00844AE9"/>
    <w:rsid w:val="0085545E"/>
    <w:rsid w:val="00867F95"/>
    <w:rsid w:val="00871AAC"/>
    <w:rsid w:val="008843B6"/>
    <w:rsid w:val="00886410"/>
    <w:rsid w:val="00891928"/>
    <w:rsid w:val="008A446D"/>
    <w:rsid w:val="008B0D0F"/>
    <w:rsid w:val="008B25F1"/>
    <w:rsid w:val="008C11FD"/>
    <w:rsid w:val="008C4DD5"/>
    <w:rsid w:val="008C517A"/>
    <w:rsid w:val="008C6AE5"/>
    <w:rsid w:val="008D1660"/>
    <w:rsid w:val="008D180B"/>
    <w:rsid w:val="008F0EA7"/>
    <w:rsid w:val="008F17DC"/>
    <w:rsid w:val="008F207E"/>
    <w:rsid w:val="008F4334"/>
    <w:rsid w:val="008F6705"/>
    <w:rsid w:val="009037F6"/>
    <w:rsid w:val="0091143C"/>
    <w:rsid w:val="00917FBF"/>
    <w:rsid w:val="00920817"/>
    <w:rsid w:val="00923EEF"/>
    <w:rsid w:val="009419F9"/>
    <w:rsid w:val="0095685E"/>
    <w:rsid w:val="00961B09"/>
    <w:rsid w:val="00963E12"/>
    <w:rsid w:val="00964321"/>
    <w:rsid w:val="00965334"/>
    <w:rsid w:val="0097093E"/>
    <w:rsid w:val="009722DE"/>
    <w:rsid w:val="009736BF"/>
    <w:rsid w:val="00984DB3"/>
    <w:rsid w:val="00992E19"/>
    <w:rsid w:val="009A0486"/>
    <w:rsid w:val="009A0DFA"/>
    <w:rsid w:val="009A4368"/>
    <w:rsid w:val="009B28B9"/>
    <w:rsid w:val="009B2D26"/>
    <w:rsid w:val="009B3C20"/>
    <w:rsid w:val="009C71FA"/>
    <w:rsid w:val="009C72E7"/>
    <w:rsid w:val="009C7F7E"/>
    <w:rsid w:val="009D23F2"/>
    <w:rsid w:val="009D3058"/>
    <w:rsid w:val="009E1F28"/>
    <w:rsid w:val="009E6924"/>
    <w:rsid w:val="009E7AED"/>
    <w:rsid w:val="009F3A13"/>
    <w:rsid w:val="009F7A6E"/>
    <w:rsid w:val="00A0334B"/>
    <w:rsid w:val="00A0526C"/>
    <w:rsid w:val="00A122D3"/>
    <w:rsid w:val="00A13FAB"/>
    <w:rsid w:val="00A14468"/>
    <w:rsid w:val="00A160DC"/>
    <w:rsid w:val="00A17F13"/>
    <w:rsid w:val="00A2014A"/>
    <w:rsid w:val="00A20739"/>
    <w:rsid w:val="00A23AF9"/>
    <w:rsid w:val="00A31A76"/>
    <w:rsid w:val="00A33C78"/>
    <w:rsid w:val="00A53338"/>
    <w:rsid w:val="00A73F45"/>
    <w:rsid w:val="00AA1E47"/>
    <w:rsid w:val="00AB0ADB"/>
    <w:rsid w:val="00AB436E"/>
    <w:rsid w:val="00AB5BE5"/>
    <w:rsid w:val="00AC694F"/>
    <w:rsid w:val="00AD173A"/>
    <w:rsid w:val="00AD7D5F"/>
    <w:rsid w:val="00AE3513"/>
    <w:rsid w:val="00AF5A10"/>
    <w:rsid w:val="00B00C0E"/>
    <w:rsid w:val="00B01B1A"/>
    <w:rsid w:val="00B0459C"/>
    <w:rsid w:val="00B04DA1"/>
    <w:rsid w:val="00B11075"/>
    <w:rsid w:val="00B37EB5"/>
    <w:rsid w:val="00B44A47"/>
    <w:rsid w:val="00B54271"/>
    <w:rsid w:val="00B5550F"/>
    <w:rsid w:val="00B6149C"/>
    <w:rsid w:val="00B64484"/>
    <w:rsid w:val="00B71FD5"/>
    <w:rsid w:val="00B72CD3"/>
    <w:rsid w:val="00B72FFF"/>
    <w:rsid w:val="00B74092"/>
    <w:rsid w:val="00B95DAC"/>
    <w:rsid w:val="00BA2EB9"/>
    <w:rsid w:val="00BA703D"/>
    <w:rsid w:val="00BC3D36"/>
    <w:rsid w:val="00BC70CB"/>
    <w:rsid w:val="00BD13AC"/>
    <w:rsid w:val="00BD54A6"/>
    <w:rsid w:val="00BD7F72"/>
    <w:rsid w:val="00BF056C"/>
    <w:rsid w:val="00BF3B66"/>
    <w:rsid w:val="00BF5C08"/>
    <w:rsid w:val="00BF7425"/>
    <w:rsid w:val="00C04FB3"/>
    <w:rsid w:val="00C11D8B"/>
    <w:rsid w:val="00C251B0"/>
    <w:rsid w:val="00C3284D"/>
    <w:rsid w:val="00C330EB"/>
    <w:rsid w:val="00C419DF"/>
    <w:rsid w:val="00C50D69"/>
    <w:rsid w:val="00C5365C"/>
    <w:rsid w:val="00C619D4"/>
    <w:rsid w:val="00C61D93"/>
    <w:rsid w:val="00C661E0"/>
    <w:rsid w:val="00C754BE"/>
    <w:rsid w:val="00C76B1C"/>
    <w:rsid w:val="00C82667"/>
    <w:rsid w:val="00C90C96"/>
    <w:rsid w:val="00C925AC"/>
    <w:rsid w:val="00C94828"/>
    <w:rsid w:val="00C963BE"/>
    <w:rsid w:val="00C96B64"/>
    <w:rsid w:val="00CA2858"/>
    <w:rsid w:val="00CB02F1"/>
    <w:rsid w:val="00CB6357"/>
    <w:rsid w:val="00CC1B26"/>
    <w:rsid w:val="00CD4C85"/>
    <w:rsid w:val="00CE3C1C"/>
    <w:rsid w:val="00CE4026"/>
    <w:rsid w:val="00D06146"/>
    <w:rsid w:val="00D0699E"/>
    <w:rsid w:val="00D1210B"/>
    <w:rsid w:val="00D22D2B"/>
    <w:rsid w:val="00D334DD"/>
    <w:rsid w:val="00D34EA3"/>
    <w:rsid w:val="00D361FD"/>
    <w:rsid w:val="00D423A2"/>
    <w:rsid w:val="00D44E26"/>
    <w:rsid w:val="00D51A5D"/>
    <w:rsid w:val="00D520D8"/>
    <w:rsid w:val="00D532D4"/>
    <w:rsid w:val="00D62B9C"/>
    <w:rsid w:val="00D63AC2"/>
    <w:rsid w:val="00D7383B"/>
    <w:rsid w:val="00D73DBD"/>
    <w:rsid w:val="00D7788A"/>
    <w:rsid w:val="00D85F06"/>
    <w:rsid w:val="00D936A2"/>
    <w:rsid w:val="00DA231B"/>
    <w:rsid w:val="00DA6CAC"/>
    <w:rsid w:val="00DB13F4"/>
    <w:rsid w:val="00DB55DA"/>
    <w:rsid w:val="00DC39FC"/>
    <w:rsid w:val="00DC7CCB"/>
    <w:rsid w:val="00DE6EC3"/>
    <w:rsid w:val="00DF5254"/>
    <w:rsid w:val="00E02524"/>
    <w:rsid w:val="00E1159D"/>
    <w:rsid w:val="00E1451E"/>
    <w:rsid w:val="00E16408"/>
    <w:rsid w:val="00E20894"/>
    <w:rsid w:val="00E245AB"/>
    <w:rsid w:val="00E27341"/>
    <w:rsid w:val="00E2764C"/>
    <w:rsid w:val="00E27F2E"/>
    <w:rsid w:val="00E31225"/>
    <w:rsid w:val="00E501E7"/>
    <w:rsid w:val="00E50AFE"/>
    <w:rsid w:val="00E577E2"/>
    <w:rsid w:val="00E615C4"/>
    <w:rsid w:val="00E75C92"/>
    <w:rsid w:val="00E771DC"/>
    <w:rsid w:val="00E8772A"/>
    <w:rsid w:val="00E90F6B"/>
    <w:rsid w:val="00E91AED"/>
    <w:rsid w:val="00E92C27"/>
    <w:rsid w:val="00E96B5C"/>
    <w:rsid w:val="00EA0E3D"/>
    <w:rsid w:val="00EA426C"/>
    <w:rsid w:val="00EB224C"/>
    <w:rsid w:val="00EC006D"/>
    <w:rsid w:val="00EC297F"/>
    <w:rsid w:val="00EC38A7"/>
    <w:rsid w:val="00ED4980"/>
    <w:rsid w:val="00EE1AA8"/>
    <w:rsid w:val="00EE265D"/>
    <w:rsid w:val="00EE3D99"/>
    <w:rsid w:val="00EF1D4F"/>
    <w:rsid w:val="00EF5E13"/>
    <w:rsid w:val="00EF647F"/>
    <w:rsid w:val="00F03314"/>
    <w:rsid w:val="00F0580C"/>
    <w:rsid w:val="00F23FEA"/>
    <w:rsid w:val="00F27B7B"/>
    <w:rsid w:val="00F31EDC"/>
    <w:rsid w:val="00F34294"/>
    <w:rsid w:val="00F462B3"/>
    <w:rsid w:val="00F5664F"/>
    <w:rsid w:val="00F60F65"/>
    <w:rsid w:val="00F666C4"/>
    <w:rsid w:val="00F7218F"/>
    <w:rsid w:val="00F76AFC"/>
    <w:rsid w:val="00F81BF0"/>
    <w:rsid w:val="00F82E88"/>
    <w:rsid w:val="00F86E11"/>
    <w:rsid w:val="00F86E3E"/>
    <w:rsid w:val="00F95C74"/>
    <w:rsid w:val="00F9721B"/>
    <w:rsid w:val="00FA47C0"/>
    <w:rsid w:val="00FA5FFD"/>
    <w:rsid w:val="00FB5DD1"/>
    <w:rsid w:val="00FC2B5D"/>
    <w:rsid w:val="00FD1DDC"/>
    <w:rsid w:val="00FD3AD2"/>
    <w:rsid w:val="00FD5BCD"/>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785F"/>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DB13F4"/>
    <w:rPr>
      <w:color w:val="605E5C"/>
      <w:shd w:val="clear" w:color="auto" w:fill="E1DFDD"/>
    </w:rPr>
  </w:style>
  <w:style w:type="table" w:customStyle="1" w:styleId="TableNormal1">
    <w:name w:val="Table Normal1"/>
    <w:uiPriority w:val="2"/>
    <w:semiHidden/>
    <w:unhideWhenUsed/>
    <w:qFormat/>
    <w:rsid w:val="009B3C2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NormalWebCar">
    <w:name w:val="Normal (Web) Car"/>
    <w:link w:val="NormalWeb"/>
    <w:uiPriority w:val="99"/>
    <w:rsid w:val="008236EF"/>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62535293">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304" TargetMode="External"/><Relationship Id="rId18" Type="http://schemas.openxmlformats.org/officeDocument/2006/relationships/hyperlink" Target="https://relatoria.colombiacompra.gov.co/busqueda/conceptos"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saludpublica@dolores-tolima.gov.co" TargetMode="External"/><Relationship Id="rId17" Type="http://schemas.openxmlformats.org/officeDocument/2006/relationships/hyperlink" Target="https://www.funcionpublica.gov.co/eva/gestornormativo/norma.php?i=25678" TargetMode="External"/><Relationship Id="rId2" Type="http://schemas.openxmlformats.org/officeDocument/2006/relationships/customXml" Target="../customXml/item2.xml"/><Relationship Id="rId16" Type="http://schemas.openxmlformats.org/officeDocument/2006/relationships/hyperlink" Target="https://www.funcionpublica.gov.co/eva/gestornormativo/norma.php?i=304"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alcaldiabogota.gov.co/sisjur/normas/Norma1.jsp?i=33104&amp;238"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25678"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0423D53-3639-4379-A26B-2F072DBE6B0E}"/>
</file>

<file path=customXml/itemProps4.xml><?xml version="1.0" encoding="utf-8"?>
<ds:datastoreItem xmlns:ds="http://schemas.openxmlformats.org/officeDocument/2006/customXml" ds:itemID="{69485B37-EBD1-43AD-A7C0-7146B8DFA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9127</Words>
  <Characters>52030</Characters>
  <Application>Microsoft Office Word</Application>
  <DocSecurity>0</DocSecurity>
  <Lines>433</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2</cp:revision>
  <cp:lastPrinted>2023-01-10T21:18:00Z</cp:lastPrinted>
  <dcterms:created xsi:type="dcterms:W3CDTF">2025-12-30T02:52:00Z</dcterms:created>
  <dcterms:modified xsi:type="dcterms:W3CDTF">2025-12-30T02:52:00Z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