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5BA541" w14:textId="77777777" w:rsidR="00951571" w:rsidRPr="00023F53" w:rsidRDefault="00951571" w:rsidP="00951571">
      <w:pPr>
        <w:jc w:val="both"/>
        <w:rPr>
          <w:rFonts w:ascii="Verdana" w:hAnsi="Verdana" w:cs="Arial"/>
          <w:b/>
          <w:color w:val="000000" w:themeColor="text1"/>
          <w:lang w:val="es-ES_tradnl"/>
        </w:rPr>
      </w:pPr>
      <w:bookmarkStart w:id="0" w:name="_Hlk143780582"/>
      <w:r w:rsidRPr="00023F53">
        <w:rPr>
          <w:rFonts w:ascii="Verdana" w:hAnsi="Verdana" w:cs="Arial"/>
          <w:b/>
          <w:color w:val="000000" w:themeColor="text1"/>
          <w:lang w:val="es-ES_tradnl"/>
        </w:rPr>
        <w:t xml:space="preserve">LEY DE GARANTÍAS ELECTORALES ‒ Finalidad </w:t>
      </w:r>
    </w:p>
    <w:p w14:paraId="053FFC43" w14:textId="77777777" w:rsidR="00951571" w:rsidRPr="00023F53" w:rsidRDefault="00951571" w:rsidP="00951571">
      <w:pPr>
        <w:tabs>
          <w:tab w:val="left" w:pos="426"/>
        </w:tabs>
        <w:spacing w:after="120" w:line="276" w:lineRule="auto"/>
        <w:jc w:val="both"/>
        <w:rPr>
          <w:rFonts w:ascii="Verdana" w:eastAsia="Calibri" w:hAnsi="Verdana" w:cs="Arial"/>
          <w:lang w:val="es-ES_tradnl"/>
        </w:rPr>
      </w:pPr>
      <w:r>
        <w:rPr>
          <w:rFonts w:ascii="Verdana" w:eastAsia="Times New Roman" w:hAnsi="Verdana" w:cs="Arial"/>
          <w:lang w:val="es-MX" w:eastAsia="es-CO"/>
        </w:rPr>
        <w:t>L</w:t>
      </w:r>
      <w:r w:rsidRPr="00E2397D">
        <w:rPr>
          <w:rFonts w:ascii="Verdana" w:eastAsia="Times New Roman" w:hAnsi="Verdana" w:cs="Arial"/>
          <w:lang w:val="es-MX" w:eastAsia="es-CO"/>
        </w:rPr>
        <w:t>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E2397D">
        <w:rPr>
          <w:rFonts w:ascii="Verdana" w:eastAsia="Calibri" w:hAnsi="Verdana" w:cs="Arial"/>
          <w:lang w:val="es-ES_tradnl"/>
        </w:rPr>
        <w:t xml:space="preserve"> </w:t>
      </w:r>
    </w:p>
    <w:p w14:paraId="1C1BD8F3" w14:textId="77777777" w:rsidR="00951571" w:rsidRPr="00951571" w:rsidRDefault="00951571" w:rsidP="00951571">
      <w:pPr>
        <w:jc w:val="both"/>
        <w:rPr>
          <w:rFonts w:ascii="Verdana" w:hAnsi="Verdana"/>
          <w:b/>
        </w:rPr>
      </w:pPr>
      <w:r w:rsidRPr="00951571">
        <w:rPr>
          <w:rFonts w:ascii="Verdana" w:hAnsi="Verdana" w:cs="Arial"/>
          <w:b/>
          <w:color w:val="000000" w:themeColor="text1"/>
          <w:lang w:val="es-ES_tradnl"/>
        </w:rPr>
        <w:t xml:space="preserve">LEY DE GARANTÍAS ELECTORALES ‒ Tipos de restricciones </w:t>
      </w:r>
    </w:p>
    <w:p w14:paraId="2E6AB77A" w14:textId="77777777" w:rsidR="00951571" w:rsidRDefault="00951571" w:rsidP="00951571">
      <w:pPr>
        <w:spacing w:after="120" w:line="276" w:lineRule="auto"/>
        <w:jc w:val="both"/>
        <w:rPr>
          <w:rFonts w:ascii="Verdana" w:eastAsia="Times New Roman" w:hAnsi="Verdana" w:cs="Arial"/>
          <w:lang w:val="es-MX" w:eastAsia="es-CO"/>
        </w:rPr>
      </w:pPr>
      <w:r w:rsidRPr="00E2397D">
        <w:rPr>
          <w:rFonts w:ascii="Verdana" w:eastAsia="Arial" w:hAnsi="Verdana" w:cs="Arial"/>
          <w:lang w:val="es-MX" w:eastAsia="es-ES" w:bidi="es-ES"/>
        </w:rPr>
        <w:t>De esta manera, s</w:t>
      </w:r>
      <w:r w:rsidRPr="00E2397D">
        <w:rPr>
          <w:rFonts w:ascii="Verdana" w:eastAsia="Times New Roman" w:hAnsi="Verdana" w:cs="Arial"/>
          <w:lang w:eastAsia="es-CO"/>
        </w:rPr>
        <w:t xml:space="preserve">e observa entonces que </w:t>
      </w:r>
      <w:r w:rsidRPr="00E2397D">
        <w:rPr>
          <w:rFonts w:ascii="Verdana" w:eastAsia="Times New Roman" w:hAnsi="Verdana" w:cs="Arial"/>
          <w:lang w:val="es-MX" w:eastAsia="es-CO"/>
        </w:rPr>
        <w:t xml:space="preserve">el parágrafo del artículo 38 de la Ley 996 de 2005 prohíbe a los Alcaldes, Gobernadores, Secretarios, Gerentes y Directores de las entidades </w:t>
      </w:r>
      <w:r>
        <w:rPr>
          <w:rFonts w:ascii="Verdana" w:eastAsia="Times New Roman" w:hAnsi="Verdana" w:cs="Arial"/>
          <w:lang w:val="es-MX" w:eastAsia="es-CO"/>
        </w:rPr>
        <w:t xml:space="preserve">descentralizadas </w:t>
      </w:r>
      <w:r w:rsidRPr="00E2397D">
        <w:rPr>
          <w:rFonts w:ascii="Verdana" w:eastAsia="Times New Roman" w:hAnsi="Verdana" w:cs="Arial"/>
          <w:lang w:val="es-MX" w:eastAsia="es-CO"/>
        </w:rPr>
        <w:t xml:space="preserve">del orden municipal, departamental o distrital celebrar </w:t>
      </w:r>
      <w:r w:rsidRPr="00E2397D">
        <w:rPr>
          <w:rFonts w:ascii="Verdana" w:eastAsia="Times New Roman" w:hAnsi="Verdana" w:cs="Arial"/>
          <w:i/>
          <w:iCs/>
          <w:lang w:val="es-MX" w:eastAsia="es-CO"/>
        </w:rPr>
        <w:t>convenios interadministrativos</w:t>
      </w:r>
      <w:r w:rsidRPr="00E2397D">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E2397D">
        <w:rPr>
          <w:rFonts w:ascii="Verdana" w:eastAsia="Times New Roman" w:hAnsi="Verdana" w:cs="Arial"/>
          <w:i/>
          <w:lang w:val="es-MX" w:eastAsia="es-CO"/>
        </w:rPr>
        <w:t>ibidem</w:t>
      </w:r>
      <w:r w:rsidRPr="00E2397D">
        <w:rPr>
          <w:rFonts w:ascii="Verdana" w:eastAsia="Times New Roman" w:hAnsi="Verdana" w:cs="Arial"/>
          <w:lang w:val="es-MX" w:eastAsia="es-CO"/>
        </w:rPr>
        <w:t>,</w:t>
      </w:r>
      <w:r>
        <w:rPr>
          <w:rFonts w:ascii="Verdana" w:eastAsia="Times New Roman" w:hAnsi="Verdana" w:cs="Arial"/>
          <w:lang w:val="es-MX" w:eastAsia="es-CO"/>
        </w:rPr>
        <w:t xml:space="preserve"> </w:t>
      </w:r>
      <w:r w:rsidRPr="00E2397D">
        <w:rPr>
          <w:rFonts w:ascii="Verdana" w:eastAsia="Times New Roman" w:hAnsi="Verdana" w:cs="Arial"/>
          <w:lang w:val="es-MX" w:eastAsia="es-CO"/>
        </w:rPr>
        <w:t xml:space="preserve">no podrá celebrar tales </w:t>
      </w:r>
      <w:r w:rsidRPr="00E2397D">
        <w:rPr>
          <w:rFonts w:ascii="Verdana" w:eastAsia="Times New Roman" w:hAnsi="Verdana" w:cs="Arial"/>
          <w:i/>
          <w:iCs/>
          <w:lang w:val="es-MX" w:eastAsia="es-CO"/>
        </w:rPr>
        <w:t>convenios</w:t>
      </w:r>
      <w:r w:rsidRPr="00E2397D">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r>
        <w:rPr>
          <w:rFonts w:ascii="Verdana" w:eastAsia="Times New Roman" w:hAnsi="Verdana" w:cs="Arial"/>
          <w:lang w:val="es-MX" w:eastAsia="es-CO"/>
        </w:rPr>
        <w:t xml:space="preserve">Así, teniendo en cuenta que los fondos mixtos de promoción de la cultura y las artes son entidades descentralizadas (indirectas) del orden territorial como se analizó en el aparte anterior, les aplica la restricción de celebrar </w:t>
      </w:r>
      <w:r w:rsidRPr="00DD1A47">
        <w:rPr>
          <w:rFonts w:ascii="Verdana" w:eastAsia="Times New Roman" w:hAnsi="Verdana" w:cs="Arial"/>
          <w:i/>
          <w:iCs/>
          <w:lang w:val="es-MX" w:eastAsia="es-CO"/>
        </w:rPr>
        <w:t>convenios interadministrativos</w:t>
      </w:r>
      <w:r>
        <w:rPr>
          <w:rFonts w:ascii="Verdana" w:eastAsia="Times New Roman" w:hAnsi="Verdana" w:cs="Arial"/>
          <w:lang w:val="es-MX" w:eastAsia="es-CO"/>
        </w:rPr>
        <w:t xml:space="preserve">. </w:t>
      </w:r>
    </w:p>
    <w:p w14:paraId="7F612F46" w14:textId="56986C5B" w:rsidR="00951571" w:rsidRPr="00951571" w:rsidRDefault="00951571" w:rsidP="00951571">
      <w:pPr>
        <w:jc w:val="both"/>
        <w:rPr>
          <w:rFonts w:ascii="Verdana" w:hAnsi="Verdana" w:cs="Arial"/>
          <w:b/>
          <w:color w:val="000000" w:themeColor="text1"/>
          <w:lang w:val="es-ES_tradnl"/>
        </w:rPr>
      </w:pPr>
      <w:r w:rsidRPr="00951571">
        <w:rPr>
          <w:rFonts w:ascii="Verdana" w:hAnsi="Verdana"/>
          <w:b/>
        </w:rPr>
        <w:t>FONDOS MIXTOS PARA LA PROMOCIÓN DE LA CULTURA Y LAS ARTES –   Régimen de contratación</w:t>
      </w:r>
    </w:p>
    <w:p w14:paraId="731CADEE" w14:textId="20393021" w:rsidR="00951571" w:rsidRDefault="00951571" w:rsidP="00951571">
      <w:pPr>
        <w:spacing w:after="0"/>
        <w:jc w:val="both"/>
        <w:rPr>
          <w:rFonts w:ascii="Verdana" w:hAnsi="Verdana"/>
        </w:rPr>
      </w:pPr>
      <w:r w:rsidRPr="007B7234">
        <w:rPr>
          <w:rFonts w:ascii="Verdana" w:hAnsi="Verdana" w:cs="Arial"/>
          <w:color w:val="000000" w:themeColor="text1"/>
          <w:lang w:val="es-ES" w:eastAsia="es-ES" w:bidi="es-ES"/>
        </w:rPr>
        <w:t>En cuanto al régimen contractual de estos fondos, el artículo 63 de la Ley 397 de 1997 definió que el régimen jurídico de sus contratos es el derecho privado.</w:t>
      </w:r>
      <w:r>
        <w:rPr>
          <w:rFonts w:ascii="Verdana" w:hAnsi="Verdana" w:cs="Arial"/>
          <w:color w:val="000000" w:themeColor="text1"/>
          <w:lang w:val="es-ES" w:eastAsia="es-ES" w:bidi="es-ES"/>
        </w:rPr>
        <w:t xml:space="preserve"> </w:t>
      </w:r>
      <w:r w:rsidRPr="003A7D23">
        <w:rPr>
          <w:rFonts w:ascii="Verdana" w:eastAsia="Arial" w:hAnsi="Verdana" w:cs="Arial"/>
          <w:lang w:val="es-ES"/>
        </w:rPr>
        <w:t xml:space="preserve">Lo anterior, se traduce en que la existencia y validez de sus actos y contratos están regidas por las leyes civiles y comerciales pertinentes y lo que disponga los estatutos que las rigen. </w:t>
      </w:r>
      <w:r>
        <w:rPr>
          <w:rFonts w:ascii="Verdana" w:eastAsia="Arial" w:hAnsi="Verdana" w:cs="Arial"/>
          <w:lang w:val="es-ES"/>
        </w:rPr>
        <w:t>Sin embargo, t</w:t>
      </w:r>
      <w:r w:rsidRPr="007B7234">
        <w:rPr>
          <w:rFonts w:ascii="Verdana" w:hAnsi="Verdana" w:cs="Arial"/>
          <w:color w:val="000000" w:themeColor="text1"/>
          <w:lang w:val="es-ES" w:eastAsia="es-ES" w:bidi="es-ES"/>
        </w:rPr>
        <w:t>al exclusión del régimen jurídico contractual general de las entidades estatales no es absoluta, toda vez que estos fondos al administrar recursos públicos deben respetar los principios de la función administrativa y de la gestión fiscal, de conformidad con el artículo 13 de la Ley 1150 de 2007</w:t>
      </w:r>
      <w:r>
        <w:rPr>
          <w:rFonts w:ascii="Verdana" w:hAnsi="Verdana" w:cs="Arial"/>
          <w:color w:val="000000" w:themeColor="text1"/>
          <w:lang w:val="es-ES" w:eastAsia="es-ES" w:bidi="es-ES"/>
        </w:rPr>
        <w:t>.</w:t>
      </w:r>
    </w:p>
    <w:p w14:paraId="1468C46D" w14:textId="4C5EA29A" w:rsidR="00C15139" w:rsidRPr="0024624F" w:rsidRDefault="00951571" w:rsidP="00C15139">
      <w:pPr>
        <w:spacing w:after="0"/>
        <w:rPr>
          <w:rFonts w:ascii="Verdana" w:hAnsi="Verdana"/>
        </w:rPr>
      </w:pPr>
      <w:r>
        <w:rPr>
          <w:rFonts w:ascii="Verdana" w:hAnsi="Verdana"/>
          <w:noProof/>
        </w:rPr>
        <w:lastRenderedPageBreak/>
        <w:drawing>
          <wp:anchor distT="0" distB="0" distL="114300" distR="114300" simplePos="0" relativeHeight="251658240" behindDoc="0" locked="0" layoutInCell="1" allowOverlap="1" wp14:anchorId="59B6BAF1" wp14:editId="32D4CEBF">
            <wp:simplePos x="0" y="0"/>
            <wp:positionH relativeFrom="column">
              <wp:posOffset>2759856</wp:posOffset>
            </wp:positionH>
            <wp:positionV relativeFrom="paragraph">
              <wp:posOffset>51777</wp:posOffset>
            </wp:positionV>
            <wp:extent cx="2705100" cy="83820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0">
                      <a:extLst>
                        <a:ext uri="{28A0092B-C50C-407E-A947-70E740481C1C}">
                          <a14:useLocalDpi xmlns:a14="http://schemas.microsoft.com/office/drawing/2010/main" val="0"/>
                        </a:ext>
                      </a:extLst>
                    </a:blip>
                    <a:stretch>
                      <a:fillRect/>
                    </a:stretch>
                  </pic:blipFill>
                  <pic:spPr>
                    <a:xfrm>
                      <a:off x="0" y="0"/>
                      <a:ext cx="2705100" cy="838200"/>
                    </a:xfrm>
                    <a:prstGeom prst="rect">
                      <a:avLst/>
                    </a:prstGeom>
                  </pic:spPr>
                </pic:pic>
              </a:graphicData>
            </a:graphic>
            <wp14:sizeRelH relativeFrom="page">
              <wp14:pctWidth>0</wp14:pctWidth>
            </wp14:sizeRelH>
            <wp14:sizeRelV relativeFrom="page">
              <wp14:pctHeight>0</wp14:pctHeight>
            </wp14:sizeRelV>
          </wp:anchor>
        </w:drawing>
      </w:r>
      <w:r w:rsidR="00C15139" w:rsidRPr="0024624F">
        <w:rPr>
          <w:rFonts w:ascii="Verdana" w:hAnsi="Verdana"/>
        </w:rPr>
        <w:t xml:space="preserve">Bogotá D.C., </w:t>
      </w:r>
      <w:r>
        <w:rPr>
          <w:rFonts w:ascii="Verdana" w:hAnsi="Verdana"/>
        </w:rPr>
        <w:t>26 Diciembre 2025</w:t>
      </w:r>
      <w:r w:rsidR="00C15139" w:rsidRPr="000E2B93">
        <w:rPr>
          <w:rFonts w:ascii="Verdana" w:hAnsi="Verdana"/>
        </w:rPr>
        <w:tab/>
      </w:r>
      <w:r w:rsidR="00C15139" w:rsidRPr="000E2B93">
        <w:rPr>
          <w:rFonts w:ascii="Verdana" w:hAnsi="Verdana"/>
        </w:rPr>
        <w:br/>
      </w:r>
      <w:r w:rsidR="00C15139" w:rsidRPr="0024624F">
        <w:rPr>
          <w:rFonts w:ascii="Verdana" w:hAnsi="Verdana"/>
        </w:rPr>
        <w:tab/>
      </w:r>
    </w:p>
    <w:p w14:paraId="38AFA731" w14:textId="77777777" w:rsidR="00AF2C34" w:rsidRPr="0051487B" w:rsidRDefault="00AF2C34" w:rsidP="00AF2C34">
      <w:pPr>
        <w:spacing w:after="0" w:line="240" w:lineRule="auto"/>
        <w:jc w:val="both"/>
        <w:rPr>
          <w:rFonts w:ascii="Verdana" w:eastAsia="Calibri" w:hAnsi="Verdana" w:cs="Arial"/>
          <w:lang w:val="de-DE" w:eastAsia="es-ES"/>
        </w:rPr>
      </w:pPr>
      <w:r w:rsidRPr="0051487B">
        <w:rPr>
          <w:rFonts w:ascii="Verdana" w:eastAsia="Calibri" w:hAnsi="Verdana" w:cs="Arial"/>
          <w:lang w:val="de-DE" w:eastAsia="es-ES"/>
        </w:rPr>
        <w:t>Señor</w:t>
      </w:r>
    </w:p>
    <w:p w14:paraId="45ADCE7A" w14:textId="77777777" w:rsidR="00AF2C34" w:rsidRDefault="00AF2C34" w:rsidP="00AF2C34">
      <w:pPr>
        <w:spacing w:after="0" w:line="240" w:lineRule="auto"/>
        <w:rPr>
          <w:rFonts w:ascii="Verdana" w:eastAsia="Calibri" w:hAnsi="Verdana" w:cs="Arial"/>
          <w:b/>
          <w:lang w:val="de-DE" w:eastAsia="es-ES"/>
        </w:rPr>
      </w:pPr>
      <w:r>
        <w:rPr>
          <w:rFonts w:ascii="Verdana" w:eastAsia="Calibri" w:hAnsi="Verdana" w:cs="Arial"/>
          <w:b/>
          <w:lang w:val="de-DE" w:eastAsia="es-ES"/>
        </w:rPr>
        <w:t>Juan Carlos Santacruz</w:t>
      </w:r>
    </w:p>
    <w:p w14:paraId="2D8077DB" w14:textId="77777777" w:rsidR="00951571" w:rsidRDefault="00AF2C34" w:rsidP="00AF2C34">
      <w:pPr>
        <w:spacing w:after="0" w:line="240" w:lineRule="auto"/>
        <w:rPr>
          <w:rFonts w:ascii="Verdana" w:eastAsia="Calibri" w:hAnsi="Verdana" w:cs="Arial"/>
          <w:b/>
          <w:lang w:val="de-DE" w:eastAsia="es-ES"/>
        </w:rPr>
      </w:pPr>
      <w:r>
        <w:rPr>
          <w:rFonts w:ascii="Verdana" w:eastAsia="Calibri" w:hAnsi="Verdana" w:cs="Arial"/>
          <w:b/>
          <w:lang w:val="de-DE" w:eastAsia="es-ES"/>
        </w:rPr>
        <w:t xml:space="preserve">FONDO MIXTO PARA LA </w:t>
      </w:r>
    </w:p>
    <w:p w14:paraId="1C54EE29" w14:textId="77777777" w:rsidR="00951571" w:rsidRDefault="00AF2C34" w:rsidP="00AF2C34">
      <w:pPr>
        <w:spacing w:after="0" w:line="240" w:lineRule="auto"/>
        <w:rPr>
          <w:rFonts w:ascii="Verdana" w:eastAsia="Calibri" w:hAnsi="Verdana" w:cs="Arial"/>
          <w:b/>
          <w:lang w:val="de-DE" w:eastAsia="es-ES"/>
        </w:rPr>
      </w:pPr>
      <w:r>
        <w:rPr>
          <w:rFonts w:ascii="Verdana" w:eastAsia="Calibri" w:hAnsi="Verdana" w:cs="Arial"/>
          <w:b/>
          <w:lang w:val="de-DE" w:eastAsia="es-ES"/>
        </w:rPr>
        <w:t>PROMOCION DE LAS ARTES Y LAS</w:t>
      </w:r>
    </w:p>
    <w:p w14:paraId="37D709B2" w14:textId="3482E340" w:rsidR="00AF2C34" w:rsidRPr="0051487B" w:rsidRDefault="00AF2C34" w:rsidP="00AF2C34">
      <w:pPr>
        <w:spacing w:after="0" w:line="240" w:lineRule="auto"/>
        <w:rPr>
          <w:rFonts w:ascii="Verdana" w:eastAsia="Calibri" w:hAnsi="Verdana" w:cs="Arial"/>
          <w:b/>
          <w:lang w:val="de-DE" w:eastAsia="es-ES"/>
        </w:rPr>
      </w:pPr>
      <w:r>
        <w:rPr>
          <w:rFonts w:ascii="Verdana" w:eastAsia="Calibri" w:hAnsi="Verdana" w:cs="Arial"/>
          <w:b/>
          <w:lang w:val="de-DE" w:eastAsia="es-ES"/>
        </w:rPr>
        <w:t xml:space="preserve"> CULTURAS DE NARIÑO</w:t>
      </w:r>
    </w:p>
    <w:p w14:paraId="4F9BB04E" w14:textId="77777777" w:rsidR="00AF2C34" w:rsidRPr="0051487B" w:rsidRDefault="006A1982" w:rsidP="00AF2C34">
      <w:pPr>
        <w:spacing w:after="0" w:line="240" w:lineRule="auto"/>
        <w:rPr>
          <w:rFonts w:ascii="Verdana" w:hAnsi="Verdana" w:cs="ArialMT"/>
          <w:lang w:val="de-DE"/>
        </w:rPr>
      </w:pPr>
      <w:hyperlink r:id="rId11" w:history="1">
        <w:r w:rsidR="00AF2C34" w:rsidRPr="00EB2330">
          <w:rPr>
            <w:rStyle w:val="Hipervnculo"/>
            <w:rFonts w:ascii="Verdana" w:hAnsi="Verdana" w:cs="ArialMT"/>
            <w:lang w:val="de-DE"/>
          </w:rPr>
          <w:t>jurídico@fondoculturanarino.</w:t>
        </w:r>
      </w:hyperlink>
      <w:r w:rsidR="00AF2C34">
        <w:rPr>
          <w:rStyle w:val="Hipervnculo"/>
          <w:rFonts w:ascii="Verdana" w:hAnsi="Verdana" w:cs="ArialMT"/>
          <w:lang w:val="de-DE"/>
        </w:rPr>
        <w:t>org</w:t>
      </w:r>
      <w:r w:rsidR="00AF2C34">
        <w:rPr>
          <w:rFonts w:ascii="Verdana" w:hAnsi="Verdana" w:cs="ArialMT"/>
          <w:lang w:val="de-DE"/>
        </w:rPr>
        <w:t xml:space="preserve"> </w:t>
      </w:r>
      <w:r w:rsidR="00AF2C34" w:rsidRPr="0051487B">
        <w:rPr>
          <w:rFonts w:ascii="Verdana" w:hAnsi="Verdana" w:cs="ArialMT"/>
          <w:lang w:val="de-DE"/>
        </w:rPr>
        <w:t xml:space="preserve">   </w:t>
      </w:r>
    </w:p>
    <w:p w14:paraId="22C7747C" w14:textId="77777777" w:rsidR="00AF2C34" w:rsidRPr="00C53B42" w:rsidRDefault="00AF2C34" w:rsidP="00AF2C34">
      <w:pPr>
        <w:spacing w:after="0" w:line="240" w:lineRule="auto"/>
        <w:rPr>
          <w:rFonts w:ascii="Verdana" w:hAnsi="Verdana" w:cs="ArialMT"/>
        </w:rPr>
      </w:pPr>
      <w:r>
        <w:rPr>
          <w:rFonts w:ascii="Verdana" w:eastAsia="Calibri" w:hAnsi="Verdana" w:cs="Arial"/>
          <w:lang w:val="es-ES" w:eastAsia="es-ES"/>
        </w:rPr>
        <w:t>Pasto, Nariño</w:t>
      </w:r>
    </w:p>
    <w:p w14:paraId="58CC6BD9" w14:textId="77777777" w:rsidR="00AF2C34" w:rsidRPr="00C53B42" w:rsidRDefault="00AF2C34" w:rsidP="00AF2C34">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175"/>
        <w:gridCol w:w="6614"/>
      </w:tblGrid>
      <w:tr w:rsidR="00AF2C34" w:rsidRPr="00C53B42" w14:paraId="6FCA7AE6" w14:textId="77777777" w:rsidTr="00AD6299">
        <w:trPr>
          <w:trHeight w:val="218"/>
        </w:trPr>
        <w:tc>
          <w:tcPr>
            <w:tcW w:w="2175" w:type="dxa"/>
          </w:tcPr>
          <w:p w14:paraId="35524384" w14:textId="77777777" w:rsidR="00AF2C34" w:rsidRPr="00C53B42" w:rsidRDefault="00AF2C34" w:rsidP="00AD6299">
            <w:pPr>
              <w:jc w:val="both"/>
              <w:rPr>
                <w:rFonts w:ascii="Verdana" w:eastAsia="Calibri" w:hAnsi="Verdana" w:cs="Arial"/>
                <w:b/>
                <w:bCs/>
                <w:color w:val="7030A0"/>
                <w:lang w:val="es-ES_tradnl" w:eastAsia="es-ES_tradnl"/>
              </w:rPr>
            </w:pPr>
          </w:p>
        </w:tc>
        <w:tc>
          <w:tcPr>
            <w:tcW w:w="6614" w:type="dxa"/>
            <w:hideMark/>
          </w:tcPr>
          <w:p w14:paraId="2FF4F712" w14:textId="77777777" w:rsidR="00AF2C34" w:rsidRDefault="00AF2C34" w:rsidP="00AD6299">
            <w:pPr>
              <w:jc w:val="both"/>
              <w:rPr>
                <w:rFonts w:ascii="Verdana" w:eastAsia="Calibri" w:hAnsi="Verdana" w:cs="Arial"/>
                <w:b/>
                <w:bCs/>
                <w:lang w:val="es-ES" w:eastAsia="es-ES"/>
              </w:rPr>
            </w:pPr>
            <w:r w:rsidRPr="00C53B42">
              <w:rPr>
                <w:rFonts w:ascii="Verdana" w:eastAsia="Calibri" w:hAnsi="Verdana" w:cs="Arial"/>
                <w:b/>
                <w:bCs/>
                <w:lang w:val="es-ES" w:eastAsia="es-ES"/>
              </w:rPr>
              <w:t>Concepto C-</w:t>
            </w:r>
            <w:r>
              <w:rPr>
                <w:rFonts w:ascii="Verdana" w:eastAsia="Calibri" w:hAnsi="Verdana" w:cs="Arial"/>
                <w:b/>
                <w:bCs/>
                <w:lang w:val="es-ES" w:eastAsia="es-ES"/>
              </w:rPr>
              <w:t>1755</w:t>
            </w:r>
            <w:r w:rsidRPr="00C53B42">
              <w:rPr>
                <w:rFonts w:ascii="Verdana" w:eastAsia="Calibri" w:hAnsi="Verdana" w:cs="Arial"/>
                <w:b/>
                <w:bCs/>
                <w:lang w:val="es-ES" w:eastAsia="es-ES"/>
              </w:rPr>
              <w:t xml:space="preserve"> de 2025</w:t>
            </w:r>
          </w:p>
          <w:p w14:paraId="63B73864" w14:textId="77777777" w:rsidR="00AF2C34" w:rsidRPr="00C53B42" w:rsidRDefault="00AF2C34" w:rsidP="00AD6299">
            <w:pPr>
              <w:jc w:val="both"/>
              <w:rPr>
                <w:rFonts w:ascii="Verdana" w:eastAsia="Calibri" w:hAnsi="Verdana" w:cs="Arial"/>
                <w:b/>
                <w:bCs/>
                <w:lang w:val="es-ES" w:eastAsia="es-ES"/>
              </w:rPr>
            </w:pPr>
          </w:p>
          <w:p w14:paraId="06FB3FC7" w14:textId="77777777" w:rsidR="00AF2C34" w:rsidRPr="00C53B42" w:rsidRDefault="00AF2C34" w:rsidP="00AD6299">
            <w:pPr>
              <w:jc w:val="both"/>
              <w:rPr>
                <w:rFonts w:ascii="Verdana" w:eastAsia="Calibri" w:hAnsi="Verdana" w:cs="Arial"/>
                <w:b/>
                <w:bCs/>
                <w:lang w:val="es-ES" w:eastAsia="es-ES"/>
              </w:rPr>
            </w:pPr>
          </w:p>
        </w:tc>
      </w:tr>
      <w:tr w:rsidR="00AF2C34" w:rsidRPr="00C53B42" w14:paraId="2C40DEBE" w14:textId="77777777" w:rsidTr="00AD6299">
        <w:trPr>
          <w:trHeight w:val="884"/>
        </w:trPr>
        <w:tc>
          <w:tcPr>
            <w:tcW w:w="2175" w:type="dxa"/>
            <w:hideMark/>
          </w:tcPr>
          <w:p w14:paraId="45D9BFF1" w14:textId="77777777" w:rsidR="00AF2C34" w:rsidRPr="00C53B42" w:rsidRDefault="00AF2C34" w:rsidP="00AD6299">
            <w:pPr>
              <w:jc w:val="both"/>
              <w:rPr>
                <w:rFonts w:ascii="Verdana" w:eastAsia="Calibri" w:hAnsi="Verdana" w:cs="Arial"/>
                <w:color w:val="000000"/>
                <w:lang w:val="es-ES_tradnl" w:eastAsia="es-ES_tradnl"/>
              </w:rPr>
            </w:pPr>
            <w:r w:rsidRPr="00C53B42">
              <w:rPr>
                <w:rFonts w:ascii="Verdana" w:eastAsia="Calibri" w:hAnsi="Verdana" w:cs="Arial"/>
                <w:b/>
                <w:color w:val="000000"/>
                <w:lang w:val="es-ES_tradnl" w:eastAsia="es-ES_tradnl"/>
              </w:rPr>
              <w:t>Temas:</w:t>
            </w:r>
            <w:r w:rsidRPr="00C53B42">
              <w:rPr>
                <w:rFonts w:ascii="Verdana" w:eastAsia="Calibri" w:hAnsi="Verdana" w:cs="Arial"/>
                <w:color w:val="000000"/>
                <w:lang w:val="es-ES_tradnl" w:eastAsia="es-ES_tradnl"/>
              </w:rPr>
              <w:t xml:space="preserve">                   </w:t>
            </w:r>
          </w:p>
        </w:tc>
        <w:tc>
          <w:tcPr>
            <w:tcW w:w="6614" w:type="dxa"/>
            <w:hideMark/>
          </w:tcPr>
          <w:p w14:paraId="4DA55A17" w14:textId="77777777" w:rsidR="00AF2C34" w:rsidRPr="00884F51" w:rsidRDefault="00AF2C34" w:rsidP="00AD6299">
            <w:pPr>
              <w:jc w:val="both"/>
              <w:rPr>
                <w:rFonts w:ascii="Verdana" w:hAnsi="Verdana" w:cs="Arial"/>
                <w:bCs/>
                <w:color w:val="000000" w:themeColor="text1"/>
                <w:lang w:val="es-ES_tradnl"/>
              </w:rPr>
            </w:pPr>
            <w:r w:rsidRPr="00884F51">
              <w:rPr>
                <w:rFonts w:ascii="Verdana" w:hAnsi="Verdana" w:cs="Arial"/>
                <w:bCs/>
                <w:color w:val="000000" w:themeColor="text1"/>
                <w:lang w:val="es-ES_tradnl"/>
              </w:rPr>
              <w:t xml:space="preserve">LEY DE GARANTÍAS ELECTORALES ‒ Finalidad / LEY DE GARANTÍAS ELECTORALES ‒ Tipos de restricciones </w:t>
            </w:r>
            <w:r w:rsidRPr="00884F51">
              <w:rPr>
                <w:rFonts w:ascii="Verdana" w:hAnsi="Verdana"/>
                <w:bCs/>
              </w:rPr>
              <w:t>/ FONDOS MIXTOS PARA LA PROMOCIÓN DE LA CULTURA Y LAS ARTES –   Régimen de contratación</w:t>
            </w:r>
          </w:p>
          <w:p w14:paraId="5B7E0084" w14:textId="77777777" w:rsidR="00AF2C34" w:rsidRPr="0068516C" w:rsidRDefault="00AF2C34" w:rsidP="00AD6299">
            <w:pPr>
              <w:jc w:val="both"/>
              <w:rPr>
                <w:rFonts w:ascii="Verdana" w:hAnsi="Verdana" w:cs="Arial"/>
                <w:bCs/>
                <w:color w:val="000000" w:themeColor="text1"/>
                <w:highlight w:val="yellow"/>
                <w:lang w:val="es-ES_tradnl"/>
              </w:rPr>
            </w:pPr>
          </w:p>
          <w:p w14:paraId="0BE6B1D5" w14:textId="77777777" w:rsidR="00AF2C34" w:rsidRPr="0068516C" w:rsidRDefault="00AF2C34" w:rsidP="00AD6299">
            <w:pPr>
              <w:jc w:val="both"/>
              <w:rPr>
                <w:rFonts w:ascii="Verdana" w:eastAsia="Calibri" w:hAnsi="Verdana" w:cs="Arial"/>
                <w:highlight w:val="yellow"/>
                <w:lang w:val="es-ES" w:eastAsia="es-ES"/>
              </w:rPr>
            </w:pPr>
          </w:p>
        </w:tc>
      </w:tr>
      <w:tr w:rsidR="00AF2C34" w14:paraId="540B1B64" w14:textId="77777777" w:rsidTr="09DA1269">
        <w:trPr>
          <w:trHeight w:val="450"/>
        </w:trPr>
        <w:tc>
          <w:tcPr>
            <w:tcW w:w="2175" w:type="dxa"/>
            <w:hideMark/>
          </w:tcPr>
          <w:p w14:paraId="4FADF8DD" w14:textId="77777777" w:rsidR="00AF2C34" w:rsidRPr="00C53B42" w:rsidRDefault="00AF2C34" w:rsidP="00AD6299">
            <w:pPr>
              <w:jc w:val="both"/>
              <w:rPr>
                <w:rFonts w:ascii="Verdana" w:eastAsia="Calibri" w:hAnsi="Verdana" w:cs="Arial"/>
                <w:b/>
                <w:color w:val="7030A0"/>
                <w:lang w:val="es-ES_tradnl" w:eastAsia="es-ES_tradnl"/>
              </w:rPr>
            </w:pPr>
            <w:r w:rsidRPr="00C53B42">
              <w:rPr>
                <w:rFonts w:ascii="Verdana" w:eastAsia="Calibri" w:hAnsi="Verdana" w:cs="Arial"/>
                <w:b/>
                <w:lang w:val="es-ES_tradnl" w:eastAsia="es-ES_tradnl"/>
              </w:rPr>
              <w:t>Radicación:</w:t>
            </w:r>
            <w:r w:rsidRPr="00C53B42">
              <w:rPr>
                <w:rFonts w:ascii="Verdana" w:eastAsia="Calibri" w:hAnsi="Verdana" w:cs="Arial"/>
                <w:lang w:val="es-ES_tradnl" w:eastAsia="es-ES_tradnl"/>
              </w:rPr>
              <w:t xml:space="preserve">               </w:t>
            </w:r>
          </w:p>
        </w:tc>
        <w:tc>
          <w:tcPr>
            <w:tcW w:w="6614" w:type="dxa"/>
          </w:tcPr>
          <w:p w14:paraId="603107F5" w14:textId="77777777" w:rsidR="00AF2C34" w:rsidRPr="00C53B42" w:rsidRDefault="00AF2C34" w:rsidP="00AD6299">
            <w:pPr>
              <w:jc w:val="both"/>
              <w:rPr>
                <w:rFonts w:ascii="Verdana" w:eastAsia="Calibri" w:hAnsi="Verdana" w:cs="Arial"/>
                <w:lang w:val="es-ES_tradnl" w:eastAsia="es-ES_tradnl"/>
              </w:rPr>
            </w:pPr>
            <w:r w:rsidRPr="00C53B42">
              <w:rPr>
                <w:rFonts w:ascii="Verdana" w:eastAsia="Calibri" w:hAnsi="Verdana" w:cs="Arial"/>
                <w:lang w:val="es-ES_tradnl" w:eastAsia="es-ES_tradnl"/>
              </w:rPr>
              <w:t>Respuesta a consulta con radicado No.</w:t>
            </w:r>
            <w:r>
              <w:rPr>
                <w:rFonts w:ascii="Verdana" w:eastAsia="Calibri" w:hAnsi="Verdana" w:cs="Arial"/>
                <w:lang w:val="es-ES_tradnl" w:eastAsia="es-ES_tradnl"/>
              </w:rPr>
              <w:t xml:space="preserve"> </w:t>
            </w:r>
            <w:r w:rsidRPr="0068516C">
              <w:rPr>
                <w:rFonts w:ascii="Verdana" w:eastAsia="Calibri" w:hAnsi="Verdana" w:cs="Arial"/>
                <w:lang w:val="es-ES_tradnl" w:eastAsia="es-ES_tradnl"/>
              </w:rPr>
              <w:t>1_2025_11_25_013322</w:t>
            </w:r>
          </w:p>
        </w:tc>
      </w:tr>
    </w:tbl>
    <w:p w14:paraId="4926BFEB" w14:textId="77777777" w:rsidR="00AF2C34" w:rsidRDefault="00AF2C34" w:rsidP="00AF2C34">
      <w:pPr>
        <w:spacing w:after="0" w:line="240" w:lineRule="auto"/>
        <w:jc w:val="both"/>
        <w:rPr>
          <w:rFonts w:ascii="Verdana" w:eastAsia="Calibri" w:hAnsi="Verdana" w:cs="Arial"/>
          <w:color w:val="000000"/>
          <w:lang w:val="es-ES_tradnl" w:eastAsia="es-ES_tradnl"/>
        </w:rPr>
      </w:pPr>
    </w:p>
    <w:p w14:paraId="6E9D661F" w14:textId="77777777" w:rsidR="00AF2C34" w:rsidRDefault="00AF2C34" w:rsidP="00AF2C34">
      <w:pPr>
        <w:spacing w:after="0" w:line="240" w:lineRule="auto"/>
        <w:jc w:val="both"/>
        <w:rPr>
          <w:rFonts w:ascii="Verdana" w:eastAsia="Calibri" w:hAnsi="Verdana" w:cs="Arial"/>
          <w:color w:val="000000"/>
          <w:lang w:val="es-ES_tradnl" w:eastAsia="es-ES_tradnl"/>
        </w:rPr>
      </w:pPr>
    </w:p>
    <w:p w14:paraId="2763A59B" w14:textId="77777777" w:rsidR="00AF2C34" w:rsidRDefault="00AF2C34" w:rsidP="00AF2C34">
      <w:pPr>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Estimado señor Santacruz,</w:t>
      </w:r>
    </w:p>
    <w:p w14:paraId="34D4E5FA" w14:textId="77777777" w:rsidR="00AF2C34" w:rsidRDefault="00AF2C34" w:rsidP="00AF2C34">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66878A46" w14:textId="77777777" w:rsidR="00AF2C34" w:rsidRDefault="00AF2C34" w:rsidP="00AF2C34">
      <w:pPr>
        <w:spacing w:after="0" w:line="276" w:lineRule="auto"/>
        <w:jc w:val="both"/>
        <w:rPr>
          <w:rFonts w:ascii="Verdana" w:eastAsia="Calibri" w:hAnsi="Verdana" w:cs="Arial"/>
          <w:color w:val="7030A0"/>
          <w:lang w:val="es-ES" w:eastAsia="es-ES"/>
        </w:rPr>
      </w:pPr>
      <w:r>
        <w:rPr>
          <w:rFonts w:ascii="Verdana" w:eastAsia="Calibri" w:hAnsi="Verdana" w:cs="Arial"/>
          <w:color w:val="000000" w:themeColor="text1"/>
          <w:lang w:val="es-ES" w:eastAsia="es-ES"/>
        </w:rPr>
        <w:t>En ejercicio de la competencia otorgada por los artículos 3, numeral 5º, y 11, numeral 8º, del Decreto Ley 4170 de 2011,</w:t>
      </w:r>
      <w:r>
        <w:rPr>
          <w:rFonts w:ascii="Verdana" w:eastAsia="Arial MT" w:hAnsi="Verdana" w:cs="Arial MT"/>
          <w:lang w:val="es-ES" w:eastAsia="es-ES"/>
        </w:rPr>
        <w:t xml:space="preserve"> </w:t>
      </w:r>
      <w:r>
        <w:rPr>
          <w:rFonts w:ascii="Verdana" w:hAnsi="Verdana" w:cs="Arial"/>
        </w:rPr>
        <w:t xml:space="preserve">así como lo establecido en el artículo 4 de la Resolución 1707 de 2018 expedida por esta Entidad, </w:t>
      </w:r>
      <w:r>
        <w:rPr>
          <w:rFonts w:ascii="Verdana" w:eastAsia="Calibri" w:hAnsi="Verdana" w:cs="Arial"/>
          <w:lang w:val="es-ES" w:eastAsia="es-ES"/>
        </w:rPr>
        <w:t xml:space="preserve">la Agencia Nacional de Contratación Pública – Colombia Compra Eficiente– responde su solicitud del 25 de noviembre de 2025, en la cual manifiesta lo siguiente: </w:t>
      </w:r>
    </w:p>
    <w:p w14:paraId="78D09331" w14:textId="77777777" w:rsidR="00AF2C34" w:rsidRDefault="00AF2C34" w:rsidP="00AF2C34">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74ABB0FD" w14:textId="77777777" w:rsidR="00AF2C34" w:rsidRPr="0068516C" w:rsidRDefault="00AF2C34" w:rsidP="00AF2C34">
      <w:pPr>
        <w:autoSpaceDE w:val="0"/>
        <w:autoSpaceDN w:val="0"/>
        <w:adjustRightInd w:val="0"/>
        <w:spacing w:after="0" w:line="240" w:lineRule="auto"/>
        <w:ind w:left="709" w:right="709"/>
        <w:jc w:val="both"/>
        <w:rPr>
          <w:rFonts w:ascii="Verdana" w:hAnsi="Verdana"/>
          <w:sz w:val="20"/>
          <w:szCs w:val="20"/>
        </w:rPr>
      </w:pPr>
      <w:r w:rsidRPr="0068516C">
        <w:rPr>
          <w:rFonts w:ascii="Verdana" w:eastAsia="Century Gothic" w:hAnsi="Verdana" w:cs="Century Gothic"/>
          <w:sz w:val="20"/>
          <w:szCs w:val="20"/>
          <w:lang w:val="es-ES"/>
        </w:rPr>
        <w:t>“</w:t>
      </w:r>
      <w:r w:rsidRPr="0068516C">
        <w:rPr>
          <w:rFonts w:ascii="Verdana" w:hAnsi="Verdana"/>
          <w:sz w:val="20"/>
          <w:szCs w:val="20"/>
        </w:rPr>
        <w:t>En medida de la entrada en vigencia de la ley de garantias para nuestro pais, requerimos hacer la respectiva consulta respecto a la modalidad de contratacion que puede ejercer los fondos mixtos de cultura durante este periodo toda vez que se manejan convenios interadministrativos. Si embargo, la pregunta refiere a los modelos de contratacion que puede adelantar el fondo mixto antes o durante la ley de garantias. Agradecemos su pronta respuesta con marco juridico:”</w:t>
      </w:r>
    </w:p>
    <w:p w14:paraId="79B1D337" w14:textId="77777777" w:rsidR="00AF2C34" w:rsidRPr="00924340" w:rsidRDefault="00AF2C34" w:rsidP="00AF2C34">
      <w:pPr>
        <w:autoSpaceDE w:val="0"/>
        <w:autoSpaceDN w:val="0"/>
        <w:adjustRightInd w:val="0"/>
        <w:spacing w:after="0" w:line="240" w:lineRule="auto"/>
        <w:ind w:left="709" w:right="709"/>
        <w:jc w:val="both"/>
        <w:rPr>
          <w:rFonts w:ascii="Verdana" w:eastAsia="Century Gothic" w:hAnsi="Verdana" w:cs="Century Gothic"/>
          <w:b/>
        </w:rPr>
      </w:pPr>
    </w:p>
    <w:p w14:paraId="3600E82E" w14:textId="77777777" w:rsidR="00AF2C34" w:rsidRDefault="00AF2C34" w:rsidP="00AF2C34">
      <w:pPr>
        <w:spacing w:after="120" w:line="276" w:lineRule="auto"/>
        <w:ind w:firstLine="709"/>
        <w:jc w:val="both"/>
        <w:rPr>
          <w:rFonts w:ascii="Verdana" w:eastAsia="Calibri" w:hAnsi="Verdana" w:cs="Arial"/>
          <w:color w:val="000000"/>
          <w:szCs w:val="24"/>
          <w:lang w:val="es-ES_tradnl" w:eastAsia="es-ES_tradnl"/>
        </w:rPr>
      </w:pPr>
      <w:r>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w:t>
      </w:r>
      <w:r>
        <w:rPr>
          <w:rFonts w:ascii="Verdana" w:eastAsia="Calibri" w:hAnsi="Verdana" w:cs="Arial"/>
          <w:color w:val="000000"/>
          <w:lang w:val="es-ES" w:eastAsia="es-ES"/>
        </w:rPr>
        <w:lastRenderedPageBreak/>
        <w:t xml:space="preserve">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Pr>
          <w:rFonts w:ascii="Verdana" w:eastAsia="Calibri" w:hAnsi="Verdana" w:cs="Arial"/>
          <w:color w:val="000000"/>
          <w:szCs w:val="24"/>
          <w:lang w:val="es-ES_tradnl" w:eastAsia="es-ES_tradnl"/>
        </w:rPr>
        <w:tab/>
      </w:r>
    </w:p>
    <w:p w14:paraId="5BD808A6" w14:textId="77777777" w:rsidR="00AF2C34" w:rsidRDefault="00AF2C34" w:rsidP="00AF2C34">
      <w:pPr>
        <w:spacing w:after="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del caso en concreto planteado, pero señalando algunas consideraciones sobre las normas generales relacionadas con el</w:t>
      </w:r>
      <w:r>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Pr>
          <w:rFonts w:ascii="Verdana" w:eastAsia="Calibri" w:hAnsi="Verdana" w:cs="Arial"/>
          <w:color w:val="7030A0"/>
          <w:lang w:val="es-ES" w:eastAsia="es-ES"/>
        </w:rPr>
        <w:t xml:space="preserve"> </w:t>
      </w:r>
      <w:r>
        <w:rPr>
          <w:rFonts w:ascii="Verdana" w:eastAsia="Calibri" w:hAnsi="Verdana" w:cs="Arial"/>
          <w:color w:val="000000"/>
          <w:lang w:val="es-ES" w:eastAsia="es-ES"/>
        </w:rPr>
        <w:t xml:space="preserve">de su consulta. </w:t>
      </w:r>
    </w:p>
    <w:p w14:paraId="09D09D47" w14:textId="77777777" w:rsidR="00AF2C34" w:rsidRDefault="00AF2C34" w:rsidP="00AF2C34">
      <w:pPr>
        <w:spacing w:after="0" w:line="276" w:lineRule="auto"/>
        <w:ind w:firstLine="709"/>
        <w:jc w:val="both"/>
        <w:rPr>
          <w:rFonts w:ascii="Verdana" w:eastAsia="Calibri" w:hAnsi="Verdana" w:cs="Arial"/>
          <w:color w:val="000000"/>
          <w:lang w:val="es-ES" w:eastAsia="es-ES"/>
        </w:rPr>
      </w:pPr>
    </w:p>
    <w:p w14:paraId="232E5F86" w14:textId="77777777" w:rsidR="00AF2C34" w:rsidRDefault="00AF2C34" w:rsidP="00AF2C3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Problema planteado:</w:t>
      </w:r>
    </w:p>
    <w:p w14:paraId="45134A08" w14:textId="77777777" w:rsidR="00AF2C34" w:rsidRDefault="00AF2C34" w:rsidP="00AF2C34">
      <w:pPr>
        <w:tabs>
          <w:tab w:val="left" w:pos="426"/>
        </w:tabs>
        <w:spacing w:after="0" w:line="276" w:lineRule="auto"/>
        <w:jc w:val="both"/>
        <w:rPr>
          <w:rFonts w:ascii="Verdana" w:eastAsia="Century Gothic" w:hAnsi="Verdana" w:cs="Century Gothic"/>
          <w:lang w:val="es-ES"/>
        </w:rPr>
      </w:pPr>
    </w:p>
    <w:p w14:paraId="100BF125" w14:textId="77777777" w:rsidR="00AF2C34" w:rsidRDefault="00AF2C34" w:rsidP="00AF2C34">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su solicitud, esta Agencia resolverá el siguiente problema jurídico: i) ¿Cuál es el régimen contractual de los fondos mixtos de cultura? Y ii </w:t>
      </w:r>
      <w:r w:rsidRPr="005649AA">
        <w:rPr>
          <w:rFonts w:ascii="Verdana" w:eastAsia="Century Gothic" w:hAnsi="Verdana" w:cs="Century Gothic"/>
        </w:rPr>
        <w:t>¿</w:t>
      </w:r>
      <w:r>
        <w:rPr>
          <w:rFonts w:ascii="Verdana" w:eastAsia="Century Gothic" w:hAnsi="Verdana" w:cs="Century Gothic"/>
        </w:rPr>
        <w:t>L</w:t>
      </w:r>
      <w:r w:rsidRPr="004E1038">
        <w:rPr>
          <w:rFonts w:ascii="Verdana" w:eastAsia="Century Gothic" w:hAnsi="Verdana" w:cs="Century Gothic"/>
        </w:rPr>
        <w:t>a</w:t>
      </w:r>
      <w:r>
        <w:rPr>
          <w:rFonts w:ascii="Verdana" w:eastAsia="Century Gothic" w:hAnsi="Verdana" w:cs="Century Gothic"/>
        </w:rPr>
        <w:t xml:space="preserve">s </w:t>
      </w:r>
      <w:r w:rsidRPr="004E1038">
        <w:rPr>
          <w:rFonts w:ascii="Verdana" w:eastAsia="Century Gothic" w:hAnsi="Verdana" w:cs="Century Gothic"/>
        </w:rPr>
        <w:t>restricci</w:t>
      </w:r>
      <w:r>
        <w:rPr>
          <w:rFonts w:ascii="Verdana" w:eastAsia="Century Gothic" w:hAnsi="Verdana" w:cs="Century Gothic"/>
        </w:rPr>
        <w:t>ones</w:t>
      </w:r>
      <w:r w:rsidRPr="004E1038">
        <w:rPr>
          <w:rFonts w:ascii="Verdana" w:eastAsia="Century Gothic" w:hAnsi="Verdana" w:cs="Century Gothic"/>
        </w:rPr>
        <w:t xml:space="preserve"> contenida</w:t>
      </w:r>
      <w:r>
        <w:rPr>
          <w:rFonts w:ascii="Verdana" w:eastAsia="Century Gothic" w:hAnsi="Verdana" w:cs="Century Gothic"/>
        </w:rPr>
        <w:t>s</w:t>
      </w:r>
      <w:r w:rsidRPr="004E1038">
        <w:rPr>
          <w:rFonts w:ascii="Verdana" w:eastAsia="Century Gothic" w:hAnsi="Verdana" w:cs="Century Gothic"/>
        </w:rPr>
        <w:t xml:space="preserve"> </w:t>
      </w:r>
      <w:r>
        <w:rPr>
          <w:rFonts w:ascii="Verdana" w:eastAsia="Century Gothic" w:hAnsi="Verdana" w:cs="Century Gothic"/>
        </w:rPr>
        <w:t xml:space="preserve">en </w:t>
      </w:r>
      <w:r w:rsidRPr="004E1038">
        <w:rPr>
          <w:rFonts w:ascii="Verdana" w:eastAsia="Century Gothic" w:hAnsi="Verdana" w:cs="Century Gothic"/>
          <w:lang w:val="es-ES"/>
        </w:rPr>
        <w:t xml:space="preserve">la Ley 996 de 2005 </w:t>
      </w:r>
      <w:r>
        <w:rPr>
          <w:rFonts w:ascii="Verdana" w:eastAsia="Century Gothic" w:hAnsi="Verdana" w:cs="Century Gothic"/>
          <w:lang w:val="es-ES"/>
        </w:rPr>
        <w:t>aplican a los fondos mixtos de cultura?</w:t>
      </w:r>
    </w:p>
    <w:p w14:paraId="352EE2EC" w14:textId="77777777" w:rsidR="00AF2C34" w:rsidRDefault="00AF2C34" w:rsidP="00AF2C34">
      <w:pPr>
        <w:spacing w:after="0" w:line="276" w:lineRule="auto"/>
        <w:jc w:val="both"/>
        <w:rPr>
          <w:rFonts w:ascii="Verdana" w:eastAsia="Calibri" w:hAnsi="Verdana" w:cs="Arial"/>
          <w:color w:val="7030A0"/>
          <w:lang w:val="es-ES"/>
        </w:rPr>
      </w:pPr>
    </w:p>
    <w:p w14:paraId="62C44057" w14:textId="77777777" w:rsidR="00AF2C34" w:rsidRDefault="00AF2C34" w:rsidP="00AF2C3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Respuesta:</w:t>
      </w:r>
    </w:p>
    <w:p w14:paraId="1DE523D2" w14:textId="77777777" w:rsidR="00AF2C34" w:rsidRDefault="00AF2C34" w:rsidP="00AF2C34">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F2C34" w:rsidRPr="00DE5508" w14:paraId="19B6DC69" w14:textId="77777777" w:rsidTr="00AD6299">
        <w:tc>
          <w:tcPr>
            <w:tcW w:w="8828" w:type="dxa"/>
            <w:tcBorders>
              <w:top w:val="dotted" w:sz="4" w:space="0" w:color="auto"/>
              <w:left w:val="dotted" w:sz="4" w:space="0" w:color="auto"/>
              <w:bottom w:val="dotted" w:sz="4" w:space="0" w:color="auto"/>
              <w:right w:val="dotted" w:sz="4" w:space="0" w:color="auto"/>
            </w:tcBorders>
          </w:tcPr>
          <w:p w14:paraId="7A9BFD70" w14:textId="77777777" w:rsidR="00AF2C34" w:rsidRPr="00286282" w:rsidRDefault="00AF2C34" w:rsidP="00AD6299">
            <w:pPr>
              <w:pStyle w:val="Prrafodelista"/>
              <w:numPr>
                <w:ilvl w:val="0"/>
                <w:numId w:val="18"/>
              </w:numPr>
              <w:spacing w:after="120" w:line="276" w:lineRule="auto"/>
              <w:ind w:left="31" w:firstLine="0"/>
              <w:jc w:val="both"/>
              <w:rPr>
                <w:rFonts w:ascii="Verdana" w:eastAsia="Arial" w:hAnsi="Verdana" w:cs="Arial"/>
                <w:color w:val="000000"/>
              </w:rPr>
            </w:pPr>
            <w:r w:rsidRPr="00286282">
              <w:rPr>
                <w:rFonts w:ascii="Verdana" w:hAnsi="Verdana"/>
              </w:rPr>
              <w:t>El</w:t>
            </w:r>
            <w:r w:rsidRPr="00286282">
              <w:rPr>
                <w:rFonts w:ascii="Verdana" w:hAnsi="Verdana"/>
                <w:spacing w:val="-17"/>
              </w:rPr>
              <w:t xml:space="preserve"> </w:t>
            </w:r>
            <w:r w:rsidRPr="00286282">
              <w:rPr>
                <w:rFonts w:ascii="Verdana" w:hAnsi="Verdana"/>
              </w:rPr>
              <w:t>artículo</w:t>
            </w:r>
            <w:r w:rsidRPr="00286282">
              <w:rPr>
                <w:rFonts w:ascii="Verdana" w:hAnsi="Verdana"/>
                <w:spacing w:val="-15"/>
              </w:rPr>
              <w:t xml:space="preserve"> </w:t>
            </w:r>
            <w:r w:rsidRPr="00286282">
              <w:rPr>
                <w:rFonts w:ascii="Verdana" w:hAnsi="Verdana"/>
              </w:rPr>
              <w:t>63</w:t>
            </w:r>
            <w:r w:rsidRPr="00286282">
              <w:rPr>
                <w:rFonts w:ascii="Verdana" w:hAnsi="Verdana"/>
                <w:spacing w:val="-17"/>
              </w:rPr>
              <w:t xml:space="preserve"> </w:t>
            </w:r>
            <w:r w:rsidRPr="00286282">
              <w:rPr>
                <w:rFonts w:ascii="Verdana" w:hAnsi="Verdana"/>
              </w:rPr>
              <w:t>de</w:t>
            </w:r>
            <w:r w:rsidRPr="00286282">
              <w:rPr>
                <w:rFonts w:ascii="Verdana" w:hAnsi="Verdana"/>
                <w:spacing w:val="-17"/>
              </w:rPr>
              <w:t xml:space="preserve"> </w:t>
            </w:r>
            <w:r w:rsidRPr="00286282">
              <w:rPr>
                <w:rFonts w:ascii="Verdana" w:hAnsi="Verdana"/>
              </w:rPr>
              <w:t>la</w:t>
            </w:r>
            <w:r w:rsidRPr="00286282">
              <w:rPr>
                <w:rFonts w:ascii="Verdana" w:hAnsi="Verdana"/>
                <w:spacing w:val="-17"/>
              </w:rPr>
              <w:t xml:space="preserve"> Ley 397 de 1997</w:t>
            </w:r>
            <w:r w:rsidRPr="00286282">
              <w:rPr>
                <w:rFonts w:ascii="Verdana" w:hAnsi="Verdana"/>
                <w:spacing w:val="-16"/>
              </w:rPr>
              <w:t xml:space="preserve"> </w:t>
            </w:r>
            <w:r w:rsidRPr="00286282">
              <w:rPr>
                <w:rFonts w:ascii="Verdana" w:hAnsi="Verdana"/>
              </w:rPr>
              <w:t>creó</w:t>
            </w:r>
            <w:r w:rsidRPr="00286282">
              <w:rPr>
                <w:rFonts w:ascii="Verdana" w:hAnsi="Verdana"/>
                <w:spacing w:val="-16"/>
              </w:rPr>
              <w:t xml:space="preserve"> </w:t>
            </w:r>
            <w:r w:rsidRPr="00286282">
              <w:rPr>
                <w:rFonts w:ascii="Verdana" w:hAnsi="Verdana"/>
              </w:rPr>
              <w:t>el</w:t>
            </w:r>
            <w:r w:rsidRPr="00286282">
              <w:rPr>
                <w:rFonts w:ascii="Verdana" w:hAnsi="Verdana"/>
                <w:spacing w:val="-17"/>
              </w:rPr>
              <w:t xml:space="preserve"> </w:t>
            </w:r>
            <w:r w:rsidRPr="00286282">
              <w:rPr>
                <w:rFonts w:ascii="Verdana" w:hAnsi="Verdana"/>
              </w:rPr>
              <w:t>Fondo</w:t>
            </w:r>
            <w:r w:rsidRPr="00286282">
              <w:rPr>
                <w:rFonts w:ascii="Verdana" w:hAnsi="Verdana"/>
                <w:spacing w:val="-16"/>
              </w:rPr>
              <w:t xml:space="preserve"> </w:t>
            </w:r>
            <w:r w:rsidRPr="00286282">
              <w:rPr>
                <w:rFonts w:ascii="Verdana" w:hAnsi="Verdana"/>
              </w:rPr>
              <w:t>Mixto</w:t>
            </w:r>
            <w:r w:rsidRPr="00286282">
              <w:rPr>
                <w:rFonts w:ascii="Verdana" w:hAnsi="Verdana"/>
                <w:spacing w:val="-16"/>
              </w:rPr>
              <w:t xml:space="preserve"> </w:t>
            </w:r>
            <w:r w:rsidRPr="00286282">
              <w:rPr>
                <w:rFonts w:ascii="Verdana" w:hAnsi="Verdana"/>
              </w:rPr>
              <w:t>Nacional</w:t>
            </w:r>
            <w:r w:rsidRPr="00286282">
              <w:rPr>
                <w:rFonts w:ascii="Verdana" w:hAnsi="Verdana"/>
                <w:spacing w:val="-15"/>
              </w:rPr>
              <w:t xml:space="preserve"> </w:t>
            </w:r>
            <w:r w:rsidRPr="00286282">
              <w:rPr>
                <w:rFonts w:ascii="Verdana" w:hAnsi="Verdana"/>
              </w:rPr>
              <w:t>de</w:t>
            </w:r>
            <w:r w:rsidRPr="00286282">
              <w:rPr>
                <w:rFonts w:ascii="Verdana" w:hAnsi="Verdana"/>
                <w:spacing w:val="-17"/>
              </w:rPr>
              <w:t xml:space="preserve"> </w:t>
            </w:r>
            <w:r w:rsidRPr="00286282">
              <w:rPr>
                <w:rFonts w:ascii="Verdana" w:hAnsi="Verdana"/>
              </w:rPr>
              <w:t>Promoción de</w:t>
            </w:r>
            <w:r w:rsidRPr="00286282">
              <w:rPr>
                <w:rFonts w:ascii="Verdana" w:hAnsi="Verdana"/>
                <w:spacing w:val="-10"/>
              </w:rPr>
              <w:t xml:space="preserve"> </w:t>
            </w:r>
            <w:r w:rsidRPr="00286282">
              <w:rPr>
                <w:rFonts w:ascii="Verdana" w:hAnsi="Verdana"/>
              </w:rPr>
              <w:t>la</w:t>
            </w:r>
            <w:r w:rsidRPr="00286282">
              <w:rPr>
                <w:rFonts w:ascii="Verdana" w:hAnsi="Verdana"/>
                <w:spacing w:val="-10"/>
              </w:rPr>
              <w:t xml:space="preserve"> </w:t>
            </w:r>
            <w:r w:rsidRPr="00286282">
              <w:rPr>
                <w:rFonts w:ascii="Verdana" w:hAnsi="Verdana"/>
              </w:rPr>
              <w:t>Cultura</w:t>
            </w:r>
            <w:r w:rsidRPr="00286282">
              <w:rPr>
                <w:rFonts w:ascii="Verdana" w:hAnsi="Verdana"/>
                <w:spacing w:val="-9"/>
              </w:rPr>
              <w:t xml:space="preserve"> </w:t>
            </w:r>
            <w:r w:rsidRPr="00286282">
              <w:rPr>
                <w:rFonts w:ascii="Verdana" w:hAnsi="Verdana"/>
              </w:rPr>
              <w:t>y</w:t>
            </w:r>
            <w:r w:rsidRPr="00286282">
              <w:rPr>
                <w:rFonts w:ascii="Verdana" w:hAnsi="Verdana"/>
                <w:spacing w:val="-10"/>
              </w:rPr>
              <w:t xml:space="preserve"> </w:t>
            </w:r>
            <w:r w:rsidRPr="00286282">
              <w:rPr>
                <w:rFonts w:ascii="Verdana" w:hAnsi="Verdana"/>
              </w:rPr>
              <w:t>las</w:t>
            </w:r>
            <w:r w:rsidRPr="00286282">
              <w:rPr>
                <w:rFonts w:ascii="Verdana" w:hAnsi="Verdana"/>
                <w:spacing w:val="-10"/>
              </w:rPr>
              <w:t xml:space="preserve"> </w:t>
            </w:r>
            <w:r w:rsidRPr="00286282">
              <w:rPr>
                <w:rFonts w:ascii="Verdana" w:hAnsi="Verdana"/>
              </w:rPr>
              <w:t>Artes,</w:t>
            </w:r>
            <w:r w:rsidRPr="00286282">
              <w:rPr>
                <w:rFonts w:ascii="Verdana" w:hAnsi="Verdana"/>
                <w:spacing w:val="-8"/>
              </w:rPr>
              <w:t xml:space="preserve"> </w:t>
            </w:r>
            <w:r w:rsidRPr="00286282">
              <w:rPr>
                <w:rFonts w:ascii="Verdana" w:hAnsi="Verdana"/>
              </w:rPr>
              <w:t>con</w:t>
            </w:r>
            <w:r w:rsidRPr="00286282">
              <w:rPr>
                <w:rFonts w:ascii="Verdana" w:hAnsi="Verdana"/>
                <w:spacing w:val="-10"/>
              </w:rPr>
              <w:t xml:space="preserve"> </w:t>
            </w:r>
            <w:r w:rsidRPr="00286282">
              <w:rPr>
                <w:rFonts w:ascii="Verdana" w:hAnsi="Verdana"/>
              </w:rPr>
              <w:t>el</w:t>
            </w:r>
            <w:r w:rsidRPr="00286282">
              <w:rPr>
                <w:rFonts w:ascii="Verdana" w:hAnsi="Verdana"/>
                <w:spacing w:val="-10"/>
              </w:rPr>
              <w:t xml:space="preserve"> </w:t>
            </w:r>
            <w:r w:rsidRPr="00286282">
              <w:rPr>
                <w:rFonts w:ascii="Verdana" w:hAnsi="Verdana"/>
              </w:rPr>
              <w:t>fin</w:t>
            </w:r>
            <w:r w:rsidRPr="00286282">
              <w:rPr>
                <w:rFonts w:ascii="Verdana" w:hAnsi="Verdana"/>
                <w:spacing w:val="-10"/>
              </w:rPr>
              <w:t xml:space="preserve"> </w:t>
            </w:r>
            <w:r w:rsidRPr="00286282">
              <w:rPr>
                <w:rFonts w:ascii="Verdana" w:hAnsi="Verdana"/>
              </w:rPr>
              <w:t>de</w:t>
            </w:r>
            <w:r w:rsidRPr="00286282">
              <w:rPr>
                <w:rFonts w:ascii="Verdana" w:hAnsi="Verdana"/>
                <w:spacing w:val="-10"/>
              </w:rPr>
              <w:t xml:space="preserve"> </w:t>
            </w:r>
            <w:r w:rsidRPr="00286282">
              <w:rPr>
                <w:rFonts w:ascii="Verdana" w:hAnsi="Verdana"/>
              </w:rPr>
              <w:t>promover</w:t>
            </w:r>
            <w:r w:rsidRPr="00286282">
              <w:rPr>
                <w:rFonts w:ascii="Verdana" w:hAnsi="Verdana"/>
                <w:spacing w:val="-8"/>
              </w:rPr>
              <w:t xml:space="preserve"> </w:t>
            </w:r>
            <w:r w:rsidRPr="00286282">
              <w:rPr>
                <w:rFonts w:ascii="Verdana" w:hAnsi="Verdana"/>
              </w:rPr>
              <w:t>la</w:t>
            </w:r>
            <w:r w:rsidRPr="00286282">
              <w:rPr>
                <w:rFonts w:ascii="Verdana" w:hAnsi="Verdana"/>
                <w:spacing w:val="-10"/>
              </w:rPr>
              <w:t xml:space="preserve"> </w:t>
            </w:r>
            <w:r w:rsidRPr="00286282">
              <w:rPr>
                <w:rFonts w:ascii="Verdana" w:hAnsi="Verdana"/>
              </w:rPr>
              <w:t>creación,</w:t>
            </w:r>
            <w:r w:rsidRPr="00286282">
              <w:rPr>
                <w:rFonts w:ascii="Verdana" w:hAnsi="Verdana"/>
                <w:spacing w:val="-7"/>
              </w:rPr>
              <w:t xml:space="preserve"> </w:t>
            </w:r>
            <w:r w:rsidRPr="00286282">
              <w:rPr>
                <w:rFonts w:ascii="Verdana" w:hAnsi="Verdana"/>
              </w:rPr>
              <w:t>la</w:t>
            </w:r>
            <w:r w:rsidRPr="00286282">
              <w:rPr>
                <w:rFonts w:ascii="Verdana" w:hAnsi="Verdana"/>
                <w:spacing w:val="-10"/>
              </w:rPr>
              <w:t xml:space="preserve"> </w:t>
            </w:r>
            <w:r w:rsidRPr="00286282">
              <w:rPr>
                <w:rFonts w:ascii="Verdana" w:hAnsi="Verdana"/>
              </w:rPr>
              <w:t>investigación</w:t>
            </w:r>
            <w:r w:rsidRPr="00286282">
              <w:rPr>
                <w:rFonts w:ascii="Verdana" w:hAnsi="Verdana"/>
                <w:spacing w:val="-6"/>
              </w:rPr>
              <w:t xml:space="preserve"> </w:t>
            </w:r>
            <w:r w:rsidRPr="00286282">
              <w:rPr>
                <w:rFonts w:ascii="Verdana" w:hAnsi="Verdana"/>
              </w:rPr>
              <w:t>y</w:t>
            </w:r>
            <w:r w:rsidRPr="00286282">
              <w:rPr>
                <w:rFonts w:ascii="Verdana" w:hAnsi="Verdana"/>
                <w:spacing w:val="-10"/>
              </w:rPr>
              <w:t xml:space="preserve"> </w:t>
            </w:r>
            <w:r w:rsidRPr="00286282">
              <w:rPr>
                <w:rFonts w:ascii="Verdana" w:hAnsi="Verdana"/>
              </w:rPr>
              <w:t>la difusión de las diversas manifestaciones artísticas y culturales. Igualmente, autorizó al Ministerio de Cultura para participar en la creación de los fondos mixtos departamentales, municipales y de los territorios indígenas, conforme a la reglamentación que para ello expidiera el Gobierno Nacional.</w:t>
            </w:r>
          </w:p>
          <w:p w14:paraId="4D569CD6" w14:textId="77777777" w:rsidR="00AF2C34" w:rsidRDefault="00AF2C34" w:rsidP="00AD6299">
            <w:pPr>
              <w:pStyle w:val="Textoindependiente"/>
              <w:spacing w:line="276" w:lineRule="auto"/>
              <w:ind w:left="100" w:right="49" w:firstLine="709"/>
              <w:jc w:val="both"/>
            </w:pPr>
            <w:r>
              <w:t>La</w:t>
            </w:r>
            <w:r>
              <w:rPr>
                <w:spacing w:val="-11"/>
              </w:rPr>
              <w:t xml:space="preserve"> </w:t>
            </w:r>
            <w:r>
              <w:t>norma</w:t>
            </w:r>
            <w:r>
              <w:rPr>
                <w:spacing w:val="-11"/>
              </w:rPr>
              <w:t xml:space="preserve"> </w:t>
            </w:r>
            <w:r>
              <w:t>citada</w:t>
            </w:r>
            <w:r>
              <w:rPr>
                <w:spacing w:val="-10"/>
              </w:rPr>
              <w:t xml:space="preserve"> </w:t>
            </w:r>
            <w:r>
              <w:t>definió</w:t>
            </w:r>
            <w:r>
              <w:rPr>
                <w:spacing w:val="-9"/>
              </w:rPr>
              <w:t xml:space="preserve"> </w:t>
            </w:r>
            <w:r>
              <w:t>que</w:t>
            </w:r>
            <w:r>
              <w:rPr>
                <w:spacing w:val="-11"/>
              </w:rPr>
              <w:t xml:space="preserve"> </w:t>
            </w:r>
            <w:r>
              <w:t>los</w:t>
            </w:r>
            <w:r>
              <w:rPr>
                <w:spacing w:val="-11"/>
              </w:rPr>
              <w:t xml:space="preserve"> </w:t>
            </w:r>
            <w:r>
              <w:t>fondos</w:t>
            </w:r>
            <w:r>
              <w:rPr>
                <w:spacing w:val="-10"/>
              </w:rPr>
              <w:t xml:space="preserve"> </w:t>
            </w:r>
            <w:r>
              <w:t>mixtos</w:t>
            </w:r>
            <w:r>
              <w:rPr>
                <w:spacing w:val="-10"/>
              </w:rPr>
              <w:t xml:space="preserve"> </w:t>
            </w:r>
            <w:r>
              <w:t>son</w:t>
            </w:r>
            <w:r>
              <w:rPr>
                <w:spacing w:val="-11"/>
              </w:rPr>
              <w:t xml:space="preserve"> </w:t>
            </w:r>
            <w:r>
              <w:t>entidades</w:t>
            </w:r>
            <w:r>
              <w:rPr>
                <w:spacing w:val="-9"/>
              </w:rPr>
              <w:t xml:space="preserve"> </w:t>
            </w:r>
            <w:r>
              <w:t>sin</w:t>
            </w:r>
            <w:r>
              <w:rPr>
                <w:spacing w:val="-11"/>
              </w:rPr>
              <w:t xml:space="preserve"> </w:t>
            </w:r>
            <w:r>
              <w:t>ánimo</w:t>
            </w:r>
            <w:r>
              <w:rPr>
                <w:spacing w:val="-10"/>
              </w:rPr>
              <w:t xml:space="preserve"> </w:t>
            </w:r>
            <w:r>
              <w:t>de lucro, dotadas de personería jurídica, constituidas por aportes públicos y privados</w:t>
            </w:r>
            <w:r>
              <w:rPr>
                <w:spacing w:val="-6"/>
              </w:rPr>
              <w:t xml:space="preserve"> </w:t>
            </w:r>
            <w:r>
              <w:t>y</w:t>
            </w:r>
            <w:r>
              <w:rPr>
                <w:spacing w:val="-8"/>
              </w:rPr>
              <w:t xml:space="preserve"> </w:t>
            </w:r>
            <w:r>
              <w:t>regidas</w:t>
            </w:r>
            <w:r>
              <w:rPr>
                <w:spacing w:val="-6"/>
              </w:rPr>
              <w:t xml:space="preserve"> </w:t>
            </w:r>
            <w:r>
              <w:t>en</w:t>
            </w:r>
            <w:r>
              <w:rPr>
                <w:spacing w:val="-7"/>
              </w:rPr>
              <w:t xml:space="preserve"> </w:t>
            </w:r>
            <w:r>
              <w:t>su</w:t>
            </w:r>
            <w:r>
              <w:rPr>
                <w:spacing w:val="-7"/>
              </w:rPr>
              <w:t xml:space="preserve"> </w:t>
            </w:r>
            <w:r>
              <w:t>dirección,</w:t>
            </w:r>
            <w:r>
              <w:rPr>
                <w:spacing w:val="-4"/>
              </w:rPr>
              <w:t xml:space="preserve"> </w:t>
            </w:r>
            <w:r>
              <w:t>administración</w:t>
            </w:r>
            <w:r>
              <w:rPr>
                <w:spacing w:val="-3"/>
              </w:rPr>
              <w:t xml:space="preserve"> </w:t>
            </w:r>
            <w:r>
              <w:t>y</w:t>
            </w:r>
            <w:r>
              <w:rPr>
                <w:spacing w:val="-8"/>
              </w:rPr>
              <w:t xml:space="preserve"> </w:t>
            </w:r>
            <w:r>
              <w:t>contratación</w:t>
            </w:r>
            <w:r>
              <w:rPr>
                <w:spacing w:val="-4"/>
              </w:rPr>
              <w:t xml:space="preserve"> </w:t>
            </w:r>
            <w:r>
              <w:t>por</w:t>
            </w:r>
            <w:r>
              <w:rPr>
                <w:spacing w:val="-7"/>
              </w:rPr>
              <w:t xml:space="preserve"> </w:t>
            </w:r>
            <w:r>
              <w:t>el</w:t>
            </w:r>
            <w:r>
              <w:rPr>
                <w:spacing w:val="-8"/>
              </w:rPr>
              <w:t xml:space="preserve"> </w:t>
            </w:r>
            <w:r>
              <w:t xml:space="preserve">derecho privado, sin perjuicio del control fiscal que ejercen las respectivas </w:t>
            </w:r>
            <w:r>
              <w:lastRenderedPageBreak/>
              <w:t>contralorías sobre los dineros públicos.</w:t>
            </w:r>
          </w:p>
          <w:p w14:paraId="0ECB8DFE" w14:textId="77777777" w:rsidR="00AF2C34" w:rsidRDefault="00AF2C34" w:rsidP="00AD6299">
            <w:pPr>
              <w:pStyle w:val="Textoindependiente"/>
              <w:spacing w:line="276" w:lineRule="auto"/>
              <w:ind w:left="100" w:right="49" w:firstLine="708"/>
              <w:jc w:val="both"/>
            </w:pPr>
            <w:r>
              <w:t>En virtud del artículo 63 de la Ley 397 de 1997, el Gobierno Nacional expidió</w:t>
            </w:r>
            <w:r>
              <w:rPr>
                <w:spacing w:val="-5"/>
              </w:rPr>
              <w:t xml:space="preserve"> </w:t>
            </w:r>
            <w:r>
              <w:t>el</w:t>
            </w:r>
            <w:r>
              <w:rPr>
                <w:spacing w:val="-7"/>
              </w:rPr>
              <w:t xml:space="preserve"> </w:t>
            </w:r>
            <w:r>
              <w:t>Decreto</w:t>
            </w:r>
            <w:r>
              <w:rPr>
                <w:spacing w:val="-5"/>
              </w:rPr>
              <w:t xml:space="preserve"> </w:t>
            </w:r>
            <w:r>
              <w:t>1493</w:t>
            </w:r>
            <w:r>
              <w:rPr>
                <w:spacing w:val="-6"/>
              </w:rPr>
              <w:t xml:space="preserve"> </w:t>
            </w:r>
            <w:r>
              <w:t>de</w:t>
            </w:r>
            <w:r>
              <w:rPr>
                <w:spacing w:val="-7"/>
              </w:rPr>
              <w:t xml:space="preserve"> </w:t>
            </w:r>
            <w:r>
              <w:t>1998,</w:t>
            </w:r>
            <w:r>
              <w:rPr>
                <w:spacing w:val="-6"/>
              </w:rPr>
              <w:t xml:space="preserve"> </w:t>
            </w:r>
            <w:r>
              <w:t>compilado</w:t>
            </w:r>
            <w:r>
              <w:rPr>
                <w:spacing w:val="-5"/>
              </w:rPr>
              <w:t xml:space="preserve"> </w:t>
            </w:r>
            <w:r>
              <w:t>en</w:t>
            </w:r>
            <w:r>
              <w:rPr>
                <w:spacing w:val="-7"/>
              </w:rPr>
              <w:t xml:space="preserve"> </w:t>
            </w:r>
            <w:r>
              <w:t>el</w:t>
            </w:r>
            <w:r>
              <w:rPr>
                <w:spacing w:val="-7"/>
              </w:rPr>
              <w:t xml:space="preserve"> </w:t>
            </w:r>
            <w:r>
              <w:t>Decreto</w:t>
            </w:r>
            <w:r>
              <w:rPr>
                <w:spacing w:val="-5"/>
              </w:rPr>
              <w:t xml:space="preserve"> </w:t>
            </w:r>
            <w:r>
              <w:t>1080</w:t>
            </w:r>
            <w:r>
              <w:rPr>
                <w:spacing w:val="-6"/>
              </w:rPr>
              <w:t xml:space="preserve"> </w:t>
            </w:r>
            <w:r>
              <w:t>de</w:t>
            </w:r>
            <w:r>
              <w:rPr>
                <w:spacing w:val="-7"/>
              </w:rPr>
              <w:t xml:space="preserve"> </w:t>
            </w:r>
            <w:r>
              <w:t>2015,</w:t>
            </w:r>
            <w:r>
              <w:rPr>
                <w:spacing w:val="-7"/>
              </w:rPr>
              <w:t xml:space="preserve"> </w:t>
            </w:r>
            <w:r>
              <w:t>con</w:t>
            </w:r>
            <w:r>
              <w:rPr>
                <w:spacing w:val="-7"/>
              </w:rPr>
              <w:t xml:space="preserve"> </w:t>
            </w:r>
            <w:r>
              <w:t>el fin</w:t>
            </w:r>
            <w:r>
              <w:rPr>
                <w:spacing w:val="-10"/>
              </w:rPr>
              <w:t xml:space="preserve"> </w:t>
            </w:r>
            <w:r>
              <w:t>de</w:t>
            </w:r>
            <w:r>
              <w:rPr>
                <w:spacing w:val="-11"/>
              </w:rPr>
              <w:t xml:space="preserve"> </w:t>
            </w:r>
            <w:r>
              <w:t>reglamentar</w:t>
            </w:r>
            <w:r>
              <w:rPr>
                <w:spacing w:val="-8"/>
              </w:rPr>
              <w:t xml:space="preserve"> </w:t>
            </w:r>
            <w:r>
              <w:t>la</w:t>
            </w:r>
            <w:r>
              <w:rPr>
                <w:spacing w:val="-11"/>
              </w:rPr>
              <w:t xml:space="preserve"> </w:t>
            </w:r>
            <w:r>
              <w:t>participación</w:t>
            </w:r>
            <w:r>
              <w:rPr>
                <w:spacing w:val="-7"/>
              </w:rPr>
              <w:t xml:space="preserve"> </w:t>
            </w:r>
            <w:r>
              <w:t>del</w:t>
            </w:r>
            <w:r>
              <w:rPr>
                <w:spacing w:val="-10"/>
              </w:rPr>
              <w:t xml:space="preserve"> </w:t>
            </w:r>
            <w:r>
              <w:t>Ministerio</w:t>
            </w:r>
            <w:r>
              <w:rPr>
                <w:spacing w:val="-8"/>
              </w:rPr>
              <w:t xml:space="preserve"> </w:t>
            </w:r>
            <w:r>
              <w:t>de</w:t>
            </w:r>
            <w:r>
              <w:rPr>
                <w:spacing w:val="-11"/>
              </w:rPr>
              <w:t xml:space="preserve"> </w:t>
            </w:r>
            <w:r>
              <w:t>Cultura</w:t>
            </w:r>
            <w:r>
              <w:rPr>
                <w:spacing w:val="-9"/>
              </w:rPr>
              <w:t xml:space="preserve"> </w:t>
            </w:r>
            <w:r>
              <w:t>en</w:t>
            </w:r>
            <w:r>
              <w:rPr>
                <w:spacing w:val="-10"/>
              </w:rPr>
              <w:t xml:space="preserve"> </w:t>
            </w:r>
            <w:r>
              <w:t>la</w:t>
            </w:r>
            <w:r>
              <w:rPr>
                <w:spacing w:val="-11"/>
              </w:rPr>
              <w:t xml:space="preserve"> </w:t>
            </w:r>
            <w:r>
              <w:t>creación</w:t>
            </w:r>
            <w:r>
              <w:rPr>
                <w:spacing w:val="-8"/>
              </w:rPr>
              <w:t xml:space="preserve"> </w:t>
            </w:r>
            <w:r>
              <w:t>de</w:t>
            </w:r>
            <w:r>
              <w:rPr>
                <w:spacing w:val="-11"/>
              </w:rPr>
              <w:t xml:space="preserve"> </w:t>
            </w:r>
            <w:r>
              <w:t>los fondos mixtos y la celebración de convenios con aquellos. Así, el régimen establecido para estos fondos quedó dispuesto de la siguiente manera:</w:t>
            </w:r>
          </w:p>
          <w:p w14:paraId="3213115B" w14:textId="77777777" w:rsidR="00AF2C34" w:rsidRPr="007E311B" w:rsidRDefault="00AF2C34" w:rsidP="00AD6299">
            <w:pPr>
              <w:ind w:left="810" w:right="1608"/>
              <w:jc w:val="both"/>
              <w:rPr>
                <w:rFonts w:ascii="Verdana" w:hAnsi="Verdana"/>
                <w:sz w:val="20"/>
              </w:rPr>
            </w:pPr>
            <w:r w:rsidRPr="007E311B">
              <w:rPr>
                <w:rFonts w:ascii="Verdana" w:hAnsi="Verdana"/>
                <w:sz w:val="20"/>
              </w:rPr>
              <w:t>“Artículo</w:t>
            </w:r>
            <w:r w:rsidRPr="007E311B">
              <w:rPr>
                <w:rFonts w:ascii="Verdana" w:hAnsi="Verdana"/>
                <w:spacing w:val="-3"/>
                <w:sz w:val="20"/>
              </w:rPr>
              <w:t xml:space="preserve"> </w:t>
            </w:r>
            <w:r w:rsidRPr="007E311B">
              <w:rPr>
                <w:rFonts w:ascii="Verdana" w:hAnsi="Verdana"/>
                <w:sz w:val="20"/>
              </w:rPr>
              <w:t>2.2.2.1.</w:t>
            </w:r>
            <w:r w:rsidRPr="007E311B">
              <w:rPr>
                <w:rFonts w:ascii="Verdana" w:hAnsi="Verdana"/>
                <w:spacing w:val="-3"/>
                <w:sz w:val="20"/>
              </w:rPr>
              <w:t xml:space="preserve"> </w:t>
            </w:r>
            <w:r w:rsidRPr="007E311B">
              <w:rPr>
                <w:rFonts w:ascii="Verdana" w:hAnsi="Verdana"/>
                <w:sz w:val="20"/>
              </w:rPr>
              <w:t>Naturaleza</w:t>
            </w:r>
            <w:r w:rsidRPr="007E311B">
              <w:rPr>
                <w:rFonts w:ascii="Verdana" w:hAnsi="Verdana"/>
                <w:spacing w:val="-3"/>
                <w:sz w:val="20"/>
              </w:rPr>
              <w:t xml:space="preserve"> </w:t>
            </w:r>
            <w:r w:rsidRPr="007E311B">
              <w:rPr>
                <w:rFonts w:ascii="Verdana" w:hAnsi="Verdana"/>
                <w:sz w:val="20"/>
              </w:rPr>
              <w:t>jurídica.</w:t>
            </w:r>
            <w:r w:rsidRPr="007E311B">
              <w:rPr>
                <w:rFonts w:ascii="Verdana" w:hAnsi="Verdana"/>
                <w:spacing w:val="-3"/>
                <w:sz w:val="20"/>
              </w:rPr>
              <w:t xml:space="preserve"> </w:t>
            </w:r>
            <w:r w:rsidRPr="007E311B">
              <w:rPr>
                <w:rFonts w:ascii="Verdana" w:hAnsi="Verdana"/>
                <w:sz w:val="20"/>
              </w:rPr>
              <w:t>Los</w:t>
            </w:r>
            <w:r w:rsidRPr="007E311B">
              <w:rPr>
                <w:rFonts w:ascii="Verdana" w:hAnsi="Verdana"/>
                <w:spacing w:val="-5"/>
                <w:sz w:val="20"/>
              </w:rPr>
              <w:t xml:space="preserve"> </w:t>
            </w:r>
            <w:r w:rsidRPr="007E311B">
              <w:rPr>
                <w:rFonts w:ascii="Verdana" w:hAnsi="Verdana"/>
                <w:sz w:val="20"/>
              </w:rPr>
              <w:t>Fondos</w:t>
            </w:r>
            <w:r w:rsidRPr="007E311B">
              <w:rPr>
                <w:rFonts w:ascii="Verdana" w:hAnsi="Verdana"/>
                <w:spacing w:val="-4"/>
                <w:sz w:val="20"/>
              </w:rPr>
              <w:t xml:space="preserve"> </w:t>
            </w:r>
            <w:r w:rsidRPr="007E311B">
              <w:rPr>
                <w:rFonts w:ascii="Verdana" w:hAnsi="Verdana"/>
                <w:sz w:val="20"/>
              </w:rPr>
              <w:t>Mixtos</w:t>
            </w:r>
            <w:r w:rsidRPr="007E311B">
              <w:rPr>
                <w:rFonts w:ascii="Verdana" w:hAnsi="Verdana"/>
                <w:spacing w:val="-4"/>
                <w:sz w:val="20"/>
              </w:rPr>
              <w:t xml:space="preserve"> </w:t>
            </w:r>
            <w:r w:rsidRPr="007E311B">
              <w:rPr>
                <w:rFonts w:ascii="Verdana" w:hAnsi="Verdana"/>
                <w:sz w:val="20"/>
              </w:rPr>
              <w:t>de</w:t>
            </w:r>
            <w:r w:rsidRPr="007E311B">
              <w:rPr>
                <w:rFonts w:ascii="Verdana" w:hAnsi="Verdana"/>
                <w:spacing w:val="-5"/>
                <w:sz w:val="20"/>
              </w:rPr>
              <w:t xml:space="preserve"> </w:t>
            </w:r>
            <w:r w:rsidRPr="007E311B">
              <w:rPr>
                <w:rFonts w:ascii="Verdana" w:hAnsi="Verdana"/>
                <w:sz w:val="20"/>
              </w:rPr>
              <w:t>Promoción</w:t>
            </w:r>
            <w:r w:rsidRPr="007E311B">
              <w:rPr>
                <w:rFonts w:ascii="Verdana" w:hAnsi="Verdana"/>
                <w:spacing w:val="-3"/>
                <w:sz w:val="20"/>
              </w:rPr>
              <w:t xml:space="preserve"> </w:t>
            </w:r>
            <w:r w:rsidRPr="007E311B">
              <w:rPr>
                <w:rFonts w:ascii="Verdana" w:hAnsi="Verdana"/>
                <w:sz w:val="20"/>
              </w:rPr>
              <w:t>de la</w:t>
            </w:r>
            <w:r w:rsidRPr="007E311B">
              <w:rPr>
                <w:rFonts w:ascii="Verdana" w:hAnsi="Verdana"/>
                <w:spacing w:val="-7"/>
                <w:sz w:val="20"/>
              </w:rPr>
              <w:t xml:space="preserve"> </w:t>
            </w:r>
            <w:r w:rsidRPr="007E311B">
              <w:rPr>
                <w:rFonts w:ascii="Verdana" w:hAnsi="Verdana"/>
                <w:sz w:val="20"/>
              </w:rPr>
              <w:t>Cultura</w:t>
            </w:r>
            <w:r w:rsidRPr="007E311B">
              <w:rPr>
                <w:rFonts w:ascii="Verdana" w:hAnsi="Verdana"/>
                <w:spacing w:val="-5"/>
                <w:sz w:val="20"/>
              </w:rPr>
              <w:t xml:space="preserve"> </w:t>
            </w:r>
            <w:r w:rsidRPr="007E311B">
              <w:rPr>
                <w:rFonts w:ascii="Verdana" w:hAnsi="Verdana"/>
                <w:sz w:val="20"/>
              </w:rPr>
              <w:t>y</w:t>
            </w:r>
            <w:r w:rsidRPr="007E311B">
              <w:rPr>
                <w:rFonts w:ascii="Verdana" w:hAnsi="Verdana"/>
                <w:spacing w:val="-7"/>
                <w:sz w:val="20"/>
              </w:rPr>
              <w:t xml:space="preserve"> </w:t>
            </w:r>
            <w:r w:rsidRPr="007E311B">
              <w:rPr>
                <w:rFonts w:ascii="Verdana" w:hAnsi="Verdana"/>
                <w:sz w:val="20"/>
              </w:rPr>
              <w:t>las</w:t>
            </w:r>
            <w:r w:rsidRPr="007E311B">
              <w:rPr>
                <w:rFonts w:ascii="Verdana" w:hAnsi="Verdana"/>
                <w:spacing w:val="-6"/>
                <w:sz w:val="20"/>
              </w:rPr>
              <w:t xml:space="preserve"> </w:t>
            </w:r>
            <w:r w:rsidRPr="007E311B">
              <w:rPr>
                <w:rFonts w:ascii="Verdana" w:hAnsi="Verdana"/>
                <w:sz w:val="20"/>
              </w:rPr>
              <w:t>Artes,</w:t>
            </w:r>
            <w:r w:rsidRPr="007E311B">
              <w:rPr>
                <w:rFonts w:ascii="Verdana" w:hAnsi="Verdana"/>
                <w:spacing w:val="-5"/>
                <w:sz w:val="20"/>
              </w:rPr>
              <w:t xml:space="preserve"> </w:t>
            </w:r>
            <w:r w:rsidRPr="007E311B">
              <w:rPr>
                <w:rFonts w:ascii="Verdana" w:hAnsi="Verdana"/>
                <w:sz w:val="20"/>
              </w:rPr>
              <w:t>son</w:t>
            </w:r>
            <w:r w:rsidRPr="007E311B">
              <w:rPr>
                <w:rFonts w:ascii="Verdana" w:hAnsi="Verdana"/>
                <w:spacing w:val="-6"/>
                <w:sz w:val="20"/>
              </w:rPr>
              <w:t xml:space="preserve"> </w:t>
            </w:r>
            <w:r w:rsidRPr="007E311B">
              <w:rPr>
                <w:rFonts w:ascii="Verdana" w:hAnsi="Verdana"/>
                <w:sz w:val="20"/>
              </w:rPr>
              <w:t>entidades</w:t>
            </w:r>
            <w:r w:rsidRPr="007E311B">
              <w:rPr>
                <w:rFonts w:ascii="Verdana" w:hAnsi="Verdana"/>
                <w:spacing w:val="-5"/>
                <w:sz w:val="20"/>
              </w:rPr>
              <w:t xml:space="preserve"> </w:t>
            </w:r>
            <w:r w:rsidRPr="007E311B">
              <w:rPr>
                <w:rFonts w:ascii="Verdana" w:hAnsi="Verdana"/>
                <w:sz w:val="20"/>
              </w:rPr>
              <w:t>con</w:t>
            </w:r>
            <w:r w:rsidRPr="007E311B">
              <w:rPr>
                <w:rFonts w:ascii="Verdana" w:hAnsi="Verdana"/>
                <w:spacing w:val="-6"/>
                <w:sz w:val="20"/>
              </w:rPr>
              <w:t xml:space="preserve"> </w:t>
            </w:r>
            <w:r w:rsidRPr="007E311B">
              <w:rPr>
                <w:rFonts w:ascii="Verdana" w:hAnsi="Verdana"/>
                <w:sz w:val="20"/>
              </w:rPr>
              <w:t>personería</w:t>
            </w:r>
            <w:r w:rsidRPr="007E311B">
              <w:rPr>
                <w:rFonts w:ascii="Verdana" w:hAnsi="Verdana"/>
                <w:spacing w:val="-5"/>
                <w:sz w:val="20"/>
              </w:rPr>
              <w:t xml:space="preserve"> </w:t>
            </w:r>
            <w:r w:rsidRPr="007E311B">
              <w:rPr>
                <w:rFonts w:ascii="Verdana" w:hAnsi="Verdana"/>
                <w:sz w:val="20"/>
              </w:rPr>
              <w:t>jurídica,</w:t>
            </w:r>
            <w:r w:rsidRPr="007E311B">
              <w:rPr>
                <w:rFonts w:ascii="Verdana" w:hAnsi="Verdana"/>
                <w:spacing w:val="-5"/>
                <w:sz w:val="20"/>
              </w:rPr>
              <w:t xml:space="preserve"> </w:t>
            </w:r>
            <w:r w:rsidRPr="007E311B">
              <w:rPr>
                <w:rFonts w:ascii="Verdana" w:hAnsi="Verdana"/>
                <w:sz w:val="20"/>
              </w:rPr>
              <w:t>sin</w:t>
            </w:r>
            <w:r w:rsidRPr="007E311B">
              <w:rPr>
                <w:rFonts w:ascii="Verdana" w:hAnsi="Verdana"/>
                <w:spacing w:val="-6"/>
                <w:sz w:val="20"/>
              </w:rPr>
              <w:t xml:space="preserve"> </w:t>
            </w:r>
            <w:r w:rsidRPr="007E311B">
              <w:rPr>
                <w:rFonts w:ascii="Verdana" w:hAnsi="Verdana"/>
                <w:sz w:val="20"/>
              </w:rPr>
              <w:t>ánimo</w:t>
            </w:r>
            <w:r w:rsidRPr="007E311B">
              <w:rPr>
                <w:rFonts w:ascii="Verdana" w:hAnsi="Verdana"/>
                <w:spacing w:val="-6"/>
                <w:sz w:val="20"/>
              </w:rPr>
              <w:t xml:space="preserve"> </w:t>
            </w:r>
            <w:r w:rsidRPr="007E311B">
              <w:rPr>
                <w:rFonts w:ascii="Verdana" w:hAnsi="Verdana"/>
                <w:sz w:val="20"/>
              </w:rPr>
              <w:t>de lucro,</w:t>
            </w:r>
            <w:r w:rsidRPr="007E311B">
              <w:rPr>
                <w:rFonts w:ascii="Verdana" w:hAnsi="Verdana"/>
                <w:spacing w:val="-11"/>
                <w:sz w:val="20"/>
              </w:rPr>
              <w:t xml:space="preserve"> </w:t>
            </w:r>
            <w:r w:rsidRPr="007E311B">
              <w:rPr>
                <w:rFonts w:ascii="Verdana" w:hAnsi="Verdana"/>
                <w:sz w:val="20"/>
              </w:rPr>
              <w:t>que</w:t>
            </w:r>
            <w:r w:rsidRPr="007E311B">
              <w:rPr>
                <w:rFonts w:ascii="Verdana" w:hAnsi="Verdana"/>
                <w:spacing w:val="-12"/>
                <w:sz w:val="20"/>
              </w:rPr>
              <w:t xml:space="preserve"> </w:t>
            </w:r>
            <w:r w:rsidRPr="007E311B">
              <w:rPr>
                <w:rFonts w:ascii="Verdana" w:hAnsi="Verdana"/>
                <w:sz w:val="20"/>
              </w:rPr>
              <w:t>se</w:t>
            </w:r>
            <w:r w:rsidRPr="007E311B">
              <w:rPr>
                <w:rFonts w:ascii="Verdana" w:hAnsi="Verdana"/>
                <w:spacing w:val="-12"/>
                <w:sz w:val="20"/>
              </w:rPr>
              <w:t xml:space="preserve"> </w:t>
            </w:r>
            <w:r w:rsidRPr="007E311B">
              <w:rPr>
                <w:rFonts w:ascii="Verdana" w:hAnsi="Verdana"/>
                <w:sz w:val="20"/>
              </w:rPr>
              <w:t>constituyen</w:t>
            </w:r>
            <w:r w:rsidRPr="007E311B">
              <w:rPr>
                <w:rFonts w:ascii="Verdana" w:hAnsi="Verdana"/>
                <w:spacing w:val="-9"/>
                <w:sz w:val="20"/>
              </w:rPr>
              <w:t xml:space="preserve"> </w:t>
            </w:r>
            <w:r w:rsidRPr="007E311B">
              <w:rPr>
                <w:rFonts w:ascii="Verdana" w:hAnsi="Verdana"/>
                <w:sz w:val="20"/>
              </w:rPr>
              <w:t>con</w:t>
            </w:r>
            <w:r w:rsidRPr="007E311B">
              <w:rPr>
                <w:rFonts w:ascii="Verdana" w:hAnsi="Verdana"/>
                <w:spacing w:val="-11"/>
                <w:sz w:val="20"/>
              </w:rPr>
              <w:t xml:space="preserve"> </w:t>
            </w:r>
            <w:r w:rsidRPr="007E311B">
              <w:rPr>
                <w:rFonts w:ascii="Verdana" w:hAnsi="Verdana"/>
                <w:sz w:val="20"/>
              </w:rPr>
              <w:t>aportes</w:t>
            </w:r>
            <w:r w:rsidRPr="007E311B">
              <w:rPr>
                <w:rFonts w:ascii="Verdana" w:hAnsi="Verdana"/>
                <w:spacing w:val="-11"/>
                <w:sz w:val="20"/>
              </w:rPr>
              <w:t xml:space="preserve"> </w:t>
            </w:r>
            <w:r w:rsidRPr="007E311B">
              <w:rPr>
                <w:rFonts w:ascii="Verdana" w:hAnsi="Verdana"/>
                <w:sz w:val="20"/>
              </w:rPr>
              <w:t>del</w:t>
            </w:r>
            <w:r w:rsidRPr="007E311B">
              <w:rPr>
                <w:rFonts w:ascii="Verdana" w:hAnsi="Verdana"/>
                <w:spacing w:val="-12"/>
                <w:sz w:val="20"/>
              </w:rPr>
              <w:t xml:space="preserve"> </w:t>
            </w:r>
            <w:r w:rsidRPr="007E311B">
              <w:rPr>
                <w:rFonts w:ascii="Verdana" w:hAnsi="Verdana"/>
                <w:sz w:val="20"/>
              </w:rPr>
              <w:t>sector</w:t>
            </w:r>
            <w:r w:rsidRPr="007E311B">
              <w:rPr>
                <w:rFonts w:ascii="Verdana" w:hAnsi="Verdana"/>
                <w:spacing w:val="-10"/>
                <w:sz w:val="20"/>
              </w:rPr>
              <w:t xml:space="preserve"> </w:t>
            </w:r>
            <w:r w:rsidRPr="007E311B">
              <w:rPr>
                <w:rFonts w:ascii="Verdana" w:hAnsi="Verdana"/>
                <w:sz w:val="20"/>
              </w:rPr>
              <w:t>público</w:t>
            </w:r>
            <w:r w:rsidRPr="007E311B">
              <w:rPr>
                <w:rFonts w:ascii="Verdana" w:hAnsi="Verdana"/>
                <w:spacing w:val="-10"/>
                <w:sz w:val="20"/>
              </w:rPr>
              <w:t xml:space="preserve"> </w:t>
            </w:r>
            <w:r w:rsidRPr="007E311B">
              <w:rPr>
                <w:rFonts w:ascii="Verdana" w:hAnsi="Verdana"/>
                <w:sz w:val="20"/>
              </w:rPr>
              <w:t>y</w:t>
            </w:r>
            <w:r w:rsidRPr="007E311B">
              <w:rPr>
                <w:rFonts w:ascii="Verdana" w:hAnsi="Verdana"/>
                <w:spacing w:val="-12"/>
                <w:sz w:val="20"/>
              </w:rPr>
              <w:t xml:space="preserve"> </w:t>
            </w:r>
            <w:r w:rsidRPr="007E311B">
              <w:rPr>
                <w:rFonts w:ascii="Verdana" w:hAnsi="Verdana"/>
                <w:sz w:val="20"/>
              </w:rPr>
              <w:t>privado,</w:t>
            </w:r>
            <w:r w:rsidRPr="007E311B">
              <w:rPr>
                <w:rFonts w:ascii="Verdana" w:hAnsi="Verdana"/>
                <w:spacing w:val="-10"/>
                <w:sz w:val="20"/>
              </w:rPr>
              <w:t xml:space="preserve"> </w:t>
            </w:r>
            <w:r w:rsidRPr="007E311B">
              <w:rPr>
                <w:rFonts w:ascii="Verdana" w:hAnsi="Verdana"/>
                <w:sz w:val="20"/>
              </w:rPr>
              <w:t>regidos por el derecho privado, en lo que se relaciona con su dirección, administración y régimen de contratación, sin perjuicio del porcentaje de aportes del sector público, y se rigen por la Ley 397 de 1997 y demás normas concordantes.</w:t>
            </w:r>
          </w:p>
          <w:p w14:paraId="208D9FDC" w14:textId="77777777" w:rsidR="00AF2C34" w:rsidRDefault="00AF2C34" w:rsidP="00AD6299">
            <w:pPr>
              <w:ind w:left="810" w:right="1608"/>
              <w:jc w:val="both"/>
              <w:rPr>
                <w:rFonts w:ascii="Verdana" w:hAnsi="Verdana"/>
                <w:sz w:val="20"/>
              </w:rPr>
            </w:pPr>
            <w:r>
              <w:rPr>
                <w:rFonts w:ascii="Verdana" w:hAnsi="Verdana"/>
                <w:sz w:val="20"/>
              </w:rPr>
              <w:t>[…]</w:t>
            </w:r>
          </w:p>
          <w:p w14:paraId="743A7F8E" w14:textId="77777777" w:rsidR="00AF2C34" w:rsidRPr="001606AC" w:rsidRDefault="00AF2C34" w:rsidP="00AD6299">
            <w:pPr>
              <w:ind w:left="810" w:right="1608"/>
              <w:jc w:val="both"/>
              <w:rPr>
                <w:sz w:val="20"/>
              </w:rPr>
            </w:pPr>
            <w:r w:rsidRPr="007E311B">
              <w:rPr>
                <w:rFonts w:ascii="Verdana" w:hAnsi="Verdana"/>
                <w:sz w:val="20"/>
              </w:rPr>
              <w:t>Artículo</w:t>
            </w:r>
            <w:r w:rsidRPr="007E311B">
              <w:rPr>
                <w:rFonts w:ascii="Verdana" w:hAnsi="Verdana"/>
                <w:spacing w:val="-9"/>
                <w:sz w:val="20"/>
              </w:rPr>
              <w:t xml:space="preserve"> </w:t>
            </w:r>
            <w:r w:rsidRPr="007E311B">
              <w:rPr>
                <w:rFonts w:ascii="Verdana" w:hAnsi="Verdana"/>
                <w:sz w:val="20"/>
              </w:rPr>
              <w:t>2.2.2.3.</w:t>
            </w:r>
            <w:r w:rsidRPr="007E311B">
              <w:rPr>
                <w:rFonts w:ascii="Verdana" w:hAnsi="Verdana"/>
                <w:spacing w:val="-9"/>
                <w:sz w:val="20"/>
              </w:rPr>
              <w:t xml:space="preserve"> </w:t>
            </w:r>
            <w:r w:rsidRPr="007E311B">
              <w:rPr>
                <w:rFonts w:ascii="Verdana" w:hAnsi="Verdana"/>
                <w:sz w:val="20"/>
              </w:rPr>
              <w:t>Régimen</w:t>
            </w:r>
            <w:r w:rsidRPr="007E311B">
              <w:rPr>
                <w:rFonts w:ascii="Verdana" w:hAnsi="Verdana"/>
                <w:spacing w:val="-10"/>
                <w:sz w:val="20"/>
              </w:rPr>
              <w:t xml:space="preserve"> </w:t>
            </w:r>
            <w:r w:rsidRPr="007E311B">
              <w:rPr>
                <w:rFonts w:ascii="Verdana" w:hAnsi="Verdana"/>
                <w:sz w:val="20"/>
              </w:rPr>
              <w:t>de</w:t>
            </w:r>
            <w:r w:rsidRPr="007E311B">
              <w:rPr>
                <w:rFonts w:ascii="Verdana" w:hAnsi="Verdana"/>
                <w:spacing w:val="-12"/>
                <w:sz w:val="20"/>
              </w:rPr>
              <w:t xml:space="preserve"> </w:t>
            </w:r>
            <w:r w:rsidRPr="007E311B">
              <w:rPr>
                <w:rFonts w:ascii="Verdana" w:hAnsi="Verdana"/>
                <w:sz w:val="20"/>
              </w:rPr>
              <w:t>los</w:t>
            </w:r>
            <w:r w:rsidRPr="007E311B">
              <w:rPr>
                <w:rFonts w:ascii="Verdana" w:hAnsi="Verdana"/>
                <w:spacing w:val="-11"/>
                <w:sz w:val="20"/>
              </w:rPr>
              <w:t xml:space="preserve"> </w:t>
            </w:r>
            <w:r w:rsidRPr="007E311B">
              <w:rPr>
                <w:rFonts w:ascii="Verdana" w:hAnsi="Verdana"/>
                <w:sz w:val="20"/>
              </w:rPr>
              <w:t>Convenios.</w:t>
            </w:r>
            <w:r w:rsidRPr="007E311B">
              <w:rPr>
                <w:rFonts w:ascii="Verdana" w:hAnsi="Verdana"/>
                <w:spacing w:val="-9"/>
                <w:sz w:val="20"/>
              </w:rPr>
              <w:t xml:space="preserve"> </w:t>
            </w:r>
            <w:r w:rsidRPr="007E311B">
              <w:rPr>
                <w:rFonts w:ascii="Verdana" w:hAnsi="Verdana"/>
                <w:sz w:val="20"/>
              </w:rPr>
              <w:t>Los</w:t>
            </w:r>
            <w:r w:rsidRPr="007E311B">
              <w:rPr>
                <w:rFonts w:ascii="Verdana" w:hAnsi="Verdana"/>
                <w:spacing w:val="-11"/>
                <w:sz w:val="20"/>
              </w:rPr>
              <w:t xml:space="preserve"> </w:t>
            </w:r>
            <w:r w:rsidRPr="007E311B">
              <w:rPr>
                <w:rFonts w:ascii="Verdana" w:hAnsi="Verdana"/>
                <w:sz w:val="20"/>
              </w:rPr>
              <w:t>convenios</w:t>
            </w:r>
            <w:r w:rsidRPr="007E311B">
              <w:rPr>
                <w:rFonts w:ascii="Verdana" w:hAnsi="Verdana"/>
                <w:spacing w:val="-10"/>
                <w:sz w:val="20"/>
              </w:rPr>
              <w:t xml:space="preserve"> </w:t>
            </w:r>
            <w:r w:rsidRPr="007E311B">
              <w:rPr>
                <w:rFonts w:ascii="Verdana" w:hAnsi="Verdana"/>
                <w:sz w:val="20"/>
              </w:rPr>
              <w:t>que</w:t>
            </w:r>
            <w:r w:rsidRPr="007E311B">
              <w:rPr>
                <w:rFonts w:ascii="Verdana" w:hAnsi="Verdana"/>
                <w:spacing w:val="-11"/>
                <w:sz w:val="20"/>
              </w:rPr>
              <w:t xml:space="preserve"> </w:t>
            </w:r>
            <w:r w:rsidRPr="007E311B">
              <w:rPr>
                <w:rFonts w:ascii="Verdana" w:hAnsi="Verdana"/>
                <w:sz w:val="20"/>
              </w:rPr>
              <w:t>suscriba</w:t>
            </w:r>
            <w:r w:rsidRPr="007E311B">
              <w:rPr>
                <w:rFonts w:ascii="Verdana" w:hAnsi="Verdana"/>
                <w:spacing w:val="-9"/>
                <w:sz w:val="20"/>
              </w:rPr>
              <w:t xml:space="preserve"> </w:t>
            </w:r>
            <w:r w:rsidRPr="007E311B">
              <w:rPr>
                <w:rFonts w:ascii="Verdana" w:hAnsi="Verdana"/>
                <w:sz w:val="20"/>
              </w:rPr>
              <w:t>el Ministerio</w:t>
            </w:r>
            <w:r w:rsidRPr="007E311B">
              <w:rPr>
                <w:rFonts w:ascii="Verdana" w:hAnsi="Verdana"/>
                <w:spacing w:val="-14"/>
                <w:sz w:val="20"/>
              </w:rPr>
              <w:t xml:space="preserve"> </w:t>
            </w:r>
            <w:r w:rsidRPr="007E311B">
              <w:rPr>
                <w:rFonts w:ascii="Verdana" w:hAnsi="Verdana"/>
                <w:sz w:val="20"/>
              </w:rPr>
              <w:t>de</w:t>
            </w:r>
            <w:r w:rsidRPr="007E311B">
              <w:rPr>
                <w:rFonts w:ascii="Verdana" w:hAnsi="Verdana"/>
                <w:spacing w:val="-15"/>
                <w:sz w:val="20"/>
              </w:rPr>
              <w:t xml:space="preserve"> </w:t>
            </w:r>
            <w:r w:rsidRPr="007E311B">
              <w:rPr>
                <w:rFonts w:ascii="Verdana" w:hAnsi="Verdana"/>
                <w:sz w:val="20"/>
              </w:rPr>
              <w:t>Cultura</w:t>
            </w:r>
            <w:r w:rsidRPr="007E311B">
              <w:rPr>
                <w:rFonts w:ascii="Verdana" w:hAnsi="Verdana"/>
                <w:spacing w:val="-15"/>
                <w:sz w:val="20"/>
              </w:rPr>
              <w:t xml:space="preserve"> </w:t>
            </w:r>
            <w:r w:rsidRPr="007E311B">
              <w:rPr>
                <w:rFonts w:ascii="Verdana" w:hAnsi="Verdana"/>
                <w:sz w:val="20"/>
              </w:rPr>
              <w:t>con</w:t>
            </w:r>
            <w:r w:rsidRPr="007E311B">
              <w:rPr>
                <w:rFonts w:ascii="Verdana" w:hAnsi="Verdana"/>
                <w:spacing w:val="-15"/>
                <w:sz w:val="20"/>
              </w:rPr>
              <w:t xml:space="preserve"> </w:t>
            </w:r>
            <w:r w:rsidRPr="007E311B">
              <w:rPr>
                <w:rFonts w:ascii="Verdana" w:hAnsi="Verdana"/>
                <w:sz w:val="20"/>
              </w:rPr>
              <w:t>los</w:t>
            </w:r>
            <w:r w:rsidRPr="007E311B">
              <w:rPr>
                <w:rFonts w:ascii="Verdana" w:hAnsi="Verdana"/>
                <w:spacing w:val="-15"/>
                <w:sz w:val="20"/>
              </w:rPr>
              <w:t xml:space="preserve"> </w:t>
            </w:r>
            <w:r w:rsidRPr="007E311B">
              <w:rPr>
                <w:rFonts w:ascii="Verdana" w:hAnsi="Verdana"/>
                <w:sz w:val="20"/>
              </w:rPr>
              <w:t>fondos</w:t>
            </w:r>
            <w:r w:rsidRPr="007E311B">
              <w:rPr>
                <w:rFonts w:ascii="Verdana" w:hAnsi="Verdana"/>
                <w:spacing w:val="-15"/>
                <w:sz w:val="20"/>
              </w:rPr>
              <w:t xml:space="preserve"> </w:t>
            </w:r>
            <w:r w:rsidRPr="007E311B">
              <w:rPr>
                <w:rFonts w:ascii="Verdana" w:hAnsi="Verdana"/>
                <w:sz w:val="20"/>
              </w:rPr>
              <w:t>mixtos</w:t>
            </w:r>
            <w:r w:rsidRPr="007E311B">
              <w:rPr>
                <w:rFonts w:ascii="Verdana" w:hAnsi="Verdana"/>
                <w:spacing w:val="-15"/>
                <w:sz w:val="20"/>
              </w:rPr>
              <w:t xml:space="preserve"> </w:t>
            </w:r>
            <w:r w:rsidRPr="007E311B">
              <w:rPr>
                <w:rFonts w:ascii="Verdana" w:hAnsi="Verdana"/>
                <w:sz w:val="20"/>
              </w:rPr>
              <w:t>para</w:t>
            </w:r>
            <w:r w:rsidRPr="007E311B">
              <w:rPr>
                <w:rFonts w:ascii="Verdana" w:hAnsi="Verdana"/>
                <w:spacing w:val="-15"/>
                <w:sz w:val="20"/>
              </w:rPr>
              <w:t xml:space="preserve"> </w:t>
            </w:r>
            <w:r w:rsidRPr="007E311B">
              <w:rPr>
                <w:rFonts w:ascii="Verdana" w:hAnsi="Verdana"/>
                <w:sz w:val="20"/>
              </w:rPr>
              <w:t>la</w:t>
            </w:r>
            <w:r w:rsidRPr="007E311B">
              <w:rPr>
                <w:rFonts w:ascii="Verdana" w:hAnsi="Verdana"/>
                <w:spacing w:val="-15"/>
                <w:sz w:val="20"/>
              </w:rPr>
              <w:t xml:space="preserve"> </w:t>
            </w:r>
            <w:r w:rsidRPr="007E311B">
              <w:rPr>
                <w:rFonts w:ascii="Verdana" w:hAnsi="Verdana"/>
                <w:sz w:val="20"/>
              </w:rPr>
              <w:t>promoción</w:t>
            </w:r>
            <w:r w:rsidRPr="007E311B">
              <w:rPr>
                <w:rFonts w:ascii="Verdana" w:hAnsi="Verdana"/>
                <w:spacing w:val="-14"/>
                <w:sz w:val="20"/>
              </w:rPr>
              <w:t xml:space="preserve"> </w:t>
            </w:r>
            <w:r w:rsidRPr="007E311B">
              <w:rPr>
                <w:rFonts w:ascii="Verdana" w:hAnsi="Verdana"/>
                <w:sz w:val="20"/>
              </w:rPr>
              <w:t>de</w:t>
            </w:r>
            <w:r w:rsidRPr="007E311B">
              <w:rPr>
                <w:rFonts w:ascii="Verdana" w:hAnsi="Verdana"/>
                <w:spacing w:val="-15"/>
                <w:sz w:val="20"/>
              </w:rPr>
              <w:t xml:space="preserve"> </w:t>
            </w:r>
            <w:r w:rsidRPr="007E311B">
              <w:rPr>
                <w:rFonts w:ascii="Verdana" w:hAnsi="Verdana"/>
                <w:sz w:val="20"/>
              </w:rPr>
              <w:t>la</w:t>
            </w:r>
            <w:r w:rsidRPr="007E311B">
              <w:rPr>
                <w:rFonts w:ascii="Verdana" w:hAnsi="Verdana"/>
                <w:spacing w:val="-15"/>
                <w:sz w:val="20"/>
              </w:rPr>
              <w:t xml:space="preserve"> </w:t>
            </w:r>
            <w:r w:rsidRPr="007E311B">
              <w:rPr>
                <w:rFonts w:ascii="Verdana" w:hAnsi="Verdana"/>
                <w:sz w:val="20"/>
              </w:rPr>
              <w:t>cultura y de las artes a nivel nacional se regirán por el artículo 355 de la Constitución Política”.</w:t>
            </w:r>
          </w:p>
          <w:p w14:paraId="033C531D" w14:textId="77777777" w:rsidR="00AF2C34" w:rsidRDefault="00AF2C34" w:rsidP="00AD6299">
            <w:pPr>
              <w:pStyle w:val="Textoindependiente"/>
              <w:spacing w:line="276" w:lineRule="auto"/>
              <w:ind w:left="100" w:right="49" w:firstLine="709"/>
              <w:jc w:val="both"/>
            </w:pPr>
            <w:r>
              <w:t>De las normas citadas se desprende que los fondos mixtos para la promoción de la cultura y</w:t>
            </w:r>
            <w:r>
              <w:rPr>
                <w:spacing w:val="-20"/>
              </w:rPr>
              <w:t xml:space="preserve"> </w:t>
            </w:r>
            <w:r>
              <w:t>las</w:t>
            </w:r>
            <w:r>
              <w:rPr>
                <w:spacing w:val="-19"/>
              </w:rPr>
              <w:t xml:space="preserve"> </w:t>
            </w:r>
            <w:r>
              <w:t>artes</w:t>
            </w:r>
            <w:r>
              <w:rPr>
                <w:spacing w:val="-18"/>
              </w:rPr>
              <w:t xml:space="preserve"> </w:t>
            </w:r>
            <w:r>
              <w:t>son</w:t>
            </w:r>
            <w:r>
              <w:rPr>
                <w:spacing w:val="-19"/>
              </w:rPr>
              <w:t xml:space="preserve"> </w:t>
            </w:r>
            <w:r>
              <w:t>entidades</w:t>
            </w:r>
            <w:r>
              <w:rPr>
                <w:spacing w:val="-17"/>
              </w:rPr>
              <w:t xml:space="preserve"> </w:t>
            </w:r>
            <w:r>
              <w:t>con</w:t>
            </w:r>
            <w:r>
              <w:rPr>
                <w:spacing w:val="-19"/>
              </w:rPr>
              <w:t xml:space="preserve"> </w:t>
            </w:r>
            <w:r>
              <w:t>personería</w:t>
            </w:r>
            <w:r>
              <w:rPr>
                <w:spacing w:val="-17"/>
              </w:rPr>
              <w:t xml:space="preserve"> </w:t>
            </w:r>
            <w:r>
              <w:t>jurídica</w:t>
            </w:r>
            <w:r>
              <w:rPr>
                <w:spacing w:val="-18"/>
              </w:rPr>
              <w:t xml:space="preserve"> </w:t>
            </w:r>
            <w:r>
              <w:t>descentralizadas</w:t>
            </w:r>
            <w:r>
              <w:rPr>
                <w:spacing w:val="-15"/>
              </w:rPr>
              <w:t xml:space="preserve"> </w:t>
            </w:r>
            <w:r>
              <w:t>indirectas</w:t>
            </w:r>
            <w:r>
              <w:rPr>
                <w:vertAlign w:val="superscript"/>
              </w:rPr>
              <w:t>4</w:t>
            </w:r>
            <w:r>
              <w:t>,</w:t>
            </w:r>
            <w:r>
              <w:rPr>
                <w:spacing w:val="-20"/>
              </w:rPr>
              <w:t xml:space="preserve"> </w:t>
            </w:r>
            <w:r>
              <w:t>sin ánimo de lucro, cuya composición está conformada por aportes privados y públicos,</w:t>
            </w:r>
            <w:r>
              <w:rPr>
                <w:spacing w:val="-13"/>
              </w:rPr>
              <w:t xml:space="preserve"> </w:t>
            </w:r>
            <w:r>
              <w:t>regidas</w:t>
            </w:r>
            <w:r>
              <w:rPr>
                <w:spacing w:val="-11"/>
              </w:rPr>
              <w:t xml:space="preserve"> </w:t>
            </w:r>
            <w:r>
              <w:t>por</w:t>
            </w:r>
            <w:r>
              <w:rPr>
                <w:spacing w:val="-12"/>
              </w:rPr>
              <w:t xml:space="preserve"> </w:t>
            </w:r>
            <w:r>
              <w:t>el</w:t>
            </w:r>
            <w:r>
              <w:rPr>
                <w:spacing w:val="-12"/>
              </w:rPr>
              <w:t xml:space="preserve"> </w:t>
            </w:r>
            <w:r>
              <w:t>artículo</w:t>
            </w:r>
            <w:r>
              <w:rPr>
                <w:spacing w:val="-10"/>
              </w:rPr>
              <w:t xml:space="preserve"> </w:t>
            </w:r>
            <w:r>
              <w:t>355</w:t>
            </w:r>
            <w:r>
              <w:rPr>
                <w:spacing w:val="-12"/>
              </w:rPr>
              <w:t xml:space="preserve"> </w:t>
            </w:r>
            <w:r>
              <w:t>de</w:t>
            </w:r>
            <w:r>
              <w:rPr>
                <w:spacing w:val="-12"/>
              </w:rPr>
              <w:t xml:space="preserve"> </w:t>
            </w:r>
            <w:r>
              <w:t>la</w:t>
            </w:r>
            <w:r>
              <w:rPr>
                <w:spacing w:val="-12"/>
              </w:rPr>
              <w:t xml:space="preserve"> </w:t>
            </w:r>
            <w:r>
              <w:t>Constitución</w:t>
            </w:r>
            <w:r>
              <w:rPr>
                <w:spacing w:val="-9"/>
              </w:rPr>
              <w:t xml:space="preserve"> </w:t>
            </w:r>
            <w:r>
              <w:t>Política</w:t>
            </w:r>
            <w:r>
              <w:rPr>
                <w:spacing w:val="-11"/>
              </w:rPr>
              <w:t xml:space="preserve"> </w:t>
            </w:r>
            <w:r>
              <w:t>y</w:t>
            </w:r>
            <w:r>
              <w:rPr>
                <w:spacing w:val="-13"/>
              </w:rPr>
              <w:t xml:space="preserve"> </w:t>
            </w:r>
            <w:r>
              <w:t>el</w:t>
            </w:r>
            <w:r>
              <w:rPr>
                <w:spacing w:val="-12"/>
              </w:rPr>
              <w:t xml:space="preserve"> </w:t>
            </w:r>
            <w:r>
              <w:t>artículo</w:t>
            </w:r>
            <w:r>
              <w:rPr>
                <w:spacing w:val="-10"/>
              </w:rPr>
              <w:t xml:space="preserve"> </w:t>
            </w:r>
            <w:r>
              <w:t>96</w:t>
            </w:r>
            <w:r>
              <w:rPr>
                <w:spacing w:val="-12"/>
              </w:rPr>
              <w:t xml:space="preserve"> </w:t>
            </w:r>
            <w:r>
              <w:t>de la Ley 489 de 1998.</w:t>
            </w:r>
          </w:p>
          <w:p w14:paraId="3C4D41FF" w14:textId="77777777" w:rsidR="00AF2C34" w:rsidRDefault="00AF2C34" w:rsidP="00AD6299">
            <w:pPr>
              <w:widowControl w:val="0"/>
              <w:autoSpaceDE w:val="0"/>
              <w:autoSpaceDN w:val="0"/>
              <w:spacing w:after="120" w:line="276" w:lineRule="auto"/>
              <w:ind w:firstLine="709"/>
              <w:jc w:val="both"/>
              <w:rPr>
                <w:rFonts w:ascii="Verdana" w:hAnsi="Verdana" w:cs="Arial"/>
                <w:color w:val="000000" w:themeColor="text1"/>
                <w:lang w:val="es-ES" w:eastAsia="es-ES" w:bidi="es-ES"/>
              </w:rPr>
            </w:pPr>
            <w:r w:rsidRPr="007B7234">
              <w:rPr>
                <w:rFonts w:ascii="Verdana" w:hAnsi="Verdana" w:cs="Arial"/>
                <w:color w:val="000000" w:themeColor="text1"/>
                <w:lang w:val="es-ES" w:eastAsia="es-ES" w:bidi="es-ES"/>
              </w:rPr>
              <w:t>En cuanto al régimen contractual de estos fondos, el artículo 63 de la Ley 397 de 1997 definió que el régimen jurídico de sus contratos es el derecho privado.</w:t>
            </w:r>
            <w:r>
              <w:rPr>
                <w:rFonts w:ascii="Verdana" w:hAnsi="Verdana" w:cs="Arial"/>
                <w:color w:val="000000" w:themeColor="text1"/>
                <w:lang w:val="es-ES" w:eastAsia="es-ES" w:bidi="es-ES"/>
              </w:rPr>
              <w:t xml:space="preserve"> </w:t>
            </w:r>
            <w:r w:rsidRPr="003A7D23">
              <w:rPr>
                <w:rFonts w:ascii="Verdana" w:eastAsia="Arial" w:hAnsi="Verdana" w:cs="Arial"/>
                <w:lang w:val="es-ES"/>
              </w:rPr>
              <w:t xml:space="preserve">Lo anterior, se traduce en que la existencia y validez de sus actos y contratos están regidas por las leyes civiles y comerciales pertinentes y lo que disponga los estatutos que las rigen. </w:t>
            </w:r>
            <w:r>
              <w:rPr>
                <w:rFonts w:ascii="Verdana" w:eastAsia="Arial" w:hAnsi="Verdana" w:cs="Arial"/>
                <w:lang w:val="es-ES"/>
              </w:rPr>
              <w:t>Sin embargo, t</w:t>
            </w:r>
            <w:r w:rsidRPr="007B7234">
              <w:rPr>
                <w:rFonts w:ascii="Verdana" w:hAnsi="Verdana" w:cs="Arial"/>
                <w:color w:val="000000" w:themeColor="text1"/>
                <w:lang w:val="es-ES" w:eastAsia="es-ES" w:bidi="es-ES"/>
              </w:rPr>
              <w:t xml:space="preserve">al exclusión del régimen jurídico contractual general de las entidades estatales no es absoluta, toda vez que estos fondos al administrar recursos públicos deben respetar los principios de la función administrativa y de la gestión fiscal, de conformidad con el artículo 13 de la Ley 1150 de 2007. </w:t>
            </w:r>
          </w:p>
          <w:p w14:paraId="7AE9B1E5" w14:textId="77777777" w:rsidR="00AF2C34" w:rsidRPr="007216D7" w:rsidRDefault="00AF2C34" w:rsidP="00AD6299">
            <w:pPr>
              <w:spacing w:before="120" w:line="276" w:lineRule="auto"/>
              <w:ind w:firstLine="709"/>
              <w:jc w:val="both"/>
              <w:rPr>
                <w:rFonts w:ascii="Verdana" w:hAnsi="Verdana" w:cs="Arial"/>
                <w:color w:val="000000"/>
                <w:bdr w:val="none" w:sz="0" w:space="0" w:color="auto" w:frame="1"/>
                <w:lang w:val="es-MX"/>
              </w:rPr>
            </w:pPr>
            <w:r>
              <w:rPr>
                <w:rFonts w:ascii="Verdana" w:hAnsi="Verdana" w:cs="Arial"/>
                <w:color w:val="000000" w:themeColor="text1"/>
                <w:lang w:val="es-ES" w:eastAsia="es-ES" w:bidi="es-ES"/>
              </w:rPr>
              <w:t xml:space="preserve">No obstante, </w:t>
            </w:r>
            <w:r w:rsidRPr="007216D7">
              <w:rPr>
                <w:rFonts w:ascii="Verdana" w:hAnsi="Verdana" w:cs="Arial"/>
                <w:color w:val="000000"/>
                <w:bdr w:val="none" w:sz="0" w:space="0" w:color="auto" w:frame="1"/>
                <w:lang w:val="es-MX"/>
              </w:rPr>
              <w:t>en el caso de que estos</w:t>
            </w:r>
            <w:r>
              <w:rPr>
                <w:rFonts w:ascii="Verdana" w:hAnsi="Verdana" w:cs="Arial"/>
                <w:color w:val="000000"/>
                <w:bdr w:val="none" w:sz="0" w:space="0" w:color="auto" w:frame="1"/>
                <w:lang w:val="es-MX"/>
              </w:rPr>
              <w:t xml:space="preserve"> fondos mixtos</w:t>
            </w:r>
            <w:r w:rsidRPr="007216D7">
              <w:rPr>
                <w:rFonts w:ascii="Verdana" w:hAnsi="Verdana" w:cs="Arial"/>
                <w:color w:val="000000"/>
                <w:bdr w:val="none" w:sz="0" w:space="0" w:color="auto" w:frame="1"/>
                <w:lang w:val="es-MX"/>
              </w:rPr>
              <w:t xml:space="preserve"> funjan como entidades ejecutoras de proyectos de inversión financiados con recursos del Sistema General de Regalías, dichos fondos deberán aplicar las normas del estatuto general de contratación pública para la ejecución de los proyectos. </w:t>
            </w:r>
            <w:r w:rsidRPr="007216D7">
              <w:rPr>
                <w:rFonts w:ascii="Verdana" w:hAnsi="Verdana" w:cs="Arial"/>
                <w:color w:val="000000"/>
                <w:bdr w:val="none" w:sz="0" w:space="0" w:color="auto" w:frame="1"/>
                <w:lang w:val="es-MX"/>
              </w:rPr>
              <w:lastRenderedPageBreak/>
              <w:t xml:space="preserve">Esto comoquiera que, si bien la Ley 2056 de 2020 no tiene un efecto subrogatorio o derogatorio respecto del régimen especial dispuesto en el artículo 63 de la Ley 397 de 2023, esta si constituye una norma especial en lo relativo a la ejecución de recursos del Sistema General de Regalías, por lo que en atención a lo dispuesto en el artículo 37 de dicha norma especial, los fondos mixtos que actúen como ejecutores de las asignaciones a las que se refieren los artículos 35 y 36 de la Ley 2056 de 2020 deberán aplicar las disposiciones de las leyes 80 de 1993, 1150 de 2007 y 1474 de 2011, así como el Decreto 1082 de 2015, para el desarrollo de la contratación que se requiera realizar para la ejecución de los proyectos de inversión que tienen a su cargo. </w:t>
            </w:r>
          </w:p>
          <w:p w14:paraId="725AA25D" w14:textId="77777777" w:rsidR="00AF2C34" w:rsidRPr="00374855" w:rsidRDefault="00AF2C34" w:rsidP="00AD6299">
            <w:pPr>
              <w:pStyle w:val="Prrafodelista"/>
              <w:numPr>
                <w:ilvl w:val="0"/>
                <w:numId w:val="18"/>
              </w:numPr>
              <w:spacing w:after="120" w:line="276" w:lineRule="auto"/>
              <w:ind w:left="31" w:firstLine="0"/>
              <w:jc w:val="both"/>
              <w:rPr>
                <w:rFonts w:ascii="Verdana" w:eastAsia="Arial" w:hAnsi="Verdana" w:cs="Arial"/>
                <w:color w:val="000000"/>
              </w:rPr>
            </w:pPr>
            <w:r w:rsidRPr="00374855">
              <w:rPr>
                <w:rFonts w:ascii="Verdana" w:hAnsi="Verdana" w:cs="BCDHEE+Verdana"/>
                <w:color w:val="000000"/>
              </w:rPr>
              <w:t xml:space="preserve">El parágrafo del artículo 38 de la Ley 996 de 2005 prohíbe a los gobernadores, alcaldes municipales o distritales, secretarios, gerentes y directores de entidades descentralizadas del orden municipal, departamental o distrital </w:t>
            </w:r>
            <w:r w:rsidRPr="00374855">
              <w:rPr>
                <w:rFonts w:ascii="Verdana" w:eastAsia="Arial" w:hAnsi="Verdana" w:cs="Arial"/>
                <w:color w:val="000000"/>
              </w:rPr>
              <w:t xml:space="preserve">“[…]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 </w:t>
            </w:r>
          </w:p>
          <w:p w14:paraId="2E556739" w14:textId="4DED7AC4" w:rsidR="00DD1A47" w:rsidRDefault="00AF2C34" w:rsidP="0086322B">
            <w:pPr>
              <w:spacing w:after="120" w:line="276" w:lineRule="auto"/>
              <w:ind w:firstLine="709"/>
              <w:jc w:val="both"/>
              <w:rPr>
                <w:rFonts w:ascii="Verdana" w:eastAsia="Times New Roman" w:hAnsi="Verdana" w:cs="Arial"/>
                <w:lang w:val="es-MX" w:eastAsia="es-CO"/>
              </w:rPr>
            </w:pPr>
            <w:r w:rsidRPr="00E2397D">
              <w:rPr>
                <w:rFonts w:ascii="Verdana" w:eastAsia="Arial" w:hAnsi="Verdana" w:cs="Arial"/>
                <w:lang w:val="es-MX" w:eastAsia="es-ES" w:bidi="es-ES"/>
              </w:rPr>
              <w:t>De esta manera, s</w:t>
            </w:r>
            <w:r w:rsidRPr="00E2397D">
              <w:rPr>
                <w:rFonts w:ascii="Verdana" w:eastAsia="Times New Roman" w:hAnsi="Verdana" w:cs="Arial"/>
                <w:lang w:eastAsia="es-CO"/>
              </w:rPr>
              <w:t xml:space="preserve">e observa entonces que </w:t>
            </w:r>
            <w:r w:rsidRPr="00E2397D">
              <w:rPr>
                <w:rFonts w:ascii="Verdana" w:eastAsia="Times New Roman" w:hAnsi="Verdana" w:cs="Arial"/>
                <w:lang w:val="es-MX" w:eastAsia="es-CO"/>
              </w:rPr>
              <w:t xml:space="preserve">el parágrafo del artículo 38 de la Ley 996 de 2005 prohíbe a los Alcaldes, Gobernadores, Secretarios, Gerentes y Directores de las entidades </w:t>
            </w:r>
            <w:r>
              <w:rPr>
                <w:rFonts w:ascii="Verdana" w:eastAsia="Times New Roman" w:hAnsi="Verdana" w:cs="Arial"/>
                <w:lang w:val="es-MX" w:eastAsia="es-CO"/>
              </w:rPr>
              <w:t xml:space="preserve">descentralizadas </w:t>
            </w:r>
            <w:r w:rsidRPr="00E2397D">
              <w:rPr>
                <w:rFonts w:ascii="Verdana" w:eastAsia="Times New Roman" w:hAnsi="Verdana" w:cs="Arial"/>
                <w:lang w:val="es-MX" w:eastAsia="es-CO"/>
              </w:rPr>
              <w:t xml:space="preserve">del orden municipal, departamental o distrital celebrar </w:t>
            </w:r>
            <w:r w:rsidRPr="00E2397D">
              <w:rPr>
                <w:rFonts w:ascii="Verdana" w:eastAsia="Times New Roman" w:hAnsi="Verdana" w:cs="Arial"/>
                <w:i/>
                <w:iCs/>
                <w:lang w:val="es-MX" w:eastAsia="es-CO"/>
              </w:rPr>
              <w:t>convenios interadministrativos</w:t>
            </w:r>
            <w:r w:rsidRPr="00E2397D">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E2397D">
              <w:rPr>
                <w:rFonts w:ascii="Verdana" w:eastAsia="Times New Roman" w:hAnsi="Verdana" w:cs="Arial"/>
                <w:i/>
                <w:lang w:val="es-MX" w:eastAsia="es-CO"/>
              </w:rPr>
              <w:t>ibidem</w:t>
            </w:r>
            <w:r w:rsidRPr="00E2397D">
              <w:rPr>
                <w:rFonts w:ascii="Verdana" w:eastAsia="Times New Roman" w:hAnsi="Verdana" w:cs="Arial"/>
                <w:lang w:val="es-MX" w:eastAsia="es-CO"/>
              </w:rPr>
              <w:t>,</w:t>
            </w:r>
            <w:r>
              <w:rPr>
                <w:rFonts w:ascii="Verdana" w:eastAsia="Times New Roman" w:hAnsi="Verdana" w:cs="Arial"/>
                <w:lang w:val="es-MX" w:eastAsia="es-CO"/>
              </w:rPr>
              <w:t xml:space="preserve"> </w:t>
            </w:r>
            <w:r w:rsidRPr="00E2397D">
              <w:rPr>
                <w:rFonts w:ascii="Verdana" w:eastAsia="Times New Roman" w:hAnsi="Verdana" w:cs="Arial"/>
                <w:lang w:val="es-MX" w:eastAsia="es-CO"/>
              </w:rPr>
              <w:t xml:space="preserve">no podrá celebrar tales </w:t>
            </w:r>
            <w:r w:rsidRPr="00E2397D">
              <w:rPr>
                <w:rFonts w:ascii="Verdana" w:eastAsia="Times New Roman" w:hAnsi="Verdana" w:cs="Arial"/>
                <w:i/>
                <w:iCs/>
                <w:lang w:val="es-MX" w:eastAsia="es-CO"/>
              </w:rPr>
              <w:t>convenios</w:t>
            </w:r>
            <w:r w:rsidRPr="00E2397D">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r w:rsidR="00DD1A47">
              <w:rPr>
                <w:rFonts w:ascii="Verdana" w:eastAsia="Times New Roman" w:hAnsi="Verdana" w:cs="Arial"/>
                <w:lang w:val="es-MX" w:eastAsia="es-CO"/>
              </w:rPr>
              <w:t xml:space="preserve">Así, teniendo en cuenta que los fondos mixtos de promoción de la cultura y las artes son entidades descentralizadas (indirectas) del orden territorial como se analizó en el aparte anterior, les aplica la restricción de celebrar </w:t>
            </w:r>
            <w:r w:rsidR="00DD1A47" w:rsidRPr="00DD1A47">
              <w:rPr>
                <w:rFonts w:ascii="Verdana" w:eastAsia="Times New Roman" w:hAnsi="Verdana" w:cs="Arial"/>
                <w:i/>
                <w:iCs/>
                <w:lang w:val="es-MX" w:eastAsia="es-CO"/>
              </w:rPr>
              <w:t>convenios interadministrativos</w:t>
            </w:r>
            <w:r w:rsidR="00DD1A47">
              <w:rPr>
                <w:rFonts w:ascii="Verdana" w:eastAsia="Times New Roman" w:hAnsi="Verdana" w:cs="Arial"/>
                <w:lang w:val="es-MX" w:eastAsia="es-CO"/>
              </w:rPr>
              <w:t xml:space="preserve">. </w:t>
            </w:r>
          </w:p>
          <w:p w14:paraId="00DA6775" w14:textId="240D53D2" w:rsidR="00AF2C34" w:rsidRPr="00BC3A80" w:rsidRDefault="00AF2C34" w:rsidP="00DD1A47">
            <w:pPr>
              <w:spacing w:after="120" w:line="276" w:lineRule="auto"/>
              <w:ind w:firstLine="709"/>
              <w:jc w:val="both"/>
              <w:rPr>
                <w:rFonts w:ascii="Verdana" w:eastAsia="Times New Roman" w:hAnsi="Verdana" w:cs="Arial"/>
                <w:lang w:eastAsia="es-CO"/>
              </w:rPr>
            </w:pPr>
            <w:r w:rsidRPr="00BC3A80">
              <w:rPr>
                <w:rFonts w:ascii="Verdana" w:eastAsia="Times New Roman" w:hAnsi="Verdana" w:cs="Arial"/>
                <w:lang w:val="es-MX" w:eastAsia="es-CO"/>
              </w:rPr>
              <w:t>Respecto del alcance de esta prohibición la Circular Externa No. 006 de 2025 expedida por la ANCP -CCE, en los literales ii) y iv) del numeral 2</w:t>
            </w:r>
            <w:r w:rsidRPr="00BC3A80">
              <w:rPr>
                <w:rFonts w:ascii="Verdana" w:eastAsia="Times New Roman" w:hAnsi="Verdana" w:cs="Arial"/>
                <w:lang w:eastAsia="es-CO"/>
              </w:rPr>
              <w:t>,</w:t>
            </w:r>
            <w:r w:rsidRPr="00BC3A80">
              <w:rPr>
                <w:rFonts w:ascii="Verdana" w:eastAsia="Times New Roman" w:hAnsi="Verdana" w:cs="Arial"/>
                <w:lang w:val="es-MX" w:eastAsia="es-CO"/>
              </w:rPr>
              <w:t xml:space="preserve"> indica que el </w:t>
            </w:r>
            <w:r w:rsidRPr="00BC3A80">
              <w:rPr>
                <w:rFonts w:ascii="Verdana" w:eastAsia="Times New Roman" w:hAnsi="Verdana" w:cs="Arial"/>
                <w:lang w:eastAsia="es-CO"/>
              </w:rPr>
              <w:t xml:space="preserve">parágrafo del artículo 38 de la Ley 996 de 2005 cobija expresamente a los </w:t>
            </w:r>
            <w:r w:rsidRPr="00BC3A80">
              <w:rPr>
                <w:rFonts w:ascii="Verdana" w:eastAsia="Times New Roman" w:hAnsi="Verdana" w:cs="Arial"/>
                <w:i/>
                <w:iCs/>
                <w:lang w:eastAsia="es-CO"/>
              </w:rPr>
              <w:t>convenios interadministrativos</w:t>
            </w:r>
            <w:r w:rsidRPr="00BC3A80">
              <w:rPr>
                <w:rFonts w:ascii="Verdana" w:eastAsia="Times New Roman" w:hAnsi="Verdana" w:cs="Arial"/>
                <w:lang w:eastAsia="es-CO"/>
              </w:rPr>
              <w:t xml:space="preserve"> en los que se contemple la ejecución de recursos públicos. Esto significa que la prohibición no resulta aplicable a </w:t>
            </w:r>
            <w:r w:rsidRPr="00BC3A80">
              <w:rPr>
                <w:rFonts w:ascii="Verdana" w:eastAsia="Times New Roman" w:hAnsi="Verdana" w:cs="Arial"/>
                <w:i/>
                <w:iCs/>
                <w:lang w:eastAsia="es-CO"/>
              </w:rPr>
              <w:lastRenderedPageBreak/>
              <w:t>convenios interadministrativos a título gratuito,</w:t>
            </w:r>
            <w:r w:rsidRPr="00BC3A80">
              <w:rPr>
                <w:rFonts w:ascii="Verdana" w:eastAsia="Times New Roman" w:hAnsi="Verdana" w:cs="Arial"/>
                <w:lang w:eastAsia="es-CO"/>
              </w:rPr>
              <w:t xml:space="preserve"> los cuales pueden celebrarse válidamente durante la vigencia de la mencionada restricción. </w:t>
            </w:r>
          </w:p>
          <w:p w14:paraId="55BFB630" w14:textId="77777777" w:rsidR="00AF2C34" w:rsidRDefault="00AF2C34" w:rsidP="00AD6299">
            <w:pPr>
              <w:spacing w:before="120" w:line="276" w:lineRule="auto"/>
              <w:ind w:firstLine="708"/>
              <w:jc w:val="both"/>
              <w:rPr>
                <w:rFonts w:ascii="Verdana" w:eastAsia="Times New Roman" w:hAnsi="Verdana" w:cs="Arial"/>
                <w:lang w:eastAsia="es-CO"/>
              </w:rPr>
            </w:pPr>
            <w:r>
              <w:rPr>
                <w:rFonts w:ascii="Verdana" w:eastAsia="Times New Roman" w:hAnsi="Verdana" w:cs="Arial"/>
                <w:lang w:eastAsia="es-CO"/>
              </w:rPr>
              <w:t>Por último, se resalta que a</w:t>
            </w:r>
            <w:r w:rsidRPr="00BC3A80">
              <w:rPr>
                <w:rFonts w:ascii="Verdana" w:eastAsia="Times New Roman" w:hAnsi="Verdana" w:cs="Arial"/>
                <w:lang w:eastAsia="es-CO"/>
              </w:rPr>
              <w:t xml:space="preserve"> la luz de lo expuesto por el Consejo de Estado en los autos del 4 de octubre de 2024 y 6 de noviembre de 2025,</w:t>
            </w:r>
            <w:r>
              <w:rPr>
                <w:rFonts w:ascii="Verdana" w:eastAsia="Times New Roman" w:hAnsi="Verdana" w:cs="Arial"/>
                <w:lang w:eastAsia="es-CO"/>
              </w:rPr>
              <w:t xml:space="preserve"> y en la Sentencia del 17 de octubre de 2025,</w:t>
            </w:r>
            <w:r w:rsidRPr="00BC3A80">
              <w:rPr>
                <w:rFonts w:ascii="Verdana" w:eastAsia="Times New Roman" w:hAnsi="Verdana" w:cs="Arial"/>
                <w:lang w:eastAsia="es-CO"/>
              </w:rPr>
              <w:t xml:space="preserve"> no resultaría aplicable la prohibición del parágrafo del artículo 38 de la Ley de Garantías Electorales a los </w:t>
            </w:r>
            <w:r w:rsidRPr="00BC3A80">
              <w:rPr>
                <w:rFonts w:ascii="Verdana" w:eastAsia="Times New Roman" w:hAnsi="Verdana" w:cs="Arial"/>
                <w:i/>
                <w:iCs/>
                <w:lang w:eastAsia="es-CO"/>
              </w:rPr>
              <w:t>contratos interadministrativos</w:t>
            </w:r>
            <w:r>
              <w:rPr>
                <w:rFonts w:ascii="Verdana" w:eastAsia="Times New Roman" w:hAnsi="Verdana" w:cs="Arial"/>
                <w:lang w:eastAsia="es-CO"/>
              </w:rPr>
              <w:t xml:space="preserve"> sino únicamente a los </w:t>
            </w:r>
            <w:r w:rsidRPr="002A503A">
              <w:rPr>
                <w:rFonts w:ascii="Verdana" w:eastAsia="Times New Roman" w:hAnsi="Verdana" w:cs="Arial"/>
                <w:i/>
                <w:iCs/>
                <w:lang w:eastAsia="es-CO"/>
              </w:rPr>
              <w:t>convenios interadministrativos</w:t>
            </w:r>
            <w:r>
              <w:rPr>
                <w:rFonts w:ascii="Verdana" w:eastAsia="Times New Roman" w:hAnsi="Verdana" w:cs="Arial"/>
                <w:lang w:eastAsia="es-CO"/>
              </w:rPr>
              <w:t>.</w:t>
            </w:r>
          </w:p>
          <w:p w14:paraId="36BD429B" w14:textId="0C167DDF" w:rsidR="00AF2C34" w:rsidRDefault="00AF2C34" w:rsidP="00AD6299">
            <w:pPr>
              <w:spacing w:before="120" w:line="276" w:lineRule="auto"/>
              <w:ind w:firstLine="708"/>
              <w:jc w:val="both"/>
              <w:rPr>
                <w:rFonts w:ascii="Verdana" w:eastAsia="Times New Roman" w:hAnsi="Verdana" w:cs="Open Sans"/>
                <w:lang w:eastAsia="es-CO"/>
              </w:rPr>
            </w:pPr>
            <w:r>
              <w:rPr>
                <w:rFonts w:ascii="Verdana" w:eastAsia="Times New Roman" w:hAnsi="Verdana" w:cs="Open Sans"/>
                <w:lang w:eastAsia="es-CO"/>
              </w:rPr>
              <w:t>Por su parte, e</w:t>
            </w:r>
            <w:r w:rsidRPr="00B3605D">
              <w:rPr>
                <w:rFonts w:ascii="Verdana" w:eastAsia="Times New Roman" w:hAnsi="Verdana" w:cs="Open Sans"/>
                <w:lang w:eastAsia="es-CO"/>
              </w:rPr>
              <w:t xml:space="preserve">l artículo 33 de la Ley 996 de 2205 prohíbe la contratación directa por parte de todos los entes estatales durante los cuatro </w:t>
            </w:r>
            <w:r>
              <w:rPr>
                <w:rFonts w:ascii="Verdana" w:eastAsia="Times New Roman" w:hAnsi="Verdana" w:cs="Open Sans"/>
                <w:lang w:eastAsia="es-CO"/>
              </w:rPr>
              <w:t>(4)</w:t>
            </w:r>
            <w:r w:rsidRPr="00B3605D">
              <w:rPr>
                <w:rFonts w:ascii="Verdana" w:eastAsia="Times New Roman" w:hAnsi="Verdana" w:cs="Open Sans"/>
                <w:lang w:eastAsia="es-CO"/>
              </w:rPr>
              <w:t xml:space="preserve"> meses anteriores a las elecciones presidenciales y dispone las excepciones a dicha prohibición. </w:t>
            </w:r>
            <w:r>
              <w:rPr>
                <w:rFonts w:ascii="Verdana" w:eastAsia="Times New Roman" w:hAnsi="Verdana" w:cs="Open Sans"/>
                <w:lang w:eastAsia="es-CO"/>
              </w:rPr>
              <w:t>Así, su ámbito de prohibición está delimitado por la expresión “</w:t>
            </w:r>
            <w:r w:rsidRPr="006A640E">
              <w:rPr>
                <w:rFonts w:ascii="Verdana" w:eastAsia="Times New Roman" w:hAnsi="Verdana" w:cs="Open Sans"/>
                <w:lang w:eastAsia="es-CO"/>
              </w:rPr>
              <w:t>queda prohibida la contratación directa</w:t>
            </w:r>
            <w:r>
              <w:rPr>
                <w:rFonts w:ascii="Verdana" w:eastAsia="Times New Roman" w:hAnsi="Verdana" w:cs="Open Sans"/>
                <w:lang w:eastAsia="es-CO"/>
              </w:rPr>
              <w:t xml:space="preserve">” y </w:t>
            </w:r>
            <w:r w:rsidRPr="006A640E">
              <w:rPr>
                <w:rFonts w:ascii="Verdana" w:eastAsia="Times New Roman" w:hAnsi="Verdana" w:cs="Open Sans"/>
                <w:lang w:eastAsia="es-CO"/>
              </w:rPr>
              <w:t>para los efectos de la Ley de Garantías</w:t>
            </w:r>
            <w:r>
              <w:rPr>
                <w:rFonts w:ascii="Verdana" w:eastAsia="Times New Roman" w:hAnsi="Verdana" w:cs="Open Sans"/>
                <w:lang w:eastAsia="es-CO"/>
              </w:rPr>
              <w:t xml:space="preserve"> </w:t>
            </w:r>
            <w:r w:rsidRPr="006A640E">
              <w:rPr>
                <w:rFonts w:ascii="Verdana" w:eastAsia="Times New Roman" w:hAnsi="Verdana" w:cs="Open Sans"/>
                <w:lang w:eastAsia="es-CO"/>
              </w:rPr>
              <w:t>Electorales y, en particular, para la prohibición o restricción temporal contenida en su</w:t>
            </w:r>
            <w:r>
              <w:rPr>
                <w:rFonts w:ascii="Verdana" w:eastAsia="Times New Roman" w:hAnsi="Verdana" w:cs="Open Sans"/>
                <w:lang w:eastAsia="es-CO"/>
              </w:rPr>
              <w:t xml:space="preserve"> </w:t>
            </w:r>
            <w:r w:rsidRPr="006A640E">
              <w:rPr>
                <w:rFonts w:ascii="Verdana" w:eastAsia="Times New Roman" w:hAnsi="Verdana" w:cs="Open Sans"/>
                <w:lang w:eastAsia="es-CO"/>
              </w:rPr>
              <w:t xml:space="preserve">artículo 33, </w:t>
            </w:r>
            <w:r>
              <w:rPr>
                <w:rFonts w:ascii="Verdana" w:eastAsia="Times New Roman" w:hAnsi="Verdana" w:cs="Open Sans"/>
                <w:lang w:eastAsia="es-CO"/>
              </w:rPr>
              <w:t>“</w:t>
            </w:r>
            <w:r w:rsidRPr="006A640E">
              <w:rPr>
                <w:rFonts w:ascii="Verdana" w:eastAsia="Times New Roman" w:hAnsi="Verdana" w:cs="Open Sans"/>
                <w:lang w:eastAsia="es-CO"/>
              </w:rPr>
              <w:t>contratación directa</w:t>
            </w:r>
            <w:r>
              <w:rPr>
                <w:rFonts w:ascii="Verdana" w:eastAsia="Times New Roman" w:hAnsi="Verdana" w:cs="Open Sans"/>
                <w:lang w:eastAsia="es-CO"/>
              </w:rPr>
              <w:t>”</w:t>
            </w:r>
            <w:r w:rsidRPr="006A640E">
              <w:rPr>
                <w:rFonts w:ascii="Verdana" w:eastAsia="Times New Roman" w:hAnsi="Verdana" w:cs="Open Sans"/>
                <w:lang w:eastAsia="es-CO"/>
              </w:rPr>
              <w:t xml:space="preserve"> es cualquier sistema de selección o procedimiento</w:t>
            </w:r>
            <w:r>
              <w:rPr>
                <w:rFonts w:ascii="Verdana" w:eastAsia="Times New Roman" w:hAnsi="Verdana" w:cs="Open Sans"/>
                <w:lang w:eastAsia="es-CO"/>
              </w:rPr>
              <w:t xml:space="preserve"> </w:t>
            </w:r>
            <w:r w:rsidRPr="006A640E">
              <w:rPr>
                <w:rFonts w:ascii="Verdana" w:eastAsia="Times New Roman" w:hAnsi="Verdana" w:cs="Open Sans"/>
                <w:lang w:eastAsia="es-CO"/>
              </w:rPr>
              <w:t>de contratación utilizado por las entidades estatales que no incluya la convocatoria</w:t>
            </w:r>
            <w:r>
              <w:rPr>
                <w:rFonts w:ascii="Verdana" w:eastAsia="Times New Roman" w:hAnsi="Verdana" w:cs="Open Sans"/>
                <w:lang w:eastAsia="es-CO"/>
              </w:rPr>
              <w:t xml:space="preserve"> </w:t>
            </w:r>
            <w:r w:rsidRPr="006A640E">
              <w:rPr>
                <w:rFonts w:ascii="Verdana" w:eastAsia="Times New Roman" w:hAnsi="Verdana" w:cs="Open Sans"/>
                <w:lang w:eastAsia="es-CO"/>
              </w:rPr>
              <w:t>pública en alguna de sus etapas, ni permita la participación de una pluralidad de</w:t>
            </w:r>
            <w:r>
              <w:rPr>
                <w:rFonts w:ascii="Verdana" w:eastAsia="Times New Roman" w:hAnsi="Verdana" w:cs="Open Sans"/>
                <w:lang w:eastAsia="es-CO"/>
              </w:rPr>
              <w:t xml:space="preserve"> </w:t>
            </w:r>
            <w:r w:rsidRPr="006A640E">
              <w:rPr>
                <w:rFonts w:ascii="Verdana" w:eastAsia="Times New Roman" w:hAnsi="Verdana" w:cs="Open Sans"/>
                <w:lang w:eastAsia="es-CO"/>
              </w:rPr>
              <w:t>oferentes</w:t>
            </w:r>
            <w:r>
              <w:rPr>
                <w:rFonts w:ascii="Verdana" w:eastAsia="Times New Roman" w:hAnsi="Verdana" w:cs="Open Sans"/>
                <w:lang w:eastAsia="es-CO"/>
              </w:rPr>
              <w:t>.</w:t>
            </w:r>
          </w:p>
          <w:p w14:paraId="15B0FA38" w14:textId="2DABBAA9" w:rsidR="00AF2C34" w:rsidRPr="001606AC" w:rsidRDefault="00AF2C34" w:rsidP="00AD6299">
            <w:pPr>
              <w:spacing w:before="120" w:line="276" w:lineRule="auto"/>
              <w:ind w:firstLine="708"/>
              <w:jc w:val="both"/>
              <w:rPr>
                <w:rFonts w:ascii="Verdana" w:eastAsia="Arial" w:hAnsi="Verdana" w:cs="Arial"/>
                <w:color w:val="000000"/>
              </w:rPr>
            </w:pPr>
            <w:r>
              <w:rPr>
                <w:rFonts w:ascii="Verdana" w:eastAsia="Times New Roman" w:hAnsi="Verdana" w:cs="Open Sans"/>
                <w:lang w:eastAsia="es-CO"/>
              </w:rPr>
              <w:t>Así</w:t>
            </w:r>
            <w:r w:rsidRPr="00D44FF2">
              <w:rPr>
                <w:rFonts w:ascii="Verdana" w:eastAsia="Times New Roman" w:hAnsi="Verdana" w:cs="Open Sans"/>
                <w:lang w:eastAsia="es-CO"/>
              </w:rPr>
              <w:t xml:space="preserve">, </w:t>
            </w:r>
            <w:r w:rsidRPr="00D44FF2">
              <w:rPr>
                <w:rFonts w:ascii="Verdana" w:hAnsi="Verdana"/>
              </w:rPr>
              <w:t xml:space="preserve">los destinatarios de la prohibición están expresamente señalados como </w:t>
            </w:r>
            <w:r>
              <w:rPr>
                <w:rFonts w:ascii="Verdana" w:hAnsi="Verdana"/>
              </w:rPr>
              <w:t>“</w:t>
            </w:r>
            <w:r w:rsidRPr="00D44FF2">
              <w:rPr>
                <w:rFonts w:ascii="Verdana" w:hAnsi="Verdana"/>
              </w:rPr>
              <w:t>todos los entes del Estado</w:t>
            </w:r>
            <w:r>
              <w:rPr>
                <w:rFonts w:ascii="Verdana" w:hAnsi="Verdana"/>
              </w:rPr>
              <w:t>”</w:t>
            </w:r>
            <w:r w:rsidRPr="00D44FF2">
              <w:rPr>
                <w:rFonts w:ascii="Verdana" w:hAnsi="Verdana"/>
              </w:rPr>
              <w:t xml:space="preserve">, expresión que contempla a los diferentes organismos o entidades autorizadas por la ley para suscribir contratos. En efecto, tal como lo ha sostenido el Consejo de Estado, el vocablo </w:t>
            </w:r>
            <w:r>
              <w:rPr>
                <w:rFonts w:ascii="Verdana" w:hAnsi="Verdana"/>
              </w:rPr>
              <w:t>“</w:t>
            </w:r>
            <w:r w:rsidRPr="00D44FF2">
              <w:rPr>
                <w:rFonts w:ascii="Verdana" w:hAnsi="Verdana"/>
              </w:rPr>
              <w:t>todos</w:t>
            </w:r>
            <w:r>
              <w:rPr>
                <w:rFonts w:ascii="Verdana" w:hAnsi="Verdana"/>
              </w:rPr>
              <w:t>”</w:t>
            </w:r>
            <w:r w:rsidRPr="00D44FF2">
              <w:rPr>
                <w:rFonts w:ascii="Verdana" w:hAnsi="Verdana"/>
              </w:rPr>
              <w:t xml:space="preserve">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sidR="002C68D4">
              <w:rPr>
                <w:rFonts w:ascii="Verdana" w:hAnsi="Verdana"/>
              </w:rPr>
              <w:t>. Por lo que, esta restricción a la contratación directa es aplicable a los fondos mixtos de promoción de la cultura y las artes en tanto son una entidad pública, independientemente de su régimen de contratación.</w:t>
            </w:r>
          </w:p>
          <w:p w14:paraId="417BFBE1" w14:textId="77777777" w:rsidR="00AF2C34" w:rsidRDefault="00AF2C34" w:rsidP="00AD6299">
            <w:pPr>
              <w:spacing w:after="120" w:line="276" w:lineRule="auto"/>
              <w:ind w:firstLine="740"/>
              <w:jc w:val="both"/>
              <w:rPr>
                <w:rFonts w:ascii="Verdana" w:eastAsia="Times New Roman" w:hAnsi="Verdana" w:cs="Open Sans"/>
                <w:lang w:eastAsia="es-CO"/>
              </w:rPr>
            </w:pPr>
            <w:r w:rsidRPr="00A545DE">
              <w:rPr>
                <w:rFonts w:ascii="Verdana" w:eastAsia="Times New Roman" w:hAnsi="Verdana" w:cs="Open Sans"/>
                <w:lang w:eastAsia="es-CO"/>
              </w:rPr>
              <w:t>De lo anterior se desprende que la restricción aplica, sin perjuicio de las excepciones establecidas en la misma ley, para celebrar cualquier contrato de</w:t>
            </w:r>
            <w:r w:rsidRPr="006A640E">
              <w:rPr>
                <w:rFonts w:ascii="Verdana" w:eastAsia="Times New Roman" w:hAnsi="Verdana" w:cs="Open Sans"/>
                <w:lang w:eastAsia="es-CO"/>
              </w:rPr>
              <w:t xml:space="preserve"> forma</w:t>
            </w:r>
            <w:r>
              <w:rPr>
                <w:rFonts w:ascii="Verdana" w:eastAsia="Times New Roman" w:hAnsi="Verdana" w:cs="Open Sans"/>
                <w:lang w:eastAsia="es-CO"/>
              </w:rPr>
              <w:t xml:space="preserve"> </w:t>
            </w:r>
            <w:r w:rsidRPr="006A640E">
              <w:rPr>
                <w:rFonts w:ascii="Verdana" w:eastAsia="Times New Roman" w:hAnsi="Verdana" w:cs="Open Sans"/>
                <w:lang w:eastAsia="es-CO"/>
              </w:rPr>
              <w:t>directa</w:t>
            </w:r>
            <w:r>
              <w:rPr>
                <w:rFonts w:ascii="Verdana" w:eastAsia="Times New Roman" w:hAnsi="Verdana" w:cs="Open Sans"/>
                <w:lang w:eastAsia="es-CO"/>
              </w:rPr>
              <w:t xml:space="preserve">, esto es, </w:t>
            </w:r>
            <w:r w:rsidRPr="006A640E">
              <w:rPr>
                <w:rFonts w:ascii="Verdana" w:eastAsia="Times New Roman" w:hAnsi="Verdana" w:cs="Open Sans"/>
                <w:lang w:eastAsia="es-CO"/>
              </w:rPr>
              <w:t>sin que exista un proceso abierto y competitivo. Por tanto, no son</w:t>
            </w:r>
            <w:r>
              <w:rPr>
                <w:rFonts w:ascii="Verdana" w:eastAsia="Times New Roman" w:hAnsi="Verdana" w:cs="Open Sans"/>
                <w:lang w:eastAsia="es-CO"/>
              </w:rPr>
              <w:t xml:space="preserve"> </w:t>
            </w:r>
            <w:r w:rsidRPr="006A640E">
              <w:rPr>
                <w:rFonts w:ascii="Verdana" w:eastAsia="Times New Roman" w:hAnsi="Verdana" w:cs="Open Sans"/>
                <w:lang w:eastAsia="es-CO"/>
              </w:rPr>
              <w:t>materia de la prohibición</w:t>
            </w:r>
            <w:r>
              <w:rPr>
                <w:rFonts w:ascii="Verdana" w:eastAsia="Times New Roman" w:hAnsi="Verdana" w:cs="Open Sans"/>
                <w:lang w:eastAsia="es-CO"/>
              </w:rPr>
              <w:t xml:space="preserve"> los procedimientos contractuales que incluyan convocatoria pública ni</w:t>
            </w:r>
            <w:r w:rsidRPr="006A640E">
              <w:rPr>
                <w:rFonts w:ascii="Verdana" w:eastAsia="Times New Roman" w:hAnsi="Verdana" w:cs="Open Sans"/>
                <w:lang w:eastAsia="es-CO"/>
              </w:rPr>
              <w:t xml:space="preserve"> las demás modalidades de selección previstas en la Ley</w:t>
            </w:r>
            <w:r>
              <w:rPr>
                <w:rFonts w:ascii="Verdana" w:eastAsia="Times New Roman" w:hAnsi="Verdana" w:cs="Open Sans"/>
                <w:lang w:eastAsia="es-CO"/>
              </w:rPr>
              <w:t xml:space="preserve"> </w:t>
            </w:r>
            <w:r w:rsidRPr="006A640E">
              <w:rPr>
                <w:rFonts w:ascii="Verdana" w:eastAsia="Times New Roman" w:hAnsi="Verdana" w:cs="Open Sans"/>
                <w:lang w:eastAsia="es-CO"/>
              </w:rPr>
              <w:t xml:space="preserve">1150 de 2007, es decir, la licitación pública, el concurso de méritos, </w:t>
            </w:r>
            <w:r w:rsidRPr="006A640E">
              <w:rPr>
                <w:rFonts w:ascii="Verdana" w:eastAsia="Times New Roman" w:hAnsi="Verdana" w:cs="Open Sans"/>
                <w:lang w:eastAsia="es-CO"/>
              </w:rPr>
              <w:lastRenderedPageBreak/>
              <w:t>la selección</w:t>
            </w:r>
            <w:r>
              <w:rPr>
                <w:rFonts w:ascii="Verdana" w:eastAsia="Times New Roman" w:hAnsi="Verdana" w:cs="Open Sans"/>
                <w:lang w:eastAsia="es-CO"/>
              </w:rPr>
              <w:t xml:space="preserve"> </w:t>
            </w:r>
            <w:r w:rsidRPr="006A640E">
              <w:rPr>
                <w:rFonts w:ascii="Verdana" w:eastAsia="Times New Roman" w:hAnsi="Verdana" w:cs="Open Sans"/>
                <w:lang w:eastAsia="es-CO"/>
              </w:rPr>
              <w:t>abreviada y la contratación de mínima cuantía, razón por la cual en el período</w:t>
            </w:r>
            <w:r>
              <w:rPr>
                <w:rFonts w:ascii="Verdana" w:eastAsia="Times New Roman" w:hAnsi="Verdana" w:cs="Open Sans"/>
                <w:lang w:eastAsia="es-CO"/>
              </w:rPr>
              <w:t xml:space="preserve"> </w:t>
            </w:r>
            <w:r w:rsidRPr="006A640E">
              <w:rPr>
                <w:rFonts w:ascii="Verdana" w:eastAsia="Times New Roman" w:hAnsi="Verdana" w:cs="Open Sans"/>
                <w:lang w:eastAsia="es-CO"/>
              </w:rPr>
              <w:t>preelectoral de que trata la disposición las entidades públicas pueden seguir</w:t>
            </w:r>
            <w:r>
              <w:rPr>
                <w:rFonts w:ascii="Verdana" w:eastAsia="Times New Roman" w:hAnsi="Verdana" w:cs="Open Sans"/>
                <w:lang w:eastAsia="es-CO"/>
              </w:rPr>
              <w:t xml:space="preserve"> </w:t>
            </w:r>
            <w:r w:rsidRPr="006A640E">
              <w:rPr>
                <w:rFonts w:ascii="Verdana" w:eastAsia="Times New Roman" w:hAnsi="Verdana" w:cs="Open Sans"/>
                <w:lang w:eastAsia="es-CO"/>
              </w:rPr>
              <w:t>contratando bajo estos sistemas.</w:t>
            </w:r>
          </w:p>
          <w:p w14:paraId="4C7AAFCB" w14:textId="77777777" w:rsidR="00AF2C34" w:rsidRPr="00DE5508" w:rsidRDefault="00AF2C34" w:rsidP="00AD6299">
            <w:pPr>
              <w:spacing w:after="120" w:line="276" w:lineRule="auto"/>
              <w:ind w:firstLine="709"/>
              <w:jc w:val="both"/>
              <w:rPr>
                <w:rFonts w:ascii="Verdana" w:hAnsi="Verdana"/>
              </w:rPr>
            </w:pPr>
            <w:r w:rsidRPr="00DE5508">
              <w:rPr>
                <w:rFonts w:ascii="Verdana" w:hAnsi="Verdana"/>
              </w:rPr>
              <w:t>Dentro de este marco, corresponde a cada entidad pública, en ejercicio de su competencia y previa valoración de los elementos fácticos y jurídicos, así como de las disposiciones legales mencionadas, determinar su gestión contractual durante la aplicación de las restricciones de la Ley de Garantías Electorales.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tc>
      </w:tr>
    </w:tbl>
    <w:p w14:paraId="17325D92" w14:textId="77777777" w:rsidR="00AF2C34" w:rsidRPr="00DE5508" w:rsidRDefault="00AF2C34" w:rsidP="00AF2C34">
      <w:pPr>
        <w:tabs>
          <w:tab w:val="left" w:pos="142"/>
          <w:tab w:val="left" w:pos="284"/>
        </w:tabs>
        <w:spacing w:after="0" w:line="276" w:lineRule="auto"/>
        <w:jc w:val="both"/>
        <w:rPr>
          <w:rFonts w:ascii="Verdana" w:eastAsia="Century Gothic" w:hAnsi="Verdana" w:cs="Century Gothic"/>
          <w:b/>
          <w:bCs/>
          <w:lang w:val="es-ES"/>
        </w:rPr>
      </w:pPr>
    </w:p>
    <w:p w14:paraId="023C7113" w14:textId="77777777" w:rsidR="00AF2C34" w:rsidRDefault="00AF2C34" w:rsidP="00AF2C3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Razones de la respuesta:</w:t>
      </w:r>
    </w:p>
    <w:p w14:paraId="63CAA0DE" w14:textId="77777777" w:rsidR="00AF2C34" w:rsidRDefault="00AF2C34" w:rsidP="00AF2C34">
      <w:pPr>
        <w:spacing w:after="0" w:line="276" w:lineRule="auto"/>
        <w:jc w:val="both"/>
        <w:rPr>
          <w:rFonts w:ascii="Verdana" w:eastAsia="Calibri" w:hAnsi="Verdana" w:cs="Arial"/>
          <w:color w:val="7030A0"/>
          <w:lang w:val="es-ES"/>
        </w:rPr>
      </w:pPr>
    </w:p>
    <w:p w14:paraId="6F8A62FA" w14:textId="77777777" w:rsidR="00AF2C34" w:rsidRDefault="00AF2C34" w:rsidP="00AF2C34">
      <w:pPr>
        <w:spacing w:after="0" w:line="276" w:lineRule="auto"/>
        <w:jc w:val="both"/>
        <w:rPr>
          <w:rFonts w:ascii="Verdana" w:eastAsia="Calibri" w:hAnsi="Verdana" w:cs="Arial"/>
          <w:lang w:val="es-ES"/>
        </w:rPr>
      </w:pPr>
      <w:r>
        <w:rPr>
          <w:rFonts w:ascii="Verdana" w:eastAsia="Calibri" w:hAnsi="Verdana" w:cs="Arial"/>
          <w:lang w:val="es-ES"/>
        </w:rPr>
        <w:t xml:space="preserve">Lo anterior se sustenta en las siguientes consideraciones: </w:t>
      </w:r>
    </w:p>
    <w:p w14:paraId="2B040B1B" w14:textId="77777777" w:rsidR="00AF2C34" w:rsidRDefault="00AF2C34" w:rsidP="00AF2C34">
      <w:pPr>
        <w:widowControl w:val="0"/>
        <w:autoSpaceDE w:val="0"/>
        <w:autoSpaceDN w:val="0"/>
        <w:spacing w:after="0" w:line="276" w:lineRule="auto"/>
        <w:ind w:right="176"/>
        <w:jc w:val="both"/>
        <w:rPr>
          <w:rFonts w:ascii="Verdana" w:eastAsia="Calibri" w:hAnsi="Verdana" w:cs="Arial"/>
          <w:lang w:val="es-ES"/>
        </w:rPr>
      </w:pPr>
    </w:p>
    <w:p w14:paraId="552ACF11" w14:textId="77777777" w:rsidR="00AF2C34" w:rsidRDefault="00AF2C34" w:rsidP="00AF2C34">
      <w:pPr>
        <w:pStyle w:val="Textoindependiente"/>
        <w:spacing w:line="276" w:lineRule="auto"/>
        <w:ind w:left="100" w:right="49"/>
        <w:jc w:val="both"/>
      </w:pPr>
      <w:r>
        <w:rPr>
          <w:rFonts w:eastAsia="Times New Roman" w:cs="Arial"/>
          <w:lang w:val="es-MX" w:eastAsia="es-CO"/>
        </w:rPr>
        <w:t>i.</w:t>
      </w:r>
      <w:r w:rsidRPr="004A7213">
        <w:t xml:space="preserve"> </w:t>
      </w:r>
      <w:r>
        <w:t>En desarrollo de los artículos 70, 71 y 72 de la Constitución Política, relativos al deber</w:t>
      </w:r>
      <w:r>
        <w:rPr>
          <w:spacing w:val="-8"/>
        </w:rPr>
        <w:t xml:space="preserve"> </w:t>
      </w:r>
      <w:r>
        <w:t>del</w:t>
      </w:r>
      <w:r>
        <w:rPr>
          <w:spacing w:val="-9"/>
        </w:rPr>
        <w:t xml:space="preserve"> </w:t>
      </w:r>
      <w:r>
        <w:t>Estado</w:t>
      </w:r>
      <w:r>
        <w:rPr>
          <w:spacing w:val="-8"/>
        </w:rPr>
        <w:t xml:space="preserve"> </w:t>
      </w:r>
      <w:r>
        <w:t>de</w:t>
      </w:r>
      <w:r>
        <w:rPr>
          <w:spacing w:val="-9"/>
        </w:rPr>
        <w:t xml:space="preserve"> </w:t>
      </w:r>
      <w:r>
        <w:t>promover,</w:t>
      </w:r>
      <w:r>
        <w:rPr>
          <w:spacing w:val="-7"/>
        </w:rPr>
        <w:t xml:space="preserve"> </w:t>
      </w:r>
      <w:r>
        <w:t>fomentar</w:t>
      </w:r>
      <w:r>
        <w:rPr>
          <w:spacing w:val="-7"/>
        </w:rPr>
        <w:t xml:space="preserve"> </w:t>
      </w:r>
      <w:r>
        <w:t>y</w:t>
      </w:r>
      <w:r>
        <w:rPr>
          <w:spacing w:val="-9"/>
        </w:rPr>
        <w:t xml:space="preserve"> </w:t>
      </w:r>
      <w:r>
        <w:t>proteger</w:t>
      </w:r>
      <w:r>
        <w:rPr>
          <w:spacing w:val="-7"/>
        </w:rPr>
        <w:t xml:space="preserve"> </w:t>
      </w:r>
      <w:r>
        <w:t>la</w:t>
      </w:r>
      <w:r>
        <w:rPr>
          <w:spacing w:val="-9"/>
        </w:rPr>
        <w:t xml:space="preserve"> </w:t>
      </w:r>
      <w:r>
        <w:t>cultura,</w:t>
      </w:r>
      <w:r>
        <w:rPr>
          <w:spacing w:val="-7"/>
        </w:rPr>
        <w:t xml:space="preserve"> </w:t>
      </w:r>
      <w:r>
        <w:t>el</w:t>
      </w:r>
      <w:r>
        <w:rPr>
          <w:spacing w:val="-9"/>
        </w:rPr>
        <w:t xml:space="preserve"> </w:t>
      </w:r>
      <w:r>
        <w:t>arte,</w:t>
      </w:r>
      <w:r>
        <w:rPr>
          <w:spacing w:val="-8"/>
        </w:rPr>
        <w:t xml:space="preserve"> </w:t>
      </w:r>
      <w:r>
        <w:t>la</w:t>
      </w:r>
      <w:r>
        <w:rPr>
          <w:spacing w:val="-9"/>
        </w:rPr>
        <w:t xml:space="preserve"> </w:t>
      </w:r>
      <w:r>
        <w:t xml:space="preserve">ciencia, la tecnología y el patrimonio cultural de la Nación, el legislador expidió la Ley </w:t>
      </w:r>
      <w:r>
        <w:rPr>
          <w:spacing w:val="-2"/>
        </w:rPr>
        <w:t>397</w:t>
      </w:r>
      <w:r>
        <w:rPr>
          <w:spacing w:val="-12"/>
        </w:rPr>
        <w:t xml:space="preserve"> </w:t>
      </w:r>
      <w:r>
        <w:rPr>
          <w:spacing w:val="-2"/>
        </w:rPr>
        <w:t>de</w:t>
      </w:r>
      <w:r>
        <w:rPr>
          <w:spacing w:val="-13"/>
        </w:rPr>
        <w:t xml:space="preserve"> </w:t>
      </w:r>
      <w:r>
        <w:rPr>
          <w:spacing w:val="-2"/>
        </w:rPr>
        <w:t>1997.</w:t>
      </w:r>
      <w:r>
        <w:rPr>
          <w:spacing w:val="-12"/>
        </w:rPr>
        <w:t xml:space="preserve"> </w:t>
      </w:r>
      <w:r>
        <w:rPr>
          <w:spacing w:val="-2"/>
        </w:rPr>
        <w:t>Por</w:t>
      </w:r>
      <w:r>
        <w:rPr>
          <w:spacing w:val="-13"/>
        </w:rPr>
        <w:t xml:space="preserve"> </w:t>
      </w:r>
      <w:r>
        <w:rPr>
          <w:spacing w:val="-2"/>
        </w:rPr>
        <w:t>medio</w:t>
      </w:r>
      <w:r>
        <w:rPr>
          <w:spacing w:val="-12"/>
        </w:rPr>
        <w:t xml:space="preserve"> </w:t>
      </w:r>
      <w:r>
        <w:rPr>
          <w:spacing w:val="-2"/>
        </w:rPr>
        <w:t>de</w:t>
      </w:r>
      <w:r>
        <w:rPr>
          <w:spacing w:val="-13"/>
        </w:rPr>
        <w:t xml:space="preserve"> </w:t>
      </w:r>
      <w:r>
        <w:rPr>
          <w:spacing w:val="-2"/>
        </w:rPr>
        <w:t>esta</w:t>
      </w:r>
      <w:r>
        <w:rPr>
          <w:spacing w:val="-12"/>
        </w:rPr>
        <w:t xml:space="preserve"> </w:t>
      </w:r>
      <w:r>
        <w:rPr>
          <w:spacing w:val="-2"/>
        </w:rPr>
        <w:t>Ley</w:t>
      </w:r>
      <w:r>
        <w:rPr>
          <w:spacing w:val="-12"/>
        </w:rPr>
        <w:t xml:space="preserve"> </w:t>
      </w:r>
      <w:r>
        <w:rPr>
          <w:spacing w:val="-2"/>
        </w:rPr>
        <w:t>se</w:t>
      </w:r>
      <w:r>
        <w:rPr>
          <w:spacing w:val="-13"/>
        </w:rPr>
        <w:t xml:space="preserve"> </w:t>
      </w:r>
      <w:r>
        <w:rPr>
          <w:spacing w:val="-2"/>
        </w:rPr>
        <w:t>dictaron</w:t>
      </w:r>
      <w:r>
        <w:rPr>
          <w:spacing w:val="-11"/>
        </w:rPr>
        <w:t xml:space="preserve"> </w:t>
      </w:r>
      <w:r>
        <w:rPr>
          <w:spacing w:val="-2"/>
        </w:rPr>
        <w:t>normas</w:t>
      </w:r>
      <w:r>
        <w:rPr>
          <w:spacing w:val="-12"/>
        </w:rPr>
        <w:t xml:space="preserve"> </w:t>
      </w:r>
      <w:r>
        <w:rPr>
          <w:spacing w:val="-2"/>
        </w:rPr>
        <w:t>sobre</w:t>
      </w:r>
      <w:r>
        <w:rPr>
          <w:spacing w:val="-12"/>
        </w:rPr>
        <w:t xml:space="preserve"> </w:t>
      </w:r>
      <w:r>
        <w:rPr>
          <w:spacing w:val="-2"/>
        </w:rPr>
        <w:t>patrimonio</w:t>
      </w:r>
      <w:r>
        <w:rPr>
          <w:spacing w:val="-10"/>
        </w:rPr>
        <w:t xml:space="preserve"> </w:t>
      </w:r>
      <w:r>
        <w:rPr>
          <w:spacing w:val="-2"/>
        </w:rPr>
        <w:t xml:space="preserve">cultural, </w:t>
      </w:r>
      <w:r>
        <w:t>sobre</w:t>
      </w:r>
      <w:r>
        <w:rPr>
          <w:spacing w:val="39"/>
        </w:rPr>
        <w:t xml:space="preserve"> </w:t>
      </w:r>
      <w:r>
        <w:t>fomentos</w:t>
      </w:r>
      <w:r>
        <w:rPr>
          <w:spacing w:val="40"/>
        </w:rPr>
        <w:t xml:space="preserve"> </w:t>
      </w:r>
      <w:r>
        <w:t>y</w:t>
      </w:r>
      <w:r>
        <w:rPr>
          <w:spacing w:val="38"/>
        </w:rPr>
        <w:t xml:space="preserve"> </w:t>
      </w:r>
      <w:r>
        <w:t>estímulos</w:t>
      </w:r>
      <w:r>
        <w:rPr>
          <w:spacing w:val="40"/>
        </w:rPr>
        <w:t xml:space="preserve"> </w:t>
      </w:r>
      <w:r>
        <w:t>a</w:t>
      </w:r>
      <w:r>
        <w:rPr>
          <w:spacing w:val="38"/>
        </w:rPr>
        <w:t xml:space="preserve"> </w:t>
      </w:r>
      <w:r>
        <w:t>la</w:t>
      </w:r>
      <w:r>
        <w:rPr>
          <w:spacing w:val="38"/>
        </w:rPr>
        <w:t xml:space="preserve"> </w:t>
      </w:r>
      <w:r>
        <w:t>cultura</w:t>
      </w:r>
      <w:r>
        <w:rPr>
          <w:spacing w:val="40"/>
        </w:rPr>
        <w:t xml:space="preserve"> </w:t>
      </w:r>
      <w:r>
        <w:t>y</w:t>
      </w:r>
      <w:r>
        <w:rPr>
          <w:spacing w:val="38"/>
        </w:rPr>
        <w:t xml:space="preserve"> </w:t>
      </w:r>
      <w:r>
        <w:t>sobre</w:t>
      </w:r>
      <w:r>
        <w:rPr>
          <w:spacing w:val="39"/>
        </w:rPr>
        <w:t xml:space="preserve"> </w:t>
      </w:r>
      <w:r>
        <w:t>la</w:t>
      </w:r>
      <w:r>
        <w:rPr>
          <w:spacing w:val="38"/>
        </w:rPr>
        <w:t xml:space="preserve"> </w:t>
      </w:r>
      <w:r>
        <w:t>creación</w:t>
      </w:r>
      <w:r>
        <w:rPr>
          <w:spacing w:val="40"/>
        </w:rPr>
        <w:t xml:space="preserve"> </w:t>
      </w:r>
      <w:r>
        <w:t>y</w:t>
      </w:r>
      <w:r>
        <w:rPr>
          <w:spacing w:val="38"/>
        </w:rPr>
        <w:t xml:space="preserve"> </w:t>
      </w:r>
      <w:r>
        <w:t>estructura</w:t>
      </w:r>
      <w:r>
        <w:rPr>
          <w:spacing w:val="40"/>
        </w:rPr>
        <w:t xml:space="preserve"> </w:t>
      </w:r>
      <w:r>
        <w:t>del Ministerio de</w:t>
      </w:r>
      <w:r>
        <w:rPr>
          <w:spacing w:val="-2"/>
        </w:rPr>
        <w:t xml:space="preserve"> </w:t>
      </w:r>
      <w:r>
        <w:t>Cultura. La</w:t>
      </w:r>
      <w:r>
        <w:rPr>
          <w:spacing w:val="-2"/>
        </w:rPr>
        <w:t xml:space="preserve"> </w:t>
      </w:r>
      <w:r>
        <w:t>referida</w:t>
      </w:r>
      <w:r>
        <w:rPr>
          <w:spacing w:val="-1"/>
        </w:rPr>
        <w:t xml:space="preserve"> </w:t>
      </w:r>
      <w:r>
        <w:t>norma</w:t>
      </w:r>
      <w:r>
        <w:rPr>
          <w:spacing w:val="-2"/>
        </w:rPr>
        <w:t xml:space="preserve"> </w:t>
      </w:r>
      <w:r>
        <w:t>creó</w:t>
      </w:r>
      <w:r>
        <w:rPr>
          <w:spacing w:val="-1"/>
        </w:rPr>
        <w:t xml:space="preserve"> </w:t>
      </w:r>
      <w:r>
        <w:t>el</w:t>
      </w:r>
      <w:r>
        <w:rPr>
          <w:spacing w:val="-2"/>
        </w:rPr>
        <w:t xml:space="preserve"> </w:t>
      </w:r>
      <w:r>
        <w:t>Sistema</w:t>
      </w:r>
      <w:r>
        <w:rPr>
          <w:spacing w:val="-1"/>
        </w:rPr>
        <w:t xml:space="preserve"> </w:t>
      </w:r>
      <w:r>
        <w:t>Nacional de</w:t>
      </w:r>
      <w:r>
        <w:rPr>
          <w:spacing w:val="-2"/>
        </w:rPr>
        <w:t xml:space="preserve"> </w:t>
      </w:r>
      <w:r>
        <w:t>la</w:t>
      </w:r>
      <w:r>
        <w:rPr>
          <w:spacing w:val="-2"/>
        </w:rPr>
        <w:t xml:space="preserve"> </w:t>
      </w:r>
      <w:r>
        <w:t>Cultura, entendido</w:t>
      </w:r>
      <w:r>
        <w:rPr>
          <w:spacing w:val="-13"/>
        </w:rPr>
        <w:t xml:space="preserve"> </w:t>
      </w:r>
      <w:r>
        <w:t>como</w:t>
      </w:r>
      <w:r>
        <w:rPr>
          <w:spacing w:val="-14"/>
        </w:rPr>
        <w:t xml:space="preserve"> </w:t>
      </w:r>
      <w:r>
        <w:t>un</w:t>
      </w:r>
      <w:r>
        <w:rPr>
          <w:spacing w:val="-15"/>
        </w:rPr>
        <w:t xml:space="preserve"> </w:t>
      </w:r>
      <w:r>
        <w:t>conjunto</w:t>
      </w:r>
      <w:r>
        <w:rPr>
          <w:spacing w:val="-13"/>
        </w:rPr>
        <w:t xml:space="preserve"> </w:t>
      </w:r>
      <w:r>
        <w:t>de</w:t>
      </w:r>
      <w:r>
        <w:rPr>
          <w:spacing w:val="-15"/>
        </w:rPr>
        <w:t xml:space="preserve"> </w:t>
      </w:r>
      <w:r>
        <w:t>instancias</w:t>
      </w:r>
      <w:r>
        <w:rPr>
          <w:spacing w:val="-13"/>
        </w:rPr>
        <w:t xml:space="preserve"> </w:t>
      </w:r>
      <w:r>
        <w:t>y</w:t>
      </w:r>
      <w:r>
        <w:rPr>
          <w:spacing w:val="-15"/>
        </w:rPr>
        <w:t xml:space="preserve"> </w:t>
      </w:r>
      <w:r>
        <w:t>procesos</w:t>
      </w:r>
      <w:r>
        <w:rPr>
          <w:spacing w:val="-13"/>
        </w:rPr>
        <w:t xml:space="preserve"> </w:t>
      </w:r>
      <w:r>
        <w:t>de</w:t>
      </w:r>
      <w:r>
        <w:rPr>
          <w:spacing w:val="-15"/>
        </w:rPr>
        <w:t xml:space="preserve"> </w:t>
      </w:r>
      <w:r>
        <w:t>desarrollo</w:t>
      </w:r>
      <w:r>
        <w:rPr>
          <w:spacing w:val="-13"/>
        </w:rPr>
        <w:t xml:space="preserve"> </w:t>
      </w:r>
      <w:r>
        <w:t>institucional, planificación e información articulados entre sí, para el desarrollo cultural y el acceso de la comunidad a los bienes y servicios culturales, según los principios de descentralización, participación y autonomía.</w:t>
      </w:r>
    </w:p>
    <w:p w14:paraId="6656AB38" w14:textId="77777777" w:rsidR="00AF2C34" w:rsidRDefault="00AF2C34" w:rsidP="00AF2C34">
      <w:pPr>
        <w:pStyle w:val="Textoindependiente"/>
        <w:spacing w:before="120" w:line="276" w:lineRule="auto"/>
        <w:ind w:left="100" w:right="49" w:firstLine="708"/>
        <w:jc w:val="both"/>
      </w:pPr>
      <w:r>
        <w:t>Este sistema está conformado por el Ministerio de Cultura, los consejos municipales, distritales y departamentales de cultura, los fondos mixtos de promoción</w:t>
      </w:r>
      <w:r>
        <w:rPr>
          <w:spacing w:val="-9"/>
        </w:rPr>
        <w:t xml:space="preserve"> </w:t>
      </w:r>
      <w:r>
        <w:t>de</w:t>
      </w:r>
      <w:r>
        <w:rPr>
          <w:spacing w:val="-12"/>
        </w:rPr>
        <w:t xml:space="preserve"> </w:t>
      </w:r>
      <w:r>
        <w:t>la</w:t>
      </w:r>
      <w:r>
        <w:rPr>
          <w:spacing w:val="-12"/>
        </w:rPr>
        <w:t xml:space="preserve"> </w:t>
      </w:r>
      <w:r>
        <w:t>cultura</w:t>
      </w:r>
      <w:r>
        <w:rPr>
          <w:spacing w:val="-10"/>
        </w:rPr>
        <w:t xml:space="preserve"> </w:t>
      </w:r>
      <w:r>
        <w:t>y</w:t>
      </w:r>
      <w:r>
        <w:rPr>
          <w:spacing w:val="-12"/>
        </w:rPr>
        <w:t xml:space="preserve"> </w:t>
      </w:r>
      <w:r>
        <w:t>el</w:t>
      </w:r>
      <w:r>
        <w:rPr>
          <w:spacing w:val="-12"/>
        </w:rPr>
        <w:t xml:space="preserve"> </w:t>
      </w:r>
      <w:r>
        <w:t>de</w:t>
      </w:r>
      <w:r>
        <w:rPr>
          <w:spacing w:val="-12"/>
        </w:rPr>
        <w:t xml:space="preserve"> </w:t>
      </w:r>
      <w:r>
        <w:t>las</w:t>
      </w:r>
      <w:r>
        <w:rPr>
          <w:spacing w:val="-11"/>
        </w:rPr>
        <w:t xml:space="preserve"> </w:t>
      </w:r>
      <w:r>
        <w:t>artes</w:t>
      </w:r>
      <w:r>
        <w:rPr>
          <w:spacing w:val="-11"/>
        </w:rPr>
        <w:t xml:space="preserve"> </w:t>
      </w:r>
      <w:r>
        <w:t>y,</w:t>
      </w:r>
      <w:r>
        <w:rPr>
          <w:spacing w:val="-11"/>
        </w:rPr>
        <w:t xml:space="preserve"> </w:t>
      </w:r>
      <w:r>
        <w:t>en</w:t>
      </w:r>
      <w:r>
        <w:rPr>
          <w:spacing w:val="-11"/>
        </w:rPr>
        <w:t xml:space="preserve"> </w:t>
      </w:r>
      <w:r>
        <w:t>general,</w:t>
      </w:r>
      <w:r>
        <w:rPr>
          <w:spacing w:val="-9"/>
        </w:rPr>
        <w:t xml:space="preserve"> </w:t>
      </w:r>
      <w:r>
        <w:t>por</w:t>
      </w:r>
      <w:r>
        <w:rPr>
          <w:spacing w:val="-11"/>
        </w:rPr>
        <w:t xml:space="preserve"> </w:t>
      </w:r>
      <w:r>
        <w:t>las</w:t>
      </w:r>
      <w:r>
        <w:rPr>
          <w:spacing w:val="-11"/>
        </w:rPr>
        <w:t xml:space="preserve"> </w:t>
      </w:r>
      <w:r>
        <w:t>Entidades</w:t>
      </w:r>
      <w:r>
        <w:rPr>
          <w:spacing w:val="-10"/>
        </w:rPr>
        <w:t xml:space="preserve"> </w:t>
      </w:r>
      <w:r>
        <w:t xml:space="preserve">Públicas </w:t>
      </w:r>
      <w:r>
        <w:rPr>
          <w:spacing w:val="-2"/>
        </w:rPr>
        <w:t>y</w:t>
      </w:r>
      <w:r>
        <w:rPr>
          <w:spacing w:val="-18"/>
        </w:rPr>
        <w:t xml:space="preserve"> </w:t>
      </w:r>
      <w:r>
        <w:rPr>
          <w:spacing w:val="-2"/>
        </w:rPr>
        <w:t>privadas</w:t>
      </w:r>
      <w:r>
        <w:rPr>
          <w:spacing w:val="-16"/>
        </w:rPr>
        <w:t xml:space="preserve"> </w:t>
      </w:r>
      <w:r>
        <w:rPr>
          <w:spacing w:val="-2"/>
        </w:rPr>
        <w:t>que</w:t>
      </w:r>
      <w:r>
        <w:rPr>
          <w:spacing w:val="-17"/>
        </w:rPr>
        <w:t xml:space="preserve"> </w:t>
      </w:r>
      <w:r>
        <w:rPr>
          <w:spacing w:val="-2"/>
        </w:rPr>
        <w:t>desarrollen,</w:t>
      </w:r>
      <w:r>
        <w:rPr>
          <w:spacing w:val="-14"/>
        </w:rPr>
        <w:t xml:space="preserve"> </w:t>
      </w:r>
      <w:r>
        <w:rPr>
          <w:spacing w:val="-2"/>
        </w:rPr>
        <w:t>financien,</w:t>
      </w:r>
      <w:r>
        <w:rPr>
          <w:spacing w:val="-14"/>
        </w:rPr>
        <w:t xml:space="preserve"> </w:t>
      </w:r>
      <w:r>
        <w:rPr>
          <w:spacing w:val="-2"/>
        </w:rPr>
        <w:t>fomenten</w:t>
      </w:r>
      <w:r>
        <w:rPr>
          <w:spacing w:val="-15"/>
        </w:rPr>
        <w:t xml:space="preserve"> </w:t>
      </w:r>
      <w:r>
        <w:rPr>
          <w:spacing w:val="-2"/>
        </w:rPr>
        <w:t>o</w:t>
      </w:r>
      <w:r>
        <w:rPr>
          <w:spacing w:val="-18"/>
        </w:rPr>
        <w:t xml:space="preserve"> </w:t>
      </w:r>
      <w:r>
        <w:rPr>
          <w:spacing w:val="-2"/>
        </w:rPr>
        <w:t>ejecuten</w:t>
      </w:r>
      <w:r>
        <w:rPr>
          <w:spacing w:val="-15"/>
        </w:rPr>
        <w:t xml:space="preserve"> </w:t>
      </w:r>
      <w:r>
        <w:rPr>
          <w:spacing w:val="-2"/>
        </w:rPr>
        <w:t>actividades</w:t>
      </w:r>
      <w:r>
        <w:rPr>
          <w:spacing w:val="-15"/>
        </w:rPr>
        <w:t xml:space="preserve"> </w:t>
      </w:r>
      <w:r>
        <w:rPr>
          <w:spacing w:val="-2"/>
        </w:rPr>
        <w:t>culturales.</w:t>
      </w:r>
    </w:p>
    <w:p w14:paraId="25F380B3" w14:textId="77777777" w:rsidR="00AF2C34" w:rsidRDefault="00AF2C34" w:rsidP="00AF2C34">
      <w:pPr>
        <w:pStyle w:val="Textoindependiente"/>
        <w:spacing w:before="120" w:line="276" w:lineRule="auto"/>
        <w:ind w:left="100" w:right="49" w:firstLine="709"/>
        <w:jc w:val="both"/>
      </w:pPr>
      <w:r>
        <w:t>El</w:t>
      </w:r>
      <w:r>
        <w:rPr>
          <w:spacing w:val="-17"/>
        </w:rPr>
        <w:t xml:space="preserve"> </w:t>
      </w:r>
      <w:r>
        <w:t>artículo</w:t>
      </w:r>
      <w:r>
        <w:rPr>
          <w:spacing w:val="-15"/>
        </w:rPr>
        <w:t xml:space="preserve"> </w:t>
      </w:r>
      <w:r>
        <w:t>63</w:t>
      </w:r>
      <w:r>
        <w:rPr>
          <w:spacing w:val="-17"/>
        </w:rPr>
        <w:t xml:space="preserve"> </w:t>
      </w:r>
      <w:r>
        <w:t>de</w:t>
      </w:r>
      <w:r>
        <w:rPr>
          <w:spacing w:val="-17"/>
        </w:rPr>
        <w:t xml:space="preserve"> </w:t>
      </w:r>
      <w:r>
        <w:t>la</w:t>
      </w:r>
      <w:r>
        <w:rPr>
          <w:spacing w:val="-17"/>
        </w:rPr>
        <w:t xml:space="preserve"> </w:t>
      </w:r>
      <w:r>
        <w:t>referida</w:t>
      </w:r>
      <w:r>
        <w:rPr>
          <w:spacing w:val="-15"/>
        </w:rPr>
        <w:t xml:space="preserve"> </w:t>
      </w:r>
      <w:r>
        <w:t>Ley</w:t>
      </w:r>
      <w:r>
        <w:rPr>
          <w:spacing w:val="-16"/>
        </w:rPr>
        <w:t xml:space="preserve"> </w:t>
      </w:r>
      <w:r>
        <w:t>creó</w:t>
      </w:r>
      <w:r>
        <w:rPr>
          <w:spacing w:val="-16"/>
        </w:rPr>
        <w:t xml:space="preserve"> </w:t>
      </w:r>
      <w:r>
        <w:t>el</w:t>
      </w:r>
      <w:r>
        <w:rPr>
          <w:spacing w:val="-17"/>
        </w:rPr>
        <w:t xml:space="preserve"> </w:t>
      </w:r>
      <w:r>
        <w:t>Fondo</w:t>
      </w:r>
      <w:r>
        <w:rPr>
          <w:spacing w:val="-16"/>
        </w:rPr>
        <w:t xml:space="preserve"> </w:t>
      </w:r>
      <w:r>
        <w:t>Mixto</w:t>
      </w:r>
      <w:r>
        <w:rPr>
          <w:spacing w:val="-16"/>
        </w:rPr>
        <w:t xml:space="preserve"> </w:t>
      </w:r>
      <w:r>
        <w:t>Nacional</w:t>
      </w:r>
      <w:r>
        <w:rPr>
          <w:spacing w:val="-15"/>
        </w:rPr>
        <w:t xml:space="preserve"> </w:t>
      </w:r>
      <w:r>
        <w:t>de</w:t>
      </w:r>
      <w:r>
        <w:rPr>
          <w:spacing w:val="-17"/>
        </w:rPr>
        <w:t xml:space="preserve"> </w:t>
      </w:r>
      <w:r>
        <w:t>Promoción de</w:t>
      </w:r>
      <w:r>
        <w:rPr>
          <w:spacing w:val="-10"/>
        </w:rPr>
        <w:t xml:space="preserve"> </w:t>
      </w:r>
      <w:r>
        <w:t>la</w:t>
      </w:r>
      <w:r>
        <w:rPr>
          <w:spacing w:val="-10"/>
        </w:rPr>
        <w:t xml:space="preserve"> </w:t>
      </w:r>
      <w:r>
        <w:t>Cultura</w:t>
      </w:r>
      <w:r>
        <w:rPr>
          <w:spacing w:val="-9"/>
        </w:rPr>
        <w:t xml:space="preserve"> </w:t>
      </w:r>
      <w:r>
        <w:t>y</w:t>
      </w:r>
      <w:r>
        <w:rPr>
          <w:spacing w:val="-10"/>
        </w:rPr>
        <w:t xml:space="preserve"> </w:t>
      </w:r>
      <w:r>
        <w:t>las</w:t>
      </w:r>
      <w:r>
        <w:rPr>
          <w:spacing w:val="-10"/>
        </w:rPr>
        <w:t xml:space="preserve"> </w:t>
      </w:r>
      <w:r>
        <w:t>Artes,</w:t>
      </w:r>
      <w:r>
        <w:rPr>
          <w:spacing w:val="-8"/>
        </w:rPr>
        <w:t xml:space="preserve"> </w:t>
      </w:r>
      <w:r>
        <w:t>con</w:t>
      </w:r>
      <w:r>
        <w:rPr>
          <w:spacing w:val="-10"/>
        </w:rPr>
        <w:t xml:space="preserve"> </w:t>
      </w:r>
      <w:r>
        <w:t>el</w:t>
      </w:r>
      <w:r>
        <w:rPr>
          <w:spacing w:val="-10"/>
        </w:rPr>
        <w:t xml:space="preserve"> </w:t>
      </w:r>
      <w:r>
        <w:t>fin</w:t>
      </w:r>
      <w:r>
        <w:rPr>
          <w:spacing w:val="-10"/>
        </w:rPr>
        <w:t xml:space="preserve"> </w:t>
      </w:r>
      <w:r>
        <w:t>de</w:t>
      </w:r>
      <w:r>
        <w:rPr>
          <w:spacing w:val="-10"/>
        </w:rPr>
        <w:t xml:space="preserve"> </w:t>
      </w:r>
      <w:r>
        <w:t>promover</w:t>
      </w:r>
      <w:r>
        <w:rPr>
          <w:spacing w:val="-8"/>
        </w:rPr>
        <w:t xml:space="preserve"> </w:t>
      </w:r>
      <w:r>
        <w:t>la</w:t>
      </w:r>
      <w:r>
        <w:rPr>
          <w:spacing w:val="-10"/>
        </w:rPr>
        <w:t xml:space="preserve"> </w:t>
      </w:r>
      <w:r>
        <w:t>creación,</w:t>
      </w:r>
      <w:r>
        <w:rPr>
          <w:spacing w:val="-7"/>
        </w:rPr>
        <w:t xml:space="preserve"> </w:t>
      </w:r>
      <w:r>
        <w:t>la</w:t>
      </w:r>
      <w:r>
        <w:rPr>
          <w:spacing w:val="-10"/>
        </w:rPr>
        <w:t xml:space="preserve"> </w:t>
      </w:r>
      <w:r>
        <w:t>investigación</w:t>
      </w:r>
      <w:r>
        <w:rPr>
          <w:spacing w:val="-6"/>
        </w:rPr>
        <w:t xml:space="preserve"> </w:t>
      </w:r>
      <w:r>
        <w:t>y</w:t>
      </w:r>
      <w:r>
        <w:rPr>
          <w:spacing w:val="-10"/>
        </w:rPr>
        <w:t xml:space="preserve"> </w:t>
      </w:r>
      <w:r>
        <w:lastRenderedPageBreak/>
        <w:t>la difusión de las diversas manifestaciones artísticas y culturales. Igualmente, autorizó al Ministerio de Cultura para participar en la creación de los fondos mixtos departamentales, municipales y de los territorios indígenas, conforme a la reglamentación que para ello expidiera el Gobierno Nacional. Al respecto, el referido artículo establece lo siguiente:</w:t>
      </w:r>
    </w:p>
    <w:p w14:paraId="099D2873" w14:textId="77777777" w:rsidR="00AF2C34" w:rsidRPr="00286282" w:rsidRDefault="00AF2C34" w:rsidP="00AF2C34">
      <w:pPr>
        <w:pStyle w:val="NormalWeb"/>
        <w:spacing w:line="270" w:lineRule="atLeast"/>
        <w:ind w:left="993" w:right="758"/>
        <w:jc w:val="both"/>
        <w:rPr>
          <w:rFonts w:ascii="Verdana" w:hAnsi="Verdana" w:cs="Open Sans"/>
          <w:sz w:val="20"/>
          <w:szCs w:val="20"/>
        </w:rPr>
      </w:pPr>
      <w:r w:rsidRPr="00286282">
        <w:rPr>
          <w:rFonts w:ascii="Verdana" w:hAnsi="Verdana" w:cs="Open Sans"/>
          <w:sz w:val="20"/>
          <w:szCs w:val="20"/>
        </w:rPr>
        <w:t>Con el fin de promover la creación, la investigación y la difusión de las diversas manifestaciones artísticas y culturales, créase el Fondo Mixto Nacional de Promoción de la Cultura y las Artes.</w:t>
      </w:r>
    </w:p>
    <w:p w14:paraId="6D2579F3" w14:textId="77777777" w:rsidR="00AF2C34" w:rsidRPr="00286282" w:rsidRDefault="00AF2C34" w:rsidP="00AF2C34">
      <w:pPr>
        <w:pStyle w:val="NormalWeb"/>
        <w:spacing w:line="270" w:lineRule="atLeast"/>
        <w:ind w:left="993" w:right="758"/>
        <w:jc w:val="both"/>
        <w:rPr>
          <w:rFonts w:ascii="Verdana" w:hAnsi="Verdana" w:cs="Open Sans"/>
          <w:sz w:val="20"/>
          <w:szCs w:val="20"/>
        </w:rPr>
      </w:pPr>
      <w:r w:rsidRPr="00286282">
        <w:rPr>
          <w:rFonts w:ascii="Verdana" w:hAnsi="Verdana" w:cs="Open Sans"/>
          <w:sz w:val="20"/>
          <w:szCs w:val="20"/>
        </w:rPr>
        <w:t>Autorízase al Ministerio de Cultura</w:t>
      </w:r>
      <w:r w:rsidRPr="00286282">
        <w:rPr>
          <w:rFonts w:ascii="Verdana" w:hAnsi="Verdana" w:cs="Open Sans"/>
          <w:sz w:val="20"/>
          <w:szCs w:val="20"/>
          <w:vertAlign w:val="superscript"/>
        </w:rPr>
        <w:t>&lt;</w:t>
      </w:r>
      <w:hyperlink r:id="rId12" w:anchor="np1" w:history="1">
        <w:r w:rsidRPr="00286282">
          <w:rPr>
            <w:rStyle w:val="Hipervnculo"/>
            <w:rFonts w:ascii="Verdana" w:hAnsi="Verdana" w:cs="Open Sans"/>
            <w:color w:val="auto"/>
            <w:sz w:val="20"/>
            <w:szCs w:val="20"/>
            <w:vertAlign w:val="superscript"/>
          </w:rPr>
          <w:t>1</w:t>
        </w:r>
      </w:hyperlink>
      <w:r w:rsidRPr="00286282">
        <w:rPr>
          <w:rFonts w:ascii="Verdana" w:hAnsi="Verdana" w:cs="Open Sans"/>
          <w:sz w:val="20"/>
          <w:szCs w:val="20"/>
          <w:vertAlign w:val="superscript"/>
        </w:rPr>
        <w:t>&gt;</w:t>
      </w:r>
      <w:r w:rsidRPr="00286282">
        <w:rPr>
          <w:rFonts w:ascii="Verdana" w:hAnsi="Verdana" w:cs="Open Sans"/>
          <w:sz w:val="20"/>
          <w:szCs w:val="20"/>
        </w:rPr>
        <w:t>, para participar en la creación de los fondos mixtos departamentales, distritales, municipales y de los territorios indígenas conforme a la reglamentación que para tal efecto expida el Gobierno Nacional, así como para realizar aportes y celebrar convenios de fomento y promoción de las artes y la cultura con dichos fondos.</w:t>
      </w:r>
    </w:p>
    <w:p w14:paraId="51C445A1" w14:textId="77777777" w:rsidR="00AF2C34" w:rsidRPr="00286282" w:rsidRDefault="00AF2C34" w:rsidP="00AF2C34">
      <w:pPr>
        <w:pStyle w:val="NormalWeb"/>
        <w:spacing w:line="270" w:lineRule="atLeast"/>
        <w:ind w:left="993" w:right="758"/>
        <w:jc w:val="both"/>
        <w:rPr>
          <w:rFonts w:ascii="Verdana" w:hAnsi="Verdana" w:cs="Open Sans"/>
          <w:sz w:val="20"/>
          <w:szCs w:val="20"/>
        </w:rPr>
      </w:pPr>
      <w:r w:rsidRPr="00286282">
        <w:rPr>
          <w:rFonts w:ascii="Verdana" w:hAnsi="Verdana" w:cs="Open Sans"/>
          <w:sz w:val="20"/>
          <w:szCs w:val="20"/>
        </w:rPr>
        <w:t>Los fondos mixtos son entidades sin ánimo de lucro, dotadas de personería jurídica, constituidas por aportes públicos y privados y regidas en su dirección, administración y contratación por el Derecho Privado sin perjuicio del control fiscal que ejercen las respectivas Contralorías sobre los dineros públicos.</w:t>
      </w:r>
    </w:p>
    <w:p w14:paraId="71B0101F" w14:textId="77777777" w:rsidR="00AF2C34" w:rsidRPr="007E311B" w:rsidRDefault="00AF2C34" w:rsidP="00AF2C34">
      <w:pPr>
        <w:pStyle w:val="Textoindependiente"/>
        <w:spacing w:line="276" w:lineRule="auto"/>
        <w:ind w:left="100" w:right="49" w:firstLine="709"/>
        <w:jc w:val="both"/>
      </w:pPr>
      <w:r>
        <w:t>La</w:t>
      </w:r>
      <w:r>
        <w:rPr>
          <w:spacing w:val="-11"/>
        </w:rPr>
        <w:t xml:space="preserve"> </w:t>
      </w:r>
      <w:r>
        <w:t>norma</w:t>
      </w:r>
      <w:r>
        <w:rPr>
          <w:spacing w:val="-11"/>
        </w:rPr>
        <w:t xml:space="preserve"> </w:t>
      </w:r>
      <w:r>
        <w:t>citada</w:t>
      </w:r>
      <w:r>
        <w:rPr>
          <w:spacing w:val="-10"/>
        </w:rPr>
        <w:t xml:space="preserve"> </w:t>
      </w:r>
      <w:r>
        <w:t>definió</w:t>
      </w:r>
      <w:r>
        <w:rPr>
          <w:spacing w:val="-9"/>
        </w:rPr>
        <w:t xml:space="preserve"> </w:t>
      </w:r>
      <w:r>
        <w:t>que</w:t>
      </w:r>
      <w:r>
        <w:rPr>
          <w:spacing w:val="-11"/>
        </w:rPr>
        <w:t xml:space="preserve"> </w:t>
      </w:r>
      <w:r>
        <w:t>los</w:t>
      </w:r>
      <w:r>
        <w:rPr>
          <w:spacing w:val="-11"/>
        </w:rPr>
        <w:t xml:space="preserve"> </w:t>
      </w:r>
      <w:r>
        <w:t>fondos</w:t>
      </w:r>
      <w:r>
        <w:rPr>
          <w:spacing w:val="-10"/>
        </w:rPr>
        <w:t xml:space="preserve"> </w:t>
      </w:r>
      <w:r>
        <w:t>mixtos</w:t>
      </w:r>
      <w:r>
        <w:rPr>
          <w:spacing w:val="-10"/>
        </w:rPr>
        <w:t xml:space="preserve"> </w:t>
      </w:r>
      <w:r>
        <w:t>son</w:t>
      </w:r>
      <w:r>
        <w:rPr>
          <w:spacing w:val="-11"/>
        </w:rPr>
        <w:t xml:space="preserve"> </w:t>
      </w:r>
      <w:r>
        <w:t>entidades</w:t>
      </w:r>
      <w:r>
        <w:rPr>
          <w:spacing w:val="-9"/>
        </w:rPr>
        <w:t xml:space="preserve"> </w:t>
      </w:r>
      <w:r>
        <w:t>sin</w:t>
      </w:r>
      <w:r>
        <w:rPr>
          <w:spacing w:val="-11"/>
        </w:rPr>
        <w:t xml:space="preserve"> </w:t>
      </w:r>
      <w:r>
        <w:t>ánimo</w:t>
      </w:r>
      <w:r>
        <w:rPr>
          <w:spacing w:val="-10"/>
        </w:rPr>
        <w:t xml:space="preserve"> </w:t>
      </w:r>
      <w:r>
        <w:t>de lucro, dotadas de personería jurídica, constituidas por aportes públicos y privados</w:t>
      </w:r>
      <w:r>
        <w:rPr>
          <w:spacing w:val="-6"/>
        </w:rPr>
        <w:t xml:space="preserve"> </w:t>
      </w:r>
      <w:r>
        <w:t>y</w:t>
      </w:r>
      <w:r>
        <w:rPr>
          <w:spacing w:val="-8"/>
        </w:rPr>
        <w:t xml:space="preserve"> </w:t>
      </w:r>
      <w:r>
        <w:t>regidas</w:t>
      </w:r>
      <w:r>
        <w:rPr>
          <w:spacing w:val="-6"/>
        </w:rPr>
        <w:t xml:space="preserve"> </w:t>
      </w:r>
      <w:r>
        <w:t>en</w:t>
      </w:r>
      <w:r>
        <w:rPr>
          <w:spacing w:val="-7"/>
        </w:rPr>
        <w:t xml:space="preserve"> </w:t>
      </w:r>
      <w:r>
        <w:t>su</w:t>
      </w:r>
      <w:r>
        <w:rPr>
          <w:spacing w:val="-7"/>
        </w:rPr>
        <w:t xml:space="preserve"> </w:t>
      </w:r>
      <w:r>
        <w:t>dirección,</w:t>
      </w:r>
      <w:r>
        <w:rPr>
          <w:spacing w:val="-4"/>
        </w:rPr>
        <w:t xml:space="preserve"> </w:t>
      </w:r>
      <w:r>
        <w:t>administración</w:t>
      </w:r>
      <w:r>
        <w:rPr>
          <w:spacing w:val="-3"/>
        </w:rPr>
        <w:t xml:space="preserve"> </w:t>
      </w:r>
      <w:r>
        <w:t>y</w:t>
      </w:r>
      <w:r>
        <w:rPr>
          <w:spacing w:val="-8"/>
        </w:rPr>
        <w:t xml:space="preserve"> </w:t>
      </w:r>
      <w:r>
        <w:t>contratación</w:t>
      </w:r>
      <w:r>
        <w:rPr>
          <w:spacing w:val="-4"/>
        </w:rPr>
        <w:t xml:space="preserve"> </w:t>
      </w:r>
      <w:r>
        <w:t>por</w:t>
      </w:r>
      <w:r>
        <w:rPr>
          <w:spacing w:val="-7"/>
        </w:rPr>
        <w:t xml:space="preserve"> </w:t>
      </w:r>
      <w:r>
        <w:t>el</w:t>
      </w:r>
      <w:r>
        <w:rPr>
          <w:spacing w:val="-8"/>
        </w:rPr>
        <w:t xml:space="preserve"> </w:t>
      </w:r>
      <w:r>
        <w:t>derecho privado, sin perjuicio del control fiscal que ejercen las respectivas contralorías sobre los dineros públicos.</w:t>
      </w:r>
    </w:p>
    <w:p w14:paraId="0A675EEA" w14:textId="77777777" w:rsidR="00AF2C34" w:rsidRDefault="00AF2C34" w:rsidP="00AF2C34">
      <w:pPr>
        <w:pStyle w:val="Textoindependiente"/>
        <w:spacing w:before="120" w:line="276" w:lineRule="auto"/>
        <w:ind w:left="100" w:right="49" w:firstLine="709"/>
        <w:jc w:val="both"/>
      </w:pPr>
      <w:r>
        <w:t>La</w:t>
      </w:r>
      <w:r>
        <w:rPr>
          <w:spacing w:val="-16"/>
        </w:rPr>
        <w:t xml:space="preserve"> </w:t>
      </w:r>
      <w:r>
        <w:t>Corte</w:t>
      </w:r>
      <w:r>
        <w:rPr>
          <w:spacing w:val="-15"/>
        </w:rPr>
        <w:t xml:space="preserve"> </w:t>
      </w:r>
      <w:r>
        <w:t>Constitucional,</w:t>
      </w:r>
      <w:r>
        <w:rPr>
          <w:spacing w:val="-11"/>
        </w:rPr>
        <w:t xml:space="preserve"> </w:t>
      </w:r>
      <w:r>
        <w:t>al</w:t>
      </w:r>
      <w:r>
        <w:rPr>
          <w:spacing w:val="-16"/>
        </w:rPr>
        <w:t xml:space="preserve"> </w:t>
      </w:r>
      <w:r>
        <w:t>estudiar</w:t>
      </w:r>
      <w:r>
        <w:rPr>
          <w:spacing w:val="-13"/>
        </w:rPr>
        <w:t xml:space="preserve"> </w:t>
      </w:r>
      <w:r>
        <w:t>la</w:t>
      </w:r>
      <w:r>
        <w:rPr>
          <w:spacing w:val="-16"/>
        </w:rPr>
        <w:t xml:space="preserve"> </w:t>
      </w:r>
      <w:r>
        <w:t>constitucionalidad</w:t>
      </w:r>
      <w:r>
        <w:rPr>
          <w:spacing w:val="-11"/>
        </w:rPr>
        <w:t xml:space="preserve"> </w:t>
      </w:r>
      <w:r>
        <w:t>del</w:t>
      </w:r>
      <w:r>
        <w:rPr>
          <w:spacing w:val="-15"/>
        </w:rPr>
        <w:t xml:space="preserve"> </w:t>
      </w:r>
      <w:r>
        <w:t>artículo</w:t>
      </w:r>
      <w:r>
        <w:rPr>
          <w:spacing w:val="-13"/>
        </w:rPr>
        <w:t xml:space="preserve"> </w:t>
      </w:r>
      <w:r>
        <w:t>63,</w:t>
      </w:r>
      <w:r>
        <w:rPr>
          <w:spacing w:val="-15"/>
        </w:rPr>
        <w:t xml:space="preserve"> </w:t>
      </w:r>
      <w:r>
        <w:t>lo declaró</w:t>
      </w:r>
      <w:r>
        <w:rPr>
          <w:spacing w:val="-13"/>
        </w:rPr>
        <w:t xml:space="preserve"> </w:t>
      </w:r>
      <w:r>
        <w:t>exequible</w:t>
      </w:r>
      <w:r>
        <w:rPr>
          <w:spacing w:val="-12"/>
        </w:rPr>
        <w:t xml:space="preserve"> </w:t>
      </w:r>
      <w:r>
        <w:t>por</w:t>
      </w:r>
      <w:r>
        <w:rPr>
          <w:spacing w:val="-15"/>
        </w:rPr>
        <w:t xml:space="preserve"> </w:t>
      </w:r>
      <w:r>
        <w:t>resultar</w:t>
      </w:r>
      <w:r>
        <w:rPr>
          <w:spacing w:val="-12"/>
        </w:rPr>
        <w:t xml:space="preserve"> </w:t>
      </w:r>
      <w:r>
        <w:t>ajustado</w:t>
      </w:r>
      <w:r>
        <w:rPr>
          <w:spacing w:val="-13"/>
        </w:rPr>
        <w:t xml:space="preserve"> </w:t>
      </w:r>
      <w:r>
        <w:t>a</w:t>
      </w:r>
      <w:r>
        <w:rPr>
          <w:spacing w:val="-15"/>
        </w:rPr>
        <w:t xml:space="preserve"> </w:t>
      </w:r>
      <w:r>
        <w:t>la</w:t>
      </w:r>
      <w:r>
        <w:rPr>
          <w:spacing w:val="-15"/>
        </w:rPr>
        <w:t xml:space="preserve"> </w:t>
      </w:r>
      <w:r>
        <w:t>Constitución</w:t>
      </w:r>
      <w:r>
        <w:rPr>
          <w:spacing w:val="-11"/>
        </w:rPr>
        <w:t xml:space="preserve"> </w:t>
      </w:r>
      <w:r>
        <w:t>Política.</w:t>
      </w:r>
      <w:r>
        <w:rPr>
          <w:spacing w:val="-13"/>
        </w:rPr>
        <w:t xml:space="preserve"> </w:t>
      </w:r>
      <w:r>
        <w:t>En</w:t>
      </w:r>
      <w:r>
        <w:rPr>
          <w:spacing w:val="-15"/>
        </w:rPr>
        <w:t xml:space="preserve"> </w:t>
      </w:r>
      <w:r>
        <w:t>la</w:t>
      </w:r>
      <w:r>
        <w:rPr>
          <w:spacing w:val="-15"/>
        </w:rPr>
        <w:t xml:space="preserve"> </w:t>
      </w:r>
      <w:r>
        <w:t>sentencia C-671 de 1999, el máximo tribunal constitucional consideró que el legislador podía</w:t>
      </w:r>
      <w:r>
        <w:rPr>
          <w:spacing w:val="-18"/>
        </w:rPr>
        <w:t xml:space="preserve"> </w:t>
      </w:r>
      <w:r>
        <w:t>crear</w:t>
      </w:r>
      <w:r>
        <w:rPr>
          <w:spacing w:val="-17"/>
        </w:rPr>
        <w:t xml:space="preserve"> </w:t>
      </w:r>
      <w:r>
        <w:t>este</w:t>
      </w:r>
      <w:r>
        <w:rPr>
          <w:spacing w:val="-17"/>
        </w:rPr>
        <w:t xml:space="preserve"> </w:t>
      </w:r>
      <w:r>
        <w:t>tipo</w:t>
      </w:r>
      <w:r>
        <w:rPr>
          <w:spacing w:val="-18"/>
        </w:rPr>
        <w:t xml:space="preserve"> </w:t>
      </w:r>
      <w:r>
        <w:t>fondos,</w:t>
      </w:r>
      <w:r>
        <w:rPr>
          <w:spacing w:val="-17"/>
        </w:rPr>
        <w:t xml:space="preserve"> </w:t>
      </w:r>
      <w:r>
        <w:t>como</w:t>
      </w:r>
      <w:r>
        <w:rPr>
          <w:spacing w:val="-18"/>
        </w:rPr>
        <w:t xml:space="preserve"> </w:t>
      </w:r>
      <w:r>
        <w:t>personas</w:t>
      </w:r>
      <w:r>
        <w:rPr>
          <w:spacing w:val="-16"/>
        </w:rPr>
        <w:t xml:space="preserve"> </w:t>
      </w:r>
      <w:r>
        <w:t>jurídicas</w:t>
      </w:r>
      <w:r>
        <w:rPr>
          <w:spacing w:val="-16"/>
        </w:rPr>
        <w:t xml:space="preserve"> </w:t>
      </w:r>
      <w:r>
        <w:t>con</w:t>
      </w:r>
      <w:r>
        <w:rPr>
          <w:spacing w:val="-18"/>
        </w:rPr>
        <w:t xml:space="preserve"> </w:t>
      </w:r>
      <w:r>
        <w:t>régimen</w:t>
      </w:r>
      <w:r>
        <w:rPr>
          <w:spacing w:val="-16"/>
        </w:rPr>
        <w:t xml:space="preserve"> </w:t>
      </w:r>
      <w:r>
        <w:t>especial,</w:t>
      </w:r>
      <w:r>
        <w:rPr>
          <w:spacing w:val="-15"/>
        </w:rPr>
        <w:t xml:space="preserve"> </w:t>
      </w:r>
      <w:r>
        <w:t>para la ejecución de los gastos e inversiones que requiere la materialización del fomento</w:t>
      </w:r>
      <w:r>
        <w:rPr>
          <w:spacing w:val="-9"/>
        </w:rPr>
        <w:t xml:space="preserve"> </w:t>
      </w:r>
      <w:r>
        <w:t>de</w:t>
      </w:r>
      <w:r>
        <w:rPr>
          <w:spacing w:val="-10"/>
        </w:rPr>
        <w:t xml:space="preserve"> </w:t>
      </w:r>
      <w:r>
        <w:t>actividades</w:t>
      </w:r>
      <w:r>
        <w:rPr>
          <w:spacing w:val="-8"/>
        </w:rPr>
        <w:t xml:space="preserve"> </w:t>
      </w:r>
      <w:r>
        <w:t>culturales</w:t>
      </w:r>
      <w:r>
        <w:rPr>
          <w:spacing w:val="-8"/>
        </w:rPr>
        <w:t xml:space="preserve"> </w:t>
      </w:r>
      <w:r>
        <w:t>coordinadas</w:t>
      </w:r>
      <w:r>
        <w:rPr>
          <w:spacing w:val="-8"/>
        </w:rPr>
        <w:t xml:space="preserve"> </w:t>
      </w:r>
      <w:r>
        <w:t>por</w:t>
      </w:r>
      <w:r>
        <w:rPr>
          <w:spacing w:val="-9"/>
        </w:rPr>
        <w:t xml:space="preserve"> </w:t>
      </w:r>
      <w:r>
        <w:t>el</w:t>
      </w:r>
      <w:r>
        <w:rPr>
          <w:spacing w:val="-10"/>
        </w:rPr>
        <w:t xml:space="preserve"> </w:t>
      </w:r>
      <w:r>
        <w:t>Ministerio</w:t>
      </w:r>
      <w:r>
        <w:rPr>
          <w:spacing w:val="-8"/>
        </w:rPr>
        <w:t xml:space="preserve"> </w:t>
      </w:r>
      <w:r>
        <w:t>de</w:t>
      </w:r>
      <w:r>
        <w:rPr>
          <w:spacing w:val="-10"/>
        </w:rPr>
        <w:t xml:space="preserve"> </w:t>
      </w:r>
      <w:r>
        <w:t>Cultura</w:t>
      </w:r>
      <w:r>
        <w:rPr>
          <w:spacing w:val="-9"/>
        </w:rPr>
        <w:t xml:space="preserve"> </w:t>
      </w:r>
      <w:r>
        <w:t>como jefe superior de la administración en su ramo</w:t>
      </w:r>
      <w:r>
        <w:rPr>
          <w:rStyle w:val="Refdenotaalpie"/>
        </w:rPr>
        <w:footnoteReference w:id="2"/>
      </w:r>
      <w:r>
        <w:t>.</w:t>
      </w:r>
    </w:p>
    <w:p w14:paraId="3AB0EEFB" w14:textId="77777777" w:rsidR="00AF2C34" w:rsidRDefault="00AF2C34" w:rsidP="00AF2C34">
      <w:pPr>
        <w:pStyle w:val="Textoindependiente"/>
        <w:spacing w:before="120" w:line="276" w:lineRule="auto"/>
        <w:ind w:left="100" w:right="49" w:firstLine="709"/>
        <w:jc w:val="both"/>
      </w:pPr>
      <w:r>
        <w:lastRenderedPageBreak/>
        <w:t>La Corte Constitucional</w:t>
      </w:r>
      <w:r>
        <w:rPr>
          <w:rStyle w:val="Refdenotaalpie"/>
        </w:rPr>
        <w:footnoteReference w:id="3"/>
      </w:r>
      <w:r>
        <w:t xml:space="preserve"> también los diferenció de los fondos cuenta creados por el legislador como un mecanismo de arbitrio de recursos públicos para el cumplimiento de un fin específico y que son administrados por un ente público bajo el régimen aplicable a este último. Al respecto, el Alto Tribunal consideró lo siguiente:</w:t>
      </w:r>
    </w:p>
    <w:p w14:paraId="30CCE0F6" w14:textId="77777777" w:rsidR="00AF2C34" w:rsidRDefault="00AF2C34" w:rsidP="00AF2C34">
      <w:pPr>
        <w:pStyle w:val="Textoindependiente"/>
        <w:spacing w:before="160"/>
      </w:pPr>
    </w:p>
    <w:p w14:paraId="3EDF05AC" w14:textId="77777777" w:rsidR="00AF2C34" w:rsidRPr="00286282" w:rsidRDefault="00AF2C34" w:rsidP="00AF2C34">
      <w:pPr>
        <w:ind w:left="810" w:right="758"/>
        <w:jc w:val="both"/>
        <w:rPr>
          <w:rFonts w:ascii="Verdana" w:hAnsi="Verdana"/>
          <w:sz w:val="20"/>
        </w:rPr>
      </w:pPr>
      <w:r w:rsidRPr="00286282">
        <w:rPr>
          <w:rFonts w:ascii="Verdana" w:hAnsi="Verdana"/>
          <w:sz w:val="20"/>
        </w:rPr>
        <w:t>“Con</w:t>
      </w:r>
      <w:r w:rsidRPr="00286282">
        <w:rPr>
          <w:rFonts w:ascii="Verdana" w:hAnsi="Verdana"/>
          <w:spacing w:val="-18"/>
          <w:sz w:val="20"/>
        </w:rPr>
        <w:t xml:space="preserve"> </w:t>
      </w:r>
      <w:r w:rsidRPr="00286282">
        <w:rPr>
          <w:rFonts w:ascii="Verdana" w:hAnsi="Verdana"/>
          <w:sz w:val="20"/>
        </w:rPr>
        <w:t>todo,</w:t>
      </w:r>
      <w:r w:rsidRPr="00286282">
        <w:rPr>
          <w:rFonts w:ascii="Verdana" w:hAnsi="Verdana"/>
          <w:spacing w:val="-18"/>
          <w:sz w:val="20"/>
        </w:rPr>
        <w:t xml:space="preserve"> </w:t>
      </w:r>
      <w:r w:rsidRPr="00286282">
        <w:rPr>
          <w:rFonts w:ascii="Verdana" w:hAnsi="Verdana"/>
          <w:sz w:val="20"/>
        </w:rPr>
        <w:t>no</w:t>
      </w:r>
      <w:r w:rsidRPr="00286282">
        <w:rPr>
          <w:rFonts w:ascii="Verdana" w:hAnsi="Verdana"/>
          <w:spacing w:val="-17"/>
          <w:sz w:val="20"/>
        </w:rPr>
        <w:t xml:space="preserve"> </w:t>
      </w:r>
      <w:r w:rsidRPr="00286282">
        <w:rPr>
          <w:rFonts w:ascii="Verdana" w:hAnsi="Verdana"/>
          <w:sz w:val="20"/>
        </w:rPr>
        <w:t>puede</w:t>
      </w:r>
      <w:r w:rsidRPr="00286282">
        <w:rPr>
          <w:rFonts w:ascii="Verdana" w:hAnsi="Verdana"/>
          <w:spacing w:val="-18"/>
          <w:sz w:val="20"/>
        </w:rPr>
        <w:t xml:space="preserve"> </w:t>
      </w:r>
      <w:r w:rsidRPr="00286282">
        <w:rPr>
          <w:rFonts w:ascii="Verdana" w:hAnsi="Verdana"/>
          <w:sz w:val="20"/>
        </w:rPr>
        <w:t>perderse</w:t>
      </w:r>
      <w:r w:rsidRPr="00286282">
        <w:rPr>
          <w:rFonts w:ascii="Verdana" w:hAnsi="Verdana"/>
          <w:spacing w:val="-17"/>
          <w:sz w:val="20"/>
        </w:rPr>
        <w:t xml:space="preserve"> </w:t>
      </w:r>
      <w:r w:rsidRPr="00286282">
        <w:rPr>
          <w:rFonts w:ascii="Verdana" w:hAnsi="Verdana"/>
          <w:sz w:val="20"/>
        </w:rPr>
        <w:t>de</w:t>
      </w:r>
      <w:r w:rsidRPr="00286282">
        <w:rPr>
          <w:rFonts w:ascii="Verdana" w:hAnsi="Verdana"/>
          <w:spacing w:val="-18"/>
          <w:sz w:val="20"/>
        </w:rPr>
        <w:t xml:space="preserve"> </w:t>
      </w:r>
      <w:r w:rsidRPr="00286282">
        <w:rPr>
          <w:rFonts w:ascii="Verdana" w:hAnsi="Verdana"/>
          <w:sz w:val="20"/>
        </w:rPr>
        <w:t>vista</w:t>
      </w:r>
      <w:r w:rsidRPr="00286282">
        <w:rPr>
          <w:rFonts w:ascii="Verdana" w:hAnsi="Verdana"/>
          <w:spacing w:val="-18"/>
          <w:sz w:val="20"/>
        </w:rPr>
        <w:t xml:space="preserve"> </w:t>
      </w:r>
      <w:r w:rsidRPr="00286282">
        <w:rPr>
          <w:rFonts w:ascii="Verdana" w:hAnsi="Verdana"/>
          <w:sz w:val="20"/>
        </w:rPr>
        <w:t>que</w:t>
      </w:r>
      <w:r w:rsidRPr="00286282">
        <w:rPr>
          <w:rFonts w:ascii="Verdana" w:hAnsi="Verdana"/>
          <w:spacing w:val="-17"/>
          <w:sz w:val="20"/>
        </w:rPr>
        <w:t xml:space="preserve"> </w:t>
      </w:r>
      <w:r w:rsidRPr="00286282">
        <w:rPr>
          <w:rFonts w:ascii="Verdana" w:hAnsi="Verdana"/>
          <w:sz w:val="20"/>
        </w:rPr>
        <w:t>los</w:t>
      </w:r>
      <w:r w:rsidRPr="00286282">
        <w:rPr>
          <w:rFonts w:ascii="Verdana" w:hAnsi="Verdana"/>
          <w:spacing w:val="-18"/>
          <w:sz w:val="20"/>
        </w:rPr>
        <w:t xml:space="preserve"> </w:t>
      </w:r>
      <w:r w:rsidRPr="00286282">
        <w:rPr>
          <w:rFonts w:ascii="Verdana" w:hAnsi="Verdana"/>
          <w:sz w:val="20"/>
        </w:rPr>
        <w:t>fondos</w:t>
      </w:r>
      <w:r w:rsidRPr="00286282">
        <w:rPr>
          <w:rFonts w:ascii="Verdana" w:hAnsi="Verdana"/>
          <w:spacing w:val="-17"/>
          <w:sz w:val="20"/>
        </w:rPr>
        <w:t xml:space="preserve"> </w:t>
      </w:r>
      <w:r w:rsidRPr="00286282">
        <w:rPr>
          <w:rFonts w:ascii="Verdana" w:hAnsi="Verdana"/>
          <w:sz w:val="20"/>
        </w:rPr>
        <w:t>mixtos</w:t>
      </w:r>
      <w:r w:rsidRPr="00286282">
        <w:rPr>
          <w:rFonts w:ascii="Verdana" w:hAnsi="Verdana"/>
          <w:spacing w:val="-18"/>
          <w:sz w:val="20"/>
        </w:rPr>
        <w:t xml:space="preserve"> </w:t>
      </w:r>
      <w:r w:rsidRPr="00286282">
        <w:rPr>
          <w:rFonts w:ascii="Verdana" w:hAnsi="Verdana"/>
          <w:sz w:val="20"/>
        </w:rPr>
        <w:t>de</w:t>
      </w:r>
      <w:r w:rsidRPr="00286282">
        <w:rPr>
          <w:rFonts w:ascii="Verdana" w:hAnsi="Verdana"/>
          <w:spacing w:val="-17"/>
          <w:sz w:val="20"/>
        </w:rPr>
        <w:t xml:space="preserve"> </w:t>
      </w:r>
      <w:r w:rsidRPr="00286282">
        <w:rPr>
          <w:rFonts w:ascii="Verdana" w:hAnsi="Verdana"/>
          <w:sz w:val="20"/>
        </w:rPr>
        <w:t>promoción de la cultura y las artes pertenecen a la categoría de los fondos entidad. En efecto, la norma legal mencionada es expresa en indicar que dichos fondos mixtos “son entidades sin ánimo de lucro, dotadas de personería jurídica, constituidas por aportes públicos y privados y regidas en su dirección, administración y contratación por el Derecho Privado sin perjuicio del control fiscal que ejercen las respectivas Contralorías sobre los dineros públicos”. Es precisamente ese carácter institucional de los fondos mixtos explica que el artículo 57 de la Ley 397 los incluya como una de las entidades que integran el Sistema Nacional de Cultura.</w:t>
      </w:r>
    </w:p>
    <w:p w14:paraId="0CE97C31" w14:textId="77777777" w:rsidR="00AF2C34" w:rsidRPr="00286282" w:rsidRDefault="00AF2C34" w:rsidP="00AF2C34">
      <w:pPr>
        <w:ind w:left="810" w:right="758"/>
        <w:jc w:val="both"/>
        <w:rPr>
          <w:rFonts w:ascii="Verdana" w:hAnsi="Verdana"/>
          <w:sz w:val="20"/>
        </w:rPr>
      </w:pPr>
      <w:r w:rsidRPr="00286282">
        <w:rPr>
          <w:rFonts w:ascii="Verdana" w:hAnsi="Verdana"/>
          <w:sz w:val="20"/>
        </w:rPr>
        <w:t>En</w:t>
      </w:r>
      <w:r w:rsidRPr="00286282">
        <w:rPr>
          <w:rFonts w:ascii="Verdana" w:hAnsi="Verdana"/>
          <w:spacing w:val="-12"/>
          <w:sz w:val="20"/>
        </w:rPr>
        <w:t xml:space="preserve"> </w:t>
      </w:r>
      <w:r w:rsidRPr="00286282">
        <w:rPr>
          <w:rFonts w:ascii="Verdana" w:hAnsi="Verdana"/>
          <w:sz w:val="20"/>
        </w:rPr>
        <w:t>cambio,</w:t>
      </w:r>
      <w:r w:rsidRPr="00286282">
        <w:rPr>
          <w:rFonts w:ascii="Verdana" w:hAnsi="Verdana"/>
          <w:spacing w:val="-10"/>
          <w:sz w:val="20"/>
        </w:rPr>
        <w:t xml:space="preserve"> </w:t>
      </w:r>
      <w:r w:rsidRPr="00286282">
        <w:rPr>
          <w:rFonts w:ascii="Verdana" w:hAnsi="Verdana"/>
          <w:sz w:val="20"/>
        </w:rPr>
        <w:t>el</w:t>
      </w:r>
      <w:r w:rsidRPr="00286282">
        <w:rPr>
          <w:rFonts w:ascii="Verdana" w:hAnsi="Verdana"/>
          <w:spacing w:val="-12"/>
          <w:sz w:val="20"/>
        </w:rPr>
        <w:t xml:space="preserve"> </w:t>
      </w:r>
      <w:r w:rsidRPr="00286282">
        <w:rPr>
          <w:rFonts w:ascii="Verdana" w:hAnsi="Verdana"/>
          <w:sz w:val="20"/>
        </w:rPr>
        <w:t>Fondo</w:t>
      </w:r>
      <w:r w:rsidRPr="00286282">
        <w:rPr>
          <w:rFonts w:ascii="Verdana" w:hAnsi="Verdana"/>
          <w:spacing w:val="-11"/>
          <w:sz w:val="20"/>
        </w:rPr>
        <w:t xml:space="preserve"> </w:t>
      </w:r>
      <w:r w:rsidRPr="00286282">
        <w:rPr>
          <w:rFonts w:ascii="Verdana" w:hAnsi="Verdana"/>
          <w:sz w:val="20"/>
        </w:rPr>
        <w:t>Mixto</w:t>
      </w:r>
      <w:r w:rsidRPr="00286282">
        <w:rPr>
          <w:rFonts w:ascii="Verdana" w:hAnsi="Verdana"/>
          <w:spacing w:val="-11"/>
          <w:sz w:val="20"/>
        </w:rPr>
        <w:t xml:space="preserve"> </w:t>
      </w:r>
      <w:r w:rsidRPr="00286282">
        <w:rPr>
          <w:rFonts w:ascii="Verdana" w:hAnsi="Verdana"/>
          <w:sz w:val="20"/>
        </w:rPr>
        <w:t>Manuel</w:t>
      </w:r>
      <w:r w:rsidRPr="00286282">
        <w:rPr>
          <w:rFonts w:ascii="Verdana" w:hAnsi="Verdana"/>
          <w:spacing w:val="-10"/>
          <w:sz w:val="20"/>
        </w:rPr>
        <w:t xml:space="preserve"> </w:t>
      </w:r>
      <w:r w:rsidRPr="00286282">
        <w:rPr>
          <w:rFonts w:ascii="Verdana" w:hAnsi="Verdana"/>
          <w:sz w:val="20"/>
        </w:rPr>
        <w:t>Mejía</w:t>
      </w:r>
      <w:r w:rsidRPr="00286282">
        <w:rPr>
          <w:rFonts w:ascii="Verdana" w:hAnsi="Verdana"/>
          <w:spacing w:val="-11"/>
          <w:sz w:val="20"/>
        </w:rPr>
        <w:t xml:space="preserve"> </w:t>
      </w:r>
      <w:r w:rsidRPr="00286282">
        <w:rPr>
          <w:rFonts w:ascii="Verdana" w:hAnsi="Verdana"/>
          <w:sz w:val="20"/>
        </w:rPr>
        <w:t>Vallejo</w:t>
      </w:r>
      <w:r w:rsidRPr="00286282">
        <w:rPr>
          <w:rFonts w:ascii="Verdana" w:hAnsi="Verdana"/>
          <w:spacing w:val="-10"/>
          <w:sz w:val="20"/>
        </w:rPr>
        <w:t xml:space="preserve"> </w:t>
      </w:r>
      <w:r w:rsidRPr="00286282">
        <w:rPr>
          <w:rFonts w:ascii="Verdana" w:hAnsi="Verdana"/>
          <w:sz w:val="20"/>
        </w:rPr>
        <w:t>de</w:t>
      </w:r>
      <w:r w:rsidRPr="00286282">
        <w:rPr>
          <w:rFonts w:ascii="Verdana" w:hAnsi="Verdana"/>
          <w:spacing w:val="-12"/>
          <w:sz w:val="20"/>
        </w:rPr>
        <w:t xml:space="preserve"> </w:t>
      </w:r>
      <w:r w:rsidRPr="00286282">
        <w:rPr>
          <w:rFonts w:ascii="Verdana" w:hAnsi="Verdana"/>
          <w:sz w:val="20"/>
        </w:rPr>
        <w:t>Promoción</w:t>
      </w:r>
      <w:r w:rsidRPr="00286282">
        <w:rPr>
          <w:rFonts w:ascii="Verdana" w:hAnsi="Verdana"/>
          <w:spacing w:val="-9"/>
          <w:sz w:val="20"/>
        </w:rPr>
        <w:t xml:space="preserve"> </w:t>
      </w:r>
      <w:r w:rsidRPr="00286282">
        <w:rPr>
          <w:rFonts w:ascii="Verdana" w:hAnsi="Verdana"/>
          <w:sz w:val="20"/>
        </w:rPr>
        <w:t>de</w:t>
      </w:r>
      <w:r w:rsidRPr="00286282">
        <w:rPr>
          <w:rFonts w:ascii="Verdana" w:hAnsi="Verdana"/>
          <w:spacing w:val="-12"/>
          <w:sz w:val="20"/>
        </w:rPr>
        <w:t xml:space="preserve"> </w:t>
      </w:r>
      <w:r w:rsidRPr="00286282">
        <w:rPr>
          <w:rFonts w:ascii="Verdana" w:hAnsi="Verdana"/>
          <w:sz w:val="20"/>
        </w:rPr>
        <w:t>la</w:t>
      </w:r>
      <w:r w:rsidRPr="00286282">
        <w:rPr>
          <w:rFonts w:ascii="Verdana" w:hAnsi="Verdana"/>
          <w:spacing w:val="-12"/>
          <w:sz w:val="20"/>
        </w:rPr>
        <w:t xml:space="preserve"> </w:t>
      </w:r>
      <w:r w:rsidRPr="00286282">
        <w:rPr>
          <w:rFonts w:ascii="Verdana" w:hAnsi="Verdana"/>
          <w:sz w:val="20"/>
        </w:rPr>
        <w:t>Cultura y</w:t>
      </w:r>
      <w:r w:rsidRPr="00286282">
        <w:rPr>
          <w:rFonts w:ascii="Verdana" w:hAnsi="Verdana"/>
          <w:spacing w:val="-8"/>
          <w:sz w:val="20"/>
        </w:rPr>
        <w:t xml:space="preserve"> </w:t>
      </w:r>
      <w:r w:rsidRPr="00286282">
        <w:rPr>
          <w:rFonts w:ascii="Verdana" w:hAnsi="Verdana"/>
          <w:sz w:val="20"/>
        </w:rPr>
        <w:t>las</w:t>
      </w:r>
      <w:r w:rsidRPr="00286282">
        <w:rPr>
          <w:rFonts w:ascii="Verdana" w:hAnsi="Verdana"/>
          <w:spacing w:val="-8"/>
          <w:sz w:val="20"/>
        </w:rPr>
        <w:t xml:space="preserve"> </w:t>
      </w:r>
      <w:r w:rsidRPr="00286282">
        <w:rPr>
          <w:rFonts w:ascii="Verdana" w:hAnsi="Verdana"/>
          <w:sz w:val="20"/>
        </w:rPr>
        <w:t>Artes</w:t>
      </w:r>
      <w:r w:rsidRPr="00286282">
        <w:rPr>
          <w:rFonts w:ascii="Verdana" w:hAnsi="Verdana"/>
          <w:spacing w:val="-7"/>
          <w:sz w:val="20"/>
        </w:rPr>
        <w:t xml:space="preserve"> </w:t>
      </w:r>
      <w:r w:rsidRPr="00286282">
        <w:rPr>
          <w:rFonts w:ascii="Verdana" w:hAnsi="Verdana"/>
          <w:sz w:val="20"/>
        </w:rPr>
        <w:t>(i)</w:t>
      </w:r>
      <w:r w:rsidRPr="00286282">
        <w:rPr>
          <w:rFonts w:ascii="Verdana" w:hAnsi="Verdana"/>
          <w:spacing w:val="-8"/>
          <w:sz w:val="20"/>
        </w:rPr>
        <w:t xml:space="preserve"> </w:t>
      </w:r>
      <w:r w:rsidRPr="00286282">
        <w:rPr>
          <w:rFonts w:ascii="Verdana" w:hAnsi="Verdana"/>
          <w:sz w:val="20"/>
        </w:rPr>
        <w:t>es</w:t>
      </w:r>
      <w:r w:rsidRPr="00286282">
        <w:rPr>
          <w:rFonts w:ascii="Verdana" w:hAnsi="Verdana"/>
          <w:spacing w:val="-8"/>
          <w:sz w:val="20"/>
        </w:rPr>
        <w:t xml:space="preserve"> </w:t>
      </w:r>
      <w:r w:rsidRPr="00286282">
        <w:rPr>
          <w:rFonts w:ascii="Verdana" w:hAnsi="Verdana"/>
          <w:sz w:val="20"/>
        </w:rPr>
        <w:t>una</w:t>
      </w:r>
      <w:r w:rsidRPr="00286282">
        <w:rPr>
          <w:rFonts w:ascii="Verdana" w:hAnsi="Verdana"/>
          <w:spacing w:val="-8"/>
          <w:sz w:val="20"/>
        </w:rPr>
        <w:t xml:space="preserve"> </w:t>
      </w:r>
      <w:r w:rsidRPr="00286282">
        <w:rPr>
          <w:rFonts w:ascii="Verdana" w:hAnsi="Verdana"/>
          <w:sz w:val="20"/>
        </w:rPr>
        <w:t>cuenta</w:t>
      </w:r>
      <w:r w:rsidRPr="00286282">
        <w:rPr>
          <w:rFonts w:ascii="Verdana" w:hAnsi="Verdana"/>
          <w:spacing w:val="-7"/>
          <w:sz w:val="20"/>
        </w:rPr>
        <w:t xml:space="preserve"> </w:t>
      </w:r>
      <w:r w:rsidRPr="00286282">
        <w:rPr>
          <w:rFonts w:ascii="Verdana" w:hAnsi="Verdana"/>
          <w:sz w:val="20"/>
        </w:rPr>
        <w:t>especial</w:t>
      </w:r>
      <w:r w:rsidRPr="00286282">
        <w:rPr>
          <w:rFonts w:ascii="Verdana" w:hAnsi="Verdana"/>
          <w:spacing w:val="-6"/>
          <w:sz w:val="20"/>
        </w:rPr>
        <w:t xml:space="preserve"> </w:t>
      </w:r>
      <w:r w:rsidRPr="00286282">
        <w:rPr>
          <w:rFonts w:ascii="Verdana" w:hAnsi="Verdana"/>
          <w:sz w:val="20"/>
        </w:rPr>
        <w:t>sin</w:t>
      </w:r>
      <w:r w:rsidRPr="00286282">
        <w:rPr>
          <w:rFonts w:ascii="Verdana" w:hAnsi="Verdana"/>
          <w:spacing w:val="-7"/>
          <w:sz w:val="20"/>
        </w:rPr>
        <w:t xml:space="preserve"> </w:t>
      </w:r>
      <w:r w:rsidRPr="00286282">
        <w:rPr>
          <w:rFonts w:ascii="Verdana" w:hAnsi="Verdana"/>
          <w:sz w:val="20"/>
        </w:rPr>
        <w:t>personería</w:t>
      </w:r>
      <w:r w:rsidRPr="00286282">
        <w:rPr>
          <w:rFonts w:ascii="Verdana" w:hAnsi="Verdana"/>
          <w:spacing w:val="-6"/>
          <w:sz w:val="20"/>
        </w:rPr>
        <w:t xml:space="preserve"> </w:t>
      </w:r>
      <w:r w:rsidRPr="00286282">
        <w:rPr>
          <w:rFonts w:ascii="Verdana" w:hAnsi="Verdana"/>
          <w:sz w:val="20"/>
        </w:rPr>
        <w:t>jurídica;</w:t>
      </w:r>
      <w:r w:rsidRPr="00286282">
        <w:rPr>
          <w:rFonts w:ascii="Verdana" w:hAnsi="Verdana"/>
          <w:spacing w:val="-6"/>
          <w:sz w:val="20"/>
        </w:rPr>
        <w:t xml:space="preserve"> </w:t>
      </w:r>
      <w:r w:rsidRPr="00286282">
        <w:rPr>
          <w:rFonts w:ascii="Verdana" w:hAnsi="Verdana"/>
          <w:sz w:val="20"/>
        </w:rPr>
        <w:t>(ii)</w:t>
      </w:r>
      <w:r w:rsidRPr="00286282">
        <w:rPr>
          <w:rFonts w:ascii="Verdana" w:hAnsi="Verdana"/>
          <w:spacing w:val="-8"/>
          <w:sz w:val="20"/>
        </w:rPr>
        <w:t xml:space="preserve"> </w:t>
      </w:r>
      <w:r w:rsidRPr="00286282">
        <w:rPr>
          <w:rFonts w:ascii="Verdana" w:hAnsi="Verdana"/>
          <w:sz w:val="20"/>
        </w:rPr>
        <w:t>no</w:t>
      </w:r>
      <w:r w:rsidRPr="00286282">
        <w:rPr>
          <w:rFonts w:ascii="Verdana" w:hAnsi="Verdana"/>
          <w:spacing w:val="-8"/>
          <w:sz w:val="20"/>
        </w:rPr>
        <w:t xml:space="preserve"> </w:t>
      </w:r>
      <w:r w:rsidRPr="00286282">
        <w:rPr>
          <w:rFonts w:ascii="Verdana" w:hAnsi="Verdana"/>
          <w:sz w:val="20"/>
        </w:rPr>
        <w:t>puede, por</w:t>
      </w:r>
      <w:r w:rsidRPr="00286282">
        <w:rPr>
          <w:rFonts w:ascii="Verdana" w:hAnsi="Verdana"/>
          <w:spacing w:val="40"/>
          <w:sz w:val="20"/>
        </w:rPr>
        <w:t xml:space="preserve"> </w:t>
      </w:r>
      <w:r w:rsidRPr="00286282">
        <w:rPr>
          <w:rFonts w:ascii="Verdana" w:hAnsi="Verdana"/>
          <w:sz w:val="20"/>
        </w:rPr>
        <w:t>ende,</w:t>
      </w:r>
      <w:r w:rsidRPr="00286282">
        <w:rPr>
          <w:rFonts w:ascii="Verdana" w:hAnsi="Verdana"/>
          <w:spacing w:val="40"/>
          <w:sz w:val="20"/>
        </w:rPr>
        <w:t xml:space="preserve"> </w:t>
      </w:r>
      <w:r w:rsidRPr="00286282">
        <w:rPr>
          <w:rFonts w:ascii="Verdana" w:hAnsi="Verdana"/>
          <w:sz w:val="20"/>
        </w:rPr>
        <w:t>comprenderse</w:t>
      </w:r>
      <w:r w:rsidRPr="00286282">
        <w:rPr>
          <w:rFonts w:ascii="Verdana" w:hAnsi="Verdana"/>
          <w:spacing w:val="40"/>
          <w:sz w:val="20"/>
        </w:rPr>
        <w:t xml:space="preserve"> </w:t>
      </w:r>
      <w:r w:rsidRPr="00286282">
        <w:rPr>
          <w:rFonts w:ascii="Verdana" w:hAnsi="Verdana"/>
          <w:sz w:val="20"/>
        </w:rPr>
        <w:t>como</w:t>
      </w:r>
      <w:r w:rsidRPr="00286282">
        <w:rPr>
          <w:rFonts w:ascii="Verdana" w:hAnsi="Verdana"/>
          <w:spacing w:val="40"/>
          <w:sz w:val="20"/>
        </w:rPr>
        <w:t xml:space="preserve"> </w:t>
      </w:r>
      <w:r w:rsidRPr="00286282">
        <w:rPr>
          <w:rFonts w:ascii="Verdana" w:hAnsi="Verdana"/>
          <w:sz w:val="20"/>
        </w:rPr>
        <w:t>una</w:t>
      </w:r>
      <w:r w:rsidRPr="00286282">
        <w:rPr>
          <w:rFonts w:ascii="Verdana" w:hAnsi="Verdana"/>
          <w:spacing w:val="40"/>
          <w:sz w:val="20"/>
        </w:rPr>
        <w:t xml:space="preserve"> </w:t>
      </w:r>
      <w:r w:rsidRPr="00286282">
        <w:rPr>
          <w:rFonts w:ascii="Verdana" w:hAnsi="Verdana"/>
          <w:sz w:val="20"/>
        </w:rPr>
        <w:t>“entidad”;</w:t>
      </w:r>
      <w:r w:rsidRPr="00286282">
        <w:rPr>
          <w:rFonts w:ascii="Verdana" w:hAnsi="Verdana"/>
          <w:spacing w:val="40"/>
          <w:sz w:val="20"/>
        </w:rPr>
        <w:t xml:space="preserve"> </w:t>
      </w:r>
      <w:r w:rsidRPr="00286282">
        <w:rPr>
          <w:rFonts w:ascii="Verdana" w:hAnsi="Verdana"/>
          <w:sz w:val="20"/>
        </w:rPr>
        <w:t>y</w:t>
      </w:r>
      <w:r w:rsidRPr="00286282">
        <w:rPr>
          <w:rFonts w:ascii="Verdana" w:hAnsi="Verdana"/>
          <w:spacing w:val="40"/>
          <w:sz w:val="20"/>
        </w:rPr>
        <w:t xml:space="preserve"> </w:t>
      </w:r>
      <w:r w:rsidRPr="00286282">
        <w:rPr>
          <w:rFonts w:ascii="Verdana" w:hAnsi="Verdana"/>
          <w:sz w:val="20"/>
        </w:rPr>
        <w:t>(iii)</w:t>
      </w:r>
      <w:r w:rsidRPr="00286282">
        <w:rPr>
          <w:rFonts w:ascii="Verdana" w:hAnsi="Verdana"/>
          <w:spacing w:val="40"/>
          <w:sz w:val="20"/>
        </w:rPr>
        <w:t xml:space="preserve"> </w:t>
      </w:r>
      <w:r w:rsidRPr="00286282">
        <w:rPr>
          <w:rFonts w:ascii="Verdana" w:hAnsi="Verdana"/>
          <w:sz w:val="20"/>
        </w:rPr>
        <w:t>su</w:t>
      </w:r>
      <w:r w:rsidRPr="00286282">
        <w:rPr>
          <w:rFonts w:ascii="Verdana" w:hAnsi="Verdana"/>
          <w:spacing w:val="40"/>
          <w:sz w:val="20"/>
        </w:rPr>
        <w:t xml:space="preserve"> </w:t>
      </w:r>
      <w:r w:rsidRPr="00286282">
        <w:rPr>
          <w:rFonts w:ascii="Verdana" w:hAnsi="Verdana"/>
          <w:sz w:val="20"/>
        </w:rPr>
        <w:t>administración corresponde</w:t>
      </w:r>
      <w:r w:rsidRPr="00286282">
        <w:rPr>
          <w:rFonts w:ascii="Verdana" w:hAnsi="Verdana"/>
          <w:spacing w:val="-2"/>
          <w:sz w:val="20"/>
        </w:rPr>
        <w:t xml:space="preserve"> </w:t>
      </w:r>
      <w:r w:rsidRPr="00286282">
        <w:rPr>
          <w:rFonts w:ascii="Verdana" w:hAnsi="Verdana"/>
          <w:sz w:val="20"/>
        </w:rPr>
        <w:t>al</w:t>
      </w:r>
      <w:r w:rsidRPr="00286282">
        <w:rPr>
          <w:rFonts w:ascii="Verdana" w:hAnsi="Verdana"/>
          <w:spacing w:val="-5"/>
          <w:sz w:val="20"/>
        </w:rPr>
        <w:t xml:space="preserve"> </w:t>
      </w:r>
      <w:r w:rsidRPr="00286282">
        <w:rPr>
          <w:rFonts w:ascii="Verdana" w:hAnsi="Verdana"/>
          <w:sz w:val="20"/>
        </w:rPr>
        <w:t>Ministerio</w:t>
      </w:r>
      <w:r w:rsidRPr="00286282">
        <w:rPr>
          <w:rFonts w:ascii="Verdana" w:hAnsi="Verdana"/>
          <w:spacing w:val="-2"/>
          <w:sz w:val="20"/>
        </w:rPr>
        <w:t xml:space="preserve"> </w:t>
      </w:r>
      <w:r w:rsidRPr="00286282">
        <w:rPr>
          <w:rFonts w:ascii="Verdana" w:hAnsi="Verdana"/>
          <w:sz w:val="20"/>
        </w:rPr>
        <w:t>de</w:t>
      </w:r>
      <w:r w:rsidRPr="00286282">
        <w:rPr>
          <w:rFonts w:ascii="Verdana" w:hAnsi="Verdana"/>
          <w:spacing w:val="-5"/>
          <w:sz w:val="20"/>
        </w:rPr>
        <w:t xml:space="preserve"> </w:t>
      </w:r>
      <w:r w:rsidRPr="00286282">
        <w:rPr>
          <w:rFonts w:ascii="Verdana" w:hAnsi="Verdana"/>
          <w:sz w:val="20"/>
        </w:rPr>
        <w:t>Cultura,</w:t>
      </w:r>
      <w:r w:rsidRPr="00286282">
        <w:rPr>
          <w:rFonts w:ascii="Verdana" w:hAnsi="Verdana"/>
          <w:spacing w:val="-3"/>
          <w:sz w:val="20"/>
        </w:rPr>
        <w:t xml:space="preserve"> </w:t>
      </w:r>
      <w:r w:rsidRPr="00286282">
        <w:rPr>
          <w:rFonts w:ascii="Verdana" w:hAnsi="Verdana"/>
          <w:sz w:val="20"/>
        </w:rPr>
        <w:t>lo</w:t>
      </w:r>
      <w:r w:rsidRPr="00286282">
        <w:rPr>
          <w:rFonts w:ascii="Verdana" w:hAnsi="Verdana"/>
          <w:spacing w:val="-5"/>
          <w:sz w:val="20"/>
        </w:rPr>
        <w:t xml:space="preserve"> </w:t>
      </w:r>
      <w:r w:rsidRPr="00286282">
        <w:rPr>
          <w:rFonts w:ascii="Verdana" w:hAnsi="Verdana"/>
          <w:sz w:val="20"/>
        </w:rPr>
        <w:t>que</w:t>
      </w:r>
      <w:r w:rsidRPr="00286282">
        <w:rPr>
          <w:rFonts w:ascii="Verdana" w:hAnsi="Verdana"/>
          <w:spacing w:val="-4"/>
          <w:sz w:val="20"/>
        </w:rPr>
        <w:t xml:space="preserve"> </w:t>
      </w:r>
      <w:r w:rsidRPr="00286282">
        <w:rPr>
          <w:rFonts w:ascii="Verdana" w:hAnsi="Verdana"/>
          <w:sz w:val="20"/>
        </w:rPr>
        <w:t>justifica</w:t>
      </w:r>
      <w:r w:rsidRPr="00286282">
        <w:rPr>
          <w:rFonts w:ascii="Verdana" w:hAnsi="Verdana"/>
          <w:spacing w:val="-3"/>
          <w:sz w:val="20"/>
        </w:rPr>
        <w:t xml:space="preserve"> </w:t>
      </w:r>
      <w:r w:rsidRPr="00286282">
        <w:rPr>
          <w:rFonts w:ascii="Verdana" w:hAnsi="Verdana"/>
          <w:sz w:val="20"/>
        </w:rPr>
        <w:t>que</w:t>
      </w:r>
      <w:r w:rsidRPr="00286282">
        <w:rPr>
          <w:rFonts w:ascii="Verdana" w:hAnsi="Verdana"/>
          <w:spacing w:val="-4"/>
          <w:sz w:val="20"/>
        </w:rPr>
        <w:t xml:space="preserve"> </w:t>
      </w:r>
      <w:r w:rsidRPr="00286282">
        <w:rPr>
          <w:rFonts w:ascii="Verdana" w:hAnsi="Verdana"/>
          <w:sz w:val="20"/>
        </w:rPr>
        <w:t>los</w:t>
      </w:r>
      <w:r w:rsidRPr="00286282">
        <w:rPr>
          <w:rFonts w:ascii="Verdana" w:hAnsi="Verdana"/>
          <w:spacing w:val="-5"/>
          <w:sz w:val="20"/>
        </w:rPr>
        <w:t xml:space="preserve"> </w:t>
      </w:r>
      <w:r w:rsidRPr="00286282">
        <w:rPr>
          <w:rFonts w:ascii="Verdana" w:hAnsi="Verdana"/>
          <w:sz w:val="20"/>
        </w:rPr>
        <w:t>contratos</w:t>
      </w:r>
      <w:r w:rsidRPr="00286282">
        <w:rPr>
          <w:rFonts w:ascii="Verdana" w:hAnsi="Verdana"/>
          <w:spacing w:val="-3"/>
          <w:sz w:val="20"/>
        </w:rPr>
        <w:t xml:space="preserve"> </w:t>
      </w:r>
      <w:r w:rsidRPr="00286282">
        <w:rPr>
          <w:rFonts w:ascii="Verdana" w:hAnsi="Verdana"/>
          <w:sz w:val="20"/>
        </w:rPr>
        <w:t>que se</w:t>
      </w:r>
      <w:r w:rsidRPr="00286282">
        <w:rPr>
          <w:rFonts w:ascii="Verdana" w:hAnsi="Verdana"/>
          <w:spacing w:val="40"/>
          <w:sz w:val="20"/>
        </w:rPr>
        <w:t xml:space="preserve"> </w:t>
      </w:r>
      <w:r w:rsidRPr="00286282">
        <w:rPr>
          <w:rFonts w:ascii="Verdana" w:hAnsi="Verdana"/>
          <w:sz w:val="20"/>
        </w:rPr>
        <w:t>celebren</w:t>
      </w:r>
      <w:r w:rsidRPr="00286282">
        <w:rPr>
          <w:rFonts w:ascii="Verdana" w:hAnsi="Verdana"/>
          <w:spacing w:val="40"/>
          <w:sz w:val="20"/>
        </w:rPr>
        <w:t xml:space="preserve"> </w:t>
      </w:r>
      <w:r w:rsidRPr="00286282">
        <w:rPr>
          <w:rFonts w:ascii="Verdana" w:hAnsi="Verdana"/>
          <w:sz w:val="20"/>
        </w:rPr>
        <w:t>en</w:t>
      </w:r>
      <w:r w:rsidRPr="00286282">
        <w:rPr>
          <w:rFonts w:ascii="Verdana" w:hAnsi="Verdana"/>
          <w:spacing w:val="40"/>
          <w:sz w:val="20"/>
        </w:rPr>
        <w:t xml:space="preserve"> </w:t>
      </w:r>
      <w:r w:rsidRPr="00286282">
        <w:rPr>
          <w:rFonts w:ascii="Verdana" w:hAnsi="Verdana"/>
          <w:sz w:val="20"/>
        </w:rPr>
        <w:t>relación</w:t>
      </w:r>
      <w:r w:rsidRPr="00286282">
        <w:rPr>
          <w:rFonts w:ascii="Verdana" w:hAnsi="Verdana"/>
          <w:spacing w:val="40"/>
          <w:sz w:val="20"/>
        </w:rPr>
        <w:t xml:space="preserve"> </w:t>
      </w:r>
      <w:r w:rsidRPr="00286282">
        <w:rPr>
          <w:rFonts w:ascii="Verdana" w:hAnsi="Verdana"/>
          <w:sz w:val="20"/>
        </w:rPr>
        <w:t>con</w:t>
      </w:r>
      <w:r w:rsidRPr="00286282">
        <w:rPr>
          <w:rFonts w:ascii="Verdana" w:hAnsi="Verdana"/>
          <w:spacing w:val="40"/>
          <w:sz w:val="20"/>
        </w:rPr>
        <w:t xml:space="preserve"> </w:t>
      </w:r>
      <w:r w:rsidRPr="00286282">
        <w:rPr>
          <w:rFonts w:ascii="Verdana" w:hAnsi="Verdana"/>
          <w:sz w:val="20"/>
        </w:rPr>
        <w:t>el</w:t>
      </w:r>
      <w:r w:rsidRPr="00286282">
        <w:rPr>
          <w:rFonts w:ascii="Verdana" w:hAnsi="Verdana"/>
          <w:spacing w:val="40"/>
          <w:sz w:val="20"/>
        </w:rPr>
        <w:t xml:space="preserve"> </w:t>
      </w:r>
      <w:r w:rsidRPr="00286282">
        <w:rPr>
          <w:rFonts w:ascii="Verdana" w:hAnsi="Verdana"/>
          <w:sz w:val="20"/>
        </w:rPr>
        <w:t>mismo,</w:t>
      </w:r>
      <w:r w:rsidRPr="00286282">
        <w:rPr>
          <w:rFonts w:ascii="Verdana" w:hAnsi="Verdana"/>
          <w:spacing w:val="40"/>
          <w:sz w:val="20"/>
        </w:rPr>
        <w:t xml:space="preserve"> </w:t>
      </w:r>
      <w:r w:rsidRPr="00286282">
        <w:rPr>
          <w:rFonts w:ascii="Verdana" w:hAnsi="Verdana"/>
          <w:sz w:val="20"/>
        </w:rPr>
        <w:t>como</w:t>
      </w:r>
      <w:r w:rsidRPr="00286282">
        <w:rPr>
          <w:rFonts w:ascii="Verdana" w:hAnsi="Verdana"/>
          <w:spacing w:val="40"/>
          <w:sz w:val="20"/>
        </w:rPr>
        <w:t xml:space="preserve"> </w:t>
      </w:r>
      <w:r w:rsidRPr="00286282">
        <w:rPr>
          <w:rFonts w:ascii="Verdana" w:hAnsi="Verdana"/>
          <w:sz w:val="20"/>
        </w:rPr>
        <w:t>lo</w:t>
      </w:r>
      <w:r w:rsidRPr="00286282">
        <w:rPr>
          <w:rFonts w:ascii="Verdana" w:hAnsi="Verdana"/>
          <w:spacing w:val="40"/>
          <w:sz w:val="20"/>
        </w:rPr>
        <w:t xml:space="preserve"> </w:t>
      </w:r>
      <w:r w:rsidRPr="00286282">
        <w:rPr>
          <w:rFonts w:ascii="Verdana" w:hAnsi="Verdana"/>
          <w:sz w:val="20"/>
        </w:rPr>
        <w:t>dispone</w:t>
      </w:r>
      <w:r w:rsidRPr="00286282">
        <w:rPr>
          <w:rFonts w:ascii="Verdana" w:hAnsi="Verdana"/>
          <w:spacing w:val="40"/>
          <w:sz w:val="20"/>
        </w:rPr>
        <w:t xml:space="preserve"> </w:t>
      </w:r>
      <w:r w:rsidRPr="00286282">
        <w:rPr>
          <w:rFonts w:ascii="Verdana" w:hAnsi="Verdana"/>
          <w:sz w:val="20"/>
        </w:rPr>
        <w:t>el</w:t>
      </w:r>
      <w:r w:rsidRPr="00286282">
        <w:rPr>
          <w:rFonts w:ascii="Verdana" w:hAnsi="Verdana"/>
          <w:spacing w:val="40"/>
          <w:sz w:val="20"/>
        </w:rPr>
        <w:t xml:space="preserve"> </w:t>
      </w:r>
      <w:r w:rsidRPr="00286282">
        <w:rPr>
          <w:rFonts w:ascii="Verdana" w:hAnsi="Verdana"/>
          <w:sz w:val="20"/>
        </w:rPr>
        <w:t>artículo</w:t>
      </w:r>
      <w:r w:rsidRPr="00286282">
        <w:rPr>
          <w:rFonts w:ascii="Verdana" w:hAnsi="Verdana"/>
          <w:spacing w:val="40"/>
          <w:sz w:val="20"/>
        </w:rPr>
        <w:t xml:space="preserve"> </w:t>
      </w:r>
      <w:r w:rsidRPr="00286282">
        <w:rPr>
          <w:rFonts w:ascii="Verdana" w:hAnsi="Verdana"/>
          <w:sz w:val="20"/>
        </w:rPr>
        <w:t>11 objetado,</w:t>
      </w:r>
      <w:r w:rsidRPr="00286282">
        <w:rPr>
          <w:rFonts w:ascii="Verdana" w:hAnsi="Verdana"/>
          <w:spacing w:val="80"/>
          <w:sz w:val="20"/>
        </w:rPr>
        <w:t xml:space="preserve"> </w:t>
      </w:r>
      <w:r w:rsidRPr="00286282">
        <w:rPr>
          <w:rFonts w:ascii="Verdana" w:hAnsi="Verdana"/>
          <w:sz w:val="20"/>
        </w:rPr>
        <w:t>se</w:t>
      </w:r>
      <w:r w:rsidRPr="00286282">
        <w:rPr>
          <w:rFonts w:ascii="Verdana" w:hAnsi="Verdana"/>
          <w:spacing w:val="80"/>
          <w:sz w:val="20"/>
        </w:rPr>
        <w:t xml:space="preserve"> </w:t>
      </w:r>
      <w:r w:rsidRPr="00286282">
        <w:rPr>
          <w:rFonts w:ascii="Verdana" w:hAnsi="Verdana"/>
          <w:sz w:val="20"/>
        </w:rPr>
        <w:t>rijan</w:t>
      </w:r>
      <w:r w:rsidRPr="00286282">
        <w:rPr>
          <w:rFonts w:ascii="Verdana" w:hAnsi="Verdana"/>
          <w:spacing w:val="80"/>
          <w:sz w:val="20"/>
        </w:rPr>
        <w:t xml:space="preserve"> </w:t>
      </w:r>
      <w:r w:rsidRPr="00286282">
        <w:rPr>
          <w:rFonts w:ascii="Verdana" w:hAnsi="Verdana"/>
          <w:sz w:val="20"/>
        </w:rPr>
        <w:t>por</w:t>
      </w:r>
      <w:r w:rsidRPr="00286282">
        <w:rPr>
          <w:rFonts w:ascii="Verdana" w:hAnsi="Verdana"/>
          <w:spacing w:val="80"/>
          <w:sz w:val="20"/>
        </w:rPr>
        <w:t xml:space="preserve"> </w:t>
      </w:r>
      <w:r w:rsidRPr="00286282">
        <w:rPr>
          <w:rFonts w:ascii="Verdana" w:hAnsi="Verdana"/>
          <w:sz w:val="20"/>
        </w:rPr>
        <w:t>el</w:t>
      </w:r>
      <w:r w:rsidRPr="00286282">
        <w:rPr>
          <w:rFonts w:ascii="Verdana" w:hAnsi="Verdana"/>
          <w:spacing w:val="80"/>
          <w:sz w:val="20"/>
        </w:rPr>
        <w:t xml:space="preserve"> </w:t>
      </w:r>
      <w:r w:rsidRPr="00286282">
        <w:rPr>
          <w:rFonts w:ascii="Verdana" w:hAnsi="Verdana"/>
          <w:sz w:val="20"/>
        </w:rPr>
        <w:t>Estatuto</w:t>
      </w:r>
      <w:r w:rsidRPr="00286282">
        <w:rPr>
          <w:rFonts w:ascii="Verdana" w:hAnsi="Verdana"/>
          <w:spacing w:val="80"/>
          <w:sz w:val="20"/>
        </w:rPr>
        <w:t xml:space="preserve"> </w:t>
      </w:r>
      <w:r w:rsidRPr="00286282">
        <w:rPr>
          <w:rFonts w:ascii="Verdana" w:hAnsi="Verdana"/>
          <w:sz w:val="20"/>
        </w:rPr>
        <w:t>General</w:t>
      </w:r>
      <w:r w:rsidRPr="00286282">
        <w:rPr>
          <w:rFonts w:ascii="Verdana" w:hAnsi="Verdana"/>
          <w:spacing w:val="80"/>
          <w:sz w:val="20"/>
        </w:rPr>
        <w:t xml:space="preserve"> </w:t>
      </w:r>
      <w:r w:rsidRPr="00286282">
        <w:rPr>
          <w:rFonts w:ascii="Verdana" w:hAnsi="Verdana"/>
          <w:sz w:val="20"/>
        </w:rPr>
        <w:t>de</w:t>
      </w:r>
      <w:r w:rsidRPr="00286282">
        <w:rPr>
          <w:rFonts w:ascii="Verdana" w:hAnsi="Verdana"/>
          <w:spacing w:val="80"/>
          <w:sz w:val="20"/>
        </w:rPr>
        <w:t xml:space="preserve"> </w:t>
      </w:r>
      <w:r w:rsidRPr="00286282">
        <w:rPr>
          <w:rFonts w:ascii="Verdana" w:hAnsi="Verdana"/>
          <w:sz w:val="20"/>
        </w:rPr>
        <w:t>Contratación</w:t>
      </w:r>
      <w:r w:rsidRPr="00286282">
        <w:rPr>
          <w:rFonts w:ascii="Verdana" w:hAnsi="Verdana"/>
          <w:spacing w:val="80"/>
          <w:sz w:val="20"/>
        </w:rPr>
        <w:t xml:space="preserve"> </w:t>
      </w:r>
      <w:r w:rsidRPr="00286282">
        <w:rPr>
          <w:rFonts w:ascii="Verdana" w:hAnsi="Verdana"/>
          <w:sz w:val="20"/>
        </w:rPr>
        <w:t>de</w:t>
      </w:r>
      <w:r w:rsidRPr="00286282">
        <w:rPr>
          <w:rFonts w:ascii="Verdana" w:hAnsi="Verdana"/>
          <w:spacing w:val="80"/>
          <w:sz w:val="20"/>
        </w:rPr>
        <w:t xml:space="preserve"> </w:t>
      </w:r>
      <w:r w:rsidRPr="00286282">
        <w:rPr>
          <w:rFonts w:ascii="Verdana" w:hAnsi="Verdana"/>
          <w:sz w:val="20"/>
        </w:rPr>
        <w:t>la Administración</w:t>
      </w:r>
      <w:r w:rsidRPr="00286282">
        <w:rPr>
          <w:rFonts w:ascii="Verdana" w:hAnsi="Verdana"/>
          <w:spacing w:val="40"/>
          <w:sz w:val="20"/>
        </w:rPr>
        <w:t xml:space="preserve"> </w:t>
      </w:r>
      <w:r w:rsidRPr="00286282">
        <w:rPr>
          <w:rFonts w:ascii="Verdana" w:hAnsi="Verdana"/>
          <w:sz w:val="20"/>
        </w:rPr>
        <w:t>Pública.</w:t>
      </w:r>
      <w:r w:rsidRPr="00286282">
        <w:rPr>
          <w:rFonts w:ascii="Verdana" w:hAnsi="Verdana"/>
          <w:spacing w:val="40"/>
          <w:sz w:val="20"/>
        </w:rPr>
        <w:t xml:space="preserve"> </w:t>
      </w:r>
      <w:r w:rsidRPr="00286282">
        <w:rPr>
          <w:rFonts w:ascii="Verdana" w:hAnsi="Verdana"/>
          <w:sz w:val="20"/>
        </w:rPr>
        <w:t>Esto</w:t>
      </w:r>
      <w:r w:rsidRPr="00286282">
        <w:rPr>
          <w:rFonts w:ascii="Verdana" w:hAnsi="Verdana"/>
          <w:spacing w:val="40"/>
          <w:sz w:val="20"/>
        </w:rPr>
        <w:t xml:space="preserve"> </w:t>
      </w:r>
      <w:r w:rsidRPr="00286282">
        <w:rPr>
          <w:rFonts w:ascii="Verdana" w:hAnsi="Verdana"/>
          <w:sz w:val="20"/>
        </w:rPr>
        <w:t>por</w:t>
      </w:r>
      <w:r w:rsidRPr="00286282">
        <w:rPr>
          <w:rFonts w:ascii="Verdana" w:hAnsi="Verdana"/>
          <w:spacing w:val="40"/>
          <w:sz w:val="20"/>
        </w:rPr>
        <w:t xml:space="preserve"> </w:t>
      </w:r>
      <w:r w:rsidRPr="00286282">
        <w:rPr>
          <w:rFonts w:ascii="Verdana" w:hAnsi="Verdana"/>
          <w:sz w:val="20"/>
        </w:rPr>
        <w:t>la</w:t>
      </w:r>
      <w:r w:rsidRPr="00286282">
        <w:rPr>
          <w:rFonts w:ascii="Verdana" w:hAnsi="Verdana"/>
          <w:spacing w:val="40"/>
          <w:sz w:val="20"/>
        </w:rPr>
        <w:t xml:space="preserve"> </w:t>
      </w:r>
      <w:r w:rsidRPr="00286282">
        <w:rPr>
          <w:rFonts w:ascii="Verdana" w:hAnsi="Verdana"/>
          <w:sz w:val="20"/>
        </w:rPr>
        <w:t>simple</w:t>
      </w:r>
      <w:r w:rsidRPr="00286282">
        <w:rPr>
          <w:rFonts w:ascii="Verdana" w:hAnsi="Verdana"/>
          <w:spacing w:val="40"/>
          <w:sz w:val="20"/>
        </w:rPr>
        <w:t xml:space="preserve"> </w:t>
      </w:r>
      <w:r w:rsidRPr="00286282">
        <w:rPr>
          <w:rFonts w:ascii="Verdana" w:hAnsi="Verdana"/>
          <w:sz w:val="20"/>
        </w:rPr>
        <w:t>razón</w:t>
      </w:r>
      <w:r w:rsidRPr="00286282">
        <w:rPr>
          <w:rFonts w:ascii="Verdana" w:hAnsi="Verdana"/>
          <w:spacing w:val="40"/>
          <w:sz w:val="20"/>
        </w:rPr>
        <w:t xml:space="preserve"> </w:t>
      </w:r>
      <w:r w:rsidRPr="00286282">
        <w:rPr>
          <w:rFonts w:ascii="Verdana" w:hAnsi="Verdana"/>
          <w:sz w:val="20"/>
        </w:rPr>
        <w:t>que</w:t>
      </w:r>
      <w:r w:rsidRPr="00286282">
        <w:rPr>
          <w:rFonts w:ascii="Verdana" w:hAnsi="Verdana"/>
          <w:spacing w:val="40"/>
          <w:sz w:val="20"/>
        </w:rPr>
        <w:t xml:space="preserve"> </w:t>
      </w:r>
      <w:r w:rsidRPr="00286282">
        <w:rPr>
          <w:rFonts w:ascii="Verdana" w:hAnsi="Verdana"/>
          <w:sz w:val="20"/>
        </w:rPr>
        <w:t>tales</w:t>
      </w:r>
      <w:r w:rsidRPr="00286282">
        <w:rPr>
          <w:rFonts w:ascii="Verdana" w:hAnsi="Verdana"/>
          <w:spacing w:val="40"/>
          <w:sz w:val="20"/>
        </w:rPr>
        <w:t xml:space="preserve"> </w:t>
      </w:r>
      <w:r w:rsidRPr="00286282">
        <w:rPr>
          <w:rFonts w:ascii="Verdana" w:hAnsi="Verdana"/>
          <w:sz w:val="20"/>
        </w:rPr>
        <w:t>procesos</w:t>
      </w:r>
      <w:r w:rsidRPr="00286282">
        <w:rPr>
          <w:rFonts w:ascii="Verdana" w:hAnsi="Verdana"/>
          <w:spacing w:val="40"/>
          <w:sz w:val="20"/>
        </w:rPr>
        <w:t xml:space="preserve"> </w:t>
      </w:r>
      <w:r w:rsidRPr="00286282">
        <w:rPr>
          <w:rFonts w:ascii="Verdana" w:hAnsi="Verdana"/>
          <w:sz w:val="20"/>
        </w:rPr>
        <w:t>contractuales</w:t>
      </w:r>
      <w:r w:rsidRPr="00286282">
        <w:rPr>
          <w:rFonts w:ascii="Verdana" w:hAnsi="Verdana"/>
          <w:spacing w:val="-18"/>
          <w:sz w:val="20"/>
        </w:rPr>
        <w:t xml:space="preserve"> </w:t>
      </w:r>
      <w:r w:rsidRPr="00286282">
        <w:rPr>
          <w:rFonts w:ascii="Verdana" w:hAnsi="Verdana"/>
          <w:sz w:val="20"/>
        </w:rPr>
        <w:t>estarán</w:t>
      </w:r>
      <w:r w:rsidRPr="00286282">
        <w:rPr>
          <w:rFonts w:ascii="Verdana" w:hAnsi="Verdana"/>
          <w:spacing w:val="-18"/>
          <w:sz w:val="20"/>
        </w:rPr>
        <w:t xml:space="preserve"> </w:t>
      </w:r>
      <w:r w:rsidRPr="00286282">
        <w:rPr>
          <w:rFonts w:ascii="Verdana" w:hAnsi="Verdana"/>
          <w:sz w:val="20"/>
        </w:rPr>
        <w:t>a</w:t>
      </w:r>
      <w:r w:rsidRPr="00286282">
        <w:rPr>
          <w:rFonts w:ascii="Verdana" w:hAnsi="Verdana"/>
          <w:spacing w:val="-17"/>
          <w:sz w:val="20"/>
        </w:rPr>
        <w:t xml:space="preserve"> </w:t>
      </w:r>
      <w:r w:rsidRPr="00286282">
        <w:rPr>
          <w:rFonts w:ascii="Verdana" w:hAnsi="Verdana"/>
          <w:sz w:val="20"/>
        </w:rPr>
        <w:t>cargo</w:t>
      </w:r>
      <w:r w:rsidRPr="00286282">
        <w:rPr>
          <w:rFonts w:ascii="Verdana" w:hAnsi="Verdana"/>
          <w:spacing w:val="-18"/>
          <w:sz w:val="20"/>
        </w:rPr>
        <w:t xml:space="preserve"> </w:t>
      </w:r>
      <w:r w:rsidRPr="00286282">
        <w:rPr>
          <w:rFonts w:ascii="Verdana" w:hAnsi="Verdana"/>
          <w:sz w:val="20"/>
        </w:rPr>
        <w:t>del</w:t>
      </w:r>
      <w:r w:rsidRPr="00286282">
        <w:rPr>
          <w:rFonts w:ascii="Verdana" w:hAnsi="Verdana"/>
          <w:spacing w:val="-17"/>
          <w:sz w:val="20"/>
        </w:rPr>
        <w:t xml:space="preserve"> </w:t>
      </w:r>
      <w:r w:rsidRPr="00286282">
        <w:rPr>
          <w:rFonts w:ascii="Verdana" w:hAnsi="Verdana"/>
          <w:sz w:val="20"/>
        </w:rPr>
        <w:t>Ministerio</w:t>
      </w:r>
      <w:r w:rsidRPr="00286282">
        <w:rPr>
          <w:rFonts w:ascii="Verdana" w:hAnsi="Verdana"/>
          <w:spacing w:val="-18"/>
          <w:sz w:val="20"/>
        </w:rPr>
        <w:t xml:space="preserve"> </w:t>
      </w:r>
      <w:r w:rsidRPr="00286282">
        <w:rPr>
          <w:rFonts w:ascii="Verdana" w:hAnsi="Verdana"/>
          <w:sz w:val="20"/>
        </w:rPr>
        <w:t>de</w:t>
      </w:r>
      <w:r w:rsidRPr="00286282">
        <w:rPr>
          <w:rFonts w:ascii="Verdana" w:hAnsi="Verdana"/>
          <w:spacing w:val="-18"/>
          <w:sz w:val="20"/>
        </w:rPr>
        <w:t xml:space="preserve"> </w:t>
      </w:r>
      <w:r w:rsidRPr="00286282">
        <w:rPr>
          <w:rFonts w:ascii="Verdana" w:hAnsi="Verdana"/>
          <w:sz w:val="20"/>
        </w:rPr>
        <w:t>Cultura</w:t>
      </w:r>
      <w:r w:rsidRPr="00286282">
        <w:rPr>
          <w:rFonts w:ascii="Verdana" w:hAnsi="Verdana"/>
          <w:spacing w:val="-17"/>
          <w:sz w:val="20"/>
        </w:rPr>
        <w:t xml:space="preserve"> </w:t>
      </w:r>
      <w:r w:rsidRPr="00286282">
        <w:rPr>
          <w:rFonts w:ascii="Verdana" w:hAnsi="Verdana"/>
          <w:sz w:val="20"/>
        </w:rPr>
        <w:t>pues</w:t>
      </w:r>
      <w:r w:rsidRPr="00286282">
        <w:rPr>
          <w:rFonts w:ascii="Verdana" w:hAnsi="Verdana"/>
          <w:spacing w:val="-18"/>
          <w:sz w:val="20"/>
        </w:rPr>
        <w:t xml:space="preserve"> </w:t>
      </w:r>
      <w:r w:rsidRPr="00286282">
        <w:rPr>
          <w:rFonts w:ascii="Verdana" w:hAnsi="Verdana"/>
          <w:sz w:val="20"/>
        </w:rPr>
        <w:t>el</w:t>
      </w:r>
      <w:r w:rsidRPr="00286282">
        <w:rPr>
          <w:rFonts w:ascii="Verdana" w:hAnsi="Verdana"/>
          <w:spacing w:val="-17"/>
          <w:sz w:val="20"/>
        </w:rPr>
        <w:t xml:space="preserve"> </w:t>
      </w:r>
      <w:r w:rsidRPr="00286282">
        <w:rPr>
          <w:rFonts w:ascii="Verdana" w:hAnsi="Verdana"/>
          <w:sz w:val="20"/>
        </w:rPr>
        <w:t>Fondo</w:t>
      </w:r>
      <w:r w:rsidRPr="00286282">
        <w:rPr>
          <w:rFonts w:ascii="Verdana" w:hAnsi="Verdana"/>
          <w:spacing w:val="-18"/>
          <w:sz w:val="20"/>
        </w:rPr>
        <w:t xml:space="preserve"> </w:t>
      </w:r>
      <w:r w:rsidRPr="00286282">
        <w:rPr>
          <w:rFonts w:ascii="Verdana" w:hAnsi="Verdana"/>
          <w:sz w:val="20"/>
        </w:rPr>
        <w:t>Mixto, se insiste, carece de personería jurídica”.</w:t>
      </w:r>
    </w:p>
    <w:p w14:paraId="744E1C12" w14:textId="77777777" w:rsidR="00AF2C34" w:rsidRDefault="00AF2C34" w:rsidP="00AF2C34">
      <w:pPr>
        <w:pStyle w:val="Textoindependiente"/>
        <w:spacing w:before="59"/>
        <w:rPr>
          <w:sz w:val="20"/>
        </w:rPr>
      </w:pPr>
    </w:p>
    <w:p w14:paraId="7397C82F" w14:textId="77777777" w:rsidR="00AF2C34" w:rsidRDefault="00AF2C34" w:rsidP="00AF2C34">
      <w:pPr>
        <w:pStyle w:val="Textoindependiente"/>
        <w:spacing w:line="276" w:lineRule="auto"/>
        <w:ind w:left="100" w:right="49" w:firstLine="708"/>
        <w:jc w:val="both"/>
      </w:pPr>
      <w:r>
        <w:t>En virtud del artículo 63 de la Ley 397 de 1997, el Gobierno Nacional expidió</w:t>
      </w:r>
      <w:r>
        <w:rPr>
          <w:spacing w:val="-5"/>
        </w:rPr>
        <w:t xml:space="preserve"> </w:t>
      </w:r>
      <w:r>
        <w:t>el</w:t>
      </w:r>
      <w:r>
        <w:rPr>
          <w:spacing w:val="-7"/>
        </w:rPr>
        <w:t xml:space="preserve"> </w:t>
      </w:r>
      <w:r>
        <w:t>Decreto</w:t>
      </w:r>
      <w:r>
        <w:rPr>
          <w:spacing w:val="-5"/>
        </w:rPr>
        <w:t xml:space="preserve"> </w:t>
      </w:r>
      <w:r>
        <w:t>1493</w:t>
      </w:r>
      <w:r>
        <w:rPr>
          <w:spacing w:val="-6"/>
        </w:rPr>
        <w:t xml:space="preserve"> </w:t>
      </w:r>
      <w:r>
        <w:t>de</w:t>
      </w:r>
      <w:r>
        <w:rPr>
          <w:spacing w:val="-7"/>
        </w:rPr>
        <w:t xml:space="preserve"> </w:t>
      </w:r>
      <w:r>
        <w:t>1998,</w:t>
      </w:r>
      <w:r>
        <w:rPr>
          <w:spacing w:val="-6"/>
        </w:rPr>
        <w:t xml:space="preserve"> </w:t>
      </w:r>
      <w:r>
        <w:t>compilado</w:t>
      </w:r>
      <w:r>
        <w:rPr>
          <w:spacing w:val="-5"/>
        </w:rPr>
        <w:t xml:space="preserve"> </w:t>
      </w:r>
      <w:r>
        <w:t>en</w:t>
      </w:r>
      <w:r>
        <w:rPr>
          <w:spacing w:val="-7"/>
        </w:rPr>
        <w:t xml:space="preserve"> </w:t>
      </w:r>
      <w:r>
        <w:t>el</w:t>
      </w:r>
      <w:r>
        <w:rPr>
          <w:spacing w:val="-7"/>
        </w:rPr>
        <w:t xml:space="preserve"> </w:t>
      </w:r>
      <w:r>
        <w:t>Decreto</w:t>
      </w:r>
      <w:r>
        <w:rPr>
          <w:spacing w:val="-5"/>
        </w:rPr>
        <w:t xml:space="preserve"> </w:t>
      </w:r>
      <w:r>
        <w:t>1080</w:t>
      </w:r>
      <w:r>
        <w:rPr>
          <w:spacing w:val="-6"/>
        </w:rPr>
        <w:t xml:space="preserve"> </w:t>
      </w:r>
      <w:r>
        <w:t>de</w:t>
      </w:r>
      <w:r>
        <w:rPr>
          <w:spacing w:val="-7"/>
        </w:rPr>
        <w:t xml:space="preserve"> </w:t>
      </w:r>
      <w:r>
        <w:t>2015,</w:t>
      </w:r>
      <w:r>
        <w:rPr>
          <w:spacing w:val="-7"/>
        </w:rPr>
        <w:t xml:space="preserve"> </w:t>
      </w:r>
      <w:r>
        <w:t>con</w:t>
      </w:r>
      <w:r>
        <w:rPr>
          <w:spacing w:val="-7"/>
        </w:rPr>
        <w:t xml:space="preserve"> </w:t>
      </w:r>
      <w:r>
        <w:t>el fin</w:t>
      </w:r>
      <w:r>
        <w:rPr>
          <w:spacing w:val="-10"/>
        </w:rPr>
        <w:t xml:space="preserve"> </w:t>
      </w:r>
      <w:r>
        <w:t>de</w:t>
      </w:r>
      <w:r>
        <w:rPr>
          <w:spacing w:val="-11"/>
        </w:rPr>
        <w:t xml:space="preserve"> </w:t>
      </w:r>
      <w:r>
        <w:t>reglamentar</w:t>
      </w:r>
      <w:r>
        <w:rPr>
          <w:spacing w:val="-8"/>
        </w:rPr>
        <w:t xml:space="preserve"> </w:t>
      </w:r>
      <w:r>
        <w:t>la</w:t>
      </w:r>
      <w:r>
        <w:rPr>
          <w:spacing w:val="-11"/>
        </w:rPr>
        <w:t xml:space="preserve"> </w:t>
      </w:r>
      <w:r>
        <w:t>participación</w:t>
      </w:r>
      <w:r>
        <w:rPr>
          <w:spacing w:val="-7"/>
        </w:rPr>
        <w:t xml:space="preserve"> </w:t>
      </w:r>
      <w:r>
        <w:t>del</w:t>
      </w:r>
      <w:r>
        <w:rPr>
          <w:spacing w:val="-10"/>
        </w:rPr>
        <w:t xml:space="preserve"> </w:t>
      </w:r>
      <w:r>
        <w:t>Ministerio</w:t>
      </w:r>
      <w:r>
        <w:rPr>
          <w:spacing w:val="-8"/>
        </w:rPr>
        <w:t xml:space="preserve"> </w:t>
      </w:r>
      <w:r>
        <w:t>de</w:t>
      </w:r>
      <w:r>
        <w:rPr>
          <w:spacing w:val="-11"/>
        </w:rPr>
        <w:t xml:space="preserve"> </w:t>
      </w:r>
      <w:r>
        <w:t>Cultura</w:t>
      </w:r>
      <w:r>
        <w:rPr>
          <w:spacing w:val="-9"/>
        </w:rPr>
        <w:t xml:space="preserve"> </w:t>
      </w:r>
      <w:r>
        <w:t>en</w:t>
      </w:r>
      <w:r>
        <w:rPr>
          <w:spacing w:val="-10"/>
        </w:rPr>
        <w:t xml:space="preserve"> </w:t>
      </w:r>
      <w:r>
        <w:t>la</w:t>
      </w:r>
      <w:r>
        <w:rPr>
          <w:spacing w:val="-11"/>
        </w:rPr>
        <w:t xml:space="preserve"> </w:t>
      </w:r>
      <w:r>
        <w:t>creación</w:t>
      </w:r>
      <w:r>
        <w:rPr>
          <w:spacing w:val="-8"/>
        </w:rPr>
        <w:t xml:space="preserve"> </w:t>
      </w:r>
      <w:r>
        <w:t>de</w:t>
      </w:r>
      <w:r>
        <w:rPr>
          <w:spacing w:val="-11"/>
        </w:rPr>
        <w:t xml:space="preserve"> </w:t>
      </w:r>
      <w:r>
        <w:t>los fondos mixtos y la celebración de convenios con aquellos. Así, el régimen establecido para estos fondos quedó dispuesto de la siguiente manera:</w:t>
      </w:r>
    </w:p>
    <w:p w14:paraId="20E7B7C6" w14:textId="77777777" w:rsidR="00AF2C34" w:rsidRDefault="00AF2C34" w:rsidP="00AF2C34">
      <w:pPr>
        <w:pStyle w:val="Textoindependiente"/>
        <w:spacing w:before="13"/>
      </w:pPr>
    </w:p>
    <w:p w14:paraId="7481F4C7" w14:textId="77777777" w:rsidR="00AF2C34" w:rsidRPr="007E311B" w:rsidRDefault="00AF2C34" w:rsidP="00AF2C34">
      <w:pPr>
        <w:tabs>
          <w:tab w:val="left" w:pos="6946"/>
          <w:tab w:val="left" w:pos="7088"/>
        </w:tabs>
        <w:ind w:left="810" w:right="758"/>
        <w:jc w:val="both"/>
        <w:rPr>
          <w:rFonts w:ascii="Verdana" w:hAnsi="Verdana"/>
          <w:sz w:val="20"/>
        </w:rPr>
      </w:pPr>
      <w:r w:rsidRPr="007E311B">
        <w:rPr>
          <w:rFonts w:ascii="Verdana" w:hAnsi="Verdana"/>
          <w:sz w:val="20"/>
        </w:rPr>
        <w:t>“Artículo</w:t>
      </w:r>
      <w:r w:rsidRPr="007E311B">
        <w:rPr>
          <w:rFonts w:ascii="Verdana" w:hAnsi="Verdana"/>
          <w:spacing w:val="-3"/>
          <w:sz w:val="20"/>
        </w:rPr>
        <w:t xml:space="preserve"> </w:t>
      </w:r>
      <w:r w:rsidRPr="007E311B">
        <w:rPr>
          <w:rFonts w:ascii="Verdana" w:hAnsi="Verdana"/>
          <w:sz w:val="20"/>
        </w:rPr>
        <w:t>2.2.2.1.</w:t>
      </w:r>
      <w:r w:rsidRPr="007E311B">
        <w:rPr>
          <w:rFonts w:ascii="Verdana" w:hAnsi="Verdana"/>
          <w:spacing w:val="-3"/>
          <w:sz w:val="20"/>
        </w:rPr>
        <w:t xml:space="preserve"> </w:t>
      </w:r>
      <w:r w:rsidRPr="007E311B">
        <w:rPr>
          <w:rFonts w:ascii="Verdana" w:hAnsi="Verdana"/>
          <w:sz w:val="20"/>
        </w:rPr>
        <w:t>Naturaleza</w:t>
      </w:r>
      <w:r w:rsidRPr="007E311B">
        <w:rPr>
          <w:rFonts w:ascii="Verdana" w:hAnsi="Verdana"/>
          <w:spacing w:val="-3"/>
          <w:sz w:val="20"/>
        </w:rPr>
        <w:t xml:space="preserve"> </w:t>
      </w:r>
      <w:r w:rsidRPr="007E311B">
        <w:rPr>
          <w:rFonts w:ascii="Verdana" w:hAnsi="Verdana"/>
          <w:sz w:val="20"/>
        </w:rPr>
        <w:t>jurídica.</w:t>
      </w:r>
      <w:r w:rsidRPr="007E311B">
        <w:rPr>
          <w:rFonts w:ascii="Verdana" w:hAnsi="Verdana"/>
          <w:spacing w:val="-3"/>
          <w:sz w:val="20"/>
        </w:rPr>
        <w:t xml:space="preserve"> </w:t>
      </w:r>
      <w:r w:rsidRPr="007E311B">
        <w:rPr>
          <w:rFonts w:ascii="Verdana" w:hAnsi="Verdana"/>
          <w:sz w:val="20"/>
        </w:rPr>
        <w:t>Los</w:t>
      </w:r>
      <w:r w:rsidRPr="007E311B">
        <w:rPr>
          <w:rFonts w:ascii="Verdana" w:hAnsi="Verdana"/>
          <w:spacing w:val="-5"/>
          <w:sz w:val="20"/>
        </w:rPr>
        <w:t xml:space="preserve"> </w:t>
      </w:r>
      <w:r w:rsidRPr="007E311B">
        <w:rPr>
          <w:rFonts w:ascii="Verdana" w:hAnsi="Verdana"/>
          <w:sz w:val="20"/>
        </w:rPr>
        <w:t>Fondos</w:t>
      </w:r>
      <w:r w:rsidRPr="007E311B">
        <w:rPr>
          <w:rFonts w:ascii="Verdana" w:hAnsi="Verdana"/>
          <w:spacing w:val="-4"/>
          <w:sz w:val="20"/>
        </w:rPr>
        <w:t xml:space="preserve"> </w:t>
      </w:r>
      <w:r w:rsidRPr="007E311B">
        <w:rPr>
          <w:rFonts w:ascii="Verdana" w:hAnsi="Verdana"/>
          <w:sz w:val="20"/>
        </w:rPr>
        <w:t>Mixtos</w:t>
      </w:r>
      <w:r w:rsidRPr="007E311B">
        <w:rPr>
          <w:rFonts w:ascii="Verdana" w:hAnsi="Verdana"/>
          <w:spacing w:val="-4"/>
          <w:sz w:val="20"/>
        </w:rPr>
        <w:t xml:space="preserve"> </w:t>
      </w:r>
      <w:r w:rsidRPr="007E311B">
        <w:rPr>
          <w:rFonts w:ascii="Verdana" w:hAnsi="Verdana"/>
          <w:sz w:val="20"/>
        </w:rPr>
        <w:t>de</w:t>
      </w:r>
      <w:r w:rsidRPr="007E311B">
        <w:rPr>
          <w:rFonts w:ascii="Verdana" w:hAnsi="Verdana"/>
          <w:spacing w:val="-5"/>
          <w:sz w:val="20"/>
        </w:rPr>
        <w:t xml:space="preserve"> </w:t>
      </w:r>
      <w:r w:rsidRPr="007E311B">
        <w:rPr>
          <w:rFonts w:ascii="Verdana" w:hAnsi="Verdana"/>
          <w:sz w:val="20"/>
        </w:rPr>
        <w:t>Promoción</w:t>
      </w:r>
      <w:r w:rsidRPr="007E311B">
        <w:rPr>
          <w:rFonts w:ascii="Verdana" w:hAnsi="Verdana"/>
          <w:spacing w:val="-3"/>
          <w:sz w:val="20"/>
        </w:rPr>
        <w:t xml:space="preserve"> </w:t>
      </w:r>
      <w:r w:rsidRPr="007E311B">
        <w:rPr>
          <w:rFonts w:ascii="Verdana" w:hAnsi="Verdana"/>
          <w:sz w:val="20"/>
        </w:rPr>
        <w:t>de la</w:t>
      </w:r>
      <w:r w:rsidRPr="007E311B">
        <w:rPr>
          <w:rFonts w:ascii="Verdana" w:hAnsi="Verdana"/>
          <w:spacing w:val="-7"/>
          <w:sz w:val="20"/>
        </w:rPr>
        <w:t xml:space="preserve"> </w:t>
      </w:r>
      <w:r w:rsidRPr="007E311B">
        <w:rPr>
          <w:rFonts w:ascii="Verdana" w:hAnsi="Verdana"/>
          <w:sz w:val="20"/>
        </w:rPr>
        <w:t>Cultura</w:t>
      </w:r>
      <w:r w:rsidRPr="007E311B">
        <w:rPr>
          <w:rFonts w:ascii="Verdana" w:hAnsi="Verdana"/>
          <w:spacing w:val="-5"/>
          <w:sz w:val="20"/>
        </w:rPr>
        <w:t xml:space="preserve"> </w:t>
      </w:r>
      <w:r w:rsidRPr="007E311B">
        <w:rPr>
          <w:rFonts w:ascii="Verdana" w:hAnsi="Verdana"/>
          <w:sz w:val="20"/>
        </w:rPr>
        <w:t>y</w:t>
      </w:r>
      <w:r w:rsidRPr="007E311B">
        <w:rPr>
          <w:rFonts w:ascii="Verdana" w:hAnsi="Verdana"/>
          <w:spacing w:val="-7"/>
          <w:sz w:val="20"/>
        </w:rPr>
        <w:t xml:space="preserve"> </w:t>
      </w:r>
      <w:r w:rsidRPr="007E311B">
        <w:rPr>
          <w:rFonts w:ascii="Verdana" w:hAnsi="Verdana"/>
          <w:sz w:val="20"/>
        </w:rPr>
        <w:t>las</w:t>
      </w:r>
      <w:r w:rsidRPr="007E311B">
        <w:rPr>
          <w:rFonts w:ascii="Verdana" w:hAnsi="Verdana"/>
          <w:spacing w:val="-6"/>
          <w:sz w:val="20"/>
        </w:rPr>
        <w:t xml:space="preserve"> </w:t>
      </w:r>
      <w:r w:rsidRPr="007E311B">
        <w:rPr>
          <w:rFonts w:ascii="Verdana" w:hAnsi="Verdana"/>
          <w:sz w:val="20"/>
        </w:rPr>
        <w:t>Artes,</w:t>
      </w:r>
      <w:r w:rsidRPr="007E311B">
        <w:rPr>
          <w:rFonts w:ascii="Verdana" w:hAnsi="Verdana"/>
          <w:spacing w:val="-5"/>
          <w:sz w:val="20"/>
        </w:rPr>
        <w:t xml:space="preserve"> </w:t>
      </w:r>
      <w:r w:rsidRPr="007E311B">
        <w:rPr>
          <w:rFonts w:ascii="Verdana" w:hAnsi="Verdana"/>
          <w:sz w:val="20"/>
        </w:rPr>
        <w:t>son</w:t>
      </w:r>
      <w:r w:rsidRPr="007E311B">
        <w:rPr>
          <w:rFonts w:ascii="Verdana" w:hAnsi="Verdana"/>
          <w:spacing w:val="-6"/>
          <w:sz w:val="20"/>
        </w:rPr>
        <w:t xml:space="preserve"> </w:t>
      </w:r>
      <w:r w:rsidRPr="007E311B">
        <w:rPr>
          <w:rFonts w:ascii="Verdana" w:hAnsi="Verdana"/>
          <w:sz w:val="20"/>
        </w:rPr>
        <w:t>entidades</w:t>
      </w:r>
      <w:r w:rsidRPr="007E311B">
        <w:rPr>
          <w:rFonts w:ascii="Verdana" w:hAnsi="Verdana"/>
          <w:spacing w:val="-5"/>
          <w:sz w:val="20"/>
        </w:rPr>
        <w:t xml:space="preserve"> </w:t>
      </w:r>
      <w:r w:rsidRPr="007E311B">
        <w:rPr>
          <w:rFonts w:ascii="Verdana" w:hAnsi="Verdana"/>
          <w:sz w:val="20"/>
        </w:rPr>
        <w:t>con</w:t>
      </w:r>
      <w:r w:rsidRPr="007E311B">
        <w:rPr>
          <w:rFonts w:ascii="Verdana" w:hAnsi="Verdana"/>
          <w:spacing w:val="-6"/>
          <w:sz w:val="20"/>
        </w:rPr>
        <w:t xml:space="preserve"> </w:t>
      </w:r>
      <w:r w:rsidRPr="007E311B">
        <w:rPr>
          <w:rFonts w:ascii="Verdana" w:hAnsi="Verdana"/>
          <w:sz w:val="20"/>
        </w:rPr>
        <w:t>personería</w:t>
      </w:r>
      <w:r w:rsidRPr="007E311B">
        <w:rPr>
          <w:rFonts w:ascii="Verdana" w:hAnsi="Verdana"/>
          <w:spacing w:val="-5"/>
          <w:sz w:val="20"/>
        </w:rPr>
        <w:t xml:space="preserve"> </w:t>
      </w:r>
      <w:r w:rsidRPr="007E311B">
        <w:rPr>
          <w:rFonts w:ascii="Verdana" w:hAnsi="Verdana"/>
          <w:sz w:val="20"/>
        </w:rPr>
        <w:t>jurídica,</w:t>
      </w:r>
      <w:r w:rsidRPr="007E311B">
        <w:rPr>
          <w:rFonts w:ascii="Verdana" w:hAnsi="Verdana"/>
          <w:spacing w:val="-5"/>
          <w:sz w:val="20"/>
        </w:rPr>
        <w:t xml:space="preserve"> </w:t>
      </w:r>
      <w:r w:rsidRPr="007E311B">
        <w:rPr>
          <w:rFonts w:ascii="Verdana" w:hAnsi="Verdana"/>
          <w:sz w:val="20"/>
        </w:rPr>
        <w:t>sin</w:t>
      </w:r>
      <w:r w:rsidRPr="007E311B">
        <w:rPr>
          <w:rFonts w:ascii="Verdana" w:hAnsi="Verdana"/>
          <w:spacing w:val="-6"/>
          <w:sz w:val="20"/>
        </w:rPr>
        <w:t xml:space="preserve"> </w:t>
      </w:r>
      <w:r w:rsidRPr="007E311B">
        <w:rPr>
          <w:rFonts w:ascii="Verdana" w:hAnsi="Verdana"/>
          <w:sz w:val="20"/>
        </w:rPr>
        <w:t>ánimo</w:t>
      </w:r>
      <w:r w:rsidRPr="007E311B">
        <w:rPr>
          <w:rFonts w:ascii="Verdana" w:hAnsi="Verdana"/>
          <w:spacing w:val="-6"/>
          <w:sz w:val="20"/>
        </w:rPr>
        <w:t xml:space="preserve"> </w:t>
      </w:r>
      <w:r w:rsidRPr="007E311B">
        <w:rPr>
          <w:rFonts w:ascii="Verdana" w:hAnsi="Verdana"/>
          <w:sz w:val="20"/>
        </w:rPr>
        <w:t>de lucro,</w:t>
      </w:r>
      <w:r w:rsidRPr="007E311B">
        <w:rPr>
          <w:rFonts w:ascii="Verdana" w:hAnsi="Verdana"/>
          <w:spacing w:val="-11"/>
          <w:sz w:val="20"/>
        </w:rPr>
        <w:t xml:space="preserve"> </w:t>
      </w:r>
      <w:r w:rsidRPr="007E311B">
        <w:rPr>
          <w:rFonts w:ascii="Verdana" w:hAnsi="Verdana"/>
          <w:sz w:val="20"/>
        </w:rPr>
        <w:t>que</w:t>
      </w:r>
      <w:r w:rsidRPr="007E311B">
        <w:rPr>
          <w:rFonts w:ascii="Verdana" w:hAnsi="Verdana"/>
          <w:spacing w:val="-12"/>
          <w:sz w:val="20"/>
        </w:rPr>
        <w:t xml:space="preserve"> </w:t>
      </w:r>
      <w:r w:rsidRPr="007E311B">
        <w:rPr>
          <w:rFonts w:ascii="Verdana" w:hAnsi="Verdana"/>
          <w:sz w:val="20"/>
        </w:rPr>
        <w:t>se</w:t>
      </w:r>
      <w:r w:rsidRPr="007E311B">
        <w:rPr>
          <w:rFonts w:ascii="Verdana" w:hAnsi="Verdana"/>
          <w:spacing w:val="-12"/>
          <w:sz w:val="20"/>
        </w:rPr>
        <w:t xml:space="preserve"> </w:t>
      </w:r>
      <w:r w:rsidRPr="007E311B">
        <w:rPr>
          <w:rFonts w:ascii="Verdana" w:hAnsi="Verdana"/>
          <w:sz w:val="20"/>
        </w:rPr>
        <w:t>constituyen</w:t>
      </w:r>
      <w:r w:rsidRPr="007E311B">
        <w:rPr>
          <w:rFonts w:ascii="Verdana" w:hAnsi="Verdana"/>
          <w:spacing w:val="-9"/>
          <w:sz w:val="20"/>
        </w:rPr>
        <w:t xml:space="preserve"> </w:t>
      </w:r>
      <w:r w:rsidRPr="007E311B">
        <w:rPr>
          <w:rFonts w:ascii="Verdana" w:hAnsi="Verdana"/>
          <w:sz w:val="20"/>
        </w:rPr>
        <w:t>con</w:t>
      </w:r>
      <w:r w:rsidRPr="007E311B">
        <w:rPr>
          <w:rFonts w:ascii="Verdana" w:hAnsi="Verdana"/>
          <w:spacing w:val="-11"/>
          <w:sz w:val="20"/>
        </w:rPr>
        <w:t xml:space="preserve"> </w:t>
      </w:r>
      <w:r w:rsidRPr="007E311B">
        <w:rPr>
          <w:rFonts w:ascii="Verdana" w:hAnsi="Verdana"/>
          <w:sz w:val="20"/>
        </w:rPr>
        <w:t>aportes</w:t>
      </w:r>
      <w:r w:rsidRPr="007E311B">
        <w:rPr>
          <w:rFonts w:ascii="Verdana" w:hAnsi="Verdana"/>
          <w:spacing w:val="-11"/>
          <w:sz w:val="20"/>
        </w:rPr>
        <w:t xml:space="preserve"> </w:t>
      </w:r>
      <w:r w:rsidRPr="007E311B">
        <w:rPr>
          <w:rFonts w:ascii="Verdana" w:hAnsi="Verdana"/>
          <w:sz w:val="20"/>
        </w:rPr>
        <w:t>del</w:t>
      </w:r>
      <w:r w:rsidRPr="007E311B">
        <w:rPr>
          <w:rFonts w:ascii="Verdana" w:hAnsi="Verdana"/>
          <w:spacing w:val="-12"/>
          <w:sz w:val="20"/>
        </w:rPr>
        <w:t xml:space="preserve"> </w:t>
      </w:r>
      <w:r w:rsidRPr="007E311B">
        <w:rPr>
          <w:rFonts w:ascii="Verdana" w:hAnsi="Verdana"/>
          <w:sz w:val="20"/>
        </w:rPr>
        <w:t>sector</w:t>
      </w:r>
      <w:r w:rsidRPr="007E311B">
        <w:rPr>
          <w:rFonts w:ascii="Verdana" w:hAnsi="Verdana"/>
          <w:spacing w:val="-10"/>
          <w:sz w:val="20"/>
        </w:rPr>
        <w:t xml:space="preserve"> </w:t>
      </w:r>
      <w:r w:rsidRPr="007E311B">
        <w:rPr>
          <w:rFonts w:ascii="Verdana" w:hAnsi="Verdana"/>
          <w:sz w:val="20"/>
        </w:rPr>
        <w:t>público</w:t>
      </w:r>
      <w:r w:rsidRPr="007E311B">
        <w:rPr>
          <w:rFonts w:ascii="Verdana" w:hAnsi="Verdana"/>
          <w:spacing w:val="-10"/>
          <w:sz w:val="20"/>
        </w:rPr>
        <w:t xml:space="preserve"> </w:t>
      </w:r>
      <w:r w:rsidRPr="007E311B">
        <w:rPr>
          <w:rFonts w:ascii="Verdana" w:hAnsi="Verdana"/>
          <w:sz w:val="20"/>
        </w:rPr>
        <w:t>y</w:t>
      </w:r>
      <w:r w:rsidRPr="007E311B">
        <w:rPr>
          <w:rFonts w:ascii="Verdana" w:hAnsi="Verdana"/>
          <w:spacing w:val="-12"/>
          <w:sz w:val="20"/>
        </w:rPr>
        <w:t xml:space="preserve"> </w:t>
      </w:r>
      <w:r w:rsidRPr="007E311B">
        <w:rPr>
          <w:rFonts w:ascii="Verdana" w:hAnsi="Verdana"/>
          <w:sz w:val="20"/>
        </w:rPr>
        <w:t>privado,</w:t>
      </w:r>
      <w:r w:rsidRPr="007E311B">
        <w:rPr>
          <w:rFonts w:ascii="Verdana" w:hAnsi="Verdana"/>
          <w:spacing w:val="-10"/>
          <w:sz w:val="20"/>
        </w:rPr>
        <w:t xml:space="preserve"> </w:t>
      </w:r>
      <w:r w:rsidRPr="007E311B">
        <w:rPr>
          <w:rFonts w:ascii="Verdana" w:hAnsi="Verdana"/>
          <w:sz w:val="20"/>
        </w:rPr>
        <w:t xml:space="preserve">regidos por el derecho privado, en lo que se relaciona con su dirección, administración y régimen de contratación, sin perjuicio del porcentaje de </w:t>
      </w:r>
      <w:r w:rsidRPr="007E311B">
        <w:rPr>
          <w:rFonts w:ascii="Verdana" w:hAnsi="Verdana"/>
          <w:sz w:val="20"/>
        </w:rPr>
        <w:lastRenderedPageBreak/>
        <w:t>aportes del sector público, y se rigen por la Ley 397 de 1997 y demás normas concordantes.</w:t>
      </w:r>
    </w:p>
    <w:p w14:paraId="38986BEE" w14:textId="77777777" w:rsidR="00AF2C34" w:rsidRPr="007E311B" w:rsidRDefault="00AF2C34" w:rsidP="00AF2C34">
      <w:pPr>
        <w:tabs>
          <w:tab w:val="left" w:pos="6946"/>
          <w:tab w:val="left" w:pos="7088"/>
        </w:tabs>
        <w:ind w:left="810" w:right="758"/>
        <w:jc w:val="both"/>
        <w:rPr>
          <w:rFonts w:ascii="Verdana" w:hAnsi="Verdana"/>
          <w:sz w:val="20"/>
        </w:rPr>
      </w:pPr>
      <w:r w:rsidRPr="007E311B">
        <w:rPr>
          <w:rFonts w:ascii="Verdana" w:hAnsi="Verdana"/>
          <w:sz w:val="20"/>
        </w:rPr>
        <w:t>Artículo 2.2.2.2. Fondos Mixtos de Territorios Indígenas. Los Fondos Mixtos de los Territorios Indígenas sólo podrán crearse cuando se expida la Ley de Ordenamiento Territorial a que se refiere el artículo 329 de la Constitución Política</w:t>
      </w:r>
      <w:r>
        <w:rPr>
          <w:rFonts w:ascii="Verdana" w:hAnsi="Verdana"/>
          <w:sz w:val="20"/>
        </w:rPr>
        <w:t>.</w:t>
      </w:r>
    </w:p>
    <w:p w14:paraId="4A716A31" w14:textId="77777777" w:rsidR="00AF2C34" w:rsidRDefault="00AF2C34" w:rsidP="00AF2C34">
      <w:pPr>
        <w:tabs>
          <w:tab w:val="left" w:pos="6946"/>
          <w:tab w:val="left" w:pos="7088"/>
        </w:tabs>
        <w:ind w:left="810" w:right="758"/>
        <w:jc w:val="both"/>
        <w:rPr>
          <w:sz w:val="20"/>
        </w:rPr>
      </w:pPr>
      <w:r w:rsidRPr="007E311B">
        <w:rPr>
          <w:rFonts w:ascii="Verdana" w:hAnsi="Verdana"/>
          <w:sz w:val="20"/>
        </w:rPr>
        <w:t>Artículo</w:t>
      </w:r>
      <w:r w:rsidRPr="007E311B">
        <w:rPr>
          <w:rFonts w:ascii="Verdana" w:hAnsi="Verdana"/>
          <w:spacing w:val="-9"/>
          <w:sz w:val="20"/>
        </w:rPr>
        <w:t xml:space="preserve"> </w:t>
      </w:r>
      <w:r w:rsidRPr="007E311B">
        <w:rPr>
          <w:rFonts w:ascii="Verdana" w:hAnsi="Verdana"/>
          <w:sz w:val="20"/>
        </w:rPr>
        <w:t>2.2.2.3.</w:t>
      </w:r>
      <w:r w:rsidRPr="007E311B">
        <w:rPr>
          <w:rFonts w:ascii="Verdana" w:hAnsi="Verdana"/>
          <w:spacing w:val="-9"/>
          <w:sz w:val="20"/>
        </w:rPr>
        <w:t xml:space="preserve"> </w:t>
      </w:r>
      <w:r w:rsidRPr="007E311B">
        <w:rPr>
          <w:rFonts w:ascii="Verdana" w:hAnsi="Verdana"/>
          <w:sz w:val="20"/>
        </w:rPr>
        <w:t>Régimen</w:t>
      </w:r>
      <w:r w:rsidRPr="007E311B">
        <w:rPr>
          <w:rFonts w:ascii="Verdana" w:hAnsi="Verdana"/>
          <w:spacing w:val="-10"/>
          <w:sz w:val="20"/>
        </w:rPr>
        <w:t xml:space="preserve"> </w:t>
      </w:r>
      <w:r w:rsidRPr="007E311B">
        <w:rPr>
          <w:rFonts w:ascii="Verdana" w:hAnsi="Verdana"/>
          <w:sz w:val="20"/>
        </w:rPr>
        <w:t>de</w:t>
      </w:r>
      <w:r w:rsidRPr="007E311B">
        <w:rPr>
          <w:rFonts w:ascii="Verdana" w:hAnsi="Verdana"/>
          <w:spacing w:val="-12"/>
          <w:sz w:val="20"/>
        </w:rPr>
        <w:t xml:space="preserve"> </w:t>
      </w:r>
      <w:r w:rsidRPr="007E311B">
        <w:rPr>
          <w:rFonts w:ascii="Verdana" w:hAnsi="Verdana"/>
          <w:sz w:val="20"/>
        </w:rPr>
        <w:t>los</w:t>
      </w:r>
      <w:r w:rsidRPr="007E311B">
        <w:rPr>
          <w:rFonts w:ascii="Verdana" w:hAnsi="Verdana"/>
          <w:spacing w:val="-11"/>
          <w:sz w:val="20"/>
        </w:rPr>
        <w:t xml:space="preserve"> </w:t>
      </w:r>
      <w:r w:rsidRPr="007E311B">
        <w:rPr>
          <w:rFonts w:ascii="Verdana" w:hAnsi="Verdana"/>
          <w:sz w:val="20"/>
        </w:rPr>
        <w:t>Convenios.</w:t>
      </w:r>
      <w:r w:rsidRPr="007E311B">
        <w:rPr>
          <w:rFonts w:ascii="Verdana" w:hAnsi="Verdana"/>
          <w:spacing w:val="-9"/>
          <w:sz w:val="20"/>
        </w:rPr>
        <w:t xml:space="preserve"> </w:t>
      </w:r>
      <w:r w:rsidRPr="007E311B">
        <w:rPr>
          <w:rFonts w:ascii="Verdana" w:hAnsi="Verdana"/>
          <w:sz w:val="20"/>
        </w:rPr>
        <w:t>Los</w:t>
      </w:r>
      <w:r w:rsidRPr="007E311B">
        <w:rPr>
          <w:rFonts w:ascii="Verdana" w:hAnsi="Verdana"/>
          <w:spacing w:val="-11"/>
          <w:sz w:val="20"/>
        </w:rPr>
        <w:t xml:space="preserve"> </w:t>
      </w:r>
      <w:r w:rsidRPr="007E311B">
        <w:rPr>
          <w:rFonts w:ascii="Verdana" w:hAnsi="Verdana"/>
          <w:sz w:val="20"/>
        </w:rPr>
        <w:t>convenios</w:t>
      </w:r>
      <w:r w:rsidRPr="007E311B">
        <w:rPr>
          <w:rFonts w:ascii="Verdana" w:hAnsi="Verdana"/>
          <w:spacing w:val="-10"/>
          <w:sz w:val="20"/>
        </w:rPr>
        <w:t xml:space="preserve"> </w:t>
      </w:r>
      <w:r w:rsidRPr="007E311B">
        <w:rPr>
          <w:rFonts w:ascii="Verdana" w:hAnsi="Verdana"/>
          <w:sz w:val="20"/>
        </w:rPr>
        <w:t>que</w:t>
      </w:r>
      <w:r w:rsidRPr="007E311B">
        <w:rPr>
          <w:rFonts w:ascii="Verdana" w:hAnsi="Verdana"/>
          <w:spacing w:val="-11"/>
          <w:sz w:val="20"/>
        </w:rPr>
        <w:t xml:space="preserve"> </w:t>
      </w:r>
      <w:r w:rsidRPr="007E311B">
        <w:rPr>
          <w:rFonts w:ascii="Verdana" w:hAnsi="Verdana"/>
          <w:sz w:val="20"/>
        </w:rPr>
        <w:t>suscriba</w:t>
      </w:r>
      <w:r w:rsidRPr="007E311B">
        <w:rPr>
          <w:rFonts w:ascii="Verdana" w:hAnsi="Verdana"/>
          <w:spacing w:val="-9"/>
          <w:sz w:val="20"/>
        </w:rPr>
        <w:t xml:space="preserve"> </w:t>
      </w:r>
      <w:r w:rsidRPr="007E311B">
        <w:rPr>
          <w:rFonts w:ascii="Verdana" w:hAnsi="Verdana"/>
          <w:sz w:val="20"/>
        </w:rPr>
        <w:t>el Ministerio</w:t>
      </w:r>
      <w:r w:rsidRPr="007E311B">
        <w:rPr>
          <w:rFonts w:ascii="Verdana" w:hAnsi="Verdana"/>
          <w:spacing w:val="-14"/>
          <w:sz w:val="20"/>
        </w:rPr>
        <w:t xml:space="preserve"> </w:t>
      </w:r>
      <w:r w:rsidRPr="007E311B">
        <w:rPr>
          <w:rFonts w:ascii="Verdana" w:hAnsi="Verdana"/>
          <w:sz w:val="20"/>
        </w:rPr>
        <w:t>de</w:t>
      </w:r>
      <w:r w:rsidRPr="007E311B">
        <w:rPr>
          <w:rFonts w:ascii="Verdana" w:hAnsi="Verdana"/>
          <w:spacing w:val="-15"/>
          <w:sz w:val="20"/>
        </w:rPr>
        <w:t xml:space="preserve"> </w:t>
      </w:r>
      <w:r w:rsidRPr="007E311B">
        <w:rPr>
          <w:rFonts w:ascii="Verdana" w:hAnsi="Verdana"/>
          <w:sz w:val="20"/>
        </w:rPr>
        <w:t>Cultura</w:t>
      </w:r>
      <w:r w:rsidRPr="007E311B">
        <w:rPr>
          <w:rFonts w:ascii="Verdana" w:hAnsi="Verdana"/>
          <w:spacing w:val="-15"/>
          <w:sz w:val="20"/>
        </w:rPr>
        <w:t xml:space="preserve"> </w:t>
      </w:r>
      <w:r w:rsidRPr="007E311B">
        <w:rPr>
          <w:rFonts w:ascii="Verdana" w:hAnsi="Verdana"/>
          <w:sz w:val="20"/>
        </w:rPr>
        <w:t>con</w:t>
      </w:r>
      <w:r w:rsidRPr="007E311B">
        <w:rPr>
          <w:rFonts w:ascii="Verdana" w:hAnsi="Verdana"/>
          <w:spacing w:val="-15"/>
          <w:sz w:val="20"/>
        </w:rPr>
        <w:t xml:space="preserve"> </w:t>
      </w:r>
      <w:r w:rsidRPr="007E311B">
        <w:rPr>
          <w:rFonts w:ascii="Verdana" w:hAnsi="Verdana"/>
          <w:sz w:val="20"/>
        </w:rPr>
        <w:t>los</w:t>
      </w:r>
      <w:r w:rsidRPr="007E311B">
        <w:rPr>
          <w:rFonts w:ascii="Verdana" w:hAnsi="Verdana"/>
          <w:spacing w:val="-15"/>
          <w:sz w:val="20"/>
        </w:rPr>
        <w:t xml:space="preserve"> </w:t>
      </w:r>
      <w:r w:rsidRPr="007E311B">
        <w:rPr>
          <w:rFonts w:ascii="Verdana" w:hAnsi="Verdana"/>
          <w:sz w:val="20"/>
        </w:rPr>
        <w:t>fondos</w:t>
      </w:r>
      <w:r w:rsidRPr="007E311B">
        <w:rPr>
          <w:rFonts w:ascii="Verdana" w:hAnsi="Verdana"/>
          <w:spacing w:val="-15"/>
          <w:sz w:val="20"/>
        </w:rPr>
        <w:t xml:space="preserve"> </w:t>
      </w:r>
      <w:r w:rsidRPr="007E311B">
        <w:rPr>
          <w:rFonts w:ascii="Verdana" w:hAnsi="Verdana"/>
          <w:sz w:val="20"/>
        </w:rPr>
        <w:t>mixtos</w:t>
      </w:r>
      <w:r w:rsidRPr="007E311B">
        <w:rPr>
          <w:rFonts w:ascii="Verdana" w:hAnsi="Verdana"/>
          <w:spacing w:val="-15"/>
          <w:sz w:val="20"/>
        </w:rPr>
        <w:t xml:space="preserve"> </w:t>
      </w:r>
      <w:r w:rsidRPr="007E311B">
        <w:rPr>
          <w:rFonts w:ascii="Verdana" w:hAnsi="Verdana"/>
          <w:sz w:val="20"/>
        </w:rPr>
        <w:t>para</w:t>
      </w:r>
      <w:r w:rsidRPr="007E311B">
        <w:rPr>
          <w:rFonts w:ascii="Verdana" w:hAnsi="Verdana"/>
          <w:spacing w:val="-15"/>
          <w:sz w:val="20"/>
        </w:rPr>
        <w:t xml:space="preserve"> </w:t>
      </w:r>
      <w:r w:rsidRPr="007E311B">
        <w:rPr>
          <w:rFonts w:ascii="Verdana" w:hAnsi="Verdana"/>
          <w:sz w:val="20"/>
        </w:rPr>
        <w:t>la</w:t>
      </w:r>
      <w:r w:rsidRPr="007E311B">
        <w:rPr>
          <w:rFonts w:ascii="Verdana" w:hAnsi="Verdana"/>
          <w:spacing w:val="-15"/>
          <w:sz w:val="20"/>
        </w:rPr>
        <w:t xml:space="preserve"> </w:t>
      </w:r>
      <w:r w:rsidRPr="007E311B">
        <w:rPr>
          <w:rFonts w:ascii="Verdana" w:hAnsi="Verdana"/>
          <w:sz w:val="20"/>
        </w:rPr>
        <w:t>promoción</w:t>
      </w:r>
      <w:r w:rsidRPr="007E311B">
        <w:rPr>
          <w:rFonts w:ascii="Verdana" w:hAnsi="Verdana"/>
          <w:spacing w:val="-14"/>
          <w:sz w:val="20"/>
        </w:rPr>
        <w:t xml:space="preserve"> </w:t>
      </w:r>
      <w:r w:rsidRPr="007E311B">
        <w:rPr>
          <w:rFonts w:ascii="Verdana" w:hAnsi="Verdana"/>
          <w:sz w:val="20"/>
        </w:rPr>
        <w:t>de</w:t>
      </w:r>
      <w:r w:rsidRPr="007E311B">
        <w:rPr>
          <w:rFonts w:ascii="Verdana" w:hAnsi="Verdana"/>
          <w:spacing w:val="-15"/>
          <w:sz w:val="20"/>
        </w:rPr>
        <w:t xml:space="preserve"> </w:t>
      </w:r>
      <w:r w:rsidRPr="007E311B">
        <w:rPr>
          <w:rFonts w:ascii="Verdana" w:hAnsi="Verdana"/>
          <w:sz w:val="20"/>
        </w:rPr>
        <w:t>la</w:t>
      </w:r>
      <w:r w:rsidRPr="007E311B">
        <w:rPr>
          <w:rFonts w:ascii="Verdana" w:hAnsi="Verdana"/>
          <w:spacing w:val="-15"/>
          <w:sz w:val="20"/>
        </w:rPr>
        <w:t xml:space="preserve"> </w:t>
      </w:r>
      <w:r w:rsidRPr="007E311B">
        <w:rPr>
          <w:rFonts w:ascii="Verdana" w:hAnsi="Verdana"/>
          <w:sz w:val="20"/>
        </w:rPr>
        <w:t>cultura y de las artes a nivel nacional se regirán por el artículo 355 de la Constitución Política.</w:t>
      </w:r>
    </w:p>
    <w:p w14:paraId="7C03C6BE" w14:textId="77777777" w:rsidR="00AF2C34" w:rsidRPr="007E311B" w:rsidRDefault="00AF2C34" w:rsidP="00AF2C34">
      <w:pPr>
        <w:tabs>
          <w:tab w:val="left" w:pos="6946"/>
          <w:tab w:val="left" w:pos="7088"/>
        </w:tabs>
        <w:ind w:left="810" w:right="758"/>
        <w:jc w:val="both"/>
        <w:rPr>
          <w:rFonts w:ascii="Verdana" w:hAnsi="Verdana"/>
          <w:sz w:val="20"/>
        </w:rPr>
      </w:pPr>
      <w:r w:rsidRPr="007E311B">
        <w:rPr>
          <w:rFonts w:ascii="Verdana" w:hAnsi="Verdana"/>
          <w:sz w:val="20"/>
        </w:rPr>
        <w:t>Artículo</w:t>
      </w:r>
      <w:r w:rsidRPr="007E311B">
        <w:rPr>
          <w:rFonts w:ascii="Verdana" w:hAnsi="Verdana"/>
          <w:spacing w:val="-13"/>
          <w:sz w:val="20"/>
        </w:rPr>
        <w:t xml:space="preserve"> </w:t>
      </w:r>
      <w:r w:rsidRPr="007E311B">
        <w:rPr>
          <w:rFonts w:ascii="Verdana" w:hAnsi="Verdana"/>
          <w:sz w:val="20"/>
        </w:rPr>
        <w:t>2.2.2.4.</w:t>
      </w:r>
      <w:r w:rsidRPr="007E311B">
        <w:rPr>
          <w:rFonts w:ascii="Verdana" w:hAnsi="Verdana"/>
          <w:spacing w:val="-13"/>
          <w:sz w:val="20"/>
        </w:rPr>
        <w:t xml:space="preserve"> </w:t>
      </w:r>
      <w:r w:rsidRPr="007E311B">
        <w:rPr>
          <w:rFonts w:ascii="Verdana" w:hAnsi="Verdana"/>
          <w:sz w:val="20"/>
        </w:rPr>
        <w:t>Régimen</w:t>
      </w:r>
      <w:r w:rsidRPr="007E311B">
        <w:rPr>
          <w:rFonts w:ascii="Verdana" w:hAnsi="Verdana"/>
          <w:spacing w:val="-13"/>
          <w:sz w:val="20"/>
        </w:rPr>
        <w:t xml:space="preserve"> </w:t>
      </w:r>
      <w:r w:rsidRPr="007E311B">
        <w:rPr>
          <w:rFonts w:ascii="Verdana" w:hAnsi="Verdana"/>
          <w:sz w:val="20"/>
        </w:rPr>
        <w:t>Jurídico.</w:t>
      </w:r>
      <w:r w:rsidRPr="007E311B">
        <w:rPr>
          <w:rFonts w:ascii="Verdana" w:hAnsi="Verdana"/>
          <w:spacing w:val="-13"/>
          <w:sz w:val="20"/>
        </w:rPr>
        <w:t xml:space="preserve"> </w:t>
      </w:r>
      <w:r w:rsidRPr="007E311B">
        <w:rPr>
          <w:rFonts w:ascii="Verdana" w:hAnsi="Verdana"/>
          <w:sz w:val="20"/>
        </w:rPr>
        <w:t>Las</w:t>
      </w:r>
      <w:r w:rsidRPr="007E311B">
        <w:rPr>
          <w:rFonts w:ascii="Verdana" w:hAnsi="Verdana"/>
          <w:spacing w:val="-14"/>
          <w:sz w:val="20"/>
        </w:rPr>
        <w:t xml:space="preserve"> </w:t>
      </w:r>
      <w:r w:rsidRPr="007E311B">
        <w:rPr>
          <w:rFonts w:ascii="Verdana" w:hAnsi="Verdana"/>
          <w:sz w:val="20"/>
        </w:rPr>
        <w:t>normas</w:t>
      </w:r>
      <w:r w:rsidRPr="007E311B">
        <w:rPr>
          <w:rFonts w:ascii="Verdana" w:hAnsi="Verdana"/>
          <w:spacing w:val="-13"/>
          <w:sz w:val="20"/>
        </w:rPr>
        <w:t xml:space="preserve"> </w:t>
      </w:r>
      <w:r w:rsidRPr="007E311B">
        <w:rPr>
          <w:rFonts w:ascii="Verdana" w:hAnsi="Verdana"/>
          <w:sz w:val="20"/>
        </w:rPr>
        <w:t>de</w:t>
      </w:r>
      <w:r w:rsidRPr="007E311B">
        <w:rPr>
          <w:rFonts w:ascii="Verdana" w:hAnsi="Verdana"/>
          <w:spacing w:val="-14"/>
          <w:sz w:val="20"/>
        </w:rPr>
        <w:t xml:space="preserve"> </w:t>
      </w:r>
      <w:r w:rsidRPr="007E311B">
        <w:rPr>
          <w:rFonts w:ascii="Verdana" w:hAnsi="Verdana"/>
          <w:sz w:val="20"/>
        </w:rPr>
        <w:t>este</w:t>
      </w:r>
      <w:r w:rsidRPr="007E311B">
        <w:rPr>
          <w:rFonts w:ascii="Verdana" w:hAnsi="Verdana"/>
          <w:spacing w:val="-13"/>
          <w:sz w:val="20"/>
        </w:rPr>
        <w:t xml:space="preserve"> </w:t>
      </w:r>
      <w:r w:rsidRPr="007E311B">
        <w:rPr>
          <w:rFonts w:ascii="Verdana" w:hAnsi="Verdana"/>
          <w:sz w:val="20"/>
        </w:rPr>
        <w:t>Decreto,</w:t>
      </w:r>
      <w:r w:rsidRPr="007E311B">
        <w:rPr>
          <w:rFonts w:ascii="Verdana" w:hAnsi="Verdana"/>
          <w:spacing w:val="-13"/>
          <w:sz w:val="20"/>
        </w:rPr>
        <w:t xml:space="preserve"> </w:t>
      </w:r>
      <w:r w:rsidRPr="007E311B">
        <w:rPr>
          <w:rFonts w:ascii="Verdana" w:hAnsi="Verdana"/>
          <w:sz w:val="20"/>
        </w:rPr>
        <w:t>en</w:t>
      </w:r>
      <w:r w:rsidRPr="007E311B">
        <w:rPr>
          <w:rFonts w:ascii="Verdana" w:hAnsi="Verdana"/>
          <w:spacing w:val="-14"/>
          <w:sz w:val="20"/>
        </w:rPr>
        <w:t xml:space="preserve"> </w:t>
      </w:r>
      <w:r w:rsidRPr="007E311B">
        <w:rPr>
          <w:rFonts w:ascii="Verdana" w:hAnsi="Verdana"/>
          <w:sz w:val="20"/>
        </w:rPr>
        <w:t>cuanto a la naturaleza jurídica, aplicación del régimen de derecho privado en la administración,</w:t>
      </w:r>
      <w:r w:rsidRPr="007E311B">
        <w:rPr>
          <w:rFonts w:ascii="Verdana" w:hAnsi="Verdana"/>
          <w:spacing w:val="78"/>
          <w:sz w:val="20"/>
        </w:rPr>
        <w:t xml:space="preserve"> </w:t>
      </w:r>
      <w:r w:rsidRPr="007E311B">
        <w:rPr>
          <w:rFonts w:ascii="Verdana" w:hAnsi="Verdana"/>
          <w:sz w:val="20"/>
        </w:rPr>
        <w:t>dirección</w:t>
      </w:r>
      <w:r w:rsidRPr="007E311B">
        <w:rPr>
          <w:rFonts w:ascii="Verdana" w:hAnsi="Verdana"/>
          <w:spacing w:val="77"/>
          <w:sz w:val="20"/>
        </w:rPr>
        <w:t xml:space="preserve"> </w:t>
      </w:r>
      <w:r w:rsidRPr="007E311B">
        <w:rPr>
          <w:rFonts w:ascii="Verdana" w:hAnsi="Verdana"/>
          <w:sz w:val="20"/>
        </w:rPr>
        <w:t>y</w:t>
      </w:r>
      <w:r w:rsidRPr="007E311B">
        <w:rPr>
          <w:rFonts w:ascii="Verdana" w:hAnsi="Verdana"/>
          <w:spacing w:val="74"/>
          <w:sz w:val="20"/>
        </w:rPr>
        <w:t xml:space="preserve"> </w:t>
      </w:r>
      <w:r w:rsidRPr="007E311B">
        <w:rPr>
          <w:rFonts w:ascii="Verdana" w:hAnsi="Verdana"/>
          <w:sz w:val="20"/>
        </w:rPr>
        <w:t>contratación</w:t>
      </w:r>
      <w:r w:rsidRPr="007E311B">
        <w:rPr>
          <w:rFonts w:ascii="Verdana" w:hAnsi="Verdana"/>
          <w:spacing w:val="78"/>
          <w:sz w:val="20"/>
        </w:rPr>
        <w:t xml:space="preserve"> </w:t>
      </w:r>
      <w:r w:rsidRPr="007E311B">
        <w:rPr>
          <w:rFonts w:ascii="Verdana" w:hAnsi="Verdana"/>
          <w:sz w:val="20"/>
        </w:rPr>
        <w:t>y</w:t>
      </w:r>
      <w:r w:rsidRPr="007E311B">
        <w:rPr>
          <w:rFonts w:ascii="Verdana" w:hAnsi="Verdana"/>
          <w:spacing w:val="74"/>
          <w:sz w:val="20"/>
        </w:rPr>
        <w:t xml:space="preserve"> </w:t>
      </w:r>
      <w:r w:rsidRPr="007E311B">
        <w:rPr>
          <w:rFonts w:ascii="Verdana" w:hAnsi="Verdana"/>
          <w:sz w:val="20"/>
        </w:rPr>
        <w:t>régimen</w:t>
      </w:r>
      <w:r w:rsidRPr="007E311B">
        <w:rPr>
          <w:rFonts w:ascii="Verdana" w:hAnsi="Verdana"/>
          <w:spacing w:val="76"/>
          <w:sz w:val="20"/>
        </w:rPr>
        <w:t xml:space="preserve"> </w:t>
      </w:r>
      <w:r w:rsidRPr="007E311B">
        <w:rPr>
          <w:rFonts w:ascii="Verdana" w:hAnsi="Verdana"/>
          <w:sz w:val="20"/>
        </w:rPr>
        <w:t>de</w:t>
      </w:r>
      <w:r w:rsidRPr="007E311B">
        <w:rPr>
          <w:rFonts w:ascii="Verdana" w:hAnsi="Verdana"/>
          <w:spacing w:val="74"/>
          <w:sz w:val="20"/>
        </w:rPr>
        <w:t xml:space="preserve"> </w:t>
      </w:r>
      <w:r w:rsidRPr="007E311B">
        <w:rPr>
          <w:rFonts w:ascii="Verdana" w:hAnsi="Verdana"/>
          <w:sz w:val="20"/>
        </w:rPr>
        <w:t>convenios</w:t>
      </w:r>
      <w:r w:rsidRPr="007E311B">
        <w:rPr>
          <w:rFonts w:ascii="Verdana" w:hAnsi="Verdana"/>
          <w:spacing w:val="76"/>
          <w:sz w:val="20"/>
        </w:rPr>
        <w:t xml:space="preserve"> </w:t>
      </w:r>
      <w:r w:rsidRPr="007E311B">
        <w:rPr>
          <w:rFonts w:ascii="Verdana" w:hAnsi="Verdana"/>
          <w:sz w:val="20"/>
        </w:rPr>
        <w:t>se</w:t>
      </w:r>
      <w:r>
        <w:rPr>
          <w:rFonts w:ascii="Verdana" w:hAnsi="Verdana"/>
          <w:sz w:val="20"/>
        </w:rPr>
        <w:t xml:space="preserve"> </w:t>
      </w:r>
      <w:r w:rsidRPr="007E311B">
        <w:rPr>
          <w:rFonts w:ascii="Verdana" w:hAnsi="Verdana"/>
          <w:sz w:val="20"/>
        </w:rPr>
        <w:t>extienden al</w:t>
      </w:r>
      <w:r w:rsidRPr="007E311B">
        <w:rPr>
          <w:rFonts w:ascii="Verdana" w:hAnsi="Verdana"/>
          <w:spacing w:val="-2"/>
          <w:sz w:val="20"/>
        </w:rPr>
        <w:t xml:space="preserve"> </w:t>
      </w:r>
      <w:r w:rsidRPr="007E311B">
        <w:rPr>
          <w:rFonts w:ascii="Verdana" w:hAnsi="Verdana"/>
          <w:sz w:val="20"/>
        </w:rPr>
        <w:t>Fondo</w:t>
      </w:r>
      <w:r w:rsidRPr="007E311B">
        <w:rPr>
          <w:rFonts w:ascii="Verdana" w:hAnsi="Verdana"/>
          <w:spacing w:val="-1"/>
          <w:sz w:val="20"/>
        </w:rPr>
        <w:t xml:space="preserve"> </w:t>
      </w:r>
      <w:r w:rsidRPr="007E311B">
        <w:rPr>
          <w:rFonts w:ascii="Verdana" w:hAnsi="Verdana"/>
          <w:sz w:val="20"/>
        </w:rPr>
        <w:t>Mixto</w:t>
      </w:r>
      <w:r w:rsidRPr="007E311B">
        <w:rPr>
          <w:rFonts w:ascii="Verdana" w:hAnsi="Verdana"/>
          <w:spacing w:val="-1"/>
          <w:sz w:val="20"/>
        </w:rPr>
        <w:t xml:space="preserve"> </w:t>
      </w:r>
      <w:r w:rsidRPr="007E311B">
        <w:rPr>
          <w:rFonts w:ascii="Verdana" w:hAnsi="Verdana"/>
          <w:sz w:val="20"/>
        </w:rPr>
        <w:t>de</w:t>
      </w:r>
      <w:r w:rsidRPr="007E311B">
        <w:rPr>
          <w:rFonts w:ascii="Verdana" w:hAnsi="Verdana"/>
          <w:spacing w:val="-2"/>
          <w:sz w:val="20"/>
        </w:rPr>
        <w:t xml:space="preserve"> </w:t>
      </w:r>
      <w:r w:rsidRPr="007E311B">
        <w:rPr>
          <w:rFonts w:ascii="Verdana" w:hAnsi="Verdana"/>
          <w:sz w:val="20"/>
        </w:rPr>
        <w:t>Promoción Cinematográfica y</w:t>
      </w:r>
      <w:r w:rsidRPr="007E311B">
        <w:rPr>
          <w:rFonts w:ascii="Verdana" w:hAnsi="Verdana"/>
          <w:spacing w:val="-2"/>
          <w:sz w:val="20"/>
        </w:rPr>
        <w:t xml:space="preserve"> </w:t>
      </w:r>
      <w:r w:rsidRPr="007E311B">
        <w:rPr>
          <w:rFonts w:ascii="Verdana" w:hAnsi="Verdana"/>
          <w:sz w:val="20"/>
        </w:rPr>
        <w:t>al</w:t>
      </w:r>
      <w:r w:rsidRPr="007E311B">
        <w:rPr>
          <w:rFonts w:ascii="Verdana" w:hAnsi="Verdana"/>
          <w:spacing w:val="-2"/>
          <w:sz w:val="20"/>
        </w:rPr>
        <w:t xml:space="preserve"> </w:t>
      </w:r>
      <w:r w:rsidRPr="007E311B">
        <w:rPr>
          <w:rFonts w:ascii="Verdana" w:hAnsi="Verdana"/>
          <w:sz w:val="20"/>
        </w:rPr>
        <w:t>Fondo</w:t>
      </w:r>
      <w:r w:rsidRPr="007E311B">
        <w:rPr>
          <w:rFonts w:ascii="Verdana" w:hAnsi="Verdana"/>
          <w:spacing w:val="-1"/>
          <w:sz w:val="20"/>
        </w:rPr>
        <w:t xml:space="preserve"> </w:t>
      </w:r>
      <w:r w:rsidRPr="007E311B">
        <w:rPr>
          <w:rFonts w:ascii="Verdana" w:hAnsi="Verdana"/>
          <w:sz w:val="20"/>
        </w:rPr>
        <w:t>Mixto Nacional de Cultura”.</w:t>
      </w:r>
    </w:p>
    <w:p w14:paraId="37EC6B46" w14:textId="77777777" w:rsidR="00AF2C34" w:rsidRDefault="00AF2C34" w:rsidP="00AF2C34">
      <w:pPr>
        <w:pStyle w:val="Textoindependiente"/>
        <w:spacing w:line="276" w:lineRule="auto"/>
        <w:ind w:left="100" w:right="49" w:firstLine="709"/>
        <w:jc w:val="both"/>
      </w:pPr>
      <w:r>
        <w:t>De las normas citadas se desprende que los fondos mixtos para la promoción de la cultura y</w:t>
      </w:r>
      <w:r>
        <w:rPr>
          <w:spacing w:val="-20"/>
        </w:rPr>
        <w:t xml:space="preserve"> </w:t>
      </w:r>
      <w:r>
        <w:t>las</w:t>
      </w:r>
      <w:r>
        <w:rPr>
          <w:spacing w:val="-19"/>
        </w:rPr>
        <w:t xml:space="preserve"> </w:t>
      </w:r>
      <w:r>
        <w:t>artes</w:t>
      </w:r>
      <w:r>
        <w:rPr>
          <w:spacing w:val="-18"/>
        </w:rPr>
        <w:t xml:space="preserve"> </w:t>
      </w:r>
      <w:r>
        <w:t>son</w:t>
      </w:r>
      <w:r>
        <w:rPr>
          <w:spacing w:val="-19"/>
        </w:rPr>
        <w:t xml:space="preserve"> </w:t>
      </w:r>
      <w:r>
        <w:t>entidades</w:t>
      </w:r>
      <w:r>
        <w:rPr>
          <w:spacing w:val="-17"/>
        </w:rPr>
        <w:t xml:space="preserve"> </w:t>
      </w:r>
      <w:r>
        <w:t>con</w:t>
      </w:r>
      <w:r>
        <w:rPr>
          <w:spacing w:val="-19"/>
        </w:rPr>
        <w:t xml:space="preserve"> </w:t>
      </w:r>
      <w:r>
        <w:t>personería</w:t>
      </w:r>
      <w:r>
        <w:rPr>
          <w:spacing w:val="-17"/>
        </w:rPr>
        <w:t xml:space="preserve"> </w:t>
      </w:r>
      <w:r>
        <w:t>jurídica</w:t>
      </w:r>
      <w:r>
        <w:rPr>
          <w:spacing w:val="-18"/>
        </w:rPr>
        <w:t xml:space="preserve"> </w:t>
      </w:r>
      <w:r>
        <w:t>descentralizadas</w:t>
      </w:r>
      <w:r>
        <w:rPr>
          <w:spacing w:val="-15"/>
        </w:rPr>
        <w:t xml:space="preserve"> </w:t>
      </w:r>
      <w:r>
        <w:t>indirectas</w:t>
      </w:r>
      <w:r>
        <w:rPr>
          <w:vertAlign w:val="superscript"/>
        </w:rPr>
        <w:t>4</w:t>
      </w:r>
      <w:r>
        <w:t>,</w:t>
      </w:r>
      <w:r>
        <w:rPr>
          <w:spacing w:val="-20"/>
        </w:rPr>
        <w:t xml:space="preserve"> </w:t>
      </w:r>
      <w:r>
        <w:t>sin ánimo de lucro, cuya composición está conformada por aportes privados y públicos,</w:t>
      </w:r>
      <w:r>
        <w:rPr>
          <w:spacing w:val="-13"/>
        </w:rPr>
        <w:t xml:space="preserve"> </w:t>
      </w:r>
      <w:r>
        <w:t>regidas</w:t>
      </w:r>
      <w:r>
        <w:rPr>
          <w:spacing w:val="-11"/>
        </w:rPr>
        <w:t xml:space="preserve"> </w:t>
      </w:r>
      <w:r>
        <w:t>por</w:t>
      </w:r>
      <w:r>
        <w:rPr>
          <w:spacing w:val="-12"/>
        </w:rPr>
        <w:t xml:space="preserve"> </w:t>
      </w:r>
      <w:r>
        <w:t>el</w:t>
      </w:r>
      <w:r>
        <w:rPr>
          <w:spacing w:val="-12"/>
        </w:rPr>
        <w:t xml:space="preserve"> </w:t>
      </w:r>
      <w:r>
        <w:t>artículo</w:t>
      </w:r>
      <w:r>
        <w:rPr>
          <w:spacing w:val="-10"/>
        </w:rPr>
        <w:t xml:space="preserve"> </w:t>
      </w:r>
      <w:r>
        <w:t>355</w:t>
      </w:r>
      <w:r>
        <w:rPr>
          <w:spacing w:val="-12"/>
        </w:rPr>
        <w:t xml:space="preserve"> </w:t>
      </w:r>
      <w:r>
        <w:t>de</w:t>
      </w:r>
      <w:r>
        <w:rPr>
          <w:spacing w:val="-12"/>
        </w:rPr>
        <w:t xml:space="preserve"> </w:t>
      </w:r>
      <w:r>
        <w:t>la</w:t>
      </w:r>
      <w:r>
        <w:rPr>
          <w:spacing w:val="-12"/>
        </w:rPr>
        <w:t xml:space="preserve"> </w:t>
      </w:r>
      <w:r>
        <w:t>Constitución</w:t>
      </w:r>
      <w:r>
        <w:rPr>
          <w:spacing w:val="-9"/>
        </w:rPr>
        <w:t xml:space="preserve"> </w:t>
      </w:r>
      <w:r>
        <w:t>Política</w:t>
      </w:r>
      <w:r>
        <w:rPr>
          <w:spacing w:val="-11"/>
        </w:rPr>
        <w:t xml:space="preserve"> </w:t>
      </w:r>
      <w:r>
        <w:t>y</w:t>
      </w:r>
      <w:r>
        <w:rPr>
          <w:spacing w:val="-13"/>
        </w:rPr>
        <w:t xml:space="preserve"> </w:t>
      </w:r>
      <w:r>
        <w:t>el</w:t>
      </w:r>
      <w:r>
        <w:rPr>
          <w:spacing w:val="-12"/>
        </w:rPr>
        <w:t xml:space="preserve"> </w:t>
      </w:r>
      <w:r>
        <w:t>artículo</w:t>
      </w:r>
      <w:r>
        <w:rPr>
          <w:spacing w:val="-10"/>
        </w:rPr>
        <w:t xml:space="preserve"> </w:t>
      </w:r>
      <w:r>
        <w:t>96</w:t>
      </w:r>
      <w:r>
        <w:rPr>
          <w:spacing w:val="-12"/>
        </w:rPr>
        <w:t xml:space="preserve"> </w:t>
      </w:r>
      <w:r>
        <w:t>de la Ley 489 de 1998.</w:t>
      </w:r>
    </w:p>
    <w:p w14:paraId="03DC26D6" w14:textId="77777777" w:rsidR="00AF2C34" w:rsidRDefault="00AF2C34" w:rsidP="00AF2C34">
      <w:pPr>
        <w:pStyle w:val="Textoindependiente"/>
        <w:spacing w:before="120" w:line="276" w:lineRule="auto"/>
        <w:ind w:left="100" w:right="49" w:firstLine="709"/>
        <w:jc w:val="both"/>
      </w:pPr>
      <w:r>
        <w:t>En este punto es importante resaltar que el artículo 96 de la Ley 489 de 1998 señala que las Entidades Estatales, cualquiera sea su naturaleza y orden administrativo</w:t>
      </w:r>
      <w:r>
        <w:rPr>
          <w:spacing w:val="-3"/>
        </w:rPr>
        <w:t xml:space="preserve"> </w:t>
      </w:r>
      <w:r>
        <w:t>podrán</w:t>
      </w:r>
      <w:r>
        <w:rPr>
          <w:spacing w:val="-5"/>
        </w:rPr>
        <w:t xml:space="preserve"> </w:t>
      </w:r>
      <w:r>
        <w:t>asociarse</w:t>
      </w:r>
      <w:r>
        <w:rPr>
          <w:spacing w:val="-4"/>
        </w:rPr>
        <w:t xml:space="preserve"> </w:t>
      </w:r>
      <w:r>
        <w:t>con</w:t>
      </w:r>
      <w:r>
        <w:rPr>
          <w:spacing w:val="-6"/>
        </w:rPr>
        <w:t xml:space="preserve"> </w:t>
      </w:r>
      <w:r>
        <w:t>personas</w:t>
      </w:r>
      <w:r>
        <w:rPr>
          <w:spacing w:val="-4"/>
        </w:rPr>
        <w:t xml:space="preserve"> </w:t>
      </w:r>
      <w:r>
        <w:t>jurídicas</w:t>
      </w:r>
      <w:r>
        <w:rPr>
          <w:spacing w:val="-4"/>
        </w:rPr>
        <w:t xml:space="preserve"> </w:t>
      </w:r>
      <w:r>
        <w:t>particulares</w:t>
      </w:r>
      <w:r>
        <w:rPr>
          <w:spacing w:val="-4"/>
        </w:rPr>
        <w:t xml:space="preserve"> </w:t>
      </w:r>
      <w:r>
        <w:t>mediante</w:t>
      </w:r>
      <w:r>
        <w:rPr>
          <w:spacing w:val="-4"/>
        </w:rPr>
        <w:t xml:space="preserve"> </w:t>
      </w:r>
      <w:r>
        <w:t>la celebración</w:t>
      </w:r>
      <w:r>
        <w:rPr>
          <w:spacing w:val="-5"/>
        </w:rPr>
        <w:t xml:space="preserve"> </w:t>
      </w:r>
      <w:r>
        <w:t>de</w:t>
      </w:r>
      <w:r>
        <w:rPr>
          <w:spacing w:val="-9"/>
        </w:rPr>
        <w:t xml:space="preserve"> </w:t>
      </w:r>
      <w:r>
        <w:t>convenios</w:t>
      </w:r>
      <w:r>
        <w:rPr>
          <w:spacing w:val="-7"/>
        </w:rPr>
        <w:t xml:space="preserve"> </w:t>
      </w:r>
      <w:r>
        <w:t>de</w:t>
      </w:r>
      <w:r>
        <w:rPr>
          <w:spacing w:val="-9"/>
        </w:rPr>
        <w:t xml:space="preserve"> </w:t>
      </w:r>
      <w:r>
        <w:t>asociación</w:t>
      </w:r>
      <w:r>
        <w:rPr>
          <w:spacing w:val="-6"/>
        </w:rPr>
        <w:t xml:space="preserve"> </w:t>
      </w:r>
      <w:r>
        <w:t>o</w:t>
      </w:r>
      <w:r>
        <w:rPr>
          <w:spacing w:val="-9"/>
        </w:rPr>
        <w:t xml:space="preserve"> </w:t>
      </w:r>
      <w:r>
        <w:t>la</w:t>
      </w:r>
      <w:r>
        <w:rPr>
          <w:spacing w:val="-9"/>
        </w:rPr>
        <w:t xml:space="preserve"> </w:t>
      </w:r>
      <w:r>
        <w:t>creación</w:t>
      </w:r>
      <w:r>
        <w:rPr>
          <w:spacing w:val="-6"/>
        </w:rPr>
        <w:t xml:space="preserve"> </w:t>
      </w:r>
      <w:r>
        <w:t>de</w:t>
      </w:r>
      <w:r>
        <w:rPr>
          <w:spacing w:val="-9"/>
        </w:rPr>
        <w:t xml:space="preserve"> </w:t>
      </w:r>
      <w:r>
        <w:t>personas</w:t>
      </w:r>
      <w:r>
        <w:rPr>
          <w:spacing w:val="-7"/>
        </w:rPr>
        <w:t xml:space="preserve"> </w:t>
      </w:r>
      <w:r>
        <w:t>jurídicas,</w:t>
      </w:r>
      <w:r>
        <w:rPr>
          <w:spacing w:val="-6"/>
        </w:rPr>
        <w:t xml:space="preserve"> </w:t>
      </w:r>
      <w:r>
        <w:t xml:space="preserve">para el desarrollo conjunto de actividades en relación con los cometidos y funciones que les asigna a aquellas la ley. Asimismo, el literal a) del inciso 4° </w:t>
      </w:r>
      <w:r>
        <w:rPr>
          <w:i/>
        </w:rPr>
        <w:t xml:space="preserve">ibídem </w:t>
      </w:r>
      <w:r>
        <w:t>dispone que, en el acto constitutivo que de origen a una persona jurídica se establecerán los objetivos y actividades a cargo, con precisión de la conexidad con los objetivos, funciones y controles propios de las Entidades Públicas participantes. La</w:t>
      </w:r>
      <w:r>
        <w:rPr>
          <w:spacing w:val="-2"/>
        </w:rPr>
        <w:t xml:space="preserve"> </w:t>
      </w:r>
      <w:r>
        <w:t>lectura del</w:t>
      </w:r>
      <w:r>
        <w:rPr>
          <w:spacing w:val="-1"/>
        </w:rPr>
        <w:t xml:space="preserve"> </w:t>
      </w:r>
      <w:r>
        <w:t>artículo 96</w:t>
      </w:r>
      <w:r>
        <w:rPr>
          <w:spacing w:val="-2"/>
        </w:rPr>
        <w:t xml:space="preserve"> </w:t>
      </w:r>
      <w:r>
        <w:t>permite concluir que</w:t>
      </w:r>
      <w:r>
        <w:rPr>
          <w:spacing w:val="-1"/>
        </w:rPr>
        <w:t xml:space="preserve"> </w:t>
      </w:r>
      <w:r>
        <w:t>la</w:t>
      </w:r>
      <w:r>
        <w:rPr>
          <w:spacing w:val="-2"/>
        </w:rPr>
        <w:t xml:space="preserve"> </w:t>
      </w:r>
      <w:r>
        <w:t>persona jurídica que se cree en virtud de dicha disposición deberá desarrollar los objetivos y actividades que guarden conexión con los objetivos, funciones y controles propios de las Entidades Públicas participantes.</w:t>
      </w:r>
    </w:p>
    <w:p w14:paraId="2FCAA161" w14:textId="77777777" w:rsidR="00AF2C34" w:rsidRDefault="00AF2C34" w:rsidP="00AF2C34">
      <w:pPr>
        <w:widowControl w:val="0"/>
        <w:autoSpaceDE w:val="0"/>
        <w:autoSpaceDN w:val="0"/>
        <w:spacing w:after="120" w:line="276" w:lineRule="auto"/>
        <w:ind w:firstLine="709"/>
        <w:jc w:val="both"/>
        <w:rPr>
          <w:rFonts w:ascii="Verdana" w:hAnsi="Verdana" w:cs="Arial"/>
          <w:color w:val="000000" w:themeColor="text1"/>
          <w:lang w:val="es-ES" w:eastAsia="es-ES" w:bidi="es-ES"/>
        </w:rPr>
      </w:pPr>
      <w:bookmarkStart w:id="1" w:name="_Hlk77949006"/>
      <w:r w:rsidRPr="007B7234">
        <w:rPr>
          <w:rFonts w:ascii="Verdana" w:hAnsi="Verdana" w:cs="Arial"/>
          <w:color w:val="000000" w:themeColor="text1"/>
          <w:lang w:val="es-ES" w:eastAsia="es-ES" w:bidi="es-ES"/>
        </w:rPr>
        <w:t>En cuanto al régimen contractual de estos fondos, el artículo 63 de la Ley 397 de 1997 definió que el régimen jurídico de sus contratos es el derecho privado.</w:t>
      </w:r>
      <w:r>
        <w:rPr>
          <w:rFonts w:ascii="Verdana" w:hAnsi="Verdana" w:cs="Arial"/>
          <w:color w:val="000000" w:themeColor="text1"/>
          <w:lang w:val="es-ES" w:eastAsia="es-ES" w:bidi="es-ES"/>
        </w:rPr>
        <w:t xml:space="preserve"> </w:t>
      </w:r>
      <w:r w:rsidRPr="003A7D23">
        <w:rPr>
          <w:rFonts w:ascii="Verdana" w:eastAsia="Arial" w:hAnsi="Verdana" w:cs="Arial"/>
          <w:lang w:val="es-ES"/>
        </w:rPr>
        <w:t xml:space="preserve">Lo anterior, se traduce en que la existencia y validez de sus actos y </w:t>
      </w:r>
      <w:r w:rsidRPr="003A7D23">
        <w:rPr>
          <w:rFonts w:ascii="Verdana" w:eastAsia="Arial" w:hAnsi="Verdana" w:cs="Arial"/>
          <w:lang w:val="es-ES"/>
        </w:rPr>
        <w:lastRenderedPageBreak/>
        <w:t xml:space="preserve">contratos están regidas por las leyes civiles y comerciales pertinentes y lo que disponga los estatutos que las rigen. </w:t>
      </w:r>
      <w:r>
        <w:rPr>
          <w:rFonts w:ascii="Verdana" w:eastAsia="Arial" w:hAnsi="Verdana" w:cs="Arial"/>
          <w:lang w:val="es-ES"/>
        </w:rPr>
        <w:t>Sin embargo, t</w:t>
      </w:r>
      <w:r w:rsidRPr="007B7234">
        <w:rPr>
          <w:rFonts w:ascii="Verdana" w:hAnsi="Verdana" w:cs="Arial"/>
          <w:color w:val="000000" w:themeColor="text1"/>
          <w:lang w:val="es-ES" w:eastAsia="es-ES" w:bidi="es-ES"/>
        </w:rPr>
        <w:t>al exclusión del régimen jurídico contractual general de las entidades estatales no es absoluta, toda vez que estos fondos al administrar recursos públicos deben respetar los principios de la función administrativa y de la gestión fiscal</w:t>
      </w:r>
      <w:r w:rsidRPr="007B7234">
        <w:rPr>
          <w:rFonts w:ascii="Verdana" w:hAnsi="Verdana" w:cs="Arial"/>
          <w:color w:val="000000" w:themeColor="text1"/>
          <w:vertAlign w:val="superscript"/>
          <w:lang w:val="es-ES" w:eastAsia="es-ES" w:bidi="es-ES"/>
        </w:rPr>
        <w:footnoteReference w:id="4"/>
      </w:r>
      <w:r w:rsidRPr="007B7234">
        <w:rPr>
          <w:rFonts w:ascii="Verdana" w:hAnsi="Verdana" w:cs="Arial"/>
          <w:color w:val="000000" w:themeColor="text1"/>
          <w:lang w:val="es-ES" w:eastAsia="es-ES" w:bidi="es-ES"/>
        </w:rPr>
        <w:t>, de conformidad con el artículo 13 de la Ley 1150 de 2007</w:t>
      </w:r>
      <w:r w:rsidRPr="007B7234">
        <w:rPr>
          <w:rFonts w:ascii="Verdana" w:hAnsi="Verdana" w:cs="Arial"/>
          <w:color w:val="000000" w:themeColor="text1"/>
          <w:vertAlign w:val="superscript"/>
          <w:lang w:val="es-ES" w:eastAsia="es-ES" w:bidi="es-ES"/>
        </w:rPr>
        <w:footnoteReference w:id="5"/>
      </w:r>
      <w:r w:rsidRPr="007B7234">
        <w:rPr>
          <w:rFonts w:ascii="Verdana" w:hAnsi="Verdana" w:cs="Arial"/>
          <w:color w:val="000000" w:themeColor="text1"/>
          <w:lang w:val="es-ES" w:eastAsia="es-ES" w:bidi="es-ES"/>
        </w:rPr>
        <w:t xml:space="preserve">. </w:t>
      </w:r>
    </w:p>
    <w:p w14:paraId="0B9DE494" w14:textId="77777777" w:rsidR="00AF2C34" w:rsidRDefault="00AF2C34" w:rsidP="00AF2C34">
      <w:pPr>
        <w:widowControl w:val="0"/>
        <w:autoSpaceDE w:val="0"/>
        <w:autoSpaceDN w:val="0"/>
        <w:spacing w:after="120" w:line="276" w:lineRule="auto"/>
        <w:ind w:firstLine="709"/>
        <w:jc w:val="both"/>
        <w:rPr>
          <w:rFonts w:ascii="Verdana" w:hAnsi="Verdana"/>
          <w:noProof/>
        </w:rPr>
      </w:pPr>
      <w:r w:rsidRPr="007216D7">
        <w:rPr>
          <w:rFonts w:ascii="Verdana" w:hAnsi="Verdana"/>
        </w:rPr>
        <w:t xml:space="preserve">Sin perjuicio de lo anterior, es importante mencionar que, en lo relativo a la ejecución de proyectos de inversión financiados con recursos del Sistema General del Regalías, el Capítulo I, del </w:t>
      </w:r>
      <w:r w:rsidRPr="007216D7">
        <w:rPr>
          <w:rFonts w:ascii="Verdana" w:hAnsi="Verdana"/>
          <w:noProof/>
        </w:rPr>
        <w:t>Título IV de la Ley 2056 de 2020 establece las reglas generales  que tienen incidencia en el régimen de contratación de las entidades ejecutoras. Al respecto, regula aspectos como la destinación de los proyectos del Sistema General de Regalías –artículo 28–, las características de los proyectos de inversión –artículo 29–, los ejercicios de planeación –artículo 30–, el ciclo de los proyectos de inversión –artículo 31–, el registro de proyectos –artículo 32–, formulación y presentación de los proyectos de inversión –artículo 33–, viabilidad de los proyectos de inversión–artículo 34–, priorización y aprobación de los proyectos de inversión de la asignación para la inversión regional –artículo 35–, priorización y aprobación de proyectos de inversión para las asignaciones directas y asignación para la inversión local –artículo 36–, así como la ejecución de proyectos de inversión –artículo 37–.</w:t>
      </w:r>
    </w:p>
    <w:p w14:paraId="4356A92E" w14:textId="77777777" w:rsidR="00AF2C34" w:rsidRPr="007216D7" w:rsidRDefault="00AF2C34" w:rsidP="00AF2C34">
      <w:pPr>
        <w:spacing w:line="276" w:lineRule="auto"/>
        <w:ind w:firstLine="708"/>
        <w:jc w:val="both"/>
        <w:rPr>
          <w:rFonts w:ascii="Verdana" w:hAnsi="Verdana" w:cs="Arial"/>
          <w:noProof/>
        </w:rPr>
      </w:pPr>
      <w:r w:rsidRPr="007216D7">
        <w:rPr>
          <w:rFonts w:ascii="Verdana" w:hAnsi="Verdana" w:cs="Arial"/>
        </w:rPr>
        <w:t>En esta línea, el parágrafo primero del artículo 37 dispone: “La ejecución de proyectos de qué trata este artículo, se adelantará, con estricta sujeción al régimen presupuestal definido en esta ley, al de contratación pública y las demás normas legales vigentes. El ejecutor garantizará la correcta ejecución de los recursos asignados al proyecto de inversión, así como el suministro y registro de la información requerida por el sistema de seguimiento, evaluación y control”</w:t>
      </w:r>
      <w:r w:rsidRPr="007216D7">
        <w:rPr>
          <w:rStyle w:val="Refdenotaalpie"/>
          <w:rFonts w:ascii="Verdana" w:hAnsi="Verdana" w:cs="Arial"/>
        </w:rPr>
        <w:footnoteReference w:id="6"/>
      </w:r>
      <w:r w:rsidRPr="007216D7">
        <w:rPr>
          <w:rFonts w:ascii="Verdana" w:hAnsi="Verdana" w:cs="Arial"/>
        </w:rPr>
        <w:t>.</w:t>
      </w:r>
      <w:r w:rsidRPr="007216D7">
        <w:rPr>
          <w:rFonts w:ascii="Verdana" w:hAnsi="Verdana" w:cs="Arial"/>
          <w:noProof/>
        </w:rPr>
        <w:t xml:space="preserve"> A partir de esta norma, el ejercutor de los proyectos de inversion en </w:t>
      </w:r>
      <w:r w:rsidRPr="007216D7">
        <w:rPr>
          <w:rFonts w:ascii="Verdana" w:hAnsi="Verdana" w:cs="Arial"/>
          <w:noProof/>
        </w:rPr>
        <w:lastRenderedPageBreak/>
        <w:t>el S</w:t>
      </w:r>
      <w:r>
        <w:rPr>
          <w:rFonts w:ascii="Verdana" w:hAnsi="Verdana" w:cs="Arial"/>
          <w:noProof/>
        </w:rPr>
        <w:t xml:space="preserve">istema </w:t>
      </w:r>
      <w:r w:rsidRPr="007216D7">
        <w:rPr>
          <w:rFonts w:ascii="Verdana" w:hAnsi="Verdana" w:cs="Arial"/>
          <w:noProof/>
        </w:rPr>
        <w:t>G</w:t>
      </w:r>
      <w:r>
        <w:rPr>
          <w:rFonts w:ascii="Verdana" w:hAnsi="Verdana" w:cs="Arial"/>
          <w:noProof/>
        </w:rPr>
        <w:t xml:space="preserve">eneral de </w:t>
      </w:r>
      <w:r w:rsidRPr="007216D7">
        <w:rPr>
          <w:rFonts w:ascii="Verdana" w:hAnsi="Verdana" w:cs="Arial"/>
          <w:noProof/>
        </w:rPr>
        <w:t>R</w:t>
      </w:r>
      <w:r>
        <w:rPr>
          <w:rFonts w:ascii="Verdana" w:hAnsi="Verdana" w:cs="Arial"/>
          <w:noProof/>
        </w:rPr>
        <w:t>egalias</w:t>
      </w:r>
      <w:r w:rsidRPr="007216D7">
        <w:rPr>
          <w:rFonts w:ascii="Verdana" w:hAnsi="Verdana" w:cs="Arial"/>
          <w:noProof/>
        </w:rPr>
        <w:t xml:space="preserve"> debe sujetarse a las reglas de contratación pública, es decir, a las prescripciones establecidas en el </w:t>
      </w:r>
      <w:r>
        <w:rPr>
          <w:rFonts w:ascii="Verdana" w:hAnsi="Verdana" w:cs="Arial"/>
          <w:noProof/>
        </w:rPr>
        <w:t>EGCAP</w:t>
      </w:r>
      <w:r w:rsidRPr="007216D7">
        <w:rPr>
          <w:rFonts w:ascii="Verdana" w:hAnsi="Verdana" w:cs="Arial"/>
          <w:noProof/>
        </w:rPr>
        <w:t xml:space="preserve">, así como las normas que lo modifiquen, sustituyan o reglamenten. En efecto, el ejecutor debe someterse a las reglas generales de la contratación pública cuando desarrolle proyectos en el marco del Sistema General de Regalías. </w:t>
      </w:r>
    </w:p>
    <w:p w14:paraId="6EA51204" w14:textId="77777777" w:rsidR="00AF2C34" w:rsidRPr="007216D7" w:rsidRDefault="00AF2C34" w:rsidP="00AF2C34">
      <w:pPr>
        <w:spacing w:before="120" w:line="276" w:lineRule="auto"/>
        <w:ind w:firstLine="709"/>
        <w:jc w:val="both"/>
        <w:rPr>
          <w:rFonts w:ascii="Verdana" w:hAnsi="Verdana" w:cs="Arial"/>
          <w:color w:val="000000"/>
          <w:bdr w:val="none" w:sz="0" w:space="0" w:color="auto" w:frame="1"/>
          <w:lang w:val="es-MX"/>
        </w:rPr>
      </w:pPr>
      <w:r w:rsidRPr="007216D7">
        <w:rPr>
          <w:rFonts w:ascii="Verdana" w:hAnsi="Verdana" w:cs="Arial"/>
          <w:color w:val="000000"/>
          <w:bdr w:val="none" w:sz="0" w:space="0" w:color="auto" w:frame="1"/>
          <w:lang w:val="es-MX"/>
        </w:rPr>
        <w:t xml:space="preserve">Lo anterior significa que, si bien los fondos mixtos para la promoción de la cultura y de las artes, de conformidad con el artículo 63 de la Ley 397 de 1997, están sometidos a un régimen de contratación de derecho privado, exceptuado del régimen general de contratación pública, en el caso de que estos funjan como entidades ejecutoras de proyectos de inversión financiados con recursos del Sistema General de Regalías, dichos fondos deberán aplicar las normas del estatuto general de contratación pública para la ejecución de los proyectos. Esto comoquiera que, si bien la Ley 2056 de 2020 no tiene un efecto subrogatorio o derogatorio respecto del régimen especial dispuesto en el artículo </w:t>
      </w:r>
      <w:r w:rsidRPr="007216D7">
        <w:rPr>
          <w:rFonts w:ascii="Verdana" w:hAnsi="Verdana" w:cs="Arial"/>
          <w:color w:val="000000"/>
          <w:bdr w:val="none" w:sz="0" w:space="0" w:color="auto" w:frame="1"/>
          <w:lang w:val="es-MX"/>
        </w:rPr>
        <w:lastRenderedPageBreak/>
        <w:t xml:space="preserve">63 de la Ley 397 de 2023, esta si constituye una norma especial en lo relativo a la ejecución de recursos del Sistema General de Regalías, por lo que en atención a lo dispuesto en el artículo 37 de dicha norma especial, los fondos mixtos que actúen como ejecutores de las asignaciones a las que se refieren los artículos 35 y 36 de la Ley 2056 de 2020 deberán aplicar las disposiciones de las leyes 80 de 1993, 1150 de 2007 y 1474 de 2011, así como el Decreto 1082 de 2015, para el desarrollo de la contratación que se requiera realizar para la ejecución de los proyectos de inversión que tienen a su cargo. </w:t>
      </w:r>
    </w:p>
    <w:p w14:paraId="4DB10828" w14:textId="77777777" w:rsidR="00AF2C34" w:rsidRDefault="00AF2C34" w:rsidP="00AF2C34">
      <w:pPr>
        <w:spacing w:before="120" w:after="0" w:line="276" w:lineRule="auto"/>
        <w:ind w:firstLine="709"/>
        <w:jc w:val="both"/>
        <w:rPr>
          <w:rFonts w:ascii="Verdana" w:hAnsi="Verdana" w:cs="Arial"/>
          <w:color w:val="000000"/>
          <w:bdr w:val="none" w:sz="0" w:space="0" w:color="auto" w:frame="1"/>
          <w:lang w:val="es-MX"/>
        </w:rPr>
      </w:pPr>
      <w:r w:rsidRPr="007216D7">
        <w:rPr>
          <w:rFonts w:ascii="Verdana" w:hAnsi="Verdana" w:cs="Arial"/>
          <w:color w:val="000000"/>
          <w:bdr w:val="none" w:sz="0" w:space="0" w:color="auto" w:frame="1"/>
          <w:lang w:val="es-MX"/>
        </w:rPr>
        <w:t xml:space="preserve">Con todo, lo anterior no implica que la designación para la ejecución de proyectos financiados con recursos del Sistema General de Regalías mute a perpetuidad o de manera general el régimen contractual de las entidades estatales ejecutoras sometidas a regímenes especiales de contratación, en la medida en que, mientras sigan vigentes las disposiciones legales que contemplan tales regímenes exceptuados, dichas entidades podrán seguir aplicándolos para la contratación no relacionada con la ejecución de los proyectos a los que se refieren los artículos 35 y 36 de la Ley 2056 de 2020.  </w:t>
      </w:r>
    </w:p>
    <w:p w14:paraId="1B92C52B" w14:textId="77777777" w:rsidR="00AF2C34" w:rsidRDefault="00AF2C34" w:rsidP="00AF2C34">
      <w:pPr>
        <w:spacing w:before="120" w:after="0" w:line="276" w:lineRule="auto"/>
        <w:ind w:firstLine="709"/>
        <w:jc w:val="both"/>
        <w:rPr>
          <w:rFonts w:ascii="Verdana" w:hAnsi="Verdana" w:cs="Arial"/>
          <w:color w:val="000000"/>
          <w:bdr w:val="none" w:sz="0" w:space="0" w:color="auto" w:frame="1"/>
          <w:lang w:val="es-MX"/>
        </w:rPr>
      </w:pPr>
    </w:p>
    <w:bookmarkEnd w:id="1"/>
    <w:p w14:paraId="68A2C5E8" w14:textId="77777777" w:rsidR="00AF2C34" w:rsidRPr="001606AC" w:rsidRDefault="00AF2C34" w:rsidP="00AF2C34">
      <w:pPr>
        <w:pStyle w:val="Prrafodelista"/>
        <w:numPr>
          <w:ilvl w:val="0"/>
          <w:numId w:val="19"/>
        </w:numPr>
        <w:tabs>
          <w:tab w:val="left" w:pos="426"/>
        </w:tabs>
        <w:spacing w:after="120" w:line="276" w:lineRule="auto"/>
        <w:ind w:left="0" w:firstLine="426"/>
        <w:jc w:val="both"/>
        <w:rPr>
          <w:rFonts w:ascii="Verdana" w:eastAsia="Calibri" w:hAnsi="Verdana" w:cs="Arial"/>
          <w:lang w:val="es-ES_tradnl"/>
        </w:rPr>
      </w:pPr>
      <w:r w:rsidRPr="001606AC">
        <w:rPr>
          <w:rFonts w:ascii="Verdana" w:eastAsia="Times New Roman" w:hAnsi="Verdana" w:cs="Arial"/>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E2397D">
        <w:rPr>
          <w:vertAlign w:val="superscript"/>
          <w:lang w:eastAsia="es-CO"/>
        </w:rPr>
        <w:footnoteReference w:id="7"/>
      </w:r>
      <w:r w:rsidRPr="001606AC">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1606AC">
        <w:rPr>
          <w:rFonts w:ascii="Verdana" w:eastAsia="Calibri" w:hAnsi="Verdana" w:cs="Arial"/>
          <w:lang w:val="es-ES_tradnl"/>
        </w:rPr>
        <w:t xml:space="preserve"> </w:t>
      </w:r>
    </w:p>
    <w:p w14:paraId="478F3377" w14:textId="77777777" w:rsidR="00AF2C34" w:rsidRPr="006B14B5" w:rsidRDefault="00AF2C34" w:rsidP="00AF2C34">
      <w:pPr>
        <w:tabs>
          <w:tab w:val="left" w:pos="426"/>
        </w:tabs>
        <w:spacing w:after="0" w:line="276" w:lineRule="auto"/>
        <w:ind w:firstLine="709"/>
        <w:jc w:val="both"/>
        <w:rPr>
          <w:rFonts w:ascii="Verdana" w:eastAsia="Calibri" w:hAnsi="Verdana" w:cs="Arial"/>
          <w:lang w:val="es-ES_tradnl"/>
        </w:rPr>
      </w:pPr>
      <w:r w:rsidRPr="00E2397D">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5BB6426E" w14:textId="77777777" w:rsidR="00AF2C34" w:rsidRPr="00E2397D" w:rsidRDefault="00AF2C34" w:rsidP="00AF2C34">
      <w:pPr>
        <w:spacing w:after="0" w:line="276" w:lineRule="auto"/>
        <w:ind w:right="709"/>
        <w:contextualSpacing/>
        <w:jc w:val="both"/>
        <w:rPr>
          <w:rFonts w:ascii="Verdana" w:eastAsia="Times New Roman" w:hAnsi="Verdana" w:cs="Arial"/>
          <w:lang w:val="es-ES" w:eastAsia="es-CO"/>
        </w:rPr>
      </w:pPr>
    </w:p>
    <w:p w14:paraId="7A1F6CDE" w14:textId="77777777" w:rsidR="00AF2C34" w:rsidRPr="00E2397D" w:rsidRDefault="00AF2C34" w:rsidP="00AF2C34">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ES" w:eastAsia="es-CO"/>
        </w:rPr>
        <w:t xml:space="preserve">“[…] </w:t>
      </w:r>
      <w:r w:rsidRPr="00E2397D">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22A08AF8" w14:textId="77777777" w:rsidR="00AF2C34" w:rsidRPr="00E2397D" w:rsidRDefault="00AF2C34" w:rsidP="00AF2C34">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 </w:t>
      </w:r>
    </w:p>
    <w:p w14:paraId="04000B90" w14:textId="77777777" w:rsidR="00AF2C34" w:rsidRPr="00E2397D" w:rsidRDefault="00AF2C34" w:rsidP="00AF2C34">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lastRenderedPageBreak/>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E2397D">
        <w:rPr>
          <w:rFonts w:ascii="Verdana" w:eastAsia="Calibri" w:hAnsi="Verdana" w:cs="Arial"/>
          <w:sz w:val="20"/>
          <w:szCs w:val="20"/>
          <w:vertAlign w:val="superscript"/>
          <w:lang w:val="es-MX"/>
        </w:rPr>
        <w:footnoteReference w:id="8"/>
      </w:r>
    </w:p>
    <w:p w14:paraId="10C84106" w14:textId="77777777" w:rsidR="00AF2C34" w:rsidRPr="00E2397D" w:rsidRDefault="00AF2C34" w:rsidP="00AF2C34">
      <w:pPr>
        <w:spacing w:after="0" w:line="276" w:lineRule="auto"/>
        <w:ind w:firstLine="709"/>
        <w:jc w:val="both"/>
        <w:rPr>
          <w:rFonts w:ascii="Verdana" w:eastAsia="Times New Roman" w:hAnsi="Verdana" w:cs="Arial"/>
          <w:lang w:val="es-MX" w:eastAsia="es-CO"/>
        </w:rPr>
      </w:pPr>
    </w:p>
    <w:p w14:paraId="6D732F03" w14:textId="77777777" w:rsidR="00AF2C34" w:rsidRPr="00E2397D" w:rsidRDefault="00AF2C34" w:rsidP="00AF2C34">
      <w:pPr>
        <w:spacing w:after="0" w:line="276" w:lineRule="auto"/>
        <w:ind w:firstLine="709"/>
        <w:jc w:val="both"/>
        <w:rPr>
          <w:rFonts w:ascii="Verdana" w:eastAsia="Times New Roman" w:hAnsi="Verdana" w:cs="Arial"/>
          <w:lang w:val="es-MX" w:eastAsia="es-CO"/>
        </w:rPr>
      </w:pPr>
      <w:r w:rsidRPr="00E2397D">
        <w:rPr>
          <w:rFonts w:ascii="Verdana" w:eastAsia="Times New Roman" w:hAnsi="Verdana" w:cs="Arial"/>
          <w:lang w:val="es-MX" w:eastAsia="es-CO"/>
        </w:rPr>
        <w:t>En este contexto, la Ley de Garantías Electorales establece el marco jurídico para el desarrollo de las elecciones, procurando condiciones de igualdad y transparencia para los aspirantes. Paralelamente,</w:t>
      </w:r>
      <w:r>
        <w:rPr>
          <w:rFonts w:ascii="Verdana" w:eastAsia="Times New Roman" w:hAnsi="Verdana" w:cs="Arial"/>
          <w:lang w:val="es-MX" w:eastAsia="es-CO"/>
        </w:rPr>
        <w:t xml:space="preserve"> se incluyen restricciones en las actuaciones</w:t>
      </w:r>
      <w:r w:rsidRPr="00E2397D">
        <w:rPr>
          <w:rFonts w:ascii="Verdana" w:eastAsia="Times New Roman" w:hAnsi="Verdana" w:cs="Arial"/>
          <w:lang w:val="es-MX" w:eastAsia="es-CO"/>
        </w:rPr>
        <w:t xml:space="preserve">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 En efecto, la Sala de Consulta y Servicio Civil del Consejo de Estado, pre</w:t>
      </w:r>
      <w:r>
        <w:rPr>
          <w:rFonts w:ascii="Verdana" w:eastAsia="Times New Roman" w:hAnsi="Verdana" w:cs="Arial"/>
          <w:lang w:val="es-MX" w:eastAsia="es-CO"/>
        </w:rPr>
        <w:t>cisó</w:t>
      </w:r>
      <w:r w:rsidRPr="00E2397D">
        <w:rPr>
          <w:rFonts w:ascii="Verdana" w:eastAsia="Times New Roman" w:hAnsi="Verdana" w:cs="Arial"/>
          <w:lang w:val="es-MX" w:eastAsia="es-CO"/>
        </w:rPr>
        <w:t>:</w:t>
      </w:r>
    </w:p>
    <w:p w14:paraId="76DF69E4" w14:textId="77777777" w:rsidR="00AF2C34" w:rsidRPr="00886C02" w:rsidRDefault="00AF2C34" w:rsidP="00AF2C34">
      <w:pPr>
        <w:spacing w:after="0" w:line="276" w:lineRule="auto"/>
        <w:ind w:firstLine="709"/>
        <w:jc w:val="both"/>
        <w:rPr>
          <w:rFonts w:ascii="Verdana" w:eastAsia="Times New Roman" w:hAnsi="Verdana" w:cs="Arial"/>
          <w:lang w:val="es-MX" w:eastAsia="es-CO"/>
        </w:rPr>
      </w:pPr>
    </w:p>
    <w:p w14:paraId="73EE4DEE" w14:textId="77777777" w:rsidR="00AF2C34" w:rsidRPr="00E2397D" w:rsidRDefault="00AF2C34" w:rsidP="00AF2C34">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18309847" w14:textId="77777777" w:rsidR="00AF2C34" w:rsidRPr="00E2397D" w:rsidRDefault="00AF2C34" w:rsidP="00AF2C34">
      <w:pPr>
        <w:spacing w:after="0" w:line="240" w:lineRule="auto"/>
        <w:ind w:right="709"/>
        <w:contextualSpacing/>
        <w:jc w:val="both"/>
        <w:rPr>
          <w:rFonts w:ascii="Verdana" w:eastAsia="Times New Roman" w:hAnsi="Verdana" w:cs="Arial"/>
          <w:lang w:val="es-MX" w:eastAsia="es-CO"/>
        </w:rPr>
      </w:pPr>
    </w:p>
    <w:p w14:paraId="1B4E962A" w14:textId="77777777" w:rsidR="00AF2C34" w:rsidRPr="00E2397D" w:rsidRDefault="00AF2C34" w:rsidP="00AF2C34">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La jurisprudencia de la Corte Constitucional</w:t>
      </w:r>
      <w:r w:rsidRPr="00E2397D">
        <w:rPr>
          <w:rFonts w:ascii="Verdana" w:eastAsia="Times New Roman" w:hAnsi="Verdana" w:cs="Arial"/>
          <w:sz w:val="20"/>
          <w:szCs w:val="20"/>
          <w:vertAlign w:val="superscript"/>
          <w:lang w:val="es-MX" w:eastAsia="es-CO"/>
        </w:rPr>
        <w:footnoteReference w:id="9"/>
      </w:r>
      <w:r w:rsidRPr="00E2397D">
        <w:rPr>
          <w:rFonts w:ascii="Verdana" w:eastAsia="Times New Roman" w:hAnsi="Verdana" w:cs="Arial"/>
          <w:sz w:val="20"/>
          <w:szCs w:val="20"/>
          <w:lang w:val="es-MX" w:eastAsia="es-CO"/>
        </w:rPr>
        <w:t> y del Consejo de Estado</w:t>
      </w:r>
      <w:r w:rsidRPr="00E2397D">
        <w:rPr>
          <w:rFonts w:ascii="Verdana" w:eastAsia="Times New Roman" w:hAnsi="Verdana" w:cs="Arial"/>
          <w:sz w:val="20"/>
          <w:szCs w:val="20"/>
          <w:vertAlign w:val="superscript"/>
          <w:lang w:val="es-MX" w:eastAsia="es-CO"/>
        </w:rPr>
        <w:footnoteReference w:id="10"/>
      </w:r>
      <w:r w:rsidRPr="00E2397D">
        <w:rPr>
          <w:rFonts w:ascii="Verdana" w:eastAsia="Times New Roman" w:hAnsi="Verdana" w:cs="Arial"/>
          <w:sz w:val="20"/>
          <w:szCs w:val="20"/>
          <w:lang w:val="es-MX" w:eastAsia="es-CO"/>
        </w:rPr>
        <w:t xml:space="preserve">, coinciden en que las normas que establecen prohibiciones deben estar de manera explícita en la Constitución o en la ley y no podrán ser excesivas </w:t>
      </w:r>
      <w:r w:rsidRPr="00E2397D">
        <w:rPr>
          <w:rFonts w:ascii="Verdana" w:eastAsia="Times New Roman" w:hAnsi="Verdana" w:cs="Arial"/>
          <w:sz w:val="20"/>
          <w:szCs w:val="20"/>
          <w:lang w:val="es-MX" w:eastAsia="es-CO"/>
        </w:rPr>
        <w:lastRenderedPageBreak/>
        <w:t>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E2397D">
        <w:rPr>
          <w:rFonts w:ascii="Verdana" w:eastAsia="Times New Roman" w:hAnsi="Verdana" w:cs="Arial"/>
          <w:sz w:val="20"/>
          <w:szCs w:val="20"/>
          <w:vertAlign w:val="superscript"/>
          <w:lang w:val="es-MX" w:eastAsia="es-CO"/>
        </w:rPr>
        <w:footnoteReference w:id="11"/>
      </w:r>
      <w:r w:rsidRPr="00E2397D">
        <w:rPr>
          <w:rFonts w:ascii="Verdana" w:eastAsia="Times New Roman" w:hAnsi="Verdana" w:cs="Arial"/>
          <w:sz w:val="20"/>
          <w:szCs w:val="20"/>
          <w:lang w:val="es-MX" w:eastAsia="es-CO"/>
        </w:rPr>
        <w:t>.</w:t>
      </w:r>
    </w:p>
    <w:p w14:paraId="30E38FD7" w14:textId="77777777" w:rsidR="00AF2C34" w:rsidRPr="00E2397D" w:rsidRDefault="00AF2C34" w:rsidP="00AF2C34">
      <w:pPr>
        <w:spacing w:after="0" w:line="276" w:lineRule="auto"/>
        <w:jc w:val="both"/>
        <w:rPr>
          <w:rFonts w:ascii="Verdana" w:eastAsia="Calibri" w:hAnsi="Verdana" w:cs="Arial"/>
          <w:bCs/>
          <w:lang w:val="es-ES_tradnl"/>
        </w:rPr>
      </w:pPr>
    </w:p>
    <w:p w14:paraId="251208FE" w14:textId="77777777" w:rsidR="00AF2C34" w:rsidRPr="00B3605D" w:rsidRDefault="00AF2C34" w:rsidP="00AF2C34">
      <w:pPr>
        <w:spacing w:after="120" w:line="276" w:lineRule="auto"/>
        <w:ind w:firstLine="709"/>
        <w:jc w:val="both"/>
        <w:rPr>
          <w:rFonts w:ascii="Verdana" w:eastAsia="Arial" w:hAnsi="Verdana" w:cs="Arial"/>
          <w:lang w:val="es-ES" w:eastAsia="es-ES" w:bidi="es-ES"/>
        </w:rPr>
      </w:pPr>
      <w:r w:rsidRPr="00B3605D">
        <w:rPr>
          <w:rFonts w:ascii="Verdana" w:eastAsia="Times New Roman" w:hAnsi="Verdana" w:cs="Arial"/>
          <w:lang w:val="es-MX" w:eastAsia="es-CO"/>
        </w:rPr>
        <w:t>De</w:t>
      </w:r>
      <w:r w:rsidRPr="00B3605D">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3FEFC29A" w14:textId="77777777" w:rsidR="00AF2C34" w:rsidRPr="00D61E29" w:rsidRDefault="00AF2C34" w:rsidP="00AF2C34">
      <w:pPr>
        <w:spacing w:after="0" w:line="276" w:lineRule="auto"/>
        <w:ind w:firstLine="708"/>
        <w:jc w:val="both"/>
        <w:rPr>
          <w:rFonts w:ascii="Verdana" w:eastAsia="Times New Roman" w:hAnsi="Verdana" w:cs="Open Sans"/>
          <w:lang w:eastAsia="es-CO"/>
        </w:rPr>
      </w:pPr>
      <w:r>
        <w:rPr>
          <w:rFonts w:ascii="Verdana" w:eastAsia="Times New Roman" w:hAnsi="Verdana" w:cs="Open Sans"/>
          <w:iCs/>
          <w:lang w:val="es-ES" w:eastAsia="es-CO"/>
        </w:rPr>
        <w:t xml:space="preserve">Para resolver el segundo problema jurídico de esta consulta, es necesario analizar </w:t>
      </w:r>
      <w:r w:rsidRPr="00D61E29">
        <w:rPr>
          <w:rFonts w:ascii="Verdana" w:eastAsia="Times New Roman" w:hAnsi="Verdana" w:cs="Open Sans"/>
          <w:lang w:eastAsia="es-CO"/>
        </w:rPr>
        <w:t xml:space="preserve">el parágrafo del artículo 38 </w:t>
      </w:r>
      <w:r>
        <w:rPr>
          <w:rFonts w:ascii="Verdana" w:eastAsia="Times New Roman" w:hAnsi="Verdana" w:cs="Open Sans"/>
          <w:lang w:eastAsia="es-CO"/>
        </w:rPr>
        <w:t xml:space="preserve">de la Ley de Garantía Electorales que </w:t>
      </w:r>
      <w:r w:rsidRPr="00D61E29">
        <w:rPr>
          <w:rFonts w:ascii="Verdana" w:eastAsia="Calibri" w:hAnsi="Verdana" w:cs="Arial"/>
        </w:rPr>
        <w:t>prevé una restricción, aplicable respecto de cualquier tipo de contienda electoral, como sigue:</w:t>
      </w:r>
    </w:p>
    <w:p w14:paraId="6C096EFA" w14:textId="77777777" w:rsidR="00AF2C34" w:rsidRDefault="00AF2C34" w:rsidP="00AF2C34">
      <w:pPr>
        <w:pStyle w:val="NormalWeb"/>
        <w:spacing w:before="0" w:beforeAutospacing="0" w:after="0" w:afterAutospacing="0" w:line="276" w:lineRule="auto"/>
        <w:ind w:left="709" w:right="616"/>
        <w:jc w:val="both"/>
        <w:rPr>
          <w:rStyle w:val="baj"/>
          <w:rFonts w:ascii="Verdana" w:eastAsiaTheme="minorHAnsi" w:hAnsi="Verdana" w:cs="Open Sans"/>
          <w:b/>
          <w:sz w:val="20"/>
          <w:szCs w:val="20"/>
          <w:lang w:eastAsia="en-US"/>
        </w:rPr>
      </w:pPr>
    </w:p>
    <w:p w14:paraId="40F34F47" w14:textId="77777777" w:rsidR="00AF2C34" w:rsidRPr="00D61E29" w:rsidRDefault="00AF2C34" w:rsidP="00AF2C34">
      <w:pPr>
        <w:pStyle w:val="NormalWeb"/>
        <w:spacing w:before="0" w:beforeAutospacing="0" w:after="0" w:afterAutospacing="0"/>
        <w:ind w:left="709" w:right="709"/>
        <w:jc w:val="both"/>
        <w:rPr>
          <w:rFonts w:ascii="Verdana" w:hAnsi="Verdana" w:cs="Open Sans"/>
          <w:sz w:val="20"/>
          <w:szCs w:val="20"/>
        </w:rPr>
      </w:pPr>
      <w:r>
        <w:rPr>
          <w:rStyle w:val="baj"/>
          <w:rFonts w:ascii="Verdana" w:hAnsi="Verdana" w:cs="Open Sans"/>
          <w:b/>
          <w:bCs/>
          <w:sz w:val="20"/>
          <w:szCs w:val="20"/>
        </w:rPr>
        <w:t>“</w:t>
      </w:r>
      <w:r w:rsidRPr="00D61E29">
        <w:rPr>
          <w:rStyle w:val="baj"/>
          <w:rFonts w:ascii="Verdana" w:hAnsi="Verdana" w:cs="Open Sans"/>
          <w:b/>
          <w:bCs/>
          <w:sz w:val="20"/>
          <w:szCs w:val="20"/>
        </w:rPr>
        <w:t>PARÁGRAFO.</w:t>
      </w:r>
      <w:r w:rsidRPr="00D61E29">
        <w:rPr>
          <w:rFonts w:ascii="Verdana" w:hAnsi="Verdana" w:cs="Open Sans"/>
          <w:sz w:val="20"/>
          <w:szCs w:val="20"/>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p>
    <w:p w14:paraId="51352458" w14:textId="77777777" w:rsidR="00AF2C34" w:rsidRPr="00D61E29" w:rsidRDefault="00AF2C34" w:rsidP="00AF2C34">
      <w:pPr>
        <w:pStyle w:val="NormalWeb"/>
        <w:spacing w:before="0" w:beforeAutospacing="0" w:after="0" w:afterAutospacing="0"/>
        <w:ind w:left="709" w:right="709"/>
        <w:jc w:val="both"/>
        <w:rPr>
          <w:rFonts w:ascii="Verdana" w:hAnsi="Verdana" w:cs="Open Sans"/>
          <w:sz w:val="20"/>
          <w:szCs w:val="20"/>
        </w:rPr>
      </w:pPr>
    </w:p>
    <w:p w14:paraId="7EC01DBB" w14:textId="77777777" w:rsidR="00AF2C34" w:rsidRPr="00D61E29" w:rsidRDefault="00AF2C34" w:rsidP="00AF2C34">
      <w:pPr>
        <w:pStyle w:val="NormalWeb"/>
        <w:spacing w:before="0" w:beforeAutospacing="0" w:after="0" w:afterAutospacing="0"/>
        <w:ind w:left="709" w:right="709"/>
        <w:jc w:val="both"/>
        <w:rPr>
          <w:rFonts w:ascii="Verdana" w:hAnsi="Verdana" w:cs="Open Sans"/>
          <w:sz w:val="20"/>
          <w:szCs w:val="20"/>
        </w:rPr>
      </w:pPr>
      <w:r w:rsidRPr="00D61E29">
        <w:rPr>
          <w:rFonts w:ascii="Verdana" w:hAnsi="Verdana" w:cs="Open Sans"/>
          <w:sz w:val="20"/>
          <w:szCs w:val="20"/>
        </w:rPr>
        <w:t>Tampoco podrán inaugurar obras públicas o dar inicio a programas de carácter social en reuniones o eventos en los que participen candidatos a la Presidencia y Vicepresidencia de la República, el Congreso de la República, gobernaciones departamentales, asambleas departamentales, alcaldías y concejos municipales o distritales. Tampoco podrán hacerlo cuando participen voceros de los candidatos.</w:t>
      </w:r>
    </w:p>
    <w:p w14:paraId="2B418001" w14:textId="77777777" w:rsidR="00AF2C34" w:rsidRDefault="00AF2C34" w:rsidP="00AF2C34">
      <w:pPr>
        <w:pStyle w:val="NormalWeb"/>
        <w:spacing w:before="0" w:beforeAutospacing="0" w:after="0" w:afterAutospacing="0"/>
        <w:ind w:left="709" w:right="709"/>
        <w:jc w:val="both"/>
        <w:rPr>
          <w:rFonts w:ascii="Verdana" w:hAnsi="Verdana" w:cs="Open Sans"/>
          <w:sz w:val="20"/>
          <w:szCs w:val="20"/>
        </w:rPr>
      </w:pPr>
    </w:p>
    <w:p w14:paraId="0AD85D97" w14:textId="77777777" w:rsidR="00AF2C34" w:rsidRPr="00D61E29" w:rsidRDefault="00AF2C34" w:rsidP="00AF2C34">
      <w:pPr>
        <w:pStyle w:val="NormalWeb"/>
        <w:spacing w:before="0" w:beforeAutospacing="0" w:after="0" w:afterAutospacing="0"/>
        <w:ind w:left="709" w:right="709"/>
        <w:jc w:val="both"/>
        <w:rPr>
          <w:rFonts w:ascii="Verdana" w:hAnsi="Verdana" w:cs="Open Sans"/>
          <w:sz w:val="20"/>
          <w:szCs w:val="20"/>
        </w:rPr>
      </w:pPr>
      <w:r w:rsidRPr="00D61E29">
        <w:rPr>
          <w:rFonts w:ascii="Verdana" w:hAnsi="Verdana" w:cs="Open Sans"/>
          <w:sz w:val="20"/>
          <w:szCs w:val="20"/>
        </w:rPr>
        <w:t xml:space="preserve">No podrán autorizar la utilización de inmuebles o bienes muebles de carácter público para actividades proselitistas, ni para facilitar el alojamiento, ni el transporte de electores de candidatos a cargos de </w:t>
      </w:r>
      <w:r w:rsidRPr="00D61E29">
        <w:rPr>
          <w:rFonts w:ascii="Verdana" w:hAnsi="Verdana" w:cs="Open Sans"/>
          <w:sz w:val="20"/>
          <w:szCs w:val="20"/>
        </w:rPr>
        <w:lastRenderedPageBreak/>
        <w:t>elección popular. Tampoco podrán hacerlo cuando participen voceros de los candidatos.</w:t>
      </w:r>
    </w:p>
    <w:p w14:paraId="298B1850" w14:textId="77777777" w:rsidR="00AF2C34" w:rsidRDefault="00AF2C34" w:rsidP="00AF2C34">
      <w:pPr>
        <w:pStyle w:val="NormalWeb"/>
        <w:spacing w:before="0" w:beforeAutospacing="0" w:after="0" w:afterAutospacing="0"/>
        <w:ind w:left="709" w:right="709"/>
        <w:jc w:val="both"/>
        <w:rPr>
          <w:rFonts w:ascii="Verdana" w:hAnsi="Verdana" w:cs="Open Sans"/>
          <w:sz w:val="20"/>
          <w:szCs w:val="20"/>
        </w:rPr>
      </w:pPr>
    </w:p>
    <w:p w14:paraId="58308037" w14:textId="77777777" w:rsidR="00AF2C34" w:rsidRPr="00D61E29" w:rsidRDefault="00AF2C34" w:rsidP="00AF2C34">
      <w:pPr>
        <w:pStyle w:val="NormalWeb"/>
        <w:spacing w:before="0" w:beforeAutospacing="0" w:after="0" w:afterAutospacing="0"/>
        <w:ind w:left="709" w:right="709"/>
        <w:jc w:val="both"/>
        <w:rPr>
          <w:rFonts w:ascii="Verdana" w:hAnsi="Verdana" w:cs="Open Sans"/>
          <w:sz w:val="20"/>
          <w:szCs w:val="20"/>
        </w:rPr>
      </w:pPr>
      <w:r w:rsidRPr="00D61E29">
        <w:rPr>
          <w:rFonts w:ascii="Verdana" w:hAnsi="Verdana" w:cs="Open Sans"/>
          <w:sz w:val="20"/>
          <w:szCs w:val="20"/>
        </w:rPr>
        <w:t>La nómina del respectivo ente territorial o entidad no se podrá modificar dentro de los cuatro (4) meses anteriores a las elecciones a cargos de elección popular, salvo que se trate de provisión de cargos por faltas definitivas, con ocasión de muerte o renuncia irrevocable del cargo correspondiente debidamente aceptada, y en los casos de aplicación de las normas de carrera administrativa</w:t>
      </w:r>
      <w:r>
        <w:rPr>
          <w:rFonts w:ascii="Verdana" w:hAnsi="Verdana" w:cs="Open Sans"/>
          <w:sz w:val="20"/>
          <w:szCs w:val="20"/>
        </w:rPr>
        <w:t>”</w:t>
      </w:r>
      <w:r w:rsidRPr="00D61E29">
        <w:rPr>
          <w:rFonts w:ascii="Verdana" w:hAnsi="Verdana" w:cs="Open Sans"/>
          <w:sz w:val="20"/>
          <w:szCs w:val="20"/>
        </w:rPr>
        <w:t>.</w:t>
      </w:r>
    </w:p>
    <w:p w14:paraId="57B39EF0" w14:textId="77777777" w:rsidR="00AF2C34" w:rsidRDefault="00AF2C34" w:rsidP="00AF2C34">
      <w:pPr>
        <w:widowControl w:val="0"/>
        <w:autoSpaceDE w:val="0"/>
        <w:autoSpaceDN w:val="0"/>
        <w:spacing w:after="0" w:line="276" w:lineRule="auto"/>
        <w:ind w:right="113"/>
        <w:contextualSpacing/>
        <w:jc w:val="both"/>
      </w:pPr>
    </w:p>
    <w:p w14:paraId="20E538AD" w14:textId="17165BAD" w:rsidR="00AF2C34" w:rsidRDefault="00AF2C34" w:rsidP="00AF2C34">
      <w:pPr>
        <w:spacing w:after="120" w:line="276" w:lineRule="auto"/>
        <w:ind w:firstLine="709"/>
        <w:jc w:val="both"/>
        <w:rPr>
          <w:rFonts w:ascii="Verdana" w:eastAsia="Times New Roman" w:hAnsi="Verdana" w:cs="Arial"/>
          <w:lang w:val="es-MX" w:eastAsia="es-CO"/>
        </w:rPr>
      </w:pPr>
      <w:r w:rsidRPr="00E2397D">
        <w:rPr>
          <w:rFonts w:ascii="Verdana" w:eastAsia="Arial" w:hAnsi="Verdana" w:cs="Arial"/>
          <w:lang w:val="es-MX" w:eastAsia="es-ES" w:bidi="es-ES"/>
        </w:rPr>
        <w:t>De esta manera, s</w:t>
      </w:r>
      <w:r w:rsidRPr="00E2397D">
        <w:rPr>
          <w:rFonts w:ascii="Verdana" w:eastAsia="Times New Roman" w:hAnsi="Verdana" w:cs="Arial"/>
          <w:lang w:eastAsia="es-CO"/>
        </w:rPr>
        <w:t xml:space="preserve">e observa entonces </w:t>
      </w:r>
      <w:bookmarkStart w:id="3" w:name="_Hlk207205098"/>
      <w:r w:rsidRPr="00E2397D">
        <w:rPr>
          <w:rFonts w:ascii="Verdana" w:eastAsia="Times New Roman" w:hAnsi="Verdana" w:cs="Arial"/>
          <w:lang w:eastAsia="es-CO"/>
        </w:rPr>
        <w:t xml:space="preserve">que </w:t>
      </w:r>
      <w:r w:rsidRPr="00E2397D">
        <w:rPr>
          <w:rFonts w:ascii="Verdana" w:eastAsia="Times New Roman" w:hAnsi="Verdana" w:cs="Arial"/>
          <w:lang w:val="es-MX" w:eastAsia="es-CO"/>
        </w:rPr>
        <w:t xml:space="preserve">el parágrafo del artículo 38 de la Ley 996 de 2005 prohíbe a los Alcaldes, Gobernadores, Secretarios, Gerentes y Directores de las entidades </w:t>
      </w:r>
      <w:r>
        <w:rPr>
          <w:rFonts w:ascii="Verdana" w:eastAsia="Times New Roman" w:hAnsi="Verdana" w:cs="Arial"/>
          <w:lang w:val="es-MX" w:eastAsia="es-CO"/>
        </w:rPr>
        <w:t xml:space="preserve">descentralizadas </w:t>
      </w:r>
      <w:r w:rsidRPr="00E2397D">
        <w:rPr>
          <w:rFonts w:ascii="Verdana" w:eastAsia="Times New Roman" w:hAnsi="Verdana" w:cs="Arial"/>
          <w:lang w:val="es-MX" w:eastAsia="es-CO"/>
        </w:rPr>
        <w:t xml:space="preserve">del orden municipal, departamental o distrital celebrar </w:t>
      </w:r>
      <w:r w:rsidRPr="00E2397D">
        <w:rPr>
          <w:rFonts w:ascii="Verdana" w:eastAsia="Times New Roman" w:hAnsi="Verdana" w:cs="Arial"/>
          <w:i/>
          <w:iCs/>
          <w:lang w:val="es-MX" w:eastAsia="es-CO"/>
        </w:rPr>
        <w:t>convenios interadministrativos</w:t>
      </w:r>
      <w:r w:rsidRPr="00E2397D">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E2397D">
        <w:rPr>
          <w:rFonts w:ascii="Verdana" w:eastAsia="Times New Roman" w:hAnsi="Verdana" w:cs="Arial"/>
          <w:i/>
          <w:lang w:val="es-MX" w:eastAsia="es-CO"/>
        </w:rPr>
        <w:t>ibidem</w:t>
      </w:r>
      <w:r w:rsidRPr="00E2397D">
        <w:rPr>
          <w:rFonts w:ascii="Verdana" w:eastAsia="Times New Roman" w:hAnsi="Verdana" w:cs="Arial"/>
          <w:lang w:val="es-MX" w:eastAsia="es-CO"/>
        </w:rPr>
        <w:t>,</w:t>
      </w:r>
      <w:r>
        <w:rPr>
          <w:rFonts w:ascii="Verdana" w:eastAsia="Times New Roman" w:hAnsi="Verdana" w:cs="Arial"/>
          <w:lang w:val="es-MX" w:eastAsia="es-CO"/>
        </w:rPr>
        <w:t xml:space="preserve"> </w:t>
      </w:r>
      <w:r w:rsidRPr="00E2397D">
        <w:rPr>
          <w:rFonts w:ascii="Verdana" w:eastAsia="Times New Roman" w:hAnsi="Verdana" w:cs="Arial"/>
          <w:lang w:val="es-MX" w:eastAsia="es-CO"/>
        </w:rPr>
        <w:t xml:space="preserve">no podrá celebrar tales </w:t>
      </w:r>
      <w:r w:rsidRPr="00E2397D">
        <w:rPr>
          <w:rFonts w:ascii="Verdana" w:eastAsia="Times New Roman" w:hAnsi="Verdana" w:cs="Arial"/>
          <w:i/>
          <w:iCs/>
          <w:lang w:val="es-MX" w:eastAsia="es-CO"/>
        </w:rPr>
        <w:t>convenios</w:t>
      </w:r>
      <w:r w:rsidRPr="00E2397D">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bookmarkEnd w:id="3"/>
      <w:r w:rsidR="00291172">
        <w:rPr>
          <w:rFonts w:ascii="Verdana" w:eastAsia="Times New Roman" w:hAnsi="Verdana" w:cs="Arial"/>
          <w:lang w:val="es-MX" w:eastAsia="es-CO"/>
        </w:rPr>
        <w:t xml:space="preserve">Así, teniendo en cuenta que los fondos mixtos de promoción de la cultura y las artes son entidades descentralizadas (indirectas) del orden territorial </w:t>
      </w:r>
      <w:r w:rsidR="001B6B05">
        <w:rPr>
          <w:rFonts w:ascii="Verdana" w:eastAsia="Times New Roman" w:hAnsi="Verdana" w:cs="Arial"/>
          <w:lang w:val="es-MX" w:eastAsia="es-CO"/>
        </w:rPr>
        <w:t xml:space="preserve">como se analizó en el aparte anterior, </w:t>
      </w:r>
      <w:r w:rsidR="00DD1A47">
        <w:rPr>
          <w:rFonts w:ascii="Verdana" w:eastAsia="Times New Roman" w:hAnsi="Verdana" w:cs="Arial"/>
          <w:lang w:val="es-MX" w:eastAsia="es-CO"/>
        </w:rPr>
        <w:t xml:space="preserve">les aplica la restricción de celebrar </w:t>
      </w:r>
      <w:r w:rsidR="00DD1A47" w:rsidRPr="00DD1A47">
        <w:rPr>
          <w:rFonts w:ascii="Verdana" w:eastAsia="Times New Roman" w:hAnsi="Verdana" w:cs="Arial"/>
          <w:i/>
          <w:iCs/>
          <w:lang w:val="es-MX" w:eastAsia="es-CO"/>
        </w:rPr>
        <w:t>convenios interadministrativos</w:t>
      </w:r>
      <w:r w:rsidR="00DD1A47">
        <w:rPr>
          <w:rFonts w:ascii="Verdana" w:eastAsia="Times New Roman" w:hAnsi="Verdana" w:cs="Arial"/>
          <w:lang w:val="es-MX" w:eastAsia="es-CO"/>
        </w:rPr>
        <w:t xml:space="preserve">. </w:t>
      </w:r>
    </w:p>
    <w:p w14:paraId="14BC165F" w14:textId="77777777" w:rsidR="00AF2C34" w:rsidRPr="00BC3A80" w:rsidRDefault="00AF2C34" w:rsidP="00AF2C34">
      <w:pPr>
        <w:spacing w:before="120" w:after="0" w:line="276" w:lineRule="auto"/>
        <w:ind w:firstLine="708"/>
        <w:jc w:val="both"/>
        <w:rPr>
          <w:rFonts w:ascii="Verdana" w:eastAsia="Times New Roman" w:hAnsi="Verdana" w:cs="Arial"/>
          <w:lang w:eastAsia="es-CO"/>
        </w:rPr>
      </w:pPr>
      <w:r w:rsidRPr="00BC3A80">
        <w:rPr>
          <w:rFonts w:ascii="Verdana" w:eastAsia="Times New Roman" w:hAnsi="Verdana" w:cs="Arial"/>
          <w:lang w:val="es-MX" w:eastAsia="es-CO"/>
        </w:rPr>
        <w:t>Respecto del alcance de esta prohibición la Circular Externa No. 006 de 2025 expedida por la ANCP -CCE, en los literales ii) y iv) del numeral 2</w:t>
      </w:r>
      <w:r w:rsidRPr="00BC3A80">
        <w:rPr>
          <w:rFonts w:ascii="Verdana" w:eastAsia="Times New Roman" w:hAnsi="Verdana" w:cs="Arial"/>
          <w:lang w:eastAsia="es-CO"/>
        </w:rPr>
        <w:t>,</w:t>
      </w:r>
      <w:r w:rsidRPr="00BC3A80">
        <w:rPr>
          <w:rFonts w:ascii="Verdana" w:eastAsia="Times New Roman" w:hAnsi="Verdana" w:cs="Arial"/>
          <w:lang w:val="es-MX" w:eastAsia="es-CO"/>
        </w:rPr>
        <w:t xml:space="preserve"> indica que el </w:t>
      </w:r>
      <w:r w:rsidRPr="00BC3A80">
        <w:rPr>
          <w:rFonts w:ascii="Verdana" w:eastAsia="Times New Roman" w:hAnsi="Verdana" w:cs="Arial"/>
          <w:lang w:eastAsia="es-CO"/>
        </w:rPr>
        <w:t xml:space="preserve">parágrafo del artículo 38 de la Ley 996 de 2005 cobija expresamente a los </w:t>
      </w:r>
      <w:r w:rsidRPr="00BC3A80">
        <w:rPr>
          <w:rFonts w:ascii="Verdana" w:eastAsia="Times New Roman" w:hAnsi="Verdana" w:cs="Arial"/>
          <w:i/>
          <w:iCs/>
          <w:lang w:eastAsia="es-CO"/>
        </w:rPr>
        <w:t>convenios interadministrativos</w:t>
      </w:r>
      <w:r w:rsidRPr="00BC3A80">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BC3A80">
        <w:rPr>
          <w:rFonts w:ascii="Verdana" w:eastAsia="Times New Roman" w:hAnsi="Verdana" w:cs="Arial"/>
          <w:i/>
          <w:iCs/>
          <w:lang w:eastAsia="es-CO"/>
        </w:rPr>
        <w:t>“aunque se configure alguno de los supuestos de excepción que señaló el inciso final del artículo 33”.</w:t>
      </w:r>
      <w:r w:rsidRPr="00BC3A80">
        <w:rPr>
          <w:rFonts w:ascii="Verdana" w:eastAsia="Times New Roman" w:hAnsi="Verdana" w:cs="Arial"/>
          <w:lang w:eastAsia="es-CO"/>
        </w:rPr>
        <w:t xml:space="preserve"> </w:t>
      </w:r>
    </w:p>
    <w:p w14:paraId="0EB305F8" w14:textId="77777777" w:rsidR="00AF2C34" w:rsidRPr="00BC3A80" w:rsidRDefault="00AF2C34" w:rsidP="00AF2C34">
      <w:pPr>
        <w:spacing w:before="120" w:after="0" w:line="276" w:lineRule="auto"/>
        <w:ind w:firstLine="708"/>
        <w:jc w:val="both"/>
        <w:rPr>
          <w:rFonts w:ascii="Verdana" w:eastAsia="Times New Roman" w:hAnsi="Verdana" w:cs="Arial"/>
          <w:lang w:eastAsia="es-CO"/>
        </w:rPr>
      </w:pPr>
      <w:r w:rsidRPr="00BC3A80">
        <w:rPr>
          <w:rFonts w:ascii="Verdana" w:eastAsia="Times New Roman" w:hAnsi="Verdana" w:cs="Arial"/>
          <w:lang w:eastAsia="es-CO"/>
        </w:rPr>
        <w:t xml:space="preserve">Sin embargo, es importante tener en cuenta que el ámbito de aplicación de la restricción prevista en el parágrafo del artículo 38 de la Ley 996 de 2005 solo se extiende a los </w:t>
      </w:r>
      <w:r w:rsidRPr="00BC3A80">
        <w:rPr>
          <w:rFonts w:ascii="Verdana" w:eastAsia="Times New Roman" w:hAnsi="Verdana" w:cs="Arial"/>
          <w:i/>
          <w:iCs/>
          <w:lang w:eastAsia="es-CO"/>
        </w:rPr>
        <w:t>convenios interadministrativos</w:t>
      </w:r>
      <w:r w:rsidRPr="00BC3A80">
        <w:rPr>
          <w:rFonts w:ascii="Verdana" w:eastAsia="Times New Roman" w:hAnsi="Verdana" w:cs="Arial"/>
          <w:lang w:eastAsia="es-CO"/>
        </w:rPr>
        <w:t xml:space="preserve"> en los que se contemple la </w:t>
      </w:r>
      <w:r w:rsidRPr="00BC3A80">
        <w:rPr>
          <w:rFonts w:ascii="Verdana" w:eastAsia="Times New Roman" w:hAnsi="Verdana" w:cs="Arial"/>
          <w:i/>
          <w:iCs/>
          <w:lang w:eastAsia="es-CO"/>
        </w:rPr>
        <w:t>ejecución de recursos públicos</w:t>
      </w:r>
      <w:r w:rsidRPr="00BC3A80">
        <w:rPr>
          <w:rFonts w:ascii="Verdana" w:eastAsia="Times New Roman" w:hAnsi="Verdana" w:cs="Arial"/>
          <w:lang w:eastAsia="es-CO"/>
        </w:rPr>
        <w:t xml:space="preserve">. Esto significa que la prohibición no resulta </w:t>
      </w:r>
      <w:r w:rsidRPr="00BC3A80">
        <w:rPr>
          <w:rFonts w:ascii="Verdana" w:eastAsia="Times New Roman" w:hAnsi="Verdana" w:cs="Arial"/>
          <w:lang w:eastAsia="es-CO"/>
        </w:rPr>
        <w:lastRenderedPageBreak/>
        <w:t xml:space="preserve">aplicable a </w:t>
      </w:r>
      <w:r w:rsidRPr="00BC3A80">
        <w:rPr>
          <w:rFonts w:ascii="Verdana" w:eastAsia="Times New Roman" w:hAnsi="Verdana" w:cs="Arial"/>
          <w:i/>
          <w:iCs/>
          <w:lang w:eastAsia="es-CO"/>
        </w:rPr>
        <w:t>convenios interadministrativos a título gratuito,</w:t>
      </w:r>
      <w:r w:rsidRPr="00BC3A80">
        <w:rPr>
          <w:rFonts w:ascii="Verdana" w:eastAsia="Times New Roman" w:hAnsi="Verdana" w:cs="Arial"/>
          <w:lang w:eastAsia="es-CO"/>
        </w:rPr>
        <w:t xml:space="preserve"> los cuales pueden celebrarse válidamente durante la vigencia de la mencionada restricción. </w:t>
      </w:r>
    </w:p>
    <w:p w14:paraId="04F8AB34" w14:textId="77777777" w:rsidR="00AF2C34" w:rsidRDefault="00AF2C34" w:rsidP="00AF2C34">
      <w:pPr>
        <w:autoSpaceDE w:val="0"/>
        <w:autoSpaceDN w:val="0"/>
        <w:adjustRightInd w:val="0"/>
        <w:spacing w:after="120" w:line="240" w:lineRule="auto"/>
        <w:ind w:firstLine="708"/>
        <w:jc w:val="both"/>
        <w:rPr>
          <w:rFonts w:ascii="Verdana" w:hAnsi="Verdana" w:cs="BCDHEE+Verdana"/>
          <w:color w:val="000000"/>
        </w:rPr>
      </w:pPr>
      <w:r w:rsidRPr="00947721">
        <w:rPr>
          <w:rFonts w:ascii="Verdana" w:hAnsi="Verdana" w:cs="BCDHEE+Verdana"/>
          <w:color w:val="000000"/>
        </w:rPr>
        <w:t>Finalmente, sobre las fechas en que aplica la Ley de garantías, se debe tener en cuenta que el Consejo Nacional Electoral mediante Resolución No. 2581 del 5 de marzo de 2025 fijó el calendario electoral para las elecciones al Congreso de la República que serán el 8 de marzo de 2026</w:t>
      </w:r>
      <w:r>
        <w:rPr>
          <w:rFonts w:ascii="Verdana" w:hAnsi="Verdana" w:cs="BCDHEE+Verdana"/>
          <w:color w:val="000000"/>
        </w:rPr>
        <w:t>. E</w:t>
      </w:r>
      <w:r w:rsidRPr="00947721">
        <w:rPr>
          <w:rFonts w:ascii="Verdana" w:hAnsi="Verdana" w:cs="BCDHEE+Verdana"/>
          <w:color w:val="000000"/>
        </w:rPr>
        <w:t>n esa medida, de acuerdo con el artículo 38 de la Ley 996 de 2005, la restricción inici</w:t>
      </w:r>
      <w:r>
        <w:rPr>
          <w:rFonts w:ascii="Verdana" w:hAnsi="Verdana" w:cs="BCDHEE+Verdana"/>
          <w:color w:val="000000"/>
        </w:rPr>
        <w:t>ó</w:t>
      </w:r>
      <w:r w:rsidRPr="00947721">
        <w:rPr>
          <w:rFonts w:ascii="Verdana" w:hAnsi="Verdana" w:cs="BCDHEE+Verdana"/>
          <w:color w:val="000000"/>
        </w:rPr>
        <w:t xml:space="preserve"> el 8 de noviembre de 2025, es decir, </w:t>
      </w:r>
      <w:r>
        <w:rPr>
          <w:rFonts w:ascii="Verdana" w:hAnsi="Verdana" w:cs="BCDHEE+Verdana"/>
          <w:color w:val="000000"/>
        </w:rPr>
        <w:t>cuatro (</w:t>
      </w:r>
      <w:r w:rsidRPr="00947721">
        <w:rPr>
          <w:rFonts w:ascii="Verdana" w:hAnsi="Verdana" w:cs="BCDHEE+Verdana"/>
          <w:color w:val="000000"/>
        </w:rPr>
        <w:t>4</w:t>
      </w:r>
      <w:r>
        <w:rPr>
          <w:rFonts w:ascii="Verdana" w:hAnsi="Verdana" w:cs="BCDHEE+Verdana"/>
          <w:color w:val="000000"/>
        </w:rPr>
        <w:t>)</w:t>
      </w:r>
      <w:r w:rsidRPr="00947721">
        <w:rPr>
          <w:rFonts w:ascii="Verdana" w:hAnsi="Verdana" w:cs="BCDHEE+Verdana"/>
          <w:color w:val="000000"/>
        </w:rPr>
        <w:t xml:space="preserve"> meses antes de la fecha de las elecciones, y las restricciones que se aplican son que prohíbe a los gobernadores, alcaldes municipales o distritales, secretarios, gerentes y directores de entidades descentralizadas del orden municipal, departamental o distrital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 </w:t>
      </w:r>
    </w:p>
    <w:p w14:paraId="52CC8E88" w14:textId="77777777" w:rsidR="00AF2C34" w:rsidRDefault="00AF2C34" w:rsidP="00AF2C34">
      <w:pPr>
        <w:pStyle w:val="Prrafodelista"/>
        <w:spacing w:after="0" w:line="276" w:lineRule="auto"/>
        <w:ind w:left="0" w:firstLine="567"/>
        <w:jc w:val="both"/>
        <w:rPr>
          <w:rFonts w:ascii="Verdana" w:hAnsi="Verdana" w:cs="BCDHEE+Verdana"/>
          <w:color w:val="000000"/>
        </w:rPr>
      </w:pPr>
      <w:r>
        <w:rPr>
          <w:rFonts w:ascii="Verdana" w:hAnsi="Verdana" w:cs="BCDHEE+Verdana"/>
          <w:color w:val="000000"/>
        </w:rPr>
        <w:t>Adicionalmente, se analizará la restricción a la contratación directa que se encuentra en el artículo 33 de la Ley 996 de 2005, como sigue:</w:t>
      </w:r>
    </w:p>
    <w:p w14:paraId="0C84CA6E" w14:textId="77777777" w:rsidR="00AF2C34" w:rsidRPr="00A545DE" w:rsidRDefault="00AF2C34" w:rsidP="00AF2C34">
      <w:pPr>
        <w:pStyle w:val="Prrafodelista"/>
        <w:spacing w:after="0" w:line="276" w:lineRule="auto"/>
        <w:ind w:left="1080"/>
        <w:jc w:val="both"/>
        <w:rPr>
          <w:rFonts w:ascii="Verdana" w:eastAsia="Arial" w:hAnsi="Verdana" w:cs="Arial"/>
          <w:lang w:eastAsia="es-ES" w:bidi="es-ES"/>
        </w:rPr>
      </w:pPr>
    </w:p>
    <w:p w14:paraId="5D569B53" w14:textId="77777777" w:rsidR="00AF2C34" w:rsidRPr="00FC54ED" w:rsidRDefault="00AF2C34" w:rsidP="00AF2C34">
      <w:pPr>
        <w:spacing w:after="0" w:line="240" w:lineRule="auto"/>
        <w:ind w:left="708" w:right="703"/>
        <w:jc w:val="both"/>
        <w:rPr>
          <w:rFonts w:ascii="Verdana" w:eastAsia="Times New Roman" w:hAnsi="Verdana" w:cs="Open Sans"/>
          <w:sz w:val="20"/>
          <w:szCs w:val="20"/>
          <w:lang w:eastAsia="es-CO"/>
        </w:rPr>
      </w:pPr>
      <w:bookmarkStart w:id="4" w:name="33"/>
      <w:r>
        <w:rPr>
          <w:rFonts w:ascii="Verdana" w:eastAsia="Times New Roman" w:hAnsi="Verdana" w:cs="Open Sans"/>
          <w:b/>
          <w:bCs/>
          <w:sz w:val="20"/>
          <w:szCs w:val="20"/>
          <w:lang w:eastAsia="es-CO"/>
        </w:rPr>
        <w:t>“</w:t>
      </w:r>
      <w:r w:rsidRPr="00FC54ED">
        <w:rPr>
          <w:rFonts w:ascii="Verdana" w:eastAsia="Times New Roman" w:hAnsi="Verdana" w:cs="Open Sans"/>
          <w:b/>
          <w:bCs/>
          <w:sz w:val="20"/>
          <w:szCs w:val="20"/>
          <w:lang w:eastAsia="es-CO"/>
        </w:rPr>
        <w:t>ARTÍCULO 33. RESTRICCIONES A LA CONTRATACIÓN PÚBLICA.</w:t>
      </w:r>
      <w:bookmarkEnd w:id="4"/>
      <w:r w:rsidRPr="00FC54ED">
        <w:rPr>
          <w:rFonts w:ascii="Verdana" w:eastAsia="Times New Roman" w:hAnsi="Verdana" w:cs="Open Sans"/>
          <w:sz w:val="20"/>
          <w:szCs w:val="20"/>
          <w:lang w:eastAsia="es-CO"/>
        </w:rPr>
        <w:t>  Durante los cuatro (4) meses anteriores a la elección presidencial y hasta la realización de la elección en la segunda vuelta, si fuere el caso, queda prohibida la contratación directa por parte de todos los entes del Estado.</w:t>
      </w:r>
    </w:p>
    <w:p w14:paraId="5E91B649" w14:textId="77777777" w:rsidR="00AF2C34" w:rsidRPr="00FC54ED" w:rsidRDefault="00AF2C34" w:rsidP="00AF2C34">
      <w:pPr>
        <w:spacing w:after="0" w:line="240" w:lineRule="auto"/>
        <w:ind w:left="708" w:right="703"/>
        <w:jc w:val="both"/>
        <w:rPr>
          <w:rFonts w:ascii="Verdana" w:eastAsia="Times New Roman" w:hAnsi="Verdana" w:cs="Open Sans"/>
          <w:sz w:val="20"/>
          <w:szCs w:val="20"/>
          <w:lang w:eastAsia="es-CO"/>
        </w:rPr>
      </w:pPr>
    </w:p>
    <w:p w14:paraId="170B0762" w14:textId="77777777" w:rsidR="00AF2C34" w:rsidRPr="00B3605D" w:rsidRDefault="00AF2C34" w:rsidP="00AF2C34">
      <w:pPr>
        <w:spacing w:after="0" w:line="240" w:lineRule="auto"/>
        <w:ind w:left="708" w:right="703"/>
        <w:jc w:val="both"/>
        <w:rPr>
          <w:rFonts w:ascii="Verdana" w:eastAsia="Times New Roman" w:hAnsi="Verdana" w:cs="Open Sans"/>
          <w:sz w:val="20"/>
          <w:szCs w:val="20"/>
          <w:lang w:eastAsia="es-CO"/>
        </w:rPr>
      </w:pPr>
      <w:r w:rsidRPr="00FC54ED">
        <w:rPr>
          <w:rFonts w:ascii="Verdana" w:eastAsia="Times New Roman" w:hAnsi="Verdana" w:cs="Open Sans"/>
          <w:sz w:val="20"/>
          <w:szCs w:val="20"/>
          <w:lang w:eastAsia="es-CO"/>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Times New Roman" w:hAnsi="Verdana" w:cs="Open Sans"/>
          <w:sz w:val="20"/>
          <w:szCs w:val="20"/>
          <w:lang w:eastAsia="es-CO"/>
        </w:rPr>
        <w:t>”</w:t>
      </w:r>
      <w:r w:rsidRPr="00FC54ED">
        <w:rPr>
          <w:rFonts w:ascii="Verdana" w:eastAsia="Times New Roman" w:hAnsi="Verdana" w:cs="Open Sans"/>
          <w:sz w:val="20"/>
          <w:szCs w:val="20"/>
          <w:lang w:eastAsia="es-CO"/>
        </w:rPr>
        <w:t>.</w:t>
      </w:r>
    </w:p>
    <w:p w14:paraId="1D26ED8E" w14:textId="77777777" w:rsidR="00AF2C34" w:rsidRDefault="00AF2C34" w:rsidP="00AF2C34">
      <w:pPr>
        <w:spacing w:after="0" w:line="276" w:lineRule="auto"/>
        <w:ind w:right="618" w:firstLine="708"/>
        <w:jc w:val="both"/>
        <w:rPr>
          <w:rFonts w:ascii="Verdana" w:eastAsia="Times New Roman" w:hAnsi="Verdana" w:cs="Open Sans"/>
          <w:lang w:eastAsia="es-CO"/>
        </w:rPr>
      </w:pPr>
    </w:p>
    <w:p w14:paraId="797427D7" w14:textId="77777777" w:rsidR="00AF2C34" w:rsidRDefault="00AF2C34" w:rsidP="00AF2C34">
      <w:pPr>
        <w:spacing w:after="120" w:line="276" w:lineRule="auto"/>
        <w:ind w:firstLine="708"/>
        <w:jc w:val="both"/>
        <w:rPr>
          <w:rFonts w:ascii="Verdana" w:eastAsia="Times New Roman" w:hAnsi="Verdana" w:cs="Open Sans"/>
          <w:lang w:eastAsia="es-CO"/>
        </w:rPr>
      </w:pPr>
      <w:r w:rsidRPr="00B3605D">
        <w:rPr>
          <w:rFonts w:ascii="Verdana" w:eastAsia="Times New Roman" w:hAnsi="Verdana" w:cs="Open Sans"/>
          <w:lang w:eastAsia="es-CO"/>
        </w:rPr>
        <w:t xml:space="preserve">Como se puede observar, el artículo 33 de la Ley 996 de 2205 prohíbe la contratación directa por parte de todos los entes estatales durante los cuatro </w:t>
      </w:r>
      <w:r>
        <w:rPr>
          <w:rFonts w:ascii="Verdana" w:eastAsia="Times New Roman" w:hAnsi="Verdana" w:cs="Open Sans"/>
          <w:lang w:eastAsia="es-CO"/>
        </w:rPr>
        <w:t>(4)</w:t>
      </w:r>
      <w:r w:rsidRPr="00B3605D">
        <w:rPr>
          <w:rFonts w:ascii="Verdana" w:eastAsia="Times New Roman" w:hAnsi="Verdana" w:cs="Open Sans"/>
          <w:lang w:eastAsia="es-CO"/>
        </w:rPr>
        <w:t xml:space="preserve"> meses anteriores a las elecciones presidenciales y dispone las excepciones a dicha prohibición. </w:t>
      </w:r>
      <w:r>
        <w:rPr>
          <w:rFonts w:ascii="Verdana" w:eastAsia="Times New Roman" w:hAnsi="Verdana" w:cs="Open Sans"/>
          <w:lang w:eastAsia="es-CO"/>
        </w:rPr>
        <w:t>Así, su ámbito de prohibición está delimitado por la expresión “</w:t>
      </w:r>
      <w:r w:rsidRPr="006A640E">
        <w:rPr>
          <w:rFonts w:ascii="Verdana" w:eastAsia="Times New Roman" w:hAnsi="Verdana" w:cs="Open Sans"/>
          <w:lang w:eastAsia="es-CO"/>
        </w:rPr>
        <w:t>queda prohibida la contratación directa</w:t>
      </w:r>
      <w:r>
        <w:rPr>
          <w:rFonts w:ascii="Verdana" w:eastAsia="Times New Roman" w:hAnsi="Verdana" w:cs="Open Sans"/>
          <w:lang w:eastAsia="es-CO"/>
        </w:rPr>
        <w:t xml:space="preserve">” y </w:t>
      </w:r>
      <w:r w:rsidRPr="006A640E">
        <w:rPr>
          <w:rFonts w:ascii="Verdana" w:eastAsia="Times New Roman" w:hAnsi="Verdana" w:cs="Open Sans"/>
          <w:lang w:eastAsia="es-CO"/>
        </w:rPr>
        <w:t>para los efectos de la Ley de Garantías</w:t>
      </w:r>
      <w:r>
        <w:rPr>
          <w:rFonts w:ascii="Verdana" w:eastAsia="Times New Roman" w:hAnsi="Verdana" w:cs="Open Sans"/>
          <w:lang w:eastAsia="es-CO"/>
        </w:rPr>
        <w:t xml:space="preserve"> </w:t>
      </w:r>
      <w:r w:rsidRPr="006A640E">
        <w:rPr>
          <w:rFonts w:ascii="Verdana" w:eastAsia="Times New Roman" w:hAnsi="Verdana" w:cs="Open Sans"/>
          <w:lang w:eastAsia="es-CO"/>
        </w:rPr>
        <w:t>Electorales y, en particular, para la prohibición o restricción temporal contenida en su</w:t>
      </w:r>
      <w:r>
        <w:rPr>
          <w:rFonts w:ascii="Verdana" w:eastAsia="Times New Roman" w:hAnsi="Verdana" w:cs="Open Sans"/>
          <w:lang w:eastAsia="es-CO"/>
        </w:rPr>
        <w:t xml:space="preserve"> </w:t>
      </w:r>
      <w:r w:rsidRPr="006A640E">
        <w:rPr>
          <w:rFonts w:ascii="Verdana" w:eastAsia="Times New Roman" w:hAnsi="Verdana" w:cs="Open Sans"/>
          <w:lang w:eastAsia="es-CO"/>
        </w:rPr>
        <w:t xml:space="preserve">artículo 33, </w:t>
      </w:r>
      <w:r>
        <w:rPr>
          <w:rFonts w:ascii="Verdana" w:eastAsia="Times New Roman" w:hAnsi="Verdana" w:cs="Open Sans"/>
          <w:lang w:eastAsia="es-CO"/>
        </w:rPr>
        <w:t>“</w:t>
      </w:r>
      <w:r w:rsidRPr="006A640E">
        <w:rPr>
          <w:rFonts w:ascii="Verdana" w:eastAsia="Times New Roman" w:hAnsi="Verdana" w:cs="Open Sans"/>
          <w:lang w:eastAsia="es-CO"/>
        </w:rPr>
        <w:t>contratación directa</w:t>
      </w:r>
      <w:r>
        <w:rPr>
          <w:rFonts w:ascii="Verdana" w:eastAsia="Times New Roman" w:hAnsi="Verdana" w:cs="Open Sans"/>
          <w:lang w:eastAsia="es-CO"/>
        </w:rPr>
        <w:t>”</w:t>
      </w:r>
      <w:r w:rsidRPr="006A640E">
        <w:rPr>
          <w:rFonts w:ascii="Verdana" w:eastAsia="Times New Roman" w:hAnsi="Verdana" w:cs="Open Sans"/>
          <w:lang w:eastAsia="es-CO"/>
        </w:rPr>
        <w:t xml:space="preserve"> es cualquier sistema de selección o procedimiento</w:t>
      </w:r>
      <w:r>
        <w:rPr>
          <w:rFonts w:ascii="Verdana" w:eastAsia="Times New Roman" w:hAnsi="Verdana" w:cs="Open Sans"/>
          <w:lang w:eastAsia="es-CO"/>
        </w:rPr>
        <w:t xml:space="preserve"> </w:t>
      </w:r>
      <w:r w:rsidRPr="006A640E">
        <w:rPr>
          <w:rFonts w:ascii="Verdana" w:eastAsia="Times New Roman" w:hAnsi="Verdana" w:cs="Open Sans"/>
          <w:lang w:eastAsia="es-CO"/>
        </w:rPr>
        <w:t xml:space="preserve">de contratación utilizado por las entidades estatales </w:t>
      </w:r>
      <w:r w:rsidRPr="006A640E">
        <w:rPr>
          <w:rFonts w:ascii="Verdana" w:eastAsia="Times New Roman" w:hAnsi="Verdana" w:cs="Open Sans"/>
          <w:lang w:eastAsia="es-CO"/>
        </w:rPr>
        <w:lastRenderedPageBreak/>
        <w:t>que no incluya la convocatoria</w:t>
      </w:r>
      <w:r>
        <w:rPr>
          <w:rFonts w:ascii="Verdana" w:eastAsia="Times New Roman" w:hAnsi="Verdana" w:cs="Open Sans"/>
          <w:lang w:eastAsia="es-CO"/>
        </w:rPr>
        <w:t xml:space="preserve"> </w:t>
      </w:r>
      <w:r w:rsidRPr="006A640E">
        <w:rPr>
          <w:rFonts w:ascii="Verdana" w:eastAsia="Times New Roman" w:hAnsi="Verdana" w:cs="Open Sans"/>
          <w:lang w:eastAsia="es-CO"/>
        </w:rPr>
        <w:t>pública en alguna de sus etapas, ni permita la participación de una pluralidad de</w:t>
      </w:r>
      <w:r>
        <w:rPr>
          <w:rFonts w:ascii="Verdana" w:eastAsia="Times New Roman" w:hAnsi="Verdana" w:cs="Open Sans"/>
          <w:lang w:eastAsia="es-CO"/>
        </w:rPr>
        <w:t xml:space="preserve"> </w:t>
      </w:r>
      <w:r w:rsidRPr="006A640E">
        <w:rPr>
          <w:rFonts w:ascii="Verdana" w:eastAsia="Times New Roman" w:hAnsi="Verdana" w:cs="Open Sans"/>
          <w:lang w:eastAsia="es-CO"/>
        </w:rPr>
        <w:t>oferentes</w:t>
      </w:r>
      <w:r>
        <w:rPr>
          <w:rStyle w:val="Refdenotaalpie"/>
          <w:rFonts w:ascii="Verdana" w:eastAsia="Times New Roman" w:hAnsi="Verdana" w:cs="Open Sans"/>
          <w:lang w:eastAsia="es-CO"/>
        </w:rPr>
        <w:footnoteReference w:id="12"/>
      </w:r>
      <w:r>
        <w:rPr>
          <w:rFonts w:ascii="Verdana" w:eastAsia="Times New Roman" w:hAnsi="Verdana" w:cs="Open Sans"/>
          <w:lang w:eastAsia="es-CO"/>
        </w:rPr>
        <w:t>.</w:t>
      </w:r>
    </w:p>
    <w:p w14:paraId="78295957" w14:textId="6DB9B871" w:rsidR="00AF2C34" w:rsidRDefault="00AF2C34" w:rsidP="00AF2C34">
      <w:pPr>
        <w:spacing w:after="120" w:line="276" w:lineRule="auto"/>
        <w:ind w:firstLine="708"/>
        <w:jc w:val="both"/>
        <w:rPr>
          <w:rFonts w:ascii="Verdana" w:hAnsi="Verdana"/>
        </w:rPr>
      </w:pPr>
      <w:r>
        <w:rPr>
          <w:rFonts w:ascii="Verdana" w:eastAsia="Times New Roman" w:hAnsi="Verdana" w:cs="Open Sans"/>
          <w:lang w:eastAsia="es-CO"/>
        </w:rPr>
        <w:t>Por s</w:t>
      </w:r>
      <w:r w:rsidRPr="00D44FF2">
        <w:rPr>
          <w:rFonts w:ascii="Verdana" w:eastAsia="Times New Roman" w:hAnsi="Verdana" w:cs="Open Sans"/>
          <w:lang w:eastAsia="es-CO"/>
        </w:rPr>
        <w:t xml:space="preserve">u parte, </w:t>
      </w:r>
      <w:r w:rsidRPr="00D44FF2">
        <w:rPr>
          <w:rFonts w:ascii="Verdana" w:hAnsi="Verdana"/>
        </w:rPr>
        <w:t xml:space="preserve">los destinatarios de la prohibición están expresamente señalados como </w:t>
      </w:r>
      <w:r>
        <w:rPr>
          <w:rFonts w:ascii="Verdana" w:hAnsi="Verdana"/>
        </w:rPr>
        <w:t>“</w:t>
      </w:r>
      <w:r w:rsidRPr="00D44FF2">
        <w:rPr>
          <w:rFonts w:ascii="Verdana" w:hAnsi="Verdana"/>
        </w:rPr>
        <w:t>todos los entes del Estado</w:t>
      </w:r>
      <w:r>
        <w:rPr>
          <w:rFonts w:ascii="Verdana" w:hAnsi="Verdana"/>
        </w:rPr>
        <w:t>”</w:t>
      </w:r>
      <w:r w:rsidRPr="00D44FF2">
        <w:rPr>
          <w:rFonts w:ascii="Verdana" w:hAnsi="Verdana"/>
        </w:rPr>
        <w:t xml:space="preserve">, expresión que contempla a los diferentes organismos o entidades autorizadas por la ley para suscribir contratos. En efecto, tal como lo ha sostenido el Consejo de Estado, el vocablo </w:t>
      </w:r>
      <w:r>
        <w:rPr>
          <w:rFonts w:ascii="Verdana" w:hAnsi="Verdana"/>
        </w:rPr>
        <w:t>“</w:t>
      </w:r>
      <w:r w:rsidRPr="00D44FF2">
        <w:rPr>
          <w:rFonts w:ascii="Verdana" w:hAnsi="Verdana"/>
        </w:rPr>
        <w:t>todos</w:t>
      </w:r>
      <w:r>
        <w:rPr>
          <w:rFonts w:ascii="Verdana" w:hAnsi="Verdana"/>
        </w:rPr>
        <w:t>”</w:t>
      </w:r>
      <w:r w:rsidRPr="00D44FF2">
        <w:rPr>
          <w:rFonts w:ascii="Verdana" w:hAnsi="Verdana"/>
        </w:rPr>
        <w:t xml:space="preserve">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sidR="002C31A9">
        <w:rPr>
          <w:rFonts w:ascii="Verdana" w:hAnsi="Verdana"/>
        </w:rPr>
        <w:t>.</w:t>
      </w:r>
      <w:r w:rsidR="00F96437" w:rsidRPr="00F96437">
        <w:rPr>
          <w:rFonts w:ascii="Verdana" w:hAnsi="Verdana"/>
        </w:rPr>
        <w:t xml:space="preserve"> </w:t>
      </w:r>
      <w:r w:rsidR="00F96437">
        <w:rPr>
          <w:rFonts w:ascii="Verdana" w:hAnsi="Verdana"/>
        </w:rPr>
        <w:t>Por lo que, esta restricción a la contratación directa es aplicable a los fondos mixtos de promoción de la cultura y las artes en tanto son una entidad pública, independientemente de su régimen de contratación.</w:t>
      </w:r>
    </w:p>
    <w:p w14:paraId="655550B8" w14:textId="77777777" w:rsidR="00AF2C34" w:rsidRDefault="00AF2C34" w:rsidP="00AF2C34">
      <w:pPr>
        <w:spacing w:after="120" w:line="276" w:lineRule="auto"/>
        <w:ind w:firstLine="708"/>
        <w:jc w:val="both"/>
        <w:rPr>
          <w:rFonts w:ascii="Verdana" w:eastAsia="Times New Roman" w:hAnsi="Verdana" w:cs="Open Sans"/>
          <w:lang w:eastAsia="es-CO"/>
        </w:rPr>
      </w:pPr>
      <w:r w:rsidRPr="00A545DE">
        <w:rPr>
          <w:rFonts w:ascii="Verdana" w:eastAsia="Times New Roman" w:hAnsi="Verdana" w:cs="Open Sans"/>
          <w:lang w:eastAsia="es-CO"/>
        </w:rPr>
        <w:t>De lo anterior se desprende que la restricción aplica, sin perjuicio de las excepciones establecidas en la misma ley, para celebrar cualquier contrato de</w:t>
      </w:r>
      <w:r w:rsidRPr="006A640E">
        <w:rPr>
          <w:rFonts w:ascii="Verdana" w:eastAsia="Times New Roman" w:hAnsi="Verdana" w:cs="Open Sans"/>
          <w:lang w:eastAsia="es-CO"/>
        </w:rPr>
        <w:t xml:space="preserve"> forma</w:t>
      </w:r>
      <w:r>
        <w:rPr>
          <w:rFonts w:ascii="Verdana" w:eastAsia="Times New Roman" w:hAnsi="Verdana" w:cs="Open Sans"/>
          <w:lang w:eastAsia="es-CO"/>
        </w:rPr>
        <w:t xml:space="preserve"> </w:t>
      </w:r>
      <w:r w:rsidRPr="006A640E">
        <w:rPr>
          <w:rFonts w:ascii="Verdana" w:eastAsia="Times New Roman" w:hAnsi="Verdana" w:cs="Open Sans"/>
          <w:lang w:eastAsia="es-CO"/>
        </w:rPr>
        <w:t>directa</w:t>
      </w:r>
      <w:r>
        <w:rPr>
          <w:rFonts w:ascii="Verdana" w:eastAsia="Times New Roman" w:hAnsi="Verdana" w:cs="Open Sans"/>
          <w:lang w:eastAsia="es-CO"/>
        </w:rPr>
        <w:t xml:space="preserve">, esto es, </w:t>
      </w:r>
      <w:r w:rsidRPr="006A640E">
        <w:rPr>
          <w:rFonts w:ascii="Verdana" w:eastAsia="Times New Roman" w:hAnsi="Verdana" w:cs="Open Sans"/>
          <w:lang w:eastAsia="es-CO"/>
        </w:rPr>
        <w:t>sin que exista un proceso abierto y competitivo. Por tanto, no son</w:t>
      </w:r>
      <w:r>
        <w:rPr>
          <w:rFonts w:ascii="Verdana" w:eastAsia="Times New Roman" w:hAnsi="Verdana" w:cs="Open Sans"/>
          <w:lang w:eastAsia="es-CO"/>
        </w:rPr>
        <w:t xml:space="preserve"> </w:t>
      </w:r>
      <w:r w:rsidRPr="006A640E">
        <w:rPr>
          <w:rFonts w:ascii="Verdana" w:eastAsia="Times New Roman" w:hAnsi="Verdana" w:cs="Open Sans"/>
          <w:lang w:eastAsia="es-CO"/>
        </w:rPr>
        <w:t>materia de la prohibición las demás modalidades de selección previstas en la Ley</w:t>
      </w:r>
      <w:r>
        <w:rPr>
          <w:rFonts w:ascii="Verdana" w:eastAsia="Times New Roman" w:hAnsi="Verdana" w:cs="Open Sans"/>
          <w:lang w:eastAsia="es-CO"/>
        </w:rPr>
        <w:t xml:space="preserve"> </w:t>
      </w:r>
      <w:r w:rsidRPr="006A640E">
        <w:rPr>
          <w:rFonts w:ascii="Verdana" w:eastAsia="Times New Roman" w:hAnsi="Verdana" w:cs="Open Sans"/>
          <w:lang w:eastAsia="es-CO"/>
        </w:rPr>
        <w:t>1150 de 2007, es decir, la licitación pública, el concurso de méritos, la selección</w:t>
      </w:r>
      <w:r>
        <w:rPr>
          <w:rFonts w:ascii="Verdana" w:eastAsia="Times New Roman" w:hAnsi="Verdana" w:cs="Open Sans"/>
          <w:lang w:eastAsia="es-CO"/>
        </w:rPr>
        <w:t xml:space="preserve"> </w:t>
      </w:r>
      <w:r w:rsidRPr="006A640E">
        <w:rPr>
          <w:rFonts w:ascii="Verdana" w:eastAsia="Times New Roman" w:hAnsi="Verdana" w:cs="Open Sans"/>
          <w:lang w:eastAsia="es-CO"/>
        </w:rPr>
        <w:t>abreviada y la contratación de mínima cuantía, razón por la cual en el período</w:t>
      </w:r>
      <w:r>
        <w:rPr>
          <w:rFonts w:ascii="Verdana" w:eastAsia="Times New Roman" w:hAnsi="Verdana" w:cs="Open Sans"/>
          <w:lang w:eastAsia="es-CO"/>
        </w:rPr>
        <w:t xml:space="preserve"> </w:t>
      </w:r>
      <w:r w:rsidRPr="006A640E">
        <w:rPr>
          <w:rFonts w:ascii="Verdana" w:eastAsia="Times New Roman" w:hAnsi="Verdana" w:cs="Open Sans"/>
          <w:lang w:eastAsia="es-CO"/>
        </w:rPr>
        <w:t>preelectoral de que trata la disposición las entidades públicas pueden seguir</w:t>
      </w:r>
      <w:r>
        <w:rPr>
          <w:rFonts w:ascii="Verdana" w:eastAsia="Times New Roman" w:hAnsi="Verdana" w:cs="Open Sans"/>
          <w:lang w:eastAsia="es-CO"/>
        </w:rPr>
        <w:t xml:space="preserve"> </w:t>
      </w:r>
      <w:r w:rsidRPr="006A640E">
        <w:rPr>
          <w:rFonts w:ascii="Verdana" w:eastAsia="Times New Roman" w:hAnsi="Verdana" w:cs="Open Sans"/>
          <w:lang w:eastAsia="es-CO"/>
        </w:rPr>
        <w:t>contratando bajo estos sistemas.</w:t>
      </w:r>
    </w:p>
    <w:p w14:paraId="15069543" w14:textId="77777777" w:rsidR="00AF2C34" w:rsidRDefault="00AF2C34" w:rsidP="00AF2C34">
      <w:pPr>
        <w:spacing w:after="0" w:line="276" w:lineRule="auto"/>
        <w:ind w:firstLine="708"/>
        <w:jc w:val="both"/>
        <w:rPr>
          <w:rFonts w:ascii="Verdana" w:hAnsi="Verdana"/>
        </w:rPr>
      </w:pPr>
      <w:r w:rsidRPr="006A640E">
        <w:rPr>
          <w:rFonts w:ascii="Verdana" w:hAnsi="Verdana"/>
        </w:rPr>
        <w:t>De otro lado, las excepciones a la restricción prevista en la Ley de Garantías,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Pr>
          <w:rFonts w:ascii="Verdana" w:hAnsi="Verdana"/>
        </w:rPr>
        <w:t>.</w:t>
      </w:r>
    </w:p>
    <w:p w14:paraId="3898ECD4" w14:textId="77777777" w:rsidR="00AF2C34" w:rsidRPr="007E311B" w:rsidRDefault="00AF2C34" w:rsidP="00AF2C34">
      <w:pPr>
        <w:spacing w:after="0" w:line="276" w:lineRule="auto"/>
        <w:ind w:firstLine="708"/>
        <w:jc w:val="both"/>
        <w:rPr>
          <w:rFonts w:ascii="Verdana" w:hAnsi="Verdana"/>
        </w:rPr>
      </w:pPr>
    </w:p>
    <w:p w14:paraId="5DC2516A" w14:textId="77777777" w:rsidR="00AF2C34" w:rsidRPr="00E61635" w:rsidRDefault="00AF2C34" w:rsidP="00AF2C34">
      <w:pPr>
        <w:widowControl w:val="0"/>
        <w:autoSpaceDE w:val="0"/>
        <w:autoSpaceDN w:val="0"/>
        <w:spacing w:after="0" w:line="276" w:lineRule="auto"/>
        <w:ind w:right="176" w:firstLine="708"/>
        <w:jc w:val="both"/>
        <w:rPr>
          <w:rFonts w:ascii="Verdana" w:hAnsi="Verdana"/>
        </w:rPr>
      </w:pPr>
      <w:r w:rsidRPr="00E61635">
        <w:rPr>
          <w:rFonts w:ascii="Verdana" w:hAnsi="Verdana"/>
        </w:rPr>
        <w:t xml:space="preserve">Dentro de este marco, corresponde a cada </w:t>
      </w:r>
      <w:r w:rsidRPr="005F3B31">
        <w:rPr>
          <w:rFonts w:ascii="Verdana" w:hAnsi="Verdana"/>
        </w:rPr>
        <w:t>entidad pública</w:t>
      </w:r>
      <w:r w:rsidRPr="00E61635">
        <w:rPr>
          <w:rFonts w:ascii="Verdana" w:hAnsi="Verdana"/>
        </w:rPr>
        <w:t>, en ejercicio de su competencia y previa valoración de los elementos fácticos y jurídicos, así como de las disposiciones legales mencionadas,</w:t>
      </w:r>
      <w:r>
        <w:rPr>
          <w:rFonts w:ascii="Verdana" w:hAnsi="Verdana"/>
        </w:rPr>
        <w:t xml:space="preserve"> determinar su gestión contractual durante la aplicación de las restricciones de la Ley de Garantías Electorales. </w:t>
      </w:r>
      <w:r w:rsidRPr="00E61635">
        <w:rPr>
          <w:rFonts w:ascii="Verdana" w:hAnsi="Verdana"/>
        </w:rPr>
        <w:t>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02BA2588" w14:textId="77777777" w:rsidR="00AF2C34" w:rsidRDefault="00AF2C34" w:rsidP="00AF2C34">
      <w:pPr>
        <w:widowControl w:val="0"/>
        <w:autoSpaceDE w:val="0"/>
        <w:autoSpaceDN w:val="0"/>
        <w:spacing w:after="0" w:line="276" w:lineRule="auto"/>
        <w:jc w:val="both"/>
        <w:rPr>
          <w:rFonts w:ascii="Verdana" w:hAnsi="Verdana" w:cs="Arial"/>
        </w:rPr>
      </w:pPr>
    </w:p>
    <w:p w14:paraId="3A3E739A" w14:textId="77777777" w:rsidR="00AF2C34" w:rsidRDefault="00AF2C34" w:rsidP="00AF2C3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Referencias normativas, jurisprudenciales y otras fuentes:</w:t>
      </w:r>
    </w:p>
    <w:p w14:paraId="08E5A056" w14:textId="77777777" w:rsidR="00AF2C34" w:rsidRDefault="00AF2C34" w:rsidP="00AF2C34">
      <w:pPr>
        <w:widowControl w:val="0"/>
        <w:autoSpaceDE w:val="0"/>
        <w:autoSpaceDN w:val="0"/>
        <w:spacing w:after="0" w:line="276" w:lineRule="auto"/>
        <w:jc w:val="both"/>
        <w:rPr>
          <w:rFonts w:ascii="Verdana" w:hAnsi="Verdana" w:cs="Arial"/>
        </w:rPr>
      </w:pPr>
    </w:p>
    <w:tbl>
      <w:tblPr>
        <w:tblStyle w:val="Tablaconcuadrcula"/>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AF2C34" w14:paraId="7B19391E" w14:textId="77777777" w:rsidTr="00AD6299">
        <w:trPr>
          <w:trHeight w:val="870"/>
        </w:trPr>
        <w:tc>
          <w:tcPr>
            <w:tcW w:w="8647" w:type="dxa"/>
            <w:tcBorders>
              <w:top w:val="dotted" w:sz="4" w:space="0" w:color="auto"/>
              <w:left w:val="dotted" w:sz="4" w:space="0" w:color="auto"/>
              <w:bottom w:val="dotted" w:sz="4" w:space="0" w:color="auto"/>
              <w:right w:val="dotted" w:sz="4" w:space="0" w:color="auto"/>
            </w:tcBorders>
            <w:hideMark/>
          </w:tcPr>
          <w:p w14:paraId="6C44AEFF" w14:textId="77777777" w:rsidR="00AF2C34" w:rsidRPr="00B9584E" w:rsidRDefault="00AF2C34" w:rsidP="00AD6299">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Pr>
                <w:rFonts w:ascii="Verdana" w:eastAsia="Arial MT" w:hAnsi="Verdana" w:cs="Arial"/>
                <w:lang w:val="es-ES" w:eastAsia="es-ES" w:bidi="es-ES"/>
              </w:rPr>
              <w:t>Ley 397 de 1997: artículo 63</w:t>
            </w:r>
          </w:p>
          <w:p w14:paraId="21FA6FD7" w14:textId="77777777" w:rsidR="00AF2C34" w:rsidRPr="00B9584E" w:rsidRDefault="00AF2C34" w:rsidP="00AD6299">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DF1048">
              <w:rPr>
                <w:rFonts w:ascii="Verdana" w:eastAsia="Arial MT" w:hAnsi="Verdana" w:cs="Arial"/>
                <w:bCs/>
                <w:lang w:val="es-ES" w:eastAsia="es-ES" w:bidi="es-ES"/>
              </w:rPr>
              <w:t>Ley 996 de 2005: artículos 33 y 38 parágrafo.</w:t>
            </w:r>
          </w:p>
          <w:p w14:paraId="1FA140AE" w14:textId="77777777" w:rsidR="00AF2C34" w:rsidRPr="00B9584E" w:rsidRDefault="00AF2C34" w:rsidP="00AD6299">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B9584E">
              <w:rPr>
                <w:rFonts w:ascii="Verdana" w:hAnsi="Verdana"/>
              </w:rPr>
              <w:t>Decreto</w:t>
            </w:r>
            <w:r w:rsidRPr="00B9584E">
              <w:rPr>
                <w:rFonts w:ascii="Verdana" w:hAnsi="Verdana"/>
                <w:spacing w:val="-5"/>
              </w:rPr>
              <w:t xml:space="preserve"> </w:t>
            </w:r>
            <w:r w:rsidRPr="00B9584E">
              <w:rPr>
                <w:rFonts w:ascii="Verdana" w:hAnsi="Verdana"/>
              </w:rPr>
              <w:t>1080</w:t>
            </w:r>
            <w:r w:rsidRPr="00B9584E">
              <w:rPr>
                <w:rFonts w:ascii="Verdana" w:hAnsi="Verdana"/>
                <w:spacing w:val="-6"/>
              </w:rPr>
              <w:t xml:space="preserve"> </w:t>
            </w:r>
            <w:r w:rsidRPr="00B9584E">
              <w:rPr>
                <w:rFonts w:ascii="Verdana" w:hAnsi="Verdana"/>
              </w:rPr>
              <w:t>de</w:t>
            </w:r>
            <w:r w:rsidRPr="00B9584E">
              <w:rPr>
                <w:rFonts w:ascii="Verdana" w:hAnsi="Verdana"/>
                <w:spacing w:val="-7"/>
              </w:rPr>
              <w:t xml:space="preserve"> </w:t>
            </w:r>
            <w:r w:rsidRPr="00B9584E">
              <w:rPr>
                <w:rFonts w:ascii="Verdana" w:hAnsi="Verdana"/>
              </w:rPr>
              <w:t>2015: artículos 2.2.2.1., 2.2.2.2., 2.2.2.3., 2.2.2.4.</w:t>
            </w:r>
          </w:p>
          <w:p w14:paraId="083B282F" w14:textId="77777777" w:rsidR="00AF2C34" w:rsidRPr="00274DBA" w:rsidRDefault="00AF2C34" w:rsidP="00AD6299">
            <w:pPr>
              <w:widowControl w:val="0"/>
              <w:numPr>
                <w:ilvl w:val="0"/>
                <w:numId w:val="17"/>
              </w:numPr>
              <w:autoSpaceDE w:val="0"/>
              <w:autoSpaceDN w:val="0"/>
              <w:spacing w:after="120" w:line="276" w:lineRule="auto"/>
              <w:jc w:val="both"/>
              <w:rPr>
                <w:rFonts w:ascii="Verdana" w:eastAsia="Calibri" w:hAnsi="Verdana" w:cs="Arial"/>
                <w:lang w:val="es-ES"/>
              </w:rPr>
            </w:pPr>
            <w:r w:rsidRPr="00274DBA">
              <w:rPr>
                <w:rFonts w:ascii="Verdana" w:eastAsia="Calibri" w:hAnsi="Verdana" w:cs="Arial"/>
                <w:lang w:val="pt-BR"/>
              </w:rPr>
              <w:t xml:space="preserve">Corte Constitucional. Sentencia C -1153 de 2005. </w:t>
            </w:r>
            <w:r w:rsidRPr="00274DBA">
              <w:rPr>
                <w:rFonts w:ascii="Verdana" w:eastAsia="Calibri" w:hAnsi="Verdana" w:cs="Arial"/>
                <w:lang w:val="es-ES"/>
              </w:rPr>
              <w:t xml:space="preserve">M.P. Marco Gerardo Monroy Cabra. </w:t>
            </w:r>
          </w:p>
          <w:p w14:paraId="608145CD" w14:textId="77777777" w:rsidR="00AF2C34" w:rsidRDefault="00AF2C34" w:rsidP="00AD6299">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B3605D">
              <w:rPr>
                <w:rFonts w:ascii="Verdana" w:eastAsia="Arial MT" w:hAnsi="Verdana" w:cs="Arial"/>
                <w:lang w:val="es-ES" w:eastAsia="es-ES" w:bidi="es-ES"/>
              </w:rPr>
              <w:t xml:space="preserve">Consejo de Estado, Sala de Consulta y Servicio Civil de fecha 24 de julio de 2013, Rad. 2166, C. P. Álvaro Namén Vargas.  </w:t>
            </w:r>
          </w:p>
          <w:p w14:paraId="5A5FA230" w14:textId="77777777" w:rsidR="00AF2C34" w:rsidRPr="0009275E" w:rsidRDefault="00AF2C34" w:rsidP="00AD6299">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60146E">
              <w:rPr>
                <w:rFonts w:ascii="Verdana" w:hAnsi="Verdana"/>
                <w:lang w:val="es-ES"/>
              </w:rPr>
              <w:t>Consejo de Estado. Sala de Consulta y Servicio Civil. Concepto del 12 de junio de 2018. Exp. 2371. C.P. Oscar Darío Amaya Navas</w:t>
            </w:r>
          </w:p>
          <w:p w14:paraId="21DDE7AD" w14:textId="77777777" w:rsidR="00AF2C34" w:rsidRPr="0060146E" w:rsidRDefault="00AF2C34" w:rsidP="00AD6299">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09275E">
              <w:rPr>
                <w:rFonts w:ascii="Verdana" w:eastAsia="Arial MT" w:hAnsi="Verdana" w:cs="Arial"/>
                <w:lang w:val="es-ES" w:eastAsia="es-ES" w:bidi="es-ES"/>
              </w:rPr>
              <w:t>Consejo de Estado, Sección Tercera. Sentencia del 17 de octubre de 2025. Exp. 70.313. C.P: Fredy Ibarra Martínez</w:t>
            </w:r>
          </w:p>
          <w:p w14:paraId="590DA253" w14:textId="77777777" w:rsidR="00AF2C34" w:rsidRPr="006A640E" w:rsidRDefault="00AF2C34" w:rsidP="00AD6299">
            <w:pPr>
              <w:widowControl w:val="0"/>
              <w:autoSpaceDE w:val="0"/>
              <w:autoSpaceDN w:val="0"/>
              <w:spacing w:after="120" w:line="276" w:lineRule="auto"/>
              <w:ind w:left="360"/>
              <w:jc w:val="both"/>
              <w:rPr>
                <w:rFonts w:ascii="Verdana" w:eastAsia="Arial MT" w:hAnsi="Verdana" w:cs="Arial"/>
                <w:lang w:val="es-ES" w:eastAsia="es-ES" w:bidi="es-ES"/>
              </w:rPr>
            </w:pPr>
          </w:p>
        </w:tc>
      </w:tr>
    </w:tbl>
    <w:p w14:paraId="11B1347B" w14:textId="77777777" w:rsidR="00AF2C34" w:rsidRDefault="00AF2C34" w:rsidP="00AF2C34">
      <w:pPr>
        <w:widowControl w:val="0"/>
        <w:autoSpaceDE w:val="0"/>
        <w:autoSpaceDN w:val="0"/>
        <w:spacing w:after="0" w:line="276" w:lineRule="auto"/>
        <w:jc w:val="both"/>
        <w:rPr>
          <w:rFonts w:ascii="Verdana" w:hAnsi="Verdana" w:cs="Arial"/>
        </w:rPr>
      </w:pPr>
    </w:p>
    <w:p w14:paraId="5636FA78" w14:textId="77777777" w:rsidR="00AF2C34" w:rsidRDefault="00AF2C34" w:rsidP="00AF2C3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p>
    <w:p w14:paraId="1633B8BE" w14:textId="77777777" w:rsidR="00AF2C34" w:rsidRDefault="00AF2C34" w:rsidP="00AF2C34">
      <w:pPr>
        <w:widowControl w:val="0"/>
        <w:autoSpaceDE w:val="0"/>
        <w:autoSpaceDN w:val="0"/>
        <w:spacing w:after="0" w:line="276" w:lineRule="auto"/>
        <w:jc w:val="both"/>
        <w:rPr>
          <w:rFonts w:ascii="Verdana" w:hAnsi="Verdana" w:cs="Arial"/>
        </w:rPr>
      </w:pPr>
    </w:p>
    <w:p w14:paraId="5943211F" w14:textId="77777777" w:rsidR="00AF2C34" w:rsidRPr="00FE3C84" w:rsidRDefault="00AF2C34" w:rsidP="00AF2C34">
      <w:pPr>
        <w:widowControl w:val="0"/>
        <w:autoSpaceDE w:val="0"/>
        <w:autoSpaceDN w:val="0"/>
        <w:spacing w:after="0" w:line="276" w:lineRule="auto"/>
        <w:jc w:val="both"/>
        <w:rPr>
          <w:rStyle w:val="normaltextrun"/>
          <w:rFonts w:ascii="Verdana" w:hAnsi="Verdana"/>
          <w:color w:val="FF0000"/>
          <w:shd w:val="clear" w:color="auto" w:fill="FFFFFF"/>
          <w:lang w:val="es-ES"/>
        </w:rPr>
      </w:pPr>
      <w:r>
        <w:rPr>
          <w:rStyle w:val="normaltextrun"/>
          <w:rFonts w:ascii="Verdana" w:hAnsi="Verdana" w:cs="Arial"/>
          <w:shd w:val="clear" w:color="auto" w:fill="FFFFFF"/>
          <w:lang w:val="es-ES"/>
        </w:rPr>
        <w:t>Sobre la aplicación de la Ley de Garantías Electorales</w:t>
      </w:r>
      <w:r w:rsidRPr="00AD7D4E">
        <w:rPr>
          <w:rStyle w:val="normaltextrun"/>
          <w:rFonts w:ascii="Verdana" w:hAnsi="Verdana" w:cs="Arial"/>
          <w:shd w:val="clear" w:color="auto" w:fill="FFFFFF"/>
          <w:lang w:val="es-ES"/>
        </w:rPr>
        <w:t>, esta Subdirección se ha pronunciado en los conceptos</w:t>
      </w:r>
      <w:r>
        <w:rPr>
          <w:rStyle w:val="normaltextrun"/>
          <w:rFonts w:ascii="Verdana" w:hAnsi="Verdana" w:cs="Arial"/>
          <w:shd w:val="clear" w:color="auto" w:fill="FFFFFF"/>
          <w:lang w:val="es-ES"/>
        </w:rPr>
        <w:t xml:space="preserve"> </w:t>
      </w:r>
      <w:r w:rsidRPr="00CF7C16">
        <w:rPr>
          <w:rFonts w:ascii="Verdana" w:hAnsi="Verdana" w:cs="Arial"/>
          <w:shd w:val="clear" w:color="auto" w:fill="FFFFFF"/>
          <w:lang w:val="es-ES"/>
        </w:rPr>
        <w:t xml:space="preserve">C-636 del 16 de noviembre de 2021, 681 del 7 de diciembre de 2021, C-686 del 21 de diciembre de 2021, </w:t>
      </w:r>
      <w:r>
        <w:rPr>
          <w:rFonts w:ascii="Verdana" w:hAnsi="Verdana" w:cs="Arial"/>
          <w:shd w:val="clear" w:color="auto" w:fill="FFFFFF"/>
          <w:lang w:val="es-ES"/>
        </w:rPr>
        <w:t xml:space="preserve">C-1179 del 8 de abril de 2022, </w:t>
      </w:r>
      <w:r w:rsidRPr="00CF7C16">
        <w:rPr>
          <w:rFonts w:ascii="Verdana" w:hAnsi="Verdana" w:cs="Arial"/>
          <w:shd w:val="clear" w:color="auto" w:fill="FFFFFF"/>
          <w:lang w:val="es-ES"/>
        </w:rPr>
        <w:t xml:space="preserve">C-697 del 3 de enero de 2022, </w:t>
      </w:r>
      <w:r>
        <w:rPr>
          <w:rStyle w:val="normaltextrun"/>
          <w:rFonts w:ascii="Verdana" w:hAnsi="Verdana" w:cs="Arial"/>
          <w:shd w:val="clear" w:color="auto" w:fill="FFFFFF"/>
          <w:lang w:val="es-ES"/>
        </w:rPr>
        <w:t xml:space="preserve">C-329 del 24 de mayo de 2022, </w:t>
      </w:r>
      <w:r w:rsidRPr="00CF7C16">
        <w:rPr>
          <w:rFonts w:ascii="Verdana" w:hAnsi="Verdana" w:cs="Arial"/>
          <w:shd w:val="clear" w:color="auto" w:fill="FFFFFF"/>
          <w:lang w:val="es-ES"/>
        </w:rPr>
        <w:t xml:space="preserve">C-180 </w:t>
      </w:r>
      <w:r w:rsidRPr="00CF7C16">
        <w:rPr>
          <w:rFonts w:ascii="Verdana" w:hAnsi="Verdana" w:cs="Arial"/>
          <w:shd w:val="clear" w:color="auto" w:fill="FFFFFF"/>
          <w:lang w:val="es-ES"/>
        </w:rPr>
        <w:lastRenderedPageBreak/>
        <w:t>del 21 de marzo de 2025, C-317 del 25 de abril de 2025, C-510 del 4 de junio de 2025,</w:t>
      </w:r>
      <w:r>
        <w:rPr>
          <w:rFonts w:ascii="Verdana" w:hAnsi="Verdana" w:cs="Arial"/>
          <w:shd w:val="clear" w:color="auto" w:fill="FFFFFF"/>
          <w:lang w:val="es-ES"/>
        </w:rPr>
        <w:t xml:space="preserve"> C-856 del 11 de agosto de 2025,</w:t>
      </w:r>
      <w:r w:rsidRPr="00CF7C16">
        <w:rPr>
          <w:rFonts w:ascii="Verdana" w:hAnsi="Verdana" w:cs="Arial"/>
          <w:shd w:val="clear" w:color="auto" w:fill="FFFFFF"/>
          <w:lang w:val="es-ES"/>
        </w:rPr>
        <w:t xml:space="preserve"> </w:t>
      </w:r>
      <w:r>
        <w:rPr>
          <w:rFonts w:ascii="Verdana" w:hAnsi="Verdana" w:cs="Arial"/>
          <w:shd w:val="clear" w:color="auto" w:fill="FFFFFF"/>
          <w:lang w:val="es-ES"/>
        </w:rPr>
        <w:t xml:space="preserve">C-1186 de 2025, C-1568 del 14 de noviembre de 2025, </w:t>
      </w:r>
      <w:r w:rsidRPr="00CF7C16">
        <w:rPr>
          <w:rFonts w:ascii="Verdana" w:hAnsi="Verdana" w:cs="Arial"/>
          <w:shd w:val="clear" w:color="auto" w:fill="FFFFFF"/>
          <w:lang w:val="es-ES"/>
        </w:rPr>
        <w:t>entre otros.</w:t>
      </w:r>
      <w:r>
        <w:rPr>
          <w:rFonts w:ascii="Verdana" w:hAnsi="Verdana" w:cs="Arial"/>
          <w:shd w:val="clear" w:color="auto" w:fill="FFFFFF"/>
          <w:lang w:val="es-ES"/>
        </w:rPr>
        <w:t xml:space="preserve"> Sobre el régimen de contratación de los fondos mixtos de cultura</w:t>
      </w:r>
      <w:r>
        <w:rPr>
          <w:rStyle w:val="normaltextrun"/>
          <w:rFonts w:ascii="Verdana" w:hAnsi="Verdana" w:cs="Arial"/>
          <w:shd w:val="clear" w:color="auto" w:fill="FFFFFF"/>
          <w:lang w:val="es-ES"/>
        </w:rPr>
        <w:t>, esta Subdirección se ha pronunciado en los conceptos C-384 de 2024, C-504 de 2024, C-687 de 2024, C-781 de 2024, entre otros. Es</w:t>
      </w:r>
      <w:r>
        <w:rPr>
          <w:rFonts w:ascii="Verdana" w:hAnsi="Verdana"/>
        </w:rPr>
        <w:t>tos y otros conceptos se encuentran disponibles para consulta en el Sistema de relatoría de la Agencia, al cual se puede acceder a través del siguiente enlace:</w:t>
      </w:r>
      <w:r>
        <w:rPr>
          <w:rStyle w:val="normaltextrun"/>
          <w:rFonts w:ascii="Verdana" w:hAnsi="Verdana" w:cs="Arial"/>
          <w:shd w:val="clear" w:color="auto" w:fill="FFFFFF"/>
          <w:lang w:val="es-ES"/>
        </w:rPr>
        <w:t xml:space="preserve"> </w:t>
      </w:r>
      <w:hyperlink r:id="rId13" w:history="1">
        <w:r w:rsidRPr="00B778BC">
          <w:rPr>
            <w:rStyle w:val="Hipervnculo"/>
            <w:rFonts w:ascii="Verdana" w:hAnsi="Verdana" w:cs="Arial"/>
            <w:shd w:val="clear" w:color="auto" w:fill="FFFFFF"/>
            <w:lang w:val="es-ES"/>
          </w:rPr>
          <w:t>https://relatoria.colombiacompra.gov.co/busqueda/conceptos</w:t>
        </w:r>
      </w:hyperlink>
      <w:r w:rsidRPr="00B778BC">
        <w:rPr>
          <w:rStyle w:val="normaltextrun"/>
          <w:rFonts w:ascii="Verdana" w:hAnsi="Verdana" w:cs="Arial"/>
          <w:color w:val="FF0000"/>
          <w:shd w:val="clear" w:color="auto" w:fill="FFFFFF"/>
          <w:lang w:val="es-ES"/>
        </w:rPr>
        <w:t xml:space="preserve">. </w:t>
      </w:r>
    </w:p>
    <w:p w14:paraId="7F5A82C4" w14:textId="77777777" w:rsidR="00AF2C34" w:rsidRDefault="00AF2C34" w:rsidP="00AF2C34">
      <w:pPr>
        <w:spacing w:after="0" w:line="276" w:lineRule="auto"/>
        <w:jc w:val="both"/>
        <w:rPr>
          <w:rFonts w:ascii="Verdana" w:hAnsi="Verdana"/>
        </w:rPr>
      </w:pPr>
    </w:p>
    <w:p w14:paraId="4E57979B" w14:textId="77777777" w:rsidR="00AF2C34" w:rsidRDefault="00AF2C34" w:rsidP="00AF2C34">
      <w:pPr>
        <w:spacing w:after="0" w:line="276" w:lineRule="auto"/>
        <w:jc w:val="both"/>
        <w:rPr>
          <w:rFonts w:ascii="Verdana" w:hAnsi="Verdana"/>
        </w:rPr>
      </w:pPr>
      <w:r>
        <w:rPr>
          <w:rFonts w:ascii="Verdana" w:hAnsi="Verdana"/>
        </w:rPr>
        <w:t xml:space="preserve">Por último, lo invitamos a seguirnos en las redes sociales en las cuales se difunde información institucional: </w:t>
      </w:r>
    </w:p>
    <w:p w14:paraId="115FFFA3" w14:textId="77777777" w:rsidR="00AF2C34" w:rsidRDefault="00AF2C34" w:rsidP="00AF2C34">
      <w:pPr>
        <w:spacing w:after="0" w:line="276" w:lineRule="auto"/>
        <w:jc w:val="both"/>
        <w:rPr>
          <w:rFonts w:ascii="Verdana" w:hAnsi="Verdana"/>
        </w:rPr>
      </w:pPr>
    </w:p>
    <w:p w14:paraId="2ADEBA07" w14:textId="77777777" w:rsidR="00AF2C34" w:rsidRDefault="00AF2C34" w:rsidP="00AF2C34">
      <w:pPr>
        <w:spacing w:after="0" w:line="276" w:lineRule="auto"/>
        <w:jc w:val="both"/>
        <w:rPr>
          <w:rFonts w:ascii="Verdana" w:hAnsi="Verdana"/>
        </w:rPr>
      </w:pPr>
      <w:r>
        <w:rPr>
          <w:rFonts w:ascii="Verdana" w:hAnsi="Verdana"/>
        </w:rPr>
        <w:t xml:space="preserve">Twitter: </w:t>
      </w:r>
      <w:r>
        <w:rPr>
          <w:rStyle w:val="Hipervnculo"/>
          <w:rFonts w:ascii="Verdana" w:hAnsi="Verdana"/>
          <w:color w:val="4472C4" w:themeColor="accent1"/>
        </w:rPr>
        <w:t>@colombiacompra</w:t>
      </w:r>
      <w:r>
        <w:rPr>
          <w:rFonts w:ascii="Verdana" w:hAnsi="Verdana"/>
          <w:color w:val="4472C4" w:themeColor="accent1"/>
        </w:rPr>
        <w:t xml:space="preserve"> </w:t>
      </w:r>
    </w:p>
    <w:p w14:paraId="3D935FA8" w14:textId="77777777" w:rsidR="00AF2C34" w:rsidRDefault="00AF2C34" w:rsidP="00AF2C34">
      <w:pPr>
        <w:spacing w:after="0" w:line="276" w:lineRule="auto"/>
        <w:jc w:val="both"/>
        <w:rPr>
          <w:rFonts w:ascii="Verdana" w:hAnsi="Verdana"/>
        </w:rPr>
      </w:pPr>
      <w:r>
        <w:rPr>
          <w:rFonts w:ascii="Verdana" w:hAnsi="Verdana"/>
        </w:rPr>
        <w:t xml:space="preserve">Facebook: </w:t>
      </w:r>
      <w:r>
        <w:rPr>
          <w:rStyle w:val="Hipervnculo"/>
          <w:rFonts w:ascii="Verdana" w:hAnsi="Verdana"/>
          <w:color w:val="4472C4" w:themeColor="accent1"/>
        </w:rPr>
        <w:t>ColombiaCompraEficiente</w:t>
      </w:r>
    </w:p>
    <w:p w14:paraId="59C983F3" w14:textId="77777777" w:rsidR="00AF2C34" w:rsidRDefault="00AF2C34" w:rsidP="00AF2C34">
      <w:pPr>
        <w:spacing w:after="0" w:line="276" w:lineRule="auto"/>
        <w:jc w:val="both"/>
        <w:rPr>
          <w:rFonts w:ascii="Verdana" w:hAnsi="Verdana"/>
        </w:rPr>
      </w:pPr>
      <w:r>
        <w:rPr>
          <w:rFonts w:ascii="Verdana" w:hAnsi="Verdana"/>
        </w:rPr>
        <w:t xml:space="preserve">LinkedIn: </w:t>
      </w:r>
      <w:r>
        <w:rPr>
          <w:rStyle w:val="Hipervnculo"/>
          <w:rFonts w:ascii="Verdana" w:hAnsi="Verdana"/>
          <w:color w:val="4472C4" w:themeColor="accent1"/>
        </w:rPr>
        <w:t>Agencia Nacional de Contratación Pública - Colombia Compra Eficiente</w:t>
      </w:r>
      <w:r>
        <w:rPr>
          <w:rFonts w:ascii="Verdana" w:hAnsi="Verdana"/>
          <w:color w:val="4472C4" w:themeColor="accent1"/>
        </w:rPr>
        <w:t xml:space="preserve"> </w:t>
      </w:r>
      <w:r>
        <w:rPr>
          <w:rFonts w:ascii="Verdana" w:hAnsi="Verdana"/>
        </w:rPr>
        <w:t xml:space="preserve">Instagram: </w:t>
      </w:r>
      <w:r>
        <w:rPr>
          <w:rStyle w:val="Hipervnculo"/>
          <w:rFonts w:ascii="Verdana" w:hAnsi="Verdana"/>
          <w:color w:val="4472C4" w:themeColor="accent1"/>
        </w:rPr>
        <w:t>@colombiacompraeficiente_cce</w:t>
      </w:r>
    </w:p>
    <w:p w14:paraId="22D7EBE7" w14:textId="77777777" w:rsidR="00AF2C34" w:rsidRDefault="00AF2C34" w:rsidP="00AF2C34">
      <w:pPr>
        <w:widowControl w:val="0"/>
        <w:autoSpaceDE w:val="0"/>
        <w:autoSpaceDN w:val="0"/>
        <w:spacing w:after="0" w:line="276" w:lineRule="auto"/>
        <w:jc w:val="both"/>
        <w:rPr>
          <w:rFonts w:ascii="Verdana" w:hAnsi="Verdana" w:cs="Arial"/>
        </w:rPr>
      </w:pPr>
    </w:p>
    <w:p w14:paraId="5081C29A" w14:textId="77777777" w:rsidR="00AF2C34" w:rsidRDefault="00AF2C34" w:rsidP="00AF2C34">
      <w:pPr>
        <w:widowControl w:val="0"/>
        <w:autoSpaceDE w:val="0"/>
        <w:autoSpaceDN w:val="0"/>
        <w:spacing w:after="0" w:line="276" w:lineRule="auto"/>
        <w:jc w:val="both"/>
        <w:rPr>
          <w:rFonts w:ascii="Verdana" w:hAnsi="Verdana" w:cs="Arial"/>
          <w:lang w:val="es-ES_tradnl"/>
        </w:rPr>
      </w:pPr>
      <w:r>
        <w:rPr>
          <w:rFonts w:ascii="Verdana" w:hAnsi="Verdana" w:cs="Arial"/>
        </w:rPr>
        <w:t xml:space="preserve">Este concepto tiene el alcance previsto en el artículo 28 del Código de Procedimiento Administrativo y de lo Contencioso Administrativo </w:t>
      </w:r>
      <w:r>
        <w:rPr>
          <w:rFonts w:ascii="Verdana" w:hAnsi="Verdana" w:cs="Arial"/>
          <w:lang w:val="es-ES_tradnl"/>
        </w:rPr>
        <w:t>y las expresiones aquí utilizadas con mayúscula inicial deben ser entendidas con el significado que les otorga el artículo 2.2.1.1.1.3.1. del Decreto 1082 de 2015.</w:t>
      </w:r>
    </w:p>
    <w:p w14:paraId="1D1364F1" w14:textId="77777777" w:rsidR="00AF2C34" w:rsidRDefault="00AF2C34" w:rsidP="00AF2C34">
      <w:pPr>
        <w:widowControl w:val="0"/>
        <w:autoSpaceDE w:val="0"/>
        <w:autoSpaceDN w:val="0"/>
        <w:spacing w:after="0" w:line="276" w:lineRule="auto"/>
        <w:jc w:val="both"/>
        <w:rPr>
          <w:rFonts w:ascii="Verdana" w:hAnsi="Verdana" w:cs="Arial"/>
        </w:rPr>
      </w:pPr>
    </w:p>
    <w:p w14:paraId="0C14209C" w14:textId="77777777" w:rsidR="00AF2C34" w:rsidRDefault="00AF2C34" w:rsidP="00AF2C34">
      <w:pPr>
        <w:spacing w:after="0" w:line="276" w:lineRule="auto"/>
        <w:rPr>
          <w:rFonts w:ascii="Verdana" w:hAnsi="Verdana" w:cs="Arial"/>
          <w:lang w:eastAsia="es-CO"/>
        </w:rPr>
      </w:pPr>
      <w:r>
        <w:rPr>
          <w:rFonts w:ascii="Verdana" w:eastAsia="Times New Roman" w:hAnsi="Verdana" w:cs="Arial"/>
          <w:lang w:eastAsia="es-CO"/>
        </w:rPr>
        <w:t>Atentamente,</w:t>
      </w:r>
      <w:r>
        <w:rPr>
          <w:rFonts w:ascii="Verdana" w:hAnsi="Verdana" w:cs="Arial"/>
          <w:lang w:eastAsia="es-CO"/>
        </w:rPr>
        <w:t xml:space="preserve"> </w:t>
      </w:r>
    </w:p>
    <w:p w14:paraId="7B33B6D7" w14:textId="21556AD0" w:rsidR="00AF2C34" w:rsidRDefault="00951571" w:rsidP="00AF2C34">
      <w:pPr>
        <w:spacing w:after="0" w:line="276" w:lineRule="auto"/>
        <w:jc w:val="center"/>
      </w:pPr>
      <w:r>
        <w:rPr>
          <w:noProof/>
        </w:rPr>
        <w:drawing>
          <wp:inline distT="0" distB="0" distL="0" distR="0" wp14:anchorId="64EF7EA2" wp14:editId="52D9FB38">
            <wp:extent cx="3768725" cy="1399540"/>
            <wp:effectExtent l="0" t="0" r="3175" b="0"/>
            <wp:docPr id="3" name="Imagen 3"/>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768725" cy="1399540"/>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F2C34" w14:paraId="75F0C8C9" w14:textId="77777777" w:rsidTr="00AD6299">
        <w:trPr>
          <w:trHeight w:val="315"/>
        </w:trPr>
        <w:tc>
          <w:tcPr>
            <w:tcW w:w="893" w:type="dxa"/>
            <w:vAlign w:val="center"/>
            <w:hideMark/>
          </w:tcPr>
          <w:p w14:paraId="09FA62D3" w14:textId="77777777" w:rsidR="00AF2C34" w:rsidRDefault="00AF2C34" w:rsidP="00AD6299">
            <w:pPr>
              <w:spacing w:after="255"/>
              <w:contextualSpacing/>
              <w:rPr>
                <w:rFonts w:ascii="Verdana" w:hAnsi="Verdana" w:cs="Arial"/>
                <w:sz w:val="16"/>
                <w:szCs w:val="16"/>
                <w:lang w:val="es-ES" w:eastAsia="es-ES"/>
              </w:rPr>
            </w:pPr>
            <w:r>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5ADF0EC" w14:textId="77777777" w:rsidR="00AF2C34" w:rsidRDefault="00AF2C34" w:rsidP="00AD6299">
            <w:pPr>
              <w:spacing w:after="255"/>
              <w:contextualSpacing/>
              <w:rPr>
                <w:rFonts w:ascii="Verdana" w:eastAsia="Arial" w:hAnsi="Verdana" w:cs="Arial"/>
                <w:sz w:val="16"/>
                <w:szCs w:val="16"/>
              </w:rPr>
            </w:pPr>
            <w:r>
              <w:rPr>
                <w:rStyle w:val="normaltextrun"/>
                <w:rFonts w:ascii="Verdana" w:hAnsi="Verdana"/>
                <w:sz w:val="16"/>
                <w:szCs w:val="16"/>
              </w:rPr>
              <w:t>Catalina Cubides Estupiñan</w:t>
            </w:r>
          </w:p>
          <w:p w14:paraId="5D007762" w14:textId="77777777" w:rsidR="00AF2C34" w:rsidRDefault="00AF2C34" w:rsidP="00AD6299">
            <w:pPr>
              <w:spacing w:after="255"/>
              <w:contextualSpacing/>
              <w:rPr>
                <w:rFonts w:ascii="Verdana" w:eastAsia="Arial" w:hAnsi="Verdana" w:cs="Arial"/>
                <w:sz w:val="16"/>
                <w:szCs w:val="16"/>
              </w:rPr>
            </w:pPr>
            <w:r>
              <w:rPr>
                <w:rStyle w:val="normaltextrun"/>
                <w:rFonts w:ascii="Verdana" w:eastAsia="Arial" w:hAnsi="Verdana" w:cs="Arial"/>
                <w:sz w:val="16"/>
                <w:szCs w:val="16"/>
              </w:rPr>
              <w:t>C</w:t>
            </w:r>
            <w:r>
              <w:rPr>
                <w:rStyle w:val="normaltextrun"/>
                <w:rFonts w:ascii="Verdana" w:eastAsia="Arial" w:hAnsi="Verdana"/>
                <w:sz w:val="16"/>
                <w:szCs w:val="16"/>
              </w:rPr>
              <w:t>ontratista d</w:t>
            </w:r>
            <w:r>
              <w:rPr>
                <w:rStyle w:val="normaltextrun"/>
                <w:rFonts w:ascii="Verdana" w:eastAsia="Arial" w:hAnsi="Verdana" w:cs="Arial"/>
                <w:sz w:val="16"/>
                <w:szCs w:val="16"/>
              </w:rPr>
              <w:t>e la Subdirección de Gestión Contractual</w:t>
            </w:r>
          </w:p>
        </w:tc>
      </w:tr>
      <w:tr w:rsidR="00AF2C34" w14:paraId="27FEF181" w14:textId="77777777" w:rsidTr="00AD6299">
        <w:trPr>
          <w:trHeight w:val="330"/>
        </w:trPr>
        <w:tc>
          <w:tcPr>
            <w:tcW w:w="893" w:type="dxa"/>
            <w:vAlign w:val="center"/>
            <w:hideMark/>
          </w:tcPr>
          <w:p w14:paraId="3153AD39" w14:textId="77777777" w:rsidR="00AF2C34" w:rsidRDefault="00AF2C34" w:rsidP="00AD6299">
            <w:pPr>
              <w:spacing w:after="255"/>
              <w:contextualSpacing/>
              <w:rPr>
                <w:rFonts w:ascii="Verdana" w:hAnsi="Verdana" w:cs="Arial"/>
                <w:sz w:val="16"/>
                <w:szCs w:val="16"/>
                <w:lang w:val="es-ES" w:eastAsia="es-ES"/>
              </w:rPr>
            </w:pPr>
            <w:r>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2293441" w14:textId="77777777" w:rsidR="00AF2C34" w:rsidRDefault="00AF2C34" w:rsidP="00AD6299">
            <w:pPr>
              <w:pStyle w:val="paragraph"/>
              <w:spacing w:before="0" w:beforeAutospacing="0" w:after="0" w:afterAutospacing="0"/>
              <w:contextualSpacing/>
              <w:textAlignment w:val="baseline"/>
              <w:rPr>
                <w:rFonts w:ascii="Verdana" w:hAnsi="Verdana" w:cs="Segoe UI"/>
                <w:sz w:val="16"/>
                <w:szCs w:val="16"/>
                <w:lang w:eastAsia="es-ES_tradnl"/>
              </w:rPr>
            </w:pPr>
            <w:r>
              <w:rPr>
                <w:rFonts w:ascii="Verdana" w:hAnsi="Verdana" w:cs="Segoe UI"/>
                <w:sz w:val="16"/>
                <w:szCs w:val="16"/>
              </w:rPr>
              <w:t>Juan Carlos González Vasquez</w:t>
            </w:r>
          </w:p>
          <w:p w14:paraId="31C68592" w14:textId="77777777" w:rsidR="00AF2C34" w:rsidRDefault="00AF2C34" w:rsidP="00AD6299">
            <w:pPr>
              <w:pStyle w:val="paragraph"/>
              <w:spacing w:before="0" w:beforeAutospacing="0" w:after="0" w:afterAutospacing="0"/>
              <w:contextualSpacing/>
              <w:textAlignment w:val="baseline"/>
              <w:rPr>
                <w:rFonts w:ascii="Verdana" w:hAnsi="Verdana" w:cs="Segoe UI"/>
                <w:sz w:val="16"/>
                <w:szCs w:val="16"/>
              </w:rPr>
            </w:pPr>
            <w:r>
              <w:rPr>
                <w:rStyle w:val="normaltextrun"/>
                <w:rFonts w:ascii="Verdana" w:hAnsi="Verdana" w:cs="Arial"/>
                <w:sz w:val="16"/>
                <w:szCs w:val="16"/>
                <w:lang w:val="es-ES"/>
              </w:rPr>
              <w:t>Contratista de la Subdirección de Gestión Contractual</w:t>
            </w:r>
            <w:r>
              <w:rPr>
                <w:rStyle w:val="eop"/>
                <w:rFonts w:ascii="Verdana" w:hAnsi="Verdana" w:cs="Arial"/>
                <w:sz w:val="16"/>
                <w:szCs w:val="16"/>
              </w:rPr>
              <w:t> </w:t>
            </w:r>
          </w:p>
        </w:tc>
      </w:tr>
      <w:tr w:rsidR="00AF2C34" w14:paraId="4CCF465F" w14:textId="77777777" w:rsidTr="00AD6299">
        <w:trPr>
          <w:trHeight w:val="300"/>
        </w:trPr>
        <w:tc>
          <w:tcPr>
            <w:tcW w:w="893" w:type="dxa"/>
            <w:vAlign w:val="center"/>
            <w:hideMark/>
          </w:tcPr>
          <w:p w14:paraId="7A83B5EE" w14:textId="77777777" w:rsidR="00AF2C34" w:rsidRDefault="00AF2C34" w:rsidP="00AD6299">
            <w:pPr>
              <w:spacing w:after="255"/>
              <w:contextualSpacing/>
              <w:rPr>
                <w:rFonts w:ascii="Verdana" w:hAnsi="Verdana" w:cs="Arial"/>
                <w:sz w:val="16"/>
                <w:szCs w:val="16"/>
                <w:lang w:val="es-ES" w:eastAsia="es-ES"/>
              </w:rPr>
            </w:pPr>
            <w:r>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9E76406" w14:textId="77777777" w:rsidR="00AF2C34" w:rsidRDefault="00AF2C34" w:rsidP="00AD6299">
            <w:pPr>
              <w:spacing w:after="255"/>
              <w:contextualSpacing/>
              <w:rPr>
                <w:rFonts w:ascii="Verdana" w:eastAsia="Calibri" w:hAnsi="Verdana" w:cs="Arial"/>
                <w:sz w:val="16"/>
                <w:szCs w:val="16"/>
                <w:lang w:val="pt-BR" w:eastAsia="es-ES"/>
              </w:rPr>
            </w:pPr>
            <w:r>
              <w:rPr>
                <w:rFonts w:ascii="Verdana" w:eastAsia="Calibri" w:hAnsi="Verdana" w:cs="Arial"/>
                <w:sz w:val="16"/>
                <w:szCs w:val="16"/>
                <w:lang w:val="pt-BR" w:eastAsia="es-ES"/>
              </w:rPr>
              <w:t>Carolina Quintero Gacharná</w:t>
            </w:r>
          </w:p>
          <w:p w14:paraId="2CF4F7B3" w14:textId="77777777" w:rsidR="00AF2C34" w:rsidRDefault="00AF2C34" w:rsidP="00AD6299">
            <w:pPr>
              <w:spacing w:after="255"/>
              <w:contextualSpacing/>
              <w:rPr>
                <w:rFonts w:ascii="Verdana" w:eastAsia="Calibri" w:hAnsi="Verdana" w:cs="Arial"/>
                <w:sz w:val="16"/>
                <w:szCs w:val="16"/>
                <w:lang w:val="pt-BR" w:eastAsia="es-ES"/>
              </w:rPr>
            </w:pPr>
            <w:r>
              <w:rPr>
                <w:rFonts w:ascii="Verdana" w:eastAsia="Calibri" w:hAnsi="Verdana" w:cs="Arial"/>
                <w:sz w:val="16"/>
                <w:szCs w:val="16"/>
                <w:lang w:eastAsia="es-ES"/>
              </w:rPr>
              <w:t>Subdirectora</w:t>
            </w:r>
            <w:r>
              <w:rPr>
                <w:rFonts w:ascii="Verdana" w:eastAsia="Calibri" w:hAnsi="Verdana" w:cs="Arial"/>
                <w:sz w:val="16"/>
                <w:szCs w:val="16"/>
                <w:lang w:val="pt-BR" w:eastAsia="es-ES"/>
              </w:rPr>
              <w:t xml:space="preserve"> de Gestión Contractual ANCP – CCE </w:t>
            </w:r>
          </w:p>
        </w:tc>
      </w:tr>
    </w:tbl>
    <w:p w14:paraId="46CB9B21" w14:textId="77777777" w:rsidR="00AF2C34" w:rsidRPr="001249F1" w:rsidRDefault="00AF2C34" w:rsidP="00AF2C34"/>
    <w:p w14:paraId="0C0B1B0E" w14:textId="77777777" w:rsidR="00AF2C34" w:rsidRPr="0044528D" w:rsidRDefault="00AF2C34" w:rsidP="00AF2C34">
      <w:pPr>
        <w:spacing w:after="0"/>
        <w:rPr>
          <w:rFonts w:ascii="Verdana" w:eastAsia="Times New Roman" w:hAnsi="Verdana" w:cs="Segoe UI"/>
          <w:b/>
          <w:bCs/>
          <w:color w:val="46589C"/>
          <w:lang w:val="es-ES" w:eastAsia="es-CO"/>
        </w:rPr>
      </w:pPr>
    </w:p>
    <w:p w14:paraId="2119A84D" w14:textId="77777777" w:rsidR="00AF2C34" w:rsidRPr="00046945" w:rsidRDefault="00AF2C34" w:rsidP="00AF2C34">
      <w:pPr>
        <w:spacing w:after="0"/>
        <w:rPr>
          <w:rFonts w:ascii="Verdana" w:eastAsia="Times New Roman" w:hAnsi="Verdana" w:cs="Segoe UI"/>
          <w:sz w:val="18"/>
          <w:szCs w:val="18"/>
          <w:lang w:eastAsia="es-CO"/>
        </w:rPr>
      </w:pPr>
    </w:p>
    <w:p w14:paraId="705A5EFF" w14:textId="77777777" w:rsidR="00AF2C34" w:rsidRPr="0044528D" w:rsidRDefault="00AF2C34" w:rsidP="00AF2C34">
      <w:pPr>
        <w:spacing w:after="0"/>
        <w:rPr>
          <w:rFonts w:ascii="Verdana" w:hAnsi="Verdana"/>
        </w:rPr>
      </w:pPr>
    </w:p>
    <w:p w14:paraId="55FB5259" w14:textId="77777777" w:rsidR="00AF2C34" w:rsidRPr="0015699B" w:rsidRDefault="00AF2C34" w:rsidP="00AF2C34">
      <w:pPr>
        <w:spacing w:after="0"/>
        <w:rPr>
          <w:rFonts w:ascii="Verdana" w:eastAsia="Times New Roman" w:hAnsi="Verdana" w:cs="Segoe UI"/>
          <w:lang w:eastAsia="es-CO"/>
        </w:rPr>
      </w:pPr>
    </w:p>
    <w:p w14:paraId="259307F6" w14:textId="77777777" w:rsidR="00AF2C34" w:rsidRPr="0015699B" w:rsidRDefault="00AF2C34" w:rsidP="00AF2C34">
      <w:pPr>
        <w:spacing w:after="0"/>
        <w:rPr>
          <w:rFonts w:ascii="Verdana" w:eastAsia="Times New Roman" w:hAnsi="Verdana" w:cs="Segoe UI"/>
          <w:lang w:eastAsia="es-CO"/>
        </w:rPr>
      </w:pPr>
    </w:p>
    <w:bookmarkEnd w:id="0"/>
    <w:p w14:paraId="12443EE0" w14:textId="77777777" w:rsidR="00C15139" w:rsidRPr="0024624F" w:rsidRDefault="00C15139" w:rsidP="00C15139">
      <w:pPr>
        <w:spacing w:after="0"/>
        <w:rPr>
          <w:rFonts w:ascii="Verdana" w:hAnsi="Verdana"/>
        </w:rPr>
      </w:pPr>
    </w:p>
    <w:sectPr w:rsidR="00C15139" w:rsidRPr="0024624F"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533F4D" w14:textId="77777777" w:rsidR="006A1982" w:rsidRDefault="006A1982" w:rsidP="004A1847">
      <w:pPr>
        <w:spacing w:after="0" w:line="240" w:lineRule="auto"/>
      </w:pPr>
      <w:r>
        <w:separator/>
      </w:r>
    </w:p>
  </w:endnote>
  <w:endnote w:type="continuationSeparator" w:id="0">
    <w:p w14:paraId="50E7B5C8" w14:textId="77777777" w:rsidR="006A1982" w:rsidRDefault="006A1982" w:rsidP="004A1847">
      <w:pPr>
        <w:spacing w:after="0" w:line="240" w:lineRule="auto"/>
      </w:pPr>
      <w:r>
        <w:continuationSeparator/>
      </w:r>
    </w:p>
  </w:endnote>
  <w:endnote w:type="continuationNotice" w:id="1">
    <w:p w14:paraId="784E0AF3" w14:textId="77777777" w:rsidR="006A1982" w:rsidRDefault="006A198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CDHEE+Verdana">
    <w:altName w:val="Verdana"/>
    <w:panose1 w:val="00000000000000000000"/>
    <w:charset w:val="00"/>
    <w:family w:val="swiss"/>
    <w:notTrueType/>
    <w:pitch w:val="default"/>
    <w:sig w:usb0="00000003" w:usb1="00000000" w:usb2="00000000" w:usb3="00000000" w:csb0="00000001"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MT">
    <w:altName w:val="Arial"/>
    <w:panose1 w:val="00000000000000000000"/>
    <w:charset w:val="00"/>
    <w:family w:val="auto"/>
    <w:notTrueType/>
    <w:pitch w:val="default"/>
    <w:sig w:usb0="00000003" w:usb1="00000000" w:usb2="00000000" w:usb3="00000000" w:csb0="00000001"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Open Sans">
    <w:charset w:val="00"/>
    <w:family w:val="swiss"/>
    <w:pitch w:val="variable"/>
    <w:sig w:usb0="E00002EF" w:usb1="4000205B" w:usb2="00000028"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76799C" w14:textId="77777777" w:rsidR="006A1982" w:rsidRDefault="006A1982" w:rsidP="004A1847">
      <w:pPr>
        <w:spacing w:after="0" w:line="240" w:lineRule="auto"/>
      </w:pPr>
      <w:r>
        <w:separator/>
      </w:r>
    </w:p>
  </w:footnote>
  <w:footnote w:type="continuationSeparator" w:id="0">
    <w:p w14:paraId="349596DF" w14:textId="77777777" w:rsidR="006A1982" w:rsidRDefault="006A1982" w:rsidP="004A1847">
      <w:pPr>
        <w:spacing w:after="0" w:line="240" w:lineRule="auto"/>
      </w:pPr>
      <w:r>
        <w:continuationSeparator/>
      </w:r>
    </w:p>
  </w:footnote>
  <w:footnote w:type="continuationNotice" w:id="1">
    <w:p w14:paraId="7D72C949" w14:textId="77777777" w:rsidR="006A1982" w:rsidRDefault="006A1982">
      <w:pPr>
        <w:spacing w:after="0" w:line="240" w:lineRule="auto"/>
      </w:pPr>
    </w:p>
  </w:footnote>
  <w:footnote w:id="2">
    <w:p w14:paraId="2F150C84" w14:textId="77777777" w:rsidR="00AF2C34" w:rsidRPr="007E311B" w:rsidRDefault="00AF2C34" w:rsidP="00AF2C34">
      <w:pPr>
        <w:pStyle w:val="Textonotapie"/>
        <w:rPr>
          <w:lang w:val="es-ES"/>
        </w:rPr>
      </w:pPr>
      <w:r>
        <w:rPr>
          <w:rStyle w:val="Refdenotaalpie"/>
        </w:rPr>
        <w:footnoteRef/>
      </w:r>
      <w:r>
        <w:t xml:space="preserve"> </w:t>
      </w:r>
      <w:r>
        <w:rPr>
          <w:lang w:val="es-ES"/>
        </w:rPr>
        <w:t>CORTE CONSTITUCIONAL. Sentencia C-671 de 1999. Magistrado Ponente: Alfredo Beltrán Sierra.</w:t>
      </w:r>
    </w:p>
  </w:footnote>
  <w:footnote w:id="3">
    <w:p w14:paraId="558DF686" w14:textId="77777777" w:rsidR="00AF2C34" w:rsidRPr="007E311B" w:rsidRDefault="00AF2C34" w:rsidP="00AF2C34">
      <w:pPr>
        <w:pStyle w:val="Textonotapie"/>
        <w:rPr>
          <w:lang w:val="es-ES"/>
        </w:rPr>
      </w:pPr>
      <w:r>
        <w:rPr>
          <w:rStyle w:val="Refdenotaalpie"/>
        </w:rPr>
        <w:footnoteRef/>
      </w:r>
      <w:r>
        <w:t xml:space="preserve"> </w:t>
      </w:r>
      <w:r>
        <w:rPr>
          <w:lang w:val="es-ES"/>
        </w:rPr>
        <w:t>CORTE CONSTITUCIONAL. Sentencia C-617 de 2012. Magistrado Ponente: Luis Ernesto Vargas Silva.</w:t>
      </w:r>
    </w:p>
  </w:footnote>
  <w:footnote w:id="4">
    <w:p w14:paraId="423752F6" w14:textId="77777777" w:rsidR="00AF2C34" w:rsidRPr="00652E52" w:rsidRDefault="00AF2C34" w:rsidP="00AF2C34">
      <w:pPr>
        <w:pStyle w:val="Textonotapie"/>
        <w:ind w:firstLine="709"/>
        <w:jc w:val="both"/>
        <w:rPr>
          <w:rFonts w:ascii="Verdana" w:hAnsi="Verdana" w:cs="Arial"/>
          <w:iCs/>
          <w:color w:val="000000" w:themeColor="text1"/>
          <w:sz w:val="12"/>
          <w:szCs w:val="12"/>
        </w:rPr>
      </w:pPr>
      <w:r w:rsidRPr="00652E52">
        <w:rPr>
          <w:rStyle w:val="Refdenotaalpie"/>
          <w:rFonts w:ascii="Verdana" w:hAnsi="Verdana" w:cs="Arial"/>
          <w:color w:val="000000" w:themeColor="text1"/>
          <w:sz w:val="12"/>
          <w:szCs w:val="12"/>
        </w:rPr>
        <w:footnoteRef/>
      </w:r>
      <w:r w:rsidRPr="00652E52">
        <w:rPr>
          <w:rFonts w:ascii="Verdana" w:hAnsi="Verdana" w:cs="Arial"/>
          <w:iCs/>
          <w:color w:val="000000" w:themeColor="text1"/>
          <w:sz w:val="12"/>
          <w:szCs w:val="12"/>
        </w:rPr>
        <w:t xml:space="preserve"> Definición legal que hoy puede encontrarse en el artículo 3 del CPACA.</w:t>
      </w:r>
    </w:p>
    <w:p w14:paraId="5F7690DD" w14:textId="77777777" w:rsidR="00AF2C34" w:rsidRPr="00652E52" w:rsidRDefault="00AF2C34" w:rsidP="00AF2C34">
      <w:pPr>
        <w:pStyle w:val="Textonotapie"/>
        <w:ind w:firstLine="709"/>
        <w:jc w:val="both"/>
        <w:rPr>
          <w:rFonts w:ascii="Verdana" w:hAnsi="Verdana" w:cs="Arial"/>
          <w:iCs/>
          <w:color w:val="000000" w:themeColor="text1"/>
          <w:sz w:val="12"/>
          <w:szCs w:val="12"/>
        </w:rPr>
      </w:pPr>
    </w:p>
  </w:footnote>
  <w:footnote w:id="5">
    <w:p w14:paraId="62A064E5" w14:textId="77777777" w:rsidR="00AF2C34" w:rsidRPr="00652E52" w:rsidRDefault="00AF2C34" w:rsidP="00AF2C34">
      <w:pPr>
        <w:pStyle w:val="Textonotapie"/>
        <w:ind w:firstLine="709"/>
        <w:jc w:val="both"/>
        <w:rPr>
          <w:rFonts w:ascii="Verdana" w:hAnsi="Verdana" w:cs="Arial"/>
          <w:color w:val="000000" w:themeColor="text1"/>
          <w:sz w:val="12"/>
          <w:szCs w:val="12"/>
        </w:rPr>
      </w:pPr>
      <w:r w:rsidRPr="00652E52">
        <w:rPr>
          <w:rStyle w:val="Refdenotaalpie"/>
          <w:rFonts w:ascii="Verdana" w:hAnsi="Verdana" w:cs="Arial"/>
          <w:color w:val="000000" w:themeColor="text1"/>
          <w:sz w:val="12"/>
          <w:szCs w:val="12"/>
        </w:rPr>
        <w:footnoteRef/>
      </w:r>
      <w:r w:rsidRPr="00652E52">
        <w:rPr>
          <w:rFonts w:ascii="Verdana" w:hAnsi="Verdana" w:cs="Arial"/>
          <w:color w:val="000000" w:themeColor="text1"/>
          <w:sz w:val="12"/>
          <w:szCs w:val="12"/>
        </w:rPr>
        <w:t xml:space="preserve"> “Artículo 13. Principios generales de la actividad contractual para entidades no sometidas al Estatuto General de Contratación de la Administración Pública.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p>
    <w:p w14:paraId="3E4B93A3" w14:textId="77777777" w:rsidR="00AF2C34" w:rsidRPr="00652E52" w:rsidRDefault="00AF2C34" w:rsidP="00AF2C34">
      <w:pPr>
        <w:pStyle w:val="Textonotapie"/>
        <w:ind w:firstLine="709"/>
        <w:jc w:val="both"/>
        <w:rPr>
          <w:rFonts w:ascii="Verdana" w:hAnsi="Verdana" w:cs="Arial"/>
          <w:color w:val="000000" w:themeColor="text1"/>
          <w:sz w:val="12"/>
          <w:szCs w:val="12"/>
          <w:lang w:val="es-CO"/>
        </w:rPr>
      </w:pPr>
    </w:p>
  </w:footnote>
  <w:footnote w:id="6">
    <w:p w14:paraId="746BA403" w14:textId="77777777" w:rsidR="00AF2C34" w:rsidRPr="00FB3DC8" w:rsidRDefault="00AF2C34" w:rsidP="00AF2C34">
      <w:pPr>
        <w:ind w:firstLine="708"/>
        <w:jc w:val="both"/>
        <w:rPr>
          <w:rFonts w:ascii="Verdana" w:hAnsi="Verdana" w:cs="Arial"/>
          <w:sz w:val="16"/>
          <w:szCs w:val="16"/>
        </w:rPr>
      </w:pPr>
      <w:r w:rsidRPr="00FB3DC8">
        <w:rPr>
          <w:rStyle w:val="Refdenotaalpie"/>
          <w:rFonts w:ascii="Verdana" w:hAnsi="Verdana" w:cs="Arial"/>
          <w:sz w:val="16"/>
          <w:szCs w:val="16"/>
        </w:rPr>
        <w:footnoteRef/>
      </w:r>
      <w:bookmarkStart w:id="2" w:name="37"/>
      <w:r w:rsidRPr="00FB3DC8">
        <w:rPr>
          <w:rFonts w:ascii="Verdana" w:hAnsi="Verdana" w:cs="Arial"/>
          <w:sz w:val="16"/>
          <w:szCs w:val="16"/>
        </w:rPr>
        <w:t xml:space="preserve"> “</w:t>
      </w:r>
      <w:r w:rsidRPr="00FB3DC8">
        <w:rPr>
          <w:rFonts w:ascii="Verdana" w:hAnsi="Verdana" w:cs="Arial"/>
          <w:bCs/>
          <w:sz w:val="16"/>
          <w:szCs w:val="16"/>
        </w:rPr>
        <w:t>Artículo 37. ejecución de proyectos de inversión.</w:t>
      </w:r>
      <w:bookmarkEnd w:id="2"/>
      <w:r w:rsidRPr="00FB3DC8">
        <w:rPr>
          <w:rFonts w:ascii="Verdana" w:hAnsi="Verdana" w:cs="Arial"/>
          <w:sz w:val="16"/>
          <w:szCs w:val="16"/>
        </w:rPr>
        <w:t> los proyectos de inversión que se financien con cargo al sistema general de regalías serán ejecutados por quien designe las entidades u órganos de que tratan los artículos </w:t>
      </w:r>
      <w:hyperlink r:id="rId1" w:anchor="35" w:history="1">
        <w:r w:rsidRPr="00FB3DC8">
          <w:rPr>
            <w:rFonts w:ascii="Verdana" w:hAnsi="Verdana" w:cs="Arial"/>
            <w:sz w:val="16"/>
            <w:szCs w:val="16"/>
          </w:rPr>
          <w:t>35</w:t>
        </w:r>
      </w:hyperlink>
      <w:r w:rsidRPr="00FB3DC8">
        <w:rPr>
          <w:rFonts w:ascii="Verdana" w:hAnsi="Verdana" w:cs="Arial"/>
          <w:sz w:val="16"/>
          <w:szCs w:val="16"/>
        </w:rPr>
        <w:t> y </w:t>
      </w:r>
      <w:hyperlink r:id="rId2" w:anchor="36" w:history="1">
        <w:r w:rsidRPr="00FB3DC8">
          <w:rPr>
            <w:rFonts w:ascii="Verdana" w:hAnsi="Verdana" w:cs="Arial"/>
            <w:sz w:val="16"/>
            <w:szCs w:val="16"/>
          </w:rPr>
          <w:t>36</w:t>
        </w:r>
      </w:hyperlink>
      <w:r w:rsidRPr="00FB3DC8">
        <w:rPr>
          <w:rFonts w:ascii="Verdana" w:hAnsi="Verdana" w:cs="Arial"/>
          <w:sz w:val="16"/>
          <w:szCs w:val="16"/>
        </w:rPr>
        <w:t> de la presente ley. así mismo, la entidad ejecutora estará a cargo de la contratación de la interventoría, de conformidad con lo previsto en la presente ley.</w:t>
      </w:r>
    </w:p>
    <w:p w14:paraId="607FF216" w14:textId="77777777" w:rsidR="00AF2C34" w:rsidRPr="00FB3DC8" w:rsidRDefault="00AF2C34" w:rsidP="00AF2C34">
      <w:pPr>
        <w:ind w:firstLine="708"/>
        <w:jc w:val="both"/>
        <w:rPr>
          <w:rFonts w:ascii="Verdana" w:hAnsi="Verdana" w:cs="Arial"/>
          <w:sz w:val="16"/>
          <w:szCs w:val="16"/>
        </w:rPr>
      </w:pPr>
      <w:r w:rsidRPr="00FB3DC8">
        <w:rPr>
          <w:rFonts w:ascii="Verdana" w:hAnsi="Verdana" w:cs="Arial"/>
          <w:sz w:val="16"/>
          <w:szCs w:val="16"/>
        </w:rPr>
        <w:t>Las entidades ejecutoras de recursos del sistema son responsables de suministrar de forma veraz, oportuna e idónea, la información de la gestión de los proyectos que se requiera e implementar las acciones que sean pertinentes para encauzar el desempeño de los proyectos de inversión y decidir, de manera motivada, sobre la continuidad de los mismos, sin perjuicio de las acciones de control a las que haya lugar.</w:t>
      </w:r>
    </w:p>
    <w:p w14:paraId="27771E85" w14:textId="77777777" w:rsidR="00AF2C34" w:rsidRPr="00FB3DC8" w:rsidRDefault="00AF2C34" w:rsidP="00AF2C34">
      <w:pPr>
        <w:ind w:firstLine="708"/>
        <w:jc w:val="both"/>
        <w:rPr>
          <w:rFonts w:ascii="Verdana" w:hAnsi="Verdana" w:cs="Arial"/>
          <w:sz w:val="16"/>
          <w:szCs w:val="16"/>
        </w:rPr>
      </w:pPr>
      <w:r w:rsidRPr="00FB3DC8">
        <w:rPr>
          <w:rFonts w:ascii="Verdana" w:hAnsi="Verdana" w:cs="Arial"/>
          <w:bCs/>
          <w:sz w:val="16"/>
          <w:szCs w:val="16"/>
        </w:rPr>
        <w:t>Parágrafo 1o.</w:t>
      </w:r>
      <w:r w:rsidRPr="00FB3DC8">
        <w:rPr>
          <w:rFonts w:ascii="Verdana" w:hAnsi="Verdana" w:cs="Arial"/>
          <w:sz w:val="16"/>
          <w:szCs w:val="16"/>
        </w:rPr>
        <w:t xml:space="preserve"> La ejecución de proyectos de que trata este artículo, se adelantará, con estricta sujeción al régimen presupuestal definido en esta ley, al de contratación pública y las demás normas legales vigentes. el ejecutor garantizará la correcta ejecución de los recursos asignados al proyecto de inversión, así como el suministro y registro de la información requerida por el sistema de seguimiento, evaluación y control.</w:t>
      </w:r>
    </w:p>
    <w:p w14:paraId="1FDA96B5" w14:textId="77777777" w:rsidR="00AF2C34" w:rsidRPr="00FB3DC8" w:rsidRDefault="00AF2C34" w:rsidP="00AF2C34">
      <w:pPr>
        <w:ind w:firstLine="708"/>
        <w:jc w:val="both"/>
        <w:rPr>
          <w:rFonts w:ascii="Verdana" w:hAnsi="Verdana" w:cs="Arial"/>
          <w:sz w:val="16"/>
          <w:szCs w:val="16"/>
        </w:rPr>
      </w:pPr>
      <w:r w:rsidRPr="00FB3DC8">
        <w:rPr>
          <w:rFonts w:ascii="Verdana" w:hAnsi="Verdana" w:cs="Arial"/>
          <w:bCs/>
          <w:sz w:val="16"/>
          <w:szCs w:val="16"/>
        </w:rPr>
        <w:t>Parágrafo 2o.</w:t>
      </w:r>
      <w:r w:rsidRPr="00FB3DC8">
        <w:rPr>
          <w:rFonts w:ascii="Verdana" w:hAnsi="Verdana" w:cs="Arial"/>
          <w:sz w:val="16"/>
          <w:szCs w:val="16"/>
        </w:rPr>
        <w:t xml:space="preserve"> Las entidades territoriales beneficiarias de asignaciones directas, la asignación para la inversión local y del 60% de la asignación para la inversión regional en cabeza de los departamentos podrán ejecutar directamente estos recursos o la entidad ejecutora que designe.</w:t>
      </w:r>
    </w:p>
    <w:p w14:paraId="1FD44EAF" w14:textId="77777777" w:rsidR="00AF2C34" w:rsidRPr="00FB3DC8" w:rsidRDefault="00AF2C34" w:rsidP="00AF2C34">
      <w:pPr>
        <w:ind w:firstLine="708"/>
        <w:jc w:val="both"/>
        <w:rPr>
          <w:rFonts w:ascii="Verdana" w:hAnsi="Verdana" w:cs="Arial"/>
          <w:sz w:val="16"/>
          <w:szCs w:val="16"/>
        </w:rPr>
      </w:pPr>
      <w:r w:rsidRPr="00FB3DC8">
        <w:rPr>
          <w:rFonts w:ascii="Verdana" w:hAnsi="Verdana" w:cs="Arial"/>
          <w:bCs/>
          <w:sz w:val="16"/>
          <w:szCs w:val="16"/>
        </w:rPr>
        <w:t>Parágrafo 3o.</w:t>
      </w:r>
      <w:r w:rsidRPr="00FB3DC8">
        <w:rPr>
          <w:rFonts w:ascii="Verdana" w:hAnsi="Verdana" w:cs="Arial"/>
          <w:sz w:val="16"/>
          <w:szCs w:val="16"/>
        </w:rPr>
        <w:t xml:space="preserve"> La entidad designada ejecutora por las entidades u órganos de que tratan los artículos </w:t>
      </w:r>
      <w:hyperlink r:id="rId3" w:anchor="35" w:history="1">
        <w:r w:rsidRPr="00FB3DC8">
          <w:rPr>
            <w:rFonts w:ascii="Verdana" w:hAnsi="Verdana" w:cs="Arial"/>
            <w:sz w:val="16"/>
            <w:szCs w:val="16"/>
          </w:rPr>
          <w:t>35</w:t>
        </w:r>
      </w:hyperlink>
      <w:r w:rsidRPr="00FB3DC8">
        <w:rPr>
          <w:rFonts w:ascii="Verdana" w:hAnsi="Verdana" w:cs="Arial"/>
          <w:sz w:val="16"/>
          <w:szCs w:val="16"/>
        </w:rPr>
        <w:t xml:space="preserve"> y </w:t>
      </w:r>
      <w:hyperlink r:id="rId4" w:anchor="36" w:history="1">
        <w:r w:rsidRPr="00FB3DC8">
          <w:rPr>
            <w:rFonts w:ascii="Verdana" w:hAnsi="Verdana" w:cs="Arial"/>
            <w:sz w:val="16"/>
            <w:szCs w:val="16"/>
          </w:rPr>
          <w:t>36</w:t>
        </w:r>
      </w:hyperlink>
      <w:r w:rsidRPr="00FB3DC8">
        <w:rPr>
          <w:rFonts w:ascii="Verdana" w:hAnsi="Verdana" w:cs="Arial"/>
          <w:sz w:val="16"/>
          <w:szCs w:val="16"/>
        </w:rPr>
        <w:t>, deberá expedir el acto administrativo que ordena la apertura del proceso de selección o acto administrativo unilateral que decreta el gasto con cargo a los recursos asignados, a más tardar dentro de los seis (6) meses contados a partir de la publicación del acuerdo de aprobación del proyecto de inversión que emita la entidad o instancia, según corresponda, y será la responsable de verificar el cumplimiento de los requisitos legales para el inicio de la ejecución del proyecto de inversión.</w:t>
      </w:r>
    </w:p>
    <w:p w14:paraId="2EDB5A81" w14:textId="77777777" w:rsidR="00AF2C34" w:rsidRPr="00FB3DC8" w:rsidRDefault="00AF2C34" w:rsidP="00AF2C34">
      <w:pPr>
        <w:ind w:firstLine="708"/>
        <w:jc w:val="both"/>
        <w:rPr>
          <w:rFonts w:ascii="Verdana" w:hAnsi="Verdana" w:cs="Arial"/>
          <w:sz w:val="16"/>
          <w:szCs w:val="16"/>
        </w:rPr>
      </w:pPr>
      <w:r w:rsidRPr="00FB3DC8">
        <w:rPr>
          <w:rFonts w:ascii="Verdana" w:hAnsi="Verdana" w:cs="Arial"/>
          <w:sz w:val="16"/>
          <w:szCs w:val="16"/>
        </w:rPr>
        <w:t>En caso de no cumplirse lo anterior, las entidades u órganos liberarán automáticamente los recursos para la aprobación de nuevos proyectos de inversión y reportarán estos casos al sistema de seguimiento, evaluación y control para que se tengan en cuenta en la medición del desempeño en la gestión de los recursos del sistema general de regalías y a los órganos de control.</w:t>
      </w:r>
    </w:p>
    <w:p w14:paraId="302BD2EB" w14:textId="77777777" w:rsidR="00AF2C34" w:rsidRPr="00FB3DC8" w:rsidRDefault="00AF2C34" w:rsidP="00AF2C34">
      <w:pPr>
        <w:ind w:firstLine="708"/>
        <w:jc w:val="both"/>
        <w:rPr>
          <w:rFonts w:ascii="Verdana" w:hAnsi="Verdana"/>
          <w:sz w:val="16"/>
          <w:szCs w:val="16"/>
        </w:rPr>
      </w:pPr>
      <w:r w:rsidRPr="00FB3DC8">
        <w:rPr>
          <w:rFonts w:ascii="Verdana" w:hAnsi="Verdana" w:cs="Arial"/>
          <w:sz w:val="16"/>
          <w:szCs w:val="16"/>
        </w:rPr>
        <w:t>Se exceptúan los casos en los que por causas no atribuibles a la entidad designada como ejecutora no se logre expedir el acto administrativo que ordena la apertura del proceso de selección o acto administrativo unilateral que decreta el gasto con cargo a los recursos asignados en los seis (6) meses, caso en el cual las entidades u órganos podrán prorrogar hasta por doce (12) meses más lo estipulado en este parágrafo. la comisión rectora del sistema general de regalías reglamentará estos casos</w:t>
      </w:r>
      <w:r w:rsidRPr="00FB3DC8">
        <w:rPr>
          <w:rFonts w:ascii="Verdana" w:hAnsi="Verdana" w:cs="Arial"/>
          <w:sz w:val="16"/>
          <w:szCs w:val="16"/>
          <w:lang w:val="es-ES"/>
        </w:rPr>
        <w:t>”</w:t>
      </w:r>
      <w:r w:rsidRPr="00FB3DC8">
        <w:rPr>
          <w:rFonts w:ascii="Verdana" w:hAnsi="Verdana" w:cs="Arial"/>
          <w:sz w:val="16"/>
          <w:szCs w:val="16"/>
        </w:rPr>
        <w:t>.</w:t>
      </w:r>
    </w:p>
  </w:footnote>
  <w:footnote w:id="7">
    <w:p w14:paraId="1C4742DC" w14:textId="77777777" w:rsidR="00AF2C34" w:rsidRPr="00C05384" w:rsidRDefault="00AF2C34" w:rsidP="00AF2C34">
      <w:pPr>
        <w:pStyle w:val="Textonotapie"/>
        <w:contextualSpacing/>
        <w:jc w:val="both"/>
        <w:rPr>
          <w:rFonts w:ascii="Verdana" w:hAnsi="Verdana" w:cs="Arial"/>
          <w:sz w:val="16"/>
          <w:szCs w:val="16"/>
        </w:rPr>
      </w:pPr>
      <w:r>
        <w:rPr>
          <w:rFonts w:ascii="Verdana" w:hAnsi="Verdana" w:cs="Arial"/>
          <w:sz w:val="16"/>
          <w:szCs w:val="16"/>
        </w:rPr>
        <w:tab/>
      </w:r>
      <w:r w:rsidRPr="00C05384">
        <w:rPr>
          <w:rStyle w:val="Refdenotaalpie"/>
          <w:rFonts w:ascii="Verdana" w:hAnsi="Verdana" w:cs="Arial"/>
          <w:sz w:val="16"/>
          <w:szCs w:val="16"/>
        </w:rPr>
        <w:footnoteRef/>
      </w:r>
      <w:r w:rsidRPr="00C05384">
        <w:rPr>
          <w:rFonts w:ascii="Verdana" w:hAnsi="Verdana" w:cs="Arial"/>
          <w:sz w:val="16"/>
          <w:szCs w:val="16"/>
        </w:rPr>
        <w:t xml:space="preserve"> Gaceta del Congreso de la República No. 71 del 2005.</w:t>
      </w:r>
    </w:p>
  </w:footnote>
  <w:footnote w:id="8">
    <w:p w14:paraId="74DCC251" w14:textId="77777777" w:rsidR="00AF2C34" w:rsidRPr="00C05384" w:rsidRDefault="00AF2C34" w:rsidP="00AF2C34">
      <w:pPr>
        <w:pStyle w:val="Textonotapie"/>
        <w:ind w:firstLine="709"/>
        <w:contextualSpacing/>
        <w:jc w:val="both"/>
        <w:rPr>
          <w:rFonts w:ascii="Verdana" w:hAnsi="Verdana" w:cs="Arial"/>
          <w:sz w:val="16"/>
          <w:szCs w:val="16"/>
          <w:lang w:val="pt-BR"/>
        </w:rPr>
      </w:pPr>
      <w:r w:rsidRPr="00C05384">
        <w:rPr>
          <w:rStyle w:val="Refdenotaalpie"/>
          <w:rFonts w:ascii="Verdana" w:hAnsi="Verdana" w:cs="Arial"/>
          <w:sz w:val="16"/>
          <w:szCs w:val="16"/>
        </w:rPr>
        <w:footnoteRef/>
      </w:r>
      <w:r w:rsidRPr="00C05384">
        <w:rPr>
          <w:rFonts w:ascii="Verdana" w:hAnsi="Verdana" w:cs="Arial"/>
          <w:sz w:val="16"/>
          <w:szCs w:val="16"/>
          <w:lang w:val="pt-BR"/>
        </w:rPr>
        <w:t xml:space="preserve"> Corte Constitucional, Sentencia C- 1153 de 2005, M.P. Marco Gerardo Monroy Cabra.</w:t>
      </w:r>
    </w:p>
  </w:footnote>
  <w:footnote w:id="9">
    <w:p w14:paraId="541799CE" w14:textId="77777777" w:rsidR="00AF2C34" w:rsidRPr="00C05384" w:rsidRDefault="00AF2C34" w:rsidP="00AF2C34">
      <w:pPr>
        <w:pStyle w:val="Textonotapie"/>
        <w:ind w:firstLine="709"/>
        <w:contextualSpacing/>
        <w:jc w:val="both"/>
        <w:rPr>
          <w:rFonts w:ascii="Verdana" w:hAnsi="Verdana" w:cs="Arial"/>
          <w:sz w:val="16"/>
          <w:szCs w:val="16"/>
          <w:lang w:val="pt-BR"/>
        </w:rPr>
      </w:pPr>
      <w:r w:rsidRPr="00C05384">
        <w:rPr>
          <w:rStyle w:val="Refdenotaalpie"/>
          <w:rFonts w:ascii="Verdana" w:hAnsi="Verdana" w:cs="Arial"/>
          <w:sz w:val="16"/>
          <w:szCs w:val="16"/>
        </w:rPr>
        <w:footnoteRef/>
      </w:r>
      <w:r w:rsidRPr="00C05384">
        <w:rPr>
          <w:rFonts w:ascii="Verdana" w:hAnsi="Verdana" w:cs="Arial"/>
          <w:sz w:val="16"/>
          <w:szCs w:val="16"/>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10">
    <w:p w14:paraId="287461C2" w14:textId="77777777" w:rsidR="00AF2C34" w:rsidRPr="00C05384" w:rsidRDefault="00AF2C34" w:rsidP="00AF2C34">
      <w:pPr>
        <w:pStyle w:val="Textonotapie"/>
        <w:ind w:firstLine="709"/>
        <w:contextualSpacing/>
        <w:jc w:val="both"/>
        <w:rPr>
          <w:rFonts w:ascii="Verdana" w:hAnsi="Verdana" w:cs="Arial"/>
          <w:sz w:val="16"/>
          <w:szCs w:val="16"/>
          <w:lang w:val="es-CO"/>
        </w:rPr>
      </w:pPr>
      <w:r w:rsidRPr="00C05384">
        <w:rPr>
          <w:rStyle w:val="Refdenotaalpie"/>
          <w:rFonts w:ascii="Verdana" w:hAnsi="Verdana" w:cs="Arial"/>
          <w:sz w:val="16"/>
          <w:szCs w:val="16"/>
        </w:rPr>
        <w:footnoteRef/>
      </w:r>
      <w:r w:rsidRPr="00C05384">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11">
    <w:p w14:paraId="13D714DD" w14:textId="77777777" w:rsidR="00AF2C34" w:rsidRPr="00C05384" w:rsidRDefault="00AF2C34" w:rsidP="00AF2C34">
      <w:pPr>
        <w:pStyle w:val="Textonotapie"/>
        <w:ind w:firstLine="709"/>
        <w:contextualSpacing/>
        <w:jc w:val="both"/>
        <w:rPr>
          <w:rFonts w:ascii="Verdana" w:hAnsi="Verdana" w:cs="Arial"/>
          <w:sz w:val="16"/>
          <w:szCs w:val="16"/>
        </w:rPr>
      </w:pPr>
      <w:r w:rsidRPr="00C05384">
        <w:rPr>
          <w:rStyle w:val="Refdenotaalpie"/>
          <w:rFonts w:ascii="Verdana" w:hAnsi="Verdana" w:cs="Arial"/>
          <w:sz w:val="16"/>
          <w:szCs w:val="16"/>
        </w:rPr>
        <w:footnoteRef/>
      </w:r>
      <w:r w:rsidRPr="00C05384">
        <w:rPr>
          <w:rFonts w:ascii="Verdana" w:hAnsi="Verdana" w:cs="Arial"/>
          <w:sz w:val="16"/>
          <w:szCs w:val="16"/>
        </w:rPr>
        <w:t xml:space="preserve"> Consejo de Estado, Sala de Consulta y Servicio Civil de fecha 24 de julio de 2013, Rad. 2166, C. P. Álvaro Namén Vargas.  </w:t>
      </w:r>
    </w:p>
  </w:footnote>
  <w:footnote w:id="12">
    <w:p w14:paraId="3D481D67" w14:textId="77777777" w:rsidR="00AF2C34" w:rsidRPr="00C05384" w:rsidRDefault="00AF2C34" w:rsidP="00AF2C34">
      <w:pPr>
        <w:pStyle w:val="Textonotapie"/>
        <w:ind w:firstLine="709"/>
        <w:jc w:val="both"/>
        <w:rPr>
          <w:rFonts w:ascii="Verdana" w:hAnsi="Verdana"/>
          <w:sz w:val="16"/>
          <w:szCs w:val="16"/>
          <w:lang w:val="es-ES"/>
        </w:rPr>
      </w:pPr>
      <w:r w:rsidRPr="00C05384">
        <w:rPr>
          <w:rStyle w:val="Refdenotaalpie"/>
          <w:rFonts w:ascii="Verdana" w:hAnsi="Verdana"/>
          <w:sz w:val="16"/>
          <w:szCs w:val="16"/>
        </w:rPr>
        <w:footnoteRef/>
      </w:r>
      <w:r w:rsidRPr="00C05384">
        <w:rPr>
          <w:rFonts w:ascii="Verdana" w:hAnsi="Verdana"/>
          <w:sz w:val="16"/>
          <w:szCs w:val="16"/>
        </w:rPr>
        <w:t xml:space="preserve"> Consejo de Estado. Sala de Consulta y Servicio Civil. Concepto del 08 de mayo de 2018. Exp. 2.382. C.P. Álvaro Namén Vargas.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6" type="#_x0000_t75" style="width:12.2pt;height:12.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D2D36D0"/>
    <w:multiLevelType w:val="hybridMultilevel"/>
    <w:tmpl w:val="F75C48EA"/>
    <w:lvl w:ilvl="0" w:tplc="92F2DF1C">
      <w:start w:val="2"/>
      <w:numFmt w:val="lowerRoman"/>
      <w:lvlText w:val="%1."/>
      <w:lvlJc w:val="left"/>
      <w:pPr>
        <w:ind w:left="1080" w:hanging="720"/>
      </w:pPr>
      <w:rPr>
        <w:rFonts w:eastAsia="Times New Roman"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117A1800"/>
    <w:multiLevelType w:val="hybridMultilevel"/>
    <w:tmpl w:val="9C3292AA"/>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E3A25A8"/>
    <w:multiLevelType w:val="hybridMultilevel"/>
    <w:tmpl w:val="0862EA26"/>
    <w:lvl w:ilvl="0" w:tplc="6A9A2EF6">
      <w:start w:val="1"/>
      <w:numFmt w:val="lowerRoman"/>
      <w:lvlText w:val="%1."/>
      <w:lvlJc w:val="left"/>
      <w:pPr>
        <w:ind w:left="1080" w:hanging="720"/>
      </w:pPr>
      <w:rPr>
        <w:rFonts w:eastAsiaTheme="minorHAnsi" w:cs="BCDHEE+Verdana"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2"/>
  </w:num>
  <w:num w:numId="3">
    <w:abstractNumId w:val="6"/>
  </w:num>
  <w:num w:numId="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5"/>
  </w:num>
  <w:num w:numId="7">
    <w:abstractNumId w:val="7"/>
  </w:num>
  <w:num w:numId="8">
    <w:abstractNumId w:val="14"/>
  </w:num>
  <w:num w:numId="9">
    <w:abstractNumId w:val="9"/>
  </w:num>
  <w:num w:numId="10">
    <w:abstractNumId w:val="13"/>
  </w:num>
  <w:num w:numId="11">
    <w:abstractNumId w:val="10"/>
  </w:num>
  <w:num w:numId="12">
    <w:abstractNumId w:val="1"/>
  </w:num>
  <w:num w:numId="13">
    <w:abstractNumId w:val="5"/>
  </w:num>
  <w:num w:numId="14">
    <w:abstractNumId w:val="16"/>
  </w:num>
  <w:num w:numId="15">
    <w:abstractNumId w:val="12"/>
  </w:num>
  <w:num w:numId="16">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4"/>
  </w:num>
  <w:num w:numId="18">
    <w:abstractNumId w:val="11"/>
  </w:num>
  <w:num w:numId="1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A33BF"/>
    <w:rsid w:val="001B6B05"/>
    <w:rsid w:val="001E4177"/>
    <w:rsid w:val="001F0B24"/>
    <w:rsid w:val="001F7DC6"/>
    <w:rsid w:val="00221AE9"/>
    <w:rsid w:val="0022400B"/>
    <w:rsid w:val="002421BB"/>
    <w:rsid w:val="00243A40"/>
    <w:rsid w:val="0025796E"/>
    <w:rsid w:val="00267EDE"/>
    <w:rsid w:val="002707A2"/>
    <w:rsid w:val="00291172"/>
    <w:rsid w:val="002951A0"/>
    <w:rsid w:val="002962BC"/>
    <w:rsid w:val="002A093D"/>
    <w:rsid w:val="002A0DD0"/>
    <w:rsid w:val="002A49AC"/>
    <w:rsid w:val="002A64FD"/>
    <w:rsid w:val="002C31A9"/>
    <w:rsid w:val="002C68D4"/>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6611A"/>
    <w:rsid w:val="00574867"/>
    <w:rsid w:val="00591460"/>
    <w:rsid w:val="005A65E0"/>
    <w:rsid w:val="005C12FB"/>
    <w:rsid w:val="005C3777"/>
    <w:rsid w:val="005C5CDC"/>
    <w:rsid w:val="005C6F10"/>
    <w:rsid w:val="005D476C"/>
    <w:rsid w:val="006200BF"/>
    <w:rsid w:val="006219F8"/>
    <w:rsid w:val="006302F7"/>
    <w:rsid w:val="00646B9F"/>
    <w:rsid w:val="00665D70"/>
    <w:rsid w:val="006900D9"/>
    <w:rsid w:val="006A1982"/>
    <w:rsid w:val="00706C16"/>
    <w:rsid w:val="007340C3"/>
    <w:rsid w:val="0075235A"/>
    <w:rsid w:val="00756841"/>
    <w:rsid w:val="007649AB"/>
    <w:rsid w:val="00771D0C"/>
    <w:rsid w:val="007833AC"/>
    <w:rsid w:val="007B268C"/>
    <w:rsid w:val="007B7171"/>
    <w:rsid w:val="007C0C0F"/>
    <w:rsid w:val="007C3DC2"/>
    <w:rsid w:val="007E5497"/>
    <w:rsid w:val="00806F5F"/>
    <w:rsid w:val="00813B6F"/>
    <w:rsid w:val="00820278"/>
    <w:rsid w:val="008258C9"/>
    <w:rsid w:val="00844AE9"/>
    <w:rsid w:val="0086322B"/>
    <w:rsid w:val="00867F95"/>
    <w:rsid w:val="008843B6"/>
    <w:rsid w:val="00891928"/>
    <w:rsid w:val="008A446D"/>
    <w:rsid w:val="008B25F1"/>
    <w:rsid w:val="008D180B"/>
    <w:rsid w:val="008F0EA7"/>
    <w:rsid w:val="00923EEF"/>
    <w:rsid w:val="009419F9"/>
    <w:rsid w:val="00951571"/>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7064F"/>
    <w:rsid w:val="00A95E3E"/>
    <w:rsid w:val="00AB0ADB"/>
    <w:rsid w:val="00AF2C34"/>
    <w:rsid w:val="00B00C0E"/>
    <w:rsid w:val="00B01B1A"/>
    <w:rsid w:val="00B0381D"/>
    <w:rsid w:val="00B44A47"/>
    <w:rsid w:val="00B72CD3"/>
    <w:rsid w:val="00B72FFF"/>
    <w:rsid w:val="00BC3D36"/>
    <w:rsid w:val="00BD54A6"/>
    <w:rsid w:val="00BD7F72"/>
    <w:rsid w:val="00BF7425"/>
    <w:rsid w:val="00C04FB3"/>
    <w:rsid w:val="00C11D8B"/>
    <w:rsid w:val="00C14774"/>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D1A47"/>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EF7FF5"/>
    <w:rsid w:val="00F23FEA"/>
    <w:rsid w:val="00F31EDC"/>
    <w:rsid w:val="00F462B3"/>
    <w:rsid w:val="00F5664F"/>
    <w:rsid w:val="00F666C4"/>
    <w:rsid w:val="00F76AFC"/>
    <w:rsid w:val="00F96437"/>
    <w:rsid w:val="00FA47C0"/>
    <w:rsid w:val="00FB5DD1"/>
    <w:rsid w:val="00FC2B5D"/>
    <w:rsid w:val="00FF1449"/>
    <w:rsid w:val="00FF7963"/>
    <w:rsid w:val="071B8F93"/>
    <w:rsid w:val="09908A09"/>
    <w:rsid w:val="09DA1269"/>
    <w:rsid w:val="0FF4CCA8"/>
    <w:rsid w:val="13CFC91B"/>
    <w:rsid w:val="19A2EC2C"/>
    <w:rsid w:val="2859CA1B"/>
    <w:rsid w:val="32A4F9CF"/>
    <w:rsid w:val="356CEDFD"/>
    <w:rsid w:val="63DF2C32"/>
    <w:rsid w:val="69614A15"/>
    <w:rsid w:val="7BB183BC"/>
    <w:rsid w:val="7CE839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F2C34"/>
    <w:rPr>
      <w:rFonts w:ascii="Geomanist Light" w:hAnsi="Geomanist Light"/>
      <w:lang w:val="es-ES"/>
    </w:rPr>
  </w:style>
  <w:style w:type="paragraph" w:customStyle="1" w:styleId="Appelnotedebasde">
    <w:name w:val="Appel note de bas de..."/>
    <w:basedOn w:val="Normal"/>
    <w:link w:val="Refdenotaalpie"/>
    <w:uiPriority w:val="99"/>
    <w:rsid w:val="00AF2C34"/>
    <w:pPr>
      <w:spacing w:line="240" w:lineRule="exact"/>
    </w:pPr>
    <w:rPr>
      <w:vertAlign w:val="superscript"/>
    </w:rPr>
  </w:style>
  <w:style w:type="character" w:customStyle="1" w:styleId="baj">
    <w:name w:val="b_aj"/>
    <w:basedOn w:val="Fuentedeprrafopredeter"/>
    <w:rsid w:val="00AF2C34"/>
  </w:style>
  <w:style w:type="paragraph" w:styleId="Textoindependiente">
    <w:name w:val="Body Text"/>
    <w:basedOn w:val="Normal"/>
    <w:link w:val="TextoindependienteCar"/>
    <w:uiPriority w:val="1"/>
    <w:qFormat/>
    <w:rsid w:val="00AF2C34"/>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AF2C34"/>
    <w:rPr>
      <w:rFonts w:ascii="Verdana" w:eastAsia="Verdana" w:hAnsi="Verdana" w:cs="Verdana"/>
      <w:lang w:val="es-ES"/>
    </w:rPr>
  </w:style>
  <w:style w:type="paragraph" w:styleId="Textocomentario">
    <w:name w:val="annotation text"/>
    <w:basedOn w:val="Normal"/>
    <w:link w:val="TextocomentarioCar"/>
    <w:uiPriority w:val="99"/>
    <w:semiHidden/>
    <w:unhideWhenUsed/>
    <w:rsid w:val="0056611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56611A"/>
    <w:rPr>
      <w:sz w:val="20"/>
      <w:szCs w:val="20"/>
    </w:rPr>
  </w:style>
  <w:style w:type="character" w:styleId="Refdecomentario">
    <w:name w:val="annotation reference"/>
    <w:basedOn w:val="Fuentedeprrafopredeter"/>
    <w:uiPriority w:val="99"/>
    <w:semiHidden/>
    <w:unhideWhenUsed/>
    <w:rsid w:val="0056611A"/>
    <w:rPr>
      <w:sz w:val="16"/>
      <w:szCs w:val="16"/>
    </w:rPr>
  </w:style>
  <w:style w:type="paragraph" w:styleId="Asuntodelcomentario">
    <w:name w:val="annotation subject"/>
    <w:basedOn w:val="Textocomentario"/>
    <w:next w:val="Textocomentario"/>
    <w:link w:val="AsuntodelcomentarioCar"/>
    <w:uiPriority w:val="99"/>
    <w:semiHidden/>
    <w:unhideWhenUsed/>
    <w:rsid w:val="00813B6F"/>
    <w:rPr>
      <w:b/>
      <w:bCs/>
    </w:rPr>
  </w:style>
  <w:style w:type="character" w:customStyle="1" w:styleId="AsuntodelcomentarioCar">
    <w:name w:val="Asunto del comentario Car"/>
    <w:basedOn w:val="TextocomentarioCar"/>
    <w:link w:val="Asuntodelcomentario"/>
    <w:uiPriority w:val="99"/>
    <w:semiHidden/>
    <w:rsid w:val="00813B6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secretariasenado.gov.co/senado/basedoc/ley_0397_1997_pr001.html"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ur&#237;dico@fondoculturanarin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tmp"/><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3" Type="http://schemas.openxmlformats.org/officeDocument/2006/relationships/hyperlink" Target="http://www.secretariasenado.gov.co/senado/basedoc/ley_2056_2020.html" TargetMode="External"/><Relationship Id="rId2" Type="http://schemas.openxmlformats.org/officeDocument/2006/relationships/hyperlink" Target="http://www.secretariasenado.gov.co/senado/basedoc/ley_2056_2020.html" TargetMode="External"/><Relationship Id="rId1" Type="http://schemas.openxmlformats.org/officeDocument/2006/relationships/hyperlink" Target="http://www.secretariasenado.gov.co/senado/basedoc/ley_2056_2020.html" TargetMode="External"/><Relationship Id="rId4" Type="http://schemas.openxmlformats.org/officeDocument/2006/relationships/hyperlink" Target="http://www.secretariasenado.gov.co/senado/basedoc/ley_2056_2020.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EB63745-196C-45BA-BEA5-6CA9ED81ED6A}"/>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d8f5e815-0076-445a-b727-5225634d30bd"/>
    <ds:schemaRef ds:uri="8ae15d26-076e-464e-81a7-6f76a0fb3917"/>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21</Pages>
  <Words>6826</Words>
  <Characters>37549</Characters>
  <Application>Microsoft Office Word</Application>
  <DocSecurity>0</DocSecurity>
  <Lines>312</Lines>
  <Paragraphs>88</Paragraphs>
  <ScaleCrop>false</ScaleCrop>
  <Company/>
  <LinksUpToDate>false</LinksUpToDate>
  <CharactersWithSpaces>44287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Catalina del Pilar Lisa Cubides Estupinan</cp:lastModifiedBy>
  <cp:revision>3</cp:revision>
  <cp:lastPrinted>2023-01-10T21:18:00Z</cp:lastPrinted>
  <dcterms:created xsi:type="dcterms:W3CDTF">2025-12-26T22:37:00Z</dcterms:created>
  <dcterms:modified xsi:type="dcterms:W3CDTF">2025-12-28T16:48:00Z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