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89619" w14:textId="77777777" w:rsidR="00871B59" w:rsidRDefault="00871B59" w:rsidP="00871B59">
      <w:pPr>
        <w:spacing w:after="0" w:line="240" w:lineRule="auto"/>
        <w:jc w:val="both"/>
        <w:rPr>
          <w:rFonts w:ascii="Verdana" w:eastAsia="Calibri" w:hAnsi="Verdana" w:cs="Arial"/>
          <w:color w:val="000000"/>
          <w:lang w:val="es-ES"/>
        </w:rPr>
      </w:pPr>
    </w:p>
    <w:p w14:paraId="4FE4B688" w14:textId="77777777" w:rsidR="008136F2" w:rsidRDefault="008136F2" w:rsidP="00871B59">
      <w:pPr>
        <w:spacing w:after="0" w:line="240" w:lineRule="auto"/>
        <w:jc w:val="both"/>
        <w:rPr>
          <w:rFonts w:ascii="Verdana" w:eastAsia="Calibri" w:hAnsi="Verdana" w:cs="Arial"/>
          <w:color w:val="000000"/>
          <w:lang w:val="es-ES"/>
        </w:rPr>
      </w:pPr>
    </w:p>
    <w:p w14:paraId="08A64819" w14:textId="77777777" w:rsidR="008136F2" w:rsidRDefault="008136F2" w:rsidP="00871B59">
      <w:pPr>
        <w:spacing w:after="0" w:line="240" w:lineRule="auto"/>
        <w:jc w:val="both"/>
        <w:rPr>
          <w:rFonts w:ascii="Verdana" w:eastAsia="Calibri" w:hAnsi="Verdana" w:cs="Arial"/>
          <w:color w:val="000000"/>
          <w:lang w:val="es-ES"/>
        </w:rPr>
      </w:pPr>
    </w:p>
    <w:p w14:paraId="75973118" w14:textId="77777777" w:rsidR="008136F2" w:rsidRDefault="008136F2" w:rsidP="008136F2">
      <w:pPr>
        <w:pStyle w:val="NormalWeb"/>
        <w:spacing w:line="276" w:lineRule="auto"/>
        <w:jc w:val="both"/>
        <w:rPr>
          <w:rFonts w:ascii="Verdana" w:hAnsi="Verdana"/>
          <w:b/>
          <w:bCs/>
          <w:sz w:val="22"/>
          <w:szCs w:val="22"/>
        </w:rPr>
      </w:pPr>
      <w:r w:rsidRPr="007E075F">
        <w:rPr>
          <w:rFonts w:ascii="Verdana" w:hAnsi="Verdana"/>
          <w:b/>
          <w:bCs/>
          <w:sz w:val="22"/>
          <w:szCs w:val="22"/>
        </w:rPr>
        <w:t xml:space="preserve">SIMULTANEIDAD DE CONTRATOS – INEXISTENCIA DE PROHIBICIÓN </w:t>
      </w:r>
    </w:p>
    <w:p w14:paraId="4972655E" w14:textId="51F66BEC" w:rsidR="008136F2" w:rsidRPr="007E075F" w:rsidRDefault="008136F2" w:rsidP="008136F2">
      <w:pPr>
        <w:pStyle w:val="NormalWeb"/>
        <w:spacing w:line="276" w:lineRule="auto"/>
        <w:jc w:val="both"/>
        <w:rPr>
          <w:rFonts w:ascii="Verdana" w:hAnsi="Verdana"/>
          <w:sz w:val="22"/>
          <w:szCs w:val="22"/>
        </w:rPr>
      </w:pPr>
      <w:r w:rsidRPr="007E075F">
        <w:rPr>
          <w:rFonts w:ascii="Verdana" w:hAnsi="Verdana"/>
          <w:sz w:val="22"/>
          <w:szCs w:val="22"/>
        </w:rPr>
        <w:t xml:space="preserve">Tras analizar el régimen de inhabilidades e incompatibilidades (específicamente el artículo 8 de la Ley 80 de 1993), no se advierte una causal taxativa que restrinja expresamente que una persona —natural o jurídica— celebre más de un contrato de prestación de servicios al mismo tiempo con la misma entidad. </w:t>
      </w:r>
      <w:r w:rsidRPr="007E075F">
        <w:rPr>
          <w:rStyle w:val="citation-182"/>
          <w:rFonts w:ascii="Verdana" w:hAnsi="Verdana"/>
          <w:sz w:val="22"/>
          <w:szCs w:val="22"/>
        </w:rPr>
        <w:t>Esta conclusión es extensiva a las Empresas Sociales del Estado (ESE), dado que en su régimen tampoco existe dicha prohibición</w:t>
      </w:r>
      <w:r w:rsidRPr="007E075F">
        <w:rPr>
          <w:rFonts w:ascii="Verdana" w:hAnsi="Verdana"/>
          <w:sz w:val="22"/>
          <w:szCs w:val="22"/>
        </w:rPr>
        <w:t>.</w:t>
      </w:r>
    </w:p>
    <w:p w14:paraId="49A595A8" w14:textId="77777777" w:rsidR="008136F2" w:rsidRDefault="008136F2" w:rsidP="008136F2">
      <w:pPr>
        <w:pStyle w:val="NormalWeb"/>
        <w:spacing w:line="276" w:lineRule="auto"/>
        <w:jc w:val="both"/>
        <w:rPr>
          <w:rFonts w:ascii="Verdana" w:hAnsi="Verdana"/>
          <w:b/>
          <w:bCs/>
          <w:sz w:val="22"/>
          <w:szCs w:val="22"/>
        </w:rPr>
      </w:pPr>
      <w:r w:rsidRPr="007E075F">
        <w:rPr>
          <w:rFonts w:ascii="Verdana" w:hAnsi="Verdana"/>
          <w:b/>
          <w:bCs/>
          <w:sz w:val="22"/>
          <w:szCs w:val="22"/>
        </w:rPr>
        <w:t xml:space="preserve">PROHIBICIÓN CONSTITUCIONAL (ART. 128) – ALCANCE </w:t>
      </w:r>
    </w:p>
    <w:p w14:paraId="44A7B3DF" w14:textId="5D0FFE8F" w:rsidR="008136F2" w:rsidRPr="007E075F" w:rsidRDefault="008136F2" w:rsidP="008136F2">
      <w:pPr>
        <w:pStyle w:val="NormalWeb"/>
        <w:spacing w:line="276" w:lineRule="auto"/>
        <w:jc w:val="both"/>
        <w:rPr>
          <w:rFonts w:ascii="Verdana" w:hAnsi="Verdana"/>
          <w:sz w:val="22"/>
          <w:szCs w:val="22"/>
        </w:rPr>
      </w:pPr>
      <w:r w:rsidRPr="007E075F">
        <w:rPr>
          <w:rFonts w:ascii="Verdana" w:hAnsi="Verdana"/>
          <w:sz w:val="22"/>
          <w:szCs w:val="22"/>
        </w:rPr>
        <w:t xml:space="preserve">La prohibición constitucional de recibir más de una asignación del tesoro público (Art. 128 C.P.) aplica restrictivamente a los servidores públicos en situación legal y reglamentaria. </w:t>
      </w:r>
      <w:r w:rsidRPr="007E075F">
        <w:rPr>
          <w:rStyle w:val="citation-181"/>
          <w:rFonts w:ascii="Verdana" w:hAnsi="Verdana"/>
          <w:sz w:val="22"/>
          <w:szCs w:val="22"/>
        </w:rPr>
        <w:t>No se extiende a los contratistas de prestación de servicios, quienes actúan como particulares colaboradores y perciben honorarios, no salarios</w:t>
      </w:r>
      <w:r w:rsidRPr="007E075F">
        <w:rPr>
          <w:rFonts w:ascii="Verdana" w:hAnsi="Verdana"/>
          <w:sz w:val="22"/>
          <w:szCs w:val="22"/>
        </w:rPr>
        <w:t>.</w:t>
      </w:r>
    </w:p>
    <w:p w14:paraId="591670FE" w14:textId="77777777" w:rsidR="008136F2" w:rsidRDefault="008136F2" w:rsidP="008136F2">
      <w:pPr>
        <w:pStyle w:val="NormalWeb"/>
        <w:spacing w:line="276" w:lineRule="auto"/>
        <w:jc w:val="both"/>
        <w:rPr>
          <w:rFonts w:ascii="Verdana" w:hAnsi="Verdana"/>
          <w:b/>
          <w:bCs/>
          <w:sz w:val="22"/>
          <w:szCs w:val="22"/>
        </w:rPr>
      </w:pPr>
      <w:r w:rsidRPr="007E075F">
        <w:rPr>
          <w:rFonts w:ascii="Verdana" w:hAnsi="Verdana"/>
          <w:b/>
          <w:bCs/>
          <w:sz w:val="22"/>
          <w:szCs w:val="22"/>
        </w:rPr>
        <w:t xml:space="preserve">CAPACIDAD E IDONEIDAD – LÍMITE FÁCTICO </w:t>
      </w:r>
    </w:p>
    <w:p w14:paraId="70AC3AFD" w14:textId="706B2279" w:rsidR="008136F2" w:rsidRPr="007E075F" w:rsidRDefault="008136F2" w:rsidP="008136F2">
      <w:pPr>
        <w:pStyle w:val="NormalWeb"/>
        <w:spacing w:line="276" w:lineRule="auto"/>
        <w:jc w:val="both"/>
        <w:rPr>
          <w:rFonts w:ascii="Verdana" w:hAnsi="Verdana"/>
          <w:sz w:val="22"/>
          <w:szCs w:val="22"/>
        </w:rPr>
      </w:pPr>
      <w:r w:rsidRPr="007E075F">
        <w:rPr>
          <w:rFonts w:ascii="Verdana" w:hAnsi="Verdana"/>
          <w:sz w:val="22"/>
          <w:szCs w:val="22"/>
        </w:rPr>
        <w:t xml:space="preserve">Aunque la figura es legal, la única limitante real no es normativa, sino fáctica y operativa. </w:t>
      </w:r>
      <w:r w:rsidRPr="007E075F">
        <w:rPr>
          <w:rStyle w:val="citation-180"/>
          <w:rFonts w:ascii="Verdana" w:hAnsi="Verdana"/>
          <w:sz w:val="22"/>
          <w:szCs w:val="22"/>
        </w:rPr>
        <w:t>El contratista debe garantizar que cuenta con la capacidad técnica para ejecutar cabalmente todos los objetos contractuales sin que uno interfiera con el otro</w:t>
      </w:r>
      <w:r w:rsidRPr="007E075F">
        <w:rPr>
          <w:rFonts w:ascii="Verdana" w:hAnsi="Verdana"/>
          <w:sz w:val="22"/>
          <w:szCs w:val="22"/>
        </w:rPr>
        <w:t xml:space="preserve">. </w:t>
      </w:r>
      <w:r w:rsidRPr="007E075F">
        <w:rPr>
          <w:rStyle w:val="citation-179"/>
          <w:rFonts w:ascii="Verdana" w:hAnsi="Verdana"/>
          <w:sz w:val="22"/>
          <w:szCs w:val="22"/>
        </w:rPr>
        <w:t>La Entidad Estatal tiene el deber de verificar la idoneidad y capacidad del contratista para ejecutar el objeto, analizando si la simultaneidad afecta el cumplimiento o genera conflictos de interés</w:t>
      </w:r>
      <w:r w:rsidRPr="007E075F">
        <w:rPr>
          <w:rFonts w:ascii="Verdana" w:hAnsi="Verdana"/>
          <w:sz w:val="22"/>
          <w:szCs w:val="22"/>
        </w:rPr>
        <w:t>.</w:t>
      </w:r>
    </w:p>
    <w:p w14:paraId="291CB656" w14:textId="77777777" w:rsidR="008136F2" w:rsidRDefault="008136F2" w:rsidP="00871B59">
      <w:pPr>
        <w:spacing w:after="0" w:line="240" w:lineRule="auto"/>
        <w:jc w:val="both"/>
        <w:rPr>
          <w:rFonts w:ascii="Verdana" w:eastAsia="Calibri" w:hAnsi="Verdana" w:cs="Arial"/>
          <w:color w:val="000000"/>
        </w:rPr>
      </w:pPr>
    </w:p>
    <w:p w14:paraId="12DCB823" w14:textId="77777777" w:rsidR="008136F2" w:rsidRDefault="008136F2" w:rsidP="00871B59">
      <w:pPr>
        <w:spacing w:after="0" w:line="240" w:lineRule="auto"/>
        <w:jc w:val="both"/>
        <w:rPr>
          <w:rFonts w:ascii="Verdana" w:eastAsia="Calibri" w:hAnsi="Verdana" w:cs="Arial"/>
          <w:color w:val="000000"/>
        </w:rPr>
      </w:pPr>
    </w:p>
    <w:p w14:paraId="296C8026" w14:textId="77777777" w:rsidR="008136F2" w:rsidRDefault="008136F2" w:rsidP="00871B59">
      <w:pPr>
        <w:spacing w:after="0" w:line="240" w:lineRule="auto"/>
        <w:jc w:val="both"/>
        <w:rPr>
          <w:rFonts w:ascii="Verdana" w:eastAsia="Calibri" w:hAnsi="Verdana" w:cs="Arial"/>
          <w:color w:val="000000"/>
        </w:rPr>
      </w:pPr>
    </w:p>
    <w:p w14:paraId="52376A7C" w14:textId="77777777" w:rsidR="008136F2" w:rsidRDefault="008136F2" w:rsidP="00871B59">
      <w:pPr>
        <w:spacing w:after="0" w:line="240" w:lineRule="auto"/>
        <w:jc w:val="both"/>
        <w:rPr>
          <w:rFonts w:ascii="Verdana" w:eastAsia="Calibri" w:hAnsi="Verdana" w:cs="Arial"/>
          <w:color w:val="000000"/>
        </w:rPr>
      </w:pPr>
    </w:p>
    <w:p w14:paraId="2C02AE07" w14:textId="77777777" w:rsidR="008136F2" w:rsidRDefault="008136F2" w:rsidP="00871B59">
      <w:pPr>
        <w:spacing w:after="0" w:line="240" w:lineRule="auto"/>
        <w:jc w:val="both"/>
        <w:rPr>
          <w:rFonts w:ascii="Verdana" w:eastAsia="Calibri" w:hAnsi="Verdana" w:cs="Arial"/>
          <w:color w:val="000000"/>
        </w:rPr>
      </w:pPr>
    </w:p>
    <w:p w14:paraId="57392BAA" w14:textId="77777777" w:rsidR="008136F2" w:rsidRDefault="008136F2" w:rsidP="00871B59">
      <w:pPr>
        <w:spacing w:after="0" w:line="240" w:lineRule="auto"/>
        <w:jc w:val="both"/>
        <w:rPr>
          <w:rFonts w:ascii="Verdana" w:eastAsia="Calibri" w:hAnsi="Verdana" w:cs="Arial"/>
          <w:color w:val="000000"/>
        </w:rPr>
      </w:pPr>
    </w:p>
    <w:p w14:paraId="6F5C99BB" w14:textId="77777777" w:rsidR="008136F2" w:rsidRDefault="008136F2" w:rsidP="00871B59">
      <w:pPr>
        <w:spacing w:after="0" w:line="240" w:lineRule="auto"/>
        <w:jc w:val="both"/>
        <w:rPr>
          <w:rFonts w:ascii="Verdana" w:eastAsia="Calibri" w:hAnsi="Verdana" w:cs="Arial"/>
          <w:color w:val="000000"/>
        </w:rPr>
      </w:pPr>
    </w:p>
    <w:p w14:paraId="04161900" w14:textId="77777777" w:rsidR="008136F2" w:rsidRDefault="008136F2" w:rsidP="00871B59">
      <w:pPr>
        <w:spacing w:after="0" w:line="240" w:lineRule="auto"/>
        <w:jc w:val="both"/>
        <w:rPr>
          <w:rFonts w:ascii="Verdana" w:eastAsia="Calibri" w:hAnsi="Verdana" w:cs="Arial"/>
          <w:color w:val="000000"/>
        </w:rPr>
      </w:pPr>
    </w:p>
    <w:p w14:paraId="7CF4AF4F" w14:textId="77777777" w:rsidR="008136F2" w:rsidRPr="008136F2" w:rsidRDefault="008136F2" w:rsidP="00871B59">
      <w:pPr>
        <w:spacing w:after="0" w:line="240" w:lineRule="auto"/>
        <w:jc w:val="both"/>
        <w:rPr>
          <w:rFonts w:ascii="Verdana" w:eastAsia="Calibri" w:hAnsi="Verdana" w:cs="Arial"/>
          <w:color w:val="000000"/>
        </w:rPr>
      </w:pPr>
    </w:p>
    <w:p w14:paraId="057DF30D" w14:textId="77777777" w:rsidR="008136F2" w:rsidRDefault="008136F2" w:rsidP="00871B59">
      <w:pPr>
        <w:spacing w:after="0" w:line="240" w:lineRule="auto"/>
        <w:jc w:val="both"/>
        <w:rPr>
          <w:rFonts w:ascii="Verdana" w:eastAsia="Calibri" w:hAnsi="Verdana" w:cs="Arial"/>
          <w:color w:val="000000"/>
          <w:lang w:val="es-ES"/>
        </w:rPr>
      </w:pPr>
    </w:p>
    <w:p w14:paraId="363B84DB" w14:textId="77777777" w:rsidR="008136F2" w:rsidRDefault="008136F2" w:rsidP="00871B59">
      <w:pPr>
        <w:spacing w:after="0" w:line="240" w:lineRule="auto"/>
        <w:jc w:val="both"/>
        <w:rPr>
          <w:rFonts w:ascii="Verdana" w:eastAsia="Calibri" w:hAnsi="Verdana" w:cs="Arial"/>
          <w:color w:val="000000"/>
          <w:lang w:val="es-ES"/>
        </w:rPr>
      </w:pPr>
    </w:p>
    <w:p w14:paraId="17BED0AE" w14:textId="7102AC09" w:rsidR="008136F2" w:rsidRPr="008136F2" w:rsidRDefault="008136F2" w:rsidP="008136F2">
      <w:pPr>
        <w:pStyle w:val="Textoindependiente"/>
        <w:spacing w:before="50" w:line="578" w:lineRule="exact"/>
        <w:ind w:right="5649"/>
        <w:rPr>
          <w:rFonts w:ascii="Verdana" w:hAnsi="Verdana"/>
          <w:sz w:val="20"/>
          <w:szCs w:val="20"/>
        </w:rPr>
      </w:pPr>
      <w:r w:rsidRPr="008136F2">
        <w:rPr>
          <w:rFonts w:ascii="Verdana" w:hAnsi="Verdana"/>
          <w:noProof/>
          <w:sz w:val="20"/>
          <w:szCs w:val="20"/>
        </w:rPr>
        <w:drawing>
          <wp:anchor distT="0" distB="0" distL="0" distR="0" simplePos="0" relativeHeight="251659264" behindDoc="0" locked="0" layoutInCell="1" allowOverlap="1" wp14:anchorId="0E5850D8" wp14:editId="6D2239B2">
            <wp:simplePos x="0" y="0"/>
            <wp:positionH relativeFrom="page">
              <wp:posOffset>3960135</wp:posOffset>
            </wp:positionH>
            <wp:positionV relativeFrom="paragraph">
              <wp:posOffset>185216</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3239999" cy="899999"/>
                    </a:xfrm>
                    <a:prstGeom prst="rect">
                      <a:avLst/>
                    </a:prstGeom>
                  </pic:spPr>
                </pic:pic>
              </a:graphicData>
            </a:graphic>
          </wp:anchor>
        </w:drawing>
      </w:r>
      <w:r w:rsidRPr="008136F2">
        <w:rPr>
          <w:rFonts w:ascii="Verdana" w:hAnsi="Verdana"/>
          <w:sz w:val="20"/>
          <w:szCs w:val="20"/>
        </w:rPr>
        <w:t>Bogotá</w:t>
      </w:r>
      <w:r w:rsidRPr="008136F2">
        <w:rPr>
          <w:rFonts w:ascii="Verdana" w:hAnsi="Verdana"/>
          <w:spacing w:val="-12"/>
          <w:sz w:val="20"/>
          <w:szCs w:val="20"/>
        </w:rPr>
        <w:t xml:space="preserve"> </w:t>
      </w:r>
      <w:r w:rsidRPr="008136F2">
        <w:rPr>
          <w:rFonts w:ascii="Verdana" w:hAnsi="Verdana"/>
          <w:sz w:val="20"/>
          <w:szCs w:val="20"/>
        </w:rPr>
        <w:t>D.C,</w:t>
      </w:r>
      <w:r w:rsidRPr="008136F2">
        <w:rPr>
          <w:rFonts w:ascii="Verdana" w:hAnsi="Verdana"/>
          <w:spacing w:val="-9"/>
          <w:sz w:val="20"/>
          <w:szCs w:val="20"/>
        </w:rPr>
        <w:t xml:space="preserve"> </w:t>
      </w:r>
      <w:r w:rsidRPr="008136F2">
        <w:rPr>
          <w:rFonts w:ascii="Verdana" w:hAnsi="Verdana"/>
          <w:sz w:val="20"/>
          <w:szCs w:val="20"/>
        </w:rPr>
        <w:t>16</w:t>
      </w:r>
      <w:r w:rsidRPr="008136F2">
        <w:rPr>
          <w:rFonts w:ascii="Verdana" w:hAnsi="Verdana"/>
          <w:spacing w:val="-12"/>
          <w:sz w:val="20"/>
          <w:szCs w:val="20"/>
        </w:rPr>
        <w:t xml:space="preserve"> </w:t>
      </w:r>
      <w:r w:rsidRPr="008136F2">
        <w:rPr>
          <w:rFonts w:ascii="Verdana" w:hAnsi="Verdana"/>
          <w:sz w:val="20"/>
          <w:szCs w:val="20"/>
        </w:rPr>
        <w:t>Diciembre</w:t>
      </w:r>
      <w:r>
        <w:rPr>
          <w:rFonts w:ascii="Verdana" w:hAnsi="Verdana"/>
          <w:sz w:val="20"/>
          <w:szCs w:val="20"/>
        </w:rPr>
        <w:t xml:space="preserve"> </w:t>
      </w:r>
      <w:r w:rsidRPr="008136F2">
        <w:rPr>
          <w:rFonts w:ascii="Verdana" w:hAnsi="Verdana"/>
          <w:sz w:val="20"/>
          <w:szCs w:val="20"/>
        </w:rPr>
        <w:t xml:space="preserve">2025 </w:t>
      </w:r>
    </w:p>
    <w:p w14:paraId="3FC8C5D1" w14:textId="77777777" w:rsidR="008136F2" w:rsidRPr="00593A5F" w:rsidRDefault="008136F2" w:rsidP="00871B59">
      <w:pPr>
        <w:spacing w:after="0" w:line="240" w:lineRule="auto"/>
        <w:jc w:val="both"/>
        <w:rPr>
          <w:rFonts w:ascii="Verdana" w:eastAsia="Calibri" w:hAnsi="Verdana" w:cs="Arial"/>
          <w:color w:val="000000"/>
          <w:lang w:val="es-ES"/>
        </w:rPr>
      </w:pPr>
    </w:p>
    <w:p w14:paraId="7832F5E0" w14:textId="2B51BAAA"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560F8670" w14:textId="2FD91055" w:rsidR="00871B59" w:rsidRPr="00B96799" w:rsidRDefault="00880C8B" w:rsidP="00871B59">
      <w:pPr>
        <w:spacing w:after="0" w:line="240" w:lineRule="auto"/>
        <w:rPr>
          <w:rFonts w:ascii="Verdana" w:eastAsia="Calibri" w:hAnsi="Verdana" w:cs="Arial"/>
          <w:b/>
          <w:lang w:val="es-ES_tradnl" w:eastAsia="es-ES_tradnl"/>
        </w:rPr>
      </w:pPr>
      <w:proofErr w:type="spellStart"/>
      <w:r>
        <w:rPr>
          <w:rFonts w:ascii="Verdana" w:eastAsia="Calibri" w:hAnsi="Verdana" w:cs="Arial"/>
          <w:b/>
          <w:lang w:val="es-ES_tradnl" w:eastAsia="es-ES_tradnl"/>
        </w:rPr>
        <w:t>Arnol</w:t>
      </w:r>
      <w:proofErr w:type="spellEnd"/>
      <w:r>
        <w:rPr>
          <w:rFonts w:ascii="Verdana" w:eastAsia="Calibri" w:hAnsi="Verdana" w:cs="Arial"/>
          <w:b/>
          <w:lang w:val="es-ES_tradnl" w:eastAsia="es-ES_tradnl"/>
        </w:rPr>
        <w:t xml:space="preserve"> </w:t>
      </w:r>
      <w:proofErr w:type="spellStart"/>
      <w:r>
        <w:rPr>
          <w:rFonts w:ascii="Verdana" w:eastAsia="Calibri" w:hAnsi="Verdana" w:cs="Arial"/>
          <w:b/>
          <w:lang w:val="es-ES_tradnl" w:eastAsia="es-ES_tradnl"/>
        </w:rPr>
        <w:t>Venecio</w:t>
      </w:r>
      <w:proofErr w:type="spellEnd"/>
      <w:r>
        <w:rPr>
          <w:rFonts w:ascii="Verdana" w:eastAsia="Calibri" w:hAnsi="Verdana" w:cs="Arial"/>
          <w:b/>
          <w:lang w:val="es-ES_tradnl" w:eastAsia="es-ES_tradnl"/>
        </w:rPr>
        <w:t xml:space="preserve"> Ospina </w:t>
      </w:r>
    </w:p>
    <w:p w14:paraId="2CA55E77" w14:textId="1B4F8C55" w:rsidR="00871B59" w:rsidRPr="00B96799" w:rsidRDefault="00880C8B" w:rsidP="00871B59">
      <w:pPr>
        <w:spacing w:after="0" w:line="240" w:lineRule="auto"/>
        <w:rPr>
          <w:rFonts w:ascii="Verdana" w:eastAsia="Calibri" w:hAnsi="Verdana" w:cs="Arial"/>
          <w:u w:val="single"/>
          <w:lang w:val="es-ES" w:eastAsia="es-ES"/>
        </w:rPr>
      </w:pPr>
      <w:r w:rsidRPr="00880C8B">
        <w:rPr>
          <w:rFonts w:ascii="Verdana" w:eastAsia="Calibri" w:hAnsi="Verdana" w:cs="Arial"/>
          <w:u w:val="single"/>
          <w:lang w:val="es-ES" w:eastAsia="es-ES"/>
        </w:rPr>
        <w:t>javo101058@hotmail.com</w:t>
      </w:r>
    </w:p>
    <w:p w14:paraId="5F25C4A9" w14:textId="776CF7C6" w:rsidR="00871B59" w:rsidRPr="00B96799" w:rsidRDefault="00880C8B"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46F66188"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75088BF3"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309F1208" w14:textId="77777777" w:rsidTr="002607A7">
        <w:trPr>
          <w:trHeight w:val="884"/>
        </w:trPr>
        <w:tc>
          <w:tcPr>
            <w:tcW w:w="2689" w:type="dxa"/>
          </w:tcPr>
          <w:p w14:paraId="63EDD88B"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369942A9" w14:textId="50A6ACDF"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880C8B">
              <w:rPr>
                <w:rFonts w:ascii="Verdana" w:eastAsia="Calibri" w:hAnsi="Verdana" w:cs="Arial"/>
                <w:b/>
                <w:bCs/>
                <w:lang w:val="es-ES" w:eastAsia="es-ES"/>
              </w:rPr>
              <w:t xml:space="preserve">- 1758 </w:t>
            </w:r>
            <w:r w:rsidRPr="00247BDE">
              <w:rPr>
                <w:rFonts w:ascii="Verdana" w:eastAsia="Calibri" w:hAnsi="Verdana" w:cs="Arial"/>
                <w:b/>
                <w:bCs/>
                <w:lang w:val="es-ES" w:eastAsia="es-ES"/>
              </w:rPr>
              <w:t>de</w:t>
            </w:r>
            <w:r w:rsidR="00880C8B">
              <w:rPr>
                <w:rFonts w:ascii="Verdana" w:eastAsia="Calibri" w:hAnsi="Verdana" w:cs="Arial"/>
                <w:b/>
                <w:bCs/>
                <w:lang w:val="es-ES" w:eastAsia="es-ES"/>
              </w:rPr>
              <w:t xml:space="preserve"> 2025</w:t>
            </w:r>
          </w:p>
        </w:tc>
      </w:tr>
      <w:tr w:rsidR="00871B59" w:rsidRPr="00593A5F" w14:paraId="2CBE6542" w14:textId="77777777" w:rsidTr="002607A7">
        <w:trPr>
          <w:trHeight w:val="884"/>
        </w:trPr>
        <w:tc>
          <w:tcPr>
            <w:tcW w:w="2689" w:type="dxa"/>
          </w:tcPr>
          <w:p w14:paraId="61837F11"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19D0649" w14:textId="27B954B3" w:rsidR="00880C8B" w:rsidRDefault="00880C8B" w:rsidP="00880C8B">
            <w:pPr>
              <w:spacing w:line="276" w:lineRule="auto"/>
              <w:jc w:val="both"/>
              <w:rPr>
                <w:rFonts w:ascii="Verdana" w:hAnsi="Verdana"/>
                <w:bCs/>
              </w:rPr>
            </w:pPr>
            <w:r w:rsidRPr="00737579">
              <w:rPr>
                <w:rFonts w:ascii="Verdana" w:hAnsi="Verdana"/>
                <w:bCs/>
              </w:rPr>
              <w:t>CONTRATO DE PRESTACIÓN DE SERVICIOS – Régimen de Inhabilidades e Incompatibilidades – Inexistencia de prohibición por simultaneidad / CONTRATO DE PRESTACIÓN DE SERVICIOS PROFESIONALES – Idoneidad y experiencia / EJECUCIÓN SIMULTÁNEA DE CONTRATOS – Capacidad de cumplimiento.</w:t>
            </w:r>
          </w:p>
          <w:p w14:paraId="0CAE97EE" w14:textId="7006EBC5" w:rsidR="00871B59" w:rsidRPr="00880C8B" w:rsidRDefault="00871B59" w:rsidP="002607A7">
            <w:pPr>
              <w:spacing w:line="276" w:lineRule="auto"/>
              <w:jc w:val="both"/>
              <w:rPr>
                <w:rFonts w:ascii="Verdana" w:eastAsia="Calibri" w:hAnsi="Verdana" w:cs="Arial"/>
                <w:color w:val="7030A0"/>
                <w:lang w:eastAsia="es-ES"/>
              </w:rPr>
            </w:pPr>
          </w:p>
          <w:p w14:paraId="21073664" w14:textId="77777777" w:rsidR="00871B59" w:rsidRPr="00593A5F" w:rsidRDefault="00871B59" w:rsidP="002607A7">
            <w:pPr>
              <w:spacing w:line="276" w:lineRule="auto"/>
              <w:jc w:val="both"/>
              <w:rPr>
                <w:rFonts w:ascii="Verdana" w:eastAsia="Calibri" w:hAnsi="Verdana" w:cs="Arial"/>
                <w:lang w:val="es-ES" w:eastAsia="es-ES"/>
              </w:rPr>
            </w:pPr>
          </w:p>
        </w:tc>
      </w:tr>
      <w:tr w:rsidR="00871B59" w:rsidRPr="00593A5F" w14:paraId="33C5C017" w14:textId="77777777" w:rsidTr="002607A7">
        <w:tc>
          <w:tcPr>
            <w:tcW w:w="2689" w:type="dxa"/>
          </w:tcPr>
          <w:p w14:paraId="1F3F6108" w14:textId="77777777" w:rsidR="00871B59" w:rsidRPr="00880C8B" w:rsidRDefault="00871B59" w:rsidP="002607A7">
            <w:pPr>
              <w:jc w:val="both"/>
              <w:rPr>
                <w:rFonts w:ascii="Verdana" w:eastAsia="Calibri" w:hAnsi="Verdana" w:cs="Arial"/>
                <w:b/>
                <w:color w:val="000000" w:themeColor="text1"/>
                <w:lang w:val="es-ES_tradnl" w:eastAsia="es-ES_tradnl"/>
              </w:rPr>
            </w:pPr>
            <w:r w:rsidRPr="00880C8B">
              <w:rPr>
                <w:rFonts w:ascii="Verdana" w:eastAsia="Calibri" w:hAnsi="Verdana" w:cs="Arial"/>
                <w:b/>
                <w:color w:val="000000" w:themeColor="text1"/>
                <w:lang w:val="es-ES_tradnl" w:eastAsia="es-ES_tradnl"/>
              </w:rPr>
              <w:t>Radicación:</w:t>
            </w:r>
            <w:r w:rsidRPr="00880C8B">
              <w:rPr>
                <w:rFonts w:ascii="Verdana" w:eastAsia="Calibri" w:hAnsi="Verdana" w:cs="Arial"/>
                <w:color w:val="000000" w:themeColor="text1"/>
                <w:lang w:val="es-ES_tradnl" w:eastAsia="es-ES_tradnl"/>
              </w:rPr>
              <w:t xml:space="preserve">               </w:t>
            </w:r>
          </w:p>
        </w:tc>
        <w:tc>
          <w:tcPr>
            <w:tcW w:w="6100" w:type="dxa"/>
          </w:tcPr>
          <w:p w14:paraId="2B5388EE" w14:textId="050B4EA0" w:rsidR="00880C8B" w:rsidRPr="00880C8B" w:rsidRDefault="00871B59" w:rsidP="00880C8B">
            <w:pPr>
              <w:jc w:val="both"/>
              <w:rPr>
                <w:rFonts w:ascii="Verdana" w:eastAsia="Calibri" w:hAnsi="Verdana" w:cs="Arial"/>
                <w:color w:val="000000" w:themeColor="text1"/>
                <w:lang w:val="es-ES_tradnl" w:eastAsia="es-ES_tradnl"/>
              </w:rPr>
            </w:pPr>
            <w:r w:rsidRPr="00880C8B">
              <w:rPr>
                <w:rFonts w:ascii="Verdana" w:eastAsia="Calibri" w:hAnsi="Verdana" w:cs="Arial"/>
                <w:color w:val="000000" w:themeColor="text1"/>
                <w:lang w:val="es-ES_tradnl" w:eastAsia="es-ES_tradnl"/>
              </w:rPr>
              <w:t xml:space="preserve">Respuesta a consulta con radicado No. </w:t>
            </w:r>
            <w:r w:rsidR="00880C8B" w:rsidRPr="00880C8B">
              <w:rPr>
                <w:rFonts w:ascii="Verdana" w:hAnsi="Verdana" w:cs="Calibri"/>
                <w:color w:val="000000" w:themeColor="text1"/>
              </w:rPr>
              <w:t>1_2025_11_26_013336</w:t>
            </w:r>
          </w:p>
          <w:p w14:paraId="5D7A3164" w14:textId="2CB4C3FE" w:rsidR="00871B59" w:rsidRPr="00880C8B" w:rsidRDefault="00871B59" w:rsidP="002607A7">
            <w:pPr>
              <w:jc w:val="both"/>
              <w:rPr>
                <w:rFonts w:ascii="Verdana" w:eastAsia="Calibri" w:hAnsi="Verdana" w:cs="Arial"/>
                <w:color w:val="000000" w:themeColor="text1"/>
                <w:lang w:val="es-ES_tradnl" w:eastAsia="es-ES_tradnl"/>
              </w:rPr>
            </w:pPr>
          </w:p>
        </w:tc>
      </w:tr>
    </w:tbl>
    <w:p w14:paraId="44670860"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3FB9126F"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3A04F1B5" w14:textId="28F7FAF7" w:rsidR="00871B59" w:rsidRPr="00880C8B" w:rsidRDefault="00871B59" w:rsidP="00871B59">
      <w:pPr>
        <w:spacing w:after="0" w:line="276" w:lineRule="auto"/>
        <w:jc w:val="both"/>
        <w:rPr>
          <w:rFonts w:ascii="Verdana" w:eastAsia="Calibri" w:hAnsi="Verdana" w:cs="Arial"/>
          <w:color w:val="000000" w:themeColor="text1"/>
          <w:lang w:val="es-ES" w:eastAsia="es-ES"/>
        </w:rPr>
      </w:pPr>
      <w:r w:rsidRPr="00880C8B">
        <w:rPr>
          <w:rFonts w:ascii="Verdana" w:eastAsia="Calibri" w:hAnsi="Verdana" w:cs="Arial"/>
          <w:color w:val="000000" w:themeColor="text1"/>
          <w:lang w:val="es-ES" w:eastAsia="es-ES"/>
        </w:rPr>
        <w:t>Estimado señor</w:t>
      </w:r>
      <w:r w:rsidR="00880C8B" w:rsidRPr="00880C8B">
        <w:rPr>
          <w:rFonts w:ascii="Verdana" w:eastAsia="Calibri" w:hAnsi="Verdana" w:cs="Arial"/>
          <w:color w:val="000000" w:themeColor="text1"/>
          <w:lang w:val="es-ES" w:eastAsia="es-ES"/>
        </w:rPr>
        <w:t xml:space="preserve"> Ospina</w:t>
      </w:r>
      <w:r w:rsidRPr="00880C8B">
        <w:rPr>
          <w:rFonts w:ascii="Verdana" w:eastAsia="Calibri" w:hAnsi="Verdana" w:cs="Arial"/>
          <w:color w:val="000000" w:themeColor="text1"/>
          <w:lang w:val="es-ES" w:eastAsia="es-ES"/>
        </w:rPr>
        <w:t xml:space="preserve">: </w:t>
      </w:r>
    </w:p>
    <w:p w14:paraId="6AB98E3C"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B9279B2" w14:textId="3055F536" w:rsidR="00871B59" w:rsidRPr="00593A5F" w:rsidRDefault="00871B59" w:rsidP="00871B5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80C8B">
        <w:rPr>
          <w:rFonts w:ascii="Verdana" w:eastAsia="Calibri" w:hAnsi="Verdana" w:cs="Arial"/>
          <w:color w:val="000000" w:themeColor="text1"/>
          <w:lang w:val="es-ES" w:eastAsia="es-ES"/>
        </w:rPr>
        <w:t>fecha</w:t>
      </w:r>
      <w:r w:rsidR="00880C8B" w:rsidRPr="00880C8B">
        <w:rPr>
          <w:rFonts w:ascii="Verdana" w:eastAsia="Calibri" w:hAnsi="Verdana" w:cs="Arial"/>
          <w:color w:val="000000" w:themeColor="text1"/>
          <w:lang w:val="es-ES" w:eastAsia="es-ES"/>
        </w:rPr>
        <w:t xml:space="preserve"> 26</w:t>
      </w:r>
      <w:r w:rsidRPr="00880C8B">
        <w:rPr>
          <w:rFonts w:ascii="Verdana" w:eastAsia="Calibri" w:hAnsi="Verdana" w:cs="Arial"/>
          <w:color w:val="000000" w:themeColor="text1"/>
          <w:lang w:val="es-ES" w:eastAsia="es-ES"/>
        </w:rPr>
        <w:t xml:space="preserve"> de </w:t>
      </w:r>
      <w:r w:rsidR="00880C8B" w:rsidRPr="00880C8B">
        <w:rPr>
          <w:rFonts w:ascii="Verdana" w:eastAsia="Calibri" w:hAnsi="Verdana" w:cs="Arial"/>
          <w:color w:val="000000" w:themeColor="text1"/>
          <w:lang w:val="es-ES" w:eastAsia="es-ES"/>
        </w:rPr>
        <w:t>noviembre</w:t>
      </w:r>
      <w:r w:rsidRPr="00880C8B">
        <w:rPr>
          <w:rFonts w:ascii="Verdana" w:eastAsia="Calibri" w:hAnsi="Verdana" w:cs="Arial"/>
          <w:color w:val="000000" w:themeColor="text1"/>
          <w:lang w:val="es-ES" w:eastAsia="es-ES"/>
        </w:rPr>
        <w:t xml:space="preserve"> de 20</w:t>
      </w:r>
      <w:r w:rsidR="00880C8B" w:rsidRPr="00880C8B">
        <w:rPr>
          <w:rFonts w:ascii="Verdana" w:eastAsia="Calibri" w:hAnsi="Verdana" w:cs="Arial"/>
          <w:color w:val="000000" w:themeColor="text1"/>
          <w:lang w:val="es-ES" w:eastAsia="es-ES"/>
        </w:rPr>
        <w:t>25</w:t>
      </w:r>
      <w:r w:rsidRPr="00880C8B">
        <w:rPr>
          <w:rFonts w:ascii="Verdana" w:eastAsia="Calibri" w:hAnsi="Verdana" w:cs="Arial"/>
          <w:color w:val="000000" w:themeColor="text1"/>
          <w:lang w:val="es-ES" w:eastAsia="es-ES"/>
        </w:rPr>
        <w:t>, en la cual manifiesta lo siguiente:</w:t>
      </w:r>
      <w:r w:rsidR="00880C8B" w:rsidRPr="00880C8B">
        <w:rPr>
          <w:rFonts w:ascii="Verdana" w:eastAsia="Calibri" w:hAnsi="Verdana" w:cs="Arial"/>
          <w:color w:val="000000" w:themeColor="text1"/>
          <w:lang w:val="es-ES" w:eastAsia="es-ES"/>
        </w:rPr>
        <w:t xml:space="preserve"> </w:t>
      </w:r>
    </w:p>
    <w:p w14:paraId="6D53A310" w14:textId="77777777" w:rsidR="00871B59" w:rsidRPr="00272A7B"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3CA39154" w14:textId="11AC062F" w:rsidR="00871B59" w:rsidRPr="00B96799" w:rsidRDefault="00871B59" w:rsidP="00880C8B">
      <w:pPr>
        <w:spacing w:after="0" w:line="240" w:lineRule="auto"/>
        <w:ind w:left="709" w:right="709"/>
        <w:jc w:val="both"/>
        <w:rPr>
          <w:rFonts w:ascii="Verdana" w:eastAsia="Century Gothic" w:hAnsi="Verdana" w:cs="Century Gothic"/>
          <w:color w:val="7030A0"/>
          <w:sz w:val="20"/>
          <w:szCs w:val="20"/>
          <w:lang w:val="es-ES"/>
        </w:rPr>
      </w:pPr>
      <w:bookmarkStart w:id="0" w:name="_Hlk95313578"/>
      <w:r w:rsidRPr="00B96799">
        <w:rPr>
          <w:rFonts w:ascii="Verdana" w:eastAsia="Century Gothic" w:hAnsi="Verdana" w:cs="Century Gothic"/>
          <w:color w:val="7030A0"/>
          <w:sz w:val="20"/>
          <w:szCs w:val="20"/>
          <w:lang w:val="es-ES"/>
        </w:rPr>
        <w:lastRenderedPageBreak/>
        <w:t>“</w:t>
      </w:r>
      <w:bookmarkEnd w:id="0"/>
      <w:r w:rsidR="00880C8B" w:rsidRPr="00880C8B">
        <w:rPr>
          <w:rFonts w:ascii="Verdana" w:hAnsi="Verdana"/>
          <w:sz w:val="20"/>
          <w:szCs w:val="20"/>
        </w:rPr>
        <w:t xml:space="preserve">Puede una madre comunitaria de los Hogares comunitario del municipio de </w:t>
      </w:r>
      <w:proofErr w:type="spellStart"/>
      <w:r w:rsidR="00880C8B" w:rsidRPr="00880C8B">
        <w:rPr>
          <w:rFonts w:ascii="Verdana" w:hAnsi="Verdana"/>
          <w:sz w:val="20"/>
          <w:szCs w:val="20"/>
        </w:rPr>
        <w:t>Marialabaja</w:t>
      </w:r>
      <w:proofErr w:type="spellEnd"/>
      <w:r w:rsidR="00880C8B" w:rsidRPr="00880C8B">
        <w:rPr>
          <w:rFonts w:ascii="Verdana" w:hAnsi="Verdana"/>
          <w:sz w:val="20"/>
          <w:szCs w:val="20"/>
        </w:rPr>
        <w:t xml:space="preserve"> que labora con el ICBF </w:t>
      </w:r>
      <w:proofErr w:type="spellStart"/>
      <w:r w:rsidR="00880C8B" w:rsidRPr="00880C8B">
        <w:rPr>
          <w:rFonts w:ascii="Verdana" w:hAnsi="Verdana"/>
          <w:sz w:val="20"/>
          <w:szCs w:val="20"/>
        </w:rPr>
        <w:t>atraves</w:t>
      </w:r>
      <w:proofErr w:type="spellEnd"/>
      <w:r w:rsidR="00880C8B" w:rsidRPr="00880C8B">
        <w:rPr>
          <w:rFonts w:ascii="Verdana" w:hAnsi="Verdana"/>
          <w:sz w:val="20"/>
          <w:szCs w:val="20"/>
        </w:rPr>
        <w:t xml:space="preserve"> un Contrato de orden de prestación de servicios (OPS) puede laborar simultáneamente en un Contrato de orden de prestación de servicios(OPS) en la Alcaldía del municipio de </w:t>
      </w:r>
      <w:proofErr w:type="spellStart"/>
      <w:r w:rsidR="00880C8B" w:rsidRPr="00880C8B">
        <w:rPr>
          <w:rFonts w:ascii="Verdana" w:hAnsi="Verdana"/>
          <w:sz w:val="20"/>
          <w:szCs w:val="20"/>
        </w:rPr>
        <w:t>Marialabaja</w:t>
      </w:r>
      <w:proofErr w:type="spellEnd"/>
      <w:r w:rsidR="00880C8B" w:rsidRPr="00880C8B">
        <w:rPr>
          <w:rFonts w:ascii="Verdana" w:hAnsi="Verdana"/>
          <w:sz w:val="20"/>
          <w:szCs w:val="20"/>
        </w:rPr>
        <w:t xml:space="preserve">, si el artículo 128 de Constitución política establece que nadie podrá desempeñar simultáneamente más de un empleo público ni recibir más de una asignación </w:t>
      </w:r>
      <w:proofErr w:type="spellStart"/>
      <w:r w:rsidR="00880C8B" w:rsidRPr="00880C8B">
        <w:rPr>
          <w:rFonts w:ascii="Verdana" w:hAnsi="Verdana"/>
          <w:sz w:val="20"/>
          <w:szCs w:val="20"/>
        </w:rPr>
        <w:t>ue</w:t>
      </w:r>
      <w:proofErr w:type="spellEnd"/>
      <w:r w:rsidR="00880C8B" w:rsidRPr="00880C8B">
        <w:rPr>
          <w:rFonts w:ascii="Verdana" w:hAnsi="Verdana"/>
          <w:sz w:val="20"/>
          <w:szCs w:val="20"/>
        </w:rPr>
        <w:t xml:space="preserve"> provenga del Tesoro público, o de empresas o de instituciones en las que tengas parte mayoritaria el Estado, salvo los casos expresamente determinados por la </w:t>
      </w:r>
      <w:proofErr w:type="spellStart"/>
      <w:r w:rsidR="00880C8B" w:rsidRPr="00880C8B">
        <w:rPr>
          <w:rFonts w:ascii="Verdana" w:hAnsi="Verdana"/>
          <w:sz w:val="20"/>
          <w:szCs w:val="20"/>
        </w:rPr>
        <w:t>ley.Si</w:t>
      </w:r>
      <w:proofErr w:type="spellEnd"/>
      <w:r w:rsidR="00880C8B" w:rsidRPr="00880C8B">
        <w:rPr>
          <w:rFonts w:ascii="Verdana" w:hAnsi="Verdana"/>
          <w:sz w:val="20"/>
          <w:szCs w:val="20"/>
        </w:rPr>
        <w:t xml:space="preserve"> madre comunitaria trabaja hasta las 4 PM en las distintas actividades que realiza en el Hogar Comunitario, no tiene tiempo disponible para asumir otro contrato. Y si firma otro contrato con una entidad territorial municipal, no cumple sus </w:t>
      </w:r>
      <w:proofErr w:type="spellStart"/>
      <w:r w:rsidR="00880C8B" w:rsidRPr="00880C8B">
        <w:rPr>
          <w:rFonts w:ascii="Verdana" w:hAnsi="Verdana"/>
          <w:sz w:val="20"/>
          <w:szCs w:val="20"/>
        </w:rPr>
        <w:t>obligaciónes</w:t>
      </w:r>
      <w:proofErr w:type="spellEnd"/>
      <w:r w:rsidR="00880C8B" w:rsidRPr="00880C8B">
        <w:rPr>
          <w:rFonts w:ascii="Verdana" w:hAnsi="Verdana"/>
          <w:sz w:val="20"/>
          <w:szCs w:val="20"/>
        </w:rPr>
        <w:t xml:space="preserve"> ninguno de los dos contratos. Además en ambos contratos recibe el pago con recursos públicos. Entonces dígame si en esta circunstancia se configura el delito de inhabilidad e incompatibilidad, o la </w:t>
      </w:r>
      <w:proofErr w:type="spellStart"/>
      <w:r w:rsidR="00880C8B" w:rsidRPr="00880C8B">
        <w:rPr>
          <w:rFonts w:ascii="Verdana" w:hAnsi="Verdana"/>
          <w:sz w:val="20"/>
          <w:szCs w:val="20"/>
        </w:rPr>
        <w:t>adjudicacion</w:t>
      </w:r>
      <w:proofErr w:type="spellEnd"/>
      <w:r w:rsidR="00880C8B" w:rsidRPr="00880C8B">
        <w:rPr>
          <w:rFonts w:ascii="Verdana" w:hAnsi="Verdana"/>
          <w:sz w:val="20"/>
          <w:szCs w:val="20"/>
        </w:rPr>
        <w:t xml:space="preserve"> de dichos contratos laborales no configura ninguna clase de delito. Muchas gracias y bendiciones por toda la atención prestada a nuestra CONSULTA”</w:t>
      </w:r>
    </w:p>
    <w:p w14:paraId="6A0B085F" w14:textId="77777777" w:rsidR="00871B59" w:rsidRPr="00593A5F"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444D21F1"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E1BF6F0" w14:textId="0091F905"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00880C8B">
        <w:rPr>
          <w:rFonts w:ascii="Verdana" w:eastAsia="Calibri" w:hAnsi="Verdana" w:cs="Arial"/>
          <w:color w:val="000000"/>
          <w:lang w:val="es-ES" w:eastAsia="es-ES"/>
        </w:rPr>
        <w:t xml:space="preserve"> </w:t>
      </w:r>
    </w:p>
    <w:p w14:paraId="71DD2D9A"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4D2B53AC"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lastRenderedPageBreak/>
        <w:t>Problema planteado:</w:t>
      </w:r>
    </w:p>
    <w:p w14:paraId="1235C886"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345A8AC2" w14:textId="385A7F4E" w:rsidR="00871B59" w:rsidRPr="00593A5F" w:rsidRDefault="00871B59" w:rsidP="1F9252E4">
      <w:pPr>
        <w:spacing w:after="0" w:line="276" w:lineRule="auto"/>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resolverá el  siguiente problema jurídico: </w:t>
      </w:r>
      <w:r w:rsidR="00880C8B">
        <w:rPr>
          <w:rFonts w:ascii="Verdana" w:eastAsia="Century Gothic" w:hAnsi="Verdana" w:cs="Century Gothic"/>
        </w:rPr>
        <w:t>¿</w:t>
      </w:r>
      <w:r w:rsidR="00880C8B" w:rsidRPr="009F5D48">
        <w:rPr>
          <w:rFonts w:ascii="Verdana" w:eastAsia="Century Gothic" w:hAnsi="Verdana" w:cs="Century Gothic"/>
        </w:rPr>
        <w:t>Existe alguna inhabilidad o incompatibilidad para</w:t>
      </w:r>
      <w:r w:rsidR="00880C8B">
        <w:rPr>
          <w:rFonts w:ascii="Verdana" w:eastAsia="Century Gothic" w:hAnsi="Verdana" w:cs="Century Gothic"/>
        </w:rPr>
        <w:t xml:space="preserve"> que una persona natural </w:t>
      </w:r>
      <w:r w:rsidR="00880C8B" w:rsidRPr="009F5D48">
        <w:rPr>
          <w:rFonts w:ascii="Verdana" w:eastAsia="Century Gothic" w:hAnsi="Verdana" w:cs="Century Gothic"/>
        </w:rPr>
        <w:t>celebr</w:t>
      </w:r>
      <w:r w:rsidR="00880C8B">
        <w:rPr>
          <w:rFonts w:ascii="Verdana" w:eastAsia="Century Gothic" w:hAnsi="Verdana" w:cs="Century Gothic"/>
        </w:rPr>
        <w:t>e</w:t>
      </w:r>
      <w:r w:rsidR="00880C8B" w:rsidRPr="009F5D48">
        <w:rPr>
          <w:rFonts w:ascii="Verdana" w:eastAsia="Century Gothic" w:hAnsi="Verdana" w:cs="Century Gothic"/>
        </w:rPr>
        <w:t xml:space="preserve"> de forma simultánea </w:t>
      </w:r>
      <w:r w:rsidR="00880C8B">
        <w:rPr>
          <w:rFonts w:ascii="Verdana" w:eastAsia="Century Gothic" w:hAnsi="Verdana" w:cs="Century Gothic"/>
        </w:rPr>
        <w:t xml:space="preserve">varios </w:t>
      </w:r>
      <w:r w:rsidR="00880C8B" w:rsidRPr="009F5D48">
        <w:rPr>
          <w:rFonts w:ascii="Verdana" w:eastAsia="Century Gothic" w:hAnsi="Verdana" w:cs="Century Gothic"/>
        </w:rPr>
        <w:t>contrato</w:t>
      </w:r>
      <w:r w:rsidR="00880C8B">
        <w:rPr>
          <w:rFonts w:ascii="Verdana" w:eastAsia="Century Gothic" w:hAnsi="Verdana" w:cs="Century Gothic"/>
        </w:rPr>
        <w:t>s</w:t>
      </w:r>
      <w:r w:rsidR="00880C8B" w:rsidRPr="009F5D48">
        <w:rPr>
          <w:rFonts w:ascii="Verdana" w:eastAsia="Century Gothic" w:hAnsi="Verdana" w:cs="Century Gothic"/>
        </w:rPr>
        <w:t xml:space="preserve"> de prestación de servicios</w:t>
      </w:r>
      <w:r w:rsidR="00880C8B">
        <w:rPr>
          <w:rFonts w:ascii="Verdana" w:eastAsia="Times New Roman" w:hAnsi="Verdana" w:cs="Times New Roman"/>
          <w:lang w:eastAsia="es-MX"/>
        </w:rPr>
        <w:t xml:space="preserve">? </w:t>
      </w:r>
    </w:p>
    <w:p w14:paraId="1089F24C" w14:textId="77777777" w:rsidR="00871B59" w:rsidRPr="00593A5F" w:rsidRDefault="00871B59" w:rsidP="00871B59">
      <w:pPr>
        <w:spacing w:after="0" w:line="276" w:lineRule="auto"/>
        <w:jc w:val="both"/>
        <w:rPr>
          <w:rFonts w:ascii="Verdana" w:eastAsia="Calibri" w:hAnsi="Verdana" w:cs="Arial"/>
          <w:color w:val="7030A0"/>
          <w:lang w:val="es-ES"/>
        </w:rPr>
      </w:pPr>
    </w:p>
    <w:p w14:paraId="1720FB7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675BE45D"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0871F1D3" w14:textId="77777777" w:rsidTr="002607A7">
        <w:tc>
          <w:tcPr>
            <w:tcW w:w="8828" w:type="dxa"/>
          </w:tcPr>
          <w:p w14:paraId="36160A35" w14:textId="32CB5526" w:rsidR="00880C8B" w:rsidRDefault="00880C8B" w:rsidP="00880C8B">
            <w:pPr>
              <w:spacing w:before="100" w:beforeAutospacing="1" w:after="100" w:afterAutospacing="1" w:line="276" w:lineRule="auto"/>
              <w:jc w:val="both"/>
              <w:rPr>
                <w:rFonts w:ascii="Verdana" w:eastAsia="Times New Roman" w:hAnsi="Verdana" w:cs="Times New Roman"/>
                <w:lang w:eastAsia="es-MX"/>
              </w:rPr>
            </w:pPr>
            <w:r w:rsidRPr="00236674">
              <w:rPr>
                <w:rFonts w:ascii="Verdana" w:eastAsia="Times New Roman" w:hAnsi="Verdana" w:cs="Times New Roman"/>
                <w:lang w:eastAsia="es-MX"/>
              </w:rPr>
              <w:t xml:space="preserve">Para abordar </w:t>
            </w:r>
            <w:r>
              <w:rPr>
                <w:rFonts w:ascii="Verdana" w:eastAsia="Times New Roman" w:hAnsi="Verdana" w:cs="Times New Roman"/>
                <w:lang w:eastAsia="es-MX"/>
              </w:rPr>
              <w:t>el</w:t>
            </w:r>
            <w:r w:rsidRPr="00236674">
              <w:rPr>
                <w:rFonts w:ascii="Verdana" w:eastAsia="Times New Roman" w:hAnsi="Verdana" w:cs="Times New Roman"/>
                <w:lang w:eastAsia="es-MX"/>
              </w:rPr>
              <w:t xml:space="preserve"> interrogante planteado, es imperativo realizar un análisis sistemático del marco constitucional y legal vigente, partiendo de la premisa establecida en la Constitución Política. En este orden de ideas, analizado el conjunto de disposiciones que integran el régimen de inhabilidades e incompatibilidades para la contratación estatal, específicamente el artículo 8 de la Ley 80 de 1993, no se advierte una causal taxativa que restrinja de forma expresa que una persona —sea natural o jurídica— celebre más de un contrato de prestación de servicios al mismo tiempo con la misma entidad. Es fundamental distinguir que la prohibición constitucional del artículo 128, referente a recibir más de una asignación del tesoro público, aplica restrictivamente a los servidores públicos en situación legal y reglamentaria, y no se extiende a los contratistas de prestación de servicios, quienes actúan como particulares colaboradores de la administración y perciben honorarios, no salarios.</w:t>
            </w:r>
          </w:p>
          <w:p w14:paraId="06926887" w14:textId="77777777" w:rsidR="00880C8B" w:rsidRDefault="00880C8B" w:rsidP="00880C8B">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En este sentido, una entidad estatal que celebra un contrato directo lo hace en virtud de la idoneidad del contratista y su capacidad para desarrollar el objeto contractual. Al respecto, el artículo 2.2.1.2.1.4.9 del Decreto 1082 de 2015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w:t>
            </w:r>
            <w:r w:rsidRPr="00236674">
              <w:rPr>
                <w:rFonts w:ascii="Verdana" w:eastAsia="Times New Roman" w:hAnsi="Verdana" w:cs="Times New Roman"/>
                <w:lang w:eastAsia="es-MX"/>
              </w:rPr>
              <w:lastRenderedPageBreak/>
              <w:t>Este requisito de tener la capacidad está intrínsecamente relacionado con la disponibilidad y dedicación para cumplir con las obligaciones pactadas.</w:t>
            </w:r>
          </w:p>
          <w:p w14:paraId="39C0AB48" w14:textId="0F4F640C" w:rsidR="00880C8B" w:rsidRPr="00236674" w:rsidRDefault="00880C8B" w:rsidP="00880C8B">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De conformidad con lo anterior, y dando respuesta</w:t>
            </w:r>
            <w:r>
              <w:rPr>
                <w:rFonts w:ascii="Verdana" w:eastAsia="Times New Roman" w:hAnsi="Verdana" w:cs="Times New Roman"/>
                <w:lang w:eastAsia="es-MX"/>
              </w:rPr>
              <w:t xml:space="preserve"> al objeto de la consulta</w:t>
            </w:r>
            <w:r w:rsidRPr="00236674">
              <w:rPr>
                <w:rFonts w:ascii="Verdana" w:eastAsia="Times New Roman" w:hAnsi="Verdana" w:cs="Times New Roman"/>
                <w:lang w:eastAsia="es-MX"/>
              </w:rPr>
              <w:t xml:space="preserve"> se concluye que es jurídicamente viable que </w:t>
            </w:r>
            <w:r>
              <w:rPr>
                <w:rFonts w:ascii="Verdana" w:eastAsia="Times New Roman" w:hAnsi="Verdana" w:cs="Times New Roman"/>
                <w:lang w:eastAsia="es-MX"/>
              </w:rPr>
              <w:t xml:space="preserve">las </w:t>
            </w:r>
            <w:r w:rsidRPr="00236674">
              <w:rPr>
                <w:rFonts w:ascii="Verdana" w:eastAsia="Times New Roman" w:hAnsi="Verdana" w:cs="Times New Roman"/>
                <w:lang w:eastAsia="es-MX"/>
              </w:rPr>
              <w:t xml:space="preserve">personas naturales suscriban más de un contrato de prestación de servicios </w:t>
            </w:r>
            <w:r>
              <w:rPr>
                <w:rFonts w:ascii="Verdana" w:eastAsia="Times New Roman" w:hAnsi="Verdana" w:cs="Times New Roman"/>
                <w:lang w:eastAsia="es-MX"/>
              </w:rPr>
              <w:t>de forma simultánea con diferentes entidades</w:t>
            </w:r>
            <w:r w:rsidRPr="00236674">
              <w:rPr>
                <w:rFonts w:ascii="Verdana" w:eastAsia="Times New Roman" w:hAnsi="Verdana" w:cs="Times New Roman"/>
                <w:lang w:eastAsia="es-MX"/>
              </w:rPr>
              <w:t>. Por ende, la hipótesis de la doble o múltiple contratación no se enmarca en las inhabilidades e incompatibilidades taxativamente listadas en el Estatuto de Contratación.</w:t>
            </w:r>
          </w:p>
          <w:p w14:paraId="2F77B163" w14:textId="73BDE990" w:rsidR="00880C8B" w:rsidRDefault="00880C8B" w:rsidP="00880C8B">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No obstante, aunque la figura es legal, </w:t>
            </w:r>
            <w:r w:rsidRPr="77EDCC31">
              <w:rPr>
                <w:rFonts w:ascii="Verdana" w:eastAsia="Times New Roman" w:hAnsi="Verdana" w:cs="Times New Roman"/>
                <w:lang w:eastAsia="es-MX"/>
              </w:rPr>
              <w:t xml:space="preserve">es necesario verificar por parte de la entidad contratante si, dicha simultaneidad de contratos puede afectar </w:t>
            </w:r>
            <w:r w:rsidRPr="00236674">
              <w:rPr>
                <w:rFonts w:ascii="Verdana" w:eastAsia="Times New Roman" w:hAnsi="Verdana" w:cs="Times New Roman"/>
                <w:lang w:eastAsia="es-MX"/>
              </w:rPr>
              <w:t xml:space="preserve"> la capacidad para el cumplimiento</w:t>
            </w:r>
            <w:r w:rsidRPr="77EDCC31">
              <w:rPr>
                <w:rFonts w:ascii="Verdana" w:eastAsia="Times New Roman" w:hAnsi="Verdana" w:cs="Times New Roman"/>
                <w:lang w:eastAsia="es-MX"/>
              </w:rPr>
              <w:t xml:space="preserve"> de las estipulaciones de cada vinculo contractual y si eventualmente pueden existir situaciones de conflicto de interés en el desarrollo de uno o más contratos que se ejecuten al mismo tiempo.</w:t>
            </w:r>
            <w:r w:rsidRPr="00236674">
              <w:rPr>
                <w:rFonts w:ascii="Verdana" w:eastAsia="Times New Roman" w:hAnsi="Verdana" w:cs="Times New Roman"/>
                <w:lang w:eastAsia="es-MX"/>
              </w:rPr>
              <w:t xml:space="preserve"> La única limitante real no es normativa, sino fáctica: el contratista debe garantizar que cuenta con la capacidad operativa, técnica  para ejecutar cabalmente todos los objetos contractuales sin que uno interfiera con el otro. </w:t>
            </w:r>
          </w:p>
          <w:p w14:paraId="4B549F59" w14:textId="1DDD00B4" w:rsidR="00871B59" w:rsidRPr="00593A5F" w:rsidRDefault="00880C8B" w:rsidP="00880C8B">
            <w:pPr>
              <w:spacing w:line="276" w:lineRule="auto"/>
              <w:jc w:val="both"/>
              <w:rPr>
                <w:rFonts w:ascii="Verdana" w:eastAsia="Calibri" w:hAnsi="Verdana" w:cs="Arial"/>
                <w:color w:val="7030A0"/>
                <w:lang w:val="es-ES"/>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Finalmente, debe advertirse que el análisis requerido para resolver problemas específicos en torno a restricciones frente a la simultaneidad en la celebración </w:t>
            </w:r>
            <w:r w:rsidRPr="77EDCC31">
              <w:rPr>
                <w:rFonts w:ascii="Verdana" w:eastAsia="Times New Roman" w:hAnsi="Verdana" w:cs="Times New Roman"/>
                <w:lang w:eastAsia="es-MX"/>
              </w:rPr>
              <w:t xml:space="preserve">y ejecución </w:t>
            </w:r>
            <w:r w:rsidRPr="00236674">
              <w:rPr>
                <w:rFonts w:ascii="Verdana" w:eastAsia="Times New Roman" w:hAnsi="Verdana" w:cs="Times New Roman"/>
                <w:lang w:eastAsia="es-MX"/>
              </w:rPr>
              <w:t>de contratos debe ser realizado por quienes tengan interés directo en ello. De esta manera, las afirmaciones aquí realizadas obedecen a una interpretación general de la norma y no pueden ser interpretadas como juicios de valor sobre circunstancias concretas ni definen situaciones particulares, cuya solución corresponde a los ordenadores del gasto y supervisores y, en caso de conflicto, a las autoridades judiciales, fiscales y disciplinarias competentes</w:t>
            </w:r>
            <w:r>
              <w:rPr>
                <w:rFonts w:ascii="Verdana" w:eastAsia="Times New Roman" w:hAnsi="Verdana" w:cs="Times New Roman"/>
                <w:lang w:eastAsia="es-MX"/>
              </w:rPr>
              <w:t>.</w:t>
            </w:r>
          </w:p>
        </w:tc>
      </w:tr>
    </w:tbl>
    <w:p w14:paraId="1656F2FD"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20B48464"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4847B7CF" w14:textId="77777777" w:rsidR="00871B59" w:rsidRPr="00593A5F" w:rsidRDefault="00871B59" w:rsidP="00871B59">
      <w:pPr>
        <w:spacing w:after="0" w:line="276" w:lineRule="auto"/>
        <w:jc w:val="both"/>
        <w:rPr>
          <w:rFonts w:ascii="Verdana" w:eastAsia="Calibri" w:hAnsi="Verdana" w:cs="Arial"/>
          <w:color w:val="7030A0"/>
          <w:lang w:val="es-ES"/>
        </w:rPr>
      </w:pPr>
    </w:p>
    <w:p w14:paraId="026364FB"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3A25B06C" w14:textId="77777777" w:rsidR="00983695" w:rsidRDefault="00983695" w:rsidP="00983695">
      <w:pPr>
        <w:spacing w:after="0" w:line="276" w:lineRule="auto"/>
        <w:jc w:val="both"/>
        <w:rPr>
          <w:rFonts w:ascii="Verdana" w:eastAsia="Calibri" w:hAnsi="Verdana" w:cs="Arial"/>
          <w:color w:val="7030A0"/>
          <w:lang w:val="es-ES"/>
        </w:rPr>
      </w:pPr>
    </w:p>
    <w:p w14:paraId="5642EF76" w14:textId="77777777" w:rsidR="00880C8B" w:rsidRPr="003053B5" w:rsidRDefault="00880C8B" w:rsidP="00880C8B">
      <w:pPr>
        <w:pStyle w:val="Prrafodelista"/>
        <w:numPr>
          <w:ilvl w:val="0"/>
          <w:numId w:val="10"/>
        </w:numPr>
        <w:spacing w:after="0" w:line="276" w:lineRule="auto"/>
        <w:jc w:val="both"/>
        <w:rPr>
          <w:rFonts w:ascii="Verdana" w:eastAsia="Calibri" w:hAnsi="Verdana" w:cs="Arial"/>
          <w:u w:val="single"/>
        </w:rPr>
      </w:pPr>
      <w:r w:rsidRPr="003053B5">
        <w:rPr>
          <w:rFonts w:ascii="Verdana" w:eastAsia="Calibri" w:hAnsi="Verdana" w:cs="Arial"/>
          <w:u w:val="single"/>
        </w:rPr>
        <w:lastRenderedPageBreak/>
        <w:t>Fundamento normativo y características del contrato de prestación de servicios</w:t>
      </w:r>
    </w:p>
    <w:p w14:paraId="60E97315" w14:textId="77777777" w:rsidR="00880C8B" w:rsidRDefault="00880C8B" w:rsidP="00880C8B">
      <w:pPr>
        <w:widowControl w:val="0"/>
        <w:autoSpaceDE w:val="0"/>
        <w:autoSpaceDN w:val="0"/>
        <w:spacing w:after="0" w:line="276" w:lineRule="auto"/>
        <w:jc w:val="both"/>
        <w:rPr>
          <w:rFonts w:ascii="Verdana" w:eastAsia="Calibri" w:hAnsi="Verdana" w:cs="Arial"/>
        </w:rPr>
      </w:pPr>
    </w:p>
    <w:p w14:paraId="76F0D813" w14:textId="77777777" w:rsidR="00880C8B" w:rsidRPr="009F5D48" w:rsidRDefault="00880C8B" w:rsidP="00880C8B">
      <w:pPr>
        <w:widowControl w:val="0"/>
        <w:autoSpaceDE w:val="0"/>
        <w:autoSpaceDN w:val="0"/>
        <w:spacing w:after="0" w:line="276" w:lineRule="auto"/>
        <w:jc w:val="both"/>
        <w:rPr>
          <w:rFonts w:ascii="Verdana" w:eastAsia="Calibri" w:hAnsi="Verdana" w:cs="Arial"/>
          <w:lang w:val="es-ES"/>
        </w:rPr>
      </w:pPr>
      <w:r w:rsidRPr="009F5D48">
        <w:rPr>
          <w:rFonts w:ascii="Verdana" w:eastAsia="Calibri" w:hAnsi="Verdana" w:cs="Arial"/>
          <w:lang w:val="es-ES"/>
        </w:rPr>
        <w:t>Para empezar, el contrato de prestación de servicios es un contrato estatal típico que está regulado en el numeral 3 del artículo 32 de la Ley 80 de 1993:</w:t>
      </w:r>
    </w:p>
    <w:p w14:paraId="109E3CE1" w14:textId="77777777" w:rsidR="00880C8B" w:rsidRPr="009F5D48" w:rsidRDefault="00880C8B" w:rsidP="00880C8B">
      <w:pPr>
        <w:spacing w:before="100" w:beforeAutospacing="1" w:after="100" w:afterAutospacing="1" w:line="276" w:lineRule="auto"/>
        <w:ind w:left="851" w:right="758"/>
        <w:jc w:val="both"/>
        <w:rPr>
          <w:rFonts w:ascii="Verdana" w:eastAsia="Times New Roman" w:hAnsi="Verdana" w:cs="Open Sans"/>
          <w:lang w:eastAsia="es-CO"/>
        </w:rPr>
      </w:pPr>
      <w:r w:rsidRPr="009F5D48">
        <w:rPr>
          <w:rFonts w:ascii="Verdana" w:eastAsia="Times New Roman" w:hAnsi="Verdana" w:cs="Open Sans"/>
          <w:lang w:eastAsia="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9F5D48">
        <w:rPr>
          <w:rFonts w:ascii="Verdana" w:eastAsia="Times New Roman" w:hAnsi="Verdana" w:cs="Open Sans"/>
          <w:u w:val="single"/>
          <w:lang w:eastAsia="es-CO"/>
        </w:rPr>
        <w:t>no puedan realizarse con personal de planta</w:t>
      </w:r>
      <w:r w:rsidRPr="009F5D48">
        <w:rPr>
          <w:rFonts w:ascii="Verdana" w:eastAsia="Times New Roman" w:hAnsi="Verdana" w:cs="Open Sans"/>
          <w:lang w:eastAsia="es-CO"/>
        </w:rPr>
        <w:t> o requieran conocimientos especializados.</w:t>
      </w:r>
    </w:p>
    <w:p w14:paraId="21922D7A" w14:textId="77777777" w:rsidR="00880C8B" w:rsidRPr="009F5D48" w:rsidRDefault="00880C8B" w:rsidP="00880C8B">
      <w:pPr>
        <w:spacing w:before="100" w:beforeAutospacing="1" w:after="100" w:afterAutospacing="1" w:line="276" w:lineRule="auto"/>
        <w:ind w:left="851" w:right="758"/>
        <w:jc w:val="both"/>
        <w:rPr>
          <w:rFonts w:ascii="Verdana" w:eastAsia="Times New Roman" w:hAnsi="Verdana" w:cs="Open Sans"/>
          <w:lang w:eastAsia="es-CO"/>
        </w:rPr>
      </w:pPr>
      <w:r w:rsidRPr="009F5D48">
        <w:rPr>
          <w:rFonts w:ascii="Verdana" w:eastAsia="Times New Roman" w:hAnsi="Verdana" w:cs="Open Sans"/>
          <w:u w:val="single"/>
          <w:lang w:eastAsia="es-CO"/>
        </w:rPr>
        <w:t>En ningún caso</w:t>
      </w:r>
      <w:r w:rsidRPr="009F5D48">
        <w:rPr>
          <w:rFonts w:ascii="Verdana" w:eastAsia="Times New Roman" w:hAnsi="Verdana" w:cs="Open Sans"/>
          <w:lang w:eastAsia="es-CO"/>
        </w:rPr>
        <w:t> estos contratos</w:t>
      </w:r>
      <w:r w:rsidRPr="009F5D48">
        <w:rPr>
          <w:rFonts w:ascii="Verdana" w:eastAsia="Times New Roman" w:hAnsi="Verdana" w:cs="Open Sans"/>
          <w:u w:val="single"/>
          <w:lang w:eastAsia="es-CO"/>
        </w:rPr>
        <w:t> generan relación laboral ni prestaciones sociales</w:t>
      </w:r>
      <w:r w:rsidRPr="009F5D48">
        <w:rPr>
          <w:rFonts w:ascii="Verdana" w:eastAsia="Times New Roman" w:hAnsi="Verdana" w:cs="Open Sans"/>
          <w:lang w:eastAsia="es-CO"/>
        </w:rPr>
        <w:t> y se celebrarán por el término estrictamente indispensable.</w:t>
      </w:r>
    </w:p>
    <w:p w14:paraId="7FE75B76" w14:textId="77777777" w:rsidR="00880C8B" w:rsidRPr="009F5D48" w:rsidRDefault="00880C8B" w:rsidP="00880C8B">
      <w:pPr>
        <w:widowControl w:val="0"/>
        <w:autoSpaceDE w:val="0"/>
        <w:autoSpaceDN w:val="0"/>
        <w:spacing w:after="0" w:line="276" w:lineRule="auto"/>
        <w:jc w:val="both"/>
        <w:rPr>
          <w:rFonts w:ascii="Verdana" w:eastAsia="Calibri" w:hAnsi="Verdana" w:cs="Arial"/>
        </w:rPr>
      </w:pPr>
      <w:r w:rsidRPr="009F5D48">
        <w:rPr>
          <w:rFonts w:ascii="Verdana" w:eastAsia="Calibri" w:hAnsi="Verdana" w:cs="Arial"/>
          <w:lang w:val="es-ES"/>
        </w:rPr>
        <w:t xml:space="preserve">Su modalidad de selección se encuentra establecida en el </w:t>
      </w:r>
      <w:r w:rsidRPr="009F5D48">
        <w:rPr>
          <w:rFonts w:ascii="Verdana" w:eastAsia="Calibri" w:hAnsi="Verdana" w:cs="Arial"/>
          <w:lang w:val="es-ES_tradnl"/>
        </w:rPr>
        <w:t xml:space="preserve">artículo 2, numeral 4º, literal h), de la Ley 1150 de 2007 como </w:t>
      </w:r>
      <w:r w:rsidRPr="009F5D48">
        <w:rPr>
          <w:rFonts w:ascii="Verdana" w:eastAsia="Calibri" w:hAnsi="Verdana" w:cs="Arial"/>
          <w:color w:val="000000" w:themeColor="text1"/>
          <w:lang w:val="es-ES_tradnl"/>
        </w:rPr>
        <w:t xml:space="preserve">contratación directa, y aquella es reglamentada en el </w:t>
      </w:r>
      <w:bookmarkStart w:id="1" w:name="_Hlk197360180"/>
      <w:r w:rsidRPr="009F5D48">
        <w:rPr>
          <w:rFonts w:ascii="Verdana" w:eastAsia="Calibri" w:hAnsi="Verdana" w:cs="Arial"/>
        </w:rPr>
        <w:t xml:space="preserve">artículo 2.2.1.2.1.4.9 </w:t>
      </w:r>
      <w:bookmarkEnd w:id="1"/>
      <w:r w:rsidRPr="009F5D48">
        <w:rPr>
          <w:rFonts w:ascii="Verdana" w:eastAsia="Calibri" w:hAnsi="Verdana" w:cs="Arial"/>
        </w:rPr>
        <w:t xml:space="preserve">del Decreto 1082 de 2015, del que se resalta </w:t>
      </w:r>
      <w:r w:rsidRPr="009F5D48">
        <w:rPr>
          <w:rFonts w:ascii="Verdana" w:hAnsi="Verdana" w:cs="Arial"/>
        </w:rPr>
        <w:t>la obligación de las entidades estatales de verificar la idoneidad de las personas con las que se celebrará este tipo de contratos</w:t>
      </w:r>
      <w:r w:rsidRPr="009F5D48">
        <w:rPr>
          <w:rFonts w:ascii="Verdana" w:eastAsia="Calibri" w:hAnsi="Verdana" w:cs="Arial"/>
        </w:rPr>
        <w:t>:</w:t>
      </w:r>
    </w:p>
    <w:p w14:paraId="69ACBC45" w14:textId="77777777" w:rsidR="00880C8B" w:rsidRPr="009F5D48" w:rsidRDefault="00880C8B" w:rsidP="00880C8B">
      <w:pPr>
        <w:shd w:val="clear" w:color="auto" w:fill="FFFFFF" w:themeFill="background1"/>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t xml:space="preserve">Las Entidades Estatales pueden contratar bajo la modalidad de contratación directa la prestación de servicios profesionales y de apoyo a la gestión con la persona natural o jurídica </w:t>
      </w:r>
      <w:r w:rsidRPr="00966C8C">
        <w:rPr>
          <w:rFonts w:ascii="Verdana" w:eastAsia="Times New Roman" w:hAnsi="Verdana" w:cs="Times New Roman"/>
          <w:b/>
          <w:color w:val="333333"/>
          <w:u w:val="single"/>
          <w:lang w:eastAsia="es-CO"/>
        </w:rPr>
        <w:t>que esté en capacidad de ejecutar el objeto del contrato</w:t>
      </w:r>
      <w:r w:rsidRPr="009F5D48">
        <w:rPr>
          <w:rFonts w:ascii="Verdana" w:eastAsia="Times New Roman" w:hAnsi="Verdana" w:cs="Times New Roman"/>
          <w:color w:val="333333"/>
          <w:lang w:eastAsia="es-CO"/>
        </w:rPr>
        <w:t>,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22BF8D64" w14:textId="77777777" w:rsidR="00880C8B" w:rsidRPr="009F5D48" w:rsidRDefault="00880C8B" w:rsidP="00880C8B">
      <w:pPr>
        <w:shd w:val="clear" w:color="auto" w:fill="FFFFFF"/>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lastRenderedPageBreak/>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29A00581" w14:textId="77777777" w:rsidR="00880C8B" w:rsidRPr="009F5D48" w:rsidRDefault="00880C8B" w:rsidP="00880C8B">
      <w:pPr>
        <w:shd w:val="clear" w:color="auto" w:fill="FFFFFF"/>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t>La Entidad Estatal, para la contratación de trabajos artísticos que solamente puedan encomendarse a determinadas personas naturales, debe justificar esta situación en los estudios y documentos previos.</w:t>
      </w:r>
    </w:p>
    <w:p w14:paraId="7AFFE6F9" w14:textId="77777777" w:rsidR="00880C8B" w:rsidRPr="001E7958" w:rsidRDefault="00880C8B" w:rsidP="00880C8B">
      <w:pPr>
        <w:spacing w:after="120" w:line="276" w:lineRule="auto"/>
        <w:ind w:right="51" w:firstLine="709"/>
        <w:jc w:val="both"/>
        <w:rPr>
          <w:rFonts w:ascii="Verdana" w:eastAsia="Calibri" w:hAnsi="Verdana" w:cs="Arial"/>
        </w:rPr>
      </w:pPr>
      <w:r w:rsidRPr="009F5D48">
        <w:rPr>
          <w:rFonts w:ascii="Verdana" w:eastAsia="Calibri" w:hAnsi="Verdana" w:cs="Arial"/>
        </w:rPr>
        <w:t xml:space="preserve">Se resalta que </w:t>
      </w:r>
      <w:r w:rsidRPr="009F5D48">
        <w:rPr>
          <w:rFonts w:ascii="Verdana" w:hAnsi="Verdana" w:cs="Arial"/>
        </w:rPr>
        <w:t xml:space="preserve">cada entidad estatal tiene la facultad de definir los requisitos habilitantes para la contratación en los documentos previos de acuerdo con las características y la naturaleza del contrato, atendiendo siempre a los principios de planeación, transparencia y selección objetiva. En virtud de los cuales, la Entidad estatal al definir la necesidad a satisfacer con la contratación de prestación de servicios profesionales, debe establecer el objeto contractual, las obligaciones que lo desarrollan y el perfil requerido para dar cumplimiento a los mismos. </w:t>
      </w:r>
    </w:p>
    <w:p w14:paraId="464CD8BD" w14:textId="77777777" w:rsidR="00880C8B" w:rsidRPr="009F5D48" w:rsidRDefault="00880C8B" w:rsidP="00880C8B">
      <w:pPr>
        <w:spacing w:after="120" w:line="276" w:lineRule="auto"/>
        <w:ind w:firstLine="709"/>
        <w:jc w:val="both"/>
        <w:rPr>
          <w:rFonts w:ascii="Verdana" w:eastAsia="Calibri" w:hAnsi="Verdana" w:cs="Arial"/>
          <w:color w:val="000000"/>
          <w:lang w:val="es-ES_tradnl" w:eastAsia="es-ES_tradnl"/>
        </w:rPr>
      </w:pPr>
      <w:r w:rsidRPr="009F5D48">
        <w:rPr>
          <w:rFonts w:ascii="Verdana" w:eastAsia="Calibri" w:hAnsi="Verdana" w:cs="Arial"/>
          <w:color w:val="000000"/>
          <w:lang w:val="es-ES_tradnl" w:eastAsia="es-ES_tradnl"/>
        </w:rPr>
        <w:t>Así, a partir de estos enunciados normativos, entre otros, de carácter legal y reglamentario, que complementan su regulación, así como de pronunciamientos jurisprudenciales</w:t>
      </w:r>
      <w:r w:rsidRPr="009F5D48">
        <w:rPr>
          <w:rStyle w:val="Refdenotaalpie"/>
          <w:rFonts w:ascii="Verdana" w:eastAsia="Calibri" w:hAnsi="Verdana" w:cs="Arial"/>
          <w:color w:val="000000"/>
          <w:lang w:val="es-ES_tradnl" w:eastAsia="es-ES_tradnl"/>
        </w:rPr>
        <w:footnoteReference w:id="2"/>
      </w:r>
      <w:r w:rsidRPr="009F5D48">
        <w:rPr>
          <w:rFonts w:ascii="Verdana" w:eastAsia="Calibri" w:hAnsi="Verdana" w:cs="Arial"/>
          <w:color w:val="000000"/>
          <w:lang w:val="es-ES_tradnl" w:eastAsia="es-ES_tradnl"/>
        </w:rPr>
        <w:t>, es posible señalar las siguientes características del contrato de prestación de servicios:</w:t>
      </w:r>
    </w:p>
    <w:p w14:paraId="0D23B549" w14:textId="77777777" w:rsidR="00880C8B" w:rsidRPr="009F5D48" w:rsidRDefault="00880C8B" w:rsidP="00880C8B">
      <w:pPr>
        <w:pStyle w:val="Prrafodelista"/>
        <w:numPr>
          <w:ilvl w:val="0"/>
          <w:numId w:val="9"/>
        </w:numPr>
        <w:spacing w:after="0" w:line="276" w:lineRule="auto"/>
        <w:ind w:left="0" w:firstLine="709"/>
        <w:jc w:val="both"/>
        <w:rPr>
          <w:rFonts w:ascii="Verdana" w:eastAsia="Calibri" w:hAnsi="Verdana" w:cs="Arial"/>
        </w:rPr>
      </w:pPr>
      <w:r w:rsidRPr="009F5D48">
        <w:rPr>
          <w:rFonts w:ascii="Verdana" w:eastAsia="Calibri" w:hAnsi="Verdana" w:cs="Arial"/>
        </w:rPr>
        <w:t>Solo puede celebrarse para realizar “actividades relacionadas con la administración o funcionamiento de la entidad”, es decir, que hagan parte de su giro ordinario o quehacer cotidiano</w:t>
      </w:r>
      <w:r w:rsidRPr="009F5D48">
        <w:rPr>
          <w:rStyle w:val="Refdenotaalpie"/>
          <w:rFonts w:ascii="Verdana" w:eastAsia="Calibri" w:hAnsi="Verdana" w:cs="Arial"/>
        </w:rPr>
        <w:footnoteReference w:id="3"/>
      </w:r>
      <w:r w:rsidRPr="009F5D48">
        <w:rPr>
          <w:rFonts w:ascii="Verdana" w:eastAsia="Calibri" w:hAnsi="Verdana" w:cs="Arial"/>
        </w:rPr>
        <w:t xml:space="preserve">; </w:t>
      </w:r>
    </w:p>
    <w:p w14:paraId="2DEE7734" w14:textId="77777777" w:rsidR="00880C8B" w:rsidRPr="009F5D48" w:rsidRDefault="00880C8B" w:rsidP="00880C8B">
      <w:pPr>
        <w:pStyle w:val="Prrafodelista"/>
        <w:numPr>
          <w:ilvl w:val="0"/>
          <w:numId w:val="9"/>
        </w:numPr>
        <w:spacing w:after="0" w:line="276" w:lineRule="auto"/>
        <w:ind w:left="0" w:firstLine="720"/>
        <w:jc w:val="both"/>
        <w:rPr>
          <w:rFonts w:ascii="Verdana" w:eastAsia="Calibri" w:hAnsi="Verdana" w:cs="Arial"/>
        </w:rPr>
      </w:pPr>
      <w:r w:rsidRPr="009F5D48">
        <w:rPr>
          <w:rFonts w:ascii="Verdana" w:eastAsia="Calibri" w:hAnsi="Verdana" w:cs="Arial"/>
        </w:rPr>
        <w:t xml:space="preserve">Respecto del tipo de personas que pueden ser contratadas, admite que se suscriba con personas naturales o jurídicas. Sin embargo, cuando se celebre con personas naturales la Entidad Estatal debe justificar, en los estudios </w:t>
      </w:r>
      <w:r w:rsidRPr="009F5D48">
        <w:rPr>
          <w:rFonts w:ascii="Verdana" w:eastAsia="Calibri" w:hAnsi="Verdana" w:cs="Arial"/>
        </w:rPr>
        <w:lastRenderedPageBreak/>
        <w:t xml:space="preserve">previos, que las actividades “no puedan realizarse con personal de planta o requieran conocimientos especializados”; </w:t>
      </w:r>
    </w:p>
    <w:p w14:paraId="305FDCE2" w14:textId="77777777" w:rsidR="00880C8B" w:rsidRPr="009F5D48" w:rsidRDefault="00880C8B" w:rsidP="00880C8B">
      <w:pPr>
        <w:pStyle w:val="Prrafodelista"/>
        <w:numPr>
          <w:ilvl w:val="0"/>
          <w:numId w:val="9"/>
        </w:numPr>
        <w:spacing w:after="120" w:line="276" w:lineRule="auto"/>
        <w:ind w:left="0" w:firstLine="709"/>
        <w:jc w:val="both"/>
        <w:rPr>
          <w:rFonts w:ascii="Verdana" w:hAnsi="Verdana" w:cs="Arial"/>
          <w:noProof/>
          <w:lang w:val="es-ES_tradnl"/>
        </w:rPr>
      </w:pPr>
      <w:r w:rsidRPr="009F5D48">
        <w:rPr>
          <w:rFonts w:ascii="Verdana" w:hAnsi="Verdana" w:cs="Arial"/>
          <w:noProof/>
          <w:lang w:val="es-ES_tradnl"/>
        </w:rPr>
        <w:t xml:space="preserve">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9F5D48">
        <w:rPr>
          <w:rFonts w:ascii="Verdana" w:hAnsi="Verdana" w:cs="Arial"/>
          <w:i/>
          <w:noProof/>
          <w:lang w:val="es-ES_tradnl"/>
        </w:rPr>
        <w:t xml:space="preserve">subordinación </w:t>
      </w:r>
      <w:r w:rsidRPr="009F5D48">
        <w:rPr>
          <w:rFonts w:ascii="Verdana" w:hAnsi="Verdana" w:cs="Arial"/>
          <w:iCs/>
          <w:noProof/>
          <w:lang w:val="es-ES_tradnl"/>
        </w:rPr>
        <w:t>ni</w:t>
      </w:r>
      <w:r w:rsidRPr="009F5D48">
        <w:rPr>
          <w:rFonts w:ascii="Verdana" w:hAnsi="Verdana" w:cs="Arial"/>
          <w:i/>
          <w:noProof/>
          <w:lang w:val="es-ES_tradnl"/>
        </w:rPr>
        <w:t xml:space="preserve"> dependencia</w:t>
      </w:r>
      <w:r w:rsidRPr="009F5D48">
        <w:rPr>
          <w:rFonts w:ascii="Verdana" w:hAnsi="Verdana" w:cs="Arial"/>
          <w:iCs/>
          <w:noProof/>
          <w:lang w:val="es-ES_tradnl"/>
        </w:rPr>
        <w:t>,</w:t>
      </w:r>
      <w:r w:rsidRPr="009F5D48">
        <w:rPr>
          <w:rFonts w:ascii="Verdana" w:hAnsi="Verdana" w:cs="Arial"/>
          <w:noProof/>
          <w:lang w:val="es-ES_tradnl"/>
        </w:rPr>
        <w:t xml:space="preserve"> que es uno de los elementos constitutivos del vínculo laboral</w:t>
      </w:r>
      <w:r w:rsidRPr="009F5D48">
        <w:rPr>
          <w:rFonts w:ascii="Verdana" w:hAnsi="Verdana"/>
          <w:noProof/>
          <w:vertAlign w:val="superscript"/>
          <w:lang w:val="es-ES_tradnl"/>
        </w:rPr>
        <w:footnoteReference w:id="4"/>
      </w:r>
      <w:r w:rsidRPr="009F5D48">
        <w:rPr>
          <w:rFonts w:ascii="Verdana" w:hAnsi="Verdana" w:cs="Arial"/>
          <w:noProof/>
          <w:lang w:val="es-ES_tradnl"/>
        </w:rPr>
        <w:t xml:space="preserve">. </w:t>
      </w:r>
    </w:p>
    <w:p w14:paraId="68A99F85" w14:textId="77777777" w:rsidR="00880C8B" w:rsidRPr="009F5D48" w:rsidRDefault="00880C8B" w:rsidP="00880C8B">
      <w:pPr>
        <w:spacing w:after="120" w:line="276" w:lineRule="auto"/>
        <w:jc w:val="both"/>
        <w:rPr>
          <w:rFonts w:ascii="Verdana" w:hAnsi="Verdana" w:cs="Arial"/>
          <w:noProof/>
          <w:lang w:val="es-ES_tradnl"/>
        </w:rPr>
      </w:pPr>
      <w:r w:rsidRPr="009F5D48">
        <w:rPr>
          <w:rFonts w:ascii="Verdana" w:hAnsi="Verdana" w:cs="Arial"/>
          <w:noProof/>
          <w:lang w:val="es-ES_tradnl"/>
        </w:rPr>
        <w:t xml:space="preserve">Por lo anterior,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9F5D48">
        <w:rPr>
          <w:rFonts w:ascii="Verdana" w:hAnsi="Verdana" w:cs="Arial"/>
          <w:i/>
          <w:noProof/>
          <w:lang w:val="es-ES_tradnl"/>
        </w:rPr>
        <w:t>no pueden</w:t>
      </w:r>
      <w:r w:rsidRPr="009F5D48">
        <w:rPr>
          <w:rFonts w:ascii="Verdana" w:hAnsi="Verdana" w:cs="Arial"/>
          <w:noProof/>
          <w:lang w:val="es-ES_tradnl"/>
        </w:rPr>
        <w:t xml:space="preserve"> generar relación laboral. Tal como se indicó, no puede existir subordinación y dependencia; entonces, la relación laboral está proscrita y el contratista es quien, como “trabajador independiente” – debe dispononer de forma autonoma la ejecución de las actividades objeto del contrato.  </w:t>
      </w:r>
    </w:p>
    <w:p w14:paraId="4E598DDA" w14:textId="77777777" w:rsidR="00880C8B" w:rsidRPr="009F5D48" w:rsidRDefault="00880C8B" w:rsidP="00880C8B">
      <w:pPr>
        <w:pStyle w:val="Prrafodelista"/>
        <w:numPr>
          <w:ilvl w:val="0"/>
          <w:numId w:val="9"/>
        </w:numPr>
        <w:spacing w:after="120" w:line="276" w:lineRule="auto"/>
        <w:ind w:left="0" w:firstLine="720"/>
        <w:jc w:val="both"/>
        <w:rPr>
          <w:rFonts w:ascii="Verdana" w:eastAsia="Calibri" w:hAnsi="Verdana" w:cs="Arial"/>
          <w:color w:val="000000"/>
          <w:lang w:val="es-ES_tradnl" w:eastAsia="es-ES_tradnl"/>
        </w:rPr>
      </w:pPr>
      <w:r w:rsidRPr="009F5D48">
        <w:rPr>
          <w:rFonts w:ascii="Verdana" w:hAnsi="Verdana" w:cs="Arial"/>
          <w:noProof/>
          <w:lang w:val="es-ES_tradnl"/>
        </w:rPr>
        <w:t xml:space="preserve">Deben ser temporales. La </w:t>
      </w:r>
      <w:r w:rsidRPr="009F5D48">
        <w:rPr>
          <w:rFonts w:ascii="Verdana" w:eastAsia="Arial" w:hAnsi="Verdana" w:cs="Arial"/>
          <w:color w:val="000000"/>
        </w:rPr>
        <w:t>Sentencia de Unificación Jurisprudencial de 09 de septiembre de 2021, proferida por el Consejo de Estado</w:t>
      </w:r>
      <w:r w:rsidRPr="009F5D48">
        <w:rPr>
          <w:rFonts w:ascii="Verdana" w:hAnsi="Verdana"/>
          <w:bCs/>
          <w:vertAlign w:val="superscript"/>
        </w:rPr>
        <w:footnoteReference w:id="5"/>
      </w:r>
      <w:r w:rsidRPr="009F5D48">
        <w:rPr>
          <w:rFonts w:ascii="Verdana" w:hAnsi="Verdana" w:cs="Arial"/>
          <w:noProof/>
          <w:lang w:val="es-ES_tradnl"/>
        </w:rPr>
        <w:t>, frente a la duración del contrato de prestación de servicios señaló que, solo puede celebrarse por un “término estrictamente indispensable”. En ese entendido, la citada sentencia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5CA3CA8C" w14:textId="77777777" w:rsidR="00880C8B" w:rsidRPr="009F5D48" w:rsidRDefault="00880C8B" w:rsidP="00880C8B">
      <w:pPr>
        <w:pStyle w:val="Prrafodelista"/>
        <w:numPr>
          <w:ilvl w:val="0"/>
          <w:numId w:val="9"/>
        </w:numPr>
        <w:spacing w:after="120" w:line="276" w:lineRule="auto"/>
        <w:ind w:left="0" w:firstLine="720"/>
        <w:jc w:val="both"/>
        <w:rPr>
          <w:rFonts w:ascii="Verdana" w:eastAsia="Calibri" w:hAnsi="Verdana" w:cs="Arial"/>
          <w:lang w:eastAsia="es-ES"/>
        </w:rPr>
      </w:pPr>
      <w:r w:rsidRPr="009F5D48">
        <w:rPr>
          <w:rFonts w:ascii="Verdana" w:eastAsia="Calibri" w:hAnsi="Verdana" w:cs="Arial"/>
          <w:color w:val="000000"/>
          <w:lang w:eastAsia="es-ES"/>
        </w:rPr>
        <w:lastRenderedPageBreak/>
        <w:t xml:space="preserve">Los contratos de prestación de servicios constituyen un </w:t>
      </w:r>
      <w:r w:rsidRPr="009F5D48">
        <w:rPr>
          <w:rFonts w:ascii="Verdana" w:eastAsia="Calibri" w:hAnsi="Verdana" w:cs="Arial"/>
          <w:i/>
          <w:color w:val="000000"/>
          <w:lang w:eastAsia="es-ES"/>
        </w:rPr>
        <w:t>género</w:t>
      </w:r>
      <w:r w:rsidRPr="009F5D48">
        <w:rPr>
          <w:rFonts w:ascii="Verdana" w:eastAsia="Calibri" w:hAnsi="Verdana" w:cs="Arial"/>
          <w:color w:val="000000"/>
          <w:lang w:eastAsia="es-ES"/>
        </w:rPr>
        <w:t xml:space="preserve"> que incluye, como </w:t>
      </w:r>
      <w:r w:rsidRPr="009F5D48">
        <w:rPr>
          <w:rFonts w:ascii="Verdana" w:eastAsia="Calibri" w:hAnsi="Verdana" w:cs="Arial"/>
          <w:i/>
          <w:color w:val="000000"/>
          <w:lang w:eastAsia="es-ES"/>
        </w:rPr>
        <w:t>especies</w:t>
      </w:r>
      <w:r w:rsidRPr="009F5D48">
        <w:rPr>
          <w:rFonts w:ascii="Verdana" w:eastAsia="Calibri" w:hAnsi="Verdana" w:cs="Arial"/>
          <w:color w:val="000000"/>
          <w:lang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9F5D48">
        <w:rPr>
          <w:rFonts w:ascii="Verdana" w:hAnsi="Verdana"/>
          <w:vertAlign w:val="superscript"/>
          <w:lang w:eastAsia="es-ES"/>
        </w:rPr>
        <w:footnoteReference w:id="6"/>
      </w:r>
      <w:r w:rsidRPr="009F5D48">
        <w:rPr>
          <w:rFonts w:ascii="Verdana" w:eastAsia="Calibri" w:hAnsi="Verdana" w:cs="Arial"/>
          <w:color w:val="000000"/>
          <w:lang w:eastAsia="es-ES"/>
        </w:rPr>
        <w:t xml:space="preserve">. La diferencia entre el contrato de prestación de servicios </w:t>
      </w:r>
      <w:r w:rsidRPr="009F5D48">
        <w:rPr>
          <w:rFonts w:ascii="Verdana" w:eastAsia="Calibri" w:hAnsi="Verdana" w:cs="Arial"/>
          <w:i/>
          <w:color w:val="000000"/>
          <w:lang w:eastAsia="es-ES"/>
        </w:rPr>
        <w:t>profesionales</w:t>
      </w:r>
      <w:r w:rsidRPr="009F5D48">
        <w:rPr>
          <w:rFonts w:ascii="Verdana" w:eastAsia="Calibri" w:hAnsi="Verdana" w:cs="Arial"/>
          <w:color w:val="000000"/>
          <w:lang w:eastAsia="es-ES"/>
        </w:rPr>
        <w:t xml:space="preserve"> con las otras dos especies del género en el cual se ubican radica en su contenido intelectual intangible y, al mismo tiempo, en la formación </w:t>
      </w:r>
      <w:r w:rsidRPr="009F5D48">
        <w:rPr>
          <w:rFonts w:ascii="Verdana" w:eastAsia="Calibri" w:hAnsi="Verdana" w:cs="Arial"/>
          <w:lang w:eastAsia="es-ES"/>
        </w:rPr>
        <w:t>profesional que se exige para desempeñar la labor</w:t>
      </w:r>
      <w:r w:rsidRPr="009F5D48">
        <w:rPr>
          <w:rFonts w:ascii="Verdana" w:hAnsi="Verdana"/>
          <w:vertAlign w:val="superscript"/>
          <w:lang w:eastAsia="es-ES"/>
        </w:rPr>
        <w:footnoteReference w:id="7"/>
      </w:r>
      <w:r w:rsidRPr="009F5D48">
        <w:rPr>
          <w:rFonts w:ascii="Verdana" w:eastAsia="Calibri" w:hAnsi="Verdana" w:cs="Arial"/>
          <w:lang w:eastAsia="es-ES"/>
        </w:rPr>
        <w:t>.</w:t>
      </w:r>
    </w:p>
    <w:p w14:paraId="129E3B59" w14:textId="77777777" w:rsidR="00880C8B" w:rsidRPr="009F5D48" w:rsidRDefault="00880C8B" w:rsidP="00880C8B">
      <w:pPr>
        <w:pStyle w:val="Prrafodelista"/>
        <w:widowControl w:val="0"/>
        <w:numPr>
          <w:ilvl w:val="0"/>
          <w:numId w:val="9"/>
        </w:numPr>
        <w:autoSpaceDE w:val="0"/>
        <w:autoSpaceDN w:val="0"/>
        <w:spacing w:after="0" w:line="276" w:lineRule="auto"/>
        <w:ind w:left="0" w:firstLine="720"/>
        <w:jc w:val="both"/>
        <w:rPr>
          <w:rFonts w:ascii="Verdana" w:eastAsia="Calibri" w:hAnsi="Verdana" w:cs="Arial"/>
          <w:color w:val="7030A0"/>
        </w:rPr>
      </w:pPr>
      <w:r w:rsidRPr="009F5D48">
        <w:rPr>
          <w:rFonts w:ascii="Verdana" w:hAnsi="Verdana" w:cs="Arial"/>
          <w:noProof/>
          <w:lang w:val="es-ES_tradnl"/>
        </w:rPr>
        <w:t xml:space="preserve">Se celebran a través de la modalidad de contratación directa, independientemente de la cuantía y del tipo de servicio profesional, siempre que su objeto no sea la consultoría. Esto por cuanto, como lo indicó </w:t>
      </w:r>
      <w:r w:rsidRPr="009F5D48">
        <w:rPr>
          <w:rFonts w:ascii="Verdana" w:eastAsia="Arial" w:hAnsi="Verdana" w:cs="Arial"/>
        </w:rPr>
        <w:t>Sentencia de Unificación Jurisprudencial de 09 de septiembre de 2021, proferida por el Consejo de Estado</w:t>
      </w:r>
      <w:r w:rsidRPr="009F5D48">
        <w:rPr>
          <w:rFonts w:ascii="Verdana" w:hAnsi="Verdana"/>
          <w:bCs/>
          <w:vertAlign w:val="superscript"/>
        </w:rPr>
        <w:footnoteReference w:id="8"/>
      </w:r>
      <w:r w:rsidRPr="009F5D48">
        <w:rPr>
          <w:rFonts w:ascii="Verdana" w:hAnsi="Verdana" w:cs="Arial"/>
          <w:noProof/>
          <w:lang w:val="es-ES_tradnl"/>
        </w:rPr>
        <w:t>, si bien en ambos existe un componente intelectual y profesional, el objeto del contrato de consultoría es especial y debe celebrarse, por regla general, mediante un concurso de méritos</w:t>
      </w:r>
      <w:r w:rsidRPr="009F5D48">
        <w:rPr>
          <w:rFonts w:ascii="Verdana" w:hAnsi="Verdana"/>
          <w:noProof/>
          <w:vertAlign w:val="superscript"/>
          <w:lang w:val="es-ES_tradnl"/>
        </w:rPr>
        <w:footnoteReference w:id="9"/>
      </w:r>
      <w:r w:rsidRPr="009F5D48">
        <w:rPr>
          <w:rFonts w:ascii="Verdana" w:hAnsi="Verdana" w:cs="Arial"/>
          <w:noProof/>
          <w:lang w:val="es-ES_tradnl"/>
        </w:rPr>
        <w:t>. Esto también se deriva d</w:t>
      </w:r>
      <w:r w:rsidRPr="009F5D48">
        <w:rPr>
          <w:rFonts w:ascii="Verdana" w:eastAsia="Calibri" w:hAnsi="Verdana" w:cs="Arial"/>
          <w:color w:val="000000" w:themeColor="text1"/>
          <w:lang w:val="es-ES_tradnl"/>
        </w:rPr>
        <w:t xml:space="preserve">el </w:t>
      </w:r>
      <w:r w:rsidRPr="009F5D48">
        <w:rPr>
          <w:rFonts w:ascii="Verdana" w:eastAsia="Calibri" w:hAnsi="Verdana" w:cs="Arial"/>
          <w:color w:val="000000" w:themeColor="text1"/>
          <w:lang w:val="es-ES_tradnl"/>
        </w:rPr>
        <w:lastRenderedPageBreak/>
        <w:t>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5B577AAE" w14:textId="77777777" w:rsidR="00880C8B" w:rsidRPr="009F5D48" w:rsidRDefault="00880C8B" w:rsidP="00880C8B">
      <w:pPr>
        <w:pStyle w:val="Prrafodelista"/>
        <w:numPr>
          <w:ilvl w:val="0"/>
          <w:numId w:val="9"/>
        </w:numPr>
        <w:spacing w:after="120" w:line="276" w:lineRule="auto"/>
        <w:ind w:left="0" w:firstLine="720"/>
        <w:jc w:val="both"/>
        <w:rPr>
          <w:rFonts w:ascii="Verdana" w:hAnsi="Verdana" w:cs="Arial"/>
          <w:noProof/>
          <w:lang w:val="es-ES_tradnl"/>
        </w:rPr>
      </w:pPr>
      <w:r w:rsidRPr="009F5D48">
        <w:rPr>
          <w:rFonts w:ascii="Verdana" w:hAnsi="Verdana" w:cs="Arial"/>
          <w:noProof/>
          <w:lang w:val="es-ES_tradnl"/>
        </w:rPr>
        <w:t>Para su celebración no se requiere expedir un acto administrativo de justificación de la contratación directa</w:t>
      </w:r>
      <w:r w:rsidRPr="009F5D48">
        <w:rPr>
          <w:rFonts w:ascii="Verdana" w:hAnsi="Verdana"/>
          <w:noProof/>
          <w:vertAlign w:val="superscript"/>
          <w:lang w:val="es-ES_tradnl"/>
        </w:rPr>
        <w:footnoteReference w:id="10"/>
      </w:r>
      <w:r w:rsidRPr="009F5D48">
        <w:rPr>
          <w:rFonts w:ascii="Verdana" w:hAnsi="Verdana" w:cs="Arial"/>
          <w:noProof/>
          <w:lang w:val="es-ES_tradnl"/>
        </w:rPr>
        <w:t>.</w:t>
      </w:r>
    </w:p>
    <w:p w14:paraId="460A4BA3" w14:textId="77777777" w:rsidR="00880C8B" w:rsidRPr="009F5D48" w:rsidRDefault="00880C8B" w:rsidP="00880C8B">
      <w:pPr>
        <w:pStyle w:val="Prrafodelista"/>
        <w:numPr>
          <w:ilvl w:val="0"/>
          <w:numId w:val="9"/>
        </w:numPr>
        <w:spacing w:after="120" w:line="276" w:lineRule="auto"/>
        <w:ind w:left="0" w:firstLine="698"/>
        <w:jc w:val="both"/>
        <w:rPr>
          <w:rFonts w:ascii="Verdana" w:hAnsi="Verdana" w:cs="Arial"/>
          <w:noProof/>
          <w:lang w:val="es-ES_tradnl"/>
        </w:rPr>
      </w:pPr>
      <w:r w:rsidRPr="009F5D48">
        <w:rPr>
          <w:rFonts w:ascii="Verdana" w:hAnsi="Verdana" w:cs="Arial"/>
          <w:noProof/>
          <w:lang w:val="es-ES_tradnl"/>
        </w:rPr>
        <w:t>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9F5D48">
        <w:rPr>
          <w:rFonts w:ascii="Verdana" w:hAnsi="Verdana"/>
          <w:noProof/>
          <w:vertAlign w:val="superscript"/>
          <w:lang w:val="es-ES_tradnl"/>
        </w:rPr>
        <w:footnoteReference w:id="11"/>
      </w:r>
      <w:r w:rsidRPr="009F5D48">
        <w:rPr>
          <w:rFonts w:ascii="Verdana" w:hAnsi="Verdana" w:cs="Arial"/>
          <w:noProof/>
          <w:lang w:val="es-ES_tradnl"/>
        </w:rPr>
        <w:t>.</w:t>
      </w:r>
    </w:p>
    <w:p w14:paraId="140491AC" w14:textId="77777777" w:rsidR="00880C8B" w:rsidRPr="009F5D48" w:rsidRDefault="00880C8B" w:rsidP="00880C8B">
      <w:pPr>
        <w:pStyle w:val="Prrafodelista"/>
        <w:numPr>
          <w:ilvl w:val="0"/>
          <w:numId w:val="9"/>
        </w:numPr>
        <w:spacing w:after="120" w:line="276" w:lineRule="auto"/>
        <w:ind w:left="0" w:firstLine="698"/>
        <w:jc w:val="both"/>
        <w:rPr>
          <w:rFonts w:ascii="Verdana" w:hAnsi="Verdana" w:cs="Arial"/>
          <w:noProof/>
          <w:lang w:val="es-ES_tradnl"/>
        </w:rPr>
      </w:pPr>
      <w:r w:rsidRPr="009F5D48">
        <w:rPr>
          <w:rFonts w:ascii="Verdana" w:hAnsi="Verdana" w:cs="Arial"/>
          <w:noProof/>
          <w:lang w:val="es-ES_tradnl"/>
        </w:rPr>
        <w:lastRenderedPageBreak/>
        <w:t>No es obligatoria la liquidación de estos contratos, como lo establece el artículo 217 del Decreto 019 de 2012, que modificó el artículo 60 de la Ley 80 de 1993</w:t>
      </w:r>
      <w:r w:rsidRPr="009F5D48">
        <w:rPr>
          <w:rFonts w:ascii="Verdana" w:hAnsi="Verdana"/>
          <w:noProof/>
          <w:vertAlign w:val="superscript"/>
          <w:lang w:val="es-ES_tradnl"/>
        </w:rPr>
        <w:footnoteReference w:id="12"/>
      </w:r>
      <w:r w:rsidRPr="009F5D48">
        <w:rPr>
          <w:rFonts w:ascii="Verdana" w:hAnsi="Verdana" w:cs="Arial"/>
          <w:noProof/>
          <w:lang w:val="es-ES_tradnl"/>
        </w:rPr>
        <w:t>.</w:t>
      </w:r>
    </w:p>
    <w:p w14:paraId="0E5524B7" w14:textId="77777777" w:rsidR="00880C8B" w:rsidRPr="009F5D48" w:rsidRDefault="00880C8B" w:rsidP="00880C8B">
      <w:pPr>
        <w:pStyle w:val="Prrafodelista"/>
        <w:numPr>
          <w:ilvl w:val="0"/>
          <w:numId w:val="9"/>
        </w:numPr>
        <w:spacing w:after="120" w:line="276" w:lineRule="auto"/>
        <w:ind w:left="0" w:firstLine="720"/>
        <w:jc w:val="both"/>
        <w:rPr>
          <w:rFonts w:ascii="Verdana" w:hAnsi="Verdana" w:cs="Arial"/>
          <w:noProof/>
          <w:lang w:val="es-ES_tradnl"/>
        </w:rPr>
      </w:pPr>
      <w:r w:rsidRPr="009F5D48">
        <w:rPr>
          <w:rFonts w:ascii="Verdana" w:hAnsi="Verdana" w:cs="Arial"/>
          <w:noProof/>
          <w:lang w:val="es-ES_tradnl"/>
        </w:rPr>
        <w:t>Para su celebración el contratista no requiere estar inscrito en el Registro Único de Proponentes –en adelante RUP–, como lo señala el artículo 6 de la Ley 1150 de 2007</w:t>
      </w:r>
      <w:r w:rsidRPr="009F5D48">
        <w:rPr>
          <w:rFonts w:ascii="Verdana" w:hAnsi="Verdana"/>
          <w:noProof/>
          <w:vertAlign w:val="superscript"/>
          <w:lang w:val="es-ES_tradnl"/>
        </w:rPr>
        <w:footnoteReference w:id="13"/>
      </w:r>
      <w:r w:rsidRPr="009F5D48">
        <w:rPr>
          <w:rFonts w:ascii="Verdana" w:hAnsi="Verdana" w:cs="Arial"/>
          <w:noProof/>
          <w:lang w:val="es-ES_tradnl"/>
        </w:rPr>
        <w:t>.</w:t>
      </w:r>
    </w:p>
    <w:p w14:paraId="736E40EA" w14:textId="77777777" w:rsidR="00880C8B" w:rsidRPr="009F5D48" w:rsidRDefault="00880C8B" w:rsidP="00880C8B">
      <w:pPr>
        <w:pStyle w:val="Prrafodelista"/>
        <w:numPr>
          <w:ilvl w:val="0"/>
          <w:numId w:val="9"/>
        </w:numPr>
        <w:spacing w:after="120" w:line="276" w:lineRule="auto"/>
        <w:jc w:val="both"/>
        <w:rPr>
          <w:rFonts w:ascii="Verdana" w:hAnsi="Verdana" w:cs="Arial"/>
          <w:noProof/>
          <w:lang w:val="es-ES_tradnl"/>
        </w:rPr>
      </w:pPr>
      <w:r w:rsidRPr="009F5D48">
        <w:rPr>
          <w:rFonts w:ascii="Verdana" w:hAnsi="Verdana" w:cs="Arial"/>
          <w:noProof/>
          <w:lang w:val="es-ES_tradnl"/>
        </w:rPr>
        <w:t>No es obligtoria la exigencia de garantías</w:t>
      </w:r>
      <w:r w:rsidRPr="009F5D48">
        <w:rPr>
          <w:rFonts w:ascii="Verdana" w:hAnsi="Verdana"/>
          <w:noProof/>
          <w:vertAlign w:val="superscript"/>
          <w:lang w:val="es-ES_tradnl"/>
        </w:rPr>
        <w:footnoteReference w:id="14"/>
      </w:r>
      <w:r w:rsidRPr="009F5D48">
        <w:rPr>
          <w:rFonts w:ascii="Verdana" w:hAnsi="Verdana" w:cs="Arial"/>
          <w:noProof/>
          <w:lang w:val="es-ES_tradnl"/>
        </w:rPr>
        <w:t>.</w:t>
      </w:r>
    </w:p>
    <w:p w14:paraId="67BD594D" w14:textId="77777777" w:rsidR="00880C8B" w:rsidRDefault="00880C8B" w:rsidP="00880C8B">
      <w:pPr>
        <w:pStyle w:val="Prrafodelista"/>
        <w:numPr>
          <w:ilvl w:val="0"/>
          <w:numId w:val="9"/>
        </w:numPr>
        <w:spacing w:after="120" w:line="276" w:lineRule="auto"/>
        <w:ind w:left="0" w:firstLine="709"/>
        <w:jc w:val="both"/>
        <w:rPr>
          <w:rFonts w:ascii="Verdana" w:hAnsi="Verdana" w:cs="Arial"/>
          <w:noProof/>
          <w:lang w:val="es-ES_tradnl"/>
        </w:rPr>
      </w:pPr>
      <w:r w:rsidRPr="009F5D48">
        <w:rPr>
          <w:rFonts w:ascii="Verdana" w:hAnsi="Verdana" w:cs="Arial"/>
          <w:noProof/>
          <w:lang w:val="es-ES_tradnl"/>
        </w:rPr>
        <w:t>Como los demás contratos estatales, se trata de un contrato solemne que debe constar por escrito y debe ser publicado en el SECOP.</w:t>
      </w:r>
    </w:p>
    <w:p w14:paraId="6617C865" w14:textId="77777777" w:rsidR="00880C8B" w:rsidRPr="001E7958" w:rsidRDefault="00880C8B" w:rsidP="00880C8B">
      <w:pPr>
        <w:spacing w:after="0" w:line="276" w:lineRule="auto"/>
        <w:jc w:val="both"/>
        <w:rPr>
          <w:rFonts w:ascii="Verdana" w:eastAsia="Calibri" w:hAnsi="Verdana" w:cs="Arial"/>
          <w:color w:val="7030A0"/>
          <w:lang w:val="es-ES"/>
        </w:rPr>
      </w:pPr>
      <w:r w:rsidRPr="009F5D48">
        <w:rPr>
          <w:rFonts w:ascii="Verdana" w:hAnsi="Verdana" w:cs="Arial"/>
        </w:rPr>
        <w:t xml:space="preserve">Una vez establecidos los requisitos habilitantes y las demás características de la contratación en los documentos previos, a cada entidad estatal le corresponde </w:t>
      </w:r>
      <w:r w:rsidRPr="009F5D48">
        <w:rPr>
          <w:rFonts w:ascii="Verdana" w:hAnsi="Verdana" w:cs="Arial"/>
          <w:lang w:val="es-ES"/>
        </w:rPr>
        <w:t>verificar la idoneidad de las personas que pretendan celebrar contratos de prestación de servicios profesionales, de acuerdo con las características, el alcance del objeto del contrato y el perfil establecido.</w:t>
      </w:r>
    </w:p>
    <w:p w14:paraId="396FBA56" w14:textId="77777777" w:rsidR="00880C8B" w:rsidRPr="009F5D48" w:rsidRDefault="00880C8B" w:rsidP="00880C8B">
      <w:pPr>
        <w:spacing w:after="0" w:line="276" w:lineRule="auto"/>
        <w:jc w:val="both"/>
        <w:rPr>
          <w:rFonts w:ascii="Verdana" w:eastAsia="Calibri" w:hAnsi="Verdana" w:cs="Arial"/>
          <w:lang w:val="es-ES"/>
        </w:rPr>
      </w:pPr>
    </w:p>
    <w:p w14:paraId="0E4C4173" w14:textId="77777777" w:rsidR="00880C8B" w:rsidRPr="009F5D48" w:rsidRDefault="00880C8B" w:rsidP="00880C8B">
      <w:pPr>
        <w:pStyle w:val="Prrafodelista"/>
        <w:numPr>
          <w:ilvl w:val="0"/>
          <w:numId w:val="11"/>
        </w:numPr>
        <w:spacing w:after="0" w:line="276" w:lineRule="auto"/>
        <w:jc w:val="both"/>
        <w:rPr>
          <w:rFonts w:ascii="Verdana" w:eastAsia="Calibri" w:hAnsi="Verdana" w:cs="Arial"/>
          <w:u w:val="single"/>
        </w:rPr>
      </w:pPr>
      <w:r w:rsidRPr="009F5D48">
        <w:rPr>
          <w:rFonts w:ascii="Verdana" w:eastAsia="Calibri" w:hAnsi="Verdana" w:cs="Arial"/>
          <w:u w:val="single"/>
        </w:rPr>
        <w:t>Régimen de inhabilidades e incompatibilidades</w:t>
      </w:r>
    </w:p>
    <w:p w14:paraId="1E7781D7" w14:textId="77777777" w:rsidR="00880C8B" w:rsidRPr="009F5D48" w:rsidRDefault="00880C8B" w:rsidP="00880C8B">
      <w:pPr>
        <w:spacing w:after="0" w:line="276" w:lineRule="auto"/>
        <w:jc w:val="both"/>
        <w:rPr>
          <w:rFonts w:ascii="Verdana" w:eastAsia="Calibri" w:hAnsi="Verdana" w:cs="Arial"/>
          <w:color w:val="7030A0"/>
          <w:lang w:val="es-ES"/>
        </w:rPr>
      </w:pPr>
    </w:p>
    <w:p w14:paraId="69BCDD42" w14:textId="77777777" w:rsidR="00880C8B" w:rsidRPr="009F5D48" w:rsidRDefault="00880C8B" w:rsidP="00880C8B">
      <w:pPr>
        <w:widowControl w:val="0"/>
        <w:autoSpaceDE w:val="0"/>
        <w:autoSpaceDN w:val="0"/>
        <w:spacing w:after="120" w:line="276" w:lineRule="auto"/>
        <w:jc w:val="both"/>
        <w:rPr>
          <w:rFonts w:ascii="Verdana" w:eastAsia="Calibri" w:hAnsi="Verdana" w:cs="Arial"/>
          <w:lang w:val="es-ES"/>
        </w:rPr>
      </w:pPr>
      <w:r w:rsidRPr="009F5D48">
        <w:rPr>
          <w:rFonts w:ascii="Verdana" w:eastAsia="Calibri" w:hAnsi="Verdana" w:cs="Arial"/>
          <w:lang w:val="es-ES"/>
        </w:rPr>
        <w:t xml:space="preserve">Se destaca el régimen de inhabilidades e incompatibilidades como un conjunto </w:t>
      </w:r>
      <w:r w:rsidRPr="009F5D48">
        <w:rPr>
          <w:rFonts w:ascii="Verdana" w:eastAsia="Calibri" w:hAnsi="Verdana" w:cs="Arial"/>
          <w:lang w:val="es-ES"/>
        </w:rPr>
        <w:lastRenderedPageBreak/>
        <w:t>de normas que impone restricciones para los sujetos que eventualmente pretendan participar en los procedimientos de selección o en la celebración de contratos con las entidades estatales, constituyendo “</w:t>
      </w:r>
      <w:r w:rsidRPr="444F5416">
        <w:rPr>
          <w:rFonts w:ascii="Verdana" w:eastAsia="Calibri" w:hAnsi="Verdana" w:cs="Arial"/>
          <w:i/>
          <w:iCs/>
          <w:lang w:val="es-ES"/>
        </w:rPr>
        <w:t>prohibiciones que restringen la capacidad y la libertad de un contratista para acceder a la contratación</w:t>
      </w:r>
      <w:r w:rsidRPr="009F5D48">
        <w:rPr>
          <w:rFonts w:ascii="Verdana" w:eastAsia="Calibri" w:hAnsi="Verdana" w:cs="Arial"/>
          <w:lang w:val="es-ES"/>
        </w:rPr>
        <w:t>”</w:t>
      </w:r>
      <w:r w:rsidRPr="009F5D48">
        <w:rPr>
          <w:rStyle w:val="Refdenotaalpie"/>
          <w:rFonts w:ascii="Verdana" w:eastAsia="Calibri" w:hAnsi="Verdana" w:cs="Arial"/>
          <w:lang w:val="es-ES"/>
        </w:rPr>
        <w:footnoteReference w:id="15"/>
      </w:r>
      <w:r w:rsidRPr="009F5D48">
        <w:rPr>
          <w:rFonts w:ascii="Verdana" w:eastAsia="Calibri" w:hAnsi="Verdana" w:cs="Arial"/>
          <w:lang w:val="es-ES"/>
        </w:rPr>
        <w:t xml:space="preserve">. </w:t>
      </w:r>
    </w:p>
    <w:p w14:paraId="0D812A1C" w14:textId="77777777" w:rsidR="00880C8B" w:rsidRPr="009F5D48" w:rsidRDefault="00880C8B" w:rsidP="00880C8B">
      <w:pPr>
        <w:widowControl w:val="0"/>
        <w:autoSpaceDE w:val="0"/>
        <w:autoSpaceDN w:val="0"/>
        <w:spacing w:after="120" w:line="276" w:lineRule="auto"/>
        <w:ind w:firstLine="708"/>
        <w:jc w:val="both"/>
        <w:rPr>
          <w:rFonts w:ascii="Verdana" w:eastAsia="Calibri" w:hAnsi="Verdana" w:cs="Arial"/>
          <w:lang w:val="es-ES"/>
        </w:rPr>
      </w:pPr>
      <w:r w:rsidRPr="009F5D48">
        <w:rPr>
          <w:rFonts w:ascii="Verdana" w:eastAsia="Calibri" w:hAnsi="Verdana" w:cs="Arial"/>
          <w:lang w:val="es-ES"/>
        </w:rPr>
        <w:t>De una parte, las inhabilidades son prohibiciones para concurrir a los procedimientos de selección y para contratar con el Estado, que se derivan i) de la existencia de comportamientos reprochables o de sanciones anteriormente impuestas</w:t>
      </w:r>
      <w:r w:rsidRPr="009F5D48">
        <w:rPr>
          <w:rFonts w:ascii="Verdana" w:eastAsia="Calibri" w:hAnsi="Verdana" w:cs="Arial"/>
          <w:vertAlign w:val="superscript"/>
          <w:lang w:val="es-ES"/>
        </w:rPr>
        <w:footnoteReference w:id="16"/>
      </w:r>
      <w:r w:rsidRPr="009F5D48">
        <w:rPr>
          <w:rFonts w:ascii="Verdana" w:eastAsia="Calibri" w:hAnsi="Verdana" w:cs="Arial"/>
          <w:lang w:val="es-ES"/>
        </w:rPr>
        <w:t xml:space="preserve">, </w:t>
      </w:r>
      <w:proofErr w:type="spellStart"/>
      <w:r w:rsidRPr="009F5D48">
        <w:rPr>
          <w:rFonts w:ascii="Verdana" w:eastAsia="Calibri" w:hAnsi="Verdana" w:cs="Arial"/>
          <w:lang w:val="es-ES"/>
        </w:rPr>
        <w:t>ii</w:t>
      </w:r>
      <w:proofErr w:type="spellEnd"/>
      <w:r w:rsidRPr="009F5D48">
        <w:rPr>
          <w:rFonts w:ascii="Verdana" w:eastAsia="Calibri" w:hAnsi="Verdana" w:cs="Arial"/>
          <w:lang w:val="es-ES"/>
        </w:rPr>
        <w:t>) de vínculos personales relativos al parentesco o al estado civil</w:t>
      </w:r>
      <w:r w:rsidRPr="009F5D48">
        <w:rPr>
          <w:rFonts w:ascii="Verdana" w:eastAsia="Calibri" w:hAnsi="Verdana" w:cs="Arial"/>
          <w:vertAlign w:val="superscript"/>
          <w:lang w:val="es-ES"/>
        </w:rPr>
        <w:footnoteReference w:id="17"/>
      </w:r>
      <w:r w:rsidRPr="009F5D48">
        <w:rPr>
          <w:rFonts w:ascii="Verdana" w:eastAsia="Calibri" w:hAnsi="Verdana" w:cs="Arial"/>
          <w:lang w:val="es-ES"/>
        </w:rPr>
        <w:t xml:space="preserve"> </w:t>
      </w:r>
      <w:r w:rsidRPr="009F5D48">
        <w:rPr>
          <w:rFonts w:ascii="Verdana" w:eastAsia="Calibri" w:hAnsi="Verdana" w:cs="Arial"/>
          <w:lang w:val="es-ES"/>
        </w:rPr>
        <w:lastRenderedPageBreak/>
        <w:t xml:space="preserve">o </w:t>
      </w:r>
      <w:proofErr w:type="spellStart"/>
      <w:r w:rsidRPr="009F5D48">
        <w:rPr>
          <w:rFonts w:ascii="Verdana" w:eastAsia="Calibri" w:hAnsi="Verdana" w:cs="Arial"/>
          <w:lang w:val="es-ES"/>
        </w:rPr>
        <w:t>iii</w:t>
      </w:r>
      <w:proofErr w:type="spellEnd"/>
      <w:r w:rsidRPr="009F5D48">
        <w:rPr>
          <w:rFonts w:ascii="Verdana" w:eastAsia="Calibri" w:hAnsi="Verdana" w:cs="Arial"/>
          <w:lang w:val="es-ES"/>
        </w:rPr>
        <w:t>) de una actividad u oficio que se desempeñó en el pasado</w:t>
      </w:r>
      <w:r w:rsidRPr="009F5D48">
        <w:rPr>
          <w:rFonts w:ascii="Verdana" w:eastAsia="Calibri" w:hAnsi="Verdana" w:cs="Arial"/>
          <w:vertAlign w:val="superscript"/>
          <w:lang w:val="es-ES"/>
        </w:rPr>
        <w:footnoteReference w:id="18"/>
      </w:r>
      <w:r w:rsidRPr="009F5D48">
        <w:rPr>
          <w:rFonts w:ascii="Verdana" w:eastAsia="Calibri" w:hAnsi="Verdana" w:cs="Arial"/>
          <w:lang w:val="es-ES"/>
        </w:rPr>
        <w:t xml:space="preserve"> (se encuentran principalmente en el artículo 8 de la Ley 80 de 1993). De otra,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9F5D48">
        <w:rPr>
          <w:rFonts w:ascii="Verdana" w:eastAsia="Calibri" w:hAnsi="Verdana" w:cs="Arial"/>
          <w:vertAlign w:val="superscript"/>
          <w:lang w:val="es-ES"/>
        </w:rPr>
        <w:footnoteReference w:id="19"/>
      </w:r>
      <w:r w:rsidRPr="009F5D48">
        <w:rPr>
          <w:rFonts w:ascii="Verdana" w:eastAsia="Calibri" w:hAnsi="Verdana" w:cs="Arial"/>
          <w:lang w:val="es-ES"/>
        </w:rPr>
        <w:t>.</w:t>
      </w:r>
    </w:p>
    <w:p w14:paraId="2F3934B0" w14:textId="77777777" w:rsidR="00880C8B" w:rsidRPr="009F5D48" w:rsidRDefault="00880C8B" w:rsidP="00880C8B">
      <w:pPr>
        <w:widowControl w:val="0"/>
        <w:autoSpaceDE w:val="0"/>
        <w:autoSpaceDN w:val="0"/>
        <w:spacing w:after="120" w:line="276" w:lineRule="auto"/>
        <w:jc w:val="both"/>
        <w:rPr>
          <w:rFonts w:ascii="Verdana" w:eastAsia="Calibri" w:hAnsi="Verdana" w:cs="Arial"/>
          <w:lang w:val="es-ES"/>
        </w:rPr>
      </w:pPr>
      <w:r w:rsidRPr="009F5D48">
        <w:rPr>
          <w:rFonts w:ascii="Verdana" w:eastAsia="Calibri" w:hAnsi="Verdana" w:cs="Arial"/>
          <w:lang w:val="es-ES"/>
        </w:rPr>
        <w:tab/>
        <w:t xml:space="preserve">Debido a las restricciones que impone el régimen de inhabilidades e </w:t>
      </w:r>
      <w:r w:rsidRPr="009F5D48">
        <w:rPr>
          <w:rFonts w:ascii="Verdana" w:eastAsia="Calibri" w:hAnsi="Verdana" w:cs="Arial"/>
          <w:lang w:val="es-ES"/>
        </w:rPr>
        <w:lastRenderedPageBreak/>
        <w:t xml:space="preserve">incompatibilidades, este se tipifica en la Ley expresamente y su interpretación debe ser restrictiva. Es decir, las causales de inhabilidad e impedimentos deben estar enunciadas en las normas de forma taxativa y al aplicarse en una situación particular su interpretación debe ser restrictiva, de tal forma que no se admita una interpretación amplia o extensiva que permitiera contemplar supuestos indeterminados como causales de inhabilidad o impedimentos. Por lo que, la interpretación de los efectos de la suspensión o exclusión del ejercicio de la profesión no puede hacerse extensiva a otras sanciones que no estén expresamente establecidas en la norma. </w:t>
      </w:r>
    </w:p>
    <w:p w14:paraId="40A70679" w14:textId="77777777" w:rsidR="00880C8B" w:rsidRPr="009F5D48" w:rsidRDefault="00880C8B" w:rsidP="00880C8B">
      <w:pPr>
        <w:widowControl w:val="0"/>
        <w:autoSpaceDE w:val="0"/>
        <w:autoSpaceDN w:val="0"/>
        <w:spacing w:after="120" w:line="276" w:lineRule="auto"/>
        <w:ind w:firstLine="708"/>
        <w:jc w:val="both"/>
        <w:rPr>
          <w:rFonts w:ascii="Verdana" w:eastAsia="Calibri" w:hAnsi="Verdana" w:cs="Arial"/>
          <w:lang w:val="es-ES_tradnl" w:eastAsia="es-ES_tradnl"/>
        </w:rPr>
      </w:pPr>
      <w:r w:rsidRPr="009F5D48">
        <w:rPr>
          <w:rFonts w:ascii="Verdana" w:eastAsia="Calibri" w:hAnsi="Verdana" w:cs="Arial"/>
          <w:lang w:val="es-ES"/>
        </w:rPr>
        <w:t>En efecto, sobre la interpretación de este tipo de normas, la Corte Constitucional ha aclarado que</w:t>
      </w:r>
      <w:r w:rsidRPr="009F5D48">
        <w:rPr>
          <w:rFonts w:ascii="Verdana" w:eastAsia="Calibri" w:hAnsi="Verdana" w:cs="Arial"/>
          <w:lang w:val="es-ES_tradnl" w:eastAsia="es-ES_tradnl"/>
        </w:rPr>
        <w:t xml:space="preserv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9F5D48">
        <w:rPr>
          <w:rFonts w:ascii="Verdana" w:eastAsia="Aptos" w:hAnsi="Verdana" w:cs="Times New Roman"/>
          <w:vertAlign w:val="superscript"/>
        </w:rPr>
        <w:footnoteReference w:id="20"/>
      </w:r>
      <w:r w:rsidRPr="009F5D48">
        <w:rPr>
          <w:rFonts w:ascii="Verdana" w:eastAsia="Calibri" w:hAnsi="Verdana" w:cs="Arial"/>
          <w:lang w:val="es-ES_tradnl" w:eastAsia="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9F5D48">
        <w:rPr>
          <w:rFonts w:ascii="Verdana" w:eastAsia="Aptos" w:hAnsi="Verdana" w:cs="Times New Roman"/>
          <w:vertAlign w:val="superscript"/>
        </w:rPr>
        <w:footnoteReference w:id="21"/>
      </w:r>
      <w:r w:rsidRPr="009F5D48">
        <w:rPr>
          <w:rFonts w:ascii="Verdana" w:eastAsia="Calibri" w:hAnsi="Verdana" w:cs="Arial"/>
          <w:lang w:val="es-ES_tradnl" w:eastAsia="es-ES_tradnl"/>
        </w:rPr>
        <w:t>.</w:t>
      </w:r>
    </w:p>
    <w:p w14:paraId="45282DC0" w14:textId="77777777" w:rsidR="00880C8B" w:rsidRPr="00880C8B" w:rsidRDefault="00880C8B" w:rsidP="00714BFC">
      <w:pPr>
        <w:pStyle w:val="Prrafodelista"/>
        <w:numPr>
          <w:ilvl w:val="0"/>
          <w:numId w:val="11"/>
        </w:numPr>
        <w:spacing w:before="100" w:beforeAutospacing="1" w:after="100" w:afterAutospacing="1" w:line="276" w:lineRule="auto"/>
        <w:ind w:right="709"/>
        <w:jc w:val="both"/>
        <w:rPr>
          <w:rFonts w:ascii="Verdana" w:eastAsia="Times New Roman" w:hAnsi="Verdana" w:cs="Times New Roman"/>
          <w:lang w:eastAsia="es-MX"/>
        </w:rPr>
      </w:pPr>
      <w:r w:rsidRPr="00880C8B">
        <w:rPr>
          <w:rFonts w:ascii="Verdana" w:eastAsia="Calibri" w:hAnsi="Verdana" w:cs="Arial"/>
          <w:u w:val="single"/>
        </w:rPr>
        <w:t xml:space="preserve">Posibilidad de que una persona natura </w:t>
      </w:r>
      <w:r w:rsidRPr="00880C8B">
        <w:rPr>
          <w:rFonts w:ascii="Verdana" w:hAnsi="Verdana"/>
          <w:u w:val="single"/>
        </w:rPr>
        <w:t xml:space="preserve">puede suscribir más de un (1) contrato de prestación de servicios </w:t>
      </w:r>
    </w:p>
    <w:p w14:paraId="4D6EF923" w14:textId="3145284F" w:rsidR="00880C8B" w:rsidRPr="00880C8B" w:rsidRDefault="00880C8B" w:rsidP="00880C8B">
      <w:pPr>
        <w:spacing w:before="100" w:beforeAutospacing="1" w:after="100" w:afterAutospacing="1" w:line="276" w:lineRule="auto"/>
        <w:ind w:left="360" w:right="709"/>
        <w:jc w:val="both"/>
        <w:rPr>
          <w:rFonts w:ascii="Verdana" w:eastAsia="Times New Roman" w:hAnsi="Verdana" w:cs="Times New Roman"/>
          <w:lang w:eastAsia="es-MX"/>
        </w:rPr>
      </w:pPr>
      <w:r w:rsidRPr="00880C8B">
        <w:rPr>
          <w:rFonts w:ascii="Verdana" w:eastAsia="Times New Roman" w:hAnsi="Verdana" w:cs="Times New Roman"/>
          <w:lang w:eastAsia="es-MX"/>
        </w:rPr>
        <w:t xml:space="preserve">Para abordar el interrogante planteado, es imperativo realizar un análisis sistemático del marco constitucional y legal vigente, partiendo </w:t>
      </w:r>
      <w:r w:rsidRPr="00880C8B">
        <w:rPr>
          <w:rFonts w:ascii="Verdana" w:eastAsia="Times New Roman" w:hAnsi="Verdana" w:cs="Times New Roman"/>
          <w:lang w:eastAsia="es-MX"/>
        </w:rPr>
        <w:lastRenderedPageBreak/>
        <w:t>de la premisa establecida en la Constitución Política. En este orden de ideas, analizado el conjunto de disposiciones que integran el régimen de inhabilidades e incompatibilidades para la contratación estatal, específicamente el artículo 8 de la Ley 80 de 1993, no se advierte una causal taxativa que restrinja de forma expresa que una persona —sea natural o jurídica— celebre más de un contrato de prestación de servicios al mismo tiempo con la misma entidad. Es fundamental distinguir que la prohibición constitucional del artículo 128, referente a recibir más de una asignación del tesoro público, aplica restrictivamente a los servidores públicos en situación legal y reglamentaria, y no se extiende a los contratistas de prestación de servicios, quienes actúan como particulares colaboradores de la administración y perciben honorarios, no salarios.</w:t>
      </w:r>
    </w:p>
    <w:p w14:paraId="35588E61" w14:textId="77777777" w:rsidR="00880C8B" w:rsidRDefault="00880C8B" w:rsidP="00880C8B">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En este sentido, una entidad estatal que celebra un contrato directo lo hace en virtud de la idoneidad del contratista y su capacidad para desarrollar el objeto contractual. Al respecto, el artículo 2.2.1.2.1.4.9 del Decreto 1082 de 2015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Este requisito de tener la capacidad está intrínsecamente relacionado con la disponibilidad y dedicación para cumplir con las obligaciones pactadas.</w:t>
      </w:r>
    </w:p>
    <w:p w14:paraId="215AF0D6" w14:textId="77777777" w:rsidR="00880C8B" w:rsidRPr="00236674" w:rsidRDefault="00880C8B" w:rsidP="00880C8B">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De conformidad con lo anterior, y dando respuesta</w:t>
      </w:r>
      <w:r>
        <w:rPr>
          <w:rFonts w:ascii="Verdana" w:eastAsia="Times New Roman" w:hAnsi="Verdana" w:cs="Times New Roman"/>
          <w:lang w:eastAsia="es-MX"/>
        </w:rPr>
        <w:t xml:space="preserve"> al objeto de la consulta</w:t>
      </w:r>
      <w:r w:rsidRPr="00236674">
        <w:rPr>
          <w:rFonts w:ascii="Verdana" w:eastAsia="Times New Roman" w:hAnsi="Verdana" w:cs="Times New Roman"/>
          <w:lang w:eastAsia="es-MX"/>
        </w:rPr>
        <w:t xml:space="preserve"> se concluye que es jurídicamente viable que </w:t>
      </w:r>
      <w:r>
        <w:rPr>
          <w:rFonts w:ascii="Verdana" w:eastAsia="Times New Roman" w:hAnsi="Verdana" w:cs="Times New Roman"/>
          <w:lang w:eastAsia="es-MX"/>
        </w:rPr>
        <w:t xml:space="preserve">las </w:t>
      </w:r>
      <w:r w:rsidRPr="00236674">
        <w:rPr>
          <w:rFonts w:ascii="Verdana" w:eastAsia="Times New Roman" w:hAnsi="Verdana" w:cs="Times New Roman"/>
          <w:lang w:eastAsia="es-MX"/>
        </w:rPr>
        <w:t xml:space="preserve">personas naturales suscriban más de un contrato de prestación de servicios </w:t>
      </w:r>
      <w:r>
        <w:rPr>
          <w:rFonts w:ascii="Verdana" w:eastAsia="Times New Roman" w:hAnsi="Verdana" w:cs="Times New Roman"/>
          <w:lang w:eastAsia="es-MX"/>
        </w:rPr>
        <w:t>de forma simultánea con diferentes entidades</w:t>
      </w:r>
      <w:r w:rsidRPr="00236674">
        <w:rPr>
          <w:rFonts w:ascii="Verdana" w:eastAsia="Times New Roman" w:hAnsi="Verdana" w:cs="Times New Roman"/>
          <w:lang w:eastAsia="es-MX"/>
        </w:rPr>
        <w:t>. Por ende, la hipótesis de la doble o múltiple contratación no se enmarca en las inhabilidades e incompatibilidades taxativamente listadas en el Estatuto de Contratación.</w:t>
      </w:r>
    </w:p>
    <w:p w14:paraId="38D6142A" w14:textId="77777777" w:rsidR="00880C8B" w:rsidRDefault="00880C8B" w:rsidP="00880C8B">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No obstante, aunque la figura es legal, </w:t>
      </w:r>
      <w:r w:rsidRPr="77EDCC31">
        <w:rPr>
          <w:rFonts w:ascii="Verdana" w:eastAsia="Times New Roman" w:hAnsi="Verdana" w:cs="Times New Roman"/>
          <w:lang w:eastAsia="es-MX"/>
        </w:rPr>
        <w:t xml:space="preserve">es necesario verificar por parte de la entidad contratante si, dicha simultaneidad de contratos puede afectar </w:t>
      </w:r>
      <w:r w:rsidRPr="00236674">
        <w:rPr>
          <w:rFonts w:ascii="Verdana" w:eastAsia="Times New Roman" w:hAnsi="Verdana" w:cs="Times New Roman"/>
          <w:lang w:eastAsia="es-MX"/>
        </w:rPr>
        <w:t xml:space="preserve"> la </w:t>
      </w:r>
      <w:r w:rsidRPr="00236674">
        <w:rPr>
          <w:rFonts w:ascii="Verdana" w:eastAsia="Times New Roman" w:hAnsi="Verdana" w:cs="Times New Roman"/>
          <w:lang w:eastAsia="es-MX"/>
        </w:rPr>
        <w:lastRenderedPageBreak/>
        <w:t>capacidad para el cumplimiento</w:t>
      </w:r>
      <w:r w:rsidRPr="77EDCC31">
        <w:rPr>
          <w:rFonts w:ascii="Verdana" w:eastAsia="Times New Roman" w:hAnsi="Verdana" w:cs="Times New Roman"/>
          <w:lang w:eastAsia="es-MX"/>
        </w:rPr>
        <w:t xml:space="preserve"> de las estipulaciones de cada vinculo contractual y si eventualmente pueden existir situaciones de conflicto de interés en el desarrollo de uno o más contratos que se ejecuten al mismo tiempo.</w:t>
      </w:r>
      <w:r w:rsidRPr="00236674">
        <w:rPr>
          <w:rFonts w:ascii="Verdana" w:eastAsia="Times New Roman" w:hAnsi="Verdana" w:cs="Times New Roman"/>
          <w:lang w:eastAsia="es-MX"/>
        </w:rPr>
        <w:t xml:space="preserve"> La única limitante real no es normativa, sino fáctica: el contratista debe garantizar que cuenta con la capacidad operativa, técnica  para ejecutar cabalmente todos los objetos contractuales sin que uno interfiera con el otro. </w:t>
      </w:r>
    </w:p>
    <w:p w14:paraId="7A4467CB" w14:textId="07D0619C" w:rsidR="00880C8B" w:rsidRDefault="00880C8B" w:rsidP="00880C8B">
      <w:pPr>
        <w:widowControl w:val="0"/>
        <w:autoSpaceDE w:val="0"/>
        <w:autoSpaceDN w:val="0"/>
        <w:spacing w:after="0" w:line="276" w:lineRule="auto"/>
        <w:jc w:val="both"/>
        <w:rPr>
          <w:rFonts w:ascii="Verdana" w:hAnsi="Verdana" w:cs="Arial"/>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Finalmente, debe advertirse que el análisis requerido para resolver problemas específicos en torno a restricciones frente a la simultaneidad en la celebración </w:t>
      </w:r>
      <w:r w:rsidRPr="77EDCC31">
        <w:rPr>
          <w:rFonts w:ascii="Verdana" w:eastAsia="Times New Roman" w:hAnsi="Verdana" w:cs="Times New Roman"/>
          <w:lang w:eastAsia="es-MX"/>
        </w:rPr>
        <w:t xml:space="preserve">y ejecución </w:t>
      </w:r>
      <w:r w:rsidRPr="00236674">
        <w:rPr>
          <w:rFonts w:ascii="Verdana" w:eastAsia="Times New Roman" w:hAnsi="Verdana" w:cs="Times New Roman"/>
          <w:lang w:eastAsia="es-MX"/>
        </w:rPr>
        <w:t>de contratos debe ser realizado por quienes tengan interés directo en ello. De esta manera, las afirmaciones aquí realizadas obedecen a una interpretación general de la norma y no pueden ser interpretadas como juicios de valor sobre circunstancias concretas ni definen situaciones particulares, cuya solución corresponde a los ordenadores del gasto y supervisores y, en caso de conflicto, a las autoridades judiciales, fiscales y disciplinarias competentes</w:t>
      </w:r>
      <w:r>
        <w:rPr>
          <w:rFonts w:ascii="Verdana" w:eastAsia="Times New Roman" w:hAnsi="Verdana" w:cs="Times New Roman"/>
          <w:lang w:eastAsia="es-MX"/>
        </w:rPr>
        <w:t>.</w:t>
      </w:r>
    </w:p>
    <w:p w14:paraId="10C55369" w14:textId="77777777" w:rsidR="00880C8B" w:rsidRPr="00593A5F" w:rsidRDefault="00880C8B" w:rsidP="00871B59">
      <w:pPr>
        <w:widowControl w:val="0"/>
        <w:autoSpaceDE w:val="0"/>
        <w:autoSpaceDN w:val="0"/>
        <w:spacing w:after="0" w:line="276" w:lineRule="auto"/>
        <w:jc w:val="both"/>
        <w:rPr>
          <w:rFonts w:ascii="Verdana" w:hAnsi="Verdana" w:cs="Arial"/>
        </w:rPr>
      </w:pPr>
    </w:p>
    <w:p w14:paraId="20DFD94E"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46A048EC"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762BAD5D" w14:textId="77777777" w:rsidTr="002607A7">
        <w:trPr>
          <w:trHeight w:val="870"/>
        </w:trPr>
        <w:tc>
          <w:tcPr>
            <w:tcW w:w="8647" w:type="dxa"/>
          </w:tcPr>
          <w:p w14:paraId="7976E517" w14:textId="77777777" w:rsidR="00880C8B" w:rsidRPr="00737579" w:rsidRDefault="00880C8B" w:rsidP="00880C8B">
            <w:pPr>
              <w:pStyle w:val="Prrafodelista"/>
              <w:numPr>
                <w:ilvl w:val="0"/>
                <w:numId w:val="8"/>
              </w:numPr>
              <w:rPr>
                <w:rFonts w:ascii="Verdana" w:hAnsi="Verdana"/>
              </w:rPr>
            </w:pPr>
            <w:r w:rsidRPr="00737579">
              <w:rPr>
                <w:rFonts w:ascii="Verdana" w:hAnsi="Verdana"/>
              </w:rPr>
              <w:t>Ley 80 de 1993, artículos 8, 13, 14,17, 32, 40 45.</w:t>
            </w:r>
          </w:p>
          <w:p w14:paraId="613F8B21" w14:textId="77777777" w:rsidR="00880C8B" w:rsidRPr="00737579" w:rsidRDefault="00880C8B" w:rsidP="00880C8B">
            <w:pPr>
              <w:pStyle w:val="Prrafodelista"/>
              <w:numPr>
                <w:ilvl w:val="0"/>
                <w:numId w:val="8"/>
              </w:numPr>
              <w:rPr>
                <w:rFonts w:ascii="Verdana" w:hAnsi="Verdana"/>
              </w:rPr>
            </w:pPr>
            <w:r w:rsidRPr="00737579">
              <w:rPr>
                <w:rFonts w:ascii="Verdana" w:hAnsi="Verdana"/>
              </w:rPr>
              <w:t>Ley 1150 de 2007, artículo 2, numeral 4, literal h; artículo 6</w:t>
            </w:r>
          </w:p>
          <w:p w14:paraId="5DC960DB" w14:textId="77777777" w:rsidR="00880C8B" w:rsidRPr="00737579" w:rsidRDefault="00880C8B" w:rsidP="00880C8B">
            <w:pPr>
              <w:pStyle w:val="Prrafodelista"/>
              <w:numPr>
                <w:ilvl w:val="0"/>
                <w:numId w:val="8"/>
              </w:numPr>
              <w:rPr>
                <w:rFonts w:ascii="Verdana" w:hAnsi="Verdana"/>
              </w:rPr>
            </w:pPr>
            <w:r w:rsidRPr="00737579">
              <w:rPr>
                <w:rFonts w:ascii="Verdana" w:hAnsi="Verdana"/>
              </w:rPr>
              <w:t>Decreto 1082 de 2015, artículo 2.2.1.2.1.4.9</w:t>
            </w:r>
          </w:p>
          <w:p w14:paraId="119592AB" w14:textId="77777777" w:rsidR="00880C8B" w:rsidRPr="00737579" w:rsidRDefault="00880C8B" w:rsidP="00880C8B">
            <w:pPr>
              <w:pStyle w:val="Prrafodelista"/>
              <w:numPr>
                <w:ilvl w:val="0"/>
                <w:numId w:val="8"/>
              </w:numPr>
              <w:rPr>
                <w:rFonts w:ascii="Verdana" w:hAnsi="Verdana"/>
              </w:rPr>
            </w:pPr>
            <w:r w:rsidRPr="00737579">
              <w:rPr>
                <w:rFonts w:ascii="Verdana" w:hAnsi="Verdana" w:cs="Arial"/>
                <w:color w:val="000000"/>
              </w:rPr>
              <w:t xml:space="preserve">Corte Constitucional. Sentencia T-1039 de 2006. </w:t>
            </w:r>
            <w:r w:rsidRPr="00737579">
              <w:rPr>
                <w:rFonts w:ascii="Verdana" w:hAnsi="Verdana" w:cs="Arial"/>
                <w:color w:val="000000"/>
                <w:lang w:val="it-IT"/>
              </w:rPr>
              <w:t>M</w:t>
            </w:r>
            <w:r>
              <w:rPr>
                <w:rFonts w:ascii="Verdana" w:hAnsi="Verdana" w:cs="Arial"/>
                <w:color w:val="000000"/>
                <w:lang w:val="it-IT"/>
              </w:rPr>
              <w:t>.</w:t>
            </w:r>
            <w:r w:rsidRPr="00737579">
              <w:rPr>
                <w:rFonts w:ascii="Verdana" w:hAnsi="Verdana" w:cs="Arial"/>
                <w:color w:val="000000"/>
                <w:lang w:val="it-IT"/>
              </w:rPr>
              <w:t>P</w:t>
            </w:r>
            <w:r>
              <w:rPr>
                <w:rFonts w:ascii="Verdana" w:hAnsi="Verdana" w:cs="Arial"/>
                <w:color w:val="000000"/>
                <w:lang w:val="it-IT"/>
              </w:rPr>
              <w:t>,</w:t>
            </w:r>
            <w:r w:rsidRPr="00737579">
              <w:rPr>
                <w:rFonts w:ascii="Verdana" w:hAnsi="Verdana" w:cs="Arial"/>
                <w:color w:val="000000"/>
                <w:lang w:val="it-IT"/>
              </w:rPr>
              <w:t xml:space="preserve"> Humberto Sierra Porto</w:t>
            </w:r>
          </w:p>
          <w:p w14:paraId="32286D2F" w14:textId="77777777" w:rsidR="00880C8B" w:rsidRPr="00737579" w:rsidRDefault="00880C8B" w:rsidP="00880C8B">
            <w:pPr>
              <w:pStyle w:val="Prrafodelista"/>
              <w:numPr>
                <w:ilvl w:val="0"/>
                <w:numId w:val="8"/>
              </w:numPr>
              <w:rPr>
                <w:rFonts w:ascii="Verdana" w:hAnsi="Verdana"/>
              </w:rPr>
            </w:pPr>
            <w:r w:rsidRPr="00737579">
              <w:rPr>
                <w:rFonts w:ascii="Verdana" w:hAnsi="Verdana" w:cs="Arial"/>
                <w:color w:val="000000"/>
              </w:rPr>
              <w:t xml:space="preserve">Consejo de Estado. Sala de Consulta y Servicio Civil. Concepto del 30 de abril de 2015. Expediente: 2.251. Consejero Ponente: Álvaro </w:t>
            </w:r>
            <w:proofErr w:type="spellStart"/>
            <w:r w:rsidRPr="00737579">
              <w:rPr>
                <w:rFonts w:ascii="Verdana" w:hAnsi="Verdana" w:cs="Arial"/>
                <w:color w:val="000000"/>
              </w:rPr>
              <w:t>Namén</w:t>
            </w:r>
            <w:proofErr w:type="spellEnd"/>
            <w:r w:rsidRPr="00737579">
              <w:rPr>
                <w:rFonts w:ascii="Verdana" w:hAnsi="Verdana" w:cs="Arial"/>
                <w:color w:val="000000"/>
              </w:rPr>
              <w:t xml:space="preserve"> Vargas.</w:t>
            </w:r>
          </w:p>
          <w:p w14:paraId="60F01A3E" w14:textId="53F16D5A" w:rsidR="00871B59" w:rsidRPr="00AC742F" w:rsidRDefault="00880C8B" w:rsidP="00880C8B">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737579">
              <w:rPr>
                <w:rFonts w:ascii="Verdana" w:hAnsi="Verdana"/>
              </w:rPr>
              <w:t>Corte Constitucional. Sentencia C-489/96. M.P: Antonio Barrera Carbonell</w:t>
            </w:r>
          </w:p>
        </w:tc>
      </w:tr>
    </w:tbl>
    <w:p w14:paraId="04A6B7C2" w14:textId="77777777" w:rsidR="00871B59" w:rsidRPr="00593A5F" w:rsidRDefault="00871B59" w:rsidP="00871B59">
      <w:pPr>
        <w:widowControl w:val="0"/>
        <w:autoSpaceDE w:val="0"/>
        <w:autoSpaceDN w:val="0"/>
        <w:spacing w:after="0" w:line="276" w:lineRule="auto"/>
        <w:jc w:val="both"/>
        <w:rPr>
          <w:rFonts w:ascii="Verdana" w:hAnsi="Verdana" w:cs="Arial"/>
        </w:rPr>
      </w:pPr>
    </w:p>
    <w:p w14:paraId="0AE44168" w14:textId="77777777" w:rsidR="00871B5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4DC26A92" w14:textId="77777777" w:rsidR="00880C8B" w:rsidRDefault="00880C8B" w:rsidP="00880C8B">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05A84C9B" w14:textId="77777777" w:rsidR="00880C8B" w:rsidRPr="00856809" w:rsidRDefault="00880C8B" w:rsidP="00880C8B">
      <w:pPr>
        <w:tabs>
          <w:tab w:val="left" w:pos="142"/>
          <w:tab w:val="left" w:pos="284"/>
        </w:tabs>
        <w:spacing w:after="0" w:line="276" w:lineRule="auto"/>
        <w:jc w:val="both"/>
        <w:rPr>
          <w:rStyle w:val="normaltextrun"/>
          <w:rFonts w:ascii="Verdana" w:eastAsia="Century Gothic" w:hAnsi="Verdana" w:cs="Century Gothic"/>
          <w:b/>
          <w:bCs/>
          <w:lang w:val="es-ES"/>
        </w:rPr>
      </w:pPr>
      <w:r w:rsidRPr="00856809">
        <w:rPr>
          <w:rStyle w:val="normaltextrun"/>
          <w:rFonts w:ascii="Verdana" w:hAnsi="Verdana" w:cs="Arial"/>
          <w:shd w:val="clear" w:color="auto" w:fill="FFFFFF"/>
          <w:lang w:val="es-ES"/>
        </w:rPr>
        <w:t>Sobre las características de los contratos de prestación de servicios se pronunció esta Subdirección en los conceptos C-024 del 3 de marzo de 2022</w:t>
      </w:r>
      <w:r w:rsidRPr="00856809">
        <w:rPr>
          <w:rStyle w:val="normaltextrun"/>
          <w:rFonts w:ascii="Verdana" w:hAnsi="Verdana" w:cs="Calibri"/>
          <w:shd w:val="clear" w:color="auto" w:fill="FFFFFF"/>
        </w:rPr>
        <w:t xml:space="preserve"> C-311 de 21 de agosto de 2024, C-327 del 26 de agosto de 2024, C- 604 de 25 de octubre </w:t>
      </w:r>
      <w:r w:rsidRPr="00856809">
        <w:rPr>
          <w:rStyle w:val="normaltextrun"/>
          <w:rFonts w:ascii="Verdana" w:hAnsi="Verdana" w:cs="Calibri"/>
          <w:shd w:val="clear" w:color="auto" w:fill="FFFFFF"/>
        </w:rPr>
        <w:lastRenderedPageBreak/>
        <w:t xml:space="preserve">de 2024, C-849 del 19 de diciembre de 2024, C-028 del 5 de febrero de 2025, C-037 de 20 de febrero de 2025, C-140 del 14 de marzo de 2025. </w:t>
      </w:r>
      <w:r w:rsidRPr="00856809">
        <w:rPr>
          <w:rFonts w:ascii="Verdana" w:eastAsia="Calibri" w:hAnsi="Verdana" w:cs="Arial"/>
          <w:lang w:val="es-ES_tradnl" w:eastAsia="es-ES_tradnl"/>
        </w:rPr>
        <w:t>Sobre el régimen de inhabilidades e incompatibilidades esta Subdirección se pronunció en los</w:t>
      </w:r>
      <w:r w:rsidRPr="00856809">
        <w:rPr>
          <w:rFonts w:ascii="Verdana" w:eastAsia="Calibri" w:hAnsi="Verdana" w:cs="Arial"/>
          <w:lang w:val="es-MX"/>
        </w:rPr>
        <w:t xml:space="preserve">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la respuesta </w:t>
      </w:r>
      <w:r w:rsidRPr="00856809">
        <w:rPr>
          <w:rFonts w:ascii="Verdana" w:hAnsi="Verdana" w:cs="Arial"/>
        </w:rPr>
        <w:t xml:space="preserve">al radicado </w:t>
      </w:r>
      <w:r w:rsidRPr="00856809">
        <w:rPr>
          <w:rFonts w:ascii="Verdana" w:eastAsia="Aptos" w:hAnsi="Verdana" w:cs="Calibri"/>
        </w:rPr>
        <w:t>P20240308002646 del 24 de abril de 2024,</w:t>
      </w:r>
      <w:r w:rsidRPr="00856809">
        <w:rPr>
          <w:rFonts w:ascii="Verdana" w:eastAsia="Calibri" w:hAnsi="Verdana" w:cs="Arial"/>
          <w:lang w:val="es-MX"/>
        </w:rPr>
        <w:t xml:space="preserve"> el C-039 del 23 de abril de 2024, </w:t>
      </w:r>
      <w:r w:rsidRPr="00856809">
        <w:rPr>
          <w:rFonts w:ascii="Verdana" w:hAnsi="Verdana" w:cs="Arial"/>
        </w:rPr>
        <w:t xml:space="preserve">C-085 del 3 de marzo de 2025 y </w:t>
      </w:r>
      <w:r w:rsidRPr="00856809">
        <w:rPr>
          <w:rFonts w:ascii="Verdana" w:eastAsia="Aptos" w:hAnsi="Verdana" w:cs="Calibri"/>
        </w:rPr>
        <w:t>C-170 del 19 de marzo de 2025</w:t>
      </w:r>
      <w:r>
        <w:rPr>
          <w:rFonts w:ascii="Verdana" w:eastAsia="Aptos" w:hAnsi="Verdana" w:cs="Calibri"/>
        </w:rPr>
        <w:t>, C–392 del 8 del mayo de 2025</w:t>
      </w:r>
      <w:r w:rsidRPr="00856809">
        <w:rPr>
          <w:rFonts w:ascii="Verdana" w:eastAsia="Aptos" w:hAnsi="Verdana" w:cs="Calibri"/>
        </w:rPr>
        <w:t>.</w:t>
      </w:r>
      <w:r>
        <w:rPr>
          <w:rFonts w:ascii="Verdana" w:eastAsia="Aptos" w:hAnsi="Verdana" w:cs="Calibri"/>
        </w:rPr>
        <w:t xml:space="preserve"> </w:t>
      </w:r>
      <w:r w:rsidRPr="00856809">
        <w:rPr>
          <w:rStyle w:val="normaltextrun"/>
          <w:rFonts w:ascii="Verdana" w:hAnsi="Verdana" w:cs="Arial"/>
          <w:shd w:val="clear" w:color="auto" w:fill="FFFFFF"/>
          <w:lang w:val="es-ES"/>
        </w:rPr>
        <w:t>Es</w:t>
      </w:r>
      <w:r w:rsidRPr="00856809">
        <w:rPr>
          <w:rFonts w:ascii="Verdana" w:hAnsi="Verdana"/>
        </w:rPr>
        <w:t>tos y otros conceptos se encuentran disponibles para consulta en el Sistema de relatoría de la Agencia, al cual se puede acceder a través del siguiente enlace:</w:t>
      </w:r>
      <w:r w:rsidRPr="00856809">
        <w:rPr>
          <w:rStyle w:val="normaltextrun"/>
          <w:rFonts w:ascii="Verdana" w:hAnsi="Verdana" w:cs="Arial"/>
          <w:shd w:val="clear" w:color="auto" w:fill="FFFFFF"/>
          <w:lang w:val="es-ES"/>
        </w:rPr>
        <w:t xml:space="preserve"> </w:t>
      </w:r>
      <w:hyperlink r:id="rId12" w:history="1">
        <w:r w:rsidRPr="00856809">
          <w:rPr>
            <w:rStyle w:val="Hipervnculo"/>
            <w:rFonts w:ascii="Verdana" w:hAnsi="Verdana" w:cs="Arial"/>
            <w:shd w:val="clear" w:color="auto" w:fill="FFFFFF"/>
            <w:lang w:val="es-ES"/>
          </w:rPr>
          <w:t>https://relatoria.colombiacompra.gov.co/busqueda/conceptos</w:t>
        </w:r>
      </w:hyperlink>
      <w:r w:rsidRPr="00856809">
        <w:rPr>
          <w:rStyle w:val="normaltextrun"/>
          <w:rFonts w:ascii="Verdana" w:hAnsi="Verdana" w:cs="Arial"/>
          <w:color w:val="FF0000"/>
          <w:shd w:val="clear" w:color="auto" w:fill="FFFFFF"/>
          <w:lang w:val="es-ES"/>
        </w:rPr>
        <w:t xml:space="preserve">. </w:t>
      </w:r>
    </w:p>
    <w:p w14:paraId="248F9540" w14:textId="77777777" w:rsidR="00880C8B" w:rsidRPr="00856809" w:rsidRDefault="00880C8B" w:rsidP="00880C8B">
      <w:pPr>
        <w:pStyle w:val="Prrafodelista"/>
        <w:widowControl w:val="0"/>
        <w:autoSpaceDE w:val="0"/>
        <w:autoSpaceDN w:val="0"/>
        <w:spacing w:after="0" w:line="276" w:lineRule="auto"/>
        <w:ind w:left="6601"/>
        <w:jc w:val="both"/>
        <w:rPr>
          <w:rStyle w:val="normaltextrun"/>
          <w:rFonts w:ascii="Verdana" w:hAnsi="Verdana" w:cs="Arial"/>
          <w:color w:val="FF0000"/>
          <w:shd w:val="clear" w:color="auto" w:fill="FFFFFF"/>
        </w:rPr>
      </w:pPr>
    </w:p>
    <w:p w14:paraId="335D81E8" w14:textId="77777777" w:rsidR="00880C8B" w:rsidRPr="009F5D48" w:rsidRDefault="00880C8B" w:rsidP="00880C8B">
      <w:pPr>
        <w:spacing w:after="0" w:line="276" w:lineRule="auto"/>
        <w:jc w:val="both"/>
        <w:rPr>
          <w:rFonts w:ascii="Verdana" w:hAnsi="Verdana"/>
        </w:rPr>
      </w:pPr>
      <w:r w:rsidRPr="009F5D48">
        <w:rPr>
          <w:rFonts w:ascii="Verdana" w:hAnsi="Verdana"/>
        </w:rPr>
        <w:t xml:space="preserve">Por último, lo invitamos a seguirnos en las redes sociales en las cuales se difunde información institucional: </w:t>
      </w:r>
    </w:p>
    <w:p w14:paraId="254D69F7" w14:textId="77777777" w:rsidR="00880C8B" w:rsidRPr="009F5D48" w:rsidRDefault="00880C8B" w:rsidP="00880C8B">
      <w:pPr>
        <w:spacing w:after="0" w:line="276" w:lineRule="auto"/>
        <w:jc w:val="both"/>
        <w:rPr>
          <w:rFonts w:ascii="Verdana" w:hAnsi="Verdana"/>
        </w:rPr>
      </w:pPr>
    </w:p>
    <w:p w14:paraId="25E6E38D" w14:textId="77777777" w:rsidR="00880C8B" w:rsidRPr="009F5D48" w:rsidRDefault="00880C8B" w:rsidP="00880C8B">
      <w:pPr>
        <w:spacing w:after="0" w:line="276" w:lineRule="auto"/>
        <w:jc w:val="both"/>
        <w:rPr>
          <w:rFonts w:ascii="Verdana" w:hAnsi="Verdana"/>
        </w:rPr>
      </w:pPr>
      <w:r w:rsidRPr="009F5D48">
        <w:rPr>
          <w:rFonts w:ascii="Verdana" w:hAnsi="Verdana"/>
        </w:rPr>
        <w:t xml:space="preserve">Twitter: </w:t>
      </w:r>
      <w:r w:rsidRPr="009F5D48">
        <w:rPr>
          <w:rStyle w:val="Hipervnculo"/>
          <w:rFonts w:ascii="Verdana" w:hAnsi="Verdana"/>
          <w:color w:val="4472C4" w:themeColor="accent1"/>
        </w:rPr>
        <w:t>@colombiacompra</w:t>
      </w:r>
      <w:r w:rsidRPr="009F5D48">
        <w:rPr>
          <w:rFonts w:ascii="Verdana" w:hAnsi="Verdana"/>
          <w:color w:val="4472C4" w:themeColor="accent1"/>
        </w:rPr>
        <w:t xml:space="preserve"> </w:t>
      </w:r>
    </w:p>
    <w:p w14:paraId="25B46241" w14:textId="77777777" w:rsidR="00880C8B" w:rsidRPr="009F5D48" w:rsidRDefault="00880C8B" w:rsidP="00880C8B">
      <w:pPr>
        <w:spacing w:after="0" w:line="276" w:lineRule="auto"/>
        <w:jc w:val="both"/>
        <w:rPr>
          <w:rFonts w:ascii="Verdana" w:hAnsi="Verdana"/>
        </w:rPr>
      </w:pPr>
      <w:r w:rsidRPr="009F5D48">
        <w:rPr>
          <w:rFonts w:ascii="Verdana" w:hAnsi="Verdana"/>
        </w:rPr>
        <w:t xml:space="preserve">Facebook: </w:t>
      </w:r>
      <w:proofErr w:type="spellStart"/>
      <w:r w:rsidRPr="009F5D48">
        <w:rPr>
          <w:rStyle w:val="Hipervnculo"/>
          <w:rFonts w:ascii="Verdana" w:hAnsi="Verdana"/>
          <w:color w:val="4472C4" w:themeColor="accent1"/>
        </w:rPr>
        <w:t>ColombiaCompraEficiente</w:t>
      </w:r>
      <w:proofErr w:type="spellEnd"/>
    </w:p>
    <w:p w14:paraId="142A1CC6" w14:textId="77777777" w:rsidR="00880C8B" w:rsidRPr="009F5D48" w:rsidRDefault="00880C8B" w:rsidP="00880C8B">
      <w:pPr>
        <w:spacing w:after="0" w:line="276" w:lineRule="auto"/>
        <w:jc w:val="both"/>
        <w:rPr>
          <w:rFonts w:ascii="Verdana" w:hAnsi="Verdana"/>
        </w:rPr>
      </w:pPr>
      <w:r w:rsidRPr="009F5D48">
        <w:rPr>
          <w:rFonts w:ascii="Verdana" w:hAnsi="Verdana"/>
        </w:rPr>
        <w:t xml:space="preserve">LinkedIn: </w:t>
      </w:r>
      <w:r w:rsidRPr="009F5D48">
        <w:rPr>
          <w:rStyle w:val="Hipervnculo"/>
          <w:rFonts w:ascii="Verdana" w:hAnsi="Verdana"/>
          <w:color w:val="4472C4" w:themeColor="accent1"/>
        </w:rPr>
        <w:t>Agencia Nacional de Contratación Pública - Colombia Compra Eficiente</w:t>
      </w:r>
      <w:r w:rsidRPr="009F5D48">
        <w:rPr>
          <w:rFonts w:ascii="Verdana" w:hAnsi="Verdana"/>
          <w:color w:val="4472C4" w:themeColor="accent1"/>
        </w:rPr>
        <w:t xml:space="preserve"> </w:t>
      </w:r>
      <w:r w:rsidRPr="009F5D48">
        <w:rPr>
          <w:rFonts w:ascii="Verdana" w:hAnsi="Verdana"/>
        </w:rPr>
        <w:t xml:space="preserve">Instagram: </w:t>
      </w:r>
      <w:r w:rsidRPr="009F5D48">
        <w:rPr>
          <w:rStyle w:val="Hipervnculo"/>
          <w:rFonts w:ascii="Verdana" w:hAnsi="Verdana"/>
          <w:color w:val="4472C4" w:themeColor="accent1"/>
        </w:rPr>
        <w:t>@colombiacompraeficiente_cce</w:t>
      </w:r>
    </w:p>
    <w:p w14:paraId="2E9EA482" w14:textId="77777777" w:rsidR="00880C8B" w:rsidRPr="009F5D48" w:rsidRDefault="00880C8B" w:rsidP="00880C8B">
      <w:pPr>
        <w:widowControl w:val="0"/>
        <w:autoSpaceDE w:val="0"/>
        <w:autoSpaceDN w:val="0"/>
        <w:spacing w:after="0" w:line="276" w:lineRule="auto"/>
        <w:jc w:val="both"/>
        <w:rPr>
          <w:rFonts w:ascii="Verdana" w:hAnsi="Verdana" w:cs="Arial"/>
        </w:rPr>
      </w:pPr>
    </w:p>
    <w:p w14:paraId="1719DB22" w14:textId="77777777" w:rsidR="00880C8B" w:rsidRPr="009F5D48" w:rsidRDefault="00880C8B" w:rsidP="00880C8B">
      <w:pPr>
        <w:widowControl w:val="0"/>
        <w:autoSpaceDE w:val="0"/>
        <w:autoSpaceDN w:val="0"/>
        <w:spacing w:after="0" w:line="276" w:lineRule="auto"/>
        <w:jc w:val="both"/>
        <w:rPr>
          <w:rFonts w:ascii="Verdana" w:hAnsi="Verdana" w:cs="Arial"/>
          <w:lang w:val="es-ES_tradnl"/>
        </w:rPr>
      </w:pPr>
      <w:r w:rsidRPr="009F5D48">
        <w:rPr>
          <w:rFonts w:ascii="Verdana" w:hAnsi="Verdana" w:cs="Arial"/>
        </w:rPr>
        <w:t xml:space="preserve">Este concepto tiene el alcance previsto en el artículo 28 del Código de Procedimiento Administrativo y de lo Contencioso Administrativo </w:t>
      </w:r>
      <w:r w:rsidRPr="009F5D48">
        <w:rPr>
          <w:rFonts w:ascii="Verdana" w:hAnsi="Verdana" w:cs="Arial"/>
          <w:lang w:val="es-ES_tradnl"/>
        </w:rPr>
        <w:t>y las expresiones aquí utilizadas con mayúscula inicial deben ser entendidas con el significado que les otorga el artículo 2.2.1.1.1.3.1. del Decreto 1082 de 2015.</w:t>
      </w:r>
    </w:p>
    <w:p w14:paraId="55F85AE7" w14:textId="77777777" w:rsidR="00880C8B" w:rsidRPr="009F5D48" w:rsidRDefault="00880C8B" w:rsidP="00880C8B">
      <w:pPr>
        <w:widowControl w:val="0"/>
        <w:autoSpaceDE w:val="0"/>
        <w:autoSpaceDN w:val="0"/>
        <w:spacing w:after="0" w:line="276" w:lineRule="auto"/>
        <w:jc w:val="both"/>
        <w:rPr>
          <w:rFonts w:ascii="Verdana" w:hAnsi="Verdana" w:cs="Arial"/>
        </w:rPr>
      </w:pPr>
    </w:p>
    <w:p w14:paraId="33C4288F" w14:textId="77777777" w:rsidR="00880C8B" w:rsidRPr="009F5D48" w:rsidRDefault="00880C8B" w:rsidP="00880C8B">
      <w:pPr>
        <w:spacing w:after="0" w:line="276" w:lineRule="auto"/>
        <w:jc w:val="both"/>
        <w:rPr>
          <w:rFonts w:ascii="Verdana" w:hAnsi="Verdana" w:cs="Arial"/>
          <w:lang w:eastAsia="es-CO"/>
        </w:rPr>
      </w:pPr>
      <w:r w:rsidRPr="009F5D48">
        <w:rPr>
          <w:rFonts w:ascii="Verdana" w:eastAsia="Times New Roman" w:hAnsi="Verdana" w:cs="Arial"/>
          <w:lang w:eastAsia="es-CO"/>
        </w:rPr>
        <w:t>Atentamente,</w:t>
      </w:r>
      <w:r w:rsidRPr="009F5D48">
        <w:rPr>
          <w:rFonts w:ascii="Verdana" w:hAnsi="Verdana" w:cs="Arial"/>
          <w:lang w:eastAsia="es-CO"/>
        </w:rPr>
        <w:t xml:space="preserve"> </w:t>
      </w:r>
    </w:p>
    <w:p w14:paraId="0754CB39" w14:textId="77777777" w:rsidR="00880C8B" w:rsidRPr="00593A5F" w:rsidRDefault="00880C8B" w:rsidP="00880C8B">
      <w:pPr>
        <w:widowControl w:val="0"/>
        <w:autoSpaceDE w:val="0"/>
        <w:autoSpaceDN w:val="0"/>
        <w:spacing w:after="0" w:line="276" w:lineRule="auto"/>
        <w:jc w:val="center"/>
        <w:rPr>
          <w:rFonts w:ascii="Verdana" w:hAnsi="Verdana" w:cs="Arial"/>
        </w:rPr>
      </w:pPr>
    </w:p>
    <w:p w14:paraId="4C26C033" w14:textId="77777777" w:rsidR="00880C8B" w:rsidRPr="00593A5F" w:rsidRDefault="00880C8B" w:rsidP="00880C8B">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71ADE189" w14:textId="77777777" w:rsidR="00871B59" w:rsidRPr="00593A5F" w:rsidRDefault="00871B59" w:rsidP="00871B59">
      <w:pPr>
        <w:widowControl w:val="0"/>
        <w:autoSpaceDE w:val="0"/>
        <w:autoSpaceDN w:val="0"/>
        <w:spacing w:after="0" w:line="276" w:lineRule="auto"/>
        <w:jc w:val="both"/>
        <w:rPr>
          <w:rFonts w:ascii="Verdana" w:hAnsi="Verdana" w:cs="Arial"/>
        </w:rPr>
      </w:pPr>
    </w:p>
    <w:p w14:paraId="06E0C3EF" w14:textId="3765069D" w:rsidR="00871B59" w:rsidRPr="00593A5F" w:rsidRDefault="008136F2" w:rsidP="00871B59">
      <w:pPr>
        <w:spacing w:line="276" w:lineRule="auto"/>
        <w:jc w:val="center"/>
        <w:rPr>
          <w:rFonts w:ascii="Verdana" w:hAnsi="Verdana" w:cs="Arial"/>
          <w:color w:val="000000"/>
          <w:lang w:val="es-ES_tradnl" w:eastAsia="es-CO"/>
        </w:rPr>
      </w:pPr>
      <w:r>
        <w:rPr>
          <w:noProof/>
        </w:rPr>
        <w:lastRenderedPageBreak/>
        <w:drawing>
          <wp:inline distT="0" distB="0" distL="0" distR="0" wp14:anchorId="39BB8B47" wp14:editId="6ADAFF41">
            <wp:extent cx="3278505" cy="1407405"/>
            <wp:effectExtent l="0" t="0" r="0" b="2540"/>
            <wp:docPr id="133665591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93127" cy="1413682"/>
                    </a:xfrm>
                    <a:prstGeom prst="rect">
                      <a:avLst/>
                    </a:prstGeom>
                    <a:noFill/>
                    <a:ln>
                      <a:noFill/>
                    </a:ln>
                  </pic:spPr>
                </pic:pic>
              </a:graphicData>
            </a:graphic>
          </wp:inline>
        </w:drawing>
      </w:r>
    </w:p>
    <w:tbl>
      <w:tblPr>
        <w:tblStyle w:val="Tablaconcuadrcula"/>
        <w:tblpPr w:leftFromText="141" w:rightFromText="141" w:vertAnchor="text" w:horzAnchor="margin" w:tblpY="389"/>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80C8B" w:rsidRPr="00EA1223" w14:paraId="3F2D2391" w14:textId="77777777" w:rsidTr="00880C8B">
        <w:trPr>
          <w:trHeight w:val="315"/>
        </w:trPr>
        <w:tc>
          <w:tcPr>
            <w:tcW w:w="893" w:type="dxa"/>
            <w:vAlign w:val="center"/>
            <w:hideMark/>
          </w:tcPr>
          <w:p w14:paraId="0502F5B4" w14:textId="77777777" w:rsidR="00880C8B" w:rsidRPr="00EA1223" w:rsidRDefault="00880C8B" w:rsidP="00880C8B">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D98AB8B" w14:textId="77777777" w:rsidR="00880C8B" w:rsidRPr="00EA1223" w:rsidRDefault="00880C8B" w:rsidP="00880C8B">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44F9D354" w14:textId="77777777" w:rsidR="00880C8B" w:rsidRPr="00EA1223" w:rsidRDefault="00880C8B" w:rsidP="00880C8B">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880C8B" w:rsidRPr="00EA1223" w14:paraId="31D31E23" w14:textId="77777777" w:rsidTr="00880C8B">
        <w:trPr>
          <w:trHeight w:val="330"/>
        </w:trPr>
        <w:tc>
          <w:tcPr>
            <w:tcW w:w="893" w:type="dxa"/>
            <w:vAlign w:val="center"/>
            <w:hideMark/>
          </w:tcPr>
          <w:p w14:paraId="41BA5AA7" w14:textId="77777777" w:rsidR="00880C8B" w:rsidRPr="00EA1223" w:rsidRDefault="00880C8B" w:rsidP="00880C8B">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5347E81" w14:textId="77777777" w:rsidR="00880C8B" w:rsidRPr="00EA1223" w:rsidRDefault="00880C8B" w:rsidP="00880C8B">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Carlos Gonzáles Vásquez</w:t>
            </w:r>
          </w:p>
          <w:p w14:paraId="69E5D96D" w14:textId="77777777" w:rsidR="00880C8B" w:rsidRPr="00EA1223" w:rsidRDefault="00880C8B" w:rsidP="00880C8B">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880C8B" w:rsidRPr="00EA1223" w14:paraId="5BE48DC6" w14:textId="77777777" w:rsidTr="00880C8B">
        <w:trPr>
          <w:trHeight w:val="300"/>
        </w:trPr>
        <w:tc>
          <w:tcPr>
            <w:tcW w:w="893" w:type="dxa"/>
            <w:vAlign w:val="center"/>
          </w:tcPr>
          <w:p w14:paraId="0B380201" w14:textId="77777777" w:rsidR="00880C8B" w:rsidRPr="00EA1223" w:rsidRDefault="00880C8B" w:rsidP="00880C8B">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EB1994E" w14:textId="03F01EA7" w:rsidR="00880C8B" w:rsidRPr="00EA1223" w:rsidRDefault="00880C8B" w:rsidP="00880C8B">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7E534755" w14:textId="43F844C3" w:rsidR="00880C8B" w:rsidRPr="00EA1223" w:rsidRDefault="00880C8B" w:rsidP="00880C8B">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r>
              <w:rPr>
                <w:rFonts w:ascii="Verdana" w:eastAsia="Calibri" w:hAnsi="Verdana" w:cs="Arial"/>
                <w:sz w:val="16"/>
                <w:szCs w:val="16"/>
                <w:lang w:val="pt-BR" w:eastAsia="es-ES"/>
              </w:rPr>
              <w:t xml:space="preserve"> </w:t>
            </w:r>
          </w:p>
        </w:tc>
      </w:tr>
    </w:tbl>
    <w:p w14:paraId="2C0FE2B3" w14:textId="77777777" w:rsidR="00871B59" w:rsidRPr="00880C8B" w:rsidRDefault="00871B59" w:rsidP="00871B59">
      <w:pPr>
        <w:spacing w:after="0" w:line="240" w:lineRule="auto"/>
        <w:rPr>
          <w:rFonts w:ascii="Verdana" w:eastAsia="Times New Roman" w:hAnsi="Verdana" w:cs="Arial"/>
          <w:b/>
          <w:bCs/>
          <w:sz w:val="24"/>
          <w:szCs w:val="24"/>
          <w:lang w:eastAsia="es-ES"/>
        </w:rPr>
      </w:pPr>
    </w:p>
    <w:p w14:paraId="7878C4FD" w14:textId="77777777" w:rsidR="5D8505AD" w:rsidRPr="00871B59" w:rsidRDefault="5D8505AD" w:rsidP="00871B59"/>
    <w:sectPr w:rsidR="5D8505AD" w:rsidRPr="00871B59" w:rsidSect="00E45F4B">
      <w:headerReference w:type="default" r:id="rId14"/>
      <w:footerReference w:type="default" r:id="rId15"/>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F8185A" w14:textId="77777777" w:rsidR="00CD0818" w:rsidRDefault="00CD0818" w:rsidP="00B30448">
      <w:pPr>
        <w:spacing w:after="0" w:line="240" w:lineRule="auto"/>
      </w:pPr>
      <w:r>
        <w:separator/>
      </w:r>
    </w:p>
  </w:endnote>
  <w:endnote w:type="continuationSeparator" w:id="0">
    <w:p w14:paraId="6F367AC3" w14:textId="77777777" w:rsidR="00CD0818" w:rsidRDefault="00CD0818" w:rsidP="00B30448">
      <w:pPr>
        <w:spacing w:after="0" w:line="240" w:lineRule="auto"/>
      </w:pPr>
      <w:r>
        <w:continuationSeparator/>
      </w:r>
    </w:p>
  </w:endnote>
  <w:endnote w:type="continuationNotice" w:id="1">
    <w:p w14:paraId="4D90784B" w14:textId="77777777" w:rsidR="00CD0818" w:rsidRDefault="00CD08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Aptos">
    <w:panose1 w:val="020B0004020202020204"/>
    <w:charset w:val="00"/>
    <w:family w:val="swiss"/>
    <w:pitch w:val="variable"/>
    <w:sig w:usb0="20000287" w:usb1="00000003" w:usb2="00000000" w:usb3="00000000" w:csb0="0000019F" w:csb1="00000000"/>
  </w:font>
  <w:font w:name="Geomanist Bold">
    <w:altName w:val="Calibri"/>
    <w:panose1 w:val="020B06040202020202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192C2" w14:textId="77777777" w:rsidR="000849D5" w:rsidRDefault="000849D5" w:rsidP="000849D5">
    <w:pPr>
      <w:spacing w:after="0"/>
      <w:rPr>
        <w:rFonts w:ascii="Verdana" w:hAnsi="Verdana"/>
        <w:b/>
        <w:bCs/>
        <w:sz w:val="20"/>
        <w:szCs w:val="20"/>
      </w:rPr>
    </w:pPr>
  </w:p>
  <w:p w14:paraId="2B28121E"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B4BC31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648934E8"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7EBF8E68"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15C71BBA" w14:textId="77777777" w:rsidR="000849D5" w:rsidRPr="007D04B2" w:rsidRDefault="000849D5" w:rsidP="000849D5">
    <w:pPr>
      <w:pStyle w:val="Piedepgina"/>
    </w:pPr>
  </w:p>
  <w:p w14:paraId="127F7049"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1A800E" w14:textId="77777777" w:rsidR="00CD0818" w:rsidRDefault="00CD0818" w:rsidP="00B30448">
      <w:pPr>
        <w:spacing w:after="0" w:line="240" w:lineRule="auto"/>
      </w:pPr>
      <w:r>
        <w:separator/>
      </w:r>
    </w:p>
  </w:footnote>
  <w:footnote w:type="continuationSeparator" w:id="0">
    <w:p w14:paraId="54D0772D" w14:textId="77777777" w:rsidR="00CD0818" w:rsidRDefault="00CD0818" w:rsidP="00B30448">
      <w:pPr>
        <w:spacing w:after="0" w:line="240" w:lineRule="auto"/>
      </w:pPr>
      <w:r>
        <w:continuationSeparator/>
      </w:r>
    </w:p>
  </w:footnote>
  <w:footnote w:type="continuationNotice" w:id="1">
    <w:p w14:paraId="24C5ED88" w14:textId="77777777" w:rsidR="00CD0818" w:rsidRDefault="00CD0818">
      <w:pPr>
        <w:spacing w:after="0" w:line="240" w:lineRule="auto"/>
      </w:pPr>
    </w:p>
  </w:footnote>
  <w:footnote w:id="2">
    <w:p w14:paraId="1CF53520" w14:textId="77777777" w:rsidR="00880C8B" w:rsidRPr="00097DBE" w:rsidRDefault="00880C8B" w:rsidP="00880C8B">
      <w:pPr>
        <w:pStyle w:val="Textonotapie"/>
        <w:ind w:firstLine="708"/>
        <w:jc w:val="both"/>
        <w:rPr>
          <w:rFonts w:ascii="Verdana" w:hAnsi="Verdana" w:cs="Arial"/>
          <w:sz w:val="16"/>
          <w:szCs w:val="16"/>
          <w:lang w:val="es-ES"/>
        </w:rPr>
      </w:pPr>
      <w:r w:rsidRPr="00097DBE">
        <w:rPr>
          <w:rStyle w:val="Refdenotaalpie"/>
          <w:rFonts w:ascii="Verdana" w:hAnsi="Verdana"/>
          <w:sz w:val="16"/>
          <w:szCs w:val="16"/>
        </w:rPr>
        <w:footnoteRef/>
      </w:r>
      <w:r w:rsidRPr="00097DBE">
        <w:rPr>
          <w:rFonts w:ascii="Verdana" w:hAnsi="Verdana"/>
          <w:sz w:val="16"/>
          <w:szCs w:val="16"/>
        </w:rPr>
        <w:t xml:space="preserve"> </w:t>
      </w:r>
      <w:bookmarkStart w:id="2" w:name="_Hlk192845550"/>
      <w:r w:rsidRPr="00097DBE">
        <w:rPr>
          <w:rFonts w:ascii="Verdana" w:hAnsi="Verdana" w:cs="Arial"/>
          <w:sz w:val="16"/>
          <w:szCs w:val="16"/>
        </w:rPr>
        <w:t>Consejo de Estado. Sección Segunda. Sentencia del 9 de septiembre de 2021. Expediente No. 05001-23-33-000-2013-01143-01(1317-16). M.P. Dra. Sandra Lisset Ibarra Vélez</w:t>
      </w:r>
      <w:bookmarkEnd w:id="2"/>
      <w:r w:rsidRPr="00097DBE">
        <w:rPr>
          <w:rFonts w:ascii="Verdana" w:hAnsi="Verdana" w:cs="Arial"/>
          <w:sz w:val="16"/>
          <w:szCs w:val="16"/>
        </w:rPr>
        <w:t>.</w:t>
      </w:r>
    </w:p>
    <w:p w14:paraId="0603D96E" w14:textId="77777777" w:rsidR="00880C8B" w:rsidRPr="00097DBE" w:rsidRDefault="00880C8B" w:rsidP="00880C8B">
      <w:pPr>
        <w:pStyle w:val="Textonotapie"/>
        <w:rPr>
          <w:rFonts w:ascii="Verdana" w:hAnsi="Verdana"/>
          <w:sz w:val="16"/>
          <w:szCs w:val="16"/>
          <w:lang w:val="es-ES"/>
        </w:rPr>
      </w:pPr>
    </w:p>
  </w:footnote>
  <w:footnote w:id="3">
    <w:p w14:paraId="5CB90B67" w14:textId="77777777" w:rsidR="00880C8B" w:rsidRPr="00A56FFA" w:rsidRDefault="00880C8B" w:rsidP="00880C8B">
      <w:pPr>
        <w:pStyle w:val="Textonotapie"/>
        <w:ind w:firstLine="708"/>
        <w:jc w:val="both"/>
        <w:rPr>
          <w:rFonts w:ascii="Verdana" w:hAnsi="Verdana" w:cs="Arial"/>
          <w:sz w:val="18"/>
          <w:szCs w:val="18"/>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footnote>
  <w:footnote w:id="4">
    <w:p w14:paraId="41F76255" w14:textId="77777777" w:rsidR="00880C8B" w:rsidRPr="00097DBE" w:rsidRDefault="00880C8B" w:rsidP="00880C8B">
      <w:pPr>
        <w:pStyle w:val="Textonotapie"/>
        <w:ind w:firstLine="708"/>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4A8430A5" w14:textId="77777777" w:rsidR="00880C8B" w:rsidRPr="00097DBE" w:rsidRDefault="00880C8B" w:rsidP="00880C8B">
      <w:pPr>
        <w:pStyle w:val="Textonotapie"/>
        <w:ind w:firstLine="709"/>
        <w:contextualSpacing/>
        <w:jc w:val="both"/>
        <w:rPr>
          <w:rFonts w:ascii="Verdana" w:hAnsi="Verdana" w:cs="Arial"/>
          <w:sz w:val="16"/>
          <w:szCs w:val="16"/>
          <w:lang w:val="es-ES"/>
        </w:rPr>
      </w:pPr>
    </w:p>
  </w:footnote>
  <w:footnote w:id="5">
    <w:p w14:paraId="4C4AF4A5" w14:textId="77777777" w:rsidR="00880C8B" w:rsidRPr="00C0717E" w:rsidRDefault="00880C8B" w:rsidP="00880C8B">
      <w:pPr>
        <w:spacing w:after="0" w:line="240" w:lineRule="auto"/>
        <w:contextualSpacing/>
        <w:jc w:val="both"/>
        <w:rPr>
          <w:rFonts w:ascii="Verdana" w:hAnsi="Verdana"/>
          <w:sz w:val="18"/>
          <w:szCs w:val="18"/>
        </w:rPr>
      </w:pPr>
    </w:p>
  </w:footnote>
  <w:footnote w:id="6">
    <w:p w14:paraId="72983B73" w14:textId="77777777" w:rsidR="00880C8B" w:rsidRPr="00097DBE" w:rsidRDefault="00880C8B" w:rsidP="00880C8B">
      <w:pPr>
        <w:pStyle w:val="Textonotapie"/>
        <w:ind w:firstLine="709"/>
        <w:contextualSpacing/>
        <w:jc w:val="both"/>
        <w:rPr>
          <w:rFonts w:ascii="Verdana" w:hAnsi="Verdana" w:cs="Arial"/>
          <w:color w:val="000000"/>
          <w:sz w:val="16"/>
          <w:szCs w:val="16"/>
          <w:lang w:val="es-ES"/>
        </w:rPr>
      </w:pPr>
      <w:r w:rsidRPr="00097DBE">
        <w:rPr>
          <w:rStyle w:val="Refdenotaalpie"/>
          <w:rFonts w:ascii="Verdana" w:hAnsi="Verdana" w:cs="Arial"/>
          <w:color w:val="000000"/>
          <w:sz w:val="16"/>
          <w:szCs w:val="16"/>
        </w:rPr>
        <w:footnoteRef/>
      </w:r>
      <w:r w:rsidRPr="00097DBE">
        <w:rPr>
          <w:rFonts w:ascii="Verdana" w:hAnsi="Verdana" w:cs="Arial"/>
          <w:color w:val="000000"/>
          <w:sz w:val="16"/>
          <w:szCs w:val="16"/>
        </w:rPr>
        <w:t xml:space="preserve"> </w:t>
      </w:r>
      <w:r w:rsidRPr="00097DBE">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52D9EFD" w14:textId="77777777" w:rsidR="00880C8B" w:rsidRPr="00097DBE" w:rsidRDefault="00880C8B" w:rsidP="00880C8B">
      <w:pPr>
        <w:pStyle w:val="Textonotapie"/>
        <w:ind w:firstLine="709"/>
        <w:contextualSpacing/>
        <w:jc w:val="both"/>
        <w:rPr>
          <w:rFonts w:ascii="Verdana" w:hAnsi="Verdana" w:cs="Arial"/>
          <w:color w:val="000000"/>
          <w:sz w:val="16"/>
          <w:szCs w:val="16"/>
          <w:lang w:val="es-ES"/>
        </w:rPr>
      </w:pPr>
      <w:r w:rsidRPr="00097DBE">
        <w:rPr>
          <w:rFonts w:ascii="Verdana" w:hAnsi="Verdana" w:cs="Arial"/>
          <w:color w:val="000000"/>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5239459F" w14:textId="77777777" w:rsidR="00880C8B" w:rsidRPr="00097DBE" w:rsidRDefault="00880C8B" w:rsidP="00880C8B">
      <w:pPr>
        <w:pStyle w:val="Textonotapie"/>
        <w:ind w:firstLine="709"/>
        <w:contextualSpacing/>
        <w:jc w:val="both"/>
        <w:rPr>
          <w:rFonts w:ascii="Verdana" w:hAnsi="Verdana" w:cs="Arial"/>
          <w:color w:val="000000"/>
          <w:sz w:val="16"/>
          <w:szCs w:val="16"/>
          <w:lang w:val="es-ES"/>
        </w:rPr>
      </w:pPr>
      <w:r w:rsidRPr="00097DBE">
        <w:rPr>
          <w:rFonts w:ascii="Verdana" w:hAnsi="Verdana" w:cs="Arial"/>
          <w:color w:val="000000"/>
          <w:sz w:val="16"/>
          <w:szCs w:val="16"/>
          <w:lang w:val="es-ES"/>
        </w:rPr>
        <w:t>La Entidad Estatal, para la contratación de trabajos artísticos que solamente puedan en­comendarse a determinadas personas naturales, debe justificar esta situación en los estudios y documentos previos”.</w:t>
      </w:r>
    </w:p>
    <w:p w14:paraId="7A30CC4F" w14:textId="77777777" w:rsidR="00880C8B" w:rsidRPr="00C0717E" w:rsidRDefault="00880C8B" w:rsidP="00880C8B">
      <w:pPr>
        <w:pStyle w:val="Textonotapie"/>
        <w:ind w:firstLine="709"/>
        <w:contextualSpacing/>
        <w:jc w:val="both"/>
        <w:rPr>
          <w:rFonts w:ascii="Verdana" w:hAnsi="Verdana" w:cs="Arial"/>
          <w:color w:val="000000"/>
          <w:sz w:val="18"/>
          <w:szCs w:val="18"/>
          <w:lang w:val="es-ES"/>
        </w:rPr>
      </w:pPr>
    </w:p>
  </w:footnote>
  <w:footnote w:id="7">
    <w:p w14:paraId="3D1AF3F3" w14:textId="77777777" w:rsidR="00880C8B" w:rsidRPr="00097DBE" w:rsidRDefault="00880C8B" w:rsidP="00880C8B">
      <w:pPr>
        <w:pStyle w:val="Textonotapie"/>
        <w:ind w:firstLine="709"/>
        <w:contextualSpacing/>
        <w:jc w:val="both"/>
        <w:rPr>
          <w:rFonts w:ascii="Verdana" w:hAnsi="Verdana" w:cs="Arial"/>
          <w:color w:val="000000"/>
          <w:sz w:val="16"/>
          <w:szCs w:val="16"/>
          <w:lang w:val="es-ES"/>
        </w:rPr>
      </w:pPr>
      <w:r w:rsidRPr="00097DBE">
        <w:rPr>
          <w:rStyle w:val="Refdenotaalpie"/>
          <w:rFonts w:ascii="Verdana" w:hAnsi="Verdana" w:cs="Arial"/>
          <w:color w:val="000000"/>
          <w:sz w:val="16"/>
          <w:szCs w:val="16"/>
        </w:rPr>
        <w:footnoteRef/>
      </w:r>
      <w:r w:rsidRPr="00097DBE">
        <w:rPr>
          <w:rFonts w:ascii="Verdana" w:hAnsi="Verdana" w:cs="Arial"/>
          <w:color w:val="000000"/>
          <w:sz w:val="16"/>
          <w:szCs w:val="16"/>
        </w:rPr>
        <w:t xml:space="preserve"> </w:t>
      </w:r>
      <w:r w:rsidRPr="00097DBE">
        <w:rPr>
          <w:rFonts w:ascii="Verdana" w:hAnsi="Verdana" w:cs="Arial"/>
          <w:color w:val="000000"/>
          <w:sz w:val="16"/>
          <w:szCs w:val="16"/>
          <w:lang w:val="es-ES"/>
        </w:rPr>
        <w:t>Consejo de Estado. Sección Tercera. Subsección C. Sentencia del 2 de diciembre de 2013. Exp. 41719. Consejero Ponente: Jaime Orlando Santofimio Gamboa.</w:t>
      </w:r>
    </w:p>
  </w:footnote>
  <w:footnote w:id="8">
    <w:p w14:paraId="4E0D97DB" w14:textId="77777777" w:rsidR="00880C8B" w:rsidRPr="00097DBE" w:rsidRDefault="00880C8B" w:rsidP="00880C8B">
      <w:pPr>
        <w:spacing w:after="0" w:line="240" w:lineRule="auto"/>
        <w:contextualSpacing/>
        <w:jc w:val="both"/>
        <w:rPr>
          <w:rFonts w:ascii="Verdana" w:hAnsi="Verdana"/>
          <w:sz w:val="16"/>
          <w:szCs w:val="16"/>
        </w:rPr>
      </w:pPr>
    </w:p>
  </w:footnote>
  <w:footnote w:id="9">
    <w:p w14:paraId="7A877995" w14:textId="77777777" w:rsidR="00880C8B" w:rsidRPr="00097DBE" w:rsidRDefault="00880C8B" w:rsidP="00880C8B">
      <w:pPr>
        <w:pStyle w:val="Textonotapie"/>
        <w:ind w:firstLine="709"/>
        <w:contextualSpacing/>
        <w:jc w:val="both"/>
        <w:rPr>
          <w:rFonts w:ascii="Verdana" w:hAnsi="Verdana" w:cs="Arial"/>
          <w:sz w:val="16"/>
          <w:szCs w:val="16"/>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Consejo de Estado. Sección Tercera. Subsección C. Sentencia de Unificación del 2 de diciembre de 2013. Exp. 41.719. C.P. Jaime Orlando Santofimio Gamboa.</w:t>
      </w:r>
      <w:r w:rsidRPr="00097DBE">
        <w:rPr>
          <w:rFonts w:ascii="Verdana" w:hAnsi="Verdana" w:cs="Arial"/>
          <w:sz w:val="16"/>
          <w:szCs w:val="16"/>
        </w:rPr>
        <w:t xml:space="preserve"> </w:t>
      </w:r>
    </w:p>
    <w:p w14:paraId="3A503ED8" w14:textId="77777777" w:rsidR="00880C8B" w:rsidRPr="00097DBE" w:rsidRDefault="00880C8B" w:rsidP="00880C8B">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387A5BB" w14:textId="77777777" w:rsidR="00880C8B" w:rsidRPr="00097DBE" w:rsidRDefault="00880C8B" w:rsidP="00880C8B">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75EDD8C9" w14:textId="77777777" w:rsidR="00880C8B" w:rsidRPr="00097DBE" w:rsidRDefault="00880C8B" w:rsidP="00880C8B">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40A29FC4" w14:textId="77777777" w:rsidR="00880C8B" w:rsidRPr="00097DBE" w:rsidRDefault="00880C8B" w:rsidP="00880C8B">
      <w:pPr>
        <w:pStyle w:val="Textonotapie"/>
        <w:ind w:firstLine="709"/>
        <w:contextualSpacing/>
        <w:jc w:val="both"/>
        <w:rPr>
          <w:rFonts w:ascii="Verdana" w:hAnsi="Verdana" w:cs="Arial"/>
          <w:sz w:val="16"/>
          <w:szCs w:val="16"/>
          <w:lang w:val="es-ES"/>
        </w:rPr>
      </w:pPr>
    </w:p>
  </w:footnote>
  <w:footnote w:id="10">
    <w:p w14:paraId="39D7E8B6" w14:textId="77777777" w:rsidR="00880C8B" w:rsidRPr="00097DBE" w:rsidRDefault="00880C8B" w:rsidP="00880C8B">
      <w:pPr>
        <w:pStyle w:val="Textonotapie"/>
        <w:ind w:firstLine="709"/>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2B076509" w14:textId="77777777" w:rsidR="00880C8B" w:rsidRPr="00097DBE" w:rsidRDefault="00880C8B" w:rsidP="00880C8B">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1. La causal que invoca para contratar directamente.</w:t>
      </w:r>
    </w:p>
    <w:p w14:paraId="55BBD8B8" w14:textId="77777777" w:rsidR="00880C8B" w:rsidRPr="00097DBE" w:rsidRDefault="00880C8B" w:rsidP="00880C8B">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2. El objeto del contrato.</w:t>
      </w:r>
    </w:p>
    <w:p w14:paraId="2275EB81" w14:textId="77777777" w:rsidR="00880C8B" w:rsidRPr="00097DBE" w:rsidRDefault="00880C8B" w:rsidP="00880C8B">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3. El presupuesto para la contratación y las condiciones que exigirá al contratista.</w:t>
      </w:r>
    </w:p>
    <w:p w14:paraId="20D8737B" w14:textId="77777777" w:rsidR="00880C8B" w:rsidRPr="00C0717E" w:rsidRDefault="00880C8B" w:rsidP="00880C8B">
      <w:pPr>
        <w:pStyle w:val="Textonotapie"/>
        <w:ind w:firstLine="709"/>
        <w:contextualSpacing/>
        <w:jc w:val="both"/>
        <w:rPr>
          <w:rFonts w:ascii="Verdana" w:hAnsi="Verdana" w:cs="Arial"/>
          <w:sz w:val="18"/>
          <w:szCs w:val="18"/>
          <w:lang w:val="es-ES"/>
        </w:rPr>
      </w:pPr>
      <w:r w:rsidRPr="00097DBE">
        <w:rPr>
          <w:rFonts w:ascii="Verdana" w:hAnsi="Verdana" w:cs="Arial"/>
          <w:sz w:val="16"/>
          <w:szCs w:val="16"/>
          <w:lang w:val="es-ES"/>
        </w:rPr>
        <w:t>4. El lugar en el cual los interesados pueden consultar los estudios y documentos previos</w:t>
      </w:r>
      <w:r w:rsidRPr="00C0717E">
        <w:rPr>
          <w:rFonts w:ascii="Verdana" w:hAnsi="Verdana" w:cs="Arial"/>
          <w:sz w:val="18"/>
          <w:szCs w:val="18"/>
          <w:lang w:val="es-ES"/>
        </w:rPr>
        <w:t>.</w:t>
      </w:r>
    </w:p>
    <w:p w14:paraId="2AD2F154" w14:textId="77777777" w:rsidR="00880C8B" w:rsidRPr="00441AF3" w:rsidRDefault="00880C8B" w:rsidP="00880C8B">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1">
    <w:p w14:paraId="7980ED77" w14:textId="77777777" w:rsidR="00880C8B" w:rsidRPr="00441AF3" w:rsidRDefault="00880C8B" w:rsidP="00880C8B">
      <w:pPr>
        <w:pStyle w:val="Textonotapie"/>
        <w:contextualSpacing/>
        <w:jc w:val="both"/>
        <w:rPr>
          <w:rFonts w:ascii="Verdana" w:hAnsi="Verdana" w:cs="Arial"/>
          <w:sz w:val="16"/>
          <w:szCs w:val="16"/>
        </w:rPr>
      </w:pPr>
    </w:p>
    <w:p w14:paraId="6222F925" w14:textId="77777777" w:rsidR="00880C8B" w:rsidRPr="00441AF3" w:rsidRDefault="00880C8B" w:rsidP="00880C8B">
      <w:pPr>
        <w:pStyle w:val="Textonotapie"/>
        <w:ind w:firstLine="709"/>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 xml:space="preserve">La norma expresa: “Art. 14. </w:t>
      </w:r>
      <w:r w:rsidRPr="00441AF3">
        <w:rPr>
          <w:rFonts w:ascii="Verdana" w:hAnsi="Verdana" w:cs="Arial"/>
          <w:sz w:val="16"/>
          <w:szCs w:val="16"/>
        </w:rPr>
        <w:t>P</w:t>
      </w:r>
      <w:r w:rsidRPr="00441AF3">
        <w:rPr>
          <w:rFonts w:ascii="Verdana" w:hAnsi="Verdana" w:cs="Arial"/>
          <w:sz w:val="16"/>
          <w:szCs w:val="16"/>
          <w:lang w:val="es-ES"/>
        </w:rPr>
        <w:t>ara el cumplimiento de los fines de la contratación, las entidades estatales al celebrar un contrato:</w:t>
      </w:r>
    </w:p>
    <w:p w14:paraId="72BCF780" w14:textId="77777777" w:rsidR="00880C8B" w:rsidRPr="00441AF3" w:rsidRDefault="00880C8B" w:rsidP="00880C8B">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w:t>
      </w:r>
    </w:p>
    <w:p w14:paraId="566FDB64" w14:textId="77777777" w:rsidR="00880C8B" w:rsidRPr="00441AF3" w:rsidRDefault="00880C8B" w:rsidP="00880C8B">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1C4068C4" w14:textId="77777777" w:rsidR="00880C8B" w:rsidRPr="00441AF3" w:rsidRDefault="00880C8B" w:rsidP="00880C8B">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Las entidades estatales podrán pactar estas cláusulas en los contratos de suministro y de prestación de servicios.</w:t>
      </w:r>
    </w:p>
    <w:p w14:paraId="6DFFEE15" w14:textId="77777777" w:rsidR="00880C8B" w:rsidRPr="00441AF3" w:rsidRDefault="00880C8B" w:rsidP="00880C8B">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w:t>
      </w:r>
    </w:p>
    <w:p w14:paraId="0E5D9564" w14:textId="77777777" w:rsidR="00880C8B" w:rsidRPr="00441AF3" w:rsidRDefault="00880C8B" w:rsidP="00880C8B">
      <w:pPr>
        <w:pStyle w:val="Textonotapie"/>
        <w:ind w:firstLine="709"/>
        <w:contextualSpacing/>
        <w:jc w:val="both"/>
        <w:rPr>
          <w:rFonts w:ascii="Verdana" w:hAnsi="Verdana" w:cs="Arial"/>
          <w:sz w:val="16"/>
          <w:szCs w:val="16"/>
          <w:lang w:val="es-ES"/>
        </w:rPr>
      </w:pPr>
    </w:p>
  </w:footnote>
  <w:footnote w:id="12">
    <w:p w14:paraId="3738D740" w14:textId="77777777" w:rsidR="00880C8B" w:rsidRPr="00441AF3" w:rsidRDefault="00880C8B" w:rsidP="00880C8B">
      <w:pPr>
        <w:pStyle w:val="Textonotapie"/>
        <w:ind w:firstLine="709"/>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1AA67563" w14:textId="77777777" w:rsidR="00880C8B" w:rsidRPr="00441AF3" w:rsidRDefault="00880C8B" w:rsidP="00880C8B">
      <w:pPr>
        <w:pStyle w:val="Textonotapie"/>
        <w:ind w:firstLine="709"/>
        <w:contextualSpacing/>
        <w:jc w:val="both"/>
        <w:rPr>
          <w:rFonts w:ascii="Verdana" w:hAnsi="Verdana" w:cs="Arial"/>
          <w:sz w:val="16"/>
          <w:szCs w:val="16"/>
          <w:lang w:val="es-ES"/>
        </w:rPr>
      </w:pPr>
    </w:p>
  </w:footnote>
  <w:footnote w:id="13">
    <w:p w14:paraId="7EF22736" w14:textId="77777777" w:rsidR="00880C8B" w:rsidRPr="00441AF3" w:rsidRDefault="00880C8B" w:rsidP="00880C8B">
      <w:pPr>
        <w:pStyle w:val="Textonotapie"/>
        <w:ind w:firstLine="709"/>
        <w:contextualSpacing/>
        <w:jc w:val="both"/>
        <w:rPr>
          <w:rFonts w:ascii="Verdana" w:hAnsi="Verdana" w:cs="Arial"/>
          <w:sz w:val="16"/>
          <w:szCs w:val="16"/>
        </w:rPr>
      </w:pPr>
      <w:r w:rsidRPr="00441AF3">
        <w:rPr>
          <w:rStyle w:val="Refdenotaalpie"/>
          <w:rFonts w:ascii="Verdana" w:hAnsi="Verdana" w:cs="Arial"/>
          <w:sz w:val="16"/>
          <w:szCs w:val="16"/>
        </w:rPr>
        <w:footnoteRef/>
      </w:r>
      <w:r w:rsidRPr="00441AF3">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AD73110" w14:textId="77777777" w:rsidR="00880C8B" w:rsidRPr="00C0717E" w:rsidRDefault="00880C8B" w:rsidP="00880C8B">
      <w:pPr>
        <w:pStyle w:val="Textonotapie"/>
        <w:ind w:firstLine="709"/>
        <w:contextualSpacing/>
        <w:jc w:val="both"/>
        <w:rPr>
          <w:rFonts w:ascii="Verdana" w:hAnsi="Verdana" w:cs="Arial"/>
          <w:sz w:val="18"/>
          <w:szCs w:val="18"/>
        </w:rPr>
      </w:pPr>
      <w:r w:rsidRPr="00441AF3">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1C82029D" w14:textId="77777777" w:rsidR="00880C8B" w:rsidRPr="00C0717E" w:rsidRDefault="00880C8B" w:rsidP="00880C8B">
      <w:pPr>
        <w:pStyle w:val="Textonotapie"/>
        <w:ind w:firstLine="709"/>
        <w:contextualSpacing/>
        <w:jc w:val="both"/>
        <w:rPr>
          <w:rFonts w:ascii="Verdana" w:hAnsi="Verdana" w:cs="Arial"/>
          <w:sz w:val="18"/>
          <w:szCs w:val="18"/>
        </w:rPr>
      </w:pPr>
      <w:r w:rsidRPr="00C0717E">
        <w:rPr>
          <w:rFonts w:ascii="Verdana" w:hAnsi="Verdana" w:cs="Arial"/>
          <w:sz w:val="18"/>
          <w:szCs w:val="18"/>
        </w:rPr>
        <w:t>[…]”.</w:t>
      </w:r>
    </w:p>
    <w:p w14:paraId="42AB05AB" w14:textId="77777777" w:rsidR="00880C8B" w:rsidRPr="00C0717E" w:rsidRDefault="00880C8B" w:rsidP="00880C8B">
      <w:pPr>
        <w:pStyle w:val="Textonotapie"/>
        <w:ind w:firstLine="709"/>
        <w:contextualSpacing/>
        <w:jc w:val="both"/>
        <w:rPr>
          <w:rFonts w:ascii="Verdana" w:hAnsi="Verdana" w:cs="Arial"/>
          <w:sz w:val="18"/>
          <w:szCs w:val="18"/>
          <w:lang w:val="es-ES"/>
        </w:rPr>
      </w:pPr>
    </w:p>
  </w:footnote>
  <w:footnote w:id="14">
    <w:p w14:paraId="360559A6" w14:textId="77777777" w:rsidR="00880C8B" w:rsidRPr="00441AF3" w:rsidRDefault="00880C8B" w:rsidP="00880C8B">
      <w:pPr>
        <w:pStyle w:val="Textonotapie"/>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064CF7B2" w14:textId="77777777" w:rsidR="00880C8B" w:rsidRPr="00E478A7" w:rsidRDefault="00880C8B" w:rsidP="00880C8B">
      <w:pPr>
        <w:pStyle w:val="Textonotapie"/>
        <w:ind w:firstLine="709"/>
        <w:contextualSpacing/>
        <w:jc w:val="both"/>
        <w:rPr>
          <w:rFonts w:ascii="Verdana" w:hAnsi="Verdana" w:cs="Arial"/>
          <w:sz w:val="18"/>
          <w:szCs w:val="18"/>
          <w:lang w:val="es-ES"/>
        </w:rPr>
      </w:pPr>
    </w:p>
  </w:footnote>
  <w:footnote w:id="15">
    <w:p w14:paraId="51C71897" w14:textId="77777777" w:rsidR="00880C8B" w:rsidRPr="007F6E1C" w:rsidRDefault="00880C8B" w:rsidP="00880C8B">
      <w:pPr>
        <w:pStyle w:val="Textonotapie"/>
        <w:rPr>
          <w:lang w:val="es-ES"/>
        </w:rPr>
      </w:pPr>
      <w:bookmarkStart w:id="3" w:name="_Hlk194585808"/>
      <w:r w:rsidRPr="00E478A7">
        <w:rPr>
          <w:rStyle w:val="Refdenotaalpie"/>
          <w:rFonts w:ascii="Verdana" w:hAnsi="Verdana"/>
          <w:sz w:val="18"/>
          <w:szCs w:val="18"/>
        </w:rPr>
        <w:footnoteRef/>
      </w:r>
      <w:r w:rsidRPr="00E478A7">
        <w:rPr>
          <w:rFonts w:ascii="Verdana" w:hAnsi="Verdana"/>
          <w:sz w:val="18"/>
          <w:szCs w:val="18"/>
        </w:rPr>
        <w:t xml:space="preserve"> </w:t>
      </w:r>
      <w:r w:rsidRPr="00E478A7">
        <w:rPr>
          <w:rFonts w:ascii="Verdana" w:hAnsi="Verdana"/>
          <w:sz w:val="18"/>
          <w:szCs w:val="18"/>
          <w:lang w:val="es-ES"/>
        </w:rPr>
        <w:t>Corte Constitucional. Sentencia C-489/96. M.P: Antonio Barrera Carbonell</w:t>
      </w:r>
      <w:bookmarkEnd w:id="3"/>
    </w:p>
  </w:footnote>
  <w:footnote w:id="16">
    <w:p w14:paraId="5E074A25" w14:textId="77777777" w:rsidR="00880C8B" w:rsidRPr="001A625A" w:rsidRDefault="00880C8B" w:rsidP="00880C8B">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58B45FDB" w14:textId="77777777" w:rsidR="00880C8B" w:rsidRPr="001A625A" w:rsidRDefault="00880C8B" w:rsidP="00880C8B">
      <w:pPr>
        <w:spacing w:after="0" w:line="240" w:lineRule="auto"/>
        <w:ind w:firstLine="709"/>
        <w:jc w:val="both"/>
        <w:rPr>
          <w:rFonts w:ascii="Verdana" w:hAnsi="Verdana" w:cs="Arial"/>
          <w:color w:val="000000" w:themeColor="text1"/>
          <w:sz w:val="16"/>
          <w:szCs w:val="16"/>
          <w:lang w:val="es-ES"/>
        </w:rPr>
      </w:pPr>
    </w:p>
  </w:footnote>
  <w:footnote w:id="17">
    <w:p w14:paraId="1ACE3C69" w14:textId="77777777" w:rsidR="00880C8B" w:rsidRPr="001A625A" w:rsidRDefault="00880C8B" w:rsidP="00880C8B">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74F0588A" w14:textId="77777777" w:rsidR="00880C8B" w:rsidRPr="001A625A" w:rsidRDefault="00880C8B" w:rsidP="00880C8B">
      <w:pPr>
        <w:pStyle w:val="Textonotapie"/>
        <w:ind w:firstLine="709"/>
        <w:jc w:val="both"/>
        <w:rPr>
          <w:rFonts w:ascii="Verdana" w:hAnsi="Verdana" w:cs="Arial"/>
          <w:color w:val="000000" w:themeColor="text1"/>
          <w:sz w:val="16"/>
          <w:szCs w:val="16"/>
          <w:lang w:val="es-CO"/>
        </w:rPr>
      </w:pPr>
    </w:p>
  </w:footnote>
  <w:footnote w:id="18">
    <w:p w14:paraId="4381A284" w14:textId="77777777" w:rsidR="00880C8B" w:rsidRPr="001A625A" w:rsidRDefault="00880C8B" w:rsidP="00880C8B">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5F446982" w14:textId="77777777" w:rsidR="00880C8B" w:rsidRPr="001A625A" w:rsidRDefault="00880C8B" w:rsidP="00880C8B">
      <w:pPr>
        <w:pStyle w:val="Textonotapie"/>
        <w:ind w:firstLine="709"/>
        <w:jc w:val="both"/>
        <w:rPr>
          <w:rFonts w:ascii="Verdana" w:hAnsi="Verdana" w:cs="Arial"/>
          <w:color w:val="000000" w:themeColor="text1"/>
          <w:sz w:val="16"/>
          <w:szCs w:val="16"/>
          <w:lang w:val="es-CO"/>
        </w:rPr>
      </w:pPr>
      <w:r w:rsidRPr="001A625A">
        <w:rPr>
          <w:rFonts w:ascii="Verdana" w:hAnsi="Verdana" w:cs="Arial"/>
          <w:color w:val="000000" w:themeColor="text1"/>
          <w:sz w:val="16"/>
          <w:szCs w:val="16"/>
          <w:lang w:val="es-ES"/>
        </w:rPr>
        <w:t xml:space="preserve">  </w:t>
      </w:r>
    </w:p>
  </w:footnote>
  <w:footnote w:id="19">
    <w:p w14:paraId="5E908BF9" w14:textId="77777777" w:rsidR="00880C8B" w:rsidRPr="001A625A" w:rsidRDefault="00880C8B" w:rsidP="00880C8B">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6A56B0F0" w14:textId="77777777" w:rsidR="00880C8B" w:rsidRPr="001A625A" w:rsidRDefault="00880C8B" w:rsidP="00880C8B">
      <w:pPr>
        <w:spacing w:after="0" w:line="240" w:lineRule="auto"/>
        <w:ind w:firstLine="709"/>
        <w:jc w:val="both"/>
        <w:rPr>
          <w:rFonts w:ascii="Verdana" w:hAnsi="Verdana" w:cs="Arial"/>
          <w:color w:val="000000" w:themeColor="text1"/>
          <w:sz w:val="16"/>
          <w:szCs w:val="16"/>
          <w:lang w:val="es-ES"/>
        </w:rPr>
      </w:pPr>
    </w:p>
  </w:footnote>
  <w:footnote w:id="20">
    <w:p w14:paraId="1ACECD18" w14:textId="77777777" w:rsidR="00880C8B" w:rsidRPr="00140995" w:rsidRDefault="00880C8B" w:rsidP="00880C8B">
      <w:pPr>
        <w:pStyle w:val="Textonotapie"/>
        <w:ind w:firstLine="709"/>
        <w:contextualSpacing/>
        <w:jc w:val="both"/>
        <w:rPr>
          <w:rFonts w:ascii="Verdana" w:hAnsi="Verdana" w:cs="Arial"/>
          <w:color w:val="000000"/>
          <w:sz w:val="16"/>
          <w:szCs w:val="16"/>
          <w:lang w:val="es-ES"/>
        </w:rPr>
      </w:pPr>
      <w:r w:rsidRPr="00140995">
        <w:rPr>
          <w:rStyle w:val="Refdenotaalpie"/>
          <w:rFonts w:ascii="Verdana" w:hAnsi="Verdana"/>
          <w:sz w:val="16"/>
          <w:szCs w:val="16"/>
        </w:rPr>
        <w:footnoteRef/>
      </w:r>
      <w:r w:rsidRPr="00140995">
        <w:rPr>
          <w:rFonts w:ascii="Verdana" w:hAnsi="Verdana" w:cs="Arial"/>
          <w:color w:val="000000"/>
          <w:sz w:val="16"/>
          <w:szCs w:val="16"/>
        </w:rPr>
        <w:t xml:space="preserve"> </w:t>
      </w:r>
      <w:r w:rsidRPr="00140995">
        <w:rPr>
          <w:rFonts w:ascii="Verdana" w:hAnsi="Verdana" w:cs="Arial"/>
          <w:color w:val="000000"/>
          <w:sz w:val="16"/>
          <w:szCs w:val="16"/>
          <w:lang w:val="es-ES"/>
        </w:rPr>
        <w:t xml:space="preserve">Corte Constitucional. Sentencia T-1039 de 2006. </w:t>
      </w:r>
      <w:r w:rsidRPr="00140995">
        <w:rPr>
          <w:rFonts w:ascii="Verdana" w:hAnsi="Verdana" w:cs="Arial"/>
          <w:color w:val="000000"/>
          <w:sz w:val="16"/>
          <w:szCs w:val="16"/>
          <w:lang w:val="it-IT"/>
        </w:rPr>
        <w:t xml:space="preserve">Magistrado Ponente: Humberto Sierra Porto. </w:t>
      </w:r>
      <w:r w:rsidRPr="00140995">
        <w:rPr>
          <w:rFonts w:ascii="Verdana" w:hAnsi="Verdana" w:cs="Arial"/>
          <w:color w:val="000000"/>
          <w:sz w:val="16"/>
          <w:szCs w:val="16"/>
          <w:lang w:val="es-ES"/>
        </w:rPr>
        <w:t xml:space="preserve">La Corte ha mantenido este criterio en las sentencias: C-903 de 2008. Magistrado Ponente: Jaime Araujo Rentería; C-101 de 2018. Magistrada Ponente Gloria Stella Ortiz Delgado; entre otras. </w:t>
      </w:r>
    </w:p>
    <w:p w14:paraId="0A9EC666" w14:textId="77777777" w:rsidR="00880C8B" w:rsidRPr="00140995" w:rsidRDefault="00880C8B" w:rsidP="00880C8B">
      <w:pPr>
        <w:pStyle w:val="Textonotapie"/>
        <w:ind w:firstLine="709"/>
        <w:contextualSpacing/>
        <w:jc w:val="both"/>
        <w:rPr>
          <w:rFonts w:ascii="Verdana" w:hAnsi="Verdana" w:cs="Arial"/>
          <w:color w:val="000000"/>
          <w:sz w:val="16"/>
          <w:szCs w:val="16"/>
          <w:lang w:val="es-ES"/>
        </w:rPr>
      </w:pPr>
    </w:p>
  </w:footnote>
  <w:footnote w:id="21">
    <w:p w14:paraId="082DDEC5" w14:textId="77777777" w:rsidR="00880C8B" w:rsidRPr="00140995" w:rsidRDefault="00880C8B" w:rsidP="00880C8B">
      <w:pPr>
        <w:pStyle w:val="Textonotapie"/>
        <w:ind w:firstLine="709"/>
        <w:contextualSpacing/>
        <w:jc w:val="both"/>
        <w:rPr>
          <w:rFonts w:ascii="Verdana" w:hAnsi="Verdana" w:cs="Arial"/>
          <w:color w:val="000000"/>
          <w:sz w:val="16"/>
          <w:szCs w:val="16"/>
          <w:lang w:val="es-ES"/>
        </w:rPr>
      </w:pPr>
      <w:r w:rsidRPr="00140995">
        <w:rPr>
          <w:rStyle w:val="Refdenotaalpie"/>
          <w:rFonts w:ascii="Verdana" w:hAnsi="Verdana"/>
          <w:sz w:val="16"/>
          <w:szCs w:val="16"/>
        </w:rPr>
        <w:footnoteRef/>
      </w:r>
      <w:r w:rsidRPr="00140995">
        <w:rPr>
          <w:rFonts w:ascii="Verdana" w:hAnsi="Verdana" w:cs="Arial"/>
          <w:color w:val="000000"/>
          <w:sz w:val="16"/>
          <w:szCs w:val="16"/>
        </w:rPr>
        <w:t xml:space="preserve"> </w:t>
      </w:r>
      <w:r w:rsidRPr="00140995">
        <w:rPr>
          <w:rFonts w:ascii="Verdana" w:hAnsi="Verdana" w:cs="Arial"/>
          <w:color w:val="000000"/>
          <w:sz w:val="16"/>
          <w:szCs w:val="16"/>
          <w:lang w:val="es-ES"/>
        </w:rPr>
        <w:t>Consejo de Estado. Sala de Consulta y Servicio Civil. Concepto del 30 de abril de 2015. Expediente: 2.251. Consejero Ponente: Álvaro Namén Vargas.</w:t>
      </w:r>
    </w:p>
    <w:p w14:paraId="62C7E961" w14:textId="77777777" w:rsidR="00880C8B" w:rsidRPr="00140995" w:rsidRDefault="00880C8B" w:rsidP="00880C8B">
      <w:pPr>
        <w:pStyle w:val="Textonotapie"/>
        <w:ind w:firstLine="709"/>
        <w:contextualSpacing/>
        <w:jc w:val="both"/>
        <w:rPr>
          <w:rFonts w:ascii="Verdana" w:hAnsi="Verdana" w:cs="Arial"/>
          <w:color w:val="000000"/>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D659A"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09CB0C5D" wp14:editId="4DA6069A">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5583256" wp14:editId="538FF8C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0CFAF0B" w14:textId="77777777" w:rsidR="00515FB5" w:rsidRDefault="00515FB5" w:rsidP="00515FB5">
    <w:pPr>
      <w:pStyle w:val="Encabezado"/>
    </w:pPr>
  </w:p>
  <w:p w14:paraId="6A7B1AA0" w14:textId="77777777" w:rsidR="00515FB5" w:rsidRDefault="00515FB5" w:rsidP="00515FB5">
    <w:pPr>
      <w:pStyle w:val="Encabezado"/>
    </w:pPr>
  </w:p>
  <w:p w14:paraId="0FB9600B" w14:textId="77777777" w:rsidR="00515FB5" w:rsidRDefault="00515FB5" w:rsidP="00515FB5">
    <w:pPr>
      <w:pStyle w:val="Encabezado"/>
    </w:pPr>
  </w:p>
  <w:p w14:paraId="55A63965" w14:textId="77777777" w:rsidR="00515FB5" w:rsidRPr="00AB7B56" w:rsidRDefault="00515FB5" w:rsidP="00515FB5">
    <w:pPr>
      <w:pStyle w:val="Encabezado"/>
    </w:pPr>
  </w:p>
  <w:p w14:paraId="64F4C8C2"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BE7758F"/>
    <w:multiLevelType w:val="hybridMultilevel"/>
    <w:tmpl w:val="15860DC0"/>
    <w:lvl w:ilvl="0" w:tplc="F4EA7E54">
      <w:start w:val="1"/>
      <w:numFmt w:val="lowerRoman"/>
      <w:lvlText w:val="%1)"/>
      <w:lvlJc w:val="left"/>
      <w:pPr>
        <w:ind w:left="1440" w:hanging="720"/>
      </w:pPr>
      <w:rPr>
        <w:rFonts w:hint="default"/>
        <w:color w:val="auto"/>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9" w15:restartNumberingAfterBreak="0">
    <w:nsid w:val="4EFB3685"/>
    <w:multiLevelType w:val="hybridMultilevel"/>
    <w:tmpl w:val="67F22258"/>
    <w:lvl w:ilvl="0" w:tplc="A75265A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59F14D9"/>
    <w:multiLevelType w:val="hybridMultilevel"/>
    <w:tmpl w:val="842ABA9C"/>
    <w:lvl w:ilvl="0" w:tplc="EB06FEE0">
      <w:start w:val="2"/>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290670214">
    <w:abstractNumId w:val="6"/>
  </w:num>
  <w:num w:numId="2" w16cid:durableId="4285022">
    <w:abstractNumId w:val="2"/>
  </w:num>
  <w:num w:numId="3" w16cid:durableId="881983949">
    <w:abstractNumId w:val="3"/>
  </w:num>
  <w:num w:numId="4" w16cid:durableId="341274352">
    <w:abstractNumId w:val="0"/>
  </w:num>
  <w:num w:numId="5" w16cid:durableId="1887524674">
    <w:abstractNumId w:val="8"/>
  </w:num>
  <w:num w:numId="6" w16cid:durableId="1082990391">
    <w:abstractNumId w:val="1"/>
  </w:num>
  <w:num w:numId="7" w16cid:durableId="1492209491">
    <w:abstractNumId w:val="5"/>
  </w:num>
  <w:num w:numId="8" w16cid:durableId="679089576">
    <w:abstractNumId w:val="7"/>
  </w:num>
  <w:num w:numId="9" w16cid:durableId="692001641">
    <w:abstractNumId w:val="4"/>
  </w:num>
  <w:num w:numId="10" w16cid:durableId="1312828074">
    <w:abstractNumId w:val="9"/>
  </w:num>
  <w:num w:numId="11" w16cid:durableId="1973359669">
    <w:abstractNumId w:val="11"/>
  </w:num>
  <w:num w:numId="12" w16cid:durableId="15264468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doNotDisplayPageBoundaries/>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C8B"/>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B74B1"/>
    <w:rsid w:val="002E1DB5"/>
    <w:rsid w:val="002F6CCB"/>
    <w:rsid w:val="0030461E"/>
    <w:rsid w:val="003107A1"/>
    <w:rsid w:val="0032756A"/>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8743A"/>
    <w:rsid w:val="005A4DB0"/>
    <w:rsid w:val="005A7B8E"/>
    <w:rsid w:val="005B012B"/>
    <w:rsid w:val="005B0C87"/>
    <w:rsid w:val="005D23F6"/>
    <w:rsid w:val="005D2FA8"/>
    <w:rsid w:val="005E2281"/>
    <w:rsid w:val="005E667C"/>
    <w:rsid w:val="005F077C"/>
    <w:rsid w:val="005F11F4"/>
    <w:rsid w:val="005F63D0"/>
    <w:rsid w:val="005F7973"/>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D3998"/>
    <w:rsid w:val="006E7F37"/>
    <w:rsid w:val="006F3B81"/>
    <w:rsid w:val="006F4F79"/>
    <w:rsid w:val="00705B37"/>
    <w:rsid w:val="00711FD9"/>
    <w:rsid w:val="00735062"/>
    <w:rsid w:val="00746BA5"/>
    <w:rsid w:val="00751D23"/>
    <w:rsid w:val="0076552B"/>
    <w:rsid w:val="00770577"/>
    <w:rsid w:val="00777666"/>
    <w:rsid w:val="0078159B"/>
    <w:rsid w:val="00782E10"/>
    <w:rsid w:val="0078706B"/>
    <w:rsid w:val="00790836"/>
    <w:rsid w:val="00797131"/>
    <w:rsid w:val="007A3C1D"/>
    <w:rsid w:val="007B285D"/>
    <w:rsid w:val="007C6BC6"/>
    <w:rsid w:val="007D21ED"/>
    <w:rsid w:val="00801DCA"/>
    <w:rsid w:val="00807D79"/>
    <w:rsid w:val="00813634"/>
    <w:rsid w:val="008136F2"/>
    <w:rsid w:val="00822821"/>
    <w:rsid w:val="00831C29"/>
    <w:rsid w:val="008431EF"/>
    <w:rsid w:val="008468E0"/>
    <w:rsid w:val="008526E9"/>
    <w:rsid w:val="00863B82"/>
    <w:rsid w:val="00871B59"/>
    <w:rsid w:val="00877D03"/>
    <w:rsid w:val="00877E96"/>
    <w:rsid w:val="008806CA"/>
    <w:rsid w:val="00880C8B"/>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174E"/>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D0818"/>
    <w:rsid w:val="00CE6BDA"/>
    <w:rsid w:val="00D03DBE"/>
    <w:rsid w:val="00D072C0"/>
    <w:rsid w:val="00D14785"/>
    <w:rsid w:val="00D34C82"/>
    <w:rsid w:val="00D3757A"/>
    <w:rsid w:val="00D504A9"/>
    <w:rsid w:val="00D5206D"/>
    <w:rsid w:val="00D547B4"/>
    <w:rsid w:val="00D7177D"/>
    <w:rsid w:val="00D81311"/>
    <w:rsid w:val="00DB201E"/>
    <w:rsid w:val="00DC0E68"/>
    <w:rsid w:val="00DD25ED"/>
    <w:rsid w:val="00DD56E8"/>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ABDB60"/>
  <w15:docId w15:val="{14F6AB8B-937D-F545-9925-F6B6973F5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021BB"/>
  </w:style>
  <w:style w:type="character" w:customStyle="1" w:styleId="citation-182">
    <w:name w:val="citation-182"/>
    <w:basedOn w:val="Fuentedeprrafopredeter"/>
    <w:rsid w:val="008136F2"/>
  </w:style>
  <w:style w:type="character" w:customStyle="1" w:styleId="citation-181">
    <w:name w:val="citation-181"/>
    <w:basedOn w:val="Fuentedeprrafopredeter"/>
    <w:rsid w:val="008136F2"/>
  </w:style>
  <w:style w:type="character" w:customStyle="1" w:styleId="citation-180">
    <w:name w:val="citation-180"/>
    <w:basedOn w:val="Fuentedeprrafopredeter"/>
    <w:rsid w:val="008136F2"/>
  </w:style>
  <w:style w:type="character" w:customStyle="1" w:styleId="citation-179">
    <w:name w:val="citation-179"/>
    <w:basedOn w:val="Fuentedeprrafopredeter"/>
    <w:rsid w:val="008136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ndreagarzon/Desktop/CONCEPTOS%20CCE/DICIEMBRE/PLANTILLA%20PRICIPAL%20.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78A77F47-3C82-498B-9BAA-1ED6891871D8}"/>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PLANTILLA PRICIPAL .dotx</Template>
  <TotalTime>0</TotalTime>
  <Pages>18</Pages>
  <Words>4253</Words>
  <Characters>21865</Characters>
  <Application>Microsoft Office Word</Application>
  <DocSecurity>0</DocSecurity>
  <Lines>428</Lines>
  <Paragraphs>104</Paragraphs>
  <ScaleCrop>false</ScaleCrop>
  <Company/>
  <LinksUpToDate>false</LinksUpToDate>
  <CharactersWithSpaces>26014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Andrea del Pilar Garzón Sánchez</cp:lastModifiedBy>
  <cp:revision>2</cp:revision>
  <dcterms:created xsi:type="dcterms:W3CDTF">2025-12-19T20:09:00Z</dcterms:created>
  <dcterms:modified xsi:type="dcterms:W3CDTF">2025-12-19T20:09:00Z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