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52193F" w14:textId="77777777" w:rsidR="00FB63C7" w:rsidRPr="0040127E" w:rsidRDefault="00FB63C7" w:rsidP="00FB63C7">
      <w:pPr>
        <w:spacing w:after="0" w:line="240" w:lineRule="auto"/>
        <w:rPr>
          <w:rFonts w:ascii="Verdana" w:eastAsia="Calibri" w:hAnsi="Verdana" w:cs="Arial"/>
          <w:b/>
          <w:bCs/>
          <w:lang w:val="es-ES" w:eastAsia="es-ES"/>
        </w:rPr>
      </w:pPr>
      <w:bookmarkStart w:id="0" w:name="_Hlk143780582"/>
      <w:r w:rsidRPr="0040127E">
        <w:rPr>
          <w:rFonts w:ascii="Verdana" w:hAnsi="Verdana" w:cs="Arial"/>
          <w:b/>
          <w:bCs/>
          <w:lang w:val="es-ES_tradnl"/>
        </w:rPr>
        <w:t>ANTICIPO Y/O PAGO ANTICIPADO– Regulación normativa</w:t>
      </w:r>
      <w:r w:rsidRPr="0040127E">
        <w:rPr>
          <w:rFonts w:ascii="Verdana" w:eastAsia="Calibri" w:hAnsi="Verdana" w:cs="Arial"/>
          <w:b/>
          <w:bCs/>
          <w:lang w:val="es-ES" w:eastAsia="es-ES"/>
        </w:rPr>
        <w:t xml:space="preserve"> </w:t>
      </w:r>
    </w:p>
    <w:p w14:paraId="729F4E1D" w14:textId="77777777" w:rsidR="00FB63C7" w:rsidRDefault="00FB63C7" w:rsidP="00FB63C7">
      <w:pPr>
        <w:spacing w:after="0" w:line="240" w:lineRule="auto"/>
        <w:rPr>
          <w:rFonts w:ascii="Verdana" w:eastAsia="Calibri" w:hAnsi="Verdana" w:cs="Arial"/>
          <w:bCs/>
          <w:lang w:val="es-ES" w:eastAsia="es-ES"/>
        </w:rPr>
      </w:pPr>
    </w:p>
    <w:p w14:paraId="6484B2A2" w14:textId="77777777" w:rsidR="00FB63C7" w:rsidRPr="00940B15" w:rsidRDefault="00FB63C7" w:rsidP="00FB63C7">
      <w:pPr>
        <w:snapToGrid w:val="0"/>
        <w:spacing w:after="0" w:line="240" w:lineRule="auto"/>
        <w:jc w:val="both"/>
        <w:rPr>
          <w:rFonts w:ascii="Verdana" w:eastAsia="Calibri" w:hAnsi="Verdana" w:cs="Arial"/>
          <w:sz w:val="20"/>
          <w:lang w:val="es-ES"/>
        </w:rPr>
      </w:pPr>
      <w:r w:rsidRPr="00940B15">
        <w:rPr>
          <w:rFonts w:ascii="Verdana" w:eastAsia="Calibri" w:hAnsi="Verdana" w:cs="Arial"/>
          <w:sz w:val="20"/>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51C5D3AE" w14:textId="77777777" w:rsidR="00FB63C7" w:rsidRDefault="00FB63C7" w:rsidP="00FB63C7">
      <w:pPr>
        <w:spacing w:after="0" w:line="240" w:lineRule="auto"/>
        <w:rPr>
          <w:rFonts w:ascii="Verdana" w:eastAsia="Calibri" w:hAnsi="Verdana" w:cs="Arial"/>
          <w:bCs/>
          <w:lang w:val="es-ES" w:eastAsia="es-ES"/>
        </w:rPr>
      </w:pPr>
    </w:p>
    <w:p w14:paraId="2D56AA74" w14:textId="77777777" w:rsidR="00FB63C7" w:rsidRDefault="00FB63C7" w:rsidP="00FB63C7">
      <w:pPr>
        <w:spacing w:after="0" w:line="240" w:lineRule="auto"/>
        <w:jc w:val="both"/>
        <w:rPr>
          <w:rFonts w:ascii="Verdana" w:eastAsia="Calibri" w:hAnsi="Verdana" w:cs="Arial"/>
          <w:b/>
          <w:bCs/>
          <w:lang w:eastAsia="es-ES"/>
        </w:rPr>
      </w:pPr>
      <w:r w:rsidRPr="00940B15">
        <w:rPr>
          <w:rFonts w:ascii="Verdana" w:eastAsia="Calibri" w:hAnsi="Verdana" w:cs="Arial"/>
          <w:b/>
          <w:bCs/>
          <w:lang w:eastAsia="es-ES"/>
        </w:rPr>
        <w:t>ANTICIP</w:t>
      </w:r>
      <w:r>
        <w:rPr>
          <w:rFonts w:ascii="Verdana" w:eastAsia="Calibri" w:hAnsi="Verdana" w:cs="Arial"/>
          <w:b/>
          <w:bCs/>
          <w:lang w:eastAsia="es-ES"/>
        </w:rPr>
        <w:t>O – Definición jurisprudencial</w:t>
      </w:r>
    </w:p>
    <w:p w14:paraId="70D601B9" w14:textId="77777777" w:rsidR="00FB63C7" w:rsidRDefault="00FB63C7" w:rsidP="00FB63C7">
      <w:pPr>
        <w:spacing w:after="0" w:line="240" w:lineRule="auto"/>
        <w:jc w:val="both"/>
        <w:rPr>
          <w:rFonts w:ascii="Verdana" w:eastAsia="Calibri" w:hAnsi="Verdana" w:cs="Arial"/>
          <w:b/>
          <w:bCs/>
          <w:lang w:eastAsia="es-ES"/>
        </w:rPr>
      </w:pPr>
    </w:p>
    <w:p w14:paraId="5D0D1163" w14:textId="77777777" w:rsidR="00FB63C7" w:rsidRPr="00940B15" w:rsidRDefault="00FB63C7" w:rsidP="00FB63C7">
      <w:pPr>
        <w:spacing w:after="0" w:line="240" w:lineRule="auto"/>
        <w:jc w:val="both"/>
        <w:rPr>
          <w:rFonts w:ascii="Verdana" w:eastAsia="Calibri" w:hAnsi="Verdana" w:cs="Arial"/>
          <w:bCs/>
          <w:sz w:val="20"/>
          <w:szCs w:val="20"/>
          <w:lang w:eastAsia="es-ES"/>
        </w:rPr>
      </w:pPr>
      <w:r w:rsidRPr="00940B15">
        <w:rPr>
          <w:rFonts w:ascii="Verdana" w:eastAsia="Calibri" w:hAnsi="Verdana" w:cs="Arial"/>
          <w:bCs/>
          <w:sz w:val="20"/>
          <w:szCs w:val="20"/>
          <w:lang w:eastAsia="es-ES"/>
        </w:rPr>
        <w:t xml:space="preserve">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 Igualmente, explica que el anticipo, al facilitar al contratista la financiación de los bienes y servicios que se le han encargado, es un factor determinante para impulsar la ejecución del contrato. </w:t>
      </w:r>
    </w:p>
    <w:p w14:paraId="5960F47B" w14:textId="77777777" w:rsidR="00FB63C7" w:rsidRDefault="00FB63C7" w:rsidP="00FB63C7">
      <w:pPr>
        <w:spacing w:after="0" w:line="240" w:lineRule="auto"/>
        <w:jc w:val="both"/>
        <w:rPr>
          <w:rFonts w:ascii="Verdana" w:eastAsia="Calibri" w:hAnsi="Verdana" w:cs="Arial"/>
          <w:b/>
          <w:bCs/>
          <w:lang w:eastAsia="es-ES"/>
        </w:rPr>
      </w:pPr>
    </w:p>
    <w:p w14:paraId="778FF3A3" w14:textId="77777777" w:rsidR="00FB63C7" w:rsidRPr="00940B15" w:rsidRDefault="00FB63C7" w:rsidP="00FB63C7">
      <w:pPr>
        <w:spacing w:after="0" w:line="240" w:lineRule="auto"/>
        <w:jc w:val="both"/>
        <w:rPr>
          <w:rFonts w:ascii="Verdana" w:eastAsia="Calibri" w:hAnsi="Verdana" w:cs="Arial"/>
          <w:b/>
          <w:bCs/>
          <w:lang w:val="es-ES" w:eastAsia="es-ES"/>
        </w:rPr>
      </w:pPr>
      <w:r w:rsidRPr="00940B15">
        <w:rPr>
          <w:rFonts w:ascii="Verdana" w:eastAsia="Calibri" w:hAnsi="Verdana" w:cs="Arial"/>
          <w:b/>
          <w:bCs/>
          <w:lang w:eastAsia="es-ES"/>
        </w:rPr>
        <w:t>PAGO ANTICIPADO – Definición</w:t>
      </w:r>
    </w:p>
    <w:p w14:paraId="6882B610" w14:textId="77777777" w:rsidR="00FB63C7" w:rsidRDefault="00FB63C7" w:rsidP="00FB63C7">
      <w:pPr>
        <w:spacing w:after="0" w:line="240" w:lineRule="auto"/>
        <w:rPr>
          <w:rFonts w:ascii="Verdana" w:eastAsia="Calibri" w:hAnsi="Verdana" w:cs="Arial"/>
          <w:bCs/>
          <w:lang w:val="es-ES" w:eastAsia="es-ES"/>
        </w:rPr>
      </w:pPr>
    </w:p>
    <w:p w14:paraId="798F7BC5" w14:textId="77777777" w:rsidR="00FB63C7" w:rsidRPr="00A06B14" w:rsidRDefault="00FB63C7" w:rsidP="00FB63C7">
      <w:pPr>
        <w:spacing w:after="0" w:line="240" w:lineRule="auto"/>
        <w:jc w:val="both"/>
        <w:rPr>
          <w:rFonts w:ascii="Verdana" w:eastAsia="Calibri" w:hAnsi="Verdana" w:cs="Arial"/>
          <w:bCs/>
          <w:sz w:val="20"/>
          <w:szCs w:val="20"/>
          <w:lang w:eastAsia="es-ES"/>
        </w:rPr>
      </w:pPr>
      <w:r w:rsidRPr="00A06B14">
        <w:rPr>
          <w:rFonts w:ascii="Verdana" w:eastAsia="Calibri" w:hAnsi="Verdana" w:cs="Arial"/>
          <w:bCs/>
          <w:sz w:val="20"/>
          <w:szCs w:val="20"/>
          <w:lang w:eastAsia="es-ES"/>
        </w:rPr>
        <w:t xml:space="preserve">Por otro lado, la institución jurídica del pago anticipado se concibe como la retribución parcial que el contratista recibe en los contratos estatales. Al respecto, la doctrina expresa: “El pago anticipado sí hace parte del precio y su entrega comporta la extinción parcial de la obligación de remuneración a cargo de la entidad solo que de manera adelantada a la realización del contrato o como primer contado”.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108C2D5B" w14:textId="77777777" w:rsidR="00FB63C7" w:rsidRPr="00A06B14" w:rsidRDefault="00FB63C7" w:rsidP="00FB63C7">
      <w:pPr>
        <w:spacing w:after="0" w:line="240" w:lineRule="auto"/>
        <w:rPr>
          <w:rFonts w:ascii="Verdana" w:eastAsia="Calibri" w:hAnsi="Verdana" w:cs="Arial"/>
          <w:bCs/>
          <w:lang w:eastAsia="es-ES"/>
        </w:rPr>
      </w:pPr>
    </w:p>
    <w:p w14:paraId="6CB4A80A" w14:textId="77777777" w:rsidR="00FB63C7" w:rsidRDefault="00FB63C7" w:rsidP="00FB63C7">
      <w:pPr>
        <w:spacing w:after="0" w:line="240" w:lineRule="auto"/>
        <w:rPr>
          <w:rFonts w:ascii="Verdana" w:eastAsia="Calibri" w:hAnsi="Verdana" w:cs="Arial"/>
          <w:b/>
          <w:bCs/>
        </w:rPr>
      </w:pPr>
      <w:r w:rsidRPr="00940B15">
        <w:rPr>
          <w:rFonts w:ascii="Verdana" w:eastAsia="Calibri" w:hAnsi="Verdana" w:cs="Arial"/>
          <w:b/>
          <w:bCs/>
        </w:rPr>
        <w:t>PAGO ANTICIPADO Y/O ANTICIPO – Límites – Aplicación</w:t>
      </w:r>
    </w:p>
    <w:p w14:paraId="699F795F" w14:textId="77777777" w:rsidR="00FB63C7" w:rsidRDefault="00FB63C7" w:rsidP="00FB63C7">
      <w:pPr>
        <w:spacing w:after="0" w:line="240" w:lineRule="auto"/>
        <w:rPr>
          <w:rFonts w:ascii="Verdana" w:eastAsia="Calibri" w:hAnsi="Verdana" w:cs="Arial"/>
          <w:b/>
          <w:bCs/>
        </w:rPr>
      </w:pPr>
    </w:p>
    <w:p w14:paraId="26002787" w14:textId="77777777" w:rsidR="00FB63C7" w:rsidRPr="00A06B14" w:rsidRDefault="00FB63C7" w:rsidP="00FB63C7">
      <w:pPr>
        <w:spacing w:after="0" w:line="240" w:lineRule="auto"/>
        <w:jc w:val="both"/>
        <w:rPr>
          <w:rFonts w:ascii="Verdana" w:eastAsia="Calibri" w:hAnsi="Verdana" w:cs="Arial"/>
          <w:bCs/>
          <w:sz w:val="20"/>
        </w:rPr>
      </w:pPr>
      <w:r w:rsidRPr="00A06B14">
        <w:rPr>
          <w:rFonts w:ascii="Verdana" w:eastAsia="Calibri" w:hAnsi="Verdana" w:cs="Arial"/>
          <w:bCs/>
          <w:sz w:val="20"/>
        </w:rPr>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w:t>
      </w:r>
      <w:r w:rsidRPr="00A06B14">
        <w:rPr>
          <w:rFonts w:ascii="Verdana" w:eastAsia="Calibri" w:hAnsi="Verdana" w:cs="Arial"/>
          <w:bCs/>
          <w:sz w:val="20"/>
        </w:rPr>
        <w:lastRenderedPageBreak/>
        <w:t>de amortización, las condiciones necesarias para su exigibilidad, así como todas las obligaciones para su correcta inversión.</w:t>
      </w:r>
    </w:p>
    <w:p w14:paraId="695B1614" w14:textId="77777777" w:rsidR="00FB63C7" w:rsidRDefault="00FB63C7" w:rsidP="004C3055">
      <w:pPr>
        <w:spacing w:after="0"/>
        <w:rPr>
          <w:rFonts w:ascii="Verdana" w:hAnsi="Verdana"/>
        </w:rPr>
      </w:pPr>
    </w:p>
    <w:p w14:paraId="240033FA" w14:textId="77777777" w:rsidR="00FB63C7" w:rsidRPr="00FB63C7" w:rsidRDefault="00FB63C7" w:rsidP="00FB63C7">
      <w:pPr>
        <w:spacing w:after="0"/>
        <w:jc w:val="both"/>
        <w:rPr>
          <w:rFonts w:ascii="Verdana" w:hAnsi="Verdana"/>
          <w:b/>
          <w:bCs/>
        </w:rPr>
      </w:pPr>
      <w:r w:rsidRPr="00FB63C7">
        <w:rPr>
          <w:rFonts w:ascii="Verdana" w:hAnsi="Verdana"/>
          <w:b/>
          <w:bCs/>
        </w:rPr>
        <w:t xml:space="preserve">PAGO ANTICIPADO – Características – Amparo de la devolución del pago anticipado </w:t>
      </w:r>
    </w:p>
    <w:p w14:paraId="68939581" w14:textId="02C63FAF" w:rsidR="00FB63C7" w:rsidRPr="00FB63C7" w:rsidRDefault="00FB63C7" w:rsidP="00FB63C7">
      <w:pPr>
        <w:spacing w:after="0" w:line="240" w:lineRule="auto"/>
        <w:jc w:val="both"/>
        <w:rPr>
          <w:rFonts w:ascii="Verdana" w:hAnsi="Verdana"/>
          <w:bCs/>
        </w:rPr>
      </w:pPr>
    </w:p>
    <w:p w14:paraId="0A85D4B3" w14:textId="6CDE292E" w:rsidR="00FB63C7" w:rsidRPr="00FB63C7" w:rsidRDefault="00FB63C7" w:rsidP="00FB63C7">
      <w:pPr>
        <w:spacing w:after="0" w:line="240" w:lineRule="auto"/>
        <w:jc w:val="both"/>
        <w:rPr>
          <w:rFonts w:ascii="Verdana" w:hAnsi="Verdana"/>
          <w:bCs/>
          <w:sz w:val="20"/>
          <w:szCs w:val="20"/>
        </w:rPr>
      </w:pPr>
      <w:r w:rsidRPr="00FB63C7">
        <w:rPr>
          <w:rFonts w:ascii="Verdana" w:hAnsi="Verdana"/>
          <w:bCs/>
          <w:sz w:val="20"/>
          <w:szCs w:val="20"/>
        </w:rPr>
        <w:t>Teniendo en cuenta estas precisiones conceptuales y las normas del Sistema de Compras y Contratación Pública, en el pago anticipado no es exigible la constitución de una fiducia mercantil o un patrimonio para administrarlo, pues como se ha dicho este es un adelanto del pago de una obligación, en la que será necesario la exigencia del amparo de devolución del pago anticipado. Este amparo cubre los perjuicios sufridos por la entidad por la no devolución total o parcial del dinero que se entregó al contratista por pago anticipado -art. 2.2.1.2.3.1.7., numeral 2- del Decreto 1082 de 2015-. Dicho amparo debe ser el ciento por ciento (100%) del monto pagado anticipadamente y</w:t>
      </w:r>
      <w:bookmarkStart w:id="1" w:name="_GoBack"/>
      <w:bookmarkEnd w:id="1"/>
      <w:r w:rsidRPr="00FB63C7">
        <w:rPr>
          <w:rFonts w:ascii="Verdana" w:hAnsi="Verdana"/>
          <w:bCs/>
          <w:sz w:val="20"/>
          <w:szCs w:val="20"/>
        </w:rPr>
        <w:t xml:space="preserve"> cubre a la entidad estatal contratante debe estar vigente hasta la liquidación del contrato o hasta que la Entidad Estatal verifique el cumplimiento de todas las actividades o la entrega de todos los bienes o servicios asociados al pago anticipado, de acuerdo con lo que establezca la Entidad Estatal.</w:t>
      </w:r>
    </w:p>
    <w:p w14:paraId="3FDB208B" w14:textId="77777777" w:rsidR="00FB63C7" w:rsidRPr="00FB63C7" w:rsidRDefault="00FB63C7" w:rsidP="00FB63C7">
      <w:pPr>
        <w:spacing w:after="0"/>
        <w:jc w:val="both"/>
        <w:rPr>
          <w:rFonts w:ascii="Verdana" w:hAnsi="Verdana"/>
          <w:b/>
          <w:bCs/>
        </w:rPr>
      </w:pPr>
    </w:p>
    <w:p w14:paraId="782EC909" w14:textId="05AA96F9" w:rsidR="00FB63C7" w:rsidRDefault="00FB63C7" w:rsidP="00FB63C7">
      <w:pPr>
        <w:spacing w:after="0"/>
        <w:jc w:val="both"/>
        <w:rPr>
          <w:rFonts w:ascii="Verdana" w:hAnsi="Verdana"/>
          <w:b/>
          <w:bCs/>
          <w:lang w:val="es-ES"/>
        </w:rPr>
      </w:pPr>
      <w:r w:rsidRPr="00FB63C7">
        <w:rPr>
          <w:rFonts w:ascii="Verdana" w:hAnsi="Verdana"/>
          <w:b/>
          <w:bCs/>
        </w:rPr>
        <w:t xml:space="preserve">ANTICIPO Y PAGO ANTICIPADO - </w:t>
      </w:r>
      <w:r w:rsidRPr="00FB63C7">
        <w:rPr>
          <w:rFonts w:ascii="Verdana" w:hAnsi="Verdana"/>
          <w:b/>
          <w:bCs/>
          <w:lang w:val="es-ES"/>
        </w:rPr>
        <w:t>Deber de vigilancia – Seguimiento contractual.</w:t>
      </w:r>
    </w:p>
    <w:p w14:paraId="7C6E9496" w14:textId="63DA329D" w:rsidR="00FB63C7" w:rsidRPr="00FB63C7" w:rsidRDefault="00FB63C7" w:rsidP="00FB63C7">
      <w:pPr>
        <w:spacing w:after="0" w:line="240" w:lineRule="auto"/>
        <w:jc w:val="both"/>
        <w:rPr>
          <w:rFonts w:ascii="Verdana" w:hAnsi="Verdana"/>
          <w:sz w:val="20"/>
        </w:rPr>
      </w:pPr>
    </w:p>
    <w:p w14:paraId="6F878466" w14:textId="596E4964" w:rsidR="00FB63C7" w:rsidRDefault="00FB63C7" w:rsidP="00FB63C7">
      <w:pPr>
        <w:spacing w:after="0" w:line="240" w:lineRule="auto"/>
        <w:jc w:val="both"/>
        <w:rPr>
          <w:rFonts w:ascii="Verdana" w:hAnsi="Verdana"/>
          <w:sz w:val="20"/>
          <w:lang w:val="es-ES"/>
        </w:rPr>
      </w:pPr>
      <w:r w:rsidRPr="00FB63C7">
        <w:rPr>
          <w:rFonts w:ascii="Verdana" w:hAnsi="Verdana"/>
          <w:sz w:val="20"/>
        </w:rPr>
        <w:t xml:space="preserve">En este asunto del pago anticipado y la correcta administración e inversión del anticipo, cobra relevancia el deber legal de </w:t>
      </w:r>
      <w:r w:rsidRPr="00FB63C7">
        <w:rPr>
          <w:rFonts w:ascii="Verdana" w:hAnsi="Verdana"/>
          <w:sz w:val="20"/>
          <w:lang w:val="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77026967" w14:textId="77777777" w:rsidR="00FB63C7" w:rsidRPr="00FB63C7" w:rsidRDefault="00FB63C7" w:rsidP="00FB63C7">
      <w:pPr>
        <w:spacing w:after="0" w:line="240" w:lineRule="auto"/>
        <w:jc w:val="both"/>
        <w:rPr>
          <w:rFonts w:ascii="Verdana" w:hAnsi="Verdana"/>
          <w:sz w:val="20"/>
          <w:lang w:val="es-ES"/>
        </w:rPr>
      </w:pPr>
    </w:p>
    <w:p w14:paraId="3CEF3F0E" w14:textId="77777777" w:rsidR="00FB63C7" w:rsidRPr="00FB63C7" w:rsidRDefault="00FB63C7" w:rsidP="00FB63C7">
      <w:pPr>
        <w:spacing w:after="0" w:line="240" w:lineRule="auto"/>
        <w:jc w:val="both"/>
        <w:rPr>
          <w:rFonts w:ascii="Verdana" w:hAnsi="Verdana"/>
          <w:sz w:val="20"/>
          <w:lang w:val="es-ES"/>
        </w:rPr>
      </w:pPr>
      <w:r w:rsidRPr="00FB63C7">
        <w:rPr>
          <w:rFonts w:ascii="Verdana" w:hAnsi="Verdana"/>
          <w:sz w:val="20"/>
          <w:lang w:val="es-ES"/>
        </w:rPr>
        <w:t xml:space="preserve">En esta perspectiva, las entidades estatales pueden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 Por lo tanto, la responsabilidad por el control y vigilancia de la ejecución del contrato está a cargo de la </w:t>
      </w:r>
      <w:r w:rsidRPr="00FB63C7">
        <w:rPr>
          <w:rFonts w:ascii="Verdana" w:hAnsi="Verdana"/>
          <w:sz w:val="20"/>
          <w:lang w:val="es-ES"/>
        </w:rPr>
        <w:lastRenderedPageBreak/>
        <w:t xml:space="preserve">Entidad Estatal contratante y, en consecuencia, es esta quien debe supervisar los contratos mediante sus funcionarios o servidores públicos, y únicamente puede contratar personal en caso de necesitarlo como apoyo a su gestión en la supervisión. </w:t>
      </w:r>
    </w:p>
    <w:p w14:paraId="4152DB9F" w14:textId="77777777" w:rsidR="00FB63C7" w:rsidRPr="00FB63C7" w:rsidRDefault="00FB63C7" w:rsidP="00FB63C7">
      <w:pPr>
        <w:spacing w:after="0"/>
        <w:jc w:val="both"/>
        <w:rPr>
          <w:rFonts w:ascii="Verdana" w:hAnsi="Verdana"/>
          <w:b/>
        </w:rPr>
      </w:pPr>
    </w:p>
    <w:p w14:paraId="44D4A3FA" w14:textId="2C39CA77" w:rsidR="00FB63C7" w:rsidRDefault="00FB63C7" w:rsidP="00FB63C7">
      <w:pPr>
        <w:spacing w:after="0"/>
        <w:jc w:val="both"/>
        <w:rPr>
          <w:rFonts w:ascii="Verdana" w:hAnsi="Verdana"/>
          <w:b/>
        </w:rPr>
      </w:pPr>
    </w:p>
    <w:p w14:paraId="401913EB" w14:textId="48F9D8BA" w:rsidR="00FB63C7" w:rsidRDefault="00FB63C7" w:rsidP="00FB63C7">
      <w:pPr>
        <w:spacing w:after="0"/>
        <w:jc w:val="both"/>
        <w:rPr>
          <w:rFonts w:ascii="Verdana" w:hAnsi="Verdana"/>
          <w:b/>
        </w:rPr>
      </w:pPr>
    </w:p>
    <w:p w14:paraId="33FC36CE" w14:textId="77001750" w:rsidR="00FB63C7" w:rsidRDefault="00FB63C7" w:rsidP="00FB63C7">
      <w:pPr>
        <w:spacing w:after="0"/>
        <w:jc w:val="both"/>
        <w:rPr>
          <w:rFonts w:ascii="Verdana" w:hAnsi="Verdana"/>
          <w:b/>
        </w:rPr>
      </w:pPr>
    </w:p>
    <w:p w14:paraId="598B50B2" w14:textId="1875F828" w:rsidR="00FB63C7" w:rsidRDefault="00FB63C7" w:rsidP="00FB63C7">
      <w:pPr>
        <w:spacing w:after="0"/>
        <w:jc w:val="both"/>
        <w:rPr>
          <w:rFonts w:ascii="Verdana" w:hAnsi="Verdana"/>
          <w:b/>
        </w:rPr>
      </w:pPr>
    </w:p>
    <w:p w14:paraId="00BDD254" w14:textId="7B3ED662" w:rsidR="00FB63C7" w:rsidRDefault="00FB63C7" w:rsidP="00FB63C7">
      <w:pPr>
        <w:spacing w:after="0"/>
        <w:jc w:val="both"/>
        <w:rPr>
          <w:rFonts w:ascii="Verdana" w:hAnsi="Verdana"/>
          <w:b/>
        </w:rPr>
      </w:pPr>
    </w:p>
    <w:p w14:paraId="34B37A18" w14:textId="1CD5D164" w:rsidR="00FB63C7" w:rsidRDefault="00FB63C7" w:rsidP="00FB63C7">
      <w:pPr>
        <w:spacing w:after="0"/>
        <w:jc w:val="both"/>
        <w:rPr>
          <w:rFonts w:ascii="Verdana" w:hAnsi="Verdana"/>
          <w:b/>
        </w:rPr>
      </w:pPr>
    </w:p>
    <w:p w14:paraId="51CE9DA1" w14:textId="4B9C035F" w:rsidR="00FB63C7" w:rsidRDefault="00FB63C7" w:rsidP="00FB63C7">
      <w:pPr>
        <w:spacing w:after="0"/>
        <w:jc w:val="both"/>
        <w:rPr>
          <w:rFonts w:ascii="Verdana" w:hAnsi="Verdana"/>
          <w:b/>
        </w:rPr>
      </w:pPr>
    </w:p>
    <w:p w14:paraId="3B3A2E8D" w14:textId="694F9371" w:rsidR="00FB63C7" w:rsidRDefault="00FB63C7" w:rsidP="00FB63C7">
      <w:pPr>
        <w:spacing w:after="0"/>
        <w:jc w:val="both"/>
        <w:rPr>
          <w:rFonts w:ascii="Verdana" w:hAnsi="Verdana"/>
          <w:b/>
        </w:rPr>
      </w:pPr>
    </w:p>
    <w:p w14:paraId="2CD85714" w14:textId="57C02FF7" w:rsidR="00FB63C7" w:rsidRDefault="00FB63C7" w:rsidP="00FB63C7">
      <w:pPr>
        <w:spacing w:after="0"/>
        <w:jc w:val="both"/>
        <w:rPr>
          <w:rFonts w:ascii="Verdana" w:hAnsi="Verdana"/>
          <w:b/>
        </w:rPr>
      </w:pPr>
    </w:p>
    <w:p w14:paraId="02FCEC74" w14:textId="60AFC4D8" w:rsidR="00FB63C7" w:rsidRDefault="00FB63C7" w:rsidP="00FB63C7">
      <w:pPr>
        <w:spacing w:after="0"/>
        <w:jc w:val="both"/>
        <w:rPr>
          <w:rFonts w:ascii="Verdana" w:hAnsi="Verdana"/>
          <w:b/>
        </w:rPr>
      </w:pPr>
    </w:p>
    <w:p w14:paraId="521F81BD" w14:textId="1AE419D9" w:rsidR="00FB63C7" w:rsidRDefault="00FB63C7" w:rsidP="00FB63C7">
      <w:pPr>
        <w:spacing w:after="0"/>
        <w:jc w:val="both"/>
        <w:rPr>
          <w:rFonts w:ascii="Verdana" w:hAnsi="Verdana"/>
          <w:b/>
        </w:rPr>
      </w:pPr>
    </w:p>
    <w:p w14:paraId="3BC057CC" w14:textId="3A2B417C" w:rsidR="00FB63C7" w:rsidRDefault="00FB63C7" w:rsidP="00FB63C7">
      <w:pPr>
        <w:spacing w:after="0"/>
        <w:jc w:val="both"/>
        <w:rPr>
          <w:rFonts w:ascii="Verdana" w:hAnsi="Verdana"/>
          <w:b/>
        </w:rPr>
      </w:pPr>
    </w:p>
    <w:p w14:paraId="287BFB07" w14:textId="19EB73E4" w:rsidR="00FB63C7" w:rsidRDefault="00FB63C7" w:rsidP="00FB63C7">
      <w:pPr>
        <w:spacing w:after="0"/>
        <w:jc w:val="both"/>
        <w:rPr>
          <w:rFonts w:ascii="Verdana" w:hAnsi="Verdana"/>
          <w:b/>
        </w:rPr>
      </w:pPr>
    </w:p>
    <w:p w14:paraId="78C9A24E" w14:textId="14778445" w:rsidR="00FB63C7" w:rsidRDefault="00FB63C7" w:rsidP="00FB63C7">
      <w:pPr>
        <w:spacing w:after="0"/>
        <w:jc w:val="both"/>
        <w:rPr>
          <w:rFonts w:ascii="Verdana" w:hAnsi="Verdana"/>
          <w:b/>
        </w:rPr>
      </w:pPr>
    </w:p>
    <w:p w14:paraId="481A0EBA" w14:textId="4C1B9491" w:rsidR="00FB63C7" w:rsidRDefault="00FB63C7" w:rsidP="00FB63C7">
      <w:pPr>
        <w:spacing w:after="0"/>
        <w:jc w:val="both"/>
        <w:rPr>
          <w:rFonts w:ascii="Verdana" w:hAnsi="Verdana"/>
          <w:b/>
        </w:rPr>
      </w:pPr>
    </w:p>
    <w:p w14:paraId="591F58D0" w14:textId="049370DC" w:rsidR="00FB63C7" w:rsidRDefault="00FB63C7" w:rsidP="00FB63C7">
      <w:pPr>
        <w:spacing w:after="0"/>
        <w:jc w:val="both"/>
        <w:rPr>
          <w:rFonts w:ascii="Verdana" w:hAnsi="Verdana"/>
          <w:b/>
        </w:rPr>
      </w:pPr>
    </w:p>
    <w:p w14:paraId="275D6417" w14:textId="3F41BCD8" w:rsidR="00FB63C7" w:rsidRDefault="00FB63C7" w:rsidP="00FB63C7">
      <w:pPr>
        <w:spacing w:after="0"/>
        <w:jc w:val="both"/>
        <w:rPr>
          <w:rFonts w:ascii="Verdana" w:hAnsi="Verdana"/>
          <w:b/>
        </w:rPr>
      </w:pPr>
    </w:p>
    <w:p w14:paraId="57F67300" w14:textId="3D5CDC62" w:rsidR="00FB63C7" w:rsidRDefault="00FB63C7" w:rsidP="00FB63C7">
      <w:pPr>
        <w:spacing w:after="0"/>
        <w:jc w:val="both"/>
        <w:rPr>
          <w:rFonts w:ascii="Verdana" w:hAnsi="Verdana"/>
          <w:b/>
        </w:rPr>
      </w:pPr>
    </w:p>
    <w:p w14:paraId="2E7F75E5" w14:textId="6C2DBED0" w:rsidR="00FB63C7" w:rsidRDefault="00FB63C7" w:rsidP="00FB63C7">
      <w:pPr>
        <w:spacing w:after="0"/>
        <w:jc w:val="both"/>
        <w:rPr>
          <w:rFonts w:ascii="Verdana" w:hAnsi="Verdana"/>
          <w:b/>
        </w:rPr>
      </w:pPr>
    </w:p>
    <w:p w14:paraId="31FE1418" w14:textId="7C9453F9" w:rsidR="00FB63C7" w:rsidRDefault="00FB63C7" w:rsidP="00FB63C7">
      <w:pPr>
        <w:spacing w:after="0"/>
        <w:jc w:val="both"/>
        <w:rPr>
          <w:rFonts w:ascii="Verdana" w:hAnsi="Verdana"/>
          <w:b/>
        </w:rPr>
      </w:pPr>
    </w:p>
    <w:p w14:paraId="616681B3" w14:textId="7F7F3BF4" w:rsidR="00FB63C7" w:rsidRDefault="00FB63C7" w:rsidP="00FB63C7">
      <w:pPr>
        <w:spacing w:after="0"/>
        <w:jc w:val="both"/>
        <w:rPr>
          <w:rFonts w:ascii="Verdana" w:hAnsi="Verdana"/>
          <w:b/>
        </w:rPr>
      </w:pPr>
    </w:p>
    <w:p w14:paraId="4F2BFBA5" w14:textId="5A10D2F0" w:rsidR="00FB63C7" w:rsidRDefault="00FB63C7" w:rsidP="00FB63C7">
      <w:pPr>
        <w:spacing w:after="0"/>
        <w:jc w:val="both"/>
        <w:rPr>
          <w:rFonts w:ascii="Verdana" w:hAnsi="Verdana"/>
          <w:b/>
        </w:rPr>
      </w:pPr>
    </w:p>
    <w:p w14:paraId="52792477" w14:textId="14BC9B42" w:rsidR="00FB63C7" w:rsidRDefault="00FB63C7" w:rsidP="00FB63C7">
      <w:pPr>
        <w:spacing w:after="0"/>
        <w:jc w:val="both"/>
        <w:rPr>
          <w:rFonts w:ascii="Verdana" w:hAnsi="Verdana"/>
          <w:b/>
        </w:rPr>
      </w:pPr>
    </w:p>
    <w:p w14:paraId="229CF43E" w14:textId="2A303B7C" w:rsidR="00FB63C7" w:rsidRDefault="00FB63C7" w:rsidP="00FB63C7">
      <w:pPr>
        <w:spacing w:after="0"/>
        <w:jc w:val="both"/>
        <w:rPr>
          <w:rFonts w:ascii="Verdana" w:hAnsi="Verdana"/>
          <w:b/>
        </w:rPr>
      </w:pPr>
    </w:p>
    <w:p w14:paraId="1766C589" w14:textId="53809991" w:rsidR="00FB63C7" w:rsidRDefault="00FB63C7" w:rsidP="00FB63C7">
      <w:pPr>
        <w:spacing w:after="0"/>
        <w:jc w:val="both"/>
        <w:rPr>
          <w:rFonts w:ascii="Verdana" w:hAnsi="Verdana"/>
          <w:b/>
        </w:rPr>
      </w:pPr>
    </w:p>
    <w:p w14:paraId="0790253F" w14:textId="1489B30D" w:rsidR="00FB63C7" w:rsidRDefault="00FB63C7" w:rsidP="00FB63C7">
      <w:pPr>
        <w:spacing w:after="0"/>
        <w:jc w:val="both"/>
        <w:rPr>
          <w:rFonts w:ascii="Verdana" w:hAnsi="Verdana"/>
          <w:b/>
        </w:rPr>
      </w:pPr>
    </w:p>
    <w:p w14:paraId="01A6AD0D" w14:textId="44F093B8" w:rsidR="00FB63C7" w:rsidRDefault="00FB63C7" w:rsidP="00FB63C7">
      <w:pPr>
        <w:spacing w:after="0"/>
        <w:jc w:val="both"/>
        <w:rPr>
          <w:rFonts w:ascii="Verdana" w:hAnsi="Verdana"/>
          <w:b/>
        </w:rPr>
      </w:pPr>
    </w:p>
    <w:p w14:paraId="5C5FCA51" w14:textId="4CBF40EB" w:rsidR="00FB63C7" w:rsidRDefault="00FB63C7" w:rsidP="00FB63C7">
      <w:pPr>
        <w:spacing w:after="0"/>
        <w:jc w:val="both"/>
        <w:rPr>
          <w:rFonts w:ascii="Verdana" w:hAnsi="Verdana"/>
          <w:b/>
        </w:rPr>
      </w:pPr>
    </w:p>
    <w:p w14:paraId="602A4DE9" w14:textId="69E2A615" w:rsidR="00FB63C7" w:rsidRDefault="00FB63C7" w:rsidP="00FB63C7">
      <w:pPr>
        <w:spacing w:after="0"/>
        <w:jc w:val="both"/>
        <w:rPr>
          <w:rFonts w:ascii="Verdana" w:hAnsi="Verdana"/>
          <w:b/>
        </w:rPr>
      </w:pPr>
    </w:p>
    <w:p w14:paraId="370A54F6" w14:textId="6AA18000" w:rsidR="00FB63C7" w:rsidRDefault="00FB63C7" w:rsidP="00FB63C7">
      <w:pPr>
        <w:spacing w:after="0"/>
        <w:jc w:val="both"/>
        <w:rPr>
          <w:rFonts w:ascii="Verdana" w:hAnsi="Verdana"/>
          <w:b/>
        </w:rPr>
      </w:pPr>
    </w:p>
    <w:p w14:paraId="50B87A82" w14:textId="611BFA5A" w:rsidR="00FB63C7" w:rsidRDefault="00FB63C7" w:rsidP="00FB63C7">
      <w:pPr>
        <w:spacing w:after="0"/>
        <w:jc w:val="both"/>
        <w:rPr>
          <w:rFonts w:ascii="Verdana" w:hAnsi="Verdana"/>
          <w:b/>
        </w:rPr>
      </w:pPr>
    </w:p>
    <w:p w14:paraId="096049CE" w14:textId="77777777" w:rsidR="00FB63C7" w:rsidRPr="00FB63C7" w:rsidRDefault="00FB63C7" w:rsidP="00FB63C7">
      <w:pPr>
        <w:spacing w:after="0"/>
        <w:jc w:val="both"/>
        <w:rPr>
          <w:rFonts w:ascii="Verdana" w:hAnsi="Verdana"/>
          <w:b/>
        </w:rPr>
      </w:pPr>
    </w:p>
    <w:p w14:paraId="08D031D6" w14:textId="5F3BADEA" w:rsidR="004C3055" w:rsidRPr="009C1EC5" w:rsidRDefault="00FB63C7" w:rsidP="004C3055">
      <w:pPr>
        <w:spacing w:after="0"/>
        <w:rPr>
          <w:rFonts w:ascii="Verdana" w:hAnsi="Verdana"/>
        </w:rPr>
      </w:pPr>
      <w:r w:rsidRPr="00FB63C7">
        <w:rPr>
          <w:rFonts w:ascii="Verdana" w:hAnsi="Verdana"/>
          <w:noProof/>
          <w:lang w:val="en-US"/>
        </w:rPr>
        <w:lastRenderedPageBreak/>
        <w:drawing>
          <wp:anchor distT="0" distB="0" distL="114300" distR="114300" simplePos="0" relativeHeight="251658240" behindDoc="0" locked="0" layoutInCell="1" allowOverlap="1" wp14:anchorId="42857A6C" wp14:editId="7E283B22">
            <wp:simplePos x="0" y="0"/>
            <wp:positionH relativeFrom="column">
              <wp:posOffset>2774603</wp:posOffset>
            </wp:positionH>
            <wp:positionV relativeFrom="paragraph">
              <wp:posOffset>225714</wp:posOffset>
            </wp:positionV>
            <wp:extent cx="2961005" cy="795020"/>
            <wp:effectExtent l="0" t="0" r="0" b="508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61005" cy="795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3055" w:rsidRPr="0024624F">
        <w:rPr>
          <w:rFonts w:ascii="Verdana" w:hAnsi="Verdana"/>
        </w:rPr>
        <w:t xml:space="preserve">Bogotá D.C., </w:t>
      </w:r>
      <w:r>
        <w:rPr>
          <w:rFonts w:ascii="Verdana" w:hAnsi="Verdana"/>
        </w:rPr>
        <w:t>22 de diciembre de 2025</w:t>
      </w:r>
      <w:r w:rsidR="004C3055" w:rsidRPr="000E2B93">
        <w:rPr>
          <w:rFonts w:ascii="Verdana" w:hAnsi="Verdana"/>
        </w:rPr>
        <w:tab/>
      </w:r>
      <w:r w:rsidR="004C3055" w:rsidRPr="000E2B93">
        <w:rPr>
          <w:rFonts w:ascii="Verdana" w:hAnsi="Verdana"/>
        </w:rPr>
        <w:br/>
      </w:r>
    </w:p>
    <w:p w14:paraId="361495D1" w14:textId="77777777" w:rsidR="004C3055" w:rsidRPr="009C1EC5" w:rsidRDefault="004C3055" w:rsidP="004C3055">
      <w:pPr>
        <w:spacing w:after="0" w:line="240" w:lineRule="auto"/>
        <w:rPr>
          <w:rFonts w:ascii="Verdana" w:hAnsi="Verdana"/>
        </w:rPr>
      </w:pPr>
    </w:p>
    <w:p w14:paraId="4EC439CF" w14:textId="77777777" w:rsidR="004C3055" w:rsidRPr="009C1EC5" w:rsidRDefault="004C3055" w:rsidP="004C3055">
      <w:pPr>
        <w:spacing w:after="0" w:line="240" w:lineRule="auto"/>
        <w:rPr>
          <w:rFonts w:ascii="Verdana" w:eastAsia="Calibri" w:hAnsi="Verdana" w:cs="Times New Roman"/>
          <w:lang w:val="es-MX"/>
        </w:rPr>
      </w:pPr>
      <w:r>
        <w:rPr>
          <w:rFonts w:ascii="Verdana" w:eastAsia="Calibri" w:hAnsi="Verdana" w:cs="Times New Roman"/>
          <w:lang w:val="es-MX"/>
        </w:rPr>
        <w:t>Señor</w:t>
      </w:r>
    </w:p>
    <w:p w14:paraId="58EA8D98" w14:textId="77777777" w:rsidR="004C3055" w:rsidRPr="00783C9E" w:rsidRDefault="004C3055" w:rsidP="004C3055">
      <w:pPr>
        <w:spacing w:after="0" w:line="240" w:lineRule="auto"/>
        <w:rPr>
          <w:rFonts w:ascii="Verdana" w:eastAsia="Calibri" w:hAnsi="Verdana" w:cs="Times New Roman"/>
          <w:b/>
        </w:rPr>
      </w:pPr>
      <w:r>
        <w:rPr>
          <w:rFonts w:ascii="Verdana" w:eastAsia="Calibri" w:hAnsi="Verdana" w:cs="Times New Roman"/>
          <w:b/>
        </w:rPr>
        <w:t>Vladimir Stalin Granados Hurtado</w:t>
      </w:r>
    </w:p>
    <w:p w14:paraId="3946E06D" w14:textId="77777777" w:rsidR="004C3055" w:rsidRPr="00783C9E" w:rsidRDefault="00B23476" w:rsidP="004C3055">
      <w:pPr>
        <w:spacing w:after="0" w:line="240" w:lineRule="auto"/>
        <w:rPr>
          <w:rFonts w:ascii="Verdana" w:hAnsi="Verdana"/>
        </w:rPr>
      </w:pPr>
      <w:hyperlink r:id="rId12" w:history="1">
        <w:r w:rsidR="004C3055" w:rsidRPr="005A6ACD">
          <w:rPr>
            <w:rStyle w:val="Hipervnculo"/>
            <w:rFonts w:ascii="Verdana" w:hAnsi="Verdana"/>
          </w:rPr>
          <w:t>contratacion@cicuco-bolivar.gov.co</w:t>
        </w:r>
      </w:hyperlink>
      <w:r w:rsidR="004C3055">
        <w:rPr>
          <w:rFonts w:ascii="Verdana" w:hAnsi="Verdana"/>
        </w:rPr>
        <w:t xml:space="preserve"> </w:t>
      </w:r>
    </w:p>
    <w:p w14:paraId="6F1C9820" w14:textId="77777777" w:rsidR="004C3055" w:rsidRPr="009C1EC5" w:rsidRDefault="004C3055" w:rsidP="004C3055">
      <w:pPr>
        <w:spacing w:after="0" w:line="240" w:lineRule="auto"/>
        <w:rPr>
          <w:rFonts w:ascii="Verdana" w:eastAsia="Calibri" w:hAnsi="Verdana" w:cs="Times New Roman"/>
        </w:rPr>
      </w:pPr>
      <w:r w:rsidRPr="009C1EC5">
        <w:rPr>
          <w:rFonts w:ascii="Verdana" w:eastAsia="Calibri" w:hAnsi="Verdana" w:cs="Times New Roman"/>
        </w:rPr>
        <w:t>Bogotá D.C.</w:t>
      </w:r>
    </w:p>
    <w:p w14:paraId="3704FE5C" w14:textId="77777777" w:rsidR="004C3055" w:rsidRPr="009C1EC5" w:rsidRDefault="004C3055" w:rsidP="004C3055">
      <w:pPr>
        <w:spacing w:after="0" w:line="240" w:lineRule="auto"/>
        <w:rPr>
          <w:rFonts w:ascii="Verdana" w:eastAsia="Calibri" w:hAnsi="Verdana" w:cs="Times New Roman"/>
        </w:rPr>
      </w:pPr>
    </w:p>
    <w:p w14:paraId="559ED747" w14:textId="77777777" w:rsidR="004C3055" w:rsidRPr="009C1EC5" w:rsidRDefault="004C3055" w:rsidP="004C3055">
      <w:pPr>
        <w:spacing w:after="0" w:line="240" w:lineRule="auto"/>
        <w:rPr>
          <w:rFonts w:ascii="Verdana" w:eastAsia="Calibri" w:hAnsi="Verdana" w:cs="Times New Roman"/>
        </w:rPr>
      </w:pPr>
    </w:p>
    <w:p w14:paraId="49B5A00D" w14:textId="77777777" w:rsidR="004C3055" w:rsidRPr="009C1EC5" w:rsidRDefault="004C3055" w:rsidP="004C3055">
      <w:pPr>
        <w:spacing w:after="0" w:line="256" w:lineRule="auto"/>
        <w:rPr>
          <w:rFonts w:ascii="Verdana" w:eastAsia="Calibri" w:hAnsi="Verdana" w:cs="Times New Roman"/>
          <w:b/>
          <w:bCs/>
          <w:lang w:val="es-ES"/>
        </w:rPr>
      </w:pPr>
      <w:r w:rsidRPr="009C1EC5">
        <w:rPr>
          <w:rFonts w:ascii="Verdana" w:eastAsia="Calibri" w:hAnsi="Verdana" w:cs="Times New Roman"/>
          <w:b/>
          <w:bCs/>
          <w:lang w:val="es-ES"/>
        </w:rPr>
        <w:t xml:space="preserve">                   </w:t>
      </w:r>
      <w:r>
        <w:rPr>
          <w:rFonts w:ascii="Verdana" w:eastAsia="Calibri" w:hAnsi="Verdana" w:cs="Times New Roman"/>
          <w:b/>
          <w:bCs/>
          <w:lang w:val="es-ES"/>
        </w:rPr>
        <w:t xml:space="preserve">                 Concepto C–1762 </w:t>
      </w:r>
      <w:r w:rsidRPr="009C1EC5">
        <w:rPr>
          <w:rFonts w:ascii="Verdana" w:eastAsia="Calibri" w:hAnsi="Verdana" w:cs="Times New Roman"/>
          <w:b/>
          <w:bCs/>
          <w:lang w:val="es-ES"/>
        </w:rPr>
        <w:t>de 2025</w:t>
      </w:r>
    </w:p>
    <w:p w14:paraId="57C9E3B8" w14:textId="77777777" w:rsidR="004C3055" w:rsidRPr="009C1EC5" w:rsidRDefault="004C3055" w:rsidP="004C305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C3055" w:rsidRPr="009C1EC5" w14:paraId="3D4BE049" w14:textId="77777777" w:rsidTr="00E349F9">
        <w:trPr>
          <w:trHeight w:val="645"/>
        </w:trPr>
        <w:tc>
          <w:tcPr>
            <w:tcW w:w="2685" w:type="dxa"/>
            <w:hideMark/>
          </w:tcPr>
          <w:p w14:paraId="7731F13E" w14:textId="77777777" w:rsidR="004C3055" w:rsidRPr="00204A1B" w:rsidRDefault="004C3055" w:rsidP="00E349F9">
            <w:pPr>
              <w:spacing w:line="256" w:lineRule="auto"/>
              <w:rPr>
                <w:rFonts w:ascii="Verdana" w:hAnsi="Verdana"/>
                <w:b/>
                <w:bCs/>
                <w:lang w:val="es-ES_tradnl"/>
              </w:rPr>
            </w:pPr>
            <w:r w:rsidRPr="00204A1B">
              <w:rPr>
                <w:rFonts w:ascii="Verdana" w:hAnsi="Verdana"/>
                <w:b/>
                <w:bCs/>
                <w:lang w:val="es-ES_tradnl"/>
              </w:rPr>
              <w:t xml:space="preserve">Temas:                   </w:t>
            </w:r>
          </w:p>
        </w:tc>
        <w:tc>
          <w:tcPr>
            <w:tcW w:w="6241" w:type="dxa"/>
            <w:hideMark/>
          </w:tcPr>
          <w:p w14:paraId="5200CAD6" w14:textId="77777777" w:rsidR="004C3055" w:rsidRPr="007D61DB" w:rsidRDefault="004C3055" w:rsidP="00E349F9">
            <w:pPr>
              <w:spacing w:line="276" w:lineRule="auto"/>
              <w:jc w:val="both"/>
              <w:rPr>
                <w:rFonts w:ascii="Verdana" w:hAnsi="Verdana" w:cs="Arial"/>
                <w:bCs/>
                <w:lang w:val="es-ES" w:eastAsia="es-ES"/>
              </w:rPr>
            </w:pPr>
            <w:r w:rsidRPr="00204A1B">
              <w:rPr>
                <w:rFonts w:ascii="Verdana" w:hAnsi="Verdana" w:cs="Arial"/>
                <w:bCs/>
                <w:lang w:val="es-ES_tradnl" w:eastAsia="es-ES"/>
              </w:rPr>
              <w:t>ANTICIPO Y/O PAGO ANTICIPADO– Regulación normativa</w:t>
            </w:r>
            <w:r w:rsidRPr="00204A1B">
              <w:rPr>
                <w:rFonts w:ascii="Verdana" w:hAnsi="Verdana" w:cs="Arial"/>
                <w:bCs/>
                <w:lang w:val="es-ES" w:eastAsia="es-ES"/>
              </w:rPr>
              <w:t xml:space="preserve"> / </w:t>
            </w:r>
            <w:r w:rsidRPr="00204A1B">
              <w:rPr>
                <w:rFonts w:ascii="Verdana" w:hAnsi="Verdana" w:cs="Arial"/>
                <w:bCs/>
                <w:lang w:eastAsia="es-ES"/>
              </w:rPr>
              <w:t xml:space="preserve">ANTICIPO – Definición jurisprudencial / PAGO ANTICIPADO – Definición / PAGO ANTICIPADO Y/O ANTICIPO – Límites – Aplicación / </w:t>
            </w:r>
            <w:r>
              <w:rPr>
                <w:rFonts w:ascii="Verdana" w:hAnsi="Verdana" w:cs="Arial"/>
                <w:bCs/>
                <w:lang w:eastAsia="es-ES"/>
              </w:rPr>
              <w:t xml:space="preserve">PAGO ANTICIPADO – Características – Amparo de la devolución del pago anticipado / ANTICIPO Y PAGO ANTICIPADO - </w:t>
            </w:r>
            <w:r w:rsidRPr="007D61DB">
              <w:rPr>
                <w:rFonts w:ascii="Verdana" w:hAnsi="Verdana" w:cs="Arial"/>
                <w:bCs/>
                <w:lang w:val="es-ES" w:eastAsia="es-ES"/>
              </w:rPr>
              <w:t xml:space="preserve">Deber de vigilancia – Seguimiento contractual. </w:t>
            </w:r>
          </w:p>
          <w:p w14:paraId="03726291" w14:textId="77777777" w:rsidR="004C3055" w:rsidRDefault="004C3055" w:rsidP="00E349F9">
            <w:pPr>
              <w:spacing w:line="276" w:lineRule="auto"/>
              <w:jc w:val="both"/>
              <w:rPr>
                <w:rFonts w:ascii="Verdana" w:hAnsi="Verdana" w:cs="Arial"/>
                <w:bCs/>
                <w:lang w:val="es-ES" w:eastAsia="es-ES"/>
              </w:rPr>
            </w:pPr>
          </w:p>
          <w:p w14:paraId="563BFA97" w14:textId="77777777" w:rsidR="004C3055" w:rsidRPr="00204A1B" w:rsidRDefault="004C3055" w:rsidP="00E349F9">
            <w:pPr>
              <w:spacing w:line="276" w:lineRule="auto"/>
              <w:jc w:val="both"/>
              <w:rPr>
                <w:rFonts w:ascii="Verdana" w:hAnsi="Verdana" w:cs="Arial"/>
                <w:lang w:eastAsia="es-ES"/>
              </w:rPr>
            </w:pPr>
          </w:p>
        </w:tc>
        <w:tc>
          <w:tcPr>
            <w:tcW w:w="6237" w:type="dxa"/>
          </w:tcPr>
          <w:p w14:paraId="5609493F" w14:textId="77777777" w:rsidR="004C3055" w:rsidRPr="009C1EC5" w:rsidRDefault="004C3055" w:rsidP="00E349F9">
            <w:pPr>
              <w:spacing w:line="256" w:lineRule="auto"/>
              <w:rPr>
                <w:rFonts w:ascii="Verdana" w:hAnsi="Verdana"/>
              </w:rPr>
            </w:pPr>
          </w:p>
        </w:tc>
      </w:tr>
      <w:tr w:rsidR="004C3055" w:rsidRPr="009C1EC5" w14:paraId="258D538C" w14:textId="77777777" w:rsidTr="00E349F9">
        <w:tc>
          <w:tcPr>
            <w:tcW w:w="2685" w:type="dxa"/>
          </w:tcPr>
          <w:p w14:paraId="22E827AA" w14:textId="77777777" w:rsidR="004C3055" w:rsidRPr="009C1EC5" w:rsidRDefault="004C3055" w:rsidP="00E349F9">
            <w:pPr>
              <w:spacing w:line="256" w:lineRule="auto"/>
              <w:rPr>
                <w:rFonts w:ascii="Verdana" w:hAnsi="Verdana"/>
                <w:b/>
                <w:bCs/>
                <w:lang w:val="es-ES_tradnl"/>
              </w:rPr>
            </w:pPr>
            <w:r w:rsidRPr="009C1EC5">
              <w:rPr>
                <w:rFonts w:ascii="Verdana" w:hAnsi="Verdana"/>
                <w:b/>
                <w:bCs/>
                <w:lang w:val="es-ES_tradnl"/>
              </w:rPr>
              <w:t xml:space="preserve">Radicación:               </w:t>
            </w:r>
          </w:p>
        </w:tc>
        <w:tc>
          <w:tcPr>
            <w:tcW w:w="6241" w:type="dxa"/>
          </w:tcPr>
          <w:p w14:paraId="3F4661C0" w14:textId="77777777" w:rsidR="004C3055" w:rsidRDefault="004C3055" w:rsidP="00E349F9">
            <w:pPr>
              <w:spacing w:line="257" w:lineRule="auto"/>
              <w:jc w:val="both"/>
              <w:rPr>
                <w:rFonts w:ascii="Verdana" w:hAnsi="Verdana"/>
                <w:lang w:val="es-ES_tradnl"/>
              </w:rPr>
            </w:pPr>
            <w:r w:rsidRPr="000846BF">
              <w:rPr>
                <w:rFonts w:ascii="Verdana" w:hAnsi="Verdana"/>
                <w:lang w:val="es-ES_tradnl"/>
              </w:rPr>
              <w:t>Respuesta a consulta con radicado No.</w:t>
            </w:r>
            <w:r w:rsidRPr="000846BF">
              <w:rPr>
                <w:rFonts w:ascii="Verdana" w:eastAsiaTheme="minorHAnsi" w:hAnsi="Verdana" w:cs="Segoe UI"/>
                <w:shd w:val="clear" w:color="auto" w:fill="FFFFFF"/>
              </w:rPr>
              <w:t xml:space="preserve"> 1_2025_11_26_013367</w:t>
            </w:r>
          </w:p>
          <w:p w14:paraId="0A20D70C" w14:textId="77777777" w:rsidR="004C3055" w:rsidRDefault="004C3055" w:rsidP="00E349F9">
            <w:pPr>
              <w:spacing w:line="257" w:lineRule="auto"/>
              <w:jc w:val="both"/>
              <w:rPr>
                <w:rFonts w:ascii="Verdana" w:hAnsi="Verdana"/>
                <w:lang w:val="es-ES_tradnl"/>
              </w:rPr>
            </w:pPr>
          </w:p>
          <w:p w14:paraId="28E6A819" w14:textId="77777777" w:rsidR="004C3055" w:rsidRPr="000846BF" w:rsidRDefault="004C3055" w:rsidP="00E349F9">
            <w:pPr>
              <w:spacing w:line="257" w:lineRule="auto"/>
              <w:jc w:val="both"/>
              <w:rPr>
                <w:rFonts w:ascii="Verdana" w:hAnsi="Verdana"/>
                <w:lang w:val="es-ES_tradnl"/>
              </w:rPr>
            </w:pPr>
          </w:p>
        </w:tc>
        <w:tc>
          <w:tcPr>
            <w:tcW w:w="6237" w:type="dxa"/>
          </w:tcPr>
          <w:p w14:paraId="33CB9E86" w14:textId="77777777" w:rsidR="004C3055" w:rsidRPr="009C1EC5" w:rsidRDefault="004C3055" w:rsidP="00E349F9">
            <w:pPr>
              <w:spacing w:line="256" w:lineRule="auto"/>
              <w:rPr>
                <w:rFonts w:ascii="Verdana" w:hAnsi="Verdana"/>
                <w:lang w:val="es-ES_tradnl"/>
              </w:rPr>
            </w:pPr>
          </w:p>
        </w:tc>
      </w:tr>
    </w:tbl>
    <w:p w14:paraId="39CAE5AC" w14:textId="77777777" w:rsidR="004C3055" w:rsidRPr="00B57A1B" w:rsidRDefault="004C3055" w:rsidP="004C3055">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Granados</w:t>
      </w:r>
      <w:r w:rsidRPr="00B57A1B">
        <w:rPr>
          <w:rFonts w:ascii="Verdana" w:eastAsia="Calibri" w:hAnsi="Verdana" w:cs="Times New Roman"/>
          <w:lang w:val="es-ES"/>
        </w:rPr>
        <w:t xml:space="preserve">: </w:t>
      </w:r>
    </w:p>
    <w:p w14:paraId="37D9B9B9" w14:textId="77777777" w:rsidR="004C3055" w:rsidRPr="00B57A1B" w:rsidRDefault="004C3055" w:rsidP="004C3055">
      <w:pPr>
        <w:spacing w:after="0" w:line="256" w:lineRule="auto"/>
        <w:rPr>
          <w:rFonts w:ascii="Verdana" w:eastAsia="Calibri" w:hAnsi="Verdana" w:cs="Times New Roman"/>
          <w:lang w:val="es-ES"/>
        </w:rPr>
      </w:pPr>
    </w:p>
    <w:p w14:paraId="36B6B790" w14:textId="77777777" w:rsidR="004C3055" w:rsidRDefault="004C3055" w:rsidP="004C3055">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26 de noviembre del de 2025</w:t>
      </w:r>
      <w:r w:rsidRPr="00B57A1B">
        <w:rPr>
          <w:rFonts w:ascii="Verdana" w:eastAsia="Calibri" w:hAnsi="Verdana" w:cs="Times New Roman"/>
          <w:bCs/>
          <w:lang w:val="es-ES" w:bidi="es-ES"/>
        </w:rPr>
        <w:t xml:space="preserve">, en la cual manifiesta: </w:t>
      </w:r>
    </w:p>
    <w:p w14:paraId="1AACE27C" w14:textId="77777777" w:rsidR="004C3055" w:rsidRPr="00525E40" w:rsidRDefault="004C3055" w:rsidP="004C3055">
      <w:pPr>
        <w:spacing w:after="0" w:line="240" w:lineRule="auto"/>
        <w:ind w:right="709"/>
        <w:jc w:val="both"/>
        <w:rPr>
          <w:rFonts w:ascii="Verdana" w:eastAsia="Calibri" w:hAnsi="Verdana" w:cs="Times New Roman"/>
          <w:bCs/>
          <w:sz w:val="20"/>
          <w:szCs w:val="20"/>
          <w:lang w:val="es-ES" w:bidi="es-ES"/>
        </w:rPr>
      </w:pPr>
    </w:p>
    <w:p w14:paraId="75797A59" w14:textId="77777777" w:rsidR="004C3055" w:rsidRPr="00783C9E" w:rsidRDefault="004C3055" w:rsidP="004C3055">
      <w:pPr>
        <w:spacing w:after="0" w:line="240" w:lineRule="auto"/>
        <w:ind w:left="720" w:right="709"/>
        <w:jc w:val="both"/>
        <w:rPr>
          <w:rFonts w:ascii="Verdana" w:eastAsia="Calibri" w:hAnsi="Verdana" w:cs="Times New Roman"/>
          <w:bCs/>
          <w:sz w:val="20"/>
          <w:szCs w:val="20"/>
          <w:lang w:bidi="es-ES"/>
        </w:rPr>
      </w:pPr>
      <w:r w:rsidRPr="00FB0B6D">
        <w:rPr>
          <w:rFonts w:ascii="Verdana" w:eastAsia="Calibri" w:hAnsi="Verdana" w:cs="Times New Roman"/>
          <w:bCs/>
          <w:sz w:val="20"/>
          <w:szCs w:val="20"/>
          <w:lang w:bidi="es-ES"/>
        </w:rPr>
        <w:t>“</w:t>
      </w:r>
      <w:r w:rsidRPr="00783C9E">
        <w:rPr>
          <w:rFonts w:ascii="Verdana" w:eastAsia="Calibri" w:hAnsi="Verdana" w:cs="Times New Roman"/>
          <w:bCs/>
          <w:sz w:val="20"/>
          <w:szCs w:val="20"/>
          <w:lang w:bidi="es-ES"/>
        </w:rPr>
        <w:t>En atención</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a la aplicabilidad</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del inciso del parágrafo</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artículo 40</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de la ley 80 de 1993 y el artículo 91 de la ley 1474 del 2011, solicitamos concepto jurídico</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en relación</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a los siguientes interrogantes:</w:t>
      </w:r>
    </w:p>
    <w:p w14:paraId="5057973A" w14:textId="77777777" w:rsidR="004C3055" w:rsidRDefault="004C3055" w:rsidP="004C3055">
      <w:pPr>
        <w:spacing w:after="0" w:line="240" w:lineRule="auto"/>
        <w:ind w:left="720" w:right="709"/>
        <w:jc w:val="both"/>
        <w:rPr>
          <w:rFonts w:ascii="Verdana" w:eastAsia="Calibri" w:hAnsi="Verdana" w:cs="Times New Roman"/>
          <w:bCs/>
          <w:sz w:val="20"/>
          <w:szCs w:val="20"/>
          <w:lang w:bidi="es-ES"/>
        </w:rPr>
      </w:pPr>
      <w:r w:rsidRPr="00783C9E">
        <w:rPr>
          <w:rFonts w:ascii="Verdana" w:eastAsia="Calibri" w:hAnsi="Verdana" w:cs="Times New Roman"/>
          <w:bCs/>
          <w:sz w:val="20"/>
          <w:szCs w:val="20"/>
          <w:lang w:bidi="es-ES"/>
        </w:rPr>
        <w:t>1. ¿En un contrato de obra pública</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se puede pactar como forma de pago la entrega de un pago anticipado con garantías</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sin constitución</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de una</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fiducia o un patrimonio autónomo irrevocable para el manejo de los recursos que reciba a título de pago anticipado?</w:t>
      </w:r>
    </w:p>
    <w:p w14:paraId="4B515F51" w14:textId="77777777" w:rsidR="004C3055" w:rsidRPr="00FB0B6D" w:rsidRDefault="004C3055" w:rsidP="004C3055">
      <w:pPr>
        <w:spacing w:after="0" w:line="240" w:lineRule="auto"/>
        <w:ind w:left="720" w:right="709"/>
        <w:jc w:val="both"/>
        <w:rPr>
          <w:rFonts w:ascii="Verdana" w:eastAsia="Calibri" w:hAnsi="Verdana" w:cs="Times New Roman"/>
          <w:bCs/>
          <w:sz w:val="20"/>
          <w:szCs w:val="20"/>
          <w:lang w:bidi="es-ES"/>
        </w:rPr>
      </w:pPr>
      <w:r w:rsidRPr="00783C9E">
        <w:rPr>
          <w:rFonts w:ascii="Verdana" w:eastAsia="Calibri" w:hAnsi="Verdana" w:cs="Times New Roman"/>
          <w:bCs/>
          <w:sz w:val="20"/>
          <w:szCs w:val="20"/>
          <w:lang w:bidi="es-ES"/>
        </w:rPr>
        <w:lastRenderedPageBreak/>
        <w:t>2. ¿De requerirse la constitución</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de una</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fiducia o un patrimonio autónomo irrevocable para el manejo de los recursos que reciba a título de pago anticipado</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cual sería</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en sustento jurídico</w:t>
      </w:r>
      <w:r>
        <w:rPr>
          <w:rFonts w:ascii="Verdana" w:eastAsia="Calibri" w:hAnsi="Verdana" w:cs="Times New Roman"/>
          <w:bCs/>
          <w:sz w:val="20"/>
          <w:szCs w:val="20"/>
          <w:lang w:bidi="es-ES"/>
        </w:rPr>
        <w:t xml:space="preserve"> </w:t>
      </w:r>
      <w:r w:rsidRPr="00783C9E">
        <w:rPr>
          <w:rFonts w:ascii="Verdana" w:eastAsia="Calibri" w:hAnsi="Verdana" w:cs="Times New Roman"/>
          <w:bCs/>
          <w:sz w:val="20"/>
          <w:szCs w:val="20"/>
          <w:lang w:bidi="es-ES"/>
        </w:rPr>
        <w:t>o jurisprudencial para dicha exigencia?</w:t>
      </w:r>
      <w:r>
        <w:rPr>
          <w:rFonts w:ascii="Verdana" w:eastAsia="Calibri" w:hAnsi="Verdana" w:cs="Times New Roman"/>
          <w:bCs/>
          <w:sz w:val="20"/>
          <w:szCs w:val="20"/>
          <w:lang w:bidi="es-ES"/>
        </w:rPr>
        <w:t>”</w:t>
      </w:r>
    </w:p>
    <w:p w14:paraId="0BC278B3" w14:textId="77777777" w:rsidR="004C3055" w:rsidRPr="00812F2C" w:rsidRDefault="004C3055" w:rsidP="004C3055">
      <w:pPr>
        <w:spacing w:after="0" w:line="240" w:lineRule="auto"/>
        <w:ind w:left="709" w:right="709"/>
        <w:jc w:val="both"/>
        <w:rPr>
          <w:rFonts w:ascii="Verdana" w:eastAsia="Calibri" w:hAnsi="Verdana" w:cs="Times New Roman"/>
          <w:bCs/>
          <w:sz w:val="21"/>
          <w:szCs w:val="21"/>
          <w:lang w:bidi="es-ES"/>
        </w:rPr>
      </w:pPr>
    </w:p>
    <w:p w14:paraId="3E9D2F70" w14:textId="77777777" w:rsidR="004C3055" w:rsidRPr="00B57A1B" w:rsidRDefault="004C3055" w:rsidP="004C3055">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F31AF4F" w14:textId="77777777" w:rsidR="004C3055" w:rsidRPr="00B57A1B" w:rsidRDefault="004C3055" w:rsidP="004C3055">
      <w:pPr>
        <w:spacing w:after="0" w:line="276" w:lineRule="auto"/>
        <w:ind w:firstLine="709"/>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201F3873" w14:textId="77777777" w:rsidR="004C3055" w:rsidRPr="00B57A1B" w:rsidRDefault="004C3055" w:rsidP="004C3055">
      <w:pPr>
        <w:spacing w:after="0" w:line="256" w:lineRule="auto"/>
        <w:rPr>
          <w:rFonts w:ascii="Verdana" w:eastAsia="Calibri" w:hAnsi="Verdana" w:cs="Times New Roman"/>
          <w:lang w:val="es-ES"/>
        </w:rPr>
      </w:pPr>
    </w:p>
    <w:p w14:paraId="68C569F1" w14:textId="77777777" w:rsidR="004C3055" w:rsidRPr="00B57A1B" w:rsidRDefault="004C3055" w:rsidP="004C305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87E3E67" w14:textId="77777777" w:rsidR="004C3055" w:rsidRPr="00B57A1B" w:rsidRDefault="004C3055" w:rsidP="004C3055">
      <w:pPr>
        <w:spacing w:after="0" w:line="256" w:lineRule="auto"/>
        <w:rPr>
          <w:rFonts w:ascii="Verdana" w:eastAsia="Calibri" w:hAnsi="Verdana" w:cs="Times New Roman"/>
        </w:rPr>
      </w:pPr>
    </w:p>
    <w:p w14:paraId="1E2CFF4A" w14:textId="77777777" w:rsidR="004C3055" w:rsidRPr="000846BF" w:rsidRDefault="004C3055" w:rsidP="004C3055">
      <w:pPr>
        <w:spacing w:after="0" w:line="276" w:lineRule="auto"/>
        <w:jc w:val="both"/>
        <w:rPr>
          <w:rFonts w:ascii="Verdana" w:eastAsia="Calibri" w:hAnsi="Verdana" w:cs="Times New Roman"/>
          <w:bCs/>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 xml:space="preserve">ta Agencia procede a resolver el siguiente problema jurídico: </w:t>
      </w:r>
      <w:r w:rsidRPr="000846BF">
        <w:rPr>
          <w:rFonts w:ascii="Verdana" w:eastAsia="Calibri" w:hAnsi="Verdana" w:cs="Times New Roman"/>
        </w:rPr>
        <w:t xml:space="preserve">¿Es procedente que en un contrato de obra pública se pacte el pago anticipado con garantías sin necesidad de constituir una fiducia o patrimonio autónomo irrevocable, y en caso de </w:t>
      </w:r>
      <w:r>
        <w:rPr>
          <w:rFonts w:ascii="Verdana" w:eastAsia="Calibri" w:hAnsi="Verdana" w:cs="Times New Roman"/>
        </w:rPr>
        <w:t xml:space="preserve">que </w:t>
      </w:r>
      <w:r w:rsidRPr="000846BF">
        <w:rPr>
          <w:rFonts w:ascii="Verdana" w:eastAsia="Calibri" w:hAnsi="Verdana" w:cs="Times New Roman"/>
        </w:rPr>
        <w:t>sea</w:t>
      </w:r>
      <w:r>
        <w:rPr>
          <w:rFonts w:ascii="Verdana" w:eastAsia="Calibri" w:hAnsi="Verdana" w:cs="Times New Roman"/>
        </w:rPr>
        <w:t xml:space="preserve"> exigida puede indicarse </w:t>
      </w:r>
      <w:r w:rsidRPr="000846BF">
        <w:rPr>
          <w:rFonts w:ascii="Verdana" w:eastAsia="Calibri" w:hAnsi="Verdana" w:cs="Times New Roman"/>
        </w:rPr>
        <w:t>el sustento jurídico?”</w:t>
      </w:r>
    </w:p>
    <w:p w14:paraId="3F4A75C0" w14:textId="77777777" w:rsidR="004C3055" w:rsidRPr="000846BF" w:rsidRDefault="004C3055" w:rsidP="004C3055">
      <w:pPr>
        <w:spacing w:after="0" w:line="276" w:lineRule="auto"/>
        <w:jc w:val="both"/>
        <w:rPr>
          <w:rFonts w:ascii="Verdana" w:eastAsia="Calibri" w:hAnsi="Verdana" w:cs="Times New Roman"/>
          <w:i/>
          <w:iCs/>
        </w:rPr>
      </w:pPr>
    </w:p>
    <w:p w14:paraId="2694259C" w14:textId="77777777" w:rsidR="004C3055" w:rsidRPr="00B57A1B" w:rsidRDefault="004C3055" w:rsidP="004C305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1C73A9DD" w14:textId="77777777" w:rsidR="004C3055" w:rsidRPr="00B57A1B" w:rsidRDefault="004C3055" w:rsidP="004C3055">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C3055" w:rsidRPr="00B57A1B" w14:paraId="4CD28787" w14:textId="77777777" w:rsidTr="00E349F9">
        <w:trPr>
          <w:trHeight w:val="345"/>
          <w:jc w:val="center"/>
        </w:trPr>
        <w:tc>
          <w:tcPr>
            <w:tcW w:w="8784" w:type="dxa"/>
            <w:tcBorders>
              <w:bottom w:val="single" w:sz="4" w:space="0" w:color="auto"/>
            </w:tcBorders>
          </w:tcPr>
          <w:p w14:paraId="1C48551C" w14:textId="77777777" w:rsidR="004C3055" w:rsidRDefault="004C3055" w:rsidP="00E349F9">
            <w:pPr>
              <w:tabs>
                <w:tab w:val="left" w:pos="0"/>
              </w:tabs>
              <w:spacing w:after="120" w:line="276" w:lineRule="auto"/>
              <w:jc w:val="both"/>
              <w:rPr>
                <w:rFonts w:ascii="Verdana" w:hAnsi="Verdana" w:cs="Arial"/>
              </w:rPr>
            </w:pPr>
            <w:r>
              <w:rPr>
                <w:rFonts w:ascii="Verdana" w:eastAsia="Calibri" w:hAnsi="Verdana" w:cs="Times New Roman"/>
              </w:rPr>
              <w:lastRenderedPageBreak/>
              <w:t xml:space="preserve">En cuanto al problema jurídico, objeto de consulta, </w:t>
            </w:r>
            <w:r>
              <w:rPr>
                <w:rFonts w:ascii="Verdana" w:hAnsi="Verdana" w:cs="Arial"/>
              </w:rPr>
              <w:t xml:space="preserve">y teniendo en cuenta las razones de la respuesta, en el pago anticipado no es exigible la constitución de una fiducia mercantil o un patrimonio para administrarlo, pues como se ha dicho este es un adelanto del pago de una obligación, en la que será necesario la exigencia del amparo de devolución del pago anticipado. </w:t>
            </w:r>
            <w:r w:rsidRPr="00FC67AA">
              <w:rPr>
                <w:rFonts w:ascii="Verdana" w:hAnsi="Verdana" w:cs="Arial"/>
              </w:rPr>
              <w:t>Este amparo cubre los perjuicios sufridos por la entidad por la no devolución total o parcial del dinero que se entregó al contratista por pago anticipado -art. 2.2.1.2.3.1.7., numeral 2- del Decreto 1082 de 2015-. Dicho amparo debe ser el ciento por ciento (100%) de</w:t>
            </w:r>
            <w:r>
              <w:rPr>
                <w:rFonts w:ascii="Verdana" w:hAnsi="Verdana" w:cs="Arial"/>
              </w:rPr>
              <w:t xml:space="preserve">l monto pagado anticipadamente </w:t>
            </w:r>
            <w:r w:rsidRPr="00FC67AA">
              <w:rPr>
                <w:rFonts w:ascii="Verdana" w:hAnsi="Verdana" w:cs="Arial"/>
              </w:rPr>
              <w:t>y cubre a la entidad estatal contratante debe estar vigente hasta la liquidación del contrato o hasta que la Entidad Estatal verifique el cumplimiento de todas las actividades o la entrega de todos los bienes o servicios asociados al pago anticipado, de acuerdo con lo que establezca la Entidad Estatal</w:t>
            </w:r>
            <w:r>
              <w:rPr>
                <w:rFonts w:ascii="Verdana" w:hAnsi="Verdana" w:cs="Arial"/>
              </w:rPr>
              <w:t>.</w:t>
            </w:r>
          </w:p>
          <w:p w14:paraId="1DF5D423" w14:textId="77777777" w:rsidR="004C3055" w:rsidRPr="00915BD4" w:rsidRDefault="004C3055" w:rsidP="00E349F9">
            <w:pPr>
              <w:tabs>
                <w:tab w:val="left" w:pos="0"/>
              </w:tabs>
              <w:spacing w:after="120" w:line="276" w:lineRule="auto"/>
              <w:jc w:val="both"/>
              <w:rPr>
                <w:rFonts w:ascii="Verdana" w:hAnsi="Verdana" w:cs="Arial"/>
              </w:rPr>
            </w:pPr>
            <w:r>
              <w:rPr>
                <w:rFonts w:ascii="Verdana" w:hAnsi="Verdana" w:cs="Arial"/>
              </w:rPr>
              <w:tab/>
              <w:t xml:space="preserve"> A diferencia del anticipo, en la que se exige de forma obligatoria al contratista </w:t>
            </w:r>
            <w:r w:rsidRPr="008452AE">
              <w:rPr>
                <w:rFonts w:ascii="Verdana" w:eastAsia="Calibri" w:hAnsi="Verdana" w:cs="Arial"/>
              </w:rPr>
              <w:t>constituir un patrimonio autónomo o una fiducia para administrar los recursos del anticipo</w:t>
            </w:r>
            <w:r>
              <w:rPr>
                <w:rFonts w:ascii="Verdana" w:eastAsia="Calibri" w:hAnsi="Verdana" w:cs="Arial"/>
              </w:rPr>
              <w:t>, de acuerdo con el artículo 91 de la Ley 1474 de 2011</w:t>
            </w:r>
            <w:r w:rsidRPr="008452AE">
              <w:rPr>
                <w:rFonts w:ascii="Verdana" w:eastAsia="Calibri" w:hAnsi="Verdana" w:cs="Arial"/>
              </w:rPr>
              <w:t xml:space="preserve">. Para 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sidRPr="008452AE">
              <w:rPr>
                <w:rFonts w:ascii="Verdana" w:eastAsia="Calibri" w:hAnsi="Verdana" w:cs="Arial"/>
                <w:color w:val="000000" w:themeColor="text1"/>
                <w:lang w:val="es-ES"/>
              </w:rPr>
              <w:t>“</w:t>
            </w:r>
            <w:r w:rsidRPr="008452AE">
              <w:rPr>
                <w:rFonts w:ascii="Verdana" w:eastAsia="Calibri" w:hAnsi="Verdana" w:cs="Arial"/>
              </w:rPr>
              <w:t>o los que se realicen por licitación pública</w:t>
            </w:r>
            <w:r w:rsidRPr="008452AE">
              <w:rPr>
                <w:rFonts w:ascii="Verdana" w:eastAsia="Calibri" w:hAnsi="Verdana" w:cs="Arial"/>
                <w:color w:val="000000" w:themeColor="text1"/>
                <w:lang w:val="es-ES"/>
              </w:rPr>
              <w:t xml:space="preserve">”, indica que, además de los objetos mencionados, también para estos contratos aplica el supuesto de hecho. </w:t>
            </w:r>
            <w:r w:rsidRPr="008452AE">
              <w:rPr>
                <w:rFonts w:ascii="Verdana" w:eastAsia="Calibri" w:hAnsi="Verdana" w:cs="Arial"/>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w:t>
            </w:r>
            <w:r>
              <w:rPr>
                <w:rFonts w:ascii="Verdana" w:eastAsia="Calibri" w:hAnsi="Verdana" w:cs="Arial"/>
              </w:rPr>
              <w:t xml:space="preserve"> entidad estatal de exigir el amparo</w:t>
            </w:r>
            <w:r w:rsidRPr="008452AE">
              <w:rPr>
                <w:rFonts w:ascii="Verdana" w:eastAsia="Calibri" w:hAnsi="Verdana" w:cs="Arial"/>
              </w:rPr>
              <w:t xml:space="preserve"> de buen manejo y correcta inversión</w:t>
            </w:r>
            <w:r>
              <w:rPr>
                <w:rFonts w:ascii="Verdana" w:eastAsia="Calibri" w:hAnsi="Verdana" w:cs="Arial"/>
              </w:rPr>
              <w:t xml:space="preserve"> del anticipo</w:t>
            </w:r>
            <w:r w:rsidRPr="008452AE">
              <w:rPr>
                <w:rFonts w:ascii="Verdana" w:eastAsia="Calibri" w:hAnsi="Verdana" w:cs="Arial"/>
              </w:rPr>
              <w:t>.</w:t>
            </w:r>
          </w:p>
          <w:p w14:paraId="7AD808B2" w14:textId="77777777" w:rsidR="004C3055" w:rsidRPr="002C7CFC" w:rsidRDefault="004C3055" w:rsidP="00E349F9">
            <w:pPr>
              <w:spacing w:before="120" w:line="276" w:lineRule="auto"/>
              <w:ind w:firstLine="709"/>
              <w:jc w:val="both"/>
              <w:rPr>
                <w:rFonts w:ascii="Verdana" w:eastAsia="Calibri" w:hAnsi="Verdana" w:cs="Arial"/>
              </w:rPr>
            </w:pPr>
            <w:r>
              <w:rPr>
                <w:rFonts w:ascii="Verdana" w:eastAsia="Calibri" w:hAnsi="Verdana" w:cs="Arial"/>
              </w:rPr>
              <w:t>Es</w:t>
            </w:r>
            <w:r w:rsidRPr="008452AE">
              <w:rPr>
                <w:rFonts w:ascii="Verdana" w:eastAsia="Calibri" w:hAnsi="Verdana" w:cs="Arial"/>
              </w:rPr>
              <w:t xml:space="preserve">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w:t>
            </w:r>
            <w:r w:rsidRPr="008452AE">
              <w:rPr>
                <w:rFonts w:ascii="Verdana" w:eastAsia="Calibri" w:hAnsi="Verdana" w:cs="Arial"/>
              </w:rPr>
              <w:lastRenderedPageBreak/>
              <w:t>buen manejo y la correcta inversión del anticipo, entre las que se encuentra la constitución de una garantía como se explicó</w:t>
            </w:r>
            <w:r w:rsidRPr="002C7CFC">
              <w:rPr>
                <w:rFonts w:ascii="Verdana" w:eastAsia="Calibri" w:hAnsi="Verdana" w:cs="Arial"/>
              </w:rPr>
              <w:t xml:space="preserve"> </w:t>
            </w:r>
            <w:r w:rsidRPr="002C7CFC">
              <w:rPr>
                <w:rFonts w:ascii="Verdana" w:eastAsia="Calibri" w:hAnsi="Verdana" w:cs="Arial"/>
                <w:iCs/>
              </w:rPr>
              <w:t>en las razones de la respuesta</w:t>
            </w:r>
            <w:r>
              <w:rPr>
                <w:rFonts w:ascii="Verdana" w:eastAsia="Calibri" w:hAnsi="Verdana" w:cs="Arial"/>
                <w:i/>
                <w:iCs/>
              </w:rPr>
              <w:t xml:space="preserve">. </w:t>
            </w:r>
          </w:p>
        </w:tc>
      </w:tr>
    </w:tbl>
    <w:p w14:paraId="43A6316A" w14:textId="77777777" w:rsidR="004C3055" w:rsidRPr="00B57A1B" w:rsidRDefault="004C3055" w:rsidP="004C3055">
      <w:pPr>
        <w:spacing w:after="0" w:line="276" w:lineRule="auto"/>
        <w:jc w:val="both"/>
        <w:rPr>
          <w:rFonts w:ascii="Verdana" w:eastAsia="Calibri" w:hAnsi="Verdana" w:cs="Arial"/>
          <w:bCs/>
          <w:color w:val="000000" w:themeColor="text1"/>
        </w:rPr>
      </w:pPr>
    </w:p>
    <w:p w14:paraId="59C29483" w14:textId="77777777" w:rsidR="004C3055" w:rsidRPr="00B57A1B" w:rsidRDefault="004C3055" w:rsidP="004C3055">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8C839BD" w14:textId="77777777" w:rsidR="004C3055" w:rsidRPr="00B57A1B" w:rsidRDefault="004C3055" w:rsidP="004C3055">
      <w:pPr>
        <w:spacing w:after="0" w:line="256" w:lineRule="auto"/>
        <w:rPr>
          <w:rFonts w:ascii="Verdana" w:eastAsia="Calibri" w:hAnsi="Verdana" w:cs="Times New Roman"/>
          <w:b/>
          <w:bCs/>
          <w:lang w:val="es-ES"/>
        </w:rPr>
      </w:pPr>
    </w:p>
    <w:p w14:paraId="545BBA76" w14:textId="77777777" w:rsidR="004C3055" w:rsidRPr="00E9090B" w:rsidRDefault="004C3055" w:rsidP="004C305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E0D208D" w14:textId="77777777" w:rsidR="004C3055" w:rsidRPr="00E9090B" w:rsidRDefault="004C3055" w:rsidP="004C3055">
      <w:pPr>
        <w:spacing w:after="0" w:line="276" w:lineRule="auto"/>
        <w:jc w:val="both"/>
        <w:rPr>
          <w:rFonts w:ascii="Verdana" w:hAnsi="Verdana" w:cs="Arial"/>
          <w:bCs/>
          <w:lang w:val="es-ES" w:eastAsia="es-ES" w:bidi="es-ES"/>
        </w:rPr>
      </w:pPr>
    </w:p>
    <w:p w14:paraId="38A69957" w14:textId="77777777" w:rsidR="004C3055" w:rsidRPr="00E9090B" w:rsidRDefault="004C3055" w:rsidP="004C3055">
      <w:pPr>
        <w:snapToGrid w:val="0"/>
        <w:spacing w:after="120" w:line="276" w:lineRule="auto"/>
        <w:jc w:val="both"/>
        <w:rPr>
          <w:rFonts w:ascii="Verdana" w:eastAsia="Calibri" w:hAnsi="Verdana" w:cs="Arial"/>
          <w:lang w:val="es-ES"/>
        </w:rPr>
      </w:pPr>
      <w:r w:rsidRPr="00E9090B">
        <w:rPr>
          <w:rFonts w:ascii="Verdana" w:eastAsia="Calibri" w:hAnsi="Verdana" w:cs="Arial"/>
          <w:lang w:val="es-ES"/>
        </w:rPr>
        <w:t xml:space="preserve">i. 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6A556975" w14:textId="77777777" w:rsidR="004C3055" w:rsidRPr="00E9090B" w:rsidRDefault="004C3055" w:rsidP="004C3055">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69BB98F3" w14:textId="77777777" w:rsidR="004C3055" w:rsidRPr="00E9090B" w:rsidRDefault="004C3055" w:rsidP="004C3055">
      <w:pPr>
        <w:spacing w:after="0" w:line="240" w:lineRule="auto"/>
        <w:ind w:firstLine="709"/>
        <w:jc w:val="both"/>
        <w:rPr>
          <w:rFonts w:ascii="Arial" w:eastAsia="Calibri" w:hAnsi="Arial" w:cs="Arial"/>
          <w:lang w:val="es-ES"/>
        </w:rPr>
      </w:pPr>
    </w:p>
    <w:p w14:paraId="5CE78E3F" w14:textId="77777777" w:rsidR="004C3055" w:rsidRPr="00EB6668" w:rsidRDefault="004C3055" w:rsidP="004C3055">
      <w:pPr>
        <w:spacing w:after="0" w:line="240" w:lineRule="auto"/>
        <w:ind w:left="709" w:right="709"/>
        <w:jc w:val="both"/>
        <w:rPr>
          <w:rFonts w:ascii="Verdana" w:eastAsia="Calibri" w:hAnsi="Verdana" w:cs="Arial"/>
          <w:sz w:val="20"/>
          <w:szCs w:val="20"/>
          <w:lang w:val="es-ES"/>
        </w:rPr>
      </w:pPr>
      <w:r w:rsidRPr="00EB6668">
        <w:rPr>
          <w:rFonts w:ascii="Verdana" w:eastAsia="Calibri" w:hAnsi="Verdana" w:cs="Arial"/>
          <w:sz w:val="20"/>
          <w:szCs w:val="20"/>
          <w:lang w:val="es-ES"/>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B6668">
        <w:rPr>
          <w:rFonts w:ascii="Verdana" w:eastAsia="Calibri" w:hAnsi="Verdana" w:cs="Arial"/>
          <w:sz w:val="20"/>
          <w:szCs w:val="20"/>
          <w:vertAlign w:val="superscript"/>
          <w:lang w:val="es-ES"/>
        </w:rPr>
        <w:footnoteReference w:id="1"/>
      </w:r>
      <w:r w:rsidRPr="00EB6668">
        <w:rPr>
          <w:rFonts w:ascii="Verdana" w:eastAsia="Calibri" w:hAnsi="Verdana" w:cs="Arial"/>
          <w:sz w:val="20"/>
          <w:szCs w:val="20"/>
          <w:lang w:val="es-ES"/>
        </w:rPr>
        <w:t>.</w:t>
      </w:r>
    </w:p>
    <w:p w14:paraId="3A48FD46" w14:textId="77777777" w:rsidR="004C3055" w:rsidRPr="00E9090B" w:rsidRDefault="004C3055" w:rsidP="004C3055">
      <w:pPr>
        <w:spacing w:after="0" w:line="276" w:lineRule="auto"/>
        <w:ind w:firstLine="709"/>
        <w:jc w:val="both"/>
        <w:rPr>
          <w:rFonts w:ascii="Arial" w:eastAsia="Calibri" w:hAnsi="Arial" w:cs="Arial"/>
          <w:lang w:val="es-ES"/>
        </w:rPr>
      </w:pPr>
    </w:p>
    <w:p w14:paraId="1D293FF9" w14:textId="77777777" w:rsidR="004C3055" w:rsidRPr="00E9090B" w:rsidRDefault="004C3055" w:rsidP="004C3055">
      <w:pPr>
        <w:tabs>
          <w:tab w:val="left" w:pos="0"/>
        </w:tabs>
        <w:spacing w:after="120" w:line="276" w:lineRule="auto"/>
        <w:jc w:val="both"/>
        <w:rPr>
          <w:rFonts w:ascii="Verdana" w:hAnsi="Verdana" w:cs="Arial"/>
        </w:rPr>
      </w:pPr>
      <w:r w:rsidRPr="00E9090B">
        <w:rPr>
          <w:rFonts w:ascii="Verdana" w:eastAsia="Calibri" w:hAnsi="Verdana" w:cs="Arial"/>
          <w:lang w:val="es-ES"/>
        </w:rPr>
        <w:tab/>
        <w:t>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ii)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2"/>
      </w:r>
      <w:r w:rsidRPr="00E9090B">
        <w:rPr>
          <w:rFonts w:ascii="Verdana" w:hAnsi="Verdana" w:cs="Arial"/>
          <w:lang w:bidi="es-ES"/>
        </w:rPr>
        <w:t>.</w:t>
      </w:r>
    </w:p>
    <w:p w14:paraId="5287E941" w14:textId="77777777" w:rsidR="004C3055" w:rsidRPr="00E9090B" w:rsidRDefault="004C3055" w:rsidP="004C3055">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E9090B">
        <w:rPr>
          <w:rFonts w:ascii="Verdana" w:hAnsi="Verdana"/>
        </w:rPr>
        <w:t xml:space="preserve"> </w:t>
      </w:r>
      <w:r w:rsidRPr="00E9090B">
        <w:rPr>
          <w:rFonts w:ascii="Verdana" w:hAnsi="Verdana" w:cs="Arial"/>
        </w:rPr>
        <w:t>Aunque las normas citadas no definen el anticipo, el Consejo de Estado ha precisado su naturaleza jurídica fijando parámetros para su aplicación</w:t>
      </w:r>
      <w:r w:rsidRPr="00E9090B">
        <w:rPr>
          <w:vertAlign w:val="superscript"/>
        </w:rPr>
        <w:footnoteReference w:id="3"/>
      </w:r>
      <w:r w:rsidRPr="00E9090B">
        <w:rPr>
          <w:rFonts w:ascii="Verdana" w:hAnsi="Verdana" w:cs="Arial"/>
        </w:rPr>
        <w:t>. En uno de sus pronunciamientos, el Consejo de Estado se refirió al anticipo como:</w:t>
      </w:r>
    </w:p>
    <w:p w14:paraId="430C4C7D" w14:textId="77777777" w:rsidR="004C3055" w:rsidRPr="00E9090B" w:rsidRDefault="004C3055" w:rsidP="004C3055">
      <w:pPr>
        <w:spacing w:after="0" w:line="276" w:lineRule="auto"/>
        <w:jc w:val="both"/>
        <w:rPr>
          <w:rFonts w:ascii="Verdana" w:hAnsi="Verdana" w:cs="Arial"/>
        </w:rPr>
      </w:pPr>
    </w:p>
    <w:p w14:paraId="49DF2423" w14:textId="77777777" w:rsidR="004C3055" w:rsidRPr="00EB6668" w:rsidRDefault="004C3055" w:rsidP="004C3055">
      <w:pPr>
        <w:spacing w:after="0" w:line="240" w:lineRule="auto"/>
        <w:ind w:left="709" w:right="709"/>
        <w:jc w:val="both"/>
        <w:rPr>
          <w:rFonts w:ascii="Verdana" w:hAnsi="Verdana" w:cs="Arial"/>
          <w:sz w:val="20"/>
          <w:szCs w:val="20"/>
        </w:rPr>
      </w:pPr>
      <w:r w:rsidRPr="00EB6668">
        <w:rPr>
          <w:rFonts w:ascii="Verdana" w:hAnsi="Verdana" w:cs="Arial"/>
          <w:sz w:val="20"/>
          <w:szCs w:val="20"/>
        </w:rPr>
        <w:t>“[…]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B6668">
        <w:rPr>
          <w:sz w:val="20"/>
          <w:szCs w:val="20"/>
          <w:vertAlign w:val="superscript"/>
        </w:rPr>
        <w:footnoteReference w:id="4"/>
      </w:r>
      <w:r w:rsidRPr="00EB6668">
        <w:rPr>
          <w:rFonts w:ascii="Verdana" w:hAnsi="Verdana" w:cs="Arial"/>
          <w:sz w:val="20"/>
          <w:szCs w:val="20"/>
        </w:rPr>
        <w:t>.</w:t>
      </w:r>
    </w:p>
    <w:p w14:paraId="107A2C8F" w14:textId="77777777" w:rsidR="004C3055" w:rsidRPr="00E9090B" w:rsidRDefault="004C3055" w:rsidP="004C3055">
      <w:pPr>
        <w:spacing w:after="0" w:line="240" w:lineRule="auto"/>
        <w:ind w:left="709" w:right="709"/>
        <w:jc w:val="both"/>
        <w:rPr>
          <w:rFonts w:ascii="Verdana" w:hAnsi="Verdana"/>
          <w:sz w:val="21"/>
          <w:szCs w:val="21"/>
        </w:rPr>
      </w:pPr>
    </w:p>
    <w:p w14:paraId="3A0C1542" w14:textId="77777777" w:rsidR="004C3055" w:rsidRPr="00E9090B" w:rsidRDefault="004C3055" w:rsidP="004C3055">
      <w:pPr>
        <w:tabs>
          <w:tab w:val="left" w:pos="0"/>
        </w:tabs>
        <w:spacing w:after="120" w:line="276" w:lineRule="auto"/>
        <w:jc w:val="both"/>
        <w:rPr>
          <w:rFonts w:ascii="Verdana" w:hAnsi="Verdana" w:cs="Arial"/>
        </w:rPr>
      </w:pPr>
      <w:r w:rsidRPr="00E9090B">
        <w:rPr>
          <w:rFonts w:ascii="Verdana" w:hAnsi="Verdana" w:cs="Arial"/>
        </w:rPr>
        <w:tab/>
        <w:t>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E9090B">
        <w:rPr>
          <w:vertAlign w:val="superscript"/>
        </w:rPr>
        <w:footnoteReference w:id="5"/>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6"/>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7"/>
      </w:r>
      <w:r w:rsidRPr="00E9090B">
        <w:rPr>
          <w:rFonts w:ascii="Verdana" w:hAnsi="Verdana" w:cs="Arial"/>
        </w:rPr>
        <w:t xml:space="preserve">. </w:t>
      </w:r>
    </w:p>
    <w:p w14:paraId="7C985E5D" w14:textId="77777777" w:rsidR="004C3055" w:rsidRPr="00E9090B" w:rsidRDefault="004C3055" w:rsidP="004C3055">
      <w:pPr>
        <w:tabs>
          <w:tab w:val="left" w:pos="0"/>
        </w:tabs>
        <w:spacing w:after="120" w:line="276" w:lineRule="auto"/>
        <w:jc w:val="both"/>
        <w:rPr>
          <w:rFonts w:ascii="Verdana" w:hAnsi="Verdana" w:cs="Arial"/>
        </w:rPr>
      </w:pPr>
      <w:r w:rsidRPr="00E9090B">
        <w:rPr>
          <w:rFonts w:ascii="Verdana" w:hAnsi="Verdana" w:cs="Arial"/>
        </w:rPr>
        <w:lastRenderedPageBreak/>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C690A5F" w14:textId="77777777" w:rsidR="004C3055" w:rsidRPr="00E9090B" w:rsidRDefault="004C3055" w:rsidP="004C3055">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8"/>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64BFD0A0" w14:textId="77777777" w:rsidR="004C3055" w:rsidRPr="00E9090B" w:rsidRDefault="004C3055" w:rsidP="004C3055">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2DB37C8B" w14:textId="77777777" w:rsidR="004C3055" w:rsidRDefault="004C3055" w:rsidP="004C3055">
      <w:pPr>
        <w:spacing w:after="0" w:line="276" w:lineRule="auto"/>
        <w:ind w:firstLine="709"/>
        <w:jc w:val="both"/>
        <w:rPr>
          <w:rFonts w:ascii="Verdana" w:eastAsia="Arial" w:hAnsi="Verdana" w:cs="Arial"/>
          <w:lang w:val="es-ES" w:eastAsia="es-ES" w:bidi="es-ES"/>
        </w:rPr>
      </w:pPr>
      <w:r w:rsidRPr="00E9090B">
        <w:rPr>
          <w:rFonts w:ascii="Verdana" w:hAnsi="Verdana" w:cs="Arial"/>
        </w:rPr>
        <w:t xml:space="preserve">Del análisis realizado se infiere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w:t>
      </w:r>
      <w:r w:rsidRPr="00E9090B">
        <w:rPr>
          <w:rFonts w:ascii="Verdana" w:hAnsi="Verdana" w:cs="Arial"/>
        </w:rPr>
        <w:lastRenderedPageBreak/>
        <w:t>ii) el uso indebido del anticipo; y iii) la apropiación indebida de los recursos recibidos en calidad de anticipo</w:t>
      </w:r>
      <w:r w:rsidRPr="00E9090B">
        <w:rPr>
          <w:vertAlign w:val="superscript"/>
        </w:rPr>
        <w:footnoteReference w:id="9"/>
      </w:r>
      <w:r w:rsidRPr="00E9090B">
        <w:rPr>
          <w:rFonts w:ascii="Verdana" w:hAnsi="Verdana" w:cs="Arial"/>
        </w:rPr>
        <w:t xml:space="preserve">. Por otro lado, frente al pago anticipado se 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59BDA1FB" w14:textId="77777777" w:rsidR="004C3055" w:rsidRDefault="004C3055" w:rsidP="004C3055">
      <w:pPr>
        <w:spacing w:after="120" w:line="276" w:lineRule="auto"/>
        <w:jc w:val="both"/>
        <w:rPr>
          <w:rFonts w:ascii="Verdana" w:eastAsia="Arial" w:hAnsi="Verdana" w:cs="Arial"/>
          <w:lang w:val="es-ES" w:eastAsia="es-ES" w:bidi="es-ES"/>
        </w:rPr>
      </w:pPr>
    </w:p>
    <w:p w14:paraId="5AFC10F2" w14:textId="77777777" w:rsidR="004C3055" w:rsidRPr="00943080" w:rsidRDefault="004C3055" w:rsidP="004C3055">
      <w:pPr>
        <w:tabs>
          <w:tab w:val="left" w:pos="0"/>
        </w:tabs>
        <w:spacing w:after="120" w:line="276" w:lineRule="auto"/>
        <w:jc w:val="both"/>
        <w:rPr>
          <w:rFonts w:ascii="Verdana" w:hAnsi="Verdana" w:cs="Arial"/>
        </w:rPr>
      </w:pPr>
      <w:r>
        <w:rPr>
          <w:rFonts w:ascii="Verdana" w:eastAsia="Arial" w:hAnsi="Verdana" w:cs="Arial"/>
          <w:lang w:val="es-ES" w:eastAsia="es-ES" w:bidi="es-ES"/>
        </w:rPr>
        <w:t>ii. Como se detalló en las consideraciones anteriores</w:t>
      </w:r>
      <w:r>
        <w:rPr>
          <w:rFonts w:ascii="Verdana" w:hAnsi="Verdana" w:cs="Arial"/>
        </w:rPr>
        <w:t>, e</w:t>
      </w:r>
      <w:r w:rsidRPr="00943080">
        <w:rPr>
          <w:rFonts w:ascii="Verdana" w:hAnsi="Verdana" w:cs="Arial"/>
        </w:rPr>
        <w:t xml:space="preserve">l pago anticipado corresponde a una retribución parcial del precio contractual, este recurso sí se incorpora al patrimonio del contratista desde su entrega, sin obligación de reintegro, salvo en casos de incumplimiento. Esta característica lo convierte en un verdadero pago del precio, lo que explica que la garantía asociada sea la de devolución del pago anticipado, orientada a proteger a la entidad frente a incumplimientos que impidan la consolidación del derecho del contratista a percibir la remuneración. Por lo tanto, mientras el anticipo sigue siendo dinero </w:t>
      </w:r>
      <w:r w:rsidRPr="00943080">
        <w:rPr>
          <w:rFonts w:ascii="Verdana" w:hAnsi="Verdana" w:cs="Arial"/>
        </w:rPr>
        <w:lastRenderedPageBreak/>
        <w:t xml:space="preserve">público hasta su amortización, el pago anticipado es dinero privado desde su entrega. </w:t>
      </w:r>
    </w:p>
    <w:p w14:paraId="1322E9EF" w14:textId="77777777" w:rsidR="004C3055" w:rsidRDefault="004C3055" w:rsidP="004C3055">
      <w:pPr>
        <w:tabs>
          <w:tab w:val="left" w:pos="0"/>
        </w:tabs>
        <w:spacing w:after="120" w:line="276" w:lineRule="auto"/>
        <w:jc w:val="both"/>
        <w:rPr>
          <w:rFonts w:ascii="Verdana" w:hAnsi="Verdana" w:cs="Arial"/>
        </w:rPr>
      </w:pPr>
      <w:r>
        <w:rPr>
          <w:rFonts w:ascii="Verdana" w:hAnsi="Verdana" w:cs="Arial"/>
        </w:rPr>
        <w:tab/>
        <w:t>En este sentido, institución</w:t>
      </w:r>
      <w:r w:rsidRPr="00943080">
        <w:rPr>
          <w:rFonts w:ascii="Verdana" w:hAnsi="Verdana" w:cs="Arial"/>
        </w:rPr>
        <w:t xml:space="preserve"> del pago anticipado como una modalidad de cumplimiento anticipado de la obligación de remuneración a cargo de la entidad estatal, diferenciándola del anticipo no solo por su naturaleza jurídica, sino también por su finalidad y efectos patrimoniales. </w:t>
      </w:r>
      <w:r>
        <w:rPr>
          <w:rFonts w:ascii="Verdana" w:hAnsi="Verdana" w:cs="Arial"/>
        </w:rPr>
        <w:t>Al respecto</w:t>
      </w:r>
      <w:r w:rsidRPr="00943080">
        <w:rPr>
          <w:rFonts w:ascii="Verdana" w:hAnsi="Verdana" w:cs="Arial"/>
        </w:rPr>
        <w:t>, Uriel Alberto Amaya Olaya subraya</w:t>
      </w:r>
      <w:r>
        <w:rPr>
          <w:rFonts w:ascii="Verdana" w:hAnsi="Verdana" w:cs="Arial"/>
        </w:rPr>
        <w:t xml:space="preserve"> que el pago anticipado implica con antelación</w:t>
      </w:r>
      <w:r w:rsidRPr="00943080">
        <w:rPr>
          <w:rFonts w:ascii="Verdana" w:hAnsi="Verdana" w:cs="Arial"/>
        </w:rPr>
        <w:t xml:space="preserve"> pago de la obligación, precisa que, una vez entregado, el recurso pierde su naturaleza pública y se convierte en recurso privado del contratista, lo que determina que, en caso de incumplimiento, la responsabilidad que surge es de carácter contractual y no fiscal</w:t>
      </w:r>
      <w:r>
        <w:rPr>
          <w:rStyle w:val="Refdenotaalpie"/>
          <w:rFonts w:ascii="Verdana" w:hAnsi="Verdana" w:cs="Arial"/>
        </w:rPr>
        <w:footnoteReference w:id="10"/>
      </w:r>
      <w:r w:rsidRPr="00943080">
        <w:rPr>
          <w:rFonts w:ascii="Verdana" w:hAnsi="Verdana" w:cs="Arial"/>
        </w:rPr>
        <w:t xml:space="preserve">. Este autor también contrasta el pago anticipado con el anticipo, al señalar que este último se asemeja a un préstamo sometido a control administrativo, mientras que el pago anticipado es un pago definitivo que no genera obligación de restitución salvo incumplimiento. </w:t>
      </w:r>
    </w:p>
    <w:p w14:paraId="3D753D62" w14:textId="77777777" w:rsidR="004C3055" w:rsidRDefault="004C3055" w:rsidP="004C3055">
      <w:pPr>
        <w:tabs>
          <w:tab w:val="left" w:pos="0"/>
        </w:tabs>
        <w:spacing w:after="120" w:line="276" w:lineRule="auto"/>
        <w:jc w:val="both"/>
        <w:rPr>
          <w:rFonts w:ascii="Verdana" w:hAnsi="Verdana" w:cs="Arial"/>
        </w:rPr>
      </w:pPr>
      <w:r>
        <w:rPr>
          <w:rFonts w:ascii="Verdana" w:hAnsi="Verdana" w:cs="Arial"/>
        </w:rPr>
        <w:tab/>
        <w:t xml:space="preserve">Teniendo en cuenta estas precisiones conceptuales y las normas del Sistema de Compras y Contratación Pública, en el pago anticipado no es exigible la constitución de una fiducia mercantil o un patrimonio para administrarlo, pues como se ha dicho este es un adelanto del pago de una obligación, en la que será necesario la exigencia del amparo de devolución del pago anticipado. </w:t>
      </w:r>
      <w:r w:rsidRPr="00FC67AA">
        <w:rPr>
          <w:rFonts w:ascii="Verdana" w:hAnsi="Verdana" w:cs="Arial"/>
        </w:rPr>
        <w:t>Este amparo cubre los perjuicios sufridos por la entidad por la no devolución total o parcial del dinero que se entregó al contratista por pago anticipado -art. 2.2.1.2.3.1.7., numeral 2- del Decreto 1082 de 2015-. Dicho amparo debe ser el ciento por ciento (100%) del monto pagado anticipadamente  y cubre a la entidad estatal contratante debe estar vigente hasta la liquidación del contrato o hasta que la Entidad Estatal verifique el cumplimiento de todas las actividades o la entrega de todos los bienes o servicios asociados al pago anticipado, de acuerdo con lo que establezca la Entidad Estatal</w:t>
      </w:r>
      <w:r w:rsidRPr="00FC67AA">
        <w:rPr>
          <w:rFonts w:ascii="Verdana" w:hAnsi="Verdana" w:cs="Arial"/>
          <w:vertAlign w:val="superscript"/>
        </w:rPr>
        <w:footnoteReference w:id="11"/>
      </w:r>
    </w:p>
    <w:p w14:paraId="55C09DFC" w14:textId="77777777" w:rsidR="004C3055" w:rsidRPr="00915BD4" w:rsidRDefault="004C3055" w:rsidP="004C3055">
      <w:pPr>
        <w:tabs>
          <w:tab w:val="left" w:pos="0"/>
        </w:tabs>
        <w:spacing w:after="120" w:line="276" w:lineRule="auto"/>
        <w:jc w:val="both"/>
        <w:rPr>
          <w:rFonts w:ascii="Verdana" w:hAnsi="Verdana" w:cs="Arial"/>
        </w:rPr>
      </w:pPr>
      <w:r>
        <w:rPr>
          <w:rFonts w:ascii="Verdana" w:hAnsi="Verdana" w:cs="Arial"/>
        </w:rPr>
        <w:tab/>
        <w:t xml:space="preserve"> A diferencia del anticipo, en la que se exige de forma obligatoria al contratista </w:t>
      </w:r>
      <w:r w:rsidRPr="008452AE">
        <w:rPr>
          <w:rFonts w:ascii="Verdana" w:eastAsia="Calibri" w:hAnsi="Verdana" w:cs="Arial"/>
        </w:rPr>
        <w:t>constituir un patrimonio autónomo o una fiducia para administrar los recursos del anticipo</w:t>
      </w:r>
      <w:r>
        <w:rPr>
          <w:rFonts w:ascii="Verdana" w:eastAsia="Calibri" w:hAnsi="Verdana" w:cs="Arial"/>
        </w:rPr>
        <w:t>, de acuerdo al artículo 91 de la Ley 1474 de 2011</w:t>
      </w:r>
      <w:r w:rsidRPr="008452AE">
        <w:rPr>
          <w:rFonts w:ascii="Verdana" w:eastAsia="Calibri" w:hAnsi="Verdana" w:cs="Arial"/>
        </w:rPr>
        <w:t xml:space="preserve">. Para </w:t>
      </w:r>
      <w:r w:rsidRPr="008452AE">
        <w:rPr>
          <w:rFonts w:ascii="Verdana" w:eastAsia="Calibri" w:hAnsi="Verdana" w:cs="Arial"/>
        </w:rPr>
        <w:lastRenderedPageBreak/>
        <w:t xml:space="preserve">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sidRPr="008452AE">
        <w:rPr>
          <w:rFonts w:ascii="Verdana" w:eastAsia="Calibri" w:hAnsi="Verdana" w:cs="Arial"/>
          <w:color w:val="000000" w:themeColor="text1"/>
          <w:lang w:val="es-ES"/>
        </w:rPr>
        <w:t>“</w:t>
      </w:r>
      <w:r w:rsidRPr="008452AE">
        <w:rPr>
          <w:rFonts w:ascii="Verdana" w:eastAsia="Calibri" w:hAnsi="Verdana" w:cs="Arial"/>
        </w:rPr>
        <w:t>o los que se realicen por licitación pública</w:t>
      </w:r>
      <w:r w:rsidRPr="008452AE">
        <w:rPr>
          <w:rFonts w:ascii="Verdana" w:eastAsia="Calibri" w:hAnsi="Verdana" w:cs="Arial"/>
          <w:color w:val="000000" w:themeColor="text1"/>
          <w:lang w:val="es-ES"/>
        </w:rPr>
        <w:t xml:space="preserve">”, indica que, además de los objetos mencionados, también para estos contratos aplica el supuesto de hecho. </w:t>
      </w:r>
      <w:r w:rsidRPr="008452AE">
        <w:rPr>
          <w:rFonts w:ascii="Verdana" w:eastAsia="Calibri" w:hAnsi="Verdana" w:cs="Arial"/>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w:t>
      </w:r>
      <w:r>
        <w:rPr>
          <w:rFonts w:ascii="Verdana" w:eastAsia="Calibri" w:hAnsi="Verdana" w:cs="Arial"/>
        </w:rPr>
        <w:t xml:space="preserve"> entidad estatal de exigir el amparo</w:t>
      </w:r>
      <w:r w:rsidRPr="008452AE">
        <w:rPr>
          <w:rFonts w:ascii="Verdana" w:eastAsia="Calibri" w:hAnsi="Verdana" w:cs="Arial"/>
        </w:rPr>
        <w:t xml:space="preserve"> de buen manejo y correcta inversión</w:t>
      </w:r>
      <w:r>
        <w:rPr>
          <w:rFonts w:ascii="Verdana" w:eastAsia="Calibri" w:hAnsi="Verdana" w:cs="Arial"/>
        </w:rPr>
        <w:t xml:space="preserve"> del anticipo</w:t>
      </w:r>
      <w:r w:rsidRPr="008452AE">
        <w:rPr>
          <w:rFonts w:ascii="Verdana" w:eastAsia="Calibri" w:hAnsi="Verdana" w:cs="Arial"/>
        </w:rPr>
        <w:t>.</w:t>
      </w:r>
    </w:p>
    <w:p w14:paraId="5979AE07" w14:textId="77777777" w:rsidR="004C3055" w:rsidRDefault="004C3055" w:rsidP="004C3055">
      <w:pPr>
        <w:spacing w:before="120" w:after="0" w:line="276" w:lineRule="auto"/>
        <w:ind w:firstLine="709"/>
        <w:jc w:val="both"/>
        <w:rPr>
          <w:rFonts w:ascii="Verdana" w:eastAsia="Calibri" w:hAnsi="Verdana" w:cs="Arial"/>
        </w:rPr>
      </w:pPr>
      <w:r w:rsidRPr="008452AE">
        <w:rPr>
          <w:rFonts w:ascii="Verdana" w:eastAsia="Calibri" w:hAnsi="Verdana" w:cs="Arial"/>
        </w:rPr>
        <w:t xml:space="preserve">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 como se explicó </w:t>
      </w:r>
      <w:r w:rsidRPr="008452AE">
        <w:rPr>
          <w:rFonts w:ascii="Verdana" w:eastAsia="Calibri" w:hAnsi="Verdana" w:cs="Arial"/>
          <w:i/>
          <w:iCs/>
        </w:rPr>
        <w:t>ut supra</w:t>
      </w:r>
      <w:r w:rsidRPr="008452AE">
        <w:rPr>
          <w:rFonts w:ascii="Verdana" w:eastAsia="Calibri" w:hAnsi="Verdana" w:cs="Arial"/>
        </w:rPr>
        <w:t>.</w:t>
      </w:r>
    </w:p>
    <w:p w14:paraId="2C162872" w14:textId="77777777" w:rsidR="004C3055" w:rsidRDefault="004C3055" w:rsidP="004C3055">
      <w:pPr>
        <w:spacing w:before="120" w:after="0" w:line="276" w:lineRule="auto"/>
        <w:ind w:firstLine="709"/>
        <w:jc w:val="both"/>
        <w:rPr>
          <w:rFonts w:ascii="Verdana" w:eastAsia="Calibri" w:hAnsi="Verdana" w:cs="Arial"/>
          <w:lang w:val="es-ES"/>
        </w:rPr>
      </w:pPr>
      <w:r>
        <w:rPr>
          <w:rFonts w:ascii="Verdana" w:eastAsia="Calibri" w:hAnsi="Verdana" w:cs="Arial"/>
        </w:rPr>
        <w:t xml:space="preserve">En este asunto del pago anticipado y la correcta administración e inversión del anticipo, cobra relevancia el deber legal de </w:t>
      </w:r>
      <w:r w:rsidRPr="00B90BEF">
        <w:rPr>
          <w:rFonts w:ascii="Verdana" w:eastAsia="Calibri" w:hAnsi="Verdana" w:cs="Arial"/>
          <w:lang w:val="es-ES"/>
        </w:rPr>
        <w:t xml:space="preserve">seguimiento de la ejecución del contrato, </w:t>
      </w:r>
      <w:r>
        <w:rPr>
          <w:rFonts w:ascii="Verdana" w:eastAsia="Calibri" w:hAnsi="Verdana" w:cs="Arial"/>
          <w:lang w:val="es-ES"/>
        </w:rPr>
        <w:t xml:space="preserve">que implica </w:t>
      </w:r>
      <w:r w:rsidRPr="00B90BEF">
        <w:rPr>
          <w:rFonts w:ascii="Verdana" w:eastAsia="Calibri" w:hAnsi="Verdana" w:cs="Arial"/>
          <w:lang w:val="es-ES"/>
        </w:rPr>
        <w:t xml:space="preserve">la dirección, control y vigilancia de su correcto cumplimiento, </w:t>
      </w:r>
      <w:r>
        <w:rPr>
          <w:rFonts w:ascii="Verdana" w:eastAsia="Calibri" w:hAnsi="Verdana" w:cs="Arial"/>
          <w:lang w:val="es-ES"/>
        </w:rPr>
        <w:t>la cual permita</w:t>
      </w:r>
      <w:r w:rsidRPr="00B90BEF">
        <w:rPr>
          <w:rFonts w:ascii="Verdana" w:eastAsia="Calibri" w:hAnsi="Verdana" w:cs="Arial"/>
          <w:lang w:val="es-ES"/>
        </w:rPr>
        <w:t xml:space="preserv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w:t>
      </w:r>
      <w:r>
        <w:rPr>
          <w:rStyle w:val="Refdenotaalpie"/>
          <w:rFonts w:ascii="Verdana" w:eastAsia="Calibri" w:hAnsi="Verdana" w:cs="Arial"/>
          <w:lang w:val="es-ES"/>
        </w:rPr>
        <w:footnoteReference w:id="12"/>
      </w:r>
      <w:r w:rsidRPr="00B90BEF">
        <w:rPr>
          <w:rFonts w:ascii="Verdana" w:eastAsia="Calibri" w:hAnsi="Verdana" w:cs="Arial"/>
          <w:lang w:val="es-ES"/>
        </w:rPr>
        <w:t xml:space="preserve">. Esta obligación se predica, en principio, del jefe o representante legal </w:t>
      </w:r>
      <w:r w:rsidRPr="00B90BEF">
        <w:rPr>
          <w:rFonts w:ascii="Verdana" w:eastAsia="Calibri" w:hAnsi="Verdana" w:cs="Arial"/>
          <w:lang w:val="es-ES"/>
        </w:rPr>
        <w:lastRenderedPageBreak/>
        <w:t>de la entidad, por tener la responsabilidad de la dirección y manejo de la actividad contractual, pero también de los servidores públicos que intervienen en ella</w:t>
      </w:r>
      <w:r>
        <w:rPr>
          <w:rFonts w:ascii="Verdana" w:eastAsia="Calibri" w:hAnsi="Verdana" w:cs="Arial"/>
          <w:lang w:val="es-ES"/>
        </w:rPr>
        <w:t xml:space="preserve">, como es el caso de los supervisores. </w:t>
      </w:r>
    </w:p>
    <w:p w14:paraId="691A7873" w14:textId="77777777" w:rsidR="004C3055" w:rsidRPr="00B90BEF" w:rsidRDefault="004C3055" w:rsidP="004C3055">
      <w:pPr>
        <w:spacing w:before="120" w:after="0" w:line="276" w:lineRule="auto"/>
        <w:ind w:firstLine="709"/>
        <w:jc w:val="both"/>
        <w:rPr>
          <w:rFonts w:ascii="Verdana" w:eastAsia="Calibri" w:hAnsi="Verdana" w:cs="Arial"/>
          <w:lang w:val="es-ES"/>
        </w:rPr>
      </w:pPr>
      <w:r w:rsidRPr="008452AE">
        <w:rPr>
          <w:rFonts w:ascii="Verdana" w:eastAsia="Arial MT" w:hAnsi="Verdana" w:cs="Arial"/>
          <w:color w:val="000000" w:themeColor="text1"/>
          <w:spacing w:val="-1"/>
          <w:lang w:val="es-ES"/>
        </w:rPr>
        <w:t>En esta perspectiva,</w:t>
      </w:r>
      <w:r w:rsidRPr="008452AE">
        <w:rPr>
          <w:rFonts w:ascii="Verdana" w:eastAsia="Arial MT" w:hAnsi="Verdana" w:cs="Arial"/>
          <w:color w:val="000000" w:themeColor="text1"/>
          <w:lang w:val="es-ES"/>
        </w:rPr>
        <w:t xml:space="preserve"> </w:t>
      </w:r>
      <w:r>
        <w:rPr>
          <w:rFonts w:ascii="Verdana" w:eastAsia="Arial MT" w:hAnsi="Verdana" w:cs="Arial"/>
          <w:color w:val="000000" w:themeColor="text1"/>
          <w:lang w:val="es-ES"/>
        </w:rPr>
        <w:t>las entidades estatales pueden tomar</w:t>
      </w:r>
      <w:r w:rsidRPr="008452AE">
        <w:rPr>
          <w:rFonts w:ascii="Verdana" w:eastAsia="Arial MT" w:hAnsi="Verdana" w:cs="Arial"/>
          <w:color w:val="000000" w:themeColor="text1"/>
          <w:lang w:val="es-ES"/>
        </w:rPr>
        <w:t xml:space="preserve"> medidas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orientadas a la satisfacción de los fines de la contratación, dentro de las cuales, se encuentra la</w:t>
      </w:r>
      <w:r>
        <w:rPr>
          <w:rFonts w:ascii="Verdana" w:eastAsia="Arial MT" w:hAnsi="Verdana" w:cs="Arial"/>
          <w:color w:val="000000" w:themeColor="text1"/>
          <w:spacing w:val="-59"/>
          <w:lang w:val="es-ES"/>
        </w:rPr>
        <w:t xml:space="preserve">   --</w:t>
      </w:r>
      <w:r w:rsidRPr="008452AE">
        <w:rPr>
          <w:rFonts w:ascii="Verdana" w:eastAsia="Arial MT" w:hAnsi="Verdana" w:cs="Arial"/>
          <w:color w:val="000000" w:themeColor="text1"/>
          <w:lang w:val="es-ES"/>
        </w:rPr>
        <w:t>posibilidad de pactar y ejercer las cláusulas exorbitantes, la designación de una supervisión o la</w:t>
      </w:r>
      <w:r>
        <w:rPr>
          <w:rFonts w:ascii="Verdana" w:eastAsia="Arial MT" w:hAnsi="Verdana" w:cs="Arial"/>
          <w:color w:val="000000" w:themeColor="text1"/>
          <w:spacing w:val="-59"/>
          <w:lang w:val="es-ES"/>
        </w:rPr>
        <w:t xml:space="preserve"> </w:t>
      </w:r>
      <w:r>
        <w:rPr>
          <w:rFonts w:ascii="Verdana" w:eastAsia="Arial MT" w:hAnsi="Verdana" w:cs="Arial"/>
          <w:color w:val="000000" w:themeColor="text1"/>
          <w:lang w:val="es-ES"/>
        </w:rPr>
        <w:t xml:space="preserve">contratación </w:t>
      </w:r>
      <w:r w:rsidRPr="008452AE">
        <w:rPr>
          <w:rFonts w:ascii="Verdana" w:eastAsia="Arial MT" w:hAnsi="Verdana" w:cs="Arial"/>
          <w:color w:val="000000" w:themeColor="text1"/>
          <w:lang w:val="es-ES"/>
        </w:rPr>
        <w:t>de una interventoría</w:t>
      </w:r>
      <w:r>
        <w:rPr>
          <w:rFonts w:ascii="Verdana" w:eastAsia="Arial MT" w:hAnsi="Verdana" w:cs="Arial"/>
          <w:color w:val="000000" w:themeColor="text1"/>
          <w:lang w:val="es-ES"/>
        </w:rPr>
        <w:t>-</w:t>
      </w:r>
      <w:r w:rsidRPr="008452AE">
        <w:rPr>
          <w:rFonts w:ascii="Verdana" w:eastAsia="Arial MT" w:hAnsi="Verdana" w:cs="Arial"/>
          <w:color w:val="000000" w:themeColor="text1"/>
          <w:lang w:val="es-ES"/>
        </w:rPr>
        <w:t xml:space="preserve"> para vigilar la ejecución del contrato y la facultad de pactar 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imponer multas, cláusula penal o hacer efectivas las garantías del contrato, previa declaratoria</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de incumplimiento de las obligaciones del contrato, en aras de lograr la satisfacción de las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necesidades de bienes, obras o servicios que se pretenden suplir con la celebración de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estatales. Por lo tanto, la responsabilidad por el control y vigilancia de la ejecución del contrato está</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a cargo de la Entidad Estatal contratante y, en consecuencia, es esta quien debe supervisar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mediante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sus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funcionarios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servidores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públicos,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y</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únicamente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puede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contratar</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 xml:space="preserve">personal en caso de necesitarlo como apoyo a su gestión en la supervisión. </w:t>
      </w:r>
    </w:p>
    <w:p w14:paraId="378BC837" w14:textId="77777777" w:rsidR="004C3055" w:rsidRDefault="004C3055" w:rsidP="004C3055">
      <w:pPr>
        <w:spacing w:after="120" w:line="276" w:lineRule="auto"/>
        <w:jc w:val="both"/>
        <w:rPr>
          <w:rFonts w:ascii="Verdana" w:eastAsia="Calibri" w:hAnsi="Verdana" w:cs="Arial"/>
        </w:rPr>
      </w:pPr>
    </w:p>
    <w:p w14:paraId="088CCA2A" w14:textId="77777777" w:rsidR="004C3055" w:rsidRPr="00B16AC6" w:rsidRDefault="004C3055" w:rsidP="004C3055">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los pagos anticipados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C345B1E" w14:textId="77777777" w:rsidR="004C3055" w:rsidRPr="00B17041" w:rsidRDefault="004C3055" w:rsidP="004C3055">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B17041">
        <w:rPr>
          <w:rFonts w:ascii="Verdana" w:hAnsi="Verdana" w:cs="Arial"/>
          <w:lang w:val="es-ES" w:eastAsia="es-ES"/>
        </w:rPr>
        <w:lastRenderedPageBreak/>
        <w:t>contractual, sin que sea atribución de Colombia Compra Eficiente validar sus actuaciones.</w:t>
      </w:r>
    </w:p>
    <w:p w14:paraId="1F9847AC" w14:textId="77777777" w:rsidR="004C3055" w:rsidRPr="00AD6B46" w:rsidRDefault="004C3055" w:rsidP="004C3055">
      <w:pPr>
        <w:spacing w:after="0" w:line="276" w:lineRule="auto"/>
        <w:jc w:val="both"/>
        <w:rPr>
          <w:rFonts w:ascii="Verdana" w:eastAsia="Calibri" w:hAnsi="Verdana" w:cs="Arial"/>
          <w:lang w:eastAsia="es-ES_tradnl"/>
        </w:rPr>
      </w:pPr>
    </w:p>
    <w:p w14:paraId="300246AF" w14:textId="77777777" w:rsidR="004C3055" w:rsidRPr="00AD6B46" w:rsidRDefault="004C3055" w:rsidP="004C3055">
      <w:pPr>
        <w:numPr>
          <w:ilvl w:val="0"/>
          <w:numId w:val="16"/>
        </w:numPr>
        <w:spacing w:after="0" w:line="256" w:lineRule="auto"/>
        <w:rPr>
          <w:rFonts w:ascii="Verdana" w:eastAsia="Calibri" w:hAnsi="Verdana" w:cs="Times New Roman"/>
          <w:b/>
          <w:bCs/>
          <w:lang w:val="es-ES"/>
        </w:rPr>
      </w:pPr>
      <w:r w:rsidRPr="00AD6B46">
        <w:rPr>
          <w:rFonts w:ascii="Verdana" w:eastAsia="Calibri" w:hAnsi="Verdana" w:cs="Times New Roman"/>
          <w:b/>
          <w:bCs/>
          <w:lang w:val="es-ES"/>
        </w:rPr>
        <w:t>Referencias normativas, jurisprudenciales y otras fuentes:</w:t>
      </w:r>
    </w:p>
    <w:p w14:paraId="625E8010" w14:textId="77777777" w:rsidR="004C3055" w:rsidRPr="003C5A95" w:rsidRDefault="004C3055" w:rsidP="004C3055">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3055" w:rsidRPr="00AD6B46" w14:paraId="0D5268EE" w14:textId="77777777" w:rsidTr="00E349F9">
        <w:trPr>
          <w:trHeight w:val="870"/>
          <w:jc w:val="center"/>
        </w:trPr>
        <w:tc>
          <w:tcPr>
            <w:tcW w:w="8647" w:type="dxa"/>
          </w:tcPr>
          <w:p w14:paraId="5E63D382" w14:textId="77777777" w:rsidR="004C3055" w:rsidRPr="00AD6B46" w:rsidRDefault="004C3055" w:rsidP="00E349F9">
            <w:pPr>
              <w:ind w:left="720"/>
              <w:contextualSpacing/>
              <w:rPr>
                <w:rFonts w:ascii="Verdana" w:hAnsi="Verdana" w:cs="Arial"/>
                <w:lang w:val="es-ES"/>
              </w:rPr>
            </w:pPr>
          </w:p>
          <w:p w14:paraId="36B5F912" w14:textId="77777777" w:rsidR="004C3055" w:rsidRPr="00117544"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80 de 1993, artículos 4, 5, 12, 14, </w:t>
            </w:r>
            <w:r w:rsidRPr="00B90BEF">
              <w:rPr>
                <w:rFonts w:ascii="Verdana" w:eastAsia="Calibri" w:hAnsi="Verdana" w:cs="Arial"/>
                <w:lang w:val="es-ES"/>
              </w:rPr>
              <w:t>26</w:t>
            </w:r>
            <w:r>
              <w:rPr>
                <w:rFonts w:ascii="Verdana" w:eastAsia="Calibri" w:hAnsi="Verdana" w:cs="Arial"/>
                <w:lang w:val="es-ES"/>
              </w:rPr>
              <w:t xml:space="preserve"> y 40. </w:t>
            </w:r>
          </w:p>
          <w:p w14:paraId="7E20EF04" w14:textId="77777777" w:rsidR="004C3055" w:rsidRPr="00117544"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1474 de 2011, artículo 91. </w:t>
            </w:r>
          </w:p>
          <w:p w14:paraId="507E7798"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rPr>
              <w:t>Decreto 1082 de 2015, artículos 2.2.1.2.3.1.7, 2.2.1.1.2.4.1</w:t>
            </w:r>
            <w:r>
              <w:rPr>
                <w:rFonts w:ascii="Verdana" w:hAnsi="Verdana" w:cs="Arial"/>
              </w:rPr>
              <w:t xml:space="preserve">. y </w:t>
            </w:r>
            <w:r w:rsidRPr="008F7373">
              <w:rPr>
                <w:rFonts w:ascii="Verdana" w:hAnsi="Verdana" w:cs="Arial"/>
                <w:lang w:val="es-ES_tradnl"/>
              </w:rPr>
              <w:t>Artículo 2.2.1.2.3.1.11</w:t>
            </w:r>
          </w:p>
          <w:p w14:paraId="1EBEE7E6"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Consejo de Estado. Sección Tercera. Sentencia de 22 de junio de 2001. Exp. 13436, C.P. Ricardo Hoyos Duque</w:t>
            </w:r>
          </w:p>
          <w:p w14:paraId="1CD328B1"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Consejo de Estado. Sección Cuarta. Sentencia del 23 de septiembre de 2013. Exp. 18.752. C.P. Jorge Octavio Ramírez Ramírez).</w:t>
            </w:r>
          </w:p>
          <w:p w14:paraId="6BCCC260"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Con</w:t>
            </w:r>
            <w:r>
              <w:rPr>
                <w:rFonts w:ascii="Verdana" w:hAnsi="Verdana" w:cs="Arial"/>
                <w:lang w:val="es-ES"/>
              </w:rPr>
              <w:t>sejo de Estado. Sección Tercera,</w:t>
            </w:r>
            <w:r w:rsidRPr="5227FEF4">
              <w:rPr>
                <w:rFonts w:ascii="Verdana" w:hAnsi="Verdana" w:cs="Arial"/>
                <w:lang w:val="es-ES"/>
              </w:rPr>
              <w:t xml:space="preserve"> Subsección C. Sentencia del 29 de abril de 2015. Exp. 31.620. C.P. Olga Mélida Valle De De La Hoz (E).</w:t>
            </w:r>
          </w:p>
          <w:p w14:paraId="2949BFEF"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Consejo de Estado. Sección Tercera, Subsección C.  Sentencia del 27 de noviembre de 2017. Exp. 51.802. M.P. Jaime Orlando Santofimio.</w:t>
            </w:r>
          </w:p>
          <w:p w14:paraId="0D54EC66"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 xml:space="preserve">Consejo de Estado. Sección Tercera – Subsección A. Sentencia del 16 de mayo de 2019. Exp 40102. C.P: María Adriana Marín </w:t>
            </w:r>
          </w:p>
          <w:p w14:paraId="0DFDBDDB"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
              </w:rPr>
            </w:pPr>
            <w:r w:rsidRPr="5227FEF4">
              <w:rPr>
                <w:rFonts w:ascii="Verdana" w:hAnsi="Verdana" w:cs="Arial"/>
                <w:lang w:val="es-ES"/>
              </w:rPr>
              <w:t xml:space="preserve">Consejo de Estado. Sección Tercera, Subsección C. Sentencia del 2 de octubre del 2020. Exp. 63644. CP. Jaime Enrique Rodríguez Nava. </w:t>
            </w:r>
          </w:p>
          <w:p w14:paraId="5A6921E5" w14:textId="77777777" w:rsidR="004C3055" w:rsidRPr="008F7373" w:rsidRDefault="004C3055" w:rsidP="00E349F9">
            <w:pPr>
              <w:widowControl w:val="0"/>
              <w:numPr>
                <w:ilvl w:val="0"/>
                <w:numId w:val="17"/>
              </w:numPr>
              <w:autoSpaceDE w:val="0"/>
              <w:autoSpaceDN w:val="0"/>
              <w:spacing w:after="120" w:line="276" w:lineRule="auto"/>
              <w:jc w:val="both"/>
              <w:rPr>
                <w:rFonts w:ascii="Verdana" w:hAnsi="Verdana" w:cs="Arial"/>
                <w:lang w:val="es-ES_tradnl"/>
              </w:rPr>
            </w:pPr>
            <w:r w:rsidRPr="008F7373">
              <w:rPr>
                <w:rFonts w:ascii="Verdana" w:hAnsi="Verdana" w:cs="Arial"/>
                <w:lang w:val="es-ES_tradnl"/>
              </w:rPr>
              <w:t xml:space="preserve">AMAYA OLAYA, Uriel.  Teoría de la responsabilidad fiscal: Aspectos sustanciales y procesales. Bogotá: Universidad Externado de Colombia, 2002, p. 247. </w:t>
            </w:r>
          </w:p>
          <w:p w14:paraId="0E4635E5" w14:textId="77777777" w:rsidR="004C3055" w:rsidRPr="00445530"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DÁVILA VINUEZA, Luis Guillermo. Régimen jurídico de la contratación estatal. Bogotá: Legis, 2016.</w:t>
            </w:r>
          </w:p>
          <w:p w14:paraId="368E54A7" w14:textId="77777777" w:rsidR="004C3055" w:rsidRPr="008F7373" w:rsidRDefault="004C3055" w:rsidP="00E349F9">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MATALLANA CAMACHO, Ernesto. Manual de Contratación de la Administración Pública. Reforma de la Ley 80 de 1993. Bogotá: Universidad Externado de Colombia, 4 ed., 2015.</w:t>
            </w:r>
          </w:p>
        </w:tc>
      </w:tr>
    </w:tbl>
    <w:p w14:paraId="2D903945" w14:textId="77777777" w:rsidR="004C3055" w:rsidRPr="00B57A1B" w:rsidRDefault="004C3055" w:rsidP="004C3055">
      <w:pPr>
        <w:widowControl w:val="0"/>
        <w:autoSpaceDE w:val="0"/>
        <w:autoSpaceDN w:val="0"/>
        <w:spacing w:after="0" w:line="276" w:lineRule="auto"/>
        <w:jc w:val="both"/>
        <w:rPr>
          <w:rFonts w:ascii="Verdana" w:hAnsi="Verdana" w:cs="Arial"/>
        </w:rPr>
      </w:pPr>
    </w:p>
    <w:p w14:paraId="10F1D87F" w14:textId="77777777" w:rsidR="004C3055" w:rsidRPr="00B57A1B" w:rsidRDefault="004C3055" w:rsidP="004C305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lastRenderedPageBreak/>
        <w:t>Doctrina de la Agencia Nacional de Contratación Pública:</w:t>
      </w:r>
    </w:p>
    <w:p w14:paraId="290B3E1B" w14:textId="77777777" w:rsidR="004C3055" w:rsidRPr="00B57A1B" w:rsidRDefault="004C3055" w:rsidP="004C3055">
      <w:pPr>
        <w:widowControl w:val="0"/>
        <w:autoSpaceDE w:val="0"/>
        <w:autoSpaceDN w:val="0"/>
        <w:spacing w:after="0" w:line="276" w:lineRule="auto"/>
        <w:jc w:val="both"/>
        <w:rPr>
          <w:rFonts w:ascii="Verdana" w:hAnsi="Verdana" w:cs="Arial"/>
        </w:rPr>
      </w:pPr>
    </w:p>
    <w:p w14:paraId="2F5A4D9A" w14:textId="77777777" w:rsidR="004C3055" w:rsidRPr="00530A1F" w:rsidRDefault="004C3055" w:rsidP="004C3055">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en referencia al anticipo se han expedido los siguientes conceptos C-455 del 27 de noviembre de 2023, C-449 del 19 de de septiembre de 2024, C-557 del 17 de junio de 2025, C-503 del 3 de junio de 2025, 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65FE4D6" w14:textId="77777777" w:rsidR="004C3055" w:rsidRPr="00185EE9" w:rsidRDefault="00B23476" w:rsidP="004C3055">
      <w:pPr>
        <w:spacing w:after="0" w:line="256" w:lineRule="auto"/>
        <w:jc w:val="both"/>
        <w:rPr>
          <w:rFonts w:ascii="Verdana" w:eastAsia="Calibri" w:hAnsi="Verdana" w:cs="Times New Roman"/>
        </w:rPr>
      </w:pPr>
      <w:hyperlink r:id="rId13" w:history="1">
        <w:r w:rsidR="004C3055" w:rsidRPr="00F14AAD">
          <w:rPr>
            <w:rStyle w:val="Hipervnculo"/>
            <w:rFonts w:ascii="Verdana" w:eastAsia="Calibri" w:hAnsi="Verdana" w:cs="Times New Roman"/>
            <w:lang w:val="es-ES"/>
          </w:rPr>
          <w:t>https://relatoria.colombiacompra.gov.co/busqueda/conceptos</w:t>
        </w:r>
      </w:hyperlink>
      <w:r w:rsidR="004C3055" w:rsidRPr="00185EE9">
        <w:rPr>
          <w:rFonts w:ascii="Verdana" w:eastAsia="Calibri" w:hAnsi="Verdana" w:cs="Times New Roman"/>
        </w:rPr>
        <w:t xml:space="preserve">. </w:t>
      </w:r>
    </w:p>
    <w:p w14:paraId="17DAC20E" w14:textId="77777777" w:rsidR="004C3055" w:rsidRPr="00B57A1B" w:rsidRDefault="004C3055" w:rsidP="004C3055">
      <w:pPr>
        <w:spacing w:after="0"/>
        <w:jc w:val="both"/>
        <w:rPr>
          <w:rFonts w:ascii="Verdana" w:hAnsi="Verdana"/>
        </w:rPr>
      </w:pPr>
    </w:p>
    <w:p w14:paraId="3E536489" w14:textId="77777777" w:rsidR="004C3055" w:rsidRPr="00B57A1B" w:rsidRDefault="004C3055" w:rsidP="004C3055">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2044A042" w14:textId="77777777" w:rsidR="004C3055" w:rsidRPr="00B57A1B" w:rsidRDefault="004C3055" w:rsidP="004C3055">
      <w:pPr>
        <w:spacing w:after="0" w:line="240" w:lineRule="auto"/>
        <w:jc w:val="both"/>
        <w:rPr>
          <w:rFonts w:ascii="Verdana" w:hAnsi="Verdana"/>
        </w:rPr>
      </w:pPr>
    </w:p>
    <w:p w14:paraId="03C4B835" w14:textId="77777777" w:rsidR="004C3055" w:rsidRPr="00B57A1B" w:rsidRDefault="004C3055" w:rsidP="004C3055">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DB6D85" w14:textId="77777777" w:rsidR="004C3055" w:rsidRPr="00B57A1B" w:rsidRDefault="004C3055" w:rsidP="004C3055">
      <w:pPr>
        <w:spacing w:after="0" w:line="256" w:lineRule="auto"/>
        <w:jc w:val="both"/>
        <w:rPr>
          <w:rFonts w:ascii="Verdana" w:eastAsia="Calibri" w:hAnsi="Verdana" w:cs="Times New Roman"/>
        </w:rPr>
      </w:pPr>
    </w:p>
    <w:p w14:paraId="79055DDB" w14:textId="77777777" w:rsidR="004C3055" w:rsidRDefault="004C3055" w:rsidP="004C3055">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DEE92E4" w14:textId="77777777" w:rsidR="004C3055" w:rsidRPr="00B57A1B" w:rsidRDefault="004C3055" w:rsidP="004C3055">
      <w:pPr>
        <w:spacing w:after="0" w:line="256" w:lineRule="auto"/>
        <w:jc w:val="both"/>
        <w:rPr>
          <w:rFonts w:ascii="Verdana" w:eastAsia="Calibri" w:hAnsi="Verdana" w:cs="Times New Roman"/>
        </w:rPr>
      </w:pPr>
    </w:p>
    <w:p w14:paraId="24862A3E" w14:textId="59A310C1" w:rsidR="004C3055" w:rsidRDefault="00FB63C7" w:rsidP="004C3055">
      <w:pPr>
        <w:spacing w:after="0" w:line="256" w:lineRule="auto"/>
        <w:jc w:val="center"/>
        <w:rPr>
          <w:noProof/>
          <w:lang w:val="en-US"/>
        </w:rPr>
      </w:pPr>
      <w:r w:rsidRPr="002C3AD6">
        <w:rPr>
          <w:rFonts w:ascii="Century Gothic" w:hAnsi="Century Gothic"/>
          <w:noProof/>
          <w:lang w:val="en-US"/>
        </w:rPr>
        <w:drawing>
          <wp:inline distT="0" distB="0" distL="0" distR="0" wp14:anchorId="5FC6A709" wp14:editId="6302E5D3">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4A0F5833" w14:textId="77777777" w:rsidR="004C3055" w:rsidRPr="00881D12" w:rsidRDefault="004C3055" w:rsidP="004C3055">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C3055" w:rsidRPr="00B57A1B" w14:paraId="16774AE3" w14:textId="77777777" w:rsidTr="00E349F9">
        <w:trPr>
          <w:trHeight w:val="409"/>
        </w:trPr>
        <w:tc>
          <w:tcPr>
            <w:tcW w:w="817" w:type="dxa"/>
            <w:tcBorders>
              <w:top w:val="nil"/>
              <w:left w:val="nil"/>
              <w:bottom w:val="nil"/>
              <w:right w:val="nil"/>
            </w:tcBorders>
            <w:vAlign w:val="center"/>
            <w:hideMark/>
          </w:tcPr>
          <w:p w14:paraId="49B787E6"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lastRenderedPageBreak/>
              <w:t>Elaboró: </w:t>
            </w:r>
          </w:p>
        </w:tc>
        <w:tc>
          <w:tcPr>
            <w:tcW w:w="4937" w:type="dxa"/>
            <w:tcBorders>
              <w:top w:val="nil"/>
              <w:left w:val="nil"/>
              <w:bottom w:val="dotted" w:sz="6" w:space="0" w:color="7F7F7F" w:themeColor="text1" w:themeTint="80"/>
              <w:right w:val="nil"/>
            </w:tcBorders>
            <w:vAlign w:val="center"/>
            <w:hideMark/>
          </w:tcPr>
          <w:p w14:paraId="20E5678F"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1BC2AD19"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4C3055" w:rsidRPr="00B57A1B" w14:paraId="5CD7F51F" w14:textId="77777777" w:rsidTr="00E349F9">
        <w:trPr>
          <w:trHeight w:val="409"/>
        </w:trPr>
        <w:tc>
          <w:tcPr>
            <w:tcW w:w="817" w:type="dxa"/>
            <w:tcBorders>
              <w:top w:val="nil"/>
              <w:left w:val="nil"/>
              <w:bottom w:val="nil"/>
              <w:right w:val="nil"/>
            </w:tcBorders>
            <w:vAlign w:val="center"/>
            <w:hideMark/>
          </w:tcPr>
          <w:p w14:paraId="79809FC8"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67EBA22"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56B79B91"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4C3055" w:rsidRPr="00B57A1B" w14:paraId="7144DD2D" w14:textId="77777777" w:rsidTr="00E349F9">
        <w:trPr>
          <w:trHeight w:val="389"/>
        </w:trPr>
        <w:tc>
          <w:tcPr>
            <w:tcW w:w="817" w:type="dxa"/>
            <w:tcBorders>
              <w:top w:val="nil"/>
              <w:left w:val="nil"/>
              <w:bottom w:val="nil"/>
              <w:right w:val="nil"/>
            </w:tcBorders>
            <w:vAlign w:val="center"/>
            <w:hideMark/>
          </w:tcPr>
          <w:p w14:paraId="63E3923B"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C6DD7D2"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0CFD6CD5" w14:textId="77777777" w:rsidR="004C3055" w:rsidRPr="00B57A1B" w:rsidRDefault="004C3055" w:rsidP="00E349F9">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79E5F138" w14:textId="77777777" w:rsidR="004C3055" w:rsidRPr="0024624F" w:rsidRDefault="004C3055" w:rsidP="004C3055">
      <w:pPr>
        <w:spacing w:after="0"/>
        <w:rPr>
          <w:rFonts w:ascii="Verdana" w:hAnsi="Verdana"/>
        </w:rPr>
      </w:pPr>
    </w:p>
    <w:bookmarkEnd w:id="0"/>
    <w:p w14:paraId="0563E483" w14:textId="77777777" w:rsidR="004C3055" w:rsidRPr="0024624F" w:rsidRDefault="004C3055" w:rsidP="004C3055">
      <w:pPr>
        <w:spacing w:after="0"/>
        <w:rPr>
          <w:rFonts w:ascii="Verdana" w:hAnsi="Verdana"/>
        </w:rPr>
      </w:pPr>
    </w:p>
    <w:p w14:paraId="5D64733D" w14:textId="77777777" w:rsidR="007A1830" w:rsidRPr="004C3055" w:rsidRDefault="007A1830" w:rsidP="004C3055"/>
    <w:sectPr w:rsidR="007A1830" w:rsidRPr="004C305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56CD5A" w14:textId="77777777" w:rsidR="00B23476" w:rsidRDefault="00B23476" w:rsidP="004A1847">
      <w:pPr>
        <w:spacing w:after="0" w:line="240" w:lineRule="auto"/>
      </w:pPr>
      <w:r>
        <w:separator/>
      </w:r>
    </w:p>
  </w:endnote>
  <w:endnote w:type="continuationSeparator" w:id="0">
    <w:p w14:paraId="7CE80193" w14:textId="77777777" w:rsidR="00B23476" w:rsidRDefault="00B2347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Vrinda">
    <w:panose1 w:val="00000400000000000000"/>
    <w:charset w:val="00"/>
    <w:family w:val="swiss"/>
    <w:pitch w:val="variable"/>
    <w:sig w:usb0="00010003" w:usb1="00000000" w:usb2="00000000" w:usb3="00000000" w:csb0="00000001"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8452AE" w:rsidRDefault="008452AE">
    <w:pPr>
      <w:pStyle w:val="Piedepgina"/>
    </w:pPr>
  </w:p>
  <w:p w14:paraId="594D6D9F" w14:textId="099FA013" w:rsidR="008452AE" w:rsidRPr="00174B77" w:rsidRDefault="008452A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B63C7" w:rsidRPr="00FB63C7">
      <w:rPr>
        <w:rFonts w:ascii="Verdana" w:eastAsiaTheme="minorEastAsia" w:hAnsi="Verdana"/>
        <w:b/>
        <w:bCs/>
        <w:noProof/>
        <w:sz w:val="16"/>
        <w:szCs w:val="16"/>
      </w:rPr>
      <w:t>3</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8452AE" w:rsidRDefault="008452A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8452AE" w:rsidRPr="00E41027" w:rsidRDefault="008452AE"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8452AE" w:rsidRDefault="008452AE"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894FCE" w14:textId="77777777" w:rsidR="00B23476" w:rsidRDefault="00B23476" w:rsidP="004A1847">
      <w:pPr>
        <w:spacing w:after="0" w:line="240" w:lineRule="auto"/>
      </w:pPr>
      <w:r>
        <w:separator/>
      </w:r>
    </w:p>
  </w:footnote>
  <w:footnote w:type="continuationSeparator" w:id="0">
    <w:p w14:paraId="048EE821" w14:textId="77777777" w:rsidR="00B23476" w:rsidRDefault="00B23476" w:rsidP="004A1847">
      <w:pPr>
        <w:spacing w:after="0" w:line="240" w:lineRule="auto"/>
      </w:pPr>
      <w:r>
        <w:continuationSeparator/>
      </w:r>
    </w:p>
  </w:footnote>
  <w:footnote w:id="1">
    <w:p w14:paraId="5CA239F1" w14:textId="77777777" w:rsidR="004C3055" w:rsidRPr="00FB63C7" w:rsidRDefault="004C3055" w:rsidP="004C3055">
      <w:pPr>
        <w:pStyle w:val="Textonotapie"/>
        <w:ind w:firstLine="709"/>
        <w:jc w:val="both"/>
        <w:rPr>
          <w:rFonts w:ascii="Verdana" w:hAnsi="Verdana" w:cs="Vrinda"/>
          <w:sz w:val="16"/>
          <w:szCs w:val="16"/>
        </w:rPr>
      </w:pPr>
      <w:r w:rsidRPr="00FB63C7">
        <w:rPr>
          <w:rStyle w:val="Refdenotaalpie"/>
          <w:rFonts w:ascii="Verdana" w:hAnsi="Verdana" w:cs="Vrinda"/>
          <w:sz w:val="16"/>
          <w:szCs w:val="16"/>
        </w:rPr>
        <w:footnoteRef/>
      </w:r>
      <w:r w:rsidRPr="00FB63C7">
        <w:rPr>
          <w:rFonts w:ascii="Verdana" w:hAnsi="Verdana" w:cs="Vrinda"/>
          <w:sz w:val="16"/>
          <w:szCs w:val="16"/>
        </w:rPr>
        <w:t xml:space="preserve"> Consejo de Estado. Sección Tercera. Subsección C. Sentencia del 29 de abril de 2015. Exp. 31.620. C.P. Olga Mélida Valle De De La Hoz (E).</w:t>
      </w:r>
    </w:p>
  </w:footnote>
  <w:footnote w:id="2">
    <w:p w14:paraId="5695C3FE" w14:textId="77777777" w:rsidR="004C3055" w:rsidRPr="00FB63C7" w:rsidRDefault="004C3055" w:rsidP="004C3055">
      <w:pPr>
        <w:pStyle w:val="Textonotapie"/>
        <w:ind w:firstLine="708"/>
        <w:jc w:val="both"/>
        <w:rPr>
          <w:rFonts w:ascii="Verdana" w:hAnsi="Verdana"/>
          <w:sz w:val="16"/>
          <w:szCs w:val="16"/>
          <w:lang w:val="es-ES"/>
        </w:rPr>
      </w:pPr>
      <w:r w:rsidRPr="00FB63C7">
        <w:rPr>
          <w:rStyle w:val="Refdenotaalpie"/>
          <w:rFonts w:ascii="Verdana" w:hAnsi="Verdana"/>
          <w:sz w:val="16"/>
          <w:szCs w:val="16"/>
        </w:rPr>
        <w:footnoteRef/>
      </w:r>
      <w:r w:rsidRPr="00FB63C7">
        <w:rPr>
          <w:rFonts w:ascii="Verdana" w:hAnsi="Verdana"/>
          <w:sz w:val="16"/>
          <w:szCs w:val="16"/>
        </w:rPr>
        <w:t xml:space="preserve"> </w:t>
      </w:r>
      <w:r w:rsidRPr="00FB63C7">
        <w:rPr>
          <w:rFonts w:ascii="Verdana" w:hAnsi="Verdana"/>
          <w:sz w:val="16"/>
          <w:szCs w:val="16"/>
          <w:lang w:val="es-ES" w:bidi="es-ES"/>
        </w:rPr>
        <w:t xml:space="preserve">(Cfr. Sección Tercera. Sentencia del 22 de junio de 2001. Radicado 13.436. </w:t>
      </w:r>
      <w:r w:rsidRPr="00FB63C7">
        <w:rPr>
          <w:rFonts w:ascii="Verdana" w:hAnsi="Verdana"/>
          <w:i/>
          <w:sz w:val="16"/>
          <w:szCs w:val="16"/>
          <w:lang w:val="es-ES" w:bidi="es-ES"/>
        </w:rPr>
        <w:t>Citada en</w:t>
      </w:r>
      <w:r w:rsidRPr="00FB63C7">
        <w:rPr>
          <w:rFonts w:ascii="Verdana" w:hAnsi="Verdana"/>
          <w:sz w:val="16"/>
          <w:szCs w:val="16"/>
          <w:lang w:val="es-ES" w:bidi="es-ES"/>
        </w:rPr>
        <w:t>: Sección Cuarta. Sentencia del 23 de septiembre de 2013. Radicado 18.752. C.P. Jorge Octavio Ramírez Ramírez).</w:t>
      </w:r>
    </w:p>
  </w:footnote>
  <w:footnote w:id="3">
    <w:p w14:paraId="4A8CC143" w14:textId="77777777" w:rsidR="004C3055" w:rsidRPr="00FB63C7" w:rsidRDefault="004C3055" w:rsidP="004C3055">
      <w:pPr>
        <w:pStyle w:val="Textonotapie"/>
        <w:ind w:firstLine="709"/>
        <w:jc w:val="both"/>
        <w:rPr>
          <w:rFonts w:ascii="Verdana" w:hAnsi="Verdana"/>
          <w:color w:val="000000" w:themeColor="text1"/>
          <w:sz w:val="16"/>
          <w:szCs w:val="16"/>
        </w:rPr>
      </w:pPr>
      <w:r w:rsidRPr="00FB63C7">
        <w:rPr>
          <w:rStyle w:val="Refdenotaalpie"/>
          <w:rFonts w:ascii="Verdana" w:hAnsi="Verdana"/>
          <w:color w:val="000000" w:themeColor="text1"/>
          <w:sz w:val="16"/>
          <w:szCs w:val="16"/>
        </w:rPr>
        <w:footnoteRef/>
      </w:r>
      <w:r w:rsidRPr="00FB63C7">
        <w:rPr>
          <w:rFonts w:ascii="Verdana" w:hAnsi="Verdana"/>
          <w:color w:val="000000" w:themeColor="text1"/>
          <w:sz w:val="16"/>
          <w:szCs w:val="16"/>
        </w:rPr>
        <w:t xml:space="preserve">“Ver, entre otros: Consejo de Estado.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Sección Tercera, Subsección A. Sentencia del 16 de mayo de 2019. Rad. (40102). C.P: María Adriana Marín [cita No. 35]. </w:t>
      </w:r>
    </w:p>
  </w:footnote>
  <w:footnote w:id="4">
    <w:p w14:paraId="14DF06F4" w14:textId="77777777" w:rsidR="004C3055" w:rsidRPr="00FB63C7" w:rsidRDefault="004C3055" w:rsidP="004C3055">
      <w:pPr>
        <w:pStyle w:val="Textonotapie"/>
        <w:ind w:firstLine="709"/>
        <w:jc w:val="both"/>
        <w:rPr>
          <w:rFonts w:ascii="Verdana" w:hAnsi="Verdana"/>
          <w:color w:val="000000" w:themeColor="text1"/>
          <w:sz w:val="16"/>
          <w:szCs w:val="16"/>
        </w:rPr>
      </w:pPr>
      <w:r w:rsidRPr="00FB63C7">
        <w:rPr>
          <w:rStyle w:val="Refdenotaalpie"/>
          <w:rFonts w:ascii="Verdana" w:hAnsi="Verdana"/>
          <w:color w:val="000000" w:themeColor="text1"/>
          <w:sz w:val="16"/>
          <w:szCs w:val="16"/>
        </w:rPr>
        <w:footnoteRef/>
      </w:r>
      <w:r w:rsidRPr="00FB63C7">
        <w:rPr>
          <w:rFonts w:ascii="Verdana" w:hAnsi="Verdana"/>
          <w:color w:val="000000" w:themeColor="text1"/>
          <w:sz w:val="16"/>
          <w:szCs w:val="16"/>
        </w:rPr>
        <w:t xml:space="preserve"> Consejo de Estado. Sección Tercera, Subsección A. Sentencia del 16 de mayo de 2019. Exp 40102. C.P: María Adriana Marín</w:t>
      </w:r>
    </w:p>
  </w:footnote>
  <w:footnote w:id="5">
    <w:p w14:paraId="4B1A696D" w14:textId="77777777" w:rsidR="004C3055" w:rsidRPr="00FB63C7" w:rsidRDefault="004C3055" w:rsidP="004C3055">
      <w:pPr>
        <w:pStyle w:val="Textonotapie"/>
        <w:ind w:firstLine="709"/>
        <w:jc w:val="both"/>
        <w:rPr>
          <w:rFonts w:ascii="Verdana" w:hAnsi="Verdana"/>
          <w:color w:val="000000" w:themeColor="text1"/>
          <w:sz w:val="16"/>
          <w:szCs w:val="16"/>
          <w:lang w:val="es-CO"/>
        </w:rPr>
      </w:pPr>
      <w:r w:rsidRPr="00FB63C7">
        <w:rPr>
          <w:rStyle w:val="Refdenotaalpie"/>
          <w:rFonts w:ascii="Verdana" w:hAnsi="Verdana"/>
          <w:color w:val="000000" w:themeColor="text1"/>
          <w:sz w:val="16"/>
          <w:szCs w:val="16"/>
        </w:rPr>
        <w:footnoteRef/>
      </w:r>
      <w:r w:rsidRPr="00FB63C7">
        <w:rPr>
          <w:rFonts w:ascii="Verdana" w:hAnsi="Verdana"/>
          <w:color w:val="000000" w:themeColor="text1"/>
          <w:sz w:val="16"/>
          <w:szCs w:val="16"/>
        </w:rPr>
        <w:t xml:space="preserve"> Consejo de Estado. Sección Tercera, Subsección C. Sentencia del 2 de octubre del 2020. Exp. 63644. CP. Jaime Enrique Rodríguez Nava. </w:t>
      </w:r>
    </w:p>
  </w:footnote>
  <w:footnote w:id="6">
    <w:p w14:paraId="4F4B4992" w14:textId="77777777" w:rsidR="004C3055" w:rsidRPr="00FB63C7" w:rsidRDefault="004C3055" w:rsidP="004C3055">
      <w:pPr>
        <w:pStyle w:val="Textonotapie"/>
        <w:ind w:firstLine="709"/>
        <w:jc w:val="both"/>
        <w:rPr>
          <w:rFonts w:ascii="Verdana" w:hAnsi="Verdana"/>
          <w:color w:val="000000" w:themeColor="text1"/>
          <w:sz w:val="16"/>
          <w:szCs w:val="16"/>
        </w:rPr>
      </w:pPr>
      <w:r w:rsidRPr="00FB63C7">
        <w:rPr>
          <w:rStyle w:val="Refdenotaalpie"/>
          <w:rFonts w:ascii="Verdana" w:hAnsi="Verdana"/>
          <w:color w:val="000000" w:themeColor="text1"/>
          <w:sz w:val="16"/>
          <w:szCs w:val="16"/>
        </w:rPr>
        <w:footnoteRef/>
      </w:r>
      <w:r w:rsidRPr="00FB63C7">
        <w:rPr>
          <w:rFonts w:ascii="Verdana" w:hAnsi="Verdana"/>
          <w:color w:val="000000" w:themeColor="text1"/>
          <w:sz w:val="16"/>
          <w:szCs w:val="16"/>
        </w:rPr>
        <w:t xml:space="preserve"> Consejo de Estado. Sección Tercera. Sentencia de 22 de junio de 2001. Exp. 13436, C.P. Ricardo Hoyos Duque</w:t>
      </w:r>
    </w:p>
  </w:footnote>
  <w:footnote w:id="7">
    <w:p w14:paraId="1652511D" w14:textId="77777777" w:rsidR="004C3055" w:rsidRPr="00FB63C7" w:rsidRDefault="004C3055" w:rsidP="004C3055">
      <w:pPr>
        <w:pStyle w:val="Textonotapie"/>
        <w:ind w:firstLine="709"/>
        <w:jc w:val="both"/>
        <w:rPr>
          <w:rFonts w:ascii="Verdana" w:hAnsi="Verdana"/>
          <w:color w:val="000000" w:themeColor="text1"/>
          <w:sz w:val="16"/>
          <w:szCs w:val="16"/>
        </w:rPr>
      </w:pPr>
      <w:r w:rsidRPr="00FB63C7">
        <w:rPr>
          <w:rStyle w:val="Refdenotaalpie"/>
          <w:rFonts w:ascii="Verdana" w:hAnsi="Verdana"/>
          <w:color w:val="000000" w:themeColor="text1"/>
          <w:sz w:val="16"/>
          <w:szCs w:val="16"/>
        </w:rPr>
        <w:footnoteRef/>
      </w:r>
      <w:r w:rsidRPr="00FB63C7">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FB63C7">
        <w:rPr>
          <w:rFonts w:ascii="Verdana" w:eastAsia="Calibri" w:hAnsi="Verdana"/>
          <w:color w:val="000000" w:themeColor="text1"/>
          <w:sz w:val="16"/>
          <w:szCs w:val="16"/>
        </w:rPr>
        <w:t>” (</w:t>
      </w:r>
      <w:r w:rsidRPr="00FB63C7">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FB63C7">
        <w:rPr>
          <w:rFonts w:ascii="Verdana" w:eastAsia="Calibri" w:hAnsi="Verdana"/>
          <w:color w:val="000000" w:themeColor="text1"/>
          <w:sz w:val="16"/>
          <w:szCs w:val="16"/>
        </w:rPr>
        <w:t>”</w:t>
      </w:r>
      <w:r w:rsidRPr="00FB63C7">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8">
    <w:p w14:paraId="6EFE8EAA" w14:textId="77777777" w:rsidR="004C3055" w:rsidRPr="00FB63C7" w:rsidRDefault="004C3055" w:rsidP="004C3055">
      <w:pPr>
        <w:pStyle w:val="Textonotapie"/>
        <w:ind w:firstLine="708"/>
        <w:jc w:val="both"/>
        <w:rPr>
          <w:rFonts w:ascii="Verdana" w:hAnsi="Verdana"/>
          <w:sz w:val="16"/>
          <w:szCs w:val="16"/>
          <w:lang w:val="es-ES"/>
        </w:rPr>
      </w:pPr>
      <w:r w:rsidRPr="00FB63C7">
        <w:rPr>
          <w:rStyle w:val="Refdenotaalpie"/>
          <w:rFonts w:ascii="Verdana" w:hAnsi="Verdana"/>
          <w:sz w:val="16"/>
          <w:szCs w:val="16"/>
        </w:rPr>
        <w:footnoteRef/>
      </w:r>
      <w:r w:rsidRPr="00FB63C7">
        <w:rPr>
          <w:rFonts w:ascii="Verdana" w:hAnsi="Verdana"/>
          <w:sz w:val="16"/>
          <w:szCs w:val="16"/>
        </w:rPr>
        <w:t xml:space="preserve"> DÁVILA VINUEZA, Luis Guillermo. Régimen jurídico de la contratación estatal. Bogotá: Legis, 2016. p. 600.</w:t>
      </w:r>
    </w:p>
  </w:footnote>
  <w:footnote w:id="9">
    <w:p w14:paraId="36B3F463"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Style w:val="Refdenotaalpie"/>
          <w:rFonts w:ascii="Verdana" w:hAnsi="Verdana" w:cs="Arial"/>
          <w:color w:val="000000" w:themeColor="text1"/>
          <w:sz w:val="16"/>
          <w:szCs w:val="16"/>
        </w:rPr>
        <w:footnoteRef/>
      </w:r>
      <w:r w:rsidRPr="00FB63C7">
        <w:rPr>
          <w:rFonts w:ascii="Verdana" w:hAnsi="Verdana"/>
          <w:color w:val="000000" w:themeColor="text1"/>
          <w:sz w:val="16"/>
          <w:szCs w:val="16"/>
        </w:rPr>
        <w:t xml:space="preserve"> </w:t>
      </w:r>
      <w:r w:rsidRPr="00FB63C7">
        <w:rPr>
          <w:rFonts w:ascii="Verdana" w:hAnsi="Verdana" w:cs="Arial"/>
          <w:color w:val="000000" w:themeColor="text1"/>
          <w:sz w:val="16"/>
          <w:szCs w:val="16"/>
        </w:rPr>
        <w:t>ARTÍCULO 2.2.1.2.3.1.7. Garantía de cumplimiento. La garantía de cumplimiento del contrato debe cubrir:</w:t>
      </w:r>
    </w:p>
    <w:p w14:paraId="30B351B5"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6A525B20"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747EDAAD"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3. Cumplimiento del contrato. Este amparo cubre a la Entidad Estatal de los perjuicios derivados de:</w:t>
      </w:r>
    </w:p>
    <w:p w14:paraId="419808F2"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3.1. El incumplimiento total o parcial del contrato, cuando el incumplimiento es imputable al contratista;</w:t>
      </w:r>
    </w:p>
    <w:p w14:paraId="009C0D8D"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3.2. El cumplimiento tardío o defectuoso del contrato, cuando el incumplimiento es imputable al contratista;</w:t>
      </w:r>
    </w:p>
    <w:p w14:paraId="7DC08155"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3.3. Los daños imputables al contratista por entregas parciales de la obra, cuando el contrato no prevé entregas parciales; y</w:t>
      </w:r>
    </w:p>
    <w:p w14:paraId="5D2E930A"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3.4. El pago del valor de las multas y de la cláusula penal pecuniaria.</w:t>
      </w:r>
    </w:p>
    <w:p w14:paraId="5ECBC112"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49BAB298"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1A625001" w14:textId="77777777" w:rsidR="004C3055" w:rsidRPr="00FB63C7" w:rsidRDefault="004C3055" w:rsidP="004C3055">
      <w:pPr>
        <w:pStyle w:val="Sinespaciado"/>
        <w:ind w:firstLine="708"/>
        <w:jc w:val="both"/>
        <w:rPr>
          <w:rFonts w:ascii="Verdana" w:eastAsia="Calibri" w:hAnsi="Verdana" w:cs="Arial"/>
          <w:color w:val="000000" w:themeColor="text1"/>
          <w:sz w:val="16"/>
          <w:szCs w:val="16"/>
          <w:lang w:val="es-ES"/>
        </w:rPr>
      </w:pPr>
      <w:r w:rsidRPr="00FB63C7">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48A40796"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6. Calidad del servicio. Este amparo cubre a la Entidad Estatal por los perjuicios derivados de la deficiente calidad del servicio prestado.</w:t>
      </w:r>
    </w:p>
    <w:p w14:paraId="57C3DB6F"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0FC61847" w14:textId="77777777" w:rsidR="004C3055" w:rsidRPr="00FB63C7" w:rsidRDefault="004C3055" w:rsidP="004C3055">
      <w:pPr>
        <w:pStyle w:val="Sinespaciado"/>
        <w:ind w:firstLine="708"/>
        <w:jc w:val="both"/>
        <w:rPr>
          <w:rFonts w:ascii="Verdana" w:hAnsi="Verdana" w:cs="Arial"/>
          <w:color w:val="000000" w:themeColor="text1"/>
          <w:sz w:val="16"/>
          <w:szCs w:val="16"/>
        </w:rPr>
      </w:pPr>
      <w:r w:rsidRPr="00FB63C7">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 w:id="10">
    <w:p w14:paraId="3D9E254C" w14:textId="77777777" w:rsidR="004C3055" w:rsidRPr="00FB63C7" w:rsidRDefault="004C3055" w:rsidP="004C3055">
      <w:pPr>
        <w:pStyle w:val="Textonotapie"/>
        <w:ind w:firstLine="708"/>
        <w:jc w:val="both"/>
        <w:rPr>
          <w:rFonts w:ascii="Verdana" w:hAnsi="Verdana"/>
          <w:sz w:val="16"/>
          <w:szCs w:val="16"/>
          <w:lang w:val="es-CO"/>
        </w:rPr>
      </w:pPr>
      <w:r w:rsidRPr="00FB63C7">
        <w:rPr>
          <w:rStyle w:val="Refdenotaalpie"/>
          <w:rFonts w:ascii="Verdana" w:hAnsi="Verdana"/>
          <w:sz w:val="16"/>
          <w:szCs w:val="16"/>
        </w:rPr>
        <w:footnoteRef/>
      </w:r>
      <w:r w:rsidRPr="00FB63C7">
        <w:rPr>
          <w:rFonts w:ascii="Verdana" w:hAnsi="Verdana"/>
          <w:sz w:val="16"/>
          <w:szCs w:val="16"/>
        </w:rPr>
        <w:t xml:space="preserve"> </w:t>
      </w:r>
      <w:r w:rsidRPr="00FB63C7">
        <w:rPr>
          <w:rFonts w:ascii="Verdana" w:hAnsi="Verdana"/>
          <w:sz w:val="16"/>
          <w:szCs w:val="16"/>
          <w:lang w:val="es-CO"/>
        </w:rPr>
        <w:t xml:space="preserve">AMAYA OLAYA, Uriel.  Teoría de la responsabilidad fiscal: Aspectos sustanciales y procesales. Bogotá: Universidad Externado de Colombia, 2002, p. 247. </w:t>
      </w:r>
    </w:p>
  </w:footnote>
  <w:footnote w:id="11">
    <w:p w14:paraId="7709B5B7" w14:textId="77777777" w:rsidR="004C3055" w:rsidRPr="00FB63C7" w:rsidRDefault="004C3055" w:rsidP="004C3055">
      <w:pPr>
        <w:pStyle w:val="Textonotapie"/>
        <w:ind w:firstLine="708"/>
        <w:jc w:val="both"/>
        <w:rPr>
          <w:rFonts w:ascii="Verdana" w:hAnsi="Verdana"/>
          <w:sz w:val="16"/>
          <w:szCs w:val="16"/>
          <w:lang w:val="es-ES"/>
        </w:rPr>
      </w:pPr>
      <w:r w:rsidRPr="00FB63C7">
        <w:rPr>
          <w:rStyle w:val="Refdenotaalpie"/>
          <w:rFonts w:ascii="Verdana" w:hAnsi="Verdana"/>
          <w:sz w:val="16"/>
          <w:szCs w:val="16"/>
        </w:rPr>
        <w:footnoteRef/>
      </w:r>
      <w:r w:rsidRPr="00FB63C7">
        <w:rPr>
          <w:rFonts w:ascii="Verdana" w:hAnsi="Verdana"/>
          <w:sz w:val="16"/>
          <w:szCs w:val="16"/>
        </w:rPr>
        <w:t xml:space="preserve"> </w:t>
      </w:r>
      <w:r w:rsidRPr="00FB63C7">
        <w:rPr>
          <w:rFonts w:ascii="Verdana" w:hAnsi="Verdana"/>
          <w:bCs/>
          <w:sz w:val="16"/>
          <w:szCs w:val="16"/>
          <w:lang w:val="es-CO"/>
        </w:rPr>
        <w:t>Artículo 2.2.1.2.3.1.11. </w:t>
      </w:r>
      <w:r w:rsidRPr="00FB63C7">
        <w:rPr>
          <w:rFonts w:ascii="Verdana" w:hAnsi="Verdana"/>
          <w:bCs/>
          <w:i/>
          <w:iCs/>
          <w:sz w:val="16"/>
          <w:szCs w:val="16"/>
          <w:lang w:val="es-CO"/>
        </w:rPr>
        <w:t>Suficiencia de la garantía de pago anticipado.</w:t>
      </w:r>
      <w:r w:rsidRPr="00FB63C7">
        <w:rPr>
          <w:rFonts w:ascii="Verdana" w:hAnsi="Verdana"/>
          <w:i/>
          <w:iCs/>
          <w:sz w:val="16"/>
          <w:szCs w:val="16"/>
          <w:lang w:val="es-CO"/>
        </w:rPr>
        <w:t> </w:t>
      </w:r>
      <w:r w:rsidRPr="00FB63C7">
        <w:rPr>
          <w:rFonts w:ascii="Verdana" w:hAnsi="Verdana"/>
          <w:sz w:val="16"/>
          <w:szCs w:val="16"/>
          <w:lang w:val="es-CO"/>
        </w:rPr>
        <w:t>La garantía de pago anticipado debe estar vigente hasta la liquidación del contrato o hasta que la Entidad Estatal verifique el cumplimiento de todas las actividades o la entrega de todos los bienes o servicios asociados al pago anticipado, de acuerdo con lo que determine la Entidad Estatal. El valor de esta garantía debe ser el ciento por ciento (100%) del monto pagado de forma anticipada, ya sea este en dinero o en especie.</w:t>
      </w:r>
    </w:p>
  </w:footnote>
  <w:footnote w:id="12">
    <w:p w14:paraId="4A8D16E7" w14:textId="77777777" w:rsidR="004C3055" w:rsidRPr="00117544" w:rsidRDefault="004C3055" w:rsidP="004C3055">
      <w:pPr>
        <w:pStyle w:val="Textonotapie"/>
        <w:ind w:firstLine="708"/>
        <w:jc w:val="both"/>
        <w:rPr>
          <w:rFonts w:ascii="Verdana" w:hAnsi="Verdana"/>
          <w:sz w:val="16"/>
          <w:szCs w:val="16"/>
          <w:lang w:val="es-CO"/>
        </w:rPr>
      </w:pPr>
      <w:r w:rsidRPr="00FB63C7">
        <w:rPr>
          <w:rStyle w:val="Refdenotaalpie"/>
          <w:rFonts w:ascii="Verdana" w:hAnsi="Verdana"/>
          <w:sz w:val="16"/>
          <w:szCs w:val="16"/>
        </w:rPr>
        <w:footnoteRef/>
      </w:r>
      <w:r w:rsidRPr="00FB63C7">
        <w:rPr>
          <w:rFonts w:ascii="Verdana" w:hAnsi="Verdana"/>
          <w:sz w:val="16"/>
          <w:szCs w:val="16"/>
        </w:rPr>
        <w:t xml:space="preserve"> </w:t>
      </w:r>
      <w:r w:rsidRPr="00FB63C7">
        <w:rPr>
          <w:rFonts w:ascii="Verdana" w:eastAsia="Arial MT" w:hAnsi="Verdana" w:cs="Arial"/>
          <w:color w:val="000000"/>
          <w:sz w:val="16"/>
          <w:szCs w:val="16"/>
          <w:lang w:val="es-ES"/>
        </w:rPr>
        <w:t>La</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jurisprudencia</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contencioso-administrativa,</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por</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su</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parte,</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ha</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considerado</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que</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la</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obligación de vigilar la correcta ejecución del objeto contractual es una función de la entidad</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contratante,</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en</w:t>
      </w:r>
      <w:r w:rsidRPr="00FB63C7">
        <w:rPr>
          <w:rFonts w:ascii="Verdana" w:eastAsia="Arial MT" w:hAnsi="Verdana" w:cs="Arial"/>
          <w:color w:val="000000"/>
          <w:spacing w:val="-2"/>
          <w:sz w:val="16"/>
          <w:szCs w:val="16"/>
          <w:lang w:val="es-ES"/>
        </w:rPr>
        <w:t xml:space="preserve"> </w:t>
      </w:r>
      <w:r w:rsidRPr="00FB63C7">
        <w:rPr>
          <w:rFonts w:ascii="Verdana" w:eastAsia="Arial MT" w:hAnsi="Verdana" w:cs="Arial"/>
          <w:color w:val="000000"/>
          <w:sz w:val="16"/>
          <w:szCs w:val="16"/>
          <w:lang w:val="es-ES"/>
        </w:rPr>
        <w:t>los siguientes</w:t>
      </w:r>
      <w:r w:rsidRPr="00FB63C7">
        <w:rPr>
          <w:rFonts w:ascii="Verdana" w:eastAsia="Arial MT" w:hAnsi="Verdana" w:cs="Arial"/>
          <w:color w:val="000000"/>
          <w:spacing w:val="-1"/>
          <w:sz w:val="16"/>
          <w:szCs w:val="16"/>
          <w:lang w:val="es-ES"/>
        </w:rPr>
        <w:t xml:space="preserve"> </w:t>
      </w:r>
      <w:r w:rsidRPr="00FB63C7">
        <w:rPr>
          <w:rFonts w:ascii="Verdana" w:eastAsia="Arial MT" w:hAnsi="Verdana" w:cs="Arial"/>
          <w:color w:val="000000"/>
          <w:sz w:val="16"/>
          <w:szCs w:val="16"/>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 (</w:t>
      </w:r>
      <w:r w:rsidRPr="00FB63C7">
        <w:rPr>
          <w:rFonts w:ascii="Verdana" w:eastAsia="Calibri" w:hAnsi="Verdana" w:cs="Arial"/>
          <w:spacing w:val="-1"/>
          <w:sz w:val="16"/>
          <w:szCs w:val="16"/>
          <w:lang w:val="es-CO"/>
        </w:rPr>
        <w:t>Consejo</w:t>
      </w:r>
      <w:r w:rsidRPr="00FB63C7">
        <w:rPr>
          <w:rFonts w:ascii="Verdana" w:eastAsia="Calibri" w:hAnsi="Verdana" w:cs="Arial"/>
          <w:spacing w:val="-13"/>
          <w:sz w:val="16"/>
          <w:szCs w:val="16"/>
          <w:lang w:val="es-CO"/>
        </w:rPr>
        <w:t xml:space="preserve"> </w:t>
      </w:r>
      <w:r w:rsidRPr="00FB63C7">
        <w:rPr>
          <w:rFonts w:ascii="Verdana" w:eastAsia="Calibri" w:hAnsi="Verdana" w:cs="Arial"/>
          <w:spacing w:val="-1"/>
          <w:sz w:val="16"/>
          <w:szCs w:val="16"/>
          <w:lang w:val="es-CO"/>
        </w:rPr>
        <w:t>de</w:t>
      </w:r>
      <w:r w:rsidRPr="00FB63C7">
        <w:rPr>
          <w:rFonts w:ascii="Verdana" w:eastAsia="Calibri" w:hAnsi="Verdana" w:cs="Arial"/>
          <w:spacing w:val="-13"/>
          <w:sz w:val="16"/>
          <w:szCs w:val="16"/>
          <w:lang w:val="es-CO"/>
        </w:rPr>
        <w:t xml:space="preserve"> </w:t>
      </w:r>
      <w:r w:rsidRPr="00FB63C7">
        <w:rPr>
          <w:rFonts w:ascii="Verdana" w:eastAsia="Calibri" w:hAnsi="Verdana" w:cs="Arial"/>
          <w:spacing w:val="-1"/>
          <w:sz w:val="16"/>
          <w:szCs w:val="16"/>
          <w:lang w:val="es-CO"/>
        </w:rPr>
        <w:t>Estado.</w:t>
      </w:r>
      <w:r w:rsidRPr="00FB63C7">
        <w:rPr>
          <w:rFonts w:ascii="Verdana" w:eastAsia="Calibri" w:hAnsi="Verdana" w:cs="Arial"/>
          <w:spacing w:val="-12"/>
          <w:sz w:val="16"/>
          <w:szCs w:val="16"/>
          <w:lang w:val="es-CO"/>
        </w:rPr>
        <w:t xml:space="preserve"> </w:t>
      </w:r>
      <w:r w:rsidRPr="00FB63C7">
        <w:rPr>
          <w:rFonts w:ascii="Verdana" w:eastAsia="Calibri" w:hAnsi="Verdana" w:cs="Arial"/>
          <w:spacing w:val="-1"/>
          <w:sz w:val="16"/>
          <w:szCs w:val="16"/>
          <w:lang w:val="es-CO"/>
        </w:rPr>
        <w:t>Sección</w:t>
      </w:r>
      <w:r w:rsidRPr="00FB63C7">
        <w:rPr>
          <w:rFonts w:ascii="Verdana" w:eastAsia="Calibri" w:hAnsi="Verdana" w:cs="Arial"/>
          <w:spacing w:val="-11"/>
          <w:sz w:val="16"/>
          <w:szCs w:val="16"/>
          <w:lang w:val="es-CO"/>
        </w:rPr>
        <w:t xml:space="preserve"> </w:t>
      </w:r>
      <w:r w:rsidRPr="00FB63C7">
        <w:rPr>
          <w:rFonts w:ascii="Verdana" w:eastAsia="Calibri" w:hAnsi="Verdana" w:cs="Arial"/>
          <w:sz w:val="16"/>
          <w:szCs w:val="16"/>
          <w:lang w:val="es-CO"/>
        </w:rPr>
        <w:t xml:space="preserve">Tercera, Subsección C. </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Sentencia</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del</w:t>
      </w:r>
      <w:r w:rsidRPr="00FB63C7">
        <w:rPr>
          <w:rFonts w:ascii="Verdana" w:eastAsia="Calibri" w:hAnsi="Verdana" w:cs="Arial"/>
          <w:spacing w:val="-11"/>
          <w:sz w:val="16"/>
          <w:szCs w:val="16"/>
          <w:lang w:val="es-CO"/>
        </w:rPr>
        <w:t xml:space="preserve"> </w:t>
      </w:r>
      <w:r w:rsidRPr="00FB63C7">
        <w:rPr>
          <w:rFonts w:ascii="Verdana" w:eastAsia="Calibri" w:hAnsi="Verdana" w:cs="Arial"/>
          <w:sz w:val="16"/>
          <w:szCs w:val="16"/>
          <w:lang w:val="es-CO"/>
        </w:rPr>
        <w:t>27</w:t>
      </w:r>
      <w:r w:rsidRPr="00FB63C7">
        <w:rPr>
          <w:rFonts w:ascii="Verdana" w:eastAsia="Calibri" w:hAnsi="Verdana" w:cs="Arial"/>
          <w:spacing w:val="-14"/>
          <w:sz w:val="16"/>
          <w:szCs w:val="16"/>
          <w:lang w:val="es-CO"/>
        </w:rPr>
        <w:t xml:space="preserve"> </w:t>
      </w:r>
      <w:r w:rsidRPr="00FB63C7">
        <w:rPr>
          <w:rFonts w:ascii="Verdana" w:eastAsia="Calibri" w:hAnsi="Verdana" w:cs="Arial"/>
          <w:sz w:val="16"/>
          <w:szCs w:val="16"/>
          <w:lang w:val="es-CO"/>
        </w:rPr>
        <w:t>de</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noviembre</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de</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2017.</w:t>
      </w:r>
      <w:r w:rsidRPr="00FB63C7">
        <w:rPr>
          <w:rFonts w:ascii="Verdana" w:eastAsia="Calibri" w:hAnsi="Verdana" w:cs="Arial"/>
          <w:spacing w:val="-8"/>
          <w:sz w:val="16"/>
          <w:szCs w:val="16"/>
          <w:lang w:val="es-CO"/>
        </w:rPr>
        <w:t xml:space="preserve"> </w:t>
      </w:r>
      <w:r w:rsidRPr="00FB63C7">
        <w:rPr>
          <w:rFonts w:ascii="Verdana" w:eastAsia="Calibri" w:hAnsi="Verdana" w:cs="Arial"/>
          <w:sz w:val="16"/>
          <w:szCs w:val="16"/>
          <w:lang w:val="es-CO"/>
        </w:rPr>
        <w:t>Exp.</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51.802.</w:t>
      </w:r>
      <w:r w:rsidRPr="00FB63C7">
        <w:rPr>
          <w:rFonts w:ascii="Verdana" w:eastAsia="Calibri" w:hAnsi="Verdana" w:cs="Arial"/>
          <w:spacing w:val="-9"/>
          <w:sz w:val="16"/>
          <w:szCs w:val="16"/>
          <w:lang w:val="es-CO"/>
        </w:rPr>
        <w:t xml:space="preserve"> </w:t>
      </w:r>
      <w:r w:rsidRPr="00FB63C7">
        <w:rPr>
          <w:rFonts w:ascii="Verdana" w:eastAsia="Calibri" w:hAnsi="Verdana" w:cs="Arial"/>
          <w:sz w:val="16"/>
          <w:szCs w:val="16"/>
          <w:lang w:val="es-CO"/>
        </w:rPr>
        <w:t>M.P.</w:t>
      </w:r>
      <w:r w:rsidRPr="00FB63C7">
        <w:rPr>
          <w:rFonts w:ascii="Verdana" w:eastAsia="Calibri" w:hAnsi="Verdana" w:cs="Arial"/>
          <w:spacing w:val="-12"/>
          <w:sz w:val="16"/>
          <w:szCs w:val="16"/>
          <w:lang w:val="es-CO"/>
        </w:rPr>
        <w:t xml:space="preserve"> </w:t>
      </w:r>
      <w:r w:rsidRPr="00FB63C7">
        <w:rPr>
          <w:rFonts w:ascii="Verdana" w:eastAsia="Calibri" w:hAnsi="Verdana" w:cs="Arial"/>
          <w:sz w:val="16"/>
          <w:szCs w:val="16"/>
          <w:lang w:val="es-CO"/>
        </w:rPr>
        <w:t>Jaime</w:t>
      </w:r>
      <w:r w:rsidRPr="00FB63C7">
        <w:rPr>
          <w:rFonts w:ascii="Verdana" w:eastAsia="Calibri" w:hAnsi="Verdana" w:cs="Arial"/>
          <w:spacing w:val="-47"/>
          <w:sz w:val="16"/>
          <w:szCs w:val="16"/>
          <w:lang w:val="es-CO"/>
        </w:rPr>
        <w:t xml:space="preserve"> </w:t>
      </w:r>
      <w:r w:rsidRPr="00FB63C7">
        <w:rPr>
          <w:rFonts w:ascii="Verdana" w:eastAsia="Calibri" w:hAnsi="Verdana" w:cs="Arial"/>
          <w:sz w:val="16"/>
          <w:szCs w:val="16"/>
          <w:lang w:val="es-CO"/>
        </w:rPr>
        <w:t>Orlando</w:t>
      </w:r>
      <w:r w:rsidRPr="00FB63C7">
        <w:rPr>
          <w:rFonts w:ascii="Verdana" w:eastAsia="Calibri" w:hAnsi="Verdana" w:cs="Arial"/>
          <w:spacing w:val="-1"/>
          <w:sz w:val="16"/>
          <w:szCs w:val="16"/>
          <w:lang w:val="es-CO"/>
        </w:rPr>
        <w:t xml:space="preserve"> </w:t>
      </w:r>
      <w:r w:rsidRPr="00FB63C7">
        <w:rPr>
          <w:rFonts w:ascii="Verdana" w:eastAsia="Calibri" w:hAnsi="Verdana" w:cs="Arial"/>
          <w:sz w:val="16"/>
          <w:szCs w:val="16"/>
          <w:lang w:val="es-CO"/>
        </w:rPr>
        <w:t>Santofimio).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8452AE" w:rsidRDefault="008452AE"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8452AE" w:rsidRDefault="008452AE">
    <w:pPr>
      <w:pStyle w:val="Encabezado"/>
    </w:pPr>
  </w:p>
  <w:p w14:paraId="5E18350A" w14:textId="705F7B76" w:rsidR="008452AE" w:rsidRPr="004A305D" w:rsidRDefault="008452AE" w:rsidP="00B01B1A">
    <w:pPr>
      <w:spacing w:after="0" w:line="120" w:lineRule="auto"/>
      <w:rPr>
        <w:rFonts w:ascii="Century Gothic" w:eastAsia="Geo" w:hAnsi="Century Gothic" w:cs="Geo"/>
        <w:sz w:val="16"/>
        <w:szCs w:val="16"/>
        <w:lang w:eastAsia="es-CO"/>
      </w:rPr>
    </w:pPr>
  </w:p>
  <w:p w14:paraId="211B7F5D" w14:textId="77777777" w:rsidR="008452AE" w:rsidRDefault="008452AE" w:rsidP="00844AE9">
    <w:pPr>
      <w:spacing w:after="0" w:line="240" w:lineRule="auto"/>
      <w:rPr>
        <w:rFonts w:ascii="Verdana" w:hAnsi="Verdana"/>
        <w:sz w:val="24"/>
        <w:szCs w:val="24"/>
      </w:rPr>
    </w:pPr>
  </w:p>
  <w:p w14:paraId="5A0054B1" w14:textId="77777777" w:rsidR="008452AE" w:rsidRPr="00C925AC" w:rsidRDefault="008452AE" w:rsidP="00844AE9">
    <w:pPr>
      <w:spacing w:after="0" w:line="240" w:lineRule="auto"/>
      <w:rPr>
        <w:rFonts w:ascii="Verdana" w:hAnsi="Verdana"/>
        <w:sz w:val="24"/>
        <w:szCs w:val="24"/>
      </w:rPr>
    </w:pPr>
  </w:p>
  <w:p w14:paraId="1FD1C243" w14:textId="37C5500A" w:rsidR="008452AE" w:rsidRPr="00C925AC" w:rsidRDefault="008452A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4"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8471E70"/>
    <w:multiLevelType w:val="multilevel"/>
    <w:tmpl w:val="5A4A1C2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4"/>
  </w:num>
  <w:num w:numId="7">
    <w:abstractNumId w:val="5"/>
  </w:num>
  <w:num w:numId="8">
    <w:abstractNumId w:val="13"/>
  </w:num>
  <w:num w:numId="9">
    <w:abstractNumId w:val="7"/>
  </w:num>
  <w:num w:numId="10">
    <w:abstractNumId w:val="12"/>
  </w:num>
  <w:num w:numId="11">
    <w:abstractNumId w:val="8"/>
  </w:num>
  <w:num w:numId="12">
    <w:abstractNumId w:val="0"/>
  </w:num>
  <w:num w:numId="13">
    <w:abstractNumId w:val="2"/>
  </w:num>
  <w:num w:numId="14">
    <w:abstractNumId w:val="15"/>
  </w:num>
  <w:num w:numId="15">
    <w:abstractNumId w:val="11"/>
  </w:num>
  <w:num w:numId="16">
    <w:abstractNumId w:val="3"/>
  </w:num>
  <w:num w:numId="17">
    <w:abstractNumId w:val="9"/>
  </w:num>
  <w:num w:numId="18">
    <w:abstractNumId w:val="16"/>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830"/>
    <w:rsid w:val="00016F78"/>
    <w:rsid w:val="00035DF5"/>
    <w:rsid w:val="00037B78"/>
    <w:rsid w:val="00046945"/>
    <w:rsid w:val="00047EC5"/>
    <w:rsid w:val="00061B2A"/>
    <w:rsid w:val="00082362"/>
    <w:rsid w:val="000846BF"/>
    <w:rsid w:val="00097627"/>
    <w:rsid w:val="000A683E"/>
    <w:rsid w:val="000B19B9"/>
    <w:rsid w:val="000B2F1D"/>
    <w:rsid w:val="000D0334"/>
    <w:rsid w:val="000D5DA7"/>
    <w:rsid w:val="000F6486"/>
    <w:rsid w:val="00116940"/>
    <w:rsid w:val="00117544"/>
    <w:rsid w:val="00125105"/>
    <w:rsid w:val="00126B92"/>
    <w:rsid w:val="00127233"/>
    <w:rsid w:val="001357B2"/>
    <w:rsid w:val="00136941"/>
    <w:rsid w:val="0015699B"/>
    <w:rsid w:val="001A33BF"/>
    <w:rsid w:val="001A61AD"/>
    <w:rsid w:val="001B3403"/>
    <w:rsid w:val="001E4177"/>
    <w:rsid w:val="001F0B24"/>
    <w:rsid w:val="001F7DC6"/>
    <w:rsid w:val="002044A3"/>
    <w:rsid w:val="00204A1B"/>
    <w:rsid w:val="0022400B"/>
    <w:rsid w:val="002421BB"/>
    <w:rsid w:val="00256675"/>
    <w:rsid w:val="0025796E"/>
    <w:rsid w:val="002707A2"/>
    <w:rsid w:val="00281AB8"/>
    <w:rsid w:val="002951A0"/>
    <w:rsid w:val="002962BC"/>
    <w:rsid w:val="002A093D"/>
    <w:rsid w:val="002A0DD0"/>
    <w:rsid w:val="002A49AC"/>
    <w:rsid w:val="002A64FD"/>
    <w:rsid w:val="002B0A65"/>
    <w:rsid w:val="002B1EF4"/>
    <w:rsid w:val="002B72B5"/>
    <w:rsid w:val="002B730F"/>
    <w:rsid w:val="002C7A84"/>
    <w:rsid w:val="002C7CFC"/>
    <w:rsid w:val="002E2BF8"/>
    <w:rsid w:val="002E4FD9"/>
    <w:rsid w:val="002E6104"/>
    <w:rsid w:val="002F4390"/>
    <w:rsid w:val="002F4750"/>
    <w:rsid w:val="002F6044"/>
    <w:rsid w:val="0030657A"/>
    <w:rsid w:val="00322A85"/>
    <w:rsid w:val="00324168"/>
    <w:rsid w:val="00330834"/>
    <w:rsid w:val="00331E14"/>
    <w:rsid w:val="00334489"/>
    <w:rsid w:val="003448F4"/>
    <w:rsid w:val="003504CF"/>
    <w:rsid w:val="0037015E"/>
    <w:rsid w:val="00374F5E"/>
    <w:rsid w:val="00377E3E"/>
    <w:rsid w:val="00397E8F"/>
    <w:rsid w:val="003A779E"/>
    <w:rsid w:val="003C5A95"/>
    <w:rsid w:val="003D0F4D"/>
    <w:rsid w:val="003D33D6"/>
    <w:rsid w:val="003D5B0D"/>
    <w:rsid w:val="003E0499"/>
    <w:rsid w:val="003E1AFE"/>
    <w:rsid w:val="003E348A"/>
    <w:rsid w:val="003E4F80"/>
    <w:rsid w:val="003E6439"/>
    <w:rsid w:val="003F3941"/>
    <w:rsid w:val="00406575"/>
    <w:rsid w:val="0041465D"/>
    <w:rsid w:val="00414C74"/>
    <w:rsid w:val="0042722E"/>
    <w:rsid w:val="00441434"/>
    <w:rsid w:val="004427A2"/>
    <w:rsid w:val="0044528D"/>
    <w:rsid w:val="00445530"/>
    <w:rsid w:val="00457DB0"/>
    <w:rsid w:val="00466E39"/>
    <w:rsid w:val="00482B83"/>
    <w:rsid w:val="004874D3"/>
    <w:rsid w:val="004A1847"/>
    <w:rsid w:val="004A305D"/>
    <w:rsid w:val="004B4E88"/>
    <w:rsid w:val="004C3055"/>
    <w:rsid w:val="004C33E4"/>
    <w:rsid w:val="004D62C6"/>
    <w:rsid w:val="004F21C4"/>
    <w:rsid w:val="004F5C2E"/>
    <w:rsid w:val="004F685F"/>
    <w:rsid w:val="00500525"/>
    <w:rsid w:val="00503FCD"/>
    <w:rsid w:val="00525E40"/>
    <w:rsid w:val="00530A1F"/>
    <w:rsid w:val="005566E8"/>
    <w:rsid w:val="005637FA"/>
    <w:rsid w:val="00574867"/>
    <w:rsid w:val="005773C9"/>
    <w:rsid w:val="00591460"/>
    <w:rsid w:val="005A65E0"/>
    <w:rsid w:val="005B7638"/>
    <w:rsid w:val="005C14A7"/>
    <w:rsid w:val="005C3777"/>
    <w:rsid w:val="005C5CDC"/>
    <w:rsid w:val="005D476C"/>
    <w:rsid w:val="006200BF"/>
    <w:rsid w:val="006219F8"/>
    <w:rsid w:val="006302F7"/>
    <w:rsid w:val="0063475B"/>
    <w:rsid w:val="006420BD"/>
    <w:rsid w:val="00646B9F"/>
    <w:rsid w:val="00651163"/>
    <w:rsid w:val="00665D70"/>
    <w:rsid w:val="006745D3"/>
    <w:rsid w:val="006827DE"/>
    <w:rsid w:val="00683566"/>
    <w:rsid w:val="006900D9"/>
    <w:rsid w:val="0069331C"/>
    <w:rsid w:val="00694B36"/>
    <w:rsid w:val="00704572"/>
    <w:rsid w:val="00706C16"/>
    <w:rsid w:val="007340C3"/>
    <w:rsid w:val="0075235A"/>
    <w:rsid w:val="0075262A"/>
    <w:rsid w:val="00756841"/>
    <w:rsid w:val="0076175D"/>
    <w:rsid w:val="007649AB"/>
    <w:rsid w:val="00771D0C"/>
    <w:rsid w:val="007833AC"/>
    <w:rsid w:val="00783C9E"/>
    <w:rsid w:val="007A1830"/>
    <w:rsid w:val="007B268C"/>
    <w:rsid w:val="007B7171"/>
    <w:rsid w:val="007C0C0F"/>
    <w:rsid w:val="007C3DC2"/>
    <w:rsid w:val="007D5B3F"/>
    <w:rsid w:val="007D61DB"/>
    <w:rsid w:val="007E5497"/>
    <w:rsid w:val="007F2B3F"/>
    <w:rsid w:val="00804BDA"/>
    <w:rsid w:val="00806F5F"/>
    <w:rsid w:val="00820278"/>
    <w:rsid w:val="008258C9"/>
    <w:rsid w:val="0083378B"/>
    <w:rsid w:val="00844AE9"/>
    <w:rsid w:val="008452AE"/>
    <w:rsid w:val="00867F95"/>
    <w:rsid w:val="00881D12"/>
    <w:rsid w:val="008843B6"/>
    <w:rsid w:val="00891928"/>
    <w:rsid w:val="008A446D"/>
    <w:rsid w:val="008B1BD7"/>
    <w:rsid w:val="008B25F1"/>
    <w:rsid w:val="008B76C7"/>
    <w:rsid w:val="008C087B"/>
    <w:rsid w:val="008D180B"/>
    <w:rsid w:val="008F0EA7"/>
    <w:rsid w:val="008F1B4A"/>
    <w:rsid w:val="008F3DCB"/>
    <w:rsid w:val="008F7373"/>
    <w:rsid w:val="00915BD4"/>
    <w:rsid w:val="00922031"/>
    <w:rsid w:val="00923EEF"/>
    <w:rsid w:val="009419F9"/>
    <w:rsid w:val="00943080"/>
    <w:rsid w:val="0095685E"/>
    <w:rsid w:val="00957C34"/>
    <w:rsid w:val="00961B09"/>
    <w:rsid w:val="00965334"/>
    <w:rsid w:val="0097093E"/>
    <w:rsid w:val="009721AA"/>
    <w:rsid w:val="0098174A"/>
    <w:rsid w:val="009877B5"/>
    <w:rsid w:val="009A0DFA"/>
    <w:rsid w:val="009A3571"/>
    <w:rsid w:val="009A74B4"/>
    <w:rsid w:val="009B2D26"/>
    <w:rsid w:val="009B4089"/>
    <w:rsid w:val="009C1EC5"/>
    <w:rsid w:val="009C60F2"/>
    <w:rsid w:val="009C6AE3"/>
    <w:rsid w:val="009C71FA"/>
    <w:rsid w:val="009C72E7"/>
    <w:rsid w:val="009C7F7E"/>
    <w:rsid w:val="009D3058"/>
    <w:rsid w:val="009F3A13"/>
    <w:rsid w:val="00A122D3"/>
    <w:rsid w:val="00A14468"/>
    <w:rsid w:val="00A17F13"/>
    <w:rsid w:val="00A20739"/>
    <w:rsid w:val="00A23AF9"/>
    <w:rsid w:val="00A33C78"/>
    <w:rsid w:val="00A52377"/>
    <w:rsid w:val="00A77865"/>
    <w:rsid w:val="00AB0ADB"/>
    <w:rsid w:val="00AC78D9"/>
    <w:rsid w:val="00B00C0E"/>
    <w:rsid w:val="00B01B1A"/>
    <w:rsid w:val="00B06FEE"/>
    <w:rsid w:val="00B16B6B"/>
    <w:rsid w:val="00B23476"/>
    <w:rsid w:val="00B3286D"/>
    <w:rsid w:val="00B417F6"/>
    <w:rsid w:val="00B44A47"/>
    <w:rsid w:val="00B63408"/>
    <w:rsid w:val="00B66451"/>
    <w:rsid w:val="00B66EBC"/>
    <w:rsid w:val="00B72CD3"/>
    <w:rsid w:val="00B72FFF"/>
    <w:rsid w:val="00B90BEF"/>
    <w:rsid w:val="00BC3D36"/>
    <w:rsid w:val="00BD54A6"/>
    <w:rsid w:val="00BD7F72"/>
    <w:rsid w:val="00BF7425"/>
    <w:rsid w:val="00C04FB3"/>
    <w:rsid w:val="00C11D8B"/>
    <w:rsid w:val="00C167F4"/>
    <w:rsid w:val="00C330EB"/>
    <w:rsid w:val="00C50D69"/>
    <w:rsid w:val="00C5365C"/>
    <w:rsid w:val="00C754BE"/>
    <w:rsid w:val="00C76B1C"/>
    <w:rsid w:val="00C925AC"/>
    <w:rsid w:val="00CB6357"/>
    <w:rsid w:val="00CC1B26"/>
    <w:rsid w:val="00D361FD"/>
    <w:rsid w:val="00D423A2"/>
    <w:rsid w:val="00D44E26"/>
    <w:rsid w:val="00D51245"/>
    <w:rsid w:val="00D520D8"/>
    <w:rsid w:val="00D532F2"/>
    <w:rsid w:val="00D55855"/>
    <w:rsid w:val="00D56C02"/>
    <w:rsid w:val="00D62B39"/>
    <w:rsid w:val="00D63AC2"/>
    <w:rsid w:val="00D7383B"/>
    <w:rsid w:val="00D7788A"/>
    <w:rsid w:val="00D77ED5"/>
    <w:rsid w:val="00D85536"/>
    <w:rsid w:val="00DA231B"/>
    <w:rsid w:val="00DB442D"/>
    <w:rsid w:val="00DC39FC"/>
    <w:rsid w:val="00DE2682"/>
    <w:rsid w:val="00DF2A39"/>
    <w:rsid w:val="00DF5254"/>
    <w:rsid w:val="00E02524"/>
    <w:rsid w:val="00E16408"/>
    <w:rsid w:val="00E20894"/>
    <w:rsid w:val="00E245AB"/>
    <w:rsid w:val="00E2764C"/>
    <w:rsid w:val="00E27F2E"/>
    <w:rsid w:val="00E50AFE"/>
    <w:rsid w:val="00E75C92"/>
    <w:rsid w:val="00E771DC"/>
    <w:rsid w:val="00E8505A"/>
    <w:rsid w:val="00E8772A"/>
    <w:rsid w:val="00E90F6B"/>
    <w:rsid w:val="00E92C27"/>
    <w:rsid w:val="00EA0E3D"/>
    <w:rsid w:val="00EA2550"/>
    <w:rsid w:val="00EB6668"/>
    <w:rsid w:val="00EC195D"/>
    <w:rsid w:val="00EC38A7"/>
    <w:rsid w:val="00EE1AA8"/>
    <w:rsid w:val="00EE7B18"/>
    <w:rsid w:val="00F000D3"/>
    <w:rsid w:val="00F11799"/>
    <w:rsid w:val="00F23FEA"/>
    <w:rsid w:val="00F27984"/>
    <w:rsid w:val="00F27B7B"/>
    <w:rsid w:val="00F31EDC"/>
    <w:rsid w:val="00F462B3"/>
    <w:rsid w:val="00F54E0C"/>
    <w:rsid w:val="00F5664F"/>
    <w:rsid w:val="00F666C4"/>
    <w:rsid w:val="00F76AFC"/>
    <w:rsid w:val="00F8569A"/>
    <w:rsid w:val="00F93BFD"/>
    <w:rsid w:val="00FA47C0"/>
    <w:rsid w:val="00FB0B6D"/>
    <w:rsid w:val="00FB5DD1"/>
    <w:rsid w:val="00FB63C7"/>
    <w:rsid w:val="00FC1576"/>
    <w:rsid w:val="00FC2B5D"/>
    <w:rsid w:val="00FC67AA"/>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3055"/>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Textoennegrita">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paragraph" w:styleId="Sinespaciado">
    <w:name w:val="No Spacing"/>
    <w:uiPriority w:val="1"/>
    <w:qFormat/>
    <w:rsid w:val="004F5C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ratacion@cicuco-bolivar.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D7ED5F8-4037-4F92-AE78-5AE0D6EF3B03}"/>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1721405A-0126-4541-A66F-5B5F56580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4823</Words>
  <Characters>27497</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2025-12-20T13:53:00Z</dcterms:created>
  <dcterms:modified xsi:type="dcterms:W3CDTF">2025-12-23T03:38:00Z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