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FD2B1" w14:textId="77777777" w:rsidR="0013497E" w:rsidRDefault="0013497E" w:rsidP="0013497E">
      <w:pPr>
        <w:spacing w:after="0" w:line="240" w:lineRule="auto"/>
        <w:jc w:val="both"/>
        <w:rPr>
          <w:rFonts w:ascii="Verdana" w:eastAsia="Arial" w:hAnsi="Verdana" w:cs="Arial"/>
          <w:b/>
          <w:bCs/>
          <w:sz w:val="20"/>
          <w:szCs w:val="20"/>
        </w:rPr>
      </w:pPr>
    </w:p>
    <w:p w14:paraId="0DE29623" w14:textId="77777777" w:rsidR="0013497E" w:rsidRPr="00397C24" w:rsidRDefault="0013497E" w:rsidP="0013497E">
      <w:pPr>
        <w:spacing w:after="0" w:line="240" w:lineRule="auto"/>
        <w:jc w:val="both"/>
        <w:rPr>
          <w:rFonts w:ascii="Verdana" w:eastAsia="Arial" w:hAnsi="Verdana" w:cs="Arial"/>
          <w:b/>
          <w:bCs/>
        </w:rPr>
      </w:pPr>
      <w:r w:rsidRPr="00397C24">
        <w:rPr>
          <w:rFonts w:ascii="Verdana" w:eastAsia="Arial" w:hAnsi="Verdana" w:cs="Arial"/>
          <w:b/>
          <w:bCs/>
        </w:rPr>
        <w:t>DOCUMENTOS EN IDIOMA DIFERENTE AL CASTELLANO ‒ Valor probatorio – Contratación estatal</w:t>
      </w:r>
    </w:p>
    <w:p w14:paraId="48A67B48" w14:textId="77777777" w:rsidR="0013497E" w:rsidRPr="00397C24" w:rsidRDefault="0013497E" w:rsidP="0013497E">
      <w:pPr>
        <w:spacing w:after="0" w:line="240" w:lineRule="auto"/>
        <w:jc w:val="both"/>
        <w:rPr>
          <w:rFonts w:ascii="Verdana" w:eastAsia="Arial" w:hAnsi="Verdana" w:cs="Arial"/>
          <w:sz w:val="20"/>
          <w:szCs w:val="20"/>
        </w:rPr>
      </w:pPr>
    </w:p>
    <w:p w14:paraId="35D44655" w14:textId="77777777" w:rsidR="0013497E" w:rsidRPr="00397C24" w:rsidRDefault="0013497E" w:rsidP="0013497E">
      <w:pPr>
        <w:spacing w:after="0" w:line="240" w:lineRule="auto"/>
        <w:jc w:val="both"/>
        <w:rPr>
          <w:rFonts w:ascii="Verdana" w:eastAsia="Arial" w:hAnsi="Verdana" w:cs="Arial"/>
          <w:sz w:val="20"/>
          <w:szCs w:val="20"/>
        </w:rPr>
      </w:pPr>
      <w:r w:rsidRPr="00397C24">
        <w:rPr>
          <w:rFonts w:ascii="Verdana" w:eastAsia="Arial" w:hAnsi="Verdana" w:cs="Arial"/>
          <w:sz w:val="20"/>
          <w:szCs w:val="20"/>
        </w:rPr>
        <w:t>Teniendo en cuenta que el artículo 10 de la Constitución Política señala que el idioma oficial en Colombia es el castellano, se debe entender que todos los documentos que se pretenden valorar y apreciar en el país deben estar traducidos a este idioma. En este orden de ideas, los documentos expedidos en idioma diferente al castellano, para que puedan ser apreciados y valorados por la entidad contratante, deben ser presentados en su lengua original junto con la traducción al castellano. Aunque parezca una obviedad que deba acudirse al idioma castellano, lo cierto es que dicho idioma constituye un presupuesto importante para la presentación de documentos en los trámites de contratación estatal , pues de él depende que la entidad contratante comprenda el contenido del documento y pueda valorarlo según los efectos jurídicos que corresponde, como puede ser, por ejemplo, para reconocer la experiencia de los proponentes, para verificar que cumplan los requisitos habilitantes o, simplemente, para poder entender el alcance de la propuesta en sí misma.</w:t>
      </w:r>
    </w:p>
    <w:p w14:paraId="2B9B082B" w14:textId="77777777" w:rsidR="0013497E" w:rsidRPr="00397C24" w:rsidRDefault="0013497E" w:rsidP="0013497E">
      <w:pPr>
        <w:spacing w:after="0" w:line="240" w:lineRule="auto"/>
        <w:jc w:val="both"/>
        <w:rPr>
          <w:rFonts w:ascii="Verdana" w:eastAsia="Arial" w:hAnsi="Verdana" w:cs="Arial"/>
          <w:sz w:val="20"/>
          <w:szCs w:val="20"/>
        </w:rPr>
      </w:pPr>
    </w:p>
    <w:p w14:paraId="75951290" w14:textId="77777777" w:rsidR="0013497E" w:rsidRPr="00397C24" w:rsidRDefault="0013497E" w:rsidP="0013497E">
      <w:pPr>
        <w:spacing w:after="0" w:line="240" w:lineRule="auto"/>
        <w:jc w:val="both"/>
        <w:rPr>
          <w:rFonts w:ascii="Verdana" w:eastAsia="Arial" w:hAnsi="Verdana" w:cs="Arial"/>
          <w:sz w:val="20"/>
          <w:szCs w:val="20"/>
        </w:rPr>
      </w:pPr>
      <w:r w:rsidRPr="00397C24">
        <w:rPr>
          <w:rFonts w:ascii="Verdana" w:eastAsia="Arial" w:hAnsi="Verdana" w:cs="Arial"/>
          <w:sz w:val="20"/>
          <w:szCs w:val="20"/>
        </w:rPr>
        <w:t>De la exigencia de traducir los documentos al castellano se deriva una garantía triple: para la entidad, porque le permite la valoración de la información de la que dan cuenta los documentos aportados al proceso de contratación; para el proponente que aporta el documento traducido, debido a que garantiza que su propuesta será valorada según su alcance; y para los otros oferentes, porque estos pueden tener certeza de los elementos que serán valorados de todas las propuestas, con lo que, además, se contribuye a la vigencia del principio de transparencia, rector de la contratación estatal en Colombia.</w:t>
      </w:r>
    </w:p>
    <w:p w14:paraId="72F6204F" w14:textId="77777777" w:rsidR="0013497E" w:rsidRPr="00397C24" w:rsidRDefault="0013497E" w:rsidP="0013497E">
      <w:pPr>
        <w:spacing w:after="0" w:line="240" w:lineRule="auto"/>
        <w:jc w:val="both"/>
        <w:rPr>
          <w:rFonts w:ascii="Verdana" w:eastAsia="Arial" w:hAnsi="Verdana" w:cs="Arial"/>
          <w:sz w:val="20"/>
          <w:szCs w:val="20"/>
        </w:rPr>
      </w:pPr>
    </w:p>
    <w:p w14:paraId="67427C98" w14:textId="77777777" w:rsidR="0013497E" w:rsidRPr="000239A6" w:rsidRDefault="0013497E" w:rsidP="0013497E">
      <w:pPr>
        <w:spacing w:after="0" w:line="240" w:lineRule="auto"/>
        <w:contextualSpacing/>
        <w:jc w:val="both"/>
        <w:rPr>
          <w:rFonts w:ascii="Verdana" w:eastAsia="Calibri" w:hAnsi="Verdana" w:cs="Arial"/>
          <w:b/>
          <w:bCs/>
          <w:lang w:val="es-MX" w:eastAsia="es-ES_tradnl"/>
          <w14:ligatures w14:val="standardContextual"/>
        </w:rPr>
      </w:pPr>
      <w:r w:rsidRPr="00397C24">
        <w:rPr>
          <w:rFonts w:ascii="Verdana" w:eastAsia="Calibri" w:hAnsi="Verdana" w:cs="Arial"/>
          <w:b/>
          <w:bCs/>
          <w:lang w:val="es-MX" w:eastAsia="es-ES_tradnl"/>
          <w14:ligatures w14:val="standardContextual"/>
        </w:rPr>
        <w:t>DOCUMENTOS EN IDIOMA DIFERENTE AL CASTELLANO</w:t>
      </w:r>
      <w:r w:rsidRPr="000239A6">
        <w:rPr>
          <w:rFonts w:ascii="Verdana" w:eastAsia="Calibri" w:hAnsi="Verdana" w:cs="Arial"/>
          <w:b/>
          <w:bCs/>
          <w:lang w:val="es-MX" w:eastAsia="es-ES_tradnl"/>
          <w14:ligatures w14:val="standardContextual"/>
        </w:rPr>
        <w:t xml:space="preserve"> – </w:t>
      </w:r>
      <w:r>
        <w:rPr>
          <w:rFonts w:ascii="Verdana" w:eastAsia="Calibri" w:hAnsi="Verdana" w:cs="Arial"/>
          <w:b/>
          <w:bCs/>
          <w:lang w:val="es-MX" w:eastAsia="es-ES_tradnl"/>
          <w14:ligatures w14:val="standardContextual"/>
        </w:rPr>
        <w:t>Apostilla</w:t>
      </w:r>
      <w:r w:rsidRPr="000239A6">
        <w:rPr>
          <w:rFonts w:ascii="Verdana" w:eastAsia="Calibri" w:hAnsi="Verdana" w:cs="Arial"/>
          <w:b/>
          <w:bCs/>
          <w:lang w:val="es-MX" w:eastAsia="es-ES_tradnl"/>
          <w14:ligatures w14:val="standardContextual"/>
        </w:rPr>
        <w:t xml:space="preserve"> –</w:t>
      </w:r>
      <w:r>
        <w:rPr>
          <w:rFonts w:ascii="Verdana" w:eastAsia="Calibri" w:hAnsi="Verdana" w:cs="Arial"/>
          <w:b/>
          <w:bCs/>
          <w:lang w:val="es-MX" w:eastAsia="es-ES_tradnl"/>
          <w14:ligatures w14:val="standardContextual"/>
        </w:rPr>
        <w:t xml:space="preserve"> Legalización –</w:t>
      </w:r>
      <w:r w:rsidRPr="000239A6">
        <w:rPr>
          <w:rFonts w:ascii="Verdana" w:eastAsia="Calibri" w:hAnsi="Verdana" w:cs="Arial"/>
          <w:b/>
          <w:bCs/>
          <w:lang w:val="es-MX" w:eastAsia="es-ES_tradnl"/>
          <w14:ligatures w14:val="standardContextual"/>
        </w:rPr>
        <w:t xml:space="preserve"> </w:t>
      </w:r>
      <w:r>
        <w:rPr>
          <w:rFonts w:ascii="Verdana" w:eastAsia="Calibri" w:hAnsi="Verdana" w:cs="Arial"/>
          <w:b/>
          <w:bCs/>
          <w:lang w:val="es-MX" w:eastAsia="es-ES_tradnl"/>
          <w14:ligatures w14:val="standardContextual"/>
        </w:rPr>
        <w:t>Traducción oficial – Fundamento jurídico</w:t>
      </w:r>
    </w:p>
    <w:p w14:paraId="7CB2C3D5" w14:textId="77777777" w:rsidR="0013497E" w:rsidRPr="000239A6" w:rsidRDefault="0013497E" w:rsidP="0013497E">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710FC2CE" w14:textId="77777777" w:rsidR="0013497E" w:rsidRDefault="0013497E" w:rsidP="0013497E">
      <w:pPr>
        <w:spacing w:after="0" w:line="240" w:lineRule="auto"/>
        <w:jc w:val="both"/>
        <w:rPr>
          <w:rFonts w:ascii="Verdana" w:eastAsia="Times New Roman" w:hAnsi="Verdana" w:cs="Arial"/>
          <w:noProof/>
          <w:sz w:val="20"/>
          <w:szCs w:val="20"/>
          <w:lang w:val="es-ES_tradnl" w:eastAsia="es-ES_tradnl"/>
          <w14:ligatures w14:val="standardContextual"/>
        </w:rPr>
      </w:pPr>
      <w:r w:rsidRPr="00397C24">
        <w:rPr>
          <w:rFonts w:ascii="Verdana" w:eastAsia="Times New Roman" w:hAnsi="Verdana" w:cs="Arial"/>
          <w:noProof/>
          <w:sz w:val="20"/>
          <w:szCs w:val="20"/>
          <w:lang w:val="es-ES_tradnl" w:eastAsia="es-ES_tradnl"/>
          <w14:ligatures w14:val="standardContextual"/>
        </w:rPr>
        <w:t xml:space="preserve">Conforme al numeral 8.1 de la Circular Externa Única, 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apostilla ni legalización, salvo los que con posterioridad sean intervenidos por un funcionario público, en cuyo caso requieren apostille o legalización, en la forma indicada antes. Estos dos (2) trámites deben realizarse en las condiciones que dispone el Ministerio de Relaciones Exteriores en la Resolución 1959 de 2020, o la norma que la modifique, sustituya o complemente. </w:t>
      </w:r>
    </w:p>
    <w:p w14:paraId="04B13F6B" w14:textId="77777777" w:rsidR="0013497E" w:rsidRPr="00397C24" w:rsidRDefault="0013497E" w:rsidP="0013497E">
      <w:pPr>
        <w:spacing w:after="0" w:line="240" w:lineRule="auto"/>
        <w:jc w:val="both"/>
        <w:rPr>
          <w:rFonts w:ascii="Verdana" w:eastAsia="Times New Roman" w:hAnsi="Verdana" w:cs="Arial"/>
          <w:noProof/>
          <w:sz w:val="20"/>
          <w:szCs w:val="20"/>
          <w:lang w:val="es-ES_tradnl" w:eastAsia="es-ES_tradnl"/>
          <w14:ligatures w14:val="standardContextual"/>
        </w:rPr>
      </w:pPr>
    </w:p>
    <w:p w14:paraId="1EDA929D" w14:textId="77777777" w:rsidR="0013497E" w:rsidRPr="000239A6" w:rsidRDefault="0013497E" w:rsidP="0013497E">
      <w:pPr>
        <w:spacing w:after="0" w:line="240" w:lineRule="auto"/>
        <w:jc w:val="both"/>
        <w:rPr>
          <w:rFonts w:ascii="Verdana" w:eastAsia="Geomanist Light" w:hAnsi="Verdana" w:cs="Arial"/>
          <w:sz w:val="20"/>
          <w:szCs w:val="20"/>
          <w:lang w:val="es-MX"/>
        </w:rPr>
      </w:pPr>
      <w:r w:rsidRPr="00397C24">
        <w:rPr>
          <w:rFonts w:ascii="Verdana" w:eastAsia="Times New Roman" w:hAnsi="Verdana" w:cs="Arial"/>
          <w:noProof/>
          <w:sz w:val="20"/>
          <w:szCs w:val="20"/>
          <w:lang w:val="es-ES_tradnl" w:eastAsia="es-ES_tradnl"/>
          <w14:ligatures w14:val="standardContextual"/>
        </w:rPr>
        <w:t xml:space="preserve">Fuera del criterio indicado en el párrafo precedente, los documentos privados en idioma distinto al castellano sólo requieren la traducción oficial conforme a los previsto en el inciso primero del artículo 251 de la Ley 1564 de 2012, aplicable por remisión del artículo 77 de la Ley 80 de 1993. Precisamente, esta norma del Código General del Proceso sirvió de “Referencia Normativa” para el citado numeral 8.4 de la Circular. Por remisión del </w:t>
      </w:r>
      <w:r w:rsidRPr="00397C24">
        <w:rPr>
          <w:rFonts w:ascii="Verdana" w:eastAsia="Times New Roman" w:hAnsi="Verdana" w:cs="Arial"/>
          <w:noProof/>
          <w:sz w:val="20"/>
          <w:szCs w:val="20"/>
          <w:lang w:val="es-ES_tradnl" w:eastAsia="es-ES_tradnl"/>
          <w14:ligatures w14:val="standardContextual"/>
        </w:rPr>
        <w:lastRenderedPageBreak/>
        <w:t>artículo 77 del EGCAP, el inciso primero del artículo 251 de la Ley 1564 de 2012 es el fundamento jurídico para solicitar traducciones oficiales en las condiciones que exige tanto el artículo 25.15 de la Ley 80 de 1993 como el artículo 9.5 de la Ley 1437 de 2011.</w:t>
      </w:r>
    </w:p>
    <w:p w14:paraId="423740FD" w14:textId="77777777" w:rsidR="0013497E" w:rsidRPr="000239A6" w:rsidRDefault="0013497E" w:rsidP="0013497E">
      <w:pPr>
        <w:spacing w:after="0" w:line="240" w:lineRule="auto"/>
        <w:rPr>
          <w:rFonts w:ascii="Verdana" w:eastAsia="Geomanist Light" w:hAnsi="Verdana" w:cs="Arial"/>
          <w:sz w:val="20"/>
          <w:szCs w:val="20"/>
          <w:lang w:val="es-MX"/>
        </w:rPr>
      </w:pPr>
    </w:p>
    <w:p w14:paraId="5CC50D57" w14:textId="77777777" w:rsidR="0013497E" w:rsidRPr="000239A6" w:rsidRDefault="0013497E" w:rsidP="0013497E">
      <w:pPr>
        <w:spacing w:after="0" w:line="240" w:lineRule="auto"/>
        <w:jc w:val="both"/>
        <w:rPr>
          <w:rFonts w:ascii="Verdana" w:eastAsia="Calibri" w:hAnsi="Verdana" w:cs="Arial"/>
          <w:b/>
          <w:bCs/>
          <w:lang w:val="es-ES" w:eastAsia="es-ES"/>
        </w:rPr>
      </w:pPr>
      <w:r>
        <w:rPr>
          <w:rFonts w:ascii="Verdana" w:eastAsia="Calibri" w:hAnsi="Verdana" w:cs="Arial"/>
          <w:b/>
          <w:bCs/>
        </w:rPr>
        <w:t>DOCUMENTOS TIPO</w:t>
      </w:r>
      <w:r w:rsidRPr="000239A6">
        <w:rPr>
          <w:rFonts w:ascii="Verdana" w:eastAsia="Calibri" w:hAnsi="Verdana" w:cs="Arial"/>
          <w:b/>
          <w:bCs/>
        </w:rPr>
        <w:t xml:space="preserve"> – </w:t>
      </w:r>
      <w:r>
        <w:rPr>
          <w:rFonts w:ascii="Verdana" w:eastAsia="Calibri" w:hAnsi="Verdana" w:cs="Arial"/>
          <w:b/>
          <w:bCs/>
        </w:rPr>
        <w:t>Traducciones</w:t>
      </w:r>
      <w:r w:rsidRPr="000239A6">
        <w:rPr>
          <w:rFonts w:ascii="Verdana" w:eastAsia="Calibri" w:hAnsi="Verdana" w:cs="Arial"/>
          <w:b/>
          <w:bCs/>
        </w:rPr>
        <w:t xml:space="preserve"> –</w:t>
      </w:r>
      <w:r>
        <w:rPr>
          <w:rFonts w:ascii="Verdana" w:eastAsia="Calibri" w:hAnsi="Verdana" w:cs="Arial"/>
          <w:b/>
          <w:bCs/>
        </w:rPr>
        <w:t xml:space="preserve"> Certificación – </w:t>
      </w:r>
      <w:proofErr w:type="spellStart"/>
      <w:r>
        <w:rPr>
          <w:rFonts w:ascii="Verdana" w:eastAsia="Calibri" w:hAnsi="Verdana" w:cs="Arial"/>
          <w:b/>
          <w:bCs/>
        </w:rPr>
        <w:t>Subsanabilidad</w:t>
      </w:r>
      <w:proofErr w:type="spellEnd"/>
    </w:p>
    <w:p w14:paraId="0E9D9DDF" w14:textId="77777777" w:rsidR="0013497E" w:rsidRDefault="0013497E" w:rsidP="0013497E">
      <w:pPr>
        <w:spacing w:after="0" w:line="240" w:lineRule="auto"/>
        <w:jc w:val="both"/>
        <w:rPr>
          <w:rFonts w:ascii="Verdana" w:eastAsia="Geomanist Light" w:hAnsi="Verdana" w:cs="Arial"/>
          <w:sz w:val="20"/>
          <w:szCs w:val="20"/>
          <w:lang w:val="es-MX"/>
        </w:rPr>
      </w:pPr>
    </w:p>
    <w:p w14:paraId="4FBE30A1" w14:textId="77777777" w:rsidR="0013497E" w:rsidRDefault="0013497E" w:rsidP="0013497E">
      <w:pPr>
        <w:spacing w:after="0" w:line="240" w:lineRule="auto"/>
        <w:jc w:val="both"/>
        <w:rPr>
          <w:rFonts w:ascii="Verdana" w:eastAsia="Calibri" w:hAnsi="Verdana" w:cs="Arial"/>
          <w:bCs/>
          <w:color w:val="000000"/>
          <w:sz w:val="20"/>
          <w:szCs w:val="20"/>
        </w:rPr>
      </w:pPr>
      <w:r w:rsidRPr="00397C24">
        <w:rPr>
          <w:rFonts w:ascii="Verdana" w:eastAsia="Calibri" w:hAnsi="Verdana" w:cs="Arial"/>
          <w:bCs/>
          <w:color w:val="000000"/>
          <w:sz w:val="20"/>
          <w:szCs w:val="20"/>
        </w:rPr>
        <w:t xml:space="preserve">En congruencia con este razonamiento, el numeral 1.8 del pliego de condiciones de los “Documentos Tipo – Versión 3” para licitación de obra pública de infraestructura de transporte dispuso que “Para que la traducción oficial de los documentos en idioma extranjero sea válida, la traducción se realizará en los términos del Decreto 382 de 1951 y el artículo 33 de la Ley 962 de 2005, o la norma que la modifique, sustituya o complemente. </w:t>
      </w:r>
      <w:r w:rsidRPr="00397C24">
        <w:rPr>
          <w:rFonts w:ascii="Verdana" w:eastAsia="Calibri" w:hAnsi="Verdana" w:cs="Arial"/>
          <w:bCs/>
          <w:i/>
          <w:iCs/>
          <w:color w:val="000000"/>
          <w:sz w:val="20"/>
          <w:szCs w:val="20"/>
        </w:rPr>
        <w:t>Es decir, junto con la traducción oficial se presentará el documento que certifica la aprobación de la prueba por parte del Centro Universitario que cuente con la facultad de idiomas debidamente acreditadas y reconocidas por el ICFES</w:t>
      </w:r>
      <w:r w:rsidRPr="00397C24">
        <w:rPr>
          <w:rFonts w:ascii="Verdana" w:eastAsia="Calibri" w:hAnsi="Verdana" w:cs="Arial"/>
          <w:bCs/>
          <w:color w:val="000000"/>
          <w:sz w:val="20"/>
          <w:szCs w:val="20"/>
        </w:rPr>
        <w:t>” (Énfasis fuera de texto). Este documento base exige tanto la traducción como la certificación, ya que –conforme al inciso segundo del artículo 33 de la Ley 962 de 2005– “El documento que expidan las Universidades en que conste la aprobación del examen correspondiente, esto es, la idoneidad para el ejercicio del oficio, constituye licencia para desempeñarse como traductor e intérprete oficial”.</w:t>
      </w:r>
    </w:p>
    <w:p w14:paraId="4E5C684E" w14:textId="77777777" w:rsidR="0013497E" w:rsidRPr="00397C24" w:rsidRDefault="0013497E" w:rsidP="0013497E">
      <w:pPr>
        <w:spacing w:after="0" w:line="240" w:lineRule="auto"/>
        <w:jc w:val="both"/>
        <w:rPr>
          <w:rFonts w:ascii="Verdana" w:eastAsia="Calibri" w:hAnsi="Verdana" w:cs="Arial"/>
          <w:bCs/>
          <w:color w:val="000000"/>
          <w:sz w:val="20"/>
          <w:szCs w:val="20"/>
        </w:rPr>
      </w:pPr>
    </w:p>
    <w:p w14:paraId="4A1A4DAE" w14:textId="77777777" w:rsidR="0013497E" w:rsidRPr="000239A6" w:rsidRDefault="0013497E" w:rsidP="0013497E">
      <w:pPr>
        <w:spacing w:after="0" w:line="240" w:lineRule="auto"/>
        <w:jc w:val="both"/>
        <w:rPr>
          <w:rFonts w:ascii="Verdana" w:eastAsia="Geomanist Light" w:hAnsi="Verdana" w:cs="Arial"/>
          <w:sz w:val="20"/>
          <w:szCs w:val="20"/>
          <w:lang w:val="es-MX"/>
        </w:rPr>
      </w:pPr>
      <w:r w:rsidRPr="00397C24">
        <w:rPr>
          <w:rFonts w:ascii="Verdana" w:eastAsia="Calibri" w:hAnsi="Verdana" w:cs="Arial"/>
          <w:color w:val="000000"/>
          <w:sz w:val="20"/>
          <w:szCs w:val="20"/>
        </w:rPr>
        <w:t xml:space="preserve">Luego, conforme al </w:t>
      </w:r>
      <w:r w:rsidRPr="00397C24">
        <w:rPr>
          <w:rFonts w:ascii="Verdana" w:eastAsia="Calibri" w:hAnsi="Verdana" w:cs="Arial"/>
          <w:bCs/>
          <w:color w:val="000000"/>
          <w:sz w:val="20"/>
          <w:szCs w:val="20"/>
        </w:rPr>
        <w:t>parágrafo 1 del artículo 5 de la Ley 1150 de 2007,</w:t>
      </w:r>
      <w:r w:rsidRPr="00397C24">
        <w:rPr>
          <w:rFonts w:ascii="Verdana" w:eastAsia="Calibri" w:hAnsi="Verdana" w:cs="Arial"/>
          <w:color w:val="000000"/>
          <w:sz w:val="20"/>
          <w:szCs w:val="20"/>
        </w:rPr>
        <w:t xml:space="preserve"> la subsanación de la entrega de la traducción oficial y/o certificación del traductor se refiere únicamente a los </w:t>
      </w:r>
      <w:r w:rsidRPr="00397C24">
        <w:rPr>
          <w:rFonts w:ascii="Verdana" w:eastAsia="Calibri" w:hAnsi="Verdana" w:cs="Arial"/>
          <w:i/>
          <w:iCs/>
          <w:color w:val="000000"/>
          <w:sz w:val="20"/>
          <w:szCs w:val="20"/>
        </w:rPr>
        <w:t>criterios que no otorgan puntaje</w:t>
      </w:r>
      <w:r w:rsidRPr="00397C24">
        <w:rPr>
          <w:rFonts w:ascii="Verdana" w:eastAsia="Calibri" w:hAnsi="Verdana" w:cs="Arial"/>
          <w:color w:val="000000"/>
          <w:sz w:val="20"/>
          <w:szCs w:val="20"/>
        </w:rPr>
        <w:t xml:space="preserve">. El pliego de condiciones, en ausencia de la certificación </w:t>
      </w:r>
      <w:r w:rsidRPr="00397C24">
        <w:rPr>
          <w:rFonts w:ascii="Verdana" w:eastAsia="Calibri" w:hAnsi="Verdana" w:cs="Arial"/>
          <w:bCs/>
          <w:color w:val="000000"/>
          <w:sz w:val="20"/>
          <w:szCs w:val="20"/>
        </w:rPr>
        <w:t>del artículo 33 de la Ley 962 de 2005</w:t>
      </w:r>
      <w:r w:rsidRPr="00397C24">
        <w:rPr>
          <w:rFonts w:ascii="Verdana" w:eastAsia="Calibri" w:hAnsi="Verdana" w:cs="Arial"/>
          <w:color w:val="000000"/>
          <w:sz w:val="20"/>
          <w:szCs w:val="20"/>
        </w:rPr>
        <w:t xml:space="preserve">, no reguló una presunción del validez frente al sello y la firma del documento. En consecuencia, la falta de uno u ambos requisitos permite aplicar la causal de rechazo del literal E del numeral 1.15 del documento base en caso de “Que el proponente no aclare, subsane o aporte documentos necesarios para cumplir un requisito habilitante o aportándolos no lo haga de forma correcta, en los términos establecidos en la sección 1.6”. Los </w:t>
      </w:r>
      <w:r w:rsidRPr="00397C24">
        <w:rPr>
          <w:rFonts w:ascii="Verdana" w:eastAsia="Calibri" w:hAnsi="Verdana" w:cs="Arial"/>
          <w:i/>
          <w:iCs/>
          <w:color w:val="000000"/>
          <w:sz w:val="20"/>
          <w:szCs w:val="20"/>
        </w:rPr>
        <w:t>criterios que otorgan puntaje</w:t>
      </w:r>
      <w:r w:rsidRPr="00397C24">
        <w:rPr>
          <w:rFonts w:ascii="Verdana" w:eastAsia="Calibri" w:hAnsi="Verdana" w:cs="Arial"/>
          <w:color w:val="000000"/>
          <w:sz w:val="20"/>
          <w:szCs w:val="20"/>
        </w:rPr>
        <w:t>, por parte, son insubsanables durante el proceso de selección; razón por la cual, los documentos de soporte o prueba sobre los mismos debe presentarse obligatoriamente con la oferta inicial.</w:t>
      </w:r>
      <w:r w:rsidRPr="000239A6">
        <w:rPr>
          <w:rFonts w:ascii="Verdana" w:eastAsia="Calibri" w:hAnsi="Verdana" w:cs="Arial"/>
          <w:color w:val="000000"/>
          <w:sz w:val="20"/>
          <w:szCs w:val="20"/>
        </w:rPr>
        <w:t xml:space="preserve"> </w:t>
      </w:r>
    </w:p>
    <w:p w14:paraId="6E22E1C7" w14:textId="77777777" w:rsidR="0013497E" w:rsidRDefault="0013497E" w:rsidP="0013497E">
      <w:pPr>
        <w:spacing w:after="0" w:line="240" w:lineRule="auto"/>
        <w:rPr>
          <w:rFonts w:ascii="Verdana" w:eastAsia="Calibri" w:hAnsi="Verdana" w:cs="Arial"/>
          <w:color w:val="000000" w:themeColor="text1"/>
          <w:sz w:val="20"/>
          <w:szCs w:val="20"/>
        </w:rPr>
      </w:pPr>
    </w:p>
    <w:p w14:paraId="4B3C79C4" w14:textId="77777777" w:rsidR="0013497E" w:rsidRDefault="0013497E" w:rsidP="0013497E">
      <w:pPr>
        <w:spacing w:after="0" w:line="240" w:lineRule="auto"/>
        <w:rPr>
          <w:rFonts w:ascii="Verdana" w:eastAsia="Calibri" w:hAnsi="Verdana" w:cs="Arial"/>
          <w:color w:val="000000" w:themeColor="text1"/>
          <w:sz w:val="20"/>
          <w:szCs w:val="20"/>
        </w:rPr>
      </w:pPr>
    </w:p>
    <w:p w14:paraId="6A183263" w14:textId="77777777" w:rsidR="0013497E" w:rsidRDefault="0013497E" w:rsidP="0013497E">
      <w:pPr>
        <w:spacing w:after="0" w:line="240" w:lineRule="auto"/>
        <w:rPr>
          <w:rFonts w:ascii="Verdana" w:eastAsia="Geomanist Light" w:hAnsi="Verdana" w:cs="Arial"/>
          <w:color w:val="000000" w:themeColor="text1"/>
          <w:lang w:val="es-MX"/>
        </w:rPr>
      </w:pPr>
    </w:p>
    <w:p w14:paraId="3D51E62B" w14:textId="77777777" w:rsidR="0013497E" w:rsidRDefault="0013497E" w:rsidP="0013497E">
      <w:pPr>
        <w:spacing w:after="0" w:line="240" w:lineRule="auto"/>
        <w:rPr>
          <w:rFonts w:ascii="Verdana" w:eastAsia="Geomanist Light" w:hAnsi="Verdana" w:cs="Arial"/>
          <w:color w:val="000000" w:themeColor="text1"/>
          <w:lang w:val="es-MX"/>
        </w:rPr>
      </w:pPr>
    </w:p>
    <w:p w14:paraId="09F7D02C" w14:textId="77777777" w:rsidR="0013497E" w:rsidRDefault="0013497E" w:rsidP="0013497E">
      <w:pPr>
        <w:spacing w:after="0" w:line="240" w:lineRule="auto"/>
        <w:rPr>
          <w:rFonts w:ascii="Verdana" w:eastAsia="Geomanist Light" w:hAnsi="Verdana" w:cs="Arial"/>
          <w:color w:val="000000" w:themeColor="text1"/>
          <w:lang w:val="es-MX"/>
        </w:rPr>
      </w:pPr>
    </w:p>
    <w:p w14:paraId="02F9E594" w14:textId="77777777" w:rsidR="0013497E" w:rsidRDefault="0013497E" w:rsidP="0013497E">
      <w:pPr>
        <w:spacing w:after="0" w:line="240" w:lineRule="auto"/>
        <w:rPr>
          <w:rFonts w:ascii="Verdana" w:eastAsia="Geomanist Light" w:hAnsi="Verdana" w:cs="Arial"/>
          <w:color w:val="000000" w:themeColor="text1"/>
          <w:lang w:val="es-MX"/>
        </w:rPr>
      </w:pPr>
    </w:p>
    <w:p w14:paraId="47E91E14" w14:textId="77777777" w:rsidR="0013497E" w:rsidRDefault="0013497E" w:rsidP="0013497E">
      <w:pPr>
        <w:spacing w:after="0" w:line="240" w:lineRule="auto"/>
        <w:rPr>
          <w:rFonts w:ascii="Verdana" w:eastAsia="Geomanist Light" w:hAnsi="Verdana" w:cs="Arial"/>
          <w:color w:val="000000" w:themeColor="text1"/>
          <w:lang w:val="es-MX"/>
        </w:rPr>
      </w:pPr>
    </w:p>
    <w:p w14:paraId="5533D1C3" w14:textId="77777777" w:rsidR="0013497E" w:rsidRDefault="0013497E" w:rsidP="0013497E">
      <w:pPr>
        <w:spacing w:after="0" w:line="240" w:lineRule="auto"/>
        <w:rPr>
          <w:rFonts w:ascii="Verdana" w:eastAsia="Geomanist Light" w:hAnsi="Verdana" w:cs="Arial"/>
          <w:color w:val="000000" w:themeColor="text1"/>
          <w:lang w:val="es-MX"/>
        </w:rPr>
      </w:pPr>
    </w:p>
    <w:p w14:paraId="40031748" w14:textId="77777777" w:rsidR="0013497E" w:rsidRDefault="0013497E" w:rsidP="0013497E">
      <w:pPr>
        <w:spacing w:after="0" w:line="240" w:lineRule="auto"/>
        <w:rPr>
          <w:rFonts w:ascii="Verdana" w:eastAsia="Geomanist Light" w:hAnsi="Verdana" w:cs="Arial"/>
          <w:color w:val="000000" w:themeColor="text1"/>
          <w:lang w:val="es-MX"/>
        </w:rPr>
      </w:pPr>
    </w:p>
    <w:p w14:paraId="51A0FF25" w14:textId="77777777" w:rsidR="0013497E" w:rsidRDefault="0013497E" w:rsidP="0013497E">
      <w:pPr>
        <w:spacing w:after="0" w:line="240" w:lineRule="auto"/>
        <w:rPr>
          <w:rFonts w:ascii="Verdana" w:eastAsia="Geomanist Light" w:hAnsi="Verdana" w:cs="Arial"/>
          <w:color w:val="000000" w:themeColor="text1"/>
          <w:lang w:val="es-MX"/>
        </w:rPr>
      </w:pPr>
    </w:p>
    <w:p w14:paraId="28690E0D" w14:textId="77777777" w:rsidR="0013497E" w:rsidRDefault="0013497E" w:rsidP="0013497E">
      <w:pPr>
        <w:spacing w:after="0" w:line="240" w:lineRule="auto"/>
        <w:rPr>
          <w:rFonts w:ascii="Verdana" w:eastAsia="Geomanist Light" w:hAnsi="Verdana" w:cs="Arial"/>
          <w:color w:val="000000" w:themeColor="text1"/>
          <w:lang w:val="es-MX"/>
        </w:rPr>
      </w:pPr>
    </w:p>
    <w:p w14:paraId="614CD9DE" w14:textId="77777777" w:rsidR="0013497E" w:rsidRDefault="0013497E" w:rsidP="0013497E">
      <w:pPr>
        <w:spacing w:after="0" w:line="240" w:lineRule="auto"/>
        <w:rPr>
          <w:rFonts w:ascii="Verdana" w:eastAsia="Geomanist Light" w:hAnsi="Verdana" w:cs="Arial"/>
          <w:color w:val="000000" w:themeColor="text1"/>
          <w:lang w:val="es-MX"/>
        </w:rPr>
      </w:pPr>
    </w:p>
    <w:p w14:paraId="7E7AB6E3" w14:textId="77777777" w:rsidR="0013497E" w:rsidRDefault="0013497E" w:rsidP="00BD66C1">
      <w:pPr>
        <w:spacing w:after="0" w:line="240" w:lineRule="auto"/>
        <w:rPr>
          <w:rFonts w:ascii="Verdana" w:eastAsia="Geomanist Light" w:hAnsi="Verdana" w:cs="Arial"/>
          <w:color w:val="000000" w:themeColor="text1"/>
          <w:lang w:val="es-MX"/>
        </w:rPr>
      </w:pPr>
    </w:p>
    <w:p w14:paraId="66FFD409" w14:textId="296E1079" w:rsidR="00BD66C1" w:rsidRPr="00593A5F" w:rsidRDefault="00BD66C1" w:rsidP="00BD66C1">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545493" w:rsidRPr="00545493">
        <w:rPr>
          <w:rFonts w:ascii="Verdana" w:eastAsia="Geomanist Light" w:hAnsi="Verdana" w:cs="Arial"/>
          <w:color w:val="000000" w:themeColor="text1"/>
          <w:lang w:val="es-MX"/>
        </w:rPr>
        <w:t>19 de Diciembre de 2025</w:t>
      </w:r>
    </w:p>
    <w:p w14:paraId="7F763801" w14:textId="77777777" w:rsidR="00BD66C1" w:rsidRDefault="00BD66C1" w:rsidP="00BD66C1">
      <w:pPr>
        <w:spacing w:after="0" w:line="240" w:lineRule="auto"/>
        <w:jc w:val="both"/>
        <w:rPr>
          <w:rFonts w:ascii="Verdana" w:eastAsia="Calibri" w:hAnsi="Verdana" w:cs="Arial"/>
          <w:color w:val="000000"/>
          <w:lang w:val="es-ES"/>
        </w:rPr>
      </w:pPr>
    </w:p>
    <w:p w14:paraId="754F7D4A" w14:textId="36A800D0" w:rsidR="00BD66C1" w:rsidRDefault="00545493" w:rsidP="00545493">
      <w:pPr>
        <w:spacing w:after="0" w:line="240" w:lineRule="auto"/>
        <w:jc w:val="right"/>
        <w:rPr>
          <w:rFonts w:ascii="Verdana" w:eastAsia="Calibri" w:hAnsi="Verdana" w:cs="Arial"/>
          <w:color w:val="000000"/>
          <w:lang w:val="es-ES"/>
        </w:rPr>
      </w:pPr>
      <w:r w:rsidRPr="00545493">
        <w:rPr>
          <w:rFonts w:ascii="Verdana" w:eastAsia="Calibri" w:hAnsi="Verdana" w:cs="Arial"/>
          <w:noProof/>
          <w:color w:val="000000"/>
          <w:lang w:val="es-ES"/>
        </w:rPr>
        <w:drawing>
          <wp:inline distT="0" distB="0" distL="0" distR="0" wp14:anchorId="6633FBBC" wp14:editId="734D42C5">
            <wp:extent cx="3238500" cy="901700"/>
            <wp:effectExtent l="0" t="0" r="0" b="0"/>
            <wp:docPr id="17934416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441655" name=""/>
                    <pic:cNvPicPr/>
                  </pic:nvPicPr>
                  <pic:blipFill>
                    <a:blip r:embed="rId10"/>
                    <a:stretch>
                      <a:fillRect/>
                    </a:stretch>
                  </pic:blipFill>
                  <pic:spPr>
                    <a:xfrm>
                      <a:off x="0" y="0"/>
                      <a:ext cx="3238500" cy="901700"/>
                    </a:xfrm>
                    <a:prstGeom prst="rect">
                      <a:avLst/>
                    </a:prstGeom>
                  </pic:spPr>
                </pic:pic>
              </a:graphicData>
            </a:graphic>
          </wp:inline>
        </w:drawing>
      </w:r>
    </w:p>
    <w:p w14:paraId="653AD950" w14:textId="77777777" w:rsidR="00545493" w:rsidRPr="00593A5F" w:rsidRDefault="00545493" w:rsidP="00BD66C1">
      <w:pPr>
        <w:spacing w:after="0" w:line="240" w:lineRule="auto"/>
        <w:jc w:val="both"/>
        <w:rPr>
          <w:rFonts w:ascii="Verdana" w:eastAsia="Calibri" w:hAnsi="Verdana" w:cs="Arial"/>
          <w:color w:val="000000"/>
          <w:lang w:val="es-ES"/>
        </w:rPr>
      </w:pPr>
    </w:p>
    <w:p w14:paraId="0586748D" w14:textId="77777777" w:rsidR="00BD66C1" w:rsidRPr="00B96799" w:rsidRDefault="00BD66C1" w:rsidP="00BD66C1">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231F1A9" w14:textId="77777777" w:rsidR="00BD66C1" w:rsidRPr="0085423D" w:rsidRDefault="00BD66C1" w:rsidP="00BD66C1">
      <w:pPr>
        <w:spacing w:after="0" w:line="240" w:lineRule="auto"/>
        <w:rPr>
          <w:rFonts w:ascii="Verdana" w:eastAsia="Calibri" w:hAnsi="Verdana" w:cs="Arial"/>
          <w:b/>
          <w:lang w:val="es-ES_tradnl" w:eastAsia="es-ES_tradnl"/>
        </w:rPr>
      </w:pPr>
      <w:r w:rsidRPr="00857981">
        <w:rPr>
          <w:rFonts w:ascii="Verdana" w:eastAsia="Calibri" w:hAnsi="Verdana" w:cs="Arial"/>
          <w:b/>
          <w:lang w:val="es-ES_tradnl" w:eastAsia="es-ES_tradnl"/>
        </w:rPr>
        <w:t xml:space="preserve">Isabela Meza Bedoya </w:t>
      </w:r>
      <w:r>
        <w:rPr>
          <w:rFonts w:ascii="Verdana" w:eastAsia="Calibri" w:hAnsi="Verdana" w:cs="Arial"/>
          <w:b/>
          <w:lang w:val="es-ES_tradnl" w:eastAsia="es-ES_tradnl"/>
        </w:rPr>
        <w:t xml:space="preserve"> </w:t>
      </w:r>
    </w:p>
    <w:p w14:paraId="211088DC" w14:textId="77777777" w:rsidR="00BD66C1" w:rsidRPr="00857981" w:rsidRDefault="00BD66C1" w:rsidP="00BD66C1">
      <w:pPr>
        <w:spacing w:after="0" w:line="240" w:lineRule="auto"/>
        <w:rPr>
          <w:rFonts w:ascii="Verdana" w:eastAsia="Calibri" w:hAnsi="Verdana" w:cs="Arial"/>
          <w:lang w:val="es-ES" w:eastAsia="es-ES"/>
        </w:rPr>
      </w:pPr>
      <w:hyperlink r:id="rId11" w:history="1">
        <w:r w:rsidRPr="0042056B">
          <w:rPr>
            <w:rStyle w:val="Hipervnculo"/>
            <w:rFonts w:ascii="Verdana" w:hAnsi="Verdana"/>
          </w:rPr>
          <w:t>imezabedoya@gmail.com</w:t>
        </w:r>
      </w:hyperlink>
      <w:r>
        <w:rPr>
          <w:rFonts w:ascii="Verdana" w:hAnsi="Verdana"/>
        </w:rPr>
        <w:t xml:space="preserve"> </w:t>
      </w:r>
      <w:r w:rsidRPr="00857981">
        <w:rPr>
          <w:rFonts w:ascii="Verdana" w:hAnsi="Verdana"/>
        </w:rPr>
        <w:t xml:space="preserve">              </w:t>
      </w:r>
      <w:r w:rsidRPr="00857981">
        <w:rPr>
          <w:rFonts w:ascii="Verdana" w:eastAsia="Calibri" w:hAnsi="Verdana" w:cs="Arial"/>
          <w:lang w:val="es-ES" w:eastAsia="es-ES"/>
        </w:rPr>
        <w:t xml:space="preserve">    </w:t>
      </w:r>
    </w:p>
    <w:p w14:paraId="125F16B3" w14:textId="77777777" w:rsidR="00BD66C1" w:rsidRDefault="00BD66C1" w:rsidP="00BD66C1">
      <w:pPr>
        <w:spacing w:after="0" w:line="240" w:lineRule="auto"/>
        <w:rPr>
          <w:rFonts w:ascii="Verdana" w:eastAsia="Calibri" w:hAnsi="Verdana" w:cs="Arial"/>
          <w:lang w:val="es-ES" w:eastAsia="es-ES"/>
        </w:rPr>
      </w:pPr>
      <w:r w:rsidRPr="00966B6F">
        <w:rPr>
          <w:rFonts w:ascii="Verdana" w:eastAsia="Calibri" w:hAnsi="Verdana" w:cs="Arial"/>
          <w:lang w:val="es-ES" w:eastAsia="es-ES"/>
        </w:rPr>
        <w:t>Bogotá D.C.</w:t>
      </w:r>
      <w:r>
        <w:rPr>
          <w:rFonts w:ascii="Verdana" w:eastAsia="Calibri" w:hAnsi="Verdana" w:cs="Arial"/>
          <w:lang w:val="es-ES" w:eastAsia="es-ES"/>
        </w:rPr>
        <w:t xml:space="preserve"> </w:t>
      </w:r>
    </w:p>
    <w:p w14:paraId="64F67C09" w14:textId="77777777" w:rsidR="00BD66C1" w:rsidRPr="00593A5F" w:rsidRDefault="00BD66C1" w:rsidP="00BD66C1">
      <w:pPr>
        <w:spacing w:after="0" w:line="240" w:lineRule="auto"/>
        <w:rPr>
          <w:rFonts w:ascii="Verdana" w:eastAsia="Calibri" w:hAnsi="Verdana" w:cs="Arial"/>
          <w:b/>
          <w:bCs/>
          <w:color w:val="000000"/>
          <w:lang w:val="es-ES_tradnl" w:eastAsia="es-ES_tradnl"/>
        </w:rPr>
      </w:pPr>
    </w:p>
    <w:p w14:paraId="5F014926" w14:textId="77777777" w:rsidR="00BD66C1" w:rsidRPr="00593A5F" w:rsidRDefault="00BD66C1" w:rsidP="00BD66C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D66C1" w:rsidRPr="00593A5F" w14:paraId="38875252" w14:textId="77777777" w:rsidTr="009749F4">
        <w:trPr>
          <w:trHeight w:val="884"/>
        </w:trPr>
        <w:tc>
          <w:tcPr>
            <w:tcW w:w="2689" w:type="dxa"/>
          </w:tcPr>
          <w:p w14:paraId="4F601583" w14:textId="77777777" w:rsidR="00BD66C1" w:rsidRPr="00C00976" w:rsidRDefault="00BD66C1" w:rsidP="009749F4">
            <w:pPr>
              <w:jc w:val="both"/>
              <w:rPr>
                <w:rFonts w:ascii="Verdana" w:eastAsia="Calibri" w:hAnsi="Verdana" w:cs="Arial"/>
                <w:b/>
                <w:bCs/>
                <w:color w:val="7030A0"/>
                <w:lang w:val="es-ES_tradnl" w:eastAsia="es-ES_tradnl"/>
              </w:rPr>
            </w:pPr>
          </w:p>
        </w:tc>
        <w:tc>
          <w:tcPr>
            <w:tcW w:w="6100" w:type="dxa"/>
          </w:tcPr>
          <w:p w14:paraId="34263335" w14:textId="77777777" w:rsidR="00BD66C1" w:rsidRPr="00C00976" w:rsidRDefault="00BD66C1" w:rsidP="009749F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1763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BD66C1" w:rsidRPr="00593A5F" w14:paraId="5BB88266" w14:textId="77777777" w:rsidTr="009749F4">
        <w:trPr>
          <w:trHeight w:val="884"/>
        </w:trPr>
        <w:tc>
          <w:tcPr>
            <w:tcW w:w="2689" w:type="dxa"/>
          </w:tcPr>
          <w:p w14:paraId="3A6DD401" w14:textId="77777777" w:rsidR="00BD66C1" w:rsidRPr="00593A5F" w:rsidRDefault="00BD66C1" w:rsidP="009749F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26AF764" w14:textId="77777777" w:rsidR="00BD66C1" w:rsidRPr="00A11406" w:rsidRDefault="00BD66C1" w:rsidP="009749F4">
            <w:pPr>
              <w:spacing w:line="276" w:lineRule="auto"/>
              <w:jc w:val="both"/>
              <w:rPr>
                <w:rFonts w:ascii="Verdana" w:eastAsia="Calibri" w:hAnsi="Verdana" w:cs="Arial"/>
                <w:lang w:val="es-ES" w:eastAsia="es-ES"/>
              </w:rPr>
            </w:pPr>
            <w:r w:rsidRPr="00397C24">
              <w:rPr>
                <w:rFonts w:ascii="Verdana" w:eastAsia="Calibri" w:hAnsi="Verdana" w:cs="Arial"/>
                <w:lang w:val="es-ES" w:eastAsia="es-ES"/>
              </w:rPr>
              <w:t>DOCUMENTOS EN IDIOMA DIFERENTE AL CASTELLANO ‒ Valor probatorio – Contratación estatal</w:t>
            </w:r>
            <w:r>
              <w:rPr>
                <w:rFonts w:ascii="Verdana" w:eastAsia="Calibri" w:hAnsi="Verdana" w:cs="Arial"/>
                <w:lang w:val="es-ES" w:eastAsia="es-ES"/>
              </w:rPr>
              <w:t xml:space="preserve"> / </w:t>
            </w:r>
            <w:r w:rsidRPr="00397C24">
              <w:rPr>
                <w:rFonts w:ascii="Verdana" w:eastAsia="Calibri" w:hAnsi="Verdana" w:cs="Arial"/>
                <w:lang w:val="es-ES" w:eastAsia="es-ES"/>
              </w:rPr>
              <w:t>DOCUMENTOS EN IDIOMA DIFERENTE AL CASTELLANO – Apostilla – Legalización – Traducción oficial – Fundamento jurídico</w:t>
            </w:r>
            <w:r>
              <w:rPr>
                <w:rFonts w:ascii="Verdana" w:eastAsia="Calibri" w:hAnsi="Verdana" w:cs="Arial"/>
                <w:lang w:val="es-ES" w:eastAsia="es-ES"/>
              </w:rPr>
              <w:t xml:space="preserve"> / </w:t>
            </w:r>
            <w:r w:rsidRPr="00397C24">
              <w:rPr>
                <w:rFonts w:ascii="Verdana" w:eastAsia="Calibri" w:hAnsi="Verdana" w:cs="Arial"/>
                <w:lang w:val="es-ES" w:eastAsia="es-ES"/>
              </w:rPr>
              <w:t>DOCUMENTOS TIPO – Traducciones – Certificación – Subsanabilidad</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CA186AC" w14:textId="77777777" w:rsidR="00BD66C1" w:rsidRPr="00593A5F" w:rsidRDefault="00BD66C1" w:rsidP="009749F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D66C1" w:rsidRPr="008E6AD9" w14:paraId="048E5826" w14:textId="77777777" w:rsidTr="009749F4">
        <w:tc>
          <w:tcPr>
            <w:tcW w:w="2689" w:type="dxa"/>
          </w:tcPr>
          <w:p w14:paraId="506F5DF1" w14:textId="77777777" w:rsidR="00BD66C1" w:rsidRPr="008E6AD9" w:rsidRDefault="00BD66C1" w:rsidP="009749F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B73CD0D" w14:textId="77777777" w:rsidR="00BD66C1" w:rsidRPr="00B92340" w:rsidRDefault="00BD66C1" w:rsidP="009749F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966B6F">
              <w:rPr>
                <w:rFonts w:ascii="Verdana" w:eastAsia="Calibri" w:hAnsi="Verdana" w:cs="Arial"/>
                <w:lang w:val="es-ES_tradnl" w:eastAsia="es-ES_tradnl"/>
              </w:rPr>
              <w:t>1_2025_11_26_013337</w:t>
            </w:r>
            <w:r>
              <w:rPr>
                <w:rFonts w:ascii="Verdana" w:eastAsia="Calibri" w:hAnsi="Verdana" w:cs="Arial"/>
                <w:lang w:val="es-ES_tradnl" w:eastAsia="es-ES_tradnl"/>
              </w:rPr>
              <w:t xml:space="preserve">                                   </w:t>
            </w:r>
          </w:p>
        </w:tc>
      </w:tr>
    </w:tbl>
    <w:p w14:paraId="63D856E9" w14:textId="77777777" w:rsidR="00BD66C1" w:rsidRPr="00593A5F" w:rsidRDefault="00BD66C1" w:rsidP="00BD66C1">
      <w:pPr>
        <w:spacing w:after="0" w:line="240" w:lineRule="auto"/>
        <w:jc w:val="both"/>
        <w:rPr>
          <w:rFonts w:ascii="Verdana" w:eastAsia="Calibri" w:hAnsi="Verdana" w:cs="Arial"/>
          <w:color w:val="000000"/>
          <w:lang w:val="es-ES_tradnl" w:eastAsia="es-ES_tradnl"/>
        </w:rPr>
      </w:pPr>
    </w:p>
    <w:p w14:paraId="7D8B0FD1" w14:textId="77777777" w:rsidR="00BD66C1" w:rsidRPr="00593A5F" w:rsidRDefault="00BD66C1" w:rsidP="00BD66C1">
      <w:pPr>
        <w:spacing w:after="0" w:line="240" w:lineRule="auto"/>
        <w:jc w:val="both"/>
        <w:rPr>
          <w:rFonts w:ascii="Verdana" w:eastAsia="Calibri" w:hAnsi="Verdana" w:cs="Arial"/>
          <w:color w:val="000000"/>
          <w:lang w:val="es-ES_tradnl" w:eastAsia="es-ES_tradnl"/>
        </w:rPr>
      </w:pPr>
    </w:p>
    <w:p w14:paraId="5AEAC9B3" w14:textId="77777777" w:rsidR="00BD66C1" w:rsidRPr="008E6AD9" w:rsidRDefault="00BD66C1" w:rsidP="00BD66C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966B6F">
        <w:rPr>
          <w:rFonts w:ascii="Verdana" w:eastAsia="Calibri" w:hAnsi="Verdana" w:cs="Arial"/>
          <w:lang w:val="es-ES" w:eastAsia="es-ES"/>
        </w:rPr>
        <w:t>Meza Bedoya</w:t>
      </w:r>
      <w:r w:rsidRPr="008E6AD9">
        <w:rPr>
          <w:rFonts w:ascii="Verdana" w:eastAsia="Calibri" w:hAnsi="Verdana" w:cs="Arial"/>
          <w:lang w:val="es-ES" w:eastAsia="es-ES"/>
        </w:rPr>
        <w:t xml:space="preserve">: </w:t>
      </w:r>
    </w:p>
    <w:p w14:paraId="7C48ACC5" w14:textId="77777777" w:rsidR="00BD66C1" w:rsidRDefault="00BD66C1" w:rsidP="00BD66C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B18EC1E" w14:textId="77777777" w:rsidR="00BD66C1" w:rsidRPr="00593A5F" w:rsidRDefault="00BD66C1" w:rsidP="00BD66C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26 de noviembre de 2025, donde pregunta lo siguiente</w:t>
      </w:r>
      <w:r w:rsidRPr="008E6AD9">
        <w:rPr>
          <w:rFonts w:ascii="Verdana" w:eastAsia="Calibri" w:hAnsi="Verdana" w:cs="Arial"/>
          <w:lang w:val="es-ES" w:eastAsia="es-ES"/>
        </w:rPr>
        <w:t xml:space="preserve">: </w:t>
      </w:r>
    </w:p>
    <w:p w14:paraId="5626F99D" w14:textId="77777777" w:rsidR="00BD66C1" w:rsidRPr="00272A7B" w:rsidRDefault="00BD66C1" w:rsidP="00BD66C1">
      <w:pPr>
        <w:pStyle w:val="Prrafodelista"/>
        <w:tabs>
          <w:tab w:val="left" w:pos="142"/>
          <w:tab w:val="left" w:pos="284"/>
        </w:tabs>
        <w:spacing w:after="0" w:line="276" w:lineRule="auto"/>
        <w:ind w:left="0"/>
        <w:jc w:val="both"/>
        <w:rPr>
          <w:rFonts w:ascii="Verdana" w:eastAsia="Century Gothic" w:hAnsi="Verdana" w:cs="Century Gothic"/>
          <w:b/>
          <w:bCs/>
        </w:rPr>
      </w:pPr>
    </w:p>
    <w:p w14:paraId="3042D726" w14:textId="77777777" w:rsidR="00BD66C1" w:rsidRPr="00CA6B88" w:rsidRDefault="00BD66C1" w:rsidP="00BD66C1">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CA6B88">
        <w:rPr>
          <w:rFonts w:ascii="Verdana" w:eastAsia="Century Gothic" w:hAnsi="Verdana" w:cs="Century Gothic"/>
          <w:sz w:val="20"/>
          <w:szCs w:val="20"/>
          <w:lang w:val="es-ES"/>
        </w:rPr>
        <w:t>1. Teniendo en cuenta que la Circular Externa Única de Colombia Compra</w:t>
      </w:r>
      <w:r>
        <w:rPr>
          <w:rFonts w:ascii="Verdana" w:eastAsia="Century Gothic" w:hAnsi="Verdana" w:cs="Century Gothic"/>
          <w:sz w:val="20"/>
          <w:szCs w:val="20"/>
          <w:lang w:val="es-ES"/>
        </w:rPr>
        <w:t xml:space="preserve"> </w:t>
      </w:r>
      <w:r w:rsidRPr="00CA6B88">
        <w:rPr>
          <w:rFonts w:ascii="Verdana" w:eastAsia="Century Gothic" w:hAnsi="Verdana" w:cs="Century Gothic"/>
          <w:sz w:val="20"/>
          <w:szCs w:val="20"/>
          <w:lang w:val="es-ES"/>
        </w:rPr>
        <w:t xml:space="preserve">Eficiente permite presentar una traducción simple con la oferta y la traducción oficial en el término de subsanación, ¿se debe entender esta </w:t>
      </w:r>
      <w:r w:rsidRPr="00CA6B88">
        <w:rPr>
          <w:rFonts w:ascii="Verdana" w:eastAsia="Century Gothic" w:hAnsi="Verdana" w:cs="Century Gothic"/>
          <w:sz w:val="20"/>
          <w:szCs w:val="20"/>
          <w:lang w:val="es-ES"/>
        </w:rPr>
        <w:lastRenderedPageBreak/>
        <w:t xml:space="preserve">directriz como una regla general aplicable a todos los documentos de una oferta (subsanables e insubsanables) que requieran traducción, sin excepción? </w:t>
      </w:r>
    </w:p>
    <w:p w14:paraId="0F44A1DA" w14:textId="77777777" w:rsidR="00BD66C1" w:rsidRPr="00CA6B88" w:rsidRDefault="00BD66C1" w:rsidP="00BD66C1">
      <w:pPr>
        <w:spacing w:after="12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 xml:space="preserve">2. ¿Existen casos específicos o tipos de documentos para los cuales la traducción oficial no es subsanable y debe ser presentada obligatoriamente con la oferta inicial? De ser así, ¿cuáles son esos casos? </w:t>
      </w:r>
    </w:p>
    <w:p w14:paraId="5701E1E4" w14:textId="77777777" w:rsidR="00BD66C1" w:rsidRPr="00CA6B88" w:rsidRDefault="00BD66C1" w:rsidP="00BD66C1">
      <w:pPr>
        <w:spacing w:after="12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 xml:space="preserve">3. Considerando que el numeral 15 del artículo 25 de la Ley 80 de 1993 establece que las autoridades no exigirán traducciones oficiales salvo que </w:t>
      </w:r>
    </w:p>
    <w:p w14:paraId="7E43BC6B" w14:textId="77777777" w:rsidR="00BD66C1" w:rsidRDefault="00BD66C1" w:rsidP="00BD66C1">
      <w:pPr>
        <w:spacing w:after="12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una ley especial lo requiera, pero a su vez Colombia Compra Eficiente ha indicado que las entidades son autónomas para fijar sus exigencias, ¿cómo debe un proponente interpretar esta autonomía? ¿Puede una Entidad Estatal, en sus pliegos de condiciones, exigir una traducción oficial para un documento privado aun cuando no exista una ley especial que así lo ordene?</w:t>
      </w:r>
    </w:p>
    <w:p w14:paraId="07A057D9" w14:textId="77777777" w:rsidR="00BD66C1" w:rsidRPr="00CA6B88" w:rsidRDefault="00BD66C1" w:rsidP="00BD66C1">
      <w:pPr>
        <w:spacing w:after="12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 xml:space="preserve">4. Bajo el principio de legalidad y el artículo 25 de la Ley 80 de 1993, ¿sería una exigencia desproporcionada que se rechace una oferta por no presentar una traducción oficial de un documento privado, si en su lugar se aportó una traducción simple? </w:t>
      </w:r>
    </w:p>
    <w:p w14:paraId="2D56E6CA" w14:textId="77777777" w:rsidR="00BD66C1" w:rsidRPr="00CA6B88" w:rsidRDefault="00BD66C1" w:rsidP="00BD66C1">
      <w:pPr>
        <w:spacing w:after="12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 xml:space="preserve">5. Los Documentos Tipo establecen que, para la validez de la traducción oficial, se debe presentar </w:t>
      </w:r>
      <w:r>
        <w:rPr>
          <w:rFonts w:ascii="Verdana" w:eastAsia="Century Gothic" w:hAnsi="Verdana" w:cs="Century Gothic"/>
          <w:sz w:val="20"/>
          <w:szCs w:val="20"/>
          <w:lang w:val="es-ES"/>
        </w:rPr>
        <w:t>‘</w:t>
      </w:r>
      <w:r w:rsidRPr="00CA6B88">
        <w:rPr>
          <w:rFonts w:ascii="Verdana" w:eastAsia="Century Gothic" w:hAnsi="Verdana" w:cs="Century Gothic"/>
          <w:i/>
          <w:iCs/>
          <w:sz w:val="20"/>
          <w:szCs w:val="20"/>
          <w:lang w:val="es-ES"/>
        </w:rPr>
        <w:t>el documento que certifica la aprobación de la prueba por parte del Centro Universitario</w:t>
      </w:r>
      <w:r>
        <w:rPr>
          <w:rFonts w:ascii="Verdana" w:eastAsia="Century Gothic" w:hAnsi="Verdana" w:cs="Century Gothic"/>
          <w:sz w:val="20"/>
          <w:szCs w:val="20"/>
          <w:lang w:val="es-ES"/>
        </w:rPr>
        <w:t>’</w:t>
      </w:r>
      <w:r w:rsidRPr="00CA6B88">
        <w:rPr>
          <w:rFonts w:ascii="Verdana" w:eastAsia="Century Gothic" w:hAnsi="Verdana" w:cs="Century Gothic"/>
          <w:sz w:val="20"/>
          <w:szCs w:val="20"/>
          <w:lang w:val="es-ES"/>
        </w:rPr>
        <w:t xml:space="preserve">. ¿Significa esto que, además de la traducción firmada y con el sello del traductor oficial, el proponente debe anexar una copia de certificado de idoneidad del traductor en cada proceso de contratación? </w:t>
      </w:r>
    </w:p>
    <w:p w14:paraId="79E0ADBE" w14:textId="77777777" w:rsidR="00BD66C1" w:rsidRPr="00CA6B88" w:rsidRDefault="00BD66C1" w:rsidP="00BD66C1">
      <w:pPr>
        <w:spacing w:after="12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 xml:space="preserve">6. ¿Se puede presumir la validez y legalidad de la actuación de un traductor oficial por el hecho de tener la licencia para desempeñarse como traductor, y colocar el sello y firmar como tal? </w:t>
      </w:r>
    </w:p>
    <w:p w14:paraId="3B765479" w14:textId="77777777" w:rsidR="00BD66C1" w:rsidRPr="001904AF" w:rsidRDefault="00BD66C1" w:rsidP="00BD66C1">
      <w:pPr>
        <w:spacing w:after="0" w:line="240" w:lineRule="auto"/>
        <w:ind w:left="709" w:right="709"/>
        <w:jc w:val="both"/>
        <w:rPr>
          <w:rFonts w:ascii="Verdana" w:eastAsia="Century Gothic" w:hAnsi="Verdana" w:cs="Century Gothic"/>
          <w:sz w:val="20"/>
          <w:szCs w:val="20"/>
          <w:lang w:val="es-ES"/>
        </w:rPr>
      </w:pPr>
      <w:r w:rsidRPr="00CA6B88">
        <w:rPr>
          <w:rFonts w:ascii="Verdana" w:eastAsia="Century Gothic" w:hAnsi="Verdana" w:cs="Century Gothic"/>
          <w:sz w:val="20"/>
          <w:szCs w:val="20"/>
          <w:lang w:val="es-ES"/>
        </w:rPr>
        <w:t>7. ¿Cuál es la consecuencia jurídica si un proponente presenta una traducción oficial correcta, firmada por un traductor debidamente registrado y con el sello que refiere el número de su licencia, pero omite adjuntar la copia del certificado de idoneidad del traductor? ¿Sería este un requisito subsanable?</w:t>
      </w:r>
      <w:r w:rsidRPr="001904AF">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(Énfasis dentro del texto)</w:t>
      </w:r>
    </w:p>
    <w:p w14:paraId="459388F0" w14:textId="77777777" w:rsidR="00BD66C1" w:rsidRPr="008E6AD9" w:rsidRDefault="00BD66C1" w:rsidP="00BD66C1">
      <w:pPr>
        <w:pStyle w:val="Prrafodelista"/>
        <w:tabs>
          <w:tab w:val="left" w:pos="142"/>
          <w:tab w:val="left" w:pos="284"/>
        </w:tabs>
        <w:spacing w:after="0" w:line="276" w:lineRule="auto"/>
        <w:ind w:left="0"/>
        <w:jc w:val="both"/>
        <w:rPr>
          <w:rFonts w:ascii="Verdana" w:eastAsia="Century Gothic" w:hAnsi="Verdana" w:cs="Century Gothic"/>
          <w:b/>
          <w:bCs/>
        </w:rPr>
      </w:pPr>
    </w:p>
    <w:p w14:paraId="47F93701" w14:textId="77777777" w:rsidR="00BD66C1" w:rsidRPr="00A652FF" w:rsidRDefault="00BD66C1" w:rsidP="00BD66C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w:t>
      </w:r>
      <w:r w:rsidRPr="00593A5F">
        <w:rPr>
          <w:rFonts w:ascii="Verdana" w:eastAsia="Calibri" w:hAnsi="Verdana" w:cs="Arial"/>
          <w:color w:val="000000"/>
          <w:lang w:val="es-ES" w:eastAsia="es-ES"/>
        </w:rPr>
        <w:lastRenderedPageBreak/>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EBFF6B5" w14:textId="77777777" w:rsidR="00BD66C1" w:rsidRDefault="00BD66C1" w:rsidP="00BD66C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5685352" w14:textId="77777777" w:rsidR="00BD66C1" w:rsidRPr="00593A5F" w:rsidRDefault="00BD66C1" w:rsidP="00BD66C1">
      <w:pPr>
        <w:spacing w:after="0" w:line="276" w:lineRule="auto"/>
        <w:ind w:firstLine="709"/>
        <w:jc w:val="both"/>
        <w:rPr>
          <w:rFonts w:ascii="Verdana" w:eastAsia="Calibri" w:hAnsi="Verdana" w:cs="Arial"/>
          <w:color w:val="000000"/>
          <w:lang w:val="es-ES" w:eastAsia="es-ES"/>
        </w:rPr>
      </w:pPr>
    </w:p>
    <w:p w14:paraId="6E515B42" w14:textId="77777777" w:rsidR="00BD66C1" w:rsidRPr="00593A5F" w:rsidRDefault="00BD66C1" w:rsidP="00BD66C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226F773" w14:textId="77777777" w:rsidR="00BD66C1" w:rsidRPr="00593A5F" w:rsidRDefault="00BD66C1" w:rsidP="00BD66C1">
      <w:pPr>
        <w:tabs>
          <w:tab w:val="left" w:pos="426"/>
        </w:tabs>
        <w:spacing w:after="0" w:line="276" w:lineRule="auto"/>
        <w:jc w:val="both"/>
        <w:rPr>
          <w:rFonts w:ascii="Verdana" w:eastAsia="Century Gothic" w:hAnsi="Verdana" w:cs="Century Gothic"/>
          <w:lang w:val="es-ES"/>
        </w:rPr>
      </w:pPr>
    </w:p>
    <w:p w14:paraId="6BEFD602" w14:textId="77777777" w:rsidR="00BD66C1" w:rsidRPr="00593A5F" w:rsidRDefault="00BD66C1" w:rsidP="00BD66C1">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D85592">
        <w:rPr>
          <w:rFonts w:ascii="Verdana" w:eastAsia="Century Gothic" w:hAnsi="Verdana" w:cs="Century Gothic"/>
        </w:rPr>
        <w:t xml:space="preserve">¿cuál es el marco normativo </w:t>
      </w:r>
      <w:r>
        <w:rPr>
          <w:rFonts w:ascii="Verdana" w:eastAsia="Century Gothic" w:hAnsi="Verdana" w:cs="Century Gothic"/>
        </w:rPr>
        <w:t>para la traducción de los documentos y para la subsanibilidad de las ofertas en los procesos de selección</w:t>
      </w:r>
      <w:r w:rsidRPr="00D85592">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6AF205C2" w14:textId="77777777" w:rsidR="00BD66C1" w:rsidRPr="004B140F" w:rsidRDefault="00BD66C1" w:rsidP="00BD66C1">
      <w:pPr>
        <w:spacing w:after="0" w:line="276" w:lineRule="auto"/>
        <w:jc w:val="both"/>
        <w:rPr>
          <w:rFonts w:ascii="Verdana" w:eastAsia="Calibri" w:hAnsi="Verdana" w:cs="Arial"/>
          <w:color w:val="7030A0"/>
        </w:rPr>
      </w:pPr>
    </w:p>
    <w:p w14:paraId="61D3C70E" w14:textId="77777777" w:rsidR="00BD66C1" w:rsidRPr="00593A5F" w:rsidRDefault="00BD66C1" w:rsidP="00BD66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4884D5D" w14:textId="77777777" w:rsidR="00BD66C1" w:rsidRPr="00593A5F" w:rsidRDefault="00BD66C1" w:rsidP="00BD66C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66C1" w:rsidRPr="00593A5F" w14:paraId="549FD4D8" w14:textId="77777777" w:rsidTr="009749F4">
        <w:trPr>
          <w:jc w:val="center"/>
        </w:trPr>
        <w:tc>
          <w:tcPr>
            <w:tcW w:w="8828" w:type="dxa"/>
          </w:tcPr>
          <w:p w14:paraId="4C0CA421" w14:textId="77777777" w:rsidR="00BD66C1" w:rsidRPr="000C0EFB" w:rsidRDefault="00BD66C1" w:rsidP="009749F4">
            <w:pPr>
              <w:spacing w:after="120" w:line="276" w:lineRule="auto"/>
              <w:jc w:val="both"/>
              <w:rPr>
                <w:rFonts w:ascii="Verdana" w:eastAsia="Times New Roman" w:hAnsi="Verdana" w:cs="Arial"/>
                <w:lang w:eastAsia="es-CO"/>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0A6F76">
              <w:rPr>
                <w:rFonts w:ascii="Verdana" w:eastAsia="Arial" w:hAnsi="Verdana" w:cs="Arial"/>
                <w:lang w:eastAsia="es-ES" w:bidi="es-ES"/>
              </w:rPr>
              <w:t xml:space="preserve">el numeral 8.4 de la Circular Externa Única explica que “Para que los documentos en un idioma distinto al castellano puedan ser apreciados en el Proceso de Contratación deben ser presentados en su lengua original junto con la </w:t>
            </w:r>
            <w:r w:rsidRPr="000A6F76">
              <w:rPr>
                <w:rFonts w:ascii="Verdana" w:eastAsia="Arial" w:hAnsi="Verdana" w:cs="Arial"/>
                <w:i/>
                <w:iCs/>
                <w:lang w:eastAsia="es-ES" w:bidi="es-ES"/>
              </w:rPr>
              <w:t>traducción oficial al castellano</w:t>
            </w:r>
            <w:r w:rsidRPr="000A6F76">
              <w:rPr>
                <w:rFonts w:ascii="Verdana" w:eastAsia="Arial" w:hAnsi="Verdana" w:cs="Arial"/>
                <w:lang w:eastAsia="es-ES" w:bidi="es-ES"/>
              </w:rPr>
              <w:t xml:space="preserve">. El proponente puede presentar con la oferta documentos con una traducción simple y entregar la </w:t>
            </w:r>
            <w:r w:rsidRPr="000A6F76">
              <w:rPr>
                <w:rFonts w:ascii="Verdana" w:eastAsia="Arial" w:hAnsi="Verdana" w:cs="Arial"/>
                <w:i/>
                <w:iCs/>
                <w:lang w:eastAsia="es-ES" w:bidi="es-ES"/>
              </w:rPr>
              <w:t>traducción oficial al castellano</w:t>
            </w:r>
            <w:r w:rsidRPr="000A6F76">
              <w:rPr>
                <w:rFonts w:ascii="Verdana" w:eastAsia="Arial" w:hAnsi="Verdana" w:cs="Arial"/>
                <w:lang w:eastAsia="es-ES" w:bidi="es-ES"/>
              </w:rPr>
              <w:t xml:space="preserve"> dentro del plazo previsto para la subsanación. La </w:t>
            </w:r>
            <w:r w:rsidRPr="000A6F76">
              <w:rPr>
                <w:rFonts w:ascii="Verdana" w:eastAsia="Arial" w:hAnsi="Verdana" w:cs="Arial"/>
                <w:i/>
                <w:iCs/>
                <w:lang w:eastAsia="es-ES" w:bidi="es-ES"/>
              </w:rPr>
              <w:t>traducción oficial</w:t>
            </w:r>
            <w:r w:rsidRPr="000A6F76">
              <w:rPr>
                <w:rFonts w:ascii="Verdana" w:eastAsia="Arial" w:hAnsi="Verdana" w:cs="Arial"/>
                <w:lang w:eastAsia="es-ES" w:bidi="es-ES"/>
              </w:rPr>
              <w:t xml:space="preserve"> debe ser el mismo texto presentado” (Énfasis fuera de texto)</w:t>
            </w:r>
          </w:p>
          <w:p w14:paraId="1C015A6F" w14:textId="77777777" w:rsidR="00BD66C1" w:rsidRDefault="00BD66C1" w:rsidP="009749F4">
            <w:pPr>
              <w:spacing w:after="120" w:line="276" w:lineRule="auto"/>
              <w:ind w:firstLine="737"/>
              <w:jc w:val="both"/>
              <w:rPr>
                <w:rFonts w:ascii="Verdana" w:hAnsi="Verdana" w:cs="Arial"/>
                <w:bCs/>
              </w:rPr>
            </w:pPr>
            <w:r>
              <w:rPr>
                <w:rFonts w:ascii="Verdana" w:hAnsi="Verdana" w:cs="Arial"/>
                <w:bCs/>
              </w:rPr>
              <w:t>Conforme al numeral 8.1 de la Circular Externa Única, l</w:t>
            </w:r>
            <w:r w:rsidRPr="00F8610D">
              <w:rPr>
                <w:rFonts w:ascii="Verdana" w:hAnsi="Verdana" w:cs="Arial"/>
                <w:bCs/>
              </w:rPr>
              <w:t xml:space="preserve">os </w:t>
            </w:r>
            <w:r w:rsidRPr="00F47A42">
              <w:rPr>
                <w:rFonts w:ascii="Verdana" w:hAnsi="Verdana" w:cs="Arial"/>
                <w:bCs/>
                <w:i/>
                <w:iCs/>
              </w:rPr>
              <w:t>documentos públicos expedidos en el exterior</w:t>
            </w:r>
            <w:r w:rsidRPr="00F8610D">
              <w:rPr>
                <w:rFonts w:ascii="Verdana" w:hAnsi="Verdana" w:cs="Arial"/>
                <w:bCs/>
              </w:rPr>
              <w:t xml:space="preserve">, por un país signatario de la Convención de La Haya de 1961, sobre la abolición del requisito de legalización, deben </w:t>
            </w:r>
            <w:r w:rsidRPr="00671103">
              <w:rPr>
                <w:rFonts w:ascii="Verdana" w:hAnsi="Verdana" w:cs="Arial"/>
                <w:bCs/>
                <w:i/>
                <w:iCs/>
              </w:rPr>
              <w:t>apostillarse</w:t>
            </w:r>
            <w:r w:rsidRPr="00F8610D">
              <w:rPr>
                <w:rFonts w:ascii="Verdana" w:hAnsi="Verdana" w:cs="Arial"/>
                <w:bCs/>
              </w:rPr>
              <w:t xml:space="preserve">; en cambio, los documentos públicos expedidos en el exterior, por un país signatario de la Convención de Viena de 1963, deben </w:t>
            </w:r>
            <w:r w:rsidRPr="00671103">
              <w:rPr>
                <w:rFonts w:ascii="Verdana" w:hAnsi="Verdana" w:cs="Arial"/>
                <w:bCs/>
                <w:i/>
                <w:iCs/>
              </w:rPr>
              <w:t>legalizarse</w:t>
            </w:r>
            <w:r w:rsidRPr="00F8610D">
              <w:rPr>
                <w:rFonts w:ascii="Verdana" w:hAnsi="Verdana" w:cs="Arial"/>
                <w:bCs/>
              </w:rPr>
              <w:t xml:space="preserve">. Los documentos privados otorgados en el extranjero no requieren apostilla ni legalización, salvo los que con posterioridad sean intervenidos por un funcionario público, en cuyo caso requieren apostille o legalización, en la forma </w:t>
            </w:r>
            <w:r w:rsidRPr="00F8610D">
              <w:rPr>
                <w:rFonts w:ascii="Verdana" w:hAnsi="Verdana" w:cs="Arial"/>
                <w:bCs/>
              </w:rPr>
              <w:lastRenderedPageBreak/>
              <w:t>indicada antes.</w:t>
            </w:r>
            <w:r>
              <w:rPr>
                <w:rFonts w:ascii="Verdana" w:hAnsi="Verdana" w:cs="Arial"/>
                <w:bCs/>
              </w:rPr>
              <w:t xml:space="preserve"> Estos dos (2) trámites deben realizarse en las condiciones que dispone el Ministerio de Relaciones Exteriores en la Resolución </w:t>
            </w:r>
            <w:r w:rsidRPr="009F0179">
              <w:rPr>
                <w:rFonts w:ascii="Verdana" w:hAnsi="Verdana" w:cs="Arial"/>
                <w:bCs/>
              </w:rPr>
              <w:t>1959 de 2020, o la norma que la modifique, sustituya o complemente</w:t>
            </w:r>
            <w:r>
              <w:rPr>
                <w:rFonts w:ascii="Verdana" w:hAnsi="Verdana" w:cs="Arial"/>
                <w:bCs/>
              </w:rPr>
              <w:t xml:space="preserve">. </w:t>
            </w:r>
          </w:p>
          <w:p w14:paraId="7AF722FF" w14:textId="77777777" w:rsidR="00BD66C1" w:rsidRDefault="00BD66C1" w:rsidP="009749F4">
            <w:pPr>
              <w:spacing w:after="120" w:line="276" w:lineRule="auto"/>
              <w:ind w:firstLine="708"/>
              <w:jc w:val="both"/>
              <w:rPr>
                <w:rFonts w:ascii="Verdana" w:hAnsi="Verdana" w:cs="Arial"/>
                <w:bCs/>
              </w:rPr>
            </w:pPr>
            <w:r>
              <w:rPr>
                <w:rFonts w:ascii="Verdana" w:hAnsi="Verdana" w:cs="Arial"/>
                <w:bCs/>
              </w:rPr>
              <w:t xml:space="preserve">Fuera del criterio indicado en el párrafo precedente, los </w:t>
            </w:r>
            <w:r w:rsidRPr="00F47A42">
              <w:rPr>
                <w:rFonts w:ascii="Verdana" w:hAnsi="Verdana" w:cs="Arial"/>
                <w:bCs/>
                <w:i/>
                <w:iCs/>
              </w:rPr>
              <w:t>documentos privados en idioma distinto al castellano</w:t>
            </w:r>
            <w:r>
              <w:rPr>
                <w:rFonts w:ascii="Verdana" w:hAnsi="Verdana" w:cs="Arial"/>
                <w:bCs/>
              </w:rPr>
              <w:t xml:space="preserve"> sólo requieren la </w:t>
            </w:r>
            <w:r w:rsidRPr="003D2863">
              <w:rPr>
                <w:rFonts w:ascii="Verdana" w:hAnsi="Verdana" w:cs="Arial"/>
                <w:bCs/>
                <w:i/>
                <w:iCs/>
              </w:rPr>
              <w:t>traducción oficial</w:t>
            </w:r>
            <w:r>
              <w:rPr>
                <w:rFonts w:ascii="Verdana" w:hAnsi="Verdana" w:cs="Arial"/>
                <w:bCs/>
              </w:rPr>
              <w:t xml:space="preserve"> conforme a los previsto en el inciso primero del artículo 251 de la Ley 1564 de 2012, aplicable por remisión del artículo 77 de la Ley 80 de 1993. Precisamente, esta norma del Código General del Proceso sirvió de “Referencia Normativa” para el citado numeral 8.4 de la Circular. Por remisión del artículo 77 del EGCAP, </w:t>
            </w:r>
            <w:r w:rsidRPr="00300164">
              <w:rPr>
                <w:rFonts w:ascii="Verdana" w:hAnsi="Verdana" w:cs="Arial"/>
                <w:bCs/>
              </w:rPr>
              <w:t>el inciso primero del artículo 251 de la Ley 1564 de 2012</w:t>
            </w:r>
            <w:r>
              <w:rPr>
                <w:rFonts w:ascii="Verdana" w:hAnsi="Verdana" w:cs="Arial"/>
                <w:bCs/>
              </w:rPr>
              <w:t xml:space="preserve"> es el fundamento jurídico para solicitar </w:t>
            </w:r>
            <w:r w:rsidRPr="00300164">
              <w:rPr>
                <w:rFonts w:ascii="Verdana" w:hAnsi="Verdana" w:cs="Arial"/>
                <w:bCs/>
                <w:i/>
                <w:iCs/>
              </w:rPr>
              <w:t>traducciones oficiales</w:t>
            </w:r>
            <w:r>
              <w:rPr>
                <w:rFonts w:ascii="Verdana" w:hAnsi="Verdana" w:cs="Arial"/>
                <w:bCs/>
              </w:rPr>
              <w:t xml:space="preserve"> en las condiciones que exige tanto el artículo 25.15 de la Ley 80 de 1993 como el artículo 9.5 de la Ley 1437 de 2011. (Respuesta a la pregunta 3)</w:t>
            </w:r>
          </w:p>
          <w:p w14:paraId="76068632" w14:textId="77777777" w:rsidR="00BD66C1" w:rsidRDefault="00BD66C1" w:rsidP="009749F4">
            <w:pPr>
              <w:spacing w:after="120" w:line="276" w:lineRule="auto"/>
              <w:ind w:firstLine="708"/>
              <w:jc w:val="both"/>
              <w:rPr>
                <w:rFonts w:ascii="Verdana" w:hAnsi="Verdana" w:cs="Arial"/>
                <w:bCs/>
              </w:rPr>
            </w:pPr>
            <w:r>
              <w:rPr>
                <w:rFonts w:ascii="Verdana" w:hAnsi="Verdana" w:cs="Arial"/>
                <w:bCs/>
              </w:rPr>
              <w:t>En congruencia con este razonamiento, el numeral 1.8 del pliego de condiciones de los “Documentos Tipo – Versión 3” para licitación de obra pública de infraestructura de transporte dispuso que “</w:t>
            </w:r>
            <w:r w:rsidRPr="00DA5926">
              <w:rPr>
                <w:rFonts w:ascii="Verdana" w:hAnsi="Verdana" w:cs="Arial"/>
                <w:bCs/>
              </w:rPr>
              <w:t xml:space="preserve">Para que la traducción oficial de los documentos en idioma extranjero sea válida, la traducción se realizará en los términos del Decreto 382 de 1951 y el artículo 33 de la Ley 962 de 2005, o la norma que la modifique, sustituya o complemente. </w:t>
            </w:r>
            <w:r w:rsidRPr="00DA5926">
              <w:rPr>
                <w:rFonts w:ascii="Verdana" w:hAnsi="Verdana" w:cs="Arial"/>
                <w:bCs/>
                <w:i/>
                <w:iCs/>
              </w:rPr>
              <w:t>Es decir, junto con la traducción oficial se presentará el documento que certifica la aprobación de la prueba por parte del Centro Universitario que cuente con la facultad de idiomas debidamente acreditadas y reconocidas por el ICFES</w:t>
            </w:r>
            <w:r>
              <w:rPr>
                <w:rFonts w:ascii="Verdana" w:hAnsi="Verdana" w:cs="Arial"/>
                <w:bCs/>
              </w:rPr>
              <w:t>” (Énfasis fuera de texto)</w:t>
            </w:r>
            <w:r w:rsidRPr="00DA5926">
              <w:rPr>
                <w:rFonts w:ascii="Verdana" w:hAnsi="Verdana" w:cs="Arial"/>
                <w:bCs/>
              </w:rPr>
              <w:t>.</w:t>
            </w:r>
            <w:r>
              <w:rPr>
                <w:rFonts w:ascii="Verdana" w:hAnsi="Verdana" w:cs="Arial"/>
                <w:bCs/>
              </w:rPr>
              <w:t xml:space="preserve"> Este documento base exige tanto la traducción como la certificación, ya que –conforme al inciso segundo del artículo 33 de la Ley 962 de 2005– “</w:t>
            </w:r>
            <w:r w:rsidRPr="00DA5926">
              <w:rPr>
                <w:rFonts w:ascii="Verdana" w:hAnsi="Verdana" w:cs="Arial"/>
                <w:bCs/>
              </w:rPr>
              <w:t>El documento que expidan las Universidades en que conste la aprobación del examen correspondiente, esto es, la idoneidad para el ejercicio del oficio, constituye licencia para desempeñarse como traductor e intérprete oficial</w:t>
            </w:r>
            <w:r>
              <w:rPr>
                <w:rFonts w:ascii="Verdana" w:hAnsi="Verdana" w:cs="Arial"/>
                <w:bCs/>
              </w:rPr>
              <w:t>”</w:t>
            </w:r>
            <w:r w:rsidRPr="00DA5926">
              <w:rPr>
                <w:rFonts w:ascii="Verdana" w:hAnsi="Verdana" w:cs="Arial"/>
                <w:bCs/>
              </w:rPr>
              <w:t>.</w:t>
            </w:r>
            <w:r>
              <w:rPr>
                <w:rFonts w:ascii="Verdana" w:hAnsi="Verdana" w:cs="Arial"/>
                <w:bCs/>
              </w:rPr>
              <w:t xml:space="preserve"> (Respuesta a la pregunta 5)</w:t>
            </w:r>
          </w:p>
          <w:p w14:paraId="73572C37" w14:textId="66983847" w:rsidR="00BD66C1" w:rsidRPr="000A6F76" w:rsidRDefault="00BD66C1" w:rsidP="009749F4">
            <w:pPr>
              <w:spacing w:after="120" w:line="276" w:lineRule="auto"/>
              <w:ind w:firstLine="708"/>
              <w:jc w:val="both"/>
              <w:rPr>
                <w:rFonts w:ascii="Verdana" w:hAnsi="Verdana" w:cs="Arial"/>
                <w:bCs/>
              </w:rPr>
            </w:pPr>
            <w:r>
              <w:rPr>
                <w:rFonts w:ascii="Verdana" w:eastAsia="Arial" w:hAnsi="Verdana" w:cs="Arial"/>
                <w:color w:val="000000"/>
              </w:rPr>
              <w:t xml:space="preserve">Luego, conforme al </w:t>
            </w:r>
            <w:r>
              <w:rPr>
                <w:rFonts w:ascii="Verdana" w:hAnsi="Verdana" w:cs="Arial"/>
                <w:bCs/>
              </w:rPr>
              <w:t>parágrafo 1 del artículo 5 de la Ley 1150 de 2007,</w:t>
            </w:r>
            <w:r>
              <w:rPr>
                <w:rFonts w:ascii="Verdana" w:eastAsia="Arial" w:hAnsi="Verdana" w:cs="Arial"/>
                <w:color w:val="000000"/>
              </w:rPr>
              <w:t xml:space="preserve"> la subsanación de</w:t>
            </w:r>
            <w:r w:rsidRPr="00E046B1">
              <w:rPr>
                <w:rFonts w:ascii="Verdana" w:eastAsia="Arial" w:hAnsi="Verdana" w:cs="Arial"/>
                <w:color w:val="000000"/>
              </w:rPr>
              <w:t xml:space="preserve"> la entrega de la traducción oficial y/o certificación del traductor</w:t>
            </w:r>
            <w:r>
              <w:rPr>
                <w:rFonts w:ascii="Verdana" w:eastAsia="Arial" w:hAnsi="Verdana" w:cs="Arial"/>
                <w:color w:val="000000"/>
              </w:rPr>
              <w:t xml:space="preserve"> se refiere únicamente a los </w:t>
            </w:r>
            <w:r w:rsidRPr="00972D72">
              <w:rPr>
                <w:rFonts w:ascii="Verdana" w:eastAsia="Arial" w:hAnsi="Verdana" w:cs="Arial"/>
                <w:i/>
                <w:iCs/>
                <w:color w:val="000000"/>
              </w:rPr>
              <w:t>criterios que no otorgan puntaje</w:t>
            </w:r>
            <w:r>
              <w:rPr>
                <w:rFonts w:ascii="Verdana" w:eastAsia="Arial" w:hAnsi="Verdana" w:cs="Arial"/>
                <w:color w:val="000000"/>
              </w:rPr>
              <w:t xml:space="preserve">. El pliego de condiciones, en ausencia de la certificación </w:t>
            </w:r>
            <w:r>
              <w:rPr>
                <w:rFonts w:ascii="Verdana" w:hAnsi="Verdana" w:cs="Arial"/>
                <w:bCs/>
              </w:rPr>
              <w:t>del artículo 33 de la Ley 962 de 2005</w:t>
            </w:r>
            <w:r>
              <w:rPr>
                <w:rFonts w:ascii="Verdana" w:eastAsia="Arial" w:hAnsi="Verdana" w:cs="Arial"/>
                <w:color w:val="000000"/>
              </w:rPr>
              <w:t xml:space="preserve">, no reguló una presunción del validez frente al sello y la firma del documento. En consecuencia, la falta de uno u ambos requisitos permite aplicar la causal de rechazo del literal E del numeral 1.15 del documento base </w:t>
            </w:r>
            <w:r>
              <w:rPr>
                <w:rFonts w:ascii="Verdana" w:eastAsia="Arial" w:hAnsi="Verdana" w:cs="Arial"/>
                <w:color w:val="000000"/>
              </w:rPr>
              <w:lastRenderedPageBreak/>
              <w:t>en caso de “</w:t>
            </w:r>
            <w:r w:rsidRPr="00190AE5">
              <w:rPr>
                <w:rFonts w:ascii="Verdana" w:eastAsia="Arial" w:hAnsi="Verdana" w:cs="Arial"/>
                <w:color w:val="000000"/>
              </w:rPr>
              <w:t>Que el proponente no aclare, subsane o aporte documentos necesarios para cumplir un requisito habilitante o aportándolos no lo haga de forma correcta, en los términos establecidos en la sección 1.6</w:t>
            </w:r>
            <w:r>
              <w:rPr>
                <w:rFonts w:ascii="Verdana" w:eastAsia="Arial" w:hAnsi="Verdana" w:cs="Arial"/>
                <w:color w:val="000000"/>
              </w:rPr>
              <w:t>”</w:t>
            </w:r>
            <w:r w:rsidRPr="00190AE5">
              <w:rPr>
                <w:rFonts w:ascii="Verdana" w:eastAsia="Arial" w:hAnsi="Verdana" w:cs="Arial"/>
                <w:color w:val="000000"/>
              </w:rPr>
              <w:t>.</w:t>
            </w:r>
            <w:r>
              <w:rPr>
                <w:rFonts w:ascii="Verdana" w:eastAsia="Arial" w:hAnsi="Verdana" w:cs="Arial"/>
                <w:color w:val="000000"/>
              </w:rPr>
              <w:t xml:space="preserve"> Los </w:t>
            </w:r>
            <w:r w:rsidRPr="00972D72">
              <w:rPr>
                <w:rFonts w:ascii="Verdana" w:eastAsia="Arial" w:hAnsi="Verdana" w:cs="Arial"/>
                <w:i/>
                <w:iCs/>
                <w:color w:val="000000"/>
              </w:rPr>
              <w:t>criterios que otorgan puntaje</w:t>
            </w:r>
            <w:r>
              <w:rPr>
                <w:rFonts w:ascii="Verdana" w:eastAsia="Arial" w:hAnsi="Verdana" w:cs="Arial"/>
                <w:color w:val="000000"/>
              </w:rPr>
              <w:t xml:space="preserve">, por </w:t>
            </w:r>
            <w:r w:rsidR="0047328F">
              <w:rPr>
                <w:rFonts w:ascii="Verdana" w:eastAsia="Arial" w:hAnsi="Verdana" w:cs="Arial"/>
                <w:color w:val="000000"/>
              </w:rPr>
              <w:t xml:space="preserve">su </w:t>
            </w:r>
            <w:r>
              <w:rPr>
                <w:rFonts w:ascii="Verdana" w:eastAsia="Arial" w:hAnsi="Verdana" w:cs="Arial"/>
                <w:color w:val="000000"/>
              </w:rPr>
              <w:t xml:space="preserve">parte, son insubsanables durante el proceso de selección; razón por la cual, </w:t>
            </w:r>
            <w:r w:rsidRPr="00972D72">
              <w:rPr>
                <w:rFonts w:ascii="Verdana" w:eastAsia="Arial" w:hAnsi="Verdana" w:cs="Arial"/>
                <w:color w:val="000000"/>
              </w:rPr>
              <w:t xml:space="preserve">los documentos de soporte o prueba </w:t>
            </w:r>
            <w:r>
              <w:rPr>
                <w:rFonts w:ascii="Verdana" w:eastAsia="Arial" w:hAnsi="Verdana" w:cs="Arial"/>
                <w:color w:val="000000"/>
              </w:rPr>
              <w:t xml:space="preserve">sobre los mismos </w:t>
            </w:r>
            <w:r w:rsidRPr="00972D72">
              <w:rPr>
                <w:rFonts w:ascii="Verdana" w:eastAsia="Arial" w:hAnsi="Verdana" w:cs="Arial"/>
                <w:color w:val="000000"/>
              </w:rPr>
              <w:t xml:space="preserve">debe </w:t>
            </w:r>
            <w:r>
              <w:rPr>
                <w:rFonts w:ascii="Verdana" w:eastAsia="Arial" w:hAnsi="Verdana" w:cs="Arial"/>
                <w:color w:val="000000"/>
              </w:rPr>
              <w:t>presentarse</w:t>
            </w:r>
            <w:r w:rsidRPr="00972D72">
              <w:rPr>
                <w:rFonts w:ascii="Verdana" w:eastAsia="Arial" w:hAnsi="Verdana" w:cs="Arial"/>
                <w:color w:val="000000"/>
              </w:rPr>
              <w:t xml:space="preserve"> obligatoriamente con la oferta inicial</w:t>
            </w:r>
            <w:r>
              <w:rPr>
                <w:rFonts w:ascii="Verdana" w:eastAsia="Arial" w:hAnsi="Verdana" w:cs="Arial"/>
                <w:color w:val="000000"/>
              </w:rPr>
              <w:t>.</w:t>
            </w:r>
            <w:r>
              <w:rPr>
                <w:rFonts w:ascii="Verdana" w:hAnsi="Verdana" w:cs="Arial"/>
                <w:bCs/>
              </w:rPr>
              <w:t xml:space="preserve"> (Respuesta a las preguntas 1, 2, 4, 6 y 7)</w:t>
            </w:r>
          </w:p>
          <w:p w14:paraId="72482427" w14:textId="77777777" w:rsidR="00BD66C1" w:rsidRPr="001941FD" w:rsidRDefault="00BD66C1" w:rsidP="009749F4">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2B532DF" w14:textId="77777777" w:rsidR="00BD66C1" w:rsidRPr="00593A5F" w:rsidRDefault="00BD66C1" w:rsidP="00BD66C1">
      <w:pPr>
        <w:tabs>
          <w:tab w:val="left" w:pos="142"/>
          <w:tab w:val="left" w:pos="284"/>
        </w:tabs>
        <w:spacing w:after="0" w:line="276" w:lineRule="auto"/>
        <w:jc w:val="both"/>
        <w:rPr>
          <w:rFonts w:ascii="Verdana" w:eastAsia="Century Gothic" w:hAnsi="Verdana" w:cs="Century Gothic"/>
          <w:b/>
          <w:bCs/>
          <w:lang w:val="es-ES"/>
        </w:rPr>
      </w:pPr>
    </w:p>
    <w:bookmarkEnd w:id="1"/>
    <w:p w14:paraId="4C6D44AA" w14:textId="77777777" w:rsidR="00BD66C1" w:rsidRPr="00593A5F" w:rsidRDefault="00BD66C1" w:rsidP="00BD66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6F01BAE" w14:textId="77777777" w:rsidR="00BD66C1" w:rsidRPr="00593A5F" w:rsidRDefault="00BD66C1" w:rsidP="00BD66C1">
      <w:pPr>
        <w:spacing w:after="0" w:line="276" w:lineRule="auto"/>
        <w:jc w:val="both"/>
        <w:rPr>
          <w:rFonts w:ascii="Verdana" w:eastAsia="Calibri" w:hAnsi="Verdana" w:cs="Arial"/>
          <w:color w:val="7030A0"/>
          <w:lang w:val="es-ES"/>
        </w:rPr>
      </w:pPr>
    </w:p>
    <w:p w14:paraId="1462A799" w14:textId="77777777" w:rsidR="00BD66C1" w:rsidRDefault="00BD66C1" w:rsidP="00BD66C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7C453B4" w14:textId="77777777" w:rsidR="00BD66C1" w:rsidRPr="00415608" w:rsidRDefault="00BD66C1" w:rsidP="00BD66C1">
      <w:pPr>
        <w:spacing w:after="0" w:line="276" w:lineRule="auto"/>
        <w:jc w:val="both"/>
        <w:rPr>
          <w:rFonts w:ascii="Verdana" w:eastAsia="Calibri" w:hAnsi="Verdana" w:cs="Arial"/>
          <w:lang w:val="es-ES"/>
        </w:rPr>
      </w:pPr>
    </w:p>
    <w:p w14:paraId="31CBDFEE" w14:textId="77777777" w:rsidR="00BD66C1" w:rsidRPr="0060624D" w:rsidRDefault="00BD66C1" w:rsidP="00BD66C1">
      <w:pPr>
        <w:spacing w:after="120" w:line="276" w:lineRule="auto"/>
        <w:jc w:val="both"/>
        <w:rPr>
          <w:rFonts w:ascii="Verdana" w:eastAsia="Arial" w:hAnsi="Verdana" w:cs="Arial"/>
          <w:color w:val="000000"/>
        </w:rPr>
      </w:pPr>
      <w:r w:rsidRPr="0060624D">
        <w:rPr>
          <w:rFonts w:ascii="Verdana" w:eastAsia="Arial" w:hAnsi="Verdana" w:cs="Arial"/>
          <w:color w:val="000000"/>
          <w:lang w:val="es-ES"/>
        </w:rPr>
        <w:t>E</w:t>
      </w:r>
      <w:r w:rsidRPr="0060624D">
        <w:rPr>
          <w:rFonts w:ascii="Verdana" w:eastAsia="Arial" w:hAnsi="Verdana" w:cs="Arial"/>
          <w:color w:val="000000"/>
        </w:rPr>
        <w:t>l artículo 10 Superior precisa que el idioma oficial en Colombia es el castellano, por lo que se debe entender que todos los documentos que se pretenden valorar y apreciar en el país deben estar traducidos a este idioma</w:t>
      </w:r>
      <w:r w:rsidRPr="0060624D">
        <w:rPr>
          <w:rFonts w:ascii="Verdana" w:eastAsia="Arial" w:hAnsi="Verdana" w:cs="Arial"/>
          <w:color w:val="000000"/>
          <w:vertAlign w:val="superscript"/>
        </w:rPr>
        <w:footnoteReference w:id="2"/>
      </w:r>
      <w:r w:rsidRPr="0060624D">
        <w:rPr>
          <w:rFonts w:ascii="Verdana" w:eastAsia="Arial" w:hAnsi="Verdana" w:cs="Arial"/>
          <w:color w:val="000000"/>
        </w:rPr>
        <w:t>. Por correlato, los documentos expedidos en idioma diferente al castellano, para que puedan ser apreciados y valorados por la entidad contratante, deben ser presentados en su lengua original junto con la traducción al castellano.</w:t>
      </w:r>
    </w:p>
    <w:p w14:paraId="755A887F" w14:textId="77777777" w:rsidR="00BD66C1" w:rsidRPr="0060624D" w:rsidRDefault="00BD66C1" w:rsidP="00BD66C1">
      <w:pPr>
        <w:spacing w:after="120" w:line="276" w:lineRule="auto"/>
        <w:ind w:firstLine="708"/>
        <w:jc w:val="both"/>
        <w:rPr>
          <w:rFonts w:ascii="Verdana" w:hAnsi="Verdana" w:cs="Arial"/>
          <w:lang w:val="es-ES"/>
        </w:rPr>
      </w:pPr>
      <w:r w:rsidRPr="0060624D">
        <w:rPr>
          <w:rFonts w:ascii="Verdana" w:eastAsia="Arial" w:hAnsi="Verdana" w:cs="Arial"/>
          <w:color w:val="000000"/>
        </w:rPr>
        <w:t xml:space="preserve">Aun así parezca una obviedad que deba </w:t>
      </w:r>
      <w:r w:rsidRPr="0060624D">
        <w:rPr>
          <w:rFonts w:ascii="Verdana" w:eastAsia="Arial" w:hAnsi="Verdana" w:cs="Arial"/>
        </w:rPr>
        <w:t>acudirse</w:t>
      </w:r>
      <w:r w:rsidRPr="0060624D">
        <w:rPr>
          <w:rFonts w:ascii="Verdana" w:eastAsia="Arial" w:hAnsi="Verdana" w:cs="Arial"/>
          <w:color w:val="000000"/>
        </w:rPr>
        <w:t xml:space="preserve"> al idioma castellano, lo cierto es que dicho idioma constituye un presupuesto importante para la </w:t>
      </w:r>
      <w:r w:rsidRPr="0060624D">
        <w:rPr>
          <w:rFonts w:ascii="Verdana" w:eastAsia="Arial" w:hAnsi="Verdana" w:cs="Arial"/>
          <w:color w:val="000000"/>
        </w:rPr>
        <w:lastRenderedPageBreak/>
        <w:t>presentación de documentos en los trámites de contratación estatal</w:t>
      </w:r>
      <w:r w:rsidRPr="0060624D">
        <w:rPr>
          <w:rFonts w:ascii="Verdana" w:eastAsia="Arial" w:hAnsi="Verdana" w:cs="Arial"/>
          <w:color w:val="000000"/>
          <w:vertAlign w:val="superscript"/>
        </w:rPr>
        <w:footnoteReference w:id="3"/>
      </w:r>
      <w:r w:rsidRPr="0060624D">
        <w:rPr>
          <w:rFonts w:ascii="Verdana" w:eastAsia="Arial" w:hAnsi="Verdana" w:cs="Arial"/>
          <w:color w:val="000000"/>
        </w:rPr>
        <w:t xml:space="preserve">, pues de </w:t>
      </w:r>
      <w:r w:rsidRPr="0060624D">
        <w:rPr>
          <w:rFonts w:ascii="Verdana" w:eastAsia="Arial" w:hAnsi="Verdana" w:cs="Arial"/>
        </w:rPr>
        <w:t>él</w:t>
      </w:r>
      <w:r w:rsidRPr="0060624D">
        <w:rPr>
          <w:rFonts w:ascii="Verdana" w:eastAsia="Arial" w:hAnsi="Verdana" w:cs="Arial"/>
          <w:color w:val="000000"/>
        </w:rPr>
        <w:t xml:space="preserve"> depende que la entidad contratante comprenda el contenido del documento y pueda valorarlo según los efectos jurídicos que corresponde, como puede ser, por ejemplo, para reconocer la experiencia de los proponentes, para verificar que cumplan los requisitos habilitantes o, simplemente, para poder entender el alcance de la propuesta en sí misma considerada.</w:t>
      </w:r>
    </w:p>
    <w:p w14:paraId="2D336494" w14:textId="77777777" w:rsidR="00BD66C1" w:rsidRDefault="00BD66C1" w:rsidP="00BD66C1">
      <w:pPr>
        <w:spacing w:after="120" w:line="276" w:lineRule="auto"/>
        <w:jc w:val="both"/>
        <w:rPr>
          <w:rFonts w:ascii="Verdana" w:eastAsia="Arial" w:hAnsi="Verdana" w:cs="Arial"/>
          <w:color w:val="000000"/>
        </w:rPr>
      </w:pPr>
      <w:r w:rsidRPr="0060624D">
        <w:rPr>
          <w:rFonts w:ascii="Verdana" w:eastAsia="Arial" w:hAnsi="Verdana" w:cs="Arial"/>
          <w:color w:val="000000"/>
        </w:rPr>
        <w:tab/>
        <w:t>De la exigencia de traducir los documentos al castellano, entonces, se deriva una garantía triple: (i) para la entidad, porque le permite la valoración de la información de la que dan cuenta los documentos aportados al proceso de contratación; (</w:t>
      </w:r>
      <w:proofErr w:type="spellStart"/>
      <w:r w:rsidRPr="0060624D">
        <w:rPr>
          <w:rFonts w:ascii="Verdana" w:eastAsia="Arial" w:hAnsi="Verdana" w:cs="Arial"/>
          <w:color w:val="000000"/>
        </w:rPr>
        <w:t>ii</w:t>
      </w:r>
      <w:proofErr w:type="spellEnd"/>
      <w:r w:rsidRPr="0060624D">
        <w:rPr>
          <w:rFonts w:ascii="Verdana" w:eastAsia="Arial" w:hAnsi="Verdana" w:cs="Arial"/>
          <w:color w:val="000000"/>
        </w:rPr>
        <w:t>) para el proponente que aporta el documento traducido, debido a que garantiza que su propuesta será valorada según su alcance; y (</w:t>
      </w:r>
      <w:proofErr w:type="spellStart"/>
      <w:r w:rsidRPr="0060624D">
        <w:rPr>
          <w:rFonts w:ascii="Verdana" w:eastAsia="Arial" w:hAnsi="Verdana" w:cs="Arial"/>
          <w:color w:val="000000"/>
        </w:rPr>
        <w:t>iii</w:t>
      </w:r>
      <w:proofErr w:type="spellEnd"/>
      <w:r w:rsidRPr="0060624D">
        <w:rPr>
          <w:rFonts w:ascii="Verdana" w:eastAsia="Arial" w:hAnsi="Verdana" w:cs="Arial"/>
          <w:color w:val="000000"/>
        </w:rPr>
        <w:t>) para los otros oferentes, porque estos pueden tener certeza de los elementos que serán valorados de todas las propuestas, con lo que, además, se contribuye a la vigencia del principio de transparencia, rector de la contratación estatal en Colombia.</w:t>
      </w:r>
      <w:r>
        <w:rPr>
          <w:rFonts w:ascii="Verdana" w:eastAsia="Arial" w:hAnsi="Verdana" w:cs="Arial"/>
          <w:color w:val="000000"/>
        </w:rPr>
        <w:t xml:space="preserve"> </w:t>
      </w:r>
    </w:p>
    <w:p w14:paraId="27A63F95" w14:textId="77777777" w:rsidR="00BD66C1" w:rsidRPr="0060624D" w:rsidRDefault="00BD66C1" w:rsidP="00BD66C1">
      <w:pPr>
        <w:spacing w:after="120" w:line="276" w:lineRule="auto"/>
        <w:ind w:firstLine="708"/>
        <w:jc w:val="both"/>
        <w:rPr>
          <w:rFonts w:ascii="Verdana" w:eastAsia="Arial" w:hAnsi="Verdana" w:cs="Arial"/>
          <w:color w:val="000000"/>
        </w:rPr>
      </w:pPr>
      <w:r w:rsidRPr="0060624D">
        <w:rPr>
          <w:rFonts w:ascii="Verdana" w:eastAsia="Arial" w:hAnsi="Verdana" w:cs="Arial"/>
          <w:color w:val="000000"/>
        </w:rPr>
        <w:t>En este punto, sin embargo, resulta pertinente preguntarse si la referida traducción debe hacerla una persona calificada como “traductor oficial” o si puede ser una traducción simple.</w:t>
      </w:r>
      <w:r>
        <w:rPr>
          <w:rFonts w:ascii="Verdana" w:eastAsia="Arial" w:hAnsi="Verdana" w:cs="Arial"/>
          <w:color w:val="000000"/>
        </w:rPr>
        <w:t xml:space="preserve"> La ANCP – CCE se ha decantado por el primera opción, pues el numeral 8.4 de la Circular Externa Única explica que “</w:t>
      </w:r>
      <w:r w:rsidRPr="00EF05A1">
        <w:rPr>
          <w:rFonts w:ascii="Verdana" w:eastAsia="Arial" w:hAnsi="Verdana" w:cs="Arial"/>
          <w:color w:val="000000"/>
        </w:rPr>
        <w:t xml:space="preserve">Para que los documentos en un idioma distinto al castellano puedan ser apreciados en el Proceso de Contratación deben ser presentados en su lengua original junto con la </w:t>
      </w:r>
      <w:r w:rsidRPr="00EF05A1">
        <w:rPr>
          <w:rFonts w:ascii="Verdana" w:eastAsia="Arial" w:hAnsi="Verdana" w:cs="Arial"/>
          <w:i/>
          <w:iCs/>
          <w:color w:val="000000"/>
        </w:rPr>
        <w:t>traducción oficial al castellano</w:t>
      </w:r>
      <w:r w:rsidRPr="00EF05A1">
        <w:rPr>
          <w:rFonts w:ascii="Verdana" w:eastAsia="Arial" w:hAnsi="Verdana" w:cs="Arial"/>
          <w:color w:val="000000"/>
        </w:rPr>
        <w:t xml:space="preserve">. El proponente puede presentar con la oferta documentos con una traducción simple y entregar la </w:t>
      </w:r>
      <w:r w:rsidRPr="00EF05A1">
        <w:rPr>
          <w:rFonts w:ascii="Verdana" w:eastAsia="Arial" w:hAnsi="Verdana" w:cs="Arial"/>
          <w:i/>
          <w:iCs/>
          <w:color w:val="000000"/>
        </w:rPr>
        <w:t>traducción oficial al castellano</w:t>
      </w:r>
      <w:r w:rsidRPr="00EF05A1">
        <w:rPr>
          <w:rFonts w:ascii="Verdana" w:eastAsia="Arial" w:hAnsi="Verdana" w:cs="Arial"/>
          <w:color w:val="000000"/>
        </w:rPr>
        <w:t xml:space="preserve"> dentro del plazo previsto para la subsanación. La </w:t>
      </w:r>
      <w:r w:rsidRPr="00EF05A1">
        <w:rPr>
          <w:rFonts w:ascii="Verdana" w:eastAsia="Arial" w:hAnsi="Verdana" w:cs="Arial"/>
          <w:i/>
          <w:iCs/>
          <w:color w:val="000000"/>
        </w:rPr>
        <w:t>traducción oficial</w:t>
      </w:r>
      <w:r w:rsidRPr="00EF05A1">
        <w:rPr>
          <w:rFonts w:ascii="Verdana" w:eastAsia="Arial" w:hAnsi="Verdana" w:cs="Arial"/>
          <w:color w:val="000000"/>
        </w:rPr>
        <w:t xml:space="preserve"> debe ser el mismo texto presentado</w:t>
      </w:r>
      <w:r>
        <w:rPr>
          <w:rFonts w:ascii="Verdana" w:eastAsia="Arial" w:hAnsi="Verdana" w:cs="Arial"/>
          <w:color w:val="000000"/>
        </w:rPr>
        <w:t>”</w:t>
      </w:r>
      <w:r>
        <w:rPr>
          <w:rStyle w:val="Refdenotaalpie"/>
          <w:rFonts w:ascii="Verdana" w:eastAsia="Arial" w:hAnsi="Verdana" w:cs="Arial"/>
          <w:color w:val="000000"/>
        </w:rPr>
        <w:footnoteReference w:id="4"/>
      </w:r>
      <w:r>
        <w:rPr>
          <w:rFonts w:ascii="Verdana" w:eastAsia="Arial" w:hAnsi="Verdana" w:cs="Arial"/>
          <w:color w:val="000000"/>
        </w:rPr>
        <w:t xml:space="preserve"> (Énfasis fuera de texto)</w:t>
      </w:r>
      <w:r w:rsidRPr="00EF05A1">
        <w:rPr>
          <w:rFonts w:ascii="Verdana" w:eastAsia="Arial" w:hAnsi="Verdana" w:cs="Arial"/>
          <w:color w:val="000000"/>
        </w:rPr>
        <w:t>.</w:t>
      </w:r>
      <w:r>
        <w:rPr>
          <w:rFonts w:ascii="Verdana" w:eastAsia="Arial" w:hAnsi="Verdana" w:cs="Arial"/>
          <w:color w:val="000000"/>
        </w:rPr>
        <w:t xml:space="preserve"> Esta directriz se reproduce en los procesos de contratación regidos por la Ley 2022 de 2020, de manera que, por ejemplo, para efectos de los “Documentos Tipo – Versión 4” de </w:t>
      </w:r>
      <w:r>
        <w:rPr>
          <w:rFonts w:ascii="Verdana" w:eastAsia="Arial" w:hAnsi="Verdana" w:cs="Arial"/>
          <w:color w:val="000000"/>
        </w:rPr>
        <w:lastRenderedPageBreak/>
        <w:t>licitación para obra pública de infraestructura de transporte, el numeral 1.8 del pliego de condiciones establece la misma condición</w:t>
      </w:r>
      <w:r>
        <w:rPr>
          <w:rStyle w:val="Refdenotaalpie"/>
          <w:rFonts w:ascii="Verdana" w:eastAsia="Arial" w:hAnsi="Verdana" w:cs="Arial"/>
          <w:color w:val="000000"/>
        </w:rPr>
        <w:footnoteReference w:id="5"/>
      </w:r>
      <w:r>
        <w:rPr>
          <w:rFonts w:ascii="Verdana" w:eastAsia="Arial" w:hAnsi="Verdana" w:cs="Arial"/>
          <w:color w:val="000000"/>
        </w:rPr>
        <w:t xml:space="preserve">.  </w:t>
      </w:r>
      <w:r w:rsidRPr="0060624D">
        <w:rPr>
          <w:rFonts w:ascii="Verdana" w:eastAsia="Arial" w:hAnsi="Verdana" w:cs="Arial"/>
          <w:color w:val="000000"/>
        </w:rPr>
        <w:t xml:space="preserve"> </w:t>
      </w:r>
    </w:p>
    <w:p w14:paraId="2FE20B5A" w14:textId="77777777" w:rsidR="00BD66C1" w:rsidRDefault="00BD66C1" w:rsidP="00BD66C1">
      <w:pPr>
        <w:spacing w:after="120" w:line="276" w:lineRule="auto"/>
        <w:jc w:val="both"/>
        <w:rPr>
          <w:rFonts w:ascii="Verdana" w:hAnsi="Verdana" w:cs="Arial"/>
          <w:bCs/>
        </w:rPr>
      </w:pPr>
      <w:r>
        <w:rPr>
          <w:rFonts w:ascii="Verdana" w:hAnsi="Verdana" w:cs="Arial"/>
          <w:bCs/>
        </w:rPr>
        <w:tab/>
        <w:t xml:space="preserve">De acuerdo con el literal v) del artículo 2 de la Resolución del Ministerio de Relaciones Exteriores 1959 de 2020, la </w:t>
      </w:r>
      <w:r w:rsidRPr="00F55B3E">
        <w:rPr>
          <w:rFonts w:ascii="Verdana" w:hAnsi="Verdana" w:cs="Arial"/>
          <w:bCs/>
          <w:i/>
          <w:iCs/>
        </w:rPr>
        <w:t>traducción oficial</w:t>
      </w:r>
      <w:r>
        <w:rPr>
          <w:rFonts w:ascii="Verdana" w:hAnsi="Verdana" w:cs="Arial"/>
          <w:bCs/>
        </w:rPr>
        <w:t xml:space="preserve"> es “</w:t>
      </w:r>
      <w:r w:rsidRPr="00F55B3E">
        <w:rPr>
          <w:rFonts w:ascii="Verdana" w:hAnsi="Verdana" w:cs="Arial"/>
          <w:bCs/>
        </w:rPr>
        <w:t>Es la traducción de un texto o documento redactado en castellano (español) a otra lengua, o viceversa, que debe ser realizada por un traductor oficial para que surta efectos legales</w:t>
      </w:r>
      <w:r>
        <w:rPr>
          <w:rFonts w:ascii="Verdana" w:hAnsi="Verdana" w:cs="Arial"/>
          <w:bCs/>
        </w:rPr>
        <w:t xml:space="preserve">”. Asimismo, conforme al literal w) </w:t>
      </w:r>
      <w:r w:rsidRPr="00F55B3E">
        <w:rPr>
          <w:rFonts w:ascii="Verdana" w:hAnsi="Verdana" w:cs="Arial"/>
          <w:bCs/>
          <w:i/>
          <w:iCs/>
        </w:rPr>
        <w:t>ibidem</w:t>
      </w:r>
      <w:r>
        <w:rPr>
          <w:rFonts w:ascii="Verdana" w:hAnsi="Verdana" w:cs="Arial"/>
          <w:bCs/>
        </w:rPr>
        <w:t xml:space="preserve">, el </w:t>
      </w:r>
      <w:r w:rsidRPr="00F55B3E">
        <w:rPr>
          <w:rFonts w:ascii="Verdana" w:hAnsi="Verdana" w:cs="Arial"/>
          <w:bCs/>
          <w:i/>
          <w:iCs/>
        </w:rPr>
        <w:t>traductor oficial</w:t>
      </w:r>
      <w:r>
        <w:rPr>
          <w:rFonts w:ascii="Verdana" w:hAnsi="Verdana" w:cs="Arial"/>
          <w:bCs/>
        </w:rPr>
        <w:t xml:space="preserve"> “</w:t>
      </w:r>
      <w:r w:rsidRPr="00F55B3E">
        <w:rPr>
          <w:rFonts w:ascii="Verdana" w:hAnsi="Verdana" w:cs="Arial"/>
          <w:bCs/>
        </w:rPr>
        <w:t>Es la persona que realiza la traducción oficial y se encuentra debidamente acreditada en los términos del artículo 33 de la Ley 962 de 2005 o las normas que la modifiquen, adicionen o sustituyan</w:t>
      </w:r>
      <w:r>
        <w:rPr>
          <w:rFonts w:ascii="Verdana" w:hAnsi="Verdana" w:cs="Arial"/>
          <w:bCs/>
        </w:rPr>
        <w:t>”</w:t>
      </w:r>
      <w:r w:rsidRPr="00F55B3E">
        <w:rPr>
          <w:rFonts w:ascii="Verdana" w:hAnsi="Verdana" w:cs="Arial"/>
          <w:bCs/>
        </w:rPr>
        <w:t>.</w:t>
      </w:r>
      <w:r>
        <w:rPr>
          <w:rFonts w:ascii="Verdana" w:hAnsi="Verdana" w:cs="Arial"/>
          <w:bCs/>
        </w:rPr>
        <w:t xml:space="preserve"> Por sustracción de materia, cualquier traducción no que encaje con la norma precitada es una </w:t>
      </w:r>
      <w:r w:rsidRPr="00F55B3E">
        <w:rPr>
          <w:rFonts w:ascii="Verdana" w:hAnsi="Verdana" w:cs="Arial"/>
          <w:bCs/>
          <w:i/>
          <w:iCs/>
        </w:rPr>
        <w:t>traducción simple</w:t>
      </w:r>
      <w:r>
        <w:rPr>
          <w:rFonts w:ascii="Verdana" w:hAnsi="Verdana" w:cs="Arial"/>
          <w:bCs/>
        </w:rPr>
        <w:t xml:space="preserve">. </w:t>
      </w:r>
    </w:p>
    <w:p w14:paraId="0DDA3578" w14:textId="77777777" w:rsidR="00BD66C1" w:rsidRDefault="00BD66C1" w:rsidP="00BD66C1">
      <w:pPr>
        <w:spacing w:after="120" w:line="276" w:lineRule="auto"/>
        <w:jc w:val="both"/>
        <w:rPr>
          <w:rFonts w:ascii="Verdana" w:hAnsi="Verdana" w:cs="Arial"/>
          <w:bCs/>
        </w:rPr>
      </w:pPr>
      <w:r>
        <w:rPr>
          <w:rFonts w:ascii="Verdana" w:hAnsi="Verdana" w:cs="Arial"/>
          <w:bCs/>
        </w:rPr>
        <w:tab/>
        <w:t>Al respecto, es necesario tener en cuenta que la exigencia de traducción es excepcional; razón por la cual, requiere un fundamento normativo expreso. En este caso, además de que el artículo 25.15 dispone que “</w:t>
      </w:r>
      <w:r w:rsidRPr="00405411">
        <w:rPr>
          <w:rFonts w:ascii="Verdana" w:hAnsi="Verdana" w:cs="Arial"/>
          <w:bCs/>
        </w:rPr>
        <w:t xml:space="preserve">Las autoridades no exigirán </w:t>
      </w:r>
      <w:r>
        <w:rPr>
          <w:rFonts w:ascii="Verdana" w:hAnsi="Verdana" w:cs="Arial"/>
          <w:bCs/>
        </w:rPr>
        <w:t>[…]</w:t>
      </w:r>
      <w:r w:rsidRPr="00405411">
        <w:rPr>
          <w:rFonts w:ascii="Verdana" w:hAnsi="Verdana" w:cs="Arial"/>
          <w:bCs/>
        </w:rPr>
        <w:t xml:space="preserve"> traducciones oficiales</w:t>
      </w:r>
      <w:r>
        <w:rPr>
          <w:rFonts w:ascii="Verdana" w:hAnsi="Verdana" w:cs="Arial"/>
          <w:bCs/>
        </w:rPr>
        <w:t xml:space="preserve"> […]</w:t>
      </w:r>
      <w:r w:rsidRPr="00405411">
        <w:rPr>
          <w:rFonts w:ascii="Verdana" w:hAnsi="Verdana" w:cs="Arial"/>
          <w:bCs/>
        </w:rPr>
        <w:t>, salvo cuando en forma perentoria y expresa lo exijan leyes especiales</w:t>
      </w:r>
      <w:r>
        <w:rPr>
          <w:rFonts w:ascii="Verdana" w:hAnsi="Verdana" w:cs="Arial"/>
          <w:bCs/>
        </w:rPr>
        <w:t>”, el artículo 9.5 de la Ley 1437 de 2011 prohíbe “</w:t>
      </w:r>
      <w:r w:rsidRPr="00405411">
        <w:rPr>
          <w:rFonts w:ascii="Verdana" w:hAnsi="Verdana" w:cs="Arial"/>
          <w:bCs/>
        </w:rPr>
        <w:t>Exigir documentos no previstos por las normas legales aplicables a los procedimientos de que trate la gestión o crear requisitos o formalidades adicionales de conformidad con el artículo 84 de la Constitución Política</w:t>
      </w:r>
      <w:r>
        <w:rPr>
          <w:rFonts w:ascii="Verdana" w:hAnsi="Verdana" w:cs="Arial"/>
          <w:bCs/>
        </w:rPr>
        <w:t>”</w:t>
      </w:r>
      <w:r w:rsidRPr="00405411">
        <w:rPr>
          <w:rFonts w:ascii="Verdana" w:hAnsi="Verdana" w:cs="Arial"/>
          <w:bCs/>
        </w:rPr>
        <w:t>.</w:t>
      </w:r>
    </w:p>
    <w:p w14:paraId="0741F1CC" w14:textId="77777777" w:rsidR="00BD66C1" w:rsidRDefault="00BD66C1" w:rsidP="00BD66C1">
      <w:pPr>
        <w:spacing w:after="0" w:line="276" w:lineRule="auto"/>
        <w:jc w:val="both"/>
        <w:rPr>
          <w:rFonts w:ascii="Verdana" w:hAnsi="Verdana" w:cs="Arial"/>
          <w:bCs/>
        </w:rPr>
      </w:pPr>
      <w:r>
        <w:rPr>
          <w:rFonts w:ascii="Verdana" w:hAnsi="Verdana" w:cs="Arial"/>
          <w:bCs/>
        </w:rPr>
        <w:tab/>
        <w:t>Así, la exigibilidad de las traducciones oficiales en materia contractual deriva del inciso primero del artículo 77 del Estatuto General de Contratación de la Administración Pública, pues “</w:t>
      </w:r>
      <w:r w:rsidRPr="00CC7B32">
        <w:rPr>
          <w:rFonts w:ascii="Verdana" w:hAnsi="Verdana" w:cs="Arial"/>
          <w:bCs/>
        </w:rPr>
        <w:t xml:space="preserve">En cuanto sean compatibles con la finalidad y los principios de esta ley, las normas que rigen los procedimientos y actuaciones en la función administrativa serán aplicables en las actuaciones contractuales. </w:t>
      </w:r>
      <w:r w:rsidRPr="00CC7B32">
        <w:rPr>
          <w:rFonts w:ascii="Verdana" w:hAnsi="Verdana" w:cs="Arial"/>
          <w:bCs/>
          <w:i/>
          <w:iCs/>
        </w:rPr>
        <w:t>A falta de éstas, regirán las disposiciones del Código de Procedimiento Civil</w:t>
      </w:r>
      <w:r>
        <w:rPr>
          <w:rFonts w:ascii="Verdana" w:hAnsi="Verdana" w:cs="Arial"/>
          <w:bCs/>
        </w:rPr>
        <w:t>” (Énfasis fuera de texto)</w:t>
      </w:r>
      <w:r w:rsidRPr="00CC7B32">
        <w:rPr>
          <w:rFonts w:ascii="Verdana" w:hAnsi="Verdana" w:cs="Arial"/>
          <w:bCs/>
        </w:rPr>
        <w:t>.</w:t>
      </w:r>
      <w:r>
        <w:rPr>
          <w:rFonts w:ascii="Verdana" w:hAnsi="Verdana" w:cs="Arial"/>
          <w:bCs/>
        </w:rPr>
        <w:t xml:space="preserve"> Precisamente, dado que ni la Ley 80 de 1993 ni la </w:t>
      </w:r>
      <w:r>
        <w:rPr>
          <w:rFonts w:ascii="Verdana" w:hAnsi="Verdana" w:cs="Arial"/>
          <w:bCs/>
        </w:rPr>
        <w:lastRenderedPageBreak/>
        <w:t>primera parte del Código de Procedimiento Administrativo y Contencioso Administrativo  regulan las condiciones en que deben aportarse los documentos, el inciso primero del artículo 251 de la Ley 1564 de 2012 precisa lo siguiente:</w:t>
      </w:r>
    </w:p>
    <w:p w14:paraId="07E5D13D" w14:textId="77777777" w:rsidR="00BD66C1" w:rsidRDefault="00BD66C1" w:rsidP="00BD66C1">
      <w:pPr>
        <w:spacing w:after="0" w:line="276" w:lineRule="auto"/>
        <w:jc w:val="both"/>
        <w:rPr>
          <w:rFonts w:ascii="Verdana" w:hAnsi="Verdana" w:cs="Arial"/>
          <w:bCs/>
        </w:rPr>
      </w:pPr>
    </w:p>
    <w:p w14:paraId="1698D87F" w14:textId="77777777" w:rsidR="00BD66C1" w:rsidRPr="00F8610D" w:rsidRDefault="00BD66C1" w:rsidP="00BD66C1">
      <w:pPr>
        <w:spacing w:after="0" w:line="240" w:lineRule="auto"/>
        <w:ind w:left="709" w:right="709"/>
        <w:jc w:val="both"/>
        <w:rPr>
          <w:rFonts w:ascii="Verdana" w:hAnsi="Verdana" w:cs="Arial"/>
          <w:bCs/>
          <w:sz w:val="20"/>
          <w:szCs w:val="20"/>
        </w:rPr>
      </w:pPr>
      <w:r w:rsidRPr="00F8610D">
        <w:rPr>
          <w:rFonts w:ascii="Verdana" w:hAnsi="Verdana" w:cs="Arial"/>
          <w:bCs/>
          <w:sz w:val="20"/>
          <w:szCs w:val="20"/>
        </w:rPr>
        <w:t xml:space="preserve">“Para que los documentos extendidos en idioma distinto del castellano puedan apreciarse como prueba se requiere que obren en el proceso con su correspondiente traducción efectuada por el Ministerio de Relaciones Exteriores, por un </w:t>
      </w:r>
      <w:r w:rsidRPr="00F8610D">
        <w:rPr>
          <w:rFonts w:ascii="Verdana" w:hAnsi="Verdana" w:cs="Arial"/>
          <w:bCs/>
          <w:i/>
          <w:iCs/>
          <w:sz w:val="20"/>
          <w:szCs w:val="20"/>
        </w:rPr>
        <w:t>intérprete oficial</w:t>
      </w:r>
      <w:r w:rsidRPr="00F8610D">
        <w:rPr>
          <w:rFonts w:ascii="Verdana" w:hAnsi="Verdana" w:cs="Arial"/>
          <w:bCs/>
          <w:sz w:val="20"/>
          <w:szCs w:val="20"/>
        </w:rPr>
        <w:t xml:space="preserve"> o por traductor designado por el juez. En los dos primeros casos la traducción y su original podrán ser presentados directamente. En caso de presentarse controversia sobre el contenido de la traducción, el juez designará un traductor” (Énfasis fuera de texto).</w:t>
      </w:r>
    </w:p>
    <w:p w14:paraId="00B6309F" w14:textId="77777777" w:rsidR="00BD66C1" w:rsidRDefault="00BD66C1" w:rsidP="00BD66C1">
      <w:pPr>
        <w:spacing w:after="0" w:line="276" w:lineRule="auto"/>
        <w:jc w:val="both"/>
        <w:rPr>
          <w:rFonts w:ascii="Verdana" w:hAnsi="Verdana" w:cs="Arial"/>
          <w:bCs/>
        </w:rPr>
      </w:pPr>
    </w:p>
    <w:p w14:paraId="6873E4E1" w14:textId="77777777" w:rsidR="00BD66C1" w:rsidRDefault="00BD66C1" w:rsidP="00BD66C1">
      <w:pPr>
        <w:spacing w:after="120" w:line="276" w:lineRule="auto"/>
        <w:jc w:val="both"/>
        <w:rPr>
          <w:rFonts w:ascii="Verdana" w:hAnsi="Verdana" w:cs="Arial"/>
          <w:bCs/>
        </w:rPr>
      </w:pPr>
      <w:r>
        <w:rPr>
          <w:rFonts w:ascii="Verdana" w:hAnsi="Verdana" w:cs="Arial"/>
          <w:bCs/>
        </w:rPr>
        <w:tab/>
        <w:t>Conforme al numeral 8.1 de la Circular Externa Única, l</w:t>
      </w:r>
      <w:r w:rsidRPr="00F8610D">
        <w:rPr>
          <w:rFonts w:ascii="Verdana" w:hAnsi="Verdana" w:cs="Arial"/>
          <w:bCs/>
        </w:rPr>
        <w:t xml:space="preserve">os </w:t>
      </w:r>
      <w:r w:rsidRPr="00F47A42">
        <w:rPr>
          <w:rFonts w:ascii="Verdana" w:hAnsi="Verdana" w:cs="Arial"/>
          <w:bCs/>
          <w:i/>
          <w:iCs/>
        </w:rPr>
        <w:t>documentos públicos expedidos en el exterior</w:t>
      </w:r>
      <w:r w:rsidRPr="00F8610D">
        <w:rPr>
          <w:rFonts w:ascii="Verdana" w:hAnsi="Verdana" w:cs="Arial"/>
          <w:bCs/>
        </w:rPr>
        <w:t xml:space="preserve">, por un país signatario de la Convención de La Haya de 1961, sobre la abolición del requisito de legalización, deben </w:t>
      </w:r>
      <w:r w:rsidRPr="00671103">
        <w:rPr>
          <w:rFonts w:ascii="Verdana" w:hAnsi="Verdana" w:cs="Arial"/>
          <w:bCs/>
          <w:i/>
          <w:iCs/>
        </w:rPr>
        <w:t>apostillarse</w:t>
      </w:r>
      <w:r w:rsidRPr="00F8610D">
        <w:rPr>
          <w:rFonts w:ascii="Verdana" w:hAnsi="Verdana" w:cs="Arial"/>
          <w:bCs/>
        </w:rPr>
        <w:t xml:space="preserve">; en cambio, los documentos públicos expedidos en el exterior, por un país signatario de la Convención de Viena de 1963, deben </w:t>
      </w:r>
      <w:r w:rsidRPr="00671103">
        <w:rPr>
          <w:rFonts w:ascii="Verdana" w:hAnsi="Verdana" w:cs="Arial"/>
          <w:bCs/>
          <w:i/>
          <w:iCs/>
        </w:rPr>
        <w:t>legalizarse</w:t>
      </w:r>
      <w:r w:rsidRPr="00F8610D">
        <w:rPr>
          <w:rFonts w:ascii="Verdana" w:hAnsi="Verdana" w:cs="Arial"/>
          <w:bCs/>
        </w:rPr>
        <w:t>. Los documentos privados otorgados en el extranjero no requieren apostilla ni legalización, salvo los que con posterioridad sean intervenidos por un funcionario público, en cuyo caso requieren apostille o legalización, en la forma indicada antes.</w:t>
      </w:r>
      <w:r>
        <w:rPr>
          <w:rFonts w:ascii="Verdana" w:hAnsi="Verdana" w:cs="Arial"/>
          <w:bCs/>
        </w:rPr>
        <w:t xml:space="preserve"> Estos dos (2) trámites deben realizarse en las condiciones que dispone el Ministerio de Relaciones Exteriores en la Resolución </w:t>
      </w:r>
      <w:r w:rsidRPr="009F0179">
        <w:rPr>
          <w:rFonts w:ascii="Verdana" w:hAnsi="Verdana" w:cs="Arial"/>
          <w:bCs/>
        </w:rPr>
        <w:t>1959 de 2020, o la norma que la modifique, sustituya o complemente</w:t>
      </w:r>
      <w:r>
        <w:rPr>
          <w:rFonts w:ascii="Verdana" w:hAnsi="Verdana" w:cs="Arial"/>
          <w:bCs/>
        </w:rPr>
        <w:t xml:space="preserve">. </w:t>
      </w:r>
    </w:p>
    <w:p w14:paraId="41207085" w14:textId="77777777" w:rsidR="00BD66C1" w:rsidRDefault="00BD66C1" w:rsidP="00BD66C1">
      <w:pPr>
        <w:spacing w:after="120" w:line="276" w:lineRule="auto"/>
        <w:ind w:firstLine="708"/>
        <w:jc w:val="both"/>
        <w:rPr>
          <w:rFonts w:ascii="Verdana" w:hAnsi="Verdana" w:cs="Arial"/>
          <w:bCs/>
        </w:rPr>
      </w:pPr>
      <w:r>
        <w:rPr>
          <w:rFonts w:ascii="Verdana" w:hAnsi="Verdana" w:cs="Arial"/>
          <w:bCs/>
        </w:rPr>
        <w:t xml:space="preserve">Fuera del criterio indicado en el párrafo precedente, los </w:t>
      </w:r>
      <w:r w:rsidRPr="00F47A42">
        <w:rPr>
          <w:rFonts w:ascii="Verdana" w:hAnsi="Verdana" w:cs="Arial"/>
          <w:bCs/>
          <w:i/>
          <w:iCs/>
        </w:rPr>
        <w:t>documentos privados en idioma distinto al castellano</w:t>
      </w:r>
      <w:r>
        <w:rPr>
          <w:rFonts w:ascii="Verdana" w:hAnsi="Verdana" w:cs="Arial"/>
          <w:bCs/>
        </w:rPr>
        <w:t xml:space="preserve"> sólo requieren la </w:t>
      </w:r>
      <w:r w:rsidRPr="003D2863">
        <w:rPr>
          <w:rFonts w:ascii="Verdana" w:hAnsi="Verdana" w:cs="Arial"/>
          <w:bCs/>
          <w:i/>
          <w:iCs/>
        </w:rPr>
        <w:t>traducción oficial</w:t>
      </w:r>
      <w:r>
        <w:rPr>
          <w:rFonts w:ascii="Verdana" w:hAnsi="Verdana" w:cs="Arial"/>
          <w:bCs/>
        </w:rPr>
        <w:t xml:space="preserve"> conforme a los previsto en el inciso primero del artículo 251 de la Ley 1564 de 2012, aplicable por remisión del artículo 77 de la Ley 80 de 1993. Precisamente, esta norma del Código General del Proceso sirvió de “Referencia Normativa” para el citado numeral 8.4 de la Circular. Por remisión del artículo 77 del EGCAP, </w:t>
      </w:r>
      <w:r w:rsidRPr="00300164">
        <w:rPr>
          <w:rFonts w:ascii="Verdana" w:hAnsi="Verdana" w:cs="Arial"/>
          <w:bCs/>
        </w:rPr>
        <w:t>el inciso primero del artículo 251 de la Ley 1564 de 2012</w:t>
      </w:r>
      <w:r>
        <w:rPr>
          <w:rFonts w:ascii="Verdana" w:hAnsi="Verdana" w:cs="Arial"/>
          <w:bCs/>
        </w:rPr>
        <w:t xml:space="preserve"> es el fundamento jurídico para solicitar </w:t>
      </w:r>
      <w:r w:rsidRPr="00300164">
        <w:rPr>
          <w:rFonts w:ascii="Verdana" w:hAnsi="Verdana" w:cs="Arial"/>
          <w:bCs/>
          <w:i/>
          <w:iCs/>
        </w:rPr>
        <w:t>traducciones oficiales</w:t>
      </w:r>
      <w:r>
        <w:rPr>
          <w:rFonts w:ascii="Verdana" w:hAnsi="Verdana" w:cs="Arial"/>
          <w:bCs/>
        </w:rPr>
        <w:t xml:space="preserve"> en las condiciones que exige tanto el artículo 25.15 de la Ley 80 de 1993 como el artículo 9.5 de la Ley 1437 de 2011.  </w:t>
      </w:r>
    </w:p>
    <w:p w14:paraId="14896906" w14:textId="77777777" w:rsidR="00BD66C1" w:rsidRDefault="00BD66C1" w:rsidP="00BD66C1">
      <w:pPr>
        <w:spacing w:after="120" w:line="276" w:lineRule="auto"/>
        <w:ind w:firstLine="708"/>
        <w:jc w:val="both"/>
        <w:rPr>
          <w:rFonts w:ascii="Verdana" w:hAnsi="Verdana" w:cs="Arial"/>
          <w:bCs/>
        </w:rPr>
      </w:pPr>
      <w:r>
        <w:rPr>
          <w:rFonts w:ascii="Verdana" w:hAnsi="Verdana" w:cs="Arial"/>
          <w:bCs/>
        </w:rPr>
        <w:t>En congruencia con este razonamiento, el numeral 1.8 del pliego de condiciones de los “Documentos Tipo – Versión 3” para licitación de obra pública de infraestructura de transporte dispuso que “</w:t>
      </w:r>
      <w:r w:rsidRPr="00DA5926">
        <w:rPr>
          <w:rFonts w:ascii="Verdana" w:hAnsi="Verdana" w:cs="Arial"/>
          <w:bCs/>
        </w:rPr>
        <w:t xml:space="preserve">Para que la traducción oficial de los documentos en idioma extranjero sea válida, la traducción se realizará en los </w:t>
      </w:r>
      <w:r w:rsidRPr="00DA5926">
        <w:rPr>
          <w:rFonts w:ascii="Verdana" w:hAnsi="Verdana" w:cs="Arial"/>
          <w:bCs/>
        </w:rPr>
        <w:lastRenderedPageBreak/>
        <w:t xml:space="preserve">términos del Decreto 382 de 1951 y el artículo 33 de la Ley 962 de 2005, o la norma que la modifique, sustituya o complemente. </w:t>
      </w:r>
      <w:r w:rsidRPr="00DA5926">
        <w:rPr>
          <w:rFonts w:ascii="Verdana" w:hAnsi="Verdana" w:cs="Arial"/>
          <w:bCs/>
          <w:i/>
          <w:iCs/>
        </w:rPr>
        <w:t>Es decir, junto con la traducción oficial se presentará el documento que certifica la aprobación de la prueba por parte del Centro Universitario que cuente con la facultad de idiomas debidamente acreditadas y reconocidas por el ICFES</w:t>
      </w:r>
      <w:r>
        <w:rPr>
          <w:rFonts w:ascii="Verdana" w:hAnsi="Verdana" w:cs="Arial"/>
          <w:bCs/>
        </w:rPr>
        <w:t>” (Énfasis fuera de texto)</w:t>
      </w:r>
      <w:r w:rsidRPr="00DA5926">
        <w:rPr>
          <w:rFonts w:ascii="Verdana" w:hAnsi="Verdana" w:cs="Arial"/>
          <w:bCs/>
        </w:rPr>
        <w:t>.</w:t>
      </w:r>
      <w:r>
        <w:rPr>
          <w:rFonts w:ascii="Verdana" w:hAnsi="Verdana" w:cs="Arial"/>
          <w:bCs/>
        </w:rPr>
        <w:t xml:space="preserve"> Este documento base exige tanto la traducción como la certificación, ya que –conforme al inciso segundo del artículo 33 de la Ley 962 de 2005– “</w:t>
      </w:r>
      <w:r w:rsidRPr="00DA5926">
        <w:rPr>
          <w:rFonts w:ascii="Verdana" w:hAnsi="Verdana" w:cs="Arial"/>
          <w:bCs/>
        </w:rPr>
        <w:t>El documento que expidan las Universidades en que conste la aprobación del examen correspondiente, esto es, la idoneidad para el ejercicio del oficio, constituye licencia para desempeñarse como traductor e intérprete oficial</w:t>
      </w:r>
      <w:r>
        <w:rPr>
          <w:rFonts w:ascii="Verdana" w:hAnsi="Verdana" w:cs="Arial"/>
          <w:bCs/>
        </w:rPr>
        <w:t>”</w:t>
      </w:r>
      <w:r w:rsidRPr="00DA5926">
        <w:rPr>
          <w:rFonts w:ascii="Verdana" w:hAnsi="Verdana" w:cs="Arial"/>
          <w:bCs/>
        </w:rPr>
        <w:t>.</w:t>
      </w:r>
    </w:p>
    <w:p w14:paraId="768EC253" w14:textId="77777777" w:rsidR="00BD66C1" w:rsidRPr="00C64261" w:rsidRDefault="00BD66C1" w:rsidP="00BD66C1">
      <w:pPr>
        <w:spacing w:after="120" w:line="276" w:lineRule="auto"/>
        <w:ind w:firstLine="709"/>
        <w:jc w:val="both"/>
        <w:rPr>
          <w:rFonts w:ascii="Verdana" w:eastAsia="Arial" w:hAnsi="Verdana" w:cs="Arial"/>
          <w:color w:val="000000"/>
        </w:rPr>
      </w:pPr>
      <w:r>
        <w:rPr>
          <w:rFonts w:ascii="Verdana" w:hAnsi="Verdana" w:cs="Arial"/>
          <w:bCs/>
        </w:rPr>
        <w:t>Por tanto, la posibilidad de subsanar la entrega de la traducción oficial y/o certificación del traductor</w:t>
      </w:r>
      <w:r w:rsidRPr="00F3774F">
        <w:rPr>
          <w:rFonts w:ascii="Verdana" w:hAnsi="Verdana" w:cs="Arial"/>
          <w:bCs/>
        </w:rPr>
        <w:t xml:space="preserve"> </w:t>
      </w:r>
      <w:r>
        <w:rPr>
          <w:rFonts w:ascii="Verdana" w:hAnsi="Verdana" w:cs="Arial"/>
          <w:bCs/>
        </w:rPr>
        <w:t xml:space="preserve">deben determinarse a la luz de lo dispuesto en el parágrafo 1 del artículo 5 de la Ley 1150 de 2007. La norma </w:t>
      </w:r>
      <w:r>
        <w:rPr>
          <w:rFonts w:ascii="Verdana" w:eastAsia="Arial" w:hAnsi="Verdana" w:cs="Arial"/>
          <w:color w:val="000000"/>
        </w:rPr>
        <w:t>determina</w:t>
      </w:r>
      <w:r w:rsidRPr="00C64261">
        <w:rPr>
          <w:rFonts w:ascii="Verdana" w:eastAsia="Arial" w:hAnsi="Verdana" w:cs="Arial"/>
          <w:color w:val="000000"/>
        </w:rPr>
        <w:t xml:space="preserve"> lo siguiente: </w:t>
      </w:r>
      <w:r w:rsidRPr="00FD6C00">
        <w:rPr>
          <w:rFonts w:ascii="Verdana" w:eastAsia="Arial" w:hAnsi="Verdana" w:cs="Arial"/>
          <w:color w:val="000000"/>
        </w:rPr>
        <w:t xml:space="preserve">“La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r w:rsidRPr="00C64261">
        <w:rPr>
          <w:rFonts w:ascii="Verdana" w:eastAsia="Arial" w:hAnsi="Verdana" w:cs="Arial"/>
          <w:color w:val="000000"/>
        </w:rPr>
        <w:t xml:space="preserve"> </w:t>
      </w:r>
    </w:p>
    <w:p w14:paraId="5DC1DE5D" w14:textId="77777777" w:rsidR="00BD66C1" w:rsidRDefault="00BD66C1" w:rsidP="00BD66C1">
      <w:pPr>
        <w:spacing w:after="120" w:line="276" w:lineRule="auto"/>
        <w:ind w:firstLine="709"/>
        <w:jc w:val="both"/>
        <w:rPr>
          <w:rFonts w:ascii="Verdana" w:eastAsia="Arial" w:hAnsi="Verdana" w:cs="Arial"/>
          <w:color w:val="000000"/>
        </w:rPr>
      </w:pPr>
      <w:r>
        <w:rPr>
          <w:rFonts w:ascii="Verdana" w:eastAsia="Arial" w:hAnsi="Verdana" w:cs="Arial"/>
          <w:color w:val="000000"/>
        </w:rPr>
        <w:t>Así, l</w:t>
      </w:r>
      <w:r w:rsidRPr="00C64261">
        <w:rPr>
          <w:rFonts w:ascii="Verdana" w:eastAsia="Arial" w:hAnsi="Verdana" w:cs="Arial"/>
          <w:color w:val="000000"/>
        </w:rPr>
        <w:t>a Administración c</w:t>
      </w:r>
      <w:r>
        <w:rPr>
          <w:rFonts w:ascii="Verdana" w:eastAsia="Arial" w:hAnsi="Verdana" w:cs="Arial"/>
          <w:color w:val="000000"/>
        </w:rPr>
        <w:t>uenta</w:t>
      </w:r>
      <w:r w:rsidRPr="00C64261">
        <w:rPr>
          <w:rFonts w:ascii="Verdana" w:eastAsia="Arial" w:hAnsi="Verdana" w:cs="Arial"/>
          <w:color w:val="000000"/>
        </w:rPr>
        <w:t xml:space="preserve">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w:t>
      </w:r>
      <w:r w:rsidRPr="00C64261">
        <w:rPr>
          <w:rFonts w:ascii="Verdana" w:eastAsia="Arial" w:hAnsi="Verdana" w:cs="Arial"/>
          <w:color w:val="000000"/>
        </w:rPr>
        <w:lastRenderedPageBreak/>
        <w:t>no es posible subsanarlo; pero, si no otorga puntaje, la Administración debe requerir al proponente para que lo subsane</w:t>
      </w:r>
      <w:r>
        <w:rPr>
          <w:rStyle w:val="Refdenotaalpie"/>
          <w:rFonts w:ascii="Verdana" w:eastAsia="Arial" w:hAnsi="Verdana" w:cs="Arial"/>
          <w:color w:val="000000"/>
        </w:rPr>
        <w:footnoteReference w:id="6"/>
      </w:r>
      <w:r w:rsidRPr="00C64261">
        <w:rPr>
          <w:rFonts w:ascii="Verdana" w:eastAsia="Arial" w:hAnsi="Verdana" w:cs="Arial"/>
          <w:color w:val="000000"/>
        </w:rPr>
        <w:t xml:space="preserve">. </w:t>
      </w:r>
    </w:p>
    <w:p w14:paraId="717C8B7F" w14:textId="0A346609" w:rsidR="00BD66C1" w:rsidRPr="00972D72" w:rsidRDefault="00BD66C1" w:rsidP="00BD66C1">
      <w:pPr>
        <w:spacing w:after="120" w:line="276" w:lineRule="auto"/>
        <w:ind w:firstLine="709"/>
        <w:jc w:val="both"/>
        <w:rPr>
          <w:rFonts w:ascii="Verdana" w:eastAsia="Arial" w:hAnsi="Verdana" w:cs="Arial"/>
          <w:color w:val="000000"/>
        </w:rPr>
      </w:pPr>
      <w:r>
        <w:rPr>
          <w:rFonts w:ascii="Verdana" w:eastAsia="Arial" w:hAnsi="Verdana" w:cs="Arial"/>
          <w:color w:val="000000"/>
        </w:rPr>
        <w:t>Luego, la subsanación de</w:t>
      </w:r>
      <w:r w:rsidRPr="00E046B1">
        <w:rPr>
          <w:rFonts w:ascii="Verdana" w:eastAsia="Arial" w:hAnsi="Verdana" w:cs="Arial"/>
          <w:color w:val="000000"/>
        </w:rPr>
        <w:t xml:space="preserve"> la entrega de la traducción oficial y/o certificación del traductor</w:t>
      </w:r>
      <w:r>
        <w:rPr>
          <w:rFonts w:ascii="Verdana" w:eastAsia="Arial" w:hAnsi="Verdana" w:cs="Arial"/>
          <w:color w:val="000000"/>
        </w:rPr>
        <w:t xml:space="preserve"> se refiere únicamente a los </w:t>
      </w:r>
      <w:r w:rsidRPr="00972D72">
        <w:rPr>
          <w:rFonts w:ascii="Verdana" w:eastAsia="Arial" w:hAnsi="Verdana" w:cs="Arial"/>
          <w:i/>
          <w:iCs/>
          <w:color w:val="000000"/>
        </w:rPr>
        <w:t>criterios que no otorgan puntaje</w:t>
      </w:r>
      <w:r>
        <w:rPr>
          <w:rFonts w:ascii="Verdana" w:eastAsia="Arial" w:hAnsi="Verdana" w:cs="Arial"/>
          <w:color w:val="000000"/>
        </w:rPr>
        <w:t xml:space="preserve">. El pliego de condiciones, en ausencia de la certificación </w:t>
      </w:r>
      <w:r>
        <w:rPr>
          <w:rFonts w:ascii="Verdana" w:hAnsi="Verdana" w:cs="Arial"/>
          <w:bCs/>
        </w:rPr>
        <w:t>del artículo 33 de la Ley 962 de 2005</w:t>
      </w:r>
      <w:r>
        <w:rPr>
          <w:rFonts w:ascii="Verdana" w:eastAsia="Arial" w:hAnsi="Verdana" w:cs="Arial"/>
          <w:color w:val="000000"/>
        </w:rPr>
        <w:t>, no reguló una presunción del validez frente al sello y la firma del documento. En consecuencia, la falta de uno u ambos requisitos permite aplicar la causal de rechazo del literal E del numeral 1.15 del documento base en caso de “</w:t>
      </w:r>
      <w:r w:rsidRPr="00190AE5">
        <w:rPr>
          <w:rFonts w:ascii="Verdana" w:eastAsia="Arial" w:hAnsi="Verdana" w:cs="Arial"/>
          <w:color w:val="000000"/>
        </w:rPr>
        <w:t>Que el proponente no aclare, subsane o aporte documentos necesarios para cumplir un requisito habilitante o aportándolos no lo haga de forma correcta, en los términos establecidos en la sección 1.6</w:t>
      </w:r>
      <w:r>
        <w:rPr>
          <w:rFonts w:ascii="Verdana" w:eastAsia="Arial" w:hAnsi="Verdana" w:cs="Arial"/>
          <w:color w:val="000000"/>
        </w:rPr>
        <w:t>”</w:t>
      </w:r>
      <w:r w:rsidRPr="00190AE5">
        <w:rPr>
          <w:rFonts w:ascii="Verdana" w:eastAsia="Arial" w:hAnsi="Verdana" w:cs="Arial"/>
          <w:color w:val="000000"/>
        </w:rPr>
        <w:t>.</w:t>
      </w:r>
      <w:r>
        <w:rPr>
          <w:rFonts w:ascii="Verdana" w:eastAsia="Arial" w:hAnsi="Verdana" w:cs="Arial"/>
          <w:color w:val="000000"/>
        </w:rPr>
        <w:t xml:space="preserve"> Los </w:t>
      </w:r>
      <w:r w:rsidRPr="00972D72">
        <w:rPr>
          <w:rFonts w:ascii="Verdana" w:eastAsia="Arial" w:hAnsi="Verdana" w:cs="Arial"/>
          <w:i/>
          <w:iCs/>
          <w:color w:val="000000"/>
        </w:rPr>
        <w:t>criterios que otorgan puntaje</w:t>
      </w:r>
      <w:r>
        <w:rPr>
          <w:rFonts w:ascii="Verdana" w:eastAsia="Arial" w:hAnsi="Verdana" w:cs="Arial"/>
          <w:color w:val="000000"/>
        </w:rPr>
        <w:t xml:space="preserve">, por </w:t>
      </w:r>
      <w:r w:rsidR="00F5530A">
        <w:rPr>
          <w:rFonts w:ascii="Verdana" w:eastAsia="Arial" w:hAnsi="Verdana" w:cs="Arial"/>
          <w:color w:val="000000"/>
        </w:rPr>
        <w:t xml:space="preserve">su </w:t>
      </w:r>
      <w:r>
        <w:rPr>
          <w:rFonts w:ascii="Verdana" w:eastAsia="Arial" w:hAnsi="Verdana" w:cs="Arial"/>
          <w:color w:val="000000"/>
        </w:rPr>
        <w:t xml:space="preserve">parte, son insubsanables durante el proceso de selección; razón por la cual, </w:t>
      </w:r>
      <w:r w:rsidRPr="00972D72">
        <w:rPr>
          <w:rFonts w:ascii="Verdana" w:eastAsia="Arial" w:hAnsi="Verdana" w:cs="Arial"/>
          <w:color w:val="000000"/>
        </w:rPr>
        <w:t xml:space="preserve">los documentos de soporte o prueba </w:t>
      </w:r>
      <w:r>
        <w:rPr>
          <w:rFonts w:ascii="Verdana" w:eastAsia="Arial" w:hAnsi="Verdana" w:cs="Arial"/>
          <w:color w:val="000000"/>
        </w:rPr>
        <w:t xml:space="preserve">sobre los mismos </w:t>
      </w:r>
      <w:r w:rsidRPr="00972D72">
        <w:rPr>
          <w:rFonts w:ascii="Verdana" w:eastAsia="Arial" w:hAnsi="Verdana" w:cs="Arial"/>
          <w:color w:val="000000"/>
        </w:rPr>
        <w:t xml:space="preserve">debe </w:t>
      </w:r>
      <w:r>
        <w:rPr>
          <w:rFonts w:ascii="Verdana" w:eastAsia="Arial" w:hAnsi="Verdana" w:cs="Arial"/>
          <w:color w:val="000000"/>
        </w:rPr>
        <w:t>presentarse</w:t>
      </w:r>
      <w:r w:rsidRPr="00972D72">
        <w:rPr>
          <w:rFonts w:ascii="Verdana" w:eastAsia="Arial" w:hAnsi="Verdana" w:cs="Arial"/>
          <w:color w:val="000000"/>
        </w:rPr>
        <w:t xml:space="preserve"> obligatoriamente con la oferta inicial</w:t>
      </w:r>
      <w:r>
        <w:rPr>
          <w:rFonts w:ascii="Verdana" w:eastAsia="Arial" w:hAnsi="Verdana" w:cs="Arial"/>
          <w:color w:val="000000"/>
        </w:rPr>
        <w:t>.</w:t>
      </w:r>
    </w:p>
    <w:p w14:paraId="52006EB0" w14:textId="77777777" w:rsidR="00BD66C1" w:rsidRPr="003A380F" w:rsidRDefault="00BD66C1" w:rsidP="00BD66C1">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5A330D3" w14:textId="77777777" w:rsidR="00BD66C1" w:rsidRPr="00185EE9" w:rsidRDefault="00BD66C1" w:rsidP="00BD66C1">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3A380F">
        <w:rPr>
          <w:rFonts w:ascii="Verdana" w:eastAsia="Calibri" w:hAnsi="Verdana" w:cs="Arial"/>
          <w:bCs/>
          <w:color w:val="000000" w:themeColor="text1"/>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094F528" w14:textId="77777777" w:rsidR="00BD66C1" w:rsidRPr="00182C89" w:rsidRDefault="00BD66C1" w:rsidP="00BD66C1">
      <w:pPr>
        <w:tabs>
          <w:tab w:val="left" w:pos="709"/>
        </w:tabs>
        <w:spacing w:after="0" w:line="276" w:lineRule="auto"/>
        <w:jc w:val="both"/>
        <w:rPr>
          <w:rFonts w:ascii="Verdana" w:eastAsia="Calibri" w:hAnsi="Verdana" w:cs="Arial"/>
          <w:color w:val="000000" w:themeColor="text1"/>
        </w:rPr>
      </w:pPr>
    </w:p>
    <w:p w14:paraId="3D8DC597" w14:textId="77777777" w:rsidR="00BD66C1" w:rsidRPr="00593A5F" w:rsidRDefault="00BD66C1" w:rsidP="00BD66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2E20554" w14:textId="77777777" w:rsidR="00BD66C1" w:rsidRPr="00593A5F" w:rsidRDefault="00BD66C1" w:rsidP="00BD66C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66C1" w:rsidRPr="002407CE" w14:paraId="677D4599" w14:textId="77777777" w:rsidTr="009749F4">
        <w:trPr>
          <w:trHeight w:val="870"/>
          <w:jc w:val="center"/>
        </w:trPr>
        <w:tc>
          <w:tcPr>
            <w:tcW w:w="8647" w:type="dxa"/>
          </w:tcPr>
          <w:p w14:paraId="33F32854" w14:textId="77777777" w:rsidR="00BD66C1"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w:t>
            </w:r>
            <w:r w:rsidRPr="00D85592">
              <w:rPr>
                <w:rFonts w:ascii="Verdana" w:hAnsi="Verdana" w:cs="Arial"/>
              </w:rPr>
              <w:t>, artículo</w:t>
            </w:r>
            <w:r>
              <w:rPr>
                <w:rFonts w:ascii="Verdana" w:hAnsi="Verdana" w:cs="Arial"/>
              </w:rPr>
              <w:t>s 10 y 84</w:t>
            </w:r>
            <w:r w:rsidRPr="00D85592">
              <w:rPr>
                <w:rFonts w:ascii="Verdana" w:hAnsi="Verdana" w:cs="Arial"/>
              </w:rPr>
              <w:t>.</w:t>
            </w:r>
          </w:p>
          <w:p w14:paraId="125EFCEE" w14:textId="77777777" w:rsidR="00BD66C1" w:rsidRPr="00D85592"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25 y 77. </w:t>
            </w:r>
          </w:p>
          <w:p w14:paraId="6119FBD8" w14:textId="77777777" w:rsidR="00BD66C1"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812315">
              <w:rPr>
                <w:rFonts w:ascii="Verdana" w:hAnsi="Verdana" w:cs="Arial"/>
                <w:color w:val="000000" w:themeColor="text1"/>
                <w:lang w:val="es-ES_tradnl"/>
              </w:rPr>
              <w:t>Ley 962 de 2005</w:t>
            </w:r>
            <w:r>
              <w:rPr>
                <w:rFonts w:ascii="Verdana" w:hAnsi="Verdana" w:cs="Arial"/>
                <w:color w:val="000000" w:themeColor="text1"/>
                <w:lang w:val="es-ES_tradnl"/>
              </w:rPr>
              <w:t>,</w:t>
            </w:r>
            <w:r w:rsidRPr="00D85592">
              <w:rPr>
                <w:rFonts w:ascii="Verdana" w:hAnsi="Verdana" w:cs="Arial"/>
                <w:color w:val="000000" w:themeColor="text1"/>
                <w:lang w:val="es-ES_tradnl"/>
              </w:rPr>
              <w:t xml:space="preserve"> artículo </w:t>
            </w:r>
            <w:r>
              <w:rPr>
                <w:rFonts w:ascii="Verdana" w:hAnsi="Verdana" w:cs="Arial"/>
                <w:color w:val="000000" w:themeColor="text1"/>
                <w:lang w:val="es-ES_tradnl"/>
              </w:rPr>
              <w:t>33.</w:t>
            </w:r>
          </w:p>
          <w:p w14:paraId="3CDF6EF3" w14:textId="77777777" w:rsidR="00BD66C1"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Ley 1150 de 2007, artículo 5. </w:t>
            </w:r>
          </w:p>
          <w:p w14:paraId="62B0462E" w14:textId="77777777" w:rsidR="00BD66C1"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1437 de 2011, artículo 9.</w:t>
            </w:r>
          </w:p>
          <w:p w14:paraId="1F812DC0" w14:textId="77777777" w:rsidR="00BD66C1"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1564 de 2012, artículo 251.</w:t>
            </w:r>
          </w:p>
          <w:p w14:paraId="39C4ECD3" w14:textId="77777777" w:rsidR="00BD66C1" w:rsidRDefault="00BD66C1" w:rsidP="009749F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bCs/>
              </w:rPr>
              <w:t>Resolución del Ministerio de Relaciones Exteriores 1959 de 2020, artículo 2.</w:t>
            </w:r>
          </w:p>
          <w:p w14:paraId="52BE3ED5" w14:textId="77777777" w:rsidR="00BD66C1" w:rsidRPr="00F803DB" w:rsidRDefault="00BD66C1" w:rsidP="009749F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Circular Externa Única de la ANCP – CCE, numerales 8.1 y 8.4</w:t>
            </w:r>
          </w:p>
        </w:tc>
      </w:tr>
    </w:tbl>
    <w:p w14:paraId="4BE3DEB7" w14:textId="77777777" w:rsidR="00BD66C1" w:rsidRPr="002407CE" w:rsidRDefault="00BD66C1" w:rsidP="00BD66C1">
      <w:pPr>
        <w:widowControl w:val="0"/>
        <w:autoSpaceDE w:val="0"/>
        <w:autoSpaceDN w:val="0"/>
        <w:spacing w:after="0" w:line="276" w:lineRule="auto"/>
        <w:jc w:val="both"/>
        <w:rPr>
          <w:rFonts w:ascii="Verdana" w:hAnsi="Verdana" w:cs="Arial"/>
        </w:rPr>
      </w:pPr>
    </w:p>
    <w:p w14:paraId="7FE3EE0A" w14:textId="77777777" w:rsidR="00BD66C1" w:rsidRPr="00593A5F" w:rsidRDefault="00BD66C1" w:rsidP="00BD66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62FF47C" w14:textId="77777777" w:rsidR="00BD66C1" w:rsidRPr="00593A5F" w:rsidRDefault="00BD66C1" w:rsidP="00BD66C1">
      <w:pPr>
        <w:widowControl w:val="0"/>
        <w:autoSpaceDE w:val="0"/>
        <w:autoSpaceDN w:val="0"/>
        <w:spacing w:after="0" w:line="276" w:lineRule="auto"/>
        <w:jc w:val="both"/>
        <w:rPr>
          <w:rFonts w:ascii="Verdana" w:hAnsi="Verdana" w:cs="Arial"/>
        </w:rPr>
      </w:pPr>
    </w:p>
    <w:p w14:paraId="58C326D1" w14:textId="77777777" w:rsidR="00BD66C1" w:rsidRPr="00ED0098" w:rsidRDefault="00BD66C1" w:rsidP="00BD66C1">
      <w:pPr>
        <w:widowControl w:val="0"/>
        <w:autoSpaceDE w:val="0"/>
        <w:autoSpaceDN w:val="0"/>
        <w:spacing w:after="0" w:line="276" w:lineRule="auto"/>
        <w:jc w:val="both"/>
        <w:rPr>
          <w:rStyle w:val="normaltextrun"/>
          <w:rFonts w:ascii="Verdana" w:hAnsi="Verdana" w:cs="Arial"/>
          <w:shd w:val="clear" w:color="auto" w:fill="FFFFFF"/>
        </w:rPr>
      </w:pPr>
      <w:r w:rsidRPr="0014063A">
        <w:rPr>
          <w:rFonts w:ascii="Verdana" w:eastAsia="Calibri" w:hAnsi="Verdana" w:cs="Arial"/>
          <w:shd w:val="clear" w:color="auto" w:fill="FFFFFF"/>
          <w:lang w:val="es-ES"/>
        </w:rPr>
        <w:t xml:space="preserve">La Agencia Nacional de Contratación Pública – Colombia Compra Eficiente, en los Conceptos </w:t>
      </w:r>
      <w:r>
        <w:rPr>
          <w:rFonts w:ascii="Verdana" w:eastAsia="Calibri" w:hAnsi="Verdana" w:cs="Arial"/>
          <w:shd w:val="clear" w:color="auto" w:fill="FFFFFF"/>
          <w:lang w:val="es-ES"/>
        </w:rPr>
        <w:t xml:space="preserve">C-532 del 28 de septiembre de 2021, C-686 del 19 de octubre de 2022, C-819 del 20 de diciembre de 2022, C-090 del 24 de marzo de 2023, C-437 del 25 de octubre de 2023 y C-085 del 06 de junio de 2024 </w:t>
      </w:r>
      <w:r w:rsidRPr="005A4A0D">
        <w:rPr>
          <w:rFonts w:ascii="Verdana" w:eastAsia="Calibri" w:hAnsi="Verdana" w:cs="Arial"/>
          <w:shd w:val="clear" w:color="auto" w:fill="FFFFFF"/>
          <w:lang w:val="es-ES"/>
        </w:rPr>
        <w:t xml:space="preserve">entre otros, analizó </w:t>
      </w:r>
      <w:r>
        <w:rPr>
          <w:rFonts w:ascii="Verdana" w:eastAsia="Calibri" w:hAnsi="Verdana" w:cs="Arial"/>
          <w:shd w:val="clear" w:color="auto" w:fill="FFFFFF"/>
          <w:lang w:val="es-ES"/>
        </w:rPr>
        <w:t>el contexto de la traducción de los documentos establecidos en un idioma diferente al castellano</w:t>
      </w:r>
      <w:r>
        <w:rPr>
          <w:rFonts w:ascii="Verdana" w:hAnsi="Verdana"/>
        </w:rPr>
        <w:t>. Asimismo,</w:t>
      </w:r>
      <w:r>
        <w:rPr>
          <w:rFonts w:ascii="Verdana" w:hAnsi="Verdana" w:cs="Arial"/>
          <w:shd w:val="clear" w:color="auto" w:fill="FFFFFF"/>
        </w:rPr>
        <w:t xml:space="preserve"> </w:t>
      </w:r>
      <w:r w:rsidRPr="001E2096">
        <w:rPr>
          <w:rStyle w:val="normaltextrun"/>
          <w:rFonts w:ascii="Verdana" w:hAnsi="Verdana" w:cs="Arial"/>
          <w:shd w:val="clear" w:color="auto" w:fill="FFFFFF"/>
          <w:lang w:val="es-ES"/>
        </w:rPr>
        <w:t xml:space="preserve">se ha pronunciado sobre la regla de </w:t>
      </w:r>
      <w:proofErr w:type="spellStart"/>
      <w:r w:rsidRPr="001E2096">
        <w:rPr>
          <w:rStyle w:val="normaltextrun"/>
          <w:rFonts w:ascii="Verdana" w:hAnsi="Verdana" w:cs="Arial"/>
          <w:shd w:val="clear" w:color="auto" w:fill="FFFFFF"/>
          <w:lang w:val="es-ES"/>
        </w:rPr>
        <w:t>subsanabilidad</w:t>
      </w:r>
      <w:proofErr w:type="spellEnd"/>
      <w:r w:rsidRPr="001E2096">
        <w:rPr>
          <w:rStyle w:val="normaltextrun"/>
          <w:rFonts w:ascii="Verdana" w:hAnsi="Verdana" w:cs="Arial"/>
          <w:shd w:val="clear" w:color="auto" w:fill="FFFFFF"/>
          <w:lang w:val="es-ES"/>
        </w:rPr>
        <w:t xml:space="preserve"> en los Conceptos 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C-152 del 12 de abril de 2021, C-207 del 10 de mayo de 2021, C-217 del 14 de mayo de 2021, C-250 del 2 de </w:t>
      </w:r>
      <w:r w:rsidRPr="001E2096">
        <w:rPr>
          <w:rStyle w:val="normaltextrun"/>
          <w:rFonts w:ascii="Verdana" w:hAnsi="Verdana" w:cs="Arial"/>
          <w:shd w:val="clear" w:color="auto" w:fill="FFFFFF"/>
          <w:lang w:val="es-ES"/>
        </w:rPr>
        <w:lastRenderedPageBreak/>
        <w:t>junio de 2021, C-311 del 10 de junio de 2021, C-409 del 13 de agosto de 2021, C-424 del 27 de septiembre de 2021, C-477 del 6 de septiembre de 2021, C-485 del 13 de octubre de 2021, C-498 del 14 de septiembre de 2021, C-501 del 16 de agosto de 2021, C-521 del 24 de septiembre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w:t>
      </w:r>
      <w:r>
        <w:rPr>
          <w:rStyle w:val="normaltextrun"/>
          <w:rFonts w:ascii="Verdana" w:hAnsi="Verdana" w:cs="Arial"/>
          <w:shd w:val="clear" w:color="auto" w:fill="FFFFFF"/>
          <w:lang w:val="es-ES"/>
        </w:rPr>
        <w:t xml:space="preserve">, </w:t>
      </w:r>
      <w:r w:rsidRPr="001E2096">
        <w:rPr>
          <w:rStyle w:val="normaltextrun"/>
          <w:rFonts w:ascii="Verdana" w:hAnsi="Verdana" w:cs="Arial"/>
          <w:shd w:val="clear" w:color="auto" w:fill="FFFFFF"/>
          <w:lang w:val="es-ES"/>
        </w:rPr>
        <w:t>C-304 del 4 de julio de 2023</w:t>
      </w:r>
      <w:r>
        <w:rPr>
          <w:rStyle w:val="normaltextrun"/>
          <w:rFonts w:ascii="Verdana" w:hAnsi="Verdana" w:cs="Arial"/>
          <w:shd w:val="clear" w:color="auto" w:fill="FFFFFF"/>
          <w:lang w:val="es-ES"/>
        </w:rPr>
        <w:t xml:space="preserve">, C-734 del 28 de noviembre de 2024 y C-051 del 21 de febrero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1B4FDBC" w14:textId="77777777" w:rsidR="00BD66C1" w:rsidRPr="00096788" w:rsidRDefault="00BD66C1" w:rsidP="00BD66C1">
      <w:pPr>
        <w:widowControl w:val="0"/>
        <w:autoSpaceDE w:val="0"/>
        <w:autoSpaceDN w:val="0"/>
        <w:spacing w:after="0" w:line="276" w:lineRule="auto"/>
        <w:jc w:val="both"/>
        <w:rPr>
          <w:rFonts w:ascii="Verdana" w:hAnsi="Verdana" w:cs="Arial"/>
          <w:color w:val="000000" w:themeColor="text1"/>
          <w:shd w:val="clear" w:color="auto" w:fill="FFFFFF"/>
        </w:rPr>
      </w:pPr>
    </w:p>
    <w:p w14:paraId="2776FF06" w14:textId="77777777" w:rsidR="00BD66C1" w:rsidRPr="00E440FD" w:rsidRDefault="00BD66C1" w:rsidP="00BD66C1">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B2247F9" w14:textId="77777777" w:rsidR="00BD66C1" w:rsidRDefault="00BD66C1" w:rsidP="00BD66C1">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0D2FD72E" w14:textId="77777777" w:rsidR="00BD66C1" w:rsidRPr="00116940" w:rsidRDefault="00BD66C1" w:rsidP="00BD66C1">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F5EAA44" w14:textId="77777777" w:rsidR="00BD66C1" w:rsidRPr="00116940" w:rsidRDefault="00BD66C1" w:rsidP="00BD66C1">
      <w:pPr>
        <w:spacing w:after="0"/>
        <w:jc w:val="both"/>
        <w:rPr>
          <w:rFonts w:ascii="Verdana" w:hAnsi="Verdana"/>
        </w:rPr>
      </w:pPr>
    </w:p>
    <w:p w14:paraId="6DB6F97F" w14:textId="77777777" w:rsidR="00BD66C1" w:rsidRPr="00116940" w:rsidRDefault="00BD66C1" w:rsidP="00BD66C1">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 xml:space="preserve">Línea nacional gratuita o servicio a la ciudadanía (Mesa de servicio): </w:t>
      </w:r>
      <w:r w:rsidRPr="00116940">
        <w:rPr>
          <w:rStyle w:val="Hipervnculo"/>
          <w:rFonts w:ascii="Verdana" w:hAnsi="Verdana"/>
        </w:rPr>
        <w:t>01800 0520808</w:t>
      </w:r>
    </w:p>
    <w:p w14:paraId="1F8E74A6" w14:textId="77777777" w:rsidR="00BD66C1" w:rsidRPr="00116940" w:rsidRDefault="00BD66C1" w:rsidP="00BD66C1">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71DD35B" w14:textId="77777777" w:rsidR="00BD66C1" w:rsidRPr="00116940" w:rsidRDefault="00BD66C1" w:rsidP="00BD66C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0E4215BD" w14:textId="77777777" w:rsidR="00BD66C1" w:rsidRPr="00116940" w:rsidRDefault="00BD66C1" w:rsidP="00BD66C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848B8AC" w14:textId="77777777" w:rsidR="00BD66C1" w:rsidRPr="00116940" w:rsidRDefault="00BD66C1" w:rsidP="00BD66C1">
      <w:pPr>
        <w:spacing w:after="0" w:line="240" w:lineRule="auto"/>
        <w:ind w:left="720"/>
        <w:jc w:val="both"/>
        <w:rPr>
          <w:rFonts w:ascii="Verdana" w:hAnsi="Verdana"/>
        </w:rPr>
      </w:pPr>
    </w:p>
    <w:p w14:paraId="38E15D20" w14:textId="77777777" w:rsidR="00BD66C1" w:rsidRPr="00116940" w:rsidRDefault="00BD66C1" w:rsidP="00BD66C1">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8BE68C5" w14:textId="77777777" w:rsidR="00BD66C1" w:rsidRPr="00116940" w:rsidRDefault="00BD66C1" w:rsidP="00BD66C1">
      <w:pPr>
        <w:spacing w:after="0" w:line="240" w:lineRule="auto"/>
        <w:rPr>
          <w:rFonts w:ascii="Verdana" w:hAnsi="Verdana"/>
        </w:rPr>
      </w:pPr>
    </w:p>
    <w:p w14:paraId="7BC626BA" w14:textId="77777777" w:rsidR="00BD66C1" w:rsidRPr="00116940" w:rsidRDefault="00BD66C1" w:rsidP="00BD66C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BC8B39D" w14:textId="77777777" w:rsidR="00BD66C1" w:rsidRPr="00116940" w:rsidRDefault="00BD66C1" w:rsidP="00BD66C1">
      <w:pPr>
        <w:spacing w:after="0" w:line="240" w:lineRule="auto"/>
        <w:jc w:val="both"/>
        <w:rPr>
          <w:rFonts w:ascii="Verdana" w:hAnsi="Verdana"/>
        </w:rPr>
      </w:pPr>
    </w:p>
    <w:p w14:paraId="5D9F8C96" w14:textId="77777777" w:rsidR="00BD66C1" w:rsidRPr="00116940" w:rsidRDefault="00BD66C1" w:rsidP="00BD66C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CE14EC0" w14:textId="77777777" w:rsidR="00BD66C1" w:rsidRPr="00116940" w:rsidRDefault="00BD66C1" w:rsidP="00BD66C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A970A0B" w14:textId="77777777" w:rsidR="00BD66C1" w:rsidRPr="00116940" w:rsidRDefault="00BD66C1" w:rsidP="00BD66C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F69303A" w14:textId="77777777" w:rsidR="00BD66C1" w:rsidRPr="009C4035" w:rsidRDefault="00BD66C1" w:rsidP="00BD66C1">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16BC7A8" w14:textId="77777777" w:rsidR="00BD66C1" w:rsidRPr="00593A5F" w:rsidRDefault="00BD66C1" w:rsidP="00BD66C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ED766C7" w14:textId="77777777" w:rsidR="00BD66C1" w:rsidRPr="00593A5F" w:rsidRDefault="00BD66C1" w:rsidP="00BD66C1">
      <w:pPr>
        <w:widowControl w:val="0"/>
        <w:autoSpaceDE w:val="0"/>
        <w:autoSpaceDN w:val="0"/>
        <w:spacing w:after="0" w:line="276" w:lineRule="auto"/>
        <w:jc w:val="both"/>
        <w:rPr>
          <w:rFonts w:ascii="Verdana" w:hAnsi="Verdana" w:cs="Arial"/>
        </w:rPr>
      </w:pPr>
    </w:p>
    <w:p w14:paraId="188EA59B" w14:textId="77777777" w:rsidR="00BD66C1" w:rsidRPr="00593A5F" w:rsidRDefault="00BD66C1" w:rsidP="00BD66C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373DF76" w14:textId="20B060CB" w:rsidR="00BD66C1" w:rsidRPr="00593A5F" w:rsidRDefault="005D5D2C" w:rsidP="00BD66C1">
      <w:pPr>
        <w:spacing w:line="276" w:lineRule="auto"/>
        <w:jc w:val="center"/>
        <w:rPr>
          <w:rFonts w:ascii="Verdana" w:hAnsi="Verdana" w:cs="Arial"/>
          <w:color w:val="000000"/>
          <w:lang w:val="es-ES_tradnl" w:eastAsia="es-CO"/>
        </w:rPr>
      </w:pPr>
      <w:r>
        <w:rPr>
          <w:noProof/>
        </w:rPr>
        <w:drawing>
          <wp:inline distT="0" distB="0" distL="0" distR="0" wp14:anchorId="297E02AC" wp14:editId="6239396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66C1" w:rsidRPr="00593A5F" w14:paraId="11D7A21F" w14:textId="77777777" w:rsidTr="009749F4">
        <w:trPr>
          <w:trHeight w:val="315"/>
        </w:trPr>
        <w:tc>
          <w:tcPr>
            <w:tcW w:w="893" w:type="dxa"/>
            <w:vAlign w:val="center"/>
            <w:hideMark/>
          </w:tcPr>
          <w:p w14:paraId="7F507586" w14:textId="77777777" w:rsidR="00BD66C1" w:rsidRPr="003751C7" w:rsidRDefault="00BD66C1" w:rsidP="009749F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B996B5" w14:textId="77777777" w:rsidR="00BD66C1" w:rsidRPr="00254A7A" w:rsidRDefault="00BD66C1" w:rsidP="009749F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6D76F5B" w14:textId="77777777" w:rsidR="00BD66C1" w:rsidRPr="00254A7A" w:rsidRDefault="00BD66C1" w:rsidP="009749F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D66C1" w:rsidRPr="00593A5F" w14:paraId="34088D04" w14:textId="77777777" w:rsidTr="009749F4">
        <w:trPr>
          <w:trHeight w:val="330"/>
        </w:trPr>
        <w:tc>
          <w:tcPr>
            <w:tcW w:w="893" w:type="dxa"/>
            <w:vAlign w:val="center"/>
            <w:hideMark/>
          </w:tcPr>
          <w:p w14:paraId="18732B3F" w14:textId="77777777" w:rsidR="00BD66C1" w:rsidRPr="003751C7" w:rsidRDefault="00BD66C1" w:rsidP="009749F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4EDB44" w14:textId="77777777" w:rsidR="00BD66C1" w:rsidRPr="00FE00BE" w:rsidRDefault="00BD66C1" w:rsidP="009749F4">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0D3E8F35" w14:textId="77777777" w:rsidR="00BD66C1" w:rsidRPr="00FE00BE" w:rsidRDefault="00BD66C1" w:rsidP="009749F4">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BD66C1" w:rsidRPr="00593A5F" w14:paraId="396C1D9A" w14:textId="77777777" w:rsidTr="009749F4">
        <w:trPr>
          <w:trHeight w:val="300"/>
        </w:trPr>
        <w:tc>
          <w:tcPr>
            <w:tcW w:w="893" w:type="dxa"/>
            <w:vAlign w:val="center"/>
          </w:tcPr>
          <w:p w14:paraId="4716A519" w14:textId="77777777" w:rsidR="00BD66C1" w:rsidRPr="003751C7" w:rsidRDefault="00BD66C1" w:rsidP="009749F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C89755" w14:textId="77777777" w:rsidR="00BD66C1" w:rsidRPr="00FE00BE" w:rsidRDefault="00BD66C1" w:rsidP="009749F4">
            <w:pPr>
              <w:contextualSpacing/>
              <w:rPr>
                <w:rFonts w:ascii="Verdana" w:eastAsia="Calibri" w:hAnsi="Verdana" w:cs="Arial"/>
                <w:sz w:val="16"/>
                <w:szCs w:val="16"/>
                <w:lang w:val="es-ES" w:eastAsia="es-ES"/>
              </w:rPr>
            </w:pPr>
            <w:r w:rsidRPr="5F14CA77">
              <w:rPr>
                <w:rFonts w:ascii="Verdana" w:eastAsia="Calibri" w:hAnsi="Verdana" w:cs="Arial"/>
                <w:sz w:val="16"/>
                <w:szCs w:val="16"/>
                <w:lang w:val="es-ES" w:eastAsia="es-ES"/>
              </w:rPr>
              <w:t>Carolina Quintero Gacharná</w:t>
            </w:r>
          </w:p>
          <w:p w14:paraId="0C627D43" w14:textId="77777777" w:rsidR="00BD66C1" w:rsidRPr="00FE00BE" w:rsidRDefault="00BD66C1" w:rsidP="009749F4">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lastRenderedPageBreak/>
              <w:t>Subdirectora de Gestión Contractual ANCP – CCE</w:t>
            </w:r>
          </w:p>
        </w:tc>
      </w:tr>
    </w:tbl>
    <w:p w14:paraId="03B86182" w14:textId="77777777" w:rsidR="00BD66C1" w:rsidRPr="00543BFE" w:rsidRDefault="00BD66C1" w:rsidP="00BD66C1"/>
    <w:p w14:paraId="0F293BF4" w14:textId="4B98C0A4" w:rsidR="00127233" w:rsidRPr="009752CE" w:rsidRDefault="00127233" w:rsidP="009752CE"/>
    <w:sectPr w:rsidR="00127233" w:rsidRPr="009752C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CE732" w14:textId="77777777" w:rsidR="0062572F" w:rsidRDefault="0062572F" w:rsidP="004A1847">
      <w:pPr>
        <w:spacing w:after="0" w:line="240" w:lineRule="auto"/>
      </w:pPr>
      <w:r>
        <w:separator/>
      </w:r>
    </w:p>
  </w:endnote>
  <w:endnote w:type="continuationSeparator" w:id="0">
    <w:p w14:paraId="59676E43" w14:textId="77777777" w:rsidR="0062572F" w:rsidRDefault="0062572F" w:rsidP="004A1847">
      <w:pPr>
        <w:spacing w:after="0" w:line="240" w:lineRule="auto"/>
      </w:pPr>
      <w:r>
        <w:continuationSeparator/>
      </w:r>
    </w:p>
  </w:endnote>
  <w:endnote w:type="continuationNotice" w:id="1">
    <w:p w14:paraId="77FE5003" w14:textId="77777777" w:rsidR="0062572F" w:rsidRDefault="006257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98B43" w14:textId="77777777" w:rsidR="0062572F" w:rsidRDefault="0062572F" w:rsidP="004A1847">
      <w:pPr>
        <w:spacing w:after="0" w:line="240" w:lineRule="auto"/>
      </w:pPr>
      <w:r>
        <w:separator/>
      </w:r>
    </w:p>
  </w:footnote>
  <w:footnote w:type="continuationSeparator" w:id="0">
    <w:p w14:paraId="792644D4" w14:textId="77777777" w:rsidR="0062572F" w:rsidRDefault="0062572F" w:rsidP="004A1847">
      <w:pPr>
        <w:spacing w:after="0" w:line="240" w:lineRule="auto"/>
      </w:pPr>
      <w:r>
        <w:continuationSeparator/>
      </w:r>
    </w:p>
  </w:footnote>
  <w:footnote w:type="continuationNotice" w:id="1">
    <w:p w14:paraId="3943BD32" w14:textId="77777777" w:rsidR="0062572F" w:rsidRDefault="0062572F">
      <w:pPr>
        <w:spacing w:after="0" w:line="240" w:lineRule="auto"/>
      </w:pPr>
    </w:p>
  </w:footnote>
  <w:footnote w:id="2">
    <w:p w14:paraId="30969BF1" w14:textId="77777777" w:rsidR="00BD66C1" w:rsidRPr="0060624D" w:rsidRDefault="00BD66C1" w:rsidP="00BD66C1">
      <w:pPr>
        <w:pBdr>
          <w:top w:val="nil"/>
          <w:left w:val="nil"/>
          <w:bottom w:val="nil"/>
          <w:right w:val="nil"/>
          <w:between w:val="nil"/>
        </w:pBdr>
        <w:spacing w:after="0"/>
        <w:ind w:firstLine="708"/>
        <w:jc w:val="both"/>
        <w:rPr>
          <w:rFonts w:ascii="Verdana" w:eastAsia="Arial" w:hAnsi="Verdana" w:cs="Arial"/>
          <w:sz w:val="16"/>
          <w:szCs w:val="16"/>
        </w:rPr>
      </w:pPr>
      <w:r w:rsidRPr="0060624D">
        <w:rPr>
          <w:rFonts w:ascii="Verdana" w:hAnsi="Verdana"/>
          <w:sz w:val="16"/>
          <w:szCs w:val="16"/>
          <w:vertAlign w:val="superscript"/>
        </w:rPr>
        <w:footnoteRef/>
      </w:r>
      <w:r w:rsidRPr="0060624D">
        <w:rPr>
          <w:rFonts w:ascii="Verdana" w:eastAsia="Arial" w:hAnsi="Verdana" w:cs="Arial"/>
          <w:sz w:val="16"/>
          <w:szCs w:val="16"/>
        </w:rPr>
        <w:t xml:space="preserve"> Resulta del caso precisar, por una parte, que el mismo artículo constitucional reconoce que “[…] Las lenguas y dialectos de los grupos étnicos son también oficiales en sus territorios […]” y, por la otra, que el legislador también ha declarado otros idiomas y lenguajes como oficiales, esto es, el inglés en el Departamento Archipiélago de San Andrés, Providencia y Santa Catalina (Ley 47 de 1993); y el lenguaje de señas (Ley 982 de 2005), al cual el mismo legislador dotó de especial protección.</w:t>
      </w:r>
    </w:p>
  </w:footnote>
  <w:footnote w:id="3">
    <w:p w14:paraId="1CE93B01" w14:textId="77777777" w:rsidR="00BD66C1" w:rsidRPr="0060624D" w:rsidRDefault="00BD66C1" w:rsidP="00BD66C1">
      <w:pPr>
        <w:pBdr>
          <w:top w:val="nil"/>
          <w:left w:val="nil"/>
          <w:bottom w:val="nil"/>
          <w:right w:val="nil"/>
          <w:between w:val="nil"/>
        </w:pBdr>
        <w:spacing w:after="0"/>
        <w:ind w:firstLine="708"/>
        <w:jc w:val="both"/>
        <w:rPr>
          <w:rFonts w:ascii="Verdana" w:eastAsia="Arial" w:hAnsi="Verdana" w:cs="Arial"/>
          <w:sz w:val="16"/>
          <w:szCs w:val="16"/>
        </w:rPr>
      </w:pPr>
      <w:r w:rsidRPr="0060624D">
        <w:rPr>
          <w:rFonts w:ascii="Verdana" w:hAnsi="Verdana"/>
          <w:sz w:val="16"/>
          <w:szCs w:val="16"/>
          <w:vertAlign w:val="superscript"/>
        </w:rPr>
        <w:footnoteRef/>
      </w:r>
      <w:r w:rsidRPr="0060624D">
        <w:rPr>
          <w:rFonts w:ascii="Verdana" w:eastAsia="Arial" w:hAnsi="Verdana" w:cs="Arial"/>
          <w:sz w:val="16"/>
          <w:szCs w:val="16"/>
        </w:rPr>
        <w:t xml:space="preserve"> Cfr. </w:t>
      </w:r>
      <w:r w:rsidRPr="0060624D">
        <w:rPr>
          <w:rFonts w:ascii="Verdana" w:eastAsia="Arial" w:hAnsi="Verdana" w:cs="Arial"/>
          <w:i/>
          <w:sz w:val="16"/>
          <w:szCs w:val="16"/>
        </w:rPr>
        <w:t xml:space="preserve">Mutatis mutandi </w:t>
      </w:r>
      <w:r w:rsidRPr="0060624D">
        <w:rPr>
          <w:rFonts w:ascii="Verdana" w:eastAsia="Arial" w:hAnsi="Verdana" w:cs="Arial"/>
          <w:sz w:val="16"/>
          <w:szCs w:val="16"/>
        </w:rPr>
        <w:t xml:space="preserve">MARÍN CORTÉS, Fabián Gonzalo. Derecho de petición y procedimiento administrativo. Editorial Librería Jurídica Sánchez R. Ltda. Medellín. 2017. Págs. 293 y ss. </w:t>
      </w:r>
    </w:p>
  </w:footnote>
  <w:footnote w:id="4">
    <w:p w14:paraId="3A894FA8" w14:textId="77777777" w:rsidR="00BD66C1" w:rsidRPr="00F3123B" w:rsidRDefault="00BD66C1" w:rsidP="00BD66C1">
      <w:pPr>
        <w:pStyle w:val="p1"/>
        <w:ind w:firstLine="708"/>
        <w:jc w:val="both"/>
        <w:rPr>
          <w:rFonts w:ascii="Verdana" w:hAnsi="Verdana"/>
          <w:sz w:val="16"/>
          <w:szCs w:val="16"/>
        </w:rPr>
      </w:pPr>
      <w:r w:rsidRPr="00F3123B">
        <w:rPr>
          <w:rStyle w:val="Refdenotaalpie"/>
          <w:rFonts w:ascii="Verdana" w:hAnsi="Verdana"/>
          <w:sz w:val="16"/>
          <w:szCs w:val="16"/>
        </w:rPr>
        <w:footnoteRef/>
      </w:r>
      <w:r w:rsidRPr="00F3123B">
        <w:rPr>
          <w:rFonts w:ascii="Verdana" w:hAnsi="Verdana"/>
          <w:sz w:val="16"/>
          <w:szCs w:val="16"/>
        </w:rPr>
        <w:t xml:space="preserve"> </w:t>
      </w:r>
      <w:hyperlink r:id="rId1" w:history="1">
        <w:r w:rsidRPr="00F3123B">
          <w:rPr>
            <w:rStyle w:val="Hipervnculo"/>
            <w:rFonts w:ascii="Verdana" w:hAnsi="Verdana"/>
            <w:sz w:val="16"/>
            <w:szCs w:val="16"/>
          </w:rPr>
          <w:t>https://www.colombiacompra.gov.co/wp-content/uploads/2024/08/circular_externa_unica_version_3_vf49.pdf</w:t>
        </w:r>
      </w:hyperlink>
      <w:r w:rsidRPr="00F3123B">
        <w:rPr>
          <w:rFonts w:ascii="Verdana" w:hAnsi="Verdana"/>
          <w:sz w:val="16"/>
          <w:szCs w:val="16"/>
        </w:rPr>
        <w:t>. La circular tambien establece que “En el caso de documentos especializados, como, por ejemplo, especificaciones o</w:t>
      </w:r>
      <w:r>
        <w:rPr>
          <w:rFonts w:ascii="Verdana" w:hAnsi="Verdana"/>
          <w:sz w:val="16"/>
          <w:szCs w:val="16"/>
        </w:rPr>
        <w:t xml:space="preserve"> </w:t>
      </w:r>
      <w:r w:rsidRPr="00F3123B">
        <w:rPr>
          <w:rFonts w:ascii="Verdana" w:hAnsi="Verdana"/>
          <w:sz w:val="16"/>
          <w:szCs w:val="16"/>
        </w:rPr>
        <w:t>fichas técnicas, que en el mercado sean de amplia utilización y aceptación en</w:t>
      </w:r>
      <w:r>
        <w:rPr>
          <w:rFonts w:ascii="Verdana" w:hAnsi="Verdana"/>
          <w:sz w:val="16"/>
          <w:szCs w:val="16"/>
        </w:rPr>
        <w:t xml:space="preserve"> </w:t>
      </w:r>
      <w:r w:rsidRPr="00F3123B">
        <w:rPr>
          <w:rFonts w:ascii="Verdana" w:hAnsi="Verdana"/>
          <w:sz w:val="16"/>
          <w:szCs w:val="16"/>
        </w:rPr>
        <w:t>idioma distinto al castellano, las Entidades Estatales podrán establecer en los</w:t>
      </w:r>
      <w:r>
        <w:rPr>
          <w:rFonts w:ascii="Verdana" w:hAnsi="Verdana"/>
          <w:sz w:val="16"/>
          <w:szCs w:val="16"/>
        </w:rPr>
        <w:t xml:space="preserve"> </w:t>
      </w:r>
      <w:r w:rsidRPr="00F3123B">
        <w:rPr>
          <w:rFonts w:ascii="Verdana" w:hAnsi="Verdana"/>
          <w:sz w:val="16"/>
          <w:szCs w:val="16"/>
        </w:rPr>
        <w:t>Documentos del Proceso la posibilidad de que sean aportados en su lengua original</w:t>
      </w:r>
      <w:r>
        <w:rPr>
          <w:rFonts w:ascii="Verdana" w:hAnsi="Verdana"/>
          <w:sz w:val="16"/>
          <w:szCs w:val="16"/>
        </w:rPr>
        <w:t xml:space="preserve"> </w:t>
      </w:r>
      <w:r w:rsidRPr="00F3123B">
        <w:rPr>
          <w:rFonts w:ascii="Verdana" w:hAnsi="Verdana"/>
          <w:sz w:val="16"/>
          <w:szCs w:val="16"/>
        </w:rPr>
        <w:t>acompañados de una traducción simple al castellano, cuando así lo considere</w:t>
      </w:r>
      <w:r>
        <w:rPr>
          <w:rFonts w:ascii="Verdana" w:hAnsi="Verdana"/>
          <w:sz w:val="16"/>
          <w:szCs w:val="16"/>
        </w:rPr>
        <w:t xml:space="preserve"> </w:t>
      </w:r>
      <w:r w:rsidRPr="00F3123B">
        <w:rPr>
          <w:rFonts w:ascii="Verdana" w:hAnsi="Verdana"/>
          <w:sz w:val="16"/>
          <w:szCs w:val="16"/>
        </w:rPr>
        <w:t>conveniente de conformidad con el estudio del sector realizado”</w:t>
      </w:r>
      <w:r>
        <w:rPr>
          <w:rFonts w:ascii="Verdana" w:hAnsi="Verdana"/>
          <w:sz w:val="16"/>
          <w:szCs w:val="16"/>
        </w:rPr>
        <w:t>.</w:t>
      </w:r>
    </w:p>
  </w:footnote>
  <w:footnote w:id="5">
    <w:p w14:paraId="40C1C602" w14:textId="77777777" w:rsidR="00BD66C1" w:rsidRPr="00F3123B" w:rsidRDefault="00BD66C1" w:rsidP="00BD66C1">
      <w:pPr>
        <w:pStyle w:val="Textonotapie"/>
        <w:ind w:firstLine="708"/>
        <w:jc w:val="both"/>
        <w:rPr>
          <w:rFonts w:ascii="Verdana" w:hAnsi="Verdana"/>
          <w:sz w:val="16"/>
          <w:szCs w:val="16"/>
        </w:rPr>
      </w:pPr>
      <w:r w:rsidRPr="00F3123B">
        <w:rPr>
          <w:rStyle w:val="Refdenotaalpie"/>
          <w:rFonts w:ascii="Verdana" w:hAnsi="Verdana"/>
          <w:sz w:val="16"/>
          <w:szCs w:val="16"/>
        </w:rPr>
        <w:footnoteRef/>
      </w:r>
      <w:r w:rsidRPr="00F3123B">
        <w:rPr>
          <w:rFonts w:ascii="Verdana" w:hAnsi="Verdana"/>
          <w:sz w:val="16"/>
          <w:szCs w:val="16"/>
        </w:rPr>
        <w:t xml:space="preserve"> </w:t>
      </w:r>
      <w:r>
        <w:rPr>
          <w:rFonts w:ascii="Verdana" w:hAnsi="Verdana"/>
          <w:sz w:val="16"/>
          <w:szCs w:val="16"/>
        </w:rPr>
        <w:t>“</w:t>
      </w:r>
      <w:r w:rsidRPr="00F3123B">
        <w:rPr>
          <w:rFonts w:ascii="Verdana" w:hAnsi="Verdana"/>
          <w:sz w:val="16"/>
          <w:szCs w:val="16"/>
        </w:rPr>
        <w:t xml:space="preserve">Los documentos y las comunicaciones entregadas, enviadas o expedidas por los proponentes o por terceros para efectos del Proceso de Contratación, o para ser tenidos en cuenta en el mismo, deben ser allegados en español. Los documentos y comunicaciones en un idioma distinto deben ser presentados en su lengua original junto con la </w:t>
      </w:r>
      <w:r w:rsidRPr="00F3123B">
        <w:rPr>
          <w:rFonts w:ascii="Verdana" w:hAnsi="Verdana"/>
          <w:i/>
          <w:iCs/>
          <w:sz w:val="16"/>
          <w:szCs w:val="16"/>
        </w:rPr>
        <w:t>traducción oficial al español</w:t>
      </w:r>
      <w:r w:rsidRPr="00F3123B">
        <w:rPr>
          <w:rFonts w:ascii="Verdana" w:hAnsi="Verdana"/>
          <w:sz w:val="16"/>
          <w:szCs w:val="16"/>
        </w:rPr>
        <w:t>.</w:t>
      </w:r>
    </w:p>
    <w:p w14:paraId="64D61CBB" w14:textId="77777777" w:rsidR="00BD66C1" w:rsidRPr="00F3123B" w:rsidRDefault="00BD66C1" w:rsidP="00BD66C1">
      <w:pPr>
        <w:pStyle w:val="Textonotapie"/>
        <w:ind w:firstLine="708"/>
        <w:jc w:val="both"/>
        <w:rPr>
          <w:rFonts w:ascii="Verdana" w:hAnsi="Verdana"/>
          <w:sz w:val="16"/>
          <w:szCs w:val="16"/>
        </w:rPr>
      </w:pPr>
      <w:r w:rsidRPr="00F3123B">
        <w:rPr>
          <w:rFonts w:ascii="Verdana" w:hAnsi="Verdana"/>
          <w:sz w:val="16"/>
          <w:szCs w:val="16"/>
        </w:rPr>
        <w:t xml:space="preserve">El proponente puede presentar con la oferta documentos con una traducción simple y entregar la </w:t>
      </w:r>
      <w:r w:rsidRPr="00F3123B">
        <w:rPr>
          <w:rFonts w:ascii="Verdana" w:hAnsi="Verdana"/>
          <w:i/>
          <w:iCs/>
          <w:sz w:val="16"/>
          <w:szCs w:val="16"/>
        </w:rPr>
        <w:t>traducción oficial</w:t>
      </w:r>
      <w:r w:rsidRPr="00F3123B">
        <w:rPr>
          <w:rFonts w:ascii="Verdana" w:hAnsi="Verdana"/>
          <w:sz w:val="16"/>
          <w:szCs w:val="16"/>
        </w:rPr>
        <w:t xml:space="preserve"> al castellano dentro del plazo previsto para la subsanación. La </w:t>
      </w:r>
      <w:r w:rsidRPr="00F3123B">
        <w:rPr>
          <w:rFonts w:ascii="Verdana" w:hAnsi="Verdana"/>
          <w:i/>
          <w:iCs/>
          <w:sz w:val="16"/>
          <w:szCs w:val="16"/>
        </w:rPr>
        <w:t xml:space="preserve">traducción oficial </w:t>
      </w:r>
      <w:r w:rsidRPr="00F3123B">
        <w:rPr>
          <w:rFonts w:ascii="Verdana" w:hAnsi="Verdana"/>
          <w:sz w:val="16"/>
          <w:szCs w:val="16"/>
        </w:rPr>
        <w:t>debe ser el mismo texto presentado.</w:t>
      </w:r>
    </w:p>
    <w:p w14:paraId="05192241" w14:textId="77777777" w:rsidR="00BD66C1" w:rsidRPr="00F3123B" w:rsidRDefault="00BD66C1" w:rsidP="00BD66C1">
      <w:pPr>
        <w:pStyle w:val="Textonotapie"/>
        <w:ind w:firstLine="708"/>
        <w:jc w:val="both"/>
        <w:rPr>
          <w:rFonts w:ascii="Verdana" w:hAnsi="Verdana"/>
          <w:sz w:val="16"/>
          <w:szCs w:val="16"/>
        </w:rPr>
      </w:pPr>
      <w:r w:rsidRPr="00F3123B">
        <w:rPr>
          <w:rFonts w:ascii="Verdana" w:hAnsi="Verdana"/>
          <w:sz w:val="16"/>
          <w:szCs w:val="16"/>
        </w:rPr>
        <w:t xml:space="preserve">Para que la </w:t>
      </w:r>
      <w:r w:rsidRPr="00F3123B">
        <w:rPr>
          <w:rFonts w:ascii="Verdana" w:hAnsi="Verdana"/>
          <w:i/>
          <w:iCs/>
          <w:sz w:val="16"/>
          <w:szCs w:val="16"/>
        </w:rPr>
        <w:t>traducción oficial</w:t>
      </w:r>
      <w:r w:rsidRPr="00F3123B">
        <w:rPr>
          <w:rFonts w:ascii="Verdana" w:hAnsi="Verdana"/>
          <w:sz w:val="16"/>
          <w:szCs w:val="16"/>
        </w:rPr>
        <w:t xml:space="preserve"> de los documentos en idioma extranjero sea válida, la traducción se realizará en los términos del Decreto 382 de 1951 y el artículo 33 de la Ley 962 de 2005, o la norma que la modifique, sustituya o complemente. </w:t>
      </w:r>
    </w:p>
    <w:p w14:paraId="3043D5CE" w14:textId="77777777" w:rsidR="00BD66C1" w:rsidRPr="00F3123B" w:rsidRDefault="00BD66C1" w:rsidP="00BD66C1">
      <w:pPr>
        <w:pStyle w:val="Textonotapie"/>
        <w:ind w:firstLine="708"/>
        <w:jc w:val="both"/>
        <w:rPr>
          <w:rFonts w:ascii="Verdana" w:hAnsi="Verdana"/>
          <w:sz w:val="16"/>
          <w:szCs w:val="16"/>
          <w:lang w:val="es-CO"/>
        </w:rPr>
      </w:pPr>
      <w:r w:rsidRPr="00BE37EE">
        <w:rPr>
          <w:rFonts w:ascii="Verdana" w:hAnsi="Verdana"/>
          <w:i/>
          <w:iCs/>
          <w:sz w:val="16"/>
          <w:szCs w:val="16"/>
        </w:rPr>
        <w:t>De igual manera, se deberán atender los demás lineamientos al respecto que se establecen en la Circular Única Externa expedida por la Agencia Nacional de Contratación Pública - Colombia Compra Eficiente</w:t>
      </w:r>
      <w:r>
        <w:rPr>
          <w:rFonts w:ascii="Verdana" w:hAnsi="Verdana"/>
          <w:sz w:val="16"/>
          <w:szCs w:val="16"/>
        </w:rPr>
        <w:t>” (Énfasis fuera de texto)</w:t>
      </w:r>
      <w:r w:rsidRPr="00F3123B">
        <w:rPr>
          <w:rFonts w:ascii="Verdana" w:hAnsi="Verdana"/>
          <w:sz w:val="16"/>
          <w:szCs w:val="16"/>
        </w:rPr>
        <w:t>.</w:t>
      </w:r>
    </w:p>
  </w:footnote>
  <w:footnote w:id="6">
    <w:p w14:paraId="356E1089" w14:textId="77777777" w:rsidR="00BD66C1" w:rsidRPr="00E046B1" w:rsidRDefault="00BD66C1" w:rsidP="00BD66C1">
      <w:pPr>
        <w:pStyle w:val="Textonotapie"/>
        <w:ind w:firstLine="708"/>
        <w:jc w:val="both"/>
        <w:rPr>
          <w:rFonts w:ascii="Verdana" w:hAnsi="Verdana"/>
          <w:sz w:val="16"/>
          <w:szCs w:val="16"/>
          <w:lang w:val="es-CO"/>
        </w:rPr>
      </w:pPr>
      <w:r w:rsidRPr="00E046B1">
        <w:rPr>
          <w:rStyle w:val="Refdenotaalpie"/>
          <w:rFonts w:ascii="Verdana" w:hAnsi="Verdana"/>
          <w:sz w:val="16"/>
          <w:szCs w:val="16"/>
        </w:rPr>
        <w:footnoteRef/>
      </w:r>
      <w:r w:rsidRPr="00E046B1">
        <w:rPr>
          <w:rFonts w:ascii="Verdana" w:hAnsi="Verdana"/>
          <w:sz w:val="16"/>
          <w:szCs w:val="16"/>
        </w:rPr>
        <w:t xml:space="preserve"> No en vano, el numeral 1.6 del pliego de condiciones de los “Documentos Tipo – Versión 3” para licitación de obra pública de infraestructura de </w:t>
      </w:r>
      <w:r>
        <w:rPr>
          <w:rFonts w:ascii="Verdana" w:hAnsi="Verdana"/>
          <w:sz w:val="16"/>
          <w:szCs w:val="16"/>
        </w:rPr>
        <w:t>transporte dispuso que</w:t>
      </w:r>
      <w:r w:rsidRPr="00E046B1">
        <w:rPr>
          <w:rFonts w:ascii="Verdana" w:hAnsi="Verdana"/>
          <w:sz w:val="16"/>
          <w:szCs w:val="16"/>
        </w:rPr>
        <w:t xml:space="preserve"> “El proponente tiene la responsabilidad y carga de presentar su oferta en forma completa e íntegra, esto es, respondiendo todos los puntos del pliego de condiciones y adjuntando todos los documentos de soporte o prueba de las condiciones que pretenda hacer valer en el proceso”. Sin embargo, “En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5E3C"/>
    <w:rsid w:val="000A683E"/>
    <w:rsid w:val="000B19B9"/>
    <w:rsid w:val="000D0334"/>
    <w:rsid w:val="000D5DA7"/>
    <w:rsid w:val="000F6486"/>
    <w:rsid w:val="00116940"/>
    <w:rsid w:val="00125105"/>
    <w:rsid w:val="00127233"/>
    <w:rsid w:val="0013497E"/>
    <w:rsid w:val="0015699B"/>
    <w:rsid w:val="001A33BF"/>
    <w:rsid w:val="001E15E2"/>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7328F"/>
    <w:rsid w:val="00486FF3"/>
    <w:rsid w:val="004A1847"/>
    <w:rsid w:val="004A305D"/>
    <w:rsid w:val="004F21C4"/>
    <w:rsid w:val="004F685F"/>
    <w:rsid w:val="00545493"/>
    <w:rsid w:val="005566E8"/>
    <w:rsid w:val="00574867"/>
    <w:rsid w:val="00591460"/>
    <w:rsid w:val="005A65E0"/>
    <w:rsid w:val="005B303E"/>
    <w:rsid w:val="005C3777"/>
    <w:rsid w:val="005C5CDC"/>
    <w:rsid w:val="005D476C"/>
    <w:rsid w:val="005D5D2C"/>
    <w:rsid w:val="005F7F5F"/>
    <w:rsid w:val="006200BF"/>
    <w:rsid w:val="006219F8"/>
    <w:rsid w:val="0062572F"/>
    <w:rsid w:val="006302F7"/>
    <w:rsid w:val="00646B9F"/>
    <w:rsid w:val="00665D70"/>
    <w:rsid w:val="006900D9"/>
    <w:rsid w:val="00706C16"/>
    <w:rsid w:val="007340C3"/>
    <w:rsid w:val="0075235A"/>
    <w:rsid w:val="00756841"/>
    <w:rsid w:val="007649AB"/>
    <w:rsid w:val="00771D0C"/>
    <w:rsid w:val="007833AC"/>
    <w:rsid w:val="007874E6"/>
    <w:rsid w:val="007B268C"/>
    <w:rsid w:val="007B7171"/>
    <w:rsid w:val="007C0C0F"/>
    <w:rsid w:val="007C3DC2"/>
    <w:rsid w:val="007D29AB"/>
    <w:rsid w:val="007E03B0"/>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52CE"/>
    <w:rsid w:val="009A0DFA"/>
    <w:rsid w:val="009A1C6F"/>
    <w:rsid w:val="009B2D26"/>
    <w:rsid w:val="009C71FA"/>
    <w:rsid w:val="009C72E7"/>
    <w:rsid w:val="009C7F7E"/>
    <w:rsid w:val="009D3058"/>
    <w:rsid w:val="009F3A13"/>
    <w:rsid w:val="00A122D3"/>
    <w:rsid w:val="00A14468"/>
    <w:rsid w:val="00A17F13"/>
    <w:rsid w:val="00A20739"/>
    <w:rsid w:val="00A21957"/>
    <w:rsid w:val="00A23AF9"/>
    <w:rsid w:val="00A23DBC"/>
    <w:rsid w:val="00A33C78"/>
    <w:rsid w:val="00AB0ADB"/>
    <w:rsid w:val="00AC0A8F"/>
    <w:rsid w:val="00B00C0E"/>
    <w:rsid w:val="00B01B1A"/>
    <w:rsid w:val="00B0381D"/>
    <w:rsid w:val="00B2616E"/>
    <w:rsid w:val="00B44A47"/>
    <w:rsid w:val="00B72CD3"/>
    <w:rsid w:val="00B72FFF"/>
    <w:rsid w:val="00BB4AE1"/>
    <w:rsid w:val="00BC3D36"/>
    <w:rsid w:val="00BD54A6"/>
    <w:rsid w:val="00BD66C1"/>
    <w:rsid w:val="00BD7F72"/>
    <w:rsid w:val="00BF7425"/>
    <w:rsid w:val="00C04FB3"/>
    <w:rsid w:val="00C11D8B"/>
    <w:rsid w:val="00C15139"/>
    <w:rsid w:val="00C26C4A"/>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3AA1"/>
    <w:rsid w:val="00E75C92"/>
    <w:rsid w:val="00E771DC"/>
    <w:rsid w:val="00E8772A"/>
    <w:rsid w:val="00E90F6B"/>
    <w:rsid w:val="00E92C27"/>
    <w:rsid w:val="00EA0E3D"/>
    <w:rsid w:val="00EC38A7"/>
    <w:rsid w:val="00EE1AA8"/>
    <w:rsid w:val="00F23FEA"/>
    <w:rsid w:val="00F31EDC"/>
    <w:rsid w:val="00F462B3"/>
    <w:rsid w:val="00F5530A"/>
    <w:rsid w:val="00F5664F"/>
    <w:rsid w:val="00F661A2"/>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5F14CA77"/>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D66C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D66C1"/>
    <w:rPr>
      <w:rFonts w:ascii="Geomanist Light" w:hAnsi="Geomanist Light"/>
      <w:lang w:val="es-ES"/>
    </w:rPr>
  </w:style>
  <w:style w:type="character" w:customStyle="1" w:styleId="s15">
    <w:name w:val="s15"/>
    <w:basedOn w:val="Fuentedeprrafopredeter"/>
    <w:rsid w:val="00BD66C1"/>
  </w:style>
  <w:style w:type="paragraph" w:customStyle="1" w:styleId="p1">
    <w:name w:val="p1"/>
    <w:basedOn w:val="Normal"/>
    <w:rsid w:val="00BD66C1"/>
    <w:pPr>
      <w:spacing w:after="0" w:line="240" w:lineRule="auto"/>
    </w:pPr>
    <w:rPr>
      <w:rFonts w:ascii="Century Gothic" w:eastAsia="Times New Roman" w:hAnsi="Century Gothic" w:cs="Times New Roman"/>
      <w:color w:val="000000"/>
      <w:sz w:val="17"/>
      <w:szCs w:val="17"/>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mezabedoya@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85D240C-BA33-43B0-96F0-3F513A7D66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16</Pages>
  <Words>5233</Words>
  <Characters>28787</Characters>
  <Application>Microsoft Office Word</Application>
  <DocSecurity>0</DocSecurity>
  <Lines>523</Lines>
  <Paragraphs>99</Paragraphs>
  <ScaleCrop>false</ScaleCrop>
  <Company/>
  <LinksUpToDate>false</LinksUpToDate>
  <CharactersWithSpaces>33921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2025-12-19T14:19:00Z</dcterms:created>
  <dcterms:modified xsi:type="dcterms:W3CDTF">2025-12-22T17:21:00Z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