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D348D" w14:textId="198670B1" w:rsidR="00785819" w:rsidRPr="00785819" w:rsidRDefault="00785819" w:rsidP="00785819">
      <w:pPr>
        <w:widowControl w:val="0"/>
        <w:autoSpaceDE w:val="0"/>
        <w:autoSpaceDN w:val="0"/>
        <w:spacing w:after="0" w:line="240" w:lineRule="auto"/>
        <w:contextualSpacing/>
        <w:jc w:val="both"/>
        <w:rPr>
          <w:rFonts w:ascii="Verdana" w:eastAsia="Verdana" w:hAnsi="Verdana" w:cs="Verdana"/>
          <w:b/>
          <w:lang w:val="es-ES"/>
        </w:rPr>
      </w:pPr>
      <w:r w:rsidRPr="00785819">
        <w:rPr>
          <w:rFonts w:ascii="Verdana" w:eastAsia="Verdana" w:hAnsi="Verdana" w:cs="Verdana"/>
          <w:b/>
          <w:lang w:val="es-ES"/>
        </w:rPr>
        <w:t xml:space="preserve">SELECCIÓN OBJETIVA </w:t>
      </w:r>
      <w:r w:rsidR="007F4FA0" w:rsidRPr="007F4FA0">
        <w:rPr>
          <w:rFonts w:ascii="Verdana" w:eastAsia="Verdana" w:hAnsi="Verdana" w:cs="Verdana"/>
          <w:b/>
          <w:bCs/>
          <w:lang w:val="es-ES"/>
        </w:rPr>
        <w:t>–</w:t>
      </w:r>
      <w:r w:rsidRPr="00785819">
        <w:rPr>
          <w:rFonts w:ascii="Verdana" w:eastAsia="Verdana" w:hAnsi="Verdana" w:cs="Verdana"/>
          <w:b/>
          <w:lang w:val="es-ES"/>
        </w:rPr>
        <w:t xml:space="preserve"> Noción y factores de escogencia</w:t>
      </w:r>
    </w:p>
    <w:p w14:paraId="0435C331" w14:textId="77777777" w:rsidR="00785819" w:rsidRPr="00785819" w:rsidRDefault="00785819" w:rsidP="00785819">
      <w:pPr>
        <w:widowControl w:val="0"/>
        <w:autoSpaceDE w:val="0"/>
        <w:autoSpaceDN w:val="0"/>
        <w:spacing w:after="0" w:line="240" w:lineRule="auto"/>
        <w:contextualSpacing/>
        <w:jc w:val="both"/>
        <w:rPr>
          <w:rFonts w:ascii="Verdana" w:eastAsia="Verdana" w:hAnsi="Verdana" w:cs="Verdana"/>
          <w:b/>
          <w:lang w:val="es-ES"/>
        </w:rPr>
      </w:pPr>
    </w:p>
    <w:p w14:paraId="1D8DEA99" w14:textId="77777777" w:rsidR="00785819" w:rsidRPr="00785819" w:rsidRDefault="00785819" w:rsidP="00785819">
      <w:pPr>
        <w:widowControl w:val="0"/>
        <w:autoSpaceDE w:val="0"/>
        <w:autoSpaceDN w:val="0"/>
        <w:spacing w:after="0" w:line="240" w:lineRule="auto"/>
        <w:contextualSpacing/>
        <w:jc w:val="both"/>
        <w:rPr>
          <w:rFonts w:ascii="Verdana" w:eastAsia="Verdana" w:hAnsi="Verdana" w:cs="Arial"/>
          <w:color w:val="000000" w:themeColor="text1"/>
          <w:sz w:val="20"/>
          <w:szCs w:val="20"/>
          <w:lang w:val="es-ES_tradnl"/>
        </w:rPr>
      </w:pPr>
      <w:r w:rsidRPr="00785819">
        <w:rPr>
          <w:rFonts w:ascii="Verdana" w:eastAsia="Verdana" w:hAnsi="Verdana" w:cs="Arial"/>
          <w:color w:val="000000" w:themeColor="text1"/>
          <w:sz w:val="20"/>
          <w:szCs w:val="20"/>
          <w:lang w:val="es-ES_tradnl"/>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00785819">
        <w:rPr>
          <w:rFonts w:ascii="Verdana" w:eastAsia="Verdana" w:hAnsi="Verdana" w:cs="Arial"/>
          <w:i/>
          <w:iCs/>
          <w:color w:val="000000" w:themeColor="text1"/>
          <w:sz w:val="20"/>
          <w:szCs w:val="20"/>
          <w:lang w:val="es-ES_tradnl"/>
        </w:rPr>
        <w:t>.</w:t>
      </w:r>
      <w:r w:rsidRPr="00785819">
        <w:rPr>
          <w:rFonts w:ascii="Verdana" w:eastAsia="Verdana" w:hAnsi="Verdana" w:cs="Arial"/>
          <w:color w:val="000000" w:themeColor="text1"/>
          <w:sz w:val="20"/>
          <w:szCs w:val="20"/>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686DA11C" w14:textId="77777777" w:rsidR="00785819" w:rsidRPr="00785819" w:rsidRDefault="00785819" w:rsidP="00785819">
      <w:pPr>
        <w:widowControl w:val="0"/>
        <w:autoSpaceDE w:val="0"/>
        <w:autoSpaceDN w:val="0"/>
        <w:spacing w:after="0" w:line="240" w:lineRule="auto"/>
        <w:contextualSpacing/>
        <w:jc w:val="both"/>
        <w:rPr>
          <w:rFonts w:ascii="Verdana" w:eastAsia="Verdana" w:hAnsi="Verdana" w:cs="Verdana"/>
          <w:b/>
          <w:lang w:val="es-ES"/>
        </w:rPr>
      </w:pPr>
    </w:p>
    <w:p w14:paraId="50CA8B7C" w14:textId="3E8F5A23" w:rsidR="00785819" w:rsidRPr="00785819" w:rsidRDefault="00785819" w:rsidP="00785819">
      <w:pPr>
        <w:widowControl w:val="0"/>
        <w:autoSpaceDE w:val="0"/>
        <w:autoSpaceDN w:val="0"/>
        <w:spacing w:after="0" w:line="240" w:lineRule="auto"/>
        <w:contextualSpacing/>
        <w:jc w:val="both"/>
        <w:rPr>
          <w:rFonts w:ascii="Verdana" w:eastAsia="Verdana" w:hAnsi="Verdana" w:cs="Verdana"/>
          <w:b/>
          <w:bCs/>
          <w:lang w:val="es-ES"/>
        </w:rPr>
      </w:pPr>
      <w:r w:rsidRPr="00785819">
        <w:rPr>
          <w:rFonts w:ascii="Verdana" w:eastAsia="Verdana" w:hAnsi="Verdana" w:cs="Verdana"/>
          <w:b/>
          <w:lang w:val="es-ES"/>
        </w:rPr>
        <w:t xml:space="preserve">REQUISITOS HABILITANTES DE LA LEY 1150 DE 2007 </w:t>
      </w:r>
      <w:r w:rsidR="007F4FA0" w:rsidRPr="007F4FA0">
        <w:rPr>
          <w:rFonts w:ascii="Verdana" w:eastAsia="Verdana" w:hAnsi="Verdana" w:cs="Verdana"/>
          <w:b/>
          <w:bCs/>
          <w:lang w:val="es-ES"/>
        </w:rPr>
        <w:t>–</w:t>
      </w:r>
      <w:r w:rsidRPr="00785819">
        <w:rPr>
          <w:rFonts w:ascii="Verdana" w:eastAsia="Verdana" w:hAnsi="Verdana" w:cs="Verdana"/>
          <w:b/>
          <w:lang w:val="es-ES"/>
        </w:rPr>
        <w:t xml:space="preserve"> Carácter enunciativo</w:t>
      </w:r>
      <w:r w:rsidRPr="00785819">
        <w:rPr>
          <w:rFonts w:ascii="Verdana" w:eastAsia="Calibri" w:hAnsi="Verdana" w:cs="Arial"/>
          <w:lang w:val="es-ES" w:eastAsia="es-ES_tradnl"/>
        </w:rPr>
        <w:t xml:space="preserve"> </w:t>
      </w:r>
      <w:r w:rsidR="007F4FA0" w:rsidRPr="007F4FA0">
        <w:rPr>
          <w:rFonts w:ascii="Verdana" w:eastAsia="Calibri" w:hAnsi="Verdana" w:cs="Arial"/>
          <w:b/>
          <w:bCs/>
          <w:lang w:val="es-ES" w:eastAsia="es-ES_tradnl"/>
        </w:rPr>
        <w:t>–</w:t>
      </w:r>
      <w:r w:rsidRPr="00785819">
        <w:rPr>
          <w:rFonts w:ascii="Verdana" w:eastAsia="Calibri" w:hAnsi="Verdana" w:cs="Arial"/>
          <w:lang w:val="es-ES" w:eastAsia="es-ES_tradnl"/>
        </w:rPr>
        <w:t xml:space="preserve"> </w:t>
      </w:r>
      <w:r w:rsidRPr="00785819">
        <w:rPr>
          <w:rFonts w:ascii="Verdana" w:eastAsia="Calibri" w:hAnsi="Verdana" w:cs="Arial"/>
          <w:b/>
          <w:bCs/>
          <w:lang w:val="es-ES" w:eastAsia="es-ES_tradnl"/>
        </w:rPr>
        <w:t>Proporcionalidad y adecuación</w:t>
      </w:r>
    </w:p>
    <w:p w14:paraId="0555E57F" w14:textId="77777777" w:rsidR="00785819" w:rsidRPr="00785819" w:rsidRDefault="00785819" w:rsidP="00785819">
      <w:pPr>
        <w:widowControl w:val="0"/>
        <w:autoSpaceDE w:val="0"/>
        <w:autoSpaceDN w:val="0"/>
        <w:spacing w:after="0" w:line="240" w:lineRule="auto"/>
        <w:contextualSpacing/>
        <w:jc w:val="both"/>
        <w:rPr>
          <w:rFonts w:ascii="Verdana" w:eastAsia="Times New Roman" w:hAnsi="Verdana" w:cs="Arial"/>
          <w:lang w:val="es-ES_tradnl" w:eastAsia="es-MX"/>
        </w:rPr>
      </w:pPr>
    </w:p>
    <w:p w14:paraId="4B51FD9F" w14:textId="77777777" w:rsidR="00785819" w:rsidRPr="00785819" w:rsidRDefault="00785819" w:rsidP="00785819">
      <w:pPr>
        <w:widowControl w:val="0"/>
        <w:autoSpaceDE w:val="0"/>
        <w:autoSpaceDN w:val="0"/>
        <w:spacing w:after="0" w:line="240" w:lineRule="auto"/>
        <w:contextualSpacing/>
        <w:jc w:val="both"/>
        <w:rPr>
          <w:rFonts w:ascii="Verdana" w:eastAsia="Times New Roman" w:hAnsi="Verdana" w:cs="Arial"/>
          <w:sz w:val="20"/>
          <w:szCs w:val="20"/>
          <w:lang w:val="es-ES_tradnl" w:eastAsia="es-MX"/>
        </w:rPr>
      </w:pPr>
      <w:r w:rsidRPr="00785819">
        <w:rPr>
          <w:rFonts w:ascii="Verdana" w:eastAsia="Times New Roman" w:hAnsi="Verdana"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237B975A" w14:textId="77777777" w:rsidR="00785819" w:rsidRPr="00785819" w:rsidRDefault="00785819" w:rsidP="00785819">
      <w:pPr>
        <w:widowControl w:val="0"/>
        <w:autoSpaceDE w:val="0"/>
        <w:autoSpaceDN w:val="0"/>
        <w:spacing w:after="0" w:line="240" w:lineRule="auto"/>
        <w:contextualSpacing/>
        <w:jc w:val="both"/>
        <w:rPr>
          <w:rFonts w:ascii="Verdana" w:eastAsia="Times New Roman" w:hAnsi="Verdana" w:cs="Arial"/>
          <w:sz w:val="20"/>
          <w:szCs w:val="20"/>
          <w:lang w:val="es-ES_tradnl" w:eastAsia="es-MX"/>
        </w:rPr>
      </w:pPr>
    </w:p>
    <w:p w14:paraId="576A2253" w14:textId="77777777" w:rsidR="00785819" w:rsidRPr="00785819" w:rsidRDefault="00785819" w:rsidP="00785819">
      <w:pPr>
        <w:widowControl w:val="0"/>
        <w:autoSpaceDE w:val="0"/>
        <w:autoSpaceDN w:val="0"/>
        <w:spacing w:after="0" w:line="240" w:lineRule="auto"/>
        <w:contextualSpacing/>
        <w:jc w:val="both"/>
        <w:rPr>
          <w:rFonts w:ascii="Verdana" w:eastAsia="Times New Roman" w:hAnsi="Verdana" w:cs="Arial"/>
          <w:bCs/>
          <w:sz w:val="20"/>
          <w:szCs w:val="20"/>
          <w:lang w:val="es-ES_tradnl" w:eastAsia="es-MX" w:bidi="es-ES"/>
        </w:rPr>
      </w:pPr>
      <w:r w:rsidRPr="00785819">
        <w:rPr>
          <w:rFonts w:ascii="Verdana" w:eastAsia="Times New Roman" w:hAnsi="Verdana" w:cs="Arial"/>
          <w:sz w:val="20"/>
          <w:szCs w:val="20"/>
          <w:lang w:val="es-ES_tradnl" w:eastAsia="es-MX"/>
        </w:rPr>
        <w:t xml:space="preserve">[…] </w:t>
      </w:r>
      <w:r w:rsidRPr="00785819">
        <w:rPr>
          <w:rFonts w:ascii="Verdana" w:eastAsia="Times New Roman" w:hAnsi="Verdana" w:cs="Arial"/>
          <w:bCs/>
          <w:sz w:val="20"/>
          <w:szCs w:val="20"/>
          <w:lang w:val="es-ES_tradnl" w:eastAsia="es-MX" w:bidi="es-ES"/>
        </w:rPr>
        <w:t xml:space="preserve">En especial, señala la Ley que los criterios habilitantes que determine la Entidad deberán ser </w:t>
      </w:r>
      <w:r w:rsidRPr="00785819">
        <w:rPr>
          <w:rFonts w:ascii="Verdana" w:eastAsia="Times New Roman" w:hAnsi="Verdana" w:cs="Arial"/>
          <w:bCs/>
          <w:i/>
          <w:iCs/>
          <w:sz w:val="20"/>
          <w:szCs w:val="20"/>
          <w:lang w:val="es-ES_tradnl" w:eastAsia="es-MX" w:bidi="es-ES"/>
        </w:rPr>
        <w:t>adecuados y proporcionales</w:t>
      </w:r>
      <w:r w:rsidRPr="00785819">
        <w:rPr>
          <w:rFonts w:ascii="Verdana" w:eastAsia="Times New Roman" w:hAnsi="Verdana" w:cs="Arial"/>
          <w:bCs/>
          <w:sz w:val="20"/>
          <w:szCs w:val="20"/>
          <w:lang w:val="es-ES_tradnl" w:eastAsia="es-MX"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r w:rsidRPr="00785819">
        <w:rPr>
          <w:rFonts w:ascii="Verdana" w:eastAsia="Times New Roman" w:hAnsi="Verdana" w:cs="Arial"/>
          <w:sz w:val="20"/>
          <w:szCs w:val="20"/>
          <w:lang w:val="es-ES_tradnl" w:eastAsia="es-MX"/>
        </w:rPr>
        <w:t xml:space="preserve"> </w:t>
      </w:r>
      <w:r w:rsidRPr="00785819">
        <w:rPr>
          <w:rFonts w:ascii="Verdana" w:eastAsia="Times New Roman" w:hAnsi="Verdana" w:cs="Arial"/>
          <w:sz w:val="20"/>
          <w:szCs w:val="20"/>
          <w:lang w:val="es-ES" w:eastAsia="es-MX"/>
        </w:rPr>
        <w:t>[…]</w:t>
      </w:r>
    </w:p>
    <w:p w14:paraId="20E960F4" w14:textId="77777777" w:rsidR="00E5735C" w:rsidRDefault="00E5735C" w:rsidP="00E5735C">
      <w:pPr>
        <w:spacing w:after="0" w:line="240" w:lineRule="auto"/>
        <w:rPr>
          <w:rFonts w:ascii="Verdana" w:hAnsi="Verdana"/>
        </w:rPr>
      </w:pPr>
    </w:p>
    <w:p w14:paraId="31CB78B2" w14:textId="77777777" w:rsidR="00917114" w:rsidRPr="00370110" w:rsidRDefault="00917114" w:rsidP="00917114">
      <w:pPr>
        <w:jc w:val="both"/>
        <w:rPr>
          <w:rFonts w:ascii="Verdana" w:eastAsia="Calibri" w:hAnsi="Verdana" w:cs="Arial"/>
          <w:b/>
        </w:rPr>
      </w:pPr>
      <w:r w:rsidRPr="00370110">
        <w:rPr>
          <w:rFonts w:ascii="Verdana" w:eastAsia="Calibri" w:hAnsi="Verdana" w:cs="Arial"/>
          <w:b/>
        </w:rPr>
        <w:t>CERTIFICACIONES DE SISTEMAS DE GESTIÓN DE CALIDAD – No se pueden exigir como requisito habilitante o puntuable – Alcance</w:t>
      </w:r>
    </w:p>
    <w:p w14:paraId="65E22565" w14:textId="77777777" w:rsidR="00917114" w:rsidRDefault="00917114" w:rsidP="00917114">
      <w:pPr>
        <w:spacing w:after="0" w:line="240" w:lineRule="auto"/>
        <w:rPr>
          <w:rFonts w:ascii="Verdana" w:eastAsia="Geomanist Light" w:hAnsi="Verdana" w:cs="Arial"/>
          <w:color w:val="000000" w:themeColor="text1"/>
          <w:lang w:val="es-MX"/>
        </w:rPr>
      </w:pPr>
    </w:p>
    <w:p w14:paraId="2FC180A3" w14:textId="77777777" w:rsidR="00917114" w:rsidRDefault="00917114" w:rsidP="00917114">
      <w:pPr>
        <w:spacing w:after="0" w:line="240" w:lineRule="auto"/>
        <w:jc w:val="both"/>
        <w:rPr>
          <w:rFonts w:ascii="Verdana" w:eastAsia="Calibri" w:hAnsi="Verdana" w:cs="Arial"/>
          <w:color w:val="000000"/>
          <w:sz w:val="20"/>
          <w:szCs w:val="20"/>
          <w:lang w:val="es-MX"/>
        </w:rPr>
      </w:pPr>
      <w:r w:rsidRPr="00370110">
        <w:rPr>
          <w:rFonts w:ascii="Verdana" w:eastAsia="Arial" w:hAnsi="Verdana" w:cs="Arial"/>
          <w:color w:val="000000"/>
          <w:sz w:val="20"/>
          <w:szCs w:val="20"/>
        </w:rPr>
        <w:t>Ahora bien,</w:t>
      </w:r>
      <w:r w:rsidRPr="00370110">
        <w:rPr>
          <w:rFonts w:ascii="Verdana" w:eastAsia="Calibri" w:hAnsi="Verdana" w:cs="Arial"/>
          <w:color w:val="000000"/>
          <w:sz w:val="20"/>
          <w:szCs w:val="20"/>
          <w:lang w:val="es-MX"/>
        </w:rPr>
        <w:t xml:space="preserve"> el parágrafo 2 del artículo 5 de la Ley 1150 de 2007 establece una limitación para la determinación de requisitos habilitantes y criterios de calificación en los procesos de selección, según la cual las “certificaciones de sistemas de gestión de calidad no serán objeto de calificación, ni podrán establecerse como documento habilitante para participar en licitaciones o concursos”.</w:t>
      </w:r>
    </w:p>
    <w:p w14:paraId="2D70CB1A" w14:textId="77777777" w:rsidR="00917114" w:rsidRPr="00370110" w:rsidRDefault="00917114" w:rsidP="00917114">
      <w:pPr>
        <w:spacing w:after="0" w:line="240" w:lineRule="auto"/>
        <w:jc w:val="both"/>
        <w:rPr>
          <w:rFonts w:ascii="Verdana" w:eastAsia="Calibri" w:hAnsi="Verdana" w:cs="Arial"/>
          <w:color w:val="000000"/>
          <w:sz w:val="20"/>
          <w:szCs w:val="20"/>
          <w:lang w:val="es-MX"/>
        </w:rPr>
      </w:pPr>
    </w:p>
    <w:p w14:paraId="5B2C6EC6" w14:textId="228D08B8" w:rsidR="00917114" w:rsidRDefault="00917114" w:rsidP="00917114">
      <w:pPr>
        <w:spacing w:after="0" w:line="240" w:lineRule="auto"/>
        <w:jc w:val="both"/>
        <w:rPr>
          <w:rFonts w:ascii="Verdana" w:hAnsi="Verdana" w:cs="Arial"/>
          <w:color w:val="000000" w:themeColor="text1"/>
          <w:sz w:val="20"/>
          <w:szCs w:val="20"/>
        </w:rPr>
      </w:pPr>
      <w:r w:rsidRPr="00370110">
        <w:rPr>
          <w:rFonts w:ascii="Verdana" w:eastAsia="Calibri" w:hAnsi="Verdana" w:cs="Arial"/>
          <w:color w:val="000000"/>
          <w:sz w:val="20"/>
          <w:szCs w:val="20"/>
          <w:lang w:val="es-MX"/>
        </w:rPr>
        <w:t xml:space="preserve">Para comprender el alcance de este parágrafo resulta de especial importancia referirse a </w:t>
      </w:r>
      <w:r w:rsidRPr="00370110">
        <w:rPr>
          <w:rFonts w:ascii="Verdana" w:hAnsi="Verdana" w:cs="Arial"/>
          <w:color w:val="000000" w:themeColor="text1"/>
          <w:sz w:val="20"/>
          <w:szCs w:val="20"/>
        </w:rPr>
        <w:t xml:space="preserve">los antecedentes legislativos de la norma </w:t>
      </w:r>
      <w:r w:rsidRPr="00370110">
        <w:rPr>
          <w:rFonts w:ascii="Verdana" w:hAnsi="Verdana" w:cs="Arial"/>
          <w:i/>
          <w:iCs/>
          <w:color w:val="000000" w:themeColor="text1"/>
          <w:sz w:val="20"/>
          <w:szCs w:val="20"/>
        </w:rPr>
        <w:t>sub examine</w:t>
      </w:r>
      <w:r w:rsidRPr="00370110">
        <w:rPr>
          <w:rFonts w:ascii="Verdana" w:hAnsi="Verdana" w:cs="Arial"/>
          <w:color w:val="000000" w:themeColor="text1"/>
          <w:sz w:val="20"/>
          <w:szCs w:val="20"/>
        </w:rPr>
        <w:t xml:space="preserve">. En este sentido, es preciso señalar que fue hasta el cuarto debate parlamentario en donde se incluyó el parágrafo comentando anteriormente bajo el siguiente texto: “Parágrafo 2°. Las certificaciones de sistemas de gestión de calidad no serán objeto de calificación, ni podrán establecerse </w:t>
      </w:r>
      <w:r w:rsidRPr="00370110">
        <w:rPr>
          <w:rFonts w:ascii="Verdana" w:hAnsi="Verdana" w:cs="Arial"/>
          <w:color w:val="000000" w:themeColor="text1"/>
          <w:sz w:val="20"/>
          <w:szCs w:val="20"/>
        </w:rPr>
        <w:lastRenderedPageBreak/>
        <w:t xml:space="preserve">como documento habilitante para participar en licitaciones o concursos. No </w:t>
      </w:r>
      <w:proofErr w:type="gramStart"/>
      <w:r w:rsidRPr="00370110">
        <w:rPr>
          <w:rFonts w:ascii="Verdana" w:hAnsi="Verdana" w:cs="Arial"/>
          <w:color w:val="000000" w:themeColor="text1"/>
          <w:sz w:val="20"/>
          <w:szCs w:val="20"/>
        </w:rPr>
        <w:t>obstante</w:t>
      </w:r>
      <w:proofErr w:type="gramEnd"/>
      <w:r w:rsidRPr="00370110">
        <w:rPr>
          <w:rFonts w:ascii="Verdana" w:hAnsi="Verdana" w:cs="Arial"/>
          <w:color w:val="000000" w:themeColor="text1"/>
          <w:sz w:val="20"/>
          <w:szCs w:val="20"/>
        </w:rPr>
        <w:t xml:space="preserve"> en los pliegos de condiciones se podrá fijar la implementación de planes de calidad.”</w:t>
      </w:r>
    </w:p>
    <w:p w14:paraId="2C76D4CF" w14:textId="77777777" w:rsidR="00917114" w:rsidRPr="00370110" w:rsidRDefault="00917114" w:rsidP="00917114">
      <w:pPr>
        <w:spacing w:after="0" w:line="240" w:lineRule="auto"/>
        <w:jc w:val="both"/>
        <w:rPr>
          <w:rFonts w:ascii="Verdana" w:hAnsi="Verdana" w:cs="Arial"/>
          <w:color w:val="000000" w:themeColor="text1"/>
          <w:sz w:val="20"/>
          <w:szCs w:val="20"/>
        </w:rPr>
      </w:pPr>
    </w:p>
    <w:p w14:paraId="52A282F6" w14:textId="77777777" w:rsidR="00917114" w:rsidRPr="00370110" w:rsidRDefault="00917114" w:rsidP="00917114">
      <w:pPr>
        <w:spacing w:after="0" w:line="240" w:lineRule="auto"/>
        <w:jc w:val="both"/>
        <w:rPr>
          <w:rFonts w:ascii="Verdana" w:hAnsi="Verdana" w:cs="Arial"/>
          <w:color w:val="000000" w:themeColor="text1"/>
          <w:sz w:val="20"/>
          <w:szCs w:val="20"/>
        </w:rPr>
      </w:pPr>
      <w:r w:rsidRPr="00370110">
        <w:rPr>
          <w:rFonts w:ascii="Verdana" w:hAnsi="Verdana" w:cs="Arial"/>
          <w:color w:val="000000" w:themeColor="text1"/>
          <w:sz w:val="20"/>
          <w:szCs w:val="20"/>
        </w:rPr>
        <w:t>La razón de la inclusión de este parágrafo en el artículo 5 de la Ley 1150 de 2006 se sustentó en que “(…)</w:t>
      </w:r>
      <w:r w:rsidRPr="00370110">
        <w:rPr>
          <w:rFonts w:ascii="Verdana" w:eastAsia="Arial" w:hAnsi="Verdana" w:cs="Arial"/>
          <w:color w:val="000000"/>
          <w:sz w:val="20"/>
          <w:szCs w:val="20"/>
        </w:rPr>
        <w:t xml:space="preserv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w:t>
      </w:r>
    </w:p>
    <w:p w14:paraId="3F86F9D3" w14:textId="77777777" w:rsidR="00917114" w:rsidRDefault="00917114" w:rsidP="00917114">
      <w:pPr>
        <w:spacing w:after="0" w:line="240" w:lineRule="auto"/>
        <w:rPr>
          <w:rFonts w:ascii="Verdana" w:eastAsia="Geomanist Light" w:hAnsi="Verdana" w:cs="Arial"/>
          <w:color w:val="000000" w:themeColor="text1"/>
          <w:lang w:val="es-MX"/>
        </w:rPr>
      </w:pPr>
    </w:p>
    <w:p w14:paraId="52641CFA" w14:textId="77777777" w:rsidR="00BC654E" w:rsidRDefault="00BC654E" w:rsidP="00BC654E">
      <w:pPr>
        <w:spacing w:after="0" w:line="240" w:lineRule="auto"/>
        <w:jc w:val="both"/>
        <w:rPr>
          <w:rFonts w:ascii="Verdana" w:hAnsi="Verdana"/>
          <w:b/>
        </w:rPr>
      </w:pPr>
      <w:r>
        <w:rPr>
          <w:rFonts w:ascii="Verdana" w:eastAsia="Arial" w:hAnsi="Verdana" w:cs="Arial"/>
          <w:b/>
          <w:lang w:val="es-MX"/>
        </w:rPr>
        <w:t>CLASIFICADOR DE BIENES Y SERVICIOS DE NACIONES UNIDAS – Función</w:t>
      </w:r>
    </w:p>
    <w:p w14:paraId="65B8941C" w14:textId="77777777" w:rsidR="00BC654E" w:rsidRDefault="00BC654E" w:rsidP="00BC654E">
      <w:pPr>
        <w:spacing w:after="0" w:line="240" w:lineRule="auto"/>
        <w:jc w:val="both"/>
        <w:rPr>
          <w:rFonts w:ascii="Verdana" w:hAnsi="Verdana"/>
          <w:b/>
        </w:rPr>
      </w:pPr>
    </w:p>
    <w:p w14:paraId="7516E896" w14:textId="77777777" w:rsidR="00BC654E" w:rsidRDefault="00BC654E" w:rsidP="00BC654E">
      <w:pPr>
        <w:widowControl w:val="0"/>
        <w:autoSpaceDE w:val="0"/>
        <w:autoSpaceDN w:val="0"/>
        <w:spacing w:after="0" w:line="240" w:lineRule="auto"/>
        <w:ind w:right="104"/>
        <w:jc w:val="both"/>
        <w:rPr>
          <w:rFonts w:ascii="Verdana" w:eastAsia="Arial MT" w:hAnsi="Verdana" w:cs="Arial"/>
          <w:sz w:val="20"/>
          <w:szCs w:val="20"/>
          <w:lang w:val="es-ES"/>
        </w:rPr>
      </w:pPr>
      <w:r>
        <w:rPr>
          <w:rFonts w:ascii="Verdana" w:eastAsia="Arial MT" w:hAnsi="Verdana" w:cs="Arial"/>
          <w:sz w:val="20"/>
          <w:szCs w:val="20"/>
          <w:lang w:val="es-ES"/>
        </w:rPr>
        <w:t>Las normas de contratación estatal establecen que las personas naturales o jurídicas nacionales o extranjeras que deseen celebrar contratos estatales deberán estar inscritos en el Registro Único de Proponente –</w:t>
      </w:r>
      <w:r>
        <w:rPr>
          <w:rFonts w:ascii="Verdana" w:eastAsia="Arial MT" w:hAnsi="Verdana" w:cs="Arial"/>
          <w:spacing w:val="-6"/>
          <w:sz w:val="20"/>
          <w:szCs w:val="20"/>
          <w:lang w:val="es-ES"/>
        </w:rPr>
        <w:t xml:space="preserve"> </w:t>
      </w:r>
      <w:r>
        <w:rPr>
          <w:rFonts w:ascii="Verdana" w:eastAsia="Arial MT" w:hAnsi="Verdana" w:cs="Arial"/>
          <w:sz w:val="20"/>
          <w:szCs w:val="20"/>
          <w:lang w:val="es-ES"/>
        </w:rPr>
        <w:t>RUP. De acuerdo 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p>
    <w:p w14:paraId="0AE5AA59" w14:textId="77777777" w:rsidR="00BC654E" w:rsidRDefault="00BC654E" w:rsidP="00BC654E">
      <w:pPr>
        <w:spacing w:after="0" w:line="240" w:lineRule="auto"/>
        <w:jc w:val="both"/>
        <w:rPr>
          <w:rFonts w:ascii="Verdana" w:eastAsia="Arial MT" w:hAnsi="Verdana" w:cs="Arial"/>
          <w:sz w:val="20"/>
          <w:szCs w:val="20"/>
          <w:lang w:val="es-ES"/>
        </w:rPr>
      </w:pPr>
    </w:p>
    <w:p w14:paraId="27C4C285" w14:textId="77777777" w:rsidR="00BC654E" w:rsidRDefault="00BC654E" w:rsidP="00BC654E">
      <w:pPr>
        <w:spacing w:after="0" w:line="240" w:lineRule="auto"/>
        <w:jc w:val="both"/>
        <w:rPr>
          <w:rFonts w:ascii="Verdana" w:hAnsi="Verdana"/>
          <w:b/>
          <w:sz w:val="20"/>
          <w:szCs w:val="20"/>
        </w:rPr>
      </w:pPr>
      <w:r>
        <w:rPr>
          <w:rFonts w:ascii="Verdana" w:eastAsia="Arial MT" w:hAnsi="Verdana" w:cs="Arial"/>
          <w:sz w:val="20"/>
          <w:szCs w:val="20"/>
          <w:lang w:val="es-ES"/>
        </w:rPr>
        <w:t>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w:t>
      </w:r>
    </w:p>
    <w:p w14:paraId="426725E8" w14:textId="77777777" w:rsidR="00BC654E" w:rsidRDefault="00BC654E" w:rsidP="00BC654E">
      <w:pPr>
        <w:spacing w:after="0" w:line="240" w:lineRule="auto"/>
        <w:jc w:val="both"/>
        <w:rPr>
          <w:rFonts w:ascii="Verdana" w:hAnsi="Verdana"/>
          <w:b/>
        </w:rPr>
      </w:pPr>
    </w:p>
    <w:p w14:paraId="1942C409" w14:textId="77777777" w:rsidR="00785819" w:rsidRDefault="00785819" w:rsidP="00E5735C">
      <w:pPr>
        <w:spacing w:after="0" w:line="240" w:lineRule="auto"/>
        <w:rPr>
          <w:rFonts w:ascii="Verdana" w:hAnsi="Verdana"/>
        </w:rPr>
      </w:pPr>
    </w:p>
    <w:p w14:paraId="36D833D9" w14:textId="77777777" w:rsidR="00CA78DD" w:rsidRPr="00E47411" w:rsidRDefault="00CA78DD" w:rsidP="00E47411">
      <w:pPr>
        <w:shd w:val="clear" w:color="auto" w:fill="FFFFFF"/>
        <w:spacing w:before="240" w:beforeAutospacing="1" w:after="240" w:afterAutospacing="1" w:line="240" w:lineRule="auto"/>
        <w:jc w:val="both"/>
        <w:rPr>
          <w:rFonts w:ascii="Verdana" w:eastAsia="Times New Roman" w:hAnsi="Verdana" w:cs="Arial"/>
          <w:color w:val="000000"/>
          <w:sz w:val="20"/>
          <w:szCs w:val="20"/>
          <w:bdr w:val="none" w:sz="0" w:space="0" w:color="auto" w:frame="1"/>
          <w:lang w:eastAsia="es-CO"/>
        </w:rPr>
      </w:pPr>
    </w:p>
    <w:p w14:paraId="10E34C79" w14:textId="77777777" w:rsidR="00E5735C" w:rsidRDefault="00E5735C" w:rsidP="009070DF">
      <w:pPr>
        <w:spacing w:after="0" w:line="240" w:lineRule="auto"/>
        <w:rPr>
          <w:rFonts w:ascii="Verdana" w:eastAsia="Geomanist Light" w:hAnsi="Verdana" w:cs="Arial"/>
          <w:color w:val="000000" w:themeColor="text1"/>
        </w:rPr>
      </w:pPr>
    </w:p>
    <w:p w14:paraId="4EE8FC57" w14:textId="77777777" w:rsidR="00E5735C" w:rsidRDefault="00E5735C" w:rsidP="009070DF">
      <w:pPr>
        <w:spacing w:after="0" w:line="240" w:lineRule="auto"/>
        <w:rPr>
          <w:rFonts w:ascii="Verdana" w:eastAsia="Geomanist Light" w:hAnsi="Verdana" w:cs="Arial"/>
          <w:color w:val="000000" w:themeColor="text1"/>
        </w:rPr>
      </w:pPr>
    </w:p>
    <w:p w14:paraId="46E931CF" w14:textId="77777777" w:rsidR="00E5735C" w:rsidRDefault="00E5735C" w:rsidP="009070DF">
      <w:pPr>
        <w:spacing w:after="0" w:line="240" w:lineRule="auto"/>
        <w:rPr>
          <w:rFonts w:ascii="Verdana" w:eastAsia="Geomanist Light" w:hAnsi="Verdana" w:cs="Arial"/>
          <w:color w:val="000000" w:themeColor="text1"/>
        </w:rPr>
      </w:pPr>
    </w:p>
    <w:p w14:paraId="630385CD" w14:textId="77777777" w:rsidR="00E5735C" w:rsidRDefault="00E5735C" w:rsidP="009070DF">
      <w:pPr>
        <w:spacing w:after="0" w:line="240" w:lineRule="auto"/>
        <w:rPr>
          <w:rFonts w:ascii="Verdana" w:eastAsia="Geomanist Light" w:hAnsi="Verdana" w:cs="Arial"/>
          <w:color w:val="000000" w:themeColor="text1"/>
        </w:rPr>
      </w:pPr>
    </w:p>
    <w:p w14:paraId="07E8938F" w14:textId="77777777" w:rsidR="00E5735C" w:rsidRDefault="00E5735C" w:rsidP="009070DF">
      <w:pPr>
        <w:spacing w:after="0" w:line="240" w:lineRule="auto"/>
        <w:rPr>
          <w:rFonts w:ascii="Verdana" w:eastAsia="Geomanist Light" w:hAnsi="Verdana" w:cs="Arial"/>
          <w:color w:val="000000" w:themeColor="text1"/>
        </w:rPr>
      </w:pPr>
    </w:p>
    <w:p w14:paraId="2051BAD7" w14:textId="77777777" w:rsidR="00E5735C" w:rsidRDefault="00E5735C" w:rsidP="009070DF">
      <w:pPr>
        <w:spacing w:after="0" w:line="240" w:lineRule="auto"/>
        <w:rPr>
          <w:rFonts w:ascii="Verdana" w:eastAsia="Geomanist Light" w:hAnsi="Verdana" w:cs="Arial"/>
          <w:color w:val="000000" w:themeColor="text1"/>
        </w:rPr>
      </w:pPr>
    </w:p>
    <w:p w14:paraId="21EA9945" w14:textId="77777777" w:rsidR="00E5735C" w:rsidRDefault="00E5735C" w:rsidP="009070DF">
      <w:pPr>
        <w:spacing w:after="0" w:line="240" w:lineRule="auto"/>
        <w:rPr>
          <w:rFonts w:ascii="Verdana" w:eastAsia="Geomanist Light" w:hAnsi="Verdana" w:cs="Arial"/>
          <w:color w:val="000000" w:themeColor="text1"/>
        </w:rPr>
      </w:pPr>
    </w:p>
    <w:p w14:paraId="5C148748" w14:textId="77777777" w:rsidR="00E5735C" w:rsidRDefault="00E5735C" w:rsidP="009070DF">
      <w:pPr>
        <w:spacing w:after="0" w:line="240" w:lineRule="auto"/>
        <w:rPr>
          <w:rFonts w:ascii="Verdana" w:eastAsia="Geomanist Light" w:hAnsi="Verdana" w:cs="Arial"/>
          <w:color w:val="000000" w:themeColor="text1"/>
        </w:rPr>
      </w:pPr>
    </w:p>
    <w:p w14:paraId="269E0671" w14:textId="77777777" w:rsidR="00E5735C" w:rsidRDefault="00E5735C" w:rsidP="009070DF">
      <w:pPr>
        <w:spacing w:after="0" w:line="240" w:lineRule="auto"/>
        <w:rPr>
          <w:rFonts w:ascii="Verdana" w:eastAsia="Geomanist Light" w:hAnsi="Verdana" w:cs="Arial"/>
          <w:color w:val="000000" w:themeColor="text1"/>
        </w:rPr>
      </w:pPr>
    </w:p>
    <w:p w14:paraId="54CA362D" w14:textId="77777777" w:rsidR="00E5735C" w:rsidRDefault="00E5735C" w:rsidP="009070DF">
      <w:pPr>
        <w:spacing w:after="0" w:line="240" w:lineRule="auto"/>
        <w:rPr>
          <w:rFonts w:ascii="Verdana" w:eastAsia="Geomanist Light" w:hAnsi="Verdana" w:cs="Arial"/>
          <w:color w:val="000000" w:themeColor="text1"/>
        </w:rPr>
      </w:pPr>
    </w:p>
    <w:p w14:paraId="4E5AEFCF" w14:textId="77777777" w:rsidR="005E184B" w:rsidRDefault="005E184B" w:rsidP="005E184B">
      <w:pPr>
        <w:spacing w:after="0" w:line="240" w:lineRule="auto"/>
        <w:rPr>
          <w:rFonts w:ascii="Verdana" w:eastAsia="Geomanist Light" w:hAnsi="Verdana" w:cs="Arial"/>
          <w:color w:val="000000" w:themeColor="text1"/>
        </w:rPr>
      </w:pPr>
    </w:p>
    <w:p w14:paraId="2B02F5CF" w14:textId="1565F091" w:rsidR="005E184B" w:rsidRPr="00047152" w:rsidRDefault="00047152" w:rsidP="005E184B">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C570A7">
        <w:rPr>
          <w:rFonts w:ascii="Verdana" w:eastAsia="Geomanist Light" w:hAnsi="Verdana" w:cs="Arial"/>
          <w:color w:val="201F1E"/>
        </w:rPr>
        <w:t>30 de diciembre de 2025</w:t>
      </w:r>
    </w:p>
    <w:p w14:paraId="2B9CBE3F" w14:textId="619B9EAF" w:rsidR="005E184B" w:rsidRPr="00A277EA" w:rsidRDefault="005E184B" w:rsidP="00C067F4">
      <w:pPr>
        <w:spacing w:after="0" w:line="240" w:lineRule="auto"/>
        <w:jc w:val="right"/>
        <w:rPr>
          <w:rFonts w:ascii="Verdana" w:eastAsia="Calibri" w:hAnsi="Verdana" w:cs="Arial"/>
          <w:color w:val="000000"/>
          <w:lang w:val="es-ES"/>
        </w:rPr>
      </w:pPr>
    </w:p>
    <w:p w14:paraId="21E11212" w14:textId="7251992E" w:rsidR="00BC654E" w:rsidRDefault="00C570A7" w:rsidP="00C570A7">
      <w:pPr>
        <w:spacing w:after="0" w:line="240" w:lineRule="auto"/>
        <w:jc w:val="right"/>
        <w:rPr>
          <w:rFonts w:ascii="Verdana" w:eastAsia="Calibri" w:hAnsi="Verdana" w:cs="Arial"/>
          <w:lang w:val="es-ES" w:eastAsia="es-ES"/>
        </w:rPr>
      </w:pPr>
      <w:r w:rsidRPr="00C570A7">
        <w:rPr>
          <w:rFonts w:ascii="Verdana" w:eastAsia="Calibri" w:hAnsi="Verdana" w:cs="Arial"/>
          <w:noProof/>
          <w:lang w:val="es-ES" w:eastAsia="es-ES"/>
        </w:rPr>
        <w:drawing>
          <wp:inline distT="0" distB="0" distL="0" distR="0" wp14:anchorId="3F6E6888" wp14:editId="4CFCF874">
            <wp:extent cx="2735580" cy="906780"/>
            <wp:effectExtent l="0" t="0" r="7620" b="7620"/>
            <wp:docPr id="82300635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006354" name="Imagen 1" descr="Texto&#10;&#10;El contenido generado por IA puede ser incorrecto."/>
                    <pic:cNvPicPr/>
                  </pic:nvPicPr>
                  <pic:blipFill>
                    <a:blip r:embed="rId11"/>
                    <a:stretch>
                      <a:fillRect/>
                    </a:stretch>
                  </pic:blipFill>
                  <pic:spPr>
                    <a:xfrm>
                      <a:off x="0" y="0"/>
                      <a:ext cx="2735966" cy="906908"/>
                    </a:xfrm>
                    <a:prstGeom prst="rect">
                      <a:avLst/>
                    </a:prstGeom>
                  </pic:spPr>
                </pic:pic>
              </a:graphicData>
            </a:graphic>
          </wp:inline>
        </w:drawing>
      </w:r>
    </w:p>
    <w:p w14:paraId="373B4BA2" w14:textId="0E1DA21E" w:rsidR="005E184B" w:rsidRDefault="005E184B" w:rsidP="005E184B">
      <w:pPr>
        <w:spacing w:after="0" w:line="240" w:lineRule="auto"/>
        <w:jc w:val="both"/>
        <w:rPr>
          <w:rFonts w:ascii="Verdana" w:eastAsia="Calibri" w:hAnsi="Verdana" w:cs="Arial"/>
          <w:lang w:val="es-ES" w:eastAsia="es-ES"/>
        </w:rPr>
      </w:pPr>
      <w:r w:rsidRPr="00A277EA">
        <w:rPr>
          <w:rFonts w:ascii="Verdana" w:eastAsia="Calibri" w:hAnsi="Verdana" w:cs="Arial"/>
          <w:lang w:val="es-ES" w:eastAsia="es-ES"/>
        </w:rPr>
        <w:t>Señor</w:t>
      </w:r>
    </w:p>
    <w:p w14:paraId="7A5478C7" w14:textId="77777777" w:rsidR="00221841" w:rsidRPr="00891DEB" w:rsidRDefault="00221841" w:rsidP="00221841">
      <w:pPr>
        <w:spacing w:after="0" w:line="240" w:lineRule="auto"/>
        <w:jc w:val="both"/>
        <w:rPr>
          <w:rFonts w:ascii="Verdana" w:eastAsia="Calibri" w:hAnsi="Verdana" w:cs="Arial"/>
          <w:b/>
          <w:bCs/>
          <w:lang w:val="es-ES" w:eastAsia="es-ES"/>
        </w:rPr>
      </w:pPr>
      <w:r w:rsidRPr="00891DEB">
        <w:rPr>
          <w:rFonts w:ascii="Verdana" w:eastAsia="Calibri" w:hAnsi="Verdana" w:cs="Arial"/>
          <w:b/>
          <w:bCs/>
          <w:lang w:val="es-ES" w:eastAsia="es-ES"/>
        </w:rPr>
        <w:t>Juan Carlos Parra Morales</w:t>
      </w:r>
    </w:p>
    <w:p w14:paraId="3070EC9A" w14:textId="6F6CE5B9" w:rsidR="00221841" w:rsidRPr="00A277EA" w:rsidRDefault="00221841" w:rsidP="00221841">
      <w:pPr>
        <w:spacing w:after="0" w:line="240" w:lineRule="auto"/>
        <w:jc w:val="both"/>
        <w:rPr>
          <w:rFonts w:ascii="Verdana" w:eastAsia="Calibri" w:hAnsi="Verdana" w:cs="Arial"/>
          <w:lang w:val="es-ES" w:eastAsia="es-ES"/>
        </w:rPr>
      </w:pPr>
      <w:r w:rsidRPr="00221841">
        <w:rPr>
          <w:rFonts w:ascii="Verdana" w:eastAsia="Calibri" w:hAnsi="Verdana" w:cs="Arial"/>
          <w:lang w:val="es-ES" w:eastAsia="es-ES"/>
        </w:rPr>
        <w:t xml:space="preserve">Procuraduría Regional </w:t>
      </w:r>
      <w:r w:rsidR="00601B63">
        <w:rPr>
          <w:rFonts w:ascii="Verdana" w:eastAsia="Calibri" w:hAnsi="Verdana" w:cs="Arial"/>
          <w:lang w:val="es-ES" w:eastAsia="es-ES"/>
        </w:rPr>
        <w:t>d</w:t>
      </w:r>
      <w:r w:rsidRPr="00221841">
        <w:rPr>
          <w:rFonts w:ascii="Verdana" w:eastAsia="Calibri" w:hAnsi="Verdana" w:cs="Arial"/>
          <w:lang w:val="es-ES" w:eastAsia="es-ES"/>
        </w:rPr>
        <w:t>e instrucción Antioquia</w:t>
      </w:r>
    </w:p>
    <w:p w14:paraId="1DE201F5" w14:textId="1A0FFCF3" w:rsidR="00EE0998" w:rsidRDefault="00EE0998" w:rsidP="005E184B">
      <w:pPr>
        <w:spacing w:after="0" w:line="240" w:lineRule="auto"/>
        <w:rPr>
          <w:rFonts w:ascii="Verdana" w:eastAsia="Calibri" w:hAnsi="Verdana" w:cs="Arial"/>
          <w:lang w:val="es-ES" w:eastAsia="es-ES"/>
        </w:rPr>
      </w:pPr>
      <w:r w:rsidRPr="00EE0998">
        <w:rPr>
          <w:rFonts w:ascii="Verdana" w:eastAsia="Calibri" w:hAnsi="Verdana" w:cs="Arial"/>
          <w:lang w:val="es-ES" w:eastAsia="es-ES"/>
        </w:rPr>
        <w:t>jcparra@procuraduria.gov.co</w:t>
      </w:r>
    </w:p>
    <w:p w14:paraId="5A16ED74" w14:textId="671296C0" w:rsidR="005E184B" w:rsidRPr="00A277EA" w:rsidRDefault="00EE0998" w:rsidP="005E184B">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3CA0501C" w14:textId="77777777" w:rsidR="005E184B" w:rsidRPr="00A277EA" w:rsidRDefault="005E184B" w:rsidP="005E184B">
      <w:pPr>
        <w:spacing w:after="0" w:line="240" w:lineRule="auto"/>
        <w:rPr>
          <w:rFonts w:ascii="Verdana" w:eastAsia="Calibri" w:hAnsi="Verdana" w:cs="Arial"/>
          <w:b/>
          <w:bCs/>
          <w:color w:val="000000"/>
          <w:lang w:val="es-ES_tradnl" w:eastAsia="es-ES_tradnl"/>
        </w:rPr>
      </w:pPr>
    </w:p>
    <w:p w14:paraId="6D2E1B42" w14:textId="77777777" w:rsidR="005E184B" w:rsidRPr="00A277EA" w:rsidRDefault="005E184B" w:rsidP="005E184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E184B" w:rsidRPr="00A277EA" w14:paraId="1773FDA2" w14:textId="77777777" w:rsidTr="00FF54BF">
        <w:trPr>
          <w:trHeight w:val="884"/>
        </w:trPr>
        <w:tc>
          <w:tcPr>
            <w:tcW w:w="2689" w:type="dxa"/>
          </w:tcPr>
          <w:p w14:paraId="1CD8B20F" w14:textId="77777777" w:rsidR="005E184B" w:rsidRPr="00A277EA" w:rsidRDefault="005E184B" w:rsidP="00FF54BF">
            <w:pPr>
              <w:jc w:val="both"/>
              <w:rPr>
                <w:rFonts w:ascii="Verdana" w:eastAsia="Calibri" w:hAnsi="Verdana" w:cs="Arial"/>
                <w:b/>
                <w:bCs/>
                <w:color w:val="7030A0"/>
                <w:lang w:val="es-ES_tradnl" w:eastAsia="es-ES_tradnl"/>
              </w:rPr>
            </w:pPr>
          </w:p>
        </w:tc>
        <w:tc>
          <w:tcPr>
            <w:tcW w:w="6100" w:type="dxa"/>
          </w:tcPr>
          <w:p w14:paraId="40339F53" w14:textId="7C1E3DAB" w:rsidR="005E184B" w:rsidRPr="00A277EA" w:rsidRDefault="005E184B" w:rsidP="00FF54BF">
            <w:pPr>
              <w:jc w:val="both"/>
              <w:rPr>
                <w:rFonts w:ascii="Verdana" w:eastAsia="Calibri" w:hAnsi="Verdana" w:cs="Arial"/>
                <w:b/>
                <w:bCs/>
                <w:color w:val="7030A0"/>
                <w:lang w:val="es-ES" w:eastAsia="es-ES"/>
              </w:rPr>
            </w:pPr>
            <w:r w:rsidRPr="00A277EA">
              <w:rPr>
                <w:rFonts w:ascii="Verdana" w:eastAsia="Calibri" w:hAnsi="Verdana" w:cs="Arial"/>
                <w:b/>
                <w:bCs/>
                <w:lang w:val="es-ES" w:eastAsia="es-ES"/>
              </w:rPr>
              <w:t>Concepto C –</w:t>
            </w:r>
            <w:r w:rsidR="00221841">
              <w:rPr>
                <w:rFonts w:ascii="Verdana" w:eastAsia="Calibri" w:hAnsi="Verdana" w:cs="Arial"/>
                <w:b/>
                <w:bCs/>
                <w:lang w:val="es-ES" w:eastAsia="es-ES"/>
              </w:rPr>
              <w:t>1765</w:t>
            </w:r>
            <w:r w:rsidRPr="00A277EA">
              <w:rPr>
                <w:rFonts w:ascii="Verdana" w:eastAsia="Calibri" w:hAnsi="Verdana" w:cs="Arial"/>
                <w:b/>
                <w:bCs/>
                <w:lang w:val="es-ES" w:eastAsia="es-ES"/>
              </w:rPr>
              <w:t xml:space="preserve"> de 2025</w:t>
            </w:r>
          </w:p>
        </w:tc>
      </w:tr>
      <w:tr w:rsidR="005E184B" w:rsidRPr="00A277EA" w14:paraId="1740A56C" w14:textId="77777777" w:rsidTr="00FF54BF">
        <w:trPr>
          <w:trHeight w:val="884"/>
        </w:trPr>
        <w:tc>
          <w:tcPr>
            <w:tcW w:w="2689" w:type="dxa"/>
          </w:tcPr>
          <w:p w14:paraId="57D5F875" w14:textId="77777777" w:rsidR="005E184B" w:rsidRPr="00A277EA" w:rsidRDefault="005E184B" w:rsidP="00FF54BF">
            <w:pPr>
              <w:jc w:val="both"/>
              <w:rPr>
                <w:rFonts w:ascii="Verdana" w:eastAsia="Calibri" w:hAnsi="Verdana" w:cs="Arial"/>
                <w:color w:val="000000"/>
                <w:lang w:val="es-ES_tradnl" w:eastAsia="es-ES_tradnl"/>
              </w:rPr>
            </w:pPr>
            <w:r w:rsidRPr="00A277EA">
              <w:rPr>
                <w:rFonts w:ascii="Verdana" w:eastAsia="Calibri" w:hAnsi="Verdana" w:cs="Arial"/>
                <w:b/>
                <w:color w:val="000000"/>
                <w:lang w:val="es-ES_tradnl" w:eastAsia="es-ES_tradnl"/>
              </w:rPr>
              <w:t>Temas:</w:t>
            </w:r>
            <w:r w:rsidRPr="00A277EA">
              <w:rPr>
                <w:rFonts w:ascii="Verdana" w:eastAsia="Calibri" w:hAnsi="Verdana" w:cs="Arial"/>
                <w:color w:val="000000"/>
                <w:lang w:val="es-ES_tradnl" w:eastAsia="es-ES_tradnl"/>
              </w:rPr>
              <w:t xml:space="preserve">                   </w:t>
            </w:r>
          </w:p>
        </w:tc>
        <w:tc>
          <w:tcPr>
            <w:tcW w:w="6100" w:type="dxa"/>
          </w:tcPr>
          <w:p w14:paraId="46A97AB8" w14:textId="767553D2" w:rsidR="005E184B" w:rsidRPr="00A277EA" w:rsidRDefault="005E4CE5" w:rsidP="00FF54BF">
            <w:pPr>
              <w:spacing w:line="276" w:lineRule="auto"/>
              <w:jc w:val="both"/>
              <w:rPr>
                <w:rFonts w:ascii="Verdana" w:hAnsi="Verdana" w:cs="Arial"/>
                <w:bCs/>
                <w:lang w:eastAsia="es-ES"/>
              </w:rPr>
            </w:pPr>
            <w:r w:rsidRPr="008F0726">
              <w:rPr>
                <w:rFonts w:ascii="Verdana" w:eastAsia="Calibri" w:hAnsi="Verdana" w:cs="Arial"/>
                <w:bCs/>
                <w:lang w:val="es-ES" w:eastAsia="es-CO"/>
              </w:rPr>
              <w:t xml:space="preserve">SELECCIÓN OBJETIVA ― Noción y factores de escogencia / REQUISITOS HABILITANTES ― Carácter enunciativo </w:t>
            </w:r>
            <w:r w:rsidRPr="008F0726">
              <w:rPr>
                <w:rFonts w:ascii="Verdana" w:eastAsia="Calibri" w:hAnsi="Verdana" w:cs="Arial"/>
                <w:lang w:val="es-ES" w:eastAsia="es-ES_tradnl"/>
              </w:rPr>
              <w:t xml:space="preserve">– Proporcionalidad y adecuación </w:t>
            </w:r>
            <w:r w:rsidR="005E184B" w:rsidRPr="00A277EA">
              <w:rPr>
                <w:rFonts w:ascii="Verdana" w:hAnsi="Verdana" w:cs="Arial"/>
                <w:bCs/>
                <w:lang w:eastAsia="es-ES"/>
              </w:rPr>
              <w:t xml:space="preserve">/ </w:t>
            </w:r>
            <w:r w:rsidR="0052670F" w:rsidRPr="00505CD6">
              <w:rPr>
                <w:rFonts w:ascii="Verdana" w:eastAsia="Calibri" w:hAnsi="Verdana" w:cs="Arial"/>
                <w:bCs/>
              </w:rPr>
              <w:t>CERTIFICACIONES DE SISTEMAS DE GESTIÓN DE CALIDAD – No se pueden exigir como requisito habilitante o puntuable – Alcance</w:t>
            </w:r>
            <w:r w:rsidR="0052670F" w:rsidRPr="00A277EA">
              <w:rPr>
                <w:rFonts w:ascii="Verdana" w:hAnsi="Verdana" w:cs="Arial"/>
                <w:bCs/>
                <w:lang w:eastAsia="es-ES"/>
              </w:rPr>
              <w:t xml:space="preserve"> </w:t>
            </w:r>
            <w:r w:rsidR="005E184B" w:rsidRPr="00A277EA">
              <w:rPr>
                <w:rFonts w:ascii="Verdana" w:hAnsi="Verdana" w:cs="Arial"/>
                <w:bCs/>
                <w:lang w:eastAsia="es-ES"/>
              </w:rPr>
              <w:t xml:space="preserve">/ </w:t>
            </w:r>
            <w:r w:rsidR="00984522">
              <w:rPr>
                <w:rFonts w:ascii="Verdana" w:eastAsia="Arial" w:hAnsi="Verdana" w:cs="Arial"/>
                <w:lang w:val="es-MX"/>
              </w:rPr>
              <w:t xml:space="preserve">CLASIFICADOR DE BIENES Y SERVICIOS DE NACIONES UNIDAS – Función </w:t>
            </w:r>
          </w:p>
          <w:p w14:paraId="6ED5B2FE" w14:textId="77777777" w:rsidR="005E184B" w:rsidRPr="00A277EA" w:rsidRDefault="005E184B" w:rsidP="00FF54BF">
            <w:pPr>
              <w:spacing w:line="276" w:lineRule="auto"/>
              <w:jc w:val="both"/>
              <w:rPr>
                <w:rFonts w:ascii="Verdana" w:eastAsia="Calibri" w:hAnsi="Verdana" w:cs="Arial"/>
                <w:lang w:val="es-ES" w:eastAsia="es-ES"/>
              </w:rPr>
            </w:pPr>
          </w:p>
        </w:tc>
      </w:tr>
      <w:tr w:rsidR="005E184B" w:rsidRPr="00A277EA" w14:paraId="0476FACA" w14:textId="77777777" w:rsidTr="00FF54BF">
        <w:tc>
          <w:tcPr>
            <w:tcW w:w="2689" w:type="dxa"/>
          </w:tcPr>
          <w:p w14:paraId="2616F07C" w14:textId="77777777" w:rsidR="005E184B" w:rsidRPr="00A277EA" w:rsidRDefault="005E184B" w:rsidP="00FF54BF">
            <w:pPr>
              <w:jc w:val="both"/>
              <w:rPr>
                <w:rFonts w:ascii="Verdana" w:eastAsia="Calibri" w:hAnsi="Verdana" w:cs="Arial"/>
                <w:b/>
                <w:lang w:val="es-ES_tradnl" w:eastAsia="es-ES_tradnl"/>
              </w:rPr>
            </w:pPr>
            <w:r w:rsidRPr="00A277EA">
              <w:rPr>
                <w:rFonts w:ascii="Verdana" w:eastAsia="Calibri" w:hAnsi="Verdana" w:cs="Arial"/>
                <w:b/>
                <w:lang w:val="es-ES_tradnl" w:eastAsia="es-ES_tradnl"/>
              </w:rPr>
              <w:t>Radicación:</w:t>
            </w:r>
            <w:r w:rsidRPr="00A277EA">
              <w:rPr>
                <w:rFonts w:ascii="Verdana" w:eastAsia="Calibri" w:hAnsi="Verdana" w:cs="Arial"/>
                <w:lang w:val="es-ES_tradnl" w:eastAsia="es-ES_tradnl"/>
              </w:rPr>
              <w:t xml:space="preserve">               </w:t>
            </w:r>
          </w:p>
        </w:tc>
        <w:tc>
          <w:tcPr>
            <w:tcW w:w="6100" w:type="dxa"/>
          </w:tcPr>
          <w:p w14:paraId="59148D20" w14:textId="711BA048" w:rsidR="005E184B" w:rsidRPr="00A277EA" w:rsidRDefault="005E184B" w:rsidP="00FF54BF">
            <w:pPr>
              <w:jc w:val="both"/>
              <w:rPr>
                <w:rFonts w:ascii="Verdana" w:eastAsia="Calibri" w:hAnsi="Verdana" w:cs="Arial"/>
                <w:lang w:eastAsia="es-ES_tradnl"/>
              </w:rPr>
            </w:pPr>
            <w:r w:rsidRPr="00A277EA">
              <w:rPr>
                <w:rFonts w:ascii="Verdana" w:eastAsia="Calibri" w:hAnsi="Verdana" w:cs="Arial"/>
                <w:lang w:val="es-ES_tradnl" w:eastAsia="es-ES_tradnl"/>
              </w:rPr>
              <w:t xml:space="preserve">Respuesta a la consulta con radicado No. </w:t>
            </w:r>
            <w:r w:rsidR="00891DEB" w:rsidRPr="00891DEB">
              <w:rPr>
                <w:rFonts w:ascii="Verdana" w:eastAsia="Calibri" w:hAnsi="Verdana" w:cs="Arial"/>
                <w:lang w:val="es-ES_tradnl" w:eastAsia="es-ES_tradnl"/>
              </w:rPr>
              <w:t>1_2025_11_26_013373</w:t>
            </w:r>
            <w:r w:rsidRPr="00A277EA">
              <w:rPr>
                <w:rFonts w:ascii="Verdana" w:eastAsia="Calibri" w:hAnsi="Verdana" w:cs="Arial"/>
                <w:lang w:val="es-ES_tradnl" w:eastAsia="es-ES_tradnl"/>
              </w:rPr>
              <w:t xml:space="preserve">                                   </w:t>
            </w:r>
          </w:p>
        </w:tc>
      </w:tr>
    </w:tbl>
    <w:p w14:paraId="637FDC04" w14:textId="77777777" w:rsidR="005E184B" w:rsidRPr="00A277EA" w:rsidRDefault="005E184B" w:rsidP="005E184B">
      <w:pPr>
        <w:spacing w:after="0" w:line="240" w:lineRule="auto"/>
        <w:jc w:val="both"/>
        <w:rPr>
          <w:rFonts w:ascii="Verdana" w:eastAsia="Calibri" w:hAnsi="Verdana" w:cs="Arial"/>
          <w:color w:val="000000"/>
          <w:lang w:val="es-ES_tradnl" w:eastAsia="es-ES_tradnl"/>
        </w:rPr>
      </w:pPr>
    </w:p>
    <w:p w14:paraId="3B286DFB" w14:textId="77777777" w:rsidR="005E184B" w:rsidRPr="00A277EA" w:rsidRDefault="005E184B" w:rsidP="005E184B">
      <w:pPr>
        <w:spacing w:after="0" w:line="240" w:lineRule="auto"/>
        <w:jc w:val="both"/>
        <w:rPr>
          <w:rFonts w:ascii="Verdana" w:eastAsia="Calibri" w:hAnsi="Verdana" w:cs="Arial"/>
          <w:color w:val="000000"/>
          <w:lang w:val="es-ES_tradnl" w:eastAsia="es-ES_tradnl"/>
        </w:rPr>
      </w:pPr>
    </w:p>
    <w:p w14:paraId="190FF893" w14:textId="6C4AD705" w:rsidR="005E184B" w:rsidRPr="00A277EA" w:rsidRDefault="005E184B" w:rsidP="005E184B">
      <w:pPr>
        <w:spacing w:after="0" w:line="276" w:lineRule="auto"/>
        <w:jc w:val="both"/>
        <w:rPr>
          <w:rFonts w:ascii="Verdana" w:eastAsia="Calibri" w:hAnsi="Verdana" w:cs="Arial"/>
          <w:lang w:val="es-ES" w:eastAsia="es-ES"/>
        </w:rPr>
      </w:pPr>
      <w:r w:rsidRPr="00A277EA">
        <w:rPr>
          <w:rFonts w:ascii="Verdana" w:eastAsia="Calibri" w:hAnsi="Verdana" w:cs="Arial"/>
          <w:lang w:val="es-ES" w:eastAsia="es-ES"/>
        </w:rPr>
        <w:t xml:space="preserve">Estimado señor </w:t>
      </w:r>
      <w:r w:rsidR="00EE0998">
        <w:rPr>
          <w:rFonts w:ascii="Verdana" w:eastAsia="Calibri" w:hAnsi="Verdana" w:cs="Arial"/>
          <w:lang w:val="es-ES" w:eastAsia="es-ES"/>
        </w:rPr>
        <w:t>Parra</w:t>
      </w:r>
      <w:r w:rsidRPr="00A277EA">
        <w:rPr>
          <w:rFonts w:ascii="Verdana" w:eastAsia="Calibri" w:hAnsi="Verdana" w:cs="Arial"/>
          <w:lang w:val="es-ES" w:eastAsia="es-ES"/>
        </w:rPr>
        <w:t xml:space="preserve">: </w:t>
      </w:r>
    </w:p>
    <w:p w14:paraId="14BFD055" w14:textId="77777777" w:rsidR="005E184B" w:rsidRPr="00A277EA" w:rsidRDefault="005E184B" w:rsidP="005E184B">
      <w:pPr>
        <w:tabs>
          <w:tab w:val="left" w:pos="3768"/>
        </w:tabs>
        <w:spacing w:after="0" w:line="276" w:lineRule="auto"/>
        <w:jc w:val="both"/>
        <w:rPr>
          <w:rFonts w:ascii="Verdana" w:eastAsia="Calibri" w:hAnsi="Verdana" w:cs="Arial"/>
          <w:color w:val="000000" w:themeColor="text1"/>
          <w:lang w:val="es-ES" w:eastAsia="es-ES"/>
        </w:rPr>
      </w:pPr>
      <w:r w:rsidRPr="00A277EA">
        <w:rPr>
          <w:rFonts w:ascii="Verdana" w:eastAsia="Calibri" w:hAnsi="Verdana" w:cs="Arial"/>
          <w:color w:val="000000" w:themeColor="text1"/>
          <w:lang w:val="es-ES" w:eastAsia="es-ES"/>
        </w:rPr>
        <w:tab/>
      </w:r>
    </w:p>
    <w:p w14:paraId="1DA817CF" w14:textId="3E633293" w:rsidR="005E184B" w:rsidRPr="00A277EA" w:rsidRDefault="005E184B" w:rsidP="005E184B">
      <w:pPr>
        <w:spacing w:after="0" w:line="276" w:lineRule="auto"/>
        <w:jc w:val="both"/>
        <w:rPr>
          <w:rFonts w:ascii="Verdana" w:eastAsia="Calibri" w:hAnsi="Verdana" w:cs="Arial"/>
          <w:color w:val="7030A0"/>
          <w:lang w:val="es-ES" w:eastAsia="es-ES"/>
        </w:rPr>
      </w:pPr>
      <w:r w:rsidRPr="00A277EA">
        <w:rPr>
          <w:rFonts w:ascii="Verdana" w:eastAsia="Calibri" w:hAnsi="Verdana" w:cs="Arial"/>
          <w:color w:val="000000" w:themeColor="text1"/>
          <w:lang w:val="es-ES" w:eastAsia="es-ES"/>
        </w:rPr>
        <w:t>En ejercicio de la competencia otorgada por los artículos 3, numeral 5º, y 11, numeral 8º, del Decreto Ley 4170 de 2011,</w:t>
      </w:r>
      <w:r w:rsidRPr="00A277EA">
        <w:rPr>
          <w:rFonts w:ascii="Verdana" w:eastAsia="Arial MT" w:hAnsi="Verdana" w:cs="Arial MT"/>
          <w:lang w:val="es-ES" w:eastAsia="es-ES"/>
        </w:rPr>
        <w:t xml:space="preserve"> </w:t>
      </w:r>
      <w:r w:rsidR="00314F5B">
        <w:rPr>
          <w:rFonts w:ascii="Verdana" w:hAnsi="Verdana" w:cs="Arial"/>
          <w:lang w:val="es-ES_tradnl"/>
        </w:rPr>
        <w:t>así como lo establecido en</w:t>
      </w:r>
      <w:r w:rsidR="00314F5B">
        <w:rPr>
          <w:rFonts w:ascii="Verdana" w:hAnsi="Verdana" w:cs="Arial"/>
        </w:rPr>
        <w:t xml:space="preserve"> la Resolución 469 de 2025 expedida por esta Entidad</w:t>
      </w:r>
      <w:r w:rsidRPr="00A277EA">
        <w:rPr>
          <w:rFonts w:ascii="Verdana" w:hAnsi="Verdana" w:cs="Arial"/>
        </w:rPr>
        <w:t xml:space="preserve">, </w:t>
      </w:r>
      <w:r w:rsidRPr="00A277EA">
        <w:rPr>
          <w:rFonts w:ascii="Verdana" w:eastAsia="Calibri" w:hAnsi="Verdana" w:cs="Arial"/>
          <w:color w:val="000000" w:themeColor="text1"/>
          <w:lang w:val="es-ES" w:eastAsia="es-ES"/>
        </w:rPr>
        <w:t xml:space="preserve">la Agencia Nacional de Contratación Pública – Colombia Compra Eficiente responde su solicitud de consulta de fecha de </w:t>
      </w:r>
      <w:r w:rsidR="00314F5B">
        <w:rPr>
          <w:rFonts w:ascii="Verdana" w:eastAsia="Calibri" w:hAnsi="Verdana" w:cs="Arial"/>
          <w:lang w:val="es-ES" w:eastAsia="es-ES"/>
        </w:rPr>
        <w:t>26</w:t>
      </w:r>
      <w:r w:rsidRPr="00A277EA">
        <w:rPr>
          <w:rFonts w:ascii="Verdana" w:eastAsia="Calibri" w:hAnsi="Verdana" w:cs="Arial"/>
          <w:lang w:val="es-ES" w:eastAsia="es-ES"/>
        </w:rPr>
        <w:t xml:space="preserve"> de </w:t>
      </w:r>
      <w:r w:rsidR="00314F5B">
        <w:rPr>
          <w:rFonts w:ascii="Verdana" w:eastAsia="Calibri" w:hAnsi="Verdana" w:cs="Arial"/>
          <w:lang w:val="es-ES" w:eastAsia="es-ES"/>
        </w:rPr>
        <w:t>noviembre</w:t>
      </w:r>
      <w:r w:rsidRPr="00A277EA">
        <w:rPr>
          <w:rFonts w:ascii="Verdana" w:eastAsia="Calibri" w:hAnsi="Verdana" w:cs="Arial"/>
          <w:lang w:val="es-ES" w:eastAsia="es-ES"/>
        </w:rPr>
        <w:t xml:space="preserve"> de 2025, en la cual –respecto a la indagación disciplinaria No. </w:t>
      </w:r>
      <w:r w:rsidR="00744509" w:rsidRPr="00744509">
        <w:rPr>
          <w:rFonts w:ascii="Verdana" w:eastAsia="Aptos" w:hAnsi="Verdana" w:cs="Arial"/>
          <w:lang w:val="pt-PT" w:eastAsia="es-ES"/>
        </w:rPr>
        <w:t>IUS-E-2025-465555</w:t>
      </w:r>
      <w:r w:rsidRPr="00A277EA">
        <w:rPr>
          <w:rFonts w:ascii="Verdana" w:eastAsia="Calibri" w:hAnsi="Verdana" w:cs="Arial"/>
          <w:lang w:val="es-ES" w:eastAsia="es-ES"/>
        </w:rPr>
        <w:t xml:space="preserve">- pregunta sobre lo siguiente: </w:t>
      </w:r>
    </w:p>
    <w:p w14:paraId="54A62C40" w14:textId="77777777" w:rsidR="005E184B" w:rsidRPr="00A277EA" w:rsidRDefault="005E184B" w:rsidP="005E184B">
      <w:pPr>
        <w:tabs>
          <w:tab w:val="left" w:pos="142"/>
          <w:tab w:val="left" w:pos="284"/>
        </w:tabs>
        <w:spacing w:after="0" w:line="276" w:lineRule="auto"/>
        <w:contextualSpacing/>
        <w:jc w:val="both"/>
        <w:rPr>
          <w:rFonts w:ascii="Verdana" w:eastAsia="Century Gothic" w:hAnsi="Verdana" w:cs="Century Gothic"/>
          <w:b/>
          <w:bCs/>
          <w:lang w:val="es-ES"/>
        </w:rPr>
      </w:pPr>
    </w:p>
    <w:p w14:paraId="497A77A1" w14:textId="77777777" w:rsidR="00601B63" w:rsidRDefault="005E184B" w:rsidP="00601B63">
      <w:pPr>
        <w:spacing w:after="0" w:line="240" w:lineRule="auto"/>
        <w:ind w:left="709" w:right="709"/>
        <w:jc w:val="both"/>
        <w:rPr>
          <w:rFonts w:ascii="Verdana" w:eastAsia="Century Gothic" w:hAnsi="Verdana" w:cs="Century Gothic"/>
          <w:b/>
          <w:bCs/>
          <w:sz w:val="20"/>
          <w:szCs w:val="20"/>
        </w:rPr>
      </w:pPr>
      <w:bookmarkStart w:id="0" w:name="_Hlk95313578"/>
      <w:r w:rsidRPr="007F0103">
        <w:rPr>
          <w:rFonts w:ascii="Verdana" w:eastAsia="Century Gothic" w:hAnsi="Verdana" w:cs="Century Gothic"/>
          <w:sz w:val="20"/>
          <w:szCs w:val="20"/>
          <w:lang w:val="es-ES"/>
        </w:rPr>
        <w:lastRenderedPageBreak/>
        <w:t>“</w:t>
      </w:r>
      <w:bookmarkEnd w:id="0"/>
      <w:r w:rsidR="00601B63" w:rsidRPr="00601B63">
        <w:rPr>
          <w:rFonts w:ascii="Verdana" w:eastAsia="Century Gothic" w:hAnsi="Verdana" w:cs="Century Gothic"/>
          <w:b/>
          <w:bCs/>
          <w:sz w:val="20"/>
          <w:szCs w:val="20"/>
        </w:rPr>
        <w:t>2.1. Contenido de la queja.</w:t>
      </w:r>
    </w:p>
    <w:p w14:paraId="66F3424C" w14:textId="77777777" w:rsidR="00601B63" w:rsidRPr="00601B63" w:rsidRDefault="00601B63" w:rsidP="00601B63">
      <w:pPr>
        <w:spacing w:after="0" w:line="240" w:lineRule="auto"/>
        <w:ind w:left="709" w:right="709"/>
        <w:jc w:val="both"/>
        <w:rPr>
          <w:rFonts w:ascii="Verdana" w:eastAsia="Century Gothic" w:hAnsi="Verdana" w:cs="Century Gothic"/>
          <w:b/>
          <w:bCs/>
          <w:sz w:val="20"/>
          <w:szCs w:val="20"/>
        </w:rPr>
      </w:pPr>
    </w:p>
    <w:p w14:paraId="7A4C3A1F" w14:textId="77777777" w:rsidR="00601B63" w:rsidRPr="00601B63" w:rsidRDefault="00601B63" w:rsidP="00601B63">
      <w:pPr>
        <w:spacing w:after="0" w:line="240" w:lineRule="auto"/>
        <w:ind w:left="709" w:right="709"/>
        <w:jc w:val="both"/>
        <w:rPr>
          <w:rFonts w:ascii="Verdana" w:eastAsia="Century Gothic" w:hAnsi="Verdana" w:cs="Century Gothic"/>
          <w:sz w:val="20"/>
          <w:szCs w:val="20"/>
        </w:rPr>
      </w:pPr>
      <w:r w:rsidRPr="00601B63">
        <w:rPr>
          <w:rFonts w:ascii="Verdana" w:eastAsia="Century Gothic" w:hAnsi="Verdana" w:cs="Century Gothic"/>
          <w:sz w:val="20"/>
          <w:szCs w:val="20"/>
        </w:rPr>
        <w:t>En escrito radicado el 10 de septiembre de 2025, el denunciante puso en conocimiento de esta Procuraduría posibles irregularidades en la estructuración del proceso contractual SASI-ANT-00288-2025, cuyo objeto es la adquisición e instalación de sistemas de alimentación ininterrumpida (UPS). Indicó que la directora regional encargada del SENA y presuntos actores políticos habrían intervenido en la elaboración del pliego de condiciones para favorecer a un oferente determinado.</w:t>
      </w:r>
    </w:p>
    <w:p w14:paraId="595EAEC5" w14:textId="77777777" w:rsidR="00601B63" w:rsidRPr="00601B63" w:rsidRDefault="00601B63" w:rsidP="00601B63">
      <w:pPr>
        <w:spacing w:after="0" w:line="240" w:lineRule="auto"/>
        <w:ind w:left="709" w:right="709"/>
        <w:jc w:val="both"/>
        <w:rPr>
          <w:rFonts w:ascii="Verdana" w:eastAsia="Century Gothic" w:hAnsi="Verdana" w:cs="Century Gothic"/>
          <w:sz w:val="20"/>
          <w:szCs w:val="20"/>
        </w:rPr>
      </w:pPr>
    </w:p>
    <w:p w14:paraId="2063B0FB" w14:textId="77777777" w:rsidR="00601B63" w:rsidRPr="00601B63" w:rsidRDefault="00601B63" w:rsidP="00601B63">
      <w:pPr>
        <w:spacing w:after="0" w:line="240" w:lineRule="auto"/>
        <w:ind w:left="709" w:right="709"/>
        <w:jc w:val="both"/>
        <w:rPr>
          <w:rFonts w:ascii="Verdana" w:eastAsia="Century Gothic" w:hAnsi="Verdana" w:cs="Century Gothic"/>
          <w:sz w:val="20"/>
          <w:szCs w:val="20"/>
        </w:rPr>
      </w:pPr>
      <w:r w:rsidRPr="00601B63">
        <w:rPr>
          <w:rFonts w:ascii="Verdana" w:eastAsia="Century Gothic" w:hAnsi="Verdana" w:cs="Century Gothic"/>
          <w:sz w:val="20"/>
          <w:szCs w:val="20"/>
        </w:rPr>
        <w:t>Entre las irregularidades denunciadas se señalan:</w:t>
      </w:r>
    </w:p>
    <w:p w14:paraId="2B8958DD" w14:textId="77777777" w:rsidR="00601B63" w:rsidRPr="00601B63" w:rsidRDefault="00601B63" w:rsidP="00601B63">
      <w:pPr>
        <w:spacing w:after="0" w:line="240" w:lineRule="auto"/>
        <w:ind w:left="993" w:right="709"/>
        <w:jc w:val="both"/>
        <w:rPr>
          <w:rFonts w:ascii="Verdana" w:eastAsia="Century Gothic" w:hAnsi="Verdana" w:cs="Century Gothic"/>
          <w:sz w:val="20"/>
          <w:szCs w:val="20"/>
        </w:rPr>
      </w:pPr>
    </w:p>
    <w:p w14:paraId="4F22DB4B" w14:textId="77777777" w:rsidR="00601B63" w:rsidRPr="00601B63" w:rsidRDefault="00601B63" w:rsidP="00601B63">
      <w:pPr>
        <w:numPr>
          <w:ilvl w:val="0"/>
          <w:numId w:val="6"/>
        </w:numPr>
        <w:spacing w:after="0" w:line="240" w:lineRule="auto"/>
        <w:ind w:left="993" w:right="709"/>
        <w:jc w:val="both"/>
        <w:rPr>
          <w:rFonts w:ascii="Verdana" w:eastAsia="Century Gothic" w:hAnsi="Verdana" w:cs="Century Gothic"/>
          <w:sz w:val="20"/>
          <w:szCs w:val="20"/>
        </w:rPr>
      </w:pPr>
      <w:r w:rsidRPr="00601B63">
        <w:rPr>
          <w:rFonts w:ascii="Verdana" w:eastAsia="Century Gothic" w:hAnsi="Verdana" w:cs="Century Gothic"/>
          <w:sz w:val="20"/>
          <w:szCs w:val="20"/>
        </w:rPr>
        <w:t>Exigencia de requisitos financieros restrictivos, sin soporte en estudios de mercado.</w:t>
      </w:r>
    </w:p>
    <w:p w14:paraId="0743B141" w14:textId="77777777" w:rsidR="00601B63" w:rsidRPr="00601B63" w:rsidRDefault="00601B63" w:rsidP="00601B63">
      <w:pPr>
        <w:numPr>
          <w:ilvl w:val="0"/>
          <w:numId w:val="6"/>
        </w:numPr>
        <w:spacing w:after="0" w:line="240" w:lineRule="auto"/>
        <w:ind w:left="993" w:right="709"/>
        <w:jc w:val="both"/>
        <w:rPr>
          <w:rFonts w:ascii="Verdana" w:eastAsia="Century Gothic" w:hAnsi="Verdana" w:cs="Century Gothic"/>
          <w:sz w:val="20"/>
          <w:szCs w:val="20"/>
        </w:rPr>
      </w:pPr>
      <w:r w:rsidRPr="00601B63">
        <w:rPr>
          <w:rFonts w:ascii="Verdana" w:eastAsia="Century Gothic" w:hAnsi="Verdana" w:cs="Century Gothic"/>
          <w:sz w:val="20"/>
          <w:szCs w:val="20"/>
        </w:rPr>
        <w:t>Inclusión de certificación ISO como requisito habilitante, pese a la prohibición del artículo 5 de la Ley 1150 de 2007.</w:t>
      </w:r>
    </w:p>
    <w:p w14:paraId="4AF3B865" w14:textId="77777777" w:rsidR="00601B63" w:rsidRPr="00601B63" w:rsidRDefault="00601B63" w:rsidP="00601B63">
      <w:pPr>
        <w:numPr>
          <w:ilvl w:val="0"/>
          <w:numId w:val="6"/>
        </w:numPr>
        <w:spacing w:after="0" w:line="240" w:lineRule="auto"/>
        <w:ind w:left="993" w:right="709"/>
        <w:jc w:val="both"/>
        <w:rPr>
          <w:rFonts w:ascii="Verdana" w:eastAsia="Century Gothic" w:hAnsi="Verdana" w:cs="Century Gothic"/>
          <w:sz w:val="20"/>
          <w:szCs w:val="20"/>
        </w:rPr>
      </w:pPr>
      <w:r w:rsidRPr="00601B63">
        <w:rPr>
          <w:rFonts w:ascii="Verdana" w:eastAsia="Century Gothic" w:hAnsi="Verdana" w:cs="Century Gothic"/>
          <w:sz w:val="20"/>
          <w:szCs w:val="20"/>
        </w:rPr>
        <w:t>Condiciones de experiencia excesivamente específicas, que restringirían la libre concurrencia.</w:t>
      </w:r>
    </w:p>
    <w:p w14:paraId="02F5D3DC" w14:textId="77777777" w:rsidR="00601B63" w:rsidRPr="00601B63" w:rsidRDefault="00601B63" w:rsidP="00601B63">
      <w:pPr>
        <w:numPr>
          <w:ilvl w:val="0"/>
          <w:numId w:val="6"/>
        </w:numPr>
        <w:spacing w:after="0" w:line="240" w:lineRule="auto"/>
        <w:ind w:left="993" w:right="709"/>
        <w:jc w:val="both"/>
        <w:rPr>
          <w:rFonts w:ascii="Verdana" w:eastAsia="Century Gothic" w:hAnsi="Verdana" w:cs="Century Gothic"/>
          <w:sz w:val="20"/>
          <w:szCs w:val="20"/>
        </w:rPr>
      </w:pPr>
      <w:r w:rsidRPr="00601B63">
        <w:rPr>
          <w:rFonts w:ascii="Verdana" w:eastAsia="Century Gothic" w:hAnsi="Verdana" w:cs="Century Gothic"/>
          <w:sz w:val="20"/>
          <w:szCs w:val="20"/>
        </w:rPr>
        <w:t>Uso indebido de códigos UNSPSC como criterio habilitante.</w:t>
      </w:r>
    </w:p>
    <w:p w14:paraId="2BCD583E" w14:textId="77777777" w:rsidR="00601B63" w:rsidRPr="00601B63" w:rsidRDefault="00601B63" w:rsidP="00601B63">
      <w:pPr>
        <w:numPr>
          <w:ilvl w:val="0"/>
          <w:numId w:val="6"/>
        </w:numPr>
        <w:spacing w:after="0" w:line="240" w:lineRule="auto"/>
        <w:ind w:left="993" w:right="709"/>
        <w:jc w:val="both"/>
        <w:rPr>
          <w:rFonts w:ascii="Verdana" w:eastAsia="Century Gothic" w:hAnsi="Verdana" w:cs="Century Gothic"/>
          <w:sz w:val="20"/>
          <w:szCs w:val="20"/>
        </w:rPr>
      </w:pPr>
      <w:r w:rsidRPr="00601B63">
        <w:rPr>
          <w:rFonts w:ascii="Verdana" w:eastAsia="Century Gothic" w:hAnsi="Verdana" w:cs="Century Gothic"/>
          <w:sz w:val="20"/>
          <w:szCs w:val="20"/>
        </w:rPr>
        <w:t>Requisitos atípicos de antigüedad del personal mínimo (hasta veinte años de vinculación).</w:t>
      </w:r>
    </w:p>
    <w:p w14:paraId="7FBF1AA3" w14:textId="77777777" w:rsidR="00601B63" w:rsidRPr="00601B63" w:rsidRDefault="00601B63" w:rsidP="00601B63">
      <w:pPr>
        <w:numPr>
          <w:ilvl w:val="0"/>
          <w:numId w:val="6"/>
        </w:numPr>
        <w:spacing w:after="0" w:line="240" w:lineRule="auto"/>
        <w:ind w:left="993" w:right="709"/>
        <w:jc w:val="both"/>
        <w:rPr>
          <w:rFonts w:ascii="Verdana" w:eastAsia="Century Gothic" w:hAnsi="Verdana" w:cs="Century Gothic"/>
          <w:sz w:val="20"/>
          <w:szCs w:val="20"/>
        </w:rPr>
      </w:pPr>
      <w:r w:rsidRPr="00601B63">
        <w:rPr>
          <w:rFonts w:ascii="Verdana" w:eastAsia="Century Gothic" w:hAnsi="Verdana" w:cs="Century Gothic"/>
          <w:sz w:val="20"/>
          <w:szCs w:val="20"/>
        </w:rPr>
        <w:t>Plazo de ejecución incompatible con la disponibilidad real del mercado (2 meses frente a 120 días reconocidos en el estudio de mercado).</w:t>
      </w:r>
    </w:p>
    <w:p w14:paraId="616DE76F" w14:textId="77777777" w:rsidR="00601B63" w:rsidRPr="00601B63" w:rsidRDefault="00601B63" w:rsidP="00601B63">
      <w:pPr>
        <w:spacing w:after="0" w:line="240" w:lineRule="auto"/>
        <w:ind w:left="709" w:right="709"/>
        <w:jc w:val="both"/>
        <w:rPr>
          <w:rFonts w:ascii="Verdana" w:eastAsia="Century Gothic" w:hAnsi="Verdana" w:cs="Century Gothic"/>
          <w:sz w:val="20"/>
          <w:szCs w:val="20"/>
        </w:rPr>
      </w:pPr>
    </w:p>
    <w:p w14:paraId="50546FDB" w14:textId="77777777" w:rsidR="00601B63" w:rsidRPr="00601B63" w:rsidRDefault="00601B63" w:rsidP="00601B63">
      <w:pPr>
        <w:spacing w:after="0" w:line="240" w:lineRule="auto"/>
        <w:ind w:left="709" w:right="709"/>
        <w:jc w:val="both"/>
        <w:rPr>
          <w:rFonts w:ascii="Verdana" w:eastAsia="Century Gothic" w:hAnsi="Verdana" w:cs="Century Gothic"/>
          <w:sz w:val="20"/>
          <w:szCs w:val="20"/>
        </w:rPr>
      </w:pPr>
      <w:r w:rsidRPr="00601B63">
        <w:rPr>
          <w:rFonts w:ascii="Verdana" w:eastAsia="Century Gothic" w:hAnsi="Verdana" w:cs="Century Gothic"/>
          <w:sz w:val="20"/>
          <w:szCs w:val="20"/>
        </w:rPr>
        <w:t>Con la queja se allegaron observaciones técnicas de oferentes, copia del análisis del prepliego y un documento ampliado sobre presunta violación de los principios de transparencia y selección objetiva.</w:t>
      </w:r>
    </w:p>
    <w:p w14:paraId="5253F8ED" w14:textId="77777777" w:rsidR="00601B63" w:rsidRPr="00601B63" w:rsidRDefault="00601B63" w:rsidP="00601B63">
      <w:pPr>
        <w:spacing w:after="0" w:line="240" w:lineRule="auto"/>
        <w:ind w:left="709" w:right="709"/>
        <w:jc w:val="both"/>
        <w:rPr>
          <w:rFonts w:ascii="Verdana" w:eastAsia="Century Gothic" w:hAnsi="Verdana" w:cs="Century Gothic"/>
          <w:b/>
          <w:bCs/>
          <w:sz w:val="20"/>
          <w:szCs w:val="20"/>
        </w:rPr>
      </w:pPr>
    </w:p>
    <w:p w14:paraId="7A818A2A" w14:textId="77777777" w:rsidR="00601B63" w:rsidRDefault="00601B63" w:rsidP="00601B63">
      <w:pPr>
        <w:spacing w:after="0" w:line="240" w:lineRule="auto"/>
        <w:ind w:left="709" w:right="709"/>
        <w:jc w:val="both"/>
        <w:rPr>
          <w:rFonts w:ascii="Verdana" w:eastAsia="Century Gothic" w:hAnsi="Verdana" w:cs="Century Gothic"/>
          <w:b/>
          <w:bCs/>
          <w:sz w:val="20"/>
          <w:szCs w:val="20"/>
        </w:rPr>
      </w:pPr>
      <w:r w:rsidRPr="00601B63">
        <w:rPr>
          <w:rFonts w:ascii="Verdana" w:eastAsia="Century Gothic" w:hAnsi="Verdana" w:cs="Century Gothic"/>
          <w:b/>
          <w:bCs/>
          <w:sz w:val="20"/>
          <w:szCs w:val="20"/>
        </w:rPr>
        <w:t>PRUEBAS DECRETADAS</w:t>
      </w:r>
    </w:p>
    <w:p w14:paraId="3BAF4F07" w14:textId="77777777" w:rsidR="00601B63" w:rsidRPr="00601B63" w:rsidRDefault="00601B63" w:rsidP="00601B63">
      <w:pPr>
        <w:spacing w:after="0" w:line="240" w:lineRule="auto"/>
        <w:ind w:left="709" w:right="709"/>
        <w:jc w:val="both"/>
        <w:rPr>
          <w:rFonts w:ascii="Verdana" w:eastAsia="Century Gothic" w:hAnsi="Verdana" w:cs="Century Gothic"/>
          <w:b/>
          <w:bCs/>
          <w:sz w:val="20"/>
          <w:szCs w:val="20"/>
        </w:rPr>
      </w:pPr>
    </w:p>
    <w:p w14:paraId="569E66F1" w14:textId="77777777" w:rsidR="00601B63" w:rsidRPr="00601B63" w:rsidRDefault="00601B63" w:rsidP="00601B63">
      <w:pPr>
        <w:spacing w:after="0" w:line="240" w:lineRule="auto"/>
        <w:ind w:left="709" w:right="709"/>
        <w:jc w:val="both"/>
        <w:rPr>
          <w:rFonts w:ascii="Verdana" w:eastAsia="Century Gothic" w:hAnsi="Verdana" w:cs="Century Gothic"/>
          <w:b/>
          <w:bCs/>
          <w:sz w:val="20"/>
          <w:szCs w:val="20"/>
        </w:rPr>
      </w:pPr>
      <w:r w:rsidRPr="00601B63">
        <w:rPr>
          <w:rFonts w:ascii="Verdana" w:eastAsia="Century Gothic" w:hAnsi="Verdana" w:cs="Century Gothic"/>
          <w:b/>
          <w:bCs/>
          <w:sz w:val="20"/>
          <w:szCs w:val="20"/>
        </w:rPr>
        <w:t>2.2. Solicítese concepto técnico a Colombia Compra Eficiente sobre:</w:t>
      </w:r>
    </w:p>
    <w:p w14:paraId="15E004CB" w14:textId="77777777" w:rsidR="00601B63" w:rsidRPr="00601B63" w:rsidRDefault="00601B63" w:rsidP="00601B63">
      <w:pPr>
        <w:spacing w:after="0" w:line="240" w:lineRule="auto"/>
        <w:ind w:left="709" w:right="709"/>
        <w:jc w:val="both"/>
        <w:rPr>
          <w:rFonts w:ascii="Verdana" w:eastAsia="Century Gothic" w:hAnsi="Verdana" w:cs="Century Gothic"/>
          <w:sz w:val="20"/>
          <w:szCs w:val="20"/>
        </w:rPr>
      </w:pPr>
      <w:r w:rsidRPr="00601B63">
        <w:rPr>
          <w:rFonts w:ascii="Verdana" w:eastAsia="Century Gothic" w:hAnsi="Verdana" w:cs="Century Gothic"/>
          <w:sz w:val="20"/>
          <w:szCs w:val="20"/>
        </w:rPr>
        <w:t>2.2.1. La legalidad y razonabilidad de los requisitos establecidos en el pliego.</w:t>
      </w:r>
      <w:r w:rsidRPr="00601B63">
        <w:rPr>
          <w:rFonts w:ascii="Verdana" w:eastAsia="Century Gothic" w:hAnsi="Verdana" w:cs="Century Gothic"/>
          <w:sz w:val="20"/>
          <w:szCs w:val="20"/>
        </w:rPr>
        <w:br/>
        <w:t>2.2.2. La pertinencia de exigir certificación ISO 9001 como requisito habilitante.</w:t>
      </w:r>
      <w:r w:rsidRPr="00601B63">
        <w:rPr>
          <w:rFonts w:ascii="Verdana" w:eastAsia="Century Gothic" w:hAnsi="Verdana" w:cs="Century Gothic"/>
          <w:sz w:val="20"/>
          <w:szCs w:val="20"/>
        </w:rPr>
        <w:br/>
        <w:t>2.2.3. La adecuación del código UNSPSC utilizado para definir el objeto contractual.</w:t>
      </w:r>
      <w:r w:rsidRPr="00601B63">
        <w:rPr>
          <w:rFonts w:ascii="Verdana" w:eastAsia="Century Gothic" w:hAnsi="Verdana" w:cs="Century Gothic"/>
          <w:sz w:val="20"/>
          <w:szCs w:val="20"/>
        </w:rPr>
        <w:br/>
        <w:t>2.2.4. La razonabilidad del plazo de ejecución fijado en el proceso.</w:t>
      </w:r>
    </w:p>
    <w:p w14:paraId="4E24A009" w14:textId="77777777" w:rsidR="00601B63" w:rsidRPr="00601B63" w:rsidRDefault="00601B63" w:rsidP="00601B63">
      <w:pPr>
        <w:spacing w:after="0" w:line="240" w:lineRule="auto"/>
        <w:ind w:left="709" w:right="709"/>
        <w:jc w:val="both"/>
        <w:rPr>
          <w:rFonts w:ascii="Verdana" w:eastAsia="Century Gothic" w:hAnsi="Verdana" w:cs="Century Gothic"/>
          <w:b/>
          <w:bCs/>
          <w:sz w:val="20"/>
          <w:szCs w:val="20"/>
        </w:rPr>
      </w:pPr>
    </w:p>
    <w:p w14:paraId="4A28887C" w14:textId="7B4EB023" w:rsidR="005E184B" w:rsidRPr="00601B63" w:rsidRDefault="00601B63" w:rsidP="00601B63">
      <w:pPr>
        <w:spacing w:after="0" w:line="240" w:lineRule="auto"/>
        <w:ind w:left="709" w:right="709"/>
        <w:jc w:val="both"/>
        <w:rPr>
          <w:rFonts w:ascii="Verdana" w:eastAsia="Century Gothic" w:hAnsi="Verdana" w:cs="Century Gothic"/>
          <w:sz w:val="20"/>
          <w:szCs w:val="20"/>
        </w:rPr>
      </w:pPr>
      <w:r w:rsidRPr="00601B63">
        <w:rPr>
          <w:rFonts w:ascii="Verdana" w:eastAsia="Century Gothic" w:hAnsi="Verdana" w:cs="Century Gothic"/>
          <w:sz w:val="20"/>
          <w:szCs w:val="20"/>
        </w:rPr>
        <w:t xml:space="preserve">Las demás </w:t>
      </w:r>
      <w:r w:rsidRPr="00601B63">
        <w:rPr>
          <w:rFonts w:ascii="Verdana" w:eastAsia="Century Gothic" w:hAnsi="Verdana" w:cs="Century Gothic"/>
          <w:b/>
          <w:bCs/>
          <w:sz w:val="20"/>
          <w:szCs w:val="20"/>
        </w:rPr>
        <w:t>PRUEBAS</w:t>
      </w:r>
      <w:r w:rsidRPr="00601B63">
        <w:rPr>
          <w:rFonts w:ascii="Verdana" w:eastAsia="Century Gothic" w:hAnsi="Verdana" w:cs="Century Gothic"/>
          <w:sz w:val="20"/>
          <w:szCs w:val="20"/>
        </w:rPr>
        <w:t xml:space="preserve"> que surjan de las anteriores y las que sean necesarias para el esclarecimiento de los hechos, individualización o identificación los posibles actores</w:t>
      </w:r>
      <w:r>
        <w:rPr>
          <w:rFonts w:ascii="Verdana" w:eastAsia="Century Gothic" w:hAnsi="Verdana" w:cs="Century Gothic"/>
          <w:sz w:val="20"/>
          <w:szCs w:val="20"/>
        </w:rPr>
        <w:t>”</w:t>
      </w:r>
      <w:r w:rsidR="005E184B" w:rsidRPr="007F0103">
        <w:rPr>
          <w:rFonts w:ascii="Verdana" w:eastAsia="Century Gothic" w:hAnsi="Verdana" w:cs="Century Gothic"/>
          <w:sz w:val="20"/>
          <w:szCs w:val="20"/>
          <w:lang w:val="es-ES"/>
        </w:rPr>
        <w:t xml:space="preserve"> </w:t>
      </w:r>
    </w:p>
    <w:p w14:paraId="1008EAF8" w14:textId="77777777" w:rsidR="005E184B" w:rsidRPr="00A277EA" w:rsidRDefault="005E184B" w:rsidP="005E184B">
      <w:pPr>
        <w:tabs>
          <w:tab w:val="left" w:pos="142"/>
          <w:tab w:val="left" w:pos="284"/>
        </w:tabs>
        <w:spacing w:after="0" w:line="276" w:lineRule="auto"/>
        <w:contextualSpacing/>
        <w:jc w:val="both"/>
        <w:rPr>
          <w:rFonts w:ascii="Verdana" w:eastAsia="Century Gothic" w:hAnsi="Verdana" w:cs="Century Gothic"/>
          <w:b/>
          <w:bCs/>
          <w:lang w:val="es-ES"/>
        </w:rPr>
      </w:pPr>
    </w:p>
    <w:p w14:paraId="412AF17A" w14:textId="77777777" w:rsidR="005E184B" w:rsidRPr="00A277EA" w:rsidRDefault="005E184B" w:rsidP="005E184B">
      <w:pPr>
        <w:spacing w:after="120" w:line="276" w:lineRule="auto"/>
        <w:ind w:firstLine="709"/>
        <w:jc w:val="both"/>
        <w:rPr>
          <w:rFonts w:ascii="Verdana" w:eastAsia="Calibri" w:hAnsi="Verdana" w:cs="Arial"/>
          <w:color w:val="000000"/>
          <w:lang w:val="es-ES" w:eastAsia="es-ES"/>
        </w:rPr>
      </w:pPr>
      <w:r w:rsidRPr="00A277EA">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277EA">
        <w:rPr>
          <w:rFonts w:ascii="Verdana" w:eastAsia="Calibri" w:hAnsi="Verdana" w:cs="Arial"/>
          <w:color w:val="000000"/>
          <w:szCs w:val="24"/>
          <w:lang w:val="es-ES_tradnl" w:eastAsia="es-ES_tradnl"/>
        </w:rPr>
        <w:tab/>
      </w:r>
    </w:p>
    <w:p w14:paraId="277EB6CE" w14:textId="77777777" w:rsidR="005E184B" w:rsidRPr="00A277EA" w:rsidRDefault="005E184B" w:rsidP="005E184B">
      <w:pPr>
        <w:spacing w:after="120" w:line="276" w:lineRule="auto"/>
        <w:ind w:firstLine="709"/>
        <w:jc w:val="both"/>
        <w:rPr>
          <w:rFonts w:ascii="Verdana" w:eastAsia="Calibri" w:hAnsi="Verdana" w:cs="Arial"/>
          <w:color w:val="000000"/>
          <w:lang w:val="es-ES" w:eastAsia="es-ES"/>
        </w:rPr>
      </w:pPr>
      <w:r w:rsidRPr="00A277E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A277EA">
        <w:rPr>
          <w:rFonts w:ascii="Verdana" w:eastAsia="Calibri" w:hAnsi="Verdana" w:cs="Arial"/>
          <w:color w:val="7030A0"/>
          <w:lang w:val="es-ES" w:eastAsia="es-ES"/>
        </w:rPr>
        <w:t xml:space="preserve"> </w:t>
      </w:r>
      <w:r w:rsidRPr="00A277EA">
        <w:rPr>
          <w:rFonts w:ascii="Verdana" w:eastAsia="Calibri" w:hAnsi="Verdana" w:cs="Arial"/>
          <w:color w:val="000000"/>
          <w:lang w:val="es-ES" w:eastAsia="es-ES"/>
        </w:rPr>
        <w:t>problema</w:t>
      </w:r>
      <w:r w:rsidRPr="00A277EA">
        <w:rPr>
          <w:rFonts w:ascii="Verdana" w:eastAsia="Calibri" w:hAnsi="Verdana" w:cs="Arial"/>
          <w:color w:val="7030A0"/>
          <w:lang w:val="es-ES" w:eastAsia="es-ES"/>
        </w:rPr>
        <w:t xml:space="preserve"> </w:t>
      </w:r>
      <w:r w:rsidRPr="00A277EA">
        <w:rPr>
          <w:rFonts w:ascii="Verdana" w:eastAsia="Calibri" w:hAnsi="Verdana" w:cs="Arial"/>
          <w:color w:val="000000"/>
          <w:lang w:val="es-ES" w:eastAsia="es-ES"/>
        </w:rPr>
        <w:t>jurídico</w:t>
      </w:r>
      <w:r w:rsidRPr="00A277EA">
        <w:rPr>
          <w:rFonts w:ascii="Verdana" w:eastAsia="Calibri" w:hAnsi="Verdana" w:cs="Arial"/>
          <w:color w:val="7030A0"/>
          <w:lang w:val="es-ES" w:eastAsia="es-ES"/>
        </w:rPr>
        <w:t xml:space="preserve"> </w:t>
      </w:r>
      <w:r w:rsidRPr="00A277EA">
        <w:rPr>
          <w:rFonts w:ascii="Verdana" w:eastAsia="Calibri" w:hAnsi="Verdana" w:cs="Arial"/>
          <w:color w:val="000000"/>
          <w:lang w:val="es-ES" w:eastAsia="es-ES"/>
        </w:rPr>
        <w:t xml:space="preserve">de su consulta. </w:t>
      </w:r>
    </w:p>
    <w:p w14:paraId="4337BC60" w14:textId="6CE9182B" w:rsidR="005E184B" w:rsidRPr="00A277EA" w:rsidRDefault="005E184B" w:rsidP="005E184B">
      <w:pPr>
        <w:spacing w:after="120" w:line="276" w:lineRule="auto"/>
        <w:ind w:firstLine="709"/>
        <w:jc w:val="both"/>
        <w:rPr>
          <w:rFonts w:ascii="Verdana" w:eastAsia="Calibri" w:hAnsi="Verdana" w:cs="Arial"/>
          <w:color w:val="000000"/>
          <w:lang w:val="es-ES" w:eastAsia="es-ES"/>
        </w:rPr>
      </w:pPr>
      <w:r w:rsidRPr="00A277EA">
        <w:rPr>
          <w:rFonts w:ascii="Verdana" w:hAnsi="Verdana" w:cs="Arial"/>
          <w:bCs/>
          <w:color w:val="1A1A1A" w:themeColor="background1" w:themeShade="1A"/>
        </w:rPr>
        <w:t xml:space="preserve">Para efectos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A277EA">
        <w:rPr>
          <w:rFonts w:ascii="Verdana" w:eastAsia="Calibri" w:hAnsi="Verdana" w:cs="Arial"/>
          <w:lang w:val="es-ES"/>
        </w:rPr>
        <w:t xml:space="preserve">En este contexto, </w:t>
      </w:r>
      <w:r w:rsidRPr="00A277EA">
        <w:rPr>
          <w:rFonts w:ascii="Verdana" w:hAnsi="Verdana" w:cs="Arial"/>
          <w:bCs/>
          <w:color w:val="1A1A1A" w:themeColor="background1" w:themeShade="1A"/>
        </w:rPr>
        <w:t xml:space="preserve">lo decidido en torno </w:t>
      </w:r>
      <w:r w:rsidRPr="00A277EA">
        <w:rPr>
          <w:rFonts w:ascii="Verdana" w:eastAsia="Calibri" w:hAnsi="Verdana" w:cs="Arial"/>
          <w:lang w:val="es-ES" w:eastAsia="es-ES"/>
        </w:rPr>
        <w:t xml:space="preserve">al proceso disciplinario No. </w:t>
      </w:r>
      <w:r w:rsidR="00601B63" w:rsidRPr="00744509">
        <w:rPr>
          <w:rFonts w:ascii="Verdana" w:eastAsia="Aptos" w:hAnsi="Verdana" w:cs="Arial"/>
          <w:lang w:val="pt-PT" w:eastAsia="es-ES"/>
        </w:rPr>
        <w:t>IUS-E-2025-465555</w:t>
      </w:r>
      <w:r w:rsidR="00601B63">
        <w:rPr>
          <w:rFonts w:ascii="Verdana" w:eastAsia="Aptos" w:hAnsi="Verdana" w:cs="Arial"/>
          <w:lang w:val="pt-PT" w:eastAsia="es-ES"/>
        </w:rPr>
        <w:t xml:space="preserve"> </w:t>
      </w:r>
      <w:r w:rsidRPr="00A277EA">
        <w:rPr>
          <w:rFonts w:ascii="Verdana" w:eastAsia="Calibri" w:hAnsi="Verdana" w:cs="Arial"/>
          <w:lang w:val="es-ES" w:eastAsia="es-ES"/>
        </w:rPr>
        <w:t>es</w:t>
      </w:r>
      <w:r w:rsidRPr="00A277EA">
        <w:rPr>
          <w:rFonts w:ascii="Verdana" w:hAnsi="Verdana" w:cs="Arial"/>
          <w:color w:val="000000" w:themeColor="text1"/>
          <w:lang w:val="es-ES_tradnl"/>
        </w:rPr>
        <w:t xml:space="preserve"> responsabilidad única y exclusiva de la</w:t>
      </w:r>
      <w:r w:rsidR="00601B63">
        <w:rPr>
          <w:rFonts w:ascii="Verdana" w:hAnsi="Verdana" w:cs="Arial"/>
          <w:color w:val="000000" w:themeColor="text1"/>
          <w:lang w:val="es-ES_tradnl"/>
        </w:rPr>
        <w:t xml:space="preserve"> Procuraduría</w:t>
      </w:r>
      <w:r w:rsidR="00601B63" w:rsidRPr="00601B63">
        <w:rPr>
          <w:rFonts w:ascii="Verdana" w:eastAsia="Calibri" w:hAnsi="Verdana" w:cs="Arial"/>
          <w:lang w:val="es-ES" w:eastAsia="es-ES"/>
        </w:rPr>
        <w:t xml:space="preserve"> </w:t>
      </w:r>
      <w:r w:rsidR="00601B63" w:rsidRPr="00221841">
        <w:rPr>
          <w:rFonts w:ascii="Verdana" w:eastAsia="Calibri" w:hAnsi="Verdana" w:cs="Arial"/>
          <w:lang w:val="es-ES" w:eastAsia="es-ES"/>
        </w:rPr>
        <w:t xml:space="preserve">Regional </w:t>
      </w:r>
      <w:r w:rsidR="00601B63">
        <w:rPr>
          <w:rFonts w:ascii="Verdana" w:eastAsia="Calibri" w:hAnsi="Verdana" w:cs="Arial"/>
          <w:lang w:val="es-ES" w:eastAsia="es-ES"/>
        </w:rPr>
        <w:t>d</w:t>
      </w:r>
      <w:r w:rsidR="00601B63" w:rsidRPr="00221841">
        <w:rPr>
          <w:rFonts w:ascii="Verdana" w:eastAsia="Calibri" w:hAnsi="Verdana" w:cs="Arial"/>
          <w:lang w:val="es-ES" w:eastAsia="es-ES"/>
        </w:rPr>
        <w:t>e instrucción Antioquia</w:t>
      </w:r>
      <w:r w:rsidRPr="00A277EA">
        <w:rPr>
          <w:rFonts w:ascii="Verdana" w:eastAsia="Calibri" w:hAnsi="Verdana" w:cs="Arial"/>
          <w:bCs/>
          <w:lang w:eastAsia="es-ES_tradnl"/>
        </w:rPr>
        <w:t xml:space="preserve">. </w:t>
      </w:r>
      <w:r w:rsidRPr="00A277EA">
        <w:rPr>
          <w:rFonts w:ascii="Verdana" w:eastAsia="Calibri" w:hAnsi="Verdana" w:cs="Arial"/>
        </w:rPr>
        <w:t xml:space="preserve">Sin perjuicio de lo anterior, </w:t>
      </w:r>
      <w:r w:rsidRPr="00A277EA">
        <w:rPr>
          <w:rFonts w:ascii="Verdana" w:eastAsia="Calibri" w:hAnsi="Verdana" w:cs="Arial"/>
          <w:lang w:val="es-ES"/>
        </w:rPr>
        <w:t>la Agencia –dentro de los límites de sus atribuciones, esto es, al margen de las conductas investigadas en el expediente anteriormente citado– resolverá la consulta conforme a las normas generales del sistema de compras públicas.</w:t>
      </w:r>
    </w:p>
    <w:p w14:paraId="4C4289EA" w14:textId="77777777" w:rsidR="005E184B" w:rsidRPr="00A277EA" w:rsidRDefault="005E184B" w:rsidP="005E184B">
      <w:pPr>
        <w:spacing w:after="0" w:line="276" w:lineRule="auto"/>
        <w:ind w:firstLine="709"/>
        <w:jc w:val="both"/>
        <w:rPr>
          <w:rFonts w:ascii="Verdana" w:eastAsia="Calibri" w:hAnsi="Verdana" w:cs="Arial"/>
          <w:color w:val="000000"/>
          <w:lang w:val="es-ES" w:eastAsia="es-ES"/>
        </w:rPr>
      </w:pPr>
    </w:p>
    <w:p w14:paraId="2FB1A416" w14:textId="77777777" w:rsidR="005E184B" w:rsidRPr="00A277EA" w:rsidRDefault="005E184B" w:rsidP="005E184B">
      <w:pPr>
        <w:numPr>
          <w:ilvl w:val="0"/>
          <w:numId w:val="1"/>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A277EA">
        <w:rPr>
          <w:rFonts w:ascii="Verdana" w:eastAsia="Century Gothic" w:hAnsi="Verdana" w:cs="Century Gothic"/>
          <w:b/>
          <w:bCs/>
          <w:lang w:val="es-ES"/>
        </w:rPr>
        <w:t>Problemas planteados:</w:t>
      </w:r>
    </w:p>
    <w:p w14:paraId="4CF09DCF" w14:textId="77777777" w:rsidR="005E184B" w:rsidRPr="00A277EA" w:rsidRDefault="005E184B" w:rsidP="005E184B">
      <w:pPr>
        <w:tabs>
          <w:tab w:val="left" w:pos="426"/>
        </w:tabs>
        <w:spacing w:after="0" w:line="276" w:lineRule="auto"/>
        <w:jc w:val="both"/>
        <w:rPr>
          <w:rFonts w:ascii="Verdana" w:eastAsia="Century Gothic" w:hAnsi="Verdana" w:cs="Century Gothic"/>
          <w:lang w:val="es-ES"/>
        </w:rPr>
      </w:pPr>
    </w:p>
    <w:p w14:paraId="45E2E26B" w14:textId="4707DEF8" w:rsidR="005E184B" w:rsidRPr="00A277EA" w:rsidRDefault="005E184B" w:rsidP="005E184B">
      <w:pPr>
        <w:spacing w:after="0" w:line="276" w:lineRule="auto"/>
        <w:jc w:val="both"/>
        <w:rPr>
          <w:rFonts w:ascii="Verdana" w:eastAsia="Century Gothic" w:hAnsi="Verdana" w:cs="Century Gothic"/>
        </w:rPr>
      </w:pPr>
      <w:r w:rsidRPr="00A277EA">
        <w:rPr>
          <w:rFonts w:ascii="Verdana" w:eastAsia="Century Gothic" w:hAnsi="Verdana" w:cs="Century Gothic"/>
        </w:rPr>
        <w:t xml:space="preserve">De acuerdo con el contenido de su solicitud, esta Agencia resolverá los siguientes problemas jurídicos: </w:t>
      </w:r>
      <w:r w:rsidR="00F05159">
        <w:rPr>
          <w:rFonts w:ascii="Verdana" w:eastAsia="Century Gothic" w:hAnsi="Verdana" w:cs="Century Gothic"/>
        </w:rPr>
        <w:t xml:space="preserve">i) </w:t>
      </w:r>
      <w:r w:rsidR="008A61DD">
        <w:rPr>
          <w:rFonts w:ascii="Verdana" w:eastAsia="Calibri" w:hAnsi="Verdana" w:cs="Times New Roman"/>
        </w:rPr>
        <w:t>¿Cómo deben establecerse los requisitos habilitantes en los procesos de contratación?</w:t>
      </w:r>
      <w:r w:rsidR="00DD0810">
        <w:rPr>
          <w:rFonts w:ascii="Verdana" w:eastAsia="Calibri" w:hAnsi="Verdana" w:cs="Times New Roman"/>
        </w:rPr>
        <w:t>,</w:t>
      </w:r>
      <w:r w:rsidR="008A61DD">
        <w:rPr>
          <w:rFonts w:ascii="Verdana" w:eastAsia="Calibri" w:hAnsi="Verdana" w:cs="Times New Roman"/>
        </w:rPr>
        <w:t xml:space="preserve"> </w:t>
      </w:r>
      <w:proofErr w:type="spellStart"/>
      <w:r w:rsidR="008A61DD">
        <w:rPr>
          <w:rFonts w:ascii="Verdana" w:eastAsia="Calibri" w:hAnsi="Verdana" w:cs="Times New Roman"/>
        </w:rPr>
        <w:t>ii</w:t>
      </w:r>
      <w:proofErr w:type="spellEnd"/>
      <w:r w:rsidR="008A61DD">
        <w:rPr>
          <w:rFonts w:ascii="Verdana" w:eastAsia="Calibri" w:hAnsi="Verdana" w:cs="Times New Roman"/>
        </w:rPr>
        <w:t xml:space="preserve">) </w:t>
      </w:r>
      <w:r w:rsidR="00D57F51">
        <w:rPr>
          <w:rFonts w:ascii="Verdana" w:hAnsi="Verdana"/>
        </w:rPr>
        <w:t>¿</w:t>
      </w:r>
      <w:r w:rsidR="00D57F51">
        <w:rPr>
          <w:rFonts w:ascii="Verdana" w:eastAsia="Century Gothic" w:hAnsi="Verdana" w:cs="Century Gothic"/>
        </w:rPr>
        <w:t xml:space="preserve">Las certificaciones de sistemas de gestión de calidad pueden </w:t>
      </w:r>
      <w:r w:rsidR="005D71E0">
        <w:rPr>
          <w:rFonts w:ascii="Verdana" w:eastAsia="Century Gothic" w:hAnsi="Verdana" w:cs="Century Gothic"/>
        </w:rPr>
        <w:t>exigirse</w:t>
      </w:r>
      <w:r w:rsidR="00D57F51">
        <w:rPr>
          <w:rFonts w:ascii="Verdana" w:eastAsia="Century Gothic" w:hAnsi="Verdana" w:cs="Century Gothic"/>
        </w:rPr>
        <w:t xml:space="preserve"> como</w:t>
      </w:r>
      <w:r w:rsidR="005D71E0">
        <w:rPr>
          <w:rFonts w:ascii="Verdana" w:eastAsia="Century Gothic" w:hAnsi="Verdana" w:cs="Century Gothic"/>
        </w:rPr>
        <w:t xml:space="preserve"> un</w:t>
      </w:r>
      <w:r w:rsidR="00D57F51">
        <w:rPr>
          <w:rFonts w:ascii="Verdana" w:eastAsia="Century Gothic" w:hAnsi="Verdana" w:cs="Century Gothic"/>
        </w:rPr>
        <w:t xml:space="preserve"> </w:t>
      </w:r>
      <w:r w:rsidR="002A6AC5">
        <w:rPr>
          <w:rFonts w:ascii="Verdana" w:eastAsia="Century Gothic" w:hAnsi="Verdana" w:cs="Century Gothic"/>
        </w:rPr>
        <w:t>requisito</w:t>
      </w:r>
      <w:r w:rsidR="00D57F51">
        <w:rPr>
          <w:rFonts w:ascii="Verdana" w:eastAsia="Century Gothic" w:hAnsi="Verdana" w:cs="Century Gothic"/>
        </w:rPr>
        <w:t xml:space="preserve"> habilitante</w:t>
      </w:r>
      <w:r w:rsidR="00D57F51">
        <w:rPr>
          <w:rFonts w:ascii="Verdana" w:hAnsi="Verdana" w:cs="Arial"/>
          <w:bCs/>
          <w:lang w:val="es-ES_tradnl"/>
        </w:rPr>
        <w:t>?</w:t>
      </w:r>
      <w:r w:rsidR="00DD0810">
        <w:rPr>
          <w:rFonts w:ascii="Verdana" w:hAnsi="Verdana" w:cs="Arial"/>
          <w:bCs/>
          <w:lang w:val="es-ES_tradnl"/>
        </w:rPr>
        <w:t xml:space="preserve">, </w:t>
      </w:r>
      <w:proofErr w:type="spellStart"/>
      <w:r w:rsidR="00DD0810">
        <w:rPr>
          <w:rFonts w:ascii="Verdana" w:hAnsi="Verdana" w:cs="Arial"/>
          <w:bCs/>
          <w:lang w:val="es-ES_tradnl"/>
        </w:rPr>
        <w:t>iii</w:t>
      </w:r>
      <w:proofErr w:type="spellEnd"/>
      <w:r w:rsidR="00DD0810">
        <w:rPr>
          <w:rFonts w:ascii="Verdana" w:hAnsi="Verdana" w:cs="Arial"/>
          <w:bCs/>
          <w:lang w:val="es-ES_tradnl"/>
        </w:rPr>
        <w:t xml:space="preserve">) </w:t>
      </w:r>
      <w:r w:rsidR="004D3CF3">
        <w:rPr>
          <w:rFonts w:ascii="Verdana" w:hAnsi="Verdana"/>
        </w:rPr>
        <w:t>¿</w:t>
      </w:r>
      <w:r w:rsidR="004D3CF3" w:rsidRPr="004D3CF3">
        <w:rPr>
          <w:rFonts w:ascii="Verdana" w:hAnsi="Verdana" w:cs="Arial"/>
        </w:rPr>
        <w:t>Cómo</w:t>
      </w:r>
      <w:r w:rsidR="004D3CF3" w:rsidRPr="004D3CF3">
        <w:rPr>
          <w:rFonts w:ascii="Verdana" w:hAnsi="Verdana"/>
        </w:rPr>
        <w:t xml:space="preserve"> debe usarse </w:t>
      </w:r>
      <w:r w:rsidR="004D3CF3" w:rsidRPr="004D3CF3">
        <w:rPr>
          <w:rFonts w:ascii="Verdana" w:hAnsi="Verdana"/>
        </w:rPr>
        <w:lastRenderedPageBreak/>
        <w:t xml:space="preserve">el Clasificador de Bienes y Servicios de Naciones Unidas en los procesos de </w:t>
      </w:r>
      <w:r w:rsidR="004D3CF3">
        <w:rPr>
          <w:rFonts w:ascii="Verdana" w:hAnsi="Verdana"/>
        </w:rPr>
        <w:t>contratación</w:t>
      </w:r>
      <w:r w:rsidR="004D3CF3" w:rsidRPr="004D3CF3">
        <w:rPr>
          <w:rFonts w:ascii="Verdana" w:hAnsi="Verdana"/>
        </w:rPr>
        <w:t xml:space="preserve"> de las entidades públicas</w:t>
      </w:r>
      <w:r w:rsidR="004D3CF3">
        <w:rPr>
          <w:rFonts w:ascii="Verdana" w:hAnsi="Verdana"/>
        </w:rPr>
        <w:t>?</w:t>
      </w:r>
      <w:r w:rsidR="0011249C">
        <w:rPr>
          <w:rFonts w:ascii="Verdana" w:hAnsi="Verdana"/>
        </w:rPr>
        <w:t xml:space="preserve"> y </w:t>
      </w:r>
      <w:proofErr w:type="spellStart"/>
      <w:r w:rsidR="0011249C">
        <w:rPr>
          <w:rFonts w:ascii="Verdana" w:hAnsi="Verdana"/>
        </w:rPr>
        <w:t>iv</w:t>
      </w:r>
      <w:proofErr w:type="spellEnd"/>
      <w:r w:rsidR="0011249C">
        <w:rPr>
          <w:rFonts w:ascii="Verdana" w:hAnsi="Verdana"/>
        </w:rPr>
        <w:t xml:space="preserve">) </w:t>
      </w:r>
      <w:r w:rsidR="00F63771">
        <w:rPr>
          <w:rFonts w:ascii="Verdana" w:hAnsi="Verdana"/>
        </w:rPr>
        <w:t>¿Cómo debe determinarse el plazo de ejecución del contrato?</w:t>
      </w:r>
    </w:p>
    <w:p w14:paraId="2C150301" w14:textId="77777777" w:rsidR="005E184B" w:rsidRPr="00A277EA" w:rsidRDefault="005E184B" w:rsidP="005E184B">
      <w:pPr>
        <w:spacing w:after="0" w:line="276" w:lineRule="auto"/>
        <w:jc w:val="both"/>
        <w:rPr>
          <w:rFonts w:ascii="Verdana" w:eastAsia="Calibri" w:hAnsi="Verdana" w:cs="Arial"/>
          <w:color w:val="7030A0"/>
        </w:rPr>
      </w:pPr>
    </w:p>
    <w:p w14:paraId="3D2118ED" w14:textId="77777777" w:rsidR="005E184B" w:rsidRPr="00A277EA" w:rsidRDefault="005E184B" w:rsidP="005E184B">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A277EA">
        <w:rPr>
          <w:rFonts w:ascii="Verdana" w:eastAsia="Century Gothic" w:hAnsi="Verdana" w:cs="Century Gothic"/>
          <w:b/>
          <w:bCs/>
          <w:lang w:val="es-ES"/>
        </w:rPr>
        <w:t>Respuestas:</w:t>
      </w:r>
    </w:p>
    <w:p w14:paraId="39C61497" w14:textId="77777777" w:rsidR="005E184B" w:rsidRPr="00A277EA" w:rsidRDefault="005E184B" w:rsidP="005E184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184B" w:rsidRPr="00A277EA" w14:paraId="51A185B6" w14:textId="77777777" w:rsidTr="00FF54BF">
        <w:trPr>
          <w:jc w:val="center"/>
        </w:trPr>
        <w:tc>
          <w:tcPr>
            <w:tcW w:w="8828" w:type="dxa"/>
          </w:tcPr>
          <w:p w14:paraId="33A5DF89" w14:textId="77777777" w:rsidR="00D4383A" w:rsidRPr="008F0726" w:rsidRDefault="00D4383A" w:rsidP="00D4383A">
            <w:pPr>
              <w:spacing w:after="120" w:line="276" w:lineRule="auto"/>
              <w:jc w:val="both"/>
              <w:rPr>
                <w:rFonts w:ascii="Verdana" w:eastAsia="Times New Roman" w:hAnsi="Verdana" w:cs="Times New Roman"/>
                <w:lang w:eastAsia="es-CO"/>
              </w:rPr>
            </w:pPr>
            <w:bookmarkStart w:id="1" w:name="_Hlk171694685"/>
            <w:r>
              <w:rPr>
                <w:rFonts w:ascii="Verdana" w:eastAsia="Arial" w:hAnsi="Verdana" w:cs="Arial"/>
                <w:lang w:eastAsia="es-ES" w:bidi="es-ES"/>
              </w:rPr>
              <w:t xml:space="preserve">i. </w:t>
            </w:r>
            <w:r w:rsidRPr="008F0726">
              <w:rPr>
                <w:rFonts w:ascii="Verdana" w:eastAsia="Times New Roman" w:hAnsi="Verdana" w:cs="Times New Roman"/>
                <w:lang w:eastAsia="es-CO"/>
              </w:rPr>
              <w:t>Los factores de escogencia y calificación que establezcan las Entidades en los pliegos de condiciones o sus documentos equivalentes deberán tener en cuenta el deber de selección objetiva. En especial, señala la Ley que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01C9B701" w14:textId="77777777" w:rsidR="005E184B" w:rsidRDefault="00D4383A" w:rsidP="004C0FF6">
            <w:pPr>
              <w:widowControl w:val="0"/>
              <w:autoSpaceDE w:val="0"/>
              <w:autoSpaceDN w:val="0"/>
              <w:spacing w:after="120" w:line="276" w:lineRule="auto"/>
              <w:ind w:right="103" w:firstLine="743"/>
              <w:jc w:val="both"/>
              <w:rPr>
                <w:rFonts w:ascii="Verdana" w:eastAsia="Times New Roman" w:hAnsi="Verdana" w:cs="Times New Roman"/>
                <w:lang w:eastAsia="es-CO"/>
              </w:rPr>
            </w:pPr>
            <w:r w:rsidRPr="008F0726">
              <w:rPr>
                <w:rFonts w:ascii="Verdana" w:eastAsia="Times New Roman" w:hAnsi="Verdana" w:cs="Times New Roman"/>
                <w:lang w:eastAsia="es-CO"/>
              </w:rPr>
              <w:t>En este sentido, si bien las Entidades Estatales son autónomas para definir los requisitos habilitantes, tal facultad no puede ejercerse de forma arbitraria, caprichosa y, mucho menos, con el ánimo de direccionar el proceso de contratación o favorecer a alguno de los proponentes. Dicha autonomía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w:t>
            </w:r>
            <w:r w:rsidR="004C0FF6">
              <w:rPr>
                <w:rFonts w:ascii="Verdana" w:eastAsia="Times New Roman" w:hAnsi="Verdana" w:cs="Times New Roman"/>
                <w:lang w:eastAsia="es-CO"/>
              </w:rPr>
              <w:t xml:space="preserve">. </w:t>
            </w:r>
          </w:p>
          <w:p w14:paraId="2D4B944D" w14:textId="4248AEC0" w:rsidR="00EF3558" w:rsidRPr="00505CD6" w:rsidRDefault="00864004" w:rsidP="00EF3558">
            <w:pPr>
              <w:spacing w:after="120" w:line="276" w:lineRule="auto"/>
              <w:jc w:val="both"/>
              <w:rPr>
                <w:rFonts w:ascii="Verdana" w:eastAsia="Calibri" w:hAnsi="Verdana" w:cs="Arial"/>
                <w:color w:val="000000"/>
                <w:lang w:val="es-MX"/>
              </w:rPr>
            </w:pP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00EF3558">
              <w:rPr>
                <w:rFonts w:ascii="Verdana" w:eastAsia="Arial" w:hAnsi="Verdana" w:cs="Arial"/>
                <w:lang w:eastAsia="es-ES" w:bidi="es-ES"/>
              </w:rPr>
              <w:t>Frente a la posibilidad de exigir como requisito habilitante certificaciones del sistema de gestión de calidad debe tenerse en cuenta que e</w:t>
            </w:r>
            <w:r w:rsidR="00EF3558" w:rsidRPr="00505CD6">
              <w:rPr>
                <w:rFonts w:ascii="Verdana" w:eastAsia="Calibri" w:hAnsi="Verdana" w:cs="Arial"/>
                <w:color w:val="000000"/>
                <w:lang w:val="es-MX"/>
              </w:rPr>
              <w:t>l parágrafo 2 del artículo 5 de la Ley 1150 de 2007 establece una limitación para la determinación de requisitos habilitantes y criterios de calificación en los procesos de selección, según la cual las “certificaciones de sistemas de gestión de calidad no serán objeto de calificación, ni podrán establecerse como documento habilitante para participar en licitaciones o concursos”.</w:t>
            </w:r>
          </w:p>
          <w:p w14:paraId="47850B44" w14:textId="77777777" w:rsidR="00EF3558" w:rsidRPr="00505CD6" w:rsidRDefault="00EF3558" w:rsidP="00EF3558">
            <w:pPr>
              <w:spacing w:after="120" w:line="276" w:lineRule="auto"/>
              <w:ind w:firstLine="709"/>
              <w:jc w:val="both"/>
              <w:rPr>
                <w:rFonts w:ascii="Verdana" w:hAnsi="Verdana" w:cs="Arial"/>
                <w:i/>
                <w:iCs/>
                <w:color w:val="000000" w:themeColor="text1"/>
              </w:rPr>
            </w:pPr>
            <w:r w:rsidRPr="00505CD6">
              <w:rPr>
                <w:rFonts w:ascii="Verdana" w:eastAsia="Calibri" w:hAnsi="Verdana" w:cs="Arial"/>
                <w:color w:val="000000"/>
                <w:lang w:val="es-MX"/>
              </w:rPr>
              <w:t xml:space="preserve">Para comprender el alcance de este parágrafo resulta de especial importancia referirse a </w:t>
            </w:r>
            <w:r w:rsidRPr="00505CD6">
              <w:rPr>
                <w:rFonts w:ascii="Verdana" w:hAnsi="Verdana" w:cs="Arial"/>
                <w:color w:val="000000" w:themeColor="text1"/>
              </w:rPr>
              <w:t xml:space="preserve">los antecedentes legislativos de la norma </w:t>
            </w:r>
            <w:r w:rsidRPr="00505CD6">
              <w:rPr>
                <w:rFonts w:ascii="Verdana" w:hAnsi="Verdana" w:cs="Arial"/>
                <w:i/>
                <w:iCs/>
                <w:color w:val="000000" w:themeColor="text1"/>
              </w:rPr>
              <w:t xml:space="preserve">sub examine. </w:t>
            </w:r>
            <w:r w:rsidRPr="00505CD6">
              <w:rPr>
                <w:rFonts w:ascii="Verdana" w:eastAsia="Calibri" w:hAnsi="Verdana" w:cs="Arial"/>
                <w:color w:val="000000"/>
                <w:lang w:val="es-MX"/>
              </w:rPr>
              <w:lastRenderedPageBreak/>
              <w:t xml:space="preserve">Conforme se evidencia de dicho trámite, </w:t>
            </w:r>
            <w:r w:rsidRPr="00505CD6">
              <w:rPr>
                <w:rFonts w:ascii="Verdana" w:hAnsi="Verdana" w:cs="Arial"/>
                <w:color w:val="000000" w:themeColor="text1"/>
              </w:rPr>
              <w:t>la intención del legislador al incluir este parágrafo era evitar la restricción de la participación de oferentes, asegurando que no fueran excluidos del proceso de selección por cumplir con ciertos requisitos, como el certificado de gestión de calidad. Esta intención está estrechamente vinculada al principio de selección objetiva, que se cumple cuando se establecen criterios claros y transparentes para la elección de la oferta más favorable a los fines de la contratación, sin que se limite la competencia ni la participación de los oferentes.</w:t>
            </w:r>
          </w:p>
          <w:p w14:paraId="560DF982" w14:textId="77777777" w:rsidR="00EF3558" w:rsidRPr="00505CD6" w:rsidRDefault="00EF3558" w:rsidP="00EF3558">
            <w:pPr>
              <w:spacing w:after="120" w:line="276" w:lineRule="auto"/>
              <w:ind w:firstLine="709"/>
              <w:jc w:val="both"/>
              <w:rPr>
                <w:rFonts w:ascii="Verdana" w:eastAsia="Calibri" w:hAnsi="Verdana" w:cs="Arial"/>
                <w:color w:val="000000"/>
              </w:rPr>
            </w:pPr>
            <w:r w:rsidRPr="00505CD6">
              <w:rPr>
                <w:rFonts w:ascii="Verdana" w:eastAsia="Calibri" w:hAnsi="Verdana" w:cs="Arial"/>
                <w:color w:val="000000"/>
                <w:lang w:val="es-MX"/>
              </w:rPr>
              <w:t>En este contexto, la prohibición de solicitar certificaciones del sistema de gestión de calidad tiene como propósito evitar</w:t>
            </w:r>
            <w:r w:rsidRPr="00505CD6">
              <w:rPr>
                <w:rFonts w:ascii="Verdana" w:eastAsia="Calibri" w:hAnsi="Verdana" w:cs="Arial"/>
                <w:color w:val="000000"/>
              </w:rPr>
              <w:t xml:space="preserve"> la exclusión arbitraria de personas o empresas que, de otro modo, podrían participar en el proceso de contratación, </w:t>
            </w:r>
            <w:r w:rsidRPr="00505CD6">
              <w:rPr>
                <w:rFonts w:ascii="Verdana" w:eastAsia="Calibri" w:hAnsi="Verdana" w:cs="Arial"/>
                <w:color w:val="000000"/>
                <w:lang w:val="es-MX"/>
              </w:rPr>
              <w:t xml:space="preserve">en la medida en que este requisito no necesariamente refleja un criterio relevante para la selección, </w:t>
            </w:r>
            <w:r w:rsidRPr="00505CD6">
              <w:rPr>
                <w:rFonts w:ascii="Verdana" w:eastAsia="Calibri" w:hAnsi="Verdana" w:cs="Arial"/>
                <w:color w:val="000000"/>
              </w:rPr>
              <w:t xml:space="preserve">limitando la competencia sin aportar un valor adicional en la evaluación de las ofertas. </w:t>
            </w:r>
          </w:p>
          <w:p w14:paraId="3638F494" w14:textId="77777777" w:rsidR="00864004" w:rsidRDefault="00EF3558" w:rsidP="00D44F04">
            <w:pPr>
              <w:widowControl w:val="0"/>
              <w:autoSpaceDE w:val="0"/>
              <w:autoSpaceDN w:val="0"/>
              <w:spacing w:after="120" w:line="276" w:lineRule="auto"/>
              <w:ind w:right="103" w:firstLine="743"/>
              <w:jc w:val="both"/>
              <w:rPr>
                <w:rFonts w:ascii="Verdana" w:eastAsia="Calibri" w:hAnsi="Verdana" w:cs="Arial"/>
                <w:color w:val="000000"/>
                <w:lang w:val="es-MX"/>
              </w:rPr>
            </w:pPr>
            <w:r w:rsidRPr="00505CD6">
              <w:rPr>
                <w:rFonts w:ascii="Verdana" w:eastAsia="Calibri" w:hAnsi="Verdana" w:cs="Arial"/>
                <w:color w:val="000000"/>
                <w:lang w:val="es-MX"/>
              </w:rPr>
              <w:t xml:space="preserve">Es del caso precisar que, conforme a la línea que mantiene esta Agencia en sus distintos conceptos,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505CD6">
              <w:rPr>
                <w:rFonts w:ascii="Verdana" w:eastAsia="Calibri" w:hAnsi="Verdana" w:cs="Arial"/>
                <w:i/>
                <w:iCs/>
                <w:color w:val="000000"/>
                <w:lang w:val="es-MX"/>
              </w:rPr>
              <w:t>sub examine</w:t>
            </w:r>
            <w:r w:rsidRPr="00505CD6">
              <w:rPr>
                <w:rFonts w:ascii="Verdana" w:eastAsia="Calibri" w:hAnsi="Verdana" w:cs="Arial"/>
                <w:color w:val="000000"/>
                <w:lang w:val="es-MX"/>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gestión de calidad, lo cual, por un lado, le resta efectos prácticos a la prohibición establecida por el legislador y, por el otro, desconoce la finalidad perseguida por la norma</w:t>
            </w:r>
            <w:r w:rsidR="00707530">
              <w:rPr>
                <w:rFonts w:ascii="Verdana" w:eastAsia="Calibri" w:hAnsi="Verdana" w:cs="Arial"/>
                <w:color w:val="000000"/>
                <w:lang w:val="es-MX"/>
              </w:rPr>
              <w:t>.</w:t>
            </w:r>
          </w:p>
          <w:p w14:paraId="1613EF15" w14:textId="5A5FBDFA" w:rsidR="00707530" w:rsidRDefault="00707530" w:rsidP="00707530">
            <w:pPr>
              <w:spacing w:after="120" w:line="276" w:lineRule="auto"/>
              <w:jc w:val="both"/>
              <w:rPr>
                <w:rFonts w:ascii="Verdana" w:hAnsi="Verdana" w:cs="Arial"/>
                <w:bCs/>
                <w:color w:val="000000" w:themeColor="text1"/>
              </w:rPr>
            </w:pPr>
            <w:proofErr w:type="spellStart"/>
            <w:r>
              <w:rPr>
                <w:rFonts w:ascii="Verdana" w:eastAsia="Calibri" w:hAnsi="Verdana" w:cs="Arial"/>
                <w:color w:val="000000"/>
                <w:lang w:val="es-MX" w:eastAsia="es-ES" w:bidi="es-ES"/>
              </w:rPr>
              <w:t>iii</w:t>
            </w:r>
            <w:proofErr w:type="spellEnd"/>
            <w:r>
              <w:rPr>
                <w:rFonts w:ascii="Verdana" w:eastAsia="Calibri" w:hAnsi="Verdana" w:cs="Arial"/>
                <w:color w:val="000000"/>
                <w:lang w:val="es-MX" w:eastAsia="es-ES" w:bidi="es-ES"/>
              </w:rPr>
              <w:t xml:space="preserve">. </w:t>
            </w:r>
            <w:r w:rsidR="00FC21BE">
              <w:rPr>
                <w:rFonts w:ascii="Verdana" w:eastAsia="Calibri" w:hAnsi="Verdana" w:cs="Arial"/>
                <w:color w:val="000000"/>
                <w:lang w:val="es-MX" w:eastAsia="es-ES" w:bidi="es-ES"/>
              </w:rPr>
              <w:t>L</w:t>
            </w:r>
            <w:r>
              <w:rPr>
                <w:rFonts w:ascii="Verdana" w:hAnsi="Verdana" w:cs="Arial"/>
                <w:lang w:val="es-ES" w:eastAsia="es-ES_tradnl"/>
              </w:rPr>
              <w:t xml:space="preserve">a </w:t>
            </w:r>
            <w:r>
              <w:rPr>
                <w:rFonts w:ascii="Verdana" w:hAnsi="Verdana" w:cs="Arial"/>
                <w:bCs/>
                <w:color w:val="000000" w:themeColor="text1"/>
              </w:rPr>
              <w:t xml:space="preserve">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w:t>
            </w:r>
            <w:r>
              <w:rPr>
                <w:rFonts w:ascii="Verdana" w:hAnsi="Verdana" w:cs="Arial"/>
                <w:bCs/>
                <w:color w:val="000000" w:themeColor="text1"/>
              </w:rPr>
              <w:lastRenderedPageBreak/>
              <w:t xml:space="preserve">Decreto 1082 de 2015, al reglamentar la contratación pública, el RUP y la clasificación de la experiencia, implementó el Clasificador de Bienes y Servicios de las Naciones Unidas –UNSPSC–, lo cual se refleja en diferentes partes de su articulado. </w:t>
            </w:r>
          </w:p>
          <w:p w14:paraId="15C7A870" w14:textId="77777777" w:rsidR="00707530" w:rsidRDefault="00707530" w:rsidP="00707530">
            <w:pPr>
              <w:widowControl w:val="0"/>
              <w:autoSpaceDE w:val="0"/>
              <w:autoSpaceDN w:val="0"/>
              <w:spacing w:after="120" w:line="276" w:lineRule="auto"/>
              <w:ind w:firstLine="708"/>
              <w:jc w:val="both"/>
              <w:rPr>
                <w:rFonts w:ascii="Verdana" w:eastAsia="Times New Roman" w:hAnsi="Verdana" w:cs="Arial"/>
                <w:lang w:val="es-ES"/>
              </w:rPr>
            </w:pPr>
            <w:r>
              <w:rPr>
                <w:rFonts w:ascii="Verdana" w:eastAsia="Arial MT" w:hAnsi="Verdana" w:cs="Arial"/>
                <w:lang w:val="es-ES"/>
              </w:rPr>
              <w:t xml:space="preserve">El </w:t>
            </w:r>
            <w:r>
              <w:rPr>
                <w:rFonts w:ascii="Verdana" w:eastAsia="Times New Roman" w:hAnsi="Verdana" w:cs="Arial"/>
                <w:bdr w:val="none" w:sz="0" w:space="0" w:color="auto" w:frame="1"/>
                <w:lang w:val="es-ES"/>
              </w:rPr>
              <w:t xml:space="preserve">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w:t>
            </w:r>
            <w:proofErr w:type="spellStart"/>
            <w:r>
              <w:rPr>
                <w:rFonts w:ascii="Verdana" w:eastAsia="Times New Roman" w:hAnsi="Verdana" w:cs="Arial"/>
                <w:bdr w:val="none" w:sz="0" w:space="0" w:color="auto" w:frame="1"/>
                <w:lang w:val="es-ES"/>
              </w:rPr>
              <w:t>Clasiﬁcador</w:t>
            </w:r>
            <w:proofErr w:type="spellEnd"/>
            <w:r>
              <w:rPr>
                <w:rFonts w:ascii="Verdana" w:eastAsia="Times New Roman" w:hAnsi="Verdana" w:cs="Arial"/>
                <w:bdr w:val="none" w:sz="0" w:space="0" w:color="auto" w:frame="1"/>
                <w:lang w:val="es-ES"/>
              </w:rPr>
              <w:t xml:space="preserve"> de Bienes y Servicios, de ser posible o de lo contrario con el tercer nivel </w:t>
            </w:r>
            <w:proofErr w:type="gramStart"/>
            <w:r>
              <w:rPr>
                <w:rFonts w:ascii="Verdana" w:eastAsia="Times New Roman" w:hAnsi="Verdana" w:cs="Arial"/>
                <w:bdr w:val="none" w:sz="0" w:space="0" w:color="auto" w:frame="1"/>
                <w:lang w:val="es-ES"/>
              </w:rPr>
              <w:t>del mismo</w:t>
            </w:r>
            <w:proofErr w:type="gramEnd"/>
            <w:r>
              <w:rPr>
                <w:rFonts w:ascii="Verdana" w:eastAsia="Times New Roman" w:hAnsi="Verdana" w:cs="Arial"/>
                <w:bdr w:val="none" w:sz="0" w:space="0" w:color="auto" w:frame="1"/>
                <w:lang w:val="es-ES"/>
              </w:rPr>
              <w:t xml:space="preserve">”. En tal sentido, se precisa </w:t>
            </w:r>
            <w:r>
              <w:rPr>
                <w:rFonts w:ascii="Verdana" w:eastAsia="Times New Roman" w:hAnsi="Verdana" w:cs="Arial"/>
                <w:lang w:val="es-ES"/>
              </w:rPr>
              <w:t xml:space="preserve">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dentro del pliego de condiciones, o se establecieran elementos o requisitos de valor que no fueran proporcionales al presupuesto establecido para el futuro contrato. </w:t>
            </w:r>
          </w:p>
          <w:p w14:paraId="0D14A633" w14:textId="77777777" w:rsidR="00707530" w:rsidRDefault="00707530" w:rsidP="00707530">
            <w:pPr>
              <w:widowControl w:val="0"/>
              <w:autoSpaceDE w:val="0"/>
              <w:autoSpaceDN w:val="0"/>
              <w:spacing w:after="120" w:line="276" w:lineRule="auto"/>
              <w:ind w:right="103" w:firstLine="743"/>
              <w:jc w:val="both"/>
              <w:rPr>
                <w:rFonts w:ascii="Verdana" w:eastAsia="Times New Roman" w:hAnsi="Verdana" w:cs="Arial"/>
                <w:lang w:val="es-ES_tradnl"/>
              </w:rPr>
            </w:pPr>
            <w:r>
              <w:rPr>
                <w:rFonts w:ascii="Verdana" w:eastAsia="Times New Roman" w:hAnsi="Verdana" w:cs="Arial"/>
                <w:lang w:val="es-ES"/>
              </w:rPr>
              <w:t xml:space="preserve">Se hace </w:t>
            </w:r>
            <w:r>
              <w:rPr>
                <w:rFonts w:ascii="Verdana" w:eastAsia="Times New Roman" w:hAnsi="Verdana" w:cs="Arial"/>
                <w:lang w:val="es-ES_tradnl"/>
              </w:rPr>
              <w:t xml:space="preserve">preciso tener en cuenta que, de acuerdo con la postura adoptada en la Circular Externa Única de la Agencia,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 </w:t>
            </w:r>
          </w:p>
          <w:p w14:paraId="2181A93C" w14:textId="77777777" w:rsidR="00EC6220" w:rsidRDefault="00EC6220" w:rsidP="00811279">
            <w:pPr>
              <w:widowControl w:val="0"/>
              <w:autoSpaceDE w:val="0"/>
              <w:autoSpaceDN w:val="0"/>
              <w:spacing w:after="120" w:line="276" w:lineRule="auto"/>
              <w:ind w:right="104" w:firstLine="708"/>
              <w:jc w:val="both"/>
              <w:rPr>
                <w:rFonts w:ascii="Verdana" w:eastAsia="Times New Roman" w:hAnsi="Verdana" w:cs="Arial"/>
                <w:lang w:val="es-ES_tradnl"/>
              </w:rPr>
            </w:pPr>
            <w:r>
              <w:rPr>
                <w:rFonts w:ascii="Verdana" w:eastAsia="Times New Roman" w:hAnsi="Verdana" w:cs="Arial"/>
                <w:lang w:val="es-ES_tradnl" w:eastAsia="es-ES" w:bidi="es-ES"/>
              </w:rPr>
              <w:t>En todo caso,</w:t>
            </w:r>
            <w:r w:rsidR="00811279">
              <w:rPr>
                <w:rFonts w:ascii="Verdana" w:eastAsia="Times New Roman" w:hAnsi="Verdana" w:cs="Arial"/>
                <w:lang w:val="es-ES_tradnl" w:eastAsia="es-ES" w:bidi="es-ES"/>
              </w:rPr>
              <w:t xml:space="preserve"> </w:t>
            </w:r>
            <w:r w:rsidR="00811279">
              <w:rPr>
                <w:rFonts w:ascii="Verdana" w:eastAsia="Times New Roman" w:hAnsi="Verdana" w:cs="Arial"/>
                <w:lang w:val="es-ES_tradnl"/>
              </w:rPr>
              <w:t>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51F9F577" w14:textId="3DEC1C38" w:rsidR="004463C3" w:rsidRDefault="005A09BA" w:rsidP="005A09BA">
            <w:pPr>
              <w:widowControl w:val="0"/>
              <w:autoSpaceDE w:val="0"/>
              <w:autoSpaceDN w:val="0"/>
              <w:spacing w:after="120" w:line="276" w:lineRule="auto"/>
              <w:ind w:right="104"/>
              <w:jc w:val="both"/>
              <w:rPr>
                <w:rFonts w:ascii="Verdana" w:eastAsia="Times New Roman" w:hAnsi="Verdana" w:cs="Arial"/>
                <w:lang w:val="es-ES_tradnl"/>
              </w:rPr>
            </w:pPr>
            <w:proofErr w:type="spellStart"/>
            <w:r>
              <w:rPr>
                <w:rFonts w:ascii="Verdana" w:eastAsia="Times New Roman" w:hAnsi="Verdana" w:cs="Arial"/>
                <w:lang w:val="es-ES_tradnl"/>
              </w:rPr>
              <w:t>iv</w:t>
            </w:r>
            <w:proofErr w:type="spellEnd"/>
            <w:r>
              <w:rPr>
                <w:rFonts w:ascii="Verdana" w:eastAsia="Times New Roman" w:hAnsi="Verdana" w:cs="Arial"/>
                <w:lang w:val="es-ES_tradnl"/>
              </w:rPr>
              <w:t>.</w:t>
            </w:r>
            <w:r w:rsidR="00B31EEB">
              <w:rPr>
                <w:rFonts w:ascii="Verdana" w:eastAsia="Times New Roman" w:hAnsi="Verdana" w:cs="Arial"/>
                <w:lang w:val="es-ES_tradnl"/>
              </w:rPr>
              <w:t xml:space="preserve"> </w:t>
            </w:r>
            <w:r w:rsidR="004463C3">
              <w:rPr>
                <w:rFonts w:ascii="Verdana" w:eastAsia="Times New Roman" w:hAnsi="Verdana" w:cs="Arial"/>
                <w:lang w:val="es-ES_tradnl"/>
              </w:rPr>
              <w:t>E</w:t>
            </w:r>
            <w:r w:rsidR="004463C3">
              <w:rPr>
                <w:rFonts w:ascii="Verdana" w:eastAsia="Calibri" w:hAnsi="Verdana" w:cs="Arial"/>
                <w:color w:val="000000" w:themeColor="text1"/>
              </w:rPr>
              <w:t xml:space="preserve">l plazo del contrato es el período requerido en este para que se cumpla su objeto, a cargo del contratista como deudor del bien, obra o servicio para satisfacer la necesidad de la entidad, y que esta última recibe como </w:t>
            </w:r>
            <w:r w:rsidR="004463C3">
              <w:rPr>
                <w:rFonts w:ascii="Verdana" w:eastAsia="Calibri" w:hAnsi="Verdana" w:cs="Arial"/>
                <w:color w:val="000000" w:themeColor="text1"/>
              </w:rPr>
              <w:lastRenderedPageBreak/>
              <w:t>acreedora. El Estatuto General de Contratación de la Administración Pública no contiene normas especiales sobre el “plazo”, por lo que, en virtud del artículo 13, 32 y 40 de la Ley 80 de 1993, es posible remitirse a las normas civiles y comerciales aplicables.</w:t>
            </w:r>
          </w:p>
          <w:p w14:paraId="3DAA8448" w14:textId="5A9A06E6" w:rsidR="00F63771" w:rsidRPr="00811279" w:rsidRDefault="0064265B" w:rsidP="004463C3">
            <w:pPr>
              <w:widowControl w:val="0"/>
              <w:autoSpaceDE w:val="0"/>
              <w:autoSpaceDN w:val="0"/>
              <w:spacing w:after="120" w:line="276" w:lineRule="auto"/>
              <w:ind w:right="104" w:firstLine="743"/>
              <w:jc w:val="both"/>
              <w:rPr>
                <w:rFonts w:ascii="Verdana" w:eastAsia="Times New Roman" w:hAnsi="Verdana" w:cs="Arial"/>
                <w:lang w:val="es-ES_tradnl"/>
              </w:rPr>
            </w:pPr>
            <w:r>
              <w:rPr>
                <w:rFonts w:ascii="Verdana" w:eastAsia="Calibri" w:hAnsi="Verdana" w:cs="Arial"/>
              </w:rPr>
              <w:t>E</w:t>
            </w:r>
            <w:r w:rsidR="00B31EEB">
              <w:rPr>
                <w:rFonts w:ascii="Verdana" w:eastAsia="Calibri" w:hAnsi="Verdana" w:cs="Arial"/>
              </w:rPr>
              <w:t>l análisis requerido para establecer el plazo contractual debe ser realizado por la entidad contratante en consideración a las particularidades y especificaciones del respectivo objeto contractual, así como las cláusulas fijadas en los documentos del proceso</w:t>
            </w:r>
            <w:r w:rsidR="003822C5">
              <w:rPr>
                <w:rFonts w:ascii="Verdana" w:eastAsia="Calibri" w:hAnsi="Verdana" w:cs="Arial"/>
              </w:rPr>
              <w:t>, el cual debe ser razonable y suficiente para el cumplimiento del objeto contractual</w:t>
            </w:r>
            <w:r w:rsidR="00B31EEB">
              <w:rPr>
                <w:rFonts w:ascii="Verdana" w:eastAsia="Calibri" w:hAnsi="Verdana" w:cs="Arial"/>
              </w:rPr>
              <w:t>. De esta manera, lo explicado en el presente concepto no puede ser interpretado como un pronunciamiento respecto del plazo aludido en la petición, ni las afirmaciones aquí realizadas pueden ser interpretadas como juicios de valor sobre circunstancias relacionadas con los hechos que motivan la petición</w:t>
            </w:r>
          </w:p>
        </w:tc>
      </w:tr>
    </w:tbl>
    <w:p w14:paraId="3C9382DD" w14:textId="77777777" w:rsidR="005E184B" w:rsidRPr="00A277EA" w:rsidRDefault="005E184B" w:rsidP="005E184B">
      <w:pPr>
        <w:tabs>
          <w:tab w:val="left" w:pos="142"/>
          <w:tab w:val="left" w:pos="284"/>
        </w:tabs>
        <w:spacing w:after="0" w:line="276" w:lineRule="auto"/>
        <w:jc w:val="both"/>
        <w:rPr>
          <w:rFonts w:ascii="Verdana" w:eastAsia="Century Gothic" w:hAnsi="Verdana" w:cs="Century Gothic"/>
          <w:b/>
          <w:bCs/>
          <w:lang w:val="es-ES"/>
        </w:rPr>
      </w:pPr>
    </w:p>
    <w:bookmarkEnd w:id="1"/>
    <w:p w14:paraId="021039C5" w14:textId="77777777" w:rsidR="005E184B" w:rsidRPr="00A277EA" w:rsidRDefault="005E184B" w:rsidP="005E184B">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A277EA">
        <w:rPr>
          <w:rFonts w:ascii="Verdana" w:eastAsia="Century Gothic" w:hAnsi="Verdana" w:cs="Century Gothic"/>
          <w:b/>
          <w:bCs/>
          <w:lang w:val="es-ES"/>
        </w:rPr>
        <w:t>Razones de las respuestas:</w:t>
      </w:r>
    </w:p>
    <w:p w14:paraId="4384FA1B" w14:textId="77777777" w:rsidR="005E184B" w:rsidRPr="00A277EA" w:rsidRDefault="005E184B" w:rsidP="005E184B">
      <w:pPr>
        <w:spacing w:after="0" w:line="276" w:lineRule="auto"/>
        <w:jc w:val="both"/>
        <w:rPr>
          <w:rFonts w:ascii="Verdana" w:eastAsia="Calibri" w:hAnsi="Verdana" w:cs="Arial"/>
          <w:color w:val="7030A0"/>
          <w:lang w:val="es-ES"/>
        </w:rPr>
      </w:pPr>
    </w:p>
    <w:p w14:paraId="5F7BB8D9" w14:textId="77777777" w:rsidR="005E184B" w:rsidRPr="00A277EA" w:rsidRDefault="005E184B" w:rsidP="005E184B">
      <w:pPr>
        <w:spacing w:after="0" w:line="276" w:lineRule="auto"/>
        <w:jc w:val="both"/>
        <w:rPr>
          <w:rFonts w:ascii="Verdana" w:eastAsia="Calibri" w:hAnsi="Verdana" w:cs="Arial"/>
          <w:lang w:val="es-ES"/>
        </w:rPr>
      </w:pPr>
      <w:r w:rsidRPr="00A277EA">
        <w:rPr>
          <w:rFonts w:ascii="Verdana" w:eastAsia="Calibri" w:hAnsi="Verdana" w:cs="Arial"/>
          <w:lang w:val="es-ES"/>
        </w:rPr>
        <w:t>Lo anterior se sustenta en las siguientes consideraciones:</w:t>
      </w:r>
    </w:p>
    <w:p w14:paraId="286F41E9" w14:textId="77777777" w:rsidR="005E184B" w:rsidRPr="00A277EA" w:rsidRDefault="005E184B" w:rsidP="005E184B">
      <w:pPr>
        <w:spacing w:after="0" w:line="276" w:lineRule="auto"/>
        <w:jc w:val="both"/>
        <w:rPr>
          <w:rFonts w:ascii="Verdana" w:eastAsia="Calibri" w:hAnsi="Verdana" w:cs="Arial"/>
          <w:color w:val="000000" w:themeColor="text1"/>
        </w:rPr>
      </w:pPr>
    </w:p>
    <w:p w14:paraId="1E197F51" w14:textId="77777777" w:rsidR="00F05159" w:rsidRPr="00F05159" w:rsidRDefault="00F05159" w:rsidP="00F05159">
      <w:pPr>
        <w:spacing w:after="120" w:line="276" w:lineRule="auto"/>
        <w:jc w:val="both"/>
        <w:rPr>
          <w:rFonts w:ascii="Verdana" w:hAnsi="Verdana" w:cs="Arial"/>
          <w:bCs/>
          <w:lang w:val="es-ES_tradnl" w:eastAsia="es-ES" w:bidi="es-ES"/>
        </w:rPr>
      </w:pPr>
      <w:r w:rsidRPr="00F05159">
        <w:rPr>
          <w:rFonts w:ascii="Verdana" w:hAnsi="Verdana" w:cs="Arial"/>
          <w:bCs/>
          <w:lang w:val="es-ES_tradnl" w:eastAsia="es-ES" w:bidi="es-ES"/>
        </w:rPr>
        <w:t xml:space="preserve">i. Los </w:t>
      </w:r>
      <w:r w:rsidRPr="00F05159">
        <w:rPr>
          <w:rFonts w:ascii="Verdana" w:hAnsi="Verdana" w:cs="Arial"/>
          <w:bCs/>
          <w:i/>
          <w:iCs/>
          <w:lang w:val="es-ES_tradnl" w:eastAsia="es-ES" w:bidi="es-ES"/>
        </w:rPr>
        <w:t>requisitos habilitantes</w:t>
      </w:r>
      <w:r w:rsidRPr="00F05159">
        <w:rPr>
          <w:rFonts w:ascii="Verdana" w:hAnsi="Verdana" w:cs="Arial"/>
          <w:bCs/>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F05159">
        <w:rPr>
          <w:rFonts w:ascii="Verdana" w:hAnsi="Verdana" w:cs="Arial"/>
          <w:bCs/>
          <w:i/>
          <w:iCs/>
          <w:lang w:val="es-ES_tradnl" w:eastAsia="es-ES" w:bidi="es-ES"/>
        </w:rPr>
        <w:t>criterios de evaluación</w:t>
      </w:r>
      <w:r w:rsidRPr="00F05159">
        <w:rPr>
          <w:rFonts w:ascii="Verdana" w:hAnsi="Verdana" w:cs="Arial"/>
          <w:bCs/>
          <w:lang w:val="es-ES_tradnl" w:eastAsia="es-ES" w:bidi="es-ES"/>
        </w:rPr>
        <w:t xml:space="preserve"> –también conocidos como </w:t>
      </w:r>
      <w:r w:rsidRPr="00F05159">
        <w:rPr>
          <w:rFonts w:ascii="Verdana" w:hAnsi="Verdana" w:cs="Arial"/>
          <w:bCs/>
          <w:i/>
          <w:iCs/>
          <w:lang w:val="es-ES_tradnl" w:eastAsia="es-ES" w:bidi="es-ES"/>
        </w:rPr>
        <w:t>criterios de calificación</w:t>
      </w:r>
      <w:r w:rsidRPr="00F05159">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3360045" w14:textId="77777777" w:rsidR="00F05159" w:rsidRPr="00F05159" w:rsidRDefault="00F05159" w:rsidP="00F05159">
      <w:pPr>
        <w:spacing w:after="120" w:line="276" w:lineRule="auto"/>
        <w:ind w:firstLine="708"/>
        <w:jc w:val="both"/>
        <w:rPr>
          <w:rFonts w:ascii="Verdana" w:eastAsia="Calibri" w:hAnsi="Verdana" w:cs="Arial"/>
          <w:lang w:val="es-ES" w:eastAsia="es-MX"/>
        </w:rPr>
      </w:pPr>
      <w:bookmarkStart w:id="2" w:name="_Hlk191626670"/>
      <w:r w:rsidRPr="00F05159">
        <w:rPr>
          <w:rFonts w:ascii="Verdana" w:eastAsia="Calibri" w:hAnsi="Verdana" w:cs="Arial"/>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2"/>
      <w:r w:rsidRPr="00F05159">
        <w:rPr>
          <w:rFonts w:ascii="Verdana" w:eastAsia="Calibri" w:hAnsi="Verdana" w:cs="Arial"/>
          <w:lang w:val="es-ES" w:eastAsia="es-MX"/>
        </w:rPr>
        <w:t xml:space="preserve">Esto, sin perjuicio del derecho que tienen los oferentes de subsanar </w:t>
      </w:r>
      <w:r w:rsidRPr="00F05159">
        <w:rPr>
          <w:rFonts w:ascii="Verdana" w:eastAsia="Calibri" w:hAnsi="Verdana" w:cs="Arial"/>
          <w:lang w:val="es-ES" w:eastAsia="es-MX"/>
        </w:rPr>
        <w:lastRenderedPageBreak/>
        <w:t xml:space="preserve">los defectos que se presenten en la prueba de tales requisitos, de conformidad con el </w:t>
      </w:r>
      <w:bookmarkStart w:id="3" w:name="_Hlk191626971"/>
      <w:r w:rsidRPr="00F05159">
        <w:rPr>
          <w:rFonts w:ascii="Verdana" w:eastAsia="Calibri" w:hAnsi="Verdana" w:cs="Arial"/>
          <w:lang w:val="es-ES" w:eastAsia="es-MX"/>
        </w:rPr>
        <w:t>artículo 5, parágrafos 1º al 4º, de la Ley 1150 de 2007</w:t>
      </w:r>
      <w:bookmarkEnd w:id="3"/>
      <w:r w:rsidRPr="00F05159">
        <w:rPr>
          <w:rFonts w:ascii="Verdana" w:eastAsia="Calibri" w:hAnsi="Verdana" w:cs="Arial"/>
          <w:lang w:val="es-ES" w:eastAsia="es-MX"/>
        </w:rPr>
        <w:t>.</w:t>
      </w:r>
    </w:p>
    <w:p w14:paraId="59B53999" w14:textId="77777777" w:rsidR="00F05159" w:rsidRPr="00F05159" w:rsidRDefault="00F05159" w:rsidP="00F05159">
      <w:pPr>
        <w:spacing w:after="120" w:line="276" w:lineRule="auto"/>
        <w:ind w:firstLine="708"/>
        <w:jc w:val="both"/>
        <w:rPr>
          <w:rFonts w:ascii="Verdana" w:hAnsi="Verdana" w:cs="Arial"/>
          <w:color w:val="000000" w:themeColor="text1"/>
          <w:lang w:val="es-ES_tradnl"/>
        </w:rPr>
      </w:pPr>
      <w:r w:rsidRPr="00F05159">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F05159">
        <w:rPr>
          <w:rFonts w:ascii="Verdana" w:hAnsi="Verdana" w:cs="Arial"/>
          <w:i/>
          <w:iCs/>
          <w:color w:val="000000" w:themeColor="text1"/>
          <w:lang w:val="es-ES_tradnl"/>
        </w:rPr>
        <w:t>.</w:t>
      </w:r>
      <w:r w:rsidRPr="00F05159">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186F76F4" w14:textId="77777777" w:rsidR="00F05159" w:rsidRPr="00F05159" w:rsidRDefault="00F05159" w:rsidP="00F05159">
      <w:pPr>
        <w:spacing w:after="0" w:line="276" w:lineRule="auto"/>
        <w:ind w:firstLine="708"/>
        <w:jc w:val="both"/>
        <w:rPr>
          <w:rFonts w:ascii="Verdana" w:hAnsi="Verdana" w:cs="Arial"/>
          <w:bCs/>
          <w:lang w:val="es-ES" w:eastAsia="es-ES" w:bidi="es-ES"/>
        </w:rPr>
      </w:pPr>
      <w:r w:rsidRPr="00F05159">
        <w:rPr>
          <w:rFonts w:ascii="Verdana" w:hAnsi="Verdana" w:cs="Arial"/>
          <w:bCs/>
          <w:lang w:val="es-ES" w:eastAsia="es-ES" w:bidi="es-ES"/>
        </w:rPr>
        <w:t xml:space="preserve">Específicamente, el numeral 1º del artículo 5 de la Ley 1150 de 2007 establece que, en los procesos de selección de contratistas, serán objeto de verificación, como requisitos habilitantes, </w:t>
      </w:r>
      <w:r w:rsidRPr="00F05159">
        <w:rPr>
          <w:rFonts w:ascii="Verdana" w:hAnsi="Verdana" w:cs="Arial"/>
          <w:bCs/>
          <w:i/>
          <w:iCs/>
          <w:lang w:val="es-ES" w:eastAsia="es-ES" w:bidi="es-ES"/>
        </w:rPr>
        <w:t>entre otros</w:t>
      </w:r>
      <w:r w:rsidRPr="00F05159">
        <w:rPr>
          <w:rFonts w:ascii="Verdana" w:hAnsi="Verdana" w:cs="Arial"/>
          <w:bCs/>
          <w:lang w:val="es-ES" w:eastAsia="es-ES" w:bidi="es-ES"/>
        </w:rPr>
        <w:t>, los siguientes: (i) la capacidad jurídica; (</w:t>
      </w:r>
      <w:proofErr w:type="spellStart"/>
      <w:r w:rsidRPr="00F05159">
        <w:rPr>
          <w:rFonts w:ascii="Verdana" w:hAnsi="Verdana" w:cs="Arial"/>
          <w:bCs/>
          <w:lang w:val="es-ES" w:eastAsia="es-ES" w:bidi="es-ES"/>
        </w:rPr>
        <w:t>ii</w:t>
      </w:r>
      <w:proofErr w:type="spellEnd"/>
      <w:r w:rsidRPr="00F05159">
        <w:rPr>
          <w:rFonts w:ascii="Verdana" w:hAnsi="Verdana" w:cs="Arial"/>
          <w:bCs/>
          <w:lang w:val="es-ES" w:eastAsia="es-ES" w:bidi="es-ES"/>
        </w:rPr>
        <w:t>) la experiencia; (</w:t>
      </w:r>
      <w:proofErr w:type="spellStart"/>
      <w:r w:rsidRPr="00F05159">
        <w:rPr>
          <w:rFonts w:ascii="Verdana" w:hAnsi="Verdana" w:cs="Arial"/>
          <w:bCs/>
          <w:lang w:val="es-ES" w:eastAsia="es-ES" w:bidi="es-ES"/>
        </w:rPr>
        <w:t>iii</w:t>
      </w:r>
      <w:proofErr w:type="spellEnd"/>
      <w:r w:rsidRPr="00F05159">
        <w:rPr>
          <w:rFonts w:ascii="Verdana" w:hAnsi="Verdana" w:cs="Arial"/>
          <w:bCs/>
          <w:lang w:val="es-ES" w:eastAsia="es-ES" w:bidi="es-ES"/>
        </w:rPr>
        <w:t>) la capacidad financiera y (</w:t>
      </w:r>
      <w:proofErr w:type="spellStart"/>
      <w:r w:rsidRPr="00F05159">
        <w:rPr>
          <w:rFonts w:ascii="Verdana" w:hAnsi="Verdana" w:cs="Arial"/>
          <w:bCs/>
          <w:lang w:val="es-ES" w:eastAsia="es-ES" w:bidi="es-ES"/>
        </w:rPr>
        <w:t>iv</w:t>
      </w:r>
      <w:proofErr w:type="spellEnd"/>
      <w:r w:rsidRPr="00F05159">
        <w:rPr>
          <w:rFonts w:ascii="Verdana" w:hAnsi="Verdana" w:cs="Arial"/>
          <w:bCs/>
          <w:lang w:val="es-ES" w:eastAsia="es-ES" w:bidi="es-ES"/>
        </w:rPr>
        <w:t>) la capacidad de organización. En efecto, la normativa citada prescribe:</w:t>
      </w:r>
    </w:p>
    <w:p w14:paraId="0733365A" w14:textId="77777777" w:rsidR="00F05159" w:rsidRPr="00F05159" w:rsidRDefault="00F05159" w:rsidP="00F05159">
      <w:pPr>
        <w:spacing w:after="0" w:line="276" w:lineRule="auto"/>
        <w:ind w:firstLine="708"/>
        <w:jc w:val="both"/>
        <w:rPr>
          <w:rFonts w:ascii="Verdana" w:hAnsi="Verdana" w:cs="Arial"/>
          <w:bCs/>
          <w:lang w:val="es-ES" w:eastAsia="es-ES" w:bidi="es-ES"/>
        </w:rPr>
      </w:pPr>
    </w:p>
    <w:p w14:paraId="52B8C7A7" w14:textId="77777777" w:rsidR="00F05159" w:rsidRPr="00F05159" w:rsidRDefault="00F05159" w:rsidP="00F05159">
      <w:pPr>
        <w:spacing w:after="0" w:line="240" w:lineRule="auto"/>
        <w:ind w:left="709" w:right="709"/>
        <w:jc w:val="both"/>
        <w:rPr>
          <w:rFonts w:ascii="Verdana" w:hAnsi="Verdana" w:cs="Arial"/>
          <w:sz w:val="20"/>
          <w:szCs w:val="20"/>
          <w:lang w:val="es-ES_tradnl" w:eastAsia="es-ES" w:bidi="es-ES"/>
        </w:rPr>
      </w:pPr>
      <w:r w:rsidRPr="00F05159">
        <w:rPr>
          <w:rFonts w:ascii="Verdana" w:hAnsi="Verdana" w:cs="Arial"/>
          <w:i/>
          <w:sz w:val="20"/>
          <w:szCs w:val="20"/>
          <w:lang w:val="es-ES_tradnl" w:eastAsia="es-ES" w:bidi="es-ES"/>
        </w:rPr>
        <w:t>“</w:t>
      </w:r>
      <w:r w:rsidRPr="00F05159">
        <w:rPr>
          <w:rFonts w:ascii="Verdana" w:hAnsi="Verdana" w:cs="Arial"/>
          <w:sz w:val="20"/>
          <w:szCs w:val="20"/>
          <w:lang w:val="es-ES_tradnl" w:eastAsia="es-ES" w:bidi="es-ES"/>
        </w:rPr>
        <w:t xml:space="preserve">Artículo 5. De la Selección Objetiva. </w:t>
      </w:r>
    </w:p>
    <w:p w14:paraId="15D02AE9" w14:textId="77777777" w:rsidR="00F05159" w:rsidRPr="00F05159" w:rsidRDefault="00F05159" w:rsidP="00F05159">
      <w:pPr>
        <w:spacing w:after="0" w:line="240" w:lineRule="auto"/>
        <w:ind w:left="709" w:right="709"/>
        <w:jc w:val="both"/>
        <w:rPr>
          <w:rFonts w:ascii="Verdana" w:hAnsi="Verdana" w:cs="Arial"/>
          <w:sz w:val="20"/>
          <w:szCs w:val="20"/>
          <w:lang w:val="es-ES_tradnl" w:eastAsia="es-ES" w:bidi="es-ES"/>
        </w:rPr>
      </w:pPr>
      <w:r w:rsidRPr="00F05159">
        <w:rPr>
          <w:rFonts w:ascii="Verdana" w:hAnsi="Verdana" w:cs="Arial"/>
          <w:sz w:val="20"/>
          <w:szCs w:val="20"/>
          <w:lang w:val="es-ES_tradnl" w:eastAsia="es-ES" w:bidi="es-ES"/>
        </w:rPr>
        <w:t>[…]</w:t>
      </w:r>
    </w:p>
    <w:p w14:paraId="6E0AECEE" w14:textId="77777777" w:rsidR="00F05159" w:rsidRPr="00F05159" w:rsidRDefault="00F05159" w:rsidP="00F05159">
      <w:pPr>
        <w:spacing w:after="0" w:line="240" w:lineRule="auto"/>
        <w:ind w:left="709" w:right="709"/>
        <w:jc w:val="both"/>
        <w:rPr>
          <w:rFonts w:ascii="Verdana" w:hAnsi="Verdana" w:cs="Arial"/>
          <w:sz w:val="20"/>
          <w:szCs w:val="20"/>
          <w:lang w:val="es-ES" w:eastAsia="es-ES" w:bidi="es-ES"/>
        </w:rPr>
      </w:pPr>
      <w:r w:rsidRPr="00F05159">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43060D2" w14:textId="77777777" w:rsidR="00F05159" w:rsidRPr="00F05159" w:rsidRDefault="00F05159" w:rsidP="00F05159">
      <w:pPr>
        <w:spacing w:after="0" w:line="276" w:lineRule="auto"/>
        <w:ind w:right="709"/>
        <w:jc w:val="both"/>
        <w:rPr>
          <w:rFonts w:ascii="Verdana" w:hAnsi="Verdana" w:cs="Arial"/>
          <w:lang w:val="es-ES" w:eastAsia="es-ES" w:bidi="es-ES"/>
        </w:rPr>
      </w:pPr>
    </w:p>
    <w:p w14:paraId="3EFF2398" w14:textId="77777777" w:rsidR="00F05159" w:rsidRPr="00F05159" w:rsidRDefault="00F05159" w:rsidP="00F05159">
      <w:pPr>
        <w:spacing w:after="120" w:line="276" w:lineRule="auto"/>
        <w:ind w:firstLine="708"/>
        <w:jc w:val="both"/>
        <w:rPr>
          <w:rFonts w:ascii="Verdana" w:eastAsia="Times New Roman" w:hAnsi="Verdana" w:cs="Arial"/>
          <w:highlight w:val="cyan"/>
          <w:lang w:val="es-ES_tradnl" w:eastAsia="es-MX"/>
        </w:rPr>
      </w:pPr>
      <w:bookmarkStart w:id="4" w:name="_Hlk99547809"/>
      <w:bookmarkStart w:id="5" w:name="_Hlk99546625"/>
      <w:r w:rsidRPr="00F05159">
        <w:rPr>
          <w:rFonts w:ascii="Verdana" w:eastAsia="Times New Roman" w:hAnsi="Verdana" w:cs="Arial"/>
          <w:lang w:val="es-ES_tradnl" w:eastAsia="es-MX"/>
        </w:rPr>
        <w:t xml:space="preserve">La Agencia Nacional de Contratación Pública – Colombia Compra Eficiente ha defendido el carácter </w:t>
      </w:r>
      <w:bookmarkStart w:id="6" w:name="_Hlk99547799"/>
      <w:r w:rsidRPr="00F05159">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4"/>
      <w:bookmarkEnd w:id="6"/>
      <w:r w:rsidRPr="00F05159">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Estatales, de las que derivan </w:t>
      </w:r>
      <w:r w:rsidRPr="00F05159">
        <w:rPr>
          <w:rFonts w:ascii="Verdana" w:eastAsia="Times New Roman" w:hAnsi="Verdana" w:cs="Arial"/>
          <w:lang w:val="es-ES_tradnl" w:eastAsia="es-MX"/>
        </w:rPr>
        <w:lastRenderedPageBreak/>
        <w:t>requisitos habilitantes, como sucede, por ejemplo, con la capacidad residual a la que se refiere el artículo 6º, parágrafo 1, de la Ley 1150 de 2007</w:t>
      </w:r>
      <w:bookmarkEnd w:id="5"/>
      <w:r w:rsidRPr="00F05159">
        <w:rPr>
          <w:rFonts w:ascii="Verdana" w:eastAsia="Times New Roman" w:hAnsi="Verdana" w:cs="Arial"/>
          <w:vertAlign w:val="superscript"/>
          <w:lang w:val="es-ES_tradnl" w:eastAsia="es-MX"/>
        </w:rPr>
        <w:footnoteReference w:id="2"/>
      </w:r>
      <w:r w:rsidRPr="00F05159">
        <w:rPr>
          <w:rFonts w:ascii="Verdana" w:eastAsia="Times New Roman" w:hAnsi="Verdana" w:cs="Arial"/>
          <w:lang w:val="es-ES_tradnl" w:eastAsia="es-MX"/>
        </w:rPr>
        <w:t xml:space="preserve">. </w:t>
      </w:r>
    </w:p>
    <w:p w14:paraId="5D0546BF" w14:textId="77777777" w:rsidR="00F05159" w:rsidRPr="00F05159" w:rsidRDefault="00F05159" w:rsidP="00F05159">
      <w:pPr>
        <w:spacing w:after="120" w:line="276" w:lineRule="auto"/>
        <w:ind w:firstLine="708"/>
        <w:jc w:val="both"/>
        <w:rPr>
          <w:rFonts w:ascii="Verdana" w:hAnsi="Verdana" w:cs="Arial"/>
          <w:bCs/>
          <w:lang w:val="es-ES" w:eastAsia="es-ES" w:bidi="es-ES"/>
        </w:rPr>
      </w:pPr>
      <w:r w:rsidRPr="00F05159">
        <w:rPr>
          <w:rFonts w:ascii="Verdana" w:eastAsia="Times New Roman" w:hAnsi="Verdana" w:cs="Arial"/>
          <w:lang w:val="es-ES" w:eastAsia="es-MX"/>
        </w:rPr>
        <w:t xml:space="preserve">Por otro lado, </w:t>
      </w:r>
      <w:r w:rsidRPr="00F05159">
        <w:rPr>
          <w:rFonts w:ascii="Verdana" w:hAnsi="Verdana" w:cs="Arial"/>
          <w:bCs/>
          <w:lang w:val="es-ES" w:eastAsia="es-ES" w:bidi="es-ES"/>
        </w:rPr>
        <w:t xml:space="preserve">el artículo 5 de la Ley 1150 de 2007 dispone que se considera </w:t>
      </w:r>
      <w:r w:rsidRPr="00F05159">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F05159">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2E7806FF" w14:textId="77777777" w:rsidR="00F05159" w:rsidRPr="00F05159" w:rsidRDefault="00F05159" w:rsidP="00F05159">
      <w:pPr>
        <w:spacing w:after="120" w:line="276" w:lineRule="auto"/>
        <w:ind w:firstLine="708"/>
        <w:jc w:val="both"/>
        <w:rPr>
          <w:rFonts w:ascii="Verdana" w:hAnsi="Verdana" w:cs="Arial"/>
          <w:bCs/>
          <w:lang w:val="es-ES" w:eastAsia="es-ES" w:bidi="es-ES"/>
        </w:rPr>
      </w:pPr>
      <w:bookmarkStart w:id="7" w:name="_Hlk214518420"/>
      <w:r w:rsidRPr="00F05159">
        <w:rPr>
          <w:rFonts w:ascii="Verdana" w:hAnsi="Verdana" w:cs="Arial"/>
          <w:bCs/>
          <w:lang w:val="es-ES" w:eastAsia="es-ES" w:bidi="es-ES"/>
        </w:rPr>
        <w:t xml:space="preserve">En especial, señala la Ley que los criterios habilitantes que determine la Entidad deberán ser </w:t>
      </w:r>
      <w:r w:rsidRPr="00F05159">
        <w:rPr>
          <w:rFonts w:ascii="Verdana" w:hAnsi="Verdana" w:cs="Arial"/>
          <w:bCs/>
          <w:i/>
          <w:iCs/>
          <w:sz w:val="21"/>
          <w:szCs w:val="21"/>
          <w:lang w:val="es-ES" w:eastAsia="es-ES" w:bidi="es-ES"/>
        </w:rPr>
        <w:t>adecuados y proporcionales</w:t>
      </w:r>
      <w:r w:rsidRPr="00F05159">
        <w:rPr>
          <w:rFonts w:ascii="Verdana" w:hAnsi="Verdana" w:cs="Arial"/>
          <w:bCs/>
          <w:sz w:val="21"/>
          <w:szCs w:val="21"/>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bookmarkEnd w:id="7"/>
    <w:p w14:paraId="4DB136E8" w14:textId="77777777" w:rsidR="00F05159" w:rsidRPr="00F05159" w:rsidRDefault="00F05159" w:rsidP="00F05159">
      <w:pPr>
        <w:spacing w:after="120" w:line="276" w:lineRule="auto"/>
        <w:ind w:firstLine="708"/>
        <w:jc w:val="both"/>
        <w:rPr>
          <w:rFonts w:ascii="Verdana" w:eastAsia="Times New Roman" w:hAnsi="Verdana" w:cs="Arial"/>
          <w:lang w:val="es-ES" w:eastAsia="es-MX"/>
        </w:rPr>
      </w:pPr>
      <w:r w:rsidRPr="00F05159">
        <w:rPr>
          <w:rFonts w:ascii="Verdana" w:eastAsia="Times New Roman" w:hAnsi="Verdana" w:cs="Arial"/>
          <w:lang w:val="es-ES" w:eastAsia="es-MX"/>
        </w:rPr>
        <w:t xml:space="preserve">En línea con lo anterior, el </w:t>
      </w:r>
      <w:bookmarkStart w:id="8" w:name="_Hlk191627190"/>
      <w:r w:rsidRPr="00F05159">
        <w:rPr>
          <w:rFonts w:ascii="Verdana" w:eastAsia="Times New Roman" w:hAnsi="Verdana" w:cs="Arial"/>
          <w:lang w:val="es-ES" w:eastAsia="es-MX"/>
        </w:rPr>
        <w:t>“Manual para determinar y verificar los requisitos habilitantes en los Procesos de Contratación</w:t>
      </w:r>
      <w:bookmarkEnd w:id="8"/>
      <w:r w:rsidRPr="00F05159">
        <w:rPr>
          <w:rFonts w:ascii="Verdana" w:eastAsia="Times New Roman" w:hAnsi="Verdana" w:cs="Arial"/>
          <w:lang w:val="es-ES" w:eastAsia="es-MX"/>
        </w:rPr>
        <w:t>”</w:t>
      </w:r>
      <w:r w:rsidRPr="00F05159">
        <w:rPr>
          <w:rFonts w:ascii="Verdana" w:eastAsia="Times New Roman" w:hAnsi="Verdana" w:cs="Arial"/>
          <w:vertAlign w:val="superscript"/>
          <w:lang w:val="es-ES" w:eastAsia="es-MX"/>
        </w:rPr>
        <w:footnoteReference w:id="3"/>
      </w:r>
      <w:r w:rsidRPr="00F05159">
        <w:rPr>
          <w:rFonts w:ascii="Verdana" w:eastAsia="Calibri" w:hAnsi="Verdana" w:cs="Arial"/>
          <w:lang w:val="es-ES" w:eastAsia="es-MX"/>
        </w:rPr>
        <w:t>,</w:t>
      </w:r>
      <w:r w:rsidRPr="00F05159">
        <w:rPr>
          <w:rFonts w:ascii="Verdana" w:eastAsia="Times New Roman" w:hAnsi="Verdana" w:cs="Arial"/>
          <w:lang w:val="es-ES" w:eastAsia="es-MX"/>
        </w:rPr>
        <w:t xml:space="preserve"> expedido por la </w:t>
      </w:r>
      <w:r w:rsidRPr="00F05159">
        <w:rPr>
          <w:rFonts w:ascii="Verdana" w:eastAsia="Calibri" w:hAnsi="Verdana" w:cs="Arial"/>
          <w:lang w:val="es-ES" w:eastAsia="es-MX"/>
        </w:rPr>
        <w:t>Agencia Nacional de Contratación Pública – Colombia Compra Eficiente,</w:t>
      </w:r>
      <w:r w:rsidRPr="00F05159">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9" w:name="_Hlk191627260"/>
      <w:r w:rsidRPr="00F05159">
        <w:rPr>
          <w:rFonts w:ascii="Verdana" w:eastAsia="Times New Roman" w:hAnsi="Verdana" w:cs="Arial"/>
          <w:lang w:val="es-ES" w:eastAsia="es-MX"/>
        </w:rPr>
        <w:t xml:space="preserve">la aptitud del proponente para participar en un Proceso de Contratación como oferente y eventualmente asumir la ejecución del contrato, por lo que están referidos a su capacidad jurídica, financiera, organizacional y experiencia”. </w:t>
      </w:r>
      <w:bookmarkEnd w:id="9"/>
      <w:r w:rsidRPr="00F05159">
        <w:rPr>
          <w:rFonts w:ascii="Verdana" w:eastAsia="Times New Roman" w:hAnsi="Verdana" w:cs="Arial"/>
          <w:lang w:val="es-ES" w:eastAsia="es-MX"/>
        </w:rPr>
        <w:t xml:space="preserve">De acuerdo con el Manual, su propósito consiste en “establecer unas condiciones mínimas </w:t>
      </w:r>
      <w:r w:rsidRPr="00F05159">
        <w:rPr>
          <w:rFonts w:ascii="Verdana" w:eastAsia="Times New Roman" w:hAnsi="Verdana" w:cs="Arial"/>
          <w:lang w:eastAsia="es-MX"/>
        </w:rPr>
        <w:t>para la participación en los procedimientos de selección, establecidas en disposiciones normativas</w:t>
      </w:r>
      <w:r w:rsidRPr="00F05159">
        <w:rPr>
          <w:rFonts w:ascii="Verdana" w:eastAsia="Times New Roman" w:hAnsi="Verdana" w:cs="Arial"/>
          <w:lang w:val="es-ES" w:eastAsia="es-MX"/>
        </w:rPr>
        <w:t xml:space="preserve">”. </w:t>
      </w:r>
    </w:p>
    <w:p w14:paraId="22944D0E" w14:textId="77777777" w:rsidR="00F05159" w:rsidRPr="00F05159" w:rsidRDefault="00F05159" w:rsidP="00F05159">
      <w:pPr>
        <w:spacing w:after="120" w:line="276" w:lineRule="auto"/>
        <w:ind w:firstLine="709"/>
        <w:jc w:val="both"/>
        <w:rPr>
          <w:rFonts w:ascii="Verdana" w:eastAsia="Times New Roman" w:hAnsi="Verdana" w:cs="Arial"/>
          <w:lang w:val="es-ES" w:eastAsia="es-MX"/>
        </w:rPr>
      </w:pPr>
      <w:r w:rsidRPr="00F05159">
        <w:rPr>
          <w:rFonts w:ascii="Verdana" w:eastAsia="Times New Roman" w:hAnsi="Verdana" w:cs="Arial"/>
          <w:lang w:val="es-ES" w:eastAsia="es-MX"/>
        </w:rPr>
        <w:lastRenderedPageBreak/>
        <w:t xml:space="preserve">Así las cosas, al tratarse de condiciones mínimas, significa que </w:t>
      </w:r>
      <w:bookmarkStart w:id="10" w:name="_Hlk191627287"/>
      <w:r w:rsidRPr="00F05159">
        <w:rPr>
          <w:rFonts w:ascii="Verdana" w:eastAsia="Times New Roman" w:hAnsi="Verdana" w:cs="Arial"/>
          <w:lang w:val="es-ES"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F05159">
        <w:rPr>
          <w:rFonts w:ascii="Verdana" w:eastAsia="Times New Roman" w:hAnsi="Verdana" w:cs="Arial"/>
          <w:i/>
          <w:lang w:val="es-ES" w:eastAsia="es-MX"/>
        </w:rPr>
        <w:t>proporcional y adecuada</w:t>
      </w:r>
      <w:r w:rsidRPr="00F05159">
        <w:rPr>
          <w:rFonts w:ascii="Verdana" w:eastAsia="Times New Roman" w:hAnsi="Verdana" w:cs="Arial"/>
          <w:lang w:val="es-ES" w:eastAsia="es-MX"/>
        </w:rPr>
        <w:t xml:space="preserve"> frente a la naturaleza y el valor del contrato.</w:t>
      </w:r>
    </w:p>
    <w:p w14:paraId="2E5CE5B5" w14:textId="77777777" w:rsidR="00F05159" w:rsidRPr="00F05159" w:rsidRDefault="00F05159" w:rsidP="00F05159">
      <w:pPr>
        <w:tabs>
          <w:tab w:val="left" w:pos="426"/>
        </w:tabs>
        <w:spacing w:after="120" w:line="276" w:lineRule="auto"/>
        <w:ind w:firstLine="709"/>
        <w:jc w:val="both"/>
        <w:rPr>
          <w:rFonts w:ascii="Verdana" w:eastAsia="Times New Roman" w:hAnsi="Verdana" w:cs="Arial"/>
          <w:lang w:val="es-ES_tradnl" w:eastAsia="es-MX"/>
        </w:rPr>
      </w:pPr>
      <w:bookmarkStart w:id="11" w:name="_Hlk99548027"/>
      <w:bookmarkEnd w:id="10"/>
      <w:r w:rsidRPr="00F05159">
        <w:rPr>
          <w:rFonts w:ascii="Verdana" w:eastAsia="Times New Roman" w:hAnsi="Verdana" w:cs="Arial"/>
          <w:lang w:val="es-ES_tradnl" w:eastAsia="es-MX"/>
        </w:rPr>
        <w:t xml:space="preserve">En ese sentido, </w:t>
      </w:r>
      <w:bookmarkStart w:id="12" w:name="_Hlk191627322"/>
      <w:r w:rsidRPr="00F05159">
        <w:rPr>
          <w:rFonts w:ascii="Verdana" w:eastAsia="Times New Roman" w:hAnsi="Verdana" w:cs="Arial"/>
          <w:lang w:val="es-ES_tradnl" w:eastAsia="es-MX"/>
        </w:rPr>
        <w:t xml:space="preserve">si bien </w:t>
      </w:r>
      <w:r w:rsidRPr="00F05159">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F05159">
        <w:rPr>
          <w:rFonts w:ascii="Verdana" w:eastAsia="Times New Roman" w:hAnsi="Verdana" w:cs="Arial"/>
          <w:lang w:val="es-ES_tradnl" w:eastAsia="es-MX"/>
        </w:rPr>
        <w:t xml:space="preserve">En consecuencia, corresponde a las Entidades Estatales, durante la etapa de planeación del contrato estatal, estudiar y </w:t>
      </w:r>
      <w:r w:rsidRPr="00F05159">
        <w:rPr>
          <w:rFonts w:ascii="Verdana" w:eastAsia="Times New Roman" w:hAnsi="Verdana" w:cs="Arial"/>
          <w:bCs/>
          <w:iCs/>
          <w:lang w:val="es-ES_tradnl" w:eastAsia="es-MX"/>
        </w:rPr>
        <w:t>determinar</w:t>
      </w:r>
      <w:r w:rsidRPr="00F05159">
        <w:rPr>
          <w:rFonts w:ascii="Verdana" w:eastAsia="Times New Roman" w:hAnsi="Verdana" w:cs="Arial"/>
          <w:lang w:val="es-ES_tradnl" w:eastAsia="es-MX"/>
        </w:rPr>
        <w:t xml:space="preserve"> los requisitos habilitantes que establecerán en los pliegos de condiciones o documentos equivalentes, </w:t>
      </w:r>
      <w:r w:rsidRPr="00F05159">
        <w:rPr>
          <w:rFonts w:ascii="Verdana" w:eastAsia="Times New Roman" w:hAnsi="Verdana" w:cs="Arial"/>
          <w:i/>
          <w:iCs/>
          <w:lang w:val="es-ES_tradnl" w:eastAsia="es-MX"/>
        </w:rPr>
        <w:t>los cuales deben fijarse de forma adecuada y proporcional</w:t>
      </w:r>
      <w:r w:rsidRPr="00F05159">
        <w:rPr>
          <w:rFonts w:ascii="Verdana" w:eastAsia="Times New Roman" w:hAnsi="Verdana" w:cs="Arial"/>
          <w:lang w:val="es-ES_tradnl" w:eastAsia="es-MX"/>
        </w:rPr>
        <w:t xml:space="preserve">. </w:t>
      </w:r>
      <w:bookmarkEnd w:id="11"/>
      <w:bookmarkEnd w:id="12"/>
      <w:r w:rsidRPr="00F05159">
        <w:rPr>
          <w:rFonts w:ascii="Verdana" w:eastAsia="Times New Roman" w:hAnsi="Verdana" w:cs="Arial"/>
          <w:lang w:val="es-ES_tradnl" w:eastAsia="es-MX"/>
        </w:rPr>
        <w:t>Al respecto, en la Sentencia C-004 de 2017, la Corte Constitucional señaló que:</w:t>
      </w:r>
    </w:p>
    <w:p w14:paraId="3CE51F81" w14:textId="77777777" w:rsidR="00F05159" w:rsidRPr="00F05159" w:rsidRDefault="00F05159" w:rsidP="00F05159">
      <w:pPr>
        <w:tabs>
          <w:tab w:val="left" w:pos="426"/>
        </w:tabs>
        <w:spacing w:after="0" w:line="276" w:lineRule="auto"/>
        <w:ind w:firstLine="709"/>
        <w:jc w:val="both"/>
        <w:rPr>
          <w:rFonts w:ascii="Verdana" w:eastAsia="Times New Roman" w:hAnsi="Verdana" w:cs="Arial"/>
          <w:lang w:val="es-ES_tradnl" w:eastAsia="es-MX"/>
        </w:rPr>
      </w:pPr>
    </w:p>
    <w:p w14:paraId="3CF66E08" w14:textId="77777777" w:rsidR="00F05159" w:rsidRPr="00F05159" w:rsidRDefault="00F05159" w:rsidP="00F05159">
      <w:pPr>
        <w:spacing w:after="0" w:line="240" w:lineRule="auto"/>
        <w:ind w:left="709" w:right="709"/>
        <w:jc w:val="both"/>
        <w:rPr>
          <w:rFonts w:ascii="Verdana" w:hAnsi="Verdana" w:cs="Arial"/>
          <w:sz w:val="20"/>
          <w:szCs w:val="20"/>
          <w:lang w:val="es-ES_tradnl" w:eastAsia="es-ES" w:bidi="es-ES"/>
        </w:rPr>
      </w:pPr>
      <w:r w:rsidRPr="00F05159">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54E7FE66" w14:textId="77777777" w:rsidR="00F05159" w:rsidRPr="00F05159" w:rsidRDefault="00F05159" w:rsidP="00F05159">
      <w:pPr>
        <w:spacing w:after="0" w:line="276" w:lineRule="auto"/>
        <w:ind w:left="709" w:right="709"/>
        <w:jc w:val="both"/>
        <w:rPr>
          <w:rFonts w:ascii="Verdana" w:hAnsi="Verdana" w:cs="Arial"/>
          <w:bCs/>
          <w:lang w:val="es-ES_tradnl" w:eastAsia="es-ES" w:bidi="es-ES"/>
        </w:rPr>
      </w:pPr>
    </w:p>
    <w:p w14:paraId="6317728F" w14:textId="77777777" w:rsidR="00F05159" w:rsidRPr="00F05159" w:rsidRDefault="00F05159" w:rsidP="00F05159">
      <w:pPr>
        <w:tabs>
          <w:tab w:val="left" w:pos="426"/>
        </w:tabs>
        <w:spacing w:after="120" w:line="276" w:lineRule="auto"/>
        <w:ind w:firstLine="709"/>
        <w:jc w:val="both"/>
        <w:rPr>
          <w:rFonts w:ascii="Verdana" w:eastAsia="Times New Roman" w:hAnsi="Verdana" w:cs="Arial"/>
          <w:lang w:val="es-ES_tradnl" w:eastAsia="es-MX"/>
        </w:rPr>
      </w:pPr>
      <w:r w:rsidRPr="00F05159">
        <w:rPr>
          <w:rFonts w:ascii="Verdana" w:eastAsia="Times New Roman" w:hAnsi="Verdana" w:cs="Arial"/>
          <w:lang w:val="es-ES_tradnl" w:eastAsia="es-MX"/>
        </w:rPr>
        <w:t xml:space="preserve">El </w:t>
      </w:r>
      <w:bookmarkStart w:id="13" w:name="_Hlk191627359"/>
      <w:r w:rsidRPr="00F05159">
        <w:rPr>
          <w:rFonts w:ascii="Verdana" w:eastAsia="Times New Roman" w:hAnsi="Verdana" w:cs="Arial"/>
          <w:lang w:val="es-ES_tradnl" w:eastAsia="es-MX"/>
        </w:rPr>
        <w:t xml:space="preserve">Decreto 1082 de 2015 en su artículo 2.2.1.1.1.6.2. </w:t>
      </w:r>
      <w:bookmarkEnd w:id="13"/>
      <w:r w:rsidRPr="00F05159">
        <w:rPr>
          <w:rFonts w:ascii="Verdana" w:eastAsia="Times New Roman" w:hAnsi="Verdana" w:cs="Arial"/>
          <w:lang w:val="es-ES_tradnl" w:eastAsia="es-MX"/>
        </w:rPr>
        <w:t>reglamenta los requisitos habilitantes, estableciendo que estos deben ser señalados en los pliegos de condiciones o en la invitación</w:t>
      </w:r>
      <w:r w:rsidRPr="00F05159">
        <w:rPr>
          <w:rFonts w:ascii="Verdana" w:eastAsia="Times New Roman" w:hAnsi="Verdana" w:cs="Arial"/>
          <w:vertAlign w:val="superscript"/>
          <w:lang w:val="es-ES_tradnl" w:eastAsia="es-MX"/>
        </w:rPr>
        <w:footnoteReference w:id="4"/>
      </w:r>
      <w:r w:rsidRPr="00F05159">
        <w:rPr>
          <w:rFonts w:ascii="Verdana" w:eastAsia="Times New Roman" w:hAnsi="Verdana" w:cs="Arial"/>
          <w:lang w:val="es-ES_tradnl" w:eastAsia="es-MX"/>
        </w:rPr>
        <w:t xml:space="preserve">, lo cual es concordante con el </w:t>
      </w:r>
      <w:bookmarkStart w:id="14" w:name="_Hlk191627380"/>
      <w:r w:rsidRPr="00F05159">
        <w:rPr>
          <w:rFonts w:ascii="Verdana" w:eastAsia="Times New Roman" w:hAnsi="Verdana" w:cs="Arial"/>
          <w:lang w:val="es-ES_tradnl" w:eastAsia="es-MX"/>
        </w:rPr>
        <w:t xml:space="preserve">numeral </w:t>
      </w:r>
      <w:r w:rsidRPr="00F05159">
        <w:rPr>
          <w:rFonts w:ascii="Verdana" w:eastAsia="Times New Roman" w:hAnsi="Verdana" w:cs="Arial"/>
          <w:lang w:val="es-ES_tradnl" w:eastAsia="es-MX"/>
        </w:rPr>
        <w:lastRenderedPageBreak/>
        <w:t>5 del artículo 2.2.1.1.2.1.3</w:t>
      </w:r>
      <w:bookmarkEnd w:id="14"/>
      <w:r w:rsidRPr="00F05159">
        <w:rPr>
          <w:rFonts w:ascii="Verdana" w:eastAsia="Times New Roman" w:hAnsi="Verdana" w:cs="Arial"/>
          <w:lang w:val="es-ES_tradnl" w:eastAsia="es-MX"/>
        </w:rPr>
        <w:t>, en el que se establece como uno de los componentes mínimos de los pliegos de condiciones</w:t>
      </w:r>
      <w:r w:rsidRPr="00F05159">
        <w:rPr>
          <w:rFonts w:ascii="Verdana" w:hAnsi="Verdana" w:cs="Arial"/>
          <w:color w:val="000000"/>
        </w:rPr>
        <w:t xml:space="preserve"> a las reglas aplicables a la presentación y evaluación de las ofertas, entre las que se inscriben las relativas a la acreditación de las condiciones habilitantes. </w:t>
      </w:r>
      <w:r w:rsidRPr="00F05159">
        <w:rPr>
          <w:rFonts w:ascii="Verdana" w:eastAsia="Times New Roman" w:hAnsi="Verdana" w:cs="Arial"/>
          <w:lang w:val="es-ES_tradnl" w:eastAsia="es-MX"/>
        </w:rPr>
        <w:t xml:space="preserve">Además, el artículo 2.2.1.1.1.6.2 establece que la determinación de los requisitos habilitantes debe ser realizada en función de criterios </w:t>
      </w:r>
      <w:r w:rsidRPr="00F05159">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F05159">
        <w:rPr>
          <w:rFonts w:ascii="Verdana" w:eastAsia="Times New Roman" w:hAnsi="Verdana" w:cs="Arial"/>
          <w:lang w:val="es-ES_tradnl" w:eastAsia="es-MX"/>
        </w:rPr>
        <w:t xml:space="preserve">. </w:t>
      </w:r>
    </w:p>
    <w:p w14:paraId="1592BA2F" w14:textId="77777777" w:rsidR="00F05159" w:rsidRPr="00F05159" w:rsidRDefault="00F05159" w:rsidP="00F05159">
      <w:pPr>
        <w:tabs>
          <w:tab w:val="left" w:pos="426"/>
        </w:tabs>
        <w:spacing w:after="120" w:line="276" w:lineRule="auto"/>
        <w:ind w:firstLine="709"/>
        <w:jc w:val="both"/>
        <w:rPr>
          <w:rFonts w:ascii="Verdana" w:eastAsia="Times New Roman" w:hAnsi="Verdana" w:cs="Arial"/>
          <w:lang w:val="es-ES" w:eastAsia="es-MX"/>
        </w:rPr>
      </w:pPr>
      <w:r w:rsidRPr="00F05159">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F05159">
        <w:rPr>
          <w:rFonts w:ascii="Verdana" w:eastAsia="Times New Roman" w:hAnsi="Verdana" w:cs="Arial"/>
          <w:lang w:val="es-ES" w:eastAsia="es-MX"/>
        </w:rPr>
        <w:t>los mismos</w:t>
      </w:r>
      <w:proofErr w:type="gramEnd"/>
      <w:r w:rsidRPr="00F05159">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F05159">
        <w:rPr>
          <w:rFonts w:ascii="Verdana" w:eastAsia="Times New Roman" w:hAnsi="Verdana" w:cs="Arial"/>
          <w:vertAlign w:val="superscript"/>
          <w:lang w:val="es-ES" w:eastAsia="es-MX"/>
        </w:rPr>
        <w:footnoteReference w:id="5"/>
      </w:r>
      <w:r w:rsidRPr="00F05159">
        <w:rPr>
          <w:rFonts w:ascii="Verdana" w:eastAsia="Times New Roman" w:hAnsi="Verdana" w:cs="Arial"/>
          <w:lang w:val="es-ES" w:eastAsia="es-MX"/>
        </w:rPr>
        <w:t xml:space="preserve">. </w:t>
      </w:r>
    </w:p>
    <w:p w14:paraId="38FD5592" w14:textId="77777777" w:rsidR="00F05159" w:rsidRPr="00F05159" w:rsidRDefault="00F05159" w:rsidP="00F05159">
      <w:pPr>
        <w:tabs>
          <w:tab w:val="left" w:pos="426"/>
        </w:tabs>
        <w:spacing w:after="120" w:line="276" w:lineRule="auto"/>
        <w:ind w:firstLine="709"/>
        <w:jc w:val="both"/>
        <w:rPr>
          <w:rFonts w:ascii="Verdana" w:eastAsia="Times New Roman" w:hAnsi="Verdana" w:cs="Arial"/>
          <w:lang w:val="es-ES" w:eastAsia="es-MX"/>
        </w:rPr>
      </w:pPr>
      <w:r w:rsidRPr="00F05159">
        <w:rPr>
          <w:rFonts w:ascii="Verdana" w:eastAsia="Times New Roman" w:hAnsi="Verdana" w:cs="Arial"/>
          <w:lang w:eastAsia="es-MX"/>
        </w:rPr>
        <w:t xml:space="preserve">Que deban ser </w:t>
      </w:r>
      <w:r w:rsidRPr="00F05159">
        <w:rPr>
          <w:rFonts w:ascii="Verdana" w:eastAsia="Times New Roman" w:hAnsi="Verdana" w:cs="Arial"/>
          <w:i/>
          <w:iCs/>
          <w:lang w:eastAsia="es-MX"/>
        </w:rPr>
        <w:t>adecuados</w:t>
      </w:r>
      <w:r w:rsidRPr="00F05159">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F05159">
        <w:rPr>
          <w:rFonts w:ascii="Verdana" w:eastAsia="Times New Roman" w:hAnsi="Verdana" w:cs="Arial"/>
          <w:i/>
          <w:iCs/>
          <w:lang w:eastAsia="es-MX"/>
        </w:rPr>
        <w:t>proporcionales</w:t>
      </w:r>
      <w:r w:rsidRPr="00F05159">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F05159">
        <w:rPr>
          <w:rFonts w:ascii="Verdana" w:eastAsia="Times New Roman" w:hAnsi="Verdana" w:cs="Arial"/>
          <w:i/>
          <w:iCs/>
          <w:lang w:eastAsia="es-MX"/>
        </w:rPr>
        <w:t>no limiten la participación o la libre concurrencia</w:t>
      </w:r>
      <w:r w:rsidRPr="00F05159">
        <w:rPr>
          <w:rFonts w:ascii="Verdana" w:eastAsia="Times New Roman" w:hAnsi="Verdana" w:cs="Arial"/>
          <w:lang w:eastAsia="es-MX"/>
        </w:rPr>
        <w:t xml:space="preserve"> en el proceso de selección significa que los requisitos establecidos </w:t>
      </w:r>
      <w:r w:rsidRPr="00F05159">
        <w:rPr>
          <w:rFonts w:ascii="Verdana" w:eastAsia="Times New Roman" w:hAnsi="Verdana" w:cs="Arial"/>
          <w:lang w:eastAsia="es-MX"/>
        </w:rPr>
        <w:lastRenderedPageBreak/>
        <w:t xml:space="preserve">no deben crear barreras injustificadas para el </w:t>
      </w:r>
      <w:r w:rsidRPr="00F05159">
        <w:rPr>
          <w:rFonts w:ascii="Verdana" w:hAnsi="Verdana"/>
        </w:rPr>
        <w:t>acceso a la contratación pública de los oferentes</w:t>
      </w:r>
      <w:r w:rsidRPr="00F05159">
        <w:rPr>
          <w:rFonts w:ascii="Verdana" w:eastAsia="Times New Roman" w:hAnsi="Verdana" w:cs="Arial"/>
          <w:lang w:val="es-ES" w:eastAsia="es-MX"/>
        </w:rPr>
        <w:t xml:space="preserve"> interesados, promoviendo una mayor competencia. </w:t>
      </w:r>
    </w:p>
    <w:p w14:paraId="69C89A3A" w14:textId="77777777" w:rsidR="00F05159" w:rsidRPr="00F05159" w:rsidRDefault="00F05159" w:rsidP="00F05159">
      <w:pPr>
        <w:tabs>
          <w:tab w:val="left" w:pos="426"/>
        </w:tabs>
        <w:spacing w:after="120" w:line="276" w:lineRule="auto"/>
        <w:ind w:firstLine="709"/>
        <w:jc w:val="both"/>
        <w:rPr>
          <w:rFonts w:ascii="Verdana" w:eastAsia="Times New Roman" w:hAnsi="Verdana" w:cs="Arial"/>
          <w:lang w:val="es-ES" w:eastAsia="es-MX"/>
        </w:rPr>
      </w:pPr>
      <w:r w:rsidRPr="00F05159">
        <w:rPr>
          <w:rFonts w:ascii="Verdana" w:eastAsia="Times New Roman" w:hAnsi="Verdana" w:cs="Arial"/>
          <w:lang w:val="es-ES" w:eastAsia="es-MX"/>
        </w:rPr>
        <w:t xml:space="preserve">En ese sentido, las Entidades Estatales tienen autonomía para estructurar los requisitos habilitantes en los procesos que adelantan, </w:t>
      </w:r>
      <w:r w:rsidRPr="00F05159">
        <w:rPr>
          <w:rFonts w:ascii="Verdana" w:eastAsia="Times New Roman" w:hAnsi="Verdana" w:cs="Arial"/>
          <w:i/>
          <w:iCs/>
          <w:lang w:val="es-ES" w:eastAsia="es-MX"/>
        </w:rPr>
        <w:t>pero tal facultad no puede ejercerse de forma arbitraria, caprichosa y, mucho menos, con el ánimo de direccionar el proceso de contratación</w:t>
      </w:r>
      <w:r w:rsidRPr="00F05159">
        <w:rPr>
          <w:rFonts w:ascii="Verdana" w:eastAsia="Times New Roman" w:hAnsi="Verdana" w:cs="Arial"/>
          <w:lang w:val="es-ES" w:eastAsia="es-MX"/>
        </w:rPr>
        <w:t xml:space="preserve"> o favorecer a alguno de los proponentes. Tampoco puede suceder que el ejercicio de dicha atribución se realice con desconocimiento de los límites impuestos por la normativa vigente, como, por ejemplo, el parágrafo 2 del artículo 5 de la Ley 1150 de 2007, que prohíbe exigir certificaciones de sistemas de gestión de calidad como requisito habilitante. </w:t>
      </w:r>
    </w:p>
    <w:p w14:paraId="6F2A4F4A" w14:textId="5821F91F" w:rsidR="00C8288D" w:rsidRPr="00505CD6" w:rsidRDefault="00C8288D" w:rsidP="00C8288D">
      <w:pPr>
        <w:spacing w:after="120" w:line="276" w:lineRule="auto"/>
        <w:jc w:val="both"/>
        <w:rPr>
          <w:rFonts w:ascii="Verdana" w:eastAsia="Calibri" w:hAnsi="Verdana" w:cs="Arial"/>
          <w:color w:val="000000"/>
          <w:lang w:val="es-MX"/>
        </w:rPr>
      </w:pPr>
      <w:proofErr w:type="spellStart"/>
      <w:r>
        <w:rPr>
          <w:rFonts w:ascii="Verdana" w:eastAsia="Calibri" w:hAnsi="Verdana" w:cs="Arial"/>
          <w:color w:val="000000"/>
          <w:lang w:val="es-ES" w:eastAsia="es-ES_tradnl"/>
        </w:rPr>
        <w:t>ii</w:t>
      </w:r>
      <w:proofErr w:type="spellEnd"/>
      <w:r>
        <w:rPr>
          <w:rFonts w:ascii="Verdana" w:eastAsia="Calibri" w:hAnsi="Verdana" w:cs="Arial"/>
          <w:color w:val="000000"/>
          <w:lang w:val="es-ES" w:eastAsia="es-ES_tradnl"/>
        </w:rPr>
        <w:t xml:space="preserve">. </w:t>
      </w:r>
      <w:r>
        <w:rPr>
          <w:rFonts w:ascii="Verdana" w:eastAsia="Calibri" w:hAnsi="Verdana" w:cs="Arial"/>
          <w:color w:val="000000"/>
          <w:lang w:val="es-MX"/>
        </w:rPr>
        <w:t>E</w:t>
      </w:r>
      <w:r w:rsidRPr="00505CD6">
        <w:rPr>
          <w:rFonts w:ascii="Verdana" w:eastAsia="Calibri" w:hAnsi="Verdana" w:cs="Arial"/>
          <w:color w:val="000000"/>
          <w:lang w:val="es-MX"/>
        </w:rPr>
        <w:t>l parágrafo 2 del artículo 5 de la Ley 1150 de 2007 establece una limitación para la determinación de requisitos habilitantes y criterios de calificación en los procesos de selección, según la cual las “certificaciones de sistemas de gestión de calidad no serán objeto de calificación, ni podrán establecerse como documento habilitante para participar en licitaciones o concursos”.</w:t>
      </w:r>
    </w:p>
    <w:p w14:paraId="4530CDD5" w14:textId="77777777" w:rsidR="00C8288D" w:rsidRPr="00505CD6" w:rsidRDefault="00C8288D" w:rsidP="00C8288D">
      <w:pPr>
        <w:spacing w:after="120" w:line="276" w:lineRule="auto"/>
        <w:ind w:firstLine="709"/>
        <w:jc w:val="both"/>
        <w:rPr>
          <w:rFonts w:ascii="Verdana" w:hAnsi="Verdana" w:cs="Arial"/>
          <w:color w:val="000000" w:themeColor="text1"/>
        </w:rPr>
      </w:pPr>
      <w:r w:rsidRPr="00505CD6">
        <w:rPr>
          <w:rFonts w:ascii="Verdana" w:eastAsia="Calibri" w:hAnsi="Verdana" w:cs="Arial"/>
          <w:color w:val="000000"/>
          <w:lang w:val="es-MX"/>
        </w:rPr>
        <w:t xml:space="preserve">Para comprender el alcance de este parágrafo resulta de especial importancia referirse a </w:t>
      </w:r>
      <w:r w:rsidRPr="00505CD6">
        <w:rPr>
          <w:rFonts w:ascii="Verdana" w:hAnsi="Verdana" w:cs="Arial"/>
          <w:color w:val="000000" w:themeColor="text1"/>
        </w:rPr>
        <w:t xml:space="preserve">los antecedentes legislativos de la norma </w:t>
      </w:r>
      <w:r w:rsidRPr="00505CD6">
        <w:rPr>
          <w:rFonts w:ascii="Verdana" w:hAnsi="Verdana" w:cs="Arial"/>
          <w:i/>
          <w:iCs/>
          <w:color w:val="000000" w:themeColor="text1"/>
        </w:rPr>
        <w:t>sub examine</w:t>
      </w:r>
      <w:r w:rsidRPr="00505CD6">
        <w:rPr>
          <w:rFonts w:ascii="Verdana" w:hAnsi="Verdana" w:cs="Arial"/>
          <w:color w:val="000000" w:themeColor="text1"/>
        </w:rPr>
        <w:t xml:space="preserve">. En este sentido, es preciso señalar que fue hasta el cuarto debate parlamentario en donde se incluyó el parágrafo comentando anteriormente bajo el siguiente texto: “Parágrafo 2°. Las certificaciones de sistemas de gestión de calidad no serán objeto de calificación, ni podrán establecerse como documento habilitante para participar en licitaciones o concursos. No </w:t>
      </w:r>
      <w:proofErr w:type="gramStart"/>
      <w:r w:rsidRPr="00505CD6">
        <w:rPr>
          <w:rFonts w:ascii="Verdana" w:hAnsi="Verdana" w:cs="Arial"/>
          <w:color w:val="000000" w:themeColor="text1"/>
        </w:rPr>
        <w:t>obstante</w:t>
      </w:r>
      <w:proofErr w:type="gramEnd"/>
      <w:r w:rsidRPr="00505CD6">
        <w:rPr>
          <w:rFonts w:ascii="Verdana" w:hAnsi="Verdana" w:cs="Arial"/>
          <w:color w:val="000000" w:themeColor="text1"/>
        </w:rPr>
        <w:t xml:space="preserve"> en los pliegos de condiciones se podrá fijar la implementación de planes de calidad.</w:t>
      </w:r>
      <w:r w:rsidRPr="00505CD6">
        <w:rPr>
          <w:rFonts w:ascii="Verdana" w:hAnsi="Verdana" w:cs="Arial"/>
          <w:color w:val="000000" w:themeColor="text1"/>
          <w:vertAlign w:val="superscript"/>
        </w:rPr>
        <w:footnoteReference w:id="6"/>
      </w:r>
      <w:r w:rsidRPr="00505CD6">
        <w:rPr>
          <w:rFonts w:ascii="Verdana" w:hAnsi="Verdana" w:cs="Arial"/>
          <w:color w:val="000000" w:themeColor="text1"/>
        </w:rPr>
        <w:t>”.</w:t>
      </w:r>
    </w:p>
    <w:p w14:paraId="7C553945" w14:textId="77777777" w:rsidR="00C8288D" w:rsidRPr="00505CD6" w:rsidRDefault="00C8288D" w:rsidP="00C8288D">
      <w:pPr>
        <w:spacing w:after="120" w:line="276" w:lineRule="auto"/>
        <w:ind w:firstLine="709"/>
        <w:jc w:val="both"/>
        <w:rPr>
          <w:rFonts w:ascii="Verdana" w:hAnsi="Verdana" w:cs="Arial"/>
          <w:color w:val="000000" w:themeColor="text1"/>
        </w:rPr>
      </w:pPr>
      <w:r w:rsidRPr="00505CD6">
        <w:rPr>
          <w:rFonts w:ascii="Verdana" w:hAnsi="Verdana" w:cs="Arial"/>
          <w:color w:val="000000" w:themeColor="text1"/>
        </w:rPr>
        <w:t>La razón de la inclusión de este parágrafo en el artículo 5 de la Ley 1150 de 2006 se sustentó en que “(…)</w:t>
      </w:r>
      <w:r w:rsidRPr="00505CD6">
        <w:rPr>
          <w:rFonts w:ascii="Verdana" w:eastAsia="Arial" w:hAnsi="Verdana" w:cs="Arial"/>
          <w:color w:val="000000"/>
        </w:rPr>
        <w:t xml:space="preserv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w:t>
      </w:r>
      <w:r w:rsidRPr="00505CD6">
        <w:rPr>
          <w:rFonts w:ascii="Verdana" w:eastAsia="Arial" w:hAnsi="Verdana" w:cs="Arial"/>
          <w:color w:val="000000"/>
          <w:sz w:val="21"/>
          <w:szCs w:val="21"/>
        </w:rPr>
        <w:t xml:space="preserve"> </w:t>
      </w:r>
    </w:p>
    <w:p w14:paraId="6C83048C" w14:textId="77777777" w:rsidR="00C8288D" w:rsidRPr="00505CD6" w:rsidRDefault="00C8288D" w:rsidP="00C8288D">
      <w:pPr>
        <w:spacing w:after="120" w:line="276" w:lineRule="auto"/>
        <w:ind w:firstLine="709"/>
        <w:jc w:val="both"/>
        <w:rPr>
          <w:rFonts w:ascii="Verdana" w:hAnsi="Verdana" w:cs="Arial"/>
          <w:color w:val="000000" w:themeColor="text1"/>
        </w:rPr>
      </w:pPr>
      <w:r w:rsidRPr="00505CD6">
        <w:rPr>
          <w:rFonts w:ascii="Verdana" w:hAnsi="Verdana" w:cs="Arial"/>
          <w:color w:val="000000" w:themeColor="text1"/>
        </w:rPr>
        <w:t xml:space="preserve">El texto finalmente aprobado durante el trámite legislativo eliminó el último párrafo del contenido inicial referente a los planes de calidad. De lo </w:t>
      </w:r>
      <w:r w:rsidRPr="00505CD6">
        <w:rPr>
          <w:rFonts w:ascii="Verdana" w:hAnsi="Verdana" w:cs="Arial"/>
          <w:color w:val="000000" w:themeColor="text1"/>
        </w:rPr>
        <w:lastRenderedPageBreak/>
        <w:t>expuesto se evidencia que la intención del legislador al incluir dicho parágrafo era evitar la restricción de la participación de oferentes, asegurando que no fueran excluidos del proceso de selección por cumplir con ciertos requisitos, como el certificado de gestión de calidad. Esta intención está estrechamente vinculada al principio de selección objetiva, que se cumple cuando se establecen criterios claros y transparentes para la elección de la oferta más favorable a los fines de la contratación, sin que se limite la competencia ni la participación de los oferentes.</w:t>
      </w:r>
    </w:p>
    <w:p w14:paraId="7952720E" w14:textId="77777777" w:rsidR="00C8288D" w:rsidRPr="00505CD6" w:rsidRDefault="00C8288D" w:rsidP="00C8288D">
      <w:pPr>
        <w:spacing w:after="120" w:line="276" w:lineRule="auto"/>
        <w:ind w:firstLine="709"/>
        <w:jc w:val="both"/>
        <w:rPr>
          <w:rFonts w:ascii="Verdana" w:hAnsi="Verdana" w:cs="Arial"/>
          <w:color w:val="000000" w:themeColor="text1"/>
        </w:rPr>
      </w:pPr>
      <w:r w:rsidRPr="00505CD6">
        <w:rPr>
          <w:rFonts w:ascii="Verdana" w:hAnsi="Verdana" w:cs="Arial"/>
          <w:color w:val="000000" w:themeColor="text1"/>
        </w:rPr>
        <w:t xml:space="preserve">Al respecto, la Corte Constitucional al revisar la demanda de constitucionalidad contra el parágrafo del artículo 5 de la Ley 1150 de 2007 resaltó la conexión directa entre el parágrafo acusado y el artículo señalado: </w:t>
      </w:r>
    </w:p>
    <w:p w14:paraId="6AEE8562" w14:textId="77777777" w:rsidR="00C8288D" w:rsidRPr="00911BD1" w:rsidRDefault="00C8288D" w:rsidP="00C8288D">
      <w:pPr>
        <w:spacing w:after="0" w:line="240" w:lineRule="auto"/>
        <w:ind w:left="709" w:right="709"/>
        <w:jc w:val="both"/>
        <w:rPr>
          <w:rFonts w:ascii="Verdana" w:eastAsia="Arial" w:hAnsi="Verdana" w:cs="Arial"/>
          <w:color w:val="000000"/>
          <w:sz w:val="20"/>
          <w:szCs w:val="20"/>
        </w:rPr>
      </w:pPr>
      <w:r w:rsidRPr="00911BD1">
        <w:rPr>
          <w:rFonts w:ascii="Verdana" w:eastAsia="Arial" w:hAnsi="Verdana" w:cs="Arial"/>
          <w:color w:val="000000"/>
          <w:sz w:val="20"/>
          <w:szCs w:val="20"/>
        </w:rPr>
        <w:t>“El artículo 5 regula los criterios de selección objetiva que deben ser tenidos en cuenta por las entidades contratantes al definir los sistemas de selección o calificación. A su turno, el parágrafo acusado excluye de los criterios de calificación o selección la posibilidad de exigir o admitir un documento específico: las certificaciones de sistemas de gestión de calidad. Ello, según se desprende de la historia de la ley, debido a que tales certificaciones no necesariamente reflejan un criterio relevante de selección y pueden llegar a excluir arbitrariamente a empresas o personas que de otra forma estarían habilitadas para participar en el proceso de contratación</w:t>
      </w:r>
      <w:r w:rsidRPr="00911BD1">
        <w:rPr>
          <w:rFonts w:ascii="Verdana" w:eastAsia="Arial" w:hAnsi="Verdana" w:cs="Arial"/>
          <w:color w:val="000000"/>
          <w:sz w:val="20"/>
          <w:szCs w:val="20"/>
          <w:vertAlign w:val="superscript"/>
        </w:rPr>
        <w:footnoteReference w:id="7"/>
      </w:r>
      <w:r w:rsidRPr="00911BD1">
        <w:rPr>
          <w:rFonts w:ascii="Verdana" w:eastAsia="Arial" w:hAnsi="Verdana" w:cs="Arial"/>
          <w:color w:val="000000"/>
          <w:sz w:val="20"/>
          <w:szCs w:val="20"/>
        </w:rPr>
        <w:t>”.</w:t>
      </w:r>
    </w:p>
    <w:p w14:paraId="5B7FFC02" w14:textId="77777777" w:rsidR="00C8288D" w:rsidRPr="00505CD6" w:rsidRDefault="00C8288D" w:rsidP="00C8288D">
      <w:pPr>
        <w:spacing w:after="0" w:line="240" w:lineRule="auto"/>
        <w:ind w:left="709" w:right="709"/>
        <w:jc w:val="both"/>
        <w:rPr>
          <w:rFonts w:ascii="Verdana" w:eastAsia="Arial" w:hAnsi="Verdana" w:cs="Arial"/>
          <w:color w:val="000000"/>
          <w:sz w:val="21"/>
          <w:szCs w:val="21"/>
        </w:rPr>
      </w:pPr>
    </w:p>
    <w:p w14:paraId="57F3B8DC" w14:textId="77777777" w:rsidR="00C8288D" w:rsidRPr="00505CD6" w:rsidRDefault="00C8288D" w:rsidP="00C8288D">
      <w:pPr>
        <w:spacing w:after="120" w:line="276" w:lineRule="auto"/>
        <w:ind w:firstLine="709"/>
        <w:jc w:val="both"/>
        <w:rPr>
          <w:rFonts w:ascii="Verdana" w:eastAsia="Calibri" w:hAnsi="Verdana" w:cs="Arial"/>
          <w:color w:val="000000"/>
        </w:rPr>
      </w:pPr>
      <w:r w:rsidRPr="00505CD6">
        <w:rPr>
          <w:rFonts w:ascii="Verdana" w:eastAsia="Calibri" w:hAnsi="Verdana" w:cs="Arial"/>
          <w:color w:val="000000"/>
          <w:lang w:val="es-MX"/>
        </w:rPr>
        <w:t>En este contexto, la prohibición de solicitar certificaciones del sistema de gestión de calidad tiene como propósito evitar</w:t>
      </w:r>
      <w:r w:rsidRPr="00505CD6">
        <w:rPr>
          <w:rFonts w:ascii="Verdana" w:eastAsia="Calibri" w:hAnsi="Verdana" w:cs="Arial"/>
          <w:color w:val="000000"/>
        </w:rPr>
        <w:t xml:space="preserve"> la exclusión arbitraria de personas o empresas que, de otro modo, podrían participar en el proceso de contratación, </w:t>
      </w:r>
      <w:r w:rsidRPr="00505CD6">
        <w:rPr>
          <w:rFonts w:ascii="Verdana" w:eastAsia="Calibri" w:hAnsi="Verdana" w:cs="Arial"/>
          <w:color w:val="000000"/>
          <w:lang w:val="es-MX"/>
        </w:rPr>
        <w:t xml:space="preserve">en la medida en que este requisito no necesariamente refleja un criterio relevante para la selección, </w:t>
      </w:r>
      <w:r w:rsidRPr="00505CD6">
        <w:rPr>
          <w:rFonts w:ascii="Verdana" w:eastAsia="Calibri" w:hAnsi="Verdana" w:cs="Arial"/>
          <w:color w:val="000000"/>
        </w:rPr>
        <w:t xml:space="preserve">limitando la competencia sin aportar un valor adicional en la evaluación de las ofertas. </w:t>
      </w:r>
    </w:p>
    <w:p w14:paraId="3C07AB7C" w14:textId="77777777" w:rsidR="00C8288D" w:rsidRPr="00505CD6" w:rsidRDefault="00C8288D" w:rsidP="00C8288D">
      <w:pPr>
        <w:spacing w:after="120" w:line="276" w:lineRule="auto"/>
        <w:ind w:firstLine="709"/>
        <w:jc w:val="both"/>
        <w:rPr>
          <w:rFonts w:ascii="Verdana" w:eastAsia="Arial" w:hAnsi="Verdana" w:cs="Arial"/>
          <w:color w:val="000000"/>
        </w:rPr>
      </w:pPr>
      <w:r w:rsidRPr="00505CD6">
        <w:rPr>
          <w:rFonts w:ascii="Verdana" w:eastAsia="Calibri" w:hAnsi="Verdana" w:cs="Arial"/>
          <w:color w:val="000000"/>
        </w:rPr>
        <w:t xml:space="preserve">Al respecto, es importante señalar que el legislador no estableció un listado específico de las certificaciones de gestión de calidad que se enmarquen en esta prohibición. En este sentido, debido a que la norma hace referencia de manera general a las certificaciones de sistemas de gestión de calidad, cada entidad estatal, al momento de definir los requisitos habilitantes o ponderables, debe evaluar cuidadosamente los documentos solicitados de cara a los principios de selección objetiva y de libre competencia.  </w:t>
      </w:r>
    </w:p>
    <w:p w14:paraId="0D4A8C8A" w14:textId="77777777" w:rsidR="00C8288D" w:rsidRPr="00505CD6" w:rsidRDefault="00C8288D" w:rsidP="00C8288D">
      <w:pPr>
        <w:spacing w:after="120" w:line="276" w:lineRule="auto"/>
        <w:ind w:firstLine="709"/>
        <w:jc w:val="both"/>
        <w:rPr>
          <w:rFonts w:ascii="Verdana" w:eastAsia="Arial" w:hAnsi="Verdana" w:cs="Arial"/>
          <w:color w:val="000000"/>
        </w:rPr>
      </w:pPr>
      <w:r w:rsidRPr="00505CD6">
        <w:rPr>
          <w:rFonts w:ascii="Verdana" w:eastAsia="Arial" w:hAnsi="Verdana" w:cs="Arial"/>
          <w:color w:val="000000"/>
        </w:rPr>
        <w:lastRenderedPageBreak/>
        <w:t>Como una aproximación a este concepto, se puede referenciar la Certificación ISO 9001, sobre Sistema de Gestión de Calidad. Conforme lo señala el ICONTEC</w:t>
      </w:r>
      <w:r w:rsidRPr="00505CD6">
        <w:rPr>
          <w:rFonts w:ascii="Verdana" w:eastAsia="Arial" w:hAnsi="Verdana" w:cs="Arial"/>
          <w:color w:val="000000"/>
          <w:vertAlign w:val="superscript"/>
        </w:rPr>
        <w:footnoteReference w:id="8"/>
      </w:r>
      <w:r w:rsidRPr="00505CD6">
        <w:rPr>
          <w:rFonts w:ascii="Verdana" w:eastAsia="Arial" w:hAnsi="Verdana" w:cs="Arial"/>
          <w:color w:val="000000"/>
        </w:rPr>
        <w:t>, con esta certificación “se demuestra la capacidad de la organización para mejorar la satisfacción del cliente y su eficacia organizacional” y “proporciona una base excelente para un sistema de gestión adecuado en cuanto a la satisfacción de los requisitos del sector y el logro de la excelencia en el desempeño, compatible con otros requisitos y normas como el Sistema de Gestión</w:t>
      </w:r>
      <w:r w:rsidRPr="00505CD6">
        <w:rPr>
          <w:rFonts w:ascii="Verdana" w:eastAsia="Arial" w:hAnsi="Verdana" w:cs="Arial"/>
          <w:color w:val="000000"/>
          <w:vertAlign w:val="superscript"/>
        </w:rPr>
        <w:footnoteReference w:id="9"/>
      </w:r>
      <w:r w:rsidRPr="00505CD6">
        <w:rPr>
          <w:rFonts w:ascii="Verdana" w:eastAsia="Arial" w:hAnsi="Verdana" w:cs="Arial"/>
          <w:color w:val="000000"/>
        </w:rPr>
        <w:t xml:space="preserve">”. Según se desprende de lo anterior, esta certificación asegura que la empresa cumple con los requisitos de gestión de calidad especificados en la norma para mejorar su desempeño organizacional y la satisfacción al cliente. </w:t>
      </w:r>
    </w:p>
    <w:p w14:paraId="7FFE5176" w14:textId="77777777" w:rsidR="00C8288D" w:rsidRPr="00505CD6" w:rsidRDefault="00C8288D" w:rsidP="00C8288D">
      <w:pPr>
        <w:spacing w:after="120" w:line="276" w:lineRule="auto"/>
        <w:ind w:firstLine="709"/>
        <w:jc w:val="both"/>
        <w:rPr>
          <w:rFonts w:ascii="Verdana" w:eastAsia="Calibri" w:hAnsi="Verdana" w:cs="Arial"/>
          <w:color w:val="000000"/>
          <w:lang w:val="es-MX"/>
        </w:rPr>
      </w:pPr>
      <w:r w:rsidRPr="00505CD6">
        <w:rPr>
          <w:rFonts w:ascii="Verdana" w:eastAsia="Calibri" w:hAnsi="Verdana" w:cs="Arial"/>
          <w:color w:val="000000"/>
          <w:lang w:val="es-MX"/>
        </w:rPr>
        <w:t xml:space="preserve">Es del caso precisar que, conforme a la línea que mantiene esta Agencia en sus distintos conceptos,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505CD6">
        <w:rPr>
          <w:rFonts w:ascii="Verdana" w:eastAsia="Calibri" w:hAnsi="Verdana" w:cs="Arial"/>
          <w:i/>
          <w:iCs/>
          <w:color w:val="000000"/>
          <w:lang w:val="es-MX"/>
        </w:rPr>
        <w:t>sub examine</w:t>
      </w:r>
      <w:r w:rsidRPr="00505CD6">
        <w:rPr>
          <w:rFonts w:ascii="Verdana" w:eastAsia="Calibri" w:hAnsi="Verdana" w:cs="Arial"/>
          <w:color w:val="000000"/>
          <w:lang w:val="es-MX"/>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gestión de calidad, lo cual, por un lado, le resta efectos prácticos a la prohibición establecida por el legislador y, por el otro, desconoce la finalidad perseguida por la norma.</w:t>
      </w:r>
    </w:p>
    <w:p w14:paraId="5A881912" w14:textId="1368ABC2" w:rsidR="00C8288D" w:rsidRPr="00505CD6" w:rsidRDefault="00C8288D" w:rsidP="00C8288D">
      <w:pPr>
        <w:spacing w:after="120" w:line="276" w:lineRule="auto"/>
        <w:ind w:firstLine="709"/>
        <w:jc w:val="both"/>
        <w:rPr>
          <w:rFonts w:ascii="Verdana" w:eastAsia="Calibri" w:hAnsi="Verdana" w:cs="Arial"/>
          <w:color w:val="000000"/>
          <w:lang w:val="es-MX"/>
        </w:rPr>
      </w:pPr>
      <w:r w:rsidRPr="00505CD6">
        <w:rPr>
          <w:rFonts w:ascii="Verdana" w:eastAsia="Calibri" w:hAnsi="Verdana" w:cs="Arial"/>
          <w:color w:val="000000"/>
          <w:lang w:val="es-MX"/>
        </w:rPr>
        <w:t xml:space="preserve">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Gestión Ambiental y el Sistema de Gestión de la Seguridad y Salud en el Trabajo “SG-SST”, reglamentados por medio de las </w:t>
      </w:r>
      <w:bookmarkStart w:id="16" w:name="_Hlk217986178"/>
      <w:r w:rsidRPr="00505CD6">
        <w:rPr>
          <w:rFonts w:ascii="Verdana" w:eastAsia="Calibri" w:hAnsi="Verdana" w:cs="Arial"/>
          <w:color w:val="000000"/>
          <w:lang w:val="es-MX"/>
        </w:rPr>
        <w:t>Resoluciones 2140 de 7 de noviembre de 2017 y 0312 del 13 de febrero de 2019</w:t>
      </w:r>
      <w:bookmarkEnd w:id="16"/>
      <w:r w:rsidRPr="00505CD6">
        <w:rPr>
          <w:rFonts w:ascii="Verdana" w:eastAsia="Calibri" w:hAnsi="Verdana" w:cs="Arial"/>
          <w:color w:val="000000"/>
          <w:lang w:val="es-MX"/>
        </w:rPr>
        <w:t>, expedidas por el Ministerio de Ambiente y</w:t>
      </w:r>
      <w:r w:rsidR="0093446A">
        <w:rPr>
          <w:rFonts w:ascii="Verdana" w:eastAsia="Calibri" w:hAnsi="Verdana" w:cs="Arial"/>
          <w:color w:val="000000"/>
          <w:lang w:val="es-MX"/>
        </w:rPr>
        <w:t xml:space="preserve"> Desarrollo Sostenible y</w:t>
      </w:r>
      <w:r w:rsidRPr="00505CD6">
        <w:rPr>
          <w:rFonts w:ascii="Verdana" w:eastAsia="Calibri" w:hAnsi="Verdana" w:cs="Arial"/>
          <w:color w:val="000000"/>
          <w:lang w:val="es-MX"/>
        </w:rPr>
        <w:t xml:space="preserve"> el Ministerio del Trabajo, respectivamente.</w:t>
      </w:r>
    </w:p>
    <w:p w14:paraId="4EA51547" w14:textId="60FA4BFF" w:rsidR="00B40B59" w:rsidRDefault="00A21B73" w:rsidP="00F65D91">
      <w:pPr>
        <w:widowControl w:val="0"/>
        <w:autoSpaceDE w:val="0"/>
        <w:autoSpaceDN w:val="0"/>
        <w:spacing w:after="120" w:line="276" w:lineRule="auto"/>
        <w:ind w:right="102"/>
        <w:jc w:val="both"/>
        <w:rPr>
          <w:rFonts w:ascii="Verdana" w:eastAsia="Times New Roman" w:hAnsi="Verdana" w:cs="Arial"/>
          <w:bdr w:val="none" w:sz="0" w:space="0" w:color="auto" w:frame="1"/>
          <w:lang w:val="es-MX" w:eastAsia="es-CO"/>
        </w:rPr>
      </w:pPr>
      <w:proofErr w:type="spellStart"/>
      <w:r>
        <w:rPr>
          <w:rFonts w:ascii="Verdana" w:eastAsia="Calibri" w:hAnsi="Verdana" w:cs="Arial"/>
          <w:color w:val="000000"/>
          <w:lang w:val="es-ES" w:eastAsia="es-ES_tradnl"/>
        </w:rPr>
        <w:lastRenderedPageBreak/>
        <w:t>ii</w:t>
      </w:r>
      <w:r w:rsidR="00811279">
        <w:rPr>
          <w:rFonts w:ascii="Verdana" w:eastAsia="Calibri" w:hAnsi="Verdana" w:cs="Arial"/>
          <w:color w:val="000000"/>
          <w:lang w:val="es-ES" w:eastAsia="es-ES_tradnl"/>
        </w:rPr>
        <w:t>i</w:t>
      </w:r>
      <w:proofErr w:type="spellEnd"/>
      <w:r>
        <w:rPr>
          <w:rFonts w:ascii="Verdana" w:eastAsia="Calibri" w:hAnsi="Verdana" w:cs="Arial"/>
          <w:color w:val="000000"/>
          <w:lang w:val="es-ES" w:eastAsia="es-ES_tradnl"/>
        </w:rPr>
        <w:t xml:space="preserve">. </w:t>
      </w:r>
      <w:r w:rsidR="00B40B59">
        <w:rPr>
          <w:rFonts w:ascii="Verdana" w:eastAsia="Times New Roman" w:hAnsi="Verdana" w:cs="Arial"/>
          <w:bdr w:val="none" w:sz="0" w:space="0" w:color="auto" w:frame="1"/>
          <w:lang w:val="es-MX" w:eastAsia="es-CO"/>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w:t>
      </w:r>
      <w:proofErr w:type="spellStart"/>
      <w:r w:rsidR="00B40B59">
        <w:rPr>
          <w:rFonts w:ascii="Verdana" w:eastAsia="Times New Roman" w:hAnsi="Verdana" w:cs="Arial"/>
          <w:bdr w:val="none" w:sz="0" w:space="0" w:color="auto" w:frame="1"/>
          <w:lang w:val="es-MX" w:eastAsia="es-CO"/>
        </w:rPr>
        <w:t>The</w:t>
      </w:r>
      <w:proofErr w:type="spellEnd"/>
      <w:r w:rsidR="00B40B59">
        <w:rPr>
          <w:rFonts w:ascii="Verdana" w:eastAsia="Times New Roman" w:hAnsi="Verdana" w:cs="Arial"/>
          <w:bdr w:val="none" w:sz="0" w:space="0" w:color="auto" w:frame="1"/>
          <w:lang w:val="es-MX" w:eastAsia="es-CO"/>
        </w:rPr>
        <w:t xml:space="preserve"> </w:t>
      </w:r>
      <w:proofErr w:type="spellStart"/>
      <w:r w:rsidR="00B40B59">
        <w:rPr>
          <w:rFonts w:ascii="Verdana" w:eastAsia="Times New Roman" w:hAnsi="Verdana" w:cs="Arial"/>
          <w:bdr w:val="none" w:sz="0" w:space="0" w:color="auto" w:frame="1"/>
          <w:lang w:val="es-MX" w:eastAsia="es-CO"/>
        </w:rPr>
        <w:t>United</w:t>
      </w:r>
      <w:proofErr w:type="spellEnd"/>
      <w:r w:rsidR="00B40B59">
        <w:rPr>
          <w:rFonts w:ascii="Verdana" w:eastAsia="Times New Roman" w:hAnsi="Verdana" w:cs="Arial"/>
          <w:bdr w:val="none" w:sz="0" w:space="0" w:color="auto" w:frame="1"/>
          <w:lang w:val="es-MX" w:eastAsia="es-CO"/>
        </w:rPr>
        <w:t xml:space="preserve"> </w:t>
      </w:r>
      <w:proofErr w:type="spellStart"/>
      <w:r w:rsidR="00B40B59">
        <w:rPr>
          <w:rFonts w:ascii="Verdana" w:eastAsia="Times New Roman" w:hAnsi="Verdana" w:cs="Arial"/>
          <w:bdr w:val="none" w:sz="0" w:space="0" w:color="auto" w:frame="1"/>
          <w:lang w:val="es-MX" w:eastAsia="es-CO"/>
        </w:rPr>
        <w:t>Nations</w:t>
      </w:r>
      <w:proofErr w:type="spellEnd"/>
      <w:r w:rsidR="00B40B59">
        <w:rPr>
          <w:rFonts w:ascii="Verdana" w:eastAsia="Times New Roman" w:hAnsi="Verdana" w:cs="Arial"/>
          <w:bdr w:val="none" w:sz="0" w:space="0" w:color="auto" w:frame="1"/>
          <w:lang w:val="es-MX" w:eastAsia="es-CO"/>
        </w:rPr>
        <w:t xml:space="preserve"> Standard </w:t>
      </w:r>
      <w:proofErr w:type="spellStart"/>
      <w:r w:rsidR="00B40B59">
        <w:rPr>
          <w:rFonts w:ascii="Verdana" w:eastAsia="Times New Roman" w:hAnsi="Verdana" w:cs="Arial"/>
          <w:bdr w:val="none" w:sz="0" w:space="0" w:color="auto" w:frame="1"/>
          <w:lang w:val="es-MX" w:eastAsia="es-CO"/>
        </w:rPr>
        <w:t>Products</w:t>
      </w:r>
      <w:proofErr w:type="spellEnd"/>
      <w:r w:rsidR="00B40B59">
        <w:rPr>
          <w:rFonts w:ascii="Verdana" w:eastAsia="Times New Roman" w:hAnsi="Verdana" w:cs="Arial"/>
          <w:bdr w:val="none" w:sz="0" w:space="0" w:color="auto" w:frame="1"/>
          <w:lang w:val="es-MX" w:eastAsia="es-CO"/>
        </w:rPr>
        <w:t xml:space="preserve"> and </w:t>
      </w:r>
      <w:proofErr w:type="spellStart"/>
      <w:r w:rsidR="00B40B59">
        <w:rPr>
          <w:rFonts w:ascii="Verdana" w:eastAsia="Times New Roman" w:hAnsi="Verdana" w:cs="Arial"/>
          <w:bdr w:val="none" w:sz="0" w:space="0" w:color="auto" w:frame="1"/>
          <w:lang w:val="es-MX" w:eastAsia="es-CO"/>
        </w:rPr>
        <w:t>Services</w:t>
      </w:r>
      <w:proofErr w:type="spellEnd"/>
      <w:r w:rsidR="00B40B59">
        <w:rPr>
          <w:rFonts w:ascii="Verdana" w:eastAsia="Times New Roman" w:hAnsi="Verdana" w:cs="Arial"/>
          <w:bdr w:val="none" w:sz="0" w:space="0" w:color="auto" w:frame="1"/>
          <w:lang w:val="es-MX" w:eastAsia="es-CO"/>
        </w:rPr>
        <w:t xml:space="preserve"> </w:t>
      </w:r>
      <w:proofErr w:type="spellStart"/>
      <w:r w:rsidR="00B40B59">
        <w:rPr>
          <w:rFonts w:ascii="Verdana" w:eastAsia="Times New Roman" w:hAnsi="Verdana" w:cs="Arial"/>
          <w:bdr w:val="none" w:sz="0" w:space="0" w:color="auto" w:frame="1"/>
          <w:lang w:val="es-MX" w:eastAsia="es-CO"/>
        </w:rPr>
        <w:t>Code</w:t>
      </w:r>
      <w:proofErr w:type="spellEnd"/>
      <w:r w:rsidR="00B40B59">
        <w:rPr>
          <w:rFonts w:ascii="Verdana" w:eastAsia="Times New Roman" w:hAnsi="Verdana" w:cs="Arial"/>
          <w:bdr w:val="none" w:sz="0" w:space="0" w:color="auto" w:frame="1"/>
          <w:lang w:val="es-MX" w:eastAsia="es-CO"/>
        </w:rPr>
        <w:t>®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r w:rsidR="00B40B59">
        <w:rPr>
          <w:rFonts w:ascii="Verdana" w:eastAsia="Times New Roman" w:hAnsi="Verdana" w:cs="Arial"/>
          <w:bdr w:val="none" w:sz="0" w:space="0" w:color="auto" w:frame="1"/>
          <w:vertAlign w:val="superscript"/>
          <w:lang w:val="es-MX" w:eastAsia="es-CO"/>
        </w:rPr>
        <w:footnoteReference w:id="10"/>
      </w:r>
      <w:r w:rsidR="00B40B59">
        <w:rPr>
          <w:rFonts w:ascii="Verdana" w:eastAsia="Times New Roman" w:hAnsi="Verdana" w:cs="Arial"/>
          <w:bdr w:val="none" w:sz="0" w:space="0" w:color="auto" w:frame="1"/>
          <w:lang w:val="es-MX" w:eastAsia="es-CO"/>
        </w:rPr>
        <w:t>.</w:t>
      </w:r>
    </w:p>
    <w:p w14:paraId="2E2E3470" w14:textId="77777777" w:rsidR="00B40B59" w:rsidRDefault="00B40B59" w:rsidP="00B40B59">
      <w:pPr>
        <w:widowControl w:val="0"/>
        <w:autoSpaceDE w:val="0"/>
        <w:autoSpaceDN w:val="0"/>
        <w:spacing w:after="120" w:line="276" w:lineRule="auto"/>
        <w:ind w:right="102" w:firstLine="607"/>
        <w:jc w:val="both"/>
        <w:rPr>
          <w:rFonts w:ascii="Verdana" w:eastAsia="Times New Roman" w:hAnsi="Verdana" w:cs="Arial"/>
          <w:bdr w:val="none" w:sz="0" w:space="0" w:color="auto" w:frame="1"/>
          <w:lang w:val="es-MX"/>
        </w:rPr>
      </w:pPr>
      <w:r>
        <w:rPr>
          <w:rFonts w:ascii="Verdana" w:eastAsia="Times New Roman" w:hAnsi="Verdana" w:cs="Arial"/>
          <w:bdr w:val="none" w:sz="0" w:space="0" w:color="auto" w:frame="1"/>
          <w:lang w:val="es-ES"/>
        </w:rPr>
        <w:t xml:space="preserve">Por otro lado, el artículo 2.2.1.1.1.4.1 del Decreto 1082 de 2015, referente al deber de elaborar el Plan Anual de Adquisiciones, establece que en la expedición de dicho documento las entidades deben “señalar la necesidad y cuando conoce el bien, obra o servicio que satisface esa necesidad debe identificarlo utilizando el </w:t>
      </w:r>
      <w:proofErr w:type="spellStart"/>
      <w:r>
        <w:rPr>
          <w:rFonts w:ascii="Verdana" w:eastAsia="Times New Roman" w:hAnsi="Verdana" w:cs="Arial"/>
          <w:bdr w:val="none" w:sz="0" w:space="0" w:color="auto" w:frame="1"/>
          <w:lang w:val="es-ES"/>
        </w:rPr>
        <w:t>Clasiﬁcador</w:t>
      </w:r>
      <w:proofErr w:type="spellEnd"/>
      <w:r>
        <w:rPr>
          <w:rFonts w:ascii="Verdana" w:eastAsia="Times New Roman" w:hAnsi="Verdana" w:cs="Arial"/>
          <w:bdr w:val="none" w:sz="0" w:space="0" w:color="auto" w:frame="1"/>
          <w:lang w:val="es-ES"/>
        </w:rPr>
        <w:t xml:space="preserve"> de Bienes y Servicios”</w:t>
      </w:r>
      <w:r>
        <w:rPr>
          <w:rFonts w:ascii="Verdana" w:eastAsia="Times New Roman" w:hAnsi="Verdana" w:cs="Arial"/>
          <w:bdr w:val="none" w:sz="0" w:space="0" w:color="auto" w:frame="1"/>
          <w:vertAlign w:val="superscript"/>
          <w:lang w:val="es-ES"/>
        </w:rPr>
        <w:footnoteReference w:id="11"/>
      </w:r>
      <w:r>
        <w:rPr>
          <w:rFonts w:ascii="Verdana" w:eastAsia="Times New Roman" w:hAnsi="Verdana" w:cs="Arial"/>
          <w:bdr w:val="none" w:sz="0" w:space="0" w:color="auto" w:frame="1"/>
          <w:lang w:val="es-ES"/>
        </w:rPr>
        <w:t>.</w:t>
      </w:r>
      <w:r>
        <w:rPr>
          <w:rFonts w:ascii="Verdana" w:eastAsia="Times New Roman" w:hAnsi="Verdana" w:cs="Arial"/>
          <w:bdr w:val="none" w:sz="0" w:space="0" w:color="auto" w:frame="1"/>
          <w:lang w:val="es-MX"/>
        </w:rPr>
        <w:t>  </w:t>
      </w:r>
    </w:p>
    <w:p w14:paraId="3D9E78E4" w14:textId="77777777" w:rsidR="00B40B59" w:rsidRDefault="00B40B59" w:rsidP="00B40B59">
      <w:pPr>
        <w:widowControl w:val="0"/>
        <w:autoSpaceDE w:val="0"/>
        <w:autoSpaceDN w:val="0"/>
        <w:spacing w:after="120" w:line="276" w:lineRule="auto"/>
        <w:ind w:firstLine="708"/>
        <w:jc w:val="both"/>
        <w:rPr>
          <w:rFonts w:ascii="Verdana" w:eastAsia="Arial MT" w:hAnsi="Verdana" w:cs="Arial"/>
          <w:lang w:val="es-ES"/>
        </w:rPr>
      </w:pPr>
      <w:r>
        <w:rPr>
          <w:rFonts w:ascii="Verdana" w:eastAsia="Arial MT" w:hAnsi="Verdana" w:cs="Arial"/>
          <w:lang w:val="es-ES"/>
        </w:rPr>
        <w:t xml:space="preserve">Por su parte, el artículo 2.2.1.1.1.5.2 del Decreto 1082 de 2015, al desarrollar la información requerida para la inscripción, actualización y renovación del RUP, establece que los proponentes deben establecer los bienes y servicios que ofrecerán identificados Clasificador de Bienes y Servicios en el tercer nivel. Así mismo el numeral 2.5 de este artículo establece que en los certificados de experiencia presentados para inscripción o actualización del RUP, los proponentes deben indicar en “cada certificado o en cada copia de los </w:t>
      </w:r>
      <w:r>
        <w:rPr>
          <w:rFonts w:ascii="Verdana" w:eastAsia="Arial MT" w:hAnsi="Verdana" w:cs="Arial"/>
          <w:lang w:val="es-ES"/>
        </w:rPr>
        <w:lastRenderedPageBreak/>
        <w:t>contratos, los bienes, obras y servicios a los cuales corresponde la experiencia que pretende acreditar, identificándolos con el Clasificador de Bienes y Servicios en el tercer nivel”</w:t>
      </w:r>
      <w:r>
        <w:rPr>
          <w:rFonts w:ascii="Verdana" w:eastAsia="Arial MT" w:hAnsi="Verdana" w:cs="Arial"/>
          <w:vertAlign w:val="superscript"/>
          <w:lang w:val="es-ES"/>
        </w:rPr>
        <w:footnoteReference w:id="12"/>
      </w:r>
      <w:r>
        <w:rPr>
          <w:rFonts w:ascii="Verdana" w:eastAsia="Arial MT" w:hAnsi="Verdana" w:cs="Arial"/>
          <w:lang w:val="es-ES"/>
        </w:rPr>
        <w:t xml:space="preserve">. </w:t>
      </w:r>
    </w:p>
    <w:p w14:paraId="03909242" w14:textId="77777777" w:rsidR="00B40B59" w:rsidRDefault="00B40B59" w:rsidP="00B40B59">
      <w:pPr>
        <w:widowControl w:val="0"/>
        <w:autoSpaceDE w:val="0"/>
        <w:autoSpaceDN w:val="0"/>
        <w:spacing w:after="120" w:line="276" w:lineRule="auto"/>
        <w:ind w:firstLine="708"/>
        <w:jc w:val="both"/>
        <w:rPr>
          <w:rFonts w:ascii="Verdana" w:eastAsia="Arial MT" w:hAnsi="Verdana" w:cs="Arial"/>
          <w:lang w:val="es-ES"/>
        </w:rPr>
      </w:pPr>
      <w:r>
        <w:rPr>
          <w:rFonts w:ascii="Verdana" w:eastAsia="Arial MT" w:hAnsi="Verdana" w:cs="Arial"/>
          <w:lang w:val="es-ES"/>
        </w:rPr>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w:t>
      </w:r>
      <w:proofErr w:type="spellStart"/>
      <w:r>
        <w:rPr>
          <w:rFonts w:ascii="Verdana" w:eastAsia="Arial MT" w:hAnsi="Verdana" w:cs="Arial"/>
          <w:lang w:val="es-ES"/>
        </w:rPr>
        <w:t>Clasiﬁcador</w:t>
      </w:r>
      <w:proofErr w:type="spellEnd"/>
      <w:r>
        <w:rPr>
          <w:rFonts w:ascii="Verdana" w:eastAsia="Arial MT" w:hAnsi="Verdana" w:cs="Arial"/>
          <w:lang w:val="es-ES"/>
        </w:rPr>
        <w:t xml:space="preserve"> de Bienes y Servicios en el tercer nivel </w:t>
      </w:r>
      <w:r>
        <w:rPr>
          <w:rFonts w:ascii="Verdana" w:eastAsia="Arial MT" w:hAnsi="Verdana" w:cs="Arial"/>
        </w:rPr>
        <w:t xml:space="preserve">y su valor expresado en </w:t>
      </w:r>
      <w:proofErr w:type="spellStart"/>
      <w:r>
        <w:rPr>
          <w:rFonts w:ascii="Verdana" w:eastAsia="Arial MT" w:hAnsi="Verdana" w:cs="Arial"/>
        </w:rPr>
        <w:t>smmlv</w:t>
      </w:r>
      <w:proofErr w:type="spellEnd"/>
      <w:r>
        <w:rPr>
          <w:rFonts w:ascii="Verdana" w:eastAsia="Arial MT" w:hAnsi="Verdana" w:cs="Arial"/>
          <w:lang w:val="es-ES"/>
        </w:rPr>
        <w:t>”</w:t>
      </w:r>
      <w:r>
        <w:rPr>
          <w:rFonts w:ascii="Verdana" w:eastAsia="Arial MT" w:hAnsi="Verdana" w:cs="Arial"/>
          <w:vertAlign w:val="superscript"/>
          <w:lang w:val="es-ES"/>
        </w:rPr>
        <w:footnoteReference w:id="13"/>
      </w:r>
      <w:r>
        <w:rPr>
          <w:rFonts w:ascii="Verdana" w:eastAsia="Arial MT" w:hAnsi="Verdana" w:cs="Arial"/>
          <w:lang w:val="es-ES"/>
        </w:rPr>
        <w:t xml:space="preserve">. Esto es coherente con lo dispuesto en el artículo 2.2.1.1.1.5.6, que indica que uno de los componentes de información del RUP son “los bienes, obras y servicios para los cuales está </w:t>
      </w:r>
      <w:r>
        <w:rPr>
          <w:rFonts w:ascii="Verdana" w:eastAsia="Arial MT" w:hAnsi="Verdana" w:cs="Arial"/>
          <w:lang w:val="es-ES"/>
        </w:rPr>
        <w:lastRenderedPageBreak/>
        <w:t xml:space="preserve">inscrito el proponente de acuerdo con el </w:t>
      </w:r>
      <w:proofErr w:type="spellStart"/>
      <w:r>
        <w:rPr>
          <w:rFonts w:ascii="Verdana" w:eastAsia="Arial MT" w:hAnsi="Verdana" w:cs="Arial"/>
          <w:lang w:val="es-ES"/>
        </w:rPr>
        <w:t>Clasiﬁcador</w:t>
      </w:r>
      <w:proofErr w:type="spellEnd"/>
      <w:r>
        <w:rPr>
          <w:rFonts w:ascii="Verdana" w:eastAsia="Arial MT" w:hAnsi="Verdana" w:cs="Arial"/>
          <w:lang w:val="es-ES"/>
        </w:rPr>
        <w:t xml:space="preserve"> de Bienes y Servicios”</w:t>
      </w:r>
      <w:r>
        <w:rPr>
          <w:rFonts w:ascii="Verdana" w:eastAsia="Arial MT" w:hAnsi="Verdana" w:cs="Arial"/>
          <w:vertAlign w:val="superscript"/>
          <w:lang w:val="es-ES"/>
        </w:rPr>
        <w:footnoteReference w:id="14"/>
      </w:r>
      <w:r>
        <w:rPr>
          <w:rFonts w:ascii="Verdana" w:eastAsia="Arial MT" w:hAnsi="Verdana" w:cs="Arial"/>
          <w:lang w:val="es-ES"/>
        </w:rPr>
        <w:t xml:space="preserve">. </w:t>
      </w:r>
    </w:p>
    <w:p w14:paraId="5C478FC5" w14:textId="77777777" w:rsidR="00B40B59" w:rsidRDefault="00B40B59" w:rsidP="00B40B59">
      <w:pPr>
        <w:widowControl w:val="0"/>
        <w:autoSpaceDE w:val="0"/>
        <w:autoSpaceDN w:val="0"/>
        <w:spacing w:after="120" w:line="276" w:lineRule="auto"/>
        <w:ind w:firstLine="708"/>
        <w:jc w:val="both"/>
        <w:rPr>
          <w:rFonts w:ascii="Verdana" w:eastAsia="Arial MT" w:hAnsi="Verdana" w:cs="Arial"/>
          <w:lang w:val="es-ES"/>
        </w:rPr>
      </w:pPr>
      <w:r>
        <w:rPr>
          <w:rFonts w:ascii="Verdana" w:eastAsia="Arial MT" w:hAnsi="Verdana" w:cs="Arial"/>
          <w:lang w:val="es-ES"/>
        </w:rPr>
        <w:t xml:space="preserve">El </w:t>
      </w:r>
      <w:r>
        <w:rPr>
          <w:rFonts w:ascii="Verdana" w:eastAsia="Times New Roman" w:hAnsi="Verdana" w:cs="Arial"/>
          <w:bdr w:val="none" w:sz="0" w:space="0" w:color="auto" w:frame="1"/>
          <w:lang w:val="es-ES"/>
        </w:rPr>
        <w:t xml:space="preserve">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w:t>
      </w:r>
      <w:proofErr w:type="spellStart"/>
      <w:r>
        <w:rPr>
          <w:rFonts w:ascii="Verdana" w:eastAsia="Times New Roman" w:hAnsi="Verdana" w:cs="Arial"/>
          <w:bdr w:val="none" w:sz="0" w:space="0" w:color="auto" w:frame="1"/>
          <w:lang w:val="es-ES"/>
        </w:rPr>
        <w:t>Clasiﬁcador</w:t>
      </w:r>
      <w:proofErr w:type="spellEnd"/>
      <w:r>
        <w:rPr>
          <w:rFonts w:ascii="Verdana" w:eastAsia="Times New Roman" w:hAnsi="Verdana" w:cs="Arial"/>
          <w:bdr w:val="none" w:sz="0" w:space="0" w:color="auto" w:frame="1"/>
          <w:lang w:val="es-ES"/>
        </w:rPr>
        <w:t xml:space="preserve"> de Bienes y Servicios, de ser posible o de lo contrario con el tercer nivel </w:t>
      </w:r>
      <w:proofErr w:type="gramStart"/>
      <w:r>
        <w:rPr>
          <w:rFonts w:ascii="Verdana" w:eastAsia="Times New Roman" w:hAnsi="Verdana" w:cs="Arial"/>
          <w:bdr w:val="none" w:sz="0" w:space="0" w:color="auto" w:frame="1"/>
          <w:lang w:val="es-ES"/>
        </w:rPr>
        <w:t>del mismo</w:t>
      </w:r>
      <w:proofErr w:type="gramEnd"/>
      <w:r>
        <w:rPr>
          <w:rFonts w:ascii="Verdana" w:eastAsia="Times New Roman" w:hAnsi="Verdana" w:cs="Arial"/>
          <w:bdr w:val="none" w:sz="0" w:space="0" w:color="auto" w:frame="1"/>
          <w:lang w:val="es-ES"/>
        </w:rPr>
        <w:t>”</w:t>
      </w:r>
      <w:r>
        <w:rPr>
          <w:rFonts w:ascii="Verdana" w:eastAsia="Times New Roman" w:hAnsi="Verdana" w:cs="Arial"/>
          <w:bdr w:val="none" w:sz="0" w:space="0" w:color="auto" w:frame="1"/>
          <w:vertAlign w:val="superscript"/>
          <w:lang w:val="es-ES"/>
        </w:rPr>
        <w:footnoteReference w:id="15"/>
      </w:r>
      <w:r>
        <w:rPr>
          <w:rFonts w:ascii="Verdana" w:eastAsia="Times New Roman" w:hAnsi="Verdana" w:cs="Arial"/>
          <w:bdr w:val="none" w:sz="0" w:space="0" w:color="auto" w:frame="1"/>
          <w:lang w:val="es-ES"/>
        </w:rPr>
        <w:t>. </w:t>
      </w:r>
    </w:p>
    <w:p w14:paraId="40634F55" w14:textId="77777777" w:rsidR="00B40B59" w:rsidRDefault="00B40B59" w:rsidP="00B40B59">
      <w:pPr>
        <w:widowControl w:val="0"/>
        <w:autoSpaceDE w:val="0"/>
        <w:autoSpaceDN w:val="0"/>
        <w:spacing w:after="120" w:line="276" w:lineRule="auto"/>
        <w:ind w:right="102" w:firstLine="607"/>
        <w:jc w:val="both"/>
        <w:rPr>
          <w:rFonts w:ascii="Verdana" w:eastAsia="Times New Roman" w:hAnsi="Verdana" w:cs="Arial"/>
          <w:lang w:val="es-ES"/>
        </w:rPr>
      </w:pPr>
      <w:r>
        <w:rPr>
          <w:rFonts w:ascii="Verdana" w:eastAsia="Times New Roman" w:hAnsi="Verdana" w:cs="Arial"/>
          <w:bdr w:val="none" w:sz="0" w:space="0" w:color="auto" w:frame="1"/>
          <w:lang w:val="es-ES"/>
        </w:rPr>
        <w:t>Conforme a lo anterior, la planeación de las adquisiciones de las entidades estatales, la inscripción en el RUP, la valoración de la experiencia de los proponentes y el desarrollo de los procesos de contratación son ámbitos de la contratación estatal en los que se incorpora el uso del Clasificador de Bienes y Servicios para la contratación estatal. Es una medida que incrementa la eficiencia y la efectividad en procedimientos de selección y reduce los costos de crear y mantener un sistema de codificación individual, al estandarizar una codificación de amplia difusión y de generalizada aceptación, que permite a proveedores y compradores “hablar el mismo lenguaje” al integrar en un solo número el flujo total del proceso de adquisición</w:t>
      </w:r>
      <w:r>
        <w:rPr>
          <w:rFonts w:ascii="Verdana" w:eastAsia="Times New Roman" w:hAnsi="Verdana" w:cs="Arial"/>
          <w:bdr w:val="none" w:sz="0" w:space="0" w:color="auto" w:frame="1"/>
          <w:vertAlign w:val="superscript"/>
          <w:lang w:val="es-ES"/>
        </w:rPr>
        <w:footnoteReference w:id="16"/>
      </w:r>
      <w:r>
        <w:rPr>
          <w:rFonts w:ascii="Verdana" w:eastAsia="Times New Roman" w:hAnsi="Verdana" w:cs="Arial"/>
          <w:bdr w:val="none" w:sz="0" w:space="0" w:color="auto" w:frame="1"/>
          <w:lang w:val="es-ES"/>
        </w:rPr>
        <w:t>. </w:t>
      </w:r>
    </w:p>
    <w:p w14:paraId="3CE756C2" w14:textId="77777777" w:rsidR="00B40B59" w:rsidRDefault="00B40B59" w:rsidP="00B40B59">
      <w:pPr>
        <w:widowControl w:val="0"/>
        <w:autoSpaceDE w:val="0"/>
        <w:autoSpaceDN w:val="0"/>
        <w:spacing w:after="0" w:line="276" w:lineRule="auto"/>
        <w:ind w:right="102" w:firstLine="607"/>
        <w:jc w:val="both"/>
        <w:rPr>
          <w:rFonts w:ascii="Verdana" w:eastAsia="Times New Roman" w:hAnsi="Verdana" w:cs="Arial"/>
        </w:rPr>
      </w:pPr>
      <w:r>
        <w:rPr>
          <w:rFonts w:ascii="Verdana" w:eastAsia="Times New Roman" w:hAnsi="Verdana" w:cs="Arial"/>
          <w:lang w:val="es-ES"/>
        </w:rPr>
        <w:t xml:space="preserve">Al respecto, </w:t>
      </w:r>
      <w:r>
        <w:rPr>
          <w:rFonts w:ascii="Verdana" w:eastAsia="Times New Roman" w:hAnsi="Verdana" w:cs="Arial"/>
        </w:rPr>
        <w:t>la Agencia Nacional de Contratación Pública - Colombia Compra Eficiente puso a disposición de los interesados del sistema de compra pública el “Manual para determinar y verificar requisitos habilitantes en los procesos de contratación”</w:t>
      </w:r>
      <w:r>
        <w:rPr>
          <w:rFonts w:ascii="Verdana" w:eastAsia="Times New Roman" w:hAnsi="Verdana" w:cs="Arial"/>
          <w:vertAlign w:val="superscript"/>
        </w:rPr>
        <w:footnoteReference w:id="17"/>
      </w:r>
      <w:r>
        <w:rPr>
          <w:rFonts w:ascii="Verdana" w:eastAsia="Times New Roman" w:hAnsi="Verdana" w:cs="Arial"/>
        </w:rPr>
        <w:t xml:space="preserve">, y en este de forma particular, se establecen una </w:t>
      </w:r>
      <w:r>
        <w:rPr>
          <w:rFonts w:ascii="Verdana" w:eastAsia="Times New Roman" w:hAnsi="Verdana" w:cs="Arial"/>
        </w:rPr>
        <w:lastRenderedPageBreak/>
        <w:t xml:space="preserve">serie de características que deben ser observadas por parte de las entidades al establecer en sus invitaciones o pliego de condiciones los requerimientos o condiciones necesarias para poder llevar a cabo su verificación, como se detalla a continuación: </w:t>
      </w:r>
    </w:p>
    <w:p w14:paraId="11F81304" w14:textId="77777777" w:rsidR="00B40B59" w:rsidRDefault="00B40B59" w:rsidP="00B40B59">
      <w:pPr>
        <w:widowControl w:val="0"/>
        <w:autoSpaceDE w:val="0"/>
        <w:autoSpaceDN w:val="0"/>
        <w:spacing w:after="0" w:line="276" w:lineRule="auto"/>
        <w:ind w:right="102" w:firstLine="607"/>
        <w:jc w:val="both"/>
        <w:rPr>
          <w:rFonts w:ascii="Verdana" w:eastAsia="Times New Roman" w:hAnsi="Verdana" w:cs="Arial"/>
        </w:rPr>
      </w:pPr>
    </w:p>
    <w:p w14:paraId="74FE3F51" w14:textId="77777777" w:rsidR="00B40B59" w:rsidRDefault="00B40B59" w:rsidP="00B40B59">
      <w:pPr>
        <w:widowControl w:val="0"/>
        <w:autoSpaceDE w:val="0"/>
        <w:autoSpaceDN w:val="0"/>
        <w:spacing w:after="0" w:line="240" w:lineRule="auto"/>
        <w:ind w:left="709" w:right="709"/>
        <w:jc w:val="both"/>
        <w:rPr>
          <w:rFonts w:ascii="Verdana" w:eastAsia="Times New Roman" w:hAnsi="Verdana" w:cs="Arial"/>
          <w:sz w:val="21"/>
          <w:szCs w:val="21"/>
        </w:rPr>
      </w:pPr>
      <w:r w:rsidRPr="00B40B59">
        <w:rPr>
          <w:rFonts w:ascii="Verdana" w:eastAsia="Times New Roman" w:hAnsi="Verdana" w:cs="Arial"/>
          <w:sz w:val="20"/>
          <w:szCs w:val="20"/>
        </w:rPr>
        <w:t>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Pr>
          <w:rFonts w:ascii="Verdana" w:eastAsia="Times New Roman" w:hAnsi="Verdana" w:cs="Arial"/>
          <w:sz w:val="21"/>
          <w:szCs w:val="21"/>
          <w:vertAlign w:val="superscript"/>
        </w:rPr>
        <w:footnoteReference w:id="18"/>
      </w:r>
      <w:r>
        <w:rPr>
          <w:rFonts w:ascii="Verdana" w:eastAsia="Times New Roman" w:hAnsi="Verdana" w:cs="Arial"/>
          <w:sz w:val="21"/>
          <w:szCs w:val="21"/>
        </w:rPr>
        <w:t xml:space="preserve">.  </w:t>
      </w:r>
    </w:p>
    <w:p w14:paraId="58CFEF79" w14:textId="77777777" w:rsidR="00B40B59" w:rsidRDefault="00B40B59" w:rsidP="00B40B59">
      <w:pPr>
        <w:widowControl w:val="0"/>
        <w:autoSpaceDE w:val="0"/>
        <w:autoSpaceDN w:val="0"/>
        <w:spacing w:after="0" w:line="240" w:lineRule="auto"/>
        <w:ind w:left="709" w:right="709"/>
        <w:jc w:val="both"/>
        <w:rPr>
          <w:rFonts w:ascii="Verdana" w:eastAsia="Times New Roman" w:hAnsi="Verdana" w:cs="Arial"/>
          <w:sz w:val="21"/>
          <w:szCs w:val="21"/>
        </w:rPr>
      </w:pPr>
    </w:p>
    <w:p w14:paraId="3C22E846" w14:textId="77777777" w:rsidR="00B40B59" w:rsidRDefault="00B40B59" w:rsidP="00B40B59">
      <w:pPr>
        <w:widowControl w:val="0"/>
        <w:autoSpaceDE w:val="0"/>
        <w:autoSpaceDN w:val="0"/>
        <w:spacing w:after="0" w:line="276" w:lineRule="auto"/>
        <w:ind w:right="102" w:firstLine="607"/>
        <w:jc w:val="both"/>
        <w:rPr>
          <w:rFonts w:ascii="Verdana" w:eastAsia="Times New Roman" w:hAnsi="Verdana" w:cs="Arial"/>
          <w:lang w:val="es-ES"/>
        </w:rPr>
      </w:pPr>
      <w:r>
        <w:rPr>
          <w:rFonts w:ascii="Verdana" w:eastAsia="Times New Roman" w:hAnsi="Verdana" w:cs="Arial"/>
          <w:lang w:val="es-ES"/>
        </w:rPr>
        <w:t>De lo anterior se precisa 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o se establecieran condiciones de valor que no fueran proporcionales al presupuesto establecido para el futuro contrato. En tal sentido, e</w:t>
      </w:r>
      <w:r>
        <w:rPr>
          <w:rFonts w:ascii="Verdana" w:eastAsia="Times New Roman" w:hAnsi="Verdana" w:cs="Arial"/>
          <w:lang w:val="es-ES_tradnl"/>
        </w:rPr>
        <w:t xml:space="preserve">s preciso tener en cuenta que la Circular Externa Única proferida por la Agencia Nacional de Contratación Pública – Colombia Compra Eficiente, donde se incorporaron directrices relacionadas con el RUP y particularmente sobre el “uso del Clasificador de Bienes y Servicios en el Registro Único de Proponentes”, donde se precisó lo siguiente: </w:t>
      </w:r>
    </w:p>
    <w:p w14:paraId="22358DD0" w14:textId="77777777" w:rsidR="00B40B59" w:rsidRDefault="00B40B59" w:rsidP="00B40B59">
      <w:pPr>
        <w:widowControl w:val="0"/>
        <w:autoSpaceDE w:val="0"/>
        <w:autoSpaceDN w:val="0"/>
        <w:spacing w:after="120" w:line="240" w:lineRule="auto"/>
        <w:ind w:left="709" w:right="709" w:firstLine="608"/>
        <w:jc w:val="both"/>
        <w:rPr>
          <w:rFonts w:ascii="Verdana" w:eastAsia="Times New Roman" w:hAnsi="Verdana" w:cs="Arial"/>
          <w:sz w:val="21"/>
          <w:szCs w:val="21"/>
          <w:lang w:val="es-ES_tradnl"/>
        </w:rPr>
      </w:pPr>
    </w:p>
    <w:p w14:paraId="7B8E29DE" w14:textId="77777777" w:rsidR="00B40B59" w:rsidRPr="00B40B59" w:rsidRDefault="00B40B59" w:rsidP="00B40B59">
      <w:pPr>
        <w:widowControl w:val="0"/>
        <w:numPr>
          <w:ilvl w:val="0"/>
          <w:numId w:val="7"/>
        </w:numPr>
        <w:tabs>
          <w:tab w:val="left" w:pos="993"/>
        </w:tabs>
        <w:autoSpaceDE w:val="0"/>
        <w:autoSpaceDN w:val="0"/>
        <w:spacing w:after="0" w:line="240" w:lineRule="auto"/>
        <w:ind w:left="709" w:right="709" w:firstLine="0"/>
        <w:contextualSpacing/>
        <w:jc w:val="both"/>
        <w:rPr>
          <w:rFonts w:ascii="Verdana" w:eastAsia="Times New Roman" w:hAnsi="Verdana" w:cs="Arial"/>
          <w:sz w:val="20"/>
          <w:szCs w:val="20"/>
          <w:lang w:val="es-ES"/>
        </w:rPr>
      </w:pPr>
      <w:r w:rsidRPr="00B40B59">
        <w:rPr>
          <w:rFonts w:ascii="Verdana" w:eastAsia="Times New Roman" w:hAnsi="Verdana" w:cs="Arial"/>
          <w:sz w:val="20"/>
          <w:szCs w:val="20"/>
          <w:lang w:val="es-ES"/>
        </w:rPr>
        <w:t xml:space="preserve">No existe un límite en el número de bienes, obras o servicios que los proponentes pueden inscribir en el RUP. Las Cámaras de Comercio no pueden limitar la inscripción de los proponentes por no contar con experiencia certificada en el respectivo bien, obra o servicio. </w:t>
      </w:r>
    </w:p>
    <w:p w14:paraId="17E92A87" w14:textId="77777777" w:rsidR="00B40B59" w:rsidRPr="00B40B59" w:rsidRDefault="00B40B59" w:rsidP="00B40B59">
      <w:pPr>
        <w:widowControl w:val="0"/>
        <w:numPr>
          <w:ilvl w:val="0"/>
          <w:numId w:val="7"/>
        </w:numPr>
        <w:tabs>
          <w:tab w:val="left" w:pos="993"/>
        </w:tabs>
        <w:autoSpaceDE w:val="0"/>
        <w:autoSpaceDN w:val="0"/>
        <w:spacing w:after="0" w:line="240" w:lineRule="auto"/>
        <w:ind w:left="709" w:right="709" w:firstLine="0"/>
        <w:contextualSpacing/>
        <w:jc w:val="both"/>
        <w:rPr>
          <w:rFonts w:ascii="Verdana" w:eastAsia="Times New Roman" w:hAnsi="Verdana" w:cs="Arial"/>
          <w:sz w:val="20"/>
          <w:szCs w:val="20"/>
          <w:lang w:val="es-ES"/>
        </w:rPr>
      </w:pPr>
      <w:r w:rsidRPr="00B40B59">
        <w:rPr>
          <w:rFonts w:ascii="Verdana" w:eastAsia="Times New Roman" w:hAnsi="Verdana" w:cs="Arial"/>
          <w:sz w:val="20"/>
          <w:szCs w:val="20"/>
          <w:lang w:val="es-ES"/>
        </w:rPr>
        <w:t xml:space="preserve">La clasificación del proponente en determinado código no puede constituirse como un requisito habilitante, sino que debe entenderse como un mecanismo para establecer un lenguaje común entre los partícipes del Sistema de Compra Pública. En consecuencia, las Entidades Estatales no </w:t>
      </w:r>
      <w:r w:rsidRPr="00B40B59">
        <w:rPr>
          <w:rFonts w:ascii="Verdana" w:eastAsia="Times New Roman" w:hAnsi="Verdana" w:cs="Arial"/>
          <w:sz w:val="20"/>
          <w:szCs w:val="20"/>
          <w:lang w:val="es-ES"/>
        </w:rPr>
        <w:lastRenderedPageBreak/>
        <w:t>pueden excluir a un proponente que ha acreditado los requisitos habilitantes exigidos en un Proceso de Contratación por no estar inscrito en el RUP con el código de los bienes, obras o servicios del objeto de tal Proceso de Contratación.</w:t>
      </w:r>
    </w:p>
    <w:p w14:paraId="671140B3" w14:textId="77777777" w:rsidR="00B40B59" w:rsidRPr="00B40B59" w:rsidRDefault="00B40B59" w:rsidP="00B40B59">
      <w:pPr>
        <w:widowControl w:val="0"/>
        <w:numPr>
          <w:ilvl w:val="0"/>
          <w:numId w:val="7"/>
        </w:numPr>
        <w:tabs>
          <w:tab w:val="left" w:pos="993"/>
        </w:tabs>
        <w:autoSpaceDE w:val="0"/>
        <w:autoSpaceDN w:val="0"/>
        <w:spacing w:after="0" w:line="240" w:lineRule="auto"/>
        <w:ind w:left="709" w:right="709" w:firstLine="0"/>
        <w:contextualSpacing/>
        <w:jc w:val="both"/>
        <w:rPr>
          <w:rFonts w:ascii="Verdana" w:eastAsia="Times New Roman" w:hAnsi="Verdana" w:cs="Arial"/>
          <w:sz w:val="20"/>
          <w:szCs w:val="20"/>
          <w:lang w:val="es-ES"/>
        </w:rPr>
      </w:pPr>
      <w:r w:rsidRPr="00B40B59">
        <w:rPr>
          <w:rFonts w:ascii="Verdana" w:eastAsia="Times New Roman" w:hAnsi="Verdana" w:cs="Arial"/>
          <w:sz w:val="20"/>
          <w:szCs w:val="20"/>
          <w:lang w:val="es-ES"/>
        </w:rPr>
        <w:t>La experiencia es un requisito habilitante. Los proponentes deben inscribir en el RUP su experiencia usando los códigos del Clasificador de Bienes y Servicios. Por su parte las Entidades Estatales al establecer el requisito habilitante de experiencia pueden incluir los códigos específicos del objeto a contratar o el de los bienes, obras o servicios afines al Proceso de Contratación respecto de los cuales los proponentes deben acreditar su experiencia.</w:t>
      </w:r>
    </w:p>
    <w:p w14:paraId="1BEC140E" w14:textId="77777777" w:rsidR="00B40B59" w:rsidRDefault="00B40B59" w:rsidP="00B40B59">
      <w:pPr>
        <w:widowControl w:val="0"/>
        <w:autoSpaceDE w:val="0"/>
        <w:autoSpaceDN w:val="0"/>
        <w:spacing w:after="0" w:line="276" w:lineRule="auto"/>
        <w:ind w:left="714" w:right="102"/>
        <w:contextualSpacing/>
        <w:jc w:val="both"/>
        <w:rPr>
          <w:rFonts w:ascii="Verdana" w:eastAsia="Times New Roman" w:hAnsi="Verdana" w:cs="Arial"/>
          <w:lang w:val="es-ES"/>
        </w:rPr>
      </w:pPr>
      <w:r>
        <w:rPr>
          <w:rFonts w:ascii="Verdana" w:eastAsia="Times New Roman" w:hAnsi="Verdana" w:cs="Arial"/>
          <w:lang w:val="es-ES"/>
        </w:rPr>
        <w:t xml:space="preserve"> </w:t>
      </w:r>
    </w:p>
    <w:p w14:paraId="4ACA2EAF" w14:textId="77777777" w:rsidR="00B40B59" w:rsidRDefault="00B40B59" w:rsidP="00B40B59">
      <w:pPr>
        <w:widowControl w:val="0"/>
        <w:autoSpaceDE w:val="0"/>
        <w:autoSpaceDN w:val="0"/>
        <w:spacing w:after="120" w:line="276" w:lineRule="auto"/>
        <w:ind w:right="104" w:firstLine="708"/>
        <w:jc w:val="both"/>
        <w:rPr>
          <w:rFonts w:ascii="Verdana" w:eastAsia="Times New Roman" w:hAnsi="Verdana" w:cs="Arial"/>
          <w:lang w:val="es-ES_tradnl"/>
        </w:rPr>
      </w:pPr>
      <w:r>
        <w:rPr>
          <w:rFonts w:ascii="Verdana" w:eastAsia="Times New Roman" w:hAnsi="Verdana" w:cs="Arial"/>
          <w:lang w:val="es-ES_tradnl"/>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1431F2A0" w14:textId="77777777" w:rsidR="00383D46" w:rsidRDefault="00B40B59" w:rsidP="00B40B59">
      <w:pPr>
        <w:widowControl w:val="0"/>
        <w:autoSpaceDE w:val="0"/>
        <w:autoSpaceDN w:val="0"/>
        <w:spacing w:after="120" w:line="276" w:lineRule="auto"/>
        <w:ind w:right="104" w:firstLine="708"/>
        <w:jc w:val="both"/>
        <w:rPr>
          <w:rFonts w:ascii="Verdana" w:eastAsia="Times New Roman" w:hAnsi="Verdana" w:cs="Arial"/>
          <w:lang w:val="es-ES"/>
        </w:rPr>
      </w:pPr>
      <w:r>
        <w:rPr>
          <w:rFonts w:ascii="Verdana" w:eastAsia="Times New Roman" w:hAnsi="Verdana" w:cs="Arial"/>
          <w:lang w:val="es-ES"/>
        </w:rPr>
        <w:t xml:space="preserve">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válida la experiencia inscrita por el proponente en el RUP, que sea de contratos ejecutados que coincidan con algún código del Clasificador del Bienes y Servicios, en particular, en el tercer nivel del clasificador expresada en SMMLV. </w:t>
      </w:r>
    </w:p>
    <w:p w14:paraId="496DC1FF" w14:textId="6C019805" w:rsidR="00B40B59" w:rsidRDefault="00B40B59" w:rsidP="00B40B59">
      <w:pPr>
        <w:widowControl w:val="0"/>
        <w:autoSpaceDE w:val="0"/>
        <w:autoSpaceDN w:val="0"/>
        <w:spacing w:after="120" w:line="276" w:lineRule="auto"/>
        <w:ind w:right="104" w:firstLine="708"/>
        <w:jc w:val="both"/>
        <w:rPr>
          <w:rFonts w:ascii="Verdana" w:eastAsia="Times New Roman" w:hAnsi="Verdana" w:cs="Arial"/>
          <w:lang w:val="es-ES_tradnl"/>
        </w:rPr>
      </w:pPr>
      <w:r>
        <w:rPr>
          <w:rFonts w:ascii="Verdana" w:eastAsia="Times New Roman" w:hAnsi="Verdana" w:cs="Arial"/>
          <w:lang w:val="es-ES"/>
        </w:rPr>
        <w:t xml:space="preserve">En esta misma orientación, </w:t>
      </w:r>
      <w:r>
        <w:rPr>
          <w:rFonts w:ascii="Verdana" w:eastAsia="Times New Roman" w:hAnsi="Verdana" w:cs="Arial"/>
          <w:lang w:val="es-ES_tradnl"/>
        </w:rPr>
        <w:t>la Circular Externa Única a que se hizo referencia previamente, en relación con el uso del Clasificador de Bienes y Servicios para efectos de acreditar la experiencia en los procedimientos de selección, expresó que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03F9FF15" w14:textId="77777777" w:rsidR="00B65FBF" w:rsidRDefault="00325A3D" w:rsidP="00B65FBF">
      <w:pPr>
        <w:spacing w:after="120" w:line="276" w:lineRule="auto"/>
        <w:jc w:val="both"/>
        <w:rPr>
          <w:rFonts w:ascii="Verdana" w:eastAsia="Calibri" w:hAnsi="Verdana" w:cs="Arial"/>
          <w:color w:val="000000" w:themeColor="text1"/>
        </w:rPr>
      </w:pPr>
      <w:proofErr w:type="spellStart"/>
      <w:r>
        <w:rPr>
          <w:rFonts w:ascii="Verdana" w:eastAsia="Times New Roman" w:hAnsi="Verdana" w:cs="Arial"/>
          <w:lang w:val="es-ES_tradnl"/>
        </w:rPr>
        <w:lastRenderedPageBreak/>
        <w:t>iv</w:t>
      </w:r>
      <w:proofErr w:type="spellEnd"/>
      <w:r>
        <w:rPr>
          <w:rFonts w:ascii="Verdana" w:eastAsia="Times New Roman" w:hAnsi="Verdana" w:cs="Arial"/>
          <w:lang w:val="es-ES_tradnl"/>
        </w:rPr>
        <w:t xml:space="preserve">. </w:t>
      </w:r>
      <w:r w:rsidR="0008462E">
        <w:rPr>
          <w:rFonts w:ascii="Verdana" w:eastAsia="Times New Roman" w:hAnsi="Verdana" w:cs="Arial"/>
          <w:lang w:val="es-ES_tradnl"/>
        </w:rPr>
        <w:t>F</w:t>
      </w:r>
      <w:r>
        <w:rPr>
          <w:rFonts w:ascii="Verdana" w:eastAsia="Times New Roman" w:hAnsi="Verdana" w:cs="Arial"/>
          <w:lang w:val="es-ES_tradnl"/>
        </w:rPr>
        <w:t xml:space="preserve">inalmente, </w:t>
      </w:r>
      <w:r>
        <w:rPr>
          <w:rFonts w:ascii="Verdana" w:eastAsia="Times New Roman" w:hAnsi="Verdana" w:cs="Arial"/>
          <w:lang w:val="es-ES"/>
        </w:rPr>
        <w:t>frente al último problema jurídico es importante señalar que</w:t>
      </w:r>
      <w:r w:rsidR="0025651C">
        <w:rPr>
          <w:rFonts w:ascii="Verdana" w:eastAsia="Times New Roman" w:hAnsi="Verdana" w:cs="Arial"/>
          <w:lang w:val="es-ES"/>
        </w:rPr>
        <w:t xml:space="preserve"> </w:t>
      </w:r>
      <w:r w:rsidR="0025651C">
        <w:rPr>
          <w:rFonts w:ascii="Verdana" w:eastAsia="Calibri" w:hAnsi="Verdana" w:cs="Arial"/>
          <w:color w:val="000000" w:themeColor="text1"/>
        </w:rPr>
        <w:t>el plazo del contrato es el período requerido en este para que se cumpla su objeto, a cargo del contratista como deudor del bien, obra o servicio para satisfacer la necesidad de la entidad, y que esta última recibe como acreedora. El Estatuto General de Contratación de la Administración Pública no contiene normas especiales sobre el “plazo”, por lo que, en virtud del artículo 13, 32 y 40 de la Ley 80 de 1993, es posible remitirse a las normas civiles y comerciales aplicables</w:t>
      </w:r>
      <w:r w:rsidR="00933C5B">
        <w:rPr>
          <w:rFonts w:ascii="Verdana" w:eastAsia="Calibri" w:hAnsi="Verdana" w:cs="Arial"/>
          <w:color w:val="000000" w:themeColor="text1"/>
        </w:rPr>
        <w:t>.</w:t>
      </w:r>
    </w:p>
    <w:p w14:paraId="72D32362" w14:textId="1BDCE2EB" w:rsidR="00B65FBF" w:rsidRPr="00B65FBF" w:rsidRDefault="00B65FBF" w:rsidP="00B65FBF">
      <w:pPr>
        <w:spacing w:after="120" w:line="276" w:lineRule="auto"/>
        <w:ind w:firstLine="709"/>
        <w:jc w:val="both"/>
        <w:rPr>
          <w:rFonts w:ascii="Verdana" w:eastAsia="Calibri" w:hAnsi="Verdana" w:cs="Arial"/>
          <w:color w:val="000000" w:themeColor="text1"/>
        </w:rPr>
      </w:pPr>
      <w:r>
        <w:rPr>
          <w:rFonts w:ascii="Verdana" w:hAnsi="Verdana"/>
        </w:rPr>
        <w:t xml:space="preserve">En ese sentido, es importante resaltar lo dispuesto en los artículos 13, inciso 1º; y 32 de la Ley 80 de 1993, que señalan: </w:t>
      </w:r>
    </w:p>
    <w:p w14:paraId="2901525A" w14:textId="77777777" w:rsidR="00B65FBF" w:rsidRDefault="00B65FBF" w:rsidP="00B65FBF">
      <w:pPr>
        <w:pStyle w:val="Prrafodelista"/>
        <w:shd w:val="clear" w:color="auto" w:fill="FFFFFF" w:themeFill="background1"/>
        <w:spacing w:line="276" w:lineRule="auto"/>
        <w:jc w:val="both"/>
        <w:textAlignment w:val="baseline"/>
        <w:rPr>
          <w:rFonts w:ascii="Verdana" w:eastAsia="Calibri" w:hAnsi="Verdana" w:cs="Arial"/>
          <w:bCs/>
          <w:color w:val="000000" w:themeColor="text1"/>
          <w:lang w:val="es-CO"/>
        </w:rPr>
      </w:pPr>
    </w:p>
    <w:p w14:paraId="32C101F7" w14:textId="77777777" w:rsidR="00B65FBF" w:rsidRDefault="00B65FBF" w:rsidP="00B65FBF">
      <w:pPr>
        <w:pStyle w:val="Prrafodelista"/>
        <w:shd w:val="clear" w:color="auto" w:fill="FFFFFF" w:themeFill="background1"/>
        <w:ind w:left="709" w:right="709"/>
        <w:jc w:val="both"/>
        <w:textAlignment w:val="baseline"/>
        <w:rPr>
          <w:rFonts w:ascii="Verdana" w:eastAsia="Calibri" w:hAnsi="Verdana" w:cs="Arial"/>
          <w:bCs/>
          <w:color w:val="000000" w:themeColor="text1"/>
          <w:sz w:val="20"/>
          <w:szCs w:val="20"/>
          <w:lang w:val="es-CO"/>
        </w:rPr>
      </w:pPr>
      <w:r>
        <w:rPr>
          <w:rFonts w:ascii="Verdana" w:eastAsia="Calibri" w:hAnsi="Verdana" w:cs="Arial"/>
          <w:bCs/>
          <w:color w:val="000000" w:themeColor="text1"/>
          <w:sz w:val="20"/>
          <w:szCs w:val="20"/>
          <w:lang w:val="es-CO"/>
        </w:rPr>
        <w:t xml:space="preserve">“ARTÍCULO 13. DE LA NORMATIVIDAD APLICABLE A LOS CONTRATOS ESTATALES. Los contratos que celebren las entidades a que se refiere el artículo 2o. del presente estatuto se regirán por las disposiciones comerciales y civiles pertinentes, salvo en las materias particularmente reguladas en esta ley”. </w:t>
      </w:r>
    </w:p>
    <w:p w14:paraId="31752E35" w14:textId="77777777" w:rsidR="00B65FBF" w:rsidRDefault="00B65FBF" w:rsidP="00B65FBF">
      <w:pPr>
        <w:pStyle w:val="Prrafodelista"/>
        <w:shd w:val="clear" w:color="auto" w:fill="FFFFFF" w:themeFill="background1"/>
        <w:ind w:left="709" w:right="709"/>
        <w:jc w:val="both"/>
        <w:textAlignment w:val="baseline"/>
        <w:rPr>
          <w:rFonts w:ascii="Verdana" w:eastAsia="Calibri" w:hAnsi="Verdana" w:cs="Arial"/>
          <w:bCs/>
          <w:color w:val="000000" w:themeColor="text1"/>
          <w:sz w:val="20"/>
          <w:szCs w:val="20"/>
          <w:lang w:val="es-CO"/>
        </w:rPr>
      </w:pPr>
    </w:p>
    <w:p w14:paraId="777A7A0C" w14:textId="77777777" w:rsidR="00B65FBF" w:rsidRDefault="00B65FBF" w:rsidP="00B65FBF">
      <w:pPr>
        <w:pStyle w:val="Prrafodelista"/>
        <w:shd w:val="clear" w:color="auto" w:fill="FFFFFF" w:themeFill="background1"/>
        <w:ind w:left="709" w:right="709"/>
        <w:jc w:val="both"/>
        <w:textAlignment w:val="baseline"/>
        <w:rPr>
          <w:rFonts w:ascii="Verdana" w:eastAsia="Calibri" w:hAnsi="Verdana" w:cs="Arial"/>
          <w:bCs/>
          <w:color w:val="000000" w:themeColor="text1"/>
          <w:sz w:val="20"/>
          <w:szCs w:val="20"/>
          <w:lang w:val="es-CO"/>
        </w:rPr>
      </w:pPr>
      <w:r>
        <w:rPr>
          <w:rFonts w:ascii="Verdana" w:eastAsia="Calibri" w:hAnsi="Verdana" w:cs="Arial"/>
          <w:bCs/>
          <w:color w:val="000000" w:themeColor="text1"/>
          <w:sz w:val="20"/>
          <w:szCs w:val="20"/>
          <w:lang w:val="es-CO"/>
        </w:rPr>
        <w:t xml:space="preserve">“ARTÍCULO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 </w:t>
      </w:r>
    </w:p>
    <w:p w14:paraId="30A9138C" w14:textId="77777777" w:rsidR="00B65FBF" w:rsidRDefault="00B65FBF" w:rsidP="00B65FBF">
      <w:pPr>
        <w:pStyle w:val="Prrafodelista"/>
        <w:shd w:val="clear" w:color="auto" w:fill="FFFFFF" w:themeFill="background1"/>
        <w:ind w:right="758"/>
        <w:jc w:val="both"/>
        <w:textAlignment w:val="baseline"/>
        <w:rPr>
          <w:rFonts w:ascii="Verdana" w:eastAsia="Calibri" w:hAnsi="Verdana" w:cs="Arial"/>
          <w:bCs/>
          <w:color w:val="000000" w:themeColor="text1"/>
          <w:sz w:val="20"/>
          <w:szCs w:val="20"/>
          <w:lang w:val="es-ES"/>
        </w:rPr>
      </w:pPr>
    </w:p>
    <w:p w14:paraId="312F0E03" w14:textId="61F4D546" w:rsidR="00B65FBF" w:rsidRPr="00F63771" w:rsidRDefault="00B65FBF" w:rsidP="00F63771">
      <w:pPr>
        <w:spacing w:after="120" w:line="276" w:lineRule="auto"/>
        <w:ind w:firstLine="708"/>
        <w:jc w:val="both"/>
        <w:rPr>
          <w:rFonts w:ascii="Verdana" w:eastAsia="Calibri" w:hAnsi="Verdana" w:cs="Arial"/>
          <w:i/>
          <w:iCs/>
          <w:lang w:val="es-ES"/>
        </w:rPr>
      </w:pPr>
      <w:r>
        <w:rPr>
          <w:rFonts w:ascii="Verdana" w:eastAsia="Calibri" w:hAnsi="Verdana" w:cs="Arial"/>
          <w:lang w:val="es-ES"/>
        </w:rPr>
        <w:t xml:space="preserve">El contrato estatal, como acuerdo de voluntades entre una entidad estatal y un particular u otra entidad, establece, modifica o extingue obligaciones para las partes involucradas y está regido por un marco normativo mixto, que incluye normas tanto de naturaleza privada como comercial. Partiendo del principio de la autonomía de la voluntad que caracteriza los contratos estatales, y considerando específicamente los plazos </w:t>
      </w:r>
      <w:proofErr w:type="gramStart"/>
      <w:r>
        <w:rPr>
          <w:rFonts w:ascii="Verdana" w:eastAsia="Calibri" w:hAnsi="Verdana" w:cs="Arial"/>
          <w:lang w:val="es-ES"/>
        </w:rPr>
        <w:t>a</w:t>
      </w:r>
      <w:proofErr w:type="gramEnd"/>
      <w:r>
        <w:rPr>
          <w:rFonts w:ascii="Verdana" w:eastAsia="Calibri" w:hAnsi="Verdana" w:cs="Arial"/>
          <w:lang w:val="es-ES"/>
        </w:rPr>
        <w:t xml:space="preserve"> tener en cuenta en la actividad contractual para asegurar el cumplimiento de las obligaciones dentro del tiempo acordado, se considera una buena práctica que la entidad determine y señale la fecha de finalización del contrato, con el fin de que las partes tengan claridad y certeza sobre el momento exacto en que se cumple. Así mismo, la elaboración de un acta de inicio resulta una herramienta clave para definir los plazos de inicio y fin del contrato, fijándolos en fechas ciertas y determinadas.</w:t>
      </w:r>
      <w:r>
        <w:rPr>
          <w:rFonts w:ascii="Verdana" w:eastAsia="Calibri" w:hAnsi="Verdana" w:cs="Arial"/>
          <w:lang w:val="es-ES"/>
        </w:rPr>
        <w:tab/>
      </w:r>
      <w:bookmarkStart w:id="17" w:name="nu59"/>
      <w:bookmarkEnd w:id="17"/>
    </w:p>
    <w:p w14:paraId="7539469A" w14:textId="5BDEAED0" w:rsidR="00B65FBF" w:rsidRDefault="00B65FBF" w:rsidP="003822C5">
      <w:pPr>
        <w:spacing w:after="120" w:line="276" w:lineRule="auto"/>
        <w:ind w:firstLine="708"/>
        <w:jc w:val="both"/>
        <w:rPr>
          <w:rFonts w:ascii="Verdana" w:eastAsia="Calibri" w:hAnsi="Verdana" w:cs="Arial"/>
        </w:rPr>
      </w:pPr>
      <w:r>
        <w:rPr>
          <w:rFonts w:ascii="Verdana" w:eastAsia="Calibri" w:hAnsi="Verdana" w:cs="Arial"/>
        </w:rPr>
        <w:t xml:space="preserve">Sin perjuicio de lo anterior debe advertirse que </w:t>
      </w:r>
      <w:r w:rsidR="003822C5">
        <w:rPr>
          <w:rFonts w:ascii="Verdana" w:eastAsia="Calibri" w:hAnsi="Verdana" w:cs="Arial"/>
        </w:rPr>
        <w:t xml:space="preserve">el análisis requerido para establecer el plazo contractual debe ser realizado por la entidad contratante en </w:t>
      </w:r>
      <w:r w:rsidR="003822C5">
        <w:rPr>
          <w:rFonts w:ascii="Verdana" w:eastAsia="Calibri" w:hAnsi="Verdana" w:cs="Arial"/>
        </w:rPr>
        <w:lastRenderedPageBreak/>
        <w:t xml:space="preserve">consideración a las particularidades y especificaciones del respectivo objeto contractual, así como las cláusulas fijadas en los documentos del proceso, el cual debe ser razonable y suficiente para el cumplimiento del objeto contractual. </w:t>
      </w:r>
      <w:r>
        <w:rPr>
          <w:rFonts w:ascii="Verdana" w:eastAsia="Calibri" w:hAnsi="Verdana" w:cs="Arial"/>
        </w:rPr>
        <w:t>De esta manera, lo explicado en el presente concepto no puede ser interpretado como un pronunciamiento respecto del plazo aludido en la petición, ni las afirmaciones aquí realizadas pueden ser interpretadas como juicios de valor sobre circunstancias relacionadas con los hechos que motivan la petición.</w:t>
      </w:r>
    </w:p>
    <w:p w14:paraId="72896551" w14:textId="2C614746" w:rsidR="005E184B" w:rsidRPr="00A277EA" w:rsidRDefault="00F63771" w:rsidP="00F63771">
      <w:pPr>
        <w:spacing w:line="276" w:lineRule="auto"/>
        <w:jc w:val="both"/>
        <w:rPr>
          <w:rFonts w:ascii="Verdana" w:hAnsi="Verdana" w:cs="Arial"/>
          <w:color w:val="000000" w:themeColor="text1"/>
        </w:rPr>
      </w:pPr>
      <w:r>
        <w:rPr>
          <w:rFonts w:ascii="Verdana" w:hAnsi="Verdana" w:cs="Arial"/>
          <w:color w:val="000000" w:themeColor="text1"/>
        </w:rPr>
        <w:t xml:space="preserve">v. </w:t>
      </w:r>
      <w:r w:rsidR="005E184B" w:rsidRPr="00A277EA">
        <w:rPr>
          <w:rFonts w:ascii="Verdana" w:hAnsi="Verdana" w:cs="Arial"/>
          <w:color w:val="000000" w:themeColor="text1"/>
        </w:rPr>
        <w:t>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1C00BA7B" w14:textId="5181ED2D" w:rsidR="005E184B" w:rsidRPr="00A277EA" w:rsidRDefault="005E184B" w:rsidP="005E184B">
      <w:pPr>
        <w:spacing w:after="0" w:line="276" w:lineRule="auto"/>
        <w:ind w:firstLine="708"/>
        <w:jc w:val="both"/>
        <w:rPr>
          <w:rFonts w:ascii="Verdana" w:eastAsia="Calibri" w:hAnsi="Verdana" w:cs="Arial"/>
          <w:lang w:val="es-ES" w:eastAsia="es-ES"/>
        </w:rPr>
      </w:pPr>
      <w:r w:rsidRPr="00A277EA">
        <w:rPr>
          <w:rFonts w:ascii="Verdana" w:hAnsi="Verdana" w:cs="Arial"/>
          <w:color w:val="000000" w:themeColor="text1"/>
        </w:rPr>
        <w:t xml:space="preserve">Dentro de este marco, el órgano disciplinario definirá en cada caso concreto lo relacionado con la tipicidad de las conductas investigadas en </w:t>
      </w:r>
      <w:r w:rsidRPr="00A277EA">
        <w:rPr>
          <w:rFonts w:ascii="Verdana" w:eastAsia="Calibri" w:hAnsi="Verdana" w:cs="Arial"/>
          <w:lang w:val="es-ES" w:eastAsia="es-ES"/>
        </w:rPr>
        <w:t xml:space="preserve">el proceso No. </w:t>
      </w:r>
      <w:r w:rsidR="00F54717" w:rsidRPr="00744509">
        <w:rPr>
          <w:rFonts w:ascii="Verdana" w:eastAsia="Aptos" w:hAnsi="Verdana" w:cs="Arial"/>
          <w:lang w:val="pt-PT" w:eastAsia="es-ES"/>
        </w:rPr>
        <w:t>IUS-E-2025-465555</w:t>
      </w:r>
      <w:r w:rsidRPr="00A277EA">
        <w:rPr>
          <w:rFonts w:ascii="Verdana" w:eastAsia="Calibri" w:hAnsi="Verdana" w:cs="Arial"/>
          <w:lang w:val="es-ES" w:eastAsia="es-ES"/>
        </w:rPr>
        <w:t xml:space="preserve">. </w:t>
      </w:r>
      <w:r w:rsidRPr="00A277EA">
        <w:rPr>
          <w:rFonts w:ascii="Verdana" w:hAnsi="Verdana" w:cs="Arial"/>
          <w:color w:val="000000" w:themeColor="text1"/>
        </w:rPr>
        <w:t>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62FEC371" w14:textId="77777777" w:rsidR="005E184B" w:rsidRPr="00A277EA" w:rsidRDefault="005E184B" w:rsidP="005E184B">
      <w:pPr>
        <w:spacing w:before="120" w:after="0" w:line="276" w:lineRule="auto"/>
        <w:ind w:firstLine="708"/>
        <w:jc w:val="both"/>
        <w:rPr>
          <w:rFonts w:ascii="Verdana" w:eastAsia="Calibri" w:hAnsi="Verdana" w:cs="Arial"/>
          <w:color w:val="000000" w:themeColor="text1"/>
        </w:rPr>
      </w:pPr>
    </w:p>
    <w:p w14:paraId="629CC02F" w14:textId="77777777" w:rsidR="005E184B" w:rsidRPr="00A277EA" w:rsidRDefault="005E184B" w:rsidP="005E184B">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A277EA">
        <w:rPr>
          <w:rFonts w:ascii="Verdana" w:eastAsia="Century Gothic" w:hAnsi="Verdana" w:cs="Century Gothic"/>
          <w:b/>
          <w:bCs/>
          <w:lang w:val="es-ES"/>
        </w:rPr>
        <w:t>Referencias normativas y jurisprudenciales:</w:t>
      </w:r>
    </w:p>
    <w:p w14:paraId="3285A7C3" w14:textId="77777777" w:rsidR="005E184B" w:rsidRPr="00A277EA" w:rsidRDefault="005E184B" w:rsidP="005E184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184B" w:rsidRPr="00A277EA" w14:paraId="1B84C8F8" w14:textId="77777777" w:rsidTr="00FF54BF">
        <w:trPr>
          <w:trHeight w:val="870"/>
          <w:jc w:val="center"/>
        </w:trPr>
        <w:tc>
          <w:tcPr>
            <w:tcW w:w="8647" w:type="dxa"/>
          </w:tcPr>
          <w:p w14:paraId="2E8AEFB3" w14:textId="20735101" w:rsidR="00012929" w:rsidRDefault="00012929" w:rsidP="006D2E57">
            <w:pPr>
              <w:widowControl w:val="0"/>
              <w:numPr>
                <w:ilvl w:val="0"/>
                <w:numId w:val="3"/>
              </w:numPr>
              <w:autoSpaceDE w:val="0"/>
              <w:autoSpaceDN w:val="0"/>
              <w:spacing w:line="276" w:lineRule="auto"/>
              <w:contextualSpacing/>
              <w:jc w:val="both"/>
              <w:rPr>
                <w:rFonts w:ascii="Verdana" w:hAnsi="Verdana" w:cs="Arial"/>
                <w:lang w:val="es-ES_tradnl"/>
              </w:rPr>
            </w:pPr>
            <w:r w:rsidRPr="00505CD6">
              <w:rPr>
                <w:rFonts w:ascii="Verdana" w:hAnsi="Verdana" w:cs="Arial"/>
                <w:lang w:val="es-ES_tradnl"/>
              </w:rPr>
              <w:t>Ley 1150 de 2007: artículo</w:t>
            </w:r>
            <w:r w:rsidR="00383D46">
              <w:rPr>
                <w:rFonts w:ascii="Verdana" w:hAnsi="Verdana" w:cs="Arial"/>
                <w:lang w:val="es-ES_tradnl"/>
              </w:rPr>
              <w:t>s</w:t>
            </w:r>
            <w:r w:rsidRPr="00505CD6">
              <w:rPr>
                <w:rFonts w:ascii="Verdana" w:hAnsi="Verdana" w:cs="Arial"/>
                <w:lang w:val="es-ES_tradnl"/>
              </w:rPr>
              <w:t xml:space="preserve"> </w:t>
            </w:r>
            <w:r>
              <w:rPr>
                <w:rFonts w:ascii="Verdana" w:hAnsi="Verdana" w:cs="Arial"/>
                <w:lang w:val="es-ES_tradnl"/>
              </w:rPr>
              <w:t>5</w:t>
            </w:r>
            <w:r w:rsidR="00383D46">
              <w:rPr>
                <w:rFonts w:ascii="Verdana" w:hAnsi="Verdana" w:cs="Arial"/>
                <w:lang w:val="es-ES_tradnl"/>
              </w:rPr>
              <w:t xml:space="preserve"> y 6</w:t>
            </w:r>
          </w:p>
          <w:p w14:paraId="68AA28D6" w14:textId="3BC76885" w:rsidR="00383D46" w:rsidRPr="00383D46" w:rsidRDefault="00383D46" w:rsidP="006D2E57">
            <w:pPr>
              <w:widowControl w:val="0"/>
              <w:numPr>
                <w:ilvl w:val="0"/>
                <w:numId w:val="3"/>
              </w:numPr>
              <w:autoSpaceDE w:val="0"/>
              <w:autoSpaceDN w:val="0"/>
              <w:spacing w:after="120" w:line="276" w:lineRule="auto"/>
              <w:jc w:val="both"/>
              <w:rPr>
                <w:rFonts w:ascii="Verdana" w:hAnsi="Verdana" w:cs="Arial"/>
                <w:lang w:val="es-ES"/>
              </w:rPr>
            </w:pPr>
            <w:r>
              <w:rPr>
                <w:rFonts w:ascii="Verdana" w:hAnsi="Verdana" w:cs="Arial"/>
                <w:lang w:val="es-ES"/>
              </w:rPr>
              <w:t xml:space="preserve">Decreto 1082 de 2015, artículos </w:t>
            </w:r>
            <w:r>
              <w:rPr>
                <w:rFonts w:ascii="Verdana" w:hAnsi="Verdana"/>
                <w:lang w:val="es-ES"/>
              </w:rPr>
              <w:t xml:space="preserve">2.2.1.1.1.3.1, </w:t>
            </w:r>
            <w:r>
              <w:rPr>
                <w:rFonts w:ascii="Verdana" w:eastAsia="Times New Roman" w:hAnsi="Verdana" w:cs="Arial"/>
                <w:color w:val="000000" w:themeColor="text1"/>
                <w:lang w:val="es-ES_tradnl" w:eastAsia="es-MX"/>
              </w:rPr>
              <w:t xml:space="preserve">2.2.1.1.1.5.2, </w:t>
            </w:r>
            <w:r>
              <w:rPr>
                <w:rFonts w:ascii="Verdana" w:eastAsia="Times New Roman" w:hAnsi="Verdana" w:cs="Arial"/>
                <w:color w:val="000000" w:themeColor="text1"/>
                <w:lang w:val="es-ES" w:eastAsia="es-MX"/>
              </w:rPr>
              <w:t xml:space="preserve">2.2.1.1.1.5.3., </w:t>
            </w:r>
            <w:r>
              <w:rPr>
                <w:rFonts w:ascii="Verdana" w:eastAsia="Arial MT" w:hAnsi="Verdana" w:cs="Arial"/>
                <w:lang w:val="es-ES"/>
              </w:rPr>
              <w:t xml:space="preserve">2.2.1.1.1.5.6., </w:t>
            </w:r>
            <w:r>
              <w:rPr>
                <w:rFonts w:ascii="Verdana" w:eastAsia="Times New Roman" w:hAnsi="Verdana" w:cs="Arial"/>
                <w:bdr w:val="none" w:sz="0" w:space="0" w:color="auto" w:frame="1"/>
                <w:lang w:val="es-ES"/>
              </w:rPr>
              <w:t>2.2.1.1.2.1.3., 2.2.1.1.1.4.1.</w:t>
            </w:r>
          </w:p>
          <w:p w14:paraId="231A7827" w14:textId="77777777" w:rsidR="00012929" w:rsidRPr="00505CD6" w:rsidRDefault="00012929" w:rsidP="006D2E57">
            <w:pPr>
              <w:widowControl w:val="0"/>
              <w:numPr>
                <w:ilvl w:val="0"/>
                <w:numId w:val="3"/>
              </w:numPr>
              <w:autoSpaceDE w:val="0"/>
              <w:autoSpaceDN w:val="0"/>
              <w:spacing w:line="276" w:lineRule="auto"/>
              <w:contextualSpacing/>
              <w:jc w:val="both"/>
              <w:rPr>
                <w:rFonts w:ascii="Verdana" w:hAnsi="Verdana" w:cs="Arial"/>
                <w:lang w:val="es-ES_tradnl"/>
              </w:rPr>
            </w:pPr>
            <w:r w:rsidRPr="00505CD6">
              <w:rPr>
                <w:rFonts w:ascii="Verdana" w:hAnsi="Verdana" w:cs="Arial"/>
                <w:lang w:val="es-ES_tradnl"/>
              </w:rPr>
              <w:t xml:space="preserve">Corte Constitucional. Sentencia C-942 del 1 de octubre de 2008. M.P: </w:t>
            </w:r>
            <w:r w:rsidRPr="00505CD6">
              <w:rPr>
                <w:rFonts w:ascii="Verdana" w:hAnsi="Verdana" w:cs="Arial"/>
                <w:lang w:val="es-ES_tradnl"/>
              </w:rPr>
              <w:lastRenderedPageBreak/>
              <w:t>Manuel José Cepeda</w:t>
            </w:r>
          </w:p>
          <w:p w14:paraId="498026A4" w14:textId="77777777" w:rsidR="00012929" w:rsidRPr="00505CD6" w:rsidRDefault="00012929" w:rsidP="006D2E57">
            <w:pPr>
              <w:widowControl w:val="0"/>
              <w:numPr>
                <w:ilvl w:val="0"/>
                <w:numId w:val="3"/>
              </w:numPr>
              <w:autoSpaceDE w:val="0"/>
              <w:autoSpaceDN w:val="0"/>
              <w:spacing w:line="276" w:lineRule="auto"/>
              <w:contextualSpacing/>
              <w:jc w:val="both"/>
              <w:rPr>
                <w:rFonts w:ascii="Verdana" w:hAnsi="Verdana" w:cs="Arial"/>
                <w:lang w:val="es-ES_tradnl"/>
              </w:rPr>
            </w:pPr>
            <w:r w:rsidRPr="00505CD6">
              <w:rPr>
                <w:rFonts w:ascii="Verdana" w:hAnsi="Verdana" w:cs="Arial"/>
                <w:lang w:val="es-ES_tradnl"/>
              </w:rPr>
              <w:t>DÁVILA VINUEZA, Luis Guillermo. Régimen jurídico de la contratación estatal. Tercera edición, Bogotá: Legis, 2016. p. 355.</w:t>
            </w:r>
          </w:p>
          <w:p w14:paraId="54573D70" w14:textId="77777777" w:rsidR="00012929" w:rsidRPr="00505CD6" w:rsidRDefault="00012929" w:rsidP="006D2E57">
            <w:pPr>
              <w:widowControl w:val="0"/>
              <w:numPr>
                <w:ilvl w:val="0"/>
                <w:numId w:val="3"/>
              </w:numPr>
              <w:autoSpaceDE w:val="0"/>
              <w:autoSpaceDN w:val="0"/>
              <w:spacing w:line="276" w:lineRule="auto"/>
              <w:contextualSpacing/>
              <w:jc w:val="both"/>
              <w:rPr>
                <w:rFonts w:ascii="Verdana" w:hAnsi="Verdana" w:cs="Arial"/>
                <w:lang w:val="es-ES_tradnl"/>
              </w:rPr>
            </w:pPr>
            <w:r w:rsidRPr="00505CD6">
              <w:rPr>
                <w:rFonts w:ascii="Verdana" w:hAnsi="Verdana" w:cs="Arial"/>
                <w:lang w:val="es-ES_tradnl"/>
              </w:rPr>
              <w:t>RODRÍGUEZ TAMAYO, Mauricio F. Evaluación y rechazo de ofertas en la Ley 80 de 1993. Primera edición. Medellín: Librería Jurídica Sánchez, 2016. pp. 110-111.</w:t>
            </w:r>
          </w:p>
          <w:p w14:paraId="638F6735" w14:textId="77777777" w:rsidR="005E184B" w:rsidRPr="00383D46" w:rsidRDefault="00012929" w:rsidP="006D2E57">
            <w:pPr>
              <w:widowControl w:val="0"/>
              <w:numPr>
                <w:ilvl w:val="0"/>
                <w:numId w:val="3"/>
              </w:numPr>
              <w:autoSpaceDE w:val="0"/>
              <w:autoSpaceDN w:val="0"/>
              <w:spacing w:line="276" w:lineRule="auto"/>
              <w:jc w:val="both"/>
              <w:rPr>
                <w:rFonts w:ascii="Verdana" w:hAnsi="Verdana" w:cs="Arial"/>
              </w:rPr>
            </w:pPr>
            <w:r w:rsidRPr="00505CD6">
              <w:rPr>
                <w:rFonts w:ascii="Verdana" w:hAnsi="Verdana" w:cs="Arial"/>
                <w:lang w:val="es-ES_tradnl"/>
              </w:rPr>
              <w:t xml:space="preserve"> EXPÓSITO VELEZ, Juan C., El deber de selección objetiva, en: Del contrato estatal a los sistemas de compras públicas, por COVILLA MARTINEZ Juan C. y LOZANO VILLEGAS Germán (Eds.). Universidad Externado de Colombia, Bogotá, 2019. págs. 118-184.</w:t>
            </w:r>
          </w:p>
          <w:p w14:paraId="6E91E19D" w14:textId="77777777" w:rsidR="00383D46" w:rsidRPr="006D2E57" w:rsidRDefault="00383D46" w:rsidP="006D2E57">
            <w:pPr>
              <w:widowControl w:val="0"/>
              <w:numPr>
                <w:ilvl w:val="0"/>
                <w:numId w:val="3"/>
              </w:numPr>
              <w:autoSpaceDE w:val="0"/>
              <w:autoSpaceDN w:val="0"/>
              <w:spacing w:line="276" w:lineRule="auto"/>
              <w:jc w:val="both"/>
              <w:rPr>
                <w:rFonts w:ascii="Verdana" w:hAnsi="Verdana" w:cs="Arial"/>
              </w:rPr>
            </w:pPr>
            <w:r>
              <w:rPr>
                <w:rFonts w:ascii="Verdana" w:eastAsia="Times New Roman" w:hAnsi="Verdana" w:cs="Arial"/>
                <w:bdr w:val="none" w:sz="0" w:space="0" w:color="auto" w:frame="1"/>
                <w:lang w:val="es-MX" w:eastAsia="es-CO"/>
              </w:rPr>
              <w:t xml:space="preserve">Guía para la codificación de bienes y servicios de acuerdo con el código estándar de productos y servicios de Naciones Unidas, V.14.080. Disponible en línea: </w:t>
            </w:r>
            <w:hyperlink r:id="rId12" w:history="1">
              <w:r>
                <w:rPr>
                  <w:rStyle w:val="Hipervnculo"/>
                  <w:rFonts w:ascii="Verdana" w:eastAsia="Times New Roman" w:hAnsi="Verdana" w:cs="Arial"/>
                  <w:bdr w:val="none" w:sz="0" w:space="0" w:color="auto" w:frame="1"/>
                  <w:lang w:val="es-MX" w:eastAsia="es-CO"/>
                </w:rPr>
                <w:t>https://www.colombiacompra.gov.co/archivos/manual/guia-para-la-codificacion-de-bienes-y-servicios</w:t>
              </w:r>
            </w:hyperlink>
          </w:p>
          <w:p w14:paraId="086B6816" w14:textId="108E68C4" w:rsidR="006D2E57" w:rsidRPr="006D2E57" w:rsidRDefault="006D2E57" w:rsidP="006D2E57">
            <w:pPr>
              <w:numPr>
                <w:ilvl w:val="0"/>
                <w:numId w:val="3"/>
              </w:numPr>
              <w:spacing w:before="100" w:beforeAutospacing="1" w:after="160" w:afterAutospacing="1" w:line="276" w:lineRule="auto"/>
              <w:contextualSpacing/>
              <w:jc w:val="both"/>
              <w:rPr>
                <w:rFonts w:ascii="Verdana" w:eastAsia="Times New Roman" w:hAnsi="Verdana" w:cs="Arial"/>
                <w:color w:val="000000" w:themeColor="text1"/>
                <w:lang w:val="es-ES" w:eastAsia="es-CO"/>
              </w:rPr>
            </w:pPr>
            <w:r w:rsidRPr="008F0726">
              <w:rPr>
                <w:rFonts w:ascii="Verdana" w:eastAsia="Calibri" w:hAnsi="Verdana" w:cs="Arial"/>
                <w:lang w:val="es-ES" w:eastAsia="es-MX"/>
              </w:rPr>
              <w:t xml:space="preserve">Agencia Nacional de Contratación Pública – Colombia Compra Eficiente. Manual para determinar y verificar los requisitos habilitantes en los Procesos de Contratación. Disponible en: </w:t>
            </w:r>
            <w:hyperlink r:id="rId13" w:history="1">
              <w:r w:rsidRPr="008F0726">
                <w:rPr>
                  <w:rFonts w:ascii="Verdana" w:eastAsia="Times New Roman" w:hAnsi="Verdana" w:cs="Times New Roman"/>
                  <w:color w:val="0000FF"/>
                  <w:u w:val="single"/>
                  <w:lang w:val="es-ES" w:eastAsia="es-CO"/>
                </w:rPr>
                <w:t>cce-eicp-ma-04._manual_requisitos_habilitantes_v3_29-09-2023.pdf</w:t>
              </w:r>
            </w:hyperlink>
            <w:r w:rsidRPr="008F0726">
              <w:rPr>
                <w:rFonts w:ascii="Geomanist Light" w:eastAsia="Times New Roman" w:hAnsi="Geomanist Light" w:cs="Times New Roman"/>
                <w:lang w:val="es-ES" w:eastAsia="es-CO"/>
              </w:rPr>
              <w:t xml:space="preserve"> </w:t>
            </w:r>
          </w:p>
        </w:tc>
      </w:tr>
    </w:tbl>
    <w:p w14:paraId="501E95AE" w14:textId="77777777" w:rsidR="005E184B" w:rsidRPr="00A277EA" w:rsidRDefault="005E184B" w:rsidP="005E184B">
      <w:pPr>
        <w:widowControl w:val="0"/>
        <w:autoSpaceDE w:val="0"/>
        <w:autoSpaceDN w:val="0"/>
        <w:spacing w:after="0" w:line="276" w:lineRule="auto"/>
        <w:jc w:val="both"/>
        <w:rPr>
          <w:rFonts w:ascii="Verdana" w:hAnsi="Verdana" w:cs="Arial"/>
        </w:rPr>
      </w:pPr>
    </w:p>
    <w:p w14:paraId="406107E8" w14:textId="77777777" w:rsidR="005E184B" w:rsidRPr="00A277EA" w:rsidRDefault="005E184B" w:rsidP="005E184B">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A277EA">
        <w:rPr>
          <w:rFonts w:ascii="Verdana" w:eastAsia="Century Gothic" w:hAnsi="Verdana" w:cs="Century Gothic"/>
          <w:b/>
          <w:bCs/>
          <w:lang w:val="es-ES"/>
        </w:rPr>
        <w:t>Doctrina de la Agencia Nacional de Contratación Pública:</w:t>
      </w:r>
    </w:p>
    <w:p w14:paraId="657924FF" w14:textId="77777777" w:rsidR="005E184B" w:rsidRPr="00A277EA" w:rsidRDefault="005E184B" w:rsidP="005E184B">
      <w:pPr>
        <w:widowControl w:val="0"/>
        <w:autoSpaceDE w:val="0"/>
        <w:autoSpaceDN w:val="0"/>
        <w:spacing w:after="0" w:line="276" w:lineRule="auto"/>
        <w:jc w:val="both"/>
        <w:rPr>
          <w:rFonts w:ascii="Verdana" w:hAnsi="Verdana" w:cs="Arial"/>
        </w:rPr>
      </w:pPr>
    </w:p>
    <w:p w14:paraId="738D430B" w14:textId="77777777" w:rsidR="005E184B" w:rsidRPr="00A277EA" w:rsidRDefault="005E184B" w:rsidP="005E184B">
      <w:pPr>
        <w:widowControl w:val="0"/>
        <w:autoSpaceDE w:val="0"/>
        <w:autoSpaceDN w:val="0"/>
        <w:spacing w:after="0" w:line="276" w:lineRule="auto"/>
        <w:jc w:val="both"/>
        <w:rPr>
          <w:rFonts w:ascii="Verdana" w:hAnsi="Verdana" w:cs="Arial"/>
          <w:shd w:val="clear" w:color="auto" w:fill="FFFFFF"/>
          <w:lang w:val="es-ES"/>
        </w:rPr>
      </w:pPr>
      <w:r w:rsidRPr="00A277EA">
        <w:rPr>
          <w:rFonts w:ascii="Verdana" w:hAnsi="Verdana" w:cs="Arial"/>
          <w:shd w:val="clear" w:color="auto" w:fill="FFFFFF"/>
          <w:lang w:val="es-ES"/>
        </w:rPr>
        <w:t>Sobre la facultad que tienen las entidades estatales para modificar los pliegos de condiciones o documentos equivalentes se pronunció esta Subdirección en los conceptos con radicado No. 2201913000006236 de 26 de agosto de 2019, C–465 del 27 de julio de 2020, C–500 del 3 de agosto de 2020, C–557 del 21 de agosto de 2020, C-674 del 18 de noviembre de 2020, C-419 del 12 de agosto de 2021, C-744 del 4 de febrero de 2022, C-647 del 5 de octubre de 2022, C-788 de 2022, C-888 del 21 de diciembre de 2022, C-393 del 9 de septiembre de 2024. C-782 del 18 de noviembre de 2025 y C-607 del 26 de junio de 2025, entre otros. Es</w:t>
      </w:r>
      <w:r w:rsidRPr="00A277EA">
        <w:rPr>
          <w:rFonts w:ascii="Verdana" w:hAnsi="Verdana"/>
        </w:rPr>
        <w:t>tos y otros conceptos se encuentran disponibles para consulta en el Sistema de relatoría de la Agencia, al cual se puede acceder a través del siguiente enlace:</w:t>
      </w:r>
      <w:r w:rsidRPr="00A277EA">
        <w:rPr>
          <w:rFonts w:ascii="Verdana" w:hAnsi="Verdana" w:cs="Arial"/>
          <w:shd w:val="clear" w:color="auto" w:fill="FFFFFF"/>
          <w:lang w:val="es-ES"/>
        </w:rPr>
        <w:t xml:space="preserve"> </w:t>
      </w:r>
      <w:hyperlink r:id="rId14" w:history="1">
        <w:r w:rsidRPr="00A277EA">
          <w:rPr>
            <w:rFonts w:ascii="Verdana" w:hAnsi="Verdana" w:cs="Arial"/>
            <w:color w:val="0563C1" w:themeColor="hyperlink"/>
            <w:u w:val="single"/>
            <w:shd w:val="clear" w:color="auto" w:fill="FFFFFF"/>
            <w:lang w:val="es-ES"/>
          </w:rPr>
          <w:t>https://relatoria.colombiacompra.gov.co/busqueda/conceptos</w:t>
        </w:r>
      </w:hyperlink>
      <w:r w:rsidRPr="00A277EA">
        <w:rPr>
          <w:rFonts w:ascii="Verdana" w:hAnsi="Verdana" w:cs="Arial"/>
          <w:shd w:val="clear" w:color="auto" w:fill="FFFFFF"/>
          <w:lang w:val="es-ES"/>
        </w:rPr>
        <w:t>.</w:t>
      </w:r>
      <w:r w:rsidRPr="00A277EA">
        <w:rPr>
          <w:rFonts w:ascii="Verdana" w:hAnsi="Verdana" w:cs="Arial"/>
          <w:color w:val="FF0000"/>
          <w:shd w:val="clear" w:color="auto" w:fill="FFFFFF"/>
          <w:lang w:val="es-ES"/>
        </w:rPr>
        <w:t xml:space="preserve"> </w:t>
      </w:r>
    </w:p>
    <w:p w14:paraId="0D51F93B" w14:textId="77777777" w:rsidR="005E184B" w:rsidRPr="00A277EA" w:rsidRDefault="005E184B" w:rsidP="005E184B">
      <w:pPr>
        <w:widowControl w:val="0"/>
        <w:autoSpaceDE w:val="0"/>
        <w:autoSpaceDN w:val="0"/>
        <w:spacing w:after="0" w:line="276" w:lineRule="auto"/>
        <w:jc w:val="both"/>
        <w:rPr>
          <w:rFonts w:ascii="Verdana" w:hAnsi="Verdana" w:cs="Arial"/>
          <w:shd w:val="clear" w:color="auto" w:fill="FFFFFF"/>
          <w:lang w:val="es-ES"/>
        </w:rPr>
      </w:pPr>
    </w:p>
    <w:p w14:paraId="1CD30635" w14:textId="77777777" w:rsidR="005E184B" w:rsidRPr="00A277EA" w:rsidRDefault="005E184B" w:rsidP="005E184B">
      <w:pPr>
        <w:shd w:val="clear" w:color="auto" w:fill="FFFFFF"/>
        <w:spacing w:after="120" w:line="276" w:lineRule="auto"/>
        <w:jc w:val="both"/>
        <w:textAlignment w:val="baseline"/>
        <w:rPr>
          <w:rFonts w:ascii="Verdana" w:eastAsia="Times New Roman" w:hAnsi="Verdana" w:cs="Times New Roman"/>
          <w:color w:val="242424"/>
          <w:lang w:eastAsia="es-CO"/>
        </w:rPr>
      </w:pPr>
      <w:r w:rsidRPr="00A277EA">
        <w:rPr>
          <w:rFonts w:ascii="Verdana" w:eastAsia="Times New Roman" w:hAnsi="Verdana" w:cs="Times New Roman"/>
          <w:color w:val="000000"/>
          <w:bdr w:val="none" w:sz="0" w:space="0" w:color="auto" w:frame="1"/>
          <w:lang w:eastAsia="es-CO"/>
        </w:rPr>
        <w:lastRenderedPageBreak/>
        <w:t>También le contamos que ya se encuentra disponible la </w:t>
      </w:r>
      <w:r w:rsidRPr="00A277EA">
        <w:rPr>
          <w:rFonts w:ascii="Verdana" w:eastAsia="Times New Roman" w:hAnsi="Verdana" w:cs="Times New Roman"/>
          <w:b/>
          <w:bCs/>
          <w:color w:val="000000"/>
          <w:bdr w:val="none" w:sz="0" w:space="0" w:color="auto" w:frame="1"/>
          <w:lang w:eastAsia="es-CO"/>
        </w:rPr>
        <w:t>Guía de lineamientos de transparencia y selección objetiva para el departamento de La Guajira – Objetivo sexto constitucional de la Sentencia T-302 del 2017. </w:t>
      </w:r>
      <w:r w:rsidRPr="00A277EA">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277EA">
        <w:rPr>
          <w:rFonts w:ascii="Verdana" w:eastAsia="Times New Roman" w:hAnsi="Verdana" w:cs="Times New Roman"/>
          <w:color w:val="000000"/>
          <w:bdr w:val="none" w:sz="0" w:space="0" w:color="auto" w:frame="1"/>
          <w:lang w:eastAsia="es-CO"/>
        </w:rPr>
        <w:t>Wayúu</w:t>
      </w:r>
      <w:proofErr w:type="spellEnd"/>
      <w:r w:rsidRPr="00A277EA">
        <w:rPr>
          <w:rFonts w:ascii="Verdana" w:eastAsia="Times New Roman" w:hAnsi="Verdana" w:cs="Times New Roman"/>
          <w:color w:val="000000"/>
          <w:bdr w:val="none" w:sz="0" w:space="0" w:color="auto" w:frame="1"/>
          <w:lang w:eastAsia="es-CO"/>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A277EA">
          <w:rPr>
            <w:rFonts w:ascii="Verdana" w:eastAsia="Times New Roman" w:hAnsi="Verdana" w:cs="Times New Roman"/>
            <w:color w:val="467886"/>
            <w:u w:val="single"/>
            <w:bdr w:val="none" w:sz="0" w:space="0" w:color="auto" w:frame="1"/>
            <w:lang w:eastAsia="es-CO"/>
          </w:rPr>
          <w:t>Guía de lineamientos de transparencia y selección objetiva para el departamento de La Guajira – Objetivo sexto constitucional de la Sentencia T-302 del 2017</w:t>
        </w:r>
      </w:hyperlink>
      <w:r w:rsidRPr="00A277EA">
        <w:rPr>
          <w:rFonts w:ascii="Verdana" w:eastAsia="Times New Roman" w:hAnsi="Verdana" w:cs="Times New Roman"/>
          <w:color w:val="467886"/>
          <w:u w:val="single"/>
          <w:bdr w:val="none" w:sz="0" w:space="0" w:color="auto" w:frame="1"/>
          <w:lang w:eastAsia="es-CO"/>
        </w:rPr>
        <w:t>"</w:t>
      </w:r>
    </w:p>
    <w:p w14:paraId="66A1D473" w14:textId="77777777" w:rsidR="005E184B" w:rsidRPr="00A277EA" w:rsidRDefault="005E184B" w:rsidP="005E184B">
      <w:pPr>
        <w:widowControl w:val="0"/>
        <w:autoSpaceDE w:val="0"/>
        <w:autoSpaceDN w:val="0"/>
        <w:spacing w:after="0" w:line="276" w:lineRule="auto"/>
        <w:jc w:val="both"/>
        <w:rPr>
          <w:rFonts w:ascii="Verdana" w:hAnsi="Verdana" w:cs="Arial"/>
        </w:rPr>
      </w:pPr>
    </w:p>
    <w:p w14:paraId="69603EA1" w14:textId="77777777" w:rsidR="005E184B" w:rsidRPr="00A277EA" w:rsidRDefault="005E184B" w:rsidP="005E184B">
      <w:pPr>
        <w:widowControl w:val="0"/>
        <w:autoSpaceDE w:val="0"/>
        <w:autoSpaceDN w:val="0"/>
        <w:spacing w:after="0" w:line="276" w:lineRule="auto"/>
        <w:jc w:val="both"/>
        <w:rPr>
          <w:rFonts w:ascii="Verdana" w:hAnsi="Verdana" w:cs="Arial"/>
          <w:lang w:val="es-ES_tradnl"/>
        </w:rPr>
      </w:pPr>
      <w:r w:rsidRPr="00A277EA">
        <w:rPr>
          <w:rFonts w:ascii="Verdana" w:hAnsi="Verdana" w:cs="Arial"/>
        </w:rPr>
        <w:t xml:space="preserve">Este concepto tiene el alcance previsto en el artículo 28 del Código de Procedimiento Administrativo y de lo Contencioso Administrativo </w:t>
      </w:r>
      <w:r w:rsidRPr="00A277EA">
        <w:rPr>
          <w:rFonts w:ascii="Verdana" w:hAnsi="Verdana" w:cs="Arial"/>
          <w:lang w:val="es-ES_tradnl"/>
        </w:rPr>
        <w:t>y las expresiones aquí utilizadas con mayúscula inicial deben ser entendidas con el significado que les otorga el artículo 2.2.1.1.1.3.1. del Decreto 1082 de 2015.</w:t>
      </w:r>
    </w:p>
    <w:p w14:paraId="2C4F942F" w14:textId="77777777" w:rsidR="005E184B" w:rsidRPr="00A277EA" w:rsidRDefault="005E184B" w:rsidP="005E184B">
      <w:pPr>
        <w:widowControl w:val="0"/>
        <w:autoSpaceDE w:val="0"/>
        <w:autoSpaceDN w:val="0"/>
        <w:spacing w:after="0" w:line="276" w:lineRule="auto"/>
        <w:jc w:val="both"/>
        <w:rPr>
          <w:rFonts w:ascii="Verdana" w:hAnsi="Verdana" w:cs="Arial"/>
        </w:rPr>
      </w:pPr>
    </w:p>
    <w:p w14:paraId="03F4A5EC" w14:textId="77777777" w:rsidR="005E184B" w:rsidRPr="00A277EA" w:rsidRDefault="005E184B" w:rsidP="005E184B">
      <w:pPr>
        <w:spacing w:after="0" w:line="240" w:lineRule="auto"/>
        <w:rPr>
          <w:rFonts w:ascii="Verdana" w:hAnsi="Verdana" w:cs="Arial"/>
          <w:lang w:eastAsia="es-CO"/>
        </w:rPr>
      </w:pPr>
      <w:r w:rsidRPr="00A277EA">
        <w:rPr>
          <w:rFonts w:ascii="Verdana" w:eastAsia="Times New Roman" w:hAnsi="Verdana" w:cs="Arial"/>
          <w:lang w:eastAsia="es-CO"/>
        </w:rPr>
        <w:t>Atentamente,</w:t>
      </w:r>
      <w:r w:rsidRPr="00A277EA">
        <w:rPr>
          <w:rFonts w:ascii="Verdana" w:hAnsi="Verdana" w:cs="Arial"/>
          <w:lang w:eastAsia="es-CO"/>
        </w:rPr>
        <w:t xml:space="preserve"> </w:t>
      </w:r>
    </w:p>
    <w:p w14:paraId="5B8DEFDA" w14:textId="7C7824D9" w:rsidR="005E184B" w:rsidRPr="00A277EA" w:rsidRDefault="00DE7A34" w:rsidP="005E184B">
      <w:pPr>
        <w:spacing w:line="276" w:lineRule="auto"/>
        <w:jc w:val="center"/>
        <w:rPr>
          <w:rFonts w:ascii="Verdana" w:hAnsi="Verdana" w:cs="Arial"/>
          <w:color w:val="000000"/>
          <w:lang w:eastAsia="es-CO"/>
        </w:rPr>
      </w:pPr>
      <w:r>
        <w:rPr>
          <w:noProof/>
        </w:rPr>
        <w:drawing>
          <wp:inline distT="0" distB="0" distL="0" distR="0" wp14:anchorId="282A9A89" wp14:editId="05773D6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184B" w:rsidRPr="00A277EA" w14:paraId="1BF9B962" w14:textId="77777777" w:rsidTr="00FF54BF">
        <w:trPr>
          <w:trHeight w:val="315"/>
        </w:trPr>
        <w:tc>
          <w:tcPr>
            <w:tcW w:w="893" w:type="dxa"/>
            <w:vAlign w:val="center"/>
            <w:hideMark/>
          </w:tcPr>
          <w:p w14:paraId="6F3762F9" w14:textId="77777777" w:rsidR="005E184B" w:rsidRPr="00A277EA" w:rsidRDefault="005E184B" w:rsidP="00FF54BF">
            <w:pPr>
              <w:contextualSpacing/>
              <w:rPr>
                <w:rFonts w:ascii="Verdana" w:hAnsi="Verdana" w:cs="Arial"/>
                <w:sz w:val="16"/>
                <w:szCs w:val="16"/>
                <w:lang w:eastAsia="es-ES"/>
              </w:rPr>
            </w:pPr>
            <w:r w:rsidRPr="00A277E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ADCD00F" w14:textId="77777777" w:rsidR="005E184B" w:rsidRPr="00A277EA" w:rsidRDefault="005E184B" w:rsidP="00FF54BF">
            <w:pPr>
              <w:contextualSpacing/>
              <w:rPr>
                <w:rFonts w:ascii="Verdana" w:hAnsi="Verdana"/>
                <w:sz w:val="16"/>
                <w:szCs w:val="16"/>
              </w:rPr>
            </w:pPr>
            <w:r w:rsidRPr="00A277EA">
              <w:rPr>
                <w:rFonts w:ascii="Verdana" w:hAnsi="Verdana"/>
                <w:sz w:val="16"/>
                <w:szCs w:val="16"/>
              </w:rPr>
              <w:t>Tatiana Baquero Iguarán</w:t>
            </w:r>
          </w:p>
          <w:p w14:paraId="4426B4FA" w14:textId="77777777" w:rsidR="005E184B" w:rsidRPr="00A277EA" w:rsidRDefault="005E184B" w:rsidP="00FF54BF">
            <w:pPr>
              <w:contextualSpacing/>
              <w:rPr>
                <w:rFonts w:ascii="Verdana" w:eastAsia="Arial" w:hAnsi="Verdana" w:cs="Arial"/>
                <w:sz w:val="16"/>
                <w:szCs w:val="16"/>
              </w:rPr>
            </w:pPr>
            <w:r w:rsidRPr="00A277EA">
              <w:rPr>
                <w:rFonts w:ascii="Verdana" w:hAnsi="Verdana"/>
                <w:sz w:val="16"/>
                <w:szCs w:val="16"/>
              </w:rPr>
              <w:t>Contratista de la Subdirección de Gestión Contractual</w:t>
            </w:r>
          </w:p>
        </w:tc>
      </w:tr>
      <w:tr w:rsidR="005E184B" w:rsidRPr="00A277EA" w14:paraId="5215CBEB" w14:textId="77777777" w:rsidTr="00FF54BF">
        <w:trPr>
          <w:trHeight w:val="330"/>
        </w:trPr>
        <w:tc>
          <w:tcPr>
            <w:tcW w:w="893" w:type="dxa"/>
            <w:vAlign w:val="center"/>
            <w:hideMark/>
          </w:tcPr>
          <w:p w14:paraId="5649A0EB" w14:textId="77777777" w:rsidR="005E184B" w:rsidRPr="00A277EA" w:rsidRDefault="005E184B" w:rsidP="00FF54BF">
            <w:pPr>
              <w:contextualSpacing/>
              <w:rPr>
                <w:rFonts w:ascii="Verdana" w:hAnsi="Verdana" w:cs="Arial"/>
                <w:sz w:val="16"/>
                <w:szCs w:val="16"/>
                <w:lang w:eastAsia="es-ES"/>
              </w:rPr>
            </w:pPr>
            <w:r w:rsidRPr="00A277E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AF39AD" w14:textId="77777777" w:rsidR="005E184B" w:rsidRPr="00A277EA" w:rsidRDefault="005E184B" w:rsidP="00FF54BF">
            <w:pPr>
              <w:textAlignment w:val="baseline"/>
              <w:rPr>
                <w:rFonts w:ascii="Verdana" w:eastAsia="Times New Roman" w:hAnsi="Verdana" w:cs="Arial"/>
                <w:sz w:val="16"/>
                <w:szCs w:val="16"/>
                <w:lang w:val="es-MX" w:eastAsia="es-CO"/>
              </w:rPr>
            </w:pPr>
            <w:r w:rsidRPr="00A277EA">
              <w:rPr>
                <w:rFonts w:ascii="Verdana" w:eastAsia="Times New Roman" w:hAnsi="Verdana" w:cs="Arial"/>
                <w:sz w:val="16"/>
                <w:szCs w:val="16"/>
                <w:lang w:val="es-MX" w:eastAsia="es-CO"/>
              </w:rPr>
              <w:t>Alejandro Raúl Sarmiento Cantillo</w:t>
            </w:r>
          </w:p>
          <w:p w14:paraId="1A4487AE" w14:textId="77777777" w:rsidR="005E184B" w:rsidRPr="00A277EA" w:rsidRDefault="005E184B" w:rsidP="00FF54BF">
            <w:pPr>
              <w:spacing w:before="100" w:beforeAutospacing="1" w:after="100" w:afterAutospacing="1"/>
              <w:contextualSpacing/>
              <w:textAlignment w:val="baseline"/>
              <w:rPr>
                <w:rFonts w:ascii="Verdana" w:eastAsia="Times New Roman" w:hAnsi="Verdana" w:cs="Segoe UI"/>
                <w:sz w:val="16"/>
                <w:szCs w:val="16"/>
                <w:lang w:eastAsia="es-ES_tradnl"/>
              </w:rPr>
            </w:pPr>
            <w:r w:rsidRPr="00A277EA">
              <w:rPr>
                <w:rFonts w:ascii="Verdana" w:eastAsia="Times New Roman" w:hAnsi="Verdana" w:cs="Arial"/>
                <w:sz w:val="16"/>
                <w:szCs w:val="16"/>
                <w:lang w:val="es-MX" w:eastAsia="es-CO"/>
              </w:rPr>
              <w:t>Gestor T1-15 de la Subdirección de Gestión Contractual</w:t>
            </w:r>
          </w:p>
        </w:tc>
      </w:tr>
      <w:tr w:rsidR="005E184B" w:rsidRPr="00A277EA" w14:paraId="7B2187F8" w14:textId="77777777" w:rsidTr="00FF54BF">
        <w:trPr>
          <w:trHeight w:val="300"/>
        </w:trPr>
        <w:tc>
          <w:tcPr>
            <w:tcW w:w="893" w:type="dxa"/>
            <w:vAlign w:val="center"/>
          </w:tcPr>
          <w:p w14:paraId="293CC892" w14:textId="77777777" w:rsidR="005E184B" w:rsidRPr="00A277EA" w:rsidRDefault="005E184B" w:rsidP="00FF54BF">
            <w:pPr>
              <w:contextualSpacing/>
              <w:rPr>
                <w:rFonts w:ascii="Verdana" w:hAnsi="Verdana" w:cs="Arial"/>
                <w:sz w:val="16"/>
                <w:szCs w:val="16"/>
                <w:lang w:eastAsia="es-ES"/>
              </w:rPr>
            </w:pPr>
            <w:r w:rsidRPr="00A277E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E7467C" w14:textId="77777777" w:rsidR="005E184B" w:rsidRPr="00A277EA" w:rsidRDefault="005E184B" w:rsidP="00FF54BF">
            <w:pPr>
              <w:contextualSpacing/>
              <w:rPr>
                <w:rFonts w:ascii="Verdana" w:eastAsia="Calibri" w:hAnsi="Verdana" w:cs="Arial"/>
                <w:sz w:val="16"/>
                <w:szCs w:val="16"/>
                <w:lang w:eastAsia="es-ES"/>
              </w:rPr>
            </w:pPr>
            <w:r w:rsidRPr="00A277EA">
              <w:rPr>
                <w:rFonts w:ascii="Verdana" w:eastAsia="Calibri" w:hAnsi="Verdana" w:cs="Arial"/>
                <w:sz w:val="16"/>
                <w:szCs w:val="16"/>
                <w:lang w:eastAsia="es-ES"/>
              </w:rPr>
              <w:t xml:space="preserve">Carolina Quintero </w:t>
            </w:r>
            <w:proofErr w:type="spellStart"/>
            <w:r w:rsidRPr="00A277EA">
              <w:rPr>
                <w:rFonts w:ascii="Verdana" w:eastAsia="Calibri" w:hAnsi="Verdana" w:cs="Arial"/>
                <w:sz w:val="16"/>
                <w:szCs w:val="16"/>
                <w:lang w:eastAsia="es-ES"/>
              </w:rPr>
              <w:t>Gacharná</w:t>
            </w:r>
            <w:proofErr w:type="spellEnd"/>
          </w:p>
          <w:p w14:paraId="1287B46D" w14:textId="77777777" w:rsidR="005E184B" w:rsidRPr="00A277EA" w:rsidRDefault="005E184B" w:rsidP="00FF54BF">
            <w:pPr>
              <w:contextualSpacing/>
              <w:rPr>
                <w:rFonts w:ascii="Verdana" w:eastAsia="Calibri" w:hAnsi="Verdana" w:cs="Arial"/>
                <w:sz w:val="16"/>
                <w:szCs w:val="16"/>
                <w:lang w:eastAsia="es-ES"/>
              </w:rPr>
            </w:pPr>
            <w:r w:rsidRPr="00A277EA">
              <w:rPr>
                <w:rFonts w:ascii="Verdana" w:eastAsia="Calibri" w:hAnsi="Verdana" w:cs="Arial"/>
                <w:sz w:val="16"/>
                <w:szCs w:val="16"/>
                <w:lang w:eastAsia="es-ES"/>
              </w:rPr>
              <w:t>Subdirectora de Gestión Contractual ANCP – CCE</w:t>
            </w:r>
          </w:p>
        </w:tc>
      </w:tr>
    </w:tbl>
    <w:p w14:paraId="506A3525" w14:textId="77777777" w:rsidR="005E184B" w:rsidRPr="00A277EA" w:rsidRDefault="005E184B" w:rsidP="005E184B"/>
    <w:p w14:paraId="1585B69E" w14:textId="77777777" w:rsidR="005E184B" w:rsidRPr="00A277EA" w:rsidRDefault="005E184B" w:rsidP="005E184B">
      <w:pPr>
        <w:spacing w:after="0" w:line="240" w:lineRule="auto"/>
        <w:rPr>
          <w:rFonts w:ascii="Verdana" w:eastAsia="Times New Roman" w:hAnsi="Verdana" w:cs="Arial"/>
          <w:sz w:val="24"/>
          <w:szCs w:val="24"/>
          <w:lang w:eastAsia="es-ES"/>
        </w:rPr>
      </w:pPr>
    </w:p>
    <w:p w14:paraId="45BB8DA3" w14:textId="77777777" w:rsidR="005E184B" w:rsidRPr="00A277EA" w:rsidRDefault="005E184B" w:rsidP="005E184B"/>
    <w:p w14:paraId="630C9B28" w14:textId="77777777" w:rsidR="00E5735C" w:rsidRDefault="00E5735C" w:rsidP="009070DF">
      <w:pPr>
        <w:spacing w:after="0" w:line="240" w:lineRule="auto"/>
        <w:rPr>
          <w:rFonts w:ascii="Verdana" w:eastAsia="Geomanist Light" w:hAnsi="Verdana" w:cs="Arial"/>
          <w:color w:val="000000" w:themeColor="text1"/>
        </w:rPr>
      </w:pPr>
    </w:p>
    <w:p w14:paraId="7AC77A96" w14:textId="77777777" w:rsidR="00E5735C" w:rsidRDefault="00E5735C" w:rsidP="009070DF">
      <w:pPr>
        <w:spacing w:after="0" w:line="240" w:lineRule="auto"/>
        <w:rPr>
          <w:rFonts w:ascii="Verdana" w:eastAsia="Geomanist Light" w:hAnsi="Verdana" w:cs="Arial"/>
          <w:color w:val="000000" w:themeColor="text1"/>
        </w:rPr>
      </w:pPr>
    </w:p>
    <w:sectPr w:rsidR="00E5735C" w:rsidSect="00C44B4C">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D2205" w14:textId="77777777" w:rsidR="00D854F3" w:rsidRDefault="00D854F3" w:rsidP="00B30448">
      <w:pPr>
        <w:spacing w:after="0" w:line="240" w:lineRule="auto"/>
      </w:pPr>
      <w:r>
        <w:separator/>
      </w:r>
    </w:p>
  </w:endnote>
  <w:endnote w:type="continuationSeparator" w:id="0">
    <w:p w14:paraId="468B999F" w14:textId="77777777" w:rsidR="00D854F3" w:rsidRDefault="00D854F3" w:rsidP="00B30448">
      <w:pPr>
        <w:spacing w:after="0" w:line="240" w:lineRule="auto"/>
      </w:pPr>
      <w:r>
        <w:continuationSeparator/>
      </w:r>
    </w:p>
  </w:endnote>
  <w:endnote w:type="continuationNotice" w:id="1">
    <w:p w14:paraId="0102FEA9" w14:textId="77777777" w:rsidR="00D854F3" w:rsidRDefault="00D854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79BFE" w14:textId="77777777" w:rsidR="00D854F3" w:rsidRDefault="00D854F3" w:rsidP="00B30448">
      <w:pPr>
        <w:spacing w:after="0" w:line="240" w:lineRule="auto"/>
      </w:pPr>
      <w:r>
        <w:separator/>
      </w:r>
    </w:p>
  </w:footnote>
  <w:footnote w:type="continuationSeparator" w:id="0">
    <w:p w14:paraId="4953181C" w14:textId="77777777" w:rsidR="00D854F3" w:rsidRDefault="00D854F3" w:rsidP="00B30448">
      <w:pPr>
        <w:spacing w:after="0" w:line="240" w:lineRule="auto"/>
      </w:pPr>
      <w:r>
        <w:continuationSeparator/>
      </w:r>
    </w:p>
  </w:footnote>
  <w:footnote w:type="continuationNotice" w:id="1">
    <w:p w14:paraId="4C7227F3" w14:textId="77777777" w:rsidR="00D854F3" w:rsidRDefault="00D854F3">
      <w:pPr>
        <w:spacing w:after="0" w:line="240" w:lineRule="auto"/>
      </w:pPr>
    </w:p>
  </w:footnote>
  <w:footnote w:id="2">
    <w:p w14:paraId="4FD19B41" w14:textId="77777777" w:rsidR="00F05159" w:rsidRPr="009E02B6" w:rsidRDefault="00F05159" w:rsidP="00F05159">
      <w:pPr>
        <w:pStyle w:val="NormalWeb"/>
        <w:snapToGrid w:val="0"/>
        <w:spacing w:after="0"/>
        <w:ind w:firstLine="709"/>
        <w:contextualSpacing/>
        <w:jc w:val="both"/>
        <w:rPr>
          <w:rFonts w:ascii="Verdana" w:hAnsi="Verdana" w:cs="Arial"/>
          <w:sz w:val="16"/>
          <w:szCs w:val="16"/>
        </w:rPr>
      </w:pPr>
      <w:r w:rsidRPr="009E02B6">
        <w:rPr>
          <w:rStyle w:val="Refdenotaalpie"/>
          <w:rFonts w:ascii="Verdana" w:hAnsi="Verdana" w:cs="Arial"/>
          <w:sz w:val="16"/>
          <w:szCs w:val="16"/>
        </w:rPr>
        <w:footnoteRef/>
      </w:r>
      <w:r w:rsidRPr="009E02B6">
        <w:rPr>
          <w:rFonts w:ascii="Verdana" w:hAnsi="Verdana" w:cs="Arial"/>
          <w:sz w:val="16"/>
          <w:szCs w:val="16"/>
        </w:rPr>
        <w:t xml:space="preserve"> </w:t>
      </w:r>
      <w:r w:rsidRPr="009E02B6">
        <w:rPr>
          <w:rFonts w:ascii="Verdana" w:hAnsi="Verdana" w:cs="Arial"/>
          <w:sz w:val="16"/>
          <w:szCs w:val="16"/>
          <w:lang w:val="es-ES"/>
        </w:rPr>
        <w:t>“</w:t>
      </w:r>
      <w:r w:rsidRPr="009E02B6">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373DF3F1" w14:textId="77777777" w:rsidR="00F05159" w:rsidRPr="009E02B6" w:rsidRDefault="00F05159" w:rsidP="00F05159">
      <w:pPr>
        <w:snapToGrid w:val="0"/>
        <w:spacing w:after="0" w:line="240" w:lineRule="auto"/>
        <w:ind w:firstLine="708"/>
        <w:contextualSpacing/>
        <w:jc w:val="both"/>
        <w:rPr>
          <w:rFonts w:ascii="Verdana" w:hAnsi="Verdana" w:cs="Arial"/>
          <w:sz w:val="16"/>
          <w:szCs w:val="16"/>
        </w:rPr>
      </w:pPr>
      <w:r w:rsidRPr="009E02B6">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5EC42A88" w14:textId="77777777" w:rsidR="00F05159" w:rsidRPr="009E02B6" w:rsidRDefault="00F05159" w:rsidP="00F05159">
      <w:pPr>
        <w:pStyle w:val="Textonotapie"/>
        <w:ind w:firstLine="708"/>
        <w:contextualSpacing/>
        <w:jc w:val="both"/>
        <w:rPr>
          <w:rFonts w:ascii="Verdana" w:hAnsi="Verdana"/>
          <w:sz w:val="16"/>
          <w:szCs w:val="16"/>
        </w:rPr>
      </w:pPr>
      <w:r w:rsidRPr="009E02B6">
        <w:rPr>
          <w:rStyle w:val="Refdenotaalpie"/>
          <w:rFonts w:ascii="Verdana" w:hAnsi="Verdana"/>
          <w:sz w:val="16"/>
          <w:szCs w:val="16"/>
        </w:rPr>
        <w:footnoteRef/>
      </w:r>
      <w:r w:rsidRPr="009E02B6">
        <w:rPr>
          <w:rFonts w:ascii="Verdana" w:hAnsi="Verdana"/>
          <w:sz w:val="16"/>
          <w:szCs w:val="16"/>
        </w:rPr>
        <w:t xml:space="preserve"> El </w:t>
      </w:r>
      <w:r w:rsidRPr="009E02B6">
        <w:rPr>
          <w:rFonts w:ascii="Verdana" w:eastAsia="Times New Roman" w:hAnsi="Verdana" w:cs="Arial"/>
          <w:sz w:val="16"/>
          <w:szCs w:val="16"/>
          <w:lang w:val="es-ES" w:eastAsia="es-MX"/>
        </w:rPr>
        <w:t>“Manual para determinar y verificar los requisitos habilitantes en los Procesos de Contratación”</w:t>
      </w:r>
      <w:r w:rsidRPr="009E02B6">
        <w:rPr>
          <w:rFonts w:ascii="Verdana" w:eastAsia="Calibri" w:hAnsi="Verdana" w:cs="Arial"/>
          <w:sz w:val="16"/>
          <w:szCs w:val="16"/>
          <w:lang w:val="es-ES" w:eastAsia="es-MX"/>
        </w:rPr>
        <w:t>,</w:t>
      </w:r>
      <w:r w:rsidRPr="009E02B6">
        <w:rPr>
          <w:rFonts w:ascii="Verdana" w:eastAsia="Times New Roman" w:hAnsi="Verdana" w:cs="Arial"/>
          <w:sz w:val="16"/>
          <w:szCs w:val="16"/>
          <w:lang w:val="es-ES" w:eastAsia="es-MX"/>
        </w:rPr>
        <w:t xml:space="preserve"> expedido por la </w:t>
      </w:r>
      <w:r w:rsidRPr="009E02B6">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9E02B6">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9E02B6">
        <w:rPr>
          <w:rFonts w:ascii="Verdana" w:eastAsia="Calibri" w:hAnsi="Verdana" w:cs="Arial"/>
          <w:sz w:val="16"/>
          <w:szCs w:val="16"/>
          <w:lang w:val="es-ES" w:eastAsia="es-MX"/>
        </w:rPr>
        <w:t xml:space="preserve">  </w:t>
      </w:r>
    </w:p>
  </w:footnote>
  <w:footnote w:id="4">
    <w:p w14:paraId="26A09646" w14:textId="77777777" w:rsidR="00F05159" w:rsidRPr="009E02B6" w:rsidRDefault="00F05159" w:rsidP="00F05159">
      <w:pPr>
        <w:pStyle w:val="NormalWeb"/>
        <w:snapToGrid w:val="0"/>
        <w:spacing w:after="0"/>
        <w:ind w:firstLine="709"/>
        <w:contextualSpacing/>
        <w:jc w:val="both"/>
        <w:rPr>
          <w:rFonts w:ascii="Verdana" w:hAnsi="Verdana" w:cs="Arial"/>
          <w:sz w:val="16"/>
          <w:szCs w:val="16"/>
          <w:lang w:val="es-ES"/>
        </w:rPr>
      </w:pPr>
      <w:r w:rsidRPr="009E02B6">
        <w:rPr>
          <w:rStyle w:val="Refdenotaalpie"/>
          <w:rFonts w:ascii="Verdana" w:hAnsi="Verdana" w:cs="Arial"/>
          <w:sz w:val="16"/>
          <w:szCs w:val="16"/>
        </w:rPr>
        <w:footnoteRef/>
      </w:r>
      <w:r w:rsidRPr="009E02B6">
        <w:rPr>
          <w:rStyle w:val="Refdenotaalpie"/>
          <w:rFonts w:ascii="Verdana" w:hAnsi="Verdana" w:cs="Arial"/>
          <w:sz w:val="16"/>
          <w:szCs w:val="16"/>
        </w:rPr>
        <w:t xml:space="preserve"> </w:t>
      </w:r>
      <w:r w:rsidRPr="009E02B6">
        <w:rPr>
          <w:rFonts w:ascii="Verdana" w:hAnsi="Verdana" w:cs="Arial"/>
          <w:sz w:val="16"/>
          <w:szCs w:val="16"/>
        </w:rPr>
        <w:t>“</w:t>
      </w:r>
      <w:r w:rsidRPr="009E02B6">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79B1C05C" w14:textId="77777777" w:rsidR="00F05159" w:rsidRPr="009E02B6" w:rsidRDefault="00F05159" w:rsidP="00F05159">
      <w:pPr>
        <w:pStyle w:val="NormalWeb"/>
        <w:snapToGrid w:val="0"/>
        <w:spacing w:after="0"/>
        <w:ind w:firstLine="709"/>
        <w:contextualSpacing/>
        <w:jc w:val="both"/>
        <w:rPr>
          <w:rFonts w:ascii="Verdana" w:hAnsi="Verdana" w:cs="Arial"/>
          <w:sz w:val="16"/>
          <w:szCs w:val="16"/>
          <w:lang w:val="es-ES"/>
        </w:rPr>
      </w:pPr>
      <w:r w:rsidRPr="009E02B6">
        <w:rPr>
          <w:rFonts w:ascii="Verdana" w:hAnsi="Verdana" w:cs="Arial"/>
          <w:sz w:val="16"/>
          <w:szCs w:val="16"/>
          <w:lang w:val="es-ES"/>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332D8DD2" w14:textId="77777777" w:rsidR="00F05159" w:rsidRPr="009E02B6" w:rsidRDefault="00F05159" w:rsidP="00F05159">
      <w:pPr>
        <w:pStyle w:val="NormalWeb"/>
        <w:snapToGrid w:val="0"/>
        <w:spacing w:after="0"/>
        <w:ind w:firstLine="708"/>
        <w:contextualSpacing/>
        <w:jc w:val="both"/>
        <w:rPr>
          <w:rFonts w:ascii="Verdana" w:hAnsi="Verdana" w:cs="Arial"/>
          <w:sz w:val="16"/>
          <w:szCs w:val="16"/>
          <w:lang w:val="es-ES"/>
        </w:rPr>
      </w:pPr>
      <w:r w:rsidRPr="009E02B6">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9E02B6">
        <w:rPr>
          <w:rFonts w:ascii="Verdana" w:hAnsi="Verdana" w:cs="Verdana"/>
          <w:sz w:val="16"/>
          <w:szCs w:val="16"/>
          <w:lang w:val="es-ES"/>
        </w:rPr>
        <w:t>”</w:t>
      </w:r>
      <w:r w:rsidRPr="009E02B6">
        <w:rPr>
          <w:rFonts w:ascii="Verdana" w:hAnsi="Verdana" w:cs="Arial"/>
          <w:sz w:val="16"/>
          <w:szCs w:val="16"/>
          <w:lang w:val="es-ES"/>
        </w:rPr>
        <w:t>.</w:t>
      </w:r>
    </w:p>
    <w:p w14:paraId="75A689A0" w14:textId="77777777" w:rsidR="00F05159" w:rsidRPr="009E02B6" w:rsidRDefault="00F05159" w:rsidP="00F05159">
      <w:pPr>
        <w:pStyle w:val="NormalWeb"/>
        <w:snapToGrid w:val="0"/>
        <w:spacing w:after="0"/>
        <w:ind w:firstLine="708"/>
        <w:contextualSpacing/>
        <w:jc w:val="both"/>
        <w:rPr>
          <w:rStyle w:val="Refdenotaalpie"/>
          <w:rFonts w:ascii="Verdana" w:hAnsi="Verdana"/>
          <w:sz w:val="16"/>
          <w:szCs w:val="16"/>
        </w:rPr>
      </w:pPr>
    </w:p>
  </w:footnote>
  <w:footnote w:id="5">
    <w:p w14:paraId="10FAC540" w14:textId="77777777" w:rsidR="00F05159" w:rsidRPr="009E02B6" w:rsidRDefault="00F05159" w:rsidP="00F05159">
      <w:pPr>
        <w:pStyle w:val="Textonotapie"/>
        <w:ind w:firstLine="708"/>
        <w:contextualSpacing/>
        <w:jc w:val="both"/>
        <w:rPr>
          <w:rFonts w:ascii="Verdana" w:hAnsi="Verdana"/>
          <w:sz w:val="16"/>
          <w:szCs w:val="16"/>
        </w:rPr>
      </w:pPr>
      <w:r w:rsidRPr="009E02B6">
        <w:rPr>
          <w:rStyle w:val="Refdenotaalpie"/>
          <w:rFonts w:ascii="Verdana" w:hAnsi="Verdana"/>
          <w:sz w:val="16"/>
          <w:szCs w:val="16"/>
        </w:rPr>
        <w:footnoteRef/>
      </w:r>
      <w:r w:rsidRPr="009E02B6">
        <w:rPr>
          <w:rFonts w:ascii="Verdana" w:hAnsi="Verdana"/>
          <w:sz w:val="16"/>
          <w:szCs w:val="16"/>
        </w:rPr>
        <w:t xml:space="preserve"> </w:t>
      </w:r>
      <w:bookmarkStart w:id="15" w:name="44"/>
      <w:r w:rsidRPr="009E02B6">
        <w:rPr>
          <w:rFonts w:ascii="Verdana" w:hAnsi="Verdana"/>
          <w:sz w:val="16"/>
          <w:szCs w:val="16"/>
        </w:rPr>
        <w:t xml:space="preserve">Sobre el particular el </w:t>
      </w:r>
      <w:r w:rsidRPr="009E02B6">
        <w:rPr>
          <w:rFonts w:ascii="Verdana" w:hAnsi="Verdana"/>
          <w:sz w:val="16"/>
          <w:szCs w:val="16"/>
          <w:lang w:val="es-CO"/>
        </w:rPr>
        <w:t>artículo 44 de la Ley 1437 de 2011, dispone: “Decisiones Discrecionales.</w:t>
      </w:r>
      <w:bookmarkEnd w:id="15"/>
      <w:r w:rsidRPr="009E02B6">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6">
    <w:p w14:paraId="77DC353F" w14:textId="77777777" w:rsidR="00C8288D" w:rsidRPr="007F45DF" w:rsidRDefault="00C8288D" w:rsidP="00C8288D">
      <w:pPr>
        <w:pStyle w:val="Textonotapie"/>
        <w:ind w:firstLine="709"/>
        <w:rPr>
          <w:rFonts w:ascii="Verdana" w:hAnsi="Verdana"/>
          <w:sz w:val="16"/>
          <w:szCs w:val="16"/>
          <w:lang w:val="es-CO"/>
        </w:rPr>
      </w:pPr>
      <w:r w:rsidRPr="007F45DF">
        <w:rPr>
          <w:rStyle w:val="Refdenotaalpie"/>
          <w:rFonts w:ascii="Verdana" w:hAnsi="Verdana"/>
          <w:sz w:val="16"/>
          <w:szCs w:val="16"/>
        </w:rPr>
        <w:footnoteRef/>
      </w:r>
      <w:r w:rsidRPr="007F45DF">
        <w:rPr>
          <w:rFonts w:ascii="Verdana" w:hAnsi="Verdana"/>
          <w:sz w:val="16"/>
          <w:szCs w:val="16"/>
        </w:rPr>
        <w:t xml:space="preserve"> </w:t>
      </w:r>
      <w:r w:rsidRPr="007F45DF">
        <w:rPr>
          <w:rFonts w:ascii="Verdana" w:hAnsi="Verdana" w:cs="Arial"/>
          <w:sz w:val="16"/>
          <w:szCs w:val="16"/>
        </w:rPr>
        <w:t>Gaceta 096 de 2007. Disponible en</w:t>
      </w:r>
      <w:r>
        <w:rPr>
          <w:rFonts w:ascii="Verdana" w:hAnsi="Verdana" w:cs="Arial"/>
          <w:sz w:val="16"/>
          <w:szCs w:val="16"/>
        </w:rPr>
        <w:t>:</w:t>
      </w:r>
      <w:r w:rsidRPr="005B3AC8">
        <w:t xml:space="preserve"> </w:t>
      </w:r>
      <w:hyperlink r:id="rId2" w:history="1">
        <w:r w:rsidRPr="00646601">
          <w:rPr>
            <w:rStyle w:val="Hipervnculo"/>
            <w:rFonts w:ascii="Verdana" w:hAnsi="Verdana" w:cs="Arial"/>
            <w:sz w:val="16"/>
            <w:szCs w:val="16"/>
          </w:rPr>
          <w:t>https://svrpubindc.imprenta.gov.co/senado/</w:t>
        </w:r>
      </w:hyperlink>
      <w:r>
        <w:rPr>
          <w:rFonts w:ascii="Verdana" w:hAnsi="Verdana" w:cs="Arial"/>
          <w:sz w:val="16"/>
          <w:szCs w:val="16"/>
        </w:rPr>
        <w:t xml:space="preserve"> </w:t>
      </w:r>
    </w:p>
  </w:footnote>
  <w:footnote w:id="7">
    <w:p w14:paraId="55F3B9BB" w14:textId="77777777" w:rsidR="00C8288D" w:rsidRPr="007F45DF" w:rsidRDefault="00C8288D" w:rsidP="00C8288D">
      <w:pPr>
        <w:pStyle w:val="Textonotapie"/>
        <w:ind w:firstLine="709"/>
        <w:rPr>
          <w:rFonts w:ascii="Verdana" w:hAnsi="Verdana"/>
          <w:sz w:val="16"/>
          <w:szCs w:val="16"/>
          <w:lang w:val="es-CO"/>
        </w:rPr>
      </w:pPr>
      <w:r w:rsidRPr="007F45DF">
        <w:rPr>
          <w:rStyle w:val="Refdenotaalpie"/>
          <w:rFonts w:ascii="Verdana" w:hAnsi="Verdana"/>
          <w:sz w:val="16"/>
          <w:szCs w:val="16"/>
        </w:rPr>
        <w:footnoteRef/>
      </w:r>
      <w:r w:rsidRPr="007F45DF">
        <w:rPr>
          <w:rFonts w:ascii="Verdana" w:hAnsi="Verdana"/>
          <w:sz w:val="16"/>
          <w:szCs w:val="16"/>
        </w:rPr>
        <w:t xml:space="preserve"> </w:t>
      </w:r>
      <w:r w:rsidRPr="007F45DF">
        <w:rPr>
          <w:rFonts w:ascii="Verdana" w:hAnsi="Verdana"/>
          <w:sz w:val="16"/>
          <w:szCs w:val="16"/>
          <w:lang w:val="es-CO"/>
        </w:rPr>
        <w:t>Corte Constitucional. Sentencia C-942 del 1 de octubre de 2008. M.P: Manuel José Cepeda</w:t>
      </w:r>
    </w:p>
  </w:footnote>
  <w:footnote w:id="8">
    <w:p w14:paraId="022920EA" w14:textId="77777777" w:rsidR="00C8288D" w:rsidRPr="007F45DF" w:rsidRDefault="00C8288D" w:rsidP="00C8288D">
      <w:pPr>
        <w:pStyle w:val="Textonotapie"/>
        <w:ind w:firstLine="709"/>
        <w:jc w:val="both"/>
        <w:rPr>
          <w:rFonts w:ascii="Verdana" w:hAnsi="Verdana"/>
          <w:sz w:val="16"/>
          <w:szCs w:val="16"/>
          <w:lang w:val="es-CO"/>
        </w:rPr>
      </w:pPr>
      <w:r w:rsidRPr="007F45DF">
        <w:rPr>
          <w:rStyle w:val="Refdenotaalpie"/>
          <w:rFonts w:ascii="Verdana" w:hAnsi="Verdana"/>
          <w:sz w:val="16"/>
          <w:szCs w:val="16"/>
        </w:rPr>
        <w:footnoteRef/>
      </w:r>
      <w:r w:rsidRPr="007F45DF">
        <w:rPr>
          <w:rFonts w:ascii="Verdana" w:hAnsi="Verdana"/>
          <w:sz w:val="16"/>
          <w:szCs w:val="16"/>
        </w:rPr>
        <w:t xml:space="preserve"> El Instituto Colombiano de Normas Técnicas y Certificación, ICONTEC, es el organismo nacional de normalización, según el Decreto 2269 de 1993.</w:t>
      </w:r>
    </w:p>
  </w:footnote>
  <w:footnote w:id="9">
    <w:p w14:paraId="7EE06CA6" w14:textId="77777777" w:rsidR="00C8288D" w:rsidRPr="007F45DF" w:rsidRDefault="00C8288D" w:rsidP="00C8288D">
      <w:pPr>
        <w:pStyle w:val="Textonotapie"/>
        <w:ind w:firstLine="709"/>
        <w:rPr>
          <w:rFonts w:ascii="Verdana" w:hAnsi="Verdana"/>
          <w:sz w:val="16"/>
          <w:szCs w:val="16"/>
          <w:lang w:val="es-CO"/>
        </w:rPr>
      </w:pPr>
      <w:r w:rsidRPr="007F45DF">
        <w:rPr>
          <w:rStyle w:val="Refdenotaalpie"/>
          <w:rFonts w:ascii="Verdana" w:hAnsi="Verdana"/>
          <w:sz w:val="16"/>
          <w:szCs w:val="16"/>
        </w:rPr>
        <w:footnoteRef/>
      </w:r>
      <w:r w:rsidRPr="007F45DF">
        <w:rPr>
          <w:rFonts w:ascii="Verdana" w:hAnsi="Verdana"/>
          <w:sz w:val="16"/>
          <w:szCs w:val="16"/>
        </w:rPr>
        <w:t xml:space="preserve"> </w:t>
      </w:r>
      <w:hyperlink r:id="rId3" w:history="1">
        <w:r w:rsidRPr="007F45DF">
          <w:rPr>
            <w:rStyle w:val="Hipervnculo"/>
            <w:rFonts w:ascii="Verdana" w:hAnsi="Verdana"/>
            <w:sz w:val="16"/>
            <w:szCs w:val="16"/>
          </w:rPr>
          <w:t>https://www.icontec.org/eval_conformidad/certificacion-iso-9001-sistema-de-gestion-de-calidad/</w:t>
        </w:r>
      </w:hyperlink>
      <w:r w:rsidRPr="007F45DF">
        <w:rPr>
          <w:rFonts w:ascii="Verdana" w:hAnsi="Verdana"/>
          <w:sz w:val="16"/>
          <w:szCs w:val="16"/>
        </w:rPr>
        <w:t xml:space="preserve"> </w:t>
      </w:r>
    </w:p>
  </w:footnote>
  <w:footnote w:id="10">
    <w:p w14:paraId="3D95FFED" w14:textId="77777777" w:rsidR="00B40B59" w:rsidRDefault="00B40B59" w:rsidP="00B40B59">
      <w:pPr>
        <w:pStyle w:val="Textonotapie"/>
        <w:ind w:firstLine="708"/>
        <w:jc w:val="both"/>
        <w:rPr>
          <w:rStyle w:val="Hipervnculo"/>
          <w:sz w:val="16"/>
          <w:szCs w:val="16"/>
        </w:rPr>
      </w:pPr>
      <w:r>
        <w:rPr>
          <w:rStyle w:val="Refdenotaalpie"/>
          <w:rFonts w:ascii="Verdana" w:hAnsi="Verdana" w:cs="Arial"/>
          <w:sz w:val="16"/>
          <w:szCs w:val="16"/>
        </w:rPr>
        <w:footnoteRef/>
      </w:r>
      <w:r>
        <w:rPr>
          <w:rFonts w:ascii="Verdana" w:hAnsi="Verdana" w:cs="Arial"/>
          <w:sz w:val="16"/>
          <w:szCs w:val="16"/>
        </w:rPr>
        <w:t xml:space="preserve"> Agencia Nacional de Contratación Pública – Colombia Compra Eficiente. Guía para la codificación de bienes y servicios de acuerdo con el código estándar de productos y servicios de Naciones Unidas, V.14.080. Disponible en: </w:t>
      </w:r>
      <w:hyperlink r:id="rId4" w:history="1">
        <w:r>
          <w:rPr>
            <w:rStyle w:val="Hipervnculo"/>
            <w:rFonts w:ascii="Verdana" w:eastAsia="Times New Roman" w:hAnsi="Verdana" w:cs="Arial"/>
            <w:sz w:val="16"/>
            <w:szCs w:val="16"/>
            <w:bdr w:val="none" w:sz="0" w:space="0" w:color="auto" w:frame="1"/>
            <w:lang w:eastAsia="es-CO"/>
          </w:rPr>
          <w:t>https://www.colombiacompra.gov.co/archivos/manual/guia-para-la-codificacion-de-bienes-y-servicios</w:t>
        </w:r>
      </w:hyperlink>
      <w:r>
        <w:rPr>
          <w:rFonts w:ascii="Verdana" w:eastAsia="Times New Roman" w:hAnsi="Verdana" w:cs="Arial"/>
          <w:sz w:val="16"/>
          <w:szCs w:val="16"/>
          <w:bdr w:val="none" w:sz="0" w:space="0" w:color="auto" w:frame="1"/>
          <w:lang w:eastAsia="es-CO"/>
        </w:rPr>
        <w:t>.</w:t>
      </w:r>
      <w:hyperlink r:id="rId5" w:history="1">
        <w:r>
          <w:rPr>
            <w:rStyle w:val="Hipervnculo"/>
          </w:rPr>
          <w:t>https://www.colombiacompra.gov.co/sites/cce_public/files/cce_documents/cce_guia_codificacion_bienes.pdf</w:t>
        </w:r>
      </w:hyperlink>
    </w:p>
    <w:p w14:paraId="3E87F699" w14:textId="77777777" w:rsidR="00B40B59" w:rsidRDefault="00B40B59" w:rsidP="00B40B59">
      <w:pPr>
        <w:pStyle w:val="Textonotapie"/>
        <w:ind w:firstLine="708"/>
        <w:jc w:val="both"/>
      </w:pPr>
    </w:p>
  </w:footnote>
  <w:footnote w:id="11">
    <w:p w14:paraId="010C1AB6" w14:textId="77777777" w:rsidR="00B40B59" w:rsidRDefault="00B40B59" w:rsidP="00B40B5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Colombia Compra Eficiente establecerá los lineamientos y el formato que debe ser utilizado para elaborar el Plan Anual de Adquisiciones”.</w:t>
      </w:r>
    </w:p>
    <w:p w14:paraId="48696466" w14:textId="77777777" w:rsidR="00B40B59" w:rsidRDefault="00B40B59" w:rsidP="00B40B59">
      <w:pPr>
        <w:pStyle w:val="Textonotapie"/>
        <w:rPr>
          <w:rFonts w:ascii="Verdana" w:hAnsi="Verdana" w:cs="Arial"/>
          <w:sz w:val="16"/>
          <w:szCs w:val="16"/>
        </w:rPr>
      </w:pPr>
    </w:p>
  </w:footnote>
  <w:footnote w:id="12">
    <w:p w14:paraId="0E3D844F" w14:textId="77777777" w:rsidR="00B40B59" w:rsidRDefault="00B40B59" w:rsidP="00B40B59">
      <w:pPr>
        <w:pStyle w:val="NormalWeb"/>
        <w:spacing w:after="0"/>
        <w:ind w:firstLine="708"/>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w:t>
      </w:r>
      <w:r>
        <w:rPr>
          <w:rFonts w:ascii="Verdana" w:hAnsi="Verdana" w:cs="Arial"/>
          <w:color w:val="000000"/>
          <w:sz w:val="16"/>
          <w:szCs w:val="16"/>
        </w:rPr>
        <w:t>Artículo 2.2.1.1.1.5.2. Información para inscripción, renovación o actualización</w:t>
      </w:r>
      <w:r>
        <w:rPr>
          <w:rFonts w:ascii="Verdana" w:hAnsi="Verdana" w:cs="Arial"/>
          <w:bCs/>
          <w:color w:val="000000"/>
          <w:sz w:val="16"/>
          <w:szCs w:val="16"/>
        </w:rPr>
        <w:t>.</w:t>
      </w:r>
      <w:r>
        <w:rPr>
          <w:rFonts w:ascii="Verdana" w:hAnsi="Verdana" w:cs="Arial"/>
          <w:bCs/>
          <w:i/>
          <w:iCs/>
          <w:color w:val="000000"/>
          <w:sz w:val="16"/>
          <w:szCs w:val="16"/>
        </w:rPr>
        <w:t> </w:t>
      </w:r>
      <w:r>
        <w:rPr>
          <w:rFonts w:ascii="Verdana" w:hAnsi="Verdana" w:cs="Arial"/>
          <w:color w:val="000000"/>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6909952D" w14:textId="77777777" w:rsidR="00B40B59" w:rsidRDefault="00B40B59" w:rsidP="00B40B59">
      <w:pPr>
        <w:spacing w:after="0" w:line="240" w:lineRule="auto"/>
        <w:jc w:val="both"/>
        <w:rPr>
          <w:rFonts w:ascii="Verdana" w:eastAsia="Times New Roman" w:hAnsi="Verdana" w:cs="Arial"/>
          <w:color w:val="000000"/>
          <w:sz w:val="16"/>
          <w:szCs w:val="16"/>
          <w:lang w:eastAsia="es-CO"/>
        </w:rPr>
      </w:pPr>
      <w:r>
        <w:rPr>
          <w:rFonts w:ascii="Verdana" w:eastAsia="Times New Roman" w:hAnsi="Verdana" w:cs="Arial"/>
          <w:color w:val="000000"/>
          <w:sz w:val="16"/>
          <w:szCs w:val="16"/>
          <w:lang w:eastAsia="es-CO"/>
        </w:rPr>
        <w:t>  </w:t>
      </w:r>
      <w:r>
        <w:rPr>
          <w:rFonts w:ascii="Verdana" w:eastAsia="Times New Roman" w:hAnsi="Verdana" w:cs="Arial"/>
          <w:color w:val="000000"/>
          <w:sz w:val="16"/>
          <w:szCs w:val="16"/>
          <w:lang w:eastAsia="es-CO"/>
        </w:rPr>
        <w:tab/>
        <w:t>1. Si es una persona natural: </w:t>
      </w:r>
    </w:p>
    <w:p w14:paraId="2FACCE51" w14:textId="77777777" w:rsidR="00B40B59" w:rsidRDefault="00B40B59" w:rsidP="00B40B59">
      <w:pPr>
        <w:spacing w:after="0" w:line="240" w:lineRule="auto"/>
        <w:jc w:val="both"/>
        <w:rPr>
          <w:rFonts w:ascii="Verdana" w:eastAsia="Times New Roman" w:hAnsi="Verdana" w:cs="Arial"/>
          <w:color w:val="000000"/>
          <w:sz w:val="16"/>
          <w:szCs w:val="16"/>
          <w:lang w:eastAsia="es-CO"/>
        </w:rPr>
      </w:pPr>
      <w:r>
        <w:rPr>
          <w:rFonts w:ascii="Verdana" w:eastAsia="Times New Roman" w:hAnsi="Verdana" w:cs="Arial"/>
          <w:color w:val="000000"/>
          <w:sz w:val="16"/>
          <w:szCs w:val="16"/>
          <w:lang w:eastAsia="es-CO"/>
        </w:rPr>
        <w:t>  </w:t>
      </w:r>
      <w:r>
        <w:rPr>
          <w:rFonts w:ascii="Verdana" w:eastAsia="Times New Roman" w:hAnsi="Verdana" w:cs="Arial"/>
          <w:color w:val="000000"/>
          <w:sz w:val="16"/>
          <w:szCs w:val="16"/>
          <w:lang w:eastAsia="es-CO"/>
        </w:rPr>
        <w:tab/>
        <w:t>1.1. Bienes, obras y servicios que ofrecerá a las Entidades Estatales, identificados con el Clasificador de Bienes y Servicios en el tercer nivel. </w:t>
      </w:r>
    </w:p>
    <w:p w14:paraId="1373D3A4" w14:textId="77777777" w:rsidR="00B40B59" w:rsidRDefault="00B40B59" w:rsidP="00B40B59">
      <w:pPr>
        <w:spacing w:after="0" w:line="240" w:lineRule="auto"/>
        <w:jc w:val="both"/>
        <w:rPr>
          <w:rFonts w:ascii="Verdana" w:eastAsia="Times New Roman" w:hAnsi="Verdana" w:cs="Arial"/>
          <w:color w:val="000000"/>
          <w:sz w:val="16"/>
          <w:szCs w:val="16"/>
          <w:lang w:eastAsia="es-CO"/>
        </w:rPr>
      </w:pPr>
      <w:r>
        <w:rPr>
          <w:rFonts w:ascii="Verdana" w:eastAsia="Times New Roman" w:hAnsi="Verdana" w:cs="Arial"/>
          <w:color w:val="000000"/>
          <w:sz w:val="16"/>
          <w:szCs w:val="16"/>
          <w:lang w:eastAsia="es-CO"/>
        </w:rPr>
        <w:t>  </w:t>
      </w:r>
      <w:r>
        <w:rPr>
          <w:rFonts w:ascii="Verdana" w:eastAsia="Times New Roman" w:hAnsi="Verdana" w:cs="Arial"/>
          <w:color w:val="000000"/>
          <w:sz w:val="16"/>
          <w:szCs w:val="16"/>
          <w:lang w:eastAsia="es-CO"/>
        </w:rPr>
        <w:tab/>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5D8B08BA" w14:textId="77777777" w:rsidR="00B40B59" w:rsidRDefault="00B40B59" w:rsidP="00B40B59">
      <w:pPr>
        <w:pStyle w:val="Textonotapie"/>
        <w:ind w:firstLine="708"/>
        <w:jc w:val="both"/>
        <w:rPr>
          <w:rFonts w:ascii="Verdana" w:hAnsi="Verdana" w:cs="Arial"/>
          <w:sz w:val="16"/>
          <w:szCs w:val="16"/>
        </w:rPr>
      </w:pPr>
      <w:r>
        <w:rPr>
          <w:rFonts w:ascii="Verdana" w:hAnsi="Verdana" w:cs="Arial"/>
          <w:sz w:val="16"/>
          <w:szCs w:val="16"/>
        </w:rPr>
        <w:t xml:space="preserve"> […]</w:t>
      </w:r>
    </w:p>
    <w:p w14:paraId="39DAB2B8" w14:textId="77777777" w:rsidR="00B40B59" w:rsidRDefault="00B40B59" w:rsidP="00B40B59">
      <w:pPr>
        <w:pStyle w:val="Textonotapie"/>
        <w:ind w:firstLine="708"/>
        <w:jc w:val="both"/>
        <w:rPr>
          <w:rFonts w:ascii="Verdana" w:hAnsi="Verdana" w:cs="Arial"/>
          <w:sz w:val="16"/>
          <w:szCs w:val="16"/>
        </w:rPr>
      </w:pPr>
      <w:r>
        <w:rPr>
          <w:rFonts w:ascii="Verdana" w:hAnsi="Verdana" w:cs="Arial"/>
          <w:color w:val="000000"/>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tres (3) años, puede acreditar la experiencia de sus accionistas, socios o constituyente […]”.</w:t>
      </w:r>
    </w:p>
  </w:footnote>
  <w:footnote w:id="13">
    <w:p w14:paraId="16070CF2" w14:textId="77777777" w:rsidR="00B40B59" w:rsidRDefault="00B40B59" w:rsidP="00B40B59">
      <w:pPr>
        <w:pStyle w:val="Textonotapie"/>
        <w:rPr>
          <w:rFonts w:ascii="Verdana" w:hAnsi="Verdana" w:cs="Arial"/>
          <w:sz w:val="16"/>
          <w:szCs w:val="16"/>
        </w:rPr>
      </w:pPr>
    </w:p>
    <w:p w14:paraId="27885A0F" w14:textId="77777777" w:rsidR="00B40B59" w:rsidRDefault="00B40B59" w:rsidP="00B40B59">
      <w:pPr>
        <w:pStyle w:val="NormalWeb"/>
        <w:spacing w:after="0"/>
        <w:ind w:firstLine="708"/>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w:t>
      </w:r>
      <w:r>
        <w:rPr>
          <w:rFonts w:ascii="Verdana" w:hAnsi="Verdana" w:cs="Arial"/>
          <w:color w:val="000000"/>
          <w:sz w:val="16"/>
          <w:szCs w:val="16"/>
        </w:rPr>
        <w:t>Artículo 2.2.1.1.1.5.3. Requisitos habilitantes contenidos en el RUP</w:t>
      </w:r>
      <w:r>
        <w:rPr>
          <w:rFonts w:ascii="Verdana" w:hAnsi="Verdana" w:cs="Arial"/>
          <w:bCs/>
          <w:i/>
          <w:iCs/>
          <w:color w:val="000000"/>
          <w:sz w:val="16"/>
          <w:szCs w:val="16"/>
        </w:rPr>
        <w:t>. </w:t>
      </w:r>
      <w:r>
        <w:rPr>
          <w:rFonts w:ascii="Verdana" w:hAnsi="Verdana" w:cs="Arial"/>
          <w:color w:val="000000"/>
          <w:sz w:val="16"/>
          <w:szCs w:val="16"/>
        </w:rPr>
        <w:t>Las cámaras de comercio, con base en la información a la que hace referencia el artículo anterior, deben verificar y certificar los siguientes requisitos habilitantes: </w:t>
      </w:r>
    </w:p>
    <w:p w14:paraId="34F3C97E" w14:textId="77777777" w:rsidR="00B40B59" w:rsidRDefault="00B40B59" w:rsidP="00B40B59">
      <w:pPr>
        <w:spacing w:after="0"/>
        <w:jc w:val="both"/>
        <w:rPr>
          <w:rFonts w:ascii="Verdana" w:eastAsia="Times New Roman" w:hAnsi="Verdana" w:cs="Arial"/>
          <w:color w:val="000000"/>
          <w:sz w:val="16"/>
          <w:szCs w:val="16"/>
          <w:lang w:eastAsia="es-CO"/>
        </w:rPr>
      </w:pPr>
      <w:r>
        <w:rPr>
          <w:rFonts w:ascii="Verdana" w:eastAsia="Times New Roman" w:hAnsi="Verdana" w:cs="Arial"/>
          <w:color w:val="000000"/>
          <w:sz w:val="16"/>
          <w:szCs w:val="16"/>
          <w:lang w:eastAsia="es-CO"/>
        </w:rPr>
        <w:t>  </w:t>
      </w:r>
      <w:r>
        <w:rPr>
          <w:rFonts w:ascii="Verdana" w:eastAsia="Times New Roman" w:hAnsi="Verdana" w:cs="Arial"/>
          <w:color w:val="000000"/>
          <w:sz w:val="16"/>
          <w:szCs w:val="16"/>
          <w:lang w:eastAsia="es-CO"/>
        </w:rPr>
        <w:tab/>
        <w:t>1. Experiencia – Los contratos celebrados por el interesado para cada uno de los bienes, obras y servicios que ofrecerá a las Entidades Estatales, identificados con el Clasificador de Bienes y Servicios en el tercer nivel y su valor expresado en smmlv. </w:t>
      </w:r>
    </w:p>
    <w:p w14:paraId="0785AAAA" w14:textId="77777777" w:rsidR="00B40B59" w:rsidRDefault="00B40B59" w:rsidP="00B40B59">
      <w:pPr>
        <w:spacing w:after="0"/>
        <w:jc w:val="both"/>
        <w:rPr>
          <w:rFonts w:ascii="Verdana" w:eastAsia="Times New Roman" w:hAnsi="Verdana" w:cs="Arial"/>
          <w:color w:val="000000"/>
          <w:sz w:val="16"/>
          <w:szCs w:val="16"/>
          <w:lang w:eastAsia="es-CO"/>
        </w:rPr>
      </w:pPr>
      <w:r>
        <w:rPr>
          <w:rFonts w:ascii="Verdana" w:eastAsia="Times New Roman" w:hAnsi="Verdana" w:cs="Arial"/>
          <w:color w:val="000000"/>
          <w:sz w:val="16"/>
          <w:szCs w:val="16"/>
          <w:lang w:eastAsia="es-CO"/>
        </w:rPr>
        <w:t>  </w:t>
      </w:r>
      <w:r>
        <w:rPr>
          <w:rFonts w:ascii="Verdana" w:eastAsia="Times New Roman" w:hAnsi="Verdana" w:cs="Arial"/>
          <w:color w:val="000000"/>
          <w:sz w:val="16"/>
          <w:szCs w:val="16"/>
          <w:lang w:eastAsia="es-CO"/>
        </w:rPr>
        <w:tab/>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2DF0DE9A" w14:textId="77777777" w:rsidR="00B40B59" w:rsidRDefault="00B40B59" w:rsidP="00B40B59">
      <w:pPr>
        <w:pStyle w:val="Textonotapie"/>
        <w:ind w:firstLine="708"/>
        <w:rPr>
          <w:rFonts w:ascii="Verdana" w:hAnsi="Verdana" w:cs="Arial"/>
          <w:sz w:val="16"/>
          <w:szCs w:val="16"/>
        </w:rPr>
      </w:pPr>
    </w:p>
  </w:footnote>
  <w:footnote w:id="14">
    <w:p w14:paraId="0C987F2F" w14:textId="77777777" w:rsidR="00B40B59" w:rsidRDefault="00B40B59" w:rsidP="00B40B59">
      <w:pPr>
        <w:pStyle w:val="Textonotapie"/>
        <w:ind w:firstLine="708"/>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w:t>
      </w:r>
      <w:r>
        <w:rPr>
          <w:rStyle w:val="Textoennegrita"/>
          <w:rFonts w:ascii="Verdana" w:hAnsi="Verdana" w:cs="Arial"/>
          <w:color w:val="000000"/>
          <w:sz w:val="16"/>
          <w:szCs w:val="16"/>
        </w:rPr>
        <w:t>Artículo 2.2.1.1.1.5.6. </w:t>
      </w:r>
      <w:r>
        <w:rPr>
          <w:rStyle w:val="nfasis"/>
          <w:rFonts w:ascii="Verdana" w:hAnsi="Verdana" w:cs="Arial"/>
          <w:color w:val="000000"/>
          <w:sz w:val="16"/>
          <w:szCs w:val="16"/>
        </w:rPr>
        <w:t>Certificado del RUP. </w:t>
      </w:r>
      <w:r>
        <w:rPr>
          <w:rFonts w:ascii="Verdana" w:hAnsi="Verdana" w:cs="Arial"/>
          <w:color w:val="000000"/>
          <w:sz w:val="16"/>
          <w:szCs w:val="16"/>
        </w:rPr>
        <w:t>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que el proponente ha inscrito en el RUP. Las cámaras de comercio expedirán el certificado del RUP por solicitud de cualquier interesado. Las Entidades Estatales podrán acceder en línea y de forma gratuita a la información inscrita en el RUP».</w:t>
      </w:r>
    </w:p>
    <w:p w14:paraId="5153DB41" w14:textId="77777777" w:rsidR="00B40B59" w:rsidRDefault="00B40B59" w:rsidP="00B40B59">
      <w:pPr>
        <w:pStyle w:val="Textonotapie"/>
        <w:ind w:firstLine="708"/>
        <w:jc w:val="both"/>
        <w:rPr>
          <w:rFonts w:ascii="Verdana" w:hAnsi="Verdana" w:cs="Arial"/>
          <w:sz w:val="16"/>
          <w:szCs w:val="16"/>
        </w:rPr>
      </w:pPr>
      <w:r>
        <w:rPr>
          <w:rFonts w:ascii="Verdana" w:hAnsi="Verdana" w:cs="Arial"/>
          <w:sz w:val="16"/>
          <w:szCs w:val="16"/>
        </w:rPr>
        <w:t xml:space="preserve"> </w:t>
      </w:r>
    </w:p>
  </w:footnote>
  <w:footnote w:id="15">
    <w:p w14:paraId="190F3AC3" w14:textId="77777777" w:rsidR="00B40B59" w:rsidRDefault="00B40B59" w:rsidP="00B40B5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«Artículo 2.2.1.1.2.1.3. Pliegos de condiciones. Los pliegos de condiciones deben contener por lo menos la siguiente información:  </w:t>
      </w:r>
    </w:p>
    <w:p w14:paraId="784DFEC3" w14:textId="77777777" w:rsidR="00B40B59" w:rsidRDefault="00B40B59" w:rsidP="00B40B59">
      <w:pPr>
        <w:pStyle w:val="Textonotapie"/>
        <w:ind w:firstLine="708"/>
        <w:jc w:val="both"/>
        <w:rPr>
          <w:rFonts w:ascii="Verdana" w:hAnsi="Verdana" w:cs="Arial"/>
          <w:sz w:val="16"/>
          <w:szCs w:val="16"/>
        </w:rPr>
      </w:pPr>
      <w:r>
        <w:rPr>
          <w:rFonts w:ascii="Verdana" w:hAnsi="Verdana" w:cs="Arial"/>
          <w:sz w:val="16"/>
          <w:szCs w:val="16"/>
        </w:rPr>
        <w:t>»1. La descripción técnica, detallada y completa del bien o servicio objeto del contrato, identificado con el cuarto nivel del Clasificador de Bienes y Servicios, de ser posible o de lo contrario con el tercer nivel del mismo […]».</w:t>
      </w:r>
    </w:p>
    <w:p w14:paraId="63337A52" w14:textId="77777777" w:rsidR="00B40B59" w:rsidRDefault="00B40B59" w:rsidP="00B40B59">
      <w:pPr>
        <w:pStyle w:val="Textonotapie"/>
        <w:rPr>
          <w:rFonts w:ascii="Verdana" w:hAnsi="Verdana"/>
          <w:sz w:val="16"/>
          <w:szCs w:val="16"/>
        </w:rPr>
      </w:pPr>
    </w:p>
  </w:footnote>
  <w:footnote w:id="16">
    <w:p w14:paraId="48E882D1" w14:textId="77777777" w:rsidR="00B40B59" w:rsidRDefault="00B40B59" w:rsidP="00B40B59">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w:t>
      </w:r>
      <w:r>
        <w:rPr>
          <w:rFonts w:ascii="Verdana" w:hAnsi="Verdana" w:cs="Arial"/>
          <w:sz w:val="16"/>
          <w:szCs w:val="16"/>
        </w:rPr>
        <w:t xml:space="preserve">Agencia Nacional de Contratación Pública – Colombia Compra Eficiente. Guía para la codificación de bienes y servicios de acuerdo con el código estándar de productos y servicios de Naciones Unidas, V.14.080. Disponible en: </w:t>
      </w:r>
      <w:hyperlink r:id="rId6" w:history="1">
        <w:r>
          <w:rPr>
            <w:rStyle w:val="Hipervnculo"/>
            <w:rFonts w:ascii="Verdana" w:hAnsi="Verdana" w:cs="Arial"/>
            <w:sz w:val="16"/>
            <w:szCs w:val="16"/>
          </w:rPr>
          <w:t>https://www.colombiacompra.gov.co/sites/cce_public/files/cce_documents/cce_guia_codificacion_bienes.pdf</w:t>
        </w:r>
      </w:hyperlink>
    </w:p>
  </w:footnote>
  <w:footnote w:id="17">
    <w:p w14:paraId="1AEF5C67" w14:textId="77777777" w:rsidR="00B40B59" w:rsidRDefault="00B40B59" w:rsidP="00B40B59">
      <w:pPr>
        <w:pStyle w:val="Textonotapie"/>
        <w:ind w:firstLine="708"/>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Agencia Nacional de Contratación Pública. Manual para determinar los requisitos habilitantes en los procesos de contratación. Disponible en línea: </w:t>
      </w:r>
      <w:hyperlink r:id="rId7" w:history="1">
        <w:r>
          <w:rPr>
            <w:rStyle w:val="Hipervnculo"/>
            <w:rFonts w:ascii="Verdana" w:hAnsi="Verdana"/>
            <w:sz w:val="16"/>
            <w:szCs w:val="16"/>
          </w:rPr>
          <w:t>https://www.colombiacompra.gov.co/sites/cce_public/files/cce_documents/cce-eicp-ma-04._manual_requisitos_habilitantes_v3_29-09-2023.pdf</w:t>
        </w:r>
      </w:hyperlink>
    </w:p>
  </w:footnote>
  <w:footnote w:id="18">
    <w:p w14:paraId="6BB8920A" w14:textId="77777777" w:rsidR="00B40B59" w:rsidRDefault="00B40B59" w:rsidP="00B40B59">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Ibídem., p. 14.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9776"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203754402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4656"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83774450" name="Imagen 1583774450"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EE21C57"/>
    <w:multiLevelType w:val="hybridMultilevel"/>
    <w:tmpl w:val="C2B668A0"/>
    <w:lvl w:ilvl="0" w:tplc="47EA4482">
      <w:start w:val="1"/>
      <w:numFmt w:val="lowerRoman"/>
      <w:lvlText w:val="%1)"/>
      <w:lvlJc w:val="left"/>
      <w:pPr>
        <w:ind w:left="1080" w:hanging="720"/>
      </w:pPr>
      <w:rPr>
        <w:color w:val="000000" w:themeColor="text1"/>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C70657F"/>
    <w:multiLevelType w:val="hybridMultilevel"/>
    <w:tmpl w:val="EF089260"/>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7"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1822191344">
    <w:abstractNumId w:val="0"/>
  </w:num>
  <w:num w:numId="2" w16cid:durableId="503322225">
    <w:abstractNumId w:val="3"/>
  </w:num>
  <w:num w:numId="3" w16cid:durableId="89088677">
    <w:abstractNumId w:val="4"/>
  </w:num>
  <w:num w:numId="4" w16cid:durableId="263002292">
    <w:abstractNumId w:val="4"/>
  </w:num>
  <w:num w:numId="5" w16cid:durableId="2113670362">
    <w:abstractNumId w:val="6"/>
  </w:num>
  <w:num w:numId="6" w16cid:durableId="13785089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0935261">
    <w:abstractNumId w:val="7"/>
  </w:num>
  <w:num w:numId="8" w16cid:durableId="809439455">
    <w:abstractNumId w:val="8"/>
  </w:num>
  <w:num w:numId="9" w16cid:durableId="20089700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94183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2D55"/>
    <w:rsid w:val="00005237"/>
    <w:rsid w:val="000059AE"/>
    <w:rsid w:val="00005BB0"/>
    <w:rsid w:val="00006E3E"/>
    <w:rsid w:val="00006F59"/>
    <w:rsid w:val="0001025F"/>
    <w:rsid w:val="0001222D"/>
    <w:rsid w:val="000126CC"/>
    <w:rsid w:val="00012929"/>
    <w:rsid w:val="00016280"/>
    <w:rsid w:val="00016F04"/>
    <w:rsid w:val="000215C0"/>
    <w:rsid w:val="0002464B"/>
    <w:rsid w:val="0003082D"/>
    <w:rsid w:val="00030F7C"/>
    <w:rsid w:val="00031EAF"/>
    <w:rsid w:val="00033390"/>
    <w:rsid w:val="000369C0"/>
    <w:rsid w:val="000408AD"/>
    <w:rsid w:val="00042DD7"/>
    <w:rsid w:val="000442CC"/>
    <w:rsid w:val="00044B24"/>
    <w:rsid w:val="00047152"/>
    <w:rsid w:val="00050C95"/>
    <w:rsid w:val="000528BE"/>
    <w:rsid w:val="00053F8D"/>
    <w:rsid w:val="000561E8"/>
    <w:rsid w:val="0005620B"/>
    <w:rsid w:val="000577D3"/>
    <w:rsid w:val="00057963"/>
    <w:rsid w:val="000622B9"/>
    <w:rsid w:val="000631C9"/>
    <w:rsid w:val="00065C6D"/>
    <w:rsid w:val="000716AB"/>
    <w:rsid w:val="00071AB8"/>
    <w:rsid w:val="00076F81"/>
    <w:rsid w:val="00077CB3"/>
    <w:rsid w:val="0008462E"/>
    <w:rsid w:val="000867B4"/>
    <w:rsid w:val="00087073"/>
    <w:rsid w:val="00087C01"/>
    <w:rsid w:val="00094663"/>
    <w:rsid w:val="00095410"/>
    <w:rsid w:val="000A3BEE"/>
    <w:rsid w:val="000B1FF7"/>
    <w:rsid w:val="000B4024"/>
    <w:rsid w:val="000B42C3"/>
    <w:rsid w:val="000C01CF"/>
    <w:rsid w:val="000C060A"/>
    <w:rsid w:val="000C09DF"/>
    <w:rsid w:val="000C2B25"/>
    <w:rsid w:val="000C42A9"/>
    <w:rsid w:val="000D01D1"/>
    <w:rsid w:val="000D5A0F"/>
    <w:rsid w:val="000E0A59"/>
    <w:rsid w:val="000E3744"/>
    <w:rsid w:val="000F0144"/>
    <w:rsid w:val="000F1AD8"/>
    <w:rsid w:val="000F1B45"/>
    <w:rsid w:val="000F38D9"/>
    <w:rsid w:val="000F414C"/>
    <w:rsid w:val="000F49F9"/>
    <w:rsid w:val="000F54C2"/>
    <w:rsid w:val="000F718E"/>
    <w:rsid w:val="000F7450"/>
    <w:rsid w:val="001010D3"/>
    <w:rsid w:val="0010274B"/>
    <w:rsid w:val="0010313F"/>
    <w:rsid w:val="00107FEA"/>
    <w:rsid w:val="0011037E"/>
    <w:rsid w:val="00110F73"/>
    <w:rsid w:val="00111E35"/>
    <w:rsid w:val="0011249C"/>
    <w:rsid w:val="00112EBD"/>
    <w:rsid w:val="001132C2"/>
    <w:rsid w:val="00125D81"/>
    <w:rsid w:val="0012661F"/>
    <w:rsid w:val="00127026"/>
    <w:rsid w:val="00131A66"/>
    <w:rsid w:val="0013343F"/>
    <w:rsid w:val="001344F9"/>
    <w:rsid w:val="00135A2E"/>
    <w:rsid w:val="00135BC6"/>
    <w:rsid w:val="001363C7"/>
    <w:rsid w:val="00136E87"/>
    <w:rsid w:val="001417B5"/>
    <w:rsid w:val="001426E3"/>
    <w:rsid w:val="00143F21"/>
    <w:rsid w:val="0014420C"/>
    <w:rsid w:val="0014663F"/>
    <w:rsid w:val="00151465"/>
    <w:rsid w:val="00151AD8"/>
    <w:rsid w:val="00152BAB"/>
    <w:rsid w:val="00153287"/>
    <w:rsid w:val="00153C33"/>
    <w:rsid w:val="00161E13"/>
    <w:rsid w:val="00162242"/>
    <w:rsid w:val="00164196"/>
    <w:rsid w:val="00164803"/>
    <w:rsid w:val="00164AE0"/>
    <w:rsid w:val="0016646A"/>
    <w:rsid w:val="00166AEF"/>
    <w:rsid w:val="0017120C"/>
    <w:rsid w:val="00171F1A"/>
    <w:rsid w:val="00172DDC"/>
    <w:rsid w:val="00172F3A"/>
    <w:rsid w:val="00173477"/>
    <w:rsid w:val="00175BE0"/>
    <w:rsid w:val="001811FC"/>
    <w:rsid w:val="001859B2"/>
    <w:rsid w:val="001918F1"/>
    <w:rsid w:val="0019196E"/>
    <w:rsid w:val="00193601"/>
    <w:rsid w:val="00194A14"/>
    <w:rsid w:val="00197205"/>
    <w:rsid w:val="001A3D89"/>
    <w:rsid w:val="001B143B"/>
    <w:rsid w:val="001B1500"/>
    <w:rsid w:val="001B21CA"/>
    <w:rsid w:val="001B599F"/>
    <w:rsid w:val="001B5A00"/>
    <w:rsid w:val="001D0715"/>
    <w:rsid w:val="001D0D32"/>
    <w:rsid w:val="001D0F23"/>
    <w:rsid w:val="001D1AB9"/>
    <w:rsid w:val="001D4853"/>
    <w:rsid w:val="001D733B"/>
    <w:rsid w:val="001E0902"/>
    <w:rsid w:val="001E3A17"/>
    <w:rsid w:val="001E3FCB"/>
    <w:rsid w:val="001E7FBC"/>
    <w:rsid w:val="001F15F6"/>
    <w:rsid w:val="001F179C"/>
    <w:rsid w:val="001F3496"/>
    <w:rsid w:val="001F3F70"/>
    <w:rsid w:val="001F4355"/>
    <w:rsid w:val="002000AA"/>
    <w:rsid w:val="00201E12"/>
    <w:rsid w:val="00202B6D"/>
    <w:rsid w:val="00202B97"/>
    <w:rsid w:val="00204109"/>
    <w:rsid w:val="00204ED9"/>
    <w:rsid w:val="00212897"/>
    <w:rsid w:val="002150CE"/>
    <w:rsid w:val="00215516"/>
    <w:rsid w:val="00216EFA"/>
    <w:rsid w:val="00221841"/>
    <w:rsid w:val="002267D2"/>
    <w:rsid w:val="00227307"/>
    <w:rsid w:val="0023200E"/>
    <w:rsid w:val="00232657"/>
    <w:rsid w:val="0023310E"/>
    <w:rsid w:val="002335EF"/>
    <w:rsid w:val="00235F30"/>
    <w:rsid w:val="0023601D"/>
    <w:rsid w:val="002407CE"/>
    <w:rsid w:val="002450F2"/>
    <w:rsid w:val="00245B4F"/>
    <w:rsid w:val="00247BDE"/>
    <w:rsid w:val="00251CED"/>
    <w:rsid w:val="0025292E"/>
    <w:rsid w:val="00252ED7"/>
    <w:rsid w:val="00253366"/>
    <w:rsid w:val="00254A7A"/>
    <w:rsid w:val="00254EA4"/>
    <w:rsid w:val="0025575F"/>
    <w:rsid w:val="0025651C"/>
    <w:rsid w:val="00257F80"/>
    <w:rsid w:val="002625AE"/>
    <w:rsid w:val="00263304"/>
    <w:rsid w:val="00264C7C"/>
    <w:rsid w:val="0026731D"/>
    <w:rsid w:val="00270443"/>
    <w:rsid w:val="00270EE2"/>
    <w:rsid w:val="00272A7B"/>
    <w:rsid w:val="00273527"/>
    <w:rsid w:val="00274209"/>
    <w:rsid w:val="00274B06"/>
    <w:rsid w:val="00277139"/>
    <w:rsid w:val="00281EA5"/>
    <w:rsid w:val="00285B5D"/>
    <w:rsid w:val="002860FD"/>
    <w:rsid w:val="00286BFE"/>
    <w:rsid w:val="0028709F"/>
    <w:rsid w:val="00297785"/>
    <w:rsid w:val="002977EE"/>
    <w:rsid w:val="002A0E68"/>
    <w:rsid w:val="002A0F8D"/>
    <w:rsid w:val="002A5311"/>
    <w:rsid w:val="002A6AC5"/>
    <w:rsid w:val="002B30D4"/>
    <w:rsid w:val="002B3A46"/>
    <w:rsid w:val="002B3F1C"/>
    <w:rsid w:val="002B6E44"/>
    <w:rsid w:val="002C08C9"/>
    <w:rsid w:val="002C7E5B"/>
    <w:rsid w:val="002D0E9E"/>
    <w:rsid w:val="002D10F2"/>
    <w:rsid w:val="002D38D9"/>
    <w:rsid w:val="002D3CDE"/>
    <w:rsid w:val="002E26E8"/>
    <w:rsid w:val="002E43B8"/>
    <w:rsid w:val="002E7A61"/>
    <w:rsid w:val="002F188D"/>
    <w:rsid w:val="002F18A5"/>
    <w:rsid w:val="002F2EDF"/>
    <w:rsid w:val="002F317F"/>
    <w:rsid w:val="002F4AEB"/>
    <w:rsid w:val="002F52D9"/>
    <w:rsid w:val="002F6BF8"/>
    <w:rsid w:val="002F7AA9"/>
    <w:rsid w:val="0030207A"/>
    <w:rsid w:val="00311358"/>
    <w:rsid w:val="00311739"/>
    <w:rsid w:val="00314E28"/>
    <w:rsid w:val="00314F5B"/>
    <w:rsid w:val="00314FAF"/>
    <w:rsid w:val="003162A5"/>
    <w:rsid w:val="00320C6D"/>
    <w:rsid w:val="00325A3D"/>
    <w:rsid w:val="0032673A"/>
    <w:rsid w:val="00327D10"/>
    <w:rsid w:val="0033601B"/>
    <w:rsid w:val="00340039"/>
    <w:rsid w:val="00340DFB"/>
    <w:rsid w:val="0034249E"/>
    <w:rsid w:val="00343B47"/>
    <w:rsid w:val="00343CB4"/>
    <w:rsid w:val="0034404F"/>
    <w:rsid w:val="0034450E"/>
    <w:rsid w:val="00345F01"/>
    <w:rsid w:val="00351E21"/>
    <w:rsid w:val="00352327"/>
    <w:rsid w:val="0035635F"/>
    <w:rsid w:val="00356613"/>
    <w:rsid w:val="003605E1"/>
    <w:rsid w:val="003617AE"/>
    <w:rsid w:val="003651AC"/>
    <w:rsid w:val="00366120"/>
    <w:rsid w:val="00366A0C"/>
    <w:rsid w:val="00367462"/>
    <w:rsid w:val="00370507"/>
    <w:rsid w:val="00372A01"/>
    <w:rsid w:val="003751C7"/>
    <w:rsid w:val="00375C84"/>
    <w:rsid w:val="003819F5"/>
    <w:rsid w:val="003822C5"/>
    <w:rsid w:val="0038279C"/>
    <w:rsid w:val="003839AF"/>
    <w:rsid w:val="00383D46"/>
    <w:rsid w:val="0039082A"/>
    <w:rsid w:val="0039101F"/>
    <w:rsid w:val="003968DF"/>
    <w:rsid w:val="003A6E29"/>
    <w:rsid w:val="003B1844"/>
    <w:rsid w:val="003B4AB7"/>
    <w:rsid w:val="003C0F87"/>
    <w:rsid w:val="003C3503"/>
    <w:rsid w:val="003C3829"/>
    <w:rsid w:val="003C4C96"/>
    <w:rsid w:val="003C55E0"/>
    <w:rsid w:val="003D0079"/>
    <w:rsid w:val="003D01DD"/>
    <w:rsid w:val="003D3B5B"/>
    <w:rsid w:val="003E0E25"/>
    <w:rsid w:val="003E2C42"/>
    <w:rsid w:val="003F5B9F"/>
    <w:rsid w:val="00401A85"/>
    <w:rsid w:val="00403634"/>
    <w:rsid w:val="00404592"/>
    <w:rsid w:val="0040544F"/>
    <w:rsid w:val="004064CA"/>
    <w:rsid w:val="0040675E"/>
    <w:rsid w:val="00411B17"/>
    <w:rsid w:val="0041222D"/>
    <w:rsid w:val="00415FC1"/>
    <w:rsid w:val="0042057C"/>
    <w:rsid w:val="00421608"/>
    <w:rsid w:val="00422749"/>
    <w:rsid w:val="0042468F"/>
    <w:rsid w:val="00426BEA"/>
    <w:rsid w:val="00437CCA"/>
    <w:rsid w:val="004410D3"/>
    <w:rsid w:val="00442D5B"/>
    <w:rsid w:val="00443A7A"/>
    <w:rsid w:val="004463C3"/>
    <w:rsid w:val="00447FB4"/>
    <w:rsid w:val="00450744"/>
    <w:rsid w:val="00450BE7"/>
    <w:rsid w:val="00451459"/>
    <w:rsid w:val="0045230E"/>
    <w:rsid w:val="00454200"/>
    <w:rsid w:val="00455B00"/>
    <w:rsid w:val="00455B18"/>
    <w:rsid w:val="00455F99"/>
    <w:rsid w:val="00456BFD"/>
    <w:rsid w:val="004614AD"/>
    <w:rsid w:val="00464BD4"/>
    <w:rsid w:val="004676E4"/>
    <w:rsid w:val="00470C48"/>
    <w:rsid w:val="00470D28"/>
    <w:rsid w:val="00471429"/>
    <w:rsid w:val="00477459"/>
    <w:rsid w:val="0048026E"/>
    <w:rsid w:val="00480738"/>
    <w:rsid w:val="004807A9"/>
    <w:rsid w:val="00480917"/>
    <w:rsid w:val="00481318"/>
    <w:rsid w:val="004813EE"/>
    <w:rsid w:val="00481995"/>
    <w:rsid w:val="00485702"/>
    <w:rsid w:val="00486CC4"/>
    <w:rsid w:val="00486F92"/>
    <w:rsid w:val="00487662"/>
    <w:rsid w:val="004876C6"/>
    <w:rsid w:val="00487AC8"/>
    <w:rsid w:val="00490F7A"/>
    <w:rsid w:val="00490FD5"/>
    <w:rsid w:val="00491241"/>
    <w:rsid w:val="00493278"/>
    <w:rsid w:val="00497575"/>
    <w:rsid w:val="004A12C0"/>
    <w:rsid w:val="004A419E"/>
    <w:rsid w:val="004B06C3"/>
    <w:rsid w:val="004B0B09"/>
    <w:rsid w:val="004B0E72"/>
    <w:rsid w:val="004B140F"/>
    <w:rsid w:val="004B2D06"/>
    <w:rsid w:val="004B4107"/>
    <w:rsid w:val="004B5D6E"/>
    <w:rsid w:val="004B60BA"/>
    <w:rsid w:val="004B72DA"/>
    <w:rsid w:val="004C0FF6"/>
    <w:rsid w:val="004C1619"/>
    <w:rsid w:val="004C1B59"/>
    <w:rsid w:val="004C4EA2"/>
    <w:rsid w:val="004C60E7"/>
    <w:rsid w:val="004D11AF"/>
    <w:rsid w:val="004D3CF3"/>
    <w:rsid w:val="004D5A76"/>
    <w:rsid w:val="004D60A3"/>
    <w:rsid w:val="004E016A"/>
    <w:rsid w:val="004E29B1"/>
    <w:rsid w:val="004E3AD3"/>
    <w:rsid w:val="004E461B"/>
    <w:rsid w:val="004F0D19"/>
    <w:rsid w:val="004F467A"/>
    <w:rsid w:val="004F4C75"/>
    <w:rsid w:val="004F5B68"/>
    <w:rsid w:val="004F62E8"/>
    <w:rsid w:val="004F78F8"/>
    <w:rsid w:val="005019AA"/>
    <w:rsid w:val="00502621"/>
    <w:rsid w:val="00503CE7"/>
    <w:rsid w:val="005042DB"/>
    <w:rsid w:val="0050519A"/>
    <w:rsid w:val="0051022D"/>
    <w:rsid w:val="005147DA"/>
    <w:rsid w:val="00515745"/>
    <w:rsid w:val="00515862"/>
    <w:rsid w:val="00516942"/>
    <w:rsid w:val="00516E20"/>
    <w:rsid w:val="005233F3"/>
    <w:rsid w:val="0052365C"/>
    <w:rsid w:val="005245D2"/>
    <w:rsid w:val="00525831"/>
    <w:rsid w:val="00525B59"/>
    <w:rsid w:val="0052670F"/>
    <w:rsid w:val="005269C4"/>
    <w:rsid w:val="00533DBF"/>
    <w:rsid w:val="00536442"/>
    <w:rsid w:val="005426DB"/>
    <w:rsid w:val="005451F5"/>
    <w:rsid w:val="00546A25"/>
    <w:rsid w:val="00550113"/>
    <w:rsid w:val="0055082B"/>
    <w:rsid w:val="0055211C"/>
    <w:rsid w:val="0055263A"/>
    <w:rsid w:val="00552B57"/>
    <w:rsid w:val="00560CD0"/>
    <w:rsid w:val="00561979"/>
    <w:rsid w:val="00563ADE"/>
    <w:rsid w:val="00566680"/>
    <w:rsid w:val="00572A79"/>
    <w:rsid w:val="0057372E"/>
    <w:rsid w:val="00574614"/>
    <w:rsid w:val="00580A63"/>
    <w:rsid w:val="00582F33"/>
    <w:rsid w:val="00583431"/>
    <w:rsid w:val="005872DD"/>
    <w:rsid w:val="00590E93"/>
    <w:rsid w:val="005915E1"/>
    <w:rsid w:val="00591C75"/>
    <w:rsid w:val="00592D10"/>
    <w:rsid w:val="00593918"/>
    <w:rsid w:val="00593A5F"/>
    <w:rsid w:val="00596EF7"/>
    <w:rsid w:val="005974E5"/>
    <w:rsid w:val="005A09BA"/>
    <w:rsid w:val="005A0ECB"/>
    <w:rsid w:val="005A4DB0"/>
    <w:rsid w:val="005A6AC2"/>
    <w:rsid w:val="005A6B46"/>
    <w:rsid w:val="005A7B26"/>
    <w:rsid w:val="005A7B8E"/>
    <w:rsid w:val="005B012B"/>
    <w:rsid w:val="005B0C87"/>
    <w:rsid w:val="005B2195"/>
    <w:rsid w:val="005B2A9A"/>
    <w:rsid w:val="005B33F5"/>
    <w:rsid w:val="005B6551"/>
    <w:rsid w:val="005B71A8"/>
    <w:rsid w:val="005C3E9E"/>
    <w:rsid w:val="005C5BED"/>
    <w:rsid w:val="005C5D86"/>
    <w:rsid w:val="005D0BC5"/>
    <w:rsid w:val="005D5B5E"/>
    <w:rsid w:val="005D71E0"/>
    <w:rsid w:val="005D72FC"/>
    <w:rsid w:val="005E1218"/>
    <w:rsid w:val="005E184B"/>
    <w:rsid w:val="005E1B6B"/>
    <w:rsid w:val="005E2281"/>
    <w:rsid w:val="005E41BC"/>
    <w:rsid w:val="005E4CE5"/>
    <w:rsid w:val="005E5455"/>
    <w:rsid w:val="005E667C"/>
    <w:rsid w:val="005E6A1D"/>
    <w:rsid w:val="005E6F12"/>
    <w:rsid w:val="005F077C"/>
    <w:rsid w:val="005F3CE8"/>
    <w:rsid w:val="005F4F41"/>
    <w:rsid w:val="00601B63"/>
    <w:rsid w:val="006021B1"/>
    <w:rsid w:val="006040CE"/>
    <w:rsid w:val="0060467D"/>
    <w:rsid w:val="00607390"/>
    <w:rsid w:val="00612A8E"/>
    <w:rsid w:val="006155E2"/>
    <w:rsid w:val="0061569F"/>
    <w:rsid w:val="00615F26"/>
    <w:rsid w:val="00623BC7"/>
    <w:rsid w:val="006241D0"/>
    <w:rsid w:val="00626032"/>
    <w:rsid w:val="00627788"/>
    <w:rsid w:val="006300CD"/>
    <w:rsid w:val="0063017E"/>
    <w:rsid w:val="00631361"/>
    <w:rsid w:val="006318D8"/>
    <w:rsid w:val="00631D4F"/>
    <w:rsid w:val="00633EBE"/>
    <w:rsid w:val="006350E2"/>
    <w:rsid w:val="006350F7"/>
    <w:rsid w:val="00636F7B"/>
    <w:rsid w:val="0064019C"/>
    <w:rsid w:val="00640288"/>
    <w:rsid w:val="006413D8"/>
    <w:rsid w:val="00641C55"/>
    <w:rsid w:val="0064265B"/>
    <w:rsid w:val="00644188"/>
    <w:rsid w:val="00644E4E"/>
    <w:rsid w:val="00652037"/>
    <w:rsid w:val="0065520A"/>
    <w:rsid w:val="00656385"/>
    <w:rsid w:val="0066351C"/>
    <w:rsid w:val="00664693"/>
    <w:rsid w:val="006651CC"/>
    <w:rsid w:val="00665CA1"/>
    <w:rsid w:val="00670702"/>
    <w:rsid w:val="006759B0"/>
    <w:rsid w:val="00675D25"/>
    <w:rsid w:val="00677012"/>
    <w:rsid w:val="006820EC"/>
    <w:rsid w:val="006825B4"/>
    <w:rsid w:val="006829BA"/>
    <w:rsid w:val="00682AF2"/>
    <w:rsid w:val="00687628"/>
    <w:rsid w:val="00690EB8"/>
    <w:rsid w:val="00694A4B"/>
    <w:rsid w:val="006A0B6C"/>
    <w:rsid w:val="006A3C8A"/>
    <w:rsid w:val="006A3E61"/>
    <w:rsid w:val="006A498A"/>
    <w:rsid w:val="006A6737"/>
    <w:rsid w:val="006B2635"/>
    <w:rsid w:val="006B26B1"/>
    <w:rsid w:val="006B3C73"/>
    <w:rsid w:val="006B5D32"/>
    <w:rsid w:val="006B62A6"/>
    <w:rsid w:val="006B7BF8"/>
    <w:rsid w:val="006C262B"/>
    <w:rsid w:val="006C49BF"/>
    <w:rsid w:val="006C5723"/>
    <w:rsid w:val="006C7535"/>
    <w:rsid w:val="006D09FE"/>
    <w:rsid w:val="006D2E57"/>
    <w:rsid w:val="006E0443"/>
    <w:rsid w:val="006E0DCF"/>
    <w:rsid w:val="006E15B7"/>
    <w:rsid w:val="006E200B"/>
    <w:rsid w:val="006E429F"/>
    <w:rsid w:val="006E6F30"/>
    <w:rsid w:val="006F193C"/>
    <w:rsid w:val="006F2A6A"/>
    <w:rsid w:val="006F2B89"/>
    <w:rsid w:val="006F3B81"/>
    <w:rsid w:val="006F44BB"/>
    <w:rsid w:val="006F4F79"/>
    <w:rsid w:val="00702BC3"/>
    <w:rsid w:val="007036FE"/>
    <w:rsid w:val="00705B37"/>
    <w:rsid w:val="00706B65"/>
    <w:rsid w:val="00707530"/>
    <w:rsid w:val="00707C1A"/>
    <w:rsid w:val="0071023D"/>
    <w:rsid w:val="007116CD"/>
    <w:rsid w:val="007155DD"/>
    <w:rsid w:val="007168A0"/>
    <w:rsid w:val="00716C95"/>
    <w:rsid w:val="00717762"/>
    <w:rsid w:val="00721BBD"/>
    <w:rsid w:val="00721FF9"/>
    <w:rsid w:val="00722BBB"/>
    <w:rsid w:val="007273E0"/>
    <w:rsid w:val="00730084"/>
    <w:rsid w:val="00730914"/>
    <w:rsid w:val="00732CFE"/>
    <w:rsid w:val="00732DF0"/>
    <w:rsid w:val="007344AB"/>
    <w:rsid w:val="00741175"/>
    <w:rsid w:val="00742606"/>
    <w:rsid w:val="007441FF"/>
    <w:rsid w:val="00744509"/>
    <w:rsid w:val="007467E4"/>
    <w:rsid w:val="00747569"/>
    <w:rsid w:val="00760EED"/>
    <w:rsid w:val="00761F4F"/>
    <w:rsid w:val="007625F6"/>
    <w:rsid w:val="00762B8B"/>
    <w:rsid w:val="00764AF9"/>
    <w:rsid w:val="00766A57"/>
    <w:rsid w:val="00767B56"/>
    <w:rsid w:val="00772B41"/>
    <w:rsid w:val="00775F64"/>
    <w:rsid w:val="00782E10"/>
    <w:rsid w:val="007830F7"/>
    <w:rsid w:val="007834E9"/>
    <w:rsid w:val="00785819"/>
    <w:rsid w:val="0079134E"/>
    <w:rsid w:val="007930C1"/>
    <w:rsid w:val="00794673"/>
    <w:rsid w:val="007965D0"/>
    <w:rsid w:val="00796F7C"/>
    <w:rsid w:val="007970B2"/>
    <w:rsid w:val="00797131"/>
    <w:rsid w:val="007A3F40"/>
    <w:rsid w:val="007A5ACE"/>
    <w:rsid w:val="007A64D6"/>
    <w:rsid w:val="007A6528"/>
    <w:rsid w:val="007B3F87"/>
    <w:rsid w:val="007B73B6"/>
    <w:rsid w:val="007C2F60"/>
    <w:rsid w:val="007C6BC6"/>
    <w:rsid w:val="007D0435"/>
    <w:rsid w:val="007D169B"/>
    <w:rsid w:val="007D26AC"/>
    <w:rsid w:val="007D4B0E"/>
    <w:rsid w:val="007D58E9"/>
    <w:rsid w:val="007D7739"/>
    <w:rsid w:val="007E0428"/>
    <w:rsid w:val="007E2419"/>
    <w:rsid w:val="007E3FF5"/>
    <w:rsid w:val="007E6C0C"/>
    <w:rsid w:val="007E7AB5"/>
    <w:rsid w:val="007F038C"/>
    <w:rsid w:val="007F1BB0"/>
    <w:rsid w:val="007F222B"/>
    <w:rsid w:val="007F28D3"/>
    <w:rsid w:val="007F3092"/>
    <w:rsid w:val="007F4FA0"/>
    <w:rsid w:val="007F7A38"/>
    <w:rsid w:val="00801A0E"/>
    <w:rsid w:val="0080662C"/>
    <w:rsid w:val="00807959"/>
    <w:rsid w:val="00807D79"/>
    <w:rsid w:val="00811279"/>
    <w:rsid w:val="008149D8"/>
    <w:rsid w:val="00820148"/>
    <w:rsid w:val="00821D81"/>
    <w:rsid w:val="00822239"/>
    <w:rsid w:val="0082757E"/>
    <w:rsid w:val="00827B7E"/>
    <w:rsid w:val="00827D77"/>
    <w:rsid w:val="00830561"/>
    <w:rsid w:val="008342A5"/>
    <w:rsid w:val="00834EA4"/>
    <w:rsid w:val="0083633E"/>
    <w:rsid w:val="0084139B"/>
    <w:rsid w:val="0084143B"/>
    <w:rsid w:val="008427D3"/>
    <w:rsid w:val="008457D2"/>
    <w:rsid w:val="00846212"/>
    <w:rsid w:val="008463C8"/>
    <w:rsid w:val="008468E0"/>
    <w:rsid w:val="00846F07"/>
    <w:rsid w:val="0084738D"/>
    <w:rsid w:val="00850EAB"/>
    <w:rsid w:val="0085281F"/>
    <w:rsid w:val="00852ADD"/>
    <w:rsid w:val="0085388C"/>
    <w:rsid w:val="00860089"/>
    <w:rsid w:val="00861C6C"/>
    <w:rsid w:val="008633B6"/>
    <w:rsid w:val="00864004"/>
    <w:rsid w:val="008755E7"/>
    <w:rsid w:val="00877D03"/>
    <w:rsid w:val="00877E96"/>
    <w:rsid w:val="0088722D"/>
    <w:rsid w:val="00887B37"/>
    <w:rsid w:val="00890598"/>
    <w:rsid w:val="0089065A"/>
    <w:rsid w:val="00890B2A"/>
    <w:rsid w:val="00891D7A"/>
    <w:rsid w:val="00891DEB"/>
    <w:rsid w:val="00891DFC"/>
    <w:rsid w:val="008A4AEC"/>
    <w:rsid w:val="008A5609"/>
    <w:rsid w:val="008A61DD"/>
    <w:rsid w:val="008B1C0E"/>
    <w:rsid w:val="008B2B19"/>
    <w:rsid w:val="008B2E57"/>
    <w:rsid w:val="008B3627"/>
    <w:rsid w:val="008B4356"/>
    <w:rsid w:val="008B486E"/>
    <w:rsid w:val="008B7914"/>
    <w:rsid w:val="008C2C7F"/>
    <w:rsid w:val="008C5D2A"/>
    <w:rsid w:val="008C74FB"/>
    <w:rsid w:val="008C7AF4"/>
    <w:rsid w:val="008C7DA4"/>
    <w:rsid w:val="008D0DEF"/>
    <w:rsid w:val="008D1074"/>
    <w:rsid w:val="008D1079"/>
    <w:rsid w:val="008D3994"/>
    <w:rsid w:val="008D5CE9"/>
    <w:rsid w:val="008D6E81"/>
    <w:rsid w:val="008D7739"/>
    <w:rsid w:val="008E22F8"/>
    <w:rsid w:val="008E2E7F"/>
    <w:rsid w:val="008E4BF3"/>
    <w:rsid w:val="008E6AD9"/>
    <w:rsid w:val="008F27E3"/>
    <w:rsid w:val="008F3AC3"/>
    <w:rsid w:val="009026CB"/>
    <w:rsid w:val="00904038"/>
    <w:rsid w:val="00904857"/>
    <w:rsid w:val="009049AB"/>
    <w:rsid w:val="00904E38"/>
    <w:rsid w:val="009050B7"/>
    <w:rsid w:val="009061B8"/>
    <w:rsid w:val="009070DF"/>
    <w:rsid w:val="009102E6"/>
    <w:rsid w:val="00913DC7"/>
    <w:rsid w:val="00914302"/>
    <w:rsid w:val="00915828"/>
    <w:rsid w:val="00915CD5"/>
    <w:rsid w:val="00916093"/>
    <w:rsid w:val="0091639C"/>
    <w:rsid w:val="00917114"/>
    <w:rsid w:val="009175EE"/>
    <w:rsid w:val="00924172"/>
    <w:rsid w:val="009255FA"/>
    <w:rsid w:val="009262E4"/>
    <w:rsid w:val="00930D2A"/>
    <w:rsid w:val="00932E7E"/>
    <w:rsid w:val="00933C5B"/>
    <w:rsid w:val="0093446A"/>
    <w:rsid w:val="00934CD2"/>
    <w:rsid w:val="009375E5"/>
    <w:rsid w:val="00943E10"/>
    <w:rsid w:val="009442E8"/>
    <w:rsid w:val="00946907"/>
    <w:rsid w:val="00952524"/>
    <w:rsid w:val="0095426C"/>
    <w:rsid w:val="00957CC8"/>
    <w:rsid w:val="00964166"/>
    <w:rsid w:val="0096562A"/>
    <w:rsid w:val="00965865"/>
    <w:rsid w:val="00967730"/>
    <w:rsid w:val="00971074"/>
    <w:rsid w:val="009747AA"/>
    <w:rsid w:val="00974BCB"/>
    <w:rsid w:val="00984522"/>
    <w:rsid w:val="00985B04"/>
    <w:rsid w:val="00992986"/>
    <w:rsid w:val="00993C09"/>
    <w:rsid w:val="00994B55"/>
    <w:rsid w:val="00995D86"/>
    <w:rsid w:val="009A1F6B"/>
    <w:rsid w:val="009A29B5"/>
    <w:rsid w:val="009A2DD8"/>
    <w:rsid w:val="009A5453"/>
    <w:rsid w:val="009A7883"/>
    <w:rsid w:val="009B5446"/>
    <w:rsid w:val="009B7489"/>
    <w:rsid w:val="009C07C9"/>
    <w:rsid w:val="009C08D7"/>
    <w:rsid w:val="009C4E0D"/>
    <w:rsid w:val="009D04FF"/>
    <w:rsid w:val="009D3954"/>
    <w:rsid w:val="009D3E06"/>
    <w:rsid w:val="009D4AB0"/>
    <w:rsid w:val="009D4EA0"/>
    <w:rsid w:val="009D638D"/>
    <w:rsid w:val="009D7B90"/>
    <w:rsid w:val="009E2771"/>
    <w:rsid w:val="009E31C2"/>
    <w:rsid w:val="009E4885"/>
    <w:rsid w:val="009E508B"/>
    <w:rsid w:val="009E702A"/>
    <w:rsid w:val="009F0A85"/>
    <w:rsid w:val="009F0E4D"/>
    <w:rsid w:val="009F1B71"/>
    <w:rsid w:val="00A0102D"/>
    <w:rsid w:val="00A04847"/>
    <w:rsid w:val="00A05A46"/>
    <w:rsid w:val="00A05E88"/>
    <w:rsid w:val="00A07C91"/>
    <w:rsid w:val="00A07DB6"/>
    <w:rsid w:val="00A11406"/>
    <w:rsid w:val="00A13298"/>
    <w:rsid w:val="00A1554D"/>
    <w:rsid w:val="00A172E0"/>
    <w:rsid w:val="00A212A8"/>
    <w:rsid w:val="00A21B73"/>
    <w:rsid w:val="00A221A3"/>
    <w:rsid w:val="00A223D5"/>
    <w:rsid w:val="00A23F41"/>
    <w:rsid w:val="00A3035C"/>
    <w:rsid w:val="00A31157"/>
    <w:rsid w:val="00A31E14"/>
    <w:rsid w:val="00A37B0C"/>
    <w:rsid w:val="00A37D1C"/>
    <w:rsid w:val="00A37FFE"/>
    <w:rsid w:val="00A41FEF"/>
    <w:rsid w:val="00A42D26"/>
    <w:rsid w:val="00A46921"/>
    <w:rsid w:val="00A46C32"/>
    <w:rsid w:val="00A47249"/>
    <w:rsid w:val="00A513FD"/>
    <w:rsid w:val="00A539AD"/>
    <w:rsid w:val="00A540B2"/>
    <w:rsid w:val="00A55813"/>
    <w:rsid w:val="00A60CA0"/>
    <w:rsid w:val="00A62983"/>
    <w:rsid w:val="00A6444F"/>
    <w:rsid w:val="00A652FF"/>
    <w:rsid w:val="00A6559B"/>
    <w:rsid w:val="00A676E9"/>
    <w:rsid w:val="00A714A3"/>
    <w:rsid w:val="00A75EDC"/>
    <w:rsid w:val="00A817A8"/>
    <w:rsid w:val="00A81D0E"/>
    <w:rsid w:val="00A81E50"/>
    <w:rsid w:val="00A82DA0"/>
    <w:rsid w:val="00A83E49"/>
    <w:rsid w:val="00A841A6"/>
    <w:rsid w:val="00A84221"/>
    <w:rsid w:val="00A84B7A"/>
    <w:rsid w:val="00A9099E"/>
    <w:rsid w:val="00A910D4"/>
    <w:rsid w:val="00A91FB7"/>
    <w:rsid w:val="00A9298F"/>
    <w:rsid w:val="00A9301E"/>
    <w:rsid w:val="00AA180B"/>
    <w:rsid w:val="00AA6B93"/>
    <w:rsid w:val="00AB1984"/>
    <w:rsid w:val="00AB1CBB"/>
    <w:rsid w:val="00AB333E"/>
    <w:rsid w:val="00AC084E"/>
    <w:rsid w:val="00AC4CB3"/>
    <w:rsid w:val="00AC71A6"/>
    <w:rsid w:val="00AC742F"/>
    <w:rsid w:val="00AC774F"/>
    <w:rsid w:val="00AC780D"/>
    <w:rsid w:val="00AC787B"/>
    <w:rsid w:val="00AE78ED"/>
    <w:rsid w:val="00AF09AF"/>
    <w:rsid w:val="00AF1117"/>
    <w:rsid w:val="00AF1555"/>
    <w:rsid w:val="00AF3B55"/>
    <w:rsid w:val="00AF3D62"/>
    <w:rsid w:val="00AF504D"/>
    <w:rsid w:val="00AF76DE"/>
    <w:rsid w:val="00B0104B"/>
    <w:rsid w:val="00B018E1"/>
    <w:rsid w:val="00B021E0"/>
    <w:rsid w:val="00B02725"/>
    <w:rsid w:val="00B03A35"/>
    <w:rsid w:val="00B057B6"/>
    <w:rsid w:val="00B05853"/>
    <w:rsid w:val="00B11C80"/>
    <w:rsid w:val="00B12DCA"/>
    <w:rsid w:val="00B150D6"/>
    <w:rsid w:val="00B2160E"/>
    <w:rsid w:val="00B22870"/>
    <w:rsid w:val="00B24BA7"/>
    <w:rsid w:val="00B268D0"/>
    <w:rsid w:val="00B30448"/>
    <w:rsid w:val="00B31315"/>
    <w:rsid w:val="00B31EEB"/>
    <w:rsid w:val="00B34D6A"/>
    <w:rsid w:val="00B40162"/>
    <w:rsid w:val="00B40B59"/>
    <w:rsid w:val="00B430F6"/>
    <w:rsid w:val="00B45528"/>
    <w:rsid w:val="00B478FA"/>
    <w:rsid w:val="00B50156"/>
    <w:rsid w:val="00B518AD"/>
    <w:rsid w:val="00B555F2"/>
    <w:rsid w:val="00B60A96"/>
    <w:rsid w:val="00B60EB6"/>
    <w:rsid w:val="00B65FBF"/>
    <w:rsid w:val="00B677AB"/>
    <w:rsid w:val="00B71607"/>
    <w:rsid w:val="00B740CC"/>
    <w:rsid w:val="00B74B61"/>
    <w:rsid w:val="00B76327"/>
    <w:rsid w:val="00B76C94"/>
    <w:rsid w:val="00B772D0"/>
    <w:rsid w:val="00B81B5E"/>
    <w:rsid w:val="00B83117"/>
    <w:rsid w:val="00B90766"/>
    <w:rsid w:val="00B91988"/>
    <w:rsid w:val="00B91B81"/>
    <w:rsid w:val="00B920CB"/>
    <w:rsid w:val="00B95C30"/>
    <w:rsid w:val="00B96799"/>
    <w:rsid w:val="00BA0584"/>
    <w:rsid w:val="00BA249D"/>
    <w:rsid w:val="00BA65BD"/>
    <w:rsid w:val="00BB3BE4"/>
    <w:rsid w:val="00BB57D3"/>
    <w:rsid w:val="00BC06E1"/>
    <w:rsid w:val="00BC077E"/>
    <w:rsid w:val="00BC654E"/>
    <w:rsid w:val="00BC7632"/>
    <w:rsid w:val="00BD13C2"/>
    <w:rsid w:val="00BD1BE7"/>
    <w:rsid w:val="00BD2E25"/>
    <w:rsid w:val="00BD45FD"/>
    <w:rsid w:val="00BD48A9"/>
    <w:rsid w:val="00BD658C"/>
    <w:rsid w:val="00BD7EC6"/>
    <w:rsid w:val="00BE086C"/>
    <w:rsid w:val="00BE0FF2"/>
    <w:rsid w:val="00BE2147"/>
    <w:rsid w:val="00BE3B08"/>
    <w:rsid w:val="00BE3C67"/>
    <w:rsid w:val="00BE73FA"/>
    <w:rsid w:val="00BF0353"/>
    <w:rsid w:val="00BF092E"/>
    <w:rsid w:val="00BF2575"/>
    <w:rsid w:val="00BF3F0A"/>
    <w:rsid w:val="00BF6200"/>
    <w:rsid w:val="00C00976"/>
    <w:rsid w:val="00C067F4"/>
    <w:rsid w:val="00C072F0"/>
    <w:rsid w:val="00C07344"/>
    <w:rsid w:val="00C10F09"/>
    <w:rsid w:val="00C13607"/>
    <w:rsid w:val="00C21BBB"/>
    <w:rsid w:val="00C22307"/>
    <w:rsid w:val="00C235A2"/>
    <w:rsid w:val="00C24908"/>
    <w:rsid w:val="00C2515F"/>
    <w:rsid w:val="00C26AEA"/>
    <w:rsid w:val="00C3130D"/>
    <w:rsid w:val="00C31AD4"/>
    <w:rsid w:val="00C31C63"/>
    <w:rsid w:val="00C32481"/>
    <w:rsid w:val="00C33621"/>
    <w:rsid w:val="00C3394C"/>
    <w:rsid w:val="00C3516D"/>
    <w:rsid w:val="00C361A6"/>
    <w:rsid w:val="00C371DF"/>
    <w:rsid w:val="00C37EFC"/>
    <w:rsid w:val="00C37FF9"/>
    <w:rsid w:val="00C41B4A"/>
    <w:rsid w:val="00C41B72"/>
    <w:rsid w:val="00C42C11"/>
    <w:rsid w:val="00C43ADB"/>
    <w:rsid w:val="00C44B4C"/>
    <w:rsid w:val="00C450AB"/>
    <w:rsid w:val="00C45424"/>
    <w:rsid w:val="00C45CCD"/>
    <w:rsid w:val="00C46734"/>
    <w:rsid w:val="00C5105D"/>
    <w:rsid w:val="00C511F0"/>
    <w:rsid w:val="00C51639"/>
    <w:rsid w:val="00C53220"/>
    <w:rsid w:val="00C539E6"/>
    <w:rsid w:val="00C53E9D"/>
    <w:rsid w:val="00C570A7"/>
    <w:rsid w:val="00C608E9"/>
    <w:rsid w:val="00C621A7"/>
    <w:rsid w:val="00C62D1B"/>
    <w:rsid w:val="00C638A6"/>
    <w:rsid w:val="00C6397E"/>
    <w:rsid w:val="00C64568"/>
    <w:rsid w:val="00C64776"/>
    <w:rsid w:val="00C647DF"/>
    <w:rsid w:val="00C65E56"/>
    <w:rsid w:val="00C71252"/>
    <w:rsid w:val="00C7277F"/>
    <w:rsid w:val="00C74930"/>
    <w:rsid w:val="00C754BD"/>
    <w:rsid w:val="00C774A2"/>
    <w:rsid w:val="00C77648"/>
    <w:rsid w:val="00C8288D"/>
    <w:rsid w:val="00C84C4A"/>
    <w:rsid w:val="00C87C53"/>
    <w:rsid w:val="00C92E34"/>
    <w:rsid w:val="00C94A14"/>
    <w:rsid w:val="00CA3347"/>
    <w:rsid w:val="00CA6FDA"/>
    <w:rsid w:val="00CA77CF"/>
    <w:rsid w:val="00CA78DD"/>
    <w:rsid w:val="00CB3920"/>
    <w:rsid w:val="00CB3AB7"/>
    <w:rsid w:val="00CB696F"/>
    <w:rsid w:val="00CB781C"/>
    <w:rsid w:val="00CC0FAA"/>
    <w:rsid w:val="00CC299A"/>
    <w:rsid w:val="00CD1270"/>
    <w:rsid w:val="00CD1E9C"/>
    <w:rsid w:val="00CD2E70"/>
    <w:rsid w:val="00CD3D06"/>
    <w:rsid w:val="00CD4A09"/>
    <w:rsid w:val="00CD4C7B"/>
    <w:rsid w:val="00CD5E93"/>
    <w:rsid w:val="00CD7404"/>
    <w:rsid w:val="00CE37A3"/>
    <w:rsid w:val="00CE6B6F"/>
    <w:rsid w:val="00CE7033"/>
    <w:rsid w:val="00CF06CF"/>
    <w:rsid w:val="00CF14A7"/>
    <w:rsid w:val="00CF2DC1"/>
    <w:rsid w:val="00CF2EE2"/>
    <w:rsid w:val="00CF38D9"/>
    <w:rsid w:val="00CF441D"/>
    <w:rsid w:val="00CF4FCF"/>
    <w:rsid w:val="00CF4FDC"/>
    <w:rsid w:val="00CF61CB"/>
    <w:rsid w:val="00D01F5D"/>
    <w:rsid w:val="00D03815"/>
    <w:rsid w:val="00D03DBE"/>
    <w:rsid w:val="00D1060E"/>
    <w:rsid w:val="00D11A69"/>
    <w:rsid w:val="00D1484F"/>
    <w:rsid w:val="00D15D84"/>
    <w:rsid w:val="00D1707A"/>
    <w:rsid w:val="00D21435"/>
    <w:rsid w:val="00D2242C"/>
    <w:rsid w:val="00D23EA9"/>
    <w:rsid w:val="00D258EB"/>
    <w:rsid w:val="00D31730"/>
    <w:rsid w:val="00D327A3"/>
    <w:rsid w:val="00D34C82"/>
    <w:rsid w:val="00D35461"/>
    <w:rsid w:val="00D3617A"/>
    <w:rsid w:val="00D379EC"/>
    <w:rsid w:val="00D4348D"/>
    <w:rsid w:val="00D4383A"/>
    <w:rsid w:val="00D44E42"/>
    <w:rsid w:val="00D44F04"/>
    <w:rsid w:val="00D44FC3"/>
    <w:rsid w:val="00D46A95"/>
    <w:rsid w:val="00D50961"/>
    <w:rsid w:val="00D50A02"/>
    <w:rsid w:val="00D512A1"/>
    <w:rsid w:val="00D538D5"/>
    <w:rsid w:val="00D559B5"/>
    <w:rsid w:val="00D56420"/>
    <w:rsid w:val="00D56BA1"/>
    <w:rsid w:val="00D56C0C"/>
    <w:rsid w:val="00D5798B"/>
    <w:rsid w:val="00D57F51"/>
    <w:rsid w:val="00D622E0"/>
    <w:rsid w:val="00D63967"/>
    <w:rsid w:val="00D6457C"/>
    <w:rsid w:val="00D658EC"/>
    <w:rsid w:val="00D71733"/>
    <w:rsid w:val="00D76759"/>
    <w:rsid w:val="00D769C5"/>
    <w:rsid w:val="00D76E76"/>
    <w:rsid w:val="00D8054E"/>
    <w:rsid w:val="00D80D4B"/>
    <w:rsid w:val="00D81A20"/>
    <w:rsid w:val="00D81F55"/>
    <w:rsid w:val="00D8321A"/>
    <w:rsid w:val="00D854F3"/>
    <w:rsid w:val="00D86D55"/>
    <w:rsid w:val="00D934BA"/>
    <w:rsid w:val="00D94085"/>
    <w:rsid w:val="00DA1806"/>
    <w:rsid w:val="00DA6844"/>
    <w:rsid w:val="00DA73C1"/>
    <w:rsid w:val="00DB2B1B"/>
    <w:rsid w:val="00DB2E1B"/>
    <w:rsid w:val="00DC2C48"/>
    <w:rsid w:val="00DC46B5"/>
    <w:rsid w:val="00DC525E"/>
    <w:rsid w:val="00DC535C"/>
    <w:rsid w:val="00DC5DCB"/>
    <w:rsid w:val="00DC6B53"/>
    <w:rsid w:val="00DD0810"/>
    <w:rsid w:val="00DD7631"/>
    <w:rsid w:val="00DD781E"/>
    <w:rsid w:val="00DD7A2C"/>
    <w:rsid w:val="00DD7C0E"/>
    <w:rsid w:val="00DE32E7"/>
    <w:rsid w:val="00DE3BB8"/>
    <w:rsid w:val="00DE5117"/>
    <w:rsid w:val="00DE5648"/>
    <w:rsid w:val="00DE595E"/>
    <w:rsid w:val="00DE62C1"/>
    <w:rsid w:val="00DE70B5"/>
    <w:rsid w:val="00DE7113"/>
    <w:rsid w:val="00DE7A34"/>
    <w:rsid w:val="00DF310B"/>
    <w:rsid w:val="00DF4617"/>
    <w:rsid w:val="00DF5D6A"/>
    <w:rsid w:val="00DF5FEB"/>
    <w:rsid w:val="00DF764C"/>
    <w:rsid w:val="00E047B4"/>
    <w:rsid w:val="00E127E3"/>
    <w:rsid w:val="00E12ABE"/>
    <w:rsid w:val="00E14818"/>
    <w:rsid w:val="00E1610C"/>
    <w:rsid w:val="00E16660"/>
    <w:rsid w:val="00E16C78"/>
    <w:rsid w:val="00E16D73"/>
    <w:rsid w:val="00E2352B"/>
    <w:rsid w:val="00E26557"/>
    <w:rsid w:val="00E26649"/>
    <w:rsid w:val="00E2672C"/>
    <w:rsid w:val="00E26AFC"/>
    <w:rsid w:val="00E27F0A"/>
    <w:rsid w:val="00E352C3"/>
    <w:rsid w:val="00E37A29"/>
    <w:rsid w:val="00E37DC0"/>
    <w:rsid w:val="00E40432"/>
    <w:rsid w:val="00E40D52"/>
    <w:rsid w:val="00E4194C"/>
    <w:rsid w:val="00E4231E"/>
    <w:rsid w:val="00E43BC0"/>
    <w:rsid w:val="00E44AC7"/>
    <w:rsid w:val="00E47411"/>
    <w:rsid w:val="00E5084C"/>
    <w:rsid w:val="00E53F2E"/>
    <w:rsid w:val="00E54221"/>
    <w:rsid w:val="00E5436D"/>
    <w:rsid w:val="00E54BB9"/>
    <w:rsid w:val="00E5735C"/>
    <w:rsid w:val="00E60423"/>
    <w:rsid w:val="00E60A16"/>
    <w:rsid w:val="00E707D0"/>
    <w:rsid w:val="00E76E34"/>
    <w:rsid w:val="00E7747D"/>
    <w:rsid w:val="00E8113E"/>
    <w:rsid w:val="00E81611"/>
    <w:rsid w:val="00E81C5C"/>
    <w:rsid w:val="00E81D6E"/>
    <w:rsid w:val="00E82B6E"/>
    <w:rsid w:val="00E835C5"/>
    <w:rsid w:val="00E83966"/>
    <w:rsid w:val="00E84D1C"/>
    <w:rsid w:val="00E93FDE"/>
    <w:rsid w:val="00E942B8"/>
    <w:rsid w:val="00E945AF"/>
    <w:rsid w:val="00E95799"/>
    <w:rsid w:val="00E9683D"/>
    <w:rsid w:val="00E96F7D"/>
    <w:rsid w:val="00EA010D"/>
    <w:rsid w:val="00EA256E"/>
    <w:rsid w:val="00EA25EB"/>
    <w:rsid w:val="00EA2775"/>
    <w:rsid w:val="00EA41A9"/>
    <w:rsid w:val="00EA612E"/>
    <w:rsid w:val="00EA761C"/>
    <w:rsid w:val="00EA7D7F"/>
    <w:rsid w:val="00EB001D"/>
    <w:rsid w:val="00EB0B5F"/>
    <w:rsid w:val="00EB2FA2"/>
    <w:rsid w:val="00EB769A"/>
    <w:rsid w:val="00EC0165"/>
    <w:rsid w:val="00EC0DD2"/>
    <w:rsid w:val="00EC11E4"/>
    <w:rsid w:val="00EC14E1"/>
    <w:rsid w:val="00EC1947"/>
    <w:rsid w:val="00EC3A35"/>
    <w:rsid w:val="00EC3E69"/>
    <w:rsid w:val="00EC6220"/>
    <w:rsid w:val="00EC6A95"/>
    <w:rsid w:val="00ED171F"/>
    <w:rsid w:val="00ED353D"/>
    <w:rsid w:val="00ED588C"/>
    <w:rsid w:val="00EE0998"/>
    <w:rsid w:val="00EE17F2"/>
    <w:rsid w:val="00EE188A"/>
    <w:rsid w:val="00EE1B01"/>
    <w:rsid w:val="00EE32D0"/>
    <w:rsid w:val="00EE6755"/>
    <w:rsid w:val="00EF1A5A"/>
    <w:rsid w:val="00EF2AC7"/>
    <w:rsid w:val="00EF3558"/>
    <w:rsid w:val="00EF493F"/>
    <w:rsid w:val="00EF7ACB"/>
    <w:rsid w:val="00F0303E"/>
    <w:rsid w:val="00F0448C"/>
    <w:rsid w:val="00F05159"/>
    <w:rsid w:val="00F05B0E"/>
    <w:rsid w:val="00F134FD"/>
    <w:rsid w:val="00F17428"/>
    <w:rsid w:val="00F26F7D"/>
    <w:rsid w:val="00F27F06"/>
    <w:rsid w:val="00F314E8"/>
    <w:rsid w:val="00F316A2"/>
    <w:rsid w:val="00F323A2"/>
    <w:rsid w:val="00F33188"/>
    <w:rsid w:val="00F33B57"/>
    <w:rsid w:val="00F33D5C"/>
    <w:rsid w:val="00F35080"/>
    <w:rsid w:val="00F356D6"/>
    <w:rsid w:val="00F37D37"/>
    <w:rsid w:val="00F41139"/>
    <w:rsid w:val="00F454A2"/>
    <w:rsid w:val="00F45E89"/>
    <w:rsid w:val="00F47845"/>
    <w:rsid w:val="00F50B55"/>
    <w:rsid w:val="00F51520"/>
    <w:rsid w:val="00F535A9"/>
    <w:rsid w:val="00F54717"/>
    <w:rsid w:val="00F567A4"/>
    <w:rsid w:val="00F63771"/>
    <w:rsid w:val="00F64D5A"/>
    <w:rsid w:val="00F65D91"/>
    <w:rsid w:val="00F65EA5"/>
    <w:rsid w:val="00F66CB1"/>
    <w:rsid w:val="00F710A9"/>
    <w:rsid w:val="00F72FB0"/>
    <w:rsid w:val="00F737A4"/>
    <w:rsid w:val="00F76A4C"/>
    <w:rsid w:val="00F8389A"/>
    <w:rsid w:val="00F8516E"/>
    <w:rsid w:val="00F87231"/>
    <w:rsid w:val="00F906F4"/>
    <w:rsid w:val="00F915F3"/>
    <w:rsid w:val="00F91800"/>
    <w:rsid w:val="00F91853"/>
    <w:rsid w:val="00F9208E"/>
    <w:rsid w:val="00F95CCE"/>
    <w:rsid w:val="00F9692D"/>
    <w:rsid w:val="00F96BB3"/>
    <w:rsid w:val="00FA0F71"/>
    <w:rsid w:val="00FA2105"/>
    <w:rsid w:val="00FA3A97"/>
    <w:rsid w:val="00FA3AEA"/>
    <w:rsid w:val="00FA4219"/>
    <w:rsid w:val="00FA48C7"/>
    <w:rsid w:val="00FA54FF"/>
    <w:rsid w:val="00FA6536"/>
    <w:rsid w:val="00FA70F5"/>
    <w:rsid w:val="00FB005D"/>
    <w:rsid w:val="00FB2AF2"/>
    <w:rsid w:val="00FB3FEA"/>
    <w:rsid w:val="00FB4629"/>
    <w:rsid w:val="00FB5FC4"/>
    <w:rsid w:val="00FB6A07"/>
    <w:rsid w:val="00FB6FB1"/>
    <w:rsid w:val="00FB76E5"/>
    <w:rsid w:val="00FC21BE"/>
    <w:rsid w:val="00FC6D4E"/>
    <w:rsid w:val="00FC736F"/>
    <w:rsid w:val="00FD2B2D"/>
    <w:rsid w:val="00FD39CF"/>
    <w:rsid w:val="00FE2121"/>
    <w:rsid w:val="00FE4B6F"/>
    <w:rsid w:val="00FF1712"/>
    <w:rsid w:val="00FF354B"/>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link w:val="NormalWebCar"/>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semiHidden/>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semiHidden/>
    <w:rsid w:val="00002D55"/>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B40B5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169395">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512306555">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73388392">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documents/cce-eicp-ma-04._manual_requisitos_habilitantes_v3_29-09-2023.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archivos/manual/guia-para-la-codificacion-de-bienes-y-servici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tatiana.baquero%40colombiacompra.gov.co%7C7cfff6dece924643582c08dd97bfed90%7C7b09041e245149d08cb179d5e3d8c1be%7C0%7C0%7C638833572792347448%7CUnknown%7CTWFpbGZsb3d8eyJFbXB0eU1hcGkiOnRydWUsIlYiOiIwLjAuMDAwMCIsIlAiOiJXaW4zMiIsIkFOIjoiTWFpbCIsIldUIjoyfQ%3D%3D%7C0%7C%7C%7C&amp;sdata=K03nwa35iwf9ehvktYrXqXUKICQPG9uZh4Vu1Re28IU%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contec.org/eval_conformidad/certificacion-iso-9001-sistema-de-gestion-de-calidad/" TargetMode="External"/><Relationship Id="rId7" Type="http://schemas.openxmlformats.org/officeDocument/2006/relationships/hyperlink" Target="https://www.colombiacompra.gov.co/sites/cce_public/files/cce_documents/cce-eicp-ma-04._manual_requisitos_habilitantes_v3_29-09-2023.pdf" TargetMode="External"/><Relationship Id="rId2" Type="http://schemas.openxmlformats.org/officeDocument/2006/relationships/hyperlink" Target="https://svrpubindc.imprenta.gov.co/senado/" TargetMode="External"/><Relationship Id="rId1" Type="http://schemas.openxmlformats.org/officeDocument/2006/relationships/hyperlink" Target="https://colombiacompra.gov.co/sites/cce_public/files/cce_documents/cce-eicp-ma-04._manual_requisitos_habilitantes_v3_29-09-2023.pdf" TargetMode="External"/><Relationship Id="rId6" Type="http://schemas.openxmlformats.org/officeDocument/2006/relationships/hyperlink" Target="https://www.colombiacompra.gov.co/sites/cce_public/files/cce_documents/cce_guia_codificacion_bienes.pdf" TargetMode="External"/><Relationship Id="rId5" Type="http://schemas.openxmlformats.org/officeDocument/2006/relationships/hyperlink" Target="https://www.colombiacompra.gov.co/sites/cce_public/files/cce_documents/cce_guia_codificacion_bienes.pdf" TargetMode="External"/><Relationship Id="rId4" Type="http://schemas.openxmlformats.org/officeDocument/2006/relationships/hyperlink" Target="https://www.colombiacompra.gov.co/archivos/manual/guia-para-la-codificacion-de-bienes-y-servici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27149D6B-B74B-457B-80DD-FF37596A2B2D}">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EDA197D-7372-4E8F-9640-9FB242F843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25</Pages>
  <Words>8300</Words>
  <Characters>45487</Characters>
  <Application>Microsoft Office Word</Application>
  <DocSecurity>0</DocSecurity>
  <Lines>858</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53625</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5</cp:revision>
  <dcterms:created xsi:type="dcterms:W3CDTF">2025-12-31T12:49:00Z</dcterms:created>
  <dcterms:modified xsi:type="dcterms:W3CDTF">2025-12-31T14:39:00Z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