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7C86EDC" w14:textId="5F51F730" w:rsidR="003C6608" w:rsidRDefault="003C6608" w:rsidP="003C6608">
      <w:pPr>
        <w:jc w:val="both"/>
        <w:rPr>
          <w:rFonts w:ascii="Verdana" w:hAnsi="Verdana" w:cs="Arial"/>
          <w:b/>
          <w:bCs/>
          <w:lang w:val="es-ES" w:eastAsia="es-ES"/>
        </w:rPr>
      </w:pPr>
      <w:bookmarkStart w:id="0" w:name="_Hlk215673488"/>
      <w:r w:rsidRPr="003C6608">
        <w:rPr>
          <w:rFonts w:ascii="Verdana" w:hAnsi="Verdana" w:cs="Arial"/>
          <w:b/>
          <w:bCs/>
          <w:lang w:val="es-ES" w:eastAsia="es-ES"/>
        </w:rPr>
        <w:t>LEY DE GARANTÍAS ELECTORALES – Finalidad / LEY DE GARANTÍAS ELECTORALES ‒ Restricciones ‒ Contratación ‒ Tipos de elección</w:t>
      </w:r>
    </w:p>
    <w:p w14:paraId="057EAA9C" w14:textId="4B4D5ACF" w:rsidR="003C6608" w:rsidRPr="00BC3A80" w:rsidRDefault="003C6608" w:rsidP="003C6608">
      <w:pPr>
        <w:tabs>
          <w:tab w:val="left" w:pos="426"/>
        </w:tabs>
        <w:spacing w:after="120" w:line="276" w:lineRule="auto"/>
        <w:jc w:val="both"/>
        <w:rPr>
          <w:rFonts w:ascii="Verdana" w:eastAsia="Times New Roman" w:hAnsi="Verdana" w:cs="Arial"/>
          <w:lang w:val="es-ES" w:eastAsia="es-CO"/>
        </w:rPr>
      </w:pPr>
      <w:r w:rsidRPr="00BC3A80">
        <w:rPr>
          <w:rFonts w:ascii="Verdana" w:hAnsi="Verdana" w:cs="Arial"/>
          <w:lang w:val="es-ES"/>
        </w:rPr>
        <w:t>El ordenamiento jurídico colombiano contempla medidas para evitar la obtención de beneficios personales en asuntos propios de la administración pública</w:t>
      </w:r>
      <w:r w:rsidRPr="00BC3A80">
        <w:rPr>
          <w:rFonts w:ascii="Verdana" w:hAnsi="Verdana" w:cs="Arial"/>
          <w:i/>
          <w:lang w:val="es-ES"/>
        </w:rPr>
        <w:t xml:space="preserve">. </w:t>
      </w:r>
      <w:r w:rsidRPr="00BC3A80">
        <w:rPr>
          <w:rFonts w:ascii="Verdana" w:hAnsi="Verdana" w:cs="Arial"/>
          <w:lang w:val="es-ES"/>
        </w:rPr>
        <w:t xml:space="preserve">Por ejemplo, el artículo 127 de la Constitución Política establece una prohibición contractual a los servidores públicos y, en cuanto a aspectos políticos, señala restricciones a ciertos empleados del Estado, incluso en época no electoral. </w:t>
      </w:r>
    </w:p>
    <w:p w14:paraId="6763DAB8" w14:textId="71A18FFD" w:rsidR="003C6608" w:rsidRPr="00BC3A80" w:rsidRDefault="003C6608" w:rsidP="003C6608">
      <w:pPr>
        <w:tabs>
          <w:tab w:val="left" w:pos="426"/>
        </w:tabs>
        <w:spacing w:after="120" w:line="276" w:lineRule="auto"/>
        <w:jc w:val="both"/>
        <w:rPr>
          <w:rFonts w:ascii="Verdana" w:hAnsi="Verdana" w:cs="Arial"/>
          <w:lang w:val="es-ES"/>
        </w:rPr>
      </w:pPr>
      <w:r w:rsidRPr="00BC3A80">
        <w:rPr>
          <w:rFonts w:ascii="Verdana" w:eastAsia="Times New Roman" w:hAnsi="Verdana" w:cs="Arial"/>
          <w:lang w:val="es-ES" w:eastAsia="es-CO"/>
        </w:rPr>
        <w:t>En el mismo sentido, la Ley 996 de 2005, conocida como “Ley de Garantías Electorales”, se suma al andamiaje constitucional y legal que busca evitar la injerencia inadecuada de intereses particulares en el ejercicio de la función pública. Esta Ley tiene como propósito evitar cualquier tipo de arbitrariedad, de ventaja injustificada, de uso irregular de los recursos del Estado en las campañas o falta de garantías en la elección presidencial. En esta medida, introduce limitaciones para realizar nombramientos, postulaciones, contrataciones o cualquier otro tipo de actividad que implique destinación de recursos públicos bajo el devenir propio de las Entidades Estatales.</w:t>
      </w:r>
      <w:r w:rsidRPr="00BC3A80">
        <w:rPr>
          <w:rFonts w:ascii="Verdana" w:hAnsi="Verdana" w:cs="Arial"/>
          <w:lang w:val="es-ES"/>
        </w:rPr>
        <w:t xml:space="preserve"> </w:t>
      </w:r>
    </w:p>
    <w:p w14:paraId="0EE5ACAE" w14:textId="77777777" w:rsidR="00A2016E" w:rsidRPr="00A2016E" w:rsidRDefault="00A2016E" w:rsidP="00A2016E">
      <w:pPr>
        <w:spacing w:line="276" w:lineRule="auto"/>
        <w:jc w:val="both"/>
        <w:rPr>
          <w:rFonts w:ascii="Verdana" w:hAnsi="Verdana" w:cs="Arial"/>
          <w:b/>
          <w:bCs/>
          <w:lang w:eastAsia="es-ES_tradnl"/>
        </w:rPr>
      </w:pPr>
      <w:r w:rsidRPr="00A2016E">
        <w:rPr>
          <w:rFonts w:ascii="Verdana" w:hAnsi="Verdana" w:cs="Arial"/>
          <w:b/>
          <w:bCs/>
          <w:lang w:val="es-ES" w:eastAsia="es-ES"/>
        </w:rPr>
        <w:t xml:space="preserve">LEY DE GARANTÍAS ELECTORALES ‒ Artículo 33 ‒ Ámbito material - </w:t>
      </w:r>
      <w:r w:rsidRPr="00A2016E">
        <w:rPr>
          <w:rFonts w:ascii="Verdana" w:hAnsi="Verdana" w:cs="Arial"/>
          <w:b/>
          <w:bCs/>
          <w:lang w:eastAsia="es-ES_tradnl"/>
        </w:rPr>
        <w:t>CONTRATOS Y CONVENIOS INTERADMINISTRATIVOS – Circular Externa Única – Autos de suspensión – Consejo de Estado</w:t>
      </w:r>
    </w:p>
    <w:p w14:paraId="7AB7552A" w14:textId="77777777" w:rsidR="00A2016E" w:rsidRPr="002E4D19" w:rsidRDefault="00A2016E" w:rsidP="00A2016E">
      <w:pPr>
        <w:spacing w:after="120" w:line="276" w:lineRule="auto"/>
        <w:jc w:val="both"/>
        <w:rPr>
          <w:rFonts w:ascii="Verdana" w:eastAsia="Arial" w:hAnsi="Verdana" w:cs="Arial"/>
          <w:lang w:eastAsia="es-ES" w:bidi="es-ES"/>
        </w:rPr>
      </w:pPr>
      <w:r>
        <w:rPr>
          <w:rFonts w:ascii="Verdana" w:eastAsia="Arial" w:hAnsi="Verdana" w:cs="Arial"/>
          <w:lang w:val="es-ES_tradnl" w:eastAsia="es-ES" w:bidi="es-ES"/>
        </w:rPr>
        <w:t>D</w:t>
      </w:r>
      <w:proofErr w:type="spellStart"/>
      <w:r w:rsidRPr="002E4D19">
        <w:rPr>
          <w:rFonts w:ascii="Verdana" w:eastAsia="Arial" w:hAnsi="Verdana" w:cs="Arial"/>
          <w:lang w:eastAsia="es-ES" w:bidi="es-ES"/>
        </w:rPr>
        <w:t>e</w:t>
      </w:r>
      <w:proofErr w:type="spellEnd"/>
      <w:r w:rsidRPr="002E4D19">
        <w:rPr>
          <w:rFonts w:ascii="Verdana" w:eastAsia="Arial" w:hAnsi="Verdana" w:cs="Arial"/>
          <w:lang w:eastAsia="es-ES" w:bidi="es-ES"/>
        </w:rPr>
        <w:t xml:space="preserve"> acuerdo con la reciente postura del Consejo de Estado —particularmente en </w:t>
      </w:r>
      <w:r w:rsidRPr="31E4E861">
        <w:rPr>
          <w:rFonts w:ascii="Verdana" w:eastAsia="Times New Roman" w:hAnsi="Verdana" w:cs="Arial"/>
          <w:lang w:eastAsia="es-CO"/>
        </w:rPr>
        <w:t>la sentencia expedida por la Sección Tercera de la Sala de lo Contencioso Administrativo del 17 de octubre de 2025</w:t>
      </w:r>
      <w:r>
        <w:rPr>
          <w:rFonts w:ascii="Verdana" w:eastAsia="Times New Roman" w:hAnsi="Verdana" w:cs="Arial"/>
          <w:lang w:eastAsia="es-CO"/>
        </w:rPr>
        <w:t>,</w:t>
      </w:r>
      <w:r w:rsidRPr="002E4D19">
        <w:rPr>
          <w:rFonts w:ascii="Verdana" w:eastAsia="Arial" w:hAnsi="Verdana" w:cs="Arial"/>
          <w:lang w:eastAsia="es-ES" w:bidi="es-ES"/>
        </w:rPr>
        <w:t xml:space="preserve"> en los autos del 4 de octubre de 2024 y del 6 de noviembre de 2025, mediante los cuales </w:t>
      </w:r>
      <w:r w:rsidRPr="31E4E861">
        <w:rPr>
          <w:rFonts w:ascii="Verdana" w:eastAsia="Times New Roman" w:hAnsi="Verdana" w:cs="Arial"/>
          <w:lang w:eastAsia="es-CO"/>
        </w:rPr>
        <w:t>se declaró la nulidad parcial</w:t>
      </w:r>
      <w:r>
        <w:rPr>
          <w:rFonts w:ascii="Verdana" w:eastAsia="Times New Roman" w:hAnsi="Verdana" w:cs="Arial"/>
          <w:lang w:eastAsia="es-CO"/>
        </w:rPr>
        <w:t>,</w:t>
      </w:r>
      <w:r w:rsidRPr="002E4D19">
        <w:rPr>
          <w:rFonts w:ascii="Verdana" w:eastAsia="Arial" w:hAnsi="Verdana" w:cs="Arial"/>
          <w:lang w:eastAsia="es-ES" w:bidi="es-ES"/>
        </w:rPr>
        <w:t xml:space="preserve"> se suspendió parcialmente el numeral 16.2 de la Circular Externa Única de 2022 de Colombia Compra Eficiente</w:t>
      </w:r>
      <w:r>
        <w:rPr>
          <w:rFonts w:ascii="Verdana" w:eastAsia="Arial" w:hAnsi="Verdana" w:cs="Arial"/>
          <w:lang w:eastAsia="es-ES" w:bidi="es-ES"/>
        </w:rPr>
        <w:t xml:space="preserve"> </w:t>
      </w:r>
      <w:r w:rsidRPr="31E4E861">
        <w:rPr>
          <w:rFonts w:ascii="Verdana" w:eastAsia="Arial" w:hAnsi="Verdana" w:cs="Arial"/>
          <w:lang w:eastAsia="es-ES" w:bidi="es-ES"/>
        </w:rPr>
        <w:t>y del inciso cuarto del numeral 16.2 de la Circular Externa Única, versión 3 del 27 de diciembre de 2023</w:t>
      </w:r>
      <w:r>
        <w:rPr>
          <w:rFonts w:ascii="Verdana" w:eastAsia="Arial" w:hAnsi="Verdana" w:cs="Arial"/>
          <w:lang w:eastAsia="es-ES" w:bidi="es-ES"/>
        </w:rPr>
        <w:t xml:space="preserve">, respectivamente </w:t>
      </w:r>
      <w:r w:rsidRPr="002E4D19">
        <w:rPr>
          <w:rFonts w:ascii="Verdana" w:eastAsia="Arial" w:hAnsi="Verdana" w:cs="Arial"/>
          <w:lang w:eastAsia="es-ES" w:bidi="es-ES"/>
        </w:rPr>
        <w:t xml:space="preserve">— la prohibición del parágrafo del artículo 38 no se extiende a los contratos interadministrativos, independientemente de su objeto. En tal sentido, dos entidades públicas pueden suscribir válidamente contratos interadministrativos durante los periodos de restricción electoral, incluidos los cuatro </w:t>
      </w:r>
      <w:r>
        <w:rPr>
          <w:rFonts w:ascii="Verdana" w:eastAsia="Arial" w:hAnsi="Verdana" w:cs="Arial"/>
          <w:lang w:eastAsia="es-ES" w:bidi="es-ES"/>
        </w:rPr>
        <w:t xml:space="preserve">(4) </w:t>
      </w:r>
      <w:r w:rsidRPr="002E4D19">
        <w:rPr>
          <w:rFonts w:ascii="Verdana" w:eastAsia="Arial" w:hAnsi="Verdana" w:cs="Arial"/>
          <w:lang w:eastAsia="es-ES" w:bidi="es-ES"/>
        </w:rPr>
        <w:t>meses previos a las elecciones presidenciales, siempre que la figura no corresponda materialmente a un convenio interadministrativo para la ejecución de recursos públicos, que sí está prohibido para los sujetos territoriales mencionados en la norma.</w:t>
      </w:r>
    </w:p>
    <w:p w14:paraId="664B1E39" w14:textId="77777777" w:rsidR="00A2016E" w:rsidRDefault="00A2016E" w:rsidP="00A2016E">
      <w:pPr>
        <w:spacing w:after="120" w:line="276" w:lineRule="auto"/>
        <w:jc w:val="both"/>
        <w:rPr>
          <w:rFonts w:ascii="Verdana" w:eastAsia="Arial" w:hAnsi="Verdana" w:cs="Arial"/>
          <w:lang w:eastAsia="es-ES" w:bidi="es-ES"/>
        </w:rPr>
      </w:pPr>
      <w:r w:rsidRPr="002E4D19">
        <w:rPr>
          <w:rFonts w:ascii="Verdana" w:eastAsia="Arial" w:hAnsi="Verdana" w:cs="Arial"/>
          <w:lang w:eastAsia="es-ES" w:bidi="es-ES"/>
        </w:rPr>
        <w:lastRenderedPageBreak/>
        <w:t xml:space="preserve">De esta manera, </w:t>
      </w:r>
      <w:r>
        <w:rPr>
          <w:rFonts w:ascii="Verdana" w:eastAsia="Arial" w:hAnsi="Verdana" w:cs="Arial"/>
          <w:lang w:eastAsia="es-ES" w:bidi="es-ES"/>
        </w:rPr>
        <w:t>las entidades públicas</w:t>
      </w:r>
      <w:r w:rsidRPr="002E4D19">
        <w:rPr>
          <w:rFonts w:ascii="Verdana" w:eastAsia="Arial" w:hAnsi="Verdana" w:cs="Arial"/>
          <w:lang w:eastAsia="es-ES" w:bidi="es-ES"/>
        </w:rPr>
        <w:t>, deberá</w:t>
      </w:r>
      <w:r>
        <w:rPr>
          <w:rFonts w:ascii="Verdana" w:eastAsia="Arial" w:hAnsi="Verdana" w:cs="Arial"/>
          <w:lang w:eastAsia="es-ES" w:bidi="es-ES"/>
        </w:rPr>
        <w:t>n</w:t>
      </w:r>
      <w:r w:rsidRPr="002E4D19">
        <w:rPr>
          <w:rFonts w:ascii="Verdana" w:eastAsia="Arial" w:hAnsi="Verdana" w:cs="Arial"/>
          <w:lang w:eastAsia="es-ES" w:bidi="es-ES"/>
        </w:rPr>
        <w:t xml:space="preserve"> verificar si la naturaleza del instrumento jurídico corresponde a un convenio interadministrativo para la ejecución de recursos públicos. Si ello es así, la restricción se activa respecto de la entidad territorial obligada, lo que condiciona la viabilidad del convenio. Por el contrario, si el instrumento corresponde a un contrato interadministrativo, la prohibición del artículo 38 no resulta aplicable, conforme a la interpretación vigente del Consejo de Estado.</w:t>
      </w:r>
    </w:p>
    <w:p w14:paraId="14F7E0E7" w14:textId="1C1E3B59" w:rsidR="002D5BEA" w:rsidRPr="00A2016E" w:rsidRDefault="002D5BEA" w:rsidP="002B64AF">
      <w:pPr>
        <w:rPr>
          <w:rFonts w:ascii="Verdana" w:eastAsia="Times New Roman" w:hAnsi="Verdana" w:cs="Arial"/>
          <w:b/>
          <w:bCs/>
          <w:lang w:eastAsia="es-ES_tradnl"/>
        </w:rPr>
      </w:pPr>
    </w:p>
    <w:p w14:paraId="182EC2EB" w14:textId="77777777" w:rsidR="002D5BEA" w:rsidRDefault="002D5BEA" w:rsidP="002B64AF">
      <w:pPr>
        <w:rPr>
          <w:rFonts w:ascii="Verdana" w:eastAsia="Times New Roman" w:hAnsi="Verdana" w:cs="Arial"/>
          <w:lang w:eastAsia="es-ES_tradnl"/>
        </w:rPr>
      </w:pPr>
    </w:p>
    <w:p w14:paraId="59D9D823" w14:textId="77777777" w:rsidR="002D5BEA" w:rsidRDefault="002D5BEA" w:rsidP="002B64AF">
      <w:pPr>
        <w:rPr>
          <w:rFonts w:ascii="Verdana" w:eastAsia="Times New Roman" w:hAnsi="Verdana" w:cs="Arial"/>
          <w:lang w:eastAsia="es-ES_tradnl"/>
        </w:rPr>
      </w:pPr>
    </w:p>
    <w:p w14:paraId="2D0038A2" w14:textId="77777777" w:rsidR="002D5BEA" w:rsidRDefault="002D5BEA" w:rsidP="002B64AF">
      <w:pPr>
        <w:rPr>
          <w:rFonts w:ascii="Verdana" w:eastAsia="Times New Roman" w:hAnsi="Verdana" w:cs="Arial"/>
          <w:lang w:eastAsia="es-ES_tradnl"/>
        </w:rPr>
      </w:pPr>
    </w:p>
    <w:p w14:paraId="3E97CA9D" w14:textId="77777777" w:rsidR="002D5BEA" w:rsidRDefault="002D5BEA" w:rsidP="002B64AF">
      <w:pPr>
        <w:rPr>
          <w:rFonts w:ascii="Verdana" w:eastAsia="Times New Roman" w:hAnsi="Verdana" w:cs="Arial"/>
          <w:lang w:eastAsia="es-ES_tradnl"/>
        </w:rPr>
      </w:pPr>
    </w:p>
    <w:p w14:paraId="49A15549" w14:textId="77777777" w:rsidR="002D5BEA" w:rsidRDefault="002D5BEA" w:rsidP="002B64AF">
      <w:pPr>
        <w:rPr>
          <w:rFonts w:ascii="Verdana" w:eastAsia="Times New Roman" w:hAnsi="Verdana" w:cs="Arial"/>
          <w:lang w:eastAsia="es-ES_tradnl"/>
        </w:rPr>
      </w:pPr>
    </w:p>
    <w:p w14:paraId="5446D624" w14:textId="77777777" w:rsidR="002D5BEA" w:rsidRDefault="002D5BEA" w:rsidP="002B64AF">
      <w:pPr>
        <w:rPr>
          <w:rFonts w:ascii="Verdana" w:eastAsia="Times New Roman" w:hAnsi="Verdana" w:cs="Arial"/>
          <w:lang w:eastAsia="es-ES_tradnl"/>
        </w:rPr>
      </w:pPr>
    </w:p>
    <w:p w14:paraId="48588CC4" w14:textId="77777777" w:rsidR="002D5BEA" w:rsidRDefault="002D5BEA" w:rsidP="002B64AF">
      <w:pPr>
        <w:rPr>
          <w:rFonts w:ascii="Verdana" w:eastAsia="Times New Roman" w:hAnsi="Verdana" w:cs="Arial"/>
          <w:lang w:eastAsia="es-ES_tradnl"/>
        </w:rPr>
      </w:pPr>
    </w:p>
    <w:p w14:paraId="5F63D12A" w14:textId="77777777" w:rsidR="002D5BEA" w:rsidRDefault="002D5BEA" w:rsidP="002B64AF">
      <w:pPr>
        <w:rPr>
          <w:rFonts w:ascii="Verdana" w:eastAsia="Times New Roman" w:hAnsi="Verdana" w:cs="Arial"/>
          <w:lang w:eastAsia="es-ES_tradnl"/>
        </w:rPr>
      </w:pPr>
    </w:p>
    <w:p w14:paraId="528A6893" w14:textId="77777777" w:rsidR="002D5BEA" w:rsidRDefault="002D5BEA" w:rsidP="002B64AF">
      <w:pPr>
        <w:rPr>
          <w:rFonts w:ascii="Verdana" w:eastAsia="Times New Roman" w:hAnsi="Verdana" w:cs="Arial"/>
          <w:lang w:eastAsia="es-ES_tradnl"/>
        </w:rPr>
      </w:pPr>
    </w:p>
    <w:p w14:paraId="3B61ACC3" w14:textId="77777777" w:rsidR="002D5BEA" w:rsidRDefault="002D5BEA" w:rsidP="002B64AF">
      <w:pPr>
        <w:rPr>
          <w:rFonts w:ascii="Verdana" w:eastAsia="Times New Roman" w:hAnsi="Verdana" w:cs="Arial"/>
          <w:lang w:eastAsia="es-ES_tradnl"/>
        </w:rPr>
      </w:pPr>
    </w:p>
    <w:p w14:paraId="47DE79D9" w14:textId="77777777" w:rsidR="002D5BEA" w:rsidRDefault="002D5BEA" w:rsidP="002B64AF">
      <w:pPr>
        <w:rPr>
          <w:rFonts w:ascii="Verdana" w:eastAsia="Times New Roman" w:hAnsi="Verdana" w:cs="Arial"/>
          <w:lang w:eastAsia="es-ES_tradnl"/>
        </w:rPr>
      </w:pPr>
    </w:p>
    <w:p w14:paraId="4877DC2B" w14:textId="77777777" w:rsidR="00A2016E" w:rsidRDefault="00A2016E" w:rsidP="002B64AF">
      <w:pPr>
        <w:rPr>
          <w:rFonts w:ascii="Verdana" w:eastAsia="Times New Roman" w:hAnsi="Verdana" w:cs="Arial"/>
          <w:lang w:eastAsia="es-ES_tradnl"/>
        </w:rPr>
      </w:pPr>
    </w:p>
    <w:p w14:paraId="54438D20" w14:textId="77777777" w:rsidR="00A2016E" w:rsidRDefault="00A2016E" w:rsidP="002B64AF">
      <w:pPr>
        <w:rPr>
          <w:rFonts w:ascii="Verdana" w:eastAsia="Times New Roman" w:hAnsi="Verdana" w:cs="Arial"/>
          <w:lang w:eastAsia="es-ES_tradnl"/>
        </w:rPr>
      </w:pPr>
    </w:p>
    <w:p w14:paraId="4D97E554" w14:textId="77777777" w:rsidR="00A2016E" w:rsidRDefault="00A2016E" w:rsidP="002B64AF">
      <w:pPr>
        <w:rPr>
          <w:rFonts w:ascii="Verdana" w:eastAsia="Times New Roman" w:hAnsi="Verdana" w:cs="Arial"/>
          <w:lang w:eastAsia="es-ES_tradnl"/>
        </w:rPr>
      </w:pPr>
    </w:p>
    <w:p w14:paraId="25F869F9" w14:textId="77777777" w:rsidR="00A2016E" w:rsidRDefault="00A2016E" w:rsidP="002B64AF">
      <w:pPr>
        <w:rPr>
          <w:rFonts w:ascii="Verdana" w:eastAsia="Times New Roman" w:hAnsi="Verdana" w:cs="Arial"/>
          <w:lang w:eastAsia="es-ES_tradnl"/>
        </w:rPr>
      </w:pPr>
    </w:p>
    <w:p w14:paraId="787C468A" w14:textId="77777777" w:rsidR="00A2016E" w:rsidRDefault="00A2016E" w:rsidP="002B64AF">
      <w:pPr>
        <w:rPr>
          <w:rFonts w:ascii="Verdana" w:eastAsia="Times New Roman" w:hAnsi="Verdana" w:cs="Arial"/>
          <w:lang w:eastAsia="es-ES_tradnl"/>
        </w:rPr>
      </w:pPr>
    </w:p>
    <w:p w14:paraId="0A22D8B7" w14:textId="77777777" w:rsidR="00A2016E" w:rsidRDefault="00A2016E" w:rsidP="002B64AF">
      <w:pPr>
        <w:rPr>
          <w:rFonts w:ascii="Verdana" w:eastAsia="Times New Roman" w:hAnsi="Verdana" w:cs="Arial"/>
          <w:lang w:eastAsia="es-ES_tradnl"/>
        </w:rPr>
      </w:pPr>
    </w:p>
    <w:p w14:paraId="45E47026" w14:textId="77777777" w:rsidR="00A2016E" w:rsidRDefault="00A2016E" w:rsidP="002B64AF">
      <w:pPr>
        <w:rPr>
          <w:rFonts w:ascii="Verdana" w:eastAsia="Times New Roman" w:hAnsi="Verdana" w:cs="Arial"/>
          <w:lang w:eastAsia="es-ES_tradnl"/>
        </w:rPr>
      </w:pPr>
    </w:p>
    <w:p w14:paraId="473CC9E0" w14:textId="77777777" w:rsidR="00A2016E" w:rsidRDefault="00A2016E" w:rsidP="002B64AF">
      <w:pPr>
        <w:rPr>
          <w:rFonts w:ascii="Verdana" w:eastAsia="Times New Roman" w:hAnsi="Verdana" w:cs="Arial"/>
          <w:lang w:eastAsia="es-ES_tradnl"/>
        </w:rPr>
      </w:pPr>
    </w:p>
    <w:p w14:paraId="562A6728" w14:textId="67AF32CD" w:rsidR="002B64AF" w:rsidRPr="006F44C3" w:rsidRDefault="002B64AF" w:rsidP="002B64AF">
      <w:pPr>
        <w:rPr>
          <w:rFonts w:ascii="Verdana" w:eastAsia="Times New Roman" w:hAnsi="Verdana" w:cs="Times New Roman"/>
          <w:lang w:eastAsia="es-ES"/>
        </w:rPr>
      </w:pPr>
      <w:r w:rsidRPr="00093B55">
        <w:rPr>
          <w:rFonts w:ascii="Verdana" w:eastAsia="Times New Roman" w:hAnsi="Verdana" w:cs="Arial"/>
          <w:lang w:eastAsia="es-ES_tradnl"/>
        </w:rPr>
        <w:lastRenderedPageBreak/>
        <w:t>Bogotá D.C., </w:t>
      </w:r>
      <w:r w:rsidR="002D5BEA">
        <w:rPr>
          <w:rFonts w:ascii="Verdana" w:eastAsia="Times New Roman" w:hAnsi="Verdana" w:cs="Arial"/>
          <w:lang w:eastAsia="es-ES_tradnl"/>
        </w:rPr>
        <w:t>16</w:t>
      </w:r>
      <w:r w:rsidRPr="00093B55">
        <w:rPr>
          <w:rFonts w:ascii="Verdana" w:eastAsia="Times New Roman" w:hAnsi="Verdana" w:cs="Arial"/>
          <w:lang w:eastAsia="es-ES_tradnl"/>
        </w:rPr>
        <w:t xml:space="preserve"> de </w:t>
      </w:r>
      <w:r w:rsidR="002D5BEA">
        <w:rPr>
          <w:rFonts w:ascii="Verdana" w:eastAsia="Times New Roman" w:hAnsi="Verdana" w:cs="Arial"/>
          <w:lang w:eastAsia="es-ES_tradnl"/>
        </w:rPr>
        <w:t>diciembre</w:t>
      </w:r>
      <w:r w:rsidRPr="00093B55">
        <w:rPr>
          <w:rFonts w:ascii="Verdana" w:eastAsia="Times New Roman" w:hAnsi="Verdana" w:cs="Arial"/>
          <w:lang w:eastAsia="es-ES_tradnl"/>
        </w:rPr>
        <w:t xml:space="preserve"> de </w:t>
      </w:r>
      <w:r w:rsidR="002D5BEA">
        <w:rPr>
          <w:rFonts w:ascii="Verdana" w:eastAsia="Times New Roman" w:hAnsi="Verdana" w:cs="Arial"/>
          <w:lang w:eastAsia="es-ES_tradnl"/>
        </w:rPr>
        <w:t>2025</w:t>
      </w:r>
    </w:p>
    <w:p w14:paraId="33C458BA" w14:textId="77777777" w:rsidR="002B64AF" w:rsidRPr="00BC3A80" w:rsidRDefault="002B64AF" w:rsidP="002B64AF">
      <w:pPr>
        <w:spacing w:after="0" w:line="240" w:lineRule="auto"/>
        <w:jc w:val="right"/>
        <w:rPr>
          <w:rFonts w:ascii="Verdana" w:hAnsi="Verdana" w:cs="Arial"/>
          <w:color w:val="000000"/>
          <w:lang w:val="es-ES_tradnl"/>
        </w:rPr>
      </w:pPr>
    </w:p>
    <w:p w14:paraId="5F1BDF95" w14:textId="23867B46" w:rsidR="00BF5D70" w:rsidRDefault="00BF5D70" w:rsidP="00BF5D70">
      <w:pPr>
        <w:spacing w:after="0" w:line="240" w:lineRule="auto"/>
        <w:ind w:left="4956"/>
        <w:jc w:val="both"/>
        <w:rPr>
          <w:rFonts w:ascii="Verdana" w:hAnsi="Verdana" w:cs="Arial"/>
          <w:lang w:val="es-ES_tradnl" w:eastAsia="es-ES"/>
        </w:rPr>
      </w:pPr>
      <w:r w:rsidRPr="00BF5D70">
        <w:rPr>
          <w:rFonts w:ascii="Verdana" w:hAnsi="Verdana" w:cs="Arial"/>
          <w:lang w:val="es-ES_tradnl" w:eastAsia="es-ES"/>
        </w:rPr>
        <w:drawing>
          <wp:inline distT="0" distB="0" distL="0" distR="0" wp14:anchorId="7934048B" wp14:editId="4FF0AE47">
            <wp:extent cx="2494429" cy="800100"/>
            <wp:effectExtent l="0" t="0" r="1270" b="0"/>
            <wp:docPr id="1383448570"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3448570" name=""/>
                    <pic:cNvPicPr/>
                  </pic:nvPicPr>
                  <pic:blipFill>
                    <a:blip r:embed="rId10"/>
                    <a:stretch>
                      <a:fillRect/>
                    </a:stretch>
                  </pic:blipFill>
                  <pic:spPr>
                    <a:xfrm>
                      <a:off x="0" y="0"/>
                      <a:ext cx="2501304" cy="802305"/>
                    </a:xfrm>
                    <a:prstGeom prst="rect">
                      <a:avLst/>
                    </a:prstGeom>
                  </pic:spPr>
                </pic:pic>
              </a:graphicData>
            </a:graphic>
          </wp:inline>
        </w:drawing>
      </w:r>
    </w:p>
    <w:p w14:paraId="0E8CA054" w14:textId="32220B65" w:rsidR="002B64AF" w:rsidRPr="00BC3A80" w:rsidRDefault="002B64AF" w:rsidP="002B64AF">
      <w:pPr>
        <w:spacing w:after="0" w:line="240" w:lineRule="auto"/>
        <w:jc w:val="both"/>
        <w:rPr>
          <w:rFonts w:ascii="Verdana" w:hAnsi="Verdana" w:cs="Arial"/>
          <w:lang w:val="es-ES_tradnl" w:eastAsia="es-ES"/>
        </w:rPr>
      </w:pPr>
      <w:r w:rsidRPr="00BC3A80">
        <w:rPr>
          <w:rFonts w:ascii="Verdana" w:hAnsi="Verdana" w:cs="Arial"/>
          <w:lang w:val="es-ES_tradnl" w:eastAsia="es-ES"/>
        </w:rPr>
        <w:t>Señor</w:t>
      </w:r>
    </w:p>
    <w:p w14:paraId="43EF784E" w14:textId="77777777" w:rsidR="002B64AF" w:rsidRDefault="002B64AF" w:rsidP="002B64AF">
      <w:pPr>
        <w:spacing w:after="0" w:line="240" w:lineRule="auto"/>
        <w:jc w:val="both"/>
        <w:rPr>
          <w:rFonts w:ascii="Verdana" w:hAnsi="Verdana" w:cs="Arial"/>
          <w:b/>
          <w:bCs/>
          <w:lang w:val="es-ES_tradnl" w:eastAsia="es-ES"/>
        </w:rPr>
      </w:pPr>
      <w:r>
        <w:rPr>
          <w:rFonts w:ascii="Verdana" w:hAnsi="Verdana" w:cs="Arial"/>
          <w:b/>
          <w:bCs/>
          <w:lang w:val="es-ES_tradnl" w:eastAsia="es-ES"/>
        </w:rPr>
        <w:t>Anónimo</w:t>
      </w:r>
    </w:p>
    <w:p w14:paraId="54E70E3E" w14:textId="77777777" w:rsidR="002B64AF" w:rsidRDefault="002B64AF" w:rsidP="002B64AF">
      <w:pPr>
        <w:spacing w:after="0" w:line="240" w:lineRule="auto"/>
        <w:rPr>
          <w:rFonts w:ascii="Verdana" w:hAnsi="Verdana"/>
        </w:rPr>
      </w:pPr>
      <w:hyperlink r:id="rId11" w:history="1">
        <w:r w:rsidRPr="008A67C9">
          <w:rPr>
            <w:rStyle w:val="Hipervnculo"/>
            <w:rFonts w:ascii="Verdana" w:hAnsi="Verdana"/>
          </w:rPr>
          <w:t>mauricio.garcia@culturantioquia.gov.co</w:t>
        </w:r>
      </w:hyperlink>
    </w:p>
    <w:p w14:paraId="3F1A4C6C" w14:textId="77777777" w:rsidR="002B64AF" w:rsidRPr="00FA3DC5" w:rsidRDefault="002B64AF" w:rsidP="002B64AF">
      <w:pPr>
        <w:spacing w:after="0" w:line="240" w:lineRule="auto"/>
        <w:rPr>
          <w:rFonts w:ascii="Verdana" w:hAnsi="Verdana"/>
        </w:rPr>
      </w:pPr>
      <w:r>
        <w:rPr>
          <w:rFonts w:ascii="Verdana" w:hAnsi="Verdana" w:cs="Arial"/>
          <w:lang w:val="en-US" w:eastAsia="es-ES"/>
        </w:rPr>
        <w:t>Medellin, Antioquia.</w:t>
      </w:r>
      <w:r w:rsidRPr="00C8004B">
        <w:rPr>
          <w:rFonts w:ascii="Verdana" w:hAnsi="Verdana" w:cs="Arial"/>
          <w:lang w:val="en-US" w:eastAsia="es-ES"/>
        </w:rPr>
        <w:tab/>
      </w:r>
    </w:p>
    <w:p w14:paraId="6EF29449" w14:textId="77777777" w:rsidR="002B64AF" w:rsidRPr="00C8004B" w:rsidRDefault="002B64AF" w:rsidP="002B64AF">
      <w:pPr>
        <w:spacing w:after="0" w:line="240" w:lineRule="auto"/>
        <w:rPr>
          <w:rFonts w:ascii="Verdana" w:hAnsi="Verdana" w:cs="Arial"/>
          <w:b/>
          <w:bCs/>
          <w:color w:val="000000"/>
          <w:lang w:val="en-US" w:eastAsia="es-ES_tradnl"/>
        </w:rPr>
      </w:pPr>
    </w:p>
    <w:p w14:paraId="6B2FB88A" w14:textId="77777777" w:rsidR="002B64AF" w:rsidRPr="00C8004B" w:rsidRDefault="002B64AF" w:rsidP="002B64AF">
      <w:pPr>
        <w:spacing w:after="0" w:line="240" w:lineRule="auto"/>
        <w:rPr>
          <w:rFonts w:ascii="Verdana" w:hAnsi="Verdana" w:cs="Arial"/>
          <w:b/>
          <w:bCs/>
          <w:color w:val="000000"/>
          <w:lang w:val="en-US" w:eastAsia="es-ES_tradnl"/>
        </w:rPr>
      </w:pPr>
    </w:p>
    <w:tbl>
      <w:tblPr>
        <w:tblStyle w:val="Tablaconcuadrcula1"/>
        <w:tblW w:w="8789" w:type="dxa"/>
        <w:tblCellMar>
          <w:left w:w="0" w:type="dxa"/>
          <w:right w:w="0" w:type="dxa"/>
        </w:tblCellMar>
        <w:tblLook w:val="04A0" w:firstRow="1" w:lastRow="0" w:firstColumn="1" w:lastColumn="0" w:noHBand="0" w:noVBand="1"/>
      </w:tblPr>
      <w:tblGrid>
        <w:gridCol w:w="2689"/>
        <w:gridCol w:w="6100"/>
      </w:tblGrid>
      <w:tr w:rsidR="002B64AF" w:rsidRPr="00BC3A80" w14:paraId="66873AD9" w14:textId="77777777" w:rsidTr="003021E1">
        <w:trPr>
          <w:trHeight w:val="102"/>
        </w:trPr>
        <w:tc>
          <w:tcPr>
            <w:tcW w:w="2689" w:type="dxa"/>
          </w:tcPr>
          <w:p w14:paraId="20C7886F" w14:textId="77777777" w:rsidR="002B64AF" w:rsidRPr="00C8004B" w:rsidRDefault="002B64AF" w:rsidP="003021E1">
            <w:pPr>
              <w:jc w:val="both"/>
              <w:rPr>
                <w:rFonts w:ascii="Verdana" w:hAnsi="Verdana" w:cs="Arial"/>
                <w:b/>
                <w:bCs/>
                <w:color w:val="7030A0"/>
                <w:lang w:val="en-US" w:eastAsia="es-ES_tradnl"/>
              </w:rPr>
            </w:pPr>
          </w:p>
        </w:tc>
        <w:tc>
          <w:tcPr>
            <w:tcW w:w="6100" w:type="dxa"/>
          </w:tcPr>
          <w:p w14:paraId="21C9DF5F" w14:textId="77777777" w:rsidR="002B64AF" w:rsidRDefault="002B64AF" w:rsidP="003021E1">
            <w:pPr>
              <w:jc w:val="both"/>
              <w:rPr>
                <w:rFonts w:ascii="Verdana" w:hAnsi="Verdana" w:cs="Arial"/>
                <w:b/>
                <w:bCs/>
                <w:lang w:val="es-ES_tradnl" w:eastAsia="es-ES"/>
              </w:rPr>
            </w:pPr>
            <w:r w:rsidRPr="00BC3A80">
              <w:rPr>
                <w:rFonts w:ascii="Verdana" w:hAnsi="Verdana" w:cs="Arial"/>
                <w:b/>
                <w:bCs/>
                <w:lang w:val="es-ES_tradnl" w:eastAsia="es-ES"/>
              </w:rPr>
              <w:t xml:space="preserve">Concepto </w:t>
            </w:r>
            <w:r w:rsidRPr="00FA3DC5">
              <w:rPr>
                <w:rFonts w:ascii="Verdana" w:hAnsi="Verdana" w:cs="Arial"/>
                <w:b/>
                <w:bCs/>
                <w:lang w:val="es-ES_tradnl" w:eastAsia="es-ES"/>
              </w:rPr>
              <w:t>C-1767</w:t>
            </w:r>
            <w:r>
              <w:rPr>
                <w:rFonts w:ascii="Verdana" w:hAnsi="Verdana" w:cs="Arial"/>
                <w:b/>
                <w:bCs/>
                <w:lang w:val="es-ES_tradnl" w:eastAsia="es-ES"/>
              </w:rPr>
              <w:t xml:space="preserve"> </w:t>
            </w:r>
            <w:r w:rsidRPr="00BC3A80">
              <w:rPr>
                <w:rFonts w:ascii="Verdana" w:hAnsi="Verdana" w:cs="Arial"/>
                <w:b/>
                <w:bCs/>
                <w:lang w:val="es-ES_tradnl" w:eastAsia="es-ES"/>
              </w:rPr>
              <w:t>de 2025</w:t>
            </w:r>
          </w:p>
          <w:p w14:paraId="588AF935" w14:textId="77777777" w:rsidR="002B64AF" w:rsidRPr="00BC3A80" w:rsidRDefault="002B64AF" w:rsidP="003021E1">
            <w:pPr>
              <w:jc w:val="both"/>
              <w:rPr>
                <w:rFonts w:ascii="Verdana" w:hAnsi="Verdana" w:cs="Arial"/>
                <w:b/>
                <w:bCs/>
                <w:color w:val="7030A0"/>
                <w:lang w:val="es-ES_tradnl" w:eastAsia="es-ES"/>
              </w:rPr>
            </w:pPr>
          </w:p>
        </w:tc>
      </w:tr>
      <w:tr w:rsidR="002B64AF" w:rsidRPr="00BC3A80" w14:paraId="3E914655" w14:textId="77777777" w:rsidTr="003021E1">
        <w:trPr>
          <w:trHeight w:val="884"/>
        </w:trPr>
        <w:tc>
          <w:tcPr>
            <w:tcW w:w="2689" w:type="dxa"/>
          </w:tcPr>
          <w:p w14:paraId="6CE97371" w14:textId="77777777" w:rsidR="002B64AF" w:rsidRPr="00BC3A80" w:rsidRDefault="002B64AF" w:rsidP="003021E1">
            <w:pPr>
              <w:jc w:val="both"/>
              <w:rPr>
                <w:rFonts w:ascii="Verdana" w:hAnsi="Verdana" w:cs="Arial"/>
                <w:color w:val="000000"/>
                <w:lang w:val="es-ES_tradnl" w:eastAsia="es-ES_tradnl"/>
              </w:rPr>
            </w:pPr>
            <w:r w:rsidRPr="00BC3A80">
              <w:rPr>
                <w:rFonts w:ascii="Verdana" w:hAnsi="Verdana" w:cs="Arial"/>
                <w:b/>
                <w:color w:val="000000"/>
                <w:lang w:val="es-ES_tradnl" w:eastAsia="es-ES_tradnl"/>
              </w:rPr>
              <w:t>Temas:</w:t>
            </w:r>
            <w:r w:rsidRPr="00BC3A80">
              <w:rPr>
                <w:rFonts w:ascii="Verdana" w:hAnsi="Verdana" w:cs="Arial"/>
                <w:color w:val="000000"/>
                <w:lang w:val="es-ES_tradnl" w:eastAsia="es-ES_tradnl"/>
              </w:rPr>
              <w:t xml:space="preserve">                   </w:t>
            </w:r>
          </w:p>
        </w:tc>
        <w:tc>
          <w:tcPr>
            <w:tcW w:w="6100" w:type="dxa"/>
          </w:tcPr>
          <w:p w14:paraId="52FEA35F" w14:textId="77777777" w:rsidR="002B64AF" w:rsidRPr="00BC3A80" w:rsidRDefault="002B64AF" w:rsidP="003021E1">
            <w:pPr>
              <w:spacing w:line="276" w:lineRule="auto"/>
              <w:jc w:val="both"/>
              <w:rPr>
                <w:rFonts w:ascii="Verdana" w:hAnsi="Verdana" w:cs="Arial"/>
                <w:lang w:eastAsia="es-ES_tradnl"/>
              </w:rPr>
            </w:pPr>
            <w:r w:rsidRPr="00BC3A80">
              <w:rPr>
                <w:rFonts w:ascii="Verdana" w:hAnsi="Verdana" w:cs="Arial"/>
                <w:lang w:val="es-ES" w:eastAsia="es-ES"/>
              </w:rPr>
              <w:t>LEY DE GARANTÍAS ELECTORALES – Finalidad / LEY DE GARANTÍAS ELECTORALES ‒ Restricciones ‒ Contratación ‒ Tipos de elección / LEY DE GARANTÍAS ELECTORALES ‒ Artículo 33 ‒ Ámbito material</w:t>
            </w:r>
            <w:r>
              <w:rPr>
                <w:rFonts w:ascii="Verdana" w:hAnsi="Verdana" w:cs="Arial"/>
                <w:lang w:val="es-ES" w:eastAsia="es-ES"/>
              </w:rPr>
              <w:t xml:space="preserve"> </w:t>
            </w:r>
            <w:r w:rsidRPr="00BC3A80">
              <w:rPr>
                <w:rFonts w:ascii="Verdana" w:hAnsi="Verdana" w:cs="Arial"/>
                <w:lang w:val="es-ES" w:eastAsia="es-ES"/>
              </w:rPr>
              <w:t xml:space="preserve">/ </w:t>
            </w:r>
            <w:r w:rsidRPr="00BC3A80">
              <w:rPr>
                <w:rFonts w:ascii="Verdana" w:hAnsi="Verdana" w:cs="Arial"/>
                <w:lang w:eastAsia="es-ES_tradnl"/>
              </w:rPr>
              <w:t>CONTRATOS Y CONVENIOS INTERADMINISTRATIVOS – Circular Externa Única – Autos de suspensión – Consejo de Estado</w:t>
            </w:r>
          </w:p>
          <w:p w14:paraId="0DCE4DF4" w14:textId="77777777" w:rsidR="002B64AF" w:rsidRPr="00BC3A80" w:rsidRDefault="002B64AF" w:rsidP="003021E1">
            <w:pPr>
              <w:spacing w:line="276" w:lineRule="auto"/>
              <w:jc w:val="both"/>
              <w:rPr>
                <w:rFonts w:ascii="Verdana" w:eastAsia="Arial" w:hAnsi="Verdana" w:cs="Arial"/>
                <w:bCs/>
                <w:color w:val="000000" w:themeColor="text1"/>
              </w:rPr>
            </w:pPr>
          </w:p>
        </w:tc>
      </w:tr>
      <w:tr w:rsidR="002B64AF" w:rsidRPr="00BC3A80" w14:paraId="64276620" w14:textId="77777777" w:rsidTr="003021E1">
        <w:trPr>
          <w:trHeight w:val="402"/>
        </w:trPr>
        <w:tc>
          <w:tcPr>
            <w:tcW w:w="2689" w:type="dxa"/>
          </w:tcPr>
          <w:p w14:paraId="664409A9" w14:textId="77777777" w:rsidR="002B64AF" w:rsidRPr="00BC3A80" w:rsidRDefault="002B64AF" w:rsidP="003021E1">
            <w:pPr>
              <w:jc w:val="both"/>
              <w:rPr>
                <w:rFonts w:ascii="Verdana" w:hAnsi="Verdana" w:cs="Arial"/>
                <w:b/>
                <w:lang w:val="es-ES_tradnl" w:eastAsia="es-ES_tradnl"/>
              </w:rPr>
            </w:pPr>
            <w:r w:rsidRPr="00BC3A80">
              <w:rPr>
                <w:rFonts w:ascii="Verdana" w:hAnsi="Verdana" w:cs="Arial"/>
                <w:b/>
                <w:lang w:val="es-ES_tradnl" w:eastAsia="es-ES_tradnl"/>
              </w:rPr>
              <w:t>Radicación:</w:t>
            </w:r>
            <w:r w:rsidRPr="00BC3A80">
              <w:rPr>
                <w:rFonts w:ascii="Verdana" w:hAnsi="Verdana" w:cs="Arial"/>
                <w:lang w:val="es-ES_tradnl" w:eastAsia="es-ES_tradnl"/>
              </w:rPr>
              <w:t xml:space="preserve">               </w:t>
            </w:r>
          </w:p>
        </w:tc>
        <w:tc>
          <w:tcPr>
            <w:tcW w:w="6100" w:type="dxa"/>
          </w:tcPr>
          <w:p w14:paraId="5B338FFB" w14:textId="77777777" w:rsidR="002B64AF" w:rsidRPr="00BC3A80" w:rsidRDefault="002B64AF" w:rsidP="003021E1">
            <w:pPr>
              <w:spacing w:line="276" w:lineRule="auto"/>
              <w:jc w:val="both"/>
              <w:rPr>
                <w:rFonts w:ascii="Verdana" w:hAnsi="Verdana" w:cs="Arial"/>
                <w:lang w:val="es-ES_tradnl" w:eastAsia="es-ES_tradnl"/>
              </w:rPr>
            </w:pPr>
            <w:r w:rsidRPr="00BC3A80">
              <w:rPr>
                <w:rFonts w:ascii="Verdana" w:hAnsi="Verdana" w:cs="Arial"/>
                <w:lang w:val="es-ES_tradnl" w:eastAsia="es-ES_tradnl"/>
              </w:rPr>
              <w:t xml:space="preserve">Respuesta a la consulta con radicado No. </w:t>
            </w:r>
            <w:r w:rsidRPr="00FA3DC5">
              <w:rPr>
                <w:rFonts w:ascii="Verdana" w:hAnsi="Verdana" w:cs="Arial"/>
                <w:lang w:val="es-ES_tradnl" w:eastAsia="es-ES_tradnl"/>
              </w:rPr>
              <w:t>1_2025_11_26_013389</w:t>
            </w:r>
          </w:p>
        </w:tc>
      </w:tr>
    </w:tbl>
    <w:p w14:paraId="5685C093" w14:textId="77777777" w:rsidR="002B64AF" w:rsidRPr="00BC3A80" w:rsidRDefault="002B64AF" w:rsidP="002B64AF">
      <w:pPr>
        <w:spacing w:after="0" w:line="276" w:lineRule="auto"/>
        <w:jc w:val="both"/>
        <w:rPr>
          <w:rFonts w:ascii="Verdana" w:hAnsi="Verdana" w:cs="Arial"/>
          <w:color w:val="000000"/>
          <w:lang w:val="es-ES_tradnl" w:eastAsia="es-ES_tradnl"/>
        </w:rPr>
      </w:pPr>
    </w:p>
    <w:p w14:paraId="6439B745" w14:textId="77777777" w:rsidR="002B64AF" w:rsidRPr="00BC3A80" w:rsidRDefault="002B64AF" w:rsidP="002B64AF">
      <w:pPr>
        <w:spacing w:after="0" w:line="276" w:lineRule="auto"/>
        <w:jc w:val="both"/>
        <w:rPr>
          <w:rFonts w:ascii="Verdana" w:hAnsi="Verdana" w:cs="Arial"/>
          <w:color w:val="000000"/>
          <w:lang w:val="es-ES_tradnl" w:eastAsia="es-ES_tradnl"/>
        </w:rPr>
      </w:pPr>
    </w:p>
    <w:p w14:paraId="1538B32D" w14:textId="77777777" w:rsidR="002B64AF" w:rsidRPr="00BC3A80" w:rsidRDefault="002B64AF" w:rsidP="002B64AF">
      <w:pPr>
        <w:spacing w:after="0" w:line="276" w:lineRule="auto"/>
        <w:jc w:val="both"/>
        <w:rPr>
          <w:rFonts w:ascii="Verdana" w:hAnsi="Verdana" w:cs="Arial"/>
          <w:lang w:val="es-ES_tradnl" w:eastAsia="es-ES"/>
        </w:rPr>
      </w:pPr>
      <w:r w:rsidRPr="00BC3A80">
        <w:rPr>
          <w:rFonts w:ascii="Verdana" w:hAnsi="Verdana" w:cs="Arial"/>
          <w:lang w:val="es-ES_tradnl" w:eastAsia="es-ES"/>
        </w:rPr>
        <w:t>Estimad</w:t>
      </w:r>
      <w:r>
        <w:rPr>
          <w:rFonts w:ascii="Verdana" w:hAnsi="Verdana" w:cs="Arial"/>
          <w:lang w:val="es-ES_tradnl" w:eastAsia="es-ES"/>
        </w:rPr>
        <w:t>o señor Anónimo</w:t>
      </w:r>
      <w:r w:rsidRPr="00BC3A80">
        <w:rPr>
          <w:rFonts w:ascii="Verdana" w:hAnsi="Verdana" w:cs="Arial"/>
          <w:lang w:val="es-ES_tradnl" w:eastAsia="es-ES"/>
        </w:rPr>
        <w:t xml:space="preserve">: </w:t>
      </w:r>
    </w:p>
    <w:p w14:paraId="3B3E8869" w14:textId="77777777" w:rsidR="002B64AF" w:rsidRPr="00BC3A80" w:rsidRDefault="002B64AF" w:rsidP="002B64AF">
      <w:pPr>
        <w:tabs>
          <w:tab w:val="left" w:pos="3768"/>
        </w:tabs>
        <w:spacing w:after="0" w:line="276" w:lineRule="auto"/>
        <w:jc w:val="both"/>
        <w:rPr>
          <w:rFonts w:ascii="Verdana" w:hAnsi="Verdana" w:cs="Arial"/>
          <w:color w:val="000000" w:themeColor="text1"/>
          <w:lang w:val="es-ES_tradnl" w:eastAsia="es-ES"/>
        </w:rPr>
      </w:pPr>
      <w:r w:rsidRPr="00BC3A80">
        <w:rPr>
          <w:rFonts w:ascii="Verdana" w:hAnsi="Verdana" w:cs="Arial"/>
          <w:color w:val="000000" w:themeColor="text1"/>
          <w:lang w:val="es-ES_tradnl" w:eastAsia="es-ES"/>
        </w:rPr>
        <w:tab/>
      </w:r>
    </w:p>
    <w:p w14:paraId="6903ED6C" w14:textId="77777777" w:rsidR="002B64AF" w:rsidRPr="00BC3A80" w:rsidRDefault="002B64AF" w:rsidP="002B64AF">
      <w:pPr>
        <w:spacing w:after="0" w:line="276" w:lineRule="auto"/>
        <w:jc w:val="both"/>
        <w:rPr>
          <w:rFonts w:ascii="Verdana" w:hAnsi="Verdana" w:cs="Arial"/>
          <w:color w:val="7030A0"/>
          <w:lang w:val="es-ES_tradnl" w:eastAsia="es-ES"/>
        </w:rPr>
      </w:pPr>
      <w:r w:rsidRPr="00BC3A80">
        <w:rPr>
          <w:rFonts w:ascii="Verdana" w:hAnsi="Verdana" w:cs="Arial"/>
          <w:color w:val="000000" w:themeColor="text1"/>
          <w:lang w:val="es-ES_tradnl" w:eastAsia="es-ES"/>
        </w:rPr>
        <w:t>En ejercicio de la competencia otorgada por los artículos 3, numeral 5º, y 11, numeral 8º, del Decreto Ley 4170 de 2011,</w:t>
      </w:r>
      <w:r w:rsidRPr="00BC3A80">
        <w:rPr>
          <w:rFonts w:ascii="Verdana" w:eastAsia="Arial MT" w:hAnsi="Verdana" w:cs="Arial MT"/>
          <w:lang w:val="es-ES_tradnl" w:eastAsia="es-ES"/>
        </w:rPr>
        <w:t xml:space="preserve"> </w:t>
      </w:r>
      <w:r w:rsidRPr="00BC3A80">
        <w:rPr>
          <w:rFonts w:ascii="Verdana" w:hAnsi="Verdana" w:cs="Arial"/>
          <w:lang w:val="es-ES_tradnl"/>
        </w:rPr>
        <w:t>así como lo establecido en</w:t>
      </w:r>
      <w:r w:rsidRPr="00BC3A80">
        <w:rPr>
          <w:rFonts w:ascii="Verdana" w:hAnsi="Verdana" w:cs="Arial"/>
        </w:rPr>
        <w:t xml:space="preserve"> la Resolución 469 de 2025 expedida por esta Entidad</w:t>
      </w:r>
      <w:r w:rsidRPr="00BC3A80">
        <w:rPr>
          <w:rFonts w:ascii="Verdana" w:hAnsi="Verdana" w:cs="Arial"/>
          <w:lang w:val="es-ES_tradnl"/>
        </w:rPr>
        <w:t xml:space="preserve">, </w:t>
      </w:r>
      <w:r w:rsidRPr="00BC3A80">
        <w:rPr>
          <w:rFonts w:ascii="Verdana" w:hAnsi="Verdana" w:cs="Arial"/>
          <w:color w:val="000000" w:themeColor="text1"/>
          <w:lang w:val="es-ES_tradnl" w:eastAsia="es-ES"/>
        </w:rPr>
        <w:t xml:space="preserve">la Agencia Nacional de Contratación Pública – Colombia Compra Eficiente responde su solicitud de consulta </w:t>
      </w:r>
      <w:r>
        <w:rPr>
          <w:rFonts w:ascii="Verdana" w:hAnsi="Verdana" w:cs="Arial"/>
          <w:color w:val="000000" w:themeColor="text1"/>
          <w:lang w:val="es-ES_tradnl" w:eastAsia="es-ES"/>
        </w:rPr>
        <w:t>remitida por la Contraloría General de la república</w:t>
      </w:r>
      <w:r w:rsidRPr="00BC3A80">
        <w:rPr>
          <w:rFonts w:ascii="Verdana" w:hAnsi="Verdana" w:cs="Arial"/>
          <w:lang w:val="es-ES_tradnl" w:eastAsia="es-ES"/>
        </w:rPr>
        <w:t xml:space="preserve">, </w:t>
      </w:r>
      <w:r>
        <w:rPr>
          <w:rFonts w:ascii="Verdana" w:hAnsi="Verdana" w:cs="Arial"/>
          <w:lang w:val="es-ES_tradnl" w:eastAsia="es-ES"/>
        </w:rPr>
        <w:t>y registrada en nuestro sistema de gestión documental el 26 de noviembre de 2025,</w:t>
      </w:r>
      <w:r w:rsidRPr="00BC3A80">
        <w:rPr>
          <w:rFonts w:ascii="Verdana" w:hAnsi="Verdana" w:cs="Arial"/>
          <w:lang w:val="es-ES_tradnl" w:eastAsia="es-ES"/>
        </w:rPr>
        <w:t xml:space="preserve"> respecto de la aplicación de la Ley de Garantías Electorales en la contratación </w:t>
      </w:r>
      <w:r>
        <w:rPr>
          <w:rFonts w:ascii="Verdana" w:hAnsi="Verdana" w:cs="Arial"/>
          <w:lang w:val="es-ES_tradnl" w:eastAsia="es-ES"/>
        </w:rPr>
        <w:t>directa y la celebración de convenios y contratos, donde</w:t>
      </w:r>
      <w:r w:rsidRPr="00BC3A80">
        <w:rPr>
          <w:rFonts w:ascii="Verdana" w:hAnsi="Verdana" w:cs="Arial"/>
          <w:lang w:val="es-ES_tradnl" w:eastAsia="es-ES"/>
        </w:rPr>
        <w:t xml:space="preserve"> manifiesta lo siguiente: </w:t>
      </w:r>
    </w:p>
    <w:p w14:paraId="56B83ACC" w14:textId="77777777" w:rsidR="002B64AF" w:rsidRPr="00BC3A80" w:rsidRDefault="002B64AF" w:rsidP="002B64AF">
      <w:pPr>
        <w:tabs>
          <w:tab w:val="left" w:pos="142"/>
          <w:tab w:val="left" w:pos="284"/>
        </w:tabs>
        <w:spacing w:after="0" w:line="276" w:lineRule="auto"/>
        <w:jc w:val="both"/>
        <w:rPr>
          <w:rFonts w:ascii="Verdana" w:eastAsia="Century Gothic" w:hAnsi="Verdana" w:cs="Century Gothic"/>
          <w:b/>
          <w:bCs/>
          <w:lang w:val="es-ES_tradnl"/>
        </w:rPr>
      </w:pPr>
    </w:p>
    <w:p w14:paraId="74B499E5" w14:textId="77777777" w:rsidR="002B64AF" w:rsidRDefault="002B64AF" w:rsidP="002B64AF">
      <w:pPr>
        <w:spacing w:after="0" w:line="240" w:lineRule="auto"/>
        <w:ind w:left="709" w:right="709"/>
        <w:jc w:val="both"/>
        <w:rPr>
          <w:rFonts w:ascii="Verdana" w:eastAsia="Century Gothic" w:hAnsi="Verdana" w:cs="Century Gothic"/>
          <w:sz w:val="20"/>
          <w:szCs w:val="20"/>
          <w:lang w:val="es-ES"/>
        </w:rPr>
      </w:pPr>
      <w:bookmarkStart w:id="1" w:name="_Hlk95313578"/>
      <w:r w:rsidRPr="00BC3A80">
        <w:rPr>
          <w:rFonts w:ascii="Verdana" w:eastAsia="Century Gothic" w:hAnsi="Verdana" w:cs="Century Gothic"/>
          <w:sz w:val="20"/>
          <w:szCs w:val="20"/>
          <w:lang w:val="es-ES"/>
        </w:rPr>
        <w:lastRenderedPageBreak/>
        <w:t>“</w:t>
      </w:r>
      <w:bookmarkEnd w:id="1"/>
      <w:r>
        <w:rPr>
          <w:rFonts w:ascii="Verdana" w:eastAsia="Century Gothic" w:hAnsi="Verdana" w:cs="Century Gothic"/>
          <w:sz w:val="20"/>
          <w:szCs w:val="20"/>
          <w:lang w:val="es-ES"/>
        </w:rPr>
        <w:t>[…]</w:t>
      </w:r>
    </w:p>
    <w:p w14:paraId="4F80D4B6" w14:textId="77777777" w:rsidR="002B64AF" w:rsidRDefault="002B64AF" w:rsidP="002B64AF">
      <w:pPr>
        <w:spacing w:after="0" w:line="240" w:lineRule="auto"/>
        <w:ind w:left="709" w:right="709"/>
        <w:jc w:val="both"/>
        <w:rPr>
          <w:rFonts w:ascii="Verdana" w:eastAsia="Century Gothic" w:hAnsi="Verdana" w:cs="Century Gothic"/>
          <w:sz w:val="20"/>
          <w:szCs w:val="20"/>
          <w:lang w:val="es-ES"/>
        </w:rPr>
      </w:pPr>
    </w:p>
    <w:p w14:paraId="1C6D20F6" w14:textId="77777777" w:rsidR="002B64AF" w:rsidRPr="00FA3DC5" w:rsidRDefault="002B64AF" w:rsidP="002B64AF">
      <w:pPr>
        <w:spacing w:after="0" w:line="240" w:lineRule="auto"/>
        <w:ind w:left="709" w:right="709"/>
        <w:jc w:val="both"/>
        <w:rPr>
          <w:rFonts w:ascii="Verdana" w:eastAsia="Century Gothic" w:hAnsi="Verdana" w:cs="Century Gothic"/>
          <w:sz w:val="20"/>
          <w:szCs w:val="20"/>
        </w:rPr>
      </w:pPr>
      <w:r w:rsidRPr="00FA3DC5">
        <w:rPr>
          <w:rFonts w:ascii="Verdana" w:eastAsia="Century Gothic" w:hAnsi="Verdana" w:cs="Century Gothic"/>
          <w:sz w:val="20"/>
          <w:szCs w:val="20"/>
        </w:rPr>
        <w:t>Teniendo en cuenta que la Sección Tercera del Consejo de Estado</w:t>
      </w:r>
    </w:p>
    <w:p w14:paraId="219644DA" w14:textId="77777777" w:rsidR="002B64AF" w:rsidRDefault="002B64AF" w:rsidP="002B64AF">
      <w:pPr>
        <w:spacing w:after="0" w:line="240" w:lineRule="auto"/>
        <w:ind w:left="709" w:right="709"/>
        <w:jc w:val="both"/>
        <w:rPr>
          <w:rFonts w:ascii="Verdana" w:eastAsia="Century Gothic" w:hAnsi="Verdana" w:cs="Century Gothic"/>
          <w:sz w:val="20"/>
          <w:szCs w:val="20"/>
        </w:rPr>
      </w:pPr>
      <w:r w:rsidRPr="00FA3DC5">
        <w:rPr>
          <w:rFonts w:ascii="Verdana" w:eastAsia="Century Gothic" w:hAnsi="Verdana" w:cs="Century Gothic"/>
          <w:sz w:val="20"/>
          <w:szCs w:val="20"/>
        </w:rPr>
        <w:t>declaró la</w:t>
      </w:r>
      <w:r>
        <w:rPr>
          <w:rFonts w:ascii="Verdana" w:eastAsia="Century Gothic" w:hAnsi="Verdana" w:cs="Century Gothic"/>
          <w:sz w:val="20"/>
          <w:szCs w:val="20"/>
        </w:rPr>
        <w:t xml:space="preserve"> </w:t>
      </w:r>
      <w:r w:rsidRPr="00FA3DC5">
        <w:rPr>
          <w:rFonts w:ascii="Verdana" w:eastAsia="Century Gothic" w:hAnsi="Verdana" w:cs="Century Gothic"/>
          <w:sz w:val="20"/>
          <w:szCs w:val="20"/>
        </w:rPr>
        <w:t>nulidad parcial de la circular 16.2 de Colombia Compra Eficiente, en la</w:t>
      </w:r>
      <w:r>
        <w:rPr>
          <w:rFonts w:ascii="Verdana" w:eastAsia="Century Gothic" w:hAnsi="Verdana" w:cs="Century Gothic"/>
          <w:sz w:val="20"/>
          <w:szCs w:val="20"/>
        </w:rPr>
        <w:t xml:space="preserve"> </w:t>
      </w:r>
      <w:r w:rsidRPr="00FA3DC5">
        <w:rPr>
          <w:rFonts w:ascii="Verdana" w:eastAsia="Century Gothic" w:hAnsi="Verdana" w:cs="Century Gothic"/>
          <w:sz w:val="20"/>
          <w:szCs w:val="20"/>
        </w:rPr>
        <w:t>cual incluía la</w:t>
      </w:r>
      <w:r>
        <w:rPr>
          <w:rFonts w:ascii="Verdana" w:eastAsia="Century Gothic" w:hAnsi="Verdana" w:cs="Century Gothic"/>
          <w:sz w:val="20"/>
          <w:szCs w:val="20"/>
        </w:rPr>
        <w:t xml:space="preserve"> </w:t>
      </w:r>
      <w:r w:rsidRPr="00FA3DC5">
        <w:rPr>
          <w:rFonts w:ascii="Verdana" w:eastAsia="Century Gothic" w:hAnsi="Verdana" w:cs="Century Gothic"/>
          <w:sz w:val="20"/>
          <w:szCs w:val="20"/>
        </w:rPr>
        <w:t>firma de contratos interadministrativos dentro de la prohibición durante</w:t>
      </w:r>
      <w:r>
        <w:rPr>
          <w:rFonts w:ascii="Verdana" w:eastAsia="Century Gothic" w:hAnsi="Verdana" w:cs="Century Gothic"/>
          <w:sz w:val="20"/>
          <w:szCs w:val="20"/>
        </w:rPr>
        <w:t xml:space="preserve"> </w:t>
      </w:r>
      <w:r w:rsidRPr="00FA3DC5">
        <w:rPr>
          <w:rFonts w:ascii="Verdana" w:eastAsia="Century Gothic" w:hAnsi="Verdana" w:cs="Century Gothic"/>
          <w:sz w:val="20"/>
          <w:szCs w:val="20"/>
        </w:rPr>
        <w:t>la vigencia de</w:t>
      </w:r>
      <w:r>
        <w:rPr>
          <w:rFonts w:ascii="Verdana" w:eastAsia="Century Gothic" w:hAnsi="Verdana" w:cs="Century Gothic"/>
          <w:sz w:val="20"/>
          <w:szCs w:val="20"/>
        </w:rPr>
        <w:t xml:space="preserve"> </w:t>
      </w:r>
      <w:r w:rsidRPr="00FA3DC5">
        <w:rPr>
          <w:rFonts w:ascii="Verdana" w:eastAsia="Century Gothic" w:hAnsi="Verdana" w:cs="Century Gothic"/>
          <w:sz w:val="20"/>
          <w:szCs w:val="20"/>
        </w:rPr>
        <w:t>la ley de garantías, deseo conocer la posición de la PROCURADURÍA</w:t>
      </w:r>
      <w:r>
        <w:rPr>
          <w:rFonts w:ascii="Verdana" w:eastAsia="Century Gothic" w:hAnsi="Verdana" w:cs="Century Gothic"/>
          <w:sz w:val="20"/>
          <w:szCs w:val="20"/>
        </w:rPr>
        <w:t xml:space="preserve"> </w:t>
      </w:r>
      <w:r w:rsidRPr="00FA3DC5">
        <w:rPr>
          <w:rFonts w:ascii="Verdana" w:eastAsia="Century Gothic" w:hAnsi="Verdana" w:cs="Century Gothic"/>
          <w:sz w:val="20"/>
          <w:szCs w:val="20"/>
        </w:rPr>
        <w:t>al respecto, y se</w:t>
      </w:r>
      <w:r>
        <w:rPr>
          <w:rFonts w:ascii="Verdana" w:eastAsia="Century Gothic" w:hAnsi="Verdana" w:cs="Century Gothic"/>
          <w:sz w:val="20"/>
          <w:szCs w:val="20"/>
        </w:rPr>
        <w:t xml:space="preserve"> </w:t>
      </w:r>
      <w:r w:rsidRPr="00FA3DC5">
        <w:rPr>
          <w:rFonts w:ascii="Verdana" w:eastAsia="Century Gothic" w:hAnsi="Verdana" w:cs="Century Gothic"/>
          <w:sz w:val="20"/>
          <w:szCs w:val="20"/>
        </w:rPr>
        <w:t>me responda la siguiente pregunta ¿es posible la celebración de</w:t>
      </w:r>
      <w:r>
        <w:rPr>
          <w:rFonts w:ascii="Verdana" w:eastAsia="Century Gothic" w:hAnsi="Verdana" w:cs="Century Gothic"/>
          <w:sz w:val="20"/>
          <w:szCs w:val="20"/>
        </w:rPr>
        <w:t xml:space="preserve"> </w:t>
      </w:r>
      <w:r w:rsidRPr="00FA3DC5">
        <w:rPr>
          <w:rFonts w:ascii="Verdana" w:eastAsia="Century Gothic" w:hAnsi="Verdana" w:cs="Century Gothic"/>
          <w:sz w:val="20"/>
          <w:szCs w:val="20"/>
        </w:rPr>
        <w:t>Contratos</w:t>
      </w:r>
      <w:r>
        <w:rPr>
          <w:rFonts w:ascii="Verdana" w:eastAsia="Century Gothic" w:hAnsi="Verdana" w:cs="Century Gothic"/>
          <w:sz w:val="20"/>
          <w:szCs w:val="20"/>
        </w:rPr>
        <w:t xml:space="preserve"> </w:t>
      </w:r>
      <w:r w:rsidRPr="00FA3DC5">
        <w:rPr>
          <w:rFonts w:ascii="Verdana" w:eastAsia="Century Gothic" w:hAnsi="Verdana" w:cs="Century Gothic"/>
          <w:sz w:val="20"/>
          <w:szCs w:val="20"/>
        </w:rPr>
        <w:t>Interadministrativos por parte de entidades públicas hasta el 30 de</w:t>
      </w:r>
      <w:r>
        <w:rPr>
          <w:rFonts w:ascii="Verdana" w:eastAsia="Century Gothic" w:hAnsi="Verdana" w:cs="Century Gothic"/>
          <w:sz w:val="20"/>
          <w:szCs w:val="20"/>
        </w:rPr>
        <w:t xml:space="preserve"> </w:t>
      </w:r>
      <w:r w:rsidRPr="00FA3DC5">
        <w:rPr>
          <w:rFonts w:ascii="Verdana" w:eastAsia="Century Gothic" w:hAnsi="Verdana" w:cs="Century Gothic"/>
          <w:sz w:val="20"/>
          <w:szCs w:val="20"/>
        </w:rPr>
        <w:t>enero de 2026?</w:t>
      </w:r>
      <w:r w:rsidRPr="003F6C92">
        <w:rPr>
          <w:rFonts w:ascii="Verdana" w:eastAsia="Century Gothic" w:hAnsi="Verdana" w:cs="Century Gothic"/>
          <w:sz w:val="20"/>
          <w:szCs w:val="20"/>
        </w:rPr>
        <w:t>"</w:t>
      </w:r>
    </w:p>
    <w:p w14:paraId="1CDC1D9D" w14:textId="77777777" w:rsidR="002B64AF" w:rsidRPr="00BC3A80" w:rsidRDefault="002B64AF" w:rsidP="002B64AF">
      <w:pPr>
        <w:tabs>
          <w:tab w:val="left" w:pos="142"/>
          <w:tab w:val="left" w:pos="284"/>
        </w:tabs>
        <w:spacing w:after="0" w:line="276" w:lineRule="auto"/>
        <w:contextualSpacing/>
        <w:jc w:val="both"/>
        <w:rPr>
          <w:rFonts w:ascii="Verdana" w:eastAsia="Century Gothic" w:hAnsi="Verdana" w:cs="Century Gothic"/>
          <w:b/>
          <w:bCs/>
          <w:lang w:val="es-ES_tradnl"/>
        </w:rPr>
      </w:pPr>
    </w:p>
    <w:p w14:paraId="4368CF46" w14:textId="77777777" w:rsidR="002B64AF" w:rsidRPr="00BC3A80" w:rsidRDefault="002B64AF" w:rsidP="002B64AF">
      <w:pPr>
        <w:spacing w:after="120" w:line="276" w:lineRule="auto"/>
        <w:ind w:firstLine="709"/>
        <w:jc w:val="both"/>
        <w:rPr>
          <w:rFonts w:ascii="Verdana" w:hAnsi="Verdana" w:cs="Arial"/>
          <w:color w:val="000000"/>
          <w:lang w:val="es-ES" w:eastAsia="es-ES"/>
        </w:rPr>
      </w:pPr>
      <w:r w:rsidRPr="00BC3A80">
        <w:rPr>
          <w:rFonts w:ascii="Verdana" w:hAnsi="Verdana" w:cs="Arial"/>
          <w:color w:val="000000" w:themeColor="text1"/>
          <w:lang w:val="es-ES" w:eastAsia="es-ES"/>
        </w:rPr>
        <w:t xml:space="preserve">De manera preliminar, resulta necesario acotar que esta entidad sólo tiene competencia para responder consultas sobre la aplicación de normas de carácter general en materia de compras y contratación pública. En ese sentido, resolver casos particulares desborda las atribuciones asignadas por el legislador extraordinario, que no concibió a </w:t>
      </w:r>
      <w:r>
        <w:rPr>
          <w:rFonts w:ascii="Verdana" w:hAnsi="Verdana" w:cs="Arial"/>
          <w:color w:val="000000" w:themeColor="text1"/>
          <w:lang w:val="es-ES" w:eastAsia="es-ES"/>
        </w:rPr>
        <w:t xml:space="preserve">la Agencia Nacional de Contratación Pública – </w:t>
      </w:r>
      <w:r w:rsidRPr="00BC3A80">
        <w:rPr>
          <w:rFonts w:ascii="Verdana" w:hAnsi="Verdana" w:cs="Arial"/>
          <w:color w:val="000000" w:themeColor="text1"/>
          <w:lang w:val="es-ES" w:eastAsia="es-ES"/>
        </w:rPr>
        <w:t xml:space="preserve">Colombia Compra Eficiente como una autoridad para solucionar problemas jurídicos concretos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BC3A80">
        <w:tab/>
      </w:r>
    </w:p>
    <w:p w14:paraId="26E495F6" w14:textId="77777777" w:rsidR="002B64AF" w:rsidRPr="00BC3A80" w:rsidRDefault="002B64AF" w:rsidP="002B64AF">
      <w:pPr>
        <w:spacing w:after="0" w:line="276" w:lineRule="auto"/>
        <w:ind w:firstLine="709"/>
        <w:jc w:val="both"/>
        <w:rPr>
          <w:rFonts w:ascii="Verdana" w:hAnsi="Verdana" w:cs="Arial"/>
          <w:color w:val="000000"/>
          <w:lang w:val="es-ES_tradnl" w:eastAsia="es-ES"/>
        </w:rPr>
      </w:pPr>
      <w:r w:rsidRPr="00BC3A80">
        <w:rPr>
          <w:rFonts w:ascii="Verdana" w:hAnsi="Verdana" w:cs="Arial"/>
          <w:color w:val="000000"/>
          <w:lang w:val="es-ES_tradnl" w:eastAsia="es-ES"/>
        </w:rPr>
        <w:t>Conforme lo expuesto, en aras de satisfacer el derecho fundamental de petición se resolverá su consulta dentro de los límites de la referida competencia consultiva, esto es, haciendo abstracción de las circunstancias específicas que la haya motivado, pero haciendo unas consideraciones sobre las normas generales relacionadas con el</w:t>
      </w:r>
      <w:r w:rsidRPr="00BC3A80">
        <w:rPr>
          <w:rFonts w:ascii="Verdana" w:hAnsi="Verdana" w:cs="Arial"/>
          <w:color w:val="7030A0"/>
          <w:lang w:val="es-ES_tradnl" w:eastAsia="es-ES"/>
        </w:rPr>
        <w:t xml:space="preserve"> </w:t>
      </w:r>
      <w:r w:rsidRPr="00BC3A80">
        <w:rPr>
          <w:rFonts w:ascii="Verdana" w:hAnsi="Verdana" w:cs="Arial"/>
          <w:color w:val="000000"/>
          <w:lang w:val="es-ES_tradnl" w:eastAsia="es-ES"/>
        </w:rPr>
        <w:t>problema</w:t>
      </w:r>
      <w:r w:rsidRPr="00BC3A80">
        <w:rPr>
          <w:rFonts w:ascii="Verdana" w:hAnsi="Verdana" w:cs="Arial"/>
          <w:color w:val="7030A0"/>
          <w:lang w:val="es-ES_tradnl" w:eastAsia="es-ES"/>
        </w:rPr>
        <w:t xml:space="preserve"> </w:t>
      </w:r>
      <w:r w:rsidRPr="00BC3A80">
        <w:rPr>
          <w:rFonts w:ascii="Verdana" w:hAnsi="Verdana" w:cs="Arial"/>
          <w:color w:val="000000"/>
          <w:lang w:val="es-ES_tradnl" w:eastAsia="es-ES"/>
        </w:rPr>
        <w:t>jurídico</w:t>
      </w:r>
      <w:r w:rsidRPr="00BC3A80">
        <w:rPr>
          <w:rFonts w:ascii="Verdana" w:hAnsi="Verdana" w:cs="Arial"/>
          <w:color w:val="7030A0"/>
          <w:lang w:val="es-ES_tradnl" w:eastAsia="es-ES"/>
        </w:rPr>
        <w:t xml:space="preserve"> </w:t>
      </w:r>
      <w:r w:rsidRPr="00BC3A80">
        <w:rPr>
          <w:rFonts w:ascii="Verdana" w:hAnsi="Verdana" w:cs="Arial"/>
          <w:color w:val="000000"/>
          <w:lang w:val="es-ES_tradnl" w:eastAsia="es-ES"/>
        </w:rPr>
        <w:t xml:space="preserve">de su consulta. </w:t>
      </w:r>
      <w:r w:rsidRPr="00BC3A80">
        <w:rPr>
          <w:rFonts w:ascii="Verdana" w:hAnsi="Verdana" w:cs="Arial"/>
          <w:lang w:val="es-ES_tradnl" w:eastAsia="es-ES"/>
        </w:rPr>
        <w:t xml:space="preserve"> </w:t>
      </w:r>
    </w:p>
    <w:p w14:paraId="2A59B691" w14:textId="77777777" w:rsidR="002B64AF" w:rsidRPr="00BC3A80" w:rsidRDefault="002B64AF" w:rsidP="002B64AF">
      <w:pPr>
        <w:spacing w:after="0" w:line="276" w:lineRule="auto"/>
        <w:ind w:firstLine="708"/>
        <w:jc w:val="both"/>
        <w:rPr>
          <w:rFonts w:ascii="Verdana" w:hAnsi="Verdana" w:cs="Arial"/>
          <w:lang w:val="es-ES_tradnl" w:eastAsia="es-ES"/>
        </w:rPr>
      </w:pPr>
    </w:p>
    <w:p w14:paraId="4EBD94FE" w14:textId="77777777" w:rsidR="002B64AF" w:rsidRPr="00BC3A80" w:rsidRDefault="002B64AF" w:rsidP="002B64AF">
      <w:pPr>
        <w:numPr>
          <w:ilvl w:val="0"/>
          <w:numId w:val="16"/>
        </w:numPr>
        <w:tabs>
          <w:tab w:val="left" w:pos="142"/>
          <w:tab w:val="left" w:pos="284"/>
        </w:tabs>
        <w:spacing w:after="0" w:line="276" w:lineRule="auto"/>
        <w:jc w:val="both"/>
        <w:rPr>
          <w:rFonts w:ascii="Verdana" w:eastAsia="Century Gothic" w:hAnsi="Verdana" w:cs="Century Gothic"/>
          <w:b/>
          <w:bCs/>
          <w:lang w:val="es-ES_tradnl"/>
        </w:rPr>
      </w:pPr>
      <w:r w:rsidRPr="00BC3A80">
        <w:rPr>
          <w:rFonts w:ascii="Verdana" w:eastAsia="Century Gothic" w:hAnsi="Verdana" w:cs="Century Gothic"/>
          <w:b/>
          <w:bCs/>
          <w:lang w:val="es-ES_tradnl"/>
        </w:rPr>
        <w:t>Problema planteado:</w:t>
      </w:r>
    </w:p>
    <w:p w14:paraId="5A09B694" w14:textId="77777777" w:rsidR="002B64AF" w:rsidRPr="00BC3A80" w:rsidRDefault="002B64AF" w:rsidP="002B64AF">
      <w:pPr>
        <w:tabs>
          <w:tab w:val="left" w:pos="426"/>
        </w:tabs>
        <w:spacing w:after="0" w:line="276" w:lineRule="auto"/>
        <w:jc w:val="both"/>
        <w:rPr>
          <w:rFonts w:ascii="Verdana" w:eastAsia="Century Gothic" w:hAnsi="Verdana" w:cs="Century Gothic"/>
          <w:lang w:val="es-ES_tradnl"/>
        </w:rPr>
      </w:pPr>
    </w:p>
    <w:p w14:paraId="41AE3198" w14:textId="2DC05388" w:rsidR="002B64AF" w:rsidRDefault="002B64AF" w:rsidP="002B64AF">
      <w:pPr>
        <w:spacing w:after="0" w:line="276" w:lineRule="auto"/>
        <w:jc w:val="both"/>
        <w:rPr>
          <w:rFonts w:ascii="Verdana" w:eastAsia="Century Gothic" w:hAnsi="Verdana" w:cs="Century Gothic"/>
          <w:lang w:val="es-ES"/>
        </w:rPr>
      </w:pPr>
      <w:r w:rsidRPr="732396C5">
        <w:rPr>
          <w:rFonts w:ascii="Verdana" w:eastAsia="Century Gothic" w:hAnsi="Verdana" w:cs="Century Gothic"/>
          <w:lang w:val="es-ES"/>
        </w:rPr>
        <w:t xml:space="preserve">De acuerdo con el contenido de su solicitud, esta Agencia resolverá el siguiente problema jurídico: </w:t>
      </w:r>
      <w:r w:rsidRPr="0067327F">
        <w:rPr>
          <w:rFonts w:ascii="Verdana" w:eastAsia="Century Gothic" w:hAnsi="Verdana" w:cs="Century Gothic"/>
        </w:rPr>
        <w:t xml:space="preserve">¿La nulidad parcial del numeral 16.2 de la Circular </w:t>
      </w:r>
      <w:r w:rsidR="11C77E75" w:rsidRPr="732396C5">
        <w:rPr>
          <w:rFonts w:ascii="Verdana" w:eastAsia="Century Gothic" w:hAnsi="Verdana" w:cs="Century Gothic"/>
        </w:rPr>
        <w:t xml:space="preserve">Externa </w:t>
      </w:r>
      <w:proofErr w:type="spellStart"/>
      <w:r w:rsidR="11C77E75" w:rsidRPr="732396C5">
        <w:rPr>
          <w:rFonts w:ascii="Verdana" w:eastAsia="Century Gothic" w:hAnsi="Verdana" w:cs="Century Gothic"/>
        </w:rPr>
        <w:t>Unica</w:t>
      </w:r>
      <w:proofErr w:type="spellEnd"/>
      <w:r w:rsidRPr="732396C5">
        <w:rPr>
          <w:rFonts w:ascii="Verdana" w:eastAsia="Century Gothic" w:hAnsi="Verdana" w:cs="Century Gothic"/>
        </w:rPr>
        <w:t xml:space="preserve"> </w:t>
      </w:r>
      <w:r w:rsidRPr="0067327F">
        <w:rPr>
          <w:rFonts w:ascii="Verdana" w:eastAsia="Century Gothic" w:hAnsi="Verdana" w:cs="Century Gothic"/>
        </w:rPr>
        <w:t>de Colombia Compra Eficiente permite a las entidades públicas celebrar contratos interadministrativos durante la Ley de Garantías Electorales?</w:t>
      </w:r>
      <w:r w:rsidRPr="732396C5">
        <w:rPr>
          <w:rFonts w:ascii="Verdana" w:eastAsia="Century Gothic" w:hAnsi="Verdana" w:cs="Century Gothic"/>
          <w:lang w:val="es-ES"/>
        </w:rPr>
        <w:t xml:space="preserve"> </w:t>
      </w:r>
    </w:p>
    <w:p w14:paraId="52B1684A" w14:textId="77777777" w:rsidR="002B64AF" w:rsidRPr="00BC3A80" w:rsidRDefault="002B64AF" w:rsidP="002B64AF">
      <w:pPr>
        <w:spacing w:after="0" w:line="276" w:lineRule="auto"/>
        <w:jc w:val="both"/>
        <w:rPr>
          <w:rFonts w:ascii="Verdana" w:hAnsi="Verdana" w:cs="Arial"/>
          <w:color w:val="7030A0"/>
          <w:lang w:val="es-ES_tradnl"/>
        </w:rPr>
      </w:pPr>
    </w:p>
    <w:p w14:paraId="7AFAB113" w14:textId="77777777" w:rsidR="002B64AF" w:rsidRPr="00BC3A80" w:rsidRDefault="002B64AF" w:rsidP="002B64AF">
      <w:pPr>
        <w:numPr>
          <w:ilvl w:val="0"/>
          <w:numId w:val="16"/>
        </w:numPr>
        <w:tabs>
          <w:tab w:val="left" w:pos="142"/>
          <w:tab w:val="left" w:pos="284"/>
        </w:tabs>
        <w:spacing w:after="0" w:line="276" w:lineRule="auto"/>
        <w:jc w:val="both"/>
        <w:rPr>
          <w:rFonts w:ascii="Verdana" w:eastAsia="Century Gothic" w:hAnsi="Verdana" w:cs="Century Gothic"/>
          <w:b/>
          <w:bCs/>
          <w:lang w:val="es-ES_tradnl"/>
        </w:rPr>
      </w:pPr>
      <w:r w:rsidRPr="00BC3A80">
        <w:rPr>
          <w:rFonts w:ascii="Verdana" w:eastAsia="Century Gothic" w:hAnsi="Verdana" w:cs="Century Gothic"/>
          <w:b/>
          <w:bCs/>
          <w:lang w:val="es-ES_tradnl"/>
        </w:rPr>
        <w:t>Respuesta:</w:t>
      </w:r>
    </w:p>
    <w:p w14:paraId="7E683011" w14:textId="77777777" w:rsidR="002B64AF" w:rsidRPr="00BC3A80" w:rsidRDefault="002B64AF" w:rsidP="002B64AF">
      <w:pPr>
        <w:tabs>
          <w:tab w:val="left" w:pos="142"/>
          <w:tab w:val="left" w:pos="284"/>
        </w:tabs>
        <w:spacing w:after="0" w:line="276" w:lineRule="auto"/>
        <w:jc w:val="both"/>
        <w:rPr>
          <w:rFonts w:ascii="Verdana" w:eastAsia="Century Gothic" w:hAnsi="Verdana" w:cs="Century Gothic"/>
          <w:b/>
          <w:bCs/>
          <w:lang w:val="es-ES_tradnl"/>
        </w:rPr>
      </w:pPr>
    </w:p>
    <w:tbl>
      <w:tblPr>
        <w:tblStyle w:val="Tablaconcuadrcula1"/>
        <w:tblW w:w="0" w:type="auto"/>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2B64AF" w:rsidRPr="00BC3A80" w14:paraId="73697593" w14:textId="77777777" w:rsidTr="003021E1">
        <w:trPr>
          <w:jc w:val="center"/>
        </w:trPr>
        <w:tc>
          <w:tcPr>
            <w:tcW w:w="8828" w:type="dxa"/>
          </w:tcPr>
          <w:p w14:paraId="7E08FA47" w14:textId="77777777" w:rsidR="002B64AF" w:rsidRPr="002E4D19" w:rsidRDefault="002B64AF" w:rsidP="003021E1">
            <w:pPr>
              <w:spacing w:after="120" w:line="276" w:lineRule="auto"/>
              <w:ind w:firstLine="709"/>
              <w:jc w:val="both"/>
              <w:rPr>
                <w:rFonts w:ascii="Verdana" w:eastAsia="Arial" w:hAnsi="Verdana" w:cs="Arial"/>
                <w:lang w:eastAsia="es-ES" w:bidi="es-ES"/>
              </w:rPr>
            </w:pPr>
            <w:r>
              <w:rPr>
                <w:rFonts w:ascii="Verdana" w:eastAsia="Arial" w:hAnsi="Verdana" w:cs="Arial"/>
                <w:lang w:val="es-ES_tradnl" w:eastAsia="es-ES" w:bidi="es-ES"/>
              </w:rPr>
              <w:lastRenderedPageBreak/>
              <w:t>D</w:t>
            </w:r>
            <w:proofErr w:type="spellStart"/>
            <w:r w:rsidRPr="002E4D19">
              <w:rPr>
                <w:rFonts w:ascii="Verdana" w:eastAsia="Arial" w:hAnsi="Verdana" w:cs="Arial"/>
                <w:lang w:eastAsia="es-ES" w:bidi="es-ES"/>
              </w:rPr>
              <w:t>e</w:t>
            </w:r>
            <w:proofErr w:type="spellEnd"/>
            <w:r w:rsidRPr="002E4D19">
              <w:rPr>
                <w:rFonts w:ascii="Verdana" w:eastAsia="Arial" w:hAnsi="Verdana" w:cs="Arial"/>
                <w:lang w:eastAsia="es-ES" w:bidi="es-ES"/>
              </w:rPr>
              <w:t xml:space="preserve"> acuerdo con la reciente postura del Consejo de Estado —particularmente en </w:t>
            </w:r>
            <w:r w:rsidRPr="31E4E861">
              <w:rPr>
                <w:rFonts w:ascii="Verdana" w:eastAsia="Times New Roman" w:hAnsi="Verdana" w:cs="Arial"/>
                <w:lang w:eastAsia="es-CO"/>
              </w:rPr>
              <w:t>la sentencia expedida por la Sección Tercera de la Sala de lo Contencioso Administrativo del 17 de octubre de 2025</w:t>
            </w:r>
            <w:r>
              <w:rPr>
                <w:rFonts w:ascii="Verdana" w:eastAsia="Times New Roman" w:hAnsi="Verdana" w:cs="Arial"/>
                <w:lang w:eastAsia="es-CO"/>
              </w:rPr>
              <w:t>,</w:t>
            </w:r>
            <w:r w:rsidRPr="002E4D19">
              <w:rPr>
                <w:rFonts w:ascii="Verdana" w:eastAsia="Arial" w:hAnsi="Verdana" w:cs="Arial"/>
                <w:lang w:eastAsia="es-ES" w:bidi="es-ES"/>
              </w:rPr>
              <w:t xml:space="preserve"> en los autos del 4 de octubre de 2024 y del 6 de noviembre de 2025, mediante los cuales </w:t>
            </w:r>
            <w:r w:rsidRPr="31E4E861">
              <w:rPr>
                <w:rFonts w:ascii="Verdana" w:eastAsia="Times New Roman" w:hAnsi="Verdana" w:cs="Arial"/>
                <w:lang w:eastAsia="es-CO"/>
              </w:rPr>
              <w:t>se declaró la nulidad parcial</w:t>
            </w:r>
            <w:r>
              <w:rPr>
                <w:rFonts w:ascii="Verdana" w:eastAsia="Times New Roman" w:hAnsi="Verdana" w:cs="Arial"/>
                <w:lang w:eastAsia="es-CO"/>
              </w:rPr>
              <w:t>,</w:t>
            </w:r>
            <w:r w:rsidRPr="002E4D19">
              <w:rPr>
                <w:rFonts w:ascii="Verdana" w:eastAsia="Arial" w:hAnsi="Verdana" w:cs="Arial"/>
                <w:lang w:eastAsia="es-ES" w:bidi="es-ES"/>
              </w:rPr>
              <w:t xml:space="preserve"> se suspendió parcialmente el numeral 16.2 de la Circular Externa Única de 2022 de Colombia Compra Eficiente</w:t>
            </w:r>
            <w:r>
              <w:rPr>
                <w:rFonts w:ascii="Verdana" w:eastAsia="Arial" w:hAnsi="Verdana" w:cs="Arial"/>
                <w:lang w:eastAsia="es-ES" w:bidi="es-ES"/>
              </w:rPr>
              <w:t xml:space="preserve"> </w:t>
            </w:r>
            <w:r w:rsidRPr="31E4E861">
              <w:rPr>
                <w:rFonts w:ascii="Verdana" w:eastAsia="Arial" w:hAnsi="Verdana" w:cs="Arial"/>
                <w:lang w:eastAsia="es-ES" w:bidi="es-ES"/>
              </w:rPr>
              <w:t>y del inciso cuarto del numeral 16.2 de la Circular Externa Única, versión 3 del 27 de diciembre de 2023</w:t>
            </w:r>
            <w:r>
              <w:rPr>
                <w:rFonts w:ascii="Verdana" w:eastAsia="Arial" w:hAnsi="Verdana" w:cs="Arial"/>
                <w:lang w:eastAsia="es-ES" w:bidi="es-ES"/>
              </w:rPr>
              <w:t xml:space="preserve">, respectivamente </w:t>
            </w:r>
            <w:r w:rsidRPr="002E4D19">
              <w:rPr>
                <w:rFonts w:ascii="Verdana" w:eastAsia="Arial" w:hAnsi="Verdana" w:cs="Arial"/>
                <w:lang w:eastAsia="es-ES" w:bidi="es-ES"/>
              </w:rPr>
              <w:t xml:space="preserve">— la prohibición del parágrafo del artículo 38 no se extiende a los contratos interadministrativos, independientemente de su objeto. En tal sentido, dos entidades públicas pueden suscribir válidamente contratos interadministrativos durante los periodos de restricción electoral, incluidos los cuatro </w:t>
            </w:r>
            <w:r>
              <w:rPr>
                <w:rFonts w:ascii="Verdana" w:eastAsia="Arial" w:hAnsi="Verdana" w:cs="Arial"/>
                <w:lang w:eastAsia="es-ES" w:bidi="es-ES"/>
              </w:rPr>
              <w:t xml:space="preserve">(4) </w:t>
            </w:r>
            <w:r w:rsidRPr="002E4D19">
              <w:rPr>
                <w:rFonts w:ascii="Verdana" w:eastAsia="Arial" w:hAnsi="Verdana" w:cs="Arial"/>
                <w:lang w:eastAsia="es-ES" w:bidi="es-ES"/>
              </w:rPr>
              <w:t>meses previos a las elecciones presidenciales, siempre que la figura no corresponda materialmente a un convenio interadministrativo para la ejecución de recursos públicos, que sí está prohibido para los sujetos territoriales mencionados en la norma.</w:t>
            </w:r>
          </w:p>
          <w:p w14:paraId="39766A9B" w14:textId="77777777" w:rsidR="002B64AF" w:rsidRDefault="002B64AF" w:rsidP="003021E1">
            <w:pPr>
              <w:spacing w:after="120" w:line="276" w:lineRule="auto"/>
              <w:ind w:firstLine="709"/>
              <w:jc w:val="both"/>
              <w:rPr>
                <w:rFonts w:ascii="Verdana" w:eastAsia="Arial" w:hAnsi="Verdana" w:cs="Arial"/>
                <w:lang w:eastAsia="es-ES" w:bidi="es-ES"/>
              </w:rPr>
            </w:pPr>
            <w:r w:rsidRPr="002E4D19">
              <w:rPr>
                <w:rFonts w:ascii="Verdana" w:eastAsia="Arial" w:hAnsi="Verdana" w:cs="Arial"/>
                <w:lang w:eastAsia="es-ES" w:bidi="es-ES"/>
              </w:rPr>
              <w:t xml:space="preserve">De esta manera, </w:t>
            </w:r>
            <w:r>
              <w:rPr>
                <w:rFonts w:ascii="Verdana" w:eastAsia="Arial" w:hAnsi="Verdana" w:cs="Arial"/>
                <w:lang w:eastAsia="es-ES" w:bidi="es-ES"/>
              </w:rPr>
              <w:t>las entidades públicas</w:t>
            </w:r>
            <w:r w:rsidRPr="002E4D19">
              <w:rPr>
                <w:rFonts w:ascii="Verdana" w:eastAsia="Arial" w:hAnsi="Verdana" w:cs="Arial"/>
                <w:lang w:eastAsia="es-ES" w:bidi="es-ES"/>
              </w:rPr>
              <w:t>, deberá</w:t>
            </w:r>
            <w:r>
              <w:rPr>
                <w:rFonts w:ascii="Verdana" w:eastAsia="Arial" w:hAnsi="Verdana" w:cs="Arial"/>
                <w:lang w:eastAsia="es-ES" w:bidi="es-ES"/>
              </w:rPr>
              <w:t>n</w:t>
            </w:r>
            <w:r w:rsidRPr="002E4D19">
              <w:rPr>
                <w:rFonts w:ascii="Verdana" w:eastAsia="Arial" w:hAnsi="Verdana" w:cs="Arial"/>
                <w:lang w:eastAsia="es-ES" w:bidi="es-ES"/>
              </w:rPr>
              <w:t xml:space="preserve"> verificar si la naturaleza del instrumento jurídico corresponde a un convenio interadministrativo para la ejecución de recursos públicos. Si ello es así, la restricción se activa respecto de la entidad territorial obligada, lo que condiciona la viabilidad del convenio. Por el contrario, si el instrumento corresponde a un contrato interadministrativo, la prohibición del artículo 38 no resulta aplicable, conforme a la interpretación vigente del Consejo de Estado.</w:t>
            </w:r>
          </w:p>
          <w:p w14:paraId="0EE49D0B" w14:textId="77777777" w:rsidR="002B64AF" w:rsidRPr="00BC3A80" w:rsidRDefault="002B64AF" w:rsidP="003021E1">
            <w:pPr>
              <w:spacing w:after="120" w:line="276" w:lineRule="auto"/>
              <w:ind w:firstLine="709"/>
              <w:jc w:val="both"/>
              <w:rPr>
                <w:rFonts w:ascii="Verdana" w:eastAsia="Arial" w:hAnsi="Verdana" w:cs="Arial"/>
                <w:color w:val="000000" w:themeColor="text1"/>
              </w:rPr>
            </w:pPr>
            <w:r w:rsidRPr="00BC3A80">
              <w:rPr>
                <w:rFonts w:ascii="Verdana" w:eastAsia="Arial" w:hAnsi="Verdana" w:cs="Arial"/>
                <w:bCs/>
                <w:color w:val="000000" w:themeColor="text1"/>
              </w:rPr>
              <w:t>En todo caso, vale anotar que es responsabilidad de</w:t>
            </w:r>
            <w:r>
              <w:rPr>
                <w:rFonts w:ascii="Verdana" w:eastAsia="Arial" w:hAnsi="Verdana" w:cs="Arial"/>
                <w:bCs/>
                <w:color w:val="000000" w:themeColor="text1"/>
              </w:rPr>
              <w:t xml:space="preserve"> la</w:t>
            </w:r>
            <w:r w:rsidRPr="00BC3A80">
              <w:rPr>
                <w:rFonts w:ascii="Verdana" w:eastAsia="Arial" w:hAnsi="Verdana" w:cs="Arial"/>
                <w:bCs/>
                <w:color w:val="000000" w:themeColor="text1"/>
              </w:rPr>
              <w:t xml:space="preserve"> respectiv</w:t>
            </w:r>
            <w:r>
              <w:rPr>
                <w:rFonts w:ascii="Verdana" w:eastAsia="Arial" w:hAnsi="Verdana" w:cs="Arial"/>
                <w:bCs/>
                <w:color w:val="000000" w:themeColor="text1"/>
              </w:rPr>
              <w:t>a</w:t>
            </w:r>
            <w:r w:rsidRPr="00BC3A80">
              <w:rPr>
                <w:rFonts w:ascii="Verdana" w:eastAsia="Arial" w:hAnsi="Verdana" w:cs="Arial"/>
                <w:bCs/>
                <w:color w:val="000000" w:themeColor="text1"/>
              </w:rPr>
              <w:t xml:space="preserve"> </w:t>
            </w:r>
            <w:r>
              <w:rPr>
                <w:rFonts w:ascii="Verdana" w:eastAsia="Arial" w:hAnsi="Verdana" w:cs="Arial"/>
                <w:bCs/>
                <w:color w:val="000000" w:themeColor="text1"/>
              </w:rPr>
              <w:t>entidad</w:t>
            </w:r>
            <w:r w:rsidRPr="00BC3A80">
              <w:rPr>
                <w:rFonts w:ascii="Verdana" w:eastAsia="Arial" w:hAnsi="Verdana" w:cs="Arial"/>
                <w:bCs/>
                <w:color w:val="000000" w:themeColor="text1"/>
              </w:rPr>
              <w:t xml:space="preserve"> del Estado examinar en cada caso la naturaleza de las actividades que adelanta y justificar si las mismas se enmarcan en alguna de las excepciones, de manera que pueda realizar la contratación directa durante el periodo de la prohibición. Igualmente, le corresponde a cada entidad </w:t>
            </w:r>
            <w:r w:rsidRPr="00BC3A80">
              <w:rPr>
                <w:rFonts w:ascii="Verdana" w:eastAsia="Arial" w:hAnsi="Verdana" w:cs="Arial"/>
                <w:color w:val="000000" w:themeColor="text1"/>
              </w:rPr>
              <w:t>establecer si el instrumento jurídico que se pretende suscribir tiene la naturaleza de contrato o de convenio interadministrativo para la ejecución de recursos públicos. En este último supuesto, resulta aplicable la prohibición contenida en el parágrafo del artículo 38 de la Ley de Garantías Electorales, conforme se explicó.</w:t>
            </w:r>
          </w:p>
        </w:tc>
      </w:tr>
    </w:tbl>
    <w:p w14:paraId="2FD08CA7" w14:textId="77777777" w:rsidR="002B64AF" w:rsidRPr="00BC3A80" w:rsidRDefault="002B64AF" w:rsidP="002B64AF">
      <w:pPr>
        <w:tabs>
          <w:tab w:val="left" w:pos="142"/>
          <w:tab w:val="left" w:pos="284"/>
        </w:tabs>
        <w:spacing w:after="0" w:line="276" w:lineRule="auto"/>
        <w:jc w:val="both"/>
        <w:rPr>
          <w:rFonts w:ascii="Verdana" w:eastAsia="Century Gothic" w:hAnsi="Verdana" w:cs="Century Gothic"/>
          <w:b/>
          <w:bCs/>
          <w:lang w:val="es-ES_tradnl"/>
        </w:rPr>
      </w:pPr>
    </w:p>
    <w:p w14:paraId="6EB0AD12" w14:textId="77777777" w:rsidR="002B64AF" w:rsidRPr="00BC3A80" w:rsidRDefault="002B64AF" w:rsidP="002B64AF">
      <w:pPr>
        <w:numPr>
          <w:ilvl w:val="0"/>
          <w:numId w:val="16"/>
        </w:numPr>
        <w:tabs>
          <w:tab w:val="left" w:pos="142"/>
          <w:tab w:val="left" w:pos="284"/>
        </w:tabs>
        <w:spacing w:after="0" w:line="276" w:lineRule="auto"/>
        <w:jc w:val="both"/>
        <w:rPr>
          <w:rFonts w:ascii="Verdana" w:eastAsia="Century Gothic" w:hAnsi="Verdana" w:cs="Century Gothic"/>
          <w:b/>
          <w:bCs/>
          <w:lang w:val="es-ES_tradnl"/>
        </w:rPr>
      </w:pPr>
      <w:r w:rsidRPr="00BC3A80">
        <w:rPr>
          <w:rFonts w:ascii="Verdana" w:eastAsia="Century Gothic" w:hAnsi="Verdana" w:cs="Century Gothic"/>
          <w:b/>
          <w:bCs/>
          <w:lang w:val="es-ES_tradnl"/>
        </w:rPr>
        <w:t>Razones de la respuesta:</w:t>
      </w:r>
    </w:p>
    <w:p w14:paraId="0AEC738B" w14:textId="77777777" w:rsidR="002B64AF" w:rsidRPr="00BC3A80" w:rsidRDefault="002B64AF" w:rsidP="002B64AF">
      <w:pPr>
        <w:spacing w:after="0" w:line="276" w:lineRule="auto"/>
        <w:jc w:val="both"/>
        <w:rPr>
          <w:rFonts w:ascii="Verdana" w:hAnsi="Verdana" w:cs="Arial"/>
          <w:color w:val="7030A0"/>
          <w:lang w:val="es-ES_tradnl"/>
        </w:rPr>
      </w:pPr>
    </w:p>
    <w:p w14:paraId="2C195378" w14:textId="77777777" w:rsidR="002B64AF" w:rsidRPr="00BC3A80" w:rsidRDefault="002B64AF" w:rsidP="002B64AF">
      <w:pPr>
        <w:spacing w:after="0" w:line="276" w:lineRule="auto"/>
        <w:jc w:val="both"/>
        <w:rPr>
          <w:rFonts w:ascii="Verdana" w:hAnsi="Verdana" w:cs="Arial"/>
          <w:lang w:val="es-ES_tradnl"/>
        </w:rPr>
      </w:pPr>
      <w:r w:rsidRPr="00BC3A80">
        <w:rPr>
          <w:rFonts w:ascii="Verdana" w:hAnsi="Verdana" w:cs="Arial"/>
          <w:lang w:val="es-ES_tradnl"/>
        </w:rPr>
        <w:lastRenderedPageBreak/>
        <w:t>Lo anterior se sustenta en las siguientes consideraciones:</w:t>
      </w:r>
    </w:p>
    <w:p w14:paraId="62A3F05E" w14:textId="77777777" w:rsidR="002B64AF" w:rsidRPr="00BC3A80" w:rsidRDefault="002B64AF" w:rsidP="002B64AF">
      <w:pPr>
        <w:spacing w:after="0" w:line="276" w:lineRule="auto"/>
        <w:ind w:firstLine="709"/>
        <w:jc w:val="both"/>
        <w:rPr>
          <w:rFonts w:ascii="Verdana" w:hAnsi="Verdana" w:cs="Arial"/>
          <w:color w:val="000000" w:themeColor="text1"/>
        </w:rPr>
      </w:pPr>
    </w:p>
    <w:p w14:paraId="464934D1" w14:textId="77777777" w:rsidR="002B64AF" w:rsidRPr="00BC3A80" w:rsidRDefault="002B64AF" w:rsidP="002B64AF">
      <w:pPr>
        <w:tabs>
          <w:tab w:val="left" w:pos="426"/>
        </w:tabs>
        <w:spacing w:after="120" w:line="276" w:lineRule="auto"/>
        <w:jc w:val="both"/>
        <w:rPr>
          <w:rFonts w:ascii="Verdana" w:eastAsia="Times New Roman" w:hAnsi="Verdana" w:cs="Arial"/>
          <w:lang w:val="es-ES" w:eastAsia="es-CO"/>
        </w:rPr>
      </w:pPr>
      <w:r w:rsidRPr="00BC3A80">
        <w:rPr>
          <w:rFonts w:ascii="Verdana" w:hAnsi="Verdana" w:cs="Arial"/>
          <w:color w:val="000000" w:themeColor="text1"/>
          <w:lang w:val="es-ES"/>
        </w:rPr>
        <w:t>i.</w:t>
      </w:r>
      <w:r w:rsidRPr="00BC3A80">
        <w:rPr>
          <w:rFonts w:ascii="Verdana" w:eastAsia="Verdana" w:hAnsi="Verdana" w:cs="Verdana"/>
          <w:lang w:val="es-ES"/>
        </w:rPr>
        <w:t xml:space="preserve"> </w:t>
      </w:r>
      <w:r w:rsidRPr="00BC3A80">
        <w:rPr>
          <w:rFonts w:ascii="Verdana" w:hAnsi="Verdana" w:cs="Arial"/>
          <w:lang w:val="es-ES"/>
        </w:rPr>
        <w:t>El ordenamiento jurídico colombiano contempla medidas para evitar la obtención de beneficios personales en asuntos propios de la administración pública</w:t>
      </w:r>
      <w:r w:rsidRPr="00BC3A80">
        <w:rPr>
          <w:rFonts w:ascii="Verdana" w:hAnsi="Verdana" w:cs="Arial"/>
          <w:i/>
          <w:lang w:val="es-ES"/>
        </w:rPr>
        <w:t xml:space="preserve">. </w:t>
      </w:r>
      <w:r w:rsidRPr="00BC3A80">
        <w:rPr>
          <w:rFonts w:ascii="Verdana" w:hAnsi="Verdana" w:cs="Arial"/>
          <w:lang w:val="es-ES"/>
        </w:rPr>
        <w:t>Por ejemplo, el artículo 127 de la Constitución Política establece una prohibición contractual a los servidores públicos y, en cuanto a aspectos políticos, señala restricciones a ciertos empleados del Estado, incluso en época no electoral</w:t>
      </w:r>
      <w:r w:rsidRPr="00BC3A80">
        <w:rPr>
          <w:rFonts w:ascii="Verdana" w:hAnsi="Verdana"/>
          <w:vertAlign w:val="superscript"/>
          <w:lang w:val="es-ES"/>
        </w:rPr>
        <w:footnoteReference w:id="1"/>
      </w:r>
      <w:r w:rsidRPr="00BC3A80">
        <w:rPr>
          <w:rFonts w:ascii="Verdana" w:hAnsi="Verdana" w:cs="Arial"/>
          <w:lang w:val="es-ES"/>
        </w:rPr>
        <w:t xml:space="preserve">. </w:t>
      </w:r>
    </w:p>
    <w:p w14:paraId="017C1AA2" w14:textId="77777777" w:rsidR="002B64AF" w:rsidRPr="00BC3A80" w:rsidRDefault="002B64AF" w:rsidP="002B64AF">
      <w:pPr>
        <w:tabs>
          <w:tab w:val="left" w:pos="426"/>
        </w:tabs>
        <w:spacing w:after="120" w:line="276" w:lineRule="auto"/>
        <w:ind w:firstLine="709"/>
        <w:jc w:val="both"/>
        <w:rPr>
          <w:rFonts w:ascii="Verdana" w:hAnsi="Verdana" w:cs="Arial"/>
          <w:lang w:val="es-ES"/>
        </w:rPr>
      </w:pPr>
      <w:r w:rsidRPr="00BC3A80">
        <w:rPr>
          <w:rFonts w:ascii="Verdana" w:eastAsia="Times New Roman" w:hAnsi="Verdana" w:cs="Arial"/>
          <w:lang w:val="es-ES" w:eastAsia="es-CO"/>
        </w:rPr>
        <w:t>En el mismo sentido, la Ley 996 de 2005, conocida como “Ley de Garantías Electorales”, se suma al andamiaje constitucional y legal que busca evitar la injerencia inadecuada de intereses particulares en el ejercicio de la función pública. Esta Ley tiene como propósito evitar cualquier tipo de arbitrariedad, de ventaja injustificada, de uso irregular de los recursos del Estado en las campañas o falta de garantías en la elección presidencial</w:t>
      </w:r>
      <w:r w:rsidRPr="00BC3A80">
        <w:rPr>
          <w:rFonts w:ascii="Verdana" w:eastAsia="Times New Roman" w:hAnsi="Verdana" w:cs="Arial"/>
          <w:vertAlign w:val="superscript"/>
          <w:lang w:val="es-ES" w:eastAsia="es-CO"/>
        </w:rPr>
        <w:footnoteReference w:id="2"/>
      </w:r>
      <w:r w:rsidRPr="00BC3A80">
        <w:rPr>
          <w:rFonts w:ascii="Verdana" w:eastAsia="Times New Roman" w:hAnsi="Verdana" w:cs="Arial"/>
          <w:lang w:val="es-ES" w:eastAsia="es-CO"/>
        </w:rPr>
        <w:t>. En esta medida, introduce limitaciones para realizar nombramientos, postulaciones, contrataciones o cualquier otro tipo de actividad que implique destinación de recursos públicos bajo el devenir propio de las Entidades Estatales.</w:t>
      </w:r>
      <w:r w:rsidRPr="00BC3A80">
        <w:rPr>
          <w:rFonts w:ascii="Verdana" w:hAnsi="Verdana" w:cs="Arial"/>
          <w:lang w:val="es-ES"/>
        </w:rPr>
        <w:t xml:space="preserve"> </w:t>
      </w:r>
    </w:p>
    <w:p w14:paraId="11167120" w14:textId="77777777" w:rsidR="002B64AF" w:rsidRPr="00BC3A80" w:rsidRDefault="002B64AF" w:rsidP="002B64AF">
      <w:pPr>
        <w:tabs>
          <w:tab w:val="left" w:pos="426"/>
        </w:tabs>
        <w:spacing w:after="0" w:line="276" w:lineRule="auto"/>
        <w:ind w:firstLine="709"/>
        <w:jc w:val="both"/>
        <w:rPr>
          <w:rFonts w:ascii="Verdana" w:hAnsi="Verdana" w:cs="Arial"/>
          <w:lang w:val="es-ES"/>
        </w:rPr>
      </w:pPr>
      <w:r w:rsidRPr="00BC3A80">
        <w:rPr>
          <w:rFonts w:ascii="Verdana" w:eastAsia="Times New Roman" w:hAnsi="Verdana" w:cs="Arial"/>
          <w:lang w:val="es-ES" w:eastAsia="es-CO"/>
        </w:rPr>
        <w:t>En armonía con lo anterior, la Corte Constitucional ha abordado la definición de la Ley de Garantías Electorales. De esta manera, explica que tiene como propósito:</w:t>
      </w:r>
    </w:p>
    <w:p w14:paraId="24FE9BEA" w14:textId="77777777" w:rsidR="002B64AF" w:rsidRPr="00BC3A80" w:rsidRDefault="002B64AF" w:rsidP="002B64AF">
      <w:pPr>
        <w:spacing w:after="0" w:line="276" w:lineRule="auto"/>
        <w:ind w:right="709"/>
        <w:jc w:val="both"/>
        <w:rPr>
          <w:rFonts w:ascii="Verdana" w:eastAsia="Times New Roman" w:hAnsi="Verdana" w:cs="Arial"/>
          <w:lang w:val="es-ES" w:eastAsia="es-CO"/>
        </w:rPr>
      </w:pPr>
    </w:p>
    <w:p w14:paraId="56B02354" w14:textId="77777777" w:rsidR="002B64AF" w:rsidRPr="00BC3A80" w:rsidRDefault="002B64AF" w:rsidP="002B64AF">
      <w:pPr>
        <w:spacing w:after="0" w:line="240" w:lineRule="auto"/>
        <w:ind w:left="709" w:right="709"/>
        <w:contextualSpacing/>
        <w:jc w:val="both"/>
        <w:rPr>
          <w:rFonts w:ascii="Verdana" w:eastAsia="Times New Roman" w:hAnsi="Verdana" w:cs="Arial"/>
          <w:sz w:val="20"/>
          <w:szCs w:val="20"/>
          <w:lang w:val="es-ES" w:eastAsia="es-CO"/>
        </w:rPr>
      </w:pPr>
      <w:r w:rsidRPr="00BC3A80">
        <w:rPr>
          <w:rFonts w:ascii="Verdana" w:eastAsia="Times New Roman" w:hAnsi="Verdana" w:cs="Arial"/>
          <w:sz w:val="20"/>
          <w:szCs w:val="20"/>
          <w:lang w:val="es-ES" w:eastAsia="es-CO"/>
        </w:rPr>
        <w:t>“[…] la definición de reglas claras que permitan acceder a los canales de expresión democrática de manera efectiva e igualitaria. El objetivo de una ley de garantías es definir esas reglas.</w:t>
      </w:r>
    </w:p>
    <w:p w14:paraId="3E48425E" w14:textId="77777777" w:rsidR="002B64AF" w:rsidRDefault="002B64AF" w:rsidP="002B64AF">
      <w:pPr>
        <w:spacing w:after="0" w:line="240" w:lineRule="auto"/>
        <w:ind w:left="709" w:right="709"/>
        <w:contextualSpacing/>
        <w:jc w:val="both"/>
        <w:rPr>
          <w:rFonts w:ascii="Verdana" w:eastAsia="Times New Roman" w:hAnsi="Verdana" w:cs="Arial"/>
          <w:sz w:val="20"/>
          <w:szCs w:val="20"/>
          <w:lang w:val="es-ES" w:eastAsia="es-CO"/>
        </w:rPr>
      </w:pPr>
    </w:p>
    <w:p w14:paraId="7526E111" w14:textId="77777777" w:rsidR="002B64AF" w:rsidRPr="00BC3A80" w:rsidRDefault="002B64AF" w:rsidP="002B64AF">
      <w:pPr>
        <w:spacing w:after="0" w:line="240" w:lineRule="auto"/>
        <w:ind w:left="709" w:right="709"/>
        <w:contextualSpacing/>
        <w:jc w:val="both"/>
        <w:rPr>
          <w:rFonts w:ascii="Verdana" w:eastAsia="Times New Roman" w:hAnsi="Verdana" w:cs="Arial"/>
          <w:sz w:val="20"/>
          <w:szCs w:val="20"/>
          <w:lang w:val="es-ES" w:eastAsia="es-CO"/>
        </w:rPr>
      </w:pPr>
      <w:r w:rsidRPr="00BC3A80">
        <w:rPr>
          <w:rFonts w:ascii="Verdana" w:eastAsia="Times New Roman" w:hAnsi="Verdana" w:cs="Arial"/>
          <w:sz w:val="20"/>
          <w:szCs w:val="20"/>
          <w:lang w:val="es-ES" w:eastAsia="es-CO"/>
        </w:rPr>
        <w:t xml:space="preserve">[…] </w:t>
      </w:r>
    </w:p>
    <w:p w14:paraId="6F954FF8" w14:textId="77777777" w:rsidR="002B64AF" w:rsidRDefault="002B64AF" w:rsidP="002B64AF">
      <w:pPr>
        <w:spacing w:after="0" w:line="240" w:lineRule="auto"/>
        <w:ind w:left="709" w:right="709"/>
        <w:contextualSpacing/>
        <w:jc w:val="both"/>
        <w:rPr>
          <w:rFonts w:ascii="Verdana" w:eastAsia="Times New Roman" w:hAnsi="Verdana" w:cs="Arial"/>
          <w:sz w:val="20"/>
          <w:szCs w:val="20"/>
          <w:lang w:val="es-ES" w:eastAsia="es-CO"/>
        </w:rPr>
      </w:pPr>
    </w:p>
    <w:p w14:paraId="4E29D49B" w14:textId="77777777" w:rsidR="002B64AF" w:rsidRPr="00BC3A80" w:rsidRDefault="002B64AF" w:rsidP="002B64AF">
      <w:pPr>
        <w:spacing w:after="0" w:line="240" w:lineRule="auto"/>
        <w:ind w:left="709" w:right="709"/>
        <w:contextualSpacing/>
        <w:jc w:val="both"/>
        <w:rPr>
          <w:rFonts w:ascii="Verdana" w:eastAsia="Times New Roman" w:hAnsi="Verdana" w:cs="Arial"/>
          <w:sz w:val="20"/>
          <w:szCs w:val="20"/>
          <w:lang w:val="es-ES" w:eastAsia="es-CO"/>
        </w:rPr>
      </w:pPr>
      <w:r w:rsidRPr="00BC3A80">
        <w:rPr>
          <w:rFonts w:ascii="Verdana" w:eastAsia="Times New Roman" w:hAnsi="Verdana" w:cs="Arial"/>
          <w:sz w:val="20"/>
          <w:szCs w:val="20"/>
          <w:lang w:val="es-ES" w:eastAsia="es-CO"/>
        </w:rPr>
        <w:t xml:space="preserve">Una ley de garantías electorales es una guía para el ejercicio equitativo y transparente de la democracia representativa. Un estatuto diseñado para asegurar que la contienda democrática se cumpla en condiciones igualitarias y transparentes para a los electores. Una ley de garantías </w:t>
      </w:r>
      <w:r w:rsidRPr="00BC3A80">
        <w:rPr>
          <w:rFonts w:ascii="Verdana" w:eastAsia="Times New Roman" w:hAnsi="Verdana" w:cs="Arial"/>
          <w:sz w:val="20"/>
          <w:szCs w:val="20"/>
          <w:lang w:val="es-ES" w:eastAsia="es-CO"/>
        </w:rPr>
        <w:lastRenderedPageBreak/>
        <w:t>busca afianzar la neutralidad de los servidores públicos que organizan y supervisan las disputas electorales, e intenta garantizar el acceso igualitario a los canales de comunicación de los candidatos. Igualmente, una ley de garantías debe permitir que, en el debate democrático, sean las ideas y las propuestas las que definan el ascenso al poder, y no el músculo económico de los que se lo disputan”.</w:t>
      </w:r>
      <w:r w:rsidRPr="00BC3A80">
        <w:rPr>
          <w:rFonts w:ascii="Verdana" w:hAnsi="Verdana" w:cs="Arial"/>
          <w:sz w:val="20"/>
          <w:szCs w:val="20"/>
          <w:vertAlign w:val="superscript"/>
          <w:lang w:val="es-ES"/>
        </w:rPr>
        <w:footnoteReference w:id="3"/>
      </w:r>
    </w:p>
    <w:p w14:paraId="35CE0D5C" w14:textId="77777777" w:rsidR="002B64AF" w:rsidRPr="00BC3A80" w:rsidRDefault="002B64AF" w:rsidP="002B64AF">
      <w:pPr>
        <w:spacing w:after="0" w:line="276" w:lineRule="auto"/>
        <w:ind w:firstLine="709"/>
        <w:jc w:val="both"/>
        <w:rPr>
          <w:rFonts w:ascii="Verdana" w:eastAsia="Times New Roman" w:hAnsi="Verdana" w:cs="Arial"/>
          <w:lang w:val="es-ES" w:eastAsia="es-CO"/>
        </w:rPr>
      </w:pPr>
    </w:p>
    <w:p w14:paraId="3CE34E1A" w14:textId="77777777" w:rsidR="002B64AF" w:rsidRPr="00BC3A80" w:rsidRDefault="002B64AF" w:rsidP="002B64AF">
      <w:pPr>
        <w:spacing w:after="0" w:line="276" w:lineRule="auto"/>
        <w:ind w:firstLine="709"/>
        <w:jc w:val="both"/>
        <w:rPr>
          <w:rFonts w:ascii="Verdana" w:eastAsia="Times New Roman" w:hAnsi="Verdana" w:cs="Arial"/>
          <w:lang w:val="es-ES" w:eastAsia="es-CO"/>
        </w:rPr>
      </w:pPr>
      <w:r w:rsidRPr="00BC3A80">
        <w:rPr>
          <w:rFonts w:ascii="Verdana" w:eastAsia="Times New Roman" w:hAnsi="Verdana" w:cs="Arial"/>
          <w:lang w:val="es-ES" w:eastAsia="es-CO"/>
        </w:rPr>
        <w:t>En este contexto, la Ley de Garantías Electorales establece el marco jurídico para el desarrollo de las elecciones, procurando condiciones de igualdad y transparencia para los aspirantes. Paralelamente, incluye restricciones en las actuaciones de los servidores públicos, evitando interferencias en la contienda electoral, así como la posible desviación de recursos públicos en aspiraciones electorales. Por ello, varias disposiciones de la Ley 996 de 2005, al contener normas prohibitivas, deben interpretarse restrictivamente. En efecto, la Sala de Consulta y Servicio Civil del Consejo de Estado, precisó:</w:t>
      </w:r>
    </w:p>
    <w:p w14:paraId="77380074" w14:textId="77777777" w:rsidR="002B64AF" w:rsidRPr="00BC3A80" w:rsidRDefault="002B64AF" w:rsidP="002B64AF">
      <w:pPr>
        <w:spacing w:after="0" w:line="276" w:lineRule="auto"/>
        <w:ind w:firstLine="709"/>
        <w:jc w:val="both"/>
        <w:rPr>
          <w:rFonts w:ascii="Verdana" w:eastAsia="Times New Roman" w:hAnsi="Verdana" w:cs="Arial"/>
          <w:lang w:val="es-ES" w:eastAsia="es-CO"/>
        </w:rPr>
      </w:pPr>
    </w:p>
    <w:p w14:paraId="3A764725" w14:textId="77777777" w:rsidR="002B64AF" w:rsidRPr="00BC3A80" w:rsidRDefault="002B64AF" w:rsidP="002B64AF">
      <w:pPr>
        <w:spacing w:after="0" w:line="240" w:lineRule="auto"/>
        <w:ind w:left="709" w:right="709"/>
        <w:jc w:val="both"/>
        <w:rPr>
          <w:rFonts w:ascii="Verdana" w:eastAsia="Times New Roman" w:hAnsi="Verdana" w:cs="Arial"/>
          <w:sz w:val="20"/>
          <w:szCs w:val="20"/>
          <w:lang w:val="es-ES" w:eastAsia="es-CO"/>
        </w:rPr>
      </w:pPr>
      <w:r w:rsidRPr="00BC3A80">
        <w:rPr>
          <w:rFonts w:ascii="Verdana" w:eastAsia="Times New Roman" w:hAnsi="Verdana" w:cs="Arial"/>
          <w:sz w:val="20"/>
          <w:szCs w:val="20"/>
          <w:lang w:val="es-ES" w:eastAsia="es-CO"/>
        </w:rPr>
        <w:t xml:space="preserve">“No está de más recordar que las prohibiciones, en tanto limitan la libertad y los derechos de las personas, son de origen constitucional y legal; la tipificación de sus causas, vigencia, naturaleza y efectos es rígida y taxativa; y su aplicación es restrictiva, de manera que excluye la analogía </w:t>
      </w:r>
      <w:proofErr w:type="spellStart"/>
      <w:r w:rsidRPr="00BC3A80">
        <w:rPr>
          <w:rFonts w:ascii="Verdana" w:eastAsia="Times New Roman" w:hAnsi="Verdana" w:cs="Arial"/>
          <w:sz w:val="20"/>
          <w:szCs w:val="20"/>
          <w:lang w:val="es-ES" w:eastAsia="es-CO"/>
        </w:rPr>
        <w:t>legis</w:t>
      </w:r>
      <w:proofErr w:type="spellEnd"/>
      <w:r w:rsidRPr="00BC3A80">
        <w:rPr>
          <w:rFonts w:ascii="Verdana" w:eastAsia="Times New Roman" w:hAnsi="Verdana" w:cs="Arial"/>
          <w:sz w:val="20"/>
          <w:szCs w:val="20"/>
          <w:lang w:val="es-ES" w:eastAsia="es-CO"/>
        </w:rPr>
        <w:t xml:space="preserve"> o iuris y la interpretación extensiva. Las normas legales de contenido prohibitivo hacen parte de un conjunto de disposiciones que integran un régimen jurídico imperativo y de orden público, razón por la cual no son disponibles ni pueden ser derogadas, modificadas, ampliadas o adicionadas por acuerdo o convenio o acto unilateral.</w:t>
      </w:r>
    </w:p>
    <w:p w14:paraId="66942A95" w14:textId="77777777" w:rsidR="002B64AF" w:rsidRPr="00BC3A80" w:rsidRDefault="002B64AF" w:rsidP="002B64AF">
      <w:pPr>
        <w:spacing w:after="0" w:line="240" w:lineRule="auto"/>
        <w:ind w:right="709"/>
        <w:jc w:val="both"/>
        <w:rPr>
          <w:rFonts w:ascii="Verdana" w:eastAsia="Times New Roman" w:hAnsi="Verdana" w:cs="Arial"/>
          <w:lang w:val="es-ES" w:eastAsia="es-CO"/>
        </w:rPr>
      </w:pPr>
    </w:p>
    <w:p w14:paraId="5D3295A8" w14:textId="77777777" w:rsidR="002B64AF" w:rsidRPr="00BC3A80" w:rsidRDefault="002B64AF" w:rsidP="002B64AF">
      <w:pPr>
        <w:spacing w:after="0" w:line="240" w:lineRule="auto"/>
        <w:ind w:left="709" w:right="709"/>
        <w:jc w:val="both"/>
        <w:rPr>
          <w:rFonts w:ascii="Verdana" w:eastAsia="Times New Roman" w:hAnsi="Verdana" w:cs="Arial"/>
          <w:sz w:val="20"/>
          <w:szCs w:val="20"/>
          <w:lang w:val="es-ES" w:eastAsia="es-CO"/>
        </w:rPr>
      </w:pPr>
      <w:r w:rsidRPr="00BC3A80">
        <w:rPr>
          <w:rFonts w:ascii="Verdana" w:eastAsia="Times New Roman" w:hAnsi="Verdana" w:cs="Arial"/>
          <w:sz w:val="20"/>
          <w:szCs w:val="20"/>
          <w:lang w:val="es-ES" w:eastAsia="es-CO"/>
        </w:rPr>
        <w:t>La jurisprudencia de la Corte Constitucional</w:t>
      </w:r>
      <w:r w:rsidRPr="00BC3A80">
        <w:rPr>
          <w:rFonts w:ascii="Verdana" w:eastAsia="Times New Roman" w:hAnsi="Verdana" w:cs="Arial"/>
          <w:sz w:val="20"/>
          <w:szCs w:val="20"/>
          <w:vertAlign w:val="superscript"/>
          <w:lang w:val="es-ES" w:eastAsia="es-CO"/>
        </w:rPr>
        <w:footnoteReference w:id="4"/>
      </w:r>
      <w:r w:rsidRPr="00BC3A80">
        <w:rPr>
          <w:rFonts w:ascii="Verdana" w:eastAsia="Times New Roman" w:hAnsi="Verdana" w:cs="Arial"/>
          <w:sz w:val="20"/>
          <w:szCs w:val="20"/>
          <w:lang w:val="es-ES" w:eastAsia="es-CO"/>
        </w:rPr>
        <w:t> y del Consejo de Estado</w:t>
      </w:r>
      <w:r w:rsidRPr="00BC3A80">
        <w:rPr>
          <w:rFonts w:ascii="Verdana" w:eastAsia="Times New Roman" w:hAnsi="Verdana" w:cs="Arial"/>
          <w:sz w:val="20"/>
          <w:szCs w:val="20"/>
          <w:vertAlign w:val="superscript"/>
          <w:lang w:val="es-ES" w:eastAsia="es-CO"/>
        </w:rPr>
        <w:footnoteReference w:id="5"/>
      </w:r>
      <w:r w:rsidRPr="00BC3A80">
        <w:rPr>
          <w:rFonts w:ascii="Verdana" w:eastAsia="Times New Roman" w:hAnsi="Verdana" w:cs="Arial"/>
          <w:sz w:val="20"/>
          <w:szCs w:val="20"/>
          <w:lang w:val="es-ES" w:eastAsia="es-CO"/>
        </w:rPr>
        <w:t xml:space="preserve">, coinciden en que las normas que establecen prohibiciones deben estar de manera explícita en la Constitución o en la ley y no podrán ser excesivas ni desproporcionadas. No pueden interpretarse extensivamente sino siempre en forma restrictiva o estricta; es decir, en la aplicación de las normas prohibitivas, el intérprete solamente habrá de tener en cuenta lo que en ellas expresamente se menciona y, por tanto, no le es permitido ampliar el natural y obvio alcance de los supuestos que contemplan, pues </w:t>
      </w:r>
      <w:r w:rsidRPr="00BC3A80">
        <w:rPr>
          <w:rFonts w:ascii="Verdana" w:eastAsia="Times New Roman" w:hAnsi="Verdana" w:cs="Arial"/>
          <w:sz w:val="20"/>
          <w:szCs w:val="20"/>
          <w:lang w:val="es-ES" w:eastAsia="es-CO"/>
        </w:rPr>
        <w:lastRenderedPageBreak/>
        <w:t>como entrañan una limitación -así fuere justificada- a la libertad de actuar o capacidad de obrar, sobrepasar sus precisos términos comporta el desconocimiento de la voluntad del legislador”</w:t>
      </w:r>
      <w:r w:rsidRPr="00BC3A80">
        <w:rPr>
          <w:rFonts w:ascii="Verdana" w:eastAsia="Times New Roman" w:hAnsi="Verdana" w:cs="Arial"/>
          <w:sz w:val="20"/>
          <w:szCs w:val="20"/>
          <w:vertAlign w:val="superscript"/>
          <w:lang w:val="es-ES" w:eastAsia="es-CO"/>
        </w:rPr>
        <w:footnoteReference w:id="6"/>
      </w:r>
      <w:r w:rsidRPr="00BC3A80">
        <w:rPr>
          <w:rFonts w:ascii="Verdana" w:eastAsia="Times New Roman" w:hAnsi="Verdana" w:cs="Arial"/>
          <w:sz w:val="20"/>
          <w:szCs w:val="20"/>
          <w:lang w:val="es-ES" w:eastAsia="es-CO"/>
        </w:rPr>
        <w:t>.</w:t>
      </w:r>
    </w:p>
    <w:p w14:paraId="78A42DB6" w14:textId="77777777" w:rsidR="002B64AF" w:rsidRPr="00BC3A80" w:rsidRDefault="002B64AF" w:rsidP="002B64AF">
      <w:pPr>
        <w:spacing w:after="0" w:line="276" w:lineRule="auto"/>
        <w:jc w:val="both"/>
        <w:rPr>
          <w:rFonts w:ascii="Verdana" w:hAnsi="Verdana" w:cs="Arial"/>
          <w:bCs/>
          <w:lang w:val="es-ES"/>
        </w:rPr>
      </w:pPr>
    </w:p>
    <w:p w14:paraId="4D7A9D98" w14:textId="77777777" w:rsidR="002B64AF" w:rsidRPr="00BC3A80" w:rsidRDefault="002B64AF" w:rsidP="002B64AF">
      <w:pPr>
        <w:spacing w:after="0" w:line="276" w:lineRule="auto"/>
        <w:ind w:firstLine="709"/>
        <w:jc w:val="both"/>
        <w:rPr>
          <w:rFonts w:ascii="Verdana" w:eastAsia="Arial" w:hAnsi="Verdana" w:cs="Arial"/>
          <w:lang w:val="es-ES" w:eastAsia="es-ES" w:bidi="es-ES"/>
        </w:rPr>
      </w:pPr>
      <w:r w:rsidRPr="00BC3A80">
        <w:rPr>
          <w:rFonts w:ascii="Verdana" w:eastAsia="Times New Roman" w:hAnsi="Verdana" w:cs="Arial"/>
          <w:lang w:val="es-ES" w:eastAsia="es-CO"/>
        </w:rPr>
        <w:t>De</w:t>
      </w:r>
      <w:r w:rsidRPr="00BC3A80">
        <w:rPr>
          <w:rFonts w:ascii="Verdana" w:eastAsia="Arial" w:hAnsi="Verdana" w:cs="Arial"/>
          <w:lang w:val="es-ES" w:eastAsia="es-ES" w:bidi="es-ES"/>
        </w:rPr>
        <w:t xml:space="preserve"> conformidad con lo anterior, la Ley de Garantías Electorales estableció una serie de regulaciones y prohibiciones dirigidas a los servidores públicos. Con la finalidad de preservar la igualdad entre los candidatos en las elecciones, aumentó las garantías en materia de contratación, de forma que no exista siquiera sospecha de que, por ese medio, en los periodos previos a la contienda electoral, se alteren las condiciones de igualdad entre los candidatos. </w:t>
      </w:r>
    </w:p>
    <w:p w14:paraId="3898B03A" w14:textId="77777777" w:rsidR="00A2016E" w:rsidRDefault="00A2016E" w:rsidP="002B64AF">
      <w:pPr>
        <w:spacing w:after="0" w:line="276" w:lineRule="auto"/>
        <w:jc w:val="both"/>
        <w:rPr>
          <w:rFonts w:ascii="Verdana" w:eastAsia="Arial" w:hAnsi="Verdana" w:cs="Arial"/>
          <w:lang w:val="es-ES" w:eastAsia="es-ES" w:bidi="es-ES"/>
        </w:rPr>
      </w:pPr>
    </w:p>
    <w:p w14:paraId="02C533B1" w14:textId="7B279554" w:rsidR="002B64AF" w:rsidRPr="00BC3A80" w:rsidRDefault="002B64AF" w:rsidP="002B64AF">
      <w:pPr>
        <w:spacing w:after="0" w:line="276" w:lineRule="auto"/>
        <w:jc w:val="both"/>
        <w:rPr>
          <w:rFonts w:ascii="Verdana" w:eastAsia="Times New Roman" w:hAnsi="Verdana" w:cs="Arial"/>
          <w:lang w:val="es-ES" w:eastAsia="es-CO"/>
        </w:rPr>
      </w:pPr>
      <w:proofErr w:type="spellStart"/>
      <w:r w:rsidRPr="00BC3A80">
        <w:rPr>
          <w:rFonts w:ascii="Verdana" w:hAnsi="Verdana" w:cs="Arial"/>
          <w:lang w:val="es-ES"/>
        </w:rPr>
        <w:t>iii</w:t>
      </w:r>
      <w:proofErr w:type="spellEnd"/>
      <w:r w:rsidRPr="00BC3A80">
        <w:rPr>
          <w:rFonts w:ascii="Verdana" w:hAnsi="Verdana" w:cs="Arial"/>
          <w:lang w:val="es-ES"/>
        </w:rPr>
        <w:t xml:space="preserve">) </w:t>
      </w:r>
      <w:r w:rsidRPr="00BC3A80">
        <w:rPr>
          <w:rFonts w:ascii="Verdana" w:hAnsi="Verdana" w:cs="Arial"/>
          <w:lang w:val="es-ES" w:eastAsia="es-ES" w:bidi="es-ES"/>
        </w:rPr>
        <w:t xml:space="preserve">Para responder al problema jurídico planteado es necesario, en primer lugar, precisar el alcance de la prohibición </w:t>
      </w:r>
      <w:r w:rsidRPr="00BC3A80">
        <w:rPr>
          <w:rFonts w:ascii="Verdana" w:eastAsia="Arial" w:hAnsi="Verdana" w:cs="Arial"/>
          <w:lang w:val="es-ES" w:eastAsia="es-ES" w:bidi="es-ES"/>
        </w:rPr>
        <w:t>establecida en e</w:t>
      </w:r>
      <w:r w:rsidRPr="00BC3A80">
        <w:rPr>
          <w:rFonts w:ascii="Verdana" w:hAnsi="Verdana" w:cs="Arial"/>
          <w:lang w:val="es-ES"/>
        </w:rPr>
        <w:t xml:space="preserve">l </w:t>
      </w:r>
      <w:r w:rsidRPr="00BC3A80">
        <w:rPr>
          <w:rFonts w:ascii="Verdana" w:eastAsia="Times New Roman" w:hAnsi="Verdana" w:cs="Arial"/>
          <w:lang w:val="es-ES"/>
        </w:rPr>
        <w:t xml:space="preserve">artículo 33 de la Ley 996 de 2005 y sus excepciones. El </w:t>
      </w:r>
      <w:r w:rsidRPr="00BC3A80">
        <w:rPr>
          <w:rFonts w:ascii="Verdana" w:eastAsia="Times New Roman" w:hAnsi="Verdana" w:cs="Arial"/>
          <w:i/>
          <w:iCs/>
          <w:lang w:val="es-ES"/>
        </w:rPr>
        <w:t>ámbito material</w:t>
      </w:r>
      <w:r w:rsidRPr="00BC3A80">
        <w:rPr>
          <w:rFonts w:ascii="Verdana" w:eastAsia="Times New Roman" w:hAnsi="Verdana" w:cs="Arial"/>
          <w:lang w:val="es-ES"/>
        </w:rPr>
        <w:t xml:space="preserve"> de esta prohibición está delimitado por la expresión </w:t>
      </w:r>
      <w:r w:rsidRPr="00BC3A80">
        <w:rPr>
          <w:rFonts w:ascii="Verdana" w:hAnsi="Verdana" w:cs="Arial"/>
          <w:bCs/>
          <w:lang w:val="es-ES"/>
        </w:rPr>
        <w:t>“</w:t>
      </w:r>
      <w:r w:rsidRPr="00BC3A80">
        <w:rPr>
          <w:rFonts w:ascii="Verdana" w:eastAsia="Times New Roman" w:hAnsi="Verdana" w:cs="Arial"/>
          <w:lang w:val="es-ES"/>
        </w:rPr>
        <w:t>queda prohibida la contratación directa</w:t>
      </w:r>
      <w:r w:rsidRPr="00BC3A80">
        <w:rPr>
          <w:rFonts w:ascii="Verdana" w:hAnsi="Verdana" w:cs="Arial"/>
          <w:lang w:val="es-ES"/>
        </w:rPr>
        <w:t>”</w:t>
      </w:r>
      <w:r w:rsidRPr="00BC3A80">
        <w:rPr>
          <w:rFonts w:ascii="Verdana" w:eastAsia="Times New Roman" w:hAnsi="Verdana" w:cs="Arial"/>
          <w:lang w:val="es-ES"/>
        </w:rPr>
        <w:t xml:space="preserve">. </w:t>
      </w:r>
      <w:r w:rsidRPr="00BC3A80">
        <w:rPr>
          <w:rFonts w:ascii="Verdana" w:eastAsia="Times New Roman" w:hAnsi="Verdana" w:cs="Arial"/>
          <w:lang w:val="es-ES" w:eastAsia="es-CO"/>
        </w:rPr>
        <w:t>A propósito de esta restricción de la Ley de Garantías Electorales, la Sala de Consulta y Servicio Civil del Consejo de Estado ha considerado que:</w:t>
      </w:r>
    </w:p>
    <w:p w14:paraId="625CC4E5" w14:textId="77777777" w:rsidR="002B64AF" w:rsidRPr="00BC3A80" w:rsidRDefault="002B64AF" w:rsidP="002B64AF">
      <w:pPr>
        <w:spacing w:after="0" w:line="276" w:lineRule="auto"/>
        <w:jc w:val="both"/>
        <w:rPr>
          <w:rFonts w:ascii="Verdana" w:eastAsia="Arial" w:hAnsi="Verdana" w:cs="Arial"/>
          <w:lang w:val="es-ES" w:eastAsia="es-ES" w:bidi="es-ES"/>
        </w:rPr>
      </w:pPr>
    </w:p>
    <w:p w14:paraId="1BFA7CDB" w14:textId="77777777" w:rsidR="002B64AF" w:rsidRPr="00BC3A80" w:rsidRDefault="002B64AF" w:rsidP="002B64AF">
      <w:pPr>
        <w:spacing w:after="0" w:line="240" w:lineRule="auto"/>
        <w:ind w:left="709" w:right="709"/>
        <w:jc w:val="both"/>
        <w:rPr>
          <w:rFonts w:ascii="Verdana" w:hAnsi="Verdana" w:cs="Arial"/>
          <w:sz w:val="20"/>
          <w:szCs w:val="20"/>
          <w:lang w:val="es-ES"/>
        </w:rPr>
      </w:pPr>
      <w:r w:rsidRPr="00BC3A80">
        <w:rPr>
          <w:rFonts w:ascii="Verdana" w:hAnsi="Verdana" w:cs="Arial"/>
          <w:sz w:val="20"/>
          <w:szCs w:val="20"/>
          <w:lang w:val="es-ES"/>
        </w:rPr>
        <w:t>“[…] Esta Sala ha entendido que para los efectos de la ley de garantías, y dada su finalidad, el enunciado ´contratación directa´ es sinónimo de cualquier sistema que no implique convocatoria pública y posibilidad de pluralidad de oferentes, y que, además, no necesariamente hace referencia al procedimiento especial regulado por la ley de contratación estatal, sino a cualquier otro que prescinda de un proceso de licitación pública o concurso</w:t>
      </w:r>
      <w:r w:rsidRPr="00BC3A80">
        <w:rPr>
          <w:rFonts w:ascii="Verdana" w:eastAsia="Times New Roman" w:hAnsi="Verdana" w:cs="Arial"/>
          <w:sz w:val="20"/>
          <w:szCs w:val="20"/>
          <w:vertAlign w:val="superscript"/>
          <w:lang w:val="es-ES"/>
        </w:rPr>
        <w:footnoteReference w:id="7"/>
      </w:r>
      <w:r w:rsidRPr="00BC3A80">
        <w:rPr>
          <w:rFonts w:ascii="Verdana" w:eastAsia="Times New Roman" w:hAnsi="Verdana" w:cs="Arial"/>
          <w:sz w:val="20"/>
          <w:szCs w:val="20"/>
          <w:vertAlign w:val="superscript"/>
          <w:lang w:val="es-ES"/>
        </w:rPr>
        <w:t>.</w:t>
      </w:r>
      <w:r w:rsidRPr="00BC3A80">
        <w:rPr>
          <w:rFonts w:ascii="Verdana" w:hAnsi="Verdana" w:cs="Arial"/>
          <w:sz w:val="20"/>
          <w:szCs w:val="20"/>
          <w:lang w:val="es-ES"/>
        </w:rPr>
        <w:t xml:space="preserve"> Por tanto, no son materia de la prohibición las demás modalidades de selección previstas en la ley 1150 de 2007, siendo estas, la licitación pública, el concurso de méritos y la selección abreviada, razón por la cual en ese periodo preelectoral de que trata la disposición pueden las entidades públicas seguir contratando bajo estos sistemas. [...]</w:t>
      </w:r>
      <w:r w:rsidRPr="00BC3A80">
        <w:rPr>
          <w:rFonts w:ascii="Verdana" w:eastAsia="Times New Roman" w:hAnsi="Verdana" w:cs="Arial"/>
          <w:sz w:val="20"/>
          <w:szCs w:val="20"/>
          <w:vertAlign w:val="superscript"/>
          <w:lang w:val="es-ES" w:eastAsia="es-CO"/>
        </w:rPr>
        <w:footnoteReference w:id="8"/>
      </w:r>
      <w:r w:rsidRPr="00BC3A80">
        <w:rPr>
          <w:rFonts w:ascii="Verdana" w:hAnsi="Verdana" w:cs="Arial"/>
          <w:sz w:val="20"/>
          <w:szCs w:val="20"/>
          <w:lang w:val="es-ES"/>
        </w:rPr>
        <w:t xml:space="preserve"> .</w:t>
      </w:r>
    </w:p>
    <w:p w14:paraId="7394AB1B" w14:textId="77777777" w:rsidR="002B64AF" w:rsidRPr="00BC3A80" w:rsidRDefault="002B64AF" w:rsidP="002B64AF">
      <w:pPr>
        <w:shd w:val="clear" w:color="auto" w:fill="FFFFFF" w:themeFill="background1"/>
        <w:spacing w:after="0" w:line="276" w:lineRule="auto"/>
        <w:ind w:firstLine="709"/>
        <w:jc w:val="both"/>
        <w:rPr>
          <w:rFonts w:ascii="Verdana" w:eastAsia="Times New Roman" w:hAnsi="Verdana" w:cs="Arial"/>
          <w:lang w:val="es-ES" w:eastAsia="x-none"/>
        </w:rPr>
      </w:pPr>
    </w:p>
    <w:p w14:paraId="29752AF0" w14:textId="77777777" w:rsidR="002B64AF" w:rsidRPr="00BC3A80" w:rsidRDefault="002B64AF" w:rsidP="002B64AF">
      <w:pPr>
        <w:spacing w:after="120" w:line="276" w:lineRule="auto"/>
        <w:ind w:firstLine="708"/>
        <w:jc w:val="both"/>
        <w:rPr>
          <w:rFonts w:ascii="Verdana" w:eastAsia="Times New Roman" w:hAnsi="Verdana" w:cs="Arial"/>
          <w:bCs/>
          <w:lang w:val="es-ES" w:eastAsia="x-none"/>
        </w:rPr>
      </w:pPr>
      <w:r w:rsidRPr="00BC3A80">
        <w:rPr>
          <w:rFonts w:ascii="Verdana" w:eastAsia="Times New Roman" w:hAnsi="Verdana" w:cs="Arial"/>
          <w:lang w:val="es-ES" w:eastAsia="x-none"/>
        </w:rPr>
        <w:t xml:space="preserve">De acuerdo con este concepto, la prohibición del artículo 33 de la Ley de Garantías Electorales se refiere a </w:t>
      </w:r>
      <w:r w:rsidRPr="00BC3A80">
        <w:rPr>
          <w:rFonts w:ascii="Verdana" w:eastAsia="Times New Roman" w:hAnsi="Verdana" w:cs="Arial"/>
          <w:sz w:val="19"/>
          <w:szCs w:val="19"/>
          <w:lang w:val="es-ES" w:eastAsia="en-GB"/>
        </w:rPr>
        <w:t>“</w:t>
      </w:r>
      <w:r w:rsidRPr="00BC3A80">
        <w:rPr>
          <w:rFonts w:ascii="Verdana" w:eastAsia="Times New Roman" w:hAnsi="Verdana" w:cs="Arial"/>
          <w:lang w:val="es-ES" w:eastAsia="x-none"/>
        </w:rPr>
        <w:t>cualquier sistema que no implique convocatoria pública y posibilidad de pluralidad de oferentes</w:t>
      </w:r>
      <w:r w:rsidRPr="00BC3A80">
        <w:rPr>
          <w:rFonts w:ascii="Verdana" w:eastAsia="Times New Roman" w:hAnsi="Verdana" w:cs="Arial"/>
          <w:lang w:val="es-ES" w:eastAsia="en-GB"/>
        </w:rPr>
        <w:t>”</w:t>
      </w:r>
      <w:r w:rsidRPr="00BC3A80">
        <w:rPr>
          <w:rFonts w:ascii="Verdana" w:eastAsia="Times New Roman" w:hAnsi="Verdana" w:cs="Arial"/>
          <w:lang w:val="es-ES" w:eastAsia="x-none"/>
        </w:rPr>
        <w:t xml:space="preserve">, por lo que excluye </w:t>
      </w:r>
      <w:r w:rsidRPr="00BC3A80">
        <w:rPr>
          <w:rFonts w:ascii="Verdana" w:eastAsia="Times New Roman" w:hAnsi="Verdana" w:cs="Arial"/>
          <w:lang w:val="es-ES" w:eastAsia="x-none"/>
        </w:rPr>
        <w:lastRenderedPageBreak/>
        <w:t xml:space="preserve">las demás modalidades de contratación previstas en la Ley 1150 de 2007, es decir, la licitación pública, la selección abreviada, el concurso de méritos </w:t>
      </w:r>
      <w:r w:rsidRPr="00BC3A80">
        <w:rPr>
          <w:rFonts w:ascii="Verdana" w:eastAsia="Times New Roman" w:hAnsi="Verdana" w:cs="Arial"/>
          <w:lang w:val="es-ES"/>
        </w:rPr>
        <w:t>y la mínima cuantía</w:t>
      </w:r>
      <w:r w:rsidRPr="00BC3A80" w:rsidDel="00A85D9F">
        <w:rPr>
          <w:rFonts w:ascii="Verdana" w:eastAsia="Times New Roman" w:hAnsi="Verdana" w:cs="Arial"/>
          <w:lang w:val="es-ES" w:eastAsia="x-none"/>
        </w:rPr>
        <w:t xml:space="preserve"> </w:t>
      </w:r>
      <w:r w:rsidRPr="00BC3A80">
        <w:rPr>
          <w:rFonts w:ascii="Verdana" w:eastAsia="Times New Roman" w:hAnsi="Verdana" w:cs="Arial"/>
          <w:lang w:val="es-ES"/>
        </w:rPr>
        <w:t xml:space="preserve">u otros previstos en normas especiales. </w:t>
      </w:r>
      <w:r w:rsidRPr="00BC3A80">
        <w:rPr>
          <w:rFonts w:ascii="Verdana" w:eastAsia="Times New Roman" w:hAnsi="Verdana" w:cs="Arial"/>
          <w:lang w:val="es-ES" w:eastAsia="x-none"/>
        </w:rPr>
        <w:t>Esta posición es congruente con la expedición de la Ley 1150 de 2007 que, entre otras reformas, introdujo la selección abreviada, rediseñó el concurso de méritos</w:t>
      </w:r>
      <w:r w:rsidRPr="00BC3A80">
        <w:rPr>
          <w:rFonts w:ascii="Verdana" w:eastAsia="Times New Roman" w:hAnsi="Verdana" w:cs="Arial"/>
          <w:vertAlign w:val="superscript"/>
          <w:lang w:val="es-ES" w:eastAsia="x-none"/>
        </w:rPr>
        <w:footnoteReference w:id="9"/>
      </w:r>
      <w:r w:rsidRPr="00BC3A80">
        <w:rPr>
          <w:rFonts w:ascii="Verdana" w:eastAsia="Times New Roman" w:hAnsi="Verdana" w:cs="Arial"/>
          <w:lang w:val="es-ES" w:eastAsia="x-none"/>
        </w:rPr>
        <w:t xml:space="preserve"> y sistematizó las causales de contratación directa</w:t>
      </w:r>
      <w:r w:rsidRPr="00BC3A80">
        <w:rPr>
          <w:rFonts w:ascii="Verdana" w:eastAsia="Times New Roman" w:hAnsi="Verdana" w:cs="Arial"/>
          <w:vertAlign w:val="superscript"/>
          <w:lang w:val="es-ES" w:eastAsia="x-none"/>
        </w:rPr>
        <w:footnoteReference w:id="10"/>
      </w:r>
      <w:r w:rsidRPr="00BC3A80">
        <w:rPr>
          <w:rFonts w:ascii="Verdana" w:eastAsia="Times New Roman" w:hAnsi="Verdana" w:cs="Arial"/>
          <w:lang w:val="es-ES" w:eastAsia="x-none"/>
        </w:rPr>
        <w:t xml:space="preserve">, </w:t>
      </w:r>
      <w:r w:rsidRPr="00BC3A80">
        <w:rPr>
          <w:rFonts w:ascii="Verdana" w:hAnsi="Verdana" w:cs="Arial"/>
          <w:lang w:val="es-ES" w:eastAsia="x-none"/>
        </w:rPr>
        <w:t>además lo es con la posterior creación de la modalidad de mínima cuantía establecida actualmente en el numeral 5 del artículo 2 de la Ley 1150 de 2007, de acuerdo con las modificaciones realizadas por leyes posteriores.</w:t>
      </w:r>
    </w:p>
    <w:p w14:paraId="0EFD040B" w14:textId="77777777" w:rsidR="002B64AF" w:rsidRPr="00BC3A80" w:rsidRDefault="002B64AF" w:rsidP="002B64AF">
      <w:pPr>
        <w:spacing w:after="120" w:line="276" w:lineRule="auto"/>
        <w:ind w:firstLine="708"/>
        <w:jc w:val="both"/>
        <w:rPr>
          <w:rFonts w:ascii="Verdana" w:eastAsia="Times New Roman" w:hAnsi="Verdana" w:cs="Arial"/>
          <w:bCs/>
          <w:lang w:val="es-ES" w:eastAsia="es-CO"/>
        </w:rPr>
      </w:pPr>
      <w:r w:rsidRPr="00BC3A80">
        <w:rPr>
          <w:rFonts w:ascii="Verdana" w:eastAsia="Times New Roman" w:hAnsi="Verdana" w:cs="Arial"/>
          <w:bCs/>
          <w:lang w:val="es-ES" w:eastAsia="es-CO"/>
        </w:rPr>
        <w:t>Como se advierte de lo anterior, el Consejo de Estado realiza una interpretación amplia de la contratación directa, para efectos de aplicar las restricciones establecidas en la Ley de Garantías Electorales, al señalar que no solo aplica frente a las entidades sometidas al Estatuto general de Contratación de la Administración Pública</w:t>
      </w:r>
      <w:r w:rsidRPr="00BC3A80">
        <w:rPr>
          <w:rFonts w:ascii="Verdana" w:eastAsia="Times New Roman" w:hAnsi="Verdana" w:cs="Arial"/>
          <w:bCs/>
          <w:i/>
          <w:iCs/>
          <w:lang w:val="es-ES" w:eastAsia="es-CO"/>
        </w:rPr>
        <w:t>, sino también frente a las entidades que tengan un régimen especial de contratación</w:t>
      </w:r>
      <w:r w:rsidRPr="00BC3A80">
        <w:rPr>
          <w:rFonts w:ascii="Verdana" w:eastAsia="Times New Roman" w:hAnsi="Verdana" w:cs="Arial"/>
          <w:bCs/>
          <w:lang w:val="es-ES" w:eastAsia="es-CO"/>
        </w:rPr>
        <w:t xml:space="preserve">. No obstante, también se observa que luego de la expedición de Ley 1150 de 2007, el Consejo de Estado comenzó a delimitar con mayor precisión el término de “contratación directa”. </w:t>
      </w:r>
      <w:r w:rsidRPr="00BC3A80">
        <w:rPr>
          <w:rFonts w:ascii="Verdana" w:eastAsia="Times New Roman" w:hAnsi="Verdana" w:cs="Arial"/>
          <w:lang w:val="es-ES"/>
        </w:rPr>
        <w:t xml:space="preserve">Así, para la prohibición o restricción temporal contenida en su artículo 33, “contratación directa” es </w:t>
      </w:r>
      <w:r w:rsidRPr="00BC3A80">
        <w:rPr>
          <w:rFonts w:ascii="Verdana" w:eastAsia="Times New Roman" w:hAnsi="Verdana" w:cs="Arial"/>
          <w:i/>
          <w:iCs/>
          <w:lang w:val="es-ES"/>
        </w:rPr>
        <w:t>cualquier</w:t>
      </w:r>
      <w:r w:rsidRPr="00BC3A80">
        <w:rPr>
          <w:rFonts w:ascii="Verdana" w:eastAsia="Times New Roman" w:hAnsi="Verdana" w:cs="Arial"/>
          <w:lang w:val="es-ES"/>
        </w:rPr>
        <w:t xml:space="preserve"> sistema de selección o procedimiento de contratación utilizado por las entidades estatales que no incluya la convocatoria pública en alguna de sus etapas, ni permita la participación de una pluralidad de oferentes</w:t>
      </w:r>
      <w:r w:rsidRPr="00BC3A80">
        <w:rPr>
          <w:rFonts w:ascii="Verdana" w:eastAsia="Times New Roman" w:hAnsi="Verdana" w:cs="Arial"/>
          <w:vertAlign w:val="superscript"/>
          <w:lang w:val="es-ES" w:eastAsia="x-none"/>
        </w:rPr>
        <w:footnoteReference w:id="11"/>
      </w:r>
      <w:r w:rsidRPr="00BC3A80">
        <w:rPr>
          <w:rFonts w:ascii="Verdana" w:eastAsia="Times New Roman" w:hAnsi="Verdana" w:cs="Arial"/>
          <w:lang w:val="es-ES"/>
        </w:rPr>
        <w:t>.</w:t>
      </w:r>
      <w:r w:rsidRPr="00BC3A80">
        <w:rPr>
          <w:rFonts w:ascii="Verdana" w:eastAsia="Times New Roman" w:hAnsi="Verdana" w:cs="Arial"/>
          <w:vertAlign w:val="superscript"/>
          <w:lang w:val="es-ES" w:eastAsia="x-none"/>
        </w:rPr>
        <w:t xml:space="preserve"> </w:t>
      </w:r>
    </w:p>
    <w:p w14:paraId="1B90DF15" w14:textId="77777777" w:rsidR="002B64AF" w:rsidRPr="00BC3A80" w:rsidRDefault="002B64AF" w:rsidP="002B64AF">
      <w:pPr>
        <w:spacing w:after="120" w:line="276" w:lineRule="auto"/>
        <w:ind w:firstLine="708"/>
        <w:jc w:val="both"/>
        <w:rPr>
          <w:rFonts w:ascii="Verdana" w:eastAsia="Times New Roman" w:hAnsi="Verdana" w:cs="Arial"/>
          <w:lang w:val="es-ES"/>
        </w:rPr>
      </w:pPr>
      <w:r w:rsidRPr="00BC3A80">
        <w:rPr>
          <w:rFonts w:ascii="Verdana" w:eastAsia="Times New Roman" w:hAnsi="Verdana" w:cs="Arial"/>
          <w:lang w:val="es-ES"/>
        </w:rPr>
        <w:t xml:space="preserve">De lo anterior se desprende que la restricción aplica, sin perjuicio de las excepciones establecidas en la misma ley, para celebrar </w:t>
      </w:r>
      <w:r w:rsidRPr="00BC3A80">
        <w:rPr>
          <w:rFonts w:ascii="Verdana" w:eastAsia="Times New Roman" w:hAnsi="Verdana" w:cs="Arial"/>
          <w:i/>
          <w:iCs/>
          <w:lang w:val="es-ES"/>
        </w:rPr>
        <w:t>cualquier contrato o convenio de forma directa</w:t>
      </w:r>
      <w:r w:rsidRPr="00BC3A80">
        <w:rPr>
          <w:rFonts w:ascii="Verdana" w:eastAsia="Times New Roman" w:hAnsi="Verdana" w:cs="Arial"/>
          <w:lang w:val="es-ES"/>
        </w:rPr>
        <w:t>, esto es, sin que exista un proceso abierto y competitivo. Por tanto, no son materia de la prohibición las demás modalidades de selección previstas en la Ley 1150 de 2007, es decir, la licitación pública, el concurso de méritos, la selección abreviada y la mínima cuantía, razón por la cual en ese período preelectoral de que trata la disposición las entidades públicas pueden seguir contratando bajo estos sistemas.</w:t>
      </w:r>
    </w:p>
    <w:p w14:paraId="1FCAEE3D" w14:textId="77777777" w:rsidR="002B64AF" w:rsidRPr="00BC3A80" w:rsidRDefault="002B64AF" w:rsidP="002B64AF">
      <w:pPr>
        <w:spacing w:before="120" w:after="0" w:line="276" w:lineRule="auto"/>
        <w:ind w:firstLine="708"/>
        <w:jc w:val="both"/>
        <w:rPr>
          <w:rFonts w:ascii="Verdana" w:eastAsia="Times New Roman" w:hAnsi="Verdana" w:cs="Arial"/>
          <w:lang w:eastAsia="es-CO"/>
        </w:rPr>
      </w:pPr>
      <w:r w:rsidRPr="00BC3A80">
        <w:rPr>
          <w:rFonts w:ascii="Verdana" w:eastAsia="Times New Roman" w:hAnsi="Verdana" w:cs="Arial"/>
          <w:lang w:val="es-MX" w:eastAsia="es-CO"/>
        </w:rPr>
        <w:lastRenderedPageBreak/>
        <w:t xml:space="preserve">Respecto del alcance de esta prohibición la Circular Externa No. 006 de 2025 expedida por la ANCP -CCE, en los literales </w:t>
      </w:r>
      <w:proofErr w:type="spellStart"/>
      <w:r w:rsidRPr="00BC3A80">
        <w:rPr>
          <w:rFonts w:ascii="Verdana" w:eastAsia="Times New Roman" w:hAnsi="Verdana" w:cs="Arial"/>
          <w:lang w:val="es-MX" w:eastAsia="es-CO"/>
        </w:rPr>
        <w:t>ii</w:t>
      </w:r>
      <w:proofErr w:type="spellEnd"/>
      <w:r w:rsidRPr="00BC3A80">
        <w:rPr>
          <w:rFonts w:ascii="Verdana" w:eastAsia="Times New Roman" w:hAnsi="Verdana" w:cs="Arial"/>
          <w:lang w:val="es-MX" w:eastAsia="es-CO"/>
        </w:rPr>
        <w:t xml:space="preserve">) y </w:t>
      </w:r>
      <w:proofErr w:type="spellStart"/>
      <w:r w:rsidRPr="00BC3A80">
        <w:rPr>
          <w:rFonts w:ascii="Verdana" w:eastAsia="Times New Roman" w:hAnsi="Verdana" w:cs="Arial"/>
          <w:lang w:val="es-MX" w:eastAsia="es-CO"/>
        </w:rPr>
        <w:t>iv</w:t>
      </w:r>
      <w:proofErr w:type="spellEnd"/>
      <w:r w:rsidRPr="00BC3A80">
        <w:rPr>
          <w:rFonts w:ascii="Verdana" w:eastAsia="Times New Roman" w:hAnsi="Verdana" w:cs="Arial"/>
          <w:lang w:val="es-MX" w:eastAsia="es-CO"/>
        </w:rPr>
        <w:t>) del numeral 2</w:t>
      </w:r>
      <w:r w:rsidRPr="00BC3A80">
        <w:rPr>
          <w:rFonts w:ascii="Verdana" w:eastAsia="Times New Roman" w:hAnsi="Verdana" w:cs="Arial"/>
          <w:lang w:eastAsia="es-CO"/>
        </w:rPr>
        <w:t>,</w:t>
      </w:r>
      <w:r w:rsidRPr="00BC3A80">
        <w:rPr>
          <w:rFonts w:ascii="Verdana" w:eastAsia="Times New Roman" w:hAnsi="Verdana" w:cs="Arial"/>
          <w:lang w:val="es-MX" w:eastAsia="es-CO"/>
        </w:rPr>
        <w:t xml:space="preserve"> indica que el </w:t>
      </w:r>
      <w:r w:rsidRPr="00BC3A80">
        <w:rPr>
          <w:rFonts w:ascii="Verdana" w:eastAsia="Times New Roman" w:hAnsi="Verdana" w:cs="Arial"/>
          <w:lang w:eastAsia="es-CO"/>
        </w:rPr>
        <w:t xml:space="preserve">parágrafo del artículo 38 de la Ley 996 de 2005 cobija expresamente a los </w:t>
      </w:r>
      <w:r w:rsidRPr="00BC3A80">
        <w:rPr>
          <w:rFonts w:ascii="Verdana" w:eastAsia="Times New Roman" w:hAnsi="Verdana" w:cs="Arial"/>
          <w:i/>
          <w:iCs/>
          <w:lang w:eastAsia="es-CO"/>
        </w:rPr>
        <w:t>convenios interadministrativos</w:t>
      </w:r>
      <w:r w:rsidRPr="00BC3A80">
        <w:rPr>
          <w:rFonts w:ascii="Verdana" w:eastAsia="Times New Roman" w:hAnsi="Verdana" w:cs="Arial"/>
          <w:lang w:eastAsia="es-CO"/>
        </w:rPr>
        <w:t xml:space="preserve"> en los que se contemple la ejecución de recursos públicos. Además, precisa que el parágrafo referido no estableció ningún supuesto que exceptúe la aplicación de esta prohibición, por lo que la restricción referida a la celebración de convenios interadministrativos aplicará a los sujetos allí señalados, </w:t>
      </w:r>
      <w:r w:rsidRPr="00BC3A80">
        <w:rPr>
          <w:rFonts w:ascii="Verdana" w:eastAsia="Times New Roman" w:hAnsi="Verdana" w:cs="Arial"/>
          <w:i/>
          <w:iCs/>
          <w:lang w:eastAsia="es-CO"/>
        </w:rPr>
        <w:t>“aunque se configure alguno de los supuestos de excepción que señaló el inciso final del artículo 33”.</w:t>
      </w:r>
      <w:r w:rsidRPr="00BC3A80">
        <w:rPr>
          <w:rFonts w:ascii="Verdana" w:eastAsia="Times New Roman" w:hAnsi="Verdana" w:cs="Arial"/>
          <w:lang w:eastAsia="es-CO"/>
        </w:rPr>
        <w:t xml:space="preserve"> </w:t>
      </w:r>
    </w:p>
    <w:p w14:paraId="47226A2F" w14:textId="77777777" w:rsidR="002B64AF" w:rsidRPr="00BC3A80" w:rsidRDefault="002B64AF" w:rsidP="002B64AF">
      <w:pPr>
        <w:spacing w:before="120" w:after="0" w:line="276" w:lineRule="auto"/>
        <w:ind w:firstLine="708"/>
        <w:jc w:val="both"/>
        <w:rPr>
          <w:rFonts w:ascii="Verdana" w:eastAsia="Times New Roman" w:hAnsi="Verdana" w:cs="Arial"/>
          <w:lang w:eastAsia="es-CO"/>
        </w:rPr>
      </w:pPr>
      <w:r w:rsidRPr="00BC3A80">
        <w:rPr>
          <w:rFonts w:ascii="Verdana" w:eastAsia="Times New Roman" w:hAnsi="Verdana" w:cs="Arial"/>
          <w:lang w:eastAsia="es-CO"/>
        </w:rPr>
        <w:t xml:space="preserve">Sin embargo, es importante tener en cuenta que el ámbito de aplicación de la restricción prevista en el parágrafo del artículo 38 de la Ley 996 de 2005 solo se extiende a los </w:t>
      </w:r>
      <w:r w:rsidRPr="00BC3A80">
        <w:rPr>
          <w:rFonts w:ascii="Verdana" w:eastAsia="Times New Roman" w:hAnsi="Verdana" w:cs="Arial"/>
          <w:i/>
          <w:iCs/>
          <w:lang w:eastAsia="es-CO"/>
        </w:rPr>
        <w:t>convenios interadministrativos</w:t>
      </w:r>
      <w:r w:rsidRPr="00BC3A80">
        <w:rPr>
          <w:rFonts w:ascii="Verdana" w:eastAsia="Times New Roman" w:hAnsi="Verdana" w:cs="Arial"/>
          <w:lang w:eastAsia="es-CO"/>
        </w:rPr>
        <w:t xml:space="preserve"> en los que se contemple la </w:t>
      </w:r>
      <w:r w:rsidRPr="00BC3A80">
        <w:rPr>
          <w:rFonts w:ascii="Verdana" w:eastAsia="Times New Roman" w:hAnsi="Verdana" w:cs="Arial"/>
          <w:i/>
          <w:iCs/>
          <w:lang w:eastAsia="es-CO"/>
        </w:rPr>
        <w:t>ejecución de recursos públicos</w:t>
      </w:r>
      <w:r w:rsidRPr="00BC3A80">
        <w:rPr>
          <w:rFonts w:ascii="Verdana" w:eastAsia="Times New Roman" w:hAnsi="Verdana" w:cs="Arial"/>
          <w:lang w:eastAsia="es-CO"/>
        </w:rPr>
        <w:t xml:space="preserve">. Esto significa que la prohibición no resulta aplicable a </w:t>
      </w:r>
      <w:r w:rsidRPr="00BC3A80">
        <w:rPr>
          <w:rFonts w:ascii="Verdana" w:eastAsia="Times New Roman" w:hAnsi="Verdana" w:cs="Arial"/>
          <w:i/>
          <w:iCs/>
          <w:lang w:eastAsia="es-CO"/>
        </w:rPr>
        <w:t>convenios interadministrativos a título gratuito,</w:t>
      </w:r>
      <w:r w:rsidRPr="00BC3A80">
        <w:rPr>
          <w:rFonts w:ascii="Verdana" w:eastAsia="Times New Roman" w:hAnsi="Verdana" w:cs="Arial"/>
          <w:lang w:eastAsia="es-CO"/>
        </w:rPr>
        <w:t xml:space="preserve"> los cuales pueden celebrarse válidamente durante la vigencia de la mencionada restricción. </w:t>
      </w:r>
    </w:p>
    <w:p w14:paraId="0E50669E" w14:textId="77777777" w:rsidR="002B64AF" w:rsidRPr="00BC3A80" w:rsidRDefault="002B64AF" w:rsidP="002B64AF">
      <w:pPr>
        <w:spacing w:before="120" w:after="0" w:line="276" w:lineRule="auto"/>
        <w:ind w:firstLine="708"/>
        <w:jc w:val="both"/>
        <w:rPr>
          <w:rFonts w:ascii="Verdana" w:eastAsia="Times New Roman" w:hAnsi="Verdana" w:cs="Arial"/>
          <w:lang w:eastAsia="es-CO"/>
        </w:rPr>
      </w:pPr>
      <w:r w:rsidRPr="00BC3A80">
        <w:rPr>
          <w:rFonts w:ascii="Verdana" w:eastAsia="Times New Roman" w:hAnsi="Verdana" w:cs="Arial"/>
          <w:lang w:eastAsia="es-CO"/>
        </w:rPr>
        <w:t xml:space="preserve">De esta manera, conforme a lo dispuesto en la Circular referida, si se suscriben </w:t>
      </w:r>
      <w:r w:rsidRPr="00BC3A80">
        <w:rPr>
          <w:rFonts w:ascii="Verdana" w:eastAsia="Times New Roman" w:hAnsi="Verdana" w:cs="Arial"/>
          <w:i/>
          <w:iCs/>
          <w:lang w:eastAsia="es-CO"/>
        </w:rPr>
        <w:t>convenios interadministrativos para la ejecución de recursos públicos</w:t>
      </w:r>
      <w:r w:rsidRPr="00BC3A80">
        <w:rPr>
          <w:rFonts w:ascii="Verdana" w:eastAsia="Times New Roman" w:hAnsi="Verdana" w:cs="Arial"/>
          <w:lang w:eastAsia="es-CO"/>
        </w:rPr>
        <w:t xml:space="preserve"> por los alcaldes, gobernadores, secretarios, gerentes y directores de las entidades del orden municipal, departamental o distrital, aplicará la prohibición del parágrafo del artículo 38 </w:t>
      </w:r>
      <w:r w:rsidRPr="00BC3A80">
        <w:rPr>
          <w:rFonts w:ascii="Verdana" w:eastAsia="Times New Roman" w:hAnsi="Verdana" w:cs="Arial"/>
          <w:i/>
          <w:iCs/>
          <w:lang w:eastAsia="es-CO"/>
        </w:rPr>
        <w:t>ibidem</w:t>
      </w:r>
      <w:r w:rsidRPr="00BC3A80">
        <w:rPr>
          <w:rFonts w:ascii="Verdana" w:eastAsia="Times New Roman" w:hAnsi="Verdana" w:cs="Arial"/>
          <w:lang w:eastAsia="es-CO"/>
        </w:rPr>
        <w:t>, independientemente de que se configure alguno de los supuestos de excepción que señaló el inciso final del artículo 33, es decir, que se trate de:</w:t>
      </w:r>
      <w:r w:rsidRPr="00BC3A80">
        <w:rPr>
          <w:rFonts w:ascii="Verdana" w:hAnsi="Verdana" w:cs="Arial"/>
          <w:bCs/>
          <w:lang w:val="es-MX" w:eastAsia="x-none"/>
        </w:rPr>
        <w:t xml:space="preserve"> i) la defensa y seguridad del Estado; </w:t>
      </w:r>
      <w:proofErr w:type="spellStart"/>
      <w:r w:rsidRPr="00BC3A80">
        <w:rPr>
          <w:rFonts w:ascii="Verdana" w:hAnsi="Verdana" w:cs="Arial"/>
          <w:bCs/>
          <w:lang w:val="es-MX" w:eastAsia="x-none"/>
        </w:rPr>
        <w:t>ii</w:t>
      </w:r>
      <w:proofErr w:type="spellEnd"/>
      <w:r w:rsidRPr="00BC3A80">
        <w:rPr>
          <w:rFonts w:ascii="Verdana" w:hAnsi="Verdana" w:cs="Arial"/>
          <w:bCs/>
          <w:lang w:val="es-MX" w:eastAsia="x-none"/>
        </w:rPr>
        <w:t xml:space="preserve">) los contratos de crédito público; </w:t>
      </w:r>
      <w:proofErr w:type="spellStart"/>
      <w:r w:rsidRPr="00BC3A80">
        <w:rPr>
          <w:rFonts w:ascii="Verdana" w:hAnsi="Verdana" w:cs="Arial"/>
          <w:bCs/>
          <w:lang w:val="es-MX" w:eastAsia="x-none"/>
        </w:rPr>
        <w:t>iii</w:t>
      </w:r>
      <w:proofErr w:type="spellEnd"/>
      <w:r w:rsidRPr="00BC3A80">
        <w:rPr>
          <w:rFonts w:ascii="Verdana" w:hAnsi="Verdana" w:cs="Arial"/>
          <w:bCs/>
          <w:lang w:val="es-MX" w:eastAsia="x-none"/>
        </w:rPr>
        <w:t xml:space="preserve">) los requeridos para cubrir las emergencias educativas, sanitarias y desastres; </w:t>
      </w:r>
      <w:proofErr w:type="spellStart"/>
      <w:r w:rsidRPr="00BC3A80">
        <w:rPr>
          <w:rFonts w:ascii="Verdana" w:hAnsi="Verdana" w:cs="Arial"/>
          <w:bCs/>
          <w:lang w:val="es-MX" w:eastAsia="x-none"/>
        </w:rPr>
        <w:t>iv</w:t>
      </w:r>
      <w:proofErr w:type="spellEnd"/>
      <w:r w:rsidRPr="00BC3A80">
        <w:rPr>
          <w:rFonts w:ascii="Verdana" w:hAnsi="Verdana" w:cs="Arial"/>
          <w:bCs/>
          <w:lang w:val="es-MX" w:eastAsia="x-none"/>
        </w:rPr>
        <w:t>) los utilizados para la reconstrucción de vías, puentes, carreteras, infraestructura energética y de comunicaciones, en caso de que hayan sido objeto de atentados, acciones terroristas, desastres naturales o casos de fuerza mayor; y, v) los que deban realizar las entidades sanitarias y hospitalarias.</w:t>
      </w:r>
      <w:r w:rsidRPr="00BC3A80">
        <w:rPr>
          <w:rFonts w:ascii="Verdana" w:hAnsi="Verdana" w:cs="Arial"/>
          <w:bCs/>
          <w:lang w:val="es-MX" w:eastAsia="es-CO"/>
        </w:rPr>
        <w:t xml:space="preserve"> </w:t>
      </w:r>
      <w:r w:rsidRPr="00BC3A80">
        <w:rPr>
          <w:rFonts w:ascii="Verdana" w:eastAsia="Times New Roman" w:hAnsi="Verdana" w:cs="Arial"/>
          <w:lang w:eastAsia="es-CO"/>
        </w:rPr>
        <w:t xml:space="preserve">  </w:t>
      </w:r>
    </w:p>
    <w:p w14:paraId="3D7D7133" w14:textId="77777777" w:rsidR="002B64AF" w:rsidRPr="00BC3A80" w:rsidRDefault="002B64AF" w:rsidP="002B64AF">
      <w:pPr>
        <w:spacing w:before="120" w:after="0" w:line="276" w:lineRule="auto"/>
        <w:ind w:firstLine="708"/>
        <w:jc w:val="both"/>
        <w:rPr>
          <w:rFonts w:ascii="Verdana" w:eastAsia="Times New Roman" w:hAnsi="Verdana" w:cs="Arial"/>
          <w:lang w:eastAsia="es-CO"/>
        </w:rPr>
      </w:pPr>
      <w:r w:rsidRPr="00BC3A80">
        <w:rPr>
          <w:rFonts w:ascii="Verdana" w:eastAsia="Times New Roman" w:hAnsi="Verdana" w:cs="Arial"/>
          <w:lang w:eastAsia="es-CO"/>
        </w:rPr>
        <w:t xml:space="preserve">En este punto, vale la pena destacar que, </w:t>
      </w:r>
      <w:r w:rsidRPr="00BC3A80">
        <w:rPr>
          <w:rFonts w:ascii="Verdana" w:eastAsia="Arial" w:hAnsi="Verdana" w:cs="Arial"/>
          <w:lang w:val="es-MX" w:eastAsia="es-ES" w:bidi="es-ES"/>
        </w:rPr>
        <w:t xml:space="preserve">mediante auto de 4 de octubre del 2024, el Consejo de Estado, Subsección C de la Sección Tercera, decretó medida de suspensión provisional parcial del </w:t>
      </w:r>
      <w:r w:rsidRPr="00BC3A80">
        <w:rPr>
          <w:rFonts w:ascii="Verdana" w:hAnsi="Verdana" w:cs="Arial"/>
        </w:rPr>
        <w:t>numeral 16.2 de la Circular Externa Única de 2022 expedida por la Agencia Nacional de Contratación Pública -</w:t>
      </w:r>
      <w:r w:rsidRPr="00BC3A80">
        <w:rPr>
          <w:rFonts w:ascii="Verdana" w:hAnsi="Verdana" w:cs="Arial"/>
        </w:rPr>
        <w:lastRenderedPageBreak/>
        <w:t>Colombia Compra Eficiente-, concretamente, respecto de los siguientes apartes normativos</w:t>
      </w:r>
      <w:r w:rsidRPr="00BC3A80">
        <w:rPr>
          <w:rFonts w:ascii="Verdana" w:hAnsi="Verdana" w:cs="Arial"/>
          <w:vertAlign w:val="superscript"/>
        </w:rPr>
        <w:footnoteReference w:id="12"/>
      </w:r>
      <w:r w:rsidRPr="00BC3A80">
        <w:rPr>
          <w:rFonts w:ascii="Verdana" w:hAnsi="Verdana" w:cs="Arial"/>
        </w:rPr>
        <w:t>:</w:t>
      </w:r>
      <w:r w:rsidRPr="00BC3A80">
        <w:rPr>
          <w:rFonts w:cs="Arial"/>
        </w:rPr>
        <w:t xml:space="preserve"> </w:t>
      </w:r>
    </w:p>
    <w:p w14:paraId="106C750A" w14:textId="77777777" w:rsidR="002B64AF" w:rsidRPr="00BC3A80" w:rsidRDefault="002B64AF" w:rsidP="002B64AF">
      <w:pPr>
        <w:spacing w:after="0" w:line="276" w:lineRule="auto"/>
        <w:ind w:firstLine="709"/>
        <w:jc w:val="both"/>
        <w:rPr>
          <w:rFonts w:cs="Arial"/>
        </w:rPr>
      </w:pPr>
    </w:p>
    <w:p w14:paraId="2BD2CD5C" w14:textId="77777777" w:rsidR="002B64AF" w:rsidRPr="00BC3A80" w:rsidRDefault="002B64AF" w:rsidP="002B64AF">
      <w:pPr>
        <w:spacing w:after="0" w:line="240" w:lineRule="auto"/>
        <w:ind w:left="709" w:right="709"/>
        <w:jc w:val="both"/>
        <w:rPr>
          <w:rFonts w:ascii="Verdana" w:hAnsi="Verdana" w:cs="Arial"/>
          <w:sz w:val="20"/>
          <w:szCs w:val="20"/>
        </w:rPr>
      </w:pPr>
      <w:r w:rsidRPr="00BC3A80">
        <w:rPr>
          <w:rFonts w:ascii="Verdana" w:hAnsi="Verdana" w:cs="Arial"/>
          <w:sz w:val="20"/>
          <w:szCs w:val="20"/>
          <w:lang w:val="es-MX"/>
        </w:rPr>
        <w:t>i)</w:t>
      </w:r>
      <w:r w:rsidRPr="00BC3A80">
        <w:rPr>
          <w:rFonts w:ascii="Verdana" w:hAnsi="Verdana" w:cs="Arial"/>
          <w:sz w:val="20"/>
          <w:szCs w:val="20"/>
        </w:rPr>
        <w:t xml:space="preserve"> el inciso segundo 2 que dispone: “Esta restricción es aplicable tanto a los convenios como a los contratos interadministrativos, toda vez que, al no existir definición legal que diferencie el concepto de convenio del concepto de contrato, la denominación prevista por la Ley 80 de 1993 y la Ley 1150 de 2007 para tal fin se entenderán en el mismo sentido. Es así como el Decreto 1082 de 2015 trata indistintamente a los convenios y contratos interadministrativos, al establecer la contratación directa como la modalidad de selección para la contratación entre entidades públicas a través de estas dos figuras jurídicas” y, </w:t>
      </w:r>
    </w:p>
    <w:p w14:paraId="511D1C43" w14:textId="77777777" w:rsidR="002B64AF" w:rsidRPr="00BC3A80" w:rsidRDefault="002B64AF" w:rsidP="002B64AF">
      <w:pPr>
        <w:spacing w:after="0" w:line="240" w:lineRule="auto"/>
        <w:ind w:left="709" w:right="709"/>
        <w:jc w:val="both"/>
        <w:rPr>
          <w:rFonts w:ascii="Verdana" w:hAnsi="Verdana" w:cs="Arial"/>
          <w:sz w:val="20"/>
          <w:szCs w:val="20"/>
        </w:rPr>
      </w:pPr>
    </w:p>
    <w:p w14:paraId="64D20802" w14:textId="77777777" w:rsidR="002B64AF" w:rsidRPr="00BC3A80" w:rsidRDefault="002B64AF" w:rsidP="002B64AF">
      <w:pPr>
        <w:spacing w:after="0" w:line="240" w:lineRule="auto"/>
        <w:ind w:left="709" w:right="709"/>
        <w:jc w:val="both"/>
        <w:rPr>
          <w:rFonts w:ascii="Verdana" w:hAnsi="Verdana" w:cs="Arial"/>
          <w:sz w:val="20"/>
          <w:szCs w:val="20"/>
        </w:rPr>
      </w:pPr>
      <w:proofErr w:type="spellStart"/>
      <w:r w:rsidRPr="00BC3A80">
        <w:rPr>
          <w:rFonts w:ascii="Verdana" w:hAnsi="Verdana" w:cs="Arial"/>
          <w:sz w:val="20"/>
          <w:szCs w:val="20"/>
        </w:rPr>
        <w:t>ii</w:t>
      </w:r>
      <w:proofErr w:type="spellEnd"/>
      <w:r w:rsidRPr="00BC3A80">
        <w:rPr>
          <w:rFonts w:ascii="Verdana" w:hAnsi="Verdana" w:cs="Arial"/>
          <w:sz w:val="20"/>
          <w:szCs w:val="20"/>
        </w:rPr>
        <w:t xml:space="preserve">) la expresión y el siguiente párrafo contenidos en el inciso cuarto “contratos” y “En este sentido, la prohibición que establece el parágrafo del artículo 38 de la Ley de Garantías consiste en evitar que los recursos del Estado se ejecuten para lograr apoyos indebidos mediante la suscripción de contratos y/o convenios, que, para efectos de la Ley de Garantías, tienen la misma connotación y propósito”. </w:t>
      </w:r>
    </w:p>
    <w:p w14:paraId="688A347A" w14:textId="77777777" w:rsidR="002B64AF" w:rsidRPr="00BC3A80" w:rsidRDefault="002B64AF" w:rsidP="002B64AF">
      <w:pPr>
        <w:spacing w:after="0" w:line="276" w:lineRule="auto"/>
        <w:ind w:left="709" w:right="709"/>
        <w:jc w:val="both"/>
        <w:rPr>
          <w:rFonts w:ascii="Verdana" w:hAnsi="Verdana" w:cs="Arial"/>
        </w:rPr>
      </w:pPr>
    </w:p>
    <w:p w14:paraId="190C20E9" w14:textId="77777777" w:rsidR="002B64AF" w:rsidRPr="00BC3A80" w:rsidRDefault="002B64AF" w:rsidP="002B64AF">
      <w:pPr>
        <w:spacing w:after="120" w:line="276" w:lineRule="auto"/>
        <w:ind w:firstLine="709"/>
        <w:jc w:val="both"/>
        <w:rPr>
          <w:rFonts w:ascii="Verdana" w:eastAsia="Arial" w:hAnsi="Verdana" w:cs="Arial"/>
          <w:i/>
          <w:iCs/>
          <w:lang w:eastAsia="es-ES" w:bidi="es-ES"/>
        </w:rPr>
      </w:pPr>
      <w:r w:rsidRPr="00BC3A80">
        <w:rPr>
          <w:rFonts w:ascii="Verdana" w:eastAsia="Arial" w:hAnsi="Verdana" w:cs="Arial"/>
          <w:lang w:val="es-MX" w:eastAsia="es-ES" w:bidi="es-ES"/>
        </w:rPr>
        <w:t xml:space="preserve">De conformidad con los argumentos de dicha providencia, se parte de la distinción entre los conceptos </w:t>
      </w:r>
      <w:r w:rsidRPr="00BC3A80">
        <w:rPr>
          <w:rFonts w:ascii="Verdana" w:eastAsia="Arial" w:hAnsi="Verdana" w:cs="Arial"/>
          <w:lang w:eastAsia="es-ES" w:bidi="es-ES"/>
        </w:rPr>
        <w:t>de “convenio” y “contrato” interadministrativos, para diferenciarlos en su naturaleza, contenido y alcance, lo cual ha servido de fundamento para que tanto la Sección Tercera como también la Sala de Consulta y Servicio Civil de esa Corporación hayan realzado la distinción entre uno y otro negocio jurídico.</w:t>
      </w:r>
      <w:r w:rsidRPr="00BC3A80">
        <w:rPr>
          <w:rFonts w:ascii="Times New Roman" w:hAnsi="Times New Roman"/>
          <w:sz w:val="24"/>
          <w:szCs w:val="24"/>
          <w:lang w:eastAsia="es-CO"/>
        </w:rPr>
        <w:t xml:space="preserve"> </w:t>
      </w:r>
      <w:r w:rsidRPr="00BC3A80">
        <w:rPr>
          <w:rFonts w:ascii="Verdana" w:eastAsia="Arial" w:hAnsi="Verdana" w:cs="Arial"/>
          <w:lang w:eastAsia="es-ES" w:bidi="es-ES"/>
        </w:rPr>
        <w:t xml:space="preserve">En este sentido, en relación con el parágrafo del artículo 38 de la Ley 996 de 2005 concluyó que </w:t>
      </w:r>
      <w:r w:rsidRPr="00BC3A80">
        <w:rPr>
          <w:rFonts w:ascii="Verdana" w:eastAsia="Arial" w:hAnsi="Verdana" w:cs="Arial"/>
          <w:i/>
          <w:iCs/>
          <w:lang w:eastAsia="es-ES" w:bidi="es-ES"/>
        </w:rPr>
        <w:t xml:space="preserve">“si el legislador no diferenció al establecer la prohibición o la restricción, mal haría el reglamento en aplicar un efecto expansivo o extensivo para incluir una categoría no cobijada con la limitación, (…)”. </w:t>
      </w:r>
      <w:r w:rsidRPr="00BC3A80">
        <w:rPr>
          <w:rFonts w:ascii="Verdana" w:eastAsia="Arial" w:hAnsi="Verdana" w:cs="Arial"/>
          <w:lang w:eastAsia="es-ES" w:bidi="es-ES"/>
        </w:rPr>
        <w:t xml:space="preserve">Por tal motivo, para efectos de decretar la medida de suspensión provisional de los apartes señalados del numeral 16.2 de la Circular Externa Única, argumentó que </w:t>
      </w:r>
      <w:r w:rsidRPr="00BC3A80">
        <w:rPr>
          <w:rFonts w:ascii="Verdana" w:eastAsia="Arial" w:hAnsi="Verdana" w:cs="Arial"/>
          <w:i/>
          <w:iCs/>
          <w:lang w:eastAsia="es-ES" w:bidi="es-ES"/>
        </w:rPr>
        <w:t xml:space="preserve">“con independencia del propósito loable o plausible de la disposición ya que, procura que no se usen los recursos estatales para incidir o afectar la contienda electoral, no cabe duda de que la entidad demandada incorporó en la prohibición una categoría que no quedó comprendida expresa e inequívocamente en la ley. </w:t>
      </w:r>
    </w:p>
    <w:p w14:paraId="01575667" w14:textId="77777777" w:rsidR="002B64AF" w:rsidRPr="00BC3A80" w:rsidRDefault="002B64AF" w:rsidP="002B64AF">
      <w:pPr>
        <w:spacing w:after="120" w:line="276" w:lineRule="auto"/>
        <w:ind w:firstLine="709"/>
        <w:jc w:val="both"/>
        <w:rPr>
          <w:rFonts w:ascii="Verdana" w:eastAsia="Arial" w:hAnsi="Verdana" w:cs="Arial"/>
          <w:lang w:eastAsia="es-ES" w:bidi="es-ES"/>
        </w:rPr>
      </w:pPr>
      <w:r w:rsidRPr="00BC3A80">
        <w:rPr>
          <w:rFonts w:ascii="Verdana" w:eastAsia="Arial" w:hAnsi="Verdana" w:cs="Arial"/>
          <w:lang w:eastAsia="es-ES" w:bidi="es-ES"/>
        </w:rPr>
        <w:t>De igual manera, mediante auto del 6 de noviembre de 2025, el Consejo de Estado, Subsección A de la Sección Tercera, decretó</w:t>
      </w:r>
      <w:r w:rsidRPr="00BC3A80">
        <w:rPr>
          <w:rFonts w:ascii="Verdana" w:eastAsia="Arial" w:hAnsi="Verdana" w:cs="Arial"/>
          <w:b/>
          <w:bCs/>
          <w:lang w:eastAsia="es-ES" w:bidi="es-ES"/>
        </w:rPr>
        <w:t xml:space="preserve"> </w:t>
      </w:r>
      <w:r w:rsidRPr="00BC3A80">
        <w:rPr>
          <w:rFonts w:ascii="Verdana" w:eastAsia="Arial" w:hAnsi="Verdana" w:cs="Arial"/>
          <w:lang w:eastAsia="es-ES" w:bidi="es-ES"/>
        </w:rPr>
        <w:t xml:space="preserve">la suspensión provisional </w:t>
      </w:r>
      <w:r w:rsidRPr="00BC3A80">
        <w:rPr>
          <w:rFonts w:ascii="Verdana" w:eastAsia="Arial" w:hAnsi="Verdana" w:cs="Arial"/>
          <w:lang w:eastAsia="es-ES" w:bidi="es-ES"/>
        </w:rPr>
        <w:lastRenderedPageBreak/>
        <w:t>de los apartes cuestionados del inciso segundo y del inciso cuarto del numeral 16.2 de la Circular Externa Única, versión 3 del 27 de diciembre de 2023, expedida por la Agencia Nacional de Contratación Pública – Colombia Compra Eficiente relacionados con los contratos interadministrativos</w:t>
      </w:r>
      <w:r w:rsidRPr="00BC3A80">
        <w:rPr>
          <w:rFonts w:ascii="Verdana" w:eastAsia="Arial" w:hAnsi="Verdana" w:cs="Arial"/>
          <w:vertAlign w:val="superscript"/>
          <w:lang w:eastAsia="es-ES" w:bidi="es-ES"/>
        </w:rPr>
        <w:footnoteReference w:id="13"/>
      </w:r>
      <w:r w:rsidRPr="00BC3A80">
        <w:rPr>
          <w:rFonts w:ascii="Verdana" w:eastAsia="Arial" w:hAnsi="Verdana" w:cs="Arial"/>
          <w:lang w:eastAsia="es-ES" w:bidi="es-ES"/>
        </w:rPr>
        <w:t xml:space="preserve">. Para tales efectos, el alto tribunal resaltó la interpretación restrictiva de las normas que contienen prohibiciones, como la del parágrafo del artículo 38 de la Ley 996 de 2005, por manera que se excluye la analogía </w:t>
      </w:r>
      <w:proofErr w:type="spellStart"/>
      <w:r w:rsidRPr="00BC3A80">
        <w:rPr>
          <w:rFonts w:ascii="Verdana" w:eastAsia="Arial" w:hAnsi="Verdana" w:cs="Arial"/>
          <w:lang w:eastAsia="es-ES" w:bidi="es-ES"/>
        </w:rPr>
        <w:t>legis</w:t>
      </w:r>
      <w:proofErr w:type="spellEnd"/>
      <w:r w:rsidRPr="00BC3A80">
        <w:rPr>
          <w:rFonts w:ascii="Verdana" w:eastAsia="Arial" w:hAnsi="Verdana" w:cs="Arial"/>
          <w:lang w:eastAsia="es-ES" w:bidi="es-ES"/>
        </w:rPr>
        <w:t xml:space="preserve"> o iuris y la interpretación extensiva y reiteró los argumentos sobre la diferencia entre contratos y convenios interadministrativos. </w:t>
      </w:r>
    </w:p>
    <w:p w14:paraId="0E9A5309" w14:textId="77777777" w:rsidR="002B64AF" w:rsidRDefault="002B64AF" w:rsidP="002B64AF">
      <w:pPr>
        <w:spacing w:after="120" w:line="276" w:lineRule="auto"/>
        <w:ind w:firstLine="709"/>
        <w:jc w:val="both"/>
        <w:rPr>
          <w:rFonts w:ascii="Verdana" w:eastAsia="Times New Roman" w:hAnsi="Verdana" w:cs="Times New Roman"/>
          <w:lang w:eastAsia="es-ES"/>
        </w:rPr>
      </w:pPr>
      <w:r w:rsidRPr="31E4E861">
        <w:rPr>
          <w:rFonts w:ascii="Verdana" w:eastAsia="Arial" w:hAnsi="Verdana" w:cs="Arial"/>
          <w:lang w:eastAsia="es-ES" w:bidi="es-ES"/>
        </w:rPr>
        <w:t xml:space="preserve">Finalmente, mediante sentencia del 17 de octubre de 2025, emitida por la Sala de lo Contencioso Administrativo del Consejo de Estado, dentro del expediente </w:t>
      </w:r>
      <w:r w:rsidRPr="31E4E861">
        <w:rPr>
          <w:rFonts w:ascii="Verdana" w:eastAsia="Times New Roman" w:hAnsi="Verdana" w:cs="Times New Roman"/>
          <w:lang w:eastAsia="es-ES"/>
        </w:rPr>
        <w:t>11001-03-26-000-2023-00139-00, se declaró la nulidad parcial del numeral 16.2 de la Circular Externa Única de 2022 expedida por la Agencia Nacional de Contratación Pública - Colombia Compra Eficiente que indicaba: “Esta restricción es aplicable tanto a los convenios como a los contratos interadministrativos</w:t>
      </w:r>
      <w:r>
        <w:rPr>
          <w:rFonts w:ascii="Verdana" w:eastAsia="Times New Roman" w:hAnsi="Verdana" w:cs="Times New Roman"/>
          <w:lang w:eastAsia="es-ES"/>
        </w:rPr>
        <w:t xml:space="preserve"> [</w:t>
      </w:r>
      <w:r w:rsidRPr="31E4E861">
        <w:rPr>
          <w:rFonts w:ascii="Verdana" w:eastAsia="Times New Roman" w:hAnsi="Verdana" w:cs="Times New Roman"/>
          <w:lang w:eastAsia="es-ES"/>
        </w:rPr>
        <w:t>…</w:t>
      </w:r>
      <w:r>
        <w:rPr>
          <w:rFonts w:ascii="Verdana" w:eastAsia="Times New Roman" w:hAnsi="Verdana" w:cs="Times New Roman"/>
          <w:lang w:eastAsia="es-ES"/>
        </w:rPr>
        <w:t>]</w:t>
      </w:r>
      <w:r w:rsidRPr="31E4E861">
        <w:rPr>
          <w:rFonts w:ascii="Verdana" w:eastAsia="Times New Roman" w:hAnsi="Verdana" w:cs="Times New Roman"/>
          <w:lang w:eastAsia="es-ES"/>
        </w:rPr>
        <w:t xml:space="preserve">”. </w:t>
      </w:r>
    </w:p>
    <w:p w14:paraId="51703ACA" w14:textId="77777777" w:rsidR="002B64AF" w:rsidRDefault="002B64AF" w:rsidP="002B64AF">
      <w:pPr>
        <w:spacing w:after="120" w:line="276" w:lineRule="auto"/>
        <w:ind w:firstLine="709"/>
        <w:jc w:val="both"/>
        <w:rPr>
          <w:rFonts w:ascii="Verdana" w:eastAsia="Times New Roman" w:hAnsi="Verdana" w:cs="Times New Roman"/>
          <w:lang w:eastAsia="es-ES"/>
        </w:rPr>
      </w:pPr>
      <w:r w:rsidRPr="2035D652">
        <w:rPr>
          <w:rFonts w:ascii="Verdana" w:eastAsia="Times New Roman" w:hAnsi="Verdana" w:cs="Times New Roman"/>
          <w:lang w:eastAsia="es-ES"/>
        </w:rPr>
        <w:t>La anterior decisión se adoptó al considerar que la Agencia excedió su competencia material al incluir contratos en una restricción que la Ley de Garantías Electorales solo previó para convenios, cuando no es posible aplicar por analogía o extensión una norma que establece prohibiciones</w:t>
      </w:r>
      <w:r w:rsidRPr="2035D652">
        <w:rPr>
          <w:rStyle w:val="Refdenotaalpie"/>
          <w:rFonts w:ascii="Verdana" w:eastAsia="Times New Roman" w:hAnsi="Verdana" w:cs="Times New Roman"/>
          <w:lang w:eastAsia="es-ES"/>
        </w:rPr>
        <w:footnoteReference w:id="14"/>
      </w:r>
      <w:r w:rsidRPr="2035D652">
        <w:rPr>
          <w:rFonts w:ascii="Verdana" w:eastAsia="Times New Roman" w:hAnsi="Verdana" w:cs="Times New Roman"/>
          <w:lang w:eastAsia="es-ES"/>
        </w:rPr>
        <w:t xml:space="preserve">. Sobre el </w:t>
      </w:r>
      <w:r w:rsidRPr="2035D652">
        <w:rPr>
          <w:rFonts w:ascii="Verdana" w:eastAsia="Times New Roman" w:hAnsi="Verdana" w:cs="Times New Roman"/>
          <w:lang w:eastAsia="es-ES"/>
        </w:rPr>
        <w:lastRenderedPageBreak/>
        <w:t xml:space="preserve">particular, la Sala concluyó que contratos y convenios interadministrativos son figuras distintas en naturaleza, objeto y efectos, pues mientras los contratos implican obligaciones patrimoniales y contraprestación, los convenios se basan en cooperación sin ánimo económico. Por ello, la restricción legal no podía aplicarse extensivamente a los contratos. </w:t>
      </w:r>
    </w:p>
    <w:p w14:paraId="598C3767" w14:textId="77777777" w:rsidR="002B64AF" w:rsidRPr="00670659" w:rsidRDefault="002B64AF" w:rsidP="002B64AF">
      <w:pPr>
        <w:spacing w:after="120" w:line="276" w:lineRule="auto"/>
        <w:ind w:firstLine="709"/>
        <w:jc w:val="both"/>
        <w:rPr>
          <w:rFonts w:ascii="Verdana" w:eastAsia="Times New Roman" w:hAnsi="Verdana" w:cs="Times New Roman"/>
          <w:lang w:eastAsia="es-ES"/>
        </w:rPr>
      </w:pPr>
      <w:r w:rsidRPr="2035D652">
        <w:rPr>
          <w:rFonts w:ascii="Verdana" w:eastAsia="Times New Roman" w:hAnsi="Verdana" w:cs="Times New Roman"/>
          <w:lang w:eastAsia="es-ES"/>
        </w:rPr>
        <w:t xml:space="preserve">A juicio de la Sala, aunque el propósito de la Circular Externa era legítimo —evitar el uso indebido de recursos en época electoral—, el numeral 16.2. desconoció el alcance literal del artículo 38 de la Ley 996 de 2005 y los límites de la potestad reglamentaria, lo que configuró un vicio de contenido. </w:t>
      </w:r>
    </w:p>
    <w:p w14:paraId="73364EAB" w14:textId="77777777" w:rsidR="002B64AF" w:rsidRPr="00667CD6" w:rsidRDefault="002B64AF" w:rsidP="002B64AF">
      <w:pPr>
        <w:spacing w:after="120" w:line="276" w:lineRule="auto"/>
        <w:ind w:firstLine="709"/>
        <w:jc w:val="both"/>
        <w:rPr>
          <w:rFonts w:ascii="Verdana" w:eastAsia="Times New Roman" w:hAnsi="Verdana" w:cs="Arial"/>
          <w:lang w:eastAsia="es-CO"/>
        </w:rPr>
      </w:pPr>
      <w:r w:rsidRPr="00667CD6">
        <w:rPr>
          <w:rFonts w:ascii="Verdana" w:eastAsia="Times New Roman" w:hAnsi="Verdana" w:cs="Arial"/>
          <w:lang w:eastAsia="es-CO"/>
        </w:rPr>
        <w:t>Así las cosas, a la luz de lo expuesto por el Consejo de Estado</w:t>
      </w:r>
      <w:r>
        <w:rPr>
          <w:rFonts w:ascii="Verdana" w:eastAsia="Times New Roman" w:hAnsi="Verdana" w:cs="Arial"/>
          <w:lang w:eastAsia="es-CO"/>
        </w:rPr>
        <w:t xml:space="preserve">, </w:t>
      </w:r>
      <w:r w:rsidRPr="2035D652">
        <w:rPr>
          <w:rFonts w:ascii="Verdana" w:eastAsia="Times New Roman" w:hAnsi="Verdana" w:cs="Arial"/>
          <w:lang w:eastAsia="es-CO"/>
        </w:rPr>
        <w:t>en la sentencia expedida por la Sección Tercera de la Sala de lo Contencioso Administrativo del 17 de octubre de 2025</w:t>
      </w:r>
      <w:r>
        <w:rPr>
          <w:rFonts w:ascii="Verdana" w:eastAsia="Times New Roman" w:hAnsi="Verdana" w:cs="Arial"/>
          <w:lang w:eastAsia="es-CO"/>
        </w:rPr>
        <w:t>,</w:t>
      </w:r>
      <w:r w:rsidRPr="00667CD6">
        <w:rPr>
          <w:rFonts w:ascii="Verdana" w:eastAsia="Times New Roman" w:hAnsi="Verdana" w:cs="Arial"/>
          <w:lang w:eastAsia="es-CO"/>
        </w:rPr>
        <w:t xml:space="preserve"> en los autos del 4 de octubre de 2024 y 6 de noviembre de 2025, no resultaría aplicable la prohibición del parágrafo del artículo 38 de la Ley de Garantías Electorales a los </w:t>
      </w:r>
      <w:r w:rsidRPr="00667CD6">
        <w:rPr>
          <w:rFonts w:ascii="Verdana" w:eastAsia="Times New Roman" w:hAnsi="Verdana" w:cs="Arial"/>
          <w:i/>
          <w:iCs/>
          <w:lang w:eastAsia="es-CO"/>
        </w:rPr>
        <w:t>contratos interadministrativos</w:t>
      </w:r>
      <w:r>
        <w:rPr>
          <w:rFonts w:ascii="Verdana" w:eastAsia="Times New Roman" w:hAnsi="Verdana" w:cs="Arial"/>
          <w:lang w:eastAsia="es-CO"/>
        </w:rPr>
        <w:t>, esta prohibición solo aplicaría a los convenios interadministrativos que impliquen la ejecución de recursos públicos</w:t>
      </w:r>
      <w:r>
        <w:rPr>
          <w:rStyle w:val="Refdenotaalpie"/>
          <w:rFonts w:ascii="Verdana" w:eastAsia="Times New Roman" w:hAnsi="Verdana" w:cs="Arial"/>
          <w:lang w:eastAsia="es-CO"/>
        </w:rPr>
        <w:footnoteReference w:id="15"/>
      </w:r>
      <w:r>
        <w:rPr>
          <w:rFonts w:ascii="Verdana" w:eastAsia="Times New Roman" w:hAnsi="Verdana" w:cs="Arial"/>
          <w:lang w:eastAsia="es-CO"/>
        </w:rPr>
        <w:t>.</w:t>
      </w:r>
    </w:p>
    <w:p w14:paraId="0574F7AD" w14:textId="3E78CA82" w:rsidR="002B64AF" w:rsidRDefault="002B64AF" w:rsidP="002B64AF">
      <w:pPr>
        <w:spacing w:after="120" w:line="276" w:lineRule="auto"/>
        <w:ind w:firstLine="709"/>
        <w:jc w:val="both"/>
        <w:rPr>
          <w:rFonts w:ascii="Verdana" w:eastAsia="Times New Roman" w:hAnsi="Verdana" w:cs="Arial"/>
          <w:lang w:eastAsia="es-CO"/>
        </w:rPr>
      </w:pPr>
      <w:r w:rsidRPr="00BC3A80">
        <w:rPr>
          <w:rFonts w:ascii="Verdana" w:eastAsia="Times New Roman" w:hAnsi="Verdana" w:cs="Arial"/>
          <w:lang w:eastAsia="es-CO"/>
        </w:rPr>
        <w:t xml:space="preserve">En este contexto, frente a la consulta planteada, resulta necesario verificar dos aspectos fundamentales: (i) </w:t>
      </w:r>
      <w:r w:rsidRPr="00F62707">
        <w:rPr>
          <w:rFonts w:ascii="Verdana" w:eastAsia="Times New Roman" w:hAnsi="Verdana" w:cs="Arial"/>
          <w:lang w:eastAsia="es-CO"/>
        </w:rPr>
        <w:t>si, en el marco de las alianzas estratégicas a las que se refiere la solicitud,</w:t>
      </w:r>
      <w:r w:rsidRPr="0094092E">
        <w:rPr>
          <w:rFonts w:ascii="Verdana" w:eastAsia="Times New Roman" w:hAnsi="Verdana" w:cs="Arial"/>
          <w:lang w:eastAsia="es-CO"/>
        </w:rPr>
        <w:t xml:space="preserve"> los convenios proyectados entre</w:t>
      </w:r>
      <w:r w:rsidR="00B5359A">
        <w:rPr>
          <w:rFonts w:ascii="Verdana" w:eastAsia="Times New Roman" w:hAnsi="Verdana" w:cs="Arial"/>
          <w:lang w:eastAsia="es-CO"/>
        </w:rPr>
        <w:t xml:space="preserve"> e</w:t>
      </w:r>
      <w:r w:rsidRPr="0094092E">
        <w:rPr>
          <w:rFonts w:ascii="Verdana" w:eastAsia="Times New Roman" w:hAnsi="Verdana" w:cs="Arial"/>
          <w:lang w:eastAsia="es-CO"/>
        </w:rPr>
        <w:t>ntidades públicas</w:t>
      </w:r>
      <w:r>
        <w:rPr>
          <w:rFonts w:ascii="Verdana" w:eastAsia="Times New Roman" w:hAnsi="Verdana" w:cs="Arial"/>
          <w:lang w:eastAsia="es-CO"/>
        </w:rPr>
        <w:t>,</w:t>
      </w:r>
      <w:r w:rsidRPr="0094092E">
        <w:rPr>
          <w:rFonts w:ascii="Verdana" w:eastAsia="Times New Roman" w:hAnsi="Verdana" w:cs="Arial"/>
          <w:lang w:eastAsia="es-CO"/>
        </w:rPr>
        <w:t xml:space="preserve"> involucran a alguno de los sujetos mencionados en el parágrafo del artículo 38 de la Ley 996 de 2005</w:t>
      </w:r>
      <w:r>
        <w:rPr>
          <w:rFonts w:ascii="Verdana" w:eastAsia="Arial" w:hAnsi="Verdana" w:cs="Arial"/>
          <w:lang w:eastAsia="es-ES" w:bidi="es-ES"/>
        </w:rPr>
        <w:t xml:space="preserve">, </w:t>
      </w:r>
      <w:r w:rsidRPr="0094092E">
        <w:rPr>
          <w:rFonts w:ascii="Verdana" w:eastAsia="Times New Roman" w:hAnsi="Verdana" w:cs="Arial"/>
          <w:lang w:eastAsia="es-CO"/>
        </w:rPr>
        <w:t xml:space="preserve">y </w:t>
      </w:r>
      <w:r w:rsidRPr="00BC3A80">
        <w:rPr>
          <w:rFonts w:ascii="Verdana" w:eastAsia="Times New Roman" w:hAnsi="Verdana" w:cs="Arial"/>
          <w:lang w:eastAsia="es-CO"/>
        </w:rPr>
        <w:t>(</w:t>
      </w:r>
      <w:proofErr w:type="spellStart"/>
      <w:r w:rsidRPr="00BC3A80">
        <w:rPr>
          <w:rFonts w:ascii="Verdana" w:eastAsia="Times New Roman" w:hAnsi="Verdana" w:cs="Arial"/>
          <w:lang w:eastAsia="es-CO"/>
        </w:rPr>
        <w:t>ii</w:t>
      </w:r>
      <w:proofErr w:type="spellEnd"/>
      <w:r w:rsidRPr="00BC3A80">
        <w:rPr>
          <w:rFonts w:ascii="Verdana" w:eastAsia="Times New Roman" w:hAnsi="Verdana" w:cs="Arial"/>
          <w:lang w:eastAsia="es-CO"/>
        </w:rPr>
        <w:t xml:space="preserve">) si el objeto proyectado tiene la naturaleza de un convenio interadministrativo destinado a la ejecución de recursos públicos. </w:t>
      </w:r>
      <w:r w:rsidRPr="00BC3A80">
        <w:rPr>
          <w:rFonts w:ascii="Verdana" w:hAnsi="Verdana" w:cs="Arial"/>
        </w:rPr>
        <w:t>Cuando este sea el caso</w:t>
      </w:r>
      <w:r w:rsidRPr="00BC3A80">
        <w:rPr>
          <w:rFonts w:ascii="Verdana" w:eastAsia="Times New Roman" w:hAnsi="Verdana" w:cs="Arial"/>
          <w:lang w:eastAsia="es-CO"/>
        </w:rPr>
        <w:t xml:space="preserve">, opera la prohibición establecida en la norma, restringiendo la celebración de tales convenios durante los cuatro meses previos a cualquier contienda electoral, pues como se indicó, la restricción aplicará a los sujetos allí señalados, </w:t>
      </w:r>
      <w:r w:rsidRPr="00BC3A80">
        <w:rPr>
          <w:rFonts w:ascii="Verdana" w:eastAsia="Times New Roman" w:hAnsi="Verdana" w:cs="Arial"/>
          <w:i/>
          <w:iCs/>
          <w:lang w:eastAsia="es-CO"/>
        </w:rPr>
        <w:t>“aunque se configure alguno de los supuestos de excepción que señaló el inciso final del artículo 33”.</w:t>
      </w:r>
    </w:p>
    <w:p w14:paraId="734E5D92" w14:textId="77777777" w:rsidR="002B64AF" w:rsidRPr="00BC3A80" w:rsidRDefault="002B64AF" w:rsidP="002B64AF">
      <w:pPr>
        <w:spacing w:after="120" w:line="276" w:lineRule="auto"/>
        <w:ind w:firstLine="709"/>
        <w:jc w:val="both"/>
        <w:rPr>
          <w:rFonts w:ascii="Verdana" w:eastAsia="Times New Roman" w:hAnsi="Verdana" w:cs="Arial"/>
          <w:lang w:eastAsia="es-CO"/>
        </w:rPr>
      </w:pPr>
      <w:r w:rsidRPr="00BC3A80">
        <w:rPr>
          <w:rFonts w:ascii="Verdana" w:eastAsia="Times New Roman" w:hAnsi="Verdana" w:cs="Arial"/>
          <w:lang w:eastAsia="es-CO"/>
        </w:rPr>
        <w:t xml:space="preserve">Por su parte, conforme a lo señalado por el Consejo de Estado, cuando dos entidades públicas celebren un </w:t>
      </w:r>
      <w:r w:rsidRPr="00BC3A80">
        <w:rPr>
          <w:rFonts w:ascii="Verdana" w:eastAsia="Times New Roman" w:hAnsi="Verdana" w:cs="Arial"/>
          <w:i/>
          <w:iCs/>
          <w:lang w:eastAsia="es-CO"/>
        </w:rPr>
        <w:t>contrato interadministrativo,</w:t>
      </w:r>
      <w:r w:rsidRPr="00BC3A80">
        <w:rPr>
          <w:rFonts w:ascii="Verdana" w:eastAsia="Times New Roman" w:hAnsi="Verdana" w:cs="Arial"/>
          <w:lang w:eastAsia="es-CO"/>
        </w:rPr>
        <w:t xml:space="preserve"> independientemente del objeto, dicho contrato puede suscribirse durante el </w:t>
      </w:r>
      <w:r w:rsidRPr="00BC3A80">
        <w:rPr>
          <w:rFonts w:ascii="Verdana" w:eastAsia="Times New Roman" w:hAnsi="Verdana" w:cs="Arial"/>
          <w:lang w:eastAsia="es-CO"/>
        </w:rPr>
        <w:lastRenderedPageBreak/>
        <w:t xml:space="preserve">periodo preelectoral. Por consiguiente y de acuerdo con la referida posición del Consejo de Estado, si el contrato involucra a alguno de los sujetos mencionados en el parágrafo del artículo 38 de la Ley de Garantías Electorales y se constituye como un contrato interadministrativo no le resulta aplicable la limitación prevista en el parágrafo del artículo 38. </w:t>
      </w:r>
    </w:p>
    <w:p w14:paraId="20688CF2" w14:textId="77777777" w:rsidR="002B64AF" w:rsidRPr="00BC3A80" w:rsidRDefault="002B64AF" w:rsidP="002B64AF">
      <w:pPr>
        <w:spacing w:after="120" w:line="276" w:lineRule="auto"/>
        <w:ind w:firstLine="709"/>
        <w:jc w:val="both"/>
        <w:rPr>
          <w:rFonts w:ascii="Verdana" w:eastAsia="Arial" w:hAnsi="Verdana" w:cs="Arial"/>
          <w:lang w:val="es-ES" w:eastAsia="es-ES" w:bidi="es-ES"/>
        </w:rPr>
      </w:pPr>
      <w:r w:rsidRPr="00BC3A80">
        <w:rPr>
          <w:rFonts w:ascii="Verdana" w:eastAsia="Times New Roman" w:hAnsi="Verdana" w:cs="Arial"/>
          <w:lang w:val="es-ES" w:eastAsia="es-CO" w:bidi="es-ES"/>
        </w:rPr>
        <w:t>En todo caso</w:t>
      </w:r>
      <w:r w:rsidRPr="00BC3A80">
        <w:rPr>
          <w:rFonts w:ascii="Verdana" w:eastAsia="Arial" w:hAnsi="Verdana" w:cs="Arial"/>
          <w:lang w:val="es-ES" w:eastAsia="es-ES" w:bidi="es-ES"/>
        </w:rPr>
        <w:t>, es importante resaltar que la Sala de Consulta y Servicio Civil del Consejo de Estado se ha pronunciado en el sentido de que no se les aplica la restricción contemplada en el artículo 38 de la Ley de Garantías a los convenios interadministrativos que deben celebrarse en virtud de un fallo judicial. Esto en la medida que la obligatoriedad y la fuerza vinculante de las sentencias ejecutoriadas proferidas por los funcionarios investidos del poder judicial emanan de la autonomía conferida a estos por la Constitución y del derecho que tienen los ciudadanos al acceso y oportuna administración de justicia</w:t>
      </w:r>
      <w:r w:rsidRPr="00BC3A80">
        <w:rPr>
          <w:rFonts w:ascii="Verdana" w:eastAsia="Arial" w:hAnsi="Verdana" w:cs="Arial"/>
          <w:vertAlign w:val="superscript"/>
          <w:lang w:val="es-ES" w:eastAsia="es-ES" w:bidi="es-ES"/>
        </w:rPr>
        <w:footnoteReference w:id="16"/>
      </w:r>
      <w:r w:rsidRPr="00BC3A80">
        <w:rPr>
          <w:rFonts w:ascii="Verdana" w:eastAsia="Arial" w:hAnsi="Verdana" w:cs="Arial"/>
          <w:lang w:val="es-ES" w:eastAsia="es-ES" w:bidi="es-ES"/>
        </w:rPr>
        <w:t>.</w:t>
      </w:r>
    </w:p>
    <w:p w14:paraId="65F3F0C2" w14:textId="77777777" w:rsidR="002B64AF" w:rsidRPr="00BC3A80" w:rsidRDefault="002B64AF" w:rsidP="002B64AF">
      <w:pPr>
        <w:spacing w:after="120" w:line="276" w:lineRule="auto"/>
        <w:ind w:firstLine="709"/>
        <w:jc w:val="both"/>
        <w:rPr>
          <w:rFonts w:ascii="Verdana" w:eastAsia="Arial" w:hAnsi="Verdana" w:cs="Arial"/>
          <w:bCs/>
          <w:color w:val="000000" w:themeColor="text1"/>
          <w:lang w:val="es-ES"/>
        </w:rPr>
      </w:pPr>
      <w:r w:rsidRPr="00BC3A80">
        <w:rPr>
          <w:rFonts w:ascii="Verdana" w:eastAsia="Arial" w:hAnsi="Verdana" w:cs="Arial"/>
          <w:lang w:val="es-ES" w:eastAsia="es-ES" w:bidi="es-ES"/>
        </w:rPr>
        <w:t xml:space="preserve">En síntesis, por virtud de las excepciones establecidas en el </w:t>
      </w:r>
      <w:r w:rsidRPr="00BC3A80">
        <w:rPr>
          <w:rFonts w:ascii="Verdana" w:hAnsi="Verdana" w:cs="Arial"/>
          <w:bCs/>
          <w:color w:val="000000" w:themeColor="text1"/>
          <w:lang w:val="es-ES"/>
        </w:rPr>
        <w:t xml:space="preserve">segundo inciso del </w:t>
      </w:r>
      <w:r w:rsidRPr="00BC3A80">
        <w:rPr>
          <w:rFonts w:ascii="Verdana" w:eastAsia="Arial" w:hAnsi="Verdana" w:cs="Arial"/>
          <w:lang w:val="es-ES" w:eastAsia="es-ES" w:bidi="es-ES"/>
        </w:rPr>
        <w:t>artículo 33</w:t>
      </w:r>
      <w:r w:rsidRPr="00BC3A80">
        <w:rPr>
          <w:rFonts w:ascii="Verdana" w:eastAsia="Arial" w:hAnsi="Verdana" w:cs="Arial"/>
          <w:bCs/>
          <w:color w:val="000000" w:themeColor="text1"/>
          <w:lang w:val="es-ES"/>
        </w:rPr>
        <w:t xml:space="preserve"> de la Ley de Garantías Electorales, los entes del Estado </w:t>
      </w:r>
      <w:r>
        <w:rPr>
          <w:rFonts w:ascii="Verdana" w:eastAsia="Arial" w:hAnsi="Verdana" w:cs="Arial"/>
          <w:bCs/>
          <w:color w:val="000000" w:themeColor="text1"/>
          <w:lang w:val="es-ES"/>
        </w:rPr>
        <w:t xml:space="preserve">no </w:t>
      </w:r>
      <w:r w:rsidRPr="00BC3A80">
        <w:rPr>
          <w:rFonts w:ascii="Verdana" w:eastAsia="Arial" w:hAnsi="Verdana" w:cs="Arial"/>
          <w:bCs/>
          <w:color w:val="000000" w:themeColor="text1"/>
          <w:lang w:val="es-ES"/>
        </w:rPr>
        <w:t xml:space="preserve">podrán contratar directamente </w:t>
      </w:r>
      <w:r>
        <w:rPr>
          <w:rFonts w:ascii="Verdana" w:eastAsia="Arial" w:hAnsi="Verdana" w:cs="Arial"/>
          <w:bCs/>
          <w:color w:val="000000" w:themeColor="text1"/>
          <w:lang w:val="es-ES"/>
        </w:rPr>
        <w:t>la prestación de servicios de servicios profesionales y/o de apoyo a la gestión</w:t>
      </w:r>
      <w:r w:rsidRPr="00BC3A80">
        <w:rPr>
          <w:rFonts w:ascii="Verdana" w:eastAsia="Arial" w:hAnsi="Verdana" w:cs="Arial"/>
          <w:bCs/>
          <w:color w:val="000000" w:themeColor="text1"/>
          <w:lang w:val="es-ES"/>
        </w:rPr>
        <w:t xml:space="preserve">, </w:t>
      </w:r>
      <w:r w:rsidRPr="00BC3A80">
        <w:rPr>
          <w:rFonts w:ascii="Verdana" w:eastAsia="Arial" w:hAnsi="Verdana" w:cs="Arial"/>
          <w:bCs/>
          <w:color w:val="000000" w:themeColor="text1"/>
        </w:rPr>
        <w:t>durante los cuatro (4) meses anteriores a las elecciones presidenciales</w:t>
      </w:r>
      <w:r w:rsidRPr="00BC3A80">
        <w:rPr>
          <w:rFonts w:ascii="Verdana" w:eastAsia="Arial" w:hAnsi="Verdana" w:cs="Arial"/>
          <w:bCs/>
          <w:color w:val="000000" w:themeColor="text1"/>
          <w:lang w:val="es-ES"/>
        </w:rPr>
        <w:t xml:space="preserve">. Asimismo, si estos contratos se proyectan como contratos interadministrativos, de acuerdo </w:t>
      </w:r>
      <w:r>
        <w:rPr>
          <w:rFonts w:ascii="Verdana" w:eastAsia="Arial" w:hAnsi="Verdana" w:cs="Arial"/>
          <w:bCs/>
          <w:color w:val="000000" w:themeColor="text1"/>
          <w:lang w:val="es-ES"/>
        </w:rPr>
        <w:t>con</w:t>
      </w:r>
      <w:r w:rsidRPr="00BC3A80">
        <w:rPr>
          <w:rFonts w:ascii="Verdana" w:eastAsia="Arial" w:hAnsi="Verdana" w:cs="Arial"/>
          <w:bCs/>
          <w:color w:val="000000" w:themeColor="text1"/>
          <w:lang w:val="es-ES"/>
        </w:rPr>
        <w:t xml:space="preserve"> la postura del Consejo de Estado, tampoco les resultaría aplicable la restricción contenida en el parágrafo del artículo 38, por lo que podrían contratar dentro de </w:t>
      </w:r>
      <w:r w:rsidRPr="00BC3A80">
        <w:rPr>
          <w:rFonts w:ascii="Verdana" w:eastAsia="Arial" w:hAnsi="Verdana" w:cs="Arial"/>
          <w:bCs/>
          <w:color w:val="000000" w:themeColor="text1"/>
        </w:rPr>
        <w:t xml:space="preserve">los cuatro meses anteriores a las elecciones para cualquier cargo de elección popular a que se refiere la ley, incluido el de </w:t>
      </w:r>
      <w:proofErr w:type="gramStart"/>
      <w:r w:rsidRPr="00BC3A80">
        <w:rPr>
          <w:rFonts w:ascii="Verdana" w:eastAsia="Arial" w:hAnsi="Verdana" w:cs="Arial"/>
          <w:bCs/>
          <w:color w:val="000000" w:themeColor="text1"/>
        </w:rPr>
        <w:t>Presidente</w:t>
      </w:r>
      <w:proofErr w:type="gramEnd"/>
      <w:r w:rsidRPr="00BC3A80">
        <w:rPr>
          <w:rFonts w:ascii="Verdana" w:eastAsia="Arial" w:hAnsi="Verdana" w:cs="Arial"/>
          <w:bCs/>
          <w:color w:val="000000" w:themeColor="text1"/>
        </w:rPr>
        <w:t xml:space="preserve"> de la República.</w:t>
      </w:r>
    </w:p>
    <w:p w14:paraId="5A68424E" w14:textId="77777777" w:rsidR="002B64AF" w:rsidRPr="00BC3A80" w:rsidRDefault="002B64AF" w:rsidP="002B64AF">
      <w:pPr>
        <w:spacing w:after="120" w:line="276" w:lineRule="auto"/>
        <w:ind w:firstLine="709"/>
        <w:jc w:val="both"/>
        <w:rPr>
          <w:rFonts w:ascii="Verdana" w:eastAsia="Arial" w:hAnsi="Verdana" w:cs="Arial"/>
          <w:color w:val="000000" w:themeColor="text1"/>
        </w:rPr>
      </w:pPr>
      <w:r w:rsidRPr="00BC3A80">
        <w:rPr>
          <w:rFonts w:ascii="Verdana" w:eastAsia="Arial" w:hAnsi="Verdana" w:cs="Arial"/>
          <w:bCs/>
          <w:color w:val="000000" w:themeColor="text1"/>
        </w:rPr>
        <w:t xml:space="preserve"> Vale anotar que es responsabilidad del respectivo ente del Estado examinar en cada caso la naturaleza de las actividades que adelanta y justificar si las mismas se enmarcan en alguna de las excepciones, de manera que pueda realizar la contratación directa durante el periodo de la prohibición. Igualmente, le corresponde a cada entidad </w:t>
      </w:r>
      <w:r w:rsidRPr="00BC3A80">
        <w:rPr>
          <w:rFonts w:ascii="Verdana" w:eastAsia="Arial" w:hAnsi="Verdana" w:cs="Arial"/>
          <w:color w:val="000000" w:themeColor="text1"/>
        </w:rPr>
        <w:t>establecer si el instrumento jurídico que se pretende suscribir tiene la naturaleza de contrato o de convenio interadministrativo para la ejecución de recursos públicos. En este último supuesto, resulta aplicable la prohibición contenida en el parágrafo del artículo 38 de la Ley de Garantías Electorales.</w:t>
      </w:r>
    </w:p>
    <w:p w14:paraId="6CC47F87" w14:textId="77777777" w:rsidR="002B64AF" w:rsidRPr="00BC3A80" w:rsidRDefault="002B64AF" w:rsidP="002B64AF">
      <w:pPr>
        <w:spacing w:after="120" w:line="276" w:lineRule="auto"/>
        <w:jc w:val="both"/>
        <w:rPr>
          <w:rFonts w:ascii="Verdana" w:hAnsi="Verdana" w:cs="Arial"/>
          <w:bCs/>
          <w:color w:val="000000" w:themeColor="text1"/>
        </w:rPr>
      </w:pPr>
      <w:r w:rsidRPr="00BC3A80">
        <w:rPr>
          <w:rFonts w:ascii="Verdana" w:hAnsi="Verdana" w:cs="Arial"/>
          <w:bCs/>
          <w:color w:val="000000" w:themeColor="text1"/>
        </w:rPr>
        <w:lastRenderedPageBreak/>
        <w:t>Al margen de la explicación precedente, debe advertirse que el análisis requerido para resolver problemas específicos en torno a la gestión contractual de las entidades públicas debe ser realizado por quienes tengan interés en ello, de acuerdo con lo explicado en la aclaración preliminar del presente oficio.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adoptar la decisión correspondiente y, en caso de conflicto, a las autoridades judiciales, fiscales y disciplinarias.</w:t>
      </w:r>
    </w:p>
    <w:p w14:paraId="495D4C0A" w14:textId="77777777" w:rsidR="002B64AF" w:rsidRPr="00BC3A80" w:rsidRDefault="002B64AF" w:rsidP="002B64AF">
      <w:pPr>
        <w:spacing w:after="0" w:line="276" w:lineRule="auto"/>
        <w:ind w:firstLine="708"/>
        <w:jc w:val="both"/>
        <w:rPr>
          <w:rFonts w:ascii="Verdana" w:hAnsi="Verdana" w:cs="Arial"/>
          <w:bCs/>
          <w:color w:val="000000" w:themeColor="text1"/>
        </w:rPr>
      </w:pPr>
      <w:r w:rsidRPr="00BC3A80">
        <w:rPr>
          <w:rFonts w:ascii="Verdana" w:hAnsi="Verdana" w:cs="Arial"/>
          <w:bCs/>
          <w:color w:val="000000" w:themeColor="text1"/>
        </w:rPr>
        <w:t xml:space="preserve">Dentro de este marco, la entidad contratante definirá en cada caso concreto lo relacionado con 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 </w:t>
      </w:r>
    </w:p>
    <w:p w14:paraId="1B3AE7FD" w14:textId="77777777" w:rsidR="002B64AF" w:rsidRPr="00BC3A80" w:rsidRDefault="002B64AF" w:rsidP="002B64AF">
      <w:pPr>
        <w:spacing w:after="0" w:line="276" w:lineRule="auto"/>
        <w:ind w:firstLine="708"/>
        <w:jc w:val="both"/>
        <w:rPr>
          <w:rFonts w:ascii="Verdana" w:hAnsi="Verdana" w:cs="Arial"/>
          <w:bCs/>
          <w:color w:val="000000" w:themeColor="text1"/>
        </w:rPr>
      </w:pPr>
    </w:p>
    <w:p w14:paraId="3DE28BE8" w14:textId="77777777" w:rsidR="002B64AF" w:rsidRPr="00BC3A80" w:rsidRDefault="002B64AF" w:rsidP="002B64AF">
      <w:pPr>
        <w:numPr>
          <w:ilvl w:val="0"/>
          <w:numId w:val="16"/>
        </w:numPr>
        <w:tabs>
          <w:tab w:val="left" w:pos="142"/>
          <w:tab w:val="left" w:pos="284"/>
        </w:tabs>
        <w:spacing w:after="0" w:line="276" w:lineRule="auto"/>
        <w:jc w:val="both"/>
        <w:rPr>
          <w:rFonts w:ascii="Verdana" w:eastAsia="Century Gothic" w:hAnsi="Verdana" w:cs="Century Gothic"/>
          <w:b/>
          <w:bCs/>
          <w:lang w:val="es-ES_tradnl"/>
        </w:rPr>
      </w:pPr>
      <w:r w:rsidRPr="00BC3A80">
        <w:rPr>
          <w:rFonts w:ascii="Verdana" w:eastAsia="Century Gothic" w:hAnsi="Verdana" w:cs="Century Gothic"/>
          <w:b/>
          <w:bCs/>
          <w:lang w:val="es-ES_tradnl"/>
        </w:rPr>
        <w:t>Referencias normativas:</w:t>
      </w:r>
    </w:p>
    <w:p w14:paraId="371E298F" w14:textId="77777777" w:rsidR="002B64AF" w:rsidRPr="00BC3A80" w:rsidRDefault="002B64AF" w:rsidP="002B64AF">
      <w:pPr>
        <w:widowControl w:val="0"/>
        <w:autoSpaceDE w:val="0"/>
        <w:autoSpaceDN w:val="0"/>
        <w:spacing w:after="0" w:line="276" w:lineRule="auto"/>
        <w:jc w:val="both"/>
        <w:rPr>
          <w:rFonts w:ascii="Verdana" w:hAnsi="Verdana" w:cs="Arial"/>
          <w:lang w:val="es-ES_tradnl"/>
        </w:rPr>
      </w:pPr>
    </w:p>
    <w:tbl>
      <w:tblPr>
        <w:tblStyle w:val="Tablaconcuadrcula1"/>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2B64AF" w:rsidRPr="00BC3A80" w14:paraId="32895CFC" w14:textId="77777777" w:rsidTr="003021E1">
        <w:trPr>
          <w:trHeight w:val="491"/>
          <w:jc w:val="center"/>
        </w:trPr>
        <w:tc>
          <w:tcPr>
            <w:tcW w:w="8647" w:type="dxa"/>
          </w:tcPr>
          <w:p w14:paraId="1B2D2A78" w14:textId="77777777" w:rsidR="002B64AF" w:rsidRPr="00BC3A80" w:rsidRDefault="002B64AF" w:rsidP="002B64AF">
            <w:pPr>
              <w:widowControl w:val="0"/>
              <w:numPr>
                <w:ilvl w:val="0"/>
                <w:numId w:val="17"/>
              </w:numPr>
              <w:autoSpaceDE w:val="0"/>
              <w:autoSpaceDN w:val="0"/>
              <w:spacing w:before="120" w:after="120"/>
              <w:jc w:val="both"/>
              <w:rPr>
                <w:rFonts w:ascii="Verdana" w:eastAsia="Arial MT" w:hAnsi="Verdana" w:cs="Arial"/>
                <w:lang w:val="es-ES" w:eastAsia="es-ES" w:bidi="es-ES"/>
              </w:rPr>
            </w:pPr>
            <w:r w:rsidRPr="00BC3A80">
              <w:rPr>
                <w:rFonts w:ascii="Verdana" w:eastAsia="Arial MT" w:hAnsi="Verdana" w:cs="Arial"/>
                <w:lang w:val="es-ES" w:eastAsia="es-ES" w:bidi="es-ES"/>
              </w:rPr>
              <w:t>Constitución Política, artículo 127.</w:t>
            </w:r>
          </w:p>
          <w:p w14:paraId="2EC2F711" w14:textId="77777777" w:rsidR="002B64AF" w:rsidRPr="00BC3A80" w:rsidRDefault="002B64AF" w:rsidP="002B64AF">
            <w:pPr>
              <w:widowControl w:val="0"/>
              <w:numPr>
                <w:ilvl w:val="0"/>
                <w:numId w:val="17"/>
              </w:numPr>
              <w:autoSpaceDE w:val="0"/>
              <w:autoSpaceDN w:val="0"/>
              <w:spacing w:after="120"/>
              <w:jc w:val="both"/>
              <w:rPr>
                <w:rFonts w:ascii="Verdana" w:eastAsia="Arial MT" w:hAnsi="Verdana" w:cs="Arial"/>
                <w:lang w:val="es-ES" w:eastAsia="es-ES" w:bidi="es-ES"/>
              </w:rPr>
            </w:pPr>
            <w:r w:rsidRPr="00BC3A80">
              <w:rPr>
                <w:rFonts w:ascii="Verdana" w:eastAsia="Arial MT" w:hAnsi="Verdana" w:cs="Arial"/>
                <w:bCs/>
                <w:lang w:val="es-ES" w:eastAsia="es-ES" w:bidi="es-ES"/>
              </w:rPr>
              <w:t>Ley 996 de 2005, artículos 33 y 38.</w:t>
            </w:r>
          </w:p>
          <w:p w14:paraId="088D06DE" w14:textId="77777777" w:rsidR="002B64AF" w:rsidRPr="00BC3A80" w:rsidRDefault="002B64AF" w:rsidP="002B64AF">
            <w:pPr>
              <w:widowControl w:val="0"/>
              <w:numPr>
                <w:ilvl w:val="0"/>
                <w:numId w:val="17"/>
              </w:numPr>
              <w:autoSpaceDE w:val="0"/>
              <w:autoSpaceDN w:val="0"/>
              <w:spacing w:after="120"/>
              <w:jc w:val="both"/>
              <w:rPr>
                <w:rFonts w:ascii="Verdana" w:eastAsia="Arial MT" w:hAnsi="Verdana" w:cs="Arial"/>
                <w:lang w:val="es-ES" w:eastAsia="es-ES" w:bidi="es-ES"/>
              </w:rPr>
            </w:pPr>
            <w:r w:rsidRPr="00BC3A80">
              <w:rPr>
                <w:rFonts w:ascii="Verdana" w:hAnsi="Verdana" w:cs="Arial"/>
                <w:bCs/>
                <w:color w:val="000000" w:themeColor="text1"/>
                <w:lang w:val="es-ES"/>
              </w:rPr>
              <w:t>Decreto 1068 de 2015, artículo 2.2.1.1.1.</w:t>
            </w:r>
          </w:p>
          <w:p w14:paraId="254D3543" w14:textId="77777777" w:rsidR="002B64AF" w:rsidRPr="00BC3A80" w:rsidRDefault="002B64AF" w:rsidP="002B64AF">
            <w:pPr>
              <w:widowControl w:val="0"/>
              <w:numPr>
                <w:ilvl w:val="0"/>
                <w:numId w:val="17"/>
              </w:numPr>
              <w:autoSpaceDE w:val="0"/>
              <w:autoSpaceDN w:val="0"/>
              <w:spacing w:after="120"/>
              <w:jc w:val="both"/>
              <w:rPr>
                <w:rFonts w:ascii="Verdana" w:hAnsi="Verdana" w:cs="Arial"/>
                <w:lang w:val="es-ES"/>
              </w:rPr>
            </w:pPr>
            <w:r w:rsidRPr="00BC3A80">
              <w:rPr>
                <w:rFonts w:ascii="Verdana" w:hAnsi="Verdana" w:cs="Arial"/>
                <w:lang w:val="es-ES"/>
              </w:rPr>
              <w:t xml:space="preserve">Consejo de Estado, Sección Primera. Sentencia de 3 de marzo de 2005, </w:t>
            </w:r>
            <w:proofErr w:type="spellStart"/>
            <w:r w:rsidRPr="00BC3A80">
              <w:rPr>
                <w:rFonts w:ascii="Verdana" w:hAnsi="Verdana" w:cs="Arial"/>
                <w:lang w:val="es-ES"/>
              </w:rPr>
              <w:t>Exp</w:t>
            </w:r>
            <w:proofErr w:type="spellEnd"/>
            <w:r w:rsidRPr="00BC3A80">
              <w:rPr>
                <w:rFonts w:ascii="Verdana" w:hAnsi="Verdana" w:cs="Arial"/>
                <w:lang w:val="es-ES"/>
              </w:rPr>
              <w:t xml:space="preserve">. 2004-00823-01(PI). </w:t>
            </w:r>
          </w:p>
          <w:p w14:paraId="1E01112D" w14:textId="77777777" w:rsidR="002B64AF" w:rsidRPr="00BC3A80" w:rsidRDefault="002B64AF" w:rsidP="002B64AF">
            <w:pPr>
              <w:widowControl w:val="0"/>
              <w:numPr>
                <w:ilvl w:val="0"/>
                <w:numId w:val="17"/>
              </w:numPr>
              <w:autoSpaceDE w:val="0"/>
              <w:autoSpaceDN w:val="0"/>
              <w:spacing w:after="120"/>
              <w:jc w:val="both"/>
              <w:rPr>
                <w:rFonts w:ascii="Verdana" w:hAnsi="Verdana" w:cs="Arial"/>
                <w:lang w:val="es-ES"/>
              </w:rPr>
            </w:pPr>
            <w:r w:rsidRPr="00BC3A80">
              <w:rPr>
                <w:rFonts w:ascii="Verdana" w:hAnsi="Verdana" w:cs="Arial"/>
                <w:lang w:val="es-ES"/>
              </w:rPr>
              <w:t xml:space="preserve">Consejo de Estado, Sala de Consulta y Servicio Civil, Concepto de fecha 24 de julio de 2013, Rad. 2166, C. P. Álvaro </w:t>
            </w:r>
            <w:proofErr w:type="spellStart"/>
            <w:r w:rsidRPr="00BC3A80">
              <w:rPr>
                <w:rFonts w:ascii="Verdana" w:hAnsi="Verdana" w:cs="Arial"/>
                <w:lang w:val="es-ES"/>
              </w:rPr>
              <w:t>Namén</w:t>
            </w:r>
            <w:proofErr w:type="spellEnd"/>
            <w:r w:rsidRPr="00BC3A80">
              <w:rPr>
                <w:rFonts w:ascii="Verdana" w:hAnsi="Verdana" w:cs="Arial"/>
                <w:lang w:val="es-ES"/>
              </w:rPr>
              <w:t xml:space="preserve"> Vargas. </w:t>
            </w:r>
          </w:p>
          <w:p w14:paraId="29FCA9EA" w14:textId="77777777" w:rsidR="002B64AF" w:rsidRPr="00BC3A80" w:rsidRDefault="002B64AF" w:rsidP="002B64AF">
            <w:pPr>
              <w:numPr>
                <w:ilvl w:val="0"/>
                <w:numId w:val="17"/>
              </w:numPr>
              <w:spacing w:before="120" w:after="120" w:line="276" w:lineRule="auto"/>
              <w:jc w:val="both"/>
              <w:rPr>
                <w:rFonts w:ascii="Verdana" w:hAnsi="Verdana" w:cs="Arial"/>
                <w:lang w:val="es-ES"/>
              </w:rPr>
            </w:pPr>
            <w:r w:rsidRPr="00BC3A80">
              <w:rPr>
                <w:rFonts w:ascii="Verdana" w:hAnsi="Verdana" w:cs="Arial"/>
              </w:rPr>
              <w:t>Consejo de Estado. Sala de Consulta y Servicio Civil. Concepto del 15 de noviembre de 2007. Expediente número 1863. Consejero Ponente: Luis Fernando Álvarez Jaramillo</w:t>
            </w:r>
          </w:p>
          <w:p w14:paraId="5D0F432F" w14:textId="77777777" w:rsidR="002B64AF" w:rsidRPr="00BC3A80" w:rsidRDefault="002B64AF" w:rsidP="002B64AF">
            <w:pPr>
              <w:numPr>
                <w:ilvl w:val="0"/>
                <w:numId w:val="17"/>
              </w:numPr>
              <w:spacing w:before="120" w:after="120" w:line="276" w:lineRule="auto"/>
              <w:jc w:val="both"/>
              <w:rPr>
                <w:rFonts w:ascii="Verdana" w:hAnsi="Verdana" w:cs="Arial"/>
                <w:lang w:val="es-ES"/>
              </w:rPr>
            </w:pPr>
            <w:r w:rsidRPr="00BC3A80">
              <w:rPr>
                <w:rFonts w:ascii="Verdana" w:hAnsi="Verdana" w:cs="Arial"/>
                <w:lang w:val="es-ES"/>
              </w:rPr>
              <w:lastRenderedPageBreak/>
              <w:t>Consejo de Estado. Sala de Consulta y Servicio Civil. Concepto del 17 de febrero de 2015. C.P. William Zambrano Cetina. Radicación No. 11001-03-06-000-2015-00164-00(2269).</w:t>
            </w:r>
          </w:p>
          <w:p w14:paraId="2D913F5D" w14:textId="77777777" w:rsidR="002B64AF" w:rsidRPr="00BC3A80" w:rsidRDefault="002B64AF" w:rsidP="002B64AF">
            <w:pPr>
              <w:numPr>
                <w:ilvl w:val="0"/>
                <w:numId w:val="17"/>
              </w:numPr>
              <w:spacing w:before="120" w:after="120" w:line="276" w:lineRule="auto"/>
              <w:jc w:val="both"/>
              <w:rPr>
                <w:rFonts w:ascii="Verdana" w:hAnsi="Verdana" w:cs="Arial"/>
                <w:lang w:val="es-ES"/>
              </w:rPr>
            </w:pPr>
            <w:r w:rsidRPr="00BC3A80">
              <w:rPr>
                <w:rFonts w:ascii="Verdana" w:hAnsi="Verdana" w:cs="Arial"/>
                <w:lang w:val="es-ES"/>
              </w:rPr>
              <w:t xml:space="preserve">Consejo de Estado, Sala de Consulta y Servicio Civil, Concepto de fecha 8 de mayo de 2018, No. 2382. C. P. Álvaro </w:t>
            </w:r>
            <w:proofErr w:type="spellStart"/>
            <w:r w:rsidRPr="00BC3A80">
              <w:rPr>
                <w:rFonts w:ascii="Verdana" w:hAnsi="Verdana" w:cs="Arial"/>
                <w:lang w:val="es-ES"/>
              </w:rPr>
              <w:t>Namén</w:t>
            </w:r>
            <w:proofErr w:type="spellEnd"/>
            <w:r w:rsidRPr="00BC3A80">
              <w:rPr>
                <w:rFonts w:ascii="Verdana" w:hAnsi="Verdana" w:cs="Arial"/>
                <w:lang w:val="es-ES"/>
              </w:rPr>
              <w:t xml:space="preserve"> Vargas.</w:t>
            </w:r>
          </w:p>
          <w:p w14:paraId="38388BBB" w14:textId="77777777" w:rsidR="002B64AF" w:rsidRPr="00BC3A80" w:rsidRDefault="002B64AF" w:rsidP="002B64AF">
            <w:pPr>
              <w:numPr>
                <w:ilvl w:val="0"/>
                <w:numId w:val="17"/>
              </w:numPr>
              <w:spacing w:before="120" w:after="120" w:line="276" w:lineRule="auto"/>
              <w:jc w:val="both"/>
              <w:rPr>
                <w:rFonts w:ascii="Verdana" w:hAnsi="Verdana" w:cs="Arial"/>
                <w:lang w:val="es-ES"/>
              </w:rPr>
            </w:pPr>
            <w:r w:rsidRPr="00BC3A80">
              <w:rPr>
                <w:rFonts w:ascii="Verdana" w:hAnsi="Verdana" w:cs="Arial"/>
              </w:rPr>
              <w:t xml:space="preserve">Consejo de Estado. Sala de Consulta y Servicio Civil. Concepto del 2 de septiembre de 2013 Radicado No: 2168. CP: </w:t>
            </w:r>
            <w:proofErr w:type="spellStart"/>
            <w:r w:rsidRPr="00BC3A80">
              <w:rPr>
                <w:rFonts w:ascii="Verdana" w:hAnsi="Verdana" w:cs="Arial"/>
              </w:rPr>
              <w:t>Alvaro</w:t>
            </w:r>
            <w:proofErr w:type="spellEnd"/>
            <w:r w:rsidRPr="00BC3A80">
              <w:rPr>
                <w:rFonts w:ascii="Verdana" w:hAnsi="Verdana" w:cs="Arial"/>
              </w:rPr>
              <w:t xml:space="preserve"> </w:t>
            </w:r>
            <w:proofErr w:type="spellStart"/>
            <w:r w:rsidRPr="00BC3A80">
              <w:rPr>
                <w:rFonts w:ascii="Verdana" w:hAnsi="Verdana" w:cs="Arial"/>
              </w:rPr>
              <w:t>Namén</w:t>
            </w:r>
            <w:proofErr w:type="spellEnd"/>
            <w:r w:rsidRPr="00BC3A80">
              <w:rPr>
                <w:rFonts w:ascii="Verdana" w:hAnsi="Verdana" w:cs="Arial"/>
              </w:rPr>
              <w:t xml:space="preserve"> Vargas.</w:t>
            </w:r>
          </w:p>
          <w:p w14:paraId="6C556092" w14:textId="77777777" w:rsidR="002B64AF" w:rsidRPr="003346AD" w:rsidRDefault="002B64AF" w:rsidP="002B64AF">
            <w:pPr>
              <w:widowControl w:val="0"/>
              <w:numPr>
                <w:ilvl w:val="0"/>
                <w:numId w:val="17"/>
              </w:numPr>
              <w:autoSpaceDE w:val="0"/>
              <w:autoSpaceDN w:val="0"/>
              <w:spacing w:after="120" w:line="276" w:lineRule="auto"/>
              <w:jc w:val="both"/>
              <w:rPr>
                <w:rFonts w:ascii="Verdana" w:hAnsi="Verdana" w:cs="Arial"/>
                <w:lang w:val="es-ES"/>
              </w:rPr>
            </w:pPr>
            <w:r w:rsidRPr="00E42998">
              <w:rPr>
                <w:rFonts w:ascii="Verdana" w:hAnsi="Verdana" w:cs="Arial"/>
              </w:rPr>
              <w:t xml:space="preserve">Consejo de Estado, Sección Tercera. Auto del 4 de octubre de 2024. </w:t>
            </w:r>
            <w:r w:rsidRPr="00BC3A80">
              <w:rPr>
                <w:rFonts w:ascii="Verdana" w:hAnsi="Verdana" w:cs="Arial"/>
                <w:lang w:val="pt-BR"/>
              </w:rPr>
              <w:t>Exp. 70.313. C.P: Fredy Ibarra Martínez.</w:t>
            </w:r>
          </w:p>
          <w:p w14:paraId="2266A080" w14:textId="77777777" w:rsidR="002B64AF" w:rsidRPr="00C71E4F" w:rsidRDefault="002B64AF" w:rsidP="002B64AF">
            <w:pPr>
              <w:widowControl w:val="0"/>
              <w:numPr>
                <w:ilvl w:val="0"/>
                <w:numId w:val="17"/>
              </w:numPr>
              <w:autoSpaceDE w:val="0"/>
              <w:autoSpaceDN w:val="0"/>
              <w:spacing w:after="120" w:line="276" w:lineRule="auto"/>
              <w:jc w:val="both"/>
              <w:rPr>
                <w:rFonts w:ascii="Verdana" w:hAnsi="Verdana" w:cs="Arial"/>
                <w:lang w:val="es-ES"/>
              </w:rPr>
            </w:pPr>
            <w:r w:rsidRPr="00670659">
              <w:rPr>
                <w:rFonts w:ascii="Verdana" w:eastAsia="Times New Roman" w:hAnsi="Verdana" w:cs="Times New Roman"/>
                <w:lang w:eastAsia="es-ES_tradnl"/>
              </w:rPr>
              <w:t xml:space="preserve">Consejo de Estado. Sala de lo Contencioso Administrativo. Sección Tercera. Subsección B. 17 de octubre de 2025. Magistrado Ponente: Fredy Ibarra Martínez.  </w:t>
            </w:r>
          </w:p>
          <w:p w14:paraId="562811DC" w14:textId="77777777" w:rsidR="002B64AF" w:rsidRPr="00BC3A80" w:rsidRDefault="002B64AF" w:rsidP="002B64AF">
            <w:pPr>
              <w:widowControl w:val="0"/>
              <w:numPr>
                <w:ilvl w:val="0"/>
                <w:numId w:val="17"/>
              </w:numPr>
              <w:autoSpaceDE w:val="0"/>
              <w:autoSpaceDN w:val="0"/>
              <w:spacing w:after="120" w:line="276" w:lineRule="auto"/>
              <w:jc w:val="both"/>
              <w:rPr>
                <w:rFonts w:ascii="Verdana" w:hAnsi="Verdana" w:cs="Arial"/>
                <w:lang w:val="es-ES"/>
              </w:rPr>
            </w:pPr>
            <w:r w:rsidRPr="00BC3A80">
              <w:rPr>
                <w:rFonts w:ascii="Verdana" w:hAnsi="Verdana" w:cs="Arial"/>
                <w:lang w:val="pt-BR"/>
              </w:rPr>
              <w:t>Corte Constitucional. Sentencia C-671 de 2015. M.P. Alberto Rojas Ríos</w:t>
            </w:r>
          </w:p>
          <w:p w14:paraId="5A420A13" w14:textId="77777777" w:rsidR="002B64AF" w:rsidRPr="00BC3A80" w:rsidRDefault="002B64AF" w:rsidP="002B64AF">
            <w:pPr>
              <w:widowControl w:val="0"/>
              <w:numPr>
                <w:ilvl w:val="0"/>
                <w:numId w:val="17"/>
              </w:numPr>
              <w:autoSpaceDE w:val="0"/>
              <w:autoSpaceDN w:val="0"/>
              <w:spacing w:after="120" w:line="276" w:lineRule="auto"/>
              <w:jc w:val="both"/>
              <w:rPr>
                <w:rFonts w:ascii="Verdana" w:hAnsi="Verdana" w:cs="Arial"/>
                <w:lang w:val="es-ES"/>
              </w:rPr>
            </w:pPr>
            <w:r w:rsidRPr="00BC3A80">
              <w:rPr>
                <w:rFonts w:ascii="Verdana" w:hAnsi="Verdana" w:cs="Arial"/>
              </w:rPr>
              <w:t xml:space="preserve">Circular Externa No. 006 de 2025 </w:t>
            </w:r>
            <w:hyperlink r:id="rId12" w:history="1">
              <w:r w:rsidRPr="00BC3A80">
                <w:rPr>
                  <w:rFonts w:ascii="Verdana" w:hAnsi="Verdana" w:cs="Arial"/>
                  <w:color w:val="0000FF"/>
                  <w:u w:val="single"/>
                </w:rPr>
                <w:t>https://www.colombiacompra.gov.co/archivos/circular/circular-externa-006-de-2025</w:t>
              </w:r>
            </w:hyperlink>
            <w:r w:rsidRPr="00BC3A80">
              <w:rPr>
                <w:rFonts w:ascii="Verdana" w:hAnsi="Verdana" w:cs="Arial"/>
              </w:rPr>
              <w:t xml:space="preserve"> </w:t>
            </w:r>
          </w:p>
        </w:tc>
      </w:tr>
    </w:tbl>
    <w:p w14:paraId="5AC10078" w14:textId="77777777" w:rsidR="002B64AF" w:rsidRPr="00BC3A80" w:rsidRDefault="002B64AF" w:rsidP="002B64AF">
      <w:pPr>
        <w:widowControl w:val="0"/>
        <w:autoSpaceDE w:val="0"/>
        <w:autoSpaceDN w:val="0"/>
        <w:spacing w:after="0" w:line="276" w:lineRule="auto"/>
        <w:jc w:val="both"/>
        <w:rPr>
          <w:rFonts w:ascii="Verdana" w:hAnsi="Verdana" w:cs="Arial"/>
          <w:lang w:val="es-ES_tradnl"/>
        </w:rPr>
      </w:pPr>
    </w:p>
    <w:p w14:paraId="393BDC07" w14:textId="77777777" w:rsidR="002B64AF" w:rsidRPr="00BC3A80" w:rsidRDefault="002B64AF" w:rsidP="002B64AF">
      <w:pPr>
        <w:numPr>
          <w:ilvl w:val="0"/>
          <w:numId w:val="16"/>
        </w:numPr>
        <w:tabs>
          <w:tab w:val="left" w:pos="142"/>
          <w:tab w:val="left" w:pos="284"/>
        </w:tabs>
        <w:spacing w:after="0" w:line="276" w:lineRule="auto"/>
        <w:jc w:val="both"/>
        <w:rPr>
          <w:rFonts w:ascii="Verdana" w:eastAsia="Century Gothic" w:hAnsi="Verdana" w:cs="Century Gothic"/>
          <w:b/>
          <w:bCs/>
          <w:lang w:val="es-ES_tradnl"/>
        </w:rPr>
      </w:pPr>
      <w:r w:rsidRPr="00BC3A80">
        <w:rPr>
          <w:rFonts w:ascii="Verdana" w:eastAsia="Century Gothic" w:hAnsi="Verdana" w:cs="Century Gothic"/>
          <w:b/>
          <w:bCs/>
          <w:lang w:val="es-ES_tradnl"/>
        </w:rPr>
        <w:t>Doctrina de la Agencia Nacional de Contratación Pública:</w:t>
      </w:r>
    </w:p>
    <w:p w14:paraId="4874C99D" w14:textId="77777777" w:rsidR="002B64AF" w:rsidRPr="00BC3A80" w:rsidRDefault="002B64AF" w:rsidP="002B64AF">
      <w:pPr>
        <w:widowControl w:val="0"/>
        <w:autoSpaceDE w:val="0"/>
        <w:autoSpaceDN w:val="0"/>
        <w:spacing w:after="0" w:line="276" w:lineRule="auto"/>
        <w:jc w:val="both"/>
        <w:rPr>
          <w:rFonts w:ascii="Verdana" w:hAnsi="Verdana" w:cs="Arial"/>
          <w:lang w:val="es-ES_tradnl"/>
        </w:rPr>
      </w:pPr>
    </w:p>
    <w:p w14:paraId="43677A68" w14:textId="77777777" w:rsidR="002B64AF" w:rsidRPr="00BC3A80" w:rsidRDefault="002B64AF" w:rsidP="002B64AF">
      <w:pPr>
        <w:widowControl w:val="0"/>
        <w:autoSpaceDE w:val="0"/>
        <w:autoSpaceDN w:val="0"/>
        <w:spacing w:after="0" w:line="276" w:lineRule="auto"/>
        <w:jc w:val="both"/>
        <w:rPr>
          <w:rFonts w:ascii="Verdana" w:hAnsi="Verdana" w:cs="Arial"/>
          <w:color w:val="FF0000"/>
          <w:shd w:val="clear" w:color="auto" w:fill="FFFFFF"/>
          <w:lang w:val="es-ES_tradnl"/>
        </w:rPr>
      </w:pPr>
      <w:r w:rsidRPr="00BC3A80">
        <w:rPr>
          <w:rFonts w:ascii="Verdana" w:hAnsi="Verdana" w:cs="Arial"/>
          <w:shd w:val="clear" w:color="auto" w:fill="FFFFFF"/>
        </w:rPr>
        <w:t>Esta Subdirección se ha pronunciado sobre la finalidad y propósito de la Ley de Garantías Electorales en los Conceptos C-227 del 24 de mayo de 2021, C-396 del 13 de agosto de 2021, C-439 del 27 de agosto de 2021, C-481 del 9 de septiembre de 2021, C-528 del 27 de septiembre de 2021, C-550 del 5 de octubre de 2021, C-523 del 10 de octubre de 2021, C-606 del 28 de octubre de 2021, C-614 del 2 de noviembre de 2021, C-634 del 11 de noviembre de 2021, C-636 del 16 de noviembre de 2021, C-681 del 7 de diciembre de 2021, C-686 del 21 de diciembre de 2021, C-054 del 22 de marzo de 2022, C-179 del 8 de abril de 2022, C-161 del 17 de mayo de 2022, C- 180 del 21 de marzo de 2025, C-696 del 11 de julio de 2025, C-708 del 15 de julio de 2025, C-1186 del 17 de septiembre de 2025, C-1350 del 1˚ de octubre de 2025</w:t>
      </w:r>
      <w:r>
        <w:rPr>
          <w:rFonts w:ascii="Verdana" w:hAnsi="Verdana" w:cs="Arial"/>
          <w:shd w:val="clear" w:color="auto" w:fill="FFFFFF"/>
        </w:rPr>
        <w:t>,</w:t>
      </w:r>
      <w:r w:rsidRPr="00BC3A80">
        <w:rPr>
          <w:rFonts w:ascii="Verdana" w:hAnsi="Verdana" w:cs="Arial"/>
          <w:shd w:val="clear" w:color="auto" w:fill="FFFFFF"/>
        </w:rPr>
        <w:t xml:space="preserve"> C-1430 del 12 de noviembre de 2025</w:t>
      </w:r>
      <w:r>
        <w:rPr>
          <w:rFonts w:ascii="Verdana" w:hAnsi="Verdana" w:cs="Arial"/>
          <w:shd w:val="clear" w:color="auto" w:fill="FFFFFF"/>
        </w:rPr>
        <w:t xml:space="preserve"> y C-1568 del 14 de noviembre de 2025, entre otros</w:t>
      </w:r>
      <w:r w:rsidRPr="00BC3A80">
        <w:rPr>
          <w:rFonts w:ascii="Verdana" w:hAnsi="Verdana" w:cs="Arial"/>
          <w:shd w:val="clear" w:color="auto" w:fill="FFFFFF"/>
        </w:rPr>
        <w:t xml:space="preserve">. </w:t>
      </w:r>
      <w:r w:rsidRPr="00BC3A80">
        <w:rPr>
          <w:rFonts w:ascii="Verdana" w:hAnsi="Verdana" w:cs="Arial"/>
          <w:shd w:val="clear" w:color="auto" w:fill="FFFFFF"/>
          <w:lang w:val="es-ES_tradnl"/>
        </w:rPr>
        <w:t xml:space="preserve">Estos conceptos se encuentran disponibles para consulta en el Sistema de relatoría de </w:t>
      </w:r>
      <w:r w:rsidRPr="00BC3A80">
        <w:rPr>
          <w:rFonts w:ascii="Verdana" w:hAnsi="Verdana" w:cs="Arial"/>
          <w:shd w:val="clear" w:color="auto" w:fill="FFFFFF"/>
          <w:lang w:val="es-ES_tradnl"/>
        </w:rPr>
        <w:lastRenderedPageBreak/>
        <w:t xml:space="preserve">la Agencia, al cual puede accederse a través del siguiente enlace: </w:t>
      </w:r>
      <w:hyperlink r:id="rId13" w:history="1">
        <w:r w:rsidRPr="00BC3A80">
          <w:rPr>
            <w:rFonts w:ascii="Verdana" w:hAnsi="Verdana" w:cs="Arial"/>
            <w:color w:val="0000FF"/>
            <w:u w:val="single"/>
            <w:shd w:val="clear" w:color="auto" w:fill="FFFFFF"/>
            <w:lang w:val="es-ES_tradnl"/>
          </w:rPr>
          <w:t>https://relatoria.colombiacompra.gov.co/busqueda/conceptos</w:t>
        </w:r>
      </w:hyperlink>
      <w:r w:rsidRPr="00BC3A80">
        <w:rPr>
          <w:rFonts w:ascii="Verdana" w:hAnsi="Verdana" w:cs="Arial"/>
          <w:shd w:val="clear" w:color="auto" w:fill="FFFFFF"/>
          <w:lang w:val="es-ES_tradnl"/>
        </w:rPr>
        <w:t xml:space="preserve">. </w:t>
      </w:r>
      <w:r w:rsidRPr="00BC3A80">
        <w:rPr>
          <w:rFonts w:ascii="Verdana" w:hAnsi="Verdana" w:cs="Arial"/>
          <w:color w:val="FF0000"/>
          <w:shd w:val="clear" w:color="auto" w:fill="FFFFFF"/>
          <w:lang w:val="es-ES_tradnl"/>
        </w:rPr>
        <w:t xml:space="preserve"> </w:t>
      </w:r>
    </w:p>
    <w:p w14:paraId="73CFB09C" w14:textId="77777777" w:rsidR="002B64AF" w:rsidRPr="00BC3A80" w:rsidRDefault="002B64AF" w:rsidP="002B64AF">
      <w:pPr>
        <w:widowControl w:val="0"/>
        <w:autoSpaceDE w:val="0"/>
        <w:autoSpaceDN w:val="0"/>
        <w:spacing w:after="0" w:line="276" w:lineRule="auto"/>
        <w:jc w:val="both"/>
        <w:rPr>
          <w:rFonts w:ascii="Verdana" w:hAnsi="Verdana" w:cs="Arial"/>
          <w:color w:val="FF0000"/>
          <w:shd w:val="clear" w:color="auto" w:fill="FFFFFF"/>
          <w:lang w:val="es-ES_tradnl"/>
        </w:rPr>
      </w:pPr>
    </w:p>
    <w:p w14:paraId="01B73FCB" w14:textId="77777777" w:rsidR="002B64AF" w:rsidRPr="00BC3A80" w:rsidRDefault="002B64AF" w:rsidP="002B64AF">
      <w:pPr>
        <w:shd w:val="clear" w:color="auto" w:fill="FFFFFF"/>
        <w:spacing w:after="0" w:line="276" w:lineRule="auto"/>
        <w:jc w:val="both"/>
        <w:rPr>
          <w:rFonts w:ascii="Verdana" w:hAnsi="Verdana"/>
          <w:color w:val="467886"/>
          <w:u w:val="single"/>
        </w:rPr>
      </w:pPr>
      <w:r w:rsidRPr="00BC3A80">
        <w:rPr>
          <w:rFonts w:ascii="Verdana" w:hAnsi="Verdana"/>
          <w:color w:val="000000"/>
        </w:rPr>
        <w:t>Te informamos que ya se encuentra disponible la </w:t>
      </w:r>
      <w:r w:rsidRPr="00BC3A80">
        <w:rPr>
          <w:rFonts w:ascii="Verdana" w:hAnsi="Verdana"/>
          <w:b/>
          <w:bCs/>
          <w:color w:val="000000"/>
        </w:rPr>
        <w:t>Guía de lineamientos de transparencia y selección objetiva para el departamento de La Guajira – Objetivo sexto constitucional de la Sentencia T-302 del 2017. </w:t>
      </w:r>
      <w:r w:rsidRPr="00BC3A80">
        <w:rPr>
          <w:rFonts w:ascii="Verdana" w:hAnsi="Verdana"/>
          <w:color w:val="000000"/>
        </w:rPr>
        <w:t xml:space="preserve">Esta Guía se expedide en el marco del cumplimiento de la orden proferida por la Honorable Corte Constitucional en la Sentencia T-302 del 2017. Con su implementación se busca contribuir a la superación del Estado de Cosas Inconstitucional declarado por la situación de vulneración masiva y recurrente de los derechos fundamentales de los niños y de las niñas del Pueblo </w:t>
      </w:r>
      <w:proofErr w:type="spellStart"/>
      <w:r w:rsidRPr="00BC3A80">
        <w:rPr>
          <w:rFonts w:ascii="Verdana" w:hAnsi="Verdana"/>
          <w:color w:val="000000"/>
        </w:rPr>
        <w:t>Wayúu</w:t>
      </w:r>
      <w:proofErr w:type="spellEnd"/>
      <w:r w:rsidRPr="00BC3A80">
        <w:rPr>
          <w:rFonts w:ascii="Verdana" w:hAnsi="Verdana"/>
          <w:color w:val="000000"/>
        </w:rPr>
        <w:t>. Puede consultar la guía en el siguiente enlace: </w:t>
      </w:r>
      <w:hyperlink r:id="rId14" w:tgtFrame="_blank" w:tooltip="Dirección URL original: https://www.colombiacompra.gov.co/wp-content/uploads/2025/05/GUIA-DE-LINEAMIENTOS-DE-TRANSPARENCIA-Y-SELECCION-OBJETIVA-1.0.pdf. Haga clic o pulse si confía en este vínculo." w:history="1">
        <w:r w:rsidRPr="00BC3A80">
          <w:rPr>
            <w:rFonts w:ascii="Verdana" w:hAnsi="Verdana"/>
            <w:color w:val="0000FF"/>
            <w:u w:val="single"/>
          </w:rPr>
          <w:t>Guía de lineamientos de transparencia y selección objetiva para el departamento de La Guajira – Objetivo sexto constitucional de la Sentencia T-302 del 2017</w:t>
        </w:r>
      </w:hyperlink>
      <w:r w:rsidRPr="00BC3A80">
        <w:rPr>
          <w:rFonts w:ascii="Verdana" w:hAnsi="Verdana"/>
          <w:color w:val="000000"/>
          <w:u w:val="single"/>
        </w:rPr>
        <w:t>.</w:t>
      </w:r>
    </w:p>
    <w:p w14:paraId="6E17109B" w14:textId="77777777" w:rsidR="002B64AF" w:rsidRPr="00BC3A80" w:rsidRDefault="002B64AF" w:rsidP="002B64AF">
      <w:pPr>
        <w:widowControl w:val="0"/>
        <w:autoSpaceDE w:val="0"/>
        <w:autoSpaceDN w:val="0"/>
        <w:spacing w:after="0" w:line="276" w:lineRule="auto"/>
        <w:jc w:val="both"/>
        <w:rPr>
          <w:rFonts w:ascii="Verdana" w:hAnsi="Verdana" w:cs="Arial"/>
          <w:color w:val="000000" w:themeColor="text1"/>
          <w:shd w:val="clear" w:color="auto" w:fill="FFFFFF"/>
          <w:lang w:val="es-ES_tradnl"/>
        </w:rPr>
      </w:pPr>
      <w:r w:rsidRPr="00BC3A80">
        <w:rPr>
          <w:rFonts w:ascii="Verdana" w:hAnsi="Verdana" w:cs="Arial"/>
          <w:color w:val="000000" w:themeColor="text1"/>
          <w:shd w:val="clear" w:color="auto" w:fill="FFFFFF"/>
          <w:lang w:val="es-ES_tradnl"/>
        </w:rPr>
        <w:t xml:space="preserve"> </w:t>
      </w:r>
    </w:p>
    <w:p w14:paraId="05E4FD8E" w14:textId="77777777" w:rsidR="002B64AF" w:rsidRPr="00BC3A80" w:rsidRDefault="002B64AF" w:rsidP="002B64AF">
      <w:pPr>
        <w:spacing w:after="0" w:line="276" w:lineRule="auto"/>
        <w:jc w:val="both"/>
        <w:rPr>
          <w:rFonts w:ascii="Verdana" w:hAnsi="Verdana"/>
        </w:rPr>
      </w:pPr>
      <w:r w:rsidRPr="00BC3A80">
        <w:rPr>
          <w:rFonts w:ascii="Verdana" w:hAnsi="Verdana"/>
        </w:rPr>
        <w:t xml:space="preserve">Aprovechamos la oportunidad de manifestar la entera disposición de la Agencia Nacional de Contratación Pública –Colombia Compra Eficiente– para atender las peticiones o solicitudes, así como para brindar el apoyo que se requiera en el marco de nuestras funciones a través de nuestros diferentes canales de atención: </w:t>
      </w:r>
    </w:p>
    <w:p w14:paraId="3CDFE2B7" w14:textId="77777777" w:rsidR="002B64AF" w:rsidRPr="00BC3A80" w:rsidRDefault="002B64AF" w:rsidP="002B64AF">
      <w:pPr>
        <w:spacing w:after="0" w:line="276" w:lineRule="auto"/>
        <w:jc w:val="both"/>
        <w:rPr>
          <w:rFonts w:ascii="Verdana" w:hAnsi="Verdana"/>
        </w:rPr>
      </w:pPr>
    </w:p>
    <w:p w14:paraId="74094DCF" w14:textId="77777777" w:rsidR="002B64AF" w:rsidRPr="00BC3A80" w:rsidRDefault="002B64AF" w:rsidP="002B64AF">
      <w:pPr>
        <w:numPr>
          <w:ilvl w:val="0"/>
          <w:numId w:val="15"/>
        </w:numPr>
        <w:spacing w:after="0" w:line="276" w:lineRule="auto"/>
        <w:contextualSpacing/>
        <w:jc w:val="both"/>
        <w:rPr>
          <w:rFonts w:ascii="Verdana" w:eastAsia="Verdana" w:hAnsi="Verdana" w:cs="Verdana"/>
          <w:color w:val="4472C4" w:themeColor="accent1"/>
          <w:u w:val="single"/>
          <w:lang w:val="es-MX"/>
        </w:rPr>
      </w:pPr>
      <w:r w:rsidRPr="00BC3A80">
        <w:rPr>
          <w:rFonts w:ascii="Verdana" w:eastAsia="Verdana" w:hAnsi="Verdana" w:cs="Verdana"/>
          <w:lang w:val="es-MX"/>
        </w:rPr>
        <w:t xml:space="preserve">Línea nacional gratuita o servicio a la ciudadanía (Mesa de servicio): </w:t>
      </w:r>
      <w:r w:rsidRPr="00BC3A80">
        <w:rPr>
          <w:rFonts w:ascii="Verdana" w:hAnsi="Verdana"/>
          <w:color w:val="0000FF"/>
          <w:u w:val="single"/>
          <w:lang w:val="es-ES"/>
        </w:rPr>
        <w:t>01800 0520808</w:t>
      </w:r>
    </w:p>
    <w:p w14:paraId="23FAFB68" w14:textId="77777777" w:rsidR="002B64AF" w:rsidRPr="00BC3A80" w:rsidRDefault="002B64AF" w:rsidP="002B64AF">
      <w:pPr>
        <w:numPr>
          <w:ilvl w:val="0"/>
          <w:numId w:val="15"/>
        </w:numPr>
        <w:spacing w:after="0" w:line="276" w:lineRule="auto"/>
        <w:contextualSpacing/>
        <w:rPr>
          <w:rFonts w:ascii="Verdana" w:eastAsia="Verdana" w:hAnsi="Verdana" w:cs="Verdana"/>
          <w:color w:val="4472C4" w:themeColor="accent1"/>
          <w:u w:val="single"/>
          <w:lang w:val="es-MX"/>
        </w:rPr>
      </w:pPr>
      <w:r w:rsidRPr="00BC3A80">
        <w:rPr>
          <w:rFonts w:ascii="Verdana" w:eastAsia="Verdana" w:hAnsi="Verdana" w:cs="Verdana"/>
          <w:lang w:val="es-MX"/>
        </w:rPr>
        <w:t>Línea en Bogotá (Mesa de servicio</w:t>
      </w:r>
      <w:proofErr w:type="gramStart"/>
      <w:r w:rsidRPr="00BC3A80">
        <w:rPr>
          <w:rFonts w:ascii="Verdana" w:eastAsia="Verdana" w:hAnsi="Verdana" w:cs="Verdana"/>
          <w:lang w:val="es-MX"/>
        </w:rPr>
        <w:t>):</w:t>
      </w:r>
      <w:r w:rsidRPr="00BC3A80">
        <w:rPr>
          <w:rFonts w:ascii="Verdana" w:hAnsi="Verdana"/>
          <w:color w:val="0000FF"/>
          <w:u w:val="single"/>
          <w:lang w:val="es-ES"/>
        </w:rPr>
        <w:t>+</w:t>
      </w:r>
      <w:proofErr w:type="gramEnd"/>
      <w:r w:rsidRPr="00BC3A80">
        <w:rPr>
          <w:rFonts w:ascii="Verdana" w:hAnsi="Verdana"/>
          <w:color w:val="0000FF"/>
          <w:u w:val="single"/>
          <w:lang w:val="es-ES"/>
        </w:rPr>
        <w:t>57 601 7456788</w:t>
      </w:r>
    </w:p>
    <w:p w14:paraId="6E8B8C56" w14:textId="77777777" w:rsidR="002B64AF" w:rsidRPr="00BC3A80" w:rsidRDefault="002B64AF" w:rsidP="002B64AF">
      <w:pPr>
        <w:numPr>
          <w:ilvl w:val="0"/>
          <w:numId w:val="15"/>
        </w:numPr>
        <w:spacing w:after="0" w:line="276" w:lineRule="auto"/>
        <w:contextualSpacing/>
        <w:rPr>
          <w:rFonts w:ascii="Verdana" w:eastAsia="Verdana" w:hAnsi="Verdana" w:cs="Verdana"/>
          <w:color w:val="0000FF"/>
          <w:u w:val="single"/>
          <w:lang w:val="es-MX"/>
        </w:rPr>
      </w:pPr>
      <w:r w:rsidRPr="00BC3A80">
        <w:rPr>
          <w:rFonts w:ascii="Verdana" w:eastAsia="Verdana" w:hAnsi="Verdana" w:cs="Verdana"/>
          <w:lang w:val="es-MX"/>
        </w:rPr>
        <w:t xml:space="preserve">Correo de radicación de correspondencia: </w:t>
      </w:r>
      <w:hyperlink r:id="rId15" w:history="1">
        <w:r w:rsidRPr="00BC3A80">
          <w:rPr>
            <w:rFonts w:ascii="Verdana" w:eastAsia="Verdana" w:hAnsi="Verdana" w:cs="Verdana"/>
            <w:color w:val="0000FF"/>
            <w:u w:val="single"/>
            <w:lang w:val="es-MX"/>
          </w:rPr>
          <w:t>ventanilladeradicacion@colombiacompra.gov.co</w:t>
        </w:r>
      </w:hyperlink>
    </w:p>
    <w:p w14:paraId="7A93AAFC" w14:textId="77777777" w:rsidR="002B64AF" w:rsidRPr="00BC3A80" w:rsidRDefault="002B64AF" w:rsidP="002B64AF">
      <w:pPr>
        <w:numPr>
          <w:ilvl w:val="0"/>
          <w:numId w:val="15"/>
        </w:numPr>
        <w:spacing w:after="0" w:line="276" w:lineRule="auto"/>
        <w:contextualSpacing/>
        <w:rPr>
          <w:rFonts w:ascii="Verdana" w:eastAsia="Verdana" w:hAnsi="Verdana" w:cs="Verdana"/>
          <w:color w:val="0000FF"/>
          <w:u w:val="single"/>
          <w:lang w:val="es-MX"/>
        </w:rPr>
      </w:pPr>
      <w:r w:rsidRPr="00BC3A80">
        <w:rPr>
          <w:rFonts w:ascii="Verdana" w:eastAsia="Verdana" w:hAnsi="Verdana" w:cs="Verdana"/>
          <w:lang w:val="es-ES"/>
        </w:rPr>
        <w:t xml:space="preserve">Formulario web para PQRSD: </w:t>
      </w:r>
      <w:hyperlink r:id="rId16" w:history="1">
        <w:r w:rsidRPr="00BC3A80">
          <w:rPr>
            <w:rFonts w:ascii="Verdana" w:eastAsia="Verdana" w:hAnsi="Verdana" w:cs="Verdana"/>
            <w:color w:val="0000FF"/>
            <w:u w:val="single"/>
            <w:lang w:val="es-MX"/>
          </w:rPr>
          <w:t>https://www.colombiacompra.gov.co/pqrsd/informacion-importante-antes-de-formular-una-pqrsd</w:t>
        </w:r>
      </w:hyperlink>
    </w:p>
    <w:p w14:paraId="0E138D8C" w14:textId="77777777" w:rsidR="002B64AF" w:rsidRPr="00BC3A80" w:rsidRDefault="002B64AF" w:rsidP="002B64AF">
      <w:pPr>
        <w:spacing w:after="0" w:line="276" w:lineRule="auto"/>
        <w:ind w:left="720"/>
        <w:jc w:val="both"/>
        <w:rPr>
          <w:rFonts w:ascii="Verdana" w:hAnsi="Verdana"/>
        </w:rPr>
      </w:pPr>
    </w:p>
    <w:p w14:paraId="1F29DB0D" w14:textId="77777777" w:rsidR="002B64AF" w:rsidRPr="00BC3A80" w:rsidRDefault="002B64AF" w:rsidP="002B64AF">
      <w:pPr>
        <w:spacing w:after="0" w:line="276" w:lineRule="auto"/>
        <w:rPr>
          <w:rFonts w:ascii="Verdana" w:hAnsi="Verdana"/>
        </w:rPr>
      </w:pPr>
      <w:r w:rsidRPr="00BC3A80">
        <w:rPr>
          <w:rFonts w:ascii="Verdana" w:hAnsi="Verdana"/>
        </w:rPr>
        <w:t xml:space="preserve">Evalúa el servicio que ofrece la Agencia por el canal de atención de PQRSD en el siguiente </w:t>
      </w:r>
      <w:proofErr w:type="gramStart"/>
      <w:r w:rsidRPr="00BC3A80">
        <w:rPr>
          <w:rFonts w:ascii="Verdana" w:hAnsi="Verdana"/>
        </w:rPr>
        <w:t>enlace :</w:t>
      </w:r>
      <w:proofErr w:type="gramEnd"/>
      <w:hyperlink r:id="rId17" w:tgtFrame="_blank" w:tooltip="https://forms.office.com/r/pphywvs2sz" w:history="1">
        <w:r w:rsidRPr="00BC3A80">
          <w:rPr>
            <w:rFonts w:ascii="Verdana" w:hAnsi="Verdana"/>
            <w:color w:val="0000FF"/>
            <w:u w:val="single"/>
          </w:rPr>
          <w:t>https://forms.office.com/r/pPHyWVs2SZ</w:t>
        </w:r>
      </w:hyperlink>
      <w:r w:rsidRPr="00BC3A80">
        <w:rPr>
          <w:rFonts w:ascii="Verdana" w:hAnsi="Verdana"/>
        </w:rPr>
        <w:t xml:space="preserve"> .¡Ayúdanos a mejorar porque el compromiso es de todos!</w:t>
      </w:r>
    </w:p>
    <w:p w14:paraId="23C53520" w14:textId="77777777" w:rsidR="002B64AF" w:rsidRPr="00BC3A80" w:rsidRDefault="002B64AF" w:rsidP="002B64AF">
      <w:pPr>
        <w:spacing w:after="0" w:line="276" w:lineRule="auto"/>
        <w:rPr>
          <w:rFonts w:ascii="Verdana" w:hAnsi="Verdana"/>
        </w:rPr>
      </w:pPr>
    </w:p>
    <w:p w14:paraId="5F93D754" w14:textId="77777777" w:rsidR="002B64AF" w:rsidRPr="00BC3A80" w:rsidRDefault="002B64AF" w:rsidP="002B64AF">
      <w:pPr>
        <w:spacing w:after="0" w:line="276" w:lineRule="auto"/>
        <w:jc w:val="both"/>
        <w:rPr>
          <w:rFonts w:ascii="Verdana" w:hAnsi="Verdana"/>
        </w:rPr>
      </w:pPr>
      <w:r w:rsidRPr="00BC3A80">
        <w:rPr>
          <w:rFonts w:ascii="Verdana" w:hAnsi="Verdana"/>
        </w:rPr>
        <w:t xml:space="preserve">Por último, lo invitamos a seguirnos en las redes sociales en las cuales se difunde información institucional: </w:t>
      </w:r>
    </w:p>
    <w:p w14:paraId="45B88F07" w14:textId="77777777" w:rsidR="002B64AF" w:rsidRPr="00BC3A80" w:rsidRDefault="002B64AF" w:rsidP="002B64AF">
      <w:pPr>
        <w:spacing w:after="0" w:line="276" w:lineRule="auto"/>
        <w:jc w:val="both"/>
        <w:rPr>
          <w:rFonts w:ascii="Verdana" w:hAnsi="Verdana"/>
        </w:rPr>
      </w:pPr>
    </w:p>
    <w:p w14:paraId="5453CD64" w14:textId="77777777" w:rsidR="002B64AF" w:rsidRPr="00BC3A80" w:rsidRDefault="002B64AF" w:rsidP="002B64AF">
      <w:pPr>
        <w:spacing w:after="0" w:line="276" w:lineRule="auto"/>
        <w:jc w:val="both"/>
        <w:rPr>
          <w:rFonts w:ascii="Verdana" w:hAnsi="Verdana"/>
        </w:rPr>
      </w:pPr>
      <w:r w:rsidRPr="00BC3A80">
        <w:rPr>
          <w:rFonts w:ascii="Verdana" w:hAnsi="Verdana"/>
        </w:rPr>
        <w:t xml:space="preserve">Twitter: </w:t>
      </w:r>
      <w:r w:rsidRPr="00BC3A80">
        <w:rPr>
          <w:rFonts w:ascii="Verdana" w:hAnsi="Verdana"/>
          <w:color w:val="0000FF"/>
          <w:u w:val="single"/>
        </w:rPr>
        <w:t>@colombiacompra</w:t>
      </w:r>
      <w:r w:rsidRPr="00BC3A80">
        <w:rPr>
          <w:rFonts w:ascii="Verdana" w:hAnsi="Verdana"/>
        </w:rPr>
        <w:t xml:space="preserve"> </w:t>
      </w:r>
    </w:p>
    <w:p w14:paraId="2DFB6AF8" w14:textId="77777777" w:rsidR="002B64AF" w:rsidRPr="00BC3A80" w:rsidRDefault="002B64AF" w:rsidP="002B64AF">
      <w:pPr>
        <w:spacing w:after="0" w:line="276" w:lineRule="auto"/>
        <w:jc w:val="both"/>
        <w:rPr>
          <w:rFonts w:ascii="Verdana" w:hAnsi="Verdana"/>
        </w:rPr>
      </w:pPr>
      <w:r w:rsidRPr="00BC3A80">
        <w:rPr>
          <w:rFonts w:ascii="Verdana" w:hAnsi="Verdana"/>
        </w:rPr>
        <w:t xml:space="preserve">Facebook: </w:t>
      </w:r>
      <w:proofErr w:type="spellStart"/>
      <w:r w:rsidRPr="00BC3A80">
        <w:rPr>
          <w:rFonts w:ascii="Verdana" w:hAnsi="Verdana"/>
          <w:color w:val="0000FF"/>
          <w:u w:val="single"/>
        </w:rPr>
        <w:t>ColombiaCompraEficiente</w:t>
      </w:r>
      <w:proofErr w:type="spellEnd"/>
    </w:p>
    <w:p w14:paraId="21436651" w14:textId="77777777" w:rsidR="002B64AF" w:rsidRPr="00BC3A80" w:rsidRDefault="002B64AF" w:rsidP="002B64AF">
      <w:pPr>
        <w:spacing w:after="0" w:line="276" w:lineRule="auto"/>
        <w:jc w:val="both"/>
        <w:rPr>
          <w:rFonts w:ascii="Verdana" w:hAnsi="Verdana"/>
        </w:rPr>
      </w:pPr>
      <w:r w:rsidRPr="00BC3A80">
        <w:rPr>
          <w:rFonts w:ascii="Verdana" w:hAnsi="Verdana"/>
        </w:rPr>
        <w:t xml:space="preserve">LinkedIn: </w:t>
      </w:r>
      <w:r w:rsidRPr="00BC3A80">
        <w:rPr>
          <w:rFonts w:ascii="Verdana" w:hAnsi="Verdana"/>
          <w:color w:val="0000FF"/>
          <w:u w:val="single"/>
        </w:rPr>
        <w:t>Agencia Nacional de Contratación Pública - Colombia Compra Eficiente</w:t>
      </w:r>
      <w:r w:rsidRPr="00BC3A80">
        <w:rPr>
          <w:rFonts w:ascii="Verdana" w:hAnsi="Verdana"/>
        </w:rPr>
        <w:t xml:space="preserve"> Instagram: </w:t>
      </w:r>
      <w:r w:rsidRPr="00BC3A80">
        <w:rPr>
          <w:rFonts w:ascii="Verdana" w:hAnsi="Verdana"/>
          <w:color w:val="0000FF"/>
          <w:u w:val="single"/>
        </w:rPr>
        <w:t>@colombiacompraeficiente_cce</w:t>
      </w:r>
    </w:p>
    <w:p w14:paraId="31B8EA13" w14:textId="77777777" w:rsidR="002B64AF" w:rsidRPr="00BC3A80" w:rsidRDefault="002B64AF" w:rsidP="002B64AF">
      <w:pPr>
        <w:widowControl w:val="0"/>
        <w:autoSpaceDE w:val="0"/>
        <w:autoSpaceDN w:val="0"/>
        <w:spacing w:after="120" w:line="276" w:lineRule="auto"/>
        <w:jc w:val="both"/>
        <w:rPr>
          <w:rFonts w:ascii="Verdana" w:hAnsi="Verdana" w:cs="Arial"/>
          <w:color w:val="FF0000"/>
          <w:shd w:val="clear" w:color="auto" w:fill="FFFFFF"/>
          <w:lang w:val="es-ES_tradnl"/>
        </w:rPr>
      </w:pPr>
      <w:r w:rsidRPr="00BC3A80">
        <w:rPr>
          <w:rFonts w:ascii="Verdana" w:hAnsi="Verdana" w:cs="Arial"/>
          <w:color w:val="FF0000"/>
          <w:shd w:val="clear" w:color="auto" w:fill="FFFFFF"/>
          <w:lang w:val="es-ES_tradnl"/>
        </w:rPr>
        <w:t xml:space="preserve">        </w:t>
      </w:r>
    </w:p>
    <w:p w14:paraId="1DF89AAB" w14:textId="77777777" w:rsidR="002B64AF" w:rsidRPr="00BC3A80" w:rsidRDefault="002B64AF" w:rsidP="002B64AF">
      <w:pPr>
        <w:widowControl w:val="0"/>
        <w:autoSpaceDE w:val="0"/>
        <w:autoSpaceDN w:val="0"/>
        <w:spacing w:after="0" w:line="276" w:lineRule="auto"/>
        <w:jc w:val="both"/>
        <w:rPr>
          <w:rFonts w:ascii="Verdana" w:hAnsi="Verdana" w:cs="Arial"/>
          <w:lang w:val="es-ES_tradnl"/>
        </w:rPr>
      </w:pPr>
      <w:r w:rsidRPr="00BC3A80">
        <w:rPr>
          <w:rFonts w:ascii="Verdana" w:hAnsi="Verdana" w:cs="Arial"/>
          <w:lang w:val="es-ES_tradnl"/>
        </w:rPr>
        <w:t xml:space="preserve">Este concepto tiene el alcance previsto en el artículo 28 del Código de Procedimiento Administrativo y de lo Contencioso Administrativo y las expresiones aquí utilizadas con mayúscula inicial deben ser entendidas con el significado que les otorga el artículo 2.2.1.1.1.3.1. del Decreto 1082 de 2015. </w:t>
      </w:r>
    </w:p>
    <w:p w14:paraId="65525BB3" w14:textId="77777777" w:rsidR="002B64AF" w:rsidRPr="00BC3A80" w:rsidRDefault="002B64AF" w:rsidP="002B64AF">
      <w:pPr>
        <w:widowControl w:val="0"/>
        <w:autoSpaceDE w:val="0"/>
        <w:autoSpaceDN w:val="0"/>
        <w:spacing w:after="0" w:line="276" w:lineRule="auto"/>
        <w:jc w:val="both"/>
        <w:rPr>
          <w:rFonts w:ascii="Verdana" w:hAnsi="Verdana" w:cs="Arial"/>
          <w:lang w:val="es-ES_tradnl"/>
        </w:rPr>
      </w:pPr>
    </w:p>
    <w:p w14:paraId="2394CA1B" w14:textId="77777777" w:rsidR="002B64AF" w:rsidRDefault="002B64AF" w:rsidP="002B64AF">
      <w:pPr>
        <w:spacing w:after="0" w:line="276" w:lineRule="auto"/>
        <w:rPr>
          <w:rFonts w:ascii="Verdana" w:eastAsia="Times New Roman" w:hAnsi="Verdana" w:cs="Arial"/>
          <w:lang w:eastAsia="es-ES_tradnl"/>
        </w:rPr>
      </w:pPr>
      <w:r w:rsidRPr="00BC3A80">
        <w:rPr>
          <w:rFonts w:ascii="Verdana" w:eastAsia="Times New Roman" w:hAnsi="Verdana" w:cs="Arial"/>
          <w:lang w:val="es-ES_tradnl" w:eastAsia="es-CO"/>
        </w:rPr>
        <w:t>Atentamente,</w:t>
      </w:r>
      <w:r w:rsidRPr="00BC3A80">
        <w:rPr>
          <w:rFonts w:ascii="Verdana" w:hAnsi="Verdana" w:cs="Arial"/>
          <w:lang w:val="es-ES_tradnl" w:eastAsia="es-CO"/>
        </w:rPr>
        <w:t xml:space="preserve"> </w:t>
      </w:r>
      <w:bookmarkEnd w:id="0"/>
    </w:p>
    <w:p w14:paraId="1E1A2CC0" w14:textId="77777777" w:rsidR="002B64AF" w:rsidRPr="00116940" w:rsidRDefault="002B64AF" w:rsidP="002B64AF">
      <w:pPr>
        <w:spacing w:after="0" w:line="240" w:lineRule="auto"/>
        <w:jc w:val="both"/>
        <w:rPr>
          <w:rFonts w:ascii="Verdana" w:hAnsi="Verdana"/>
        </w:rPr>
      </w:pPr>
    </w:p>
    <w:p w14:paraId="6D338B67" w14:textId="19F63EF1" w:rsidR="002B64AF" w:rsidRDefault="002D5BEA" w:rsidP="002B64AF">
      <w:pPr>
        <w:spacing w:after="0" w:line="240" w:lineRule="auto"/>
        <w:jc w:val="center"/>
      </w:pPr>
      <w:r w:rsidRPr="002C3AD6">
        <w:rPr>
          <w:rFonts w:ascii="Century Gothic" w:hAnsi="Century Gothic"/>
          <w:noProof/>
        </w:rPr>
        <w:drawing>
          <wp:inline distT="0" distB="0" distL="0" distR="0" wp14:anchorId="16D97467" wp14:editId="2F534685">
            <wp:extent cx="3772426" cy="1400370"/>
            <wp:effectExtent l="0" t="0" r="0" b="9525"/>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pic:nvPicPr>
                  <pic:blipFill>
                    <a:blip r:embed="rId18"/>
                    <a:stretch>
                      <a:fillRect/>
                    </a:stretch>
                  </pic:blipFill>
                  <pic:spPr>
                    <a:xfrm>
                      <a:off x="0" y="0"/>
                      <a:ext cx="3772426" cy="1400370"/>
                    </a:xfrm>
                    <a:prstGeom prst="rect">
                      <a:avLst/>
                    </a:prstGeom>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2B64AF" w:rsidRPr="00E3533A" w14:paraId="364A11ED" w14:textId="77777777" w:rsidTr="003021E1">
        <w:trPr>
          <w:trHeight w:val="315"/>
        </w:trPr>
        <w:tc>
          <w:tcPr>
            <w:tcW w:w="893" w:type="dxa"/>
            <w:vAlign w:val="center"/>
            <w:hideMark/>
          </w:tcPr>
          <w:p w14:paraId="6D77DD76" w14:textId="77777777" w:rsidR="002B64AF" w:rsidRPr="00E3533A" w:rsidRDefault="002B64AF" w:rsidP="003021E1">
            <w:pPr>
              <w:contextualSpacing/>
              <w:rPr>
                <w:rFonts w:ascii="Verdana" w:hAnsi="Verdana" w:cs="Arial"/>
                <w:sz w:val="16"/>
                <w:szCs w:val="16"/>
                <w:lang w:eastAsia="es-ES"/>
              </w:rPr>
            </w:pPr>
            <w:r w:rsidRPr="00E3533A">
              <w:rPr>
                <w:rFonts w:ascii="Verdana" w:hAnsi="Verdana" w:cs="Arial"/>
                <w:sz w:val="16"/>
                <w:szCs w:val="16"/>
                <w:lang w:eastAsia="es-ES"/>
              </w:rPr>
              <w:t>Elaboró:</w:t>
            </w:r>
          </w:p>
        </w:tc>
        <w:tc>
          <w:tcPr>
            <w:tcW w:w="5628" w:type="dxa"/>
            <w:tcBorders>
              <w:top w:val="nil"/>
              <w:left w:val="nil"/>
              <w:bottom w:val="dotted" w:sz="4" w:space="0" w:color="7F7F7F" w:themeColor="text1" w:themeTint="80"/>
              <w:right w:val="nil"/>
            </w:tcBorders>
            <w:vAlign w:val="center"/>
            <w:hideMark/>
          </w:tcPr>
          <w:p w14:paraId="2A77D933" w14:textId="77777777" w:rsidR="002B64AF" w:rsidRPr="00E3533A" w:rsidRDefault="002B64AF" w:rsidP="003021E1">
            <w:pPr>
              <w:spacing w:line="256" w:lineRule="auto"/>
              <w:rPr>
                <w:rFonts w:ascii="Verdana" w:eastAsia="Calibri" w:hAnsi="Verdana" w:cs="Times New Roman"/>
                <w:sz w:val="16"/>
                <w:szCs w:val="16"/>
              </w:rPr>
            </w:pPr>
            <w:r>
              <w:rPr>
                <w:rFonts w:ascii="Verdana" w:eastAsia="Calibri" w:hAnsi="Verdana" w:cs="Times New Roman"/>
                <w:sz w:val="16"/>
                <w:szCs w:val="16"/>
              </w:rPr>
              <w:t>Richard Andrés Montenegro Siefken</w:t>
            </w:r>
          </w:p>
          <w:p w14:paraId="52D45191" w14:textId="77777777" w:rsidR="002B64AF" w:rsidRPr="00E3533A" w:rsidRDefault="002B64AF" w:rsidP="003021E1">
            <w:pPr>
              <w:contextualSpacing/>
              <w:rPr>
                <w:rFonts w:ascii="Verdana" w:eastAsia="Arial" w:hAnsi="Verdana" w:cs="Arial"/>
                <w:sz w:val="16"/>
                <w:szCs w:val="16"/>
              </w:rPr>
            </w:pPr>
            <w:r>
              <w:rPr>
                <w:rFonts w:ascii="Verdana" w:eastAsia="Calibri" w:hAnsi="Verdana" w:cs="Times New Roman"/>
                <w:sz w:val="16"/>
                <w:szCs w:val="16"/>
              </w:rPr>
              <w:t>Contratista</w:t>
            </w:r>
            <w:r w:rsidRPr="00E3533A">
              <w:rPr>
                <w:rFonts w:ascii="Verdana" w:eastAsia="Calibri" w:hAnsi="Verdana" w:cs="Times New Roman"/>
                <w:sz w:val="16"/>
                <w:szCs w:val="16"/>
              </w:rPr>
              <w:t xml:space="preserve"> de la Subdirección de Gestión Contractual</w:t>
            </w:r>
          </w:p>
        </w:tc>
      </w:tr>
      <w:tr w:rsidR="002B64AF" w:rsidRPr="00E3533A" w14:paraId="3773E546" w14:textId="77777777" w:rsidTr="003021E1">
        <w:trPr>
          <w:trHeight w:val="330"/>
        </w:trPr>
        <w:tc>
          <w:tcPr>
            <w:tcW w:w="893" w:type="dxa"/>
            <w:vAlign w:val="center"/>
            <w:hideMark/>
          </w:tcPr>
          <w:p w14:paraId="529E7A4D" w14:textId="77777777" w:rsidR="002B64AF" w:rsidRPr="00E3533A" w:rsidRDefault="002B64AF" w:rsidP="003021E1">
            <w:pPr>
              <w:contextualSpacing/>
              <w:rPr>
                <w:rFonts w:ascii="Verdana" w:hAnsi="Verdana" w:cs="Arial"/>
                <w:sz w:val="16"/>
                <w:szCs w:val="16"/>
                <w:lang w:eastAsia="es-ES"/>
              </w:rPr>
            </w:pPr>
            <w:r w:rsidRPr="00E3533A">
              <w:rPr>
                <w:rFonts w:ascii="Verdana" w:hAnsi="Verdana" w:cs="Arial"/>
                <w:sz w:val="16"/>
                <w:szCs w:val="16"/>
                <w:lang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24C6C792" w14:textId="77777777" w:rsidR="002B64AF" w:rsidRPr="002B5C7D" w:rsidRDefault="002B64AF" w:rsidP="003021E1">
            <w:pPr>
              <w:spacing w:line="256" w:lineRule="auto"/>
              <w:rPr>
                <w:rFonts w:ascii="Verdana" w:eastAsia="Calibri" w:hAnsi="Verdana" w:cs="Times New Roman"/>
                <w:sz w:val="16"/>
                <w:szCs w:val="16"/>
              </w:rPr>
            </w:pPr>
            <w:r>
              <w:rPr>
                <w:rFonts w:ascii="Verdana" w:eastAsia="Calibri" w:hAnsi="Verdana" w:cs="Times New Roman"/>
                <w:sz w:val="16"/>
                <w:szCs w:val="16"/>
              </w:rPr>
              <w:t>Juan Carlos González Vásquez</w:t>
            </w:r>
          </w:p>
          <w:p w14:paraId="78E2FF95" w14:textId="77777777" w:rsidR="002B64AF" w:rsidRPr="00E3533A" w:rsidRDefault="002B64AF" w:rsidP="003021E1">
            <w:pPr>
              <w:pStyle w:val="paragraph"/>
              <w:spacing w:before="0" w:beforeAutospacing="0" w:after="0" w:afterAutospacing="0"/>
              <w:contextualSpacing/>
              <w:textAlignment w:val="baseline"/>
              <w:rPr>
                <w:rFonts w:ascii="Verdana" w:hAnsi="Verdana" w:cs="Segoe UI"/>
                <w:sz w:val="16"/>
                <w:szCs w:val="16"/>
              </w:rPr>
            </w:pPr>
            <w:r w:rsidRPr="00E3533A">
              <w:rPr>
                <w:rFonts w:ascii="Verdana" w:eastAsia="Calibri" w:hAnsi="Verdana"/>
                <w:sz w:val="16"/>
                <w:szCs w:val="16"/>
              </w:rPr>
              <w:t>Contratista de la Subdirección de Gestión Contractual </w:t>
            </w:r>
          </w:p>
        </w:tc>
      </w:tr>
      <w:tr w:rsidR="002B64AF" w:rsidRPr="00E3533A" w14:paraId="64D80E4F" w14:textId="77777777" w:rsidTr="003021E1">
        <w:trPr>
          <w:trHeight w:val="300"/>
        </w:trPr>
        <w:tc>
          <w:tcPr>
            <w:tcW w:w="893" w:type="dxa"/>
            <w:vAlign w:val="center"/>
          </w:tcPr>
          <w:p w14:paraId="742F88DE" w14:textId="77777777" w:rsidR="002B64AF" w:rsidRPr="00E3533A" w:rsidRDefault="002B64AF" w:rsidP="003021E1">
            <w:pPr>
              <w:contextualSpacing/>
              <w:rPr>
                <w:rFonts w:ascii="Verdana" w:hAnsi="Verdana" w:cs="Arial"/>
                <w:sz w:val="16"/>
                <w:szCs w:val="16"/>
                <w:lang w:eastAsia="es-ES"/>
              </w:rPr>
            </w:pPr>
            <w:r w:rsidRPr="00E3533A">
              <w:rPr>
                <w:rFonts w:ascii="Verdana" w:hAnsi="Verdana" w:cs="Arial"/>
                <w:sz w:val="16"/>
                <w:szCs w:val="16"/>
                <w:lang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5EA28FB4" w14:textId="77777777" w:rsidR="002B64AF" w:rsidRPr="00E3533A" w:rsidRDefault="002B64AF" w:rsidP="003021E1">
            <w:pPr>
              <w:contextualSpacing/>
              <w:rPr>
                <w:rFonts w:ascii="Verdana" w:eastAsia="Calibri" w:hAnsi="Verdana" w:cs="Arial"/>
                <w:sz w:val="16"/>
                <w:szCs w:val="16"/>
                <w:lang w:eastAsia="es-ES"/>
              </w:rPr>
            </w:pPr>
            <w:r>
              <w:rPr>
                <w:rFonts w:ascii="Verdana" w:eastAsia="Calibri" w:hAnsi="Verdana" w:cs="Arial"/>
                <w:sz w:val="16"/>
                <w:szCs w:val="16"/>
                <w:lang w:eastAsia="es-ES"/>
              </w:rPr>
              <w:t xml:space="preserve">Carolina Quintero </w:t>
            </w:r>
            <w:proofErr w:type="spellStart"/>
            <w:r>
              <w:rPr>
                <w:rFonts w:ascii="Verdana" w:eastAsia="Calibri" w:hAnsi="Verdana" w:cs="Arial"/>
                <w:sz w:val="16"/>
                <w:szCs w:val="16"/>
                <w:lang w:eastAsia="es-ES"/>
              </w:rPr>
              <w:t>Gacharná</w:t>
            </w:r>
            <w:proofErr w:type="spellEnd"/>
          </w:p>
          <w:p w14:paraId="1D6FCB54" w14:textId="77777777" w:rsidR="002B64AF" w:rsidRPr="00E3533A" w:rsidRDefault="002B64AF" w:rsidP="003021E1">
            <w:pPr>
              <w:contextualSpacing/>
              <w:rPr>
                <w:rFonts w:ascii="Verdana" w:eastAsia="Calibri" w:hAnsi="Verdana" w:cs="Arial"/>
                <w:sz w:val="16"/>
                <w:szCs w:val="16"/>
                <w:lang w:eastAsia="es-ES"/>
              </w:rPr>
            </w:pPr>
            <w:r w:rsidRPr="00E3533A">
              <w:rPr>
                <w:rFonts w:ascii="Verdana" w:eastAsia="Calibri" w:hAnsi="Verdana" w:cs="Arial"/>
                <w:sz w:val="16"/>
                <w:szCs w:val="16"/>
                <w:lang w:eastAsia="es-ES"/>
              </w:rPr>
              <w:t>Subdirectora de Gestión Contractual ANCP – CCE</w:t>
            </w:r>
          </w:p>
        </w:tc>
      </w:tr>
    </w:tbl>
    <w:p w14:paraId="4FA9E0C3" w14:textId="77777777" w:rsidR="002B64AF" w:rsidRDefault="002B64AF" w:rsidP="002B64AF"/>
    <w:p w14:paraId="0F293BF4" w14:textId="0DCD15DC" w:rsidR="00127233" w:rsidRPr="00E207E7" w:rsidRDefault="00127233" w:rsidP="00E207E7"/>
    <w:sectPr w:rsidR="00127233" w:rsidRPr="00E207E7" w:rsidSect="007C0C0F">
      <w:headerReference w:type="default" r:id="rId19"/>
      <w:footerReference w:type="default" r:id="rId20"/>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FC8F81B" w14:textId="77777777" w:rsidR="0028774F" w:rsidRDefault="0028774F" w:rsidP="004A1847">
      <w:pPr>
        <w:spacing w:after="0" w:line="240" w:lineRule="auto"/>
      </w:pPr>
      <w:r>
        <w:separator/>
      </w:r>
    </w:p>
  </w:endnote>
  <w:endnote w:type="continuationSeparator" w:id="0">
    <w:p w14:paraId="318AD40D" w14:textId="77777777" w:rsidR="0028774F" w:rsidRDefault="0028774F"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22B9E88F" w:rsidR="006219F8" w:rsidRPr="00E207E7" w:rsidRDefault="356CEDFD" w:rsidP="356CEDFD">
    <w:pPr>
      <w:pBdr>
        <w:top w:val="nil"/>
        <w:left w:val="nil"/>
        <w:bottom w:val="nil"/>
        <w:right w:val="nil"/>
        <w:between w:val="nil"/>
      </w:pBdr>
      <w:tabs>
        <w:tab w:val="center" w:pos="4419"/>
        <w:tab w:val="right" w:pos="8838"/>
        <w:tab w:val="center" w:pos="5400"/>
      </w:tabs>
      <w:spacing w:after="0"/>
      <w:jc w:val="right"/>
      <w:rPr>
        <w:lang w:val="pt-PT"/>
      </w:rPr>
    </w:pPr>
    <w:r w:rsidRPr="00E207E7">
      <w:rPr>
        <w:rFonts w:ascii="Century Gothic" w:eastAsia="Geo" w:hAnsi="Century Gothic" w:cs="Geo"/>
        <w:b/>
        <w:bCs/>
        <w:color w:val="000000" w:themeColor="text1"/>
        <w:sz w:val="16"/>
        <w:szCs w:val="16"/>
        <w:lang w:val="pt-PT" w:eastAsia="es-CO"/>
      </w:rPr>
      <w:t xml:space="preserve">Código: </w:t>
    </w:r>
    <w:r w:rsidRPr="00E207E7">
      <w:rPr>
        <w:rFonts w:ascii="Century Gothic" w:eastAsia="Geo" w:hAnsi="Century Gothic" w:cs="Geo"/>
        <w:color w:val="000000" w:themeColor="text1"/>
        <w:sz w:val="16"/>
        <w:szCs w:val="16"/>
        <w:lang w:val="pt-PT" w:eastAsia="es-CO"/>
      </w:rPr>
      <w:t xml:space="preserve">CCE-REC-FM-17 </w:t>
    </w:r>
    <w:r w:rsidRPr="00E207E7">
      <w:rPr>
        <w:rFonts w:ascii="Century Gothic" w:eastAsia="Geo" w:hAnsi="Century Gothic" w:cs="Geo"/>
        <w:b/>
        <w:bCs/>
        <w:color w:val="000000" w:themeColor="text1"/>
        <w:sz w:val="16"/>
        <w:szCs w:val="16"/>
        <w:lang w:val="pt-PT" w:eastAsia="es-CO"/>
      </w:rPr>
      <w:t>V</w:t>
    </w:r>
    <w:r w:rsidRPr="00E207E7">
      <w:rPr>
        <w:rFonts w:ascii="Century Gothic" w:eastAsia="Arial Nova" w:hAnsi="Century Gothic" w:cs="Arial Nova"/>
        <w:b/>
        <w:bCs/>
        <w:color w:val="000000" w:themeColor="text1"/>
        <w:sz w:val="16"/>
        <w:szCs w:val="16"/>
        <w:lang w:val="pt-PT" w:eastAsia="es-CO"/>
      </w:rPr>
      <w:t xml:space="preserve">: </w:t>
    </w:r>
    <w:r w:rsidRPr="00E207E7">
      <w:rPr>
        <w:rFonts w:ascii="Century Gothic" w:eastAsia="Geo" w:hAnsi="Century Gothic" w:cs="Geo"/>
        <w:sz w:val="16"/>
        <w:szCs w:val="16"/>
        <w:lang w:val="pt-PT"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BF28A0A" w14:textId="77777777" w:rsidR="0028774F" w:rsidRDefault="0028774F" w:rsidP="004A1847">
      <w:pPr>
        <w:spacing w:after="0" w:line="240" w:lineRule="auto"/>
      </w:pPr>
      <w:r>
        <w:separator/>
      </w:r>
    </w:p>
  </w:footnote>
  <w:footnote w:type="continuationSeparator" w:id="0">
    <w:p w14:paraId="59B30D7E" w14:textId="77777777" w:rsidR="0028774F" w:rsidRDefault="0028774F" w:rsidP="004A1847">
      <w:pPr>
        <w:spacing w:after="0" w:line="240" w:lineRule="auto"/>
      </w:pPr>
      <w:r>
        <w:continuationSeparator/>
      </w:r>
    </w:p>
  </w:footnote>
  <w:footnote w:id="1">
    <w:p w14:paraId="25AD9344" w14:textId="77777777" w:rsidR="002B64AF" w:rsidRPr="00B10300" w:rsidRDefault="002B64AF" w:rsidP="002B64AF">
      <w:pPr>
        <w:pStyle w:val="Textonotapie"/>
        <w:ind w:firstLine="709"/>
        <w:contextualSpacing/>
        <w:jc w:val="both"/>
        <w:rPr>
          <w:rFonts w:ascii="Verdana" w:hAnsi="Verdana" w:cs="Arial"/>
          <w:sz w:val="14"/>
          <w:szCs w:val="14"/>
        </w:rPr>
      </w:pPr>
      <w:r w:rsidRPr="00B10300">
        <w:rPr>
          <w:rStyle w:val="Refdenotaalpie"/>
          <w:rFonts w:ascii="Verdana" w:hAnsi="Verdana" w:cs="Arial"/>
          <w:sz w:val="14"/>
          <w:szCs w:val="14"/>
        </w:rPr>
        <w:footnoteRef/>
      </w:r>
      <w:r w:rsidRPr="00B10300">
        <w:rPr>
          <w:rFonts w:ascii="Verdana" w:hAnsi="Verdana" w:cs="Arial"/>
          <w:sz w:val="14"/>
          <w:szCs w:val="14"/>
        </w:rPr>
        <w:t xml:space="preserve"> El artículo 127 de la Constitución Política señala: “Los servidores públicos no podrán celebrar, por si o por interpuesta persona, o en representación de otro, contrato alguno con entidades públicas o con personas privadas que manejen o administren recursos públicos, salvo las excepciones legales. </w:t>
      </w:r>
    </w:p>
    <w:p w14:paraId="0EF75E84" w14:textId="77777777" w:rsidR="002B64AF" w:rsidRPr="00B10300" w:rsidRDefault="002B64AF" w:rsidP="002B64AF">
      <w:pPr>
        <w:pStyle w:val="Textonotapie"/>
        <w:ind w:firstLine="709"/>
        <w:contextualSpacing/>
        <w:jc w:val="both"/>
        <w:rPr>
          <w:rFonts w:ascii="Verdana" w:hAnsi="Verdana" w:cs="Arial"/>
          <w:sz w:val="14"/>
          <w:szCs w:val="14"/>
        </w:rPr>
      </w:pPr>
      <w:r w:rsidRPr="00B10300">
        <w:rPr>
          <w:rFonts w:ascii="Verdana" w:hAnsi="Verdana" w:cs="Arial"/>
          <w:sz w:val="14"/>
          <w:szCs w:val="14"/>
        </w:rPr>
        <w:t>A los empleados del Estado que se desempeñen en la Rama Judicial, en los órganos electorales, de control y de seguridad les está prohibido tomar parte en las actividades de los partidos y movimientos y en las controversias políticas, sin perjuicio de ejercer libremente el derecho al sufragio. A los miembros de la Fuerza Pública en servicio activo se les aplican las limitaciones contempladas en el artículo 219 de la Constitución. Los empleados no contemplados en esta prohibición solo podrán participar en dichas actividades y controversias en las condiciones que señale la Ley Estatutaria”.</w:t>
      </w:r>
    </w:p>
    <w:p w14:paraId="42F19404" w14:textId="77777777" w:rsidR="002B64AF" w:rsidRPr="00B10300" w:rsidRDefault="002B64AF" w:rsidP="002B64AF">
      <w:pPr>
        <w:pStyle w:val="Textonotapie"/>
        <w:ind w:firstLine="709"/>
        <w:contextualSpacing/>
        <w:jc w:val="both"/>
        <w:rPr>
          <w:rFonts w:ascii="Verdana" w:hAnsi="Verdana" w:cs="Arial"/>
          <w:sz w:val="14"/>
          <w:szCs w:val="14"/>
        </w:rPr>
      </w:pPr>
    </w:p>
  </w:footnote>
  <w:footnote w:id="2">
    <w:p w14:paraId="48C841C8" w14:textId="77777777" w:rsidR="002B64AF" w:rsidRPr="00B10300" w:rsidRDefault="002B64AF" w:rsidP="002B64AF">
      <w:pPr>
        <w:pStyle w:val="Textonotapie"/>
        <w:ind w:firstLine="709"/>
        <w:contextualSpacing/>
        <w:jc w:val="both"/>
        <w:rPr>
          <w:rFonts w:ascii="Verdana" w:hAnsi="Verdana" w:cs="Arial"/>
          <w:sz w:val="14"/>
          <w:szCs w:val="14"/>
        </w:rPr>
      </w:pPr>
      <w:r w:rsidRPr="00B10300">
        <w:rPr>
          <w:rStyle w:val="Refdenotaalpie"/>
          <w:rFonts w:ascii="Verdana" w:hAnsi="Verdana" w:cs="Arial"/>
          <w:sz w:val="14"/>
          <w:szCs w:val="14"/>
        </w:rPr>
        <w:footnoteRef/>
      </w:r>
      <w:r w:rsidRPr="00B10300">
        <w:rPr>
          <w:rFonts w:ascii="Verdana" w:hAnsi="Verdana" w:cs="Arial"/>
          <w:sz w:val="14"/>
          <w:szCs w:val="14"/>
        </w:rPr>
        <w:t xml:space="preserve"> Gaceta del Congreso de la República No. 71 del 2005.</w:t>
      </w:r>
    </w:p>
  </w:footnote>
  <w:footnote w:id="3">
    <w:p w14:paraId="459077D0" w14:textId="77777777" w:rsidR="002B64AF" w:rsidRPr="00B10300" w:rsidRDefault="002B64AF" w:rsidP="002B64AF">
      <w:pPr>
        <w:pStyle w:val="Textonotapie"/>
        <w:ind w:firstLine="709"/>
        <w:contextualSpacing/>
        <w:jc w:val="both"/>
        <w:rPr>
          <w:rFonts w:ascii="Verdana" w:hAnsi="Verdana" w:cs="Arial"/>
          <w:sz w:val="14"/>
          <w:szCs w:val="14"/>
          <w:lang w:val="pt-BR"/>
        </w:rPr>
      </w:pPr>
      <w:r w:rsidRPr="00B10300">
        <w:rPr>
          <w:rStyle w:val="Refdenotaalpie"/>
          <w:rFonts w:ascii="Verdana" w:hAnsi="Verdana" w:cs="Arial"/>
          <w:sz w:val="14"/>
          <w:szCs w:val="14"/>
        </w:rPr>
        <w:footnoteRef/>
      </w:r>
      <w:r w:rsidRPr="00B10300">
        <w:rPr>
          <w:rFonts w:ascii="Verdana" w:hAnsi="Verdana" w:cs="Arial"/>
          <w:sz w:val="14"/>
          <w:szCs w:val="14"/>
          <w:lang w:val="pt-BR"/>
        </w:rPr>
        <w:t xml:space="preserve"> Corte Constitucional, Sentencia C- 1153 de 2005, M.P. Marco Gerardo Monroy Cabra.</w:t>
      </w:r>
    </w:p>
    <w:p w14:paraId="52513E74" w14:textId="77777777" w:rsidR="002B64AF" w:rsidRPr="00B10300" w:rsidRDefault="002B64AF" w:rsidP="002B64AF">
      <w:pPr>
        <w:pStyle w:val="Textonotapie"/>
        <w:ind w:firstLine="709"/>
        <w:contextualSpacing/>
        <w:jc w:val="both"/>
        <w:rPr>
          <w:rFonts w:ascii="Verdana" w:hAnsi="Verdana" w:cs="Arial"/>
          <w:sz w:val="14"/>
          <w:szCs w:val="14"/>
          <w:lang w:val="pt-BR"/>
        </w:rPr>
      </w:pPr>
    </w:p>
  </w:footnote>
  <w:footnote w:id="4">
    <w:p w14:paraId="11D5C475" w14:textId="77777777" w:rsidR="002B64AF" w:rsidRPr="00B10300" w:rsidRDefault="002B64AF" w:rsidP="002B64AF">
      <w:pPr>
        <w:pStyle w:val="Textonotapie"/>
        <w:ind w:firstLine="709"/>
        <w:contextualSpacing/>
        <w:jc w:val="both"/>
        <w:rPr>
          <w:rFonts w:ascii="Verdana" w:hAnsi="Verdana" w:cs="Arial"/>
          <w:sz w:val="14"/>
          <w:szCs w:val="14"/>
          <w:lang w:val="pt-BR"/>
        </w:rPr>
      </w:pPr>
      <w:r w:rsidRPr="00B10300">
        <w:rPr>
          <w:rStyle w:val="Refdenotaalpie"/>
          <w:rFonts w:ascii="Verdana" w:hAnsi="Verdana" w:cs="Arial"/>
          <w:sz w:val="14"/>
          <w:szCs w:val="14"/>
        </w:rPr>
        <w:footnoteRef/>
      </w:r>
      <w:r w:rsidRPr="00B10300">
        <w:rPr>
          <w:rFonts w:ascii="Verdana" w:hAnsi="Verdana" w:cs="Arial"/>
          <w:sz w:val="14"/>
          <w:szCs w:val="14"/>
          <w:lang w:val="pt-BR"/>
        </w:rPr>
        <w:t xml:space="preserve"> Corte Constitucional. Sentencias: C-233 de 4 de abril de 2002, expediente: D-3704; C-551 de 9 de julio de 2003, expediente: CRF-001 de 9 de julio de 2003; C-652 de 5 de agosto de 2003, expediente: D-4330; C-353 de 20 de mayo de 2009, expediente: D-7518, C-541 de 30 de junio de 2010, expediente: DD7966; entre otras.</w:t>
      </w:r>
    </w:p>
    <w:p w14:paraId="50DE6796" w14:textId="77777777" w:rsidR="002B64AF" w:rsidRPr="00B10300" w:rsidRDefault="002B64AF" w:rsidP="002B64AF">
      <w:pPr>
        <w:pStyle w:val="Textonotapie"/>
        <w:ind w:firstLine="709"/>
        <w:contextualSpacing/>
        <w:jc w:val="both"/>
        <w:rPr>
          <w:rFonts w:ascii="Verdana" w:hAnsi="Verdana" w:cs="Arial"/>
          <w:sz w:val="14"/>
          <w:szCs w:val="14"/>
          <w:lang w:val="pt-BR"/>
        </w:rPr>
      </w:pPr>
    </w:p>
  </w:footnote>
  <w:footnote w:id="5">
    <w:p w14:paraId="7F38D056" w14:textId="77777777" w:rsidR="002B64AF" w:rsidRPr="00B10300" w:rsidRDefault="002B64AF" w:rsidP="002B64AF">
      <w:pPr>
        <w:pStyle w:val="Textonotapie"/>
        <w:ind w:firstLine="709"/>
        <w:contextualSpacing/>
        <w:jc w:val="both"/>
        <w:rPr>
          <w:rFonts w:ascii="Verdana" w:hAnsi="Verdana" w:cs="Arial"/>
          <w:sz w:val="14"/>
          <w:szCs w:val="14"/>
          <w:lang w:val="es-CO"/>
        </w:rPr>
      </w:pPr>
      <w:r w:rsidRPr="00B10300">
        <w:rPr>
          <w:rStyle w:val="Refdenotaalpie"/>
          <w:rFonts w:ascii="Verdana" w:hAnsi="Verdana" w:cs="Arial"/>
          <w:sz w:val="14"/>
          <w:szCs w:val="14"/>
        </w:rPr>
        <w:footnoteRef/>
      </w:r>
      <w:r w:rsidRPr="00B10300">
        <w:rPr>
          <w:rFonts w:ascii="Verdana" w:hAnsi="Verdana" w:cs="Arial"/>
          <w:sz w:val="14"/>
          <w:szCs w:val="14"/>
          <w:lang w:val="es-CO"/>
        </w:rPr>
        <w:t xml:space="preserve"> Consejo de Estado, Sala de lo Contencioso Administrativo, Sección Primera. Sentencia de 3 de marzo de 2005, expediente número 2004-00823-01(PI). Ver también, de la Sección Tercera. Sentencia de 22 de enero de 2002, expediente número 2001-0148-01 y, Sección Tercera. Sentencia de 20 de noviembre de 2001, expediente número 2001-0130-01(PI), entre otras.</w:t>
      </w:r>
    </w:p>
    <w:p w14:paraId="419D7432" w14:textId="77777777" w:rsidR="002B64AF" w:rsidRPr="00B10300" w:rsidRDefault="002B64AF" w:rsidP="002B64AF">
      <w:pPr>
        <w:pStyle w:val="Textonotapie"/>
        <w:ind w:firstLine="709"/>
        <w:contextualSpacing/>
        <w:jc w:val="both"/>
        <w:rPr>
          <w:rFonts w:ascii="Verdana" w:hAnsi="Verdana" w:cs="Arial"/>
          <w:sz w:val="14"/>
          <w:szCs w:val="14"/>
          <w:lang w:val="es-CO"/>
        </w:rPr>
      </w:pPr>
    </w:p>
  </w:footnote>
  <w:footnote w:id="6">
    <w:p w14:paraId="507F6CDE" w14:textId="77777777" w:rsidR="002B64AF" w:rsidRPr="00B10300" w:rsidRDefault="002B64AF" w:rsidP="002B64AF">
      <w:pPr>
        <w:pStyle w:val="Textonotapie"/>
        <w:ind w:firstLine="709"/>
        <w:contextualSpacing/>
        <w:jc w:val="both"/>
        <w:rPr>
          <w:rFonts w:ascii="Verdana" w:hAnsi="Verdana" w:cs="Arial"/>
          <w:sz w:val="14"/>
          <w:szCs w:val="14"/>
        </w:rPr>
      </w:pPr>
      <w:r w:rsidRPr="00B10300">
        <w:rPr>
          <w:rStyle w:val="Refdenotaalpie"/>
          <w:rFonts w:ascii="Verdana" w:hAnsi="Verdana" w:cs="Arial"/>
          <w:sz w:val="14"/>
          <w:szCs w:val="14"/>
        </w:rPr>
        <w:footnoteRef/>
      </w:r>
      <w:r w:rsidRPr="00B10300">
        <w:rPr>
          <w:rFonts w:ascii="Verdana" w:hAnsi="Verdana" w:cs="Arial"/>
          <w:sz w:val="14"/>
          <w:szCs w:val="14"/>
        </w:rPr>
        <w:t xml:space="preserve"> Consejo de Estado, Sala de Consulta y Servicio Civil de fecha 24 de julio de 2013, Rad. 2166, C. P. Álvaro Namén Vargas. </w:t>
      </w:r>
    </w:p>
    <w:p w14:paraId="43805E29" w14:textId="77777777" w:rsidR="002B64AF" w:rsidRPr="00B10300" w:rsidRDefault="002B64AF" w:rsidP="002B64AF">
      <w:pPr>
        <w:pStyle w:val="Textonotapie"/>
        <w:ind w:firstLine="709"/>
        <w:contextualSpacing/>
        <w:jc w:val="both"/>
        <w:rPr>
          <w:rFonts w:ascii="Verdana" w:hAnsi="Verdana" w:cs="Arial"/>
          <w:sz w:val="14"/>
          <w:szCs w:val="14"/>
        </w:rPr>
      </w:pPr>
      <w:r w:rsidRPr="00B10300">
        <w:rPr>
          <w:rFonts w:ascii="Verdana" w:hAnsi="Verdana" w:cs="Arial"/>
          <w:sz w:val="14"/>
          <w:szCs w:val="14"/>
        </w:rPr>
        <w:t xml:space="preserve"> </w:t>
      </w:r>
    </w:p>
  </w:footnote>
  <w:footnote w:id="7">
    <w:p w14:paraId="2EA918BF" w14:textId="77777777" w:rsidR="002B64AF" w:rsidRPr="00B10300" w:rsidRDefault="002B64AF" w:rsidP="002B64AF">
      <w:pPr>
        <w:pStyle w:val="Textonotapie"/>
        <w:ind w:right="51" w:firstLine="709"/>
        <w:contextualSpacing/>
        <w:jc w:val="both"/>
        <w:rPr>
          <w:rFonts w:ascii="Verdana" w:hAnsi="Verdana" w:cs="Arial"/>
          <w:sz w:val="14"/>
          <w:szCs w:val="14"/>
        </w:rPr>
      </w:pPr>
      <w:r w:rsidRPr="00B10300">
        <w:rPr>
          <w:rStyle w:val="Refdenotaalpie"/>
          <w:rFonts w:ascii="Verdana" w:hAnsi="Verdana" w:cs="Arial"/>
          <w:sz w:val="14"/>
          <w:szCs w:val="14"/>
        </w:rPr>
        <w:footnoteRef/>
      </w:r>
      <w:r w:rsidRPr="00B10300">
        <w:rPr>
          <w:rFonts w:ascii="Verdana" w:hAnsi="Verdana" w:cs="Arial"/>
          <w:sz w:val="14"/>
          <w:szCs w:val="14"/>
        </w:rPr>
        <w:t xml:space="preserve"> “</w:t>
      </w:r>
      <w:r w:rsidRPr="00B10300">
        <w:rPr>
          <w:rFonts w:ascii="Verdana" w:hAnsi="Verdana" w:cs="Arial"/>
          <w:sz w:val="14"/>
          <w:szCs w:val="14"/>
          <w:lang w:val="es-ES"/>
        </w:rPr>
        <w:t xml:space="preserve">[26] </w:t>
      </w:r>
      <w:r w:rsidRPr="00B10300">
        <w:rPr>
          <w:rFonts w:ascii="Verdana" w:hAnsi="Verdana" w:cs="Arial"/>
          <w:sz w:val="14"/>
          <w:szCs w:val="14"/>
        </w:rPr>
        <w:t>Al respecto ver el concepto 1712 de 2 de febrero de 2006. Consejo de Estado Sala de Consulta y Servicio Civil”.</w:t>
      </w:r>
    </w:p>
    <w:p w14:paraId="282726AA" w14:textId="77777777" w:rsidR="002B64AF" w:rsidRPr="00B10300" w:rsidRDefault="002B64AF" w:rsidP="002B64AF">
      <w:pPr>
        <w:pStyle w:val="Textonotapie"/>
        <w:ind w:right="51" w:firstLine="709"/>
        <w:contextualSpacing/>
        <w:jc w:val="both"/>
        <w:rPr>
          <w:rFonts w:ascii="Verdana" w:hAnsi="Verdana" w:cs="Arial"/>
          <w:sz w:val="14"/>
          <w:szCs w:val="14"/>
        </w:rPr>
      </w:pPr>
    </w:p>
  </w:footnote>
  <w:footnote w:id="8">
    <w:p w14:paraId="010301FB" w14:textId="77777777" w:rsidR="002B64AF" w:rsidRPr="00B10300" w:rsidRDefault="002B64AF" w:rsidP="002B64AF">
      <w:pPr>
        <w:pStyle w:val="Textonotapie"/>
        <w:ind w:firstLine="709"/>
        <w:contextualSpacing/>
        <w:jc w:val="both"/>
        <w:rPr>
          <w:rFonts w:ascii="Verdana" w:hAnsi="Verdana" w:cs="Arial"/>
          <w:sz w:val="14"/>
          <w:szCs w:val="14"/>
        </w:rPr>
      </w:pPr>
      <w:r w:rsidRPr="00B10300">
        <w:rPr>
          <w:rStyle w:val="Refdenotaalpie"/>
          <w:rFonts w:ascii="Verdana" w:hAnsi="Verdana" w:cs="Arial"/>
          <w:sz w:val="14"/>
          <w:szCs w:val="14"/>
        </w:rPr>
        <w:footnoteRef/>
      </w:r>
      <w:r w:rsidRPr="00B10300">
        <w:rPr>
          <w:rFonts w:ascii="Verdana" w:hAnsi="Verdana" w:cs="Arial"/>
          <w:sz w:val="14"/>
          <w:szCs w:val="14"/>
        </w:rPr>
        <w:t xml:space="preserve"> Consejo de Estado. Sala de Consulta y Servicio Civil. Concepto del 2 de septiembre de 2013. Radicación número: 11001-03-06-000-2013-00412-00 (2168). Consejero Ponente: Álvaro Namén Vargas.</w:t>
      </w:r>
    </w:p>
    <w:p w14:paraId="6B6FB2D4" w14:textId="77777777" w:rsidR="002B64AF" w:rsidRPr="00B10300" w:rsidRDefault="002B64AF" w:rsidP="002B64AF">
      <w:pPr>
        <w:pStyle w:val="Textonotapie"/>
        <w:ind w:firstLine="709"/>
        <w:contextualSpacing/>
        <w:jc w:val="both"/>
        <w:rPr>
          <w:rFonts w:ascii="Verdana" w:hAnsi="Verdana" w:cs="Arial"/>
          <w:sz w:val="14"/>
          <w:szCs w:val="14"/>
        </w:rPr>
      </w:pPr>
    </w:p>
  </w:footnote>
  <w:footnote w:id="9">
    <w:p w14:paraId="372C5525" w14:textId="77777777" w:rsidR="002B64AF" w:rsidRPr="00B10300" w:rsidRDefault="002B64AF" w:rsidP="002B64AF">
      <w:pPr>
        <w:pStyle w:val="Textonotapie"/>
        <w:ind w:firstLine="709"/>
        <w:contextualSpacing/>
        <w:jc w:val="both"/>
        <w:rPr>
          <w:rFonts w:ascii="Verdana" w:hAnsi="Verdana" w:cs="Arial"/>
          <w:sz w:val="14"/>
          <w:szCs w:val="14"/>
          <w:lang w:val="es-ES"/>
        </w:rPr>
      </w:pPr>
      <w:r w:rsidRPr="00B10300">
        <w:rPr>
          <w:rStyle w:val="Refdenotaalpie"/>
          <w:rFonts w:ascii="Verdana" w:hAnsi="Verdana" w:cs="Arial"/>
          <w:sz w:val="14"/>
          <w:szCs w:val="14"/>
        </w:rPr>
        <w:footnoteRef/>
      </w:r>
      <w:r w:rsidRPr="00B10300">
        <w:rPr>
          <w:rFonts w:ascii="Verdana" w:hAnsi="Verdana" w:cs="Arial"/>
          <w:sz w:val="14"/>
          <w:szCs w:val="14"/>
        </w:rPr>
        <w:t xml:space="preserve"> </w:t>
      </w:r>
      <w:r w:rsidRPr="00B10300">
        <w:rPr>
          <w:rFonts w:ascii="Verdana" w:hAnsi="Verdana" w:cs="Arial"/>
          <w:sz w:val="14"/>
          <w:szCs w:val="14"/>
          <w:lang w:val="es-ES"/>
        </w:rPr>
        <w:t xml:space="preserve">Artículo 2. </w:t>
      </w:r>
    </w:p>
    <w:p w14:paraId="3ACB41A3" w14:textId="77777777" w:rsidR="002B64AF" w:rsidRPr="00B10300" w:rsidRDefault="002B64AF" w:rsidP="002B64AF">
      <w:pPr>
        <w:pStyle w:val="Textonotapie"/>
        <w:ind w:firstLine="709"/>
        <w:contextualSpacing/>
        <w:jc w:val="both"/>
        <w:rPr>
          <w:rFonts w:ascii="Verdana" w:hAnsi="Verdana" w:cs="Arial"/>
          <w:sz w:val="14"/>
          <w:szCs w:val="14"/>
          <w:lang w:val="es-ES"/>
        </w:rPr>
      </w:pPr>
    </w:p>
  </w:footnote>
  <w:footnote w:id="10">
    <w:p w14:paraId="22A1D1D9" w14:textId="77777777" w:rsidR="002B64AF" w:rsidRPr="00B10300" w:rsidRDefault="002B64AF" w:rsidP="002B64AF">
      <w:pPr>
        <w:pStyle w:val="Textonotapie"/>
        <w:ind w:firstLine="709"/>
        <w:contextualSpacing/>
        <w:jc w:val="both"/>
        <w:rPr>
          <w:rFonts w:ascii="Verdana" w:hAnsi="Verdana" w:cs="Arial"/>
          <w:sz w:val="14"/>
          <w:szCs w:val="14"/>
          <w:lang w:val="es-ES"/>
        </w:rPr>
      </w:pPr>
      <w:r w:rsidRPr="00B10300">
        <w:rPr>
          <w:rStyle w:val="Refdenotaalpie"/>
          <w:rFonts w:ascii="Verdana" w:hAnsi="Verdana" w:cs="Arial"/>
          <w:sz w:val="14"/>
          <w:szCs w:val="14"/>
        </w:rPr>
        <w:footnoteRef/>
      </w:r>
      <w:r w:rsidRPr="00B10300">
        <w:rPr>
          <w:rFonts w:ascii="Verdana" w:hAnsi="Verdana" w:cs="Arial"/>
          <w:sz w:val="14"/>
          <w:szCs w:val="14"/>
        </w:rPr>
        <w:t xml:space="preserve"> </w:t>
      </w:r>
      <w:r w:rsidRPr="00B10300">
        <w:rPr>
          <w:rFonts w:ascii="Verdana" w:hAnsi="Verdana" w:cs="Arial"/>
          <w:i/>
          <w:sz w:val="14"/>
          <w:szCs w:val="14"/>
          <w:lang w:val="es-ES"/>
        </w:rPr>
        <w:t>Ídem</w:t>
      </w:r>
      <w:r w:rsidRPr="00B10300">
        <w:rPr>
          <w:rFonts w:ascii="Verdana" w:hAnsi="Verdana" w:cs="Arial"/>
          <w:sz w:val="14"/>
          <w:szCs w:val="14"/>
          <w:lang w:val="es-ES"/>
        </w:rPr>
        <w:t>.</w:t>
      </w:r>
    </w:p>
    <w:p w14:paraId="34FC3E2F" w14:textId="77777777" w:rsidR="002B64AF" w:rsidRPr="00B10300" w:rsidRDefault="002B64AF" w:rsidP="002B64AF">
      <w:pPr>
        <w:pStyle w:val="Textonotapie"/>
        <w:ind w:firstLine="709"/>
        <w:contextualSpacing/>
        <w:jc w:val="both"/>
        <w:rPr>
          <w:rFonts w:ascii="Verdana" w:hAnsi="Verdana" w:cs="Arial"/>
          <w:sz w:val="14"/>
          <w:szCs w:val="14"/>
          <w:lang w:val="es-ES"/>
        </w:rPr>
      </w:pPr>
    </w:p>
  </w:footnote>
  <w:footnote w:id="11">
    <w:p w14:paraId="4BEA6E6F" w14:textId="77777777" w:rsidR="002B64AF" w:rsidRPr="00B10300" w:rsidRDefault="002B64AF" w:rsidP="002B64AF">
      <w:pPr>
        <w:pStyle w:val="Textonotapie"/>
        <w:ind w:firstLine="709"/>
        <w:contextualSpacing/>
        <w:jc w:val="both"/>
        <w:rPr>
          <w:rFonts w:ascii="Verdana" w:hAnsi="Verdana" w:cs="Arial"/>
          <w:sz w:val="14"/>
          <w:szCs w:val="14"/>
        </w:rPr>
      </w:pPr>
      <w:r w:rsidRPr="00B10300">
        <w:rPr>
          <w:rStyle w:val="Refdenotaalpie"/>
          <w:rFonts w:ascii="Verdana" w:hAnsi="Verdana" w:cs="Arial"/>
          <w:sz w:val="14"/>
          <w:szCs w:val="14"/>
        </w:rPr>
        <w:footnoteRef/>
      </w:r>
      <w:r w:rsidRPr="00B10300">
        <w:rPr>
          <w:rFonts w:ascii="Verdana" w:hAnsi="Verdana" w:cs="Arial"/>
          <w:sz w:val="14"/>
          <w:szCs w:val="14"/>
        </w:rPr>
        <w:t xml:space="preserve"> Consejo de Estado. Sala de Consulta y Servicio Civil. Concepto del 08 de mayo de 2018. Exp. 2.382. C.P. Álvaro Namén Vargas.</w:t>
      </w:r>
    </w:p>
    <w:p w14:paraId="7B9B7E99" w14:textId="77777777" w:rsidR="002B64AF" w:rsidRPr="00B10300" w:rsidRDefault="002B64AF" w:rsidP="002B64AF">
      <w:pPr>
        <w:pStyle w:val="Textonotapie"/>
        <w:ind w:firstLine="709"/>
        <w:contextualSpacing/>
        <w:jc w:val="both"/>
        <w:rPr>
          <w:rFonts w:ascii="Verdana" w:hAnsi="Verdana" w:cs="Arial"/>
          <w:sz w:val="14"/>
          <w:szCs w:val="14"/>
        </w:rPr>
      </w:pPr>
    </w:p>
  </w:footnote>
  <w:footnote w:id="12">
    <w:p w14:paraId="1754B177" w14:textId="77777777" w:rsidR="002B64AF" w:rsidRPr="00B10300" w:rsidRDefault="002B64AF" w:rsidP="002B64AF">
      <w:pPr>
        <w:pStyle w:val="Textonotapie"/>
        <w:ind w:firstLine="709"/>
        <w:jc w:val="both"/>
        <w:rPr>
          <w:rFonts w:ascii="Verdana" w:hAnsi="Verdana" w:cs="Arial"/>
          <w:sz w:val="14"/>
          <w:szCs w:val="14"/>
          <w:lang w:val="es-CO"/>
        </w:rPr>
      </w:pPr>
      <w:r w:rsidRPr="00B10300">
        <w:rPr>
          <w:rStyle w:val="Refdenotaalpie"/>
          <w:rFonts w:ascii="Verdana" w:hAnsi="Verdana"/>
          <w:sz w:val="14"/>
          <w:szCs w:val="14"/>
        </w:rPr>
        <w:footnoteRef/>
      </w:r>
      <w:r w:rsidRPr="00B10300">
        <w:rPr>
          <w:rFonts w:ascii="Verdana" w:hAnsi="Verdana"/>
          <w:sz w:val="14"/>
          <w:szCs w:val="14"/>
          <w:lang w:val="es-CO"/>
        </w:rPr>
        <w:t xml:space="preserve"> Consejo de Estado, Sección Tercera. Auto del 4 de octubre de 2024. Exp. 70.313. C.P: Fredy Ibarra Martínez</w:t>
      </w:r>
    </w:p>
  </w:footnote>
  <w:footnote w:id="13">
    <w:p w14:paraId="2728DBB4" w14:textId="77777777" w:rsidR="002B64AF" w:rsidRPr="00B10300" w:rsidRDefault="002B64AF" w:rsidP="002B64AF">
      <w:pPr>
        <w:pStyle w:val="Textonotapie"/>
        <w:ind w:firstLine="709"/>
        <w:jc w:val="both"/>
        <w:rPr>
          <w:rFonts w:ascii="Verdana" w:hAnsi="Verdana"/>
          <w:sz w:val="14"/>
          <w:szCs w:val="14"/>
          <w:lang w:val="es-CO"/>
        </w:rPr>
      </w:pPr>
      <w:r w:rsidRPr="00064355">
        <w:rPr>
          <w:rStyle w:val="Refdenotaalpie"/>
          <w:rFonts w:ascii="Verdana" w:hAnsi="Verdana"/>
          <w:sz w:val="14"/>
          <w:szCs w:val="14"/>
        </w:rPr>
        <w:footnoteRef/>
      </w:r>
      <w:r w:rsidRPr="00064355">
        <w:rPr>
          <w:rFonts w:ascii="Verdana" w:hAnsi="Verdana"/>
          <w:sz w:val="14"/>
          <w:szCs w:val="14"/>
        </w:rPr>
        <w:t xml:space="preserve"> L</w:t>
      </w:r>
      <w:r w:rsidRPr="00B10300">
        <w:rPr>
          <w:rFonts w:ascii="Verdana" w:hAnsi="Verdana"/>
          <w:sz w:val="14"/>
          <w:szCs w:val="14"/>
        </w:rPr>
        <w:t>a parte resolutiva del auto dispone lo siguiente; “</w:t>
      </w:r>
      <w:r w:rsidRPr="00B10300">
        <w:rPr>
          <w:rFonts w:ascii="Verdana" w:hAnsi="Verdana"/>
          <w:sz w:val="14"/>
          <w:szCs w:val="14"/>
          <w:lang w:val="es-CO"/>
        </w:rPr>
        <w:t>PRIMERO: DECRETAR</w:t>
      </w:r>
      <w:r w:rsidRPr="00B10300">
        <w:rPr>
          <w:rFonts w:ascii="Verdana" w:hAnsi="Verdana"/>
          <w:b/>
          <w:bCs/>
          <w:sz w:val="14"/>
          <w:szCs w:val="14"/>
          <w:lang w:val="es-CO"/>
        </w:rPr>
        <w:t xml:space="preserve"> </w:t>
      </w:r>
      <w:r w:rsidRPr="00B10300">
        <w:rPr>
          <w:rFonts w:ascii="Verdana" w:hAnsi="Verdana"/>
          <w:sz w:val="14"/>
          <w:szCs w:val="14"/>
          <w:lang w:val="es-CO"/>
        </w:rPr>
        <w:t xml:space="preserve">la suspensión provisional de los apartes cuestionados del inciso segundo del numeral 16.2 de la Circular Externa única, versión 3 del 27 de diciembre de 2023, expedida por la Agencia Nacional de Contratación Pública – Colombia Compra Eficiente, según el cual </w:t>
      </w:r>
      <w:r w:rsidRPr="00B10300">
        <w:rPr>
          <w:rFonts w:ascii="Verdana" w:hAnsi="Verdana"/>
          <w:i/>
          <w:iCs/>
          <w:sz w:val="14"/>
          <w:szCs w:val="14"/>
          <w:lang w:val="es-CO"/>
        </w:rPr>
        <w:t>“[e]sta restricción es aplicable (…) como a los contratos interadministrativos, toda vez que, al no existir definición legal que diferencie el concepto de convenio del concepto de contrato, la denominación prevista por la Ley 80 de 1993 y la Ley 1150 de 2007 para tal fin se entenderán en el mismo sentido. Es así como el Decreto 1082 de 2015 trata indistintamente a los convenios y contratos interadministrativos, al establecer la contratación directa como la modalidad de selección para la contratación entre entidades públicas a través de estas dos figuras jurídicas”</w:t>
      </w:r>
      <w:r w:rsidRPr="00B10300">
        <w:rPr>
          <w:rFonts w:ascii="Verdana" w:hAnsi="Verdana"/>
          <w:sz w:val="14"/>
          <w:szCs w:val="14"/>
          <w:lang w:val="es-CO"/>
        </w:rPr>
        <w:t xml:space="preserve">, por las razones expuestas en precedencia. </w:t>
      </w:r>
    </w:p>
    <w:p w14:paraId="65814814" w14:textId="77777777" w:rsidR="002B64AF" w:rsidRPr="00B10300" w:rsidRDefault="002B64AF" w:rsidP="002B64AF">
      <w:pPr>
        <w:pStyle w:val="Textonotapie"/>
        <w:ind w:firstLine="709"/>
        <w:jc w:val="both"/>
        <w:rPr>
          <w:rFonts w:ascii="Verdana" w:hAnsi="Verdana"/>
          <w:sz w:val="14"/>
          <w:szCs w:val="14"/>
          <w:lang w:val="es-CO"/>
        </w:rPr>
      </w:pPr>
      <w:r w:rsidRPr="00B10300">
        <w:rPr>
          <w:rFonts w:ascii="Verdana" w:hAnsi="Verdana"/>
          <w:sz w:val="14"/>
          <w:szCs w:val="14"/>
          <w:lang w:val="es-CO"/>
        </w:rPr>
        <w:t>SEGUNDO: DECRETAR</w:t>
      </w:r>
      <w:r w:rsidRPr="00B10300">
        <w:rPr>
          <w:rFonts w:ascii="Verdana" w:hAnsi="Verdana"/>
          <w:b/>
          <w:bCs/>
          <w:sz w:val="14"/>
          <w:szCs w:val="14"/>
          <w:lang w:val="es-CO"/>
        </w:rPr>
        <w:t xml:space="preserve"> </w:t>
      </w:r>
      <w:r w:rsidRPr="00B10300">
        <w:rPr>
          <w:rFonts w:ascii="Verdana" w:hAnsi="Verdana"/>
          <w:sz w:val="14"/>
          <w:szCs w:val="14"/>
          <w:lang w:val="es-CO"/>
        </w:rPr>
        <w:t>la suspensión provisional de la expresión “</w:t>
      </w:r>
      <w:r w:rsidRPr="00B10300">
        <w:rPr>
          <w:rFonts w:ascii="Verdana" w:hAnsi="Verdana"/>
          <w:i/>
          <w:iCs/>
          <w:sz w:val="14"/>
          <w:szCs w:val="14"/>
          <w:lang w:val="es-CO"/>
        </w:rPr>
        <w:t>contratos</w:t>
      </w:r>
      <w:r w:rsidRPr="00B10300">
        <w:rPr>
          <w:rFonts w:ascii="Verdana" w:hAnsi="Verdana"/>
          <w:sz w:val="14"/>
          <w:szCs w:val="14"/>
          <w:lang w:val="es-CO"/>
        </w:rPr>
        <w:t xml:space="preserve">” y del párrafo </w:t>
      </w:r>
      <w:r w:rsidRPr="00B10300">
        <w:rPr>
          <w:rFonts w:ascii="Verdana" w:hAnsi="Verdana"/>
          <w:i/>
          <w:iCs/>
          <w:sz w:val="14"/>
          <w:szCs w:val="14"/>
          <w:lang w:val="es-CO"/>
        </w:rPr>
        <w:t>“[e]n este sentido, la prohibición que establece el parágrafo del artículo 38 de la Ley de Garantías consiste en evitar que los recursos del Estado se ejecuten para lograr apoyos indebidos mediante la suscripción de contratos (…) que, para efectos de la Ley de Garantías, tienen la misma connotación y propósito</w:t>
      </w:r>
      <w:r w:rsidRPr="00B10300">
        <w:rPr>
          <w:rFonts w:ascii="Verdana" w:hAnsi="Verdana"/>
          <w:sz w:val="14"/>
          <w:szCs w:val="14"/>
          <w:lang w:val="es-CO"/>
        </w:rPr>
        <w:t xml:space="preserve">”, contenidos en el inciso cuarto del numeral 16.2 de la Circular Externa única, versión 3 del 27 de diciembre de 2023, expedida por la Agencia Nacional de Contratación Pública – Colombia Compra Eficiente, por las razones expuestas de manera precedente”. Consejo de Estado, Sección Tercera. Auto del 6 de noviembre de 2025. Exp. 72.424. C.P: Fernando Alexei Pardo Florez. </w:t>
      </w:r>
    </w:p>
    <w:p w14:paraId="2BB7103E" w14:textId="77777777" w:rsidR="002B64AF" w:rsidRPr="00B10300" w:rsidRDefault="002B64AF" w:rsidP="002B64AF">
      <w:pPr>
        <w:pStyle w:val="Textonotapie"/>
        <w:ind w:firstLine="709"/>
        <w:jc w:val="both"/>
        <w:rPr>
          <w:rFonts w:ascii="Verdana" w:hAnsi="Verdana" w:cs="Arial"/>
          <w:sz w:val="14"/>
          <w:szCs w:val="14"/>
          <w:lang w:val="es-CO"/>
        </w:rPr>
      </w:pPr>
    </w:p>
  </w:footnote>
  <w:footnote w:id="14">
    <w:p w14:paraId="28F6E05C" w14:textId="77777777" w:rsidR="002B64AF" w:rsidRPr="00064355" w:rsidRDefault="002B64AF" w:rsidP="002B64AF">
      <w:pPr>
        <w:spacing w:after="0" w:line="240" w:lineRule="auto"/>
        <w:ind w:firstLine="709"/>
        <w:contextualSpacing/>
        <w:jc w:val="both"/>
        <w:rPr>
          <w:rFonts w:ascii="Verdana" w:eastAsia="Times New Roman" w:hAnsi="Verdana" w:cs="Times New Roman"/>
          <w:sz w:val="14"/>
          <w:szCs w:val="14"/>
          <w:lang w:eastAsia="es-ES"/>
        </w:rPr>
      </w:pPr>
      <w:r w:rsidRPr="00064355">
        <w:rPr>
          <w:rStyle w:val="Refdenotaalpie"/>
          <w:rFonts w:ascii="Verdana" w:hAnsi="Verdana"/>
          <w:sz w:val="14"/>
          <w:szCs w:val="14"/>
        </w:rPr>
        <w:footnoteRef/>
      </w:r>
      <w:r w:rsidRPr="00064355">
        <w:rPr>
          <w:rFonts w:ascii="Verdana" w:hAnsi="Verdana"/>
          <w:sz w:val="14"/>
          <w:szCs w:val="14"/>
        </w:rPr>
        <w:t xml:space="preserve"> </w:t>
      </w:r>
      <w:r w:rsidRPr="00064355">
        <w:rPr>
          <w:rFonts w:ascii="Verdana" w:eastAsia="Times New Roman" w:hAnsi="Verdana" w:cs="Times New Roman"/>
          <w:sz w:val="14"/>
          <w:szCs w:val="14"/>
          <w:lang w:eastAsia="es-ES"/>
        </w:rPr>
        <w:t xml:space="preserve">Consejo de Estado. Sala de lo Contencioso Administrativo. Sección Tercera. Subsección B. 17 de octubre de 2025. Magistrado Ponente: Fredy Ibarra Martínez.  </w:t>
      </w:r>
      <w:r w:rsidRPr="00064355">
        <w:rPr>
          <w:rFonts w:ascii="Verdana" w:hAnsi="Verdana"/>
          <w:sz w:val="14"/>
          <w:szCs w:val="14"/>
        </w:rPr>
        <w:t xml:space="preserve">La parte de la providencia señala: </w:t>
      </w:r>
      <w:r w:rsidRPr="00064355">
        <w:rPr>
          <w:rFonts w:ascii="Verdana" w:eastAsia="Times New Roman" w:hAnsi="Verdana" w:cs="Times New Roman"/>
          <w:sz w:val="14"/>
          <w:szCs w:val="14"/>
          <w:lang w:eastAsia="es-ES"/>
        </w:rPr>
        <w:t>Declárase la nulidad parcial del numeral 16.2 de la Circular Externa Única de 2022 expedida por la Agencia Nacional de Contratación Pública -Colombia Compra Eficiente-, concretamente, de los siguientes apartes normativos: i) el inciso tercero que dispone: “Esta restricción es aplicable tanto a los convenios como a los contratos interadministrativos, toda vez que, al no existir definición legal que diferencie el concepto de convenio del concepto de contrato, la denominación prevista por la Ley 80 de 1993 y la Ley 1150 de 2007 para tal fin se entenderán en el mismo sentido. Es así como el Decreto 1082 de 2015 trata indistintamente a los convenios y contratos interadministrativos, al establecer la contratación directa como la modalidad de selección para la contratación entre entidades públicas a través de estas dos figuras jurídicas” y, ii) la expresión y el siguiente párrafo contenidos en el inciso quinto “contratos” y “En este sentido, la prohibición que establece el parágrafo del artículo 38 de la Ley de Garantías consiste en evitar que los recursos del Estado se ejecuten para lograr apoyos indebidos mediante la suscripción de contratos y/o convenios, que, para efectos de la Ley de Garantías, tienen la misma connotación y propósito”.</w:t>
      </w:r>
    </w:p>
  </w:footnote>
  <w:footnote w:id="15">
    <w:p w14:paraId="2209E7FD" w14:textId="77777777" w:rsidR="002B64AF" w:rsidRDefault="002B64AF" w:rsidP="002B64AF">
      <w:pPr>
        <w:pStyle w:val="Textonotapie"/>
        <w:ind w:firstLine="709"/>
        <w:jc w:val="both"/>
        <w:rPr>
          <w:rFonts w:ascii="Verdana" w:hAnsi="Verdana"/>
          <w:sz w:val="14"/>
          <w:szCs w:val="14"/>
        </w:rPr>
      </w:pPr>
      <w:r w:rsidRPr="00064355">
        <w:rPr>
          <w:rStyle w:val="Refdenotaalpie"/>
          <w:rFonts w:ascii="Verdana" w:hAnsi="Verdana"/>
          <w:sz w:val="14"/>
          <w:szCs w:val="14"/>
        </w:rPr>
        <w:footnoteRef/>
      </w:r>
      <w:r w:rsidRPr="00064355">
        <w:rPr>
          <w:rFonts w:ascii="Verdana" w:hAnsi="Verdana"/>
          <w:sz w:val="14"/>
          <w:szCs w:val="14"/>
        </w:rPr>
        <w:t xml:space="preserve"> No </w:t>
      </w:r>
      <w:r w:rsidRPr="00B10300">
        <w:rPr>
          <w:rFonts w:ascii="Verdana" w:hAnsi="Verdana"/>
          <w:sz w:val="14"/>
          <w:szCs w:val="14"/>
        </w:rPr>
        <w:t>obstante,</w:t>
      </w:r>
      <w:r w:rsidRPr="00064355">
        <w:rPr>
          <w:rFonts w:ascii="Verdana" w:hAnsi="Verdana"/>
          <w:sz w:val="14"/>
          <w:szCs w:val="14"/>
        </w:rPr>
        <w:t xml:space="preserve"> lo anterior, es importante mencionar que aún se encuentra por definir la demanda de nulidad simple, identificada con el Radicado número 11001-03-26-000-2025-00016-00, en la cual se cuestiona parcialmente el numeral 16.2 de la Circular Externa Única CCE-EICP-MA-06, Versión 03 del 27 de diciembre de 2023.</w:t>
      </w:r>
    </w:p>
    <w:p w14:paraId="7115A215" w14:textId="77777777" w:rsidR="002B64AF" w:rsidRPr="00064355" w:rsidRDefault="002B64AF" w:rsidP="002B64AF">
      <w:pPr>
        <w:pStyle w:val="Textonotapie"/>
        <w:ind w:firstLine="709"/>
        <w:jc w:val="both"/>
        <w:rPr>
          <w:rFonts w:ascii="Verdana" w:hAnsi="Verdana"/>
          <w:sz w:val="14"/>
          <w:szCs w:val="14"/>
          <w:lang w:val="es-CO"/>
        </w:rPr>
      </w:pPr>
    </w:p>
  </w:footnote>
  <w:footnote w:id="16">
    <w:p w14:paraId="65F80347" w14:textId="77777777" w:rsidR="002B64AF" w:rsidRPr="00B10300" w:rsidRDefault="002B64AF" w:rsidP="002B64AF">
      <w:pPr>
        <w:pStyle w:val="Textonotapie"/>
        <w:ind w:firstLine="709"/>
        <w:jc w:val="both"/>
        <w:rPr>
          <w:rFonts w:ascii="Verdana" w:hAnsi="Verdana" w:cs="Arial"/>
          <w:sz w:val="14"/>
          <w:szCs w:val="14"/>
        </w:rPr>
      </w:pPr>
      <w:r w:rsidRPr="00B10300">
        <w:rPr>
          <w:rStyle w:val="Refdenotaalpie"/>
          <w:rFonts w:ascii="Verdana" w:hAnsi="Verdana" w:cs="Arial"/>
          <w:sz w:val="14"/>
          <w:szCs w:val="14"/>
        </w:rPr>
        <w:footnoteRef/>
      </w:r>
      <w:r w:rsidRPr="00B10300">
        <w:rPr>
          <w:rFonts w:ascii="Verdana" w:hAnsi="Verdana" w:cs="Arial"/>
          <w:sz w:val="14"/>
          <w:szCs w:val="14"/>
        </w:rPr>
        <w:t xml:space="preserve"> Consejo de Estado. Sala de Consulta y Servicio Civil. Concepto del 15 de noviembre de 2007. Expediente número 1863. Consejero Ponente: Luis Fernando Álvarez Jaramillo.</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2pt;height:12pt" o:bullet="t">
        <v:imagedata r:id="rId1" o:title="mso1B13"/>
      </v:shape>
    </w:pict>
  </w:numPicBullet>
  <w:abstractNum w:abstractNumId="0" w15:restartNumberingAfterBreak="0">
    <w:nsid w:val="01C06310"/>
    <w:multiLevelType w:val="multilevel"/>
    <w:tmpl w:val="47FE4C7E"/>
    <w:lvl w:ilvl="0">
      <w:start w:val="1"/>
      <w:numFmt w:val="upperRoman"/>
      <w:lvlText w:val="%1."/>
      <w:lvlJc w:val="right"/>
      <w:pPr>
        <w:ind w:left="1068" w:hanging="360"/>
      </w:pPr>
      <w:rPr>
        <w:b/>
        <w:color w:val="000000" w:themeColor="text1"/>
      </w:rPr>
    </w:lvl>
    <w:lvl w:ilvl="1">
      <w:start w:val="2"/>
      <w:numFmt w:val="decimal"/>
      <w:isLgl/>
      <w:lvlText w:val="%1.%2"/>
      <w:lvlJc w:val="left"/>
      <w:pPr>
        <w:ind w:left="708" w:hanging="360"/>
      </w:pPr>
    </w:lvl>
    <w:lvl w:ilvl="2">
      <w:start w:val="1"/>
      <w:numFmt w:val="decimal"/>
      <w:isLgl/>
      <w:lvlText w:val="%1.%2.%3"/>
      <w:lvlJc w:val="left"/>
      <w:pPr>
        <w:ind w:left="1428" w:hanging="720"/>
      </w:pPr>
    </w:lvl>
    <w:lvl w:ilvl="3">
      <w:start w:val="1"/>
      <w:numFmt w:val="decimal"/>
      <w:isLgl/>
      <w:lvlText w:val="%1.%2.%3.%4"/>
      <w:lvlJc w:val="left"/>
      <w:pPr>
        <w:ind w:left="1428" w:hanging="720"/>
      </w:pPr>
    </w:lvl>
    <w:lvl w:ilvl="4">
      <w:start w:val="1"/>
      <w:numFmt w:val="decimal"/>
      <w:isLgl/>
      <w:lvlText w:val="%1.%2.%3.%4.%5"/>
      <w:lvlJc w:val="left"/>
      <w:pPr>
        <w:ind w:left="1788" w:hanging="1080"/>
      </w:pPr>
    </w:lvl>
    <w:lvl w:ilvl="5">
      <w:start w:val="1"/>
      <w:numFmt w:val="decimal"/>
      <w:isLgl/>
      <w:lvlText w:val="%1.%2.%3.%4.%5.%6"/>
      <w:lvlJc w:val="left"/>
      <w:pPr>
        <w:ind w:left="1788" w:hanging="1080"/>
      </w:pPr>
    </w:lvl>
    <w:lvl w:ilvl="6">
      <w:start w:val="1"/>
      <w:numFmt w:val="decimal"/>
      <w:isLgl/>
      <w:lvlText w:val="%1.%2.%3.%4.%5.%6.%7"/>
      <w:lvlJc w:val="left"/>
      <w:pPr>
        <w:ind w:left="2148" w:hanging="1440"/>
      </w:pPr>
    </w:lvl>
    <w:lvl w:ilvl="7">
      <w:start w:val="1"/>
      <w:numFmt w:val="decimal"/>
      <w:isLgl/>
      <w:lvlText w:val="%1.%2.%3.%4.%5.%6.%7.%8"/>
      <w:lvlJc w:val="left"/>
      <w:pPr>
        <w:ind w:left="2148" w:hanging="1440"/>
      </w:pPr>
    </w:lvl>
    <w:lvl w:ilvl="8">
      <w:start w:val="1"/>
      <w:numFmt w:val="decimal"/>
      <w:isLgl/>
      <w:lvlText w:val="%1.%2.%3.%4.%5.%6.%7.%8.%9"/>
      <w:lvlJc w:val="left"/>
      <w:pPr>
        <w:ind w:left="2508"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0"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6"/>
  </w:num>
  <w:num w:numId="2" w16cid:durableId="19822139">
    <w:abstractNumId w:val="2"/>
  </w:num>
  <w:num w:numId="3" w16cid:durableId="876742304">
    <w:abstractNumId w:val="4"/>
  </w:num>
  <w:num w:numId="4" w16cid:durableId="24518640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3"/>
  </w:num>
  <w:num w:numId="7" w16cid:durableId="1946422806">
    <w:abstractNumId w:val="5"/>
  </w:num>
  <w:num w:numId="8" w16cid:durableId="152644682">
    <w:abstractNumId w:val="12"/>
  </w:num>
  <w:num w:numId="9" w16cid:durableId="1317221377">
    <w:abstractNumId w:val="7"/>
  </w:num>
  <w:num w:numId="10" w16cid:durableId="1471245386">
    <w:abstractNumId w:val="11"/>
  </w:num>
  <w:num w:numId="11" w16cid:durableId="289172385">
    <w:abstractNumId w:val="8"/>
  </w:num>
  <w:num w:numId="12" w16cid:durableId="1470781324">
    <w:abstractNumId w:val="1"/>
  </w:num>
  <w:num w:numId="13" w16cid:durableId="1512908409">
    <w:abstractNumId w:val="3"/>
  </w:num>
  <w:num w:numId="14" w16cid:durableId="895897244">
    <w:abstractNumId w:val="14"/>
  </w:num>
  <w:num w:numId="15" w16cid:durableId="390349800">
    <w:abstractNumId w:val="10"/>
  </w:num>
  <w:num w:numId="16" w16cid:durableId="1330140246">
    <w:abstractNumId w:val="0"/>
  </w:num>
  <w:num w:numId="17" w16cid:durableId="679089576">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46945"/>
    <w:rsid w:val="00061B2A"/>
    <w:rsid w:val="00082362"/>
    <w:rsid w:val="000A683E"/>
    <w:rsid w:val="000B19B9"/>
    <w:rsid w:val="000D0334"/>
    <w:rsid w:val="000D5DA7"/>
    <w:rsid w:val="000F6486"/>
    <w:rsid w:val="00116940"/>
    <w:rsid w:val="00125105"/>
    <w:rsid w:val="00127233"/>
    <w:rsid w:val="0015699B"/>
    <w:rsid w:val="001A33BF"/>
    <w:rsid w:val="001E4177"/>
    <w:rsid w:val="001F0B24"/>
    <w:rsid w:val="001F7DC6"/>
    <w:rsid w:val="0022400B"/>
    <w:rsid w:val="002421BB"/>
    <w:rsid w:val="0025796E"/>
    <w:rsid w:val="002707A2"/>
    <w:rsid w:val="0028774F"/>
    <w:rsid w:val="002951A0"/>
    <w:rsid w:val="002962BC"/>
    <w:rsid w:val="002A093D"/>
    <w:rsid w:val="002A0DD0"/>
    <w:rsid w:val="002A49AC"/>
    <w:rsid w:val="002A64FD"/>
    <w:rsid w:val="002B64AF"/>
    <w:rsid w:val="002C7A84"/>
    <w:rsid w:val="002D5BEA"/>
    <w:rsid w:val="002E2BF8"/>
    <w:rsid w:val="002E4FD9"/>
    <w:rsid w:val="0030657A"/>
    <w:rsid w:val="00322A85"/>
    <w:rsid w:val="00324168"/>
    <w:rsid w:val="00330834"/>
    <w:rsid w:val="003448F4"/>
    <w:rsid w:val="00374F5E"/>
    <w:rsid w:val="00377E3E"/>
    <w:rsid w:val="003A779E"/>
    <w:rsid w:val="003C6608"/>
    <w:rsid w:val="003D0F4D"/>
    <w:rsid w:val="003D5B0D"/>
    <w:rsid w:val="003E0499"/>
    <w:rsid w:val="003E4F80"/>
    <w:rsid w:val="003E6439"/>
    <w:rsid w:val="003F3941"/>
    <w:rsid w:val="00406575"/>
    <w:rsid w:val="00414C74"/>
    <w:rsid w:val="0042722E"/>
    <w:rsid w:val="0044528D"/>
    <w:rsid w:val="00466E39"/>
    <w:rsid w:val="004A1847"/>
    <w:rsid w:val="004A305D"/>
    <w:rsid w:val="004F21C4"/>
    <w:rsid w:val="004F685F"/>
    <w:rsid w:val="005566E8"/>
    <w:rsid w:val="00574867"/>
    <w:rsid w:val="00591460"/>
    <w:rsid w:val="005A65E0"/>
    <w:rsid w:val="005C3777"/>
    <w:rsid w:val="005C5CDC"/>
    <w:rsid w:val="005D476C"/>
    <w:rsid w:val="006200BF"/>
    <w:rsid w:val="006219F8"/>
    <w:rsid w:val="006302F7"/>
    <w:rsid w:val="00646B9F"/>
    <w:rsid w:val="00665D70"/>
    <w:rsid w:val="006900D9"/>
    <w:rsid w:val="006C28BD"/>
    <w:rsid w:val="00706C16"/>
    <w:rsid w:val="007340C3"/>
    <w:rsid w:val="0075235A"/>
    <w:rsid w:val="00756841"/>
    <w:rsid w:val="007649AB"/>
    <w:rsid w:val="00771D0C"/>
    <w:rsid w:val="007833AC"/>
    <w:rsid w:val="00783A4E"/>
    <w:rsid w:val="007B268C"/>
    <w:rsid w:val="007B7171"/>
    <w:rsid w:val="007C0C0F"/>
    <w:rsid w:val="007C3DC2"/>
    <w:rsid w:val="007E5497"/>
    <w:rsid w:val="00806F5F"/>
    <w:rsid w:val="00820278"/>
    <w:rsid w:val="008258C9"/>
    <w:rsid w:val="00844AE9"/>
    <w:rsid w:val="00867F95"/>
    <w:rsid w:val="008843B6"/>
    <w:rsid w:val="00891928"/>
    <w:rsid w:val="008A446D"/>
    <w:rsid w:val="008B25F1"/>
    <w:rsid w:val="008D180B"/>
    <w:rsid w:val="008F0EA7"/>
    <w:rsid w:val="00923EEF"/>
    <w:rsid w:val="009419F9"/>
    <w:rsid w:val="0095685E"/>
    <w:rsid w:val="00961B09"/>
    <w:rsid w:val="00965334"/>
    <w:rsid w:val="0097093E"/>
    <w:rsid w:val="009A0DFA"/>
    <w:rsid w:val="009A1C6F"/>
    <w:rsid w:val="009B2D26"/>
    <w:rsid w:val="009C71FA"/>
    <w:rsid w:val="009C72E7"/>
    <w:rsid w:val="009C7F7E"/>
    <w:rsid w:val="009D3058"/>
    <w:rsid w:val="009F3A13"/>
    <w:rsid w:val="00A122D3"/>
    <w:rsid w:val="00A14468"/>
    <w:rsid w:val="00A17F13"/>
    <w:rsid w:val="00A2016E"/>
    <w:rsid w:val="00A20739"/>
    <w:rsid w:val="00A23AF9"/>
    <w:rsid w:val="00A33C78"/>
    <w:rsid w:val="00A72F8A"/>
    <w:rsid w:val="00A960C0"/>
    <w:rsid w:val="00AB0ADB"/>
    <w:rsid w:val="00B00C0E"/>
    <w:rsid w:val="00B01B1A"/>
    <w:rsid w:val="00B0381D"/>
    <w:rsid w:val="00B44A47"/>
    <w:rsid w:val="00B5359A"/>
    <w:rsid w:val="00B72CD3"/>
    <w:rsid w:val="00B72FFF"/>
    <w:rsid w:val="00BC3D36"/>
    <w:rsid w:val="00BD54A6"/>
    <w:rsid w:val="00BD7F72"/>
    <w:rsid w:val="00BF5D70"/>
    <w:rsid w:val="00BF7425"/>
    <w:rsid w:val="00C04FB3"/>
    <w:rsid w:val="00C11D8B"/>
    <w:rsid w:val="00C15139"/>
    <w:rsid w:val="00C330EB"/>
    <w:rsid w:val="00C50D69"/>
    <w:rsid w:val="00C5365C"/>
    <w:rsid w:val="00C754BE"/>
    <w:rsid w:val="00C76B1C"/>
    <w:rsid w:val="00C9249B"/>
    <w:rsid w:val="00C925AC"/>
    <w:rsid w:val="00CB6357"/>
    <w:rsid w:val="00CC1B26"/>
    <w:rsid w:val="00D361FD"/>
    <w:rsid w:val="00D423A2"/>
    <w:rsid w:val="00D44E26"/>
    <w:rsid w:val="00D520D8"/>
    <w:rsid w:val="00D63AC2"/>
    <w:rsid w:val="00D7383B"/>
    <w:rsid w:val="00D7788A"/>
    <w:rsid w:val="00DA231B"/>
    <w:rsid w:val="00DC39FC"/>
    <w:rsid w:val="00DF5254"/>
    <w:rsid w:val="00E02524"/>
    <w:rsid w:val="00E16408"/>
    <w:rsid w:val="00E207E7"/>
    <w:rsid w:val="00E20894"/>
    <w:rsid w:val="00E245AB"/>
    <w:rsid w:val="00E2764C"/>
    <w:rsid w:val="00E27F2E"/>
    <w:rsid w:val="00E50AFE"/>
    <w:rsid w:val="00E51D51"/>
    <w:rsid w:val="00E75C92"/>
    <w:rsid w:val="00E771DC"/>
    <w:rsid w:val="00E8772A"/>
    <w:rsid w:val="00E90F6B"/>
    <w:rsid w:val="00E92C27"/>
    <w:rsid w:val="00EA0E3D"/>
    <w:rsid w:val="00EA7D27"/>
    <w:rsid w:val="00EC38A7"/>
    <w:rsid w:val="00ED632F"/>
    <w:rsid w:val="00EE1AA8"/>
    <w:rsid w:val="00F23FEA"/>
    <w:rsid w:val="00F31EDC"/>
    <w:rsid w:val="00F462B3"/>
    <w:rsid w:val="00F5664F"/>
    <w:rsid w:val="00F666C4"/>
    <w:rsid w:val="00F76AFC"/>
    <w:rsid w:val="00F85654"/>
    <w:rsid w:val="00FA47C0"/>
    <w:rsid w:val="00FB5DD1"/>
    <w:rsid w:val="00FC2B5D"/>
    <w:rsid w:val="00FF1449"/>
    <w:rsid w:val="00FF7963"/>
    <w:rsid w:val="055AFC98"/>
    <w:rsid w:val="071B8F93"/>
    <w:rsid w:val="09908A09"/>
    <w:rsid w:val="0FF4CCA8"/>
    <w:rsid w:val="11C77E75"/>
    <w:rsid w:val="13CFC91B"/>
    <w:rsid w:val="19A2EC2C"/>
    <w:rsid w:val="2859CA1B"/>
    <w:rsid w:val="32A4F9CF"/>
    <w:rsid w:val="356CEDFD"/>
    <w:rsid w:val="69614A15"/>
    <w:rsid w:val="732396C5"/>
    <w:rsid w:val="75F3E463"/>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2B64AF"/>
    <w:pPr>
      <w:spacing w:line="240" w:lineRule="exact"/>
    </w:pPr>
    <w:rPr>
      <w:vertAlign w:val="superscript"/>
    </w:rPr>
  </w:style>
  <w:style w:type="table" w:customStyle="1" w:styleId="Tablaconcuadrcula1">
    <w:name w:val="Tabla con cuadrícula1"/>
    <w:basedOn w:val="Tablanormal"/>
    <w:next w:val="Tablaconcuadrcula"/>
    <w:uiPriority w:val="39"/>
    <w:qFormat/>
    <w:rsid w:val="002B64AF"/>
    <w:pPr>
      <w:spacing w:after="0" w:line="240" w:lineRule="auto"/>
    </w:pPr>
    <w:tblPr/>
  </w:style>
  <w:style w:type="paragraph" w:styleId="Textocomentario">
    <w:name w:val="annotation text"/>
    <w:basedOn w:val="Normal"/>
    <w:link w:val="TextocomentarioCar"/>
    <w:uiPriority w:val="99"/>
    <w:semiHidden/>
    <w:unhideWhenUsed/>
    <w:rsid w:val="00E51D51"/>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E51D51"/>
    <w:rPr>
      <w:sz w:val="20"/>
      <w:szCs w:val="20"/>
    </w:rPr>
  </w:style>
  <w:style w:type="character" w:styleId="Refdecomentario">
    <w:name w:val="annotation reference"/>
    <w:basedOn w:val="Fuentedeprrafopredeter"/>
    <w:uiPriority w:val="99"/>
    <w:semiHidden/>
    <w:unhideWhenUsed/>
    <w:rsid w:val="00E51D51"/>
    <w:rPr>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relatoria.colombiacompra.gov.co/busqueda/conceptos" TargetMode="External"/><Relationship Id="rId18" Type="http://schemas.openxmlformats.org/officeDocument/2006/relationships/image" Target="media/image3.png"/><Relationship Id="rId3" Type="http://schemas.openxmlformats.org/officeDocument/2006/relationships/customXml" Target="../customXml/item3.xml"/><Relationship Id="rId21" Type="http://schemas.openxmlformats.org/officeDocument/2006/relationships/fontTable" Target="fontTable.xml"/><Relationship Id="rId7" Type="http://schemas.openxmlformats.org/officeDocument/2006/relationships/webSettings" Target="webSettings.xml"/><Relationship Id="rId12" Type="http://schemas.openxmlformats.org/officeDocument/2006/relationships/hyperlink" Target="https://www.colombiacompra.gov.co/archivos/circular/circular-externa-006-de-2025" TargetMode="External"/><Relationship Id="rId17" Type="http://schemas.openxmlformats.org/officeDocument/2006/relationships/hyperlink" Target="https://forms.office.com/r/pPHyWVs2SZ" TargetMode="External"/><Relationship Id="rId2" Type="http://schemas.openxmlformats.org/officeDocument/2006/relationships/customXml" Target="../customXml/item2.xml"/><Relationship Id="rId16" Type="http://schemas.openxmlformats.org/officeDocument/2006/relationships/hyperlink" Target="https://www.colombiacompra.gov.co/pqrsd/informacion-importante-antes-de-formular-una-pqrsd" TargetMode="External"/><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mauricio.garcia@culturantioquia.gov.co" TargetMode="External"/><Relationship Id="rId5" Type="http://schemas.openxmlformats.org/officeDocument/2006/relationships/styles" Target="styles.xml"/><Relationship Id="rId15" Type="http://schemas.openxmlformats.org/officeDocument/2006/relationships/hyperlink" Target="mailto:ventanilladeradicacion@colombiacompra.gov.co" TargetMode="External"/><Relationship Id="rId10" Type="http://schemas.openxmlformats.org/officeDocument/2006/relationships/image" Target="media/image2.png"/><Relationship Id="rId19"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nam02.safelinks.protection.outlook.com/?url=https%3A%2F%2Fwww.colombiacompra.gov.co%2Fwp-content%2Fuploads%2F2025%2F05%2FGUIA-DE-LINEAMIENTOS-DE-TRANSPARENCIA-Y-SELECCION-OBJETIVA-1.0.pdf&amp;data=05%7C02%7Calejandro.sarmiento%40colombiacompra.gov.co%7Ca6218c48ccc04b19a61108dd97aecc6f%7C7b09041e245149d08cb179d5e3d8c1be%7C0%7C0%7C638833499204031869%7CUnknown%7CTWFpbGZsb3d8eyJFbXB0eU1hcGkiOnRydWUsIlYiOiIwLjAuMDAwMCIsIlAiOiJXaW4zMiIsIkFOIjoiTWFpbCIsIldUIjoyfQ%3D%3D%7C0%7C%7C%7C&amp;sdata=BNPGPGRZZPHN9b0zJi5VJtxyBM8%2Fb8kWxn04BiZ%2ByF4%3D&amp;reserved=0" TargetMode="External"/><Relationship Id="rId22" Type="http://schemas.openxmlformats.org/officeDocument/2006/relationships/theme" Target="theme/theme1.xm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563816eff7b27c518f4452e301140c9d">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eb2d2e0593e1272b3512cc9bb12824ba"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TaxCatchAll xmlns="a6cb9e4b-f1d1-4245-83ec-6cad768d538a" xsi:nil="true"/>
    <lcf76f155ced4ddcb4097134ff3c332f xmlns="9d85dbaf-23eb-4e57-a637-93dcacc8b1a1">
      <Terms xmlns="http://schemas.microsoft.com/office/infopath/2007/PartnerControls"/>
    </lcf76f155ced4ddcb4097134ff3c332f>
    <No xmlns="9d85dbaf-23eb-4e57-a637-93dcacc8b1a1" xsi:nil="true"/>
    <_Flow_SignoffStatus xmlns="9d85dbaf-23eb-4e57-a637-93dcacc8b1a1"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52AE02C3-C416-4115-9C0D-472CF2FF6C44}"/>
</file>

<file path=customXml/itemProps2.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8ae15d26-076e-464e-81a7-6f76a0fb3917"/>
    <ds:schemaRef ds:uri="1aae7ce2-01f1-44de-ad9f-ef43eb06f92c"/>
  </ds:schemaRefs>
</ds:datastoreItem>
</file>

<file path=customXml/itemProps3.xml><?xml version="1.0" encoding="utf-8"?>
<ds:datastoreItem xmlns:ds="http://schemas.openxmlformats.org/officeDocument/2006/customXml" ds:itemID="{19B0637E-D058-473B-8FE7-AA861F69C797}">
  <ds:schemaRefs>
    <ds:schemaRef ds:uri="http://schemas.microsoft.com/sharepoint/v3/contenttype/forms"/>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Normal.dotm</Template>
  <TotalTime>4</TotalTime>
  <Pages>18</Pages>
  <Words>5484</Words>
  <Characters>30218</Characters>
  <Application>Microsoft Office Word</Application>
  <DocSecurity>0</DocSecurity>
  <Lines>604</Lines>
  <Paragraphs>126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35576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Richard Andrés Montenegro Siefken</cp:lastModifiedBy>
  <cp:revision>4</cp:revision>
  <cp:lastPrinted>2023-01-10T21:18:00Z</cp:lastPrinted>
  <dcterms:created xsi:type="dcterms:W3CDTF">2025-12-21T23:25:00Z</dcterms:created>
  <dcterms:modified xsi:type="dcterms:W3CDTF">2025-12-23T16:08:00Z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