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60000" w14:textId="77777777" w:rsidR="00312931" w:rsidRPr="008211E7" w:rsidRDefault="00312931" w:rsidP="00312931">
      <w:pPr>
        <w:spacing w:after="0" w:line="240" w:lineRule="auto"/>
        <w:jc w:val="both"/>
        <w:rPr>
          <w:rFonts w:ascii="Verdana" w:eastAsia="Calibri" w:hAnsi="Verdana" w:cs="Arial"/>
          <w:b/>
          <w:color w:val="000000" w:themeColor="text1"/>
          <w:sz w:val="20"/>
          <w:szCs w:val="20"/>
          <w:lang w:val="es-ES_tradnl"/>
        </w:rPr>
      </w:pPr>
    </w:p>
    <w:p w14:paraId="3B3AAD7B" w14:textId="77777777" w:rsidR="00312931" w:rsidRPr="008211E7" w:rsidRDefault="00312931" w:rsidP="00312931">
      <w:pPr>
        <w:spacing w:after="0" w:line="240" w:lineRule="auto"/>
        <w:jc w:val="both"/>
        <w:rPr>
          <w:rFonts w:ascii="Verdana" w:hAnsi="Verdana" w:cs="Arial"/>
          <w:b/>
          <w:lang w:val="es-ES_tradnl" w:eastAsia="es-ES"/>
        </w:rPr>
      </w:pPr>
      <w:r w:rsidRPr="008211E7">
        <w:rPr>
          <w:rFonts w:ascii="Verdana" w:hAnsi="Verdana" w:cs="Arial"/>
          <w:b/>
          <w:lang w:val="es-ES_tradnl" w:eastAsia="es-ES"/>
        </w:rPr>
        <w:t xml:space="preserve">LIQUIDACIÓN DEL CONTRATO – Definición – Objetivo </w:t>
      </w:r>
    </w:p>
    <w:p w14:paraId="551E2B57" w14:textId="77777777" w:rsidR="00312931" w:rsidRPr="008211E7" w:rsidRDefault="00312931" w:rsidP="00312931">
      <w:pPr>
        <w:spacing w:after="0" w:line="240" w:lineRule="auto"/>
        <w:jc w:val="both"/>
        <w:rPr>
          <w:rFonts w:ascii="Verdana" w:hAnsi="Verdana" w:cs="Arial"/>
          <w:b/>
          <w:sz w:val="20"/>
          <w:szCs w:val="20"/>
          <w:lang w:val="es-ES_tradnl" w:eastAsia="es-ES"/>
        </w:rPr>
      </w:pPr>
    </w:p>
    <w:p w14:paraId="0171896B" w14:textId="77777777" w:rsidR="00312931" w:rsidRPr="008211E7" w:rsidRDefault="00312931" w:rsidP="00312931">
      <w:pPr>
        <w:spacing w:after="0" w:line="240" w:lineRule="auto"/>
        <w:jc w:val="both"/>
        <w:rPr>
          <w:rFonts w:ascii="Verdana" w:hAnsi="Verdana" w:cs="Arial"/>
          <w:sz w:val="20"/>
          <w:szCs w:val="20"/>
          <w:lang w:val="es-ES_tradnl"/>
        </w:rPr>
      </w:pPr>
      <w:r w:rsidRPr="008211E7">
        <w:rPr>
          <w:rFonts w:ascii="Verdana" w:hAnsi="Verdana" w:cs="Arial"/>
          <w:sz w:val="20"/>
          <w:szCs w:val="20"/>
          <w:lang w:val="es-ES_tradnl"/>
        </w:rPr>
        <w:t xml:space="preserve">La liquidación del contrato estatal es el ajuste de cuentas en el cual se realiza un balance económico, técnico y jurídico del negocio. Así lo manifestó el Consejo de Estado en la sentencia del 20 de octubre de 2014, en la que consideró, por un lado, que </w:t>
      </w:r>
      <w:r w:rsidRPr="008211E7">
        <w:rPr>
          <w:rFonts w:ascii="Verdana" w:hAnsi="Verdana" w:cs="Arial"/>
          <w:i/>
          <w:iCs/>
          <w:sz w:val="20"/>
          <w:szCs w:val="20"/>
          <w:lang w:val="es-ES_tradnl"/>
        </w:rPr>
        <w:t>liquidar</w:t>
      </w:r>
      <w:r w:rsidRPr="008211E7">
        <w:rPr>
          <w:rFonts w:ascii="Verdana" w:hAnsi="Verdana" w:cs="Arial"/>
          <w:sz w:val="20"/>
          <w:szCs w:val="20"/>
          <w:lang w:val="es-ES_tradnl"/>
        </w:rPr>
        <w:t xml:space="preserve"> supone un ajuste en relación con las cuentas y el estado de cumplimiento del contrato estatal y, por otro, que la </w:t>
      </w:r>
      <w:r w:rsidRPr="008211E7">
        <w:rPr>
          <w:rFonts w:ascii="Verdana" w:hAnsi="Verdana" w:cs="Arial"/>
          <w:i/>
          <w:iCs/>
          <w:sz w:val="20"/>
          <w:szCs w:val="20"/>
          <w:lang w:val="es-ES_tradnl"/>
        </w:rPr>
        <w:t>liquidación</w:t>
      </w:r>
      <w:r w:rsidRPr="008211E7">
        <w:rPr>
          <w:rFonts w:ascii="Verdana" w:hAnsi="Verdana" w:cs="Arial"/>
          <w:sz w:val="20"/>
          <w:szCs w:val="20"/>
          <w:lang w:val="es-ES_tradnl"/>
        </w:rPr>
        <w:t xml:space="preserve"> debe incluir el análisis de las condiciones de calidad y oportunidad en la entrega de los bienes, obras o servicios, así como el balance económico y el comportamiento financiero del negocio.</w:t>
      </w:r>
    </w:p>
    <w:p w14:paraId="7BB1750E" w14:textId="77777777" w:rsidR="00312931" w:rsidRPr="008211E7" w:rsidRDefault="00312931" w:rsidP="00312931">
      <w:pPr>
        <w:spacing w:after="0" w:line="240" w:lineRule="auto"/>
        <w:jc w:val="both"/>
        <w:rPr>
          <w:rFonts w:ascii="Verdana" w:hAnsi="Verdana" w:cs="Arial"/>
          <w:sz w:val="20"/>
          <w:szCs w:val="20"/>
          <w:lang w:val="es-ES_tradnl" w:eastAsia="es-ES"/>
        </w:rPr>
      </w:pPr>
    </w:p>
    <w:p w14:paraId="61E49A36" w14:textId="77777777" w:rsidR="00312931" w:rsidRPr="008211E7" w:rsidRDefault="00312931" w:rsidP="00312931">
      <w:pPr>
        <w:spacing w:after="0" w:line="240" w:lineRule="auto"/>
        <w:jc w:val="both"/>
        <w:rPr>
          <w:rFonts w:ascii="Verdana" w:hAnsi="Verdana" w:cs="Arial"/>
          <w:b/>
          <w:lang w:val="es-ES_tradnl" w:eastAsia="es-ES"/>
        </w:rPr>
      </w:pPr>
      <w:r w:rsidRPr="008211E7">
        <w:rPr>
          <w:rFonts w:ascii="Verdana" w:hAnsi="Verdana" w:cs="Arial"/>
          <w:b/>
          <w:lang w:val="es-ES_tradnl" w:eastAsia="es-ES"/>
        </w:rPr>
        <w:t xml:space="preserve">LIQUIDACIÓN DEL CONTRATO – Normativa </w:t>
      </w:r>
    </w:p>
    <w:p w14:paraId="19FD063A" w14:textId="77777777" w:rsidR="00312931" w:rsidRPr="008211E7" w:rsidRDefault="00312931" w:rsidP="00312931">
      <w:pPr>
        <w:spacing w:after="0" w:line="240" w:lineRule="auto"/>
        <w:jc w:val="both"/>
        <w:rPr>
          <w:rFonts w:ascii="Verdana" w:hAnsi="Verdana" w:cs="Arial"/>
          <w:sz w:val="20"/>
          <w:szCs w:val="20"/>
          <w:lang w:val="es-ES_tradnl" w:eastAsia="es-ES"/>
        </w:rPr>
      </w:pPr>
    </w:p>
    <w:p w14:paraId="1AE4952C" w14:textId="77777777" w:rsidR="00312931" w:rsidRPr="008211E7" w:rsidRDefault="00312931" w:rsidP="00312931">
      <w:pPr>
        <w:spacing w:after="0" w:line="240" w:lineRule="auto"/>
        <w:jc w:val="both"/>
        <w:rPr>
          <w:rFonts w:ascii="Verdana" w:hAnsi="Verdana" w:cs="Arial"/>
          <w:sz w:val="20"/>
          <w:szCs w:val="20"/>
          <w:lang w:val="es-ES_tradnl" w:eastAsia="es-ES"/>
        </w:rPr>
      </w:pPr>
      <w:r w:rsidRPr="008211E7">
        <w:rPr>
          <w:rFonts w:ascii="Verdana" w:hAnsi="Verdana" w:cs="Arial"/>
          <w:sz w:val="20"/>
          <w:szCs w:val="20"/>
          <w:lang w:val="es-ES_tradnl" w:eastAsia="es-ES"/>
        </w:rPr>
        <w:t xml:space="preserve">Las disposiciones legales que regulan la etapa de liquidación de los contratos estatales son: el artículo 60 de la Ley 80 de 1993, modificado por el artículo 217 del Decreto 019 de 2012, y el artículo 11 de la Ley 1150 de 2007. El primero de estos artículos se refiere al alcance sustantivo de la liquidación, mientras que el segundo contiene reglas procedimentales para su realización. De acuerdo con el artículo 60 de la Ley 80 de 1993, los contratos de tracto sucesivo, aquellos cuyo cumplimiento o ejecución se prolongue en el tiempo y los demás que lo requieran </w:t>
      </w:r>
      <w:r>
        <w:rPr>
          <w:rFonts w:ascii="Verdana" w:hAnsi="Verdana" w:cs="Arial"/>
          <w:sz w:val="20"/>
          <w:szCs w:val="20"/>
          <w:lang w:val="es-ES_tradnl" w:eastAsia="es-ES"/>
        </w:rPr>
        <w:t>“</w:t>
      </w:r>
      <w:r w:rsidRPr="008211E7">
        <w:rPr>
          <w:rFonts w:ascii="Verdana" w:hAnsi="Verdana" w:cs="Arial"/>
          <w:sz w:val="20"/>
          <w:szCs w:val="20"/>
          <w:lang w:val="es-ES_tradnl" w:eastAsia="es-ES"/>
        </w:rPr>
        <w:t>serán objeto de liquidación</w:t>
      </w:r>
      <w:r>
        <w:rPr>
          <w:rFonts w:ascii="Verdana" w:hAnsi="Verdana" w:cs="Arial"/>
          <w:sz w:val="20"/>
          <w:szCs w:val="20"/>
          <w:lang w:val="es-ES_tradnl" w:eastAsia="es-ES"/>
        </w:rPr>
        <w:t>”</w:t>
      </w:r>
      <w:r w:rsidRPr="008211E7">
        <w:rPr>
          <w:rFonts w:ascii="Verdana" w:hAnsi="Verdana" w:cs="Arial"/>
          <w:sz w:val="20"/>
          <w:szCs w:val="20"/>
          <w:lang w:val="es-ES_tradnl" w:eastAsia="es-ES"/>
        </w:rPr>
        <w:t>. El mismo artículo prescribe que no será obligatoria la liquidación en los contratos de prestación de servicios profesionales y de apoyo a la gestión. El artículo 11 de la Ley 1150 de 2007 contiene las reglas de tipo procedimental para liquidar los contratos estatales, […].</w:t>
      </w:r>
    </w:p>
    <w:p w14:paraId="4E3B7201" w14:textId="77777777" w:rsidR="00312931" w:rsidRPr="008211E7" w:rsidRDefault="00312931" w:rsidP="00312931">
      <w:pPr>
        <w:spacing w:after="0" w:line="240" w:lineRule="auto"/>
        <w:jc w:val="both"/>
        <w:rPr>
          <w:rFonts w:ascii="Verdana" w:hAnsi="Verdana" w:cs="Arial"/>
          <w:b/>
          <w:sz w:val="20"/>
          <w:szCs w:val="20"/>
          <w:lang w:val="es-ES_tradnl" w:eastAsia="es-ES"/>
        </w:rPr>
      </w:pPr>
    </w:p>
    <w:p w14:paraId="599172F8" w14:textId="77777777" w:rsidR="00312931" w:rsidRPr="008211E7" w:rsidRDefault="00312931" w:rsidP="00312931">
      <w:pPr>
        <w:spacing w:after="0" w:line="240" w:lineRule="auto"/>
        <w:jc w:val="both"/>
        <w:rPr>
          <w:rFonts w:ascii="Verdana" w:hAnsi="Verdana" w:cs="Arial"/>
          <w:b/>
          <w:lang w:val="es-ES_tradnl" w:eastAsia="es-ES"/>
        </w:rPr>
      </w:pPr>
      <w:r w:rsidRPr="008211E7">
        <w:rPr>
          <w:rFonts w:ascii="Verdana" w:hAnsi="Verdana" w:cs="Arial"/>
          <w:b/>
          <w:lang w:val="es-ES_tradnl" w:eastAsia="es-ES"/>
        </w:rPr>
        <w:t>LIQUIDACIÓN DEL CONTRATO – Tipos – Bilateral – Unilateral – Judicial</w:t>
      </w:r>
    </w:p>
    <w:p w14:paraId="3BF46F6F" w14:textId="77777777" w:rsidR="00312931" w:rsidRPr="008211E7" w:rsidRDefault="00312931" w:rsidP="00312931">
      <w:pPr>
        <w:spacing w:after="0" w:line="240" w:lineRule="auto"/>
        <w:jc w:val="both"/>
        <w:rPr>
          <w:rFonts w:ascii="Verdana" w:hAnsi="Verdana" w:cs="Arial"/>
          <w:b/>
          <w:sz w:val="20"/>
          <w:szCs w:val="20"/>
          <w:lang w:val="es-ES_tradnl" w:eastAsia="es-ES"/>
        </w:rPr>
      </w:pPr>
    </w:p>
    <w:p w14:paraId="2B63B8E9" w14:textId="77777777" w:rsidR="00312931" w:rsidRPr="008211E7" w:rsidRDefault="00312931" w:rsidP="00312931">
      <w:pPr>
        <w:spacing w:after="0" w:line="240" w:lineRule="auto"/>
        <w:jc w:val="both"/>
        <w:rPr>
          <w:rFonts w:ascii="Verdana" w:hAnsi="Verdana" w:cs="Arial"/>
          <w:sz w:val="20"/>
          <w:szCs w:val="20"/>
          <w:lang w:val="es-ES_tradnl" w:eastAsia="es-ES"/>
        </w:rPr>
      </w:pPr>
      <w:r w:rsidRPr="008211E7">
        <w:rPr>
          <w:rFonts w:ascii="Verdana" w:hAnsi="Verdana" w:cs="Arial"/>
          <w:sz w:val="20"/>
          <w:szCs w:val="20"/>
          <w:lang w:val="es-ES_tradnl" w:eastAsia="es-ES"/>
        </w:rPr>
        <w:t xml:space="preserve">En suma, de acuerdo con el artículo 11 de la Ley 1150 de 2007, existen tres tipos de liquidación: i) bilateral, </w:t>
      </w:r>
      <w:proofErr w:type="spellStart"/>
      <w:r w:rsidRPr="008211E7">
        <w:rPr>
          <w:rFonts w:ascii="Verdana" w:hAnsi="Verdana" w:cs="Arial"/>
          <w:sz w:val="20"/>
          <w:szCs w:val="20"/>
          <w:lang w:val="es-ES_tradnl" w:eastAsia="es-ES"/>
        </w:rPr>
        <w:t>ii</w:t>
      </w:r>
      <w:proofErr w:type="spellEnd"/>
      <w:r w:rsidRPr="008211E7">
        <w:rPr>
          <w:rFonts w:ascii="Verdana" w:hAnsi="Verdana" w:cs="Arial"/>
          <w:sz w:val="20"/>
          <w:szCs w:val="20"/>
          <w:lang w:val="es-ES_tradnl" w:eastAsia="es-ES"/>
        </w:rPr>
        <w:t xml:space="preserve">) unilateral y </w:t>
      </w:r>
      <w:proofErr w:type="spellStart"/>
      <w:r w:rsidRPr="008211E7">
        <w:rPr>
          <w:rFonts w:ascii="Verdana" w:hAnsi="Verdana" w:cs="Arial"/>
          <w:sz w:val="20"/>
          <w:szCs w:val="20"/>
          <w:lang w:val="es-ES_tradnl" w:eastAsia="es-ES"/>
        </w:rPr>
        <w:t>iii</w:t>
      </w:r>
      <w:proofErr w:type="spellEnd"/>
      <w:r w:rsidRPr="008211E7">
        <w:rPr>
          <w:rFonts w:ascii="Verdana" w:hAnsi="Verdana" w:cs="Arial"/>
          <w:sz w:val="20"/>
          <w:szCs w:val="20"/>
          <w:lang w:val="es-ES_tradnl" w:eastAsia="es-ES"/>
        </w:rPr>
        <w:t>) judicial. En términos generales, la primera, que puede ser total o parcial, debe hacerse en el término que estipulen las partes o, en su defecto, dentro del término supletivo de cuatro meses. La segunda se debe practicar dentro de los dos meses siguientes al vencimiento del término que acuerden las partes, o ante el silencio de estas, luego de los cuatro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2 años contados a partir de los dos meses establecidos en la Ley para realizar la liquidación unilateral.</w:t>
      </w:r>
    </w:p>
    <w:p w14:paraId="2BB99657" w14:textId="77777777" w:rsidR="00312931" w:rsidRPr="004A23CD" w:rsidRDefault="00312931" w:rsidP="00312931">
      <w:pPr>
        <w:spacing w:after="0" w:line="240" w:lineRule="auto"/>
        <w:jc w:val="both"/>
        <w:rPr>
          <w:rFonts w:ascii="Verdana" w:eastAsia="Calibri" w:hAnsi="Verdana" w:cs="Arial"/>
          <w:b/>
          <w:sz w:val="20"/>
          <w:szCs w:val="20"/>
        </w:rPr>
      </w:pPr>
    </w:p>
    <w:p w14:paraId="09C95D54" w14:textId="77777777" w:rsidR="00312931" w:rsidRPr="004A23CD" w:rsidRDefault="00312931" w:rsidP="00312931">
      <w:pPr>
        <w:tabs>
          <w:tab w:val="left" w:pos="3374"/>
        </w:tabs>
        <w:spacing w:after="0" w:line="240" w:lineRule="auto"/>
        <w:jc w:val="both"/>
        <w:rPr>
          <w:rFonts w:ascii="Verdana" w:eastAsia="Calibri" w:hAnsi="Verdana" w:cs="Arial"/>
          <w:b/>
          <w:bCs/>
        </w:rPr>
      </w:pPr>
      <w:r w:rsidRPr="002563D0">
        <w:rPr>
          <w:rFonts w:ascii="Verdana" w:eastAsia="Calibri" w:hAnsi="Verdana" w:cs="Arial"/>
          <w:b/>
          <w:bCs/>
        </w:rPr>
        <w:t xml:space="preserve">SANCIONES CONTRACTUALES </w:t>
      </w:r>
      <w:r>
        <w:rPr>
          <w:rFonts w:ascii="Verdana" w:eastAsia="Calibri" w:hAnsi="Verdana" w:cs="Arial"/>
          <w:b/>
          <w:bCs/>
        </w:rPr>
        <w:t>–</w:t>
      </w:r>
      <w:r w:rsidRPr="002563D0">
        <w:rPr>
          <w:rFonts w:ascii="Verdana" w:eastAsia="Calibri" w:hAnsi="Verdana" w:cs="Arial"/>
          <w:b/>
          <w:bCs/>
        </w:rPr>
        <w:t xml:space="preserve"> Competencia temporal</w:t>
      </w:r>
      <w:r w:rsidRPr="004A23CD">
        <w:rPr>
          <w:rFonts w:ascii="Verdana" w:eastAsia="Calibri" w:hAnsi="Verdana" w:cs="Arial"/>
          <w:b/>
          <w:bCs/>
        </w:rPr>
        <w:t xml:space="preserve"> </w:t>
      </w:r>
    </w:p>
    <w:p w14:paraId="0D0E0B34" w14:textId="77777777" w:rsidR="00312931" w:rsidRPr="004A23CD" w:rsidRDefault="00312931" w:rsidP="00312931">
      <w:pPr>
        <w:tabs>
          <w:tab w:val="left" w:pos="3374"/>
        </w:tabs>
        <w:spacing w:after="0" w:line="240" w:lineRule="auto"/>
        <w:jc w:val="both"/>
        <w:rPr>
          <w:rFonts w:ascii="Verdana" w:eastAsia="Calibri" w:hAnsi="Verdana" w:cs="Arial"/>
          <w:b/>
          <w:bCs/>
          <w:sz w:val="20"/>
          <w:szCs w:val="20"/>
        </w:rPr>
      </w:pPr>
    </w:p>
    <w:p w14:paraId="6ED07965" w14:textId="77777777" w:rsidR="00312931" w:rsidRPr="004A23CD" w:rsidRDefault="00312931" w:rsidP="00312931">
      <w:pPr>
        <w:tabs>
          <w:tab w:val="left" w:pos="3374"/>
        </w:tabs>
        <w:spacing w:after="0" w:line="240" w:lineRule="auto"/>
        <w:jc w:val="both"/>
        <w:rPr>
          <w:rFonts w:ascii="Verdana" w:eastAsia="Calibri" w:hAnsi="Verdana" w:cs="Arial"/>
          <w:sz w:val="20"/>
          <w:szCs w:val="20"/>
        </w:rPr>
      </w:pPr>
      <w:r>
        <w:rPr>
          <w:rFonts w:ascii="Verdana" w:eastAsia="Calibri" w:hAnsi="Verdana" w:cs="Arial"/>
          <w:sz w:val="20"/>
          <w:szCs w:val="20"/>
        </w:rPr>
        <w:t>F</w:t>
      </w:r>
      <w:r w:rsidRPr="002563D0">
        <w:rPr>
          <w:rFonts w:ascii="Verdana" w:eastAsia="Calibri" w:hAnsi="Verdana" w:cs="Arial"/>
          <w:sz w:val="20"/>
          <w:szCs w:val="20"/>
        </w:rPr>
        <w:t>rente al momento hasta el cual la Administración puede declarar la caducidad, el Consejo de Estado, en sentencia de unificación jurisprudencial, indicó que solo puede hacerlo durante el plazo de ejecución, porque de acuerdo con la naturaleza de esta potestad exorbitante, el incumplimiento al que refiere debe valorarse durante este término</w:t>
      </w:r>
      <w:r>
        <w:rPr>
          <w:rFonts w:ascii="Verdana" w:eastAsia="Calibri" w:hAnsi="Verdana" w:cs="Arial"/>
          <w:sz w:val="20"/>
          <w:szCs w:val="20"/>
        </w:rPr>
        <w:t xml:space="preserve">. </w:t>
      </w:r>
      <w:r w:rsidRPr="002563D0">
        <w:rPr>
          <w:rFonts w:ascii="Verdana" w:eastAsia="Calibri" w:hAnsi="Verdana" w:cs="Arial"/>
          <w:sz w:val="20"/>
          <w:szCs w:val="20"/>
        </w:rPr>
        <w:t xml:space="preserve">En lo que respecta a las sanciones pecuniarias, teniendo en cuenta que el </w:t>
      </w:r>
      <w:r w:rsidRPr="002563D0">
        <w:rPr>
          <w:rFonts w:ascii="Verdana" w:eastAsia="Calibri" w:hAnsi="Verdana" w:cs="Arial"/>
          <w:sz w:val="20"/>
          <w:szCs w:val="20"/>
        </w:rPr>
        <w:lastRenderedPageBreak/>
        <w:t xml:space="preserve">artículo 17 de la Ley 1150 de 2007 no condicionó la imposición de las multas y la cláusula penal al plazo del contrato, y por el contrario, de manera expresa indicó que estas proceden </w:t>
      </w:r>
      <w:r>
        <w:rPr>
          <w:rFonts w:ascii="Verdana" w:eastAsia="Calibri" w:hAnsi="Verdana" w:cs="Arial"/>
          <w:sz w:val="20"/>
          <w:szCs w:val="20"/>
        </w:rPr>
        <w:t>“</w:t>
      </w:r>
      <w:r w:rsidRPr="002563D0">
        <w:rPr>
          <w:rFonts w:ascii="Verdana" w:eastAsia="Calibri" w:hAnsi="Verdana" w:cs="Arial"/>
          <w:sz w:val="20"/>
          <w:szCs w:val="20"/>
        </w:rPr>
        <w:t>[…] mientras se halle pendiente la ejecución de las obligaciones a cargo del contratista […]</w:t>
      </w:r>
      <w:r>
        <w:rPr>
          <w:rFonts w:ascii="Verdana" w:eastAsia="Calibri" w:hAnsi="Verdana" w:cs="Arial"/>
          <w:sz w:val="20"/>
          <w:szCs w:val="20"/>
        </w:rPr>
        <w:t>”</w:t>
      </w:r>
      <w:r w:rsidRPr="002563D0">
        <w:rPr>
          <w:rFonts w:ascii="Verdana" w:eastAsia="Calibri" w:hAnsi="Verdana" w:cs="Arial"/>
          <w:sz w:val="20"/>
          <w:szCs w:val="20"/>
        </w:rPr>
        <w:t>, la Administración podrá imponer las multas y hacer efectiva la cláusula penal inclusive después de su plazo de ejecución, siempre que la obligación esté pendiente de cumplir</w:t>
      </w:r>
      <w:r>
        <w:rPr>
          <w:rFonts w:ascii="Verdana" w:eastAsia="Calibri" w:hAnsi="Verdana" w:cs="Arial"/>
          <w:sz w:val="20"/>
          <w:szCs w:val="20"/>
        </w:rPr>
        <w:t>.</w:t>
      </w:r>
    </w:p>
    <w:p w14:paraId="4ECDF7AD" w14:textId="77777777" w:rsidR="00312931" w:rsidRPr="004A23CD" w:rsidRDefault="00312931" w:rsidP="00312931">
      <w:pPr>
        <w:tabs>
          <w:tab w:val="left" w:pos="3374"/>
        </w:tabs>
        <w:spacing w:after="0" w:line="240" w:lineRule="auto"/>
        <w:jc w:val="both"/>
        <w:rPr>
          <w:rFonts w:ascii="Verdana" w:eastAsia="Calibri" w:hAnsi="Verdana" w:cs="Arial"/>
          <w:sz w:val="20"/>
          <w:szCs w:val="20"/>
        </w:rPr>
      </w:pPr>
    </w:p>
    <w:p w14:paraId="4EA3758C" w14:textId="77777777" w:rsidR="00312931" w:rsidRPr="004A23CD" w:rsidRDefault="00312931" w:rsidP="00312931">
      <w:pPr>
        <w:tabs>
          <w:tab w:val="left" w:pos="3374"/>
        </w:tabs>
        <w:spacing w:after="0" w:line="240" w:lineRule="auto"/>
        <w:jc w:val="both"/>
        <w:rPr>
          <w:rFonts w:ascii="Verdana" w:eastAsia="Calibri" w:hAnsi="Verdana" w:cs="Arial"/>
          <w:b/>
          <w:bCs/>
        </w:rPr>
      </w:pPr>
      <w:r>
        <w:rPr>
          <w:rFonts w:ascii="Verdana" w:eastAsia="Calibri" w:hAnsi="Verdana" w:cs="Arial"/>
          <w:b/>
          <w:bCs/>
        </w:rPr>
        <w:t>PROCEDIMIENTOS ADMINISTRATIVOS</w:t>
      </w:r>
      <w:r w:rsidRPr="004A23CD">
        <w:rPr>
          <w:rFonts w:ascii="Verdana" w:eastAsia="Calibri" w:hAnsi="Verdana" w:cs="Arial"/>
          <w:b/>
          <w:bCs/>
        </w:rPr>
        <w:t xml:space="preserve"> – </w:t>
      </w:r>
      <w:r>
        <w:rPr>
          <w:rFonts w:ascii="Verdana" w:eastAsia="Calibri" w:hAnsi="Verdana" w:cs="Arial"/>
          <w:b/>
          <w:bCs/>
        </w:rPr>
        <w:t>Liquidación – Imposición de sanciones pecuniarias – Concurrencia – Hipótesis</w:t>
      </w:r>
    </w:p>
    <w:p w14:paraId="6FE1638F" w14:textId="77777777" w:rsidR="00312931" w:rsidRPr="004A23CD" w:rsidRDefault="00312931" w:rsidP="00312931">
      <w:pPr>
        <w:tabs>
          <w:tab w:val="left" w:pos="3374"/>
        </w:tabs>
        <w:spacing w:after="0" w:line="240" w:lineRule="auto"/>
        <w:rPr>
          <w:rFonts w:ascii="Verdana" w:eastAsia="Calibri" w:hAnsi="Verdana" w:cs="Arial"/>
          <w:b/>
          <w:bCs/>
          <w:sz w:val="20"/>
          <w:szCs w:val="20"/>
        </w:rPr>
      </w:pPr>
    </w:p>
    <w:p w14:paraId="34B54DC6" w14:textId="77777777" w:rsidR="00312931" w:rsidRDefault="00312931" w:rsidP="00312931">
      <w:pPr>
        <w:tabs>
          <w:tab w:val="left" w:pos="3374"/>
        </w:tabs>
        <w:spacing w:after="0" w:line="240" w:lineRule="auto"/>
        <w:jc w:val="both"/>
        <w:rPr>
          <w:rFonts w:ascii="Verdana" w:eastAsia="Calibri" w:hAnsi="Verdana" w:cs="Arial"/>
          <w:sz w:val="20"/>
          <w:szCs w:val="20"/>
        </w:rPr>
      </w:pPr>
      <w:r>
        <w:rPr>
          <w:rFonts w:ascii="Verdana" w:eastAsia="Calibri" w:hAnsi="Verdana" w:cs="Arial"/>
          <w:iCs/>
          <w:sz w:val="20"/>
          <w:szCs w:val="20"/>
          <w:lang w:val="es-ES"/>
        </w:rPr>
        <w:t>E</w:t>
      </w:r>
      <w:r w:rsidRPr="00CF22A3">
        <w:rPr>
          <w:rFonts w:ascii="Verdana" w:eastAsia="Calibri" w:hAnsi="Verdana" w:cs="Arial"/>
          <w:sz w:val="20"/>
          <w:szCs w:val="20"/>
        </w:rPr>
        <w:t xml:space="preserve">n los términos de los artículos 2.1, 11 y 12 de la Ley 80 de 1993, la competencia para liquidar bilateral o unilateralmente e imponer sanciones pecuniarias corresponde al ordenador del gasto de la entidad contratante o a su delegado. Por lo demás, el EGCAP no regula causales de suspensión o de perdida de competencia respecto al trámite paralelo de los mencionados procedimientos administrativos, por lo que no se observa restricción </w:t>
      </w:r>
      <w:r>
        <w:rPr>
          <w:rFonts w:ascii="Verdana" w:eastAsia="Calibri" w:hAnsi="Verdana" w:cs="Arial"/>
          <w:sz w:val="20"/>
          <w:szCs w:val="20"/>
        </w:rPr>
        <w:t>para adelantarlos</w:t>
      </w:r>
      <w:r w:rsidRPr="00CF22A3">
        <w:rPr>
          <w:rFonts w:ascii="Verdana" w:eastAsia="Calibri" w:hAnsi="Verdana" w:cs="Arial"/>
          <w:sz w:val="20"/>
          <w:szCs w:val="20"/>
        </w:rPr>
        <w:t xml:space="preserve"> de manera simultánea. </w:t>
      </w:r>
      <w:r w:rsidRPr="006F5D2C">
        <w:rPr>
          <w:rFonts w:ascii="Verdana" w:eastAsia="Calibri" w:hAnsi="Verdana" w:cs="Arial"/>
          <w:sz w:val="20"/>
          <w:szCs w:val="20"/>
        </w:rPr>
        <w:t>Asimismo, aunque la oportunidad para liquidar cesa con la caducidad del medio de control de controversias contractuales, ello no obsta para continuar con el trámite del procedimiento del artículo 86 de la Ley 1437 de 2011, sin perjuicio de la aplicación del artículo 52 de la Ley 1437 de 2011 sobre caducidad de la potestad sancionatoria del Estado</w:t>
      </w:r>
      <w:r>
        <w:rPr>
          <w:rFonts w:ascii="Verdana" w:eastAsia="Calibri" w:hAnsi="Verdana" w:cs="Arial"/>
          <w:sz w:val="20"/>
          <w:szCs w:val="20"/>
        </w:rPr>
        <w:t>.</w:t>
      </w:r>
    </w:p>
    <w:p w14:paraId="2A758344" w14:textId="77777777" w:rsidR="00312931" w:rsidRPr="00CF22A3" w:rsidRDefault="00312931" w:rsidP="00312931">
      <w:pPr>
        <w:tabs>
          <w:tab w:val="left" w:pos="3374"/>
        </w:tabs>
        <w:spacing w:after="0" w:line="240" w:lineRule="auto"/>
        <w:jc w:val="both"/>
        <w:rPr>
          <w:rFonts w:ascii="Verdana" w:eastAsia="Calibri" w:hAnsi="Verdana" w:cs="Arial"/>
          <w:sz w:val="20"/>
          <w:szCs w:val="20"/>
        </w:rPr>
      </w:pPr>
    </w:p>
    <w:p w14:paraId="7939957A" w14:textId="77777777" w:rsidR="00312931" w:rsidRPr="004A23CD" w:rsidRDefault="00312931" w:rsidP="00312931">
      <w:pPr>
        <w:tabs>
          <w:tab w:val="left" w:pos="3374"/>
        </w:tabs>
        <w:spacing w:after="0" w:line="240" w:lineRule="auto"/>
        <w:jc w:val="both"/>
        <w:rPr>
          <w:rFonts w:ascii="Verdana" w:eastAsia="Calibri" w:hAnsi="Verdana" w:cs="Arial"/>
          <w:sz w:val="20"/>
          <w:szCs w:val="20"/>
        </w:rPr>
      </w:pPr>
      <w:r w:rsidRPr="00CF22A3">
        <w:rPr>
          <w:rFonts w:ascii="Verdana" w:eastAsia="Calibri" w:hAnsi="Verdana" w:cs="Arial"/>
          <w:sz w:val="20"/>
          <w:szCs w:val="20"/>
        </w:rPr>
        <w:t>En todo caso</w:t>
      </w:r>
      <w:r w:rsidRPr="00CF22A3">
        <w:rPr>
          <w:rFonts w:ascii="Verdana" w:eastAsia="Calibri" w:hAnsi="Verdana" w:cs="Arial"/>
          <w:sz w:val="20"/>
          <w:szCs w:val="20"/>
          <w:lang w:val="es-ES_tradnl"/>
        </w:rPr>
        <w:t xml:space="preserve">, se precisa que si el contrato fue liquidado sin obligaciones pendientes por ejecutar, la Administración ya no podrá imponer sanciones pecuniarias al contratista, toda vez que –encontrándose las partes a paz y salvo– finaliza la relación contractual y, por tanto, las entidades pierden competencia para ejercer sus prerrogativas. Por el contrario, si en el acta de liquidación se dejó constancia de obligaciones pendientes de cumplimiento para declarar a las partes a paz y salvo, la Administración podrá adelantar un proceso sancionatorio con la finalidad de declarar el incumplimiento y hacer efectivas las sanciones pecuniarias, de acuerdo con las circunstancias específicas de cada negocio jurídico, atendiendo a los términos en que se haya pactado dichas obligaciones en la liquidación del contrato. </w:t>
      </w:r>
    </w:p>
    <w:p w14:paraId="312857FE" w14:textId="77777777" w:rsidR="00312931" w:rsidRDefault="00312931" w:rsidP="00312931">
      <w:pPr>
        <w:spacing w:after="0" w:line="240" w:lineRule="auto"/>
        <w:rPr>
          <w:rFonts w:ascii="Verdana" w:eastAsia="Calibri" w:hAnsi="Verdana" w:cs="Arial"/>
          <w:b/>
          <w:bCs/>
        </w:rPr>
      </w:pPr>
    </w:p>
    <w:p w14:paraId="73C469B0" w14:textId="77777777" w:rsidR="00312931" w:rsidRDefault="00312931" w:rsidP="00312931">
      <w:pPr>
        <w:spacing w:after="0" w:line="240" w:lineRule="auto"/>
        <w:rPr>
          <w:rFonts w:ascii="Verdana" w:eastAsia="Calibri" w:hAnsi="Verdana" w:cs="Arial"/>
          <w:b/>
          <w:bCs/>
        </w:rPr>
      </w:pPr>
    </w:p>
    <w:p w14:paraId="51176A8A" w14:textId="77777777" w:rsidR="00312931" w:rsidRDefault="00312931" w:rsidP="00312931">
      <w:pPr>
        <w:spacing w:after="0" w:line="240" w:lineRule="auto"/>
        <w:rPr>
          <w:rFonts w:ascii="Verdana" w:eastAsia="Calibri" w:hAnsi="Verdana" w:cs="Arial"/>
          <w:b/>
          <w:bCs/>
        </w:rPr>
      </w:pPr>
    </w:p>
    <w:p w14:paraId="0A5F15AA" w14:textId="77777777" w:rsidR="00312931" w:rsidRDefault="00312931" w:rsidP="00312931">
      <w:pPr>
        <w:spacing w:after="0" w:line="240" w:lineRule="auto"/>
        <w:rPr>
          <w:rFonts w:ascii="Verdana" w:eastAsia="Calibri" w:hAnsi="Verdana" w:cs="Arial"/>
          <w:b/>
          <w:bCs/>
        </w:rPr>
      </w:pPr>
    </w:p>
    <w:p w14:paraId="7CCED2F3" w14:textId="77777777" w:rsidR="00312931" w:rsidRDefault="00312931" w:rsidP="00312931">
      <w:pPr>
        <w:spacing w:after="0" w:line="240" w:lineRule="auto"/>
        <w:rPr>
          <w:rFonts w:ascii="Verdana" w:eastAsia="Calibri" w:hAnsi="Verdana" w:cs="Arial"/>
          <w:b/>
          <w:bCs/>
        </w:rPr>
      </w:pPr>
    </w:p>
    <w:p w14:paraId="257FBD53" w14:textId="77777777" w:rsidR="00312931" w:rsidRDefault="00312931" w:rsidP="00312931">
      <w:pPr>
        <w:spacing w:after="0" w:line="240" w:lineRule="auto"/>
        <w:rPr>
          <w:rFonts w:ascii="Verdana" w:eastAsia="Calibri" w:hAnsi="Verdana" w:cs="Arial"/>
          <w:b/>
          <w:bCs/>
        </w:rPr>
      </w:pPr>
    </w:p>
    <w:p w14:paraId="308ED52C" w14:textId="77777777" w:rsidR="00312931" w:rsidRDefault="00312931" w:rsidP="00312931">
      <w:pPr>
        <w:spacing w:after="0" w:line="240" w:lineRule="auto"/>
        <w:rPr>
          <w:rFonts w:ascii="Verdana" w:eastAsia="Calibri" w:hAnsi="Verdana" w:cs="Arial"/>
          <w:b/>
          <w:bCs/>
        </w:rPr>
      </w:pPr>
    </w:p>
    <w:p w14:paraId="7294BF6A" w14:textId="77777777" w:rsidR="00312931" w:rsidRDefault="00312931" w:rsidP="00312931">
      <w:pPr>
        <w:spacing w:after="0" w:line="240" w:lineRule="auto"/>
        <w:rPr>
          <w:rFonts w:ascii="Verdana" w:eastAsia="Calibri" w:hAnsi="Verdana" w:cs="Arial"/>
          <w:b/>
          <w:bCs/>
        </w:rPr>
      </w:pPr>
    </w:p>
    <w:p w14:paraId="4F803BD2" w14:textId="77777777" w:rsidR="00312931" w:rsidRDefault="00312931" w:rsidP="00312931">
      <w:pPr>
        <w:spacing w:after="0" w:line="240" w:lineRule="auto"/>
        <w:rPr>
          <w:rFonts w:ascii="Verdana" w:eastAsia="Calibri" w:hAnsi="Verdana" w:cs="Arial"/>
          <w:b/>
          <w:bCs/>
        </w:rPr>
      </w:pPr>
    </w:p>
    <w:p w14:paraId="0583B9F0" w14:textId="77777777" w:rsidR="00312931" w:rsidRDefault="00312931" w:rsidP="00312931">
      <w:pPr>
        <w:spacing w:after="0" w:line="240" w:lineRule="auto"/>
        <w:rPr>
          <w:rFonts w:ascii="Verdana" w:eastAsia="Calibri" w:hAnsi="Verdana" w:cs="Arial"/>
          <w:b/>
          <w:bCs/>
        </w:rPr>
      </w:pPr>
    </w:p>
    <w:p w14:paraId="2980ED14" w14:textId="77777777" w:rsidR="00312931" w:rsidRDefault="00312931" w:rsidP="00312931">
      <w:pPr>
        <w:spacing w:after="0" w:line="240" w:lineRule="auto"/>
        <w:rPr>
          <w:rFonts w:ascii="Verdana" w:eastAsia="Calibri" w:hAnsi="Verdana" w:cs="Arial"/>
          <w:b/>
          <w:bCs/>
        </w:rPr>
      </w:pPr>
    </w:p>
    <w:p w14:paraId="47C69597" w14:textId="77777777" w:rsidR="00312931" w:rsidRDefault="00312931" w:rsidP="00D46944">
      <w:pPr>
        <w:spacing w:after="0" w:line="240" w:lineRule="auto"/>
        <w:rPr>
          <w:rFonts w:ascii="Verdana" w:eastAsia="Geomanist Light" w:hAnsi="Verdana" w:cs="Arial"/>
          <w:color w:val="000000" w:themeColor="text1"/>
          <w:lang w:val="es-MX"/>
        </w:rPr>
      </w:pPr>
    </w:p>
    <w:p w14:paraId="5C6934F7" w14:textId="77777777" w:rsidR="00312931" w:rsidRDefault="00312931" w:rsidP="00D46944">
      <w:pPr>
        <w:spacing w:after="0" w:line="240" w:lineRule="auto"/>
        <w:rPr>
          <w:rFonts w:ascii="Verdana" w:eastAsia="Geomanist Light" w:hAnsi="Verdana" w:cs="Arial"/>
          <w:color w:val="000000" w:themeColor="text1"/>
          <w:lang w:val="es-MX"/>
        </w:rPr>
      </w:pPr>
    </w:p>
    <w:p w14:paraId="1FBC30B9" w14:textId="28659747" w:rsidR="00D46944" w:rsidRPr="00593A5F" w:rsidRDefault="00D46944" w:rsidP="00D46944">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9769EC">
        <w:rPr>
          <w:rFonts w:ascii="Verdana" w:eastAsia="Geomanist Light" w:hAnsi="Verdana" w:cs="Arial"/>
          <w:color w:val="000000" w:themeColor="text1"/>
          <w:lang w:val="es-MX"/>
        </w:rPr>
        <w:t>10</w:t>
      </w:r>
      <w:r w:rsidR="009769EC" w:rsidRPr="009769EC">
        <w:rPr>
          <w:rFonts w:ascii="Verdana" w:eastAsia="Geomanist Light" w:hAnsi="Verdana" w:cs="Arial"/>
          <w:color w:val="000000" w:themeColor="text1"/>
          <w:lang w:val="es-MX"/>
        </w:rPr>
        <w:t xml:space="preserve"> de Diciembre de 2025</w:t>
      </w:r>
    </w:p>
    <w:p w14:paraId="11A5E8F9" w14:textId="77777777" w:rsidR="00D46944" w:rsidRDefault="00D46944" w:rsidP="00D46944">
      <w:pPr>
        <w:spacing w:after="0" w:line="240" w:lineRule="auto"/>
        <w:jc w:val="both"/>
        <w:rPr>
          <w:rFonts w:ascii="Verdana" w:eastAsia="Calibri" w:hAnsi="Verdana" w:cs="Arial"/>
          <w:color w:val="000000"/>
          <w:lang w:val="es-ES"/>
        </w:rPr>
      </w:pPr>
    </w:p>
    <w:p w14:paraId="4BCA5183" w14:textId="00277C98" w:rsidR="009E7805" w:rsidRDefault="009E7805" w:rsidP="009E7805">
      <w:pPr>
        <w:spacing w:after="0" w:line="240" w:lineRule="auto"/>
        <w:jc w:val="right"/>
        <w:rPr>
          <w:rFonts w:ascii="Verdana" w:eastAsia="Calibri" w:hAnsi="Verdana" w:cs="Arial"/>
          <w:color w:val="000000"/>
          <w:lang w:val="es-ES"/>
        </w:rPr>
      </w:pPr>
      <w:r w:rsidRPr="009E7805">
        <w:rPr>
          <w:rFonts w:ascii="Verdana" w:eastAsia="Calibri" w:hAnsi="Verdana" w:cs="Arial"/>
          <w:noProof/>
          <w:color w:val="000000"/>
          <w:lang w:val="es-ES"/>
        </w:rPr>
        <w:drawing>
          <wp:inline distT="0" distB="0" distL="0" distR="0" wp14:anchorId="05E37730" wp14:editId="2C5E7EBD">
            <wp:extent cx="2400300" cy="668319"/>
            <wp:effectExtent l="0" t="0" r="0" b="0"/>
            <wp:docPr id="17893940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394081" name=""/>
                    <pic:cNvPicPr/>
                  </pic:nvPicPr>
                  <pic:blipFill>
                    <a:blip r:embed="rId10"/>
                    <a:stretch>
                      <a:fillRect/>
                    </a:stretch>
                  </pic:blipFill>
                  <pic:spPr>
                    <a:xfrm>
                      <a:off x="0" y="0"/>
                      <a:ext cx="2422039" cy="674372"/>
                    </a:xfrm>
                    <a:prstGeom prst="rect">
                      <a:avLst/>
                    </a:prstGeom>
                  </pic:spPr>
                </pic:pic>
              </a:graphicData>
            </a:graphic>
          </wp:inline>
        </w:drawing>
      </w:r>
    </w:p>
    <w:p w14:paraId="24E7620A" w14:textId="77777777" w:rsidR="00D46944" w:rsidRPr="00593A5F" w:rsidRDefault="00D46944" w:rsidP="00D46944">
      <w:pPr>
        <w:spacing w:after="0" w:line="240" w:lineRule="auto"/>
        <w:jc w:val="both"/>
        <w:rPr>
          <w:rFonts w:ascii="Verdana" w:eastAsia="Calibri" w:hAnsi="Verdana" w:cs="Arial"/>
          <w:color w:val="000000"/>
          <w:lang w:val="es-ES"/>
        </w:rPr>
      </w:pPr>
    </w:p>
    <w:p w14:paraId="5BA8DB58" w14:textId="77777777" w:rsidR="00D46944" w:rsidRPr="00B96799" w:rsidRDefault="00D46944" w:rsidP="00D46944">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77F3A445" w14:textId="77777777" w:rsidR="00D46944" w:rsidRPr="00CE7FE5" w:rsidRDefault="00D46944" w:rsidP="00D46944">
      <w:pPr>
        <w:spacing w:after="0" w:line="240" w:lineRule="auto"/>
        <w:rPr>
          <w:rFonts w:ascii="Verdana" w:eastAsia="Calibri" w:hAnsi="Verdana" w:cs="Arial"/>
          <w:b/>
          <w:lang w:val="es-ES_tradnl" w:eastAsia="es-ES_tradnl"/>
        </w:rPr>
      </w:pPr>
      <w:r w:rsidRPr="00E34ECE">
        <w:rPr>
          <w:rFonts w:ascii="Verdana" w:eastAsia="Calibri" w:hAnsi="Verdana" w:cs="Arial"/>
          <w:b/>
          <w:lang w:val="es-ES_tradnl" w:eastAsia="es-ES_tradnl"/>
        </w:rPr>
        <w:t>Daniel Felipe Carvajal Olaya</w:t>
      </w:r>
    </w:p>
    <w:p w14:paraId="58F1DB15" w14:textId="77777777" w:rsidR="00D46944" w:rsidRPr="00E34ECE" w:rsidRDefault="00D46944" w:rsidP="00D46944">
      <w:pPr>
        <w:spacing w:after="0" w:line="240" w:lineRule="auto"/>
        <w:rPr>
          <w:rFonts w:ascii="Verdana" w:eastAsia="Calibri" w:hAnsi="Verdana" w:cs="Arial"/>
          <w:bCs/>
          <w:lang w:val="es-ES_tradnl" w:eastAsia="es-ES_tradnl"/>
        </w:rPr>
      </w:pPr>
      <w:hyperlink r:id="rId11" w:history="1">
        <w:r w:rsidRPr="00387A9F">
          <w:rPr>
            <w:rStyle w:val="Hipervnculo"/>
            <w:rFonts w:ascii="Verdana" w:hAnsi="Verdana"/>
          </w:rPr>
          <w:t>danielfelipecarvajal.dfco@gmail.com</w:t>
        </w:r>
      </w:hyperlink>
      <w:r>
        <w:rPr>
          <w:rFonts w:ascii="Verdana" w:hAnsi="Verdana"/>
        </w:rPr>
        <w:t xml:space="preserve"> </w:t>
      </w:r>
    </w:p>
    <w:p w14:paraId="516EA3BF" w14:textId="77777777" w:rsidR="00D46944" w:rsidRDefault="00D46944" w:rsidP="00D46944">
      <w:pPr>
        <w:spacing w:after="0" w:line="240" w:lineRule="auto"/>
        <w:rPr>
          <w:rFonts w:ascii="Verdana" w:eastAsia="Calibri" w:hAnsi="Verdana" w:cs="Arial"/>
          <w:lang w:val="es-ES" w:eastAsia="es-ES"/>
        </w:rPr>
      </w:pPr>
      <w:r w:rsidRPr="00593A5F">
        <w:rPr>
          <w:rFonts w:ascii="Verdana" w:eastAsia="Geomanist Light" w:hAnsi="Verdana" w:cs="Arial"/>
          <w:color w:val="000000" w:themeColor="text1"/>
          <w:lang w:val="es-MX"/>
        </w:rPr>
        <w:t>Bogotá D.C.</w:t>
      </w:r>
      <w:r>
        <w:rPr>
          <w:rFonts w:ascii="Verdana" w:eastAsia="Calibri" w:hAnsi="Verdana" w:cs="Arial"/>
          <w:lang w:val="es-ES" w:eastAsia="es-ES"/>
        </w:rPr>
        <w:t xml:space="preserve"> </w:t>
      </w:r>
    </w:p>
    <w:p w14:paraId="1C8CBE8A" w14:textId="77777777" w:rsidR="00D46944" w:rsidRPr="00593A5F" w:rsidRDefault="00D46944" w:rsidP="00D46944">
      <w:pPr>
        <w:spacing w:after="0" w:line="240" w:lineRule="auto"/>
        <w:rPr>
          <w:rFonts w:ascii="Verdana" w:eastAsia="Calibri" w:hAnsi="Verdana" w:cs="Arial"/>
          <w:b/>
          <w:bCs/>
          <w:color w:val="000000"/>
          <w:lang w:val="es-ES_tradnl" w:eastAsia="es-ES_tradnl"/>
        </w:rPr>
      </w:pPr>
    </w:p>
    <w:p w14:paraId="5E767A0A" w14:textId="77777777" w:rsidR="00D46944" w:rsidRPr="00593A5F" w:rsidRDefault="00D46944" w:rsidP="00D46944">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46944" w:rsidRPr="00593A5F" w14:paraId="10583388" w14:textId="77777777" w:rsidTr="008B565B">
        <w:trPr>
          <w:trHeight w:val="884"/>
        </w:trPr>
        <w:tc>
          <w:tcPr>
            <w:tcW w:w="2689" w:type="dxa"/>
          </w:tcPr>
          <w:p w14:paraId="0234BD89" w14:textId="77777777" w:rsidR="00D46944" w:rsidRPr="00C00976" w:rsidRDefault="00D46944" w:rsidP="008B565B">
            <w:pPr>
              <w:jc w:val="both"/>
              <w:rPr>
                <w:rFonts w:ascii="Verdana" w:eastAsia="Calibri" w:hAnsi="Verdana" w:cs="Arial"/>
                <w:b/>
                <w:bCs/>
                <w:color w:val="7030A0"/>
                <w:lang w:val="es-ES_tradnl" w:eastAsia="es-ES_tradnl"/>
              </w:rPr>
            </w:pPr>
          </w:p>
        </w:tc>
        <w:tc>
          <w:tcPr>
            <w:tcW w:w="6100" w:type="dxa"/>
          </w:tcPr>
          <w:p w14:paraId="3C57D376" w14:textId="77777777" w:rsidR="00D46944" w:rsidRPr="00C00976" w:rsidRDefault="00D46944" w:rsidP="008B565B">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1768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D46944" w:rsidRPr="00593A5F" w14:paraId="03342A8A" w14:textId="77777777" w:rsidTr="008B565B">
        <w:trPr>
          <w:trHeight w:val="884"/>
        </w:trPr>
        <w:tc>
          <w:tcPr>
            <w:tcW w:w="2689" w:type="dxa"/>
          </w:tcPr>
          <w:p w14:paraId="22BDB4D6" w14:textId="77777777" w:rsidR="00D46944" w:rsidRPr="00593A5F" w:rsidRDefault="00D46944" w:rsidP="008B565B">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2CF33B5" w14:textId="77777777" w:rsidR="00D46944" w:rsidRPr="00A11406" w:rsidRDefault="00D46944" w:rsidP="008B565B">
            <w:pPr>
              <w:spacing w:line="276" w:lineRule="auto"/>
              <w:jc w:val="both"/>
              <w:rPr>
                <w:rFonts w:ascii="Verdana" w:eastAsia="Calibri" w:hAnsi="Verdana" w:cs="Arial"/>
                <w:lang w:val="es-ES" w:eastAsia="es-ES"/>
              </w:rPr>
            </w:pPr>
            <w:r w:rsidRPr="00AB1FEA">
              <w:rPr>
                <w:rFonts w:ascii="Verdana" w:eastAsia="Calibri" w:hAnsi="Verdana" w:cs="Arial"/>
                <w:lang w:val="es-ES" w:eastAsia="es-ES"/>
              </w:rPr>
              <w:t>LIQUIDACIÓN DEL CONTRATO – Definición – Objetivo / LIQUIDACIÓN DEL CONTRATO – Normativa / LIQUIDACIÓN DEL CONTRATO – Tipos – Bilateral – Unilateral – Judicial</w:t>
            </w:r>
            <w:r>
              <w:rPr>
                <w:rFonts w:ascii="Verdana" w:eastAsia="Calibri" w:hAnsi="Verdana" w:cs="Arial"/>
                <w:lang w:val="es-ES" w:eastAsia="es-ES"/>
              </w:rPr>
              <w:t xml:space="preserve"> / </w:t>
            </w:r>
            <w:r w:rsidRPr="00C066CE">
              <w:rPr>
                <w:rFonts w:ascii="Verdana" w:eastAsia="Calibri" w:hAnsi="Verdana" w:cs="Arial"/>
                <w:lang w:val="es-ES" w:eastAsia="es-ES"/>
              </w:rPr>
              <w:t>SANCIONES CONTRACTUALES – Competencia temporal</w:t>
            </w:r>
            <w:r w:rsidRPr="00D9782E">
              <w:rPr>
                <w:rFonts w:ascii="Verdana" w:eastAsia="Calibri" w:hAnsi="Verdana" w:cs="Arial"/>
                <w:lang w:val="es-ES" w:eastAsia="es-ES"/>
              </w:rPr>
              <w:t xml:space="preserve"> </w:t>
            </w:r>
            <w:r>
              <w:rPr>
                <w:rFonts w:ascii="Verdana" w:eastAsia="Calibri" w:hAnsi="Verdana" w:cs="Arial"/>
                <w:lang w:val="es-ES" w:eastAsia="es-ES"/>
              </w:rPr>
              <w:t xml:space="preserve">/ </w:t>
            </w:r>
            <w:r w:rsidRPr="006F5D2C">
              <w:rPr>
                <w:rFonts w:ascii="Verdana" w:eastAsia="Calibri" w:hAnsi="Verdana" w:cs="Arial"/>
                <w:lang w:val="es-ES" w:eastAsia="es-ES"/>
              </w:rPr>
              <w:t>PROCEDIMIENTOS ADMINISTRATIVOS –</w:t>
            </w:r>
            <w:r>
              <w:rPr>
                <w:rFonts w:ascii="Verdana" w:eastAsia="Calibri" w:hAnsi="Verdana" w:cs="Arial"/>
                <w:lang w:val="es-ES" w:eastAsia="es-ES"/>
              </w:rPr>
              <w:t xml:space="preserve"> </w:t>
            </w:r>
            <w:r w:rsidRPr="006F5D2C">
              <w:rPr>
                <w:rFonts w:ascii="Verdana" w:eastAsia="Calibri" w:hAnsi="Verdana" w:cs="Arial"/>
                <w:lang w:val="es-ES" w:eastAsia="es-ES"/>
              </w:rPr>
              <w:t>Liquidación – Imposición de sanciones pecuniarias – Concurrencia – Hipótesis</w:t>
            </w: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41FF88E9" w14:textId="77777777" w:rsidR="00D46944" w:rsidRPr="00593A5F" w:rsidRDefault="00D46944" w:rsidP="008B565B">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46944" w:rsidRPr="008E6AD9" w14:paraId="4D66EBBF" w14:textId="77777777" w:rsidTr="008B565B">
        <w:tc>
          <w:tcPr>
            <w:tcW w:w="2689" w:type="dxa"/>
          </w:tcPr>
          <w:p w14:paraId="0350A616" w14:textId="77777777" w:rsidR="00D46944" w:rsidRPr="008E6AD9" w:rsidRDefault="00D46944" w:rsidP="008B565B">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8004514" w14:textId="77777777" w:rsidR="00D46944" w:rsidRPr="008E6AD9" w:rsidRDefault="00D46944" w:rsidP="008B565B">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E34ECE">
              <w:rPr>
                <w:rFonts w:ascii="Verdana" w:eastAsia="Calibri" w:hAnsi="Verdana" w:cs="Arial"/>
                <w:lang w:val="es-ES_tradnl" w:eastAsia="es-ES_tradnl"/>
              </w:rPr>
              <w:t>1_2025_11_26_013391</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006EEEA2" w14:textId="77777777" w:rsidR="00D46944" w:rsidRPr="00593A5F" w:rsidRDefault="00D46944" w:rsidP="00D46944">
      <w:pPr>
        <w:spacing w:after="0" w:line="240" w:lineRule="auto"/>
        <w:jc w:val="both"/>
        <w:rPr>
          <w:rFonts w:ascii="Verdana" w:eastAsia="Calibri" w:hAnsi="Verdana" w:cs="Arial"/>
          <w:color w:val="000000"/>
          <w:lang w:val="es-ES_tradnl" w:eastAsia="es-ES_tradnl"/>
        </w:rPr>
      </w:pPr>
    </w:p>
    <w:p w14:paraId="3AC57413" w14:textId="77777777" w:rsidR="00D46944" w:rsidRPr="00593A5F" w:rsidRDefault="00D46944" w:rsidP="00D46944">
      <w:pPr>
        <w:spacing w:after="0" w:line="240" w:lineRule="auto"/>
        <w:jc w:val="both"/>
        <w:rPr>
          <w:rFonts w:ascii="Verdana" w:eastAsia="Calibri" w:hAnsi="Verdana" w:cs="Arial"/>
          <w:color w:val="000000"/>
          <w:lang w:val="es-ES_tradnl" w:eastAsia="es-ES_tradnl"/>
        </w:rPr>
      </w:pPr>
    </w:p>
    <w:p w14:paraId="4402D1B9" w14:textId="77777777" w:rsidR="00D46944" w:rsidRPr="008E6AD9" w:rsidRDefault="00D46944" w:rsidP="00D46944">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462758">
        <w:rPr>
          <w:rFonts w:ascii="Verdana" w:eastAsia="Calibri" w:hAnsi="Verdana" w:cs="Arial"/>
          <w:lang w:val="es-ES" w:eastAsia="es-ES"/>
        </w:rPr>
        <w:t>Carvajal Olaya</w:t>
      </w:r>
      <w:r w:rsidRPr="008E6AD9">
        <w:rPr>
          <w:rFonts w:ascii="Verdana" w:eastAsia="Calibri" w:hAnsi="Verdana" w:cs="Arial"/>
          <w:lang w:val="es-ES" w:eastAsia="es-ES"/>
        </w:rPr>
        <w:t xml:space="preserve">: </w:t>
      </w:r>
    </w:p>
    <w:p w14:paraId="3B347CD3" w14:textId="77777777" w:rsidR="00D46944" w:rsidRDefault="00D46944" w:rsidP="00D4694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7A58397" w14:textId="77777777" w:rsidR="00D46944" w:rsidRPr="00593A5F" w:rsidRDefault="00D46944" w:rsidP="00D46944">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26 de noviembre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 xml:space="preserve">en </w:t>
      </w:r>
      <w:r>
        <w:rPr>
          <w:rFonts w:ascii="Verdana" w:eastAsia="Calibri" w:hAnsi="Verdana" w:cs="Arial"/>
          <w:lang w:val="es-ES" w:eastAsia="es-ES"/>
        </w:rPr>
        <w:t>la cual pregunta lo siguiente:</w:t>
      </w:r>
      <w:r w:rsidRPr="008E6AD9">
        <w:rPr>
          <w:rFonts w:ascii="Verdana" w:eastAsia="Calibri" w:hAnsi="Verdana" w:cs="Arial"/>
          <w:lang w:val="es-ES" w:eastAsia="es-ES"/>
        </w:rPr>
        <w:t xml:space="preserve"> </w:t>
      </w:r>
    </w:p>
    <w:p w14:paraId="53B628FF" w14:textId="77777777" w:rsidR="00D46944" w:rsidRPr="00272A7B" w:rsidRDefault="00D46944" w:rsidP="00D46944">
      <w:pPr>
        <w:pStyle w:val="Prrafodelista"/>
        <w:tabs>
          <w:tab w:val="left" w:pos="142"/>
          <w:tab w:val="left" w:pos="284"/>
        </w:tabs>
        <w:spacing w:after="0" w:line="276" w:lineRule="auto"/>
        <w:ind w:left="0"/>
        <w:jc w:val="both"/>
        <w:rPr>
          <w:rFonts w:ascii="Verdana" w:eastAsia="Century Gothic" w:hAnsi="Verdana" w:cs="Century Gothic"/>
          <w:b/>
          <w:bCs/>
        </w:rPr>
      </w:pPr>
    </w:p>
    <w:p w14:paraId="0E4FA31E" w14:textId="77777777" w:rsidR="00D46944" w:rsidRPr="00262F49" w:rsidRDefault="00D46944" w:rsidP="00D46944">
      <w:pPr>
        <w:spacing w:after="120" w:line="240" w:lineRule="auto"/>
        <w:ind w:left="709" w:right="709"/>
        <w:jc w:val="both"/>
        <w:rPr>
          <w:rFonts w:ascii="Verdana" w:eastAsia="Century Gothic" w:hAnsi="Verdana" w:cs="Century Gothic"/>
          <w:sz w:val="20"/>
          <w:szCs w:val="20"/>
          <w:lang w:val="es-ES"/>
        </w:rPr>
      </w:pPr>
      <w:bookmarkStart w:id="0" w:name="_Hlk95313578"/>
      <w:r w:rsidRPr="006623D1">
        <w:rPr>
          <w:rFonts w:ascii="Verdana" w:eastAsia="Century Gothic" w:hAnsi="Verdana" w:cs="Century Gothic"/>
          <w:sz w:val="20"/>
          <w:szCs w:val="20"/>
          <w:lang w:val="es-ES"/>
        </w:rPr>
        <w:t>“</w:t>
      </w:r>
      <w:bookmarkEnd w:id="0"/>
      <w:r w:rsidRPr="00262F49">
        <w:rPr>
          <w:rFonts w:ascii="Verdana" w:eastAsia="Century Gothic" w:hAnsi="Verdana" w:cs="Century Gothic"/>
          <w:sz w:val="20"/>
          <w:szCs w:val="20"/>
          <w:lang w:val="es-ES"/>
        </w:rPr>
        <w:t xml:space="preserve">1. ¿En qué medida la iniciación o desarrollo de un proceso de liquidación contractual administrativo puede generar la exclusión, suspensión o pérdida de competencia material de la misma autoridad administrativa </w:t>
      </w:r>
      <w:r w:rsidRPr="00262F49">
        <w:rPr>
          <w:rFonts w:ascii="Verdana" w:eastAsia="Century Gothic" w:hAnsi="Verdana" w:cs="Century Gothic"/>
          <w:sz w:val="20"/>
          <w:szCs w:val="20"/>
          <w:lang w:val="es-ES"/>
        </w:rPr>
        <w:lastRenderedPageBreak/>
        <w:t>para continuar con</w:t>
      </w:r>
      <w:r>
        <w:rPr>
          <w:rFonts w:ascii="Verdana" w:eastAsia="Century Gothic" w:hAnsi="Verdana" w:cs="Century Gothic"/>
          <w:sz w:val="20"/>
          <w:szCs w:val="20"/>
          <w:lang w:val="es-ES"/>
        </w:rPr>
        <w:t xml:space="preserve"> </w:t>
      </w:r>
      <w:r w:rsidRPr="00262F49">
        <w:rPr>
          <w:rFonts w:ascii="Verdana" w:eastAsia="Century Gothic" w:hAnsi="Verdana" w:cs="Century Gothic"/>
          <w:sz w:val="20"/>
          <w:szCs w:val="20"/>
          <w:lang w:val="es-ES"/>
        </w:rPr>
        <w:t xml:space="preserve">un procedimiento administrativo sancionatorio derivado del mismo contrato, y cómo se armonizan ambas potestades? </w:t>
      </w:r>
    </w:p>
    <w:p w14:paraId="20317FA1" w14:textId="77777777" w:rsidR="00D46944" w:rsidRPr="00262F49" w:rsidRDefault="00D46944" w:rsidP="00D46944">
      <w:pPr>
        <w:spacing w:after="120" w:line="240" w:lineRule="auto"/>
        <w:ind w:left="709" w:right="709"/>
        <w:jc w:val="both"/>
        <w:rPr>
          <w:rFonts w:ascii="Verdana" w:eastAsia="Century Gothic" w:hAnsi="Verdana" w:cs="Century Gothic"/>
          <w:sz w:val="20"/>
          <w:szCs w:val="20"/>
          <w:lang w:val="es-ES"/>
        </w:rPr>
      </w:pPr>
      <w:r w:rsidRPr="00262F49">
        <w:rPr>
          <w:rFonts w:ascii="Verdana" w:eastAsia="Century Gothic" w:hAnsi="Verdana" w:cs="Century Gothic"/>
          <w:sz w:val="20"/>
          <w:szCs w:val="20"/>
          <w:lang w:val="es-ES"/>
        </w:rPr>
        <w:t xml:space="preserve">2. ¿La coexistencia de un procedimiento administrativo sancionatorio y un proceso de liquidación contractual frente a un mismo contrato implica la necesidad de suspender o finalizar uno de ellos, o resulta jurídicamente viable que ambos se adelanten de manera paralela sin vulnerar el debido proceso ni la seguridad jurídica? </w:t>
      </w:r>
    </w:p>
    <w:p w14:paraId="25FA1324" w14:textId="77777777" w:rsidR="00D46944" w:rsidRPr="00262F49" w:rsidRDefault="00D46944" w:rsidP="00D46944">
      <w:pPr>
        <w:spacing w:after="120" w:line="240" w:lineRule="auto"/>
        <w:ind w:left="709" w:right="709"/>
        <w:jc w:val="both"/>
        <w:rPr>
          <w:rFonts w:ascii="Verdana" w:eastAsia="Century Gothic" w:hAnsi="Verdana" w:cs="Century Gothic"/>
          <w:sz w:val="20"/>
          <w:szCs w:val="20"/>
          <w:lang w:val="es-ES"/>
        </w:rPr>
      </w:pPr>
      <w:r w:rsidRPr="00262F49">
        <w:rPr>
          <w:rFonts w:ascii="Verdana" w:eastAsia="Century Gothic" w:hAnsi="Verdana" w:cs="Century Gothic"/>
          <w:sz w:val="20"/>
          <w:szCs w:val="20"/>
          <w:lang w:val="es-ES"/>
        </w:rPr>
        <w:t xml:space="preserve">3. ¿Qué efectos jurídicos se producen cuando el procedimiento administrativo sancionatorio, por razón de su término de caducidad, se prolonga más allá del plazo legal para la liquidación contractual, y debe la entidad adelantar la liquidación a pesar de la existencia del PAS en curso?  </w:t>
      </w:r>
    </w:p>
    <w:p w14:paraId="05BD02C8" w14:textId="77777777" w:rsidR="00D46944" w:rsidRPr="00262F49" w:rsidRDefault="00D46944" w:rsidP="00D46944">
      <w:pPr>
        <w:spacing w:after="120" w:line="240" w:lineRule="auto"/>
        <w:ind w:left="709" w:right="709"/>
        <w:jc w:val="both"/>
        <w:rPr>
          <w:rFonts w:ascii="Verdana" w:eastAsia="Century Gothic" w:hAnsi="Verdana" w:cs="Century Gothic"/>
          <w:sz w:val="20"/>
          <w:szCs w:val="20"/>
          <w:lang w:val="es-ES"/>
        </w:rPr>
      </w:pPr>
      <w:r w:rsidRPr="00262F49">
        <w:rPr>
          <w:rFonts w:ascii="Verdana" w:eastAsia="Century Gothic" w:hAnsi="Verdana" w:cs="Century Gothic"/>
          <w:sz w:val="20"/>
          <w:szCs w:val="20"/>
          <w:lang w:val="es-ES"/>
        </w:rPr>
        <w:t xml:space="preserve">4. ¿Qué efectos jurídicos se producen cuando el proceso de liquidación contractual, por razón de su término legal, se adelanta o culmina antes de que finalice el procedimiento administrativo sancionatorio en curso, y debe la autoridad administrativa continuar con el PAS a pesar de la liquidación del contrato? </w:t>
      </w:r>
    </w:p>
    <w:p w14:paraId="3F2056B2" w14:textId="77777777" w:rsidR="00D46944" w:rsidRPr="00472E41" w:rsidRDefault="00D46944" w:rsidP="00D46944">
      <w:pPr>
        <w:spacing w:after="0" w:line="240" w:lineRule="auto"/>
        <w:ind w:left="709" w:right="709"/>
        <w:jc w:val="both"/>
        <w:rPr>
          <w:rFonts w:ascii="Verdana" w:eastAsia="Century Gothic" w:hAnsi="Verdana" w:cs="Century Gothic"/>
          <w:sz w:val="20"/>
          <w:szCs w:val="20"/>
          <w:lang w:val="es-ES"/>
        </w:rPr>
      </w:pPr>
      <w:r w:rsidRPr="00262F49">
        <w:rPr>
          <w:rFonts w:ascii="Verdana" w:eastAsia="Century Gothic" w:hAnsi="Verdana" w:cs="Century Gothic"/>
          <w:sz w:val="20"/>
          <w:szCs w:val="20"/>
          <w:lang w:val="es-ES"/>
        </w:rPr>
        <w:t>5. ¿Cómo debe resolverse la eventual contradicción que surge cuando diferentes áreas de una misma entidad adelantan simultáneamente un procedimiento administrativo sancionatorio y un proceso de liquidación contractual, y ambos culminan en tiempos distintos, generando posibles conflictos de competencia y efectos jurídicos divergentes?</w:t>
      </w:r>
      <w:r w:rsidRPr="006623D1">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w:t>
      </w:r>
    </w:p>
    <w:p w14:paraId="56AAD2AA" w14:textId="77777777" w:rsidR="00D46944" w:rsidRPr="008E6AD9" w:rsidRDefault="00D46944" w:rsidP="00D46944">
      <w:pPr>
        <w:pStyle w:val="Prrafodelista"/>
        <w:tabs>
          <w:tab w:val="left" w:pos="142"/>
          <w:tab w:val="left" w:pos="284"/>
        </w:tabs>
        <w:spacing w:after="0" w:line="276" w:lineRule="auto"/>
        <w:ind w:left="0"/>
        <w:jc w:val="both"/>
        <w:rPr>
          <w:rFonts w:ascii="Verdana" w:eastAsia="Century Gothic" w:hAnsi="Verdana" w:cs="Century Gothic"/>
          <w:b/>
          <w:bCs/>
        </w:rPr>
      </w:pPr>
    </w:p>
    <w:p w14:paraId="7260A217" w14:textId="77777777" w:rsidR="00D46944" w:rsidRPr="00A652FF" w:rsidRDefault="00D46944" w:rsidP="00D46944">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0374080" w14:textId="77777777" w:rsidR="00D46944" w:rsidRDefault="00D46944" w:rsidP="00D46944">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62B21071" w14:textId="77777777" w:rsidR="00D46944" w:rsidRPr="00593A5F" w:rsidRDefault="00D46944" w:rsidP="00D46944">
      <w:pPr>
        <w:spacing w:after="0" w:line="276" w:lineRule="auto"/>
        <w:ind w:firstLine="709"/>
        <w:jc w:val="both"/>
        <w:rPr>
          <w:rFonts w:ascii="Verdana" w:eastAsia="Calibri" w:hAnsi="Verdana" w:cs="Arial"/>
          <w:color w:val="000000"/>
          <w:lang w:val="es-ES" w:eastAsia="es-ES"/>
        </w:rPr>
      </w:pPr>
    </w:p>
    <w:p w14:paraId="642DA3C1" w14:textId="77777777" w:rsidR="00D46944" w:rsidRPr="00593A5F" w:rsidRDefault="00D46944" w:rsidP="00D4694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5F01022" w14:textId="77777777" w:rsidR="00D46944" w:rsidRPr="00593A5F" w:rsidRDefault="00D46944" w:rsidP="00D46944">
      <w:pPr>
        <w:tabs>
          <w:tab w:val="left" w:pos="426"/>
        </w:tabs>
        <w:spacing w:after="0" w:line="276" w:lineRule="auto"/>
        <w:jc w:val="both"/>
        <w:rPr>
          <w:rFonts w:ascii="Verdana" w:eastAsia="Century Gothic" w:hAnsi="Verdana" w:cs="Century Gothic"/>
          <w:lang w:val="es-ES"/>
        </w:rPr>
      </w:pPr>
    </w:p>
    <w:p w14:paraId="25A7CD35" w14:textId="40BF3623" w:rsidR="00D46944" w:rsidRPr="00593A5F" w:rsidRDefault="00D46944" w:rsidP="00D46944">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 problema jurídico:</w:t>
      </w:r>
      <w:r>
        <w:rPr>
          <w:rFonts w:ascii="Verdana" w:eastAsia="Century Gothic" w:hAnsi="Verdana" w:cs="Century Gothic"/>
        </w:rPr>
        <w:t xml:space="preserve"> </w:t>
      </w:r>
      <w:r w:rsidR="00E5067D">
        <w:rPr>
          <w:rFonts w:ascii="Verdana" w:eastAsia="Century Gothic" w:hAnsi="Verdana" w:cs="Century Gothic"/>
        </w:rPr>
        <w:t xml:space="preserve">¿es posible adelantar liquidaciones e imposición de sanciones pecuniaria de forma </w:t>
      </w:r>
      <w:r w:rsidR="000F2EB3">
        <w:rPr>
          <w:rFonts w:ascii="Verdana" w:eastAsia="Century Gothic" w:hAnsi="Verdana" w:cs="Century Gothic"/>
        </w:rPr>
        <w:t>simultánea</w:t>
      </w:r>
      <w:r w:rsidR="00E5067D">
        <w:rPr>
          <w:rFonts w:ascii="Verdana" w:eastAsia="Century Gothic" w:hAnsi="Verdana" w:cs="Century Gothic"/>
        </w:rPr>
        <w:t>?</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31783077" w14:textId="77777777" w:rsidR="00D46944" w:rsidRPr="004B140F" w:rsidRDefault="00D46944" w:rsidP="00D46944">
      <w:pPr>
        <w:spacing w:after="0" w:line="276" w:lineRule="auto"/>
        <w:jc w:val="both"/>
        <w:rPr>
          <w:rFonts w:ascii="Verdana" w:eastAsia="Calibri" w:hAnsi="Verdana" w:cs="Arial"/>
          <w:color w:val="7030A0"/>
        </w:rPr>
      </w:pPr>
    </w:p>
    <w:p w14:paraId="6AE80046" w14:textId="77777777" w:rsidR="00D46944" w:rsidRPr="00593A5F" w:rsidRDefault="00D46944" w:rsidP="00D469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15F5C5D" w14:textId="77777777" w:rsidR="00D46944" w:rsidRPr="00593A5F" w:rsidRDefault="00D46944" w:rsidP="00D4694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46944" w:rsidRPr="00593A5F" w14:paraId="1E69E8C3" w14:textId="77777777" w:rsidTr="008B565B">
        <w:trPr>
          <w:jc w:val="center"/>
        </w:trPr>
        <w:tc>
          <w:tcPr>
            <w:tcW w:w="8828" w:type="dxa"/>
          </w:tcPr>
          <w:p w14:paraId="22673B05" w14:textId="7F54D7AC" w:rsidR="00D46944" w:rsidRDefault="001750AB" w:rsidP="008B565B">
            <w:pPr>
              <w:spacing w:after="120" w:line="276" w:lineRule="auto"/>
              <w:jc w:val="both"/>
              <w:rPr>
                <w:rFonts w:ascii="Verdana" w:eastAsia="Calibri" w:hAnsi="Verdana" w:cs="Arial"/>
              </w:rPr>
            </w:pPr>
            <w:bookmarkStart w:id="1" w:name="_Hlk171694685"/>
            <w:r>
              <w:rPr>
                <w:rFonts w:ascii="Verdana" w:eastAsia="Calibri" w:hAnsi="Verdana" w:cs="Times New Roman"/>
                <w:iCs/>
                <w:lang w:val="es-ES"/>
              </w:rPr>
              <w:t xml:space="preserve">        </w:t>
            </w:r>
            <w:r w:rsidR="00D46944">
              <w:rPr>
                <w:rFonts w:ascii="Verdana" w:eastAsia="Calibri" w:hAnsi="Verdana" w:cs="Times New Roman"/>
                <w:iCs/>
                <w:lang w:val="es-ES"/>
              </w:rPr>
              <w:t>Conforme a la interpretación general de las normas del sistema de compras públicas, e</w:t>
            </w:r>
            <w:r w:rsidR="00D46944">
              <w:rPr>
                <w:rFonts w:ascii="Verdana" w:eastAsia="Calibri" w:hAnsi="Verdana" w:cs="Arial"/>
              </w:rPr>
              <w:t>n los términos de los artículos 2.1, 11 y 12 de la Ley 80 de 1993, la competencia para liquidar bilateral o unilateralmente e imponer sanciones pecuniarias corresponde al ordenador del gasto de la entidad contratante o a su delegado. Por lo demás, el EGCAP no regula causales de suspensión o de perdida de competencia respecto al trámite paralelo de los mencionados procedimientos administrativos, por lo que no se observa restricción para que adelantarlos de manera simultánea. (Respuesta a las preguntas 1 y 2)</w:t>
            </w:r>
          </w:p>
          <w:p w14:paraId="6D50037C" w14:textId="77777777" w:rsidR="00D46944" w:rsidRDefault="00D46944" w:rsidP="008B565B">
            <w:pPr>
              <w:spacing w:after="120" w:line="276" w:lineRule="auto"/>
              <w:ind w:firstLine="737"/>
              <w:jc w:val="both"/>
              <w:rPr>
                <w:rFonts w:ascii="Verdana" w:eastAsia="Calibri" w:hAnsi="Verdana" w:cs="Arial"/>
              </w:rPr>
            </w:pPr>
            <w:r>
              <w:rPr>
                <w:rFonts w:ascii="Verdana" w:eastAsia="Calibri" w:hAnsi="Verdana" w:cs="Arial"/>
              </w:rPr>
              <w:t xml:space="preserve">Asimismo, </w:t>
            </w:r>
            <w:r w:rsidRPr="006E394C">
              <w:rPr>
                <w:rFonts w:ascii="Verdana" w:eastAsia="Calibri" w:hAnsi="Verdana" w:cs="Arial"/>
              </w:rPr>
              <w:t>dentro de los límites previstos en el literal j) del artículo 164.2 de la Ley 1437 de 2011, es posible liquidar bilateral o unilateralmente siempre que no haya caducado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Cualquier liquidación efectuada después de la caducidad del medio de control implica la pérdida de competencia temporal, por lo que está viciada de nulidad.</w:t>
            </w:r>
            <w:r>
              <w:rPr>
                <w:rFonts w:ascii="Verdana" w:eastAsia="Calibri" w:hAnsi="Verdana" w:cs="Arial"/>
              </w:rPr>
              <w:t xml:space="preserve"> Lo anterior no obsta para continuar con el trámite del procedimiento del artículo 86 de la Ley 1437 de 2011, sin perjuicio de la aplicación del artículo 52 de la Ley 1437 de 2011 sobre caducidad de la potestad sancionatoria del Estado. (Respuesta a la pregunta 3)</w:t>
            </w:r>
          </w:p>
          <w:p w14:paraId="31A28FA1" w14:textId="77777777" w:rsidR="00D46944" w:rsidRPr="00623700" w:rsidRDefault="00D46944" w:rsidP="008B565B">
            <w:pPr>
              <w:spacing w:after="120" w:line="276" w:lineRule="auto"/>
              <w:ind w:firstLine="709"/>
              <w:jc w:val="both"/>
              <w:rPr>
                <w:rFonts w:ascii="Verdana" w:eastAsia="Calibri" w:hAnsi="Verdana" w:cs="Arial"/>
                <w:lang w:val="es-ES_tradnl"/>
              </w:rPr>
            </w:pPr>
            <w:r>
              <w:rPr>
                <w:rFonts w:ascii="Verdana" w:eastAsia="Calibri" w:hAnsi="Verdana" w:cs="Arial"/>
              </w:rPr>
              <w:t>En todo caso</w:t>
            </w:r>
            <w:r w:rsidRPr="004438B9">
              <w:rPr>
                <w:rFonts w:ascii="Verdana" w:eastAsia="Calibri" w:hAnsi="Verdana" w:cs="Arial"/>
                <w:lang w:val="es-ES_tradnl"/>
              </w:rPr>
              <w:t>, se precisa que si el contrato fue liquidado</w:t>
            </w:r>
            <w:r>
              <w:rPr>
                <w:rFonts w:ascii="Verdana" w:eastAsia="Calibri" w:hAnsi="Verdana" w:cs="Arial"/>
                <w:lang w:val="es-ES_tradnl"/>
              </w:rPr>
              <w:t xml:space="preserve"> sin obligaciones pendientes por ejecutar</w:t>
            </w:r>
            <w:r w:rsidRPr="004438B9">
              <w:rPr>
                <w:rFonts w:ascii="Verdana" w:eastAsia="Calibri" w:hAnsi="Verdana" w:cs="Arial"/>
                <w:lang w:val="es-ES_tradnl"/>
              </w:rPr>
              <w:t xml:space="preserve">, la Administración ya no podrá imponer sanciones pecuniarias al contratista, toda vez que –encontrándose las partes a paz y salvo– finaliza la relación contractual y, por tanto, las entidades pierden competencia para ejercer sus prerrogativas. </w:t>
            </w:r>
            <w:r>
              <w:rPr>
                <w:rFonts w:ascii="Verdana" w:eastAsia="Calibri" w:hAnsi="Verdana" w:cs="Arial"/>
                <w:lang w:val="es-ES_tradnl"/>
              </w:rPr>
              <w:t xml:space="preserve">Por el contrario, </w:t>
            </w:r>
            <w:r w:rsidRPr="00C97B91">
              <w:rPr>
                <w:rFonts w:ascii="Verdana" w:eastAsia="Calibri" w:hAnsi="Verdana" w:cs="Arial"/>
                <w:lang w:val="es-ES_tradnl"/>
              </w:rPr>
              <w:t xml:space="preserve">si en el acta de </w:t>
            </w:r>
            <w:r w:rsidRPr="00C97B91">
              <w:rPr>
                <w:rFonts w:ascii="Verdana" w:eastAsia="Calibri" w:hAnsi="Verdana" w:cs="Arial"/>
                <w:lang w:val="es-ES_tradnl"/>
              </w:rPr>
              <w:lastRenderedPageBreak/>
              <w:t>liquidación se dejó constancia de obligaciones pendientes de cumplimiento para declarar a las partes a paz y salvo, la Administración podrá adelantar un proceso sancionatorio con la finalidad de declarar el incumplimiento y hacer efectiva</w:t>
            </w:r>
            <w:r>
              <w:rPr>
                <w:rFonts w:ascii="Verdana" w:eastAsia="Calibri" w:hAnsi="Verdana" w:cs="Arial"/>
                <w:lang w:val="es-ES_tradnl"/>
              </w:rPr>
              <w:t>s</w:t>
            </w:r>
            <w:r w:rsidRPr="00C97B91">
              <w:rPr>
                <w:rFonts w:ascii="Verdana" w:eastAsia="Calibri" w:hAnsi="Verdana" w:cs="Arial"/>
                <w:lang w:val="es-ES_tradnl"/>
              </w:rPr>
              <w:t xml:space="preserve"> </w:t>
            </w:r>
            <w:r>
              <w:rPr>
                <w:rFonts w:ascii="Verdana" w:eastAsia="Calibri" w:hAnsi="Verdana" w:cs="Arial"/>
                <w:lang w:val="es-ES_tradnl"/>
              </w:rPr>
              <w:t>las sanciones pecuniarias</w:t>
            </w:r>
            <w:r w:rsidRPr="00C97B91">
              <w:rPr>
                <w:rFonts w:ascii="Verdana" w:eastAsia="Calibri" w:hAnsi="Verdana" w:cs="Arial"/>
                <w:lang w:val="es-ES_tradnl"/>
              </w:rPr>
              <w:t>, de acuerdo con las circunstancias específicas de cada negocio jurídico, atendiendo a los términos en que se haya pactado dichas obligaciones en la liquidación del contrato.</w:t>
            </w:r>
            <w:r>
              <w:rPr>
                <w:rFonts w:ascii="Verdana" w:eastAsia="Calibri" w:hAnsi="Verdana" w:cs="Arial"/>
                <w:lang w:val="es-ES_tradnl"/>
              </w:rPr>
              <w:t xml:space="preserve"> (Respuesta a las preguntas 4 y 5)</w:t>
            </w:r>
          </w:p>
          <w:p w14:paraId="446CD666" w14:textId="77777777" w:rsidR="00D46944" w:rsidRPr="001A09C8" w:rsidRDefault="00D46944" w:rsidP="008B565B">
            <w:pPr>
              <w:spacing w:before="120" w:line="276" w:lineRule="auto"/>
              <w:ind w:firstLine="737"/>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Pr>
                <w:rStyle w:val="s15"/>
                <w:rFonts w:ascii="Verdana" w:hAnsi="Verdana"/>
                <w:color w:val="000000"/>
              </w:rPr>
              <w:t xml:space="preserve"> </w:t>
            </w:r>
          </w:p>
        </w:tc>
      </w:tr>
    </w:tbl>
    <w:p w14:paraId="60135548" w14:textId="77777777" w:rsidR="00D46944" w:rsidRPr="00593A5F" w:rsidRDefault="00D46944" w:rsidP="00D46944">
      <w:pPr>
        <w:tabs>
          <w:tab w:val="left" w:pos="142"/>
          <w:tab w:val="left" w:pos="284"/>
        </w:tabs>
        <w:spacing w:after="0" w:line="276" w:lineRule="auto"/>
        <w:jc w:val="both"/>
        <w:rPr>
          <w:rFonts w:ascii="Verdana" w:eastAsia="Century Gothic" w:hAnsi="Verdana" w:cs="Century Gothic"/>
          <w:b/>
          <w:bCs/>
          <w:lang w:val="es-ES"/>
        </w:rPr>
      </w:pPr>
    </w:p>
    <w:bookmarkEnd w:id="1"/>
    <w:p w14:paraId="60BBA031" w14:textId="77777777" w:rsidR="00D46944" w:rsidRPr="00593A5F" w:rsidRDefault="00D46944" w:rsidP="00D469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8FD6D5E" w14:textId="77777777" w:rsidR="00D46944" w:rsidRPr="00593A5F" w:rsidRDefault="00D46944" w:rsidP="00D46944">
      <w:pPr>
        <w:spacing w:after="0" w:line="276" w:lineRule="auto"/>
        <w:jc w:val="both"/>
        <w:rPr>
          <w:rFonts w:ascii="Verdana" w:eastAsia="Calibri" w:hAnsi="Verdana" w:cs="Arial"/>
          <w:color w:val="7030A0"/>
          <w:lang w:val="es-ES"/>
        </w:rPr>
      </w:pPr>
    </w:p>
    <w:p w14:paraId="4D596266" w14:textId="77777777" w:rsidR="00D46944" w:rsidRDefault="00D46944" w:rsidP="00D46944">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7920C62F" w14:textId="77777777" w:rsidR="00D46944" w:rsidRPr="00415608" w:rsidRDefault="00D46944" w:rsidP="00D46944">
      <w:pPr>
        <w:spacing w:after="0" w:line="276" w:lineRule="auto"/>
        <w:jc w:val="both"/>
        <w:rPr>
          <w:rFonts w:ascii="Verdana" w:eastAsia="Calibri" w:hAnsi="Verdana" w:cs="Arial"/>
          <w:lang w:val="es-ES"/>
        </w:rPr>
      </w:pPr>
    </w:p>
    <w:p w14:paraId="795FDED3" w14:textId="77777777" w:rsidR="00D46944" w:rsidRPr="00FB5FC4" w:rsidRDefault="00D46944" w:rsidP="00D46944">
      <w:pPr>
        <w:spacing w:after="0" w:line="276" w:lineRule="auto"/>
        <w:jc w:val="both"/>
        <w:rPr>
          <w:rFonts w:ascii="Verdana" w:eastAsia="Calibri" w:hAnsi="Verdana" w:cs="Arial"/>
          <w:color w:val="000000"/>
          <w:lang w:val="es-ES_tradnl"/>
        </w:rPr>
      </w:pPr>
      <w:r>
        <w:rPr>
          <w:rFonts w:ascii="Verdana" w:eastAsia="Calibri" w:hAnsi="Verdana" w:cs="Arial"/>
          <w:color w:val="000000"/>
          <w:lang w:val="es-ES_tradnl"/>
        </w:rPr>
        <w:t xml:space="preserve">i. </w:t>
      </w:r>
      <w:r w:rsidRPr="00FB5FC4">
        <w:rPr>
          <w:rFonts w:ascii="Verdana" w:eastAsia="Calibri" w:hAnsi="Verdana" w:cs="Arial"/>
          <w:color w:val="000000"/>
          <w:lang w:val="es-ES_tradnl"/>
        </w:rPr>
        <w:t>La liquidación es el momento en el cual, una vez concluido el contrato estatal, las partes cruzan cuentas respecto de sus obligaciones</w:t>
      </w:r>
      <w:r>
        <w:rPr>
          <w:rFonts w:ascii="Verdana" w:eastAsia="Calibri" w:hAnsi="Verdana" w:cs="Arial"/>
          <w:color w:val="000000"/>
          <w:lang w:val="es-ES_tradnl"/>
        </w:rPr>
        <w:t>.</w:t>
      </w:r>
      <w:r w:rsidRPr="00FB5FC4">
        <w:rPr>
          <w:rFonts w:ascii="Verdana" w:eastAsia="Calibri" w:hAnsi="Verdana" w:cs="Arial"/>
          <w:color w:val="000000"/>
          <w:lang w:val="es-ES_tradnl"/>
        </w:rPr>
        <w:t xml:space="preserve"> </w:t>
      </w:r>
      <w:r>
        <w:rPr>
          <w:rFonts w:ascii="Verdana" w:eastAsia="Calibri" w:hAnsi="Verdana" w:cs="Arial"/>
          <w:color w:val="000000"/>
          <w:lang w:val="es-ES_tradnl"/>
        </w:rPr>
        <w:t>P</w:t>
      </w:r>
      <w:r w:rsidRPr="00FB5FC4">
        <w:rPr>
          <w:rFonts w:ascii="Verdana" w:eastAsia="Calibri" w:hAnsi="Verdana" w:cs="Arial"/>
          <w:color w:val="000000"/>
          <w:lang w:val="es-ES_tradnl"/>
        </w:rPr>
        <w:t xml:space="preserve">or tanto, su objetivo es determinar si pueden declararse a paz y salvo mutuo o si, por el contrario, existen aún obligaciones por cumplir, para acordar la forma en que deben ser </w:t>
      </w:r>
      <w:r>
        <w:rPr>
          <w:rFonts w:ascii="Verdana" w:eastAsia="Calibri" w:hAnsi="Verdana" w:cs="Arial"/>
          <w:color w:val="000000"/>
          <w:lang w:val="es-ES_tradnl"/>
        </w:rPr>
        <w:t>finalizadas</w:t>
      </w:r>
      <w:r w:rsidRPr="00FB5FC4">
        <w:rPr>
          <w:rFonts w:ascii="Verdana" w:eastAsia="Calibri" w:hAnsi="Verdana" w:cs="Arial"/>
          <w:color w:val="000000"/>
          <w:vertAlign w:val="superscript"/>
          <w:lang w:val="es-ES_tradnl"/>
        </w:rPr>
        <w:footnoteReference w:id="2"/>
      </w:r>
      <w:r w:rsidRPr="00FB5FC4">
        <w:rPr>
          <w:rFonts w:ascii="Verdana" w:eastAsia="Calibri" w:hAnsi="Verdana" w:cs="Arial"/>
          <w:color w:val="000000"/>
          <w:lang w:val="es-ES_tradnl"/>
        </w:rPr>
        <w:t>. En armonía con lo anterior, la doctrina ha definido la liquidación de la siguiente manera:</w:t>
      </w:r>
    </w:p>
    <w:p w14:paraId="6DF4381D" w14:textId="77777777" w:rsidR="00D46944" w:rsidRPr="00FB5FC4" w:rsidRDefault="00D46944" w:rsidP="00D46944">
      <w:pPr>
        <w:spacing w:after="0" w:line="276" w:lineRule="auto"/>
        <w:jc w:val="both"/>
        <w:rPr>
          <w:rFonts w:ascii="Verdana" w:eastAsia="Calibri" w:hAnsi="Verdana" w:cs="Arial"/>
          <w:color w:val="000000"/>
          <w:lang w:val="es-ES_tradnl"/>
        </w:rPr>
      </w:pPr>
    </w:p>
    <w:p w14:paraId="4D19AD4A" w14:textId="77777777" w:rsidR="00D46944" w:rsidRPr="00A71E32" w:rsidRDefault="00D46944" w:rsidP="00D46944">
      <w:pPr>
        <w:spacing w:after="0" w:line="240" w:lineRule="auto"/>
        <w:ind w:left="709" w:right="758"/>
        <w:jc w:val="both"/>
        <w:rPr>
          <w:rFonts w:ascii="Verdana" w:eastAsia="Calibri" w:hAnsi="Verdana" w:cs="Arial"/>
          <w:sz w:val="20"/>
          <w:szCs w:val="20"/>
          <w:lang w:val="es-MX"/>
        </w:rPr>
      </w:pPr>
      <w:r w:rsidRPr="00A71E32">
        <w:rPr>
          <w:rFonts w:ascii="Verdana" w:eastAsia="Calibri" w:hAnsi="Verdana" w:cs="Arial"/>
          <w:i/>
          <w:iCs/>
          <w:color w:val="000000"/>
          <w:sz w:val="20"/>
          <w:szCs w:val="20"/>
          <w:lang w:val="es-ES_tradnl"/>
        </w:rPr>
        <w:t>“</w:t>
      </w:r>
      <w:r w:rsidRPr="00A71E32">
        <w:rPr>
          <w:rFonts w:ascii="Verdana" w:eastAsia="Calibri" w:hAnsi="Verdana" w:cs="Arial"/>
          <w:sz w:val="20"/>
          <w:szCs w:val="20"/>
          <w:lang w:val="es-MX"/>
        </w:rPr>
        <w:t xml:space="preserve">[…] la liquidación del contrato estatal corresponde al arreglo o ajuste económico, técnico y jurídico al que se llega de forma bilateral (por las partes del negocio), unilateralmente (por la administración), por el juez o </w:t>
      </w:r>
      <w:r w:rsidRPr="00A71E32">
        <w:rPr>
          <w:rFonts w:ascii="Verdana" w:eastAsia="Calibri" w:hAnsi="Verdana" w:cs="Arial"/>
          <w:sz w:val="20"/>
          <w:szCs w:val="20"/>
          <w:lang w:val="es-MX"/>
        </w:rPr>
        <w:lastRenderedPageBreak/>
        <w:t>por el árbitro, según el caso, para determinar el estado final de la relación contractual, no solo en cuento al cumplimiento del objeto acordado y al recibo a satisfacción de los productos contratados (bienes y servicios), sino, además, para definir la situación en la que quedan los contratantes, luego de la ejecución del contrato, en el sentido de disponer cuánto se adeudan, de qué manera y en qué plazos se han de efectuar los pagos pendientes y las condiciones para el establecimiento del respectivo paz y salvo. En otras palabras, la liquidación es el acto jurídico bilateral, administrativo o judicial, en el que se plasma y formaliza la situación financiera y jurídica de las partes, al término de la relación contractual (aspecto subjetivo) y el grado de cumplimiento del objeto contratado (aspecto objetivo); de ahí que pueda hablarse, en términos amplios, de un doble contenido, que debe estar presente en toda liquidación. En efecto, el corte de cuentas realizado en ella tiene un doble alcance: (i) hacer un balance definitivo del negocio, en sus aspectos técnicos, financieros y jurídicos (aspecto objetivo o material) y ii) definir la situación jurídica de las partes, estableciendo si pueden constituirse o no a paz y salvo; lo que exige, en la práctica, que los negociantes dialoguen e intenten ponerse de acuerdo (aspecto subjetivo)”</w:t>
      </w:r>
      <w:r w:rsidRPr="00A71E32">
        <w:rPr>
          <w:rFonts w:ascii="Verdana" w:eastAsia="Calibri" w:hAnsi="Verdana" w:cs="Arial"/>
          <w:sz w:val="20"/>
          <w:szCs w:val="20"/>
          <w:vertAlign w:val="superscript"/>
          <w:lang w:val="es-MX"/>
        </w:rPr>
        <w:footnoteReference w:id="3"/>
      </w:r>
      <w:r w:rsidRPr="00A71E32">
        <w:rPr>
          <w:rFonts w:ascii="Verdana" w:eastAsia="Calibri" w:hAnsi="Verdana" w:cs="Arial"/>
          <w:sz w:val="20"/>
          <w:szCs w:val="20"/>
          <w:lang w:val="es-MX"/>
        </w:rPr>
        <w:t>.</w:t>
      </w:r>
    </w:p>
    <w:p w14:paraId="6D19DA5A" w14:textId="77777777" w:rsidR="00D46944" w:rsidRPr="00FB5FC4" w:rsidRDefault="00D46944" w:rsidP="00D46944">
      <w:pPr>
        <w:spacing w:after="0" w:line="276" w:lineRule="auto"/>
        <w:jc w:val="both"/>
        <w:rPr>
          <w:rFonts w:ascii="Verdana" w:eastAsia="Calibri" w:hAnsi="Verdana" w:cs="Arial"/>
          <w:color w:val="000000"/>
          <w:lang w:val="es-ES_tradnl"/>
        </w:rPr>
      </w:pPr>
    </w:p>
    <w:p w14:paraId="13DAB32C" w14:textId="77777777" w:rsidR="00D46944" w:rsidRPr="00FB5FC4" w:rsidRDefault="00D46944" w:rsidP="00D46944">
      <w:pPr>
        <w:spacing w:after="120" w:line="276" w:lineRule="auto"/>
        <w:ind w:firstLine="709"/>
        <w:jc w:val="both"/>
        <w:rPr>
          <w:rFonts w:ascii="Verdana" w:eastAsia="Times New Roman" w:hAnsi="Verdana" w:cs="Arial"/>
          <w:color w:val="000000"/>
          <w:sz w:val="21"/>
          <w:szCs w:val="21"/>
          <w:lang w:val="es-ES_tradnl" w:eastAsia="es-ES_tradnl"/>
        </w:rPr>
      </w:pPr>
      <w:r>
        <w:rPr>
          <w:rFonts w:ascii="Verdana" w:eastAsia="Times New Roman" w:hAnsi="Verdana" w:cs="Arial"/>
          <w:color w:val="000000"/>
          <w:szCs w:val="24"/>
          <w:lang w:val="es-ES_tradnl" w:eastAsia="es-ES_tradnl"/>
        </w:rPr>
        <w:t>S</w:t>
      </w:r>
      <w:r w:rsidRPr="00FB5FC4">
        <w:rPr>
          <w:rFonts w:ascii="Verdana" w:eastAsia="Times New Roman" w:hAnsi="Verdana" w:cs="Arial"/>
          <w:color w:val="000000"/>
          <w:szCs w:val="24"/>
          <w:lang w:val="es-ES_tradnl" w:eastAsia="es-ES_tradnl"/>
        </w:rPr>
        <w:t xml:space="preserve">egún la jurisprudencia, la liquidación es el ajuste de cuentas donde las partes hacen un balance económico, técnico y jurídico del cumplimiento de las obligaciones que tienen a su cargo. Así lo manifestó el Consejo de Estado en la </w:t>
      </w:r>
      <w:r>
        <w:rPr>
          <w:rFonts w:ascii="Verdana" w:eastAsia="Times New Roman" w:hAnsi="Verdana" w:cs="Arial"/>
          <w:color w:val="000000"/>
          <w:szCs w:val="24"/>
          <w:lang w:val="es-ES_tradnl" w:eastAsia="es-ES_tradnl"/>
        </w:rPr>
        <w:t>S</w:t>
      </w:r>
      <w:r w:rsidRPr="00FB5FC4">
        <w:rPr>
          <w:rFonts w:ascii="Verdana" w:eastAsia="Times New Roman" w:hAnsi="Verdana" w:cs="Arial"/>
          <w:color w:val="000000"/>
          <w:szCs w:val="24"/>
          <w:lang w:val="es-ES_tradnl" w:eastAsia="es-ES_tradnl"/>
        </w:rPr>
        <w:t xml:space="preserve">entencia del 20 de octubre de 2014, en la que consideró, por un lado, que </w:t>
      </w:r>
      <w:r w:rsidRPr="00FB5FC4">
        <w:rPr>
          <w:rFonts w:ascii="Verdana" w:eastAsia="Times New Roman" w:hAnsi="Verdana" w:cs="Arial"/>
          <w:i/>
          <w:iCs/>
          <w:color w:val="000000"/>
          <w:szCs w:val="24"/>
          <w:lang w:val="es-ES_tradnl" w:eastAsia="es-ES_tradnl"/>
        </w:rPr>
        <w:t>liquidar</w:t>
      </w:r>
      <w:r w:rsidRPr="00FB5FC4">
        <w:rPr>
          <w:rFonts w:ascii="Verdana" w:eastAsia="Times New Roman" w:hAnsi="Verdana" w:cs="Arial"/>
          <w:color w:val="000000"/>
          <w:szCs w:val="24"/>
          <w:lang w:val="es-ES_tradnl" w:eastAsia="es-ES_tradnl"/>
        </w:rPr>
        <w:t xml:space="preserve"> supone un ajuste en relación con las cuentas y el estado de cumplimiento del contrato estatal y, por el otro, que la </w:t>
      </w:r>
      <w:r w:rsidRPr="00FB5FC4">
        <w:rPr>
          <w:rFonts w:ascii="Verdana" w:eastAsia="Times New Roman" w:hAnsi="Verdana" w:cs="Arial"/>
          <w:i/>
          <w:iCs/>
          <w:color w:val="000000"/>
          <w:szCs w:val="24"/>
          <w:lang w:val="es-ES_tradnl" w:eastAsia="es-ES_tradnl"/>
        </w:rPr>
        <w:t>liquidación</w:t>
      </w:r>
      <w:r w:rsidRPr="00FB5FC4">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FB5FC4">
        <w:rPr>
          <w:rFonts w:ascii="Verdana" w:eastAsia="Times New Roman" w:hAnsi="Verdana" w:cs="Arial"/>
          <w:color w:val="000000"/>
          <w:szCs w:val="24"/>
          <w:vertAlign w:val="superscript"/>
          <w:lang w:val="es-ES_tradnl" w:eastAsia="es-ES_tradnl"/>
        </w:rPr>
        <w:footnoteReference w:id="4"/>
      </w:r>
      <w:r w:rsidRPr="00FB5FC4">
        <w:rPr>
          <w:rFonts w:ascii="Verdana" w:eastAsia="Times New Roman" w:hAnsi="Verdana" w:cs="Arial"/>
          <w:color w:val="000000"/>
          <w:szCs w:val="24"/>
          <w:lang w:val="es-ES_tradnl" w:eastAsia="es-ES_tradnl"/>
        </w:rPr>
        <w:t xml:space="preserve">. </w:t>
      </w:r>
    </w:p>
    <w:p w14:paraId="481857DB" w14:textId="77777777" w:rsidR="00D46944" w:rsidRPr="00FB5FC4" w:rsidRDefault="00D46944" w:rsidP="00D46944">
      <w:pPr>
        <w:spacing w:after="0" w:line="276" w:lineRule="auto"/>
        <w:ind w:firstLine="709"/>
        <w:jc w:val="both"/>
        <w:rPr>
          <w:rFonts w:ascii="Verdana" w:eastAsia="Calibri" w:hAnsi="Verdana" w:cs="Arial"/>
          <w:color w:val="000000"/>
          <w:lang w:val="es-ES_tradnl"/>
        </w:rPr>
      </w:pPr>
      <w:r w:rsidRPr="00570C1A">
        <w:rPr>
          <w:rFonts w:ascii="Verdana" w:eastAsia="Calibri" w:hAnsi="Verdana" w:cs="Arial"/>
          <w:i/>
          <w:iCs/>
          <w:color w:val="000000"/>
          <w:lang w:val="es-ES_tradnl"/>
        </w:rPr>
        <w:t>Para las entidades sometidas al EGCAP</w:t>
      </w:r>
      <w:r>
        <w:rPr>
          <w:rFonts w:ascii="Verdana" w:eastAsia="Calibri" w:hAnsi="Verdana" w:cs="Arial"/>
          <w:color w:val="000000"/>
          <w:lang w:val="es-ES_tradnl"/>
        </w:rPr>
        <w:t>, l</w:t>
      </w:r>
      <w:r w:rsidRPr="00FB5FC4">
        <w:rPr>
          <w:rFonts w:ascii="Verdana" w:eastAsia="Calibri" w:hAnsi="Verdana" w:cs="Arial"/>
          <w:color w:val="000000"/>
          <w:lang w:val="es-ES_tradnl"/>
        </w:rPr>
        <w:t xml:space="preserve">as disposiciones legales que regulan la etapa de liquidación de los contratos estatales son el artículo 60 de la Ley 80 de 1993, modificado por el artículo 217 del Decreto </w:t>
      </w:r>
      <w:r>
        <w:rPr>
          <w:rFonts w:ascii="Verdana" w:eastAsia="Calibri" w:hAnsi="Verdana" w:cs="Arial"/>
          <w:color w:val="000000"/>
          <w:lang w:val="es-ES_tradnl"/>
        </w:rPr>
        <w:t xml:space="preserve">Ley </w:t>
      </w:r>
      <w:r w:rsidRPr="00FB5FC4">
        <w:rPr>
          <w:rFonts w:ascii="Verdana" w:eastAsia="Calibri" w:hAnsi="Verdana" w:cs="Arial"/>
          <w:color w:val="000000"/>
          <w:lang w:val="es-ES_tradnl"/>
        </w:rPr>
        <w:t xml:space="preserve">019 de 2012, y </w:t>
      </w:r>
      <w:r w:rsidRPr="00FB5FC4">
        <w:rPr>
          <w:rFonts w:ascii="Verdana" w:eastAsia="Calibri" w:hAnsi="Verdana" w:cs="Arial"/>
          <w:color w:val="000000"/>
          <w:lang w:val="es-ES_tradnl"/>
        </w:rPr>
        <w:lastRenderedPageBreak/>
        <w:t>el artículo 11 de la Ley 1150 de 2007. El primero de estos artículos se refiere al alcance sustantivo de la liquidación y los contratos en que procede, mientras que el segundo contiene reglas procedimentales para su realización. En relación con el artículo 60 referido, la doctrina ha indicado que:</w:t>
      </w:r>
    </w:p>
    <w:p w14:paraId="68EF413A" w14:textId="77777777" w:rsidR="00D46944" w:rsidRPr="00D71733" w:rsidRDefault="00D46944" w:rsidP="00D46944">
      <w:pPr>
        <w:spacing w:after="0" w:line="276" w:lineRule="auto"/>
        <w:ind w:firstLine="708"/>
        <w:jc w:val="both"/>
        <w:rPr>
          <w:rFonts w:ascii="Verdana" w:eastAsia="Calibri" w:hAnsi="Verdana" w:cs="Arial"/>
          <w:lang w:val="es-ES"/>
        </w:rPr>
      </w:pPr>
    </w:p>
    <w:p w14:paraId="3DA631A7" w14:textId="77777777" w:rsidR="00D46944" w:rsidRPr="00A71E32" w:rsidRDefault="00D46944" w:rsidP="00D46944">
      <w:pPr>
        <w:spacing w:after="0" w:line="240" w:lineRule="auto"/>
        <w:ind w:left="709" w:right="758"/>
        <w:jc w:val="both"/>
        <w:rPr>
          <w:rFonts w:ascii="Verdana" w:eastAsia="Calibri" w:hAnsi="Verdana" w:cs="Arial"/>
          <w:sz w:val="20"/>
          <w:szCs w:val="20"/>
          <w:lang w:val="es-MX"/>
        </w:rPr>
      </w:pPr>
      <w:r w:rsidRPr="00A71E32">
        <w:rPr>
          <w:rFonts w:ascii="Verdana" w:eastAsia="Calibri" w:hAnsi="Verdana" w:cs="Arial"/>
          <w:sz w:val="20"/>
          <w:szCs w:val="20"/>
          <w:lang w:val="es-ES"/>
        </w:rPr>
        <w:t>“</w:t>
      </w:r>
      <w:r w:rsidRPr="00A71E32">
        <w:rPr>
          <w:rFonts w:ascii="Verdana" w:eastAsia="Calibri" w:hAnsi="Verdana" w:cs="Arial"/>
          <w:sz w:val="20"/>
          <w:szCs w:val="20"/>
          <w:lang w:val="es-MX"/>
        </w:rPr>
        <w:t xml:space="preserve">La ley 80 de 1993 […] dispuso en el artículo 60 que serían objeto de liquidación todos los contratos de tracto sucesivo, entendiendo por estos los de ejecución y cumplimiento prolongados en el tiempo, así como los demás que lo requieran –que son generalmente aquellos de ejecución instantánea en los que la misma se ha extendido temporalmente–, etapa en la cual las partes debían acordar los ajustes, revisiones y reconocimientos a que hubiera lugar, y que el contenido de la misma debía reflejar </w:t>
      </w:r>
      <w:r>
        <w:rPr>
          <w:rFonts w:ascii="Verdana" w:eastAsia="Calibri" w:hAnsi="Verdana" w:cs="Arial"/>
          <w:sz w:val="20"/>
          <w:szCs w:val="20"/>
          <w:lang w:val="es-MX"/>
        </w:rPr>
        <w:t>‘</w:t>
      </w:r>
      <w:r w:rsidRPr="00A71E32">
        <w:rPr>
          <w:rFonts w:ascii="Verdana" w:eastAsia="Calibri" w:hAnsi="Verdana" w:cs="Arial"/>
          <w:sz w:val="20"/>
          <w:szCs w:val="20"/>
          <w:lang w:val="es-MX"/>
        </w:rPr>
        <w:t>los acuerdos, conciliaciones y transacciones a que llegaren las partes para poner fin a las divergencias presentadas y poder declararse a paz y salvo</w:t>
      </w:r>
      <w:r>
        <w:rPr>
          <w:rFonts w:ascii="Verdana" w:eastAsia="Calibri" w:hAnsi="Verdana" w:cs="Arial"/>
          <w:sz w:val="20"/>
          <w:szCs w:val="20"/>
          <w:lang w:val="es-MX"/>
        </w:rPr>
        <w:t>’</w:t>
      </w:r>
      <w:r w:rsidRPr="00A71E32">
        <w:rPr>
          <w:rFonts w:ascii="Verdana" w:eastAsia="Calibri" w:hAnsi="Verdana" w:cs="Arial"/>
          <w:sz w:val="20"/>
          <w:szCs w:val="20"/>
          <w:lang w:val="es-MX"/>
        </w:rPr>
        <w:t>”</w:t>
      </w:r>
      <w:r w:rsidRPr="00A71E32">
        <w:rPr>
          <w:rFonts w:ascii="Verdana" w:eastAsia="Calibri" w:hAnsi="Verdana" w:cs="Arial"/>
          <w:sz w:val="20"/>
          <w:szCs w:val="20"/>
          <w:vertAlign w:val="superscript"/>
          <w:lang w:val="es-MX"/>
        </w:rPr>
        <w:footnoteReference w:id="5"/>
      </w:r>
      <w:r w:rsidRPr="00A71E32">
        <w:rPr>
          <w:rFonts w:ascii="Verdana" w:eastAsia="Calibri" w:hAnsi="Verdana" w:cs="Arial"/>
          <w:sz w:val="20"/>
          <w:szCs w:val="20"/>
          <w:lang w:val="es-MX"/>
        </w:rPr>
        <w:t>.</w:t>
      </w:r>
    </w:p>
    <w:p w14:paraId="2BCB9681" w14:textId="77777777" w:rsidR="00D46944" w:rsidRPr="00D71733" w:rsidRDefault="00D46944" w:rsidP="00D46944">
      <w:pPr>
        <w:spacing w:after="0" w:line="276" w:lineRule="auto"/>
        <w:ind w:left="709" w:right="758"/>
        <w:jc w:val="both"/>
        <w:rPr>
          <w:rFonts w:ascii="Verdana" w:eastAsia="Calibri" w:hAnsi="Verdana" w:cs="Arial"/>
          <w:lang w:val="es-ES"/>
        </w:rPr>
      </w:pPr>
    </w:p>
    <w:p w14:paraId="3C59AD9A" w14:textId="77777777" w:rsidR="00D46944" w:rsidRPr="00FB5FC4" w:rsidRDefault="00D46944" w:rsidP="00D46944">
      <w:pPr>
        <w:spacing w:after="120" w:line="276" w:lineRule="auto"/>
        <w:ind w:firstLine="708"/>
        <w:jc w:val="both"/>
        <w:rPr>
          <w:rFonts w:ascii="Verdana" w:eastAsia="Calibri" w:hAnsi="Verdana" w:cs="Arial"/>
          <w:color w:val="000000"/>
          <w:lang w:val="es-ES_tradnl"/>
        </w:rPr>
      </w:pPr>
      <w:r w:rsidRPr="00FB5FC4">
        <w:rPr>
          <w:rFonts w:ascii="Verdana" w:eastAsia="Calibri" w:hAnsi="Verdana" w:cs="Arial"/>
          <w:color w:val="000000"/>
          <w:lang w:val="es-ES_tradnl"/>
        </w:rPr>
        <w:t>Así las cosas, de acuerdo con el artículo 60 de la Ley 80 de 1993, los contratos de tracto sucesivo, aquellos cuyo cumplimiento o ejecución se prolongue en el tiempo y los demás que lo requieran “</w:t>
      </w:r>
      <w:r w:rsidRPr="00D71733">
        <w:rPr>
          <w:rFonts w:ascii="Verdana" w:eastAsia="Calibri" w:hAnsi="Verdana" w:cs="Arial"/>
          <w:color w:val="000000"/>
          <w:lang w:val="es-ES_tradnl"/>
        </w:rPr>
        <w:t>serán objeto de liquidación</w:t>
      </w:r>
      <w:r w:rsidRPr="00FB5FC4">
        <w:rPr>
          <w:rFonts w:ascii="Verdana" w:eastAsia="Calibri" w:hAnsi="Verdana" w:cs="Arial"/>
          <w:color w:val="000000"/>
          <w:lang w:val="es-ES_tradnl"/>
        </w:rPr>
        <w:t>”. El mismo artículo prescribe que no será obligatoria la liquidación en los contratos de prestación de servicios profesionales y de apoyo a la gestión. Adicionalmente, en los contratos las entidades estatales deben definir la oportunidad y forma de recibir el objeto contratado y, en cada caso, si un contrato requiere o no de liquidación, con arreglo a criterios tales como la naturaleza, objeto y plazo del contrato</w:t>
      </w:r>
      <w:r w:rsidRPr="00FB5FC4">
        <w:rPr>
          <w:rFonts w:ascii="Verdana" w:eastAsia="Calibri" w:hAnsi="Verdana" w:cs="Arial"/>
          <w:color w:val="000000"/>
          <w:vertAlign w:val="superscript"/>
          <w:lang w:val="es-ES_tradnl"/>
        </w:rPr>
        <w:footnoteReference w:id="6"/>
      </w:r>
      <w:r w:rsidRPr="00FB5FC4">
        <w:rPr>
          <w:rFonts w:ascii="Verdana" w:eastAsia="Calibri" w:hAnsi="Verdana" w:cs="Arial"/>
          <w:color w:val="000000"/>
          <w:lang w:val="es-ES_tradnl"/>
        </w:rPr>
        <w:t xml:space="preserve">, así como la probabilidad de que puedan surgir diferencias durante la ejecución del contrato; sin perjuicio de que, como se indicó, todos los contratos estatales de </w:t>
      </w:r>
      <w:r w:rsidRPr="00FB5FC4">
        <w:rPr>
          <w:rFonts w:ascii="Verdana" w:eastAsia="Calibri" w:hAnsi="Verdana" w:cs="Arial"/>
          <w:i/>
          <w:iCs/>
          <w:color w:val="000000"/>
          <w:lang w:val="es-ES_tradnl"/>
        </w:rPr>
        <w:t>tracto sucesivo</w:t>
      </w:r>
      <w:r w:rsidRPr="00FB5FC4">
        <w:rPr>
          <w:rFonts w:ascii="Verdana" w:eastAsia="Calibri" w:hAnsi="Verdana" w:cs="Arial"/>
          <w:color w:val="000000"/>
          <w:lang w:val="es-ES_tradnl"/>
        </w:rPr>
        <w:t xml:space="preserve"> o aquellos cuya ejecución se prolongue en el tiempo siempre deban liquidarse, convirtiéndose en estos contratos en una cláusula de la naturaleza, conforme a la clasificación prevista en el Código Civil.</w:t>
      </w:r>
    </w:p>
    <w:p w14:paraId="5765C582" w14:textId="77777777" w:rsidR="00D46944" w:rsidRPr="00FB5FC4" w:rsidRDefault="00D46944" w:rsidP="00D46944">
      <w:pPr>
        <w:spacing w:after="120" w:line="276" w:lineRule="auto"/>
        <w:ind w:firstLine="708"/>
        <w:jc w:val="both"/>
        <w:rPr>
          <w:rFonts w:ascii="Verdana" w:eastAsia="Calibri" w:hAnsi="Verdana" w:cs="Arial"/>
          <w:color w:val="000000"/>
          <w:lang w:val="es-ES"/>
        </w:rPr>
      </w:pPr>
      <w:r w:rsidRPr="005B6338">
        <w:rPr>
          <w:rFonts w:ascii="Verdana" w:eastAsia="Calibri" w:hAnsi="Verdana" w:cs="Arial"/>
          <w:color w:val="000000"/>
          <w:lang w:val="es-ES"/>
        </w:rPr>
        <w:t>Por su parte, el artículo 11 de la Ley 1150 de 2007 contiene las reglas de tipo procedimental para liquidar los contratos estatales, las cuales se pasan a explicar</w:t>
      </w:r>
      <w:r w:rsidRPr="005B6338">
        <w:rPr>
          <w:rFonts w:ascii="Verdana" w:eastAsia="Calibri" w:hAnsi="Verdana" w:cs="Arial"/>
          <w:color w:val="000000"/>
          <w:vertAlign w:val="superscript"/>
          <w:lang w:val="es-ES"/>
        </w:rPr>
        <w:footnoteReference w:id="7"/>
      </w:r>
      <w:r w:rsidRPr="005B6338">
        <w:rPr>
          <w:rFonts w:ascii="Verdana" w:eastAsia="Calibri" w:hAnsi="Verdana" w:cs="Arial"/>
          <w:color w:val="000000"/>
          <w:lang w:val="es-ES"/>
        </w:rPr>
        <w:t xml:space="preserve">. En primer lugar, en ejercicio de la autonomía de la voluntad y de </w:t>
      </w:r>
      <w:r w:rsidRPr="005B6338">
        <w:rPr>
          <w:rFonts w:ascii="Verdana" w:eastAsia="Calibri" w:hAnsi="Verdana" w:cs="Arial"/>
          <w:color w:val="000000"/>
          <w:lang w:val="es-ES"/>
        </w:rPr>
        <w:lastRenderedPageBreak/>
        <w:t xml:space="preserve">conformidad con los criterios de la naturaleza, objeto y plazo del contrato, la entidad puede definir en el pliego de condiciones o en el contrato el plazo para efectuar la liquidación de mutuo acuerdo. En ausencia de pacto contractual, el artículo 11 de la Ley 1150 de 2007 prevé un término supletivo de 4 meses contados desde: i) el vencimiento del plazo previsto para la ejecución del contrato; </w:t>
      </w:r>
      <w:proofErr w:type="spellStart"/>
      <w:r w:rsidRPr="005B6338">
        <w:rPr>
          <w:rFonts w:ascii="Verdana" w:eastAsia="Calibri" w:hAnsi="Verdana" w:cs="Arial"/>
          <w:color w:val="000000"/>
          <w:lang w:val="es-ES"/>
        </w:rPr>
        <w:t>ii</w:t>
      </w:r>
      <w:proofErr w:type="spellEnd"/>
      <w:r w:rsidRPr="005B6338">
        <w:rPr>
          <w:rFonts w:ascii="Verdana" w:eastAsia="Calibri" w:hAnsi="Verdana" w:cs="Arial"/>
          <w:color w:val="000000"/>
          <w:lang w:val="es-ES"/>
        </w:rPr>
        <w:t xml:space="preserve">) la expedición del acto administrativo que ordene la terminación del contrato; o, </w:t>
      </w:r>
      <w:proofErr w:type="spellStart"/>
      <w:r w:rsidRPr="005B6338">
        <w:rPr>
          <w:rFonts w:ascii="Verdana" w:eastAsia="Calibri" w:hAnsi="Verdana" w:cs="Arial"/>
          <w:color w:val="000000"/>
          <w:lang w:val="es-ES"/>
        </w:rPr>
        <w:t>iii</w:t>
      </w:r>
      <w:proofErr w:type="spellEnd"/>
      <w:r w:rsidRPr="005B6338">
        <w:rPr>
          <w:rFonts w:ascii="Verdana" w:eastAsia="Calibri" w:hAnsi="Verdana" w:cs="Arial"/>
          <w:color w:val="000000"/>
          <w:lang w:val="es-ES"/>
        </w:rPr>
        <w:t>) la fecha del acuerdo que disponga la terminación del contrato.</w:t>
      </w:r>
    </w:p>
    <w:p w14:paraId="765700E3" w14:textId="77777777" w:rsidR="00D46944" w:rsidRPr="004B5D6E" w:rsidRDefault="00D46944" w:rsidP="00D46944">
      <w:pPr>
        <w:spacing w:after="120" w:line="276" w:lineRule="auto"/>
        <w:ind w:firstLine="709"/>
        <w:jc w:val="both"/>
        <w:rPr>
          <w:rFonts w:ascii="Verdana" w:eastAsia="Times New Roman" w:hAnsi="Verdana" w:cs="Arial"/>
          <w:lang w:val="es-ES_tradnl" w:eastAsia="es-ES_tradnl"/>
        </w:rPr>
      </w:pPr>
      <w:r w:rsidRPr="00FB5FC4">
        <w:rPr>
          <w:rFonts w:ascii="Verdana" w:eastAsia="Times New Roman" w:hAnsi="Verdana" w:cs="Arial"/>
          <w:szCs w:val="24"/>
          <w:lang w:val="es-ES_tradnl" w:eastAsia="es-ES_tradnl"/>
        </w:rPr>
        <w:t xml:space="preserve">El </w:t>
      </w:r>
      <w:r w:rsidRPr="004B5D6E">
        <w:rPr>
          <w:rFonts w:ascii="Verdana" w:eastAsia="Times New Roman" w:hAnsi="Verdana" w:cs="Arial"/>
          <w:szCs w:val="24"/>
          <w:lang w:val="es-ES_tradnl" w:eastAsia="es-ES_tradnl"/>
        </w:rPr>
        <w:t>artículo 11 de la Ley 1150 de 2007 señala que la liquidación de mutuo acuerdo deberá realizar dentro del plazo previsto en “</w:t>
      </w:r>
      <w:r w:rsidRPr="004B5D6E">
        <w:rPr>
          <w:rFonts w:ascii="Verdana" w:eastAsia="Times New Roman" w:hAnsi="Verdana" w:cs="Arial"/>
          <w:lang w:val="es-ES_tradnl" w:eastAsia="es-ES_tradnl"/>
        </w:rPr>
        <w:t>los pliegos de condiciones o sus equivalentes, o dentro del que acuerden las partes para el efecto”. Para dilucidar a qué se refiere la norma con “equivalentes” resulta necesario tener presente que el pliego de condiciones es un documento contentivo de las reglas aplicables a un determinado proceso de selección, que “</w:t>
      </w:r>
      <w:r w:rsidRPr="004B5D6E">
        <w:rPr>
          <w:rFonts w:ascii="Verdana" w:eastAsia="Times New Roman" w:hAnsi="Verdana" w:cs="Arial"/>
          <w:szCs w:val="24"/>
          <w:lang w:val="es-ES_tradnl" w:eastAsia="es-ES_tradnl"/>
        </w:rPr>
        <w:t>materializa los principios de planeación contractual y de trasparencia, comoquiera que su adecuada formulación permite o garantiza la selección objetiva del contratista de acuerdo con los parámetros de calificación correspondientes para cada tipo de procedimiento [y que</w:t>
      </w:r>
      <w:r w:rsidRPr="004B5D6E">
        <w:rPr>
          <w:rFonts w:ascii="Verdana" w:eastAsia="Times New Roman" w:hAnsi="Verdana" w:cs="Arial"/>
          <w:lang w:val="es-ES_tradnl" w:eastAsia="es-ES_tradnl"/>
        </w:rPr>
        <w:t>] constituye la ley tanto del procedimiento administrativo de selección del contratista, como del contrato a</w:t>
      </w:r>
      <w:r w:rsidRPr="004B5D6E">
        <w:rPr>
          <w:rFonts w:ascii="Verdana" w:eastAsia="Times New Roman" w:hAnsi="Verdana" w:cs="Arial"/>
          <w:spacing w:val="-7"/>
          <w:lang w:val="es-ES_tradnl" w:eastAsia="es-ES_tradnl"/>
        </w:rPr>
        <w:t xml:space="preserve"> </w:t>
      </w:r>
      <w:r w:rsidRPr="004B5D6E">
        <w:rPr>
          <w:rFonts w:ascii="Verdana" w:eastAsia="Times New Roman" w:hAnsi="Verdana" w:cs="Arial"/>
          <w:lang w:val="es-ES_tradnl" w:eastAsia="es-ES_tradnl"/>
        </w:rPr>
        <w:t>celebrar”</w:t>
      </w:r>
      <w:r w:rsidRPr="004B5D6E">
        <w:rPr>
          <w:rFonts w:ascii="Verdana" w:eastAsia="Times New Roman" w:hAnsi="Verdana" w:cs="Arial"/>
          <w:vertAlign w:val="superscript"/>
          <w:lang w:val="es-ES_tradnl" w:eastAsia="es-ES_tradnl"/>
        </w:rPr>
        <w:footnoteReference w:id="8"/>
      </w:r>
      <w:r w:rsidRPr="004B5D6E">
        <w:rPr>
          <w:rFonts w:ascii="Verdana" w:eastAsia="Times New Roman" w:hAnsi="Verdana" w:cs="Arial"/>
          <w:lang w:val="es-ES_tradnl" w:eastAsia="es-ES_tradnl"/>
        </w:rPr>
        <w:t>. A partir de tales características debe determinarse la equivalencia de un documento con un pliego de condiciones, la cual se puede ejemplificar claramente con la invitación a participar en los procesos de mínima cuantía</w:t>
      </w:r>
      <w:r w:rsidRPr="004B5D6E">
        <w:rPr>
          <w:rFonts w:ascii="Verdana" w:eastAsia="Times New Roman" w:hAnsi="Verdana" w:cs="Arial"/>
          <w:vertAlign w:val="superscript"/>
          <w:lang w:val="es-ES_tradnl" w:eastAsia="es-ES_tradnl"/>
        </w:rPr>
        <w:footnoteReference w:id="9"/>
      </w:r>
      <w:r w:rsidRPr="004B5D6E">
        <w:rPr>
          <w:rFonts w:ascii="Verdana" w:eastAsia="Times New Roman" w:hAnsi="Verdana" w:cs="Arial"/>
          <w:lang w:val="es-ES_tradnl" w:eastAsia="es-ES_tradnl"/>
        </w:rPr>
        <w:t xml:space="preserve">, documento dentro del cual la </w:t>
      </w:r>
      <w:r w:rsidRPr="004B5D6E">
        <w:rPr>
          <w:rFonts w:ascii="Verdana" w:eastAsia="Times New Roman" w:hAnsi="Verdana" w:cs="Arial"/>
          <w:lang w:val="es-ES_tradnl" w:eastAsia="es-ES_tradnl"/>
        </w:rPr>
        <w:lastRenderedPageBreak/>
        <w:t xml:space="preserve">entidad contratante debe fijar las reglas aplicables al procedimiento de selección, cumpliendo con la función del pliego de condiciones. En tal sentido, es un documento “equivalente” del mismo en los términos del artículo 11 </w:t>
      </w:r>
      <w:r w:rsidRPr="00A71E32">
        <w:rPr>
          <w:rFonts w:ascii="Verdana" w:eastAsia="Times New Roman" w:hAnsi="Verdana" w:cs="Arial"/>
          <w:i/>
          <w:iCs/>
          <w:lang w:val="es-ES_tradnl" w:eastAsia="es-ES_tradnl"/>
        </w:rPr>
        <w:t>ibidem</w:t>
      </w:r>
      <w:r w:rsidRPr="004B5D6E">
        <w:rPr>
          <w:rFonts w:ascii="Verdana" w:eastAsia="Times New Roman" w:hAnsi="Verdana" w:cs="Arial"/>
          <w:lang w:val="es-ES_tradnl" w:eastAsia="es-ES_tradnl"/>
        </w:rPr>
        <w:t xml:space="preserve">, dentro del cual es viable establecer el plazo para la liquidación de mutuo acuerdo. </w:t>
      </w:r>
    </w:p>
    <w:p w14:paraId="02C9FD8E" w14:textId="77777777" w:rsidR="00D46944" w:rsidRPr="00FB5FC4" w:rsidRDefault="00D46944" w:rsidP="00D46944">
      <w:pPr>
        <w:spacing w:after="120" w:line="276" w:lineRule="auto"/>
        <w:ind w:firstLine="709"/>
        <w:jc w:val="both"/>
        <w:rPr>
          <w:rFonts w:ascii="Verdana" w:eastAsia="Times New Roman" w:hAnsi="Verdana" w:cs="Arial"/>
          <w:lang w:val="es-ES_tradnl" w:eastAsia="es-ES_tradnl"/>
        </w:rPr>
      </w:pPr>
      <w:r w:rsidRPr="00FB5FC4">
        <w:rPr>
          <w:rFonts w:ascii="Verdana" w:eastAsia="Times New Roman" w:hAnsi="Verdana" w:cs="Arial"/>
          <w:lang w:val="es-ES_tradnl" w:eastAsia="es-ES_tradnl"/>
        </w:rPr>
        <w:t>De otra parte, cuando el artículo 11 de la Ley 1150 de 2007 hace referencia al término que “</w:t>
      </w:r>
      <w:r w:rsidRPr="004B5D6E">
        <w:rPr>
          <w:rFonts w:ascii="Verdana" w:eastAsia="Times New Roman" w:hAnsi="Verdana" w:cs="Arial"/>
          <w:lang w:val="es-ES_tradnl" w:eastAsia="es-ES_tradnl"/>
        </w:rPr>
        <w:t>acuerden las partes</w:t>
      </w:r>
      <w:r w:rsidRPr="00FB5FC4">
        <w:rPr>
          <w:rFonts w:ascii="Verdana" w:eastAsia="Times New Roman" w:hAnsi="Verdana" w:cs="Arial"/>
          <w:lang w:val="es-ES_tradnl" w:eastAsia="es-ES_tradnl"/>
        </w:rPr>
        <w:t xml:space="preserve">” para efectos de la liquidación de mutuo acuerdo, claramente, está habilitando a las partes para que, en ejercicio de la autonomía de la voluntad que les asiste, prevean, de común acuerdo, un plazo para la liquidación bilateral, el cual, en principio, debe estar recogido en el contrato, al ser este el acto jurídico bilateral en el que se consigna originalmente la voluntad de las partes. Sin embargo, cabe la posibilidad de que en el contrato inicialmente suscrito no se haya previsto un acuerdo para la liquidación bilateral. Este hecho no impide que, en el marco de la ejecución del contrato, las partes acuerden fijar el referido plazo; acuerdo que, en tanto significa una alteración de las reglas que orientan la relación contractual, </w:t>
      </w:r>
      <w:r>
        <w:rPr>
          <w:rFonts w:ascii="Verdana" w:eastAsia="Times New Roman" w:hAnsi="Verdana" w:cs="Arial"/>
          <w:lang w:val="es-ES_tradnl" w:eastAsia="es-ES_tradnl"/>
        </w:rPr>
        <w:t>implica</w:t>
      </w:r>
      <w:r w:rsidRPr="00FB5FC4">
        <w:rPr>
          <w:rFonts w:ascii="Verdana" w:eastAsia="Times New Roman" w:hAnsi="Verdana" w:cs="Arial"/>
          <w:lang w:val="es-ES_tradnl" w:eastAsia="es-ES_tradnl"/>
        </w:rPr>
        <w:t xml:space="preserve"> una modificación del contrato. Por tal razón, su celebración debe cumplir con los requisitos del negocio jurídico, ameritando la concurrencia de capacidad jurídica de los agentes, un consentimiento libre de vicios, un objeto y causa lícita, así como la </w:t>
      </w:r>
      <w:r>
        <w:rPr>
          <w:rFonts w:ascii="Verdana" w:eastAsia="Times New Roman" w:hAnsi="Verdana" w:cs="Arial"/>
          <w:lang w:val="es-ES_tradnl" w:eastAsia="es-ES_tradnl"/>
        </w:rPr>
        <w:t>formalidad escrita</w:t>
      </w:r>
      <w:r w:rsidRPr="00FB5FC4">
        <w:rPr>
          <w:rFonts w:ascii="Verdana" w:eastAsia="Times New Roman" w:hAnsi="Verdana" w:cs="Arial"/>
          <w:lang w:val="es-ES_tradnl" w:eastAsia="es-ES_tradnl"/>
        </w:rPr>
        <w:t xml:space="preserve"> requerida en materia de contratación estatal</w:t>
      </w:r>
      <w:r w:rsidRPr="00FB5FC4">
        <w:rPr>
          <w:rFonts w:ascii="Verdana" w:eastAsia="Times New Roman" w:hAnsi="Verdana" w:cs="Arial"/>
          <w:vertAlign w:val="superscript"/>
          <w:lang w:val="es-ES_tradnl" w:eastAsia="es-ES_tradnl"/>
        </w:rPr>
        <w:footnoteReference w:id="10"/>
      </w:r>
      <w:r w:rsidRPr="00FB5FC4">
        <w:rPr>
          <w:rFonts w:ascii="Verdana" w:eastAsia="Times New Roman" w:hAnsi="Verdana" w:cs="Arial"/>
          <w:lang w:val="es-ES_tradnl" w:eastAsia="es-ES_tradnl"/>
        </w:rPr>
        <w:t xml:space="preserve">. </w:t>
      </w:r>
    </w:p>
    <w:p w14:paraId="1A10D215" w14:textId="77777777" w:rsidR="00D46944" w:rsidRPr="00FB5FC4" w:rsidRDefault="00D46944" w:rsidP="00D46944">
      <w:pPr>
        <w:spacing w:after="120" w:line="276" w:lineRule="auto"/>
        <w:ind w:firstLine="709"/>
        <w:jc w:val="both"/>
        <w:rPr>
          <w:rFonts w:ascii="Verdana" w:eastAsia="Calibri" w:hAnsi="Verdana" w:cs="Arial"/>
          <w:lang w:val="es-ES_tradnl"/>
        </w:rPr>
      </w:pPr>
      <w:r w:rsidRPr="00FB5FC4">
        <w:rPr>
          <w:rFonts w:ascii="Verdana" w:eastAsia="Calibri" w:hAnsi="Verdana" w:cs="Arial"/>
          <w:lang w:val="es-ES_tradnl"/>
        </w:rPr>
        <w:t xml:space="preserve">Ahora bien, el término de 4 meses previsto en el artículo 11 de la Ley 1150 de 2007, dado su carácter supletivo, solo resulta aplicable ante la ausencia de regulación de este en el pliego de condiciones –documento equivalente– o </w:t>
      </w:r>
      <w:r w:rsidRPr="00FB5FC4">
        <w:rPr>
          <w:rFonts w:ascii="Verdana" w:eastAsia="Calibri" w:hAnsi="Verdana" w:cs="Arial"/>
          <w:lang w:val="es-ES_tradnl"/>
        </w:rPr>
        <w:lastRenderedPageBreak/>
        <w:t>acuerdo entre las partes en torno al plazo de liquidación bilateral. Por lo tanto, las partes, en desarrollo de la autonomía de la voluntad que les asiste, están habilitadas para pactar un término diferente, el cual puede ser inferior o incluso superior al plazo supletivo, ante la ausencia de una prohibición normativa al respecto, y ante la existencia, en cambio, de habilitación legal. Sobre este punto, no debe perderse de vista que las actuaciones contractuales regidas por el Estatuto General de Contratación de la Administración pública se encuentran sometidas a los principios de la función administrativa</w:t>
      </w:r>
      <w:r w:rsidRPr="00FB5FC4">
        <w:rPr>
          <w:rFonts w:ascii="Verdana" w:eastAsia="Calibri" w:hAnsi="Verdana" w:cs="Arial"/>
          <w:vertAlign w:val="superscript"/>
          <w:lang w:val="es-ES_tradnl"/>
        </w:rPr>
        <w:footnoteReference w:id="11"/>
      </w:r>
      <w:r w:rsidRPr="00FB5FC4">
        <w:rPr>
          <w:rFonts w:ascii="Verdana" w:eastAsia="Calibri" w:hAnsi="Verdana" w:cs="Arial"/>
          <w:lang w:val="es-ES_tradnl"/>
        </w:rPr>
        <w:t>, lo cual implica que las mismas se desarrollen en procura de la economía y la celeridad</w:t>
      </w:r>
      <w:r w:rsidRPr="00FB5FC4">
        <w:rPr>
          <w:rFonts w:ascii="Verdana" w:eastAsia="Calibri" w:hAnsi="Verdana" w:cs="Arial"/>
          <w:vertAlign w:val="superscript"/>
          <w:lang w:val="es-ES_tradnl"/>
        </w:rPr>
        <w:footnoteReference w:id="12"/>
      </w:r>
      <w:r w:rsidRPr="00FB5FC4">
        <w:rPr>
          <w:rFonts w:ascii="Verdana" w:eastAsia="Calibri" w:hAnsi="Verdana" w:cs="Arial"/>
          <w:lang w:val="es-ES_tradnl"/>
        </w:rPr>
        <w:t>. Esto significa que, en ejercicio de la facultad que les asiste para fijar el plazo para la liquidación bilateral, las partes deben actuar en garantía de estos principios, por lo que el término que se acuerde debe fija</w:t>
      </w:r>
      <w:r>
        <w:rPr>
          <w:rFonts w:ascii="Verdana" w:eastAsia="Calibri" w:hAnsi="Verdana" w:cs="Arial"/>
          <w:lang w:val="es-ES_tradnl"/>
        </w:rPr>
        <w:t>rse</w:t>
      </w:r>
      <w:r w:rsidRPr="00FB5FC4">
        <w:rPr>
          <w:rFonts w:ascii="Verdana" w:eastAsia="Calibri" w:hAnsi="Verdana" w:cs="Arial"/>
          <w:lang w:val="es-ES_tradnl"/>
        </w:rPr>
        <w:t xml:space="preserve"> de manera razonable.</w:t>
      </w:r>
    </w:p>
    <w:p w14:paraId="12582A87" w14:textId="77777777" w:rsidR="00D46944" w:rsidRPr="00FB5FC4" w:rsidRDefault="00D46944" w:rsidP="00D46944">
      <w:pPr>
        <w:spacing w:after="120" w:line="276" w:lineRule="auto"/>
        <w:ind w:firstLine="709"/>
        <w:jc w:val="both"/>
        <w:rPr>
          <w:rFonts w:ascii="Verdana" w:eastAsia="Calibri" w:hAnsi="Verdana" w:cs="Arial"/>
          <w:color w:val="000000"/>
          <w:lang w:val="es-ES_tradnl"/>
        </w:rPr>
      </w:pPr>
      <w:r w:rsidRPr="00FB5FC4">
        <w:rPr>
          <w:rFonts w:ascii="Verdana" w:eastAsia="Calibri" w:hAnsi="Verdana" w:cs="Arial"/>
          <w:color w:val="000000"/>
          <w:lang w:val="es-ES_tradnl"/>
        </w:rPr>
        <w:t>Durante este término, el contratista puede solicitar que se adelante el trámite de liquidación. Sin embargo, es responsabilidad de la entidad estatal convocarlo para adelantar la liquidación de común acuerdo o notificarlo para que se presente a realizarla</w:t>
      </w:r>
      <w:r w:rsidRPr="00FB5FC4">
        <w:rPr>
          <w:rFonts w:ascii="Verdana" w:eastAsia="Calibri" w:hAnsi="Verdana" w:cs="Arial"/>
          <w:color w:val="000000"/>
          <w:vertAlign w:val="superscript"/>
          <w:lang w:val="es-ES_tradnl"/>
        </w:rPr>
        <w:footnoteReference w:id="13"/>
      </w:r>
      <w:r w:rsidRPr="00FB5FC4">
        <w:rPr>
          <w:rFonts w:ascii="Verdana" w:eastAsia="Calibri" w:hAnsi="Verdana" w:cs="Arial"/>
          <w:color w:val="000000"/>
          <w:lang w:val="es-ES_tradnl"/>
        </w:rPr>
        <w:t>, de manera que el contrato pueda ser liquidado bilateralmente, bien sea en el plazo previsto en el pliego de condiciones, el acordado por las partes, o el supletivo de cuatro meses señalado en la ley, según corresponda. Esta liquidación bilateral puede ser total o parcial</w:t>
      </w:r>
      <w:r w:rsidRPr="00FB5FC4">
        <w:rPr>
          <w:rFonts w:ascii="Verdana" w:eastAsia="Calibri" w:hAnsi="Verdana" w:cs="Arial"/>
          <w:iCs/>
          <w:color w:val="000000"/>
          <w:vertAlign w:val="superscript"/>
          <w:lang w:val="es-ES_tradnl"/>
        </w:rPr>
        <w:footnoteReference w:id="14"/>
      </w:r>
      <w:r w:rsidRPr="00FB5FC4">
        <w:rPr>
          <w:rFonts w:ascii="Verdana" w:eastAsia="Calibri" w:hAnsi="Verdana" w:cs="Arial"/>
          <w:color w:val="000000"/>
          <w:lang w:val="es-ES_tradnl"/>
        </w:rPr>
        <w:t xml:space="preserve">, y </w:t>
      </w:r>
      <w:r w:rsidRPr="00FB5FC4">
        <w:rPr>
          <w:rFonts w:ascii="Verdana" w:eastAsia="Calibri" w:hAnsi="Verdana" w:cs="Arial"/>
          <w:iCs/>
          <w:color w:val="000000"/>
          <w:lang w:val="es-ES_tradnl"/>
        </w:rPr>
        <w:t>el documento que la contiene presta mérito ejecutivo, siempre que se satisfagan los elementos para considerarlo como tal</w:t>
      </w:r>
      <w:r w:rsidRPr="00FB5FC4">
        <w:rPr>
          <w:rFonts w:ascii="Verdana" w:eastAsia="Calibri" w:hAnsi="Verdana" w:cs="Arial"/>
          <w:color w:val="000000"/>
          <w:lang w:val="es-ES_tradnl"/>
        </w:rPr>
        <w:t>.</w:t>
      </w:r>
    </w:p>
    <w:p w14:paraId="5B643EAE" w14:textId="77777777" w:rsidR="00D46944" w:rsidRPr="00FB5FC4" w:rsidRDefault="00D46944" w:rsidP="00D46944">
      <w:pPr>
        <w:spacing w:after="0" w:line="276" w:lineRule="auto"/>
        <w:ind w:firstLine="705"/>
        <w:jc w:val="both"/>
        <w:rPr>
          <w:rFonts w:ascii="Verdana" w:eastAsia="Times New Roman" w:hAnsi="Verdana" w:cs="Arial"/>
          <w:color w:val="000000"/>
          <w:lang w:eastAsia="es-ES_tradnl"/>
        </w:rPr>
      </w:pPr>
      <w:r w:rsidRPr="00FB5FC4">
        <w:rPr>
          <w:rFonts w:ascii="Verdana" w:eastAsia="Times New Roman" w:hAnsi="Verdana" w:cs="Arial"/>
          <w:color w:val="000000"/>
          <w:bdr w:val="none" w:sz="0" w:space="0" w:color="auto" w:frame="1"/>
          <w:shd w:val="clear" w:color="auto" w:fill="FFFFFF"/>
          <w:lang w:val="es-ES" w:eastAsia="es-ES_tradnl"/>
        </w:rPr>
        <w:t xml:space="preserve">Si no es posible efectuar la liquidación de manera bilateral, el ordenamiento jurídico prevé una facultad, de carácter subsidiario, para que la </w:t>
      </w:r>
      <w:r w:rsidRPr="00FB5FC4">
        <w:rPr>
          <w:rFonts w:ascii="Verdana" w:eastAsia="Times New Roman" w:hAnsi="Verdana" w:cs="Arial"/>
          <w:color w:val="000000"/>
          <w:bdr w:val="none" w:sz="0" w:space="0" w:color="auto" w:frame="1"/>
          <w:shd w:val="clear" w:color="auto" w:fill="FFFFFF"/>
          <w:lang w:val="es-ES" w:eastAsia="es-ES_tradnl"/>
        </w:rPr>
        <w:lastRenderedPageBreak/>
        <w:t xml:space="preserve">Entidad Estatal realice la liquidación unilateralmente. En relación con este aspecto, la </w:t>
      </w:r>
      <w:r w:rsidRPr="00FB5FC4">
        <w:rPr>
          <w:rFonts w:ascii="Verdana" w:eastAsia="Times New Roman" w:hAnsi="Verdana" w:cs="Arial"/>
          <w:color w:val="000000"/>
          <w:bdr w:val="none" w:sz="0" w:space="0" w:color="auto" w:frame="1"/>
          <w:shd w:val="clear" w:color="auto" w:fill="FFFFFF"/>
          <w:lang w:val="es-MX" w:eastAsia="es-ES_tradnl"/>
        </w:rPr>
        <w:t xml:space="preserve">Sala de Consulta y Servicio Civil del </w:t>
      </w:r>
      <w:r w:rsidRPr="00FB5FC4">
        <w:rPr>
          <w:rFonts w:ascii="Verdana" w:eastAsia="Times New Roman" w:hAnsi="Verdana" w:cs="Arial"/>
          <w:color w:val="000000"/>
          <w:bdr w:val="none" w:sz="0" w:space="0" w:color="auto" w:frame="1"/>
          <w:shd w:val="clear" w:color="auto" w:fill="FFFFFF"/>
          <w:lang w:val="es-ES" w:eastAsia="es-ES_tradnl"/>
        </w:rPr>
        <w:t>Consejo de Estado</w:t>
      </w:r>
      <w:r w:rsidRPr="00FB5FC4">
        <w:rPr>
          <w:rFonts w:ascii="Verdana" w:eastAsia="Times New Roman" w:hAnsi="Verdana" w:cs="Arial"/>
          <w:color w:val="000000"/>
          <w:bdr w:val="none" w:sz="0" w:space="0" w:color="auto" w:frame="1"/>
          <w:shd w:val="clear" w:color="auto" w:fill="FFFFFF"/>
          <w:lang w:val="es-MX" w:eastAsia="es-ES_tradnl"/>
        </w:rPr>
        <w:t>, en concepto del 28 de junio de 2016, manifestó que:  </w:t>
      </w:r>
    </w:p>
    <w:p w14:paraId="2FC5778C" w14:textId="77777777" w:rsidR="00D46944" w:rsidRPr="00FB5FC4" w:rsidRDefault="00D46944" w:rsidP="00D46944">
      <w:pPr>
        <w:spacing w:after="0" w:line="276" w:lineRule="auto"/>
        <w:ind w:left="705" w:right="750"/>
        <w:jc w:val="both"/>
        <w:rPr>
          <w:rFonts w:ascii="Verdana" w:eastAsia="Times New Roman" w:hAnsi="Verdana" w:cs="Arial"/>
          <w:color w:val="000000"/>
          <w:lang w:eastAsia="es-ES_tradnl"/>
        </w:rPr>
      </w:pPr>
    </w:p>
    <w:p w14:paraId="458803A3" w14:textId="77777777" w:rsidR="00D46944" w:rsidRPr="00A71E32" w:rsidRDefault="00D46944" w:rsidP="00D46944">
      <w:pPr>
        <w:spacing w:after="0" w:line="240" w:lineRule="auto"/>
        <w:ind w:left="705" w:right="750"/>
        <w:jc w:val="both"/>
        <w:rPr>
          <w:rFonts w:ascii="Verdana" w:eastAsia="Times New Roman" w:hAnsi="Verdana" w:cs="Arial"/>
          <w:color w:val="000000"/>
          <w:sz w:val="20"/>
          <w:szCs w:val="20"/>
          <w:lang w:eastAsia="es-ES_tradnl"/>
        </w:rPr>
      </w:pPr>
      <w:r w:rsidRPr="00A71E32">
        <w:rPr>
          <w:rFonts w:ascii="Verdana" w:eastAsia="Times New Roman" w:hAnsi="Verdana" w:cs="Arial"/>
          <w:i/>
          <w:iCs/>
          <w:sz w:val="20"/>
          <w:szCs w:val="20"/>
          <w:lang w:val="es-ES_tradnl" w:eastAsia="es-ES_tradnl"/>
        </w:rPr>
        <w:t>“</w:t>
      </w:r>
      <w:r w:rsidRPr="00A71E32">
        <w:rPr>
          <w:rFonts w:ascii="Verdana" w:eastAsia="Calibri" w:hAnsi="Verdana" w:cs="Arial"/>
          <w:color w:val="000000"/>
          <w:sz w:val="20"/>
          <w:szCs w:val="20"/>
          <w:lang w:val="es-ES" w:eastAsia="es-ES_tradnl"/>
        </w:rPr>
        <w:t>[</w:t>
      </w:r>
      <w:r w:rsidRPr="00A71E32">
        <w:rPr>
          <w:rFonts w:ascii="Verdana" w:eastAsia="Times New Roman" w:hAnsi="Verdana" w:cs="Arial"/>
          <w:color w:val="000000"/>
          <w:sz w:val="20"/>
          <w:szCs w:val="20"/>
          <w:bdr w:val="none" w:sz="0" w:space="0" w:color="auto" w:frame="1"/>
          <w:shd w:val="clear" w:color="auto" w:fill="FFFFFF"/>
          <w:lang w:eastAsia="es-ES_tradnl"/>
        </w:rPr>
        <w:t xml:space="preserve">…] </w:t>
      </w:r>
      <w:r w:rsidRPr="00A71E32">
        <w:rPr>
          <w:rFonts w:ascii="Verdana" w:eastAsia="Times New Roman" w:hAnsi="Verdana" w:cs="Arial"/>
          <w:color w:val="000000"/>
          <w:sz w:val="20"/>
          <w:szCs w:val="20"/>
          <w:bdr w:val="none" w:sz="0" w:space="0" w:color="auto" w:frame="1"/>
          <w:shd w:val="clear" w:color="auto" w:fill="FFFFFF"/>
          <w:lang w:val="es-ES" w:eastAsia="es-ES_tradnl"/>
        </w:rPr>
        <w:t>se debe tener en cuenta que la liquidación unilateral es subsidiaria o supletoria frente a la bilateral, dado que el contratista tiene derecho a acordar la liquidación, debidamente reconocido por el ordenamiento jurídico. Para tal efecto, el contratista debe ser convocado o citado por la entidad contratante con el fin de intentar la liquidación bilateral, puesto que en el supuesto caso de que no sea así, la (.liquidación unilateral posterior que llegase a practicar la administración resultaría inválida, dado que no tendría competencia material para hacerla y por cuanto su adopción con tal omisión vulneraría el derecho del contratista al debido proceso y sus corolarios de defensa y contradicción y, además, configuraría un abuso de poder”</w:t>
      </w:r>
      <w:r w:rsidRPr="00A71E32">
        <w:rPr>
          <w:rFonts w:ascii="Verdana" w:eastAsia="Times New Roman" w:hAnsi="Verdana" w:cs="Arial"/>
          <w:color w:val="000000"/>
          <w:sz w:val="20"/>
          <w:szCs w:val="20"/>
          <w:bdr w:val="none" w:sz="0" w:space="0" w:color="auto" w:frame="1"/>
          <w:shd w:val="clear" w:color="auto" w:fill="FFFFFF"/>
          <w:vertAlign w:val="superscript"/>
          <w:lang w:val="es-MX" w:eastAsia="es-ES_tradnl"/>
        </w:rPr>
        <w:footnoteReference w:id="15"/>
      </w:r>
      <w:r w:rsidRPr="00A71E32">
        <w:rPr>
          <w:rFonts w:ascii="Verdana" w:eastAsia="Times New Roman" w:hAnsi="Verdana" w:cs="Arial"/>
          <w:color w:val="000000"/>
          <w:sz w:val="20"/>
          <w:szCs w:val="20"/>
          <w:bdr w:val="none" w:sz="0" w:space="0" w:color="auto" w:frame="1"/>
          <w:shd w:val="clear" w:color="auto" w:fill="FFFFFF"/>
          <w:lang w:val="es-ES" w:eastAsia="es-ES_tradnl"/>
        </w:rPr>
        <w:t>. </w:t>
      </w:r>
      <w:r w:rsidRPr="00A71E32">
        <w:rPr>
          <w:rFonts w:ascii="Verdana" w:eastAsia="Times New Roman" w:hAnsi="Verdana" w:cs="Arial"/>
          <w:color w:val="000000"/>
          <w:sz w:val="20"/>
          <w:szCs w:val="20"/>
          <w:bdr w:val="none" w:sz="0" w:space="0" w:color="auto" w:frame="1"/>
          <w:shd w:val="clear" w:color="auto" w:fill="FFFFFF"/>
          <w:lang w:eastAsia="es-ES_tradnl"/>
        </w:rPr>
        <w:t>  </w:t>
      </w:r>
    </w:p>
    <w:p w14:paraId="0E004C86" w14:textId="77777777" w:rsidR="00D46944" w:rsidRPr="00FB5FC4" w:rsidRDefault="00D46944" w:rsidP="00D46944">
      <w:pPr>
        <w:spacing w:after="0" w:line="276" w:lineRule="auto"/>
        <w:ind w:left="705" w:right="750"/>
        <w:jc w:val="both"/>
        <w:rPr>
          <w:rFonts w:ascii="Verdana" w:eastAsia="Times New Roman" w:hAnsi="Verdana" w:cs="Arial"/>
          <w:color w:val="000000"/>
          <w:lang w:eastAsia="es-ES_tradnl"/>
        </w:rPr>
      </w:pPr>
    </w:p>
    <w:p w14:paraId="3C846F05" w14:textId="77777777" w:rsidR="00D46944" w:rsidRPr="00FB5FC4" w:rsidRDefault="00D46944" w:rsidP="00D46944">
      <w:pPr>
        <w:spacing w:after="120" w:line="276" w:lineRule="auto"/>
        <w:ind w:firstLine="705"/>
        <w:jc w:val="both"/>
        <w:rPr>
          <w:rFonts w:ascii="Verdana" w:eastAsia="Times New Roman" w:hAnsi="Verdana" w:cs="Arial"/>
          <w:color w:val="000000"/>
          <w:lang w:eastAsia="es-ES_tradnl"/>
        </w:rPr>
      </w:pPr>
      <w:bookmarkStart w:id="9" w:name="_Hlk141851266"/>
      <w:r w:rsidRPr="00FB5FC4">
        <w:rPr>
          <w:rFonts w:ascii="Verdana" w:eastAsia="Times New Roman" w:hAnsi="Verdana" w:cs="Arial"/>
          <w:color w:val="000000"/>
          <w:bdr w:val="none" w:sz="0" w:space="0" w:color="auto" w:frame="1"/>
          <w:shd w:val="clear" w:color="auto" w:fill="FFFFFF"/>
          <w:lang w:val="es-ES" w:eastAsia="es-ES_tradnl"/>
        </w:rPr>
        <w:t>Si no se logra la liquidación bilateral del contrato, la entidad estatal tiene la facultad de liquidarlo unilateralmente dentro del término de 2 meses contados a partir del vencimiento del plazo que acuerden las partes para liquidar bilateralmente o, ante el silencio de estas, del vencimiento de los 4 meses supletivo establecido por la ley. </w:t>
      </w:r>
    </w:p>
    <w:p w14:paraId="3FA3F174" w14:textId="77777777" w:rsidR="00D46944" w:rsidRPr="00FB5FC4" w:rsidRDefault="00D46944" w:rsidP="00D46944">
      <w:pPr>
        <w:spacing w:after="0" w:line="276" w:lineRule="auto"/>
        <w:ind w:firstLine="705"/>
        <w:jc w:val="both"/>
        <w:rPr>
          <w:rFonts w:ascii="Verdana" w:eastAsia="Times New Roman" w:hAnsi="Verdana" w:cs="Arial"/>
          <w:color w:val="000000"/>
          <w:bdr w:val="none" w:sz="0" w:space="0" w:color="auto" w:frame="1"/>
          <w:shd w:val="clear" w:color="auto" w:fill="FFFFFF"/>
          <w:lang w:eastAsia="es-ES_tradnl"/>
        </w:rPr>
      </w:pPr>
      <w:r w:rsidRPr="00FB5FC4">
        <w:rPr>
          <w:rFonts w:ascii="Verdana" w:eastAsia="Times New Roman" w:hAnsi="Verdana" w:cs="Arial"/>
          <w:color w:val="000000"/>
          <w:bdr w:val="none" w:sz="0" w:space="0" w:color="auto" w:frame="1"/>
          <w:shd w:val="clear" w:color="auto" w:fill="FFFFFF"/>
          <w:lang w:val="es-ES" w:eastAsia="es-ES_tradnl"/>
        </w:rPr>
        <w:t xml:space="preserve">Finalmente, transcurridos estos meses, la liquidación podrá ser realizada en cualquier tiempo dentro de los dos años siguientes al vencimiento del término referido, de mutuo acuerdo o unilateralmente, salvo que el contratista haya presentado la demanda con la cual pretenda la liquidación judicial del contrato. De esta manera, durante estos dos años la liquidación podrá hacerse de mutuo acuerdo, unilateralmente por la entidad, o podrá ser solicitada judicialmente por el interesado. </w:t>
      </w:r>
      <w:bookmarkEnd w:id="9"/>
      <w:r w:rsidRPr="00FB5FC4">
        <w:rPr>
          <w:rFonts w:ascii="Verdana" w:eastAsia="Times New Roman" w:hAnsi="Verdana" w:cs="Arial"/>
          <w:color w:val="000000"/>
          <w:bdr w:val="none" w:sz="0" w:space="0" w:color="auto" w:frame="1"/>
          <w:shd w:val="clear" w:color="auto" w:fill="FFFFFF"/>
          <w:lang w:val="es-ES" w:eastAsia="es-ES_tradnl"/>
        </w:rPr>
        <w:t xml:space="preserve">En este sentido, en decisión de unificación de la </w:t>
      </w:r>
      <w:r w:rsidRPr="00FB5FC4">
        <w:rPr>
          <w:rFonts w:ascii="Verdana" w:eastAsia="Times New Roman" w:hAnsi="Verdana" w:cs="Arial"/>
          <w:color w:val="000000"/>
          <w:bdr w:val="none" w:sz="0" w:space="0" w:color="auto" w:frame="1"/>
          <w:shd w:val="clear" w:color="auto" w:fill="FFFFFF"/>
          <w:lang w:val="es-MX" w:eastAsia="es-ES_tradnl"/>
        </w:rPr>
        <w:t>Sección Tercera</w:t>
      </w:r>
      <w:r w:rsidRPr="00FB5FC4">
        <w:rPr>
          <w:rFonts w:ascii="Verdana" w:eastAsia="Times New Roman" w:hAnsi="Verdana" w:cs="Arial"/>
          <w:color w:val="000000"/>
          <w:bdr w:val="none" w:sz="0" w:space="0" w:color="auto" w:frame="1"/>
          <w:shd w:val="clear" w:color="auto" w:fill="FFFFFF"/>
          <w:lang w:val="es-ES" w:eastAsia="es-ES_tradnl"/>
        </w:rPr>
        <w:t xml:space="preserve"> del Consejo de Estado del</w:t>
      </w:r>
      <w:r w:rsidRPr="00FB5FC4">
        <w:rPr>
          <w:rFonts w:ascii="Verdana" w:eastAsia="Times New Roman" w:hAnsi="Verdana" w:cs="Arial"/>
          <w:color w:val="000000"/>
          <w:bdr w:val="none" w:sz="0" w:space="0" w:color="auto" w:frame="1"/>
          <w:shd w:val="clear" w:color="auto" w:fill="FFFFFF"/>
          <w:lang w:val="es-MX" w:eastAsia="es-ES_tradnl"/>
        </w:rPr>
        <w:t> </w:t>
      </w:r>
      <w:r w:rsidRPr="00FB5FC4">
        <w:rPr>
          <w:rFonts w:ascii="Verdana" w:eastAsia="Times New Roman" w:hAnsi="Verdana" w:cs="Arial"/>
          <w:color w:val="000000"/>
          <w:bdr w:val="none" w:sz="0" w:space="0" w:color="auto" w:frame="1"/>
          <w:shd w:val="clear" w:color="auto" w:fill="FFFFFF"/>
          <w:lang w:eastAsia="es-ES_tradnl"/>
        </w:rPr>
        <w:t>1 de agosto de 2019, se expresó: </w:t>
      </w:r>
    </w:p>
    <w:p w14:paraId="0F72B26E" w14:textId="77777777" w:rsidR="00D46944" w:rsidRPr="00FB5FC4" w:rsidRDefault="00D46944" w:rsidP="00D46944">
      <w:pPr>
        <w:spacing w:after="0" w:line="276" w:lineRule="auto"/>
        <w:ind w:firstLine="705"/>
        <w:jc w:val="both"/>
        <w:rPr>
          <w:rFonts w:ascii="Verdana" w:eastAsia="Times New Roman" w:hAnsi="Verdana" w:cs="Arial"/>
          <w:color w:val="000000"/>
          <w:lang w:eastAsia="es-ES_tradnl"/>
        </w:rPr>
      </w:pPr>
    </w:p>
    <w:p w14:paraId="3E33DDC8" w14:textId="77777777" w:rsidR="00D46944" w:rsidRPr="00A71E32" w:rsidRDefault="00D46944" w:rsidP="00D46944">
      <w:pPr>
        <w:spacing w:after="0" w:line="240" w:lineRule="auto"/>
        <w:ind w:left="705" w:right="750"/>
        <w:jc w:val="both"/>
        <w:rPr>
          <w:rFonts w:ascii="Verdana" w:eastAsia="Times New Roman" w:hAnsi="Verdana" w:cs="Arial"/>
          <w:color w:val="000000"/>
          <w:sz w:val="20"/>
          <w:szCs w:val="20"/>
          <w:lang w:eastAsia="es-ES_tradnl"/>
        </w:rPr>
      </w:pPr>
      <w:r w:rsidRPr="00A71E32">
        <w:rPr>
          <w:rFonts w:ascii="Verdana" w:eastAsia="Times New Roman" w:hAnsi="Verdana" w:cs="Arial"/>
          <w:sz w:val="20"/>
          <w:szCs w:val="20"/>
          <w:lang w:val="es-ES_tradnl" w:eastAsia="es-ES_tradnl"/>
        </w:rPr>
        <w:t>“</w:t>
      </w:r>
      <w:r w:rsidRPr="00A71E32">
        <w:rPr>
          <w:rFonts w:ascii="Verdana" w:eastAsia="Times New Roman" w:hAnsi="Verdana" w:cs="Arial"/>
          <w:color w:val="000000"/>
          <w:sz w:val="20"/>
          <w:szCs w:val="20"/>
          <w:bdr w:val="none" w:sz="0" w:space="0" w:color="auto" w:frame="1"/>
          <w:shd w:val="clear" w:color="auto" w:fill="FFFFFF"/>
          <w:lang w:val="es-ES" w:eastAsia="es-ES_tradnl"/>
        </w:rPr>
        <w:t>Como pudo apreciarse, este precepto legal permite que la liquidación bilateral se acuerde después del vencimiento del término pactado en el contrato o previsto en los documentos antepuestos, o, del término supletorio que para la concertación de la liquidación establece la ley, e  incluso, después de haber pasado los dos meses subsiguientes a dicho vencimiento sin que la administración lo hubiera liquidado unilateralmente, bajo condición de que el acuerdo </w:t>
      </w:r>
      <w:proofErr w:type="spellStart"/>
      <w:r w:rsidRPr="00A71E32">
        <w:rPr>
          <w:rFonts w:ascii="Verdana" w:eastAsia="Times New Roman" w:hAnsi="Verdana" w:cs="Arial"/>
          <w:color w:val="000000"/>
          <w:sz w:val="20"/>
          <w:szCs w:val="20"/>
          <w:bdr w:val="none" w:sz="0" w:space="0" w:color="auto" w:frame="1"/>
          <w:shd w:val="clear" w:color="auto" w:fill="FFFFFF"/>
          <w:lang w:val="es-ES" w:eastAsia="es-ES_tradnl"/>
        </w:rPr>
        <w:t>liquidatorio</w:t>
      </w:r>
      <w:proofErr w:type="spellEnd"/>
      <w:r w:rsidRPr="00A71E32">
        <w:rPr>
          <w:rFonts w:ascii="Verdana" w:eastAsia="Times New Roman" w:hAnsi="Verdana" w:cs="Arial"/>
          <w:color w:val="000000"/>
          <w:sz w:val="20"/>
          <w:szCs w:val="20"/>
          <w:bdr w:val="none" w:sz="0" w:space="0" w:color="auto" w:frame="1"/>
          <w:shd w:val="clear" w:color="auto" w:fill="FFFFFF"/>
          <w:lang w:val="es-ES" w:eastAsia="es-ES_tradnl"/>
        </w:rPr>
        <w:t xml:space="preserve"> se logre dentro del lapso de dos años contados a partir del vencimiento del término </w:t>
      </w:r>
      <w:r w:rsidRPr="00A71E32">
        <w:rPr>
          <w:rFonts w:ascii="Verdana" w:eastAsia="Times New Roman" w:hAnsi="Verdana" w:cs="Arial"/>
          <w:color w:val="000000"/>
          <w:sz w:val="20"/>
          <w:szCs w:val="20"/>
          <w:bdr w:val="none" w:sz="0" w:space="0" w:color="auto" w:frame="1"/>
          <w:shd w:val="clear" w:color="auto" w:fill="FFFFFF"/>
          <w:lang w:val="es-ES" w:eastAsia="es-ES_tradnl"/>
        </w:rPr>
        <w:lastRenderedPageBreak/>
        <w:t>legalmente conocido para la liquidación unilateral, pues ese es el lapso que el ordenamiento ha fijado para el ejercicio oportuno de la acción</w:t>
      </w:r>
      <w:r w:rsidRPr="00A71E32">
        <w:rPr>
          <w:rFonts w:ascii="Verdana" w:eastAsia="Times New Roman" w:hAnsi="Verdana" w:cs="Arial"/>
          <w:sz w:val="20"/>
          <w:szCs w:val="20"/>
          <w:lang w:val="es-ES_tradnl" w:eastAsia="es-ES_tradnl"/>
        </w:rPr>
        <w:t>”</w:t>
      </w:r>
      <w:r w:rsidRPr="00A71E32">
        <w:rPr>
          <w:rFonts w:ascii="Verdana" w:eastAsia="Times New Roman" w:hAnsi="Verdana" w:cs="Arial"/>
          <w:color w:val="000000"/>
          <w:sz w:val="20"/>
          <w:szCs w:val="20"/>
          <w:bdr w:val="none" w:sz="0" w:space="0" w:color="auto" w:frame="1"/>
          <w:shd w:val="clear" w:color="auto" w:fill="FFFFFF"/>
          <w:vertAlign w:val="superscript"/>
          <w:lang w:eastAsia="es-ES_tradnl"/>
        </w:rPr>
        <w:t xml:space="preserve"> </w:t>
      </w:r>
      <w:r w:rsidRPr="00A71E32">
        <w:rPr>
          <w:rFonts w:ascii="Verdana" w:eastAsia="Times New Roman" w:hAnsi="Verdana" w:cs="Arial"/>
          <w:color w:val="000000"/>
          <w:sz w:val="20"/>
          <w:szCs w:val="20"/>
          <w:bdr w:val="none" w:sz="0" w:space="0" w:color="auto" w:frame="1"/>
          <w:shd w:val="clear" w:color="auto" w:fill="FFFFFF"/>
          <w:vertAlign w:val="superscript"/>
          <w:lang w:eastAsia="es-ES_tradnl"/>
        </w:rPr>
        <w:footnoteReference w:id="16"/>
      </w:r>
      <w:r w:rsidRPr="00A71E32">
        <w:rPr>
          <w:rFonts w:ascii="Verdana" w:eastAsia="Times New Roman" w:hAnsi="Verdana" w:cs="Arial"/>
          <w:sz w:val="20"/>
          <w:szCs w:val="20"/>
          <w:lang w:val="es-ES_tradnl" w:eastAsia="es-ES_tradnl"/>
        </w:rPr>
        <w:t>.</w:t>
      </w:r>
      <w:r w:rsidRPr="00A71E32">
        <w:rPr>
          <w:rFonts w:ascii="Verdana" w:eastAsia="Times New Roman" w:hAnsi="Verdana" w:cs="Arial"/>
          <w:color w:val="000000"/>
          <w:sz w:val="20"/>
          <w:szCs w:val="20"/>
          <w:bdr w:val="none" w:sz="0" w:space="0" w:color="auto" w:frame="1"/>
          <w:shd w:val="clear" w:color="auto" w:fill="FFFFFF"/>
          <w:lang w:val="es-ES" w:eastAsia="es-ES_tradnl"/>
        </w:rPr>
        <w:t> </w:t>
      </w:r>
    </w:p>
    <w:p w14:paraId="66D027DB" w14:textId="77777777" w:rsidR="00D46944" w:rsidRPr="00FB5FC4" w:rsidRDefault="00D46944" w:rsidP="00D46944">
      <w:pPr>
        <w:spacing w:after="0" w:line="276" w:lineRule="auto"/>
        <w:ind w:firstLine="708"/>
        <w:jc w:val="both"/>
        <w:rPr>
          <w:rFonts w:ascii="Verdana" w:eastAsia="Times New Roman" w:hAnsi="Verdana" w:cs="Arial"/>
          <w:color w:val="000000"/>
          <w:lang w:eastAsia="es-ES_tradnl"/>
        </w:rPr>
      </w:pPr>
    </w:p>
    <w:p w14:paraId="5A95F378" w14:textId="77777777" w:rsidR="00D46944" w:rsidRDefault="00D46944" w:rsidP="00D46944">
      <w:pPr>
        <w:tabs>
          <w:tab w:val="left" w:pos="709"/>
        </w:tabs>
        <w:spacing w:after="120" w:line="276" w:lineRule="auto"/>
        <w:jc w:val="both"/>
        <w:rPr>
          <w:rFonts w:ascii="Verdana" w:eastAsia="Times New Roman" w:hAnsi="Verdana" w:cs="Arial"/>
          <w:color w:val="000000"/>
          <w:bdr w:val="none" w:sz="0" w:space="0" w:color="auto" w:frame="1"/>
          <w:shd w:val="clear" w:color="auto" w:fill="FFFFFF"/>
          <w:lang w:eastAsia="es-ES_tradnl"/>
        </w:rPr>
      </w:pPr>
      <w:r>
        <w:rPr>
          <w:rFonts w:ascii="Verdana" w:eastAsia="Times New Roman" w:hAnsi="Verdana" w:cs="Arial"/>
          <w:color w:val="000000"/>
          <w:bdr w:val="none" w:sz="0" w:space="0" w:color="auto" w:frame="1"/>
          <w:shd w:val="clear" w:color="auto" w:fill="FFFFFF"/>
          <w:lang w:eastAsia="es-ES_tradnl"/>
        </w:rPr>
        <w:tab/>
      </w:r>
      <w:r w:rsidRPr="00FB5FC4">
        <w:rPr>
          <w:rFonts w:ascii="Verdana" w:eastAsia="Times New Roman" w:hAnsi="Verdana" w:cs="Arial"/>
          <w:color w:val="000000"/>
          <w:bdr w:val="none" w:sz="0" w:space="0" w:color="auto" w:frame="1"/>
          <w:shd w:val="clear" w:color="auto" w:fill="FFFFFF"/>
          <w:lang w:eastAsia="es-ES_tradnl"/>
        </w:rPr>
        <w:t>A su turno</w:t>
      </w:r>
      <w:r>
        <w:rPr>
          <w:rFonts w:ascii="Verdana" w:eastAsia="Times New Roman" w:hAnsi="Verdana" w:cs="Arial"/>
          <w:color w:val="000000"/>
          <w:bdr w:val="none" w:sz="0" w:space="0" w:color="auto" w:frame="1"/>
          <w:shd w:val="clear" w:color="auto" w:fill="FFFFFF"/>
          <w:lang w:eastAsia="es-ES_tradnl"/>
        </w:rPr>
        <w:t xml:space="preserve">, la liquidación judicial hace parte de una de las pretensiones que admite el medio de control de controversias contractuales. Al respecto, el artículo 141 de la Ley 1437 de 2011 dispone que “[…] </w:t>
      </w:r>
      <w:r w:rsidRPr="00F915F3">
        <w:rPr>
          <w:rFonts w:ascii="Verdana" w:eastAsia="Times New Roman" w:hAnsi="Verdana" w:cs="Arial"/>
          <w:color w:val="000000"/>
          <w:bdr w:val="none" w:sz="0" w:space="0" w:color="auto" w:frame="1"/>
          <w:shd w:val="clear" w:color="auto" w:fill="FFFFFF"/>
          <w:lang w:eastAsia="es-ES_tradnl"/>
        </w:rPr>
        <w:t xml:space="preserve">el interesado podrá </w:t>
      </w:r>
      <w:bookmarkStart w:id="10" w:name="_Hlk172560769"/>
      <w:r w:rsidRPr="00F915F3">
        <w:rPr>
          <w:rFonts w:ascii="Verdana" w:eastAsia="Times New Roman" w:hAnsi="Verdana" w:cs="Arial"/>
          <w:color w:val="000000"/>
          <w:bdr w:val="none" w:sz="0" w:space="0" w:color="auto" w:frame="1"/>
          <w:shd w:val="clear" w:color="auto" w:fill="FFFFFF"/>
          <w:lang w:eastAsia="es-ES_tradnl"/>
        </w:rPr>
        <w:t>solicitar la liquidación judicial</w:t>
      </w:r>
      <w:bookmarkEnd w:id="10"/>
      <w:r w:rsidRPr="00F915F3">
        <w:rPr>
          <w:rFonts w:ascii="Verdana" w:eastAsia="Times New Roman" w:hAnsi="Verdana" w:cs="Arial"/>
          <w:color w:val="000000"/>
          <w:bdr w:val="none" w:sz="0" w:space="0" w:color="auto" w:frame="1"/>
          <w:shd w:val="clear" w:color="auto" w:fill="FFFFFF"/>
          <w:lang w:eastAsia="es-ES_tradnl"/>
        </w:rPr>
        <w:t xml:space="preserve"> del contrato cuando esta no se haya logrado de mutuo acuerdo y la entidad estatal no lo haya liquidado unilateralmente dentro de los dos (2) meses siguientes al vencimiento del plazo convenido para liquidar de mutuo acuerdo o, en su defecto, del término establecido por la ley</w:t>
      </w:r>
      <w:r>
        <w:rPr>
          <w:rFonts w:ascii="Verdana" w:eastAsia="Times New Roman" w:hAnsi="Verdana" w:cs="Arial"/>
          <w:color w:val="000000"/>
          <w:bdr w:val="none" w:sz="0" w:space="0" w:color="auto" w:frame="1"/>
          <w:shd w:val="clear" w:color="auto" w:fill="FFFFFF"/>
          <w:lang w:eastAsia="es-ES_tradnl"/>
        </w:rPr>
        <w:t>”</w:t>
      </w:r>
      <w:r w:rsidRPr="00F915F3">
        <w:rPr>
          <w:rFonts w:ascii="Verdana" w:eastAsia="Times New Roman" w:hAnsi="Verdana" w:cs="Arial"/>
          <w:color w:val="000000"/>
          <w:bdr w:val="none" w:sz="0" w:space="0" w:color="auto" w:frame="1"/>
          <w:shd w:val="clear" w:color="auto" w:fill="FFFFFF"/>
          <w:lang w:eastAsia="es-ES_tradnl"/>
        </w:rPr>
        <w:t>.</w:t>
      </w:r>
      <w:r>
        <w:rPr>
          <w:rFonts w:ascii="Verdana" w:eastAsia="Times New Roman" w:hAnsi="Verdana" w:cs="Arial"/>
          <w:color w:val="000000"/>
          <w:bdr w:val="none" w:sz="0" w:space="0" w:color="auto" w:frame="1"/>
          <w:shd w:val="clear" w:color="auto" w:fill="FFFFFF"/>
          <w:lang w:eastAsia="es-ES_tradnl"/>
        </w:rPr>
        <w:t xml:space="preserve"> Bajo esta perspectiva, para la entidad cesa la facultad de liquidar bilateral o unilateralmente, ya que el tema pasa de la administración a la jurisdicción.</w:t>
      </w:r>
    </w:p>
    <w:p w14:paraId="45AA268C" w14:textId="77777777" w:rsidR="00D46944" w:rsidRDefault="00D46944" w:rsidP="00D46944">
      <w:pPr>
        <w:tabs>
          <w:tab w:val="left" w:pos="709"/>
        </w:tabs>
        <w:spacing w:after="120" w:line="276" w:lineRule="auto"/>
        <w:jc w:val="both"/>
        <w:rPr>
          <w:rFonts w:ascii="Verdana" w:eastAsia="Times New Roman" w:hAnsi="Verdana" w:cs="Arial"/>
          <w:color w:val="000000"/>
          <w:bdr w:val="none" w:sz="0" w:space="0" w:color="auto" w:frame="1"/>
          <w:shd w:val="clear" w:color="auto" w:fill="FFFFFF"/>
          <w:lang w:val="es-ES" w:eastAsia="es-ES"/>
        </w:rPr>
      </w:pPr>
      <w:r>
        <w:rPr>
          <w:rFonts w:ascii="Verdana" w:eastAsia="Times New Roman" w:hAnsi="Verdana" w:cs="Arial"/>
          <w:color w:val="000000"/>
          <w:bdr w:val="none" w:sz="0" w:space="0" w:color="auto" w:frame="1"/>
          <w:shd w:val="clear" w:color="auto" w:fill="FFFFFF"/>
          <w:lang w:eastAsia="es-ES_tradnl"/>
        </w:rPr>
        <w:tab/>
      </w:r>
      <w:r w:rsidRPr="005B6338">
        <w:rPr>
          <w:rFonts w:ascii="Verdana" w:eastAsia="Times New Roman" w:hAnsi="Verdana" w:cs="Arial"/>
          <w:color w:val="000000"/>
          <w:bdr w:val="none" w:sz="0" w:space="0" w:color="auto" w:frame="1"/>
          <w:shd w:val="clear" w:color="auto" w:fill="FFFFFF"/>
          <w:lang w:val="es-ES" w:eastAsia="es-ES"/>
        </w:rPr>
        <w:t xml:space="preserve">En suma, de acuerdo con el artículo 11 de la Ley 1150 de 2007, existen tres (3) tipos de liquidación: i) bilateral, </w:t>
      </w:r>
      <w:proofErr w:type="spellStart"/>
      <w:r w:rsidRPr="005B6338">
        <w:rPr>
          <w:rFonts w:ascii="Verdana" w:eastAsia="Times New Roman" w:hAnsi="Verdana" w:cs="Arial"/>
          <w:color w:val="000000"/>
          <w:bdr w:val="none" w:sz="0" w:space="0" w:color="auto" w:frame="1"/>
          <w:shd w:val="clear" w:color="auto" w:fill="FFFFFF"/>
          <w:lang w:val="es-ES" w:eastAsia="es-ES"/>
        </w:rPr>
        <w:t>ii</w:t>
      </w:r>
      <w:proofErr w:type="spellEnd"/>
      <w:r w:rsidRPr="005B6338">
        <w:rPr>
          <w:rFonts w:ascii="Verdana" w:eastAsia="Times New Roman" w:hAnsi="Verdana" w:cs="Arial"/>
          <w:color w:val="000000"/>
          <w:bdr w:val="none" w:sz="0" w:space="0" w:color="auto" w:frame="1"/>
          <w:shd w:val="clear" w:color="auto" w:fill="FFFFFF"/>
          <w:lang w:val="es-ES" w:eastAsia="es-ES"/>
        </w:rPr>
        <w:t xml:space="preserve">) unilateral y </w:t>
      </w:r>
      <w:proofErr w:type="spellStart"/>
      <w:r w:rsidRPr="005B6338">
        <w:rPr>
          <w:rFonts w:ascii="Verdana" w:eastAsia="Times New Roman" w:hAnsi="Verdana" w:cs="Arial"/>
          <w:color w:val="000000"/>
          <w:bdr w:val="none" w:sz="0" w:space="0" w:color="auto" w:frame="1"/>
          <w:shd w:val="clear" w:color="auto" w:fill="FFFFFF"/>
          <w:lang w:val="es-ES" w:eastAsia="es-ES"/>
        </w:rPr>
        <w:t>iii</w:t>
      </w:r>
      <w:proofErr w:type="spellEnd"/>
      <w:r w:rsidRPr="005B6338">
        <w:rPr>
          <w:rFonts w:ascii="Verdana" w:eastAsia="Times New Roman" w:hAnsi="Verdana" w:cs="Arial"/>
          <w:color w:val="000000"/>
          <w:bdr w:val="none" w:sz="0" w:space="0" w:color="auto" w:frame="1"/>
          <w:shd w:val="clear" w:color="auto" w:fill="FFFFFF"/>
          <w:lang w:val="es-ES" w:eastAsia="es-ES"/>
        </w:rPr>
        <w:t>) judicial. En términos generales, la primera, que puede ser total o parcial, debe hacerse en el término que estipulen las partes o, en su defecto, dentro del término supletivo de cuatro (4) meses. La segunda se debe practicar dentro de los dos (2) meses siguientes al vencimiento del término que acuerden las partes, o ante el silencio de estas, luego de los cuatro (4) meses para realizar la liquidación bilateral, sin que esta se efectúe. Finalmente, la tercera la realiza la Jurisdicción de lo Contencioso Administrativo o un tribunal de arbitramento dentro de un proceso judicial de controversias contractuales, y puede darse con ocasión de una demanda del interesado solicitando dicha liquidación. Para ello, existe un plazo máximo de dos (2) años contados a partir de los dos meses establecidos en la Ley para realizar la liquidación unilateral.</w:t>
      </w:r>
    </w:p>
    <w:p w14:paraId="2B95AE8A" w14:textId="77777777" w:rsidR="00D46944" w:rsidRPr="00882C9A" w:rsidRDefault="00D46944" w:rsidP="00D46944">
      <w:pPr>
        <w:spacing w:after="0" w:line="276" w:lineRule="auto"/>
        <w:ind w:firstLine="708"/>
        <w:jc w:val="both"/>
        <w:rPr>
          <w:rFonts w:ascii="Verdana" w:eastAsia="Times New Roman" w:hAnsi="Verdana" w:cs="Arial"/>
          <w:color w:val="000000" w:themeColor="text1"/>
          <w:lang w:eastAsia="es-CO"/>
        </w:rPr>
      </w:pPr>
      <w:r w:rsidRPr="00882C9A">
        <w:rPr>
          <w:rFonts w:ascii="Verdana" w:eastAsia="Times New Roman" w:hAnsi="Verdana" w:cs="Arial"/>
          <w:color w:val="000000" w:themeColor="text1"/>
          <w:lang w:eastAsia="es-CO"/>
        </w:rPr>
        <w:t xml:space="preserve">Así las cosas, posterior a los términos referenciados en el párrafo precedente sin que se hubiese liquidado el contrato, ésta no podrá adelantarse dado que los plazos referidos son perentorios. Esto significa que con su vencimiento fenece la oportunidad de efectuarla ante la pérdida de competencia de la entidad para realizar el balance final del acuerdo de voluntades pactado. Esta Subdirección, en el Concepto 4201913000006142 de 7 de octubre de 2019, señaló que con la caducidad del medio de control de controversias contractuales las entidades pierden la competencia para liquidar el contrato, ya que el </w:t>
      </w:r>
      <w:r w:rsidRPr="00882C9A">
        <w:rPr>
          <w:rFonts w:ascii="Verdana" w:eastAsia="Times New Roman" w:hAnsi="Verdana" w:cs="Arial"/>
          <w:color w:val="000000" w:themeColor="text1"/>
          <w:lang w:eastAsia="es-CO"/>
        </w:rPr>
        <w:lastRenderedPageBreak/>
        <w:t>fenómeno procesal constituía la preclusión de la oportunidad para reclamar las sumas de dinero adeudadas por las partes. Asimismo, la doctrina señala que:</w:t>
      </w:r>
    </w:p>
    <w:p w14:paraId="2855AA44" w14:textId="77777777" w:rsidR="00D46944" w:rsidRPr="00882C9A" w:rsidRDefault="00D46944" w:rsidP="00D46944">
      <w:pPr>
        <w:spacing w:after="0" w:line="276" w:lineRule="auto"/>
        <w:jc w:val="both"/>
        <w:rPr>
          <w:rFonts w:ascii="Verdana" w:eastAsia="Times New Roman" w:hAnsi="Verdana" w:cs="Arial"/>
          <w:color w:val="000000" w:themeColor="text1"/>
          <w:lang w:eastAsia="es-CO"/>
        </w:rPr>
      </w:pPr>
    </w:p>
    <w:p w14:paraId="7971CD23" w14:textId="77777777" w:rsidR="00D46944" w:rsidRPr="00882C9A" w:rsidRDefault="00D46944" w:rsidP="00D46944">
      <w:pPr>
        <w:spacing w:after="0" w:line="240" w:lineRule="auto"/>
        <w:ind w:left="709" w:right="709"/>
        <w:jc w:val="both"/>
        <w:rPr>
          <w:rFonts w:ascii="Verdana" w:eastAsia="Times New Roman" w:hAnsi="Verdana" w:cs="Arial"/>
          <w:color w:val="000000" w:themeColor="text1"/>
          <w:sz w:val="20"/>
          <w:szCs w:val="20"/>
          <w:lang w:eastAsia="es-CO"/>
        </w:rPr>
      </w:pPr>
      <w:r w:rsidRPr="00882C9A">
        <w:rPr>
          <w:rFonts w:ascii="Verdana" w:eastAsia="Times New Roman" w:hAnsi="Verdana" w:cs="Arial"/>
          <w:color w:val="000000" w:themeColor="text1"/>
          <w:sz w:val="20"/>
          <w:szCs w:val="20"/>
          <w:lang w:eastAsia="es-CO"/>
        </w:rPr>
        <w:t>“Suele argüirse, en la práctica, que es factible efectuar la liquidación del contrato, así haya operado la caducidad de la acción, con base en la existencia de una obligación natural, que fundamentaría pagarle al contratista lo que se le debe. Sin embargo, se trata de una posición equivocada, pues si bien el artículo 1527 del Código Civil establece que las obligaciones naturales son ‘las que no confieren derecho para exigir su cumplimiento, pero que cumplidas autorizan para retener lo que se ha dado o pagado, en razón de ellas’, los servidores públicos no puede reconocer acreencias inexigibles, sino cuentan con la competencia expresa para hacerlo, pues estaría desbordando el marco de sus atribuciones constitucionales, legales y reglamentarias. Además, del concepto mismo de obligación natural no se deduce la consagración de la competencia para liquidar el contrato estatal, luego de expirado el término de caducidad del medio de control de controversias contractuales”</w:t>
      </w:r>
      <w:r w:rsidRPr="00882C9A">
        <w:rPr>
          <w:rStyle w:val="Refdenotaalpie"/>
          <w:rFonts w:ascii="Verdana" w:eastAsia="Times New Roman" w:hAnsi="Verdana" w:cs="Arial"/>
          <w:color w:val="000000" w:themeColor="text1"/>
          <w:sz w:val="20"/>
          <w:szCs w:val="20"/>
          <w:lang w:eastAsia="es-CO"/>
        </w:rPr>
        <w:footnoteReference w:id="17"/>
      </w:r>
      <w:r w:rsidRPr="00882C9A">
        <w:rPr>
          <w:rFonts w:ascii="Verdana" w:eastAsia="Times New Roman" w:hAnsi="Verdana" w:cs="Arial"/>
          <w:color w:val="000000" w:themeColor="text1"/>
          <w:sz w:val="20"/>
          <w:szCs w:val="20"/>
          <w:lang w:eastAsia="es-CO"/>
        </w:rPr>
        <w:t xml:space="preserve">.   </w:t>
      </w:r>
    </w:p>
    <w:p w14:paraId="1DD7C123" w14:textId="77777777" w:rsidR="00D46944" w:rsidRPr="00882C9A" w:rsidRDefault="00D46944" w:rsidP="00D46944">
      <w:pPr>
        <w:tabs>
          <w:tab w:val="left" w:pos="709"/>
        </w:tabs>
        <w:spacing w:after="0" w:line="276" w:lineRule="auto"/>
        <w:jc w:val="both"/>
        <w:rPr>
          <w:rFonts w:ascii="Verdana" w:eastAsia="Times New Roman" w:hAnsi="Verdana" w:cs="Arial"/>
          <w:color w:val="000000"/>
          <w:bdr w:val="none" w:sz="0" w:space="0" w:color="auto" w:frame="1"/>
          <w:shd w:val="clear" w:color="auto" w:fill="FFFFFF"/>
          <w:lang w:eastAsia="es-ES_tradnl"/>
        </w:rPr>
      </w:pPr>
    </w:p>
    <w:p w14:paraId="79191422" w14:textId="77777777" w:rsidR="00D46944" w:rsidRPr="00F461EC" w:rsidRDefault="00D46944" w:rsidP="00D46944">
      <w:pPr>
        <w:tabs>
          <w:tab w:val="left" w:pos="709"/>
        </w:tabs>
        <w:spacing w:after="0" w:line="276" w:lineRule="auto"/>
        <w:jc w:val="both"/>
        <w:rPr>
          <w:rFonts w:ascii="Verdana" w:eastAsia="Calibri" w:hAnsi="Verdana" w:cs="Arial"/>
          <w:color w:val="000000"/>
          <w:lang w:val="es-ES" w:eastAsia="es-ES"/>
        </w:rPr>
      </w:pPr>
      <w:r>
        <w:rPr>
          <w:rFonts w:ascii="Verdana" w:eastAsia="Times New Roman" w:hAnsi="Verdana" w:cs="Arial"/>
          <w:color w:val="000000"/>
          <w:bdr w:val="none" w:sz="0" w:space="0" w:color="auto" w:frame="1"/>
          <w:shd w:val="clear" w:color="auto" w:fill="FFFFFF"/>
          <w:lang w:eastAsia="es-ES_tradnl"/>
        </w:rPr>
        <w:tab/>
      </w:r>
      <w:r>
        <w:rPr>
          <w:rFonts w:ascii="Verdana" w:eastAsia="Calibri" w:hAnsi="Verdana" w:cs="Arial"/>
          <w:color w:val="000000"/>
          <w:lang w:val="es-ES" w:eastAsia="es-ES"/>
        </w:rPr>
        <w:t xml:space="preserve">En consecuencia, </w:t>
      </w:r>
      <w:r w:rsidRPr="00851576">
        <w:rPr>
          <w:rFonts w:ascii="Verdana" w:eastAsia="Calibri" w:hAnsi="Verdana" w:cs="Arial"/>
          <w:color w:val="000000"/>
          <w:lang w:val="es-ES" w:eastAsia="es-ES"/>
        </w:rPr>
        <w:t xml:space="preserve">dentro de los límites previstos en el </w:t>
      </w:r>
      <w:r>
        <w:rPr>
          <w:rFonts w:ascii="Verdana" w:eastAsia="Calibri" w:hAnsi="Verdana" w:cs="Arial"/>
          <w:color w:val="000000"/>
          <w:lang w:val="es-ES" w:eastAsia="es-ES"/>
        </w:rPr>
        <w:t xml:space="preserve">literal j) del </w:t>
      </w:r>
      <w:r w:rsidRPr="00851576">
        <w:rPr>
          <w:rFonts w:ascii="Verdana" w:eastAsia="Calibri" w:hAnsi="Verdana" w:cs="Arial"/>
          <w:color w:val="000000"/>
          <w:lang w:val="es-ES" w:eastAsia="es-ES"/>
        </w:rPr>
        <w:t>artículo 164</w:t>
      </w:r>
      <w:r>
        <w:rPr>
          <w:rFonts w:ascii="Verdana" w:eastAsia="Calibri" w:hAnsi="Verdana" w:cs="Arial"/>
          <w:color w:val="000000"/>
          <w:lang w:val="es-ES" w:eastAsia="es-ES"/>
        </w:rPr>
        <w:t>.2</w:t>
      </w:r>
      <w:r w:rsidRPr="00851576">
        <w:rPr>
          <w:rFonts w:ascii="Verdana" w:eastAsia="Calibri" w:hAnsi="Verdana" w:cs="Arial"/>
          <w:color w:val="000000"/>
          <w:lang w:val="es-ES" w:eastAsia="es-ES"/>
        </w:rPr>
        <w:t xml:space="preserve"> de la Ley 1437 de 2011</w:t>
      </w:r>
      <w:r>
        <w:rPr>
          <w:rFonts w:ascii="Verdana" w:eastAsia="Calibri" w:hAnsi="Verdana" w:cs="Arial"/>
          <w:color w:val="000000"/>
          <w:lang w:val="es-ES" w:eastAsia="es-ES"/>
        </w:rPr>
        <w:t xml:space="preserve">, es posible liquidar bilateral o unilateralmente siempre que no haya caducado medio de control de controversias contractuales. Lo anterior, aunque haya pasado el término previsto en los documentos del proceso o el supletivo de cuatro (4) meses –tratándose de la liquidación bilateral–, así como el plazo de dos (2) meses –tratándose de la liquidación unilateral–. Cualquier liquidación efectuada después de la caducidad del medio de control implica la pérdida de competencia temporal, por lo que está viciada de nulidad. </w:t>
      </w:r>
      <w:r>
        <w:rPr>
          <w:rFonts w:ascii="Verdana" w:eastAsia="Calibri" w:hAnsi="Verdana" w:cs="Arial"/>
          <w:lang w:val="es-ES_tradnl"/>
        </w:rPr>
        <w:t xml:space="preserve"> </w:t>
      </w:r>
    </w:p>
    <w:p w14:paraId="522653F0" w14:textId="77777777" w:rsidR="00D46944" w:rsidRDefault="00D46944" w:rsidP="00D46944">
      <w:pPr>
        <w:spacing w:after="0" w:line="276" w:lineRule="auto"/>
        <w:jc w:val="both"/>
        <w:rPr>
          <w:rFonts w:ascii="Verdana" w:eastAsia="Calibri" w:hAnsi="Verdana" w:cs="Arial"/>
          <w:lang w:val="es-ES_tradnl"/>
        </w:rPr>
      </w:pPr>
    </w:p>
    <w:p w14:paraId="236EF422" w14:textId="77777777" w:rsidR="00D46944" w:rsidRPr="004438B9" w:rsidRDefault="00D46944" w:rsidP="00D46944">
      <w:pPr>
        <w:spacing w:after="0" w:line="276" w:lineRule="auto"/>
        <w:jc w:val="both"/>
        <w:rPr>
          <w:rFonts w:ascii="Verdana" w:eastAsia="Calibri" w:hAnsi="Verdana" w:cs="Arial"/>
          <w:lang w:val="es-ES"/>
        </w:rPr>
      </w:pPr>
      <w:proofErr w:type="spellStart"/>
      <w:r w:rsidRPr="005B6338">
        <w:rPr>
          <w:rFonts w:ascii="Verdana" w:eastAsia="Calibri" w:hAnsi="Verdana" w:cs="Arial"/>
          <w:lang w:val="es-ES"/>
        </w:rPr>
        <w:t>ii</w:t>
      </w:r>
      <w:proofErr w:type="spellEnd"/>
      <w:r w:rsidRPr="005B6338">
        <w:rPr>
          <w:rFonts w:ascii="Verdana" w:eastAsia="Calibri" w:hAnsi="Verdana" w:cs="Arial"/>
          <w:lang w:val="es-ES"/>
        </w:rPr>
        <w:t>. Por otro lado, la Ley 1150 de 2007 determinó de manera expresa que las entidades sometidas al Estatuto General de Contratación de la Administración Pública pueden imponer las multas pactadas en el contrato, así como declarar su incumplimiento con la finalidad de hacer efectiva la cláusula penal, siempre que se halle pendiente la ejecución de las obligaciones a cargo del contratista. En lo pertinente, el artículo 17 prescribe lo siguiente:</w:t>
      </w:r>
    </w:p>
    <w:p w14:paraId="72987CF0" w14:textId="77777777" w:rsidR="00D46944" w:rsidRPr="004438B9" w:rsidRDefault="00D46944" w:rsidP="00D46944">
      <w:pPr>
        <w:spacing w:after="0" w:line="276" w:lineRule="auto"/>
        <w:jc w:val="both"/>
        <w:rPr>
          <w:rFonts w:ascii="Verdana" w:eastAsia="Calibri" w:hAnsi="Verdana" w:cs="Arial"/>
          <w:lang w:val="es-ES_tradnl"/>
        </w:rPr>
      </w:pPr>
    </w:p>
    <w:p w14:paraId="5EFDF30E" w14:textId="77777777" w:rsidR="00D46944" w:rsidRPr="00F461EC" w:rsidRDefault="00D46944" w:rsidP="00D46944">
      <w:pPr>
        <w:spacing w:after="120" w:line="240" w:lineRule="auto"/>
        <w:ind w:left="709" w:right="709"/>
        <w:jc w:val="both"/>
        <w:rPr>
          <w:rFonts w:ascii="Verdana" w:eastAsia="Calibri" w:hAnsi="Verdana" w:cs="Arial"/>
          <w:sz w:val="20"/>
          <w:szCs w:val="20"/>
          <w:lang w:val="es-ES_tradnl"/>
        </w:rPr>
      </w:pPr>
      <w:r w:rsidRPr="00F461EC">
        <w:rPr>
          <w:rFonts w:ascii="Verdana" w:eastAsia="Calibri" w:hAnsi="Verdana" w:cs="Arial"/>
          <w:sz w:val="20"/>
          <w:szCs w:val="20"/>
          <w:lang w:val="es-ES_tradnl"/>
        </w:rPr>
        <w:t>“El debido proceso será un principio rector en materia sancionatoria de las actuaciones contractuales.</w:t>
      </w:r>
    </w:p>
    <w:p w14:paraId="4F624144" w14:textId="77777777" w:rsidR="00D46944" w:rsidRPr="004438B9" w:rsidRDefault="00D46944" w:rsidP="00D46944">
      <w:pPr>
        <w:spacing w:after="0" w:line="240" w:lineRule="auto"/>
        <w:ind w:left="709" w:right="709"/>
        <w:jc w:val="both"/>
        <w:rPr>
          <w:rFonts w:ascii="Verdana" w:eastAsia="Calibri" w:hAnsi="Verdana" w:cs="Arial"/>
          <w:sz w:val="21"/>
          <w:szCs w:val="21"/>
          <w:lang w:val="es-ES_tradnl"/>
        </w:rPr>
      </w:pPr>
      <w:r w:rsidRPr="00F461EC">
        <w:rPr>
          <w:rFonts w:ascii="Verdana" w:eastAsia="Calibri" w:hAnsi="Verdana" w:cs="Arial"/>
          <w:sz w:val="20"/>
          <w:szCs w:val="20"/>
          <w:lang w:val="es-ES_tradnl"/>
        </w:rPr>
        <w:lastRenderedPageBreak/>
        <w:t xml:space="preserve">En desarrollo de lo anterior y del deber de control y vigilancia sobre los contratos que corresponde a las entidades sometidas al Estatuto General de Contratación de la Administración Pública, tendrán la facultad de imponer las multas que hayan sido pactadas con el objeto de conminar al contratista a cumplir con sus obligaciones. Esta decisión deberá estar precedida de audiencia del afectado que deberá tener un procedimiento mínimo que garantice el derecho al debido proceso del contratista y </w:t>
      </w:r>
      <w:r w:rsidRPr="00F461EC">
        <w:rPr>
          <w:rFonts w:ascii="Verdana" w:eastAsia="Calibri" w:hAnsi="Verdana" w:cs="Arial"/>
          <w:i/>
          <w:iCs/>
          <w:sz w:val="20"/>
          <w:szCs w:val="20"/>
          <w:lang w:val="es-ES_tradnl"/>
        </w:rPr>
        <w:t>procede sólo mientras se halle pendiente la ejecución de las obligaciones a cargo del contratista</w:t>
      </w:r>
      <w:r w:rsidRPr="00F461EC">
        <w:rPr>
          <w:rFonts w:ascii="Verdana" w:eastAsia="Calibri" w:hAnsi="Verdana" w:cs="Arial"/>
          <w:sz w:val="20"/>
          <w:szCs w:val="20"/>
          <w:lang w:val="es-ES_tradnl"/>
        </w:rPr>
        <w:t>. Así mismo podrán declarar el incumplimiento con el propósito de hacer efectiva la cláusula penal pecuniaria incluida en el contrato”. (Énfasis fuera de texto)</w:t>
      </w:r>
    </w:p>
    <w:p w14:paraId="076EBE19" w14:textId="77777777" w:rsidR="00D46944" w:rsidRPr="004438B9" w:rsidRDefault="00D46944" w:rsidP="00D46944">
      <w:pPr>
        <w:spacing w:after="0" w:line="276" w:lineRule="auto"/>
        <w:jc w:val="both"/>
        <w:rPr>
          <w:rFonts w:ascii="Verdana" w:eastAsia="Calibri" w:hAnsi="Verdana" w:cs="Arial"/>
          <w:lang w:val="es-ES_tradnl"/>
        </w:rPr>
      </w:pPr>
    </w:p>
    <w:p w14:paraId="3E7F8A3E" w14:textId="77777777" w:rsidR="00D46944" w:rsidRPr="004438B9" w:rsidRDefault="00D46944" w:rsidP="00D46944">
      <w:pPr>
        <w:spacing w:after="120" w:line="276" w:lineRule="auto"/>
        <w:ind w:firstLine="709"/>
        <w:jc w:val="both"/>
        <w:rPr>
          <w:rFonts w:ascii="Verdana" w:eastAsia="Calibri" w:hAnsi="Verdana" w:cs="Arial"/>
          <w:lang w:val="es-ES_tradnl"/>
        </w:rPr>
      </w:pPr>
      <w:r w:rsidRPr="004438B9">
        <w:rPr>
          <w:rFonts w:ascii="Verdana" w:eastAsia="Calibri" w:hAnsi="Verdana" w:cs="Arial"/>
          <w:lang w:val="es-ES_tradnl"/>
        </w:rPr>
        <w:t>Lo anterior quiere decir que la entidad puede imponer la multa o hacer efectiva la cláusula penal en cualquier momento, mientras esté pendiente la ejecución de las obligaciones del contratista, lo que concluyó el debate frente al límite temporal para hacerlo. De hecho, no condicionó la aplicación de estas sanciones al plazo de ejecución del contrato, y esto tiene sentido si se armoniza con la finalidad de la multa o de la cláusula penal y los fines de la contratación estatal. En primer lugar, existen obligaciones cuyo cumplimiento solo puede ser verificado después del plazo de ejecución y en caso de no cumplir en las condiciones acordadas la entidad tiene la facultad para conminar al contratista incumplido. En segundo lugar, si vencido el plazo de ejecución el contratista no cumple, la obligación no se extingue, pues de acuerdo con el Código Civil el vencimiento del plazo contractual no es un modo de extinguir las obligaciones</w:t>
      </w:r>
      <w:r w:rsidRPr="004438B9">
        <w:rPr>
          <w:rStyle w:val="Refdenotaalpie"/>
          <w:rFonts w:ascii="Verdana" w:eastAsia="Calibri" w:hAnsi="Verdana" w:cs="Arial"/>
          <w:lang w:val="es-ES_tradnl"/>
        </w:rPr>
        <w:footnoteReference w:id="18"/>
      </w:r>
      <w:r w:rsidRPr="004438B9">
        <w:rPr>
          <w:rFonts w:ascii="Verdana" w:eastAsia="Calibri" w:hAnsi="Verdana" w:cs="Arial"/>
          <w:lang w:val="es-ES_tradnl"/>
        </w:rPr>
        <w:t xml:space="preserve">, salvo pacto en ese sentido, por lo que la obligación continuará pendiente y el contratista estará en mora de cumplir por no haberlo hecho en el plazo </w:t>
      </w:r>
      <w:r w:rsidRPr="004438B9">
        <w:rPr>
          <w:rFonts w:ascii="Verdana" w:eastAsia="Calibri" w:hAnsi="Verdana" w:cs="Arial"/>
          <w:lang w:val="es-ES_tradnl"/>
        </w:rPr>
        <w:lastRenderedPageBreak/>
        <w:t>acordado</w:t>
      </w:r>
      <w:r w:rsidRPr="004438B9">
        <w:rPr>
          <w:rStyle w:val="Refdenotaalpie"/>
          <w:rFonts w:ascii="Verdana" w:eastAsia="Calibri" w:hAnsi="Verdana" w:cs="Arial"/>
          <w:lang w:val="es-ES_tradnl"/>
        </w:rPr>
        <w:footnoteReference w:id="19"/>
      </w:r>
      <w:r w:rsidRPr="004438B9">
        <w:rPr>
          <w:rFonts w:ascii="Verdana" w:eastAsia="Calibri" w:hAnsi="Verdana" w:cs="Arial"/>
          <w:lang w:val="es-ES_tradnl"/>
        </w:rPr>
        <w:t>. Esto indica que lo que terminó fue el plazo de ejecución, pero la obligación todavía está pendiente de cumplimiento y el contratista podría hacerlo tardíamente con las consecuencias que esto conlleva</w:t>
      </w:r>
      <w:r w:rsidRPr="004438B9">
        <w:rPr>
          <w:rStyle w:val="Refdenotaalpie"/>
          <w:rFonts w:ascii="Verdana" w:eastAsia="Calibri" w:hAnsi="Verdana" w:cs="Arial"/>
          <w:lang w:val="es-ES_tradnl"/>
        </w:rPr>
        <w:footnoteReference w:id="20"/>
      </w:r>
      <w:r w:rsidRPr="004438B9">
        <w:rPr>
          <w:rFonts w:ascii="Verdana" w:eastAsia="Calibri" w:hAnsi="Verdana" w:cs="Arial"/>
          <w:lang w:val="es-ES_tradnl"/>
        </w:rPr>
        <w:t>. No obstante, la entidad determina si, inclusive, con el cumplimiento tardío aún se satisface el interés público.</w:t>
      </w:r>
    </w:p>
    <w:p w14:paraId="3DE7391A" w14:textId="77777777" w:rsidR="00D46944" w:rsidRPr="004438B9" w:rsidRDefault="00D46944" w:rsidP="00D46944">
      <w:pPr>
        <w:spacing w:after="120" w:line="276" w:lineRule="auto"/>
        <w:ind w:firstLine="709"/>
        <w:jc w:val="both"/>
        <w:rPr>
          <w:rFonts w:ascii="Verdana" w:eastAsia="Calibri" w:hAnsi="Verdana" w:cs="Arial"/>
          <w:lang w:val="es-ES"/>
        </w:rPr>
      </w:pPr>
      <w:r w:rsidRPr="005B6338">
        <w:rPr>
          <w:rFonts w:ascii="Verdana" w:eastAsia="Calibri" w:hAnsi="Verdana" w:cs="Arial"/>
          <w:lang w:val="es-ES"/>
        </w:rPr>
        <w:t xml:space="preserve">Así las cosas, </w:t>
      </w:r>
      <w:bookmarkStart w:id="11" w:name="_Hlk37703639"/>
      <w:r w:rsidRPr="005B6338">
        <w:rPr>
          <w:rFonts w:ascii="Verdana" w:eastAsia="Calibri" w:hAnsi="Verdana" w:cs="Arial"/>
          <w:lang w:val="es-ES"/>
        </w:rPr>
        <w:t xml:space="preserve">teniendo en cuenta que </w:t>
      </w:r>
      <w:bookmarkStart w:id="12" w:name="_Hlk38558502"/>
      <w:r w:rsidRPr="005B6338">
        <w:rPr>
          <w:rFonts w:ascii="Verdana" w:eastAsia="Calibri" w:hAnsi="Verdana" w:cs="Arial"/>
          <w:lang w:val="es-ES"/>
        </w:rPr>
        <w:t xml:space="preserve">el artículo 17 de la Ley 1150 de 2007 no condicionó la imposición de las multas y la cláusula penal al plazo del contrato, y por el contrario, de manera expresa indicó que estas proceden “[…] mientras se halle pendiente la ejecución de las obligaciones a cargo del contratista […]”, la Administración podrá imponer las multas y hacer efectiva la cláusula penal inclusive después de su plazo de ejecución, siempre que la obligación esté pendiente de </w:t>
      </w:r>
      <w:bookmarkEnd w:id="11"/>
      <w:r w:rsidRPr="005B6338">
        <w:rPr>
          <w:rFonts w:ascii="Verdana" w:eastAsia="Calibri" w:hAnsi="Verdana" w:cs="Arial"/>
          <w:lang w:val="es-ES"/>
        </w:rPr>
        <w:t>cumplir. De esta manera, la entidad podrá hacer uso de estas facultades para procurar el cumplimiento de las obligaciones a cargo del contratista</w:t>
      </w:r>
      <w:bookmarkEnd w:id="12"/>
      <w:r w:rsidRPr="005B6338">
        <w:rPr>
          <w:rStyle w:val="Refdenotaalpie"/>
          <w:rFonts w:ascii="Verdana" w:eastAsia="Calibri" w:hAnsi="Verdana" w:cs="Arial"/>
          <w:lang w:val="es-ES"/>
        </w:rPr>
        <w:footnoteReference w:id="21"/>
      </w:r>
      <w:r w:rsidRPr="005B6338">
        <w:rPr>
          <w:rFonts w:ascii="Verdana" w:eastAsia="Calibri" w:hAnsi="Verdana" w:cs="Arial"/>
          <w:lang w:val="es-ES"/>
        </w:rPr>
        <w:t xml:space="preserve">. </w:t>
      </w:r>
    </w:p>
    <w:p w14:paraId="6A866658" w14:textId="77777777" w:rsidR="00D46944" w:rsidRPr="004438B9" w:rsidRDefault="00D46944" w:rsidP="00D46944">
      <w:pPr>
        <w:spacing w:after="0" w:line="276" w:lineRule="auto"/>
        <w:ind w:firstLine="708"/>
        <w:jc w:val="both"/>
        <w:rPr>
          <w:rFonts w:ascii="Verdana" w:eastAsia="Calibri" w:hAnsi="Verdana" w:cs="Arial"/>
          <w:lang w:val="es-ES"/>
        </w:rPr>
      </w:pPr>
      <w:r w:rsidRPr="005B6338">
        <w:rPr>
          <w:rFonts w:ascii="Verdana" w:eastAsia="Calibri" w:hAnsi="Verdana" w:cs="Arial"/>
          <w:lang w:val="es-ES"/>
        </w:rPr>
        <w:t xml:space="preserve">Adicionalmente, el Consejo de Estado, al estudiar casos bajo la vigencia del Decreto-Ley 222 de 1983, e inclusive de la Ley 80 de 1993, indicó –a manera de </w:t>
      </w:r>
      <w:proofErr w:type="spellStart"/>
      <w:r w:rsidRPr="005B6338">
        <w:rPr>
          <w:rFonts w:ascii="Verdana" w:eastAsia="Calibri" w:hAnsi="Verdana" w:cs="Arial"/>
          <w:i/>
          <w:lang w:val="es-ES"/>
        </w:rPr>
        <w:t>obiter</w:t>
      </w:r>
      <w:proofErr w:type="spellEnd"/>
      <w:r w:rsidRPr="005B6338">
        <w:rPr>
          <w:rFonts w:ascii="Verdana" w:eastAsia="Calibri" w:hAnsi="Verdana" w:cs="Arial"/>
          <w:i/>
          <w:lang w:val="es-ES"/>
        </w:rPr>
        <w:t xml:space="preserve"> </w:t>
      </w:r>
      <w:proofErr w:type="spellStart"/>
      <w:r w:rsidRPr="005B6338">
        <w:rPr>
          <w:rFonts w:ascii="Verdana" w:eastAsia="Calibri" w:hAnsi="Verdana" w:cs="Arial"/>
          <w:i/>
          <w:lang w:val="es-ES"/>
        </w:rPr>
        <w:t>dictum</w:t>
      </w:r>
      <w:proofErr w:type="spellEnd"/>
      <w:r w:rsidRPr="005B6338">
        <w:rPr>
          <w:rFonts w:ascii="Verdana" w:eastAsia="Calibri" w:hAnsi="Verdana" w:cs="Arial"/>
          <w:lang w:val="es-ES"/>
        </w:rPr>
        <w:t xml:space="preserve">– que la posición adoptada frente a la competencia temporal para imponer sanciones cambió, no por una decisión judicial nueva sino por la </w:t>
      </w:r>
      <w:r w:rsidRPr="005B6338">
        <w:rPr>
          <w:rFonts w:ascii="Verdana" w:eastAsia="Calibri" w:hAnsi="Verdana" w:cs="Arial"/>
          <w:lang w:val="es-ES"/>
        </w:rPr>
        <w:lastRenderedPageBreak/>
        <w:t>entrada en vigencia de la Ley 1150 de 2007, puesto que su artículo 17 prescribe, de manera expresa, que la competencia para imponer sanciones –multas y cláusula penal, especialmente– procede mientras esté pendiente la ejecución de las obligaciones del contratista:</w:t>
      </w:r>
    </w:p>
    <w:p w14:paraId="41113E3F" w14:textId="77777777" w:rsidR="00D46944" w:rsidRPr="004438B9" w:rsidRDefault="00D46944" w:rsidP="00D46944">
      <w:pPr>
        <w:spacing w:after="0" w:line="276" w:lineRule="auto"/>
        <w:jc w:val="both"/>
        <w:rPr>
          <w:rFonts w:ascii="Verdana" w:eastAsia="Calibri" w:hAnsi="Verdana" w:cs="Arial"/>
          <w:lang w:val="es-ES_tradnl"/>
        </w:rPr>
      </w:pPr>
    </w:p>
    <w:p w14:paraId="4D8DCF87" w14:textId="77777777" w:rsidR="00D46944" w:rsidRPr="000D24E0" w:rsidRDefault="00D46944" w:rsidP="00D46944">
      <w:pPr>
        <w:spacing w:after="0" w:line="240" w:lineRule="auto"/>
        <w:ind w:left="709" w:right="709"/>
        <w:jc w:val="both"/>
        <w:rPr>
          <w:rFonts w:ascii="Verdana" w:eastAsia="Calibri" w:hAnsi="Verdana" w:cs="Arial"/>
          <w:sz w:val="20"/>
          <w:szCs w:val="20"/>
          <w:lang w:val="es-ES_tradnl"/>
        </w:rPr>
      </w:pPr>
      <w:r w:rsidRPr="000D24E0">
        <w:rPr>
          <w:rFonts w:ascii="Verdana" w:eastAsia="Calibri" w:hAnsi="Verdana" w:cs="Arial"/>
          <w:sz w:val="20"/>
          <w:szCs w:val="20"/>
          <w:lang w:val="es-ES_tradnl"/>
        </w:rPr>
        <w:t>“No obstante, en vigencia de la Ley 1150 de 2007 este mismo problema –competencia temporal para imponer sanciones–, en relación con las multas y la cláusula penal pecuniaria, cambió de sentido, esta vez no por una variación introducida por la jurisprudencia a sus propias tesis, sino porque la ley 1150 reguló expresamente el tema, señalando que la competencia sancionatoria se conserva “mientras esté pendiente la ejecución” del contrato, así es que de ninguna manera quedó limitado a que se haga sólo “durante el plazo” del contrato. En este sentido, el inciso primero del art. 17 de esta ley expresa categóricamente: “… Esta decisión … procede sólo mientras se halle pendiente la ejecución de las obligaciones a cargo del contratista.</w:t>
      </w:r>
    </w:p>
    <w:p w14:paraId="545F434F" w14:textId="77777777" w:rsidR="00D46944" w:rsidRPr="000D24E0" w:rsidRDefault="00D46944" w:rsidP="00D46944">
      <w:pPr>
        <w:spacing w:after="120" w:line="240" w:lineRule="auto"/>
        <w:ind w:left="709" w:right="709"/>
        <w:jc w:val="both"/>
        <w:rPr>
          <w:rFonts w:ascii="Verdana" w:eastAsia="Calibri" w:hAnsi="Verdana" w:cs="Arial"/>
          <w:sz w:val="20"/>
          <w:szCs w:val="20"/>
          <w:lang w:val="es-ES_tradnl"/>
        </w:rPr>
      </w:pPr>
      <w:r w:rsidRPr="000D24E0">
        <w:rPr>
          <w:rFonts w:ascii="Verdana" w:eastAsia="Calibri" w:hAnsi="Verdana" w:cs="Arial"/>
          <w:sz w:val="20"/>
          <w:szCs w:val="20"/>
          <w:lang w:val="es-ES_tradnl"/>
        </w:rPr>
        <w:t>[…]</w:t>
      </w:r>
    </w:p>
    <w:p w14:paraId="65A622A9" w14:textId="77777777" w:rsidR="00D46944" w:rsidRPr="004438B9" w:rsidRDefault="00D46944" w:rsidP="00D46944">
      <w:pPr>
        <w:spacing w:after="0" w:line="240" w:lineRule="auto"/>
        <w:ind w:left="709" w:right="709"/>
        <w:jc w:val="both"/>
        <w:rPr>
          <w:rFonts w:ascii="Verdana" w:eastAsia="Calibri" w:hAnsi="Verdana" w:cs="Arial"/>
          <w:sz w:val="21"/>
          <w:szCs w:val="21"/>
          <w:lang w:val="es-ES"/>
        </w:rPr>
      </w:pPr>
      <w:r w:rsidRPr="005B6338">
        <w:rPr>
          <w:rFonts w:ascii="Verdana" w:eastAsia="Calibri" w:hAnsi="Verdana" w:cs="Arial"/>
          <w:sz w:val="20"/>
          <w:szCs w:val="20"/>
          <w:lang w:val="es-ES"/>
        </w:rPr>
        <w:t>Esta postura, inclusive, la conserva esta Corporación en la actualidad. Es decir, que hoy admite la posibilidad de declarar el incumplimiento del contrato, para hacer efectiva la cláusula penal pecuniaria, una vez vencido el contrato. Esto no se discute ni siquiera en vigencia de la ley 1150 de 2007; menos tratándose de un contrato regido por el Decreto 222 de 1983 y algunas normas especiales que regulan el juego del chance –como en el caso concreto”</w:t>
      </w:r>
      <w:r w:rsidRPr="005B6338">
        <w:rPr>
          <w:rStyle w:val="Refdenotaalpie"/>
          <w:rFonts w:ascii="Verdana" w:eastAsia="Calibri" w:hAnsi="Verdana" w:cs="Arial"/>
          <w:sz w:val="20"/>
          <w:szCs w:val="20"/>
          <w:lang w:val="es-ES"/>
        </w:rPr>
        <w:footnoteReference w:id="22"/>
      </w:r>
      <w:r w:rsidRPr="005B6338">
        <w:rPr>
          <w:rFonts w:ascii="Verdana" w:eastAsia="Calibri" w:hAnsi="Verdana" w:cs="Arial"/>
          <w:sz w:val="20"/>
          <w:szCs w:val="20"/>
          <w:lang w:val="es-ES"/>
        </w:rPr>
        <w:t>.</w:t>
      </w:r>
    </w:p>
    <w:p w14:paraId="318C9BFD" w14:textId="77777777" w:rsidR="00D46944" w:rsidRPr="004438B9" w:rsidRDefault="00D46944" w:rsidP="00D46944">
      <w:pPr>
        <w:spacing w:after="0" w:line="276" w:lineRule="auto"/>
        <w:jc w:val="both"/>
        <w:rPr>
          <w:rFonts w:ascii="Verdana" w:eastAsia="Calibri" w:hAnsi="Verdana" w:cs="Arial"/>
          <w:lang w:val="es-ES_tradnl"/>
        </w:rPr>
      </w:pPr>
    </w:p>
    <w:p w14:paraId="7A4916A4" w14:textId="77777777" w:rsidR="00D46944" w:rsidRPr="00E560BD" w:rsidRDefault="00D46944" w:rsidP="00D46944">
      <w:pPr>
        <w:spacing w:after="120" w:line="276" w:lineRule="auto"/>
        <w:ind w:firstLine="708"/>
        <w:jc w:val="both"/>
        <w:rPr>
          <w:rFonts w:ascii="Verdana" w:hAnsi="Verdana" w:cs="Arial"/>
          <w:iCs/>
          <w:color w:val="000000" w:themeColor="text1"/>
        </w:rPr>
      </w:pPr>
      <w:bookmarkStart w:id="13" w:name="_Hlk38470298"/>
      <w:bookmarkStart w:id="14" w:name="_Hlk38470559"/>
      <w:bookmarkStart w:id="15" w:name="_Hlk37701086"/>
      <w:r w:rsidRPr="00E560BD">
        <w:rPr>
          <w:rFonts w:ascii="Verdana" w:eastAsia="Calibri" w:hAnsi="Verdana" w:cs="Arial"/>
          <w:bCs/>
          <w:color w:val="000000" w:themeColor="text1"/>
        </w:rPr>
        <w:t xml:space="preserve">Para las entidades sometidas al Estatuto General de Contratación de la Administración Pública, el artículo 86 de la Ley 1474 de 2011 –en concordancia con el artículo 17 de la Ley 1150 de 2007– regula el procedimiento sancionatorio contractual, prescribiendo que </w:t>
      </w:r>
      <w:r>
        <w:rPr>
          <w:rFonts w:ascii="Verdana" w:eastAsia="Calibri" w:hAnsi="Verdana" w:cs="Arial"/>
          <w:bCs/>
          <w:color w:val="000000" w:themeColor="text1"/>
        </w:rPr>
        <w:t>“</w:t>
      </w:r>
      <w:r w:rsidRPr="00E560BD">
        <w:rPr>
          <w:rFonts w:ascii="Verdana" w:eastAsia="Calibri" w:hAnsi="Verdana" w:cs="Arial"/>
          <w:bCs/>
          <w:color w:val="000000" w:themeColor="text1"/>
        </w:rPr>
        <w:t>Las entidades sometidas al Estatuto General de Contratación de la Administración Pública podrán declarar el incumplimiento, cuantificando los perjuicios del mismo, imponer las multas y sanciones pactadas en el contrato, y hacer efectiva la cláusula penal […]</w:t>
      </w:r>
      <w:r>
        <w:rPr>
          <w:rFonts w:ascii="Verdana" w:eastAsia="Calibri" w:hAnsi="Verdana" w:cs="Arial"/>
          <w:bCs/>
          <w:color w:val="000000" w:themeColor="text1"/>
        </w:rPr>
        <w:t>”</w:t>
      </w:r>
      <w:r w:rsidRPr="00E560BD">
        <w:rPr>
          <w:rFonts w:ascii="Verdana" w:eastAsia="Calibri" w:hAnsi="Verdana" w:cs="Arial"/>
          <w:bCs/>
          <w:color w:val="000000" w:themeColor="text1"/>
        </w:rPr>
        <w:t xml:space="preserve">. </w:t>
      </w:r>
      <w:r w:rsidRPr="00E560BD">
        <w:rPr>
          <w:rFonts w:ascii="Verdana" w:hAnsi="Verdana" w:cs="Arial"/>
          <w:iCs/>
          <w:color w:val="000000" w:themeColor="text1"/>
        </w:rPr>
        <w:t xml:space="preserve">La norma citada establece las etapas del procedimiento que se deben seguir, las cuales en forma esquemática pueden resumirse así: </w:t>
      </w:r>
    </w:p>
    <w:p w14:paraId="60F69AB2" w14:textId="77777777" w:rsidR="00D46944" w:rsidRPr="00E560BD" w:rsidRDefault="00D46944" w:rsidP="00D46944">
      <w:pPr>
        <w:spacing w:after="120" w:line="276" w:lineRule="auto"/>
        <w:ind w:firstLine="708"/>
        <w:jc w:val="both"/>
        <w:rPr>
          <w:rFonts w:ascii="Verdana" w:hAnsi="Verdana" w:cs="Arial"/>
          <w:iCs/>
          <w:color w:val="000000" w:themeColor="text1"/>
        </w:rPr>
      </w:pPr>
      <w:r>
        <w:rPr>
          <w:rFonts w:ascii="Verdana" w:hAnsi="Verdana" w:cs="Arial"/>
          <w:iCs/>
          <w:color w:val="000000" w:themeColor="text1"/>
        </w:rPr>
        <w:t>a</w:t>
      </w:r>
      <w:r w:rsidRPr="00E560BD">
        <w:rPr>
          <w:rFonts w:ascii="Verdana" w:hAnsi="Verdana" w:cs="Arial"/>
          <w:iCs/>
          <w:color w:val="000000" w:themeColor="text1"/>
        </w:rPr>
        <w:t xml:space="preserve">) </w:t>
      </w:r>
      <w:r w:rsidRPr="00E560BD">
        <w:rPr>
          <w:rFonts w:ascii="Verdana" w:hAnsi="Verdana" w:cs="Arial"/>
          <w:i/>
          <w:color w:val="000000" w:themeColor="text1"/>
        </w:rPr>
        <w:t>C</w:t>
      </w:r>
      <w:r w:rsidRPr="00E560BD">
        <w:rPr>
          <w:rFonts w:ascii="Verdana" w:hAnsi="Verdana" w:cs="Arial"/>
          <w:i/>
          <w:iCs/>
          <w:color w:val="000000" w:themeColor="text1"/>
        </w:rPr>
        <w:t>itación a audiencia</w:t>
      </w:r>
      <w:r w:rsidRPr="00E560BD">
        <w:rPr>
          <w:rFonts w:ascii="Verdana" w:hAnsi="Verdana" w:cs="Arial"/>
          <w:iCs/>
          <w:color w:val="000000" w:themeColor="text1"/>
        </w:rPr>
        <w:t xml:space="preserve">. Es necesario mencionar expresa y detalladamente los hechos que la soportan, así como, también, adjuntar el informe de interventoría o de supervisión en el que se sustente la actuación, enunciar las </w:t>
      </w:r>
      <w:r w:rsidRPr="00E560BD">
        <w:rPr>
          <w:rFonts w:ascii="Verdana" w:hAnsi="Verdana" w:cs="Arial"/>
          <w:iCs/>
          <w:color w:val="000000" w:themeColor="text1"/>
        </w:rPr>
        <w:lastRenderedPageBreak/>
        <w:t xml:space="preserve">normas o cláusulas posiblemente violadas y referir las consecuencias que podrían recaer sobre el contratista en el desarrollo de la actuación, citando a la aseguradora cuando la garantía de cumplimiento consista en una póliza. </w:t>
      </w:r>
      <w:r>
        <w:rPr>
          <w:rFonts w:ascii="Verdana" w:hAnsi="Verdana" w:cs="Arial"/>
          <w:iCs/>
          <w:color w:val="000000" w:themeColor="text1"/>
        </w:rPr>
        <w:t>b</w:t>
      </w:r>
      <w:r w:rsidRPr="00E560BD">
        <w:rPr>
          <w:rFonts w:ascii="Verdana" w:hAnsi="Verdana" w:cs="Arial"/>
          <w:iCs/>
          <w:color w:val="000000" w:themeColor="text1"/>
        </w:rPr>
        <w:t xml:space="preserve">) </w:t>
      </w:r>
      <w:r w:rsidRPr="00E560BD">
        <w:rPr>
          <w:rFonts w:ascii="Verdana" w:hAnsi="Verdana" w:cs="Arial"/>
          <w:i/>
          <w:iCs/>
          <w:color w:val="000000" w:themeColor="text1"/>
        </w:rPr>
        <w:t>Audiencia</w:t>
      </w:r>
      <w:r w:rsidRPr="00E560BD">
        <w:rPr>
          <w:rFonts w:ascii="Verdana" w:hAnsi="Verdana" w:cs="Arial"/>
          <w:iCs/>
          <w:color w:val="000000" w:themeColor="text1"/>
        </w:rPr>
        <w:t xml:space="preserve">. En la diligencia intervendrá el jefe de la entidad o su delegado y, posteriormente, se le concederá el uso de la palabra al representante legal del contratista o a quien lo represente y al garante, en caso de ser necesario, para que estos presenten sus descargos, aporten y controviertan pruebas y rindan las explicaciones del caso. Y </w:t>
      </w:r>
      <w:r>
        <w:rPr>
          <w:rFonts w:ascii="Verdana" w:hAnsi="Verdana" w:cs="Arial"/>
          <w:iCs/>
          <w:color w:val="000000" w:themeColor="text1"/>
        </w:rPr>
        <w:t>c</w:t>
      </w:r>
      <w:r w:rsidRPr="00E560BD">
        <w:rPr>
          <w:rFonts w:ascii="Verdana" w:hAnsi="Verdana" w:cs="Arial"/>
          <w:iCs/>
          <w:color w:val="000000" w:themeColor="text1"/>
        </w:rPr>
        <w:t xml:space="preserve">) </w:t>
      </w:r>
      <w:r w:rsidRPr="00E560BD">
        <w:rPr>
          <w:rFonts w:ascii="Verdana" w:hAnsi="Verdana" w:cs="Arial"/>
          <w:i/>
          <w:iCs/>
          <w:color w:val="000000" w:themeColor="text1"/>
        </w:rPr>
        <w:t>Decisión</w:t>
      </w:r>
      <w:r w:rsidRPr="00E560BD">
        <w:rPr>
          <w:rFonts w:ascii="Verdana" w:hAnsi="Verdana" w:cs="Arial"/>
          <w:iCs/>
          <w:color w:val="000000" w:themeColor="text1"/>
        </w:rPr>
        <w:t>. Debe estar contenida en resolución motivada donde se consigne, por un lado, lo ocurrido en el desarrollo de la diligencia y, por el otro, lo relativo a la imposición o no de multas y sanciones o la declaratoria de incumplimiento del contrato estatal. Contra la decisión únicamente procede el recurso de reposición que se interpondrá, sustentará y decidirá en la misma diligencia. Ambas decisiones se entenderán notificadas en audiencia. Lo anterior, por supuesto, sin perjuicio del control judicial que podría llegar a efectuarse.</w:t>
      </w:r>
    </w:p>
    <w:p w14:paraId="6F9987F0" w14:textId="77777777" w:rsidR="00D46944" w:rsidRPr="00E560BD" w:rsidRDefault="00D46944" w:rsidP="00D46944">
      <w:pPr>
        <w:spacing w:after="0" w:line="276" w:lineRule="auto"/>
        <w:ind w:firstLine="708"/>
        <w:jc w:val="both"/>
        <w:rPr>
          <w:rFonts w:ascii="Verdana" w:hAnsi="Verdana" w:cs="Arial"/>
          <w:iCs/>
          <w:color w:val="000000" w:themeColor="text1"/>
        </w:rPr>
      </w:pPr>
      <w:r w:rsidRPr="00E560BD">
        <w:rPr>
          <w:rFonts w:ascii="Verdana" w:hAnsi="Verdana" w:cs="Arial"/>
          <w:iCs/>
          <w:color w:val="000000" w:themeColor="text1"/>
        </w:rPr>
        <w:t xml:space="preserve">Concretamente, el procedimiento descrito en el párrafo precedente es una manifestación de la </w:t>
      </w:r>
      <w:r w:rsidRPr="00E560BD">
        <w:rPr>
          <w:rFonts w:ascii="Verdana" w:hAnsi="Verdana" w:cs="Arial"/>
          <w:i/>
          <w:color w:val="000000" w:themeColor="text1"/>
        </w:rPr>
        <w:t>legalidad de las formas de cada juicio</w:t>
      </w:r>
      <w:r w:rsidRPr="00E560BD">
        <w:rPr>
          <w:rFonts w:ascii="Verdana" w:hAnsi="Verdana" w:cs="Arial"/>
          <w:iCs/>
          <w:color w:val="000000" w:themeColor="text1"/>
        </w:rPr>
        <w:t xml:space="preserve"> en la contratación estatal, la cual no solo se aplica en virtud del artículo 29 de la Constitución Política sino también con fundamento en el artículo 3.1, inciso primero, de la Ley 1437 de 2011. Esto último en la medida que </w:t>
      </w:r>
      <w:r>
        <w:rPr>
          <w:rFonts w:ascii="Verdana" w:hAnsi="Verdana" w:cs="Arial"/>
          <w:iCs/>
          <w:color w:val="000000" w:themeColor="text1"/>
        </w:rPr>
        <w:t>“</w:t>
      </w:r>
      <w:r w:rsidRPr="00E560BD">
        <w:rPr>
          <w:rFonts w:ascii="Verdana" w:hAnsi="Verdana" w:cs="Arial"/>
          <w:iCs/>
          <w:color w:val="000000" w:themeColor="text1"/>
        </w:rPr>
        <w:t>En virtud del principio del debido proceso, las actuaciones administrativas se adelantarán de conformidad con las normas de procedimiento y competencia establecidas en la Constitución y la ley, con plena garantía de los derechos de representación, defensa y contradicción</w:t>
      </w:r>
      <w:r>
        <w:rPr>
          <w:rFonts w:ascii="Verdana" w:hAnsi="Verdana" w:cs="Arial"/>
          <w:iCs/>
          <w:color w:val="000000" w:themeColor="text1"/>
        </w:rPr>
        <w:t>”</w:t>
      </w:r>
      <w:r w:rsidRPr="00E560BD">
        <w:rPr>
          <w:rFonts w:ascii="Verdana" w:hAnsi="Verdana" w:cs="Arial"/>
          <w:iCs/>
          <w:color w:val="000000" w:themeColor="text1"/>
        </w:rPr>
        <w:t xml:space="preserve">.  </w:t>
      </w:r>
    </w:p>
    <w:p w14:paraId="7000E3E4" w14:textId="77777777" w:rsidR="00D46944" w:rsidRDefault="00D46944" w:rsidP="00D46944">
      <w:pPr>
        <w:spacing w:after="0" w:line="276" w:lineRule="auto"/>
        <w:jc w:val="both"/>
        <w:rPr>
          <w:rFonts w:ascii="Verdana" w:eastAsia="Calibri" w:hAnsi="Verdana" w:cs="Arial"/>
        </w:rPr>
      </w:pPr>
    </w:p>
    <w:p w14:paraId="6D339CA2" w14:textId="77777777" w:rsidR="00D46944" w:rsidRDefault="00D46944" w:rsidP="00D46944">
      <w:pPr>
        <w:spacing w:after="120" w:line="276" w:lineRule="auto"/>
        <w:jc w:val="both"/>
        <w:rPr>
          <w:rFonts w:ascii="Verdana" w:eastAsia="Calibri" w:hAnsi="Verdana" w:cs="Arial"/>
        </w:rPr>
      </w:pPr>
      <w:proofErr w:type="spellStart"/>
      <w:r>
        <w:rPr>
          <w:rFonts w:ascii="Verdana" w:eastAsia="Calibri" w:hAnsi="Verdana" w:cs="Arial"/>
        </w:rPr>
        <w:t>iii</w:t>
      </w:r>
      <w:proofErr w:type="spellEnd"/>
      <w:r>
        <w:rPr>
          <w:rFonts w:ascii="Verdana" w:eastAsia="Calibri" w:hAnsi="Verdana" w:cs="Arial"/>
        </w:rPr>
        <w:t xml:space="preserve">. En los términos de los artículos 2.1, 11 y 12 de la Ley 80 de 1993, la competencia para liquidar bilateral o unilateralmente e imponer sanciones pecuniarias corresponde al ordenador del gasto de la entidad contratante o a su delegado. Por lo demás, el EGCAP no regula causales de suspensión o de perdida de competencia respecto al trámite paralelo de los mencionados procedimientos administrativos, por lo que no se observa restricción para que adelantarlos de manera simultánea.   </w:t>
      </w:r>
    </w:p>
    <w:p w14:paraId="700CE7F6" w14:textId="77777777" w:rsidR="00D46944" w:rsidRDefault="00D46944" w:rsidP="00D46944">
      <w:pPr>
        <w:spacing w:after="0" w:line="276" w:lineRule="auto"/>
        <w:jc w:val="both"/>
        <w:rPr>
          <w:rFonts w:ascii="Verdana" w:eastAsia="Calibri" w:hAnsi="Verdana" w:cs="Arial"/>
        </w:rPr>
      </w:pPr>
      <w:r>
        <w:rPr>
          <w:rFonts w:ascii="Verdana" w:eastAsia="Calibri" w:hAnsi="Verdana" w:cs="Arial"/>
        </w:rPr>
        <w:tab/>
        <w:t xml:space="preserve">Asimismo, aunque la oportunidad para liquidar cesa con la caducidad del medio de control de controversias contractuales, ello no obsta para continuar con el trámite del procedimiento del artículo 86 de la Ley 1437 de 2011, sin perjuicio de la aplicación del artículo 52 de la Ley 1437 de 2011 sobre caducidad </w:t>
      </w:r>
      <w:r>
        <w:rPr>
          <w:rFonts w:ascii="Verdana" w:eastAsia="Calibri" w:hAnsi="Verdana" w:cs="Arial"/>
        </w:rPr>
        <w:lastRenderedPageBreak/>
        <w:t>de la potestad sancionatoria del Estado. Por ello, en Conceptos como el C-1016 del 31 de diciembre de 2024, la Agencia sostuvo que:</w:t>
      </w:r>
    </w:p>
    <w:p w14:paraId="3A2BC4F9" w14:textId="77777777" w:rsidR="00D46944" w:rsidRDefault="00D46944" w:rsidP="00D46944">
      <w:pPr>
        <w:spacing w:after="0" w:line="276" w:lineRule="auto"/>
        <w:jc w:val="both"/>
        <w:rPr>
          <w:rFonts w:ascii="Verdana" w:eastAsia="Calibri" w:hAnsi="Verdana" w:cs="Arial"/>
        </w:rPr>
      </w:pPr>
    </w:p>
    <w:p w14:paraId="3C3060FE" w14:textId="77777777" w:rsidR="00D46944" w:rsidRPr="00CF22A3" w:rsidRDefault="00D46944" w:rsidP="00D46944">
      <w:pPr>
        <w:spacing w:after="120" w:line="240" w:lineRule="auto"/>
        <w:ind w:left="709" w:right="709"/>
        <w:jc w:val="both"/>
        <w:rPr>
          <w:rFonts w:ascii="Verdana" w:eastAsia="Calibri" w:hAnsi="Verdana" w:cs="Arial"/>
          <w:sz w:val="20"/>
          <w:szCs w:val="20"/>
        </w:rPr>
      </w:pPr>
      <w:r w:rsidRPr="00CF22A3">
        <w:rPr>
          <w:rFonts w:ascii="Verdana" w:eastAsia="Calibri" w:hAnsi="Verdana" w:cs="Arial"/>
          <w:sz w:val="20"/>
          <w:szCs w:val="20"/>
        </w:rPr>
        <w:t xml:space="preserve">“[…] teniendo en cuenta que el artículo 86 de la Ley 1474 de 2011 no contiene una disposición especial sobre la caducidad de la potestad sancionadora, es necesario remitirse al artículo 52 de la Ley 1437 de 2011, especialmente, porque esta norma desarrolla los artículos 28 y 29 de la Constitución Política de 1991, los cuales consagran la prohibición de penas y medidas de seguridad imprescriptibles y el derecho a un debido proceso sin dilaciones injustificadas. Esta remisión a las normas del procedimiento administrativo sancionatorio general se fundamenta tanto en el artículo 77, inciso primero, de la Ley 80 de 1993 como en el artículo 47, inciso primero, del CPACA, por lo que la entidad contratante debe expedir y notificar el acto administrativo que decide sobre la sanción dentro de los tres (3) años siguientes a la ocurrencia del hecho que da lugar a ella. </w:t>
      </w:r>
    </w:p>
    <w:p w14:paraId="2705D6A1" w14:textId="77777777" w:rsidR="00D46944" w:rsidRDefault="00D46944" w:rsidP="00D46944">
      <w:pPr>
        <w:spacing w:after="0" w:line="240" w:lineRule="auto"/>
        <w:ind w:left="709" w:right="709"/>
        <w:jc w:val="both"/>
        <w:rPr>
          <w:rFonts w:ascii="Verdana" w:eastAsia="Calibri" w:hAnsi="Verdana" w:cs="Arial"/>
        </w:rPr>
      </w:pPr>
      <w:r w:rsidRPr="00CF22A3">
        <w:rPr>
          <w:rFonts w:ascii="Verdana" w:eastAsia="Calibri" w:hAnsi="Verdana" w:cs="Arial"/>
          <w:sz w:val="20"/>
          <w:szCs w:val="20"/>
        </w:rPr>
        <w:t xml:space="preserve">Lo explicado en el párrafo anterior también se extiende a las impugnaciones, pues el precitado artículo 52 de la Ley 1437 de 2011 dispone que el </w:t>
      </w:r>
      <w:r>
        <w:rPr>
          <w:rFonts w:ascii="Verdana" w:eastAsia="Calibri" w:hAnsi="Verdana" w:cs="Arial"/>
          <w:sz w:val="20"/>
          <w:szCs w:val="20"/>
        </w:rPr>
        <w:t>‘</w:t>
      </w:r>
      <w:r w:rsidRPr="00CF22A3">
        <w:rPr>
          <w:rFonts w:ascii="Verdana" w:eastAsia="Calibri" w:hAnsi="Verdana" w:cs="Arial"/>
          <w:sz w:val="20"/>
          <w:szCs w:val="20"/>
        </w:rPr>
        <w:t xml:space="preserve">[…] acto sancionatorio es diferente de los actos que resuelven los recursos, los cuales deberán ser decididos, so pena de pérdida de competencia, en un término de un (1) año contado a partir de su debida y oportuna interposición. </w:t>
      </w:r>
      <w:r w:rsidRPr="00CF22A3">
        <w:rPr>
          <w:rFonts w:ascii="Verdana" w:eastAsia="Calibri" w:hAnsi="Verdana" w:cs="Arial"/>
          <w:i/>
          <w:iCs/>
          <w:sz w:val="20"/>
          <w:szCs w:val="20"/>
        </w:rPr>
        <w:t>Si los recursos no se deciden en el término fijado en esta disposición, se entenderán fallados a favor del recurrente, sin perjuicio de la responsabilidad patrimonial y disciplinaria que tal abstención genere para el funcionario encargado de resolver</w:t>
      </w:r>
      <w:r w:rsidRPr="00674D25">
        <w:rPr>
          <w:rFonts w:ascii="Verdana" w:eastAsia="Calibri" w:hAnsi="Verdana" w:cs="Arial"/>
          <w:sz w:val="20"/>
          <w:szCs w:val="20"/>
        </w:rPr>
        <w:t>’</w:t>
      </w:r>
      <w:r w:rsidRPr="00CF22A3">
        <w:rPr>
          <w:rFonts w:ascii="Verdana" w:eastAsia="Calibri" w:hAnsi="Verdana" w:cs="Arial"/>
          <w:sz w:val="20"/>
          <w:szCs w:val="20"/>
        </w:rPr>
        <w:t xml:space="preserve"> (Énfasis fuera de texto). Esta norma consagra un silencio administrativo positivo en los recursos de los procedimientos sancionadores, por lo que la entidad pierde competencia para decidir pasado más de un (1) año desde su interposición, ya que con el vencimiento de este plazo surge un acto ficto o presunto que accede a las pretensiones del recurrente”.</w:t>
      </w:r>
      <w:r>
        <w:rPr>
          <w:rFonts w:ascii="Verdana" w:eastAsia="Calibri" w:hAnsi="Verdana" w:cs="Arial"/>
        </w:rPr>
        <w:t xml:space="preserve"> </w:t>
      </w:r>
    </w:p>
    <w:p w14:paraId="2607969D" w14:textId="77777777" w:rsidR="00D46944" w:rsidRDefault="00D46944" w:rsidP="00D46944">
      <w:pPr>
        <w:spacing w:after="0" w:line="276" w:lineRule="auto"/>
        <w:jc w:val="both"/>
        <w:rPr>
          <w:rFonts w:ascii="Verdana" w:eastAsia="Calibri" w:hAnsi="Verdana" w:cs="Arial"/>
        </w:rPr>
      </w:pPr>
      <w:r>
        <w:rPr>
          <w:rFonts w:ascii="Verdana" w:eastAsia="Calibri" w:hAnsi="Verdana" w:cs="Arial"/>
        </w:rPr>
        <w:t xml:space="preserve"> </w:t>
      </w:r>
    </w:p>
    <w:p w14:paraId="0C29BA63" w14:textId="77777777" w:rsidR="00D46944" w:rsidRDefault="00D46944" w:rsidP="00D46944">
      <w:pPr>
        <w:spacing w:after="0" w:line="276" w:lineRule="auto"/>
        <w:ind w:firstLine="709"/>
        <w:jc w:val="both"/>
        <w:rPr>
          <w:rFonts w:ascii="Verdana" w:eastAsia="Calibri" w:hAnsi="Verdana" w:cs="Arial"/>
          <w:lang w:val="es-ES_tradnl"/>
        </w:rPr>
      </w:pPr>
      <w:r>
        <w:rPr>
          <w:rFonts w:ascii="Verdana" w:eastAsia="Calibri" w:hAnsi="Verdana" w:cs="Arial"/>
        </w:rPr>
        <w:t>En todo caso</w:t>
      </w:r>
      <w:r w:rsidRPr="004438B9">
        <w:rPr>
          <w:rFonts w:ascii="Verdana" w:eastAsia="Calibri" w:hAnsi="Verdana" w:cs="Arial"/>
          <w:lang w:val="es-ES_tradnl"/>
        </w:rPr>
        <w:t>, se precisa que si el contrato fue liquidado</w:t>
      </w:r>
      <w:r>
        <w:rPr>
          <w:rFonts w:ascii="Verdana" w:eastAsia="Calibri" w:hAnsi="Verdana" w:cs="Arial"/>
          <w:lang w:val="es-ES_tradnl"/>
        </w:rPr>
        <w:t xml:space="preserve"> sin obligaciones pendientes por ejecutar</w:t>
      </w:r>
      <w:r w:rsidRPr="004438B9">
        <w:rPr>
          <w:rFonts w:ascii="Verdana" w:eastAsia="Calibri" w:hAnsi="Verdana" w:cs="Arial"/>
          <w:lang w:val="es-ES_tradnl"/>
        </w:rPr>
        <w:t>, la Administración ya no podrá imponer sanciones pecuniarias al contratista, toda vez que –encontrándose las partes a paz y salvo– finaliza la relación contractual y, por tanto, las entidades pierden competencia para ejercer sus prerrogativas.</w:t>
      </w:r>
      <w:bookmarkEnd w:id="13"/>
      <w:r w:rsidRPr="004438B9">
        <w:rPr>
          <w:rFonts w:ascii="Verdana" w:eastAsia="Calibri" w:hAnsi="Verdana" w:cs="Arial"/>
          <w:lang w:val="es-ES_tradnl"/>
        </w:rPr>
        <w:t xml:space="preserve"> </w:t>
      </w:r>
      <w:bookmarkEnd w:id="14"/>
      <w:r>
        <w:rPr>
          <w:rFonts w:ascii="Verdana" w:eastAsia="Calibri" w:hAnsi="Verdana" w:cs="Arial"/>
          <w:lang w:val="es-ES_tradnl"/>
        </w:rPr>
        <w:t xml:space="preserve">Por el contrario, </w:t>
      </w:r>
      <w:r w:rsidRPr="00C97B91">
        <w:rPr>
          <w:rFonts w:ascii="Verdana" w:eastAsia="Calibri" w:hAnsi="Verdana" w:cs="Arial"/>
          <w:lang w:val="es-ES_tradnl"/>
        </w:rPr>
        <w:t>si en el acta de liquidación se dejó constancia de obligaciones pendientes de cumplimiento para declarar a las partes a paz y salvo, la Administración podrá adelantar un proceso sancionatorio con la finalidad de declarar el incumplimiento y hacer efectiva</w:t>
      </w:r>
      <w:r>
        <w:rPr>
          <w:rFonts w:ascii="Verdana" w:eastAsia="Calibri" w:hAnsi="Verdana" w:cs="Arial"/>
          <w:lang w:val="es-ES_tradnl"/>
        </w:rPr>
        <w:t>s</w:t>
      </w:r>
      <w:r w:rsidRPr="00C97B91">
        <w:rPr>
          <w:rFonts w:ascii="Verdana" w:eastAsia="Calibri" w:hAnsi="Verdana" w:cs="Arial"/>
          <w:lang w:val="es-ES_tradnl"/>
        </w:rPr>
        <w:t xml:space="preserve"> </w:t>
      </w:r>
      <w:r>
        <w:rPr>
          <w:rFonts w:ascii="Verdana" w:eastAsia="Calibri" w:hAnsi="Verdana" w:cs="Arial"/>
          <w:lang w:val="es-ES_tradnl"/>
        </w:rPr>
        <w:t>las sanciones pecuniarias</w:t>
      </w:r>
      <w:r w:rsidRPr="00C97B91">
        <w:rPr>
          <w:rFonts w:ascii="Verdana" w:eastAsia="Calibri" w:hAnsi="Verdana" w:cs="Arial"/>
          <w:lang w:val="es-ES_tradnl"/>
        </w:rPr>
        <w:t>, de acuerdo con las circunstancias específicas de cada negocio jurídico, atendiendo a los términos en que se haya pactado dichas obligaciones en la liquidación del contrato.</w:t>
      </w:r>
      <w:bookmarkEnd w:id="15"/>
    </w:p>
    <w:p w14:paraId="37E02808" w14:textId="77777777" w:rsidR="00D46944" w:rsidRPr="006E583A" w:rsidRDefault="00D46944" w:rsidP="00D46944">
      <w:pPr>
        <w:spacing w:after="0" w:line="276" w:lineRule="auto"/>
        <w:ind w:firstLine="709"/>
        <w:jc w:val="both"/>
        <w:rPr>
          <w:rFonts w:ascii="Verdana" w:eastAsia="Calibri" w:hAnsi="Verdana" w:cs="Arial"/>
          <w:lang w:val="es-ES_tradnl"/>
        </w:rPr>
      </w:pPr>
    </w:p>
    <w:p w14:paraId="2D6C79FF" w14:textId="77777777" w:rsidR="00D46944" w:rsidRDefault="00D46944" w:rsidP="00D46944">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w:t>
      </w:r>
      <w:r w:rsidRPr="00C35463">
        <w:rPr>
          <w:rFonts w:ascii="Verdana" w:eastAsia="Calibri" w:hAnsi="Verdana" w:cs="Arial"/>
          <w:bCs/>
          <w:color w:val="000000" w:themeColor="text1"/>
        </w:rPr>
        <w:t>Al margen</w:t>
      </w:r>
      <w:r w:rsidRPr="00E853DE">
        <w:rPr>
          <w:rFonts w:ascii="Verdana" w:eastAsia="Calibri" w:hAnsi="Verdana" w:cs="Arial"/>
          <w:bCs/>
          <w:color w:val="000000" w:themeColor="text1"/>
        </w:rPr>
        <w:t xml:space="preserve">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E853DE">
        <w:rPr>
          <w:rFonts w:ascii="Verdana" w:eastAsia="Calibri" w:hAnsi="Verdana" w:cs="Arial"/>
          <w:bCs/>
          <w:color w:val="000000" w:themeColor="text1"/>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591033B" w14:textId="77777777" w:rsidR="00D46944" w:rsidRPr="00185EE9" w:rsidRDefault="00D46944" w:rsidP="00D46944">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1735AEE0" w14:textId="77777777" w:rsidR="00D46944" w:rsidRPr="00182C89" w:rsidRDefault="00D46944" w:rsidP="00D46944">
      <w:pPr>
        <w:tabs>
          <w:tab w:val="left" w:pos="709"/>
        </w:tabs>
        <w:spacing w:after="0" w:line="276" w:lineRule="auto"/>
        <w:jc w:val="both"/>
        <w:rPr>
          <w:rFonts w:ascii="Verdana" w:eastAsia="Calibri" w:hAnsi="Verdana" w:cs="Arial"/>
          <w:color w:val="000000" w:themeColor="text1"/>
        </w:rPr>
      </w:pPr>
    </w:p>
    <w:p w14:paraId="018282F2" w14:textId="77777777" w:rsidR="00D46944" w:rsidRPr="00593A5F" w:rsidRDefault="00D46944" w:rsidP="00D469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D411D">
        <w:rPr>
          <w:rFonts w:ascii="Verdana" w:eastAsia="Century Gothic" w:hAnsi="Verdana" w:cs="Century Gothic"/>
          <w:b/>
          <w:bCs/>
        </w:rPr>
        <w:t>Referencias normativas</w:t>
      </w:r>
      <w:r w:rsidRPr="00593A5F">
        <w:rPr>
          <w:rFonts w:ascii="Verdana" w:eastAsia="Century Gothic" w:hAnsi="Verdana" w:cs="Century Gothic"/>
          <w:b/>
          <w:bCs/>
        </w:rPr>
        <w:t>:</w:t>
      </w:r>
    </w:p>
    <w:p w14:paraId="06E640E7" w14:textId="77777777" w:rsidR="00D46944" w:rsidRPr="00593A5F" w:rsidRDefault="00D46944" w:rsidP="00D46944">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46944" w:rsidRPr="002407CE" w14:paraId="7A41C639" w14:textId="77777777" w:rsidTr="008B565B">
        <w:trPr>
          <w:trHeight w:val="870"/>
          <w:jc w:val="center"/>
        </w:trPr>
        <w:tc>
          <w:tcPr>
            <w:tcW w:w="8647" w:type="dxa"/>
          </w:tcPr>
          <w:p w14:paraId="4A54A03B" w14:textId="77777777" w:rsidR="00D46944" w:rsidRPr="00B954AE" w:rsidRDefault="00D46944" w:rsidP="008B565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C95374">
              <w:rPr>
                <w:rFonts w:ascii="Verdana" w:hAnsi="Verdana" w:cs="Arial"/>
              </w:rPr>
              <w:t>Ley 80 de 1993, artículo</w:t>
            </w:r>
            <w:r>
              <w:rPr>
                <w:rFonts w:ascii="Verdana" w:hAnsi="Verdana" w:cs="Arial"/>
              </w:rPr>
              <w:t>s, 2, 11, 12 y</w:t>
            </w:r>
            <w:r w:rsidRPr="00C95374">
              <w:rPr>
                <w:rFonts w:ascii="Verdana" w:hAnsi="Verdana" w:cs="Arial"/>
              </w:rPr>
              <w:t xml:space="preserve"> 60.</w:t>
            </w:r>
          </w:p>
          <w:p w14:paraId="2B93D343" w14:textId="77777777" w:rsidR="00D46944" w:rsidRPr="00B954AE" w:rsidRDefault="00D46944" w:rsidP="008B565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C95374">
              <w:rPr>
                <w:rFonts w:ascii="Verdana" w:hAnsi="Verdana" w:cs="Arial"/>
              </w:rPr>
              <w:t>Ley 1150 de 2007, artículo</w:t>
            </w:r>
            <w:r>
              <w:rPr>
                <w:rFonts w:ascii="Verdana" w:hAnsi="Verdana" w:cs="Arial"/>
              </w:rPr>
              <w:t>s</w:t>
            </w:r>
            <w:r w:rsidRPr="00C95374">
              <w:rPr>
                <w:rFonts w:ascii="Verdana" w:hAnsi="Verdana" w:cs="Arial"/>
              </w:rPr>
              <w:t xml:space="preserve"> 11</w:t>
            </w:r>
            <w:r>
              <w:rPr>
                <w:rFonts w:ascii="Verdana" w:hAnsi="Verdana" w:cs="Arial"/>
              </w:rPr>
              <w:t xml:space="preserve"> y 17</w:t>
            </w:r>
            <w:r w:rsidRPr="00C95374">
              <w:rPr>
                <w:rFonts w:ascii="Verdana" w:hAnsi="Verdana" w:cs="Arial"/>
              </w:rPr>
              <w:t>.</w:t>
            </w:r>
          </w:p>
          <w:p w14:paraId="611C68B6" w14:textId="77777777" w:rsidR="00D46944" w:rsidRDefault="00D46944" w:rsidP="008B565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C95374">
              <w:rPr>
                <w:rFonts w:ascii="Verdana" w:hAnsi="Verdana" w:cs="Arial"/>
              </w:rPr>
              <w:t xml:space="preserve">Ley 1437 de 2011, artículos </w:t>
            </w:r>
            <w:r>
              <w:rPr>
                <w:rFonts w:ascii="Verdana" w:hAnsi="Verdana" w:cs="Arial"/>
              </w:rPr>
              <w:t xml:space="preserve">52, </w:t>
            </w:r>
            <w:r w:rsidRPr="00C95374">
              <w:rPr>
                <w:rFonts w:ascii="Verdana" w:hAnsi="Verdana" w:cs="Arial"/>
              </w:rPr>
              <w:t xml:space="preserve">141 y 164. </w:t>
            </w:r>
          </w:p>
          <w:p w14:paraId="19E9F0E0" w14:textId="77777777" w:rsidR="00D46944" w:rsidRDefault="00D46944" w:rsidP="008B565B">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1474 de 2011, artículo 86.</w:t>
            </w:r>
          </w:p>
          <w:p w14:paraId="3ECA8449" w14:textId="77777777" w:rsidR="00D46944" w:rsidRPr="00C95374" w:rsidRDefault="00D46944" w:rsidP="008B565B">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1082 de 2015, artículos </w:t>
            </w:r>
            <w:r w:rsidRPr="001D6F6E">
              <w:rPr>
                <w:rFonts w:ascii="Verdana" w:hAnsi="Verdana" w:cs="Arial"/>
              </w:rPr>
              <w:t>2.2.1.1.1.3.1</w:t>
            </w:r>
            <w:r>
              <w:rPr>
                <w:rFonts w:ascii="Verdana" w:hAnsi="Verdana" w:cs="Arial"/>
              </w:rPr>
              <w:t xml:space="preserve">, </w:t>
            </w:r>
            <w:r w:rsidRPr="001D6F6E">
              <w:rPr>
                <w:rFonts w:ascii="Verdana" w:eastAsia="Calibri" w:hAnsi="Verdana" w:cs="Arial"/>
                <w:color w:val="000000"/>
                <w:lang w:eastAsia="es-ES"/>
              </w:rPr>
              <w:t>2.2.1.1.2.4.3</w:t>
            </w:r>
            <w:r>
              <w:rPr>
                <w:rFonts w:ascii="Verdana" w:eastAsia="Calibri" w:hAnsi="Verdana" w:cs="Arial"/>
                <w:color w:val="000000"/>
                <w:lang w:eastAsia="es-ES"/>
              </w:rPr>
              <w:t xml:space="preserve"> y </w:t>
            </w:r>
            <w:r w:rsidRPr="001D6F6E">
              <w:rPr>
                <w:rFonts w:ascii="Verdana" w:hAnsi="Verdana" w:cs="Arial"/>
              </w:rPr>
              <w:t>2.2.1.2.3.1.7</w:t>
            </w:r>
            <w:r>
              <w:rPr>
                <w:rFonts w:ascii="Verdana" w:hAnsi="Verdana" w:cs="Arial"/>
              </w:rPr>
              <w:t>.</w:t>
            </w:r>
          </w:p>
        </w:tc>
      </w:tr>
    </w:tbl>
    <w:p w14:paraId="485E7384" w14:textId="77777777" w:rsidR="00D46944" w:rsidRPr="002407CE" w:rsidRDefault="00D46944" w:rsidP="00D46944">
      <w:pPr>
        <w:widowControl w:val="0"/>
        <w:autoSpaceDE w:val="0"/>
        <w:autoSpaceDN w:val="0"/>
        <w:spacing w:after="0" w:line="276" w:lineRule="auto"/>
        <w:jc w:val="both"/>
        <w:rPr>
          <w:rFonts w:ascii="Verdana" w:hAnsi="Verdana" w:cs="Arial"/>
        </w:rPr>
      </w:pPr>
    </w:p>
    <w:p w14:paraId="6A825DB3" w14:textId="77777777" w:rsidR="00D46944" w:rsidRPr="00593A5F" w:rsidRDefault="00D46944" w:rsidP="00D469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651988F" w14:textId="77777777" w:rsidR="00D46944" w:rsidRPr="00593A5F" w:rsidRDefault="00D46944" w:rsidP="00D46944">
      <w:pPr>
        <w:widowControl w:val="0"/>
        <w:autoSpaceDE w:val="0"/>
        <w:autoSpaceDN w:val="0"/>
        <w:spacing w:after="0" w:line="276" w:lineRule="auto"/>
        <w:jc w:val="both"/>
        <w:rPr>
          <w:rFonts w:ascii="Verdana" w:hAnsi="Verdana" w:cs="Arial"/>
        </w:rPr>
      </w:pPr>
    </w:p>
    <w:p w14:paraId="23567B72" w14:textId="77777777" w:rsidR="00D46944" w:rsidRPr="00ED0098" w:rsidRDefault="00D46944" w:rsidP="00D46944">
      <w:pPr>
        <w:widowControl w:val="0"/>
        <w:autoSpaceDE w:val="0"/>
        <w:autoSpaceDN w:val="0"/>
        <w:spacing w:after="0" w:line="276" w:lineRule="auto"/>
        <w:jc w:val="both"/>
        <w:rPr>
          <w:rStyle w:val="normaltextrun"/>
          <w:rFonts w:ascii="Verdana" w:hAnsi="Verdana" w:cs="Arial"/>
          <w:shd w:val="clear" w:color="auto" w:fill="FFFFFF"/>
        </w:rPr>
      </w:pPr>
      <w:r w:rsidRPr="000E4CD6">
        <w:rPr>
          <w:rStyle w:val="normaltextrun"/>
          <w:rFonts w:ascii="Verdana" w:hAnsi="Verdana" w:cs="Arial"/>
          <w:shd w:val="clear" w:color="auto" w:fill="FFFFFF"/>
          <w:lang w:val="es-ES_tradnl"/>
        </w:rPr>
        <w:t xml:space="preserve">Esta Subdirección se ha pronunciado sobre la liquidación en los Conceptos 4201912000004908 del 27 de septiembre de 2019, CU-028 de 25 de febrero de </w:t>
      </w:r>
      <w:r w:rsidRPr="000E4CD6">
        <w:rPr>
          <w:rStyle w:val="normaltextrun"/>
          <w:rFonts w:ascii="Verdana" w:hAnsi="Verdana" w:cs="Arial"/>
          <w:shd w:val="clear" w:color="auto" w:fill="FFFFFF"/>
          <w:lang w:val="es-ES_tradnl"/>
        </w:rPr>
        <w:lastRenderedPageBreak/>
        <w:t>2020, C-221 de 21 de abril de 2020, C-078 del 17 de marzo de 2021, C-220 del 18 de mayo de 2021, C-444 del 23 de julio de 2021, C-747 del 8 de noviembre de 2022, C-739 de del 29 de noviembre de 2022, C- 176 de 3 de mayo de 2023, C-158 del 6 de junio de 2023, C-326 del 15 de agosto de 2024</w:t>
      </w:r>
      <w:r>
        <w:rPr>
          <w:rStyle w:val="normaltextrun"/>
          <w:rFonts w:ascii="Verdana" w:hAnsi="Verdana" w:cs="Arial"/>
          <w:shd w:val="clear" w:color="auto" w:fill="FFFFFF"/>
          <w:lang w:val="es-ES_tradnl"/>
        </w:rPr>
        <w:t>,</w:t>
      </w:r>
      <w:r w:rsidRPr="000E4CD6">
        <w:rPr>
          <w:rStyle w:val="normaltextrun"/>
          <w:rFonts w:ascii="Verdana" w:hAnsi="Verdana" w:cs="Arial"/>
          <w:shd w:val="clear" w:color="auto" w:fill="FFFFFF"/>
          <w:lang w:val="es-ES_tradnl"/>
        </w:rPr>
        <w:t xml:space="preserve"> C-568 del 18 de octubre de 2024</w:t>
      </w:r>
      <w:r>
        <w:rPr>
          <w:rStyle w:val="normaltextrun"/>
          <w:rFonts w:ascii="Verdana" w:hAnsi="Verdana" w:cs="Arial"/>
          <w:shd w:val="clear" w:color="auto" w:fill="FFFFFF"/>
          <w:lang w:val="es-ES_tradnl"/>
        </w:rPr>
        <w:t xml:space="preserve"> y C-968 del 16 de diciembre de 2024</w:t>
      </w:r>
      <w:r w:rsidRPr="004A73EC">
        <w:rPr>
          <w:rStyle w:val="normaltextrun"/>
          <w:rFonts w:ascii="Verdana" w:hAnsi="Verdana" w:cs="Arial"/>
          <w:shd w:val="clear" w:color="auto" w:fill="FFFFFF"/>
          <w:lang w:val="es-ES_tradnl"/>
        </w:rPr>
        <w:t>.</w:t>
      </w:r>
      <w:r>
        <w:rPr>
          <w:rStyle w:val="normaltextrun"/>
          <w:rFonts w:ascii="Verdana" w:hAnsi="Verdana" w:cs="Arial"/>
          <w:shd w:val="clear" w:color="auto" w:fill="FFFFFF"/>
          <w:lang w:val="es-ES_tradnl"/>
        </w:rPr>
        <w:t xml:space="preserve"> Asimismo, </w:t>
      </w:r>
      <w:r w:rsidRPr="0070207D">
        <w:rPr>
          <w:rStyle w:val="normaltextrun"/>
          <w:rFonts w:ascii="Verdana" w:hAnsi="Verdana" w:cs="Arial"/>
          <w:shd w:val="clear" w:color="auto" w:fill="FFFFFF"/>
          <w:lang w:val="es-ES_tradnl"/>
        </w:rPr>
        <w:t>se ha pronunciado sobre la potestad sancionatoria de las Entidades Estatales y el procedimiento administrativo que deben efectuar para declarar el incumplimiento y aplicar las sanciones correspondientes, destacando la necesidad de garantizar el debido proceso, en los Conceptos C-147 del 17 de marzo de 2020, C-219 del 29 de abril de 2020, C-434 del 29 de julio de 2020, C-569 del 31 de agosto de 2020, C-641 del 4 de noviembre de 2020, C-060 del 8 de marzo de 2021, C-528 del 5 de abril de 2021, C-420 del 25 de agosto de 2022, C- 720 del 25 de enero de 2022, C-085 del 29 de abril  de 2022 C-125 del 23 de marzo de 2022, C-195 del 12 de abril de 2022, C-208 del 26 de abril de 2022, C-238 del 27 de abril de 2022, C-866 del 20 de diciembre de 2022, C-034 de 09 de marzo de 2023, C-140 del 13 de junio de 2023, C-227 del 07 de julio del 2023, C-047 del 25 de abril de 2024, C-361 del 2 de septiembre de 2024</w:t>
      </w:r>
      <w:r>
        <w:rPr>
          <w:rStyle w:val="normaltextrun"/>
          <w:rFonts w:ascii="Verdana" w:hAnsi="Verdana" w:cs="Arial"/>
          <w:shd w:val="clear" w:color="auto" w:fill="FFFFFF"/>
          <w:lang w:val="es-ES_tradnl"/>
        </w:rPr>
        <w:t xml:space="preserve">, </w:t>
      </w:r>
      <w:r w:rsidRPr="0070207D">
        <w:rPr>
          <w:rStyle w:val="normaltextrun"/>
          <w:rFonts w:ascii="Verdana" w:hAnsi="Verdana" w:cs="Arial"/>
          <w:shd w:val="clear" w:color="auto" w:fill="FFFFFF"/>
          <w:lang w:val="es-ES_tradnl"/>
        </w:rPr>
        <w:t>C-886 del 9 de diciembre de 2024</w:t>
      </w:r>
      <w:r>
        <w:rPr>
          <w:rStyle w:val="normaltextrun"/>
          <w:rFonts w:ascii="Verdana" w:hAnsi="Verdana" w:cs="Arial"/>
          <w:shd w:val="clear" w:color="auto" w:fill="FFFFFF"/>
          <w:lang w:val="es-ES_tradnl"/>
        </w:rPr>
        <w:t xml:space="preserve"> y </w:t>
      </w:r>
      <w:r w:rsidRPr="004A73EC">
        <w:rPr>
          <w:rStyle w:val="normaltextrun"/>
          <w:rFonts w:ascii="Verdana" w:hAnsi="Verdana" w:cs="Arial"/>
          <w:shd w:val="clear" w:color="auto" w:fill="FFFFFF"/>
          <w:lang w:val="es-ES_tradnl"/>
        </w:rPr>
        <w:t xml:space="preserve"> </w:t>
      </w:r>
      <w:r>
        <w:rPr>
          <w:rFonts w:ascii="Verdana" w:eastAsia="Calibri" w:hAnsi="Verdana" w:cs="Arial"/>
        </w:rPr>
        <w:t xml:space="preserve">C-1016 del 31 de diciembre de 2024. </w:t>
      </w:r>
      <w:r w:rsidRPr="004A73EC">
        <w:rPr>
          <w:rStyle w:val="normaltextrun"/>
          <w:rFonts w:ascii="Verdana" w:hAnsi="Verdana" w:cs="Arial"/>
          <w:shd w:val="clear" w:color="auto" w:fill="FFFFFF"/>
          <w:lang w:val="es-ES_tradnl"/>
        </w:rPr>
        <w:t>Es</w:t>
      </w:r>
      <w:r w:rsidRPr="004A73EC">
        <w:rPr>
          <w:rFonts w:ascii="Verdana" w:hAnsi="Verdana"/>
          <w:lang w:val="es-ES_tradnl"/>
        </w:rPr>
        <w:t>tos y otros se encuentran disponibles para consulta en el Sistema de relatoría de la Agencia, al cual puede accederse a través del siguiente enlace:</w:t>
      </w:r>
      <w:r w:rsidRPr="008D0AB0">
        <w:rPr>
          <w:rStyle w:val="normaltextrun"/>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7CA818E" w14:textId="77777777" w:rsidR="00D46944" w:rsidRPr="00096788" w:rsidRDefault="00D46944" w:rsidP="00D46944">
      <w:pPr>
        <w:widowControl w:val="0"/>
        <w:autoSpaceDE w:val="0"/>
        <w:autoSpaceDN w:val="0"/>
        <w:spacing w:after="0" w:line="276" w:lineRule="auto"/>
        <w:jc w:val="both"/>
        <w:rPr>
          <w:rFonts w:ascii="Verdana" w:hAnsi="Verdana" w:cs="Arial"/>
          <w:color w:val="000000" w:themeColor="text1"/>
          <w:shd w:val="clear" w:color="auto" w:fill="FFFFFF"/>
        </w:rPr>
      </w:pPr>
    </w:p>
    <w:p w14:paraId="3ED906D1" w14:textId="77777777" w:rsidR="00D46944" w:rsidRPr="00E440FD" w:rsidRDefault="00D46944" w:rsidP="00D46944">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26E75EC9" w14:textId="77777777" w:rsidR="00D46944" w:rsidRDefault="00D46944" w:rsidP="00D46944">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152C1D37" w14:textId="77777777" w:rsidR="00D46944" w:rsidRPr="0038088D" w:rsidRDefault="00D46944" w:rsidP="00D46944">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w:t>
      </w:r>
      <w:r w:rsidRPr="00116940">
        <w:rPr>
          <w:rFonts w:ascii="Verdana" w:hAnsi="Verdana"/>
        </w:rPr>
        <w:lastRenderedPageBreak/>
        <w:t xml:space="preserve">peticiones o solicitudes, así como para brindar el apoyo que se requiera en el marco de nuestras funciones a través de nuestros diferentes canales de </w:t>
      </w:r>
      <w:r w:rsidRPr="0038088D">
        <w:rPr>
          <w:rFonts w:ascii="Verdana" w:hAnsi="Verdana"/>
        </w:rPr>
        <w:t xml:space="preserve">atención: </w:t>
      </w:r>
    </w:p>
    <w:p w14:paraId="58697270" w14:textId="77777777" w:rsidR="00D46944" w:rsidRPr="0038088D" w:rsidRDefault="00D46944" w:rsidP="00D46944">
      <w:pPr>
        <w:spacing w:after="0"/>
        <w:jc w:val="both"/>
        <w:rPr>
          <w:rFonts w:ascii="Verdana" w:hAnsi="Verdana"/>
        </w:rPr>
      </w:pPr>
    </w:p>
    <w:p w14:paraId="60581A03" w14:textId="77777777" w:rsidR="00D46944" w:rsidRPr="0038088D" w:rsidRDefault="00D46944" w:rsidP="00D46944">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2EEAD170" w14:textId="77777777" w:rsidR="00D46944" w:rsidRPr="0038088D" w:rsidRDefault="00D46944" w:rsidP="00D46944">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01718232" w14:textId="77777777" w:rsidR="00D46944" w:rsidRPr="0038088D" w:rsidRDefault="00D46944" w:rsidP="00D46944">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4">
        <w:r w:rsidRPr="0038088D">
          <w:rPr>
            <w:rStyle w:val="Hipervnculo"/>
            <w:rFonts w:ascii="Verdana" w:eastAsia="Verdana" w:hAnsi="Verdana" w:cs="Verdana"/>
          </w:rPr>
          <w:t>ventanilladeradicacion@colombiacompra.gov.co</w:t>
        </w:r>
      </w:hyperlink>
    </w:p>
    <w:p w14:paraId="7A9C56BB" w14:textId="77777777" w:rsidR="00D46944" w:rsidRPr="0038088D" w:rsidRDefault="00D46944" w:rsidP="00D46944">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5">
        <w:r w:rsidRPr="0038088D">
          <w:rPr>
            <w:rStyle w:val="Hipervnculo"/>
            <w:rFonts w:ascii="Verdana" w:eastAsia="Verdana" w:hAnsi="Verdana" w:cs="Verdana"/>
          </w:rPr>
          <w:t>https://www.colombiacompra.gov.co/pqrsd/informacion-importante-antes-de-formular-una-pqrsd</w:t>
        </w:r>
      </w:hyperlink>
    </w:p>
    <w:p w14:paraId="5AB84855" w14:textId="77777777" w:rsidR="00D46944" w:rsidRPr="0038088D" w:rsidRDefault="00D46944" w:rsidP="00D46944">
      <w:pPr>
        <w:spacing w:after="0" w:line="240" w:lineRule="auto"/>
        <w:ind w:left="720"/>
        <w:jc w:val="both"/>
        <w:rPr>
          <w:rFonts w:ascii="Verdana" w:hAnsi="Verdana"/>
        </w:rPr>
      </w:pPr>
    </w:p>
    <w:p w14:paraId="6ABBC89B" w14:textId="77777777" w:rsidR="00D46944" w:rsidRPr="0038088D" w:rsidRDefault="00D46944" w:rsidP="00D46944">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6"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410BD972" w14:textId="77777777" w:rsidR="00D46944" w:rsidRPr="0038088D" w:rsidRDefault="00D46944" w:rsidP="00D46944">
      <w:pPr>
        <w:spacing w:after="0" w:line="240" w:lineRule="auto"/>
        <w:rPr>
          <w:rFonts w:ascii="Verdana" w:hAnsi="Verdana"/>
        </w:rPr>
      </w:pPr>
    </w:p>
    <w:p w14:paraId="7EA1BCE8" w14:textId="77777777" w:rsidR="00D46944" w:rsidRPr="0038088D" w:rsidRDefault="00D46944" w:rsidP="00D46944">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1DD90FF6" w14:textId="77777777" w:rsidR="00D46944" w:rsidRPr="00116940" w:rsidRDefault="00D46944" w:rsidP="00D46944">
      <w:pPr>
        <w:spacing w:after="0" w:line="240" w:lineRule="auto"/>
        <w:jc w:val="both"/>
        <w:rPr>
          <w:rFonts w:ascii="Verdana" w:hAnsi="Verdana"/>
        </w:rPr>
      </w:pPr>
    </w:p>
    <w:p w14:paraId="2B4617A0" w14:textId="77777777" w:rsidR="00D46944" w:rsidRPr="00116940" w:rsidRDefault="00D46944" w:rsidP="00D46944">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B052500" w14:textId="77777777" w:rsidR="00D46944" w:rsidRPr="00116940" w:rsidRDefault="00D46944" w:rsidP="00D46944">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F693C9A" w14:textId="77777777" w:rsidR="00D46944" w:rsidRPr="0038088D" w:rsidRDefault="00D46944" w:rsidP="00D46944">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346C45A" w14:textId="77777777" w:rsidR="00D46944" w:rsidRPr="009C4035" w:rsidRDefault="00D46944" w:rsidP="00D46944">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1CE77375" w14:textId="77777777" w:rsidR="00D46944" w:rsidRPr="00593A5F" w:rsidRDefault="00D46944" w:rsidP="00D46944">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6452345" w14:textId="77777777" w:rsidR="00D46944" w:rsidRPr="00593A5F" w:rsidRDefault="00D46944" w:rsidP="00D46944">
      <w:pPr>
        <w:widowControl w:val="0"/>
        <w:autoSpaceDE w:val="0"/>
        <w:autoSpaceDN w:val="0"/>
        <w:spacing w:after="0" w:line="276" w:lineRule="auto"/>
        <w:jc w:val="both"/>
        <w:rPr>
          <w:rFonts w:ascii="Verdana" w:hAnsi="Verdana" w:cs="Arial"/>
        </w:rPr>
      </w:pPr>
    </w:p>
    <w:p w14:paraId="5567111D" w14:textId="77777777" w:rsidR="00D46944" w:rsidRPr="00593A5F" w:rsidRDefault="00D46944" w:rsidP="00D46944">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E0879E5" w14:textId="40C3D837" w:rsidR="00D46944" w:rsidRPr="00593A5F" w:rsidRDefault="00D75ECD" w:rsidP="00D46944">
      <w:pPr>
        <w:spacing w:line="276" w:lineRule="auto"/>
        <w:jc w:val="center"/>
        <w:rPr>
          <w:rFonts w:ascii="Verdana" w:hAnsi="Verdana" w:cs="Arial"/>
          <w:color w:val="000000"/>
          <w:lang w:val="es-ES_tradnl" w:eastAsia="es-CO"/>
        </w:rPr>
      </w:pPr>
      <w:r>
        <w:rPr>
          <w:noProof/>
        </w:rPr>
        <w:drawing>
          <wp:inline distT="0" distB="0" distL="0" distR="0" wp14:anchorId="344A9A9C" wp14:editId="2D1A2A57">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46944" w:rsidRPr="00593A5F" w14:paraId="19F39CB3" w14:textId="77777777" w:rsidTr="008B565B">
        <w:trPr>
          <w:trHeight w:val="315"/>
        </w:trPr>
        <w:tc>
          <w:tcPr>
            <w:tcW w:w="893" w:type="dxa"/>
            <w:vAlign w:val="center"/>
            <w:hideMark/>
          </w:tcPr>
          <w:p w14:paraId="563949C4" w14:textId="77777777" w:rsidR="00D46944" w:rsidRPr="003751C7" w:rsidRDefault="00D46944" w:rsidP="008B565B">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6ECFBC8B" w14:textId="77777777" w:rsidR="00D46944" w:rsidRPr="00254A7A" w:rsidRDefault="00D46944" w:rsidP="008B565B">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32810041" w14:textId="77777777" w:rsidR="00D46944" w:rsidRPr="00254A7A" w:rsidRDefault="00D46944" w:rsidP="008B565B">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D46944" w:rsidRPr="00593A5F" w14:paraId="2A9D843B" w14:textId="77777777" w:rsidTr="008B565B">
        <w:trPr>
          <w:trHeight w:val="330"/>
        </w:trPr>
        <w:tc>
          <w:tcPr>
            <w:tcW w:w="893" w:type="dxa"/>
            <w:vAlign w:val="center"/>
            <w:hideMark/>
          </w:tcPr>
          <w:p w14:paraId="31CF45C3" w14:textId="77777777" w:rsidR="00D46944" w:rsidRPr="003751C7" w:rsidRDefault="00D46944" w:rsidP="008B565B">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7B40F4C" w14:textId="77777777" w:rsidR="00D46944" w:rsidRPr="0033383A" w:rsidRDefault="00D46944" w:rsidP="008B565B">
            <w:pPr>
              <w:pStyle w:val="paragraph"/>
              <w:spacing w:after="0"/>
              <w:contextualSpacing/>
              <w:textAlignment w:val="baseline"/>
              <w:rPr>
                <w:rStyle w:val="normaltextrun"/>
                <w:rFonts w:ascii="Verdana" w:hAnsi="Verdana" w:cs="Arial"/>
                <w:sz w:val="16"/>
                <w:szCs w:val="16"/>
                <w:lang w:val="es-ES_tradnl"/>
              </w:rPr>
            </w:pPr>
            <w:r w:rsidRPr="0033383A">
              <w:rPr>
                <w:rStyle w:val="normaltextrun"/>
                <w:rFonts w:ascii="Verdana" w:hAnsi="Verdana" w:cs="Arial"/>
                <w:sz w:val="16"/>
                <w:szCs w:val="16"/>
                <w:lang w:val="es-ES_tradnl"/>
              </w:rPr>
              <w:t>Alejandro Sarmiento Cantillo</w:t>
            </w:r>
          </w:p>
          <w:p w14:paraId="51BBBF0F" w14:textId="77777777" w:rsidR="00D46944" w:rsidRPr="00254A7A" w:rsidRDefault="00D46944" w:rsidP="008B565B">
            <w:pPr>
              <w:pStyle w:val="paragraph"/>
              <w:spacing w:before="0" w:beforeAutospacing="0" w:after="0" w:afterAutospacing="0"/>
              <w:contextualSpacing/>
              <w:textAlignment w:val="baseline"/>
              <w:rPr>
                <w:rFonts w:ascii="Verdana" w:hAnsi="Verdana" w:cs="Segoe UI"/>
                <w:sz w:val="16"/>
                <w:szCs w:val="16"/>
              </w:rPr>
            </w:pPr>
            <w:r w:rsidRPr="0033383A">
              <w:rPr>
                <w:rStyle w:val="normaltextrun"/>
                <w:rFonts w:ascii="Verdana" w:hAnsi="Verdana" w:cs="Arial"/>
                <w:sz w:val="16"/>
                <w:szCs w:val="16"/>
                <w:lang w:val="es-ES_tradnl"/>
              </w:rPr>
              <w:t>Gestor T1 ‒ 15 de la Subdirección de Gestión Contractual</w:t>
            </w:r>
          </w:p>
        </w:tc>
      </w:tr>
      <w:tr w:rsidR="00D46944" w:rsidRPr="00593A5F" w14:paraId="24C49A19" w14:textId="77777777" w:rsidTr="008B565B">
        <w:trPr>
          <w:trHeight w:val="300"/>
        </w:trPr>
        <w:tc>
          <w:tcPr>
            <w:tcW w:w="893" w:type="dxa"/>
            <w:vAlign w:val="center"/>
          </w:tcPr>
          <w:p w14:paraId="77E6A6D8" w14:textId="77777777" w:rsidR="00D46944" w:rsidRPr="003751C7" w:rsidRDefault="00D46944" w:rsidP="008B565B">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69B9D62" w14:textId="77777777" w:rsidR="00D46944" w:rsidRPr="00731523" w:rsidRDefault="00D46944" w:rsidP="008B565B">
            <w:pPr>
              <w:contextualSpacing/>
              <w:rPr>
                <w:rFonts w:ascii="Verdana" w:eastAsia="Calibri" w:hAnsi="Verdana" w:cs="Arial"/>
                <w:sz w:val="16"/>
                <w:szCs w:val="16"/>
                <w:lang w:val="es-ES" w:eastAsia="es-ES"/>
              </w:rPr>
            </w:pPr>
            <w:r w:rsidRPr="70735E90">
              <w:rPr>
                <w:rFonts w:ascii="Verdana" w:eastAsia="Calibri" w:hAnsi="Verdana" w:cs="Arial"/>
                <w:sz w:val="16"/>
                <w:szCs w:val="16"/>
                <w:lang w:val="es-ES" w:eastAsia="es-ES"/>
              </w:rPr>
              <w:t xml:space="preserve">Carolina Quintero </w:t>
            </w:r>
            <w:proofErr w:type="spellStart"/>
            <w:r w:rsidRPr="70735E90">
              <w:rPr>
                <w:rFonts w:ascii="Verdana" w:eastAsia="Calibri" w:hAnsi="Verdana" w:cs="Arial"/>
                <w:sz w:val="16"/>
                <w:szCs w:val="16"/>
                <w:lang w:val="es-ES" w:eastAsia="es-ES"/>
              </w:rPr>
              <w:t>Gacharná</w:t>
            </w:r>
            <w:proofErr w:type="spellEnd"/>
          </w:p>
          <w:p w14:paraId="7AF1AE9C" w14:textId="77777777" w:rsidR="00D46944" w:rsidRPr="003751C7" w:rsidRDefault="00D46944" w:rsidP="008B565B">
            <w:pPr>
              <w:contextualSpacing/>
              <w:rPr>
                <w:rFonts w:ascii="Verdana" w:eastAsia="Calibri" w:hAnsi="Verdana" w:cs="Arial"/>
                <w:sz w:val="16"/>
                <w:szCs w:val="16"/>
                <w:lang w:val="pt-BR" w:eastAsia="es-ES"/>
              </w:rPr>
            </w:pPr>
            <w:r w:rsidRPr="00731523">
              <w:rPr>
                <w:rFonts w:ascii="Verdana" w:eastAsia="Calibri" w:hAnsi="Verdana" w:cs="Arial"/>
                <w:sz w:val="16"/>
                <w:szCs w:val="16"/>
                <w:lang w:val="es-ES_tradnl" w:eastAsia="es-ES"/>
              </w:rPr>
              <w:t>Subdirectora de Gestión Contractual ANCP – CCE</w:t>
            </w:r>
          </w:p>
        </w:tc>
      </w:tr>
    </w:tbl>
    <w:p w14:paraId="25587B7D" w14:textId="77777777" w:rsidR="00D46944" w:rsidRPr="00543BFE" w:rsidRDefault="00D46944" w:rsidP="00D46944"/>
    <w:p w14:paraId="0F293BF4" w14:textId="646BE7F0" w:rsidR="00127233" w:rsidRPr="00800314" w:rsidRDefault="00127233" w:rsidP="00800314"/>
    <w:sectPr w:rsidR="00127233" w:rsidRPr="00800314"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4ED576" w14:textId="77777777" w:rsidR="00A62FE3" w:rsidRDefault="00A62FE3" w:rsidP="004A1847">
      <w:pPr>
        <w:spacing w:after="0" w:line="240" w:lineRule="auto"/>
      </w:pPr>
      <w:r>
        <w:separator/>
      </w:r>
    </w:p>
  </w:endnote>
  <w:endnote w:type="continuationSeparator" w:id="0">
    <w:p w14:paraId="3E0F2A8B" w14:textId="77777777" w:rsidR="00A62FE3" w:rsidRDefault="00A62FE3" w:rsidP="004A1847">
      <w:pPr>
        <w:spacing w:after="0" w:line="240" w:lineRule="auto"/>
      </w:pPr>
      <w:r>
        <w:continuationSeparator/>
      </w:r>
    </w:p>
  </w:endnote>
  <w:endnote w:type="continuationNotice" w:id="1">
    <w:p w14:paraId="39AEF26C" w14:textId="77777777" w:rsidR="00A62FE3" w:rsidRDefault="00A62F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2A7574"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2A7574">
      <w:rPr>
        <w:rFonts w:ascii="Century Gothic" w:eastAsia="Geo" w:hAnsi="Century Gothic" w:cs="Geo"/>
        <w:b/>
        <w:color w:val="000000" w:themeColor="text1"/>
        <w:sz w:val="16"/>
        <w:szCs w:val="16"/>
        <w:lang w:val="pt-BR" w:eastAsia="es-CO"/>
      </w:rPr>
      <w:t xml:space="preserve">Código: </w:t>
    </w:r>
    <w:r w:rsidRPr="002A7574">
      <w:rPr>
        <w:rFonts w:ascii="Century Gothic" w:eastAsia="Geo" w:hAnsi="Century Gothic" w:cs="Geo"/>
        <w:color w:val="000000" w:themeColor="text1"/>
        <w:sz w:val="16"/>
        <w:szCs w:val="16"/>
        <w:lang w:val="pt-BR" w:eastAsia="es-CO"/>
      </w:rPr>
      <w:t xml:space="preserve">CCE-REC-FM-17 </w:t>
    </w:r>
    <w:r w:rsidRPr="002A7574">
      <w:rPr>
        <w:rFonts w:ascii="Century Gothic" w:eastAsia="Geo" w:hAnsi="Century Gothic" w:cs="Geo"/>
        <w:b/>
        <w:color w:val="000000" w:themeColor="text1"/>
        <w:sz w:val="16"/>
        <w:szCs w:val="16"/>
        <w:lang w:val="pt-BR" w:eastAsia="es-CO"/>
      </w:rPr>
      <w:t>V</w:t>
    </w:r>
    <w:r w:rsidRPr="002A7574">
      <w:rPr>
        <w:rFonts w:ascii="Century Gothic" w:eastAsia="Arial Nova" w:hAnsi="Century Gothic" w:cs="Arial Nova"/>
        <w:b/>
        <w:color w:val="000000" w:themeColor="text1"/>
        <w:sz w:val="16"/>
        <w:szCs w:val="16"/>
        <w:lang w:val="pt-BR" w:eastAsia="es-CO"/>
      </w:rPr>
      <w:t xml:space="preserve">: </w:t>
    </w:r>
    <w:r w:rsidRPr="002A7574">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AEBEEC" w14:textId="77777777" w:rsidR="00A62FE3" w:rsidRDefault="00A62FE3" w:rsidP="004A1847">
      <w:pPr>
        <w:spacing w:after="0" w:line="240" w:lineRule="auto"/>
      </w:pPr>
      <w:r>
        <w:separator/>
      </w:r>
    </w:p>
  </w:footnote>
  <w:footnote w:type="continuationSeparator" w:id="0">
    <w:p w14:paraId="667214C0" w14:textId="77777777" w:rsidR="00A62FE3" w:rsidRDefault="00A62FE3" w:rsidP="004A1847">
      <w:pPr>
        <w:spacing w:after="0" w:line="240" w:lineRule="auto"/>
      </w:pPr>
      <w:r>
        <w:continuationSeparator/>
      </w:r>
    </w:p>
  </w:footnote>
  <w:footnote w:type="continuationNotice" w:id="1">
    <w:p w14:paraId="40818C5B" w14:textId="77777777" w:rsidR="00A62FE3" w:rsidRDefault="00A62FE3">
      <w:pPr>
        <w:spacing w:after="0" w:line="240" w:lineRule="auto"/>
      </w:pPr>
    </w:p>
  </w:footnote>
  <w:footnote w:id="2">
    <w:p w14:paraId="268BC871" w14:textId="77777777" w:rsidR="00D46944" w:rsidRPr="004438B9" w:rsidRDefault="00D46944" w:rsidP="00D46944">
      <w:pPr>
        <w:pStyle w:val="Textonotapie"/>
        <w:ind w:firstLine="708"/>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4438B9">
        <w:rPr>
          <w:rFonts w:ascii="Verdana" w:hAnsi="Verdana" w:cs="Arial"/>
          <w:color w:val="000000"/>
          <w:sz w:val="16"/>
          <w:szCs w:val="16"/>
          <w:shd w:val="clear" w:color="auto" w:fill="FFFFFF"/>
        </w:rPr>
        <w:t>” (</w:t>
      </w:r>
      <w:r w:rsidRPr="004438B9">
        <w:rPr>
          <w:rFonts w:ascii="Verdana" w:hAnsi="Verdana" w:cs="Arial"/>
          <w:color w:val="000000"/>
          <w:sz w:val="16"/>
          <w:szCs w:val="16"/>
        </w:rPr>
        <w:t>EXPOSITO, Juan Carlos. Forma y contenido del contrato estatal. Bogotá: Universidad Externado de Colombia, p. 89 y 90).</w:t>
      </w:r>
    </w:p>
  </w:footnote>
  <w:footnote w:id="3">
    <w:p w14:paraId="5B955F5B" w14:textId="77777777" w:rsidR="00D46944" w:rsidRPr="004438B9" w:rsidRDefault="00D46944" w:rsidP="00D46944">
      <w:pPr>
        <w:pStyle w:val="Textonotapie"/>
        <w:ind w:firstLine="708"/>
        <w:jc w:val="both"/>
        <w:rPr>
          <w:rFonts w:ascii="Verdana" w:hAnsi="Verdana" w:cs="Arial"/>
          <w:color w:val="000000"/>
          <w:sz w:val="16"/>
          <w:szCs w:val="16"/>
          <w:lang w:val="es-CO"/>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DÍAZ DÍEZ, Cristian Andrés. La liquidación. Serie: Las Cláusulas del Contrato Estatal. Medellín: Librería Jurídica Sánchez y Centro de Estudios de Derecho Administrativo –CEDA–, 2013. pp. 53-54.</w:t>
      </w:r>
    </w:p>
  </w:footnote>
  <w:footnote w:id="4">
    <w:p w14:paraId="0C780AC4" w14:textId="77777777" w:rsidR="00D46944" w:rsidRPr="004438B9" w:rsidRDefault="00D46944" w:rsidP="00D46944">
      <w:pPr>
        <w:spacing w:after="0"/>
        <w:ind w:firstLine="708"/>
        <w:jc w:val="both"/>
        <w:rPr>
          <w:rFonts w:ascii="Verdana" w:hAnsi="Verdana" w:cs="Arial"/>
          <w:color w:val="000000"/>
          <w:sz w:val="16"/>
          <w:szCs w:val="16"/>
          <w:lang w:val="es-ES"/>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5">
    <w:p w14:paraId="7441B979" w14:textId="77777777" w:rsidR="00D46944" w:rsidRPr="004438B9" w:rsidRDefault="00D46944" w:rsidP="00D46944">
      <w:pPr>
        <w:pStyle w:val="Textonotapie"/>
        <w:ind w:firstLine="708"/>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EXPÓSITO VÉLEZ, Juan Carlos. Forma y contenido del contrato estatal, p. 90.</w:t>
      </w:r>
    </w:p>
  </w:footnote>
  <w:footnote w:id="6">
    <w:p w14:paraId="1875409C" w14:textId="77777777" w:rsidR="00D46944" w:rsidRPr="004438B9" w:rsidRDefault="00D46944" w:rsidP="00D46944">
      <w:pPr>
        <w:pStyle w:val="Textonotapie"/>
        <w:ind w:firstLine="708"/>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CONSEJO DE ESTADO, Sala de Consulta y Servicio Civil. Radicado No. 1453. Concepto de 6 de agosto de 2003. MP. Augusto Trejos.</w:t>
      </w:r>
    </w:p>
  </w:footnote>
  <w:footnote w:id="7">
    <w:p w14:paraId="653C587E" w14:textId="77777777" w:rsidR="00D46944" w:rsidRPr="004438B9" w:rsidRDefault="00D46944" w:rsidP="00D46944">
      <w:pPr>
        <w:pStyle w:val="Textonotapie"/>
        <w:ind w:firstLine="708"/>
        <w:jc w:val="both"/>
        <w:rPr>
          <w:rFonts w:ascii="Verdana" w:hAnsi="Verdana" w:cs="Arial"/>
          <w:color w:val="000000"/>
          <w:sz w:val="16"/>
          <w:szCs w:val="16"/>
          <w:lang w:val="es-ES"/>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w:t>
      </w:r>
      <w:r w:rsidRPr="004438B9">
        <w:rPr>
          <w:rFonts w:ascii="Verdana" w:hAnsi="Verdana" w:cs="Arial"/>
          <w:color w:val="000000"/>
          <w:sz w:val="16"/>
          <w:szCs w:val="16"/>
          <w:lang w:val="es-ES"/>
        </w:rPr>
        <w:t>El artículo 11 de la Ley 1150 de 2007 prescribe: “Artículo 11. Del plazo para la liquidación de los contratos. 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571BBFF9" w14:textId="77777777" w:rsidR="00D46944" w:rsidRPr="004438B9" w:rsidRDefault="00D46944" w:rsidP="00D46944">
      <w:pPr>
        <w:pStyle w:val="Textonotapie"/>
        <w:ind w:firstLine="708"/>
        <w:jc w:val="both"/>
        <w:rPr>
          <w:rFonts w:ascii="Verdana" w:hAnsi="Verdana" w:cs="Arial"/>
          <w:color w:val="000000"/>
          <w:sz w:val="16"/>
          <w:szCs w:val="16"/>
          <w:lang w:val="es-ES"/>
        </w:rPr>
      </w:pPr>
      <w:r w:rsidRPr="004438B9">
        <w:rPr>
          <w:rFonts w:ascii="Verdana" w:hAnsi="Verdana" w:cs="Arial"/>
          <w:color w:val="000000"/>
          <w:sz w:val="16"/>
          <w:szCs w:val="16"/>
          <w:lang w:val="es-E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136 del C. C. A.</w:t>
      </w:r>
    </w:p>
    <w:p w14:paraId="5EA0AA5E" w14:textId="77777777" w:rsidR="00D46944" w:rsidRPr="004438B9" w:rsidRDefault="00D46944" w:rsidP="00D46944">
      <w:pPr>
        <w:pStyle w:val="Textonotapie"/>
        <w:ind w:firstLine="708"/>
        <w:jc w:val="both"/>
        <w:rPr>
          <w:rFonts w:ascii="Verdana" w:hAnsi="Verdana" w:cs="Arial"/>
          <w:color w:val="000000"/>
          <w:sz w:val="16"/>
          <w:szCs w:val="16"/>
          <w:lang w:val="es-ES"/>
        </w:rPr>
      </w:pPr>
      <w:r w:rsidRPr="004438B9">
        <w:rPr>
          <w:rFonts w:ascii="Verdana" w:hAnsi="Verdana" w:cs="Arial"/>
          <w:color w:val="000000"/>
          <w:sz w:val="16"/>
          <w:szCs w:val="16"/>
          <w:lang w:val="es-E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136 del C. C. A.</w:t>
      </w:r>
    </w:p>
    <w:p w14:paraId="54B4BC1A" w14:textId="77777777" w:rsidR="00D46944" w:rsidRPr="004438B9" w:rsidRDefault="00D46944" w:rsidP="00D46944">
      <w:pPr>
        <w:pStyle w:val="Textonotapie"/>
        <w:ind w:firstLine="708"/>
        <w:jc w:val="both"/>
        <w:rPr>
          <w:rFonts w:ascii="Verdana" w:hAnsi="Verdana" w:cs="Arial"/>
          <w:color w:val="000000"/>
          <w:sz w:val="16"/>
          <w:szCs w:val="16"/>
          <w:lang w:val="es-ES"/>
        </w:rPr>
      </w:pPr>
      <w:r w:rsidRPr="004438B9">
        <w:rPr>
          <w:rFonts w:ascii="Verdana" w:hAnsi="Verdana" w:cs="Arial"/>
          <w:color w:val="000000"/>
          <w:sz w:val="16"/>
          <w:szCs w:val="16"/>
          <w:lang w:val="es-ES"/>
        </w:rPr>
        <w:t>Los contratistas tendrán derecho a efectuar salvedades a la liquidación por mutuo acuerdo, y en este evento la liquidación unilateral solo procederá en relación con los aspectos que no hayan sido objeto de acuerdo”.</w:t>
      </w:r>
    </w:p>
  </w:footnote>
  <w:footnote w:id="8">
    <w:p w14:paraId="34A11720" w14:textId="77777777" w:rsidR="00D46944" w:rsidRPr="004438B9" w:rsidRDefault="00D46944" w:rsidP="00D46944">
      <w:pPr>
        <w:pStyle w:val="Textonotapie"/>
        <w:ind w:firstLine="709"/>
        <w:jc w:val="both"/>
        <w:rPr>
          <w:rFonts w:ascii="Verdana" w:hAnsi="Verdana" w:cs="Arial"/>
          <w:color w:val="000000"/>
          <w:sz w:val="16"/>
          <w:szCs w:val="16"/>
          <w:lang w:val="es-CO"/>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CONSEJO DE ESTADO, Sección Tercera, Subsección C, Sentencia del 24 de julio de 2013, radicado No. 25.642, Consejero Ponente Enrique Gil Botero.</w:t>
      </w:r>
    </w:p>
  </w:footnote>
  <w:footnote w:id="9">
    <w:p w14:paraId="2300ECC3" w14:textId="77777777" w:rsidR="00D46944" w:rsidRPr="004438B9" w:rsidRDefault="00D46944" w:rsidP="00D46944">
      <w:pPr>
        <w:pStyle w:val="NormalWeb"/>
        <w:spacing w:before="0" w:beforeAutospacing="0" w:after="0" w:afterAutospacing="0"/>
        <w:ind w:firstLine="709"/>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Decreto 1082 de 2015 “</w:t>
      </w:r>
      <w:r w:rsidRPr="004438B9">
        <w:rPr>
          <w:rStyle w:val="Textoennegrita"/>
          <w:rFonts w:ascii="Verdana" w:hAnsi="Verdana" w:cs="Arial"/>
          <w:color w:val="000000"/>
          <w:sz w:val="16"/>
          <w:szCs w:val="16"/>
        </w:rPr>
        <w:t>Artículo 2.2.1.2.1.5.2. </w:t>
      </w:r>
      <w:r w:rsidRPr="004438B9">
        <w:rPr>
          <w:rStyle w:val="nfasis"/>
          <w:rFonts w:ascii="Verdana" w:eastAsia="MS Mincho" w:hAnsi="Verdana" w:cs="Arial"/>
          <w:color w:val="000000"/>
          <w:sz w:val="16"/>
          <w:szCs w:val="16"/>
        </w:rPr>
        <w:t>Procedimiento para la contratación de mínima cuantía. </w:t>
      </w:r>
      <w:r w:rsidRPr="004438B9">
        <w:rPr>
          <w:rFonts w:ascii="Verdana" w:hAnsi="Verdana" w:cs="Arial"/>
          <w:color w:val="000000"/>
          <w:sz w:val="16"/>
          <w:szCs w:val="16"/>
        </w:rPr>
        <w:t>Las siguientes reglas son aplicables a la contratación cuyo valor no excede del 10% de la menor cuantía de la Entidad Estatal, independientemente de su objeto: </w:t>
      </w:r>
    </w:p>
    <w:p w14:paraId="7587A8E9" w14:textId="77777777" w:rsidR="00D46944" w:rsidRPr="004438B9" w:rsidRDefault="00D46944" w:rsidP="00D46944">
      <w:pPr>
        <w:pStyle w:val="NormalWeb"/>
        <w:spacing w:before="0" w:beforeAutospacing="0" w:after="0" w:afterAutospacing="0"/>
        <w:jc w:val="both"/>
        <w:rPr>
          <w:rFonts w:ascii="Verdana" w:hAnsi="Verdana" w:cs="Arial"/>
          <w:color w:val="000000"/>
          <w:sz w:val="16"/>
          <w:szCs w:val="16"/>
        </w:rPr>
      </w:pPr>
      <w:r w:rsidRPr="004438B9">
        <w:rPr>
          <w:rFonts w:ascii="Verdana" w:hAnsi="Verdana" w:cs="Arial"/>
          <w:color w:val="000000"/>
          <w:sz w:val="16"/>
          <w:szCs w:val="16"/>
        </w:rPr>
        <w:t>  </w:t>
      </w:r>
      <w:r w:rsidRPr="004438B9">
        <w:rPr>
          <w:rFonts w:ascii="Verdana" w:hAnsi="Verdana" w:cs="Arial"/>
          <w:color w:val="000000"/>
          <w:sz w:val="16"/>
          <w:szCs w:val="16"/>
        </w:rPr>
        <w:tab/>
        <w:t>1. La Entidad Estatal debe señalar en la invitación a participar en procesos de mínima cuantía la información a la que se refieren los numerales 2, 3 y 4 del artículo anterior, y la forma como el interesado debe acreditar su capacidad jurídica y la experiencia mínima, si se exige esta última, y el cumplimiento de las condiciones técnicas exigidas […]”. </w:t>
      </w:r>
    </w:p>
  </w:footnote>
  <w:footnote w:id="10">
    <w:p w14:paraId="7067FC0F" w14:textId="77777777" w:rsidR="00D46944" w:rsidRPr="004438B9" w:rsidRDefault="00D46944" w:rsidP="00D46944">
      <w:pPr>
        <w:pStyle w:val="NormalWeb"/>
        <w:spacing w:before="0" w:beforeAutospacing="0" w:after="0" w:afterAutospacing="0"/>
        <w:ind w:firstLine="720"/>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Ley 80 de 1993 “</w:t>
      </w:r>
      <w:r w:rsidRPr="004438B9">
        <w:rPr>
          <w:rStyle w:val="Textoennegrita"/>
          <w:rFonts w:ascii="Verdana" w:hAnsi="Verdana" w:cs="Arial"/>
          <w:color w:val="000000"/>
          <w:sz w:val="16"/>
          <w:szCs w:val="16"/>
        </w:rPr>
        <w:t>Articulo 39. De la forma del contrato estatal. </w:t>
      </w:r>
      <w:r w:rsidRPr="004438B9">
        <w:rPr>
          <w:rFonts w:ascii="Verdana" w:hAnsi="Verdana" w:cs="Arial"/>
          <w:color w:val="000000"/>
          <w:sz w:val="16"/>
          <w:szCs w:val="16"/>
        </w:rPr>
        <w:t>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w:t>
      </w:r>
    </w:p>
    <w:p w14:paraId="603DD098" w14:textId="77777777" w:rsidR="00D46944" w:rsidRPr="004438B9" w:rsidRDefault="00D46944" w:rsidP="00D46944">
      <w:pPr>
        <w:pStyle w:val="NormalWeb"/>
        <w:spacing w:before="0" w:beforeAutospacing="0" w:after="0" w:afterAutospacing="0"/>
        <w:jc w:val="both"/>
        <w:rPr>
          <w:rFonts w:ascii="Verdana" w:hAnsi="Verdana" w:cs="Arial"/>
          <w:color w:val="000000"/>
          <w:sz w:val="16"/>
          <w:szCs w:val="16"/>
        </w:rPr>
      </w:pPr>
      <w:r w:rsidRPr="004438B9">
        <w:rPr>
          <w:rFonts w:ascii="Verdana" w:hAnsi="Verdana" w:cs="Arial"/>
          <w:color w:val="000000"/>
          <w:sz w:val="16"/>
          <w:szCs w:val="16"/>
        </w:rPr>
        <w:t>  </w:t>
      </w:r>
      <w:r w:rsidRPr="004438B9">
        <w:rPr>
          <w:rFonts w:ascii="Verdana" w:hAnsi="Verdana" w:cs="Arial"/>
          <w:color w:val="000000"/>
          <w:sz w:val="16"/>
          <w:szCs w:val="16"/>
        </w:rPr>
        <w:tab/>
        <w:t>[…]</w:t>
      </w:r>
      <w:bookmarkStart w:id="2" w:name="ver_1790147"/>
      <w:bookmarkStart w:id="3" w:name="ver_30220791"/>
      <w:bookmarkStart w:id="4" w:name="ver_1790148"/>
      <w:bookmarkEnd w:id="2"/>
      <w:bookmarkEnd w:id="3"/>
    </w:p>
    <w:p w14:paraId="3E784EE1" w14:textId="77777777" w:rsidR="00D46944" w:rsidRPr="004438B9" w:rsidRDefault="00D46944" w:rsidP="00D46944">
      <w:pPr>
        <w:pStyle w:val="NormalWeb"/>
        <w:spacing w:before="0" w:beforeAutospacing="0" w:after="0" w:afterAutospacing="0"/>
        <w:ind w:firstLine="720"/>
        <w:jc w:val="both"/>
        <w:rPr>
          <w:rFonts w:ascii="Verdana" w:hAnsi="Verdana" w:cs="Arial"/>
          <w:color w:val="000000"/>
          <w:sz w:val="16"/>
          <w:szCs w:val="16"/>
        </w:rPr>
      </w:pPr>
      <w:r w:rsidRPr="004438B9">
        <w:rPr>
          <w:rStyle w:val="Textoennegrita"/>
          <w:rFonts w:ascii="Verdana" w:hAnsi="Verdana" w:cs="Arial"/>
          <w:color w:val="000000"/>
          <w:sz w:val="16"/>
          <w:szCs w:val="16"/>
        </w:rPr>
        <w:t>Artículo 40. Del contenido del contrato estatal.</w:t>
      </w:r>
      <w:r w:rsidRPr="004438B9">
        <w:rPr>
          <w:rFonts w:ascii="Verdana" w:hAnsi="Verdana" w:cs="Arial"/>
          <w:color w:val="000000"/>
          <w:sz w:val="16"/>
          <w:szCs w:val="16"/>
        </w:rPr>
        <w:t> Las estipulaciones de los contratos serán las que de acuerdo con las normas civiles, comerciales y las previstas en esta ley, correspondan a su esencia y naturaleza. </w:t>
      </w:r>
    </w:p>
    <w:p w14:paraId="2876EAA7" w14:textId="77777777" w:rsidR="00D46944" w:rsidRPr="004438B9" w:rsidRDefault="00D46944" w:rsidP="00D46944">
      <w:pPr>
        <w:pStyle w:val="NormalWeb"/>
        <w:spacing w:before="0" w:beforeAutospacing="0" w:after="0" w:afterAutospacing="0"/>
        <w:ind w:firstLine="720"/>
        <w:jc w:val="both"/>
        <w:rPr>
          <w:rFonts w:ascii="Verdana" w:hAnsi="Verdana" w:cs="Arial"/>
          <w:color w:val="000000"/>
          <w:sz w:val="16"/>
          <w:szCs w:val="16"/>
        </w:rPr>
      </w:pPr>
      <w:r w:rsidRPr="004438B9">
        <w:rPr>
          <w:rFonts w:ascii="Verdana" w:hAnsi="Verdana" w:cs="Arial"/>
          <w:color w:val="000000"/>
          <w:sz w:val="16"/>
          <w:szCs w:val="16"/>
        </w:rPr>
        <w:t>Las entidades podrán celebrar los contratos y acuerdos que permitan la autonomía de la voluntad y requieran el cumplimiento de los fines estatales. </w:t>
      </w:r>
    </w:p>
    <w:p w14:paraId="7514C522" w14:textId="77777777" w:rsidR="00D46944" w:rsidRPr="004438B9" w:rsidRDefault="00D46944" w:rsidP="00D46944">
      <w:pPr>
        <w:pStyle w:val="NormalWeb"/>
        <w:spacing w:before="0" w:beforeAutospacing="0" w:after="0" w:afterAutospacing="0"/>
        <w:jc w:val="both"/>
        <w:rPr>
          <w:rFonts w:ascii="Verdana" w:hAnsi="Verdana" w:cs="Arial"/>
          <w:color w:val="000000"/>
          <w:sz w:val="16"/>
          <w:szCs w:val="16"/>
        </w:rPr>
      </w:pPr>
      <w:r w:rsidRPr="004438B9">
        <w:rPr>
          <w:rFonts w:ascii="Verdana" w:hAnsi="Verdana" w:cs="Arial"/>
          <w:color w:val="000000"/>
          <w:sz w:val="16"/>
          <w:szCs w:val="16"/>
        </w:rPr>
        <w:t>  </w:t>
      </w:r>
      <w:r w:rsidRPr="004438B9">
        <w:rPr>
          <w:rFonts w:ascii="Verdana" w:hAnsi="Verdana" w:cs="Arial"/>
          <w:color w:val="000000"/>
          <w:sz w:val="16"/>
          <w:szCs w:val="16"/>
        </w:rPr>
        <w:tab/>
        <w:t>[…]  </w:t>
      </w:r>
    </w:p>
    <w:p w14:paraId="38DB9998" w14:textId="77777777" w:rsidR="00D46944" w:rsidRPr="004438B9" w:rsidRDefault="00D46944" w:rsidP="00D46944">
      <w:pPr>
        <w:pStyle w:val="NormalWeb"/>
        <w:spacing w:before="0" w:beforeAutospacing="0" w:after="0" w:afterAutospacing="0"/>
        <w:ind w:firstLine="720"/>
        <w:jc w:val="both"/>
        <w:rPr>
          <w:rFonts w:ascii="Verdana" w:hAnsi="Verdana" w:cs="Arial"/>
          <w:color w:val="000000"/>
          <w:sz w:val="16"/>
          <w:szCs w:val="16"/>
        </w:rPr>
      </w:pPr>
      <w:bookmarkStart w:id="5" w:name="ver_30161420"/>
      <w:bookmarkStart w:id="6" w:name="ver_1790149"/>
      <w:bookmarkStart w:id="7" w:name="ver_30161408"/>
      <w:bookmarkStart w:id="8" w:name="ver_30161443"/>
      <w:bookmarkEnd w:id="4"/>
      <w:bookmarkEnd w:id="5"/>
      <w:bookmarkEnd w:id="6"/>
      <w:bookmarkEnd w:id="7"/>
      <w:bookmarkEnd w:id="8"/>
      <w:r w:rsidRPr="004438B9">
        <w:rPr>
          <w:rStyle w:val="Textoennegrita"/>
          <w:rFonts w:ascii="Verdana" w:hAnsi="Verdana" w:cs="Arial"/>
          <w:color w:val="000000"/>
          <w:sz w:val="16"/>
          <w:szCs w:val="16"/>
        </w:rPr>
        <w:t>Artículo 41. Del perfeccionamiento del contrato.</w:t>
      </w:r>
      <w:r w:rsidRPr="004438B9">
        <w:rPr>
          <w:rFonts w:ascii="Verdana" w:hAnsi="Verdana" w:cs="Arial"/>
          <w:color w:val="000000"/>
          <w:sz w:val="16"/>
          <w:szCs w:val="16"/>
        </w:rPr>
        <w:t> Los contratos del Estado se perfeccionan cuando se logre acuerdo sobre el objeto y la contraprestación y éste se eleve a escrito […]”.</w:t>
      </w:r>
    </w:p>
  </w:footnote>
  <w:footnote w:id="11">
    <w:p w14:paraId="5BA039CE" w14:textId="77777777" w:rsidR="00D46944" w:rsidRPr="004438B9" w:rsidRDefault="00D46944" w:rsidP="00D46944">
      <w:pPr>
        <w:pStyle w:val="Textonotapie"/>
        <w:ind w:firstLine="709"/>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Ley 80 de 1993 “</w:t>
      </w:r>
      <w:r w:rsidRPr="004438B9">
        <w:rPr>
          <w:rStyle w:val="Textoennegrita"/>
          <w:rFonts w:ascii="Verdana" w:hAnsi="Verdana" w:cs="Arial"/>
          <w:color w:val="000000"/>
          <w:sz w:val="16"/>
          <w:szCs w:val="16"/>
        </w:rPr>
        <w:t>Artículo 77. De la normatividad aplicable en las actuaciones administrativas.</w:t>
      </w:r>
      <w:r w:rsidRPr="004438B9">
        <w:rPr>
          <w:rFonts w:ascii="Verdana" w:hAnsi="Verdana" w:cs="Arial"/>
          <w:color w:val="000000"/>
          <w:sz w:val="16"/>
          <w:szCs w:val="16"/>
        </w:rPr>
        <w:t> En cuanto sean compatibles con la finalidad y los principios de esta ley, las normas que rigen los procedimientos y actuaciones en la función administrativa, serán aplicables en las actuaciones contractuales. A falta de estas, regirán las disposiciones del Código de Procedimiento Civil […]”. </w:t>
      </w:r>
    </w:p>
  </w:footnote>
  <w:footnote w:id="12">
    <w:p w14:paraId="2CD668A8" w14:textId="77777777" w:rsidR="00D46944" w:rsidRPr="004438B9" w:rsidRDefault="00D46944" w:rsidP="00D46944">
      <w:pPr>
        <w:pStyle w:val="NormalWeb"/>
        <w:spacing w:before="0" w:beforeAutospacing="0" w:after="0" w:afterAutospacing="0"/>
        <w:ind w:firstLine="709"/>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Ley 80 de 1993 “</w:t>
      </w:r>
      <w:r w:rsidRPr="004438B9">
        <w:rPr>
          <w:rStyle w:val="Textoennegrita"/>
          <w:rFonts w:ascii="Verdana" w:hAnsi="Verdana" w:cs="Arial"/>
          <w:color w:val="000000"/>
          <w:sz w:val="16"/>
          <w:szCs w:val="16"/>
        </w:rPr>
        <w:t>Artículo 25. Del principio de economía.</w:t>
      </w:r>
      <w:r w:rsidRPr="004438B9">
        <w:rPr>
          <w:rFonts w:ascii="Verdana" w:hAnsi="Verdana" w:cs="Arial"/>
          <w:color w:val="000000"/>
          <w:sz w:val="16"/>
          <w:szCs w:val="16"/>
        </w:rPr>
        <w:t> En virtud de este principio: </w:t>
      </w:r>
    </w:p>
    <w:p w14:paraId="3879C02F" w14:textId="77777777" w:rsidR="00D46944" w:rsidRPr="004438B9" w:rsidRDefault="00D46944" w:rsidP="00D46944">
      <w:pPr>
        <w:pStyle w:val="NormalWeb"/>
        <w:spacing w:before="0" w:beforeAutospacing="0" w:after="0" w:afterAutospacing="0"/>
        <w:ind w:firstLine="709"/>
        <w:jc w:val="both"/>
        <w:rPr>
          <w:rFonts w:ascii="Verdana" w:hAnsi="Verdana" w:cs="Arial"/>
          <w:color w:val="000000"/>
          <w:sz w:val="16"/>
          <w:szCs w:val="16"/>
        </w:rPr>
      </w:pPr>
      <w:r w:rsidRPr="004438B9">
        <w:rPr>
          <w:rFonts w:ascii="Verdana" w:hAnsi="Verdana" w:cs="Arial"/>
          <w:color w:val="000000"/>
          <w:sz w:val="16"/>
          <w:szCs w:val="16"/>
        </w:rPr>
        <w:t>[…]</w:t>
      </w:r>
    </w:p>
    <w:p w14:paraId="31CEAC08" w14:textId="77777777" w:rsidR="00D46944" w:rsidRPr="004438B9" w:rsidRDefault="00D46944" w:rsidP="00D46944">
      <w:pPr>
        <w:pStyle w:val="NormalWeb"/>
        <w:spacing w:before="0" w:beforeAutospacing="0" w:after="0" w:afterAutospacing="0"/>
        <w:ind w:firstLine="709"/>
        <w:jc w:val="both"/>
        <w:rPr>
          <w:rFonts w:ascii="Verdana" w:hAnsi="Verdana" w:cs="Arial"/>
          <w:color w:val="000000"/>
          <w:sz w:val="16"/>
          <w:szCs w:val="16"/>
        </w:rPr>
      </w:pPr>
      <w:r w:rsidRPr="004438B9">
        <w:rPr>
          <w:rFonts w:ascii="Verdana" w:hAnsi="Verdana" w:cs="Arial"/>
          <w:color w:val="000000"/>
          <w:sz w:val="16"/>
          <w:szCs w:val="16"/>
        </w:rPr>
        <w:t>4o. Los trámites se adelantarán con austeridad de tiempo, medios y gastos y se impedirán las dilaciones y los retardos en la ejecución del contrato. </w:t>
      </w:r>
    </w:p>
    <w:p w14:paraId="60AA8A64" w14:textId="77777777" w:rsidR="00D46944" w:rsidRPr="004438B9" w:rsidRDefault="00D46944" w:rsidP="00D46944">
      <w:pPr>
        <w:pStyle w:val="NormalWeb"/>
        <w:spacing w:before="0" w:beforeAutospacing="0" w:after="0" w:afterAutospacing="0"/>
        <w:jc w:val="both"/>
        <w:rPr>
          <w:rFonts w:ascii="Verdana" w:hAnsi="Verdana" w:cs="Arial"/>
          <w:color w:val="000000"/>
          <w:sz w:val="16"/>
          <w:szCs w:val="16"/>
        </w:rPr>
      </w:pPr>
      <w:r w:rsidRPr="004438B9">
        <w:rPr>
          <w:rFonts w:ascii="Verdana" w:hAnsi="Verdana" w:cs="Arial"/>
          <w:color w:val="000000"/>
          <w:sz w:val="16"/>
          <w:szCs w:val="16"/>
        </w:rPr>
        <w:t>  </w:t>
      </w:r>
      <w:r w:rsidRPr="004438B9">
        <w:rPr>
          <w:rFonts w:ascii="Verdana" w:hAnsi="Verdana" w:cs="Arial"/>
          <w:color w:val="000000"/>
          <w:sz w:val="16"/>
          <w:szCs w:val="16"/>
        </w:rPr>
        <w:tab/>
        <w:t>5o. Se adoptarán procedimientos que garanticen la pronta solución de las diferencias y controversias que con motivo de la celebración y ejecución del contrato se presenten […]”.</w:t>
      </w:r>
    </w:p>
  </w:footnote>
  <w:footnote w:id="13">
    <w:p w14:paraId="098C1638" w14:textId="77777777" w:rsidR="00D46944" w:rsidRPr="004438B9" w:rsidRDefault="00D46944" w:rsidP="00D46944">
      <w:pPr>
        <w:pStyle w:val="Textonotapie"/>
        <w:ind w:firstLine="708"/>
        <w:jc w:val="both"/>
        <w:rPr>
          <w:rFonts w:ascii="Verdana" w:hAnsi="Verdana" w:cs="Arial"/>
          <w:color w:val="000000"/>
          <w:sz w:val="16"/>
          <w:szCs w:val="16"/>
          <w:lang w:val="es-ES"/>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COLOMBIA COMPRA EFICIENTE. Guía para la Liquidación de los Procesos de Contratación. página 5, disponible en: </w:t>
      </w:r>
      <w:hyperlink r:id="rId1" w:history="1">
        <w:r w:rsidRPr="004438B9">
          <w:rPr>
            <w:rStyle w:val="Hipervnculo"/>
            <w:rFonts w:ascii="Verdana" w:hAnsi="Verdana" w:cs="Arial"/>
            <w:sz w:val="16"/>
            <w:szCs w:val="16"/>
          </w:rPr>
          <w:t xml:space="preserve">https://www.colombiacompra.gov.co/sites/cce_public/files/cce_documents/cce_guia_liquidacion_procesos.pdf  </w:t>
        </w:r>
      </w:hyperlink>
    </w:p>
  </w:footnote>
  <w:footnote w:id="14">
    <w:p w14:paraId="5E3D076F" w14:textId="77777777" w:rsidR="00D46944" w:rsidRPr="004438B9" w:rsidRDefault="00D46944" w:rsidP="00D46944">
      <w:pPr>
        <w:pStyle w:val="Textonotapie"/>
        <w:ind w:firstLine="708"/>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Conviene recordar que es válida la liquidación bilateral parcial, debido a que las partes no logran ponerse de acuerdo en todos los asuntos referentes al contrato. En este evento, se debe hacer uso de las glosas o salvedades, y únicamente sobre tal glosa o salvedad girará el debate judicial que se da con ocasión de la demanda en ejercicio del medio de control de controversias contractuales.</w:t>
      </w:r>
    </w:p>
  </w:footnote>
  <w:footnote w:id="15">
    <w:p w14:paraId="665303CA" w14:textId="77777777" w:rsidR="00D46944" w:rsidRPr="004438B9" w:rsidRDefault="00D46944" w:rsidP="00D46944">
      <w:pPr>
        <w:pStyle w:val="Textonotapie"/>
        <w:ind w:firstLine="708"/>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CONSEJO DE ESTADO. Sala de Consulta y Servicio Civil. Concepto de 28 de Junio de 2016. Radicación: 2253. C.P. Álvaro Namén Vargas. </w:t>
      </w:r>
    </w:p>
  </w:footnote>
  <w:footnote w:id="16">
    <w:p w14:paraId="19C54DC1" w14:textId="77777777" w:rsidR="00D46944" w:rsidRPr="004438B9" w:rsidRDefault="00D46944" w:rsidP="00D46944">
      <w:pPr>
        <w:pStyle w:val="Textonotapie"/>
        <w:ind w:firstLine="708"/>
        <w:jc w:val="both"/>
        <w:rPr>
          <w:rFonts w:ascii="Verdana" w:hAnsi="Verdana"/>
          <w:color w:val="000000"/>
          <w:sz w:val="16"/>
          <w:szCs w:val="16"/>
          <w:lang w:val="es-ES"/>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CONSEJO DE ESTADO. Sección Tercera. </w:t>
      </w:r>
      <w:r w:rsidRPr="004438B9">
        <w:rPr>
          <w:rFonts w:ascii="Verdana" w:hAnsi="Verdana" w:cs="Arial"/>
          <w:color w:val="000000"/>
          <w:sz w:val="16"/>
          <w:szCs w:val="16"/>
          <w:lang w:val="es-CO"/>
        </w:rPr>
        <w:t xml:space="preserve">Sala Plena. Auto del 1 de agosto de 2019. </w:t>
      </w:r>
      <w:r w:rsidRPr="004438B9">
        <w:rPr>
          <w:rFonts w:ascii="Verdana" w:hAnsi="Verdana" w:cs="Arial"/>
          <w:color w:val="000000"/>
          <w:sz w:val="16"/>
          <w:szCs w:val="16"/>
        </w:rPr>
        <w:t xml:space="preserve">Exp. 62009. C.P. Jaime Enrique Rodríguez Navas. </w:t>
      </w:r>
      <w:r w:rsidRPr="004438B9">
        <w:rPr>
          <w:rFonts w:ascii="Verdana" w:hAnsi="Verdana"/>
          <w:color w:val="000000"/>
          <w:sz w:val="16"/>
          <w:szCs w:val="16"/>
          <w:lang w:val="es-ES"/>
        </w:rPr>
        <w:t xml:space="preserve"> </w:t>
      </w:r>
    </w:p>
  </w:footnote>
  <w:footnote w:id="17">
    <w:p w14:paraId="414491C5" w14:textId="77777777" w:rsidR="00D46944" w:rsidRPr="004438B9" w:rsidRDefault="00D46944" w:rsidP="00D46944">
      <w:pPr>
        <w:pStyle w:val="Textonotapie"/>
        <w:ind w:firstLine="708"/>
        <w:jc w:val="both"/>
        <w:rPr>
          <w:rFonts w:ascii="Verdana" w:hAnsi="Verdana" w:cs="Arial"/>
          <w:sz w:val="16"/>
          <w:szCs w:val="16"/>
        </w:rPr>
      </w:pPr>
      <w:r w:rsidRPr="004438B9">
        <w:rPr>
          <w:rStyle w:val="Refdenotaalpie"/>
          <w:rFonts w:ascii="Verdana" w:hAnsi="Verdana" w:cs="Arial"/>
          <w:sz w:val="16"/>
          <w:szCs w:val="16"/>
        </w:rPr>
        <w:footnoteRef/>
      </w:r>
      <w:r w:rsidRPr="004438B9">
        <w:rPr>
          <w:rFonts w:ascii="Verdana" w:hAnsi="Verdana" w:cs="Arial"/>
          <w:sz w:val="16"/>
          <w:szCs w:val="16"/>
        </w:rPr>
        <w:t xml:space="preserve"> DÍAZ DÍEZ, La liquidación… Op. cit., pp. 255-256.</w:t>
      </w:r>
    </w:p>
  </w:footnote>
  <w:footnote w:id="18">
    <w:p w14:paraId="7E99164B"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Style w:val="Refdenotaalpie"/>
          <w:rFonts w:ascii="Verdana" w:hAnsi="Verdana"/>
          <w:sz w:val="16"/>
          <w:szCs w:val="16"/>
        </w:rPr>
        <w:footnoteRef/>
      </w:r>
      <w:r w:rsidRPr="004438B9">
        <w:rPr>
          <w:rFonts w:ascii="Verdana" w:hAnsi="Verdana"/>
          <w:sz w:val="16"/>
          <w:szCs w:val="16"/>
        </w:rPr>
        <w:t xml:space="preserve"> </w:t>
      </w:r>
      <w:r w:rsidRPr="004438B9">
        <w:rPr>
          <w:rFonts w:ascii="Verdana" w:eastAsia="Calibri" w:hAnsi="Verdana" w:cs="Arial"/>
          <w:sz w:val="16"/>
          <w:szCs w:val="16"/>
          <w:lang w:val="es-ES_tradnl"/>
        </w:rPr>
        <w:t xml:space="preserve">El artículo 1625 del Código Civil dispone las formas de extinción de las obligaciones en los siguientes términos: </w:t>
      </w:r>
      <w:r>
        <w:rPr>
          <w:rFonts w:ascii="Verdana" w:eastAsia="Calibri" w:hAnsi="Verdana" w:cs="Arial"/>
          <w:sz w:val="16"/>
          <w:szCs w:val="16"/>
          <w:lang w:val="es-ES_tradnl"/>
        </w:rPr>
        <w:t>“</w:t>
      </w:r>
      <w:r w:rsidRPr="004438B9">
        <w:rPr>
          <w:rFonts w:ascii="Verdana" w:eastAsia="Calibri" w:hAnsi="Verdana" w:cs="Arial"/>
          <w:sz w:val="16"/>
          <w:szCs w:val="16"/>
          <w:lang w:val="es-ES_tradnl"/>
        </w:rPr>
        <w:t>Toda obligación puede extinguirse por una convención en que las partes interesadas, siendo capaces de disponer libremente de lo suyo, consientan en darla por nula.</w:t>
      </w:r>
    </w:p>
    <w:p w14:paraId="51F93262"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Fonts w:ascii="Verdana" w:eastAsia="Calibri" w:hAnsi="Verdana" w:cs="Arial"/>
          <w:sz w:val="16"/>
          <w:szCs w:val="16"/>
          <w:lang w:val="es-ES_tradnl"/>
        </w:rPr>
        <w:t>Las obligaciones se extinguen además en todo o en parte:</w:t>
      </w:r>
    </w:p>
    <w:p w14:paraId="600EAC19"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Fonts w:ascii="Verdana" w:eastAsia="Calibri" w:hAnsi="Verdana" w:cs="Arial"/>
          <w:sz w:val="16"/>
          <w:szCs w:val="16"/>
          <w:lang w:val="es-ES_tradnl"/>
        </w:rPr>
        <w:t>1o.) Por la solución o pago efectivo.</w:t>
      </w:r>
    </w:p>
    <w:p w14:paraId="2DED1466"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Fonts w:ascii="Verdana" w:eastAsia="Calibri" w:hAnsi="Verdana" w:cs="Arial"/>
          <w:sz w:val="16"/>
          <w:szCs w:val="16"/>
          <w:lang w:val="es-ES_tradnl"/>
        </w:rPr>
        <w:t>2o.) Por la novación.</w:t>
      </w:r>
    </w:p>
    <w:p w14:paraId="7B34544F"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Fonts w:ascii="Verdana" w:eastAsia="Calibri" w:hAnsi="Verdana" w:cs="Arial"/>
          <w:sz w:val="16"/>
          <w:szCs w:val="16"/>
          <w:lang w:val="es-ES_tradnl"/>
        </w:rPr>
        <w:t>3o.)  Por la transacción.</w:t>
      </w:r>
    </w:p>
    <w:p w14:paraId="219350F0"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Fonts w:ascii="Verdana" w:eastAsia="Calibri" w:hAnsi="Verdana" w:cs="Arial"/>
          <w:sz w:val="16"/>
          <w:szCs w:val="16"/>
          <w:lang w:val="es-ES_tradnl"/>
        </w:rPr>
        <w:t>4o.) Por la remisión.</w:t>
      </w:r>
    </w:p>
    <w:p w14:paraId="2B94D2CB"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Fonts w:ascii="Verdana" w:eastAsia="Calibri" w:hAnsi="Verdana" w:cs="Arial"/>
          <w:sz w:val="16"/>
          <w:szCs w:val="16"/>
          <w:lang w:val="es-ES_tradnl"/>
        </w:rPr>
        <w:t>5o.) Por la compensación.</w:t>
      </w:r>
    </w:p>
    <w:p w14:paraId="076773CA"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Fonts w:ascii="Verdana" w:eastAsia="Calibri" w:hAnsi="Verdana" w:cs="Arial"/>
          <w:sz w:val="16"/>
          <w:szCs w:val="16"/>
          <w:lang w:val="es-ES_tradnl"/>
        </w:rPr>
        <w:t>6o.) Por la confusión.</w:t>
      </w:r>
    </w:p>
    <w:p w14:paraId="26D1CF25"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Fonts w:ascii="Verdana" w:eastAsia="Calibri" w:hAnsi="Verdana" w:cs="Arial"/>
          <w:sz w:val="16"/>
          <w:szCs w:val="16"/>
          <w:lang w:val="es-ES_tradnl"/>
        </w:rPr>
        <w:t>7o.) Por la pérdida de la cosa que se debe.</w:t>
      </w:r>
    </w:p>
    <w:p w14:paraId="5A049236"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Fonts w:ascii="Verdana" w:eastAsia="Calibri" w:hAnsi="Verdana" w:cs="Arial"/>
          <w:sz w:val="16"/>
          <w:szCs w:val="16"/>
          <w:lang w:val="es-ES_tradnl"/>
        </w:rPr>
        <w:t>8o.) Por la declaración de nulidad o por la rescisión.</w:t>
      </w:r>
    </w:p>
    <w:p w14:paraId="7C69FE4D"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Fonts w:ascii="Verdana" w:eastAsia="Calibri" w:hAnsi="Verdana" w:cs="Arial"/>
          <w:sz w:val="16"/>
          <w:szCs w:val="16"/>
          <w:lang w:val="es-ES_tradnl"/>
        </w:rPr>
        <w:t>9o.) Por el evento de la condición resolutoria.</w:t>
      </w:r>
    </w:p>
    <w:p w14:paraId="094DC444"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Fonts w:ascii="Verdana" w:eastAsia="Calibri" w:hAnsi="Verdana" w:cs="Arial"/>
          <w:sz w:val="16"/>
          <w:szCs w:val="16"/>
          <w:lang w:val="es-ES_tradnl"/>
        </w:rPr>
        <w:t>10.) Por la prescripción</w:t>
      </w:r>
    </w:p>
    <w:p w14:paraId="076F1496"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Fonts w:ascii="Verdana" w:eastAsia="Calibri" w:hAnsi="Verdana" w:cs="Arial"/>
          <w:sz w:val="16"/>
          <w:szCs w:val="16"/>
          <w:lang w:val="es-ES_tradnl"/>
        </w:rPr>
        <w:t>De la transacción y la prescripción se tratará al fin de este libro; de la condición resolutoria se ha tratado en el título De las obligaciones condicionales</w:t>
      </w:r>
      <w:r>
        <w:rPr>
          <w:rFonts w:ascii="Verdana" w:eastAsia="Calibri" w:hAnsi="Verdana" w:cs="Arial"/>
          <w:sz w:val="16"/>
          <w:szCs w:val="16"/>
          <w:lang w:val="es-ES_tradnl"/>
        </w:rPr>
        <w:t>”</w:t>
      </w:r>
      <w:r w:rsidRPr="004438B9">
        <w:rPr>
          <w:rFonts w:ascii="Verdana" w:eastAsia="Calibri" w:hAnsi="Verdana" w:cs="Arial"/>
          <w:sz w:val="16"/>
          <w:szCs w:val="16"/>
          <w:lang w:val="es-ES_tradnl"/>
        </w:rPr>
        <w:t>.</w:t>
      </w:r>
    </w:p>
  </w:footnote>
  <w:footnote w:id="19">
    <w:p w14:paraId="4B757497"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Style w:val="Refdenotaalpie"/>
          <w:rFonts w:ascii="Verdana" w:hAnsi="Verdana"/>
          <w:sz w:val="16"/>
          <w:szCs w:val="16"/>
        </w:rPr>
        <w:footnoteRef/>
      </w:r>
      <w:r w:rsidRPr="004438B9">
        <w:rPr>
          <w:rFonts w:ascii="Verdana" w:hAnsi="Verdana"/>
          <w:sz w:val="16"/>
          <w:szCs w:val="16"/>
        </w:rPr>
        <w:t xml:space="preserve"> </w:t>
      </w:r>
      <w:r w:rsidRPr="004438B9">
        <w:rPr>
          <w:rFonts w:ascii="Verdana" w:eastAsia="Calibri" w:hAnsi="Verdana" w:cs="Arial"/>
          <w:sz w:val="16"/>
          <w:szCs w:val="16"/>
          <w:lang w:val="es-ES_tradnl"/>
        </w:rPr>
        <w:t xml:space="preserve">Al respecto, el artículo 1608 del Código Civil dispone que </w:t>
      </w:r>
      <w:r>
        <w:rPr>
          <w:rFonts w:ascii="Verdana" w:eastAsia="Calibri" w:hAnsi="Verdana" w:cs="Arial"/>
          <w:sz w:val="16"/>
          <w:szCs w:val="16"/>
          <w:lang w:val="es-ES_tradnl"/>
        </w:rPr>
        <w:t>“</w:t>
      </w:r>
      <w:r w:rsidRPr="004438B9">
        <w:rPr>
          <w:rFonts w:ascii="Verdana" w:eastAsia="Calibri" w:hAnsi="Verdana" w:cs="Arial"/>
          <w:sz w:val="16"/>
          <w:szCs w:val="16"/>
          <w:lang w:val="es-ES_tradnl"/>
        </w:rPr>
        <w:t>El deudor está en mora:</w:t>
      </w:r>
    </w:p>
    <w:p w14:paraId="7406A43D"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Fonts w:ascii="Verdana" w:eastAsia="Calibri" w:hAnsi="Verdana" w:cs="Arial"/>
          <w:sz w:val="16"/>
          <w:szCs w:val="16"/>
          <w:lang w:val="es-ES_tradnl"/>
        </w:rPr>
        <w:t>1o.) Cuando no ha cumplido la obligación dentro del término estipulado; salvo que la ley, en casos especiales, exija que se requiera al deudor para constituirlo en mora.</w:t>
      </w:r>
    </w:p>
    <w:p w14:paraId="3DD79AC4" w14:textId="77777777" w:rsidR="00D46944" w:rsidRPr="004438B9" w:rsidRDefault="00D46944" w:rsidP="00D46944">
      <w:pPr>
        <w:pStyle w:val="Textonotapie"/>
        <w:ind w:firstLine="708"/>
        <w:jc w:val="both"/>
        <w:rPr>
          <w:rFonts w:ascii="Verdana" w:eastAsia="Calibri" w:hAnsi="Verdana" w:cs="Arial"/>
          <w:sz w:val="16"/>
          <w:szCs w:val="16"/>
          <w:lang w:val="es-ES_tradnl"/>
        </w:rPr>
      </w:pPr>
      <w:r w:rsidRPr="004438B9">
        <w:rPr>
          <w:rFonts w:ascii="Verdana" w:eastAsia="Calibri" w:hAnsi="Verdana" w:cs="Arial"/>
          <w:sz w:val="16"/>
          <w:szCs w:val="16"/>
          <w:lang w:val="es-ES_tradnl"/>
        </w:rPr>
        <w:t>2o.) Cuando la cosa no ha podido ser dada o ejecutada sino dentro de cierto tiempo y el deudor lo ha dejado pasar sin darla o ejecutarla.</w:t>
      </w:r>
    </w:p>
    <w:p w14:paraId="13592C8B" w14:textId="77777777" w:rsidR="00D46944" w:rsidRPr="00F461EC" w:rsidRDefault="00D46944" w:rsidP="00D46944">
      <w:pPr>
        <w:pStyle w:val="Textonotapie"/>
        <w:ind w:firstLine="708"/>
        <w:jc w:val="both"/>
        <w:rPr>
          <w:rFonts w:ascii="Verdana" w:eastAsia="Calibri" w:hAnsi="Verdana" w:cs="Arial"/>
          <w:sz w:val="16"/>
          <w:szCs w:val="16"/>
          <w:lang w:val="es-ES_tradnl"/>
        </w:rPr>
      </w:pPr>
      <w:r w:rsidRPr="004438B9">
        <w:rPr>
          <w:rFonts w:ascii="Verdana" w:eastAsia="Calibri" w:hAnsi="Verdana" w:cs="Arial"/>
          <w:sz w:val="16"/>
          <w:szCs w:val="16"/>
          <w:lang w:val="es-ES_tradnl"/>
        </w:rPr>
        <w:t>3o.) En los demás casos, cuando el deudor ha sido judicialmente reconvenido por el acreedor</w:t>
      </w:r>
      <w:r>
        <w:rPr>
          <w:rFonts w:ascii="Verdana" w:eastAsia="Calibri" w:hAnsi="Verdana" w:cs="Arial"/>
          <w:sz w:val="16"/>
          <w:szCs w:val="16"/>
          <w:lang w:val="es-ES_tradnl"/>
        </w:rPr>
        <w:t>”</w:t>
      </w:r>
      <w:r w:rsidRPr="004438B9">
        <w:rPr>
          <w:rFonts w:ascii="Verdana" w:eastAsia="Calibri" w:hAnsi="Verdana" w:cs="Arial"/>
          <w:sz w:val="16"/>
          <w:szCs w:val="16"/>
          <w:lang w:val="es-ES_tradnl"/>
        </w:rPr>
        <w:t>.</w:t>
      </w:r>
    </w:p>
  </w:footnote>
  <w:footnote w:id="20">
    <w:p w14:paraId="5F0E9414" w14:textId="77777777" w:rsidR="00D46944" w:rsidRPr="004438B9" w:rsidRDefault="00D46944" w:rsidP="00D46944">
      <w:pPr>
        <w:pStyle w:val="Textonotapie"/>
        <w:ind w:firstLine="708"/>
        <w:jc w:val="both"/>
        <w:rPr>
          <w:rFonts w:ascii="Verdana" w:hAnsi="Verdana"/>
          <w:sz w:val="16"/>
          <w:szCs w:val="16"/>
          <w:lang w:val="es-ES"/>
        </w:rPr>
      </w:pPr>
      <w:r w:rsidRPr="004438B9">
        <w:rPr>
          <w:rStyle w:val="Refdenotaalpie"/>
          <w:rFonts w:ascii="Verdana" w:hAnsi="Verdana"/>
          <w:sz w:val="16"/>
          <w:szCs w:val="16"/>
        </w:rPr>
        <w:footnoteRef/>
      </w:r>
      <w:r w:rsidRPr="004438B9">
        <w:rPr>
          <w:rFonts w:ascii="Verdana" w:hAnsi="Verdana"/>
          <w:sz w:val="16"/>
          <w:szCs w:val="16"/>
        </w:rPr>
        <w:t xml:space="preserve"> </w:t>
      </w:r>
      <w:r w:rsidRPr="004438B9">
        <w:rPr>
          <w:rFonts w:ascii="Verdana" w:eastAsia="Calibri" w:hAnsi="Verdana" w:cs="Arial"/>
          <w:sz w:val="16"/>
          <w:szCs w:val="16"/>
          <w:lang w:val="es-ES_tradnl"/>
        </w:rPr>
        <w:t xml:space="preserve">CONSEJO DE ESTADO. Sección Tercera. Auto del 13 de septiembre de 1999. Rad. 10.264. C.P. Ricardo Hoyos Duque. No en vano, explica lo siguiente: </w:t>
      </w:r>
      <w:r>
        <w:rPr>
          <w:rFonts w:ascii="Verdana" w:eastAsia="Calibri" w:hAnsi="Verdana" w:cs="Arial"/>
          <w:sz w:val="16"/>
          <w:szCs w:val="16"/>
          <w:lang w:val="es-ES_tradnl"/>
        </w:rPr>
        <w:t>“</w:t>
      </w:r>
      <w:r w:rsidRPr="004438B9">
        <w:rPr>
          <w:rFonts w:ascii="Verdana" w:eastAsia="Calibri" w:hAnsi="Verdana" w:cs="Arial"/>
          <w:sz w:val="16"/>
          <w:szCs w:val="16"/>
          <w:lang w:val="es-ES_tradnl"/>
        </w:rPr>
        <w:t>[…] cuando el contratista de la administración no cumple dentro del plazo establecido en el contrato, es precisamente el vencimiento del plazo el que pone en evidencia su incumplimiento y es este el momento en el que la administración debe calificar la responsabilidad que le incumbe al contratista, de manera que si lo fue por motivos únicamente imputables a él que no encuentran justificación, debe sancionar su incumplimiento</w:t>
      </w:r>
      <w:r>
        <w:rPr>
          <w:rFonts w:ascii="Verdana" w:eastAsia="Calibri" w:hAnsi="Verdana" w:cs="Arial"/>
          <w:sz w:val="16"/>
          <w:szCs w:val="16"/>
          <w:lang w:val="es-ES_tradnl"/>
        </w:rPr>
        <w:t>”</w:t>
      </w:r>
      <w:r w:rsidRPr="004438B9">
        <w:rPr>
          <w:rFonts w:ascii="Verdana" w:eastAsia="Calibri" w:hAnsi="Verdana" w:cs="Arial"/>
          <w:sz w:val="16"/>
          <w:szCs w:val="16"/>
          <w:lang w:val="es-ES_tradnl"/>
        </w:rPr>
        <w:t>.</w:t>
      </w:r>
    </w:p>
  </w:footnote>
  <w:footnote w:id="21">
    <w:p w14:paraId="4D53BD53" w14:textId="77777777" w:rsidR="00D46944" w:rsidRPr="002563D0" w:rsidRDefault="00D46944" w:rsidP="00D46944">
      <w:pPr>
        <w:pStyle w:val="Textonotapie"/>
        <w:ind w:firstLine="708"/>
        <w:jc w:val="both"/>
        <w:rPr>
          <w:rFonts w:ascii="Verdana" w:hAnsi="Verdana"/>
          <w:sz w:val="16"/>
          <w:szCs w:val="16"/>
          <w:lang w:val="es-CO"/>
        </w:rPr>
      </w:pPr>
      <w:r w:rsidRPr="002563D0">
        <w:rPr>
          <w:rStyle w:val="Refdenotaalpie"/>
          <w:rFonts w:ascii="Verdana" w:hAnsi="Verdana"/>
          <w:sz w:val="16"/>
          <w:szCs w:val="16"/>
        </w:rPr>
        <w:footnoteRef/>
      </w:r>
      <w:r w:rsidRPr="002563D0">
        <w:rPr>
          <w:rFonts w:ascii="Verdana" w:hAnsi="Verdana"/>
          <w:sz w:val="16"/>
          <w:szCs w:val="16"/>
        </w:rPr>
        <w:t xml:space="preserve"> </w:t>
      </w:r>
      <w:r>
        <w:rPr>
          <w:rFonts w:ascii="Verdana" w:hAnsi="Verdana"/>
          <w:sz w:val="16"/>
          <w:szCs w:val="16"/>
        </w:rPr>
        <w:t xml:space="preserve">En contraste, </w:t>
      </w:r>
      <w:r w:rsidRPr="002563D0">
        <w:rPr>
          <w:rFonts w:ascii="Verdana" w:hAnsi="Verdana"/>
          <w:sz w:val="16"/>
          <w:szCs w:val="16"/>
        </w:rPr>
        <w:t xml:space="preserve">frente al momento hasta el cual la Administración puede declarar la caducidad, el Consejo de Estado, en </w:t>
      </w:r>
      <w:r>
        <w:rPr>
          <w:rFonts w:ascii="Verdana" w:hAnsi="Verdana"/>
          <w:sz w:val="16"/>
          <w:szCs w:val="16"/>
        </w:rPr>
        <w:t>S</w:t>
      </w:r>
      <w:r w:rsidRPr="002563D0">
        <w:rPr>
          <w:rFonts w:ascii="Verdana" w:hAnsi="Verdana"/>
          <w:sz w:val="16"/>
          <w:szCs w:val="16"/>
        </w:rPr>
        <w:t xml:space="preserve">entencia de </w:t>
      </w:r>
      <w:r>
        <w:rPr>
          <w:rFonts w:ascii="Verdana" w:hAnsi="Verdana"/>
          <w:sz w:val="16"/>
          <w:szCs w:val="16"/>
        </w:rPr>
        <w:t>U</w:t>
      </w:r>
      <w:r w:rsidRPr="002563D0">
        <w:rPr>
          <w:rFonts w:ascii="Verdana" w:hAnsi="Verdana"/>
          <w:sz w:val="16"/>
          <w:szCs w:val="16"/>
        </w:rPr>
        <w:t xml:space="preserve">nificación </w:t>
      </w:r>
      <w:r>
        <w:rPr>
          <w:rFonts w:ascii="Verdana" w:hAnsi="Verdana"/>
          <w:sz w:val="16"/>
          <w:szCs w:val="16"/>
        </w:rPr>
        <w:t>J</w:t>
      </w:r>
      <w:r w:rsidRPr="002563D0">
        <w:rPr>
          <w:rFonts w:ascii="Verdana" w:hAnsi="Verdana"/>
          <w:sz w:val="16"/>
          <w:szCs w:val="16"/>
        </w:rPr>
        <w:t>urisprudencial, indicó que solo puede hacerlo durante el plazo de ejecución, porque de acuerdo con la naturaleza de esta potestad exorbitante, el incumplimiento al que refiere debe valorarse durante este término</w:t>
      </w:r>
      <w:r>
        <w:rPr>
          <w:rFonts w:ascii="Verdana" w:hAnsi="Verdana"/>
          <w:sz w:val="16"/>
          <w:szCs w:val="16"/>
        </w:rPr>
        <w:t xml:space="preserve">. Para estos efectos, la jurisprudencia sostiene que “[…] </w:t>
      </w:r>
      <w:r w:rsidRPr="002563D0">
        <w:rPr>
          <w:rFonts w:ascii="Verdana" w:hAnsi="Verdana"/>
          <w:sz w:val="16"/>
          <w:szCs w:val="16"/>
        </w:rPr>
        <w:t>las entidades estatales no deben esperar a que se venza el plazo de ejecución del contrato para comprobar si hubo un incumplimiento total del mismo y decretar la caducidad; todo lo contrario: las normas que consagran la facultad de declarar la caducidad exigen que el plazo no haya expirado para declararla, puesto que el incumplimiento que esas normas requieren para decretar la caducidad es el de las obligaciones que se deben ir cumpliendo continuamente para llegar al cumplimiento del contrato en su totalidad. Así, en la medida en que se acredite el incumplimiento de obligaciones que son fundamentales para la realización del objeto contratado, la entidad estatal, con un proceder diligente, advertirá que la prestación principal, el objeto del contrato, no será satisfecho dentro del plazo de ejecución y, por tal motivo, decretará la caducidad</w:t>
      </w:r>
      <w:r>
        <w:rPr>
          <w:rFonts w:ascii="Verdana" w:hAnsi="Verdana"/>
          <w:sz w:val="16"/>
          <w:szCs w:val="16"/>
        </w:rPr>
        <w:t>” (</w:t>
      </w:r>
      <w:r w:rsidRPr="002563D0">
        <w:rPr>
          <w:rFonts w:ascii="Verdana" w:hAnsi="Verdana"/>
          <w:sz w:val="16"/>
          <w:szCs w:val="16"/>
        </w:rPr>
        <w:t>CONSEJO DE ESTADO. Sección Tercera. Sala Plena. Sentencia del 12 de julio de 2012. Rad. 15.024. C.P. Danilo Rojas Betancourth</w:t>
      </w:r>
      <w:r>
        <w:rPr>
          <w:rFonts w:ascii="Verdana" w:hAnsi="Verdana"/>
          <w:sz w:val="16"/>
          <w:szCs w:val="16"/>
        </w:rPr>
        <w:t>).</w:t>
      </w:r>
    </w:p>
  </w:footnote>
  <w:footnote w:id="22">
    <w:p w14:paraId="2092EEDF" w14:textId="77777777" w:rsidR="00D46944" w:rsidRPr="004438B9" w:rsidRDefault="00D46944" w:rsidP="00D46944">
      <w:pPr>
        <w:pStyle w:val="Textonotapie"/>
        <w:ind w:firstLine="708"/>
        <w:jc w:val="both"/>
        <w:rPr>
          <w:rFonts w:ascii="Verdana" w:hAnsi="Verdana"/>
          <w:sz w:val="16"/>
          <w:szCs w:val="16"/>
        </w:rPr>
      </w:pPr>
      <w:r w:rsidRPr="004438B9">
        <w:rPr>
          <w:rStyle w:val="Refdenotaalpie"/>
          <w:rFonts w:ascii="Verdana" w:hAnsi="Verdana"/>
          <w:sz w:val="16"/>
          <w:szCs w:val="16"/>
        </w:rPr>
        <w:footnoteRef/>
      </w:r>
      <w:r w:rsidRPr="004438B9">
        <w:rPr>
          <w:rFonts w:ascii="Verdana" w:hAnsi="Verdana"/>
          <w:sz w:val="16"/>
          <w:szCs w:val="16"/>
        </w:rPr>
        <w:t xml:space="preserve"> </w:t>
      </w:r>
      <w:r w:rsidRPr="004438B9">
        <w:rPr>
          <w:rFonts w:ascii="Verdana" w:eastAsia="Calibri" w:hAnsi="Verdana" w:cs="Arial"/>
          <w:sz w:val="16"/>
          <w:szCs w:val="16"/>
          <w:lang w:val="es-ES_tradnl"/>
        </w:rPr>
        <w:t>CONSEJO DE ESTADO. Sección Tercera. Subsección C. Sentencia del 24 de octubre de 2013. Rad. 24.697. C.P. Enrique Gil Botero.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1FD2"/>
    <w:rsid w:val="00061B2A"/>
    <w:rsid w:val="00080EE2"/>
    <w:rsid w:val="00082362"/>
    <w:rsid w:val="000A683E"/>
    <w:rsid w:val="000B19B9"/>
    <w:rsid w:val="000D0334"/>
    <w:rsid w:val="000D5DA7"/>
    <w:rsid w:val="000F2EB3"/>
    <w:rsid w:val="000F6486"/>
    <w:rsid w:val="00116940"/>
    <w:rsid w:val="00125105"/>
    <w:rsid w:val="00127233"/>
    <w:rsid w:val="0015699B"/>
    <w:rsid w:val="001750A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A7574"/>
    <w:rsid w:val="002C7A84"/>
    <w:rsid w:val="002E2BF8"/>
    <w:rsid w:val="002E4FD9"/>
    <w:rsid w:val="0030657A"/>
    <w:rsid w:val="00312931"/>
    <w:rsid w:val="0032299C"/>
    <w:rsid w:val="00322A85"/>
    <w:rsid w:val="00324168"/>
    <w:rsid w:val="00330834"/>
    <w:rsid w:val="003448F4"/>
    <w:rsid w:val="00374F5E"/>
    <w:rsid w:val="00377E3E"/>
    <w:rsid w:val="00385DFF"/>
    <w:rsid w:val="003A0805"/>
    <w:rsid w:val="003A779E"/>
    <w:rsid w:val="003D0F4D"/>
    <w:rsid w:val="003D5B0D"/>
    <w:rsid w:val="003E0499"/>
    <w:rsid w:val="003E4F80"/>
    <w:rsid w:val="003E6439"/>
    <w:rsid w:val="003F3941"/>
    <w:rsid w:val="00406575"/>
    <w:rsid w:val="00414C74"/>
    <w:rsid w:val="0042722E"/>
    <w:rsid w:val="004416CB"/>
    <w:rsid w:val="0044528D"/>
    <w:rsid w:val="00466E39"/>
    <w:rsid w:val="00487422"/>
    <w:rsid w:val="004A1847"/>
    <w:rsid w:val="004A305D"/>
    <w:rsid w:val="004C2EC1"/>
    <w:rsid w:val="004C6B8E"/>
    <w:rsid w:val="004F21C4"/>
    <w:rsid w:val="004F685F"/>
    <w:rsid w:val="005566E8"/>
    <w:rsid w:val="00574867"/>
    <w:rsid w:val="00591460"/>
    <w:rsid w:val="005A65E0"/>
    <w:rsid w:val="005B1420"/>
    <w:rsid w:val="005B6338"/>
    <w:rsid w:val="005C3777"/>
    <w:rsid w:val="005C5CDC"/>
    <w:rsid w:val="005D476C"/>
    <w:rsid w:val="006200BF"/>
    <w:rsid w:val="006219F8"/>
    <w:rsid w:val="006302F7"/>
    <w:rsid w:val="00646B9F"/>
    <w:rsid w:val="00665D70"/>
    <w:rsid w:val="006900D9"/>
    <w:rsid w:val="00697CEA"/>
    <w:rsid w:val="006C6A5C"/>
    <w:rsid w:val="00706C16"/>
    <w:rsid w:val="0071092E"/>
    <w:rsid w:val="007340C3"/>
    <w:rsid w:val="0075235A"/>
    <w:rsid w:val="00756841"/>
    <w:rsid w:val="007649AB"/>
    <w:rsid w:val="00771D0C"/>
    <w:rsid w:val="007833AC"/>
    <w:rsid w:val="00790DB9"/>
    <w:rsid w:val="007B268C"/>
    <w:rsid w:val="007B7171"/>
    <w:rsid w:val="007C0C0F"/>
    <w:rsid w:val="007C3DC2"/>
    <w:rsid w:val="007D408B"/>
    <w:rsid w:val="007E5497"/>
    <w:rsid w:val="00800314"/>
    <w:rsid w:val="00806F5F"/>
    <w:rsid w:val="00820278"/>
    <w:rsid w:val="008258C9"/>
    <w:rsid w:val="00844AE9"/>
    <w:rsid w:val="00867F95"/>
    <w:rsid w:val="008843B6"/>
    <w:rsid w:val="00891928"/>
    <w:rsid w:val="008A446D"/>
    <w:rsid w:val="008B25F1"/>
    <w:rsid w:val="008D180B"/>
    <w:rsid w:val="008F0EA7"/>
    <w:rsid w:val="00912AC7"/>
    <w:rsid w:val="00923EEF"/>
    <w:rsid w:val="00932873"/>
    <w:rsid w:val="009419F9"/>
    <w:rsid w:val="00942583"/>
    <w:rsid w:val="0095685E"/>
    <w:rsid w:val="00961B09"/>
    <w:rsid w:val="00965334"/>
    <w:rsid w:val="0097093E"/>
    <w:rsid w:val="009769EC"/>
    <w:rsid w:val="009A0DFA"/>
    <w:rsid w:val="009A1C6F"/>
    <w:rsid w:val="009B2D26"/>
    <w:rsid w:val="009C71FA"/>
    <w:rsid w:val="009C72E7"/>
    <w:rsid w:val="009C7F7E"/>
    <w:rsid w:val="009D3058"/>
    <w:rsid w:val="009D4F4B"/>
    <w:rsid w:val="009E3947"/>
    <w:rsid w:val="009E7805"/>
    <w:rsid w:val="009E7F2E"/>
    <w:rsid w:val="009F3A13"/>
    <w:rsid w:val="009F577A"/>
    <w:rsid w:val="00A122D3"/>
    <w:rsid w:val="00A14468"/>
    <w:rsid w:val="00A17F13"/>
    <w:rsid w:val="00A20739"/>
    <w:rsid w:val="00A23AF9"/>
    <w:rsid w:val="00A33C78"/>
    <w:rsid w:val="00A62FE3"/>
    <w:rsid w:val="00AB0ADB"/>
    <w:rsid w:val="00AF171F"/>
    <w:rsid w:val="00B00C0E"/>
    <w:rsid w:val="00B01B1A"/>
    <w:rsid w:val="00B0381D"/>
    <w:rsid w:val="00B06817"/>
    <w:rsid w:val="00B44A47"/>
    <w:rsid w:val="00B67A2C"/>
    <w:rsid w:val="00B72CD3"/>
    <w:rsid w:val="00B72FFF"/>
    <w:rsid w:val="00BA4F3C"/>
    <w:rsid w:val="00BC3D36"/>
    <w:rsid w:val="00BD54A6"/>
    <w:rsid w:val="00BD7F72"/>
    <w:rsid w:val="00BF7425"/>
    <w:rsid w:val="00C04FB3"/>
    <w:rsid w:val="00C11D8B"/>
    <w:rsid w:val="00C15139"/>
    <w:rsid w:val="00C330EB"/>
    <w:rsid w:val="00C3560F"/>
    <w:rsid w:val="00C50D69"/>
    <w:rsid w:val="00C5365C"/>
    <w:rsid w:val="00C754BE"/>
    <w:rsid w:val="00C76B1C"/>
    <w:rsid w:val="00C925AC"/>
    <w:rsid w:val="00CB6357"/>
    <w:rsid w:val="00CC1B26"/>
    <w:rsid w:val="00CF7F62"/>
    <w:rsid w:val="00D361FD"/>
    <w:rsid w:val="00D423A2"/>
    <w:rsid w:val="00D44E26"/>
    <w:rsid w:val="00D46944"/>
    <w:rsid w:val="00D520D8"/>
    <w:rsid w:val="00D63AC2"/>
    <w:rsid w:val="00D7383B"/>
    <w:rsid w:val="00D75ECD"/>
    <w:rsid w:val="00D7788A"/>
    <w:rsid w:val="00DA231B"/>
    <w:rsid w:val="00DA4FD1"/>
    <w:rsid w:val="00DC39FC"/>
    <w:rsid w:val="00DC3F95"/>
    <w:rsid w:val="00DF39FC"/>
    <w:rsid w:val="00DF5254"/>
    <w:rsid w:val="00E02524"/>
    <w:rsid w:val="00E16408"/>
    <w:rsid w:val="00E20894"/>
    <w:rsid w:val="00E245AB"/>
    <w:rsid w:val="00E2764C"/>
    <w:rsid w:val="00E27F2E"/>
    <w:rsid w:val="00E5067D"/>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0735E9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4694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46944"/>
    <w:rPr>
      <w:rFonts w:ascii="Geomanist Light" w:hAnsi="Geomanist Light"/>
      <w:lang w:val="es-ES"/>
    </w:rPr>
  </w:style>
  <w:style w:type="character" w:customStyle="1" w:styleId="s15">
    <w:name w:val="s15"/>
    <w:basedOn w:val="Fuentedeprrafopredeter"/>
    <w:rsid w:val="00D46944"/>
  </w:style>
  <w:style w:type="character" w:customStyle="1" w:styleId="apple-converted-space">
    <w:name w:val="apple-converted-space"/>
    <w:basedOn w:val="Fuentedeprrafopredeter"/>
    <w:rsid w:val="00D46944"/>
  </w:style>
  <w:style w:type="character" w:styleId="Textoennegrita">
    <w:name w:val="Strong"/>
    <w:basedOn w:val="Fuentedeprrafopredeter"/>
    <w:uiPriority w:val="22"/>
    <w:qFormat/>
    <w:rsid w:val="00D46944"/>
    <w:rPr>
      <w:b/>
      <w:bCs/>
    </w:rPr>
  </w:style>
  <w:style w:type="character" w:styleId="nfasis">
    <w:name w:val="Emphasis"/>
    <w:basedOn w:val="Fuentedeprrafopredeter"/>
    <w:uiPriority w:val="20"/>
    <w:qFormat/>
    <w:rsid w:val="00D4694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nielfelipecarvajal.dfco@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ceficiente.sharepoint.com/sites/SGDEA/TRD_254/EXPEDIENTE_1668/DOCUMENTO_407171/DOCUMENTO_407171.doc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65A6870-EBFC-433C-A5CB-97BA93A08D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24</TotalTime>
  <Pages>23</Pages>
  <Words>7617</Words>
  <Characters>40375</Characters>
  <Application>Microsoft Office Word</Application>
  <DocSecurity>0</DocSecurity>
  <Lines>1682</Lines>
  <Paragraphs>999</Paragraphs>
  <ScaleCrop>false</ScaleCrop>
  <Company/>
  <LinksUpToDate>false</LinksUpToDate>
  <CharactersWithSpaces>46993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7</cp:revision>
  <cp:lastPrinted>2023-01-10T21:18:00Z</cp:lastPrinted>
  <dcterms:created xsi:type="dcterms:W3CDTF">2025-12-10T17:25:00Z</dcterms:created>
  <dcterms:modified xsi:type="dcterms:W3CDTF">2025-12-11T15:53:00Z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