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225552" w14:textId="77777777" w:rsidR="004836C3" w:rsidRPr="00682C93" w:rsidRDefault="004836C3" w:rsidP="004836C3">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1F3014D1" w14:textId="77777777" w:rsidR="004836C3" w:rsidRDefault="004836C3" w:rsidP="004836C3">
      <w:pPr>
        <w:spacing w:after="0" w:line="240" w:lineRule="auto"/>
        <w:jc w:val="both"/>
        <w:rPr>
          <w:rFonts w:ascii="Verdana" w:hAnsi="Verdana" w:cs="Arial"/>
          <w:b/>
          <w:lang w:val="es-MX" w:eastAsia="es-ES_tradnl"/>
        </w:rPr>
      </w:pPr>
    </w:p>
    <w:p w14:paraId="129B4A4E" w14:textId="77777777" w:rsidR="004836C3" w:rsidRDefault="004836C3" w:rsidP="004836C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A7E4489" w14:textId="77777777" w:rsidR="004836C3" w:rsidRPr="00682C93" w:rsidRDefault="004836C3" w:rsidP="004836C3">
      <w:pPr>
        <w:spacing w:after="0" w:line="240" w:lineRule="auto"/>
        <w:jc w:val="both"/>
        <w:rPr>
          <w:rFonts w:ascii="Verdana" w:hAnsi="Verdana" w:cs="Arial"/>
          <w:b/>
          <w:sz w:val="20"/>
          <w:lang w:val="es-MX" w:eastAsia="es-ES_tradnl"/>
        </w:rPr>
      </w:pPr>
    </w:p>
    <w:p w14:paraId="09183070" w14:textId="77777777" w:rsidR="004836C3" w:rsidRPr="00682C93" w:rsidRDefault="004836C3" w:rsidP="004836C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0006E50D" w14:textId="77777777" w:rsidR="004836C3" w:rsidRDefault="004836C3" w:rsidP="004836C3">
      <w:pPr>
        <w:spacing w:after="0" w:line="240" w:lineRule="auto"/>
        <w:jc w:val="both"/>
        <w:rPr>
          <w:rFonts w:ascii="Verdana" w:hAnsi="Verdana" w:cs="Arial"/>
          <w:b/>
          <w:lang w:val="es-MX" w:eastAsia="es-ES_tradnl"/>
        </w:rPr>
      </w:pPr>
    </w:p>
    <w:p w14:paraId="238DC538" w14:textId="77777777" w:rsidR="004836C3" w:rsidRPr="00E41F23" w:rsidRDefault="004836C3" w:rsidP="004836C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D3B03E" w14:textId="77777777" w:rsidR="004836C3" w:rsidRPr="00E41F23" w:rsidRDefault="004836C3" w:rsidP="004836C3">
      <w:pPr>
        <w:spacing w:after="0" w:line="240" w:lineRule="auto"/>
        <w:jc w:val="both"/>
        <w:rPr>
          <w:rFonts w:ascii="Verdana" w:eastAsia="Calibri" w:hAnsi="Verdana" w:cs="Arial"/>
          <w:sz w:val="20"/>
        </w:rPr>
      </w:pPr>
    </w:p>
    <w:p w14:paraId="241CF2CC" w14:textId="77777777" w:rsidR="004836C3" w:rsidRDefault="004836C3" w:rsidP="004836C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059B3F66" w14:textId="77777777" w:rsidR="004836C3" w:rsidRPr="00E41F23" w:rsidRDefault="004836C3" w:rsidP="004836C3">
      <w:pPr>
        <w:widowControl w:val="0"/>
        <w:autoSpaceDE w:val="0"/>
        <w:autoSpaceDN w:val="0"/>
        <w:spacing w:after="0" w:line="240" w:lineRule="auto"/>
        <w:ind w:right="113"/>
        <w:jc w:val="both"/>
        <w:rPr>
          <w:rFonts w:ascii="Verdana" w:eastAsia="Arial" w:hAnsi="Verdana" w:cs="Arial"/>
          <w:sz w:val="20"/>
          <w:lang w:val="es-ES" w:eastAsia="es-ES" w:bidi="es-ES"/>
        </w:rPr>
      </w:pPr>
    </w:p>
    <w:p w14:paraId="2FDBE3E1" w14:textId="77777777" w:rsidR="004836C3" w:rsidRPr="00E41F23" w:rsidRDefault="004836C3" w:rsidP="004836C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1C1EE94" w14:textId="77777777" w:rsidR="004836C3" w:rsidRPr="003F2A9C" w:rsidRDefault="004836C3" w:rsidP="004836C3">
      <w:pPr>
        <w:spacing w:after="0" w:line="240" w:lineRule="auto"/>
        <w:jc w:val="both"/>
        <w:rPr>
          <w:rFonts w:ascii="Verdana" w:hAnsi="Verdana" w:cs="Arial"/>
          <w:b/>
          <w:sz w:val="20"/>
          <w:lang w:val="es-MX" w:eastAsia="es-ES_tradnl"/>
        </w:rPr>
      </w:pPr>
    </w:p>
    <w:p w14:paraId="27EA7451" w14:textId="77777777" w:rsidR="004836C3" w:rsidRPr="00682C93" w:rsidRDefault="004836C3" w:rsidP="004836C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687D0504" w14:textId="77777777" w:rsidR="004836C3" w:rsidRDefault="004836C3" w:rsidP="004836C3">
      <w:pPr>
        <w:spacing w:after="0" w:line="240" w:lineRule="auto"/>
        <w:jc w:val="both"/>
        <w:rPr>
          <w:rFonts w:ascii="Verdana" w:hAnsi="Verdana" w:cs="Arial"/>
          <w:b/>
          <w:lang w:val="es-MX" w:eastAsia="es-ES_tradnl"/>
        </w:rPr>
      </w:pPr>
    </w:p>
    <w:p w14:paraId="1F365022" w14:textId="77777777" w:rsidR="004836C3" w:rsidRPr="00E41F23" w:rsidRDefault="004836C3" w:rsidP="004836C3">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1ACEE7D" w14:textId="77777777" w:rsidR="004836C3" w:rsidRPr="00E41F23" w:rsidRDefault="004836C3" w:rsidP="004836C3">
      <w:pPr>
        <w:spacing w:after="0" w:line="240" w:lineRule="auto"/>
        <w:jc w:val="both"/>
        <w:rPr>
          <w:rFonts w:ascii="Verdana" w:hAnsi="Verdana" w:cs="Arial"/>
          <w:b/>
          <w:lang w:eastAsia="es-ES_tradnl"/>
        </w:rPr>
      </w:pPr>
    </w:p>
    <w:p w14:paraId="6245E57C" w14:textId="77777777" w:rsidR="004836C3" w:rsidRPr="00682C93" w:rsidRDefault="004836C3" w:rsidP="004836C3">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E81A91B" w14:textId="77777777" w:rsidR="004836C3" w:rsidRPr="00E41F23" w:rsidRDefault="004836C3" w:rsidP="004836C3">
      <w:pPr>
        <w:spacing w:after="0" w:line="240" w:lineRule="auto"/>
        <w:jc w:val="both"/>
        <w:rPr>
          <w:rFonts w:ascii="Verdana" w:hAnsi="Verdana" w:cs="Arial"/>
          <w:b/>
          <w:sz w:val="20"/>
          <w:lang w:val="es-MX" w:eastAsia="es-ES_tradnl"/>
        </w:rPr>
      </w:pPr>
    </w:p>
    <w:p w14:paraId="3F41403C" w14:textId="77777777" w:rsidR="004836C3" w:rsidRPr="00E41F23" w:rsidRDefault="004836C3" w:rsidP="004836C3">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54A05F4" w14:textId="77777777" w:rsidR="004836C3" w:rsidRPr="00682C93" w:rsidRDefault="004836C3" w:rsidP="004836C3">
      <w:pPr>
        <w:spacing w:after="0" w:line="240" w:lineRule="auto"/>
        <w:jc w:val="both"/>
        <w:rPr>
          <w:rFonts w:ascii="Verdana" w:hAnsi="Verdana" w:cs="Arial"/>
          <w:b/>
          <w:lang w:val="es-MX" w:eastAsia="es-ES_tradnl"/>
        </w:rPr>
      </w:pPr>
    </w:p>
    <w:p w14:paraId="43D33868" w14:textId="77777777" w:rsidR="004836C3" w:rsidRPr="00682C93" w:rsidRDefault="004836C3" w:rsidP="004836C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1927D4A9" w14:textId="77777777" w:rsidR="004836C3" w:rsidRDefault="004836C3" w:rsidP="004836C3">
      <w:pPr>
        <w:spacing w:after="0" w:line="240" w:lineRule="auto"/>
        <w:rPr>
          <w:rFonts w:ascii="Verdana" w:hAnsi="Verdana" w:cs="Arial"/>
          <w:lang w:val="es-MX" w:eastAsia="es-ES_tradnl"/>
        </w:rPr>
      </w:pPr>
    </w:p>
    <w:p w14:paraId="281619EF" w14:textId="77777777" w:rsidR="004836C3" w:rsidRPr="00E41F23" w:rsidRDefault="004836C3" w:rsidP="004836C3">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21D3DCFD" w14:textId="7DA3EF85" w:rsidR="004836C3" w:rsidRDefault="004836C3" w:rsidP="004836C3">
      <w:pPr>
        <w:spacing w:after="0" w:line="240" w:lineRule="auto"/>
        <w:rPr>
          <w:rFonts w:ascii="Verdana" w:hAnsi="Verdana"/>
        </w:rPr>
      </w:pPr>
    </w:p>
    <w:p w14:paraId="57D1A2DC" w14:textId="77777777" w:rsidR="004836C3" w:rsidRPr="00EB7319" w:rsidRDefault="004836C3" w:rsidP="004836C3">
      <w:pPr>
        <w:spacing w:after="0" w:line="240" w:lineRule="auto"/>
        <w:jc w:val="both"/>
        <w:rPr>
          <w:rFonts w:ascii="Verdana" w:hAnsi="Verdana"/>
          <w:b/>
        </w:rPr>
      </w:pPr>
      <w:r w:rsidRPr="00EB7319">
        <w:rPr>
          <w:rFonts w:ascii="Verdana" w:hAnsi="Verdana" w:cs="Arial"/>
          <w:b/>
          <w:lang w:val="es-MX" w:eastAsia="es-ES_tradnl"/>
        </w:rPr>
        <w:t xml:space="preserve">LEY DE GARANTÍAS ELECTORALES – Condiciones de </w:t>
      </w:r>
      <w:r>
        <w:rPr>
          <w:rFonts w:ascii="Verdana" w:hAnsi="Verdana" w:cs="Arial"/>
          <w:b/>
          <w:lang w:val="es-MX" w:eastAsia="es-ES_tradnl"/>
        </w:rPr>
        <w:t>igualdad – Contratación directa</w:t>
      </w:r>
    </w:p>
    <w:p w14:paraId="2061C0AB" w14:textId="77777777" w:rsidR="004836C3" w:rsidRDefault="004836C3" w:rsidP="004836C3">
      <w:pPr>
        <w:spacing w:after="0" w:line="240" w:lineRule="auto"/>
        <w:rPr>
          <w:rFonts w:ascii="Verdana" w:hAnsi="Verdana"/>
        </w:rPr>
      </w:pPr>
    </w:p>
    <w:p w14:paraId="6129256E" w14:textId="77777777" w:rsidR="004836C3" w:rsidRPr="00EB7319" w:rsidRDefault="004836C3" w:rsidP="004836C3">
      <w:pPr>
        <w:spacing w:after="0" w:line="240" w:lineRule="auto"/>
        <w:jc w:val="both"/>
        <w:rPr>
          <w:rFonts w:ascii="Verdana" w:eastAsia="Times New Roman" w:hAnsi="Verdana" w:cs="Arial"/>
          <w:bCs/>
          <w:sz w:val="20"/>
          <w:lang w:eastAsia="x-none"/>
        </w:rPr>
      </w:pPr>
      <w:r w:rsidRPr="00EB7319">
        <w:rPr>
          <w:rFonts w:ascii="Verdana" w:eastAsia="Times New Roman" w:hAnsi="Verdana" w:cs="Arial"/>
          <w:bCs/>
          <w:sz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684E1069" w14:textId="1F49DEE3" w:rsidR="002964FC" w:rsidRPr="008C67B1" w:rsidRDefault="002964FC" w:rsidP="004836C3">
      <w:pPr>
        <w:spacing w:after="0" w:line="240" w:lineRule="auto"/>
        <w:rPr>
          <w:rFonts w:ascii="Verdana" w:hAnsi="Verdana"/>
        </w:rPr>
      </w:pPr>
    </w:p>
    <w:p w14:paraId="15D8725A" w14:textId="06296A87" w:rsidR="002964FC" w:rsidRDefault="004836C3" w:rsidP="004836C3">
      <w:pPr>
        <w:spacing w:after="0" w:line="240" w:lineRule="auto"/>
        <w:jc w:val="both"/>
        <w:rPr>
          <w:rFonts w:ascii="Verdana" w:hAnsi="Verdana" w:cs="Arial"/>
          <w:b/>
          <w:lang w:val="es-MX" w:eastAsia="es-ES_tradnl"/>
        </w:rPr>
      </w:pPr>
      <w:r w:rsidRPr="004836C3">
        <w:rPr>
          <w:rFonts w:ascii="Verdana" w:hAnsi="Verdana" w:cs="Arial"/>
          <w:b/>
          <w:lang w:val="es-MX" w:eastAsia="es-ES_tradnl"/>
        </w:rPr>
        <w:t>SISTEMA GENERAL DE REGALÍAS – Objeto – Aplicación Alcance – Entidades Privadas– Ejecutoras-</w:t>
      </w:r>
      <w:r>
        <w:rPr>
          <w:rFonts w:ascii="Verdana" w:hAnsi="Verdana" w:cs="Arial"/>
          <w:b/>
          <w:lang w:val="es-MX" w:eastAsia="es-ES_tradnl"/>
        </w:rPr>
        <w:t xml:space="preserve"> Ley de Garantías Electorales</w:t>
      </w:r>
    </w:p>
    <w:p w14:paraId="7DE87755" w14:textId="3460F9D0" w:rsidR="004836C3" w:rsidRPr="004836C3" w:rsidRDefault="004836C3" w:rsidP="004836C3">
      <w:pPr>
        <w:spacing w:after="0" w:line="240" w:lineRule="auto"/>
        <w:jc w:val="both"/>
        <w:rPr>
          <w:rFonts w:ascii="Verdana" w:hAnsi="Verdana" w:cs="Arial"/>
          <w:sz w:val="20"/>
          <w:lang w:val="es-MX" w:eastAsia="es-ES_tradnl"/>
        </w:rPr>
      </w:pPr>
    </w:p>
    <w:p w14:paraId="5BADD0BB" w14:textId="3BDE11B4" w:rsidR="004836C3" w:rsidRDefault="004836C3" w:rsidP="004836C3">
      <w:pPr>
        <w:spacing w:after="0" w:line="240" w:lineRule="auto"/>
        <w:jc w:val="both"/>
        <w:rPr>
          <w:rFonts w:ascii="Verdana" w:hAnsi="Verdana" w:cs="Arial"/>
          <w:bCs/>
          <w:sz w:val="20"/>
          <w:lang w:eastAsia="es-ES_tradnl"/>
        </w:rPr>
      </w:pPr>
      <w:r w:rsidRPr="004836C3">
        <w:rPr>
          <w:rFonts w:ascii="Verdana" w:hAnsi="Verdana" w:cs="Arial"/>
          <w:bCs/>
          <w:sz w:val="20"/>
          <w:lang w:val="es-MX" w:eastAsia="es-ES_tradnl"/>
        </w:rPr>
        <w:t>En todo caso, es necesario revisar si lo dispuesto en el Sistema General de Regalías le aplica la Ley 996 de 2005 –Ley de Garantías Electorales-. Para ello, es importante señalar que la Ley 2056 de 2020, “</w:t>
      </w:r>
      <w:r w:rsidRPr="004836C3">
        <w:rPr>
          <w:rFonts w:ascii="Verdana" w:hAnsi="Verdana" w:cs="Arial"/>
          <w:bCs/>
          <w:sz w:val="20"/>
          <w:lang w:eastAsia="es-ES_tradnl"/>
        </w:rPr>
        <w:t xml:space="preserve">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p w14:paraId="515A06AC" w14:textId="77777777" w:rsidR="004836C3" w:rsidRPr="004836C3" w:rsidRDefault="004836C3" w:rsidP="004836C3">
      <w:pPr>
        <w:spacing w:after="0" w:line="240" w:lineRule="auto"/>
        <w:jc w:val="both"/>
        <w:rPr>
          <w:rFonts w:ascii="Verdana" w:hAnsi="Verdana" w:cs="Arial"/>
          <w:bCs/>
          <w:sz w:val="20"/>
          <w:lang w:eastAsia="es-ES_tradnl"/>
        </w:rPr>
      </w:pPr>
    </w:p>
    <w:p w14:paraId="362D6D9A" w14:textId="4211B8EC" w:rsidR="004836C3" w:rsidRDefault="004836C3" w:rsidP="004836C3">
      <w:pPr>
        <w:spacing w:after="0" w:line="240" w:lineRule="auto"/>
        <w:jc w:val="both"/>
        <w:rPr>
          <w:rFonts w:ascii="Verdana" w:hAnsi="Verdana" w:cs="Arial"/>
          <w:bCs/>
          <w:sz w:val="20"/>
          <w:lang w:eastAsia="es-ES_tradnl"/>
        </w:rPr>
      </w:pPr>
      <w:r w:rsidRPr="004836C3">
        <w:rPr>
          <w:rFonts w:ascii="Verdana" w:hAnsi="Verdana" w:cs="Arial"/>
          <w:bCs/>
          <w:sz w:val="20"/>
          <w:lang w:eastAsia="es-ES_tradnl"/>
        </w:rPr>
        <w:t>En este sentido, el artículo 54 de la Ley 2056 de 2020 dispone que los proyectos que pretendan financiarse con recursos de la Asignación para la Ciencia, Tecnología e Innovación deberán ser presentados por las entidades públicas o privadas que integren el Sistema Nacional de Ciencia, Tecnología e Innovación, regulado en el artículo 20 de la Ley 1286 de 2009 o en la norma que lo modifique o sustituya, ante el Ministerio de Ciencia, Tecnología e Innovación. Asimismo, cuando las universidades privadas actúan como ejecutoras de dichos proyectos, el Ministerio de Ciencia, Tecnología e Innovación —o los departamentos que así lo soliciten—, con cargo a los recursos de inversión, está obligado a vigilar la correcta ejecución de los mismos, directamente o a través de terceros, conforme a lo previsto en el artículo 83 de la Ley 1474 de 2011.</w:t>
      </w:r>
    </w:p>
    <w:p w14:paraId="3CF000F7" w14:textId="77777777" w:rsidR="004836C3" w:rsidRPr="004836C3" w:rsidRDefault="004836C3" w:rsidP="004836C3">
      <w:pPr>
        <w:spacing w:after="0" w:line="240" w:lineRule="auto"/>
        <w:jc w:val="both"/>
        <w:rPr>
          <w:rFonts w:ascii="Verdana" w:hAnsi="Verdana" w:cs="Arial"/>
          <w:bCs/>
          <w:sz w:val="20"/>
          <w:lang w:eastAsia="es-ES_tradnl"/>
        </w:rPr>
      </w:pPr>
    </w:p>
    <w:p w14:paraId="07D2745B" w14:textId="77777777" w:rsidR="004836C3" w:rsidRPr="004836C3" w:rsidRDefault="004836C3" w:rsidP="004836C3">
      <w:pPr>
        <w:spacing w:after="0" w:line="240" w:lineRule="auto"/>
        <w:jc w:val="both"/>
        <w:rPr>
          <w:rFonts w:ascii="Verdana" w:hAnsi="Verdana" w:cs="Arial"/>
          <w:bCs/>
          <w:sz w:val="20"/>
          <w:lang w:eastAsia="es-ES_tradnl"/>
        </w:rPr>
      </w:pPr>
      <w:r w:rsidRPr="004836C3">
        <w:rPr>
          <w:rFonts w:ascii="Verdana" w:hAnsi="Verdana" w:cs="Arial"/>
          <w:bCs/>
          <w:sz w:val="20"/>
          <w:lang w:eastAsia="es-ES_tradnl"/>
        </w:rPr>
        <w:t xml:space="preserve">Dentro de este marco normativo no se contempla excepción que permita considerar que las entidades privadas que ejecutan recursos del Sistema General de Regalías estén sujetos a la restricción establecida en el artículo 33 de la Ley 996 de 2005, la cual prohíbe la contratación directa durante el periodo preelectoral de las elecciones presidenciales. En otras palabras, la normativa especial que regula la ejecución de los recursos del </w:t>
      </w:r>
      <w:r w:rsidRPr="004836C3">
        <w:rPr>
          <w:rFonts w:ascii="Verdana" w:hAnsi="Verdana" w:cs="Arial"/>
          <w:bCs/>
          <w:sz w:val="20"/>
          <w:lang w:eastAsia="es-ES_tradnl"/>
        </w:rPr>
        <w:lastRenderedPageBreak/>
        <w:t>Sistema General de Regalías no otorga a las entidades privadas que los ejecutan la condición de entidades estatales.</w:t>
      </w:r>
    </w:p>
    <w:p w14:paraId="075C6B1F" w14:textId="4EB9002B" w:rsidR="004836C3" w:rsidRDefault="004836C3" w:rsidP="004836C3">
      <w:pPr>
        <w:spacing w:after="0"/>
        <w:jc w:val="both"/>
        <w:rPr>
          <w:rFonts w:ascii="Verdana" w:hAnsi="Verdana" w:cs="Arial"/>
          <w:b/>
          <w:lang w:eastAsia="es-ES_tradnl"/>
        </w:rPr>
      </w:pPr>
    </w:p>
    <w:p w14:paraId="2A485E32" w14:textId="41B531B1" w:rsidR="004836C3" w:rsidRDefault="004836C3" w:rsidP="004836C3">
      <w:pPr>
        <w:spacing w:after="0"/>
        <w:jc w:val="both"/>
        <w:rPr>
          <w:rFonts w:ascii="Verdana" w:hAnsi="Verdana" w:cs="Arial"/>
          <w:b/>
          <w:lang w:eastAsia="es-ES_tradnl"/>
        </w:rPr>
      </w:pPr>
    </w:p>
    <w:p w14:paraId="5F4018E8" w14:textId="05C285C2" w:rsidR="004836C3" w:rsidRDefault="004836C3" w:rsidP="004836C3">
      <w:pPr>
        <w:spacing w:after="0"/>
        <w:jc w:val="both"/>
        <w:rPr>
          <w:rFonts w:ascii="Verdana" w:hAnsi="Verdana" w:cs="Arial"/>
          <w:b/>
          <w:lang w:eastAsia="es-ES_tradnl"/>
        </w:rPr>
      </w:pPr>
    </w:p>
    <w:p w14:paraId="1292183B" w14:textId="3F8B5107" w:rsidR="004836C3" w:rsidRDefault="004836C3" w:rsidP="004836C3">
      <w:pPr>
        <w:spacing w:after="0"/>
        <w:jc w:val="both"/>
        <w:rPr>
          <w:rFonts w:ascii="Verdana" w:hAnsi="Verdana" w:cs="Arial"/>
          <w:b/>
          <w:lang w:eastAsia="es-ES_tradnl"/>
        </w:rPr>
      </w:pPr>
    </w:p>
    <w:p w14:paraId="5EB03F60" w14:textId="0F03B5DE" w:rsidR="004836C3" w:rsidRDefault="004836C3" w:rsidP="004836C3">
      <w:pPr>
        <w:spacing w:after="0"/>
        <w:jc w:val="both"/>
        <w:rPr>
          <w:rFonts w:ascii="Verdana" w:hAnsi="Verdana" w:cs="Arial"/>
          <w:b/>
          <w:lang w:eastAsia="es-ES_tradnl"/>
        </w:rPr>
      </w:pPr>
    </w:p>
    <w:p w14:paraId="1C64B35B" w14:textId="63997FF8" w:rsidR="004836C3" w:rsidRDefault="004836C3" w:rsidP="004836C3">
      <w:pPr>
        <w:spacing w:after="0"/>
        <w:jc w:val="both"/>
        <w:rPr>
          <w:rFonts w:ascii="Verdana" w:hAnsi="Verdana" w:cs="Arial"/>
          <w:b/>
          <w:lang w:eastAsia="es-ES_tradnl"/>
        </w:rPr>
      </w:pPr>
    </w:p>
    <w:p w14:paraId="12CF43A2" w14:textId="2ED4EE39" w:rsidR="004836C3" w:rsidRDefault="004836C3" w:rsidP="004836C3">
      <w:pPr>
        <w:spacing w:after="0"/>
        <w:jc w:val="both"/>
        <w:rPr>
          <w:rFonts w:ascii="Verdana" w:hAnsi="Verdana" w:cs="Arial"/>
          <w:b/>
          <w:lang w:eastAsia="es-ES_tradnl"/>
        </w:rPr>
      </w:pPr>
    </w:p>
    <w:p w14:paraId="39C3CF9B" w14:textId="3F1147A6" w:rsidR="004836C3" w:rsidRDefault="004836C3" w:rsidP="004836C3">
      <w:pPr>
        <w:spacing w:after="0"/>
        <w:jc w:val="both"/>
        <w:rPr>
          <w:rFonts w:ascii="Verdana" w:hAnsi="Verdana" w:cs="Arial"/>
          <w:b/>
          <w:lang w:eastAsia="es-ES_tradnl"/>
        </w:rPr>
      </w:pPr>
    </w:p>
    <w:p w14:paraId="14F674AA" w14:textId="751DD21A" w:rsidR="004836C3" w:rsidRDefault="004836C3" w:rsidP="004836C3">
      <w:pPr>
        <w:spacing w:after="0"/>
        <w:jc w:val="both"/>
        <w:rPr>
          <w:rFonts w:ascii="Verdana" w:hAnsi="Verdana" w:cs="Arial"/>
          <w:b/>
          <w:lang w:eastAsia="es-ES_tradnl"/>
        </w:rPr>
      </w:pPr>
    </w:p>
    <w:p w14:paraId="14121ECB" w14:textId="3520B115" w:rsidR="004836C3" w:rsidRDefault="004836C3" w:rsidP="004836C3">
      <w:pPr>
        <w:spacing w:after="0"/>
        <w:jc w:val="both"/>
        <w:rPr>
          <w:rFonts w:ascii="Verdana" w:hAnsi="Verdana" w:cs="Arial"/>
          <w:b/>
          <w:lang w:eastAsia="es-ES_tradnl"/>
        </w:rPr>
      </w:pPr>
    </w:p>
    <w:p w14:paraId="423641AE" w14:textId="07386B96" w:rsidR="004836C3" w:rsidRDefault="004836C3" w:rsidP="004836C3">
      <w:pPr>
        <w:spacing w:after="0"/>
        <w:jc w:val="both"/>
        <w:rPr>
          <w:rFonts w:ascii="Verdana" w:hAnsi="Verdana" w:cs="Arial"/>
          <w:b/>
          <w:lang w:eastAsia="es-ES_tradnl"/>
        </w:rPr>
      </w:pPr>
    </w:p>
    <w:p w14:paraId="1A84039B" w14:textId="18A56191" w:rsidR="004836C3" w:rsidRDefault="004836C3" w:rsidP="004836C3">
      <w:pPr>
        <w:spacing w:after="0"/>
        <w:jc w:val="both"/>
        <w:rPr>
          <w:rFonts w:ascii="Verdana" w:hAnsi="Verdana" w:cs="Arial"/>
          <w:b/>
          <w:lang w:eastAsia="es-ES_tradnl"/>
        </w:rPr>
      </w:pPr>
    </w:p>
    <w:p w14:paraId="1B9CA649" w14:textId="33FF870F" w:rsidR="004836C3" w:rsidRDefault="004836C3" w:rsidP="004836C3">
      <w:pPr>
        <w:spacing w:after="0"/>
        <w:jc w:val="both"/>
        <w:rPr>
          <w:rFonts w:ascii="Verdana" w:hAnsi="Verdana" w:cs="Arial"/>
          <w:b/>
          <w:lang w:eastAsia="es-ES_tradnl"/>
        </w:rPr>
      </w:pPr>
    </w:p>
    <w:p w14:paraId="6CED154D" w14:textId="399FBB8B" w:rsidR="004836C3" w:rsidRDefault="004836C3" w:rsidP="004836C3">
      <w:pPr>
        <w:spacing w:after="0"/>
        <w:jc w:val="both"/>
        <w:rPr>
          <w:rFonts w:ascii="Verdana" w:hAnsi="Verdana" w:cs="Arial"/>
          <w:b/>
          <w:lang w:eastAsia="es-ES_tradnl"/>
        </w:rPr>
      </w:pPr>
    </w:p>
    <w:p w14:paraId="3FEA9984" w14:textId="2DACA87C" w:rsidR="004836C3" w:rsidRDefault="004836C3" w:rsidP="004836C3">
      <w:pPr>
        <w:spacing w:after="0"/>
        <w:jc w:val="both"/>
        <w:rPr>
          <w:rFonts w:ascii="Verdana" w:hAnsi="Verdana" w:cs="Arial"/>
          <w:b/>
          <w:lang w:eastAsia="es-ES_tradnl"/>
        </w:rPr>
      </w:pPr>
    </w:p>
    <w:p w14:paraId="53C86BB8" w14:textId="7ED91CBD" w:rsidR="004836C3" w:rsidRDefault="004836C3" w:rsidP="004836C3">
      <w:pPr>
        <w:spacing w:after="0"/>
        <w:jc w:val="both"/>
        <w:rPr>
          <w:rFonts w:ascii="Verdana" w:hAnsi="Verdana" w:cs="Arial"/>
          <w:b/>
          <w:lang w:eastAsia="es-ES_tradnl"/>
        </w:rPr>
      </w:pPr>
    </w:p>
    <w:p w14:paraId="6A307233" w14:textId="3B0FE650" w:rsidR="004836C3" w:rsidRDefault="004836C3" w:rsidP="004836C3">
      <w:pPr>
        <w:spacing w:after="0"/>
        <w:jc w:val="both"/>
        <w:rPr>
          <w:rFonts w:ascii="Verdana" w:hAnsi="Verdana" w:cs="Arial"/>
          <w:b/>
          <w:lang w:eastAsia="es-ES_tradnl"/>
        </w:rPr>
      </w:pPr>
    </w:p>
    <w:p w14:paraId="6C036E6A" w14:textId="4FF63CBB" w:rsidR="004836C3" w:rsidRDefault="004836C3" w:rsidP="004836C3">
      <w:pPr>
        <w:spacing w:after="0"/>
        <w:jc w:val="both"/>
        <w:rPr>
          <w:rFonts w:ascii="Verdana" w:hAnsi="Verdana" w:cs="Arial"/>
          <w:b/>
          <w:lang w:eastAsia="es-ES_tradnl"/>
        </w:rPr>
      </w:pPr>
    </w:p>
    <w:p w14:paraId="3484A375" w14:textId="7D56BEFF" w:rsidR="004836C3" w:rsidRDefault="004836C3" w:rsidP="004836C3">
      <w:pPr>
        <w:spacing w:after="0"/>
        <w:jc w:val="both"/>
        <w:rPr>
          <w:rFonts w:ascii="Verdana" w:hAnsi="Verdana" w:cs="Arial"/>
          <w:b/>
          <w:lang w:eastAsia="es-ES_tradnl"/>
        </w:rPr>
      </w:pPr>
    </w:p>
    <w:p w14:paraId="03EA4755" w14:textId="1B0DB34F" w:rsidR="004836C3" w:rsidRDefault="004836C3" w:rsidP="004836C3">
      <w:pPr>
        <w:spacing w:after="0"/>
        <w:jc w:val="both"/>
        <w:rPr>
          <w:rFonts w:ascii="Verdana" w:hAnsi="Verdana" w:cs="Arial"/>
          <w:b/>
          <w:lang w:eastAsia="es-ES_tradnl"/>
        </w:rPr>
      </w:pPr>
    </w:p>
    <w:p w14:paraId="77A48F73" w14:textId="2954DAB6" w:rsidR="004836C3" w:rsidRDefault="004836C3" w:rsidP="004836C3">
      <w:pPr>
        <w:spacing w:after="0"/>
        <w:jc w:val="both"/>
        <w:rPr>
          <w:rFonts w:ascii="Verdana" w:hAnsi="Verdana" w:cs="Arial"/>
          <w:b/>
          <w:lang w:eastAsia="es-ES_tradnl"/>
        </w:rPr>
      </w:pPr>
    </w:p>
    <w:p w14:paraId="37573B7B" w14:textId="61ACFD92" w:rsidR="004836C3" w:rsidRDefault="004836C3" w:rsidP="004836C3">
      <w:pPr>
        <w:spacing w:after="0"/>
        <w:jc w:val="both"/>
        <w:rPr>
          <w:rFonts w:ascii="Verdana" w:hAnsi="Verdana" w:cs="Arial"/>
          <w:b/>
          <w:lang w:eastAsia="es-ES_tradnl"/>
        </w:rPr>
      </w:pPr>
    </w:p>
    <w:p w14:paraId="4488C61F" w14:textId="07AF0CAF" w:rsidR="004836C3" w:rsidRDefault="004836C3" w:rsidP="004836C3">
      <w:pPr>
        <w:spacing w:after="0"/>
        <w:jc w:val="both"/>
        <w:rPr>
          <w:rFonts w:ascii="Verdana" w:hAnsi="Verdana" w:cs="Arial"/>
          <w:b/>
          <w:lang w:eastAsia="es-ES_tradnl"/>
        </w:rPr>
      </w:pPr>
    </w:p>
    <w:p w14:paraId="61865317" w14:textId="0097FC84" w:rsidR="004836C3" w:rsidRDefault="004836C3" w:rsidP="004836C3">
      <w:pPr>
        <w:spacing w:after="0"/>
        <w:jc w:val="both"/>
        <w:rPr>
          <w:rFonts w:ascii="Verdana" w:hAnsi="Verdana" w:cs="Arial"/>
          <w:b/>
          <w:lang w:eastAsia="es-ES_tradnl"/>
        </w:rPr>
      </w:pPr>
    </w:p>
    <w:p w14:paraId="61BEF632" w14:textId="11DE9B42" w:rsidR="004836C3" w:rsidRDefault="004836C3" w:rsidP="004836C3">
      <w:pPr>
        <w:spacing w:after="0"/>
        <w:jc w:val="both"/>
        <w:rPr>
          <w:rFonts w:ascii="Verdana" w:hAnsi="Verdana" w:cs="Arial"/>
          <w:b/>
          <w:lang w:eastAsia="es-ES_tradnl"/>
        </w:rPr>
      </w:pPr>
    </w:p>
    <w:p w14:paraId="23F6F451" w14:textId="32068674" w:rsidR="004836C3" w:rsidRDefault="004836C3" w:rsidP="004836C3">
      <w:pPr>
        <w:spacing w:after="0"/>
        <w:jc w:val="both"/>
        <w:rPr>
          <w:rFonts w:ascii="Verdana" w:hAnsi="Verdana" w:cs="Arial"/>
          <w:b/>
          <w:lang w:eastAsia="es-ES_tradnl"/>
        </w:rPr>
      </w:pPr>
    </w:p>
    <w:p w14:paraId="3F60CDE2" w14:textId="68B04082" w:rsidR="004836C3" w:rsidRDefault="004836C3" w:rsidP="004836C3">
      <w:pPr>
        <w:spacing w:after="0"/>
        <w:jc w:val="both"/>
        <w:rPr>
          <w:rFonts w:ascii="Verdana" w:hAnsi="Verdana" w:cs="Arial"/>
          <w:b/>
          <w:lang w:eastAsia="es-ES_tradnl"/>
        </w:rPr>
      </w:pPr>
    </w:p>
    <w:p w14:paraId="4CA7A300" w14:textId="4F299FCD" w:rsidR="004836C3" w:rsidRDefault="004836C3" w:rsidP="004836C3">
      <w:pPr>
        <w:spacing w:after="0"/>
        <w:jc w:val="both"/>
        <w:rPr>
          <w:rFonts w:ascii="Verdana" w:hAnsi="Verdana" w:cs="Arial"/>
          <w:b/>
          <w:lang w:eastAsia="es-ES_tradnl"/>
        </w:rPr>
      </w:pPr>
    </w:p>
    <w:p w14:paraId="0AE45BAF" w14:textId="72F1A42C" w:rsidR="004836C3" w:rsidRDefault="004836C3" w:rsidP="004836C3">
      <w:pPr>
        <w:spacing w:after="0"/>
        <w:jc w:val="both"/>
        <w:rPr>
          <w:rFonts w:ascii="Verdana" w:hAnsi="Verdana" w:cs="Arial"/>
          <w:b/>
          <w:lang w:eastAsia="es-ES_tradnl"/>
        </w:rPr>
      </w:pPr>
    </w:p>
    <w:p w14:paraId="3B342991" w14:textId="3BD402A4" w:rsidR="004836C3" w:rsidRDefault="004836C3" w:rsidP="004836C3">
      <w:pPr>
        <w:spacing w:after="0"/>
        <w:jc w:val="both"/>
        <w:rPr>
          <w:rFonts w:ascii="Verdana" w:hAnsi="Verdana" w:cs="Arial"/>
          <w:b/>
          <w:lang w:eastAsia="es-ES_tradnl"/>
        </w:rPr>
      </w:pPr>
    </w:p>
    <w:p w14:paraId="4F761D73" w14:textId="48AE886B" w:rsidR="004836C3" w:rsidRDefault="004836C3" w:rsidP="004836C3">
      <w:pPr>
        <w:spacing w:after="0"/>
        <w:jc w:val="both"/>
        <w:rPr>
          <w:rFonts w:ascii="Verdana" w:hAnsi="Verdana" w:cs="Arial"/>
          <w:b/>
          <w:lang w:eastAsia="es-ES_tradnl"/>
        </w:rPr>
      </w:pPr>
    </w:p>
    <w:p w14:paraId="6AB457AC" w14:textId="73EA4A01" w:rsidR="004836C3" w:rsidRDefault="004836C3" w:rsidP="004836C3">
      <w:pPr>
        <w:spacing w:after="0"/>
        <w:jc w:val="both"/>
        <w:rPr>
          <w:rFonts w:ascii="Verdana" w:hAnsi="Verdana" w:cs="Arial"/>
          <w:b/>
          <w:lang w:eastAsia="es-ES_tradnl"/>
        </w:rPr>
      </w:pPr>
    </w:p>
    <w:p w14:paraId="7E25ED10" w14:textId="071CBB59" w:rsidR="004836C3" w:rsidRDefault="004836C3" w:rsidP="004836C3">
      <w:pPr>
        <w:spacing w:after="0"/>
        <w:jc w:val="both"/>
        <w:rPr>
          <w:rFonts w:ascii="Verdana" w:hAnsi="Verdana" w:cs="Arial"/>
          <w:b/>
          <w:lang w:eastAsia="es-ES_tradnl"/>
        </w:rPr>
      </w:pPr>
    </w:p>
    <w:p w14:paraId="744BFCC7" w14:textId="16E435AD" w:rsidR="004836C3" w:rsidRDefault="004836C3" w:rsidP="004836C3">
      <w:pPr>
        <w:spacing w:after="0"/>
        <w:jc w:val="both"/>
        <w:rPr>
          <w:rFonts w:ascii="Verdana" w:hAnsi="Verdana" w:cs="Arial"/>
          <w:b/>
          <w:lang w:eastAsia="es-ES_tradnl"/>
        </w:rPr>
      </w:pPr>
    </w:p>
    <w:p w14:paraId="4BEBDBA1" w14:textId="0145AE75" w:rsidR="004836C3" w:rsidRDefault="004836C3" w:rsidP="004836C3">
      <w:pPr>
        <w:spacing w:after="0"/>
        <w:jc w:val="both"/>
        <w:rPr>
          <w:rFonts w:ascii="Verdana" w:hAnsi="Verdana" w:cs="Arial"/>
          <w:b/>
          <w:lang w:eastAsia="es-ES_tradnl"/>
        </w:rPr>
      </w:pPr>
    </w:p>
    <w:p w14:paraId="694265C4" w14:textId="61857FAB" w:rsidR="004836C3" w:rsidRDefault="004836C3" w:rsidP="004836C3">
      <w:pPr>
        <w:spacing w:after="0"/>
        <w:jc w:val="both"/>
        <w:rPr>
          <w:rFonts w:ascii="Verdana" w:hAnsi="Verdana" w:cs="Arial"/>
          <w:b/>
          <w:lang w:eastAsia="es-ES_tradnl"/>
        </w:rPr>
      </w:pPr>
    </w:p>
    <w:p w14:paraId="23D8709F" w14:textId="6B7E4417" w:rsidR="004836C3" w:rsidRDefault="004836C3" w:rsidP="004836C3">
      <w:pPr>
        <w:spacing w:after="0"/>
        <w:jc w:val="both"/>
        <w:rPr>
          <w:rFonts w:ascii="Verdana" w:hAnsi="Verdana" w:cs="Arial"/>
          <w:b/>
          <w:lang w:eastAsia="es-ES_tradnl"/>
        </w:rPr>
      </w:pPr>
    </w:p>
    <w:p w14:paraId="7584D13C" w14:textId="5DFA7BFB" w:rsidR="004836C3" w:rsidRDefault="004836C3" w:rsidP="004836C3">
      <w:pPr>
        <w:spacing w:after="0"/>
        <w:jc w:val="both"/>
        <w:rPr>
          <w:rFonts w:ascii="Verdana" w:hAnsi="Verdana" w:cs="Arial"/>
          <w:b/>
          <w:lang w:val="es-MX" w:eastAsia="es-ES_tradnl"/>
        </w:rPr>
      </w:pPr>
      <w:bookmarkStart w:id="1" w:name="_GoBack"/>
      <w:bookmarkEnd w:id="1"/>
      <w:r w:rsidRPr="0024624F">
        <w:rPr>
          <w:rFonts w:ascii="Verdana" w:hAnsi="Verdana"/>
        </w:rPr>
        <w:lastRenderedPageBreak/>
        <w:t xml:space="preserve">Bogotá D.C., </w:t>
      </w:r>
      <w:r>
        <w:rPr>
          <w:rFonts w:ascii="Verdana" w:hAnsi="Verdana"/>
        </w:rPr>
        <w:t>26 de diciembre de 2025</w:t>
      </w:r>
    </w:p>
    <w:p w14:paraId="0370AFFF" w14:textId="3508AD50" w:rsidR="004836C3" w:rsidRDefault="004836C3" w:rsidP="004836C3">
      <w:pPr>
        <w:spacing w:after="0"/>
        <w:jc w:val="both"/>
        <w:rPr>
          <w:rFonts w:ascii="Verdana" w:hAnsi="Verdana" w:cs="Arial"/>
          <w:b/>
          <w:lang w:val="es-MX" w:eastAsia="es-ES_tradnl"/>
        </w:rPr>
      </w:pPr>
      <w:r w:rsidRPr="004836C3">
        <w:rPr>
          <w:rFonts w:ascii="Verdana" w:hAnsi="Verdana" w:cs="Arial"/>
          <w:b/>
          <w:noProof/>
          <w:lang w:val="en-US"/>
        </w:rPr>
        <w:drawing>
          <wp:anchor distT="0" distB="0" distL="114300" distR="114300" simplePos="0" relativeHeight="251658240" behindDoc="0" locked="0" layoutInCell="1" allowOverlap="1" wp14:anchorId="5C41A9C9" wp14:editId="715F6DF1">
            <wp:simplePos x="0" y="0"/>
            <wp:positionH relativeFrom="column">
              <wp:posOffset>2800985</wp:posOffset>
            </wp:positionH>
            <wp:positionV relativeFrom="paragraph">
              <wp:posOffset>14605</wp:posOffset>
            </wp:positionV>
            <wp:extent cx="2955290" cy="76454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5290" cy="764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58571E" w14:textId="77777777" w:rsidR="004836C3" w:rsidRPr="004836C3" w:rsidRDefault="004836C3" w:rsidP="004836C3">
      <w:pPr>
        <w:spacing w:after="0"/>
        <w:jc w:val="both"/>
        <w:rPr>
          <w:rFonts w:ascii="Verdana" w:hAnsi="Verdana"/>
          <w:b/>
        </w:rPr>
      </w:pPr>
    </w:p>
    <w:p w14:paraId="2BA790E2" w14:textId="77777777" w:rsidR="002964FC" w:rsidRPr="008C67B1" w:rsidRDefault="002964FC" w:rsidP="002964FC">
      <w:pPr>
        <w:spacing w:after="0" w:line="240" w:lineRule="auto"/>
        <w:rPr>
          <w:rFonts w:ascii="Verdana" w:eastAsia="Calibri" w:hAnsi="Verdana" w:cs="Times New Roman"/>
          <w:lang w:val="es-MX"/>
        </w:rPr>
      </w:pPr>
      <w:r w:rsidRPr="008C67B1">
        <w:rPr>
          <w:rFonts w:ascii="Verdana" w:eastAsia="Calibri" w:hAnsi="Verdana" w:cs="Times New Roman"/>
          <w:lang w:val="es-MX"/>
        </w:rPr>
        <w:t>Señora</w:t>
      </w:r>
    </w:p>
    <w:p w14:paraId="566DEBB1" w14:textId="77777777" w:rsidR="002964FC" w:rsidRPr="008C67B1" w:rsidRDefault="002964FC" w:rsidP="002964FC">
      <w:pPr>
        <w:spacing w:after="0" w:line="240" w:lineRule="auto"/>
        <w:rPr>
          <w:rFonts w:ascii="Verdana" w:eastAsia="Calibri" w:hAnsi="Verdana" w:cs="Times New Roman"/>
          <w:b/>
        </w:rPr>
      </w:pPr>
      <w:r w:rsidRPr="008C67B1">
        <w:rPr>
          <w:rFonts w:ascii="Verdana" w:eastAsia="Calibri" w:hAnsi="Verdana" w:cs="Times New Roman"/>
          <w:b/>
        </w:rPr>
        <w:t>Carolina Echeverri González</w:t>
      </w:r>
    </w:p>
    <w:p w14:paraId="51F7CAFA" w14:textId="77777777" w:rsidR="002964FC" w:rsidRPr="008C67B1" w:rsidRDefault="00BB005F" w:rsidP="002964FC">
      <w:pPr>
        <w:spacing w:after="0" w:line="240" w:lineRule="auto"/>
        <w:rPr>
          <w:rFonts w:ascii="Verdana" w:hAnsi="Verdana"/>
        </w:rPr>
      </w:pPr>
      <w:hyperlink r:id="rId12" w:history="1">
        <w:r w:rsidR="002964FC" w:rsidRPr="008C67B1">
          <w:rPr>
            <w:rStyle w:val="Hipervnculo"/>
            <w:rFonts w:ascii="Verdana" w:hAnsi="Verdana"/>
          </w:rPr>
          <w:t>plazasdemercado.pei@unilibre.edu.co</w:t>
        </w:r>
      </w:hyperlink>
      <w:r w:rsidR="002964FC" w:rsidRPr="008C67B1">
        <w:rPr>
          <w:rFonts w:ascii="Verdana" w:hAnsi="Verdana"/>
        </w:rPr>
        <w:t xml:space="preserve"> </w:t>
      </w:r>
    </w:p>
    <w:p w14:paraId="2A32C551" w14:textId="77777777" w:rsidR="002964FC" w:rsidRPr="008C67B1" w:rsidRDefault="002964FC" w:rsidP="002964FC">
      <w:pPr>
        <w:spacing w:after="0" w:line="240" w:lineRule="auto"/>
        <w:rPr>
          <w:rFonts w:ascii="Verdana" w:eastAsia="Calibri" w:hAnsi="Verdana" w:cs="Times New Roman"/>
        </w:rPr>
      </w:pPr>
      <w:r w:rsidRPr="008C67B1">
        <w:rPr>
          <w:rFonts w:ascii="Verdana" w:eastAsia="Calibri" w:hAnsi="Verdana" w:cs="Times New Roman"/>
        </w:rPr>
        <w:t xml:space="preserve">Bogotá D.C. </w:t>
      </w:r>
    </w:p>
    <w:p w14:paraId="78C88EDC" w14:textId="77777777" w:rsidR="002964FC" w:rsidRPr="008C67B1" w:rsidRDefault="002964FC" w:rsidP="002964FC">
      <w:pPr>
        <w:spacing w:after="0" w:line="256" w:lineRule="auto"/>
        <w:rPr>
          <w:rFonts w:ascii="Verdana" w:eastAsia="Calibri" w:hAnsi="Verdana" w:cs="Times New Roman"/>
        </w:rPr>
      </w:pPr>
    </w:p>
    <w:p w14:paraId="411D9757" w14:textId="77777777" w:rsidR="002964FC" w:rsidRPr="008C67B1" w:rsidRDefault="002964FC" w:rsidP="002964FC">
      <w:pPr>
        <w:spacing w:after="0" w:line="256" w:lineRule="auto"/>
        <w:rPr>
          <w:rFonts w:ascii="Verdana" w:eastAsia="Calibri" w:hAnsi="Verdana" w:cs="Times New Roman"/>
        </w:rPr>
      </w:pPr>
    </w:p>
    <w:p w14:paraId="2743C38B" w14:textId="77777777" w:rsidR="002964FC" w:rsidRPr="00A12CB6" w:rsidRDefault="002964FC" w:rsidP="002964FC">
      <w:pPr>
        <w:spacing w:after="0" w:line="256" w:lineRule="auto"/>
        <w:rPr>
          <w:rFonts w:ascii="Verdana" w:eastAsia="Calibri" w:hAnsi="Verdana" w:cs="Times New Roman"/>
          <w:b/>
          <w:bCs/>
          <w:lang w:val="es-ES"/>
        </w:rPr>
      </w:pPr>
      <w:r w:rsidRPr="008C67B1">
        <w:rPr>
          <w:rFonts w:ascii="Verdana" w:eastAsia="Calibri" w:hAnsi="Verdana" w:cs="Times New Roman"/>
          <w:b/>
          <w:bCs/>
          <w:lang w:val="es-ES"/>
        </w:rPr>
        <w:t xml:space="preserve">                                    </w:t>
      </w:r>
      <w:r>
        <w:rPr>
          <w:rFonts w:ascii="Verdana" w:eastAsia="Calibri" w:hAnsi="Verdana" w:cs="Times New Roman"/>
          <w:b/>
          <w:bCs/>
          <w:lang w:val="es-ES"/>
        </w:rPr>
        <w:t>Concepto C- 1770 de 2025</w:t>
      </w:r>
    </w:p>
    <w:p w14:paraId="6DB1644A" w14:textId="77777777" w:rsidR="002964FC" w:rsidRPr="00A12CB6" w:rsidRDefault="002964FC" w:rsidP="002964FC">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964FC" w:rsidRPr="00A12CB6" w14:paraId="03DB2C14" w14:textId="77777777" w:rsidTr="000F7FDB">
        <w:trPr>
          <w:trHeight w:val="645"/>
        </w:trPr>
        <w:tc>
          <w:tcPr>
            <w:tcW w:w="2685" w:type="dxa"/>
            <w:hideMark/>
          </w:tcPr>
          <w:p w14:paraId="49615EF2" w14:textId="77777777" w:rsidR="002964FC" w:rsidRPr="00A12CB6" w:rsidRDefault="002964FC" w:rsidP="000F7FDB">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378451B1" w14:textId="77777777" w:rsidR="002964FC" w:rsidRPr="00B74FAE" w:rsidRDefault="002964FC" w:rsidP="000F7FDB">
            <w:pPr>
              <w:spacing w:line="276" w:lineRule="auto"/>
              <w:jc w:val="both"/>
              <w:rPr>
                <w:rFonts w:ascii="Verdana" w:hAnsi="Verdana" w:cs="Arial"/>
                <w:lang w:val="es-MX" w:eastAsia="es-ES_tradnl"/>
              </w:rPr>
            </w:pPr>
            <w:r w:rsidRPr="008C67B1">
              <w:rPr>
                <w:rFonts w:ascii="Verdana" w:hAnsi="Verdana" w:cs="Arial"/>
                <w:lang w:val="es-MX" w:eastAsia="es-ES_tradnl"/>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SISTEMA GENERAL DE REGALÍAS – Objeto – Aplicación </w:t>
            </w:r>
            <w:r>
              <w:rPr>
                <w:rFonts w:ascii="Verdana" w:hAnsi="Verdana" w:cs="Arial"/>
                <w:lang w:val="es-MX" w:eastAsia="es-ES_tradnl"/>
              </w:rPr>
              <w:t>Alcance – Entidades Privadas</w:t>
            </w:r>
            <w:r w:rsidRPr="008C67B1">
              <w:rPr>
                <w:rFonts w:ascii="Verdana" w:hAnsi="Verdana" w:cs="Arial"/>
                <w:lang w:val="es-MX" w:eastAsia="es-ES_tradnl"/>
              </w:rPr>
              <w:t>–</w:t>
            </w:r>
            <w:r>
              <w:rPr>
                <w:rFonts w:ascii="Verdana" w:hAnsi="Verdana" w:cs="Arial"/>
                <w:lang w:val="es-MX" w:eastAsia="es-ES_tradnl"/>
              </w:rPr>
              <w:t xml:space="preserve"> Ejecutoras-</w:t>
            </w:r>
            <w:r w:rsidRPr="008C67B1">
              <w:rPr>
                <w:rFonts w:ascii="Verdana" w:hAnsi="Verdana" w:cs="Arial"/>
                <w:lang w:val="es-MX" w:eastAsia="es-ES_tradnl"/>
              </w:rPr>
              <w:t xml:space="preserve"> Ley de Garantías Electorales.</w:t>
            </w:r>
          </w:p>
        </w:tc>
        <w:tc>
          <w:tcPr>
            <w:tcW w:w="6237" w:type="dxa"/>
          </w:tcPr>
          <w:p w14:paraId="6A3EBCBA" w14:textId="77777777" w:rsidR="002964FC" w:rsidRPr="00A12CB6" w:rsidRDefault="002964FC" w:rsidP="000F7FDB">
            <w:pPr>
              <w:spacing w:line="256" w:lineRule="auto"/>
              <w:rPr>
                <w:rFonts w:ascii="Verdana" w:hAnsi="Verdana"/>
              </w:rPr>
            </w:pPr>
          </w:p>
        </w:tc>
      </w:tr>
      <w:tr w:rsidR="002964FC" w:rsidRPr="00A12CB6" w14:paraId="142A16AA" w14:textId="77777777" w:rsidTr="000F7FDB">
        <w:tc>
          <w:tcPr>
            <w:tcW w:w="2685" w:type="dxa"/>
          </w:tcPr>
          <w:p w14:paraId="0A369C16" w14:textId="77777777" w:rsidR="002964FC" w:rsidRDefault="002964FC" w:rsidP="000F7FDB">
            <w:pPr>
              <w:spacing w:line="256" w:lineRule="auto"/>
              <w:rPr>
                <w:rFonts w:ascii="Verdana" w:hAnsi="Verdana"/>
                <w:b/>
                <w:bCs/>
                <w:lang w:val="es-ES_tradnl"/>
              </w:rPr>
            </w:pPr>
          </w:p>
          <w:p w14:paraId="6C0EC0E5" w14:textId="77777777" w:rsidR="002964FC" w:rsidRDefault="002964FC" w:rsidP="000F7FDB">
            <w:pPr>
              <w:spacing w:line="256" w:lineRule="auto"/>
              <w:rPr>
                <w:rFonts w:ascii="Verdana" w:hAnsi="Verdana"/>
                <w:b/>
                <w:bCs/>
                <w:lang w:val="es-ES_tradnl"/>
              </w:rPr>
            </w:pPr>
          </w:p>
          <w:p w14:paraId="0D0B0748" w14:textId="77777777" w:rsidR="002964FC" w:rsidRPr="00A12CB6" w:rsidRDefault="002964FC" w:rsidP="000F7FDB">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7B2312D2" w14:textId="77777777" w:rsidR="002964FC" w:rsidRPr="00273620" w:rsidRDefault="002964FC" w:rsidP="000F7FDB">
            <w:pPr>
              <w:spacing w:line="257" w:lineRule="auto"/>
              <w:jc w:val="both"/>
              <w:rPr>
                <w:rFonts w:ascii="Verdana" w:hAnsi="Verdana"/>
                <w:lang w:val="es-ES_tradnl"/>
              </w:rPr>
            </w:pPr>
          </w:p>
          <w:p w14:paraId="0B95EEF0" w14:textId="77777777" w:rsidR="002964FC" w:rsidRPr="00273620" w:rsidRDefault="002964FC" w:rsidP="000F7FDB">
            <w:pPr>
              <w:spacing w:line="257" w:lineRule="auto"/>
              <w:jc w:val="both"/>
              <w:rPr>
                <w:rFonts w:ascii="Verdana" w:hAnsi="Verdana"/>
                <w:lang w:val="es-ES_tradnl"/>
              </w:rPr>
            </w:pPr>
          </w:p>
          <w:p w14:paraId="11FC2F5A" w14:textId="77777777" w:rsidR="002964FC" w:rsidRPr="00273620" w:rsidRDefault="002964FC" w:rsidP="000F7FDB">
            <w:pPr>
              <w:spacing w:line="257" w:lineRule="auto"/>
              <w:jc w:val="both"/>
              <w:rPr>
                <w:rFonts w:ascii="Verdana" w:hAnsi="Verdana"/>
              </w:rPr>
            </w:pPr>
            <w:r w:rsidRPr="00273620">
              <w:rPr>
                <w:rFonts w:ascii="Verdana" w:hAnsi="Verdana"/>
                <w:lang w:val="es-ES_tradnl"/>
              </w:rPr>
              <w:t xml:space="preserve">Respuesta a consulta con radicado No. </w:t>
            </w:r>
            <w:r w:rsidRPr="008C67B1">
              <w:rPr>
                <w:rFonts w:ascii="Verdana" w:hAnsi="Verdana"/>
              </w:rPr>
              <w:t>1_2025_11_27_013404</w:t>
            </w:r>
            <w:r w:rsidRPr="00273620">
              <w:rPr>
                <w:rFonts w:ascii="Verdana" w:hAnsi="Verdana"/>
              </w:rPr>
              <w:t xml:space="preserve"> </w:t>
            </w:r>
          </w:p>
          <w:p w14:paraId="12B15216" w14:textId="77777777" w:rsidR="002964FC" w:rsidRPr="00273620" w:rsidRDefault="002964FC" w:rsidP="000F7FDB">
            <w:pPr>
              <w:spacing w:line="257" w:lineRule="auto"/>
              <w:jc w:val="both"/>
              <w:rPr>
                <w:rFonts w:ascii="Verdana" w:hAnsi="Verdana"/>
              </w:rPr>
            </w:pPr>
          </w:p>
        </w:tc>
        <w:tc>
          <w:tcPr>
            <w:tcW w:w="6237" w:type="dxa"/>
          </w:tcPr>
          <w:p w14:paraId="37A6C6EC" w14:textId="77777777" w:rsidR="002964FC" w:rsidRPr="00A12CB6" w:rsidRDefault="002964FC" w:rsidP="000F7FDB">
            <w:pPr>
              <w:spacing w:line="256" w:lineRule="auto"/>
              <w:rPr>
                <w:rFonts w:ascii="Verdana" w:hAnsi="Verdana"/>
                <w:lang w:val="es-ES_tradnl"/>
              </w:rPr>
            </w:pPr>
          </w:p>
        </w:tc>
      </w:tr>
    </w:tbl>
    <w:p w14:paraId="2DB443D0" w14:textId="77777777" w:rsidR="002964FC" w:rsidRPr="00A12CB6" w:rsidRDefault="002964FC" w:rsidP="002964FC">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Echeverri: </w:t>
      </w:r>
      <w:r w:rsidRPr="00A12CB6">
        <w:rPr>
          <w:rFonts w:ascii="Verdana" w:eastAsia="Calibri" w:hAnsi="Verdana" w:cs="Times New Roman"/>
          <w:lang w:val="es-ES"/>
        </w:rPr>
        <w:t xml:space="preserve"> </w:t>
      </w:r>
    </w:p>
    <w:p w14:paraId="779A440C" w14:textId="77777777" w:rsidR="002964FC" w:rsidRPr="00A12CB6" w:rsidRDefault="002964FC" w:rsidP="002964FC">
      <w:pPr>
        <w:spacing w:after="0" w:line="256" w:lineRule="auto"/>
        <w:rPr>
          <w:rFonts w:ascii="Verdana" w:eastAsia="Calibri" w:hAnsi="Verdana" w:cs="Times New Roman"/>
          <w:lang w:val="es-ES"/>
        </w:rPr>
      </w:pPr>
    </w:p>
    <w:p w14:paraId="7431771E" w14:textId="77777777" w:rsidR="002964FC" w:rsidRDefault="002964FC" w:rsidP="002964FC">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w:t>
      </w:r>
      <w:r>
        <w:rPr>
          <w:rFonts w:ascii="Verdana" w:eastAsia="Calibri" w:hAnsi="Verdana" w:cs="Times New Roman"/>
          <w:bCs/>
          <w:lang w:val="es-ES" w:bidi="es-ES"/>
        </w:rPr>
        <w:t xml:space="preserve"> Compra Eficiente </w:t>
      </w:r>
      <w:r w:rsidRPr="00A12061">
        <w:rPr>
          <w:rFonts w:ascii="Verdana" w:eastAsia="Calibri" w:hAnsi="Verdana" w:cs="Times New Roman"/>
          <w:lang w:val="es-ES"/>
        </w:rPr>
        <w:t>responde la solicit</w:t>
      </w:r>
      <w:r>
        <w:rPr>
          <w:rFonts w:ascii="Verdana" w:eastAsia="Calibri" w:hAnsi="Verdana" w:cs="Times New Roman"/>
          <w:lang w:val="es-ES"/>
        </w:rPr>
        <w:t xml:space="preserve">ud de consulta presentada el 27 de noviembre de 2025 en torno al alcance de la Circular Externa 06 de la Agencia que trata sobre la Ley de Garantías Electorales a las universidades privadas que ejecutan proyectos del Sistema General de </w:t>
      </w:r>
      <w:r>
        <w:rPr>
          <w:rFonts w:ascii="Verdana" w:eastAsia="Calibri" w:hAnsi="Verdana" w:cs="Times New Roman"/>
          <w:lang w:val="es-ES"/>
        </w:rPr>
        <w:lastRenderedPageBreak/>
        <w:t>Regalías para el desarrollo de actividades científicas y tecnológicas,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28B3B65B" w14:textId="77777777" w:rsidR="002964FC" w:rsidRDefault="002964FC" w:rsidP="002964FC">
      <w:pPr>
        <w:spacing w:after="0" w:line="240" w:lineRule="auto"/>
        <w:ind w:right="709"/>
        <w:jc w:val="both"/>
        <w:rPr>
          <w:rFonts w:ascii="Verdana" w:eastAsia="Calibri" w:hAnsi="Verdana" w:cs="Times New Roman"/>
          <w:i/>
          <w:iCs/>
          <w:sz w:val="20"/>
        </w:rPr>
      </w:pPr>
    </w:p>
    <w:p w14:paraId="11678FA9" w14:textId="77777777" w:rsidR="002964FC" w:rsidRPr="004971B1" w:rsidRDefault="002964FC" w:rsidP="002964FC">
      <w:pPr>
        <w:spacing w:line="240" w:lineRule="auto"/>
        <w:ind w:left="720" w:right="709"/>
        <w:contextualSpacing/>
        <w:jc w:val="both"/>
        <w:rPr>
          <w:rFonts w:ascii="Verdana" w:eastAsia="Calibri" w:hAnsi="Verdana" w:cs="Times New Roman"/>
          <w:i/>
          <w:iCs/>
          <w:sz w:val="20"/>
          <w:szCs w:val="20"/>
        </w:rPr>
      </w:pPr>
      <w:r w:rsidRPr="004971B1">
        <w:rPr>
          <w:rFonts w:ascii="Verdana" w:eastAsia="Calibri" w:hAnsi="Verdana" w:cs="Times New Roman"/>
          <w:iCs/>
          <w:sz w:val="20"/>
          <w:szCs w:val="20"/>
          <w:lang w:val="es-ES"/>
        </w:rPr>
        <w:t xml:space="preserve">“[…] </w:t>
      </w:r>
      <w:r w:rsidRPr="004971B1">
        <w:rPr>
          <w:rFonts w:ascii="Verdana" w:eastAsia="Calibri" w:hAnsi="Verdana" w:cs="Times New Roman"/>
          <w:iCs/>
          <w:sz w:val="20"/>
          <w:szCs w:val="20"/>
        </w:rPr>
        <w:t xml:space="preserve">solicitamos claridad en cuanto a los destinatarios de la circular en cuanto alude a particulares que ejecuten recursos públicos y si le asiste alguna restricción para celebrar contratos en ejecución del proyecto </w:t>
      </w:r>
      <w:r w:rsidRPr="004971B1">
        <w:rPr>
          <w:rFonts w:ascii="Verdana" w:eastAsia="Calibri" w:hAnsi="Verdana" w:cs="Times New Roman"/>
          <w:i/>
          <w:iCs/>
          <w:sz w:val="20"/>
          <w:szCs w:val="20"/>
        </w:rPr>
        <w:t>’Investigación en la valorización de los residuos orgánicos en las Plazas de Mercado y su impacto socioeconómico y ambiental apoyado con tecnologías innovadoras en los municipios de Belén De Umbría, Pereira, Santa Rosa De Cabal, Manizales’ en época pre electoral”</w:t>
      </w:r>
      <w:r>
        <w:rPr>
          <w:rFonts w:ascii="Verdana" w:eastAsia="Aptos" w:hAnsi="Verdana" w:cs="Arial"/>
          <w:sz w:val="20"/>
          <w:szCs w:val="20"/>
        </w:rPr>
        <w:t xml:space="preserve"> (énfasis dentro de texto)</w:t>
      </w:r>
    </w:p>
    <w:p w14:paraId="4CFF0EA0" w14:textId="77777777" w:rsidR="002964FC" w:rsidRPr="0038606D" w:rsidRDefault="002964FC" w:rsidP="002964FC">
      <w:pPr>
        <w:spacing w:after="0" w:line="240" w:lineRule="auto"/>
        <w:ind w:right="709"/>
        <w:jc w:val="both"/>
        <w:rPr>
          <w:rFonts w:ascii="Verdana" w:eastAsia="Calibri" w:hAnsi="Verdana" w:cs="Times New Roman"/>
          <w:i/>
          <w:iCs/>
          <w:sz w:val="20"/>
        </w:rPr>
      </w:pPr>
    </w:p>
    <w:p w14:paraId="6FE0EDDC" w14:textId="77777777" w:rsidR="002964FC" w:rsidRPr="00A12CB6" w:rsidRDefault="002964FC" w:rsidP="002964FC">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311F3AE" w14:textId="77777777" w:rsidR="002964FC" w:rsidRPr="00A12CB6" w:rsidRDefault="002964FC" w:rsidP="002964FC">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02BE1D47" w14:textId="77777777" w:rsidR="002964FC" w:rsidRPr="00A12CB6" w:rsidRDefault="002964FC" w:rsidP="002964FC">
      <w:pPr>
        <w:spacing w:after="0" w:line="276" w:lineRule="auto"/>
        <w:rPr>
          <w:rFonts w:ascii="Verdana" w:eastAsia="Calibri" w:hAnsi="Verdana" w:cs="Times New Roman"/>
          <w:lang w:val="es-ES"/>
        </w:rPr>
      </w:pPr>
    </w:p>
    <w:p w14:paraId="5275CFB5" w14:textId="77777777" w:rsidR="002964FC" w:rsidRPr="00A12CB6" w:rsidRDefault="002964FC" w:rsidP="002964FC">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0CAE4553" w14:textId="77777777" w:rsidR="002964FC" w:rsidRPr="00A12CB6" w:rsidRDefault="002964FC" w:rsidP="002964FC">
      <w:pPr>
        <w:spacing w:after="0" w:line="276" w:lineRule="auto"/>
        <w:rPr>
          <w:rFonts w:ascii="Verdana" w:eastAsia="Calibri" w:hAnsi="Verdana" w:cs="Times New Roman"/>
        </w:rPr>
      </w:pPr>
    </w:p>
    <w:p w14:paraId="14A64138" w14:textId="77777777" w:rsidR="002964FC" w:rsidRPr="008A0221" w:rsidRDefault="002964FC" w:rsidP="002964FC">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w:t>
      </w:r>
      <w:r w:rsidRPr="008C67B1">
        <w:rPr>
          <w:rFonts w:ascii="Verdana" w:eastAsia="Calibri" w:hAnsi="Verdana" w:cs="Times New Roman"/>
          <w:iCs/>
          <w:lang w:val="es-ES"/>
        </w:rPr>
        <w:t>Es procedente la restricción de la contratación directa dispuesta en el ar</w:t>
      </w:r>
      <w:r>
        <w:rPr>
          <w:rFonts w:ascii="Verdana" w:eastAsia="Calibri" w:hAnsi="Verdana" w:cs="Times New Roman"/>
          <w:iCs/>
          <w:lang w:val="es-ES"/>
        </w:rPr>
        <w:t>tículo 33 de la Ley 996 de 2005</w:t>
      </w:r>
      <w:r w:rsidRPr="008C67B1">
        <w:rPr>
          <w:rFonts w:ascii="Verdana" w:eastAsia="Calibri" w:hAnsi="Verdana" w:cs="Times New Roman"/>
          <w:bCs/>
          <w:iCs/>
        </w:rPr>
        <w:t xml:space="preserve"> a los procesos </w:t>
      </w:r>
      <w:r w:rsidRPr="008C67B1">
        <w:rPr>
          <w:rFonts w:ascii="Verdana" w:eastAsia="Calibri" w:hAnsi="Verdana" w:cs="Times New Roman"/>
          <w:bCs/>
          <w:iCs/>
        </w:rPr>
        <w:lastRenderedPageBreak/>
        <w:t xml:space="preserve">contractuales financiados con recursos del Sistema General de Regalías </w:t>
      </w:r>
      <w:r>
        <w:rPr>
          <w:rFonts w:ascii="Verdana" w:eastAsia="Calibri" w:hAnsi="Verdana" w:cs="Times New Roman"/>
          <w:bCs/>
          <w:iCs/>
        </w:rPr>
        <w:t>de una universidad privada que actúa como ejecutora</w:t>
      </w:r>
      <w:r>
        <w:rPr>
          <w:rFonts w:ascii="Verdana" w:eastAsia="Calibri" w:hAnsi="Verdana" w:cs="Times New Roman"/>
          <w:iCs/>
        </w:rPr>
        <w:t>?</w:t>
      </w:r>
    </w:p>
    <w:p w14:paraId="4920C06F" w14:textId="77777777" w:rsidR="002964FC" w:rsidRPr="008A0221" w:rsidRDefault="002964FC" w:rsidP="002964FC">
      <w:pPr>
        <w:spacing w:after="0" w:line="276" w:lineRule="auto"/>
        <w:jc w:val="both"/>
        <w:rPr>
          <w:rFonts w:ascii="Verdana" w:eastAsia="Calibri" w:hAnsi="Verdana" w:cs="Times New Roman"/>
          <w:i/>
          <w:iCs/>
        </w:rPr>
      </w:pPr>
    </w:p>
    <w:p w14:paraId="088339EB" w14:textId="77777777" w:rsidR="002964FC" w:rsidRDefault="002964FC" w:rsidP="002964FC">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2D51ACD0" w14:textId="77777777" w:rsidR="002964FC" w:rsidRPr="00A12CB6" w:rsidRDefault="002964FC" w:rsidP="002964FC">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964FC" w:rsidRPr="001205D1" w14:paraId="0F6ECF29" w14:textId="77777777" w:rsidTr="000F7FDB">
        <w:trPr>
          <w:trHeight w:val="618"/>
          <w:jc w:val="center"/>
        </w:trPr>
        <w:tc>
          <w:tcPr>
            <w:tcW w:w="8784" w:type="dxa"/>
            <w:tcBorders>
              <w:bottom w:val="single" w:sz="4" w:space="0" w:color="auto"/>
            </w:tcBorders>
          </w:tcPr>
          <w:p w14:paraId="315F6322" w14:textId="77777777" w:rsidR="002964FC" w:rsidRDefault="002964FC" w:rsidP="000F7FDB">
            <w:pPr>
              <w:spacing w:after="120" w:line="276" w:lineRule="auto"/>
              <w:jc w:val="both"/>
              <w:rPr>
                <w:rFonts w:ascii="Verdana" w:eastAsia="Times New Roman" w:hAnsi="Verdana" w:cs="Arial"/>
                <w:bCs/>
                <w:lang w:val="es-MX" w:eastAsia="x-none"/>
              </w:rPr>
            </w:pPr>
            <w:r>
              <w:rPr>
                <w:rFonts w:ascii="Verdana" w:eastAsia="Calibri" w:hAnsi="Verdana" w:cs="Times New Roman"/>
              </w:rPr>
              <w:t xml:space="preserve">En cuanto al problema jurídico, objeto de consulta, se precisa que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336AD257" w14:textId="77777777" w:rsidR="002964FC" w:rsidRPr="004971B1" w:rsidRDefault="002964FC" w:rsidP="000F7FDB">
            <w:pPr>
              <w:spacing w:after="120" w:line="276" w:lineRule="auto"/>
              <w:ind w:firstLine="708"/>
              <w:jc w:val="both"/>
              <w:rPr>
                <w:rFonts w:ascii="Verdana" w:eastAsia="Times New Roman" w:hAnsi="Verdana" w:cs="Arial"/>
                <w:bCs/>
                <w:lang w:eastAsia="x-none"/>
              </w:rPr>
            </w:pPr>
            <w:r w:rsidRPr="004971B1">
              <w:rPr>
                <w:rFonts w:ascii="Verdana" w:eastAsia="Times New Roman" w:hAnsi="Verdana" w:cs="Arial"/>
                <w:bCs/>
                <w:lang w:val="es-MX" w:eastAsia="x-none"/>
              </w:rPr>
              <w:t>En todo caso, es necesario revisar si lo dispuesto en el Sistema General de Regalías le aplica la Ley 996 de 2005 –Ley de Garantías Electorales-. Para ello, es importante señalar que la Ley 2056 de 2020, “</w:t>
            </w:r>
            <w:r w:rsidRPr="004971B1">
              <w:rPr>
                <w:rFonts w:ascii="Verdana" w:eastAsia="Times New Roman" w:hAnsi="Verdana" w:cs="Arial"/>
                <w:bCs/>
                <w:lang w:eastAsia="x-none"/>
              </w:rPr>
              <w:t xml:space="preserve">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p w14:paraId="241415EB" w14:textId="77777777" w:rsidR="002964FC" w:rsidRDefault="002964FC" w:rsidP="000F7FDB">
            <w:pPr>
              <w:spacing w:after="120" w:line="276" w:lineRule="auto"/>
              <w:ind w:firstLine="709"/>
              <w:jc w:val="both"/>
              <w:rPr>
                <w:rFonts w:ascii="Verdana" w:eastAsia="Times New Roman" w:hAnsi="Verdana" w:cs="Arial"/>
                <w:bCs/>
                <w:lang w:eastAsia="x-none"/>
              </w:rPr>
            </w:pPr>
            <w:r w:rsidRPr="003F3BFF">
              <w:rPr>
                <w:rFonts w:ascii="Verdana" w:eastAsia="Times New Roman" w:hAnsi="Verdana" w:cs="Arial"/>
                <w:bCs/>
                <w:lang w:eastAsia="x-none"/>
              </w:rPr>
              <w:t>En este sentido, el artículo 54 de la Ley 2056 de 2020 dispone que los proyectos que pretendan financiarse con recursos de la Asignación para la Ciencia, Tecnología e Innovación deberán ser presentados por las entidades públicas o privadas que integren el Sistema Nacional de Ciencia, Tecnología e Innovación, regulado en el artículo 20 de la Ley 1286 de 2009 o en la norma que lo modifique o sustituya, ante el Ministerio de Ciencia, Tecnología e Innovación.</w:t>
            </w:r>
            <w:r>
              <w:rPr>
                <w:rFonts w:ascii="Verdana" w:eastAsia="Times New Roman" w:hAnsi="Verdana" w:cs="Arial"/>
                <w:bCs/>
                <w:lang w:eastAsia="x-none"/>
              </w:rPr>
              <w:t xml:space="preserve"> </w:t>
            </w:r>
            <w:r w:rsidRPr="003F3BFF">
              <w:rPr>
                <w:rFonts w:ascii="Verdana" w:eastAsia="Times New Roman" w:hAnsi="Verdana" w:cs="Arial"/>
                <w:bCs/>
                <w:lang w:eastAsia="x-none"/>
              </w:rPr>
              <w:t xml:space="preserve">Asimismo, cuando las universidades privadas actúan como ejecutoras de dichos proyectos, el Ministerio de Ciencia, Tecnología e Innovación —o los departamentos que así lo soliciten—, con cargo a los </w:t>
            </w:r>
            <w:r w:rsidRPr="003F3BFF">
              <w:rPr>
                <w:rFonts w:ascii="Verdana" w:eastAsia="Times New Roman" w:hAnsi="Verdana" w:cs="Arial"/>
                <w:bCs/>
                <w:lang w:eastAsia="x-none"/>
              </w:rPr>
              <w:lastRenderedPageBreak/>
              <w:t>recursos de inversión, está obligado a vigilar la correcta ejecución de los mismos, directamente o a través de terceros, conforme a lo previsto en el artículo 83 de la Ley 1474 de 2011.</w:t>
            </w:r>
          </w:p>
          <w:p w14:paraId="3199A8B2" w14:textId="77777777" w:rsidR="002964FC" w:rsidRDefault="002964FC" w:rsidP="000F7FDB">
            <w:pPr>
              <w:spacing w:after="120" w:line="276" w:lineRule="auto"/>
              <w:ind w:firstLine="709"/>
              <w:jc w:val="both"/>
              <w:rPr>
                <w:rFonts w:ascii="Verdana" w:eastAsia="Times New Roman" w:hAnsi="Verdana" w:cs="Arial"/>
                <w:bCs/>
                <w:lang w:eastAsia="x-none"/>
              </w:rPr>
            </w:pPr>
            <w:r w:rsidRPr="003F3BFF">
              <w:rPr>
                <w:rFonts w:ascii="Verdana" w:eastAsia="Times New Roman" w:hAnsi="Verdana" w:cs="Arial"/>
                <w:bCs/>
                <w:lang w:eastAsia="x-none"/>
              </w:rPr>
              <w:t xml:space="preserve">Dentro de este marco normativo no se contempla excepción </w:t>
            </w:r>
            <w:r>
              <w:rPr>
                <w:rFonts w:ascii="Verdana" w:eastAsia="Times New Roman" w:hAnsi="Verdana" w:cs="Arial"/>
                <w:bCs/>
                <w:lang w:eastAsia="x-none"/>
              </w:rPr>
              <w:t>que permita considerar que la</w:t>
            </w:r>
            <w:r w:rsidRPr="003F3BFF">
              <w:rPr>
                <w:rFonts w:ascii="Verdana" w:eastAsia="Times New Roman" w:hAnsi="Verdana" w:cs="Arial"/>
                <w:bCs/>
                <w:lang w:eastAsia="x-none"/>
              </w:rPr>
              <w:t xml:space="preserve">s </w:t>
            </w:r>
            <w:r>
              <w:rPr>
                <w:rFonts w:ascii="Verdana" w:eastAsia="Times New Roman" w:hAnsi="Verdana" w:cs="Arial"/>
                <w:bCs/>
                <w:lang w:eastAsia="x-none"/>
              </w:rPr>
              <w:t xml:space="preserve">entidades privadas que ejecutan </w:t>
            </w:r>
            <w:r w:rsidRPr="003F3BFF">
              <w:rPr>
                <w:rFonts w:ascii="Verdana" w:eastAsia="Times New Roman" w:hAnsi="Verdana" w:cs="Arial"/>
                <w:bCs/>
                <w:lang w:eastAsia="x-none"/>
              </w:rPr>
              <w:t>recursos del Sistema General de Regalías estén sujetos a la restricción establecida en el artículo 33 de la Ley 996 de 2005, la cual prohíbe la contratación directa durante el periodo preelectoral de las elecciones presidenciales. En otras palabras, la normativa especial que regula la ejecución de los recursos del Sistema General de Regalías no otorga a las entidades privadas que los ejecutan la co</w:t>
            </w:r>
            <w:r>
              <w:rPr>
                <w:rFonts w:ascii="Verdana" w:eastAsia="Times New Roman" w:hAnsi="Verdana" w:cs="Arial"/>
                <w:bCs/>
                <w:lang w:eastAsia="x-none"/>
              </w:rPr>
              <w:t xml:space="preserve">ndición de entidades estatales. </w:t>
            </w:r>
          </w:p>
          <w:p w14:paraId="6EE983B6" w14:textId="77777777" w:rsidR="002964FC" w:rsidRPr="004971B1" w:rsidRDefault="002964FC" w:rsidP="000F7FDB">
            <w:pPr>
              <w:spacing w:after="120" w:line="276" w:lineRule="auto"/>
              <w:ind w:firstLine="709"/>
              <w:jc w:val="both"/>
              <w:rPr>
                <w:rFonts w:ascii="Verdana" w:eastAsia="Times New Roman" w:hAnsi="Verdana" w:cs="Arial"/>
                <w:bCs/>
                <w:lang w:eastAsia="x-none"/>
              </w:rPr>
            </w:pPr>
            <w:r w:rsidRPr="00D5606F">
              <w:rPr>
                <w:rFonts w:ascii="Verdana" w:eastAsia="Times New Roman" w:hAnsi="Verdana" w:cs="Arial"/>
                <w:bCs/>
                <w:lang w:eastAsia="x-none"/>
              </w:rPr>
              <w:t xml:space="preserve">En todo caso, resulta relevante señalar que la restricción prevista en el artículo 33 de la Ley 996 de 2005 aplica también a los procesos de contratación adelantados en el marco de las actividades de Ciencia, Tecnología e Innovación. Dichos procesos se encuentran regulados principalmente por el Decreto Ley 393 de 1991, el Decreto Ley 591 de 1991, la Ley 1286 de 2009 y el Documento CONPES 3582 de 2009. Estos cuerpos normativos establecen las formas de asociación y los tipos de contratos aplicables, tales como convenios especiales de cooperación, contratos de financiamiento y contratos </w:t>
            </w:r>
            <w:r>
              <w:rPr>
                <w:rFonts w:ascii="Verdana" w:eastAsia="Times New Roman" w:hAnsi="Verdana" w:cs="Arial"/>
                <w:bCs/>
                <w:lang w:eastAsia="x-none"/>
              </w:rPr>
              <w:t xml:space="preserve">de administración de proyectos. </w:t>
            </w:r>
            <w:r w:rsidRPr="00D5606F">
              <w:rPr>
                <w:rFonts w:ascii="Verdana" w:eastAsia="Times New Roman" w:hAnsi="Verdana" w:cs="Arial"/>
                <w:bCs/>
                <w:lang w:eastAsia="x-none"/>
              </w:rPr>
              <w:t>Asimismo, la Ley 1150 de 2007 reconoce como causal de contratación directa aquellos contratos destinados al desarrollo de actividades científicas y tecnológicas, lo que faculta a las entidades estatales para aplicar esta modalidad siempre que el objeto contractual corresponda efectivamente a dichas actividades. En este sentido, cuando la contratación se adelante de manera directa —es decir, sin libre concurrencia de oferentes— por parte de entidades del Estado</w:t>
            </w:r>
            <w:r>
              <w:rPr>
                <w:rFonts w:ascii="Verdana" w:eastAsia="Times New Roman" w:hAnsi="Verdana" w:cs="Arial"/>
                <w:bCs/>
                <w:lang w:eastAsia="x-none"/>
              </w:rPr>
              <w:t xml:space="preserve"> independiente del régimen jurídico aplicable</w:t>
            </w:r>
            <w:r w:rsidRPr="00D5606F">
              <w:rPr>
                <w:rFonts w:ascii="Verdana" w:eastAsia="Times New Roman" w:hAnsi="Verdana" w:cs="Arial"/>
                <w:bCs/>
                <w:lang w:eastAsia="x-none"/>
              </w:rPr>
              <w:t>, estará igualmente sujeta a la restricción mencionada.</w:t>
            </w:r>
            <w:r w:rsidRPr="009D7632">
              <w:rPr>
                <w:rFonts w:ascii="Verdana" w:eastAsia="Times New Roman" w:hAnsi="Verdana" w:cs="Arial"/>
                <w:bCs/>
                <w:lang w:eastAsia="x-none"/>
              </w:rPr>
              <w:t xml:space="preserve"> </w:t>
            </w:r>
          </w:p>
        </w:tc>
      </w:tr>
    </w:tbl>
    <w:p w14:paraId="290E1D0E" w14:textId="77777777" w:rsidR="002964FC" w:rsidRPr="00A12CB6" w:rsidRDefault="002964FC" w:rsidP="002964FC">
      <w:pPr>
        <w:spacing w:after="0" w:line="276" w:lineRule="auto"/>
        <w:jc w:val="both"/>
        <w:rPr>
          <w:rFonts w:ascii="Verdana" w:eastAsia="Calibri" w:hAnsi="Verdana" w:cs="Arial"/>
          <w:bCs/>
          <w:color w:val="000000" w:themeColor="text1"/>
        </w:rPr>
      </w:pPr>
    </w:p>
    <w:p w14:paraId="1D7D6EAA" w14:textId="77777777" w:rsidR="002964FC" w:rsidRPr="0093558D" w:rsidRDefault="002964FC" w:rsidP="002964FC">
      <w:pPr>
        <w:numPr>
          <w:ilvl w:val="0"/>
          <w:numId w:val="19"/>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700B3BA8" w14:textId="77777777" w:rsidR="002964FC" w:rsidRPr="00A12CB6" w:rsidRDefault="002964FC" w:rsidP="002964FC">
      <w:pPr>
        <w:spacing w:after="0" w:line="276" w:lineRule="auto"/>
        <w:rPr>
          <w:rFonts w:ascii="Verdana" w:eastAsia="Calibri" w:hAnsi="Verdana" w:cs="Times New Roman"/>
          <w:b/>
          <w:bCs/>
          <w:lang w:val="es-ES"/>
        </w:rPr>
      </w:pPr>
    </w:p>
    <w:p w14:paraId="79FC9C4E" w14:textId="77777777" w:rsidR="002964FC" w:rsidRPr="00A12CB6" w:rsidRDefault="002964FC" w:rsidP="002964FC">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6B055B56" w14:textId="77777777" w:rsidR="002964FC" w:rsidRPr="00E2397D" w:rsidRDefault="002964FC" w:rsidP="002964FC">
      <w:pPr>
        <w:spacing w:after="0" w:line="276" w:lineRule="auto"/>
        <w:jc w:val="both"/>
        <w:rPr>
          <w:rFonts w:ascii="Verdana" w:eastAsia="Calibri" w:hAnsi="Verdana" w:cs="Arial"/>
          <w:color w:val="000000" w:themeColor="text1"/>
        </w:rPr>
      </w:pPr>
    </w:p>
    <w:p w14:paraId="478DEDF3" w14:textId="77777777" w:rsidR="002964FC" w:rsidRPr="002D6B43" w:rsidRDefault="002964FC" w:rsidP="002964FC">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 xml:space="preserve">i. El ordenamiento jurídico colombiano contempla previsiones claras para evitar la obtención de beneficios personales en asuntos propios de la administración </w:t>
      </w:r>
      <w:r w:rsidRPr="002D6B43">
        <w:rPr>
          <w:rFonts w:ascii="Verdana" w:eastAsia="Calibri" w:hAnsi="Verdana" w:cs="Arial"/>
        </w:rPr>
        <w:lastRenderedPageBreak/>
        <w:t>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2AEE58EC" w14:textId="77777777" w:rsidR="002964FC" w:rsidRPr="006B14B5" w:rsidRDefault="002964FC" w:rsidP="002964F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4D620D1" w14:textId="77777777" w:rsidR="002964FC" w:rsidRPr="00E2397D" w:rsidRDefault="002964FC" w:rsidP="002964FC">
      <w:pPr>
        <w:spacing w:after="0" w:line="276" w:lineRule="auto"/>
        <w:ind w:right="709"/>
        <w:contextualSpacing/>
        <w:jc w:val="both"/>
        <w:rPr>
          <w:rFonts w:ascii="Verdana" w:eastAsia="Times New Roman" w:hAnsi="Verdana" w:cs="Arial"/>
          <w:lang w:val="es-ES" w:eastAsia="es-CO"/>
        </w:rPr>
      </w:pPr>
    </w:p>
    <w:p w14:paraId="75B5A58C" w14:textId="77777777" w:rsidR="002964FC" w:rsidRPr="00E2397D" w:rsidRDefault="002964FC" w:rsidP="002964F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49CF1D5" w14:textId="77777777" w:rsidR="002964FC" w:rsidRPr="00E2397D" w:rsidRDefault="002964FC" w:rsidP="002964F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3F64987" w14:textId="77777777" w:rsidR="002964FC" w:rsidRPr="00E2397D" w:rsidRDefault="002964FC" w:rsidP="002964F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A6F8F05" w14:textId="77777777" w:rsidR="002964FC" w:rsidRPr="00E2397D" w:rsidRDefault="002964FC" w:rsidP="002964FC">
      <w:pPr>
        <w:spacing w:after="0" w:line="276" w:lineRule="auto"/>
        <w:ind w:firstLine="709"/>
        <w:jc w:val="both"/>
        <w:rPr>
          <w:rFonts w:ascii="Verdana" w:eastAsia="Times New Roman" w:hAnsi="Verdana" w:cs="Arial"/>
          <w:lang w:val="es-MX" w:eastAsia="es-CO"/>
        </w:rPr>
      </w:pPr>
      <w:bookmarkStart w:id="3" w:name="_Hlk78818186"/>
    </w:p>
    <w:p w14:paraId="64CE7786" w14:textId="77777777" w:rsidR="002964FC" w:rsidRPr="00E2397D" w:rsidRDefault="002964FC" w:rsidP="002964F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lastRenderedPageBreak/>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FCC3F2C" w14:textId="77777777" w:rsidR="002964FC" w:rsidRPr="00886C02" w:rsidRDefault="002964FC" w:rsidP="002964FC">
      <w:pPr>
        <w:spacing w:after="0" w:line="276" w:lineRule="auto"/>
        <w:ind w:firstLine="709"/>
        <w:jc w:val="both"/>
        <w:rPr>
          <w:rFonts w:ascii="Verdana" w:eastAsia="Times New Roman" w:hAnsi="Verdana" w:cs="Arial"/>
          <w:lang w:val="es-MX" w:eastAsia="es-CO"/>
        </w:rPr>
      </w:pPr>
    </w:p>
    <w:p w14:paraId="39A05F9D" w14:textId="77777777" w:rsidR="002964FC" w:rsidRPr="00E2397D" w:rsidRDefault="002964FC" w:rsidP="002964F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880E1B3" w14:textId="77777777" w:rsidR="002964FC" w:rsidRPr="00E2397D" w:rsidRDefault="002964FC" w:rsidP="002964FC">
      <w:pPr>
        <w:spacing w:after="0" w:line="240" w:lineRule="auto"/>
        <w:ind w:right="709"/>
        <w:contextualSpacing/>
        <w:jc w:val="both"/>
        <w:rPr>
          <w:rFonts w:ascii="Verdana" w:eastAsia="Times New Roman" w:hAnsi="Verdana" w:cs="Arial"/>
          <w:lang w:val="es-MX" w:eastAsia="es-CO"/>
        </w:rPr>
      </w:pPr>
    </w:p>
    <w:p w14:paraId="635F7DCC" w14:textId="77777777" w:rsidR="002964FC" w:rsidRPr="00E2397D" w:rsidRDefault="002964FC" w:rsidP="002964F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169D8EB" w14:textId="77777777" w:rsidR="002964FC" w:rsidRPr="00E2397D" w:rsidRDefault="002964FC" w:rsidP="002964FC">
      <w:pPr>
        <w:spacing w:after="0" w:line="276" w:lineRule="auto"/>
        <w:jc w:val="both"/>
        <w:rPr>
          <w:rFonts w:ascii="Verdana" w:eastAsia="Calibri" w:hAnsi="Verdana" w:cs="Arial"/>
          <w:bCs/>
          <w:lang w:val="es-ES_tradnl"/>
        </w:rPr>
      </w:pPr>
    </w:p>
    <w:p w14:paraId="34B39919" w14:textId="77777777" w:rsidR="002964FC" w:rsidRDefault="002964FC" w:rsidP="002964FC">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w:t>
      </w:r>
      <w:r w:rsidRPr="00E2397D">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90512DF" w14:textId="77777777" w:rsidR="002964FC" w:rsidRPr="00E2397D" w:rsidRDefault="002964FC" w:rsidP="002964FC">
      <w:pPr>
        <w:spacing w:after="0" w:line="276" w:lineRule="auto"/>
        <w:ind w:firstLine="709"/>
        <w:jc w:val="both"/>
        <w:rPr>
          <w:rFonts w:ascii="Verdana" w:eastAsia="Arial" w:hAnsi="Verdana" w:cs="Arial"/>
          <w:lang w:val="es-ES" w:eastAsia="es-ES" w:bidi="es-ES"/>
        </w:rPr>
      </w:pPr>
    </w:p>
    <w:p w14:paraId="02B1D719" w14:textId="77777777" w:rsidR="002964FC" w:rsidRPr="00E2397D" w:rsidRDefault="002964FC" w:rsidP="002964FC">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7B9584A3" w14:textId="77777777" w:rsidR="002964FC" w:rsidRPr="00E2397D" w:rsidRDefault="002964FC" w:rsidP="002964FC">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320E6804" w14:textId="77777777" w:rsidR="002964FC" w:rsidRDefault="002964FC" w:rsidP="002964FC">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DB9232A" w14:textId="77777777" w:rsidR="002964FC" w:rsidRDefault="002964FC" w:rsidP="002964FC">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286E78F" w14:textId="77777777" w:rsidR="002964FC" w:rsidRDefault="002964FC" w:rsidP="002964F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C6E48F8" w14:textId="77777777" w:rsidR="002964FC" w:rsidRDefault="002964FC" w:rsidP="002964F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DF21AD9" w14:textId="77777777" w:rsidR="002964FC" w:rsidRPr="00894384" w:rsidRDefault="002964FC" w:rsidP="002964F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entrada en vigencia de las prohibiciones anotadas, así como la cesión de los </w:t>
      </w:r>
      <w:r w:rsidRPr="00894384">
        <w:rPr>
          <w:rFonts w:ascii="Verdana" w:eastAsia="Times New Roman" w:hAnsi="Verdana" w:cs="Arial"/>
          <w:bCs/>
          <w:lang w:val="es-MX" w:eastAsia="es-CO"/>
        </w:rPr>
        <w:lastRenderedPageBreak/>
        <w:t>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7BFCDEFB" w14:textId="77777777" w:rsidR="002964FC" w:rsidRPr="00E2397D" w:rsidRDefault="002964FC" w:rsidP="002964F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2F032F9B" w14:textId="77777777" w:rsidR="002964FC" w:rsidRPr="00E2397D" w:rsidRDefault="002964FC" w:rsidP="002964F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84620DB" w14:textId="77777777" w:rsidR="002964FC" w:rsidRPr="00E2397D" w:rsidRDefault="002964FC" w:rsidP="002964F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25673958" w14:textId="77777777" w:rsidR="002964FC" w:rsidRPr="00E2397D" w:rsidRDefault="002964FC" w:rsidP="002964FC">
      <w:pPr>
        <w:widowControl w:val="0"/>
        <w:autoSpaceDE w:val="0"/>
        <w:autoSpaceDN w:val="0"/>
        <w:spacing w:after="0" w:line="276" w:lineRule="auto"/>
        <w:contextualSpacing/>
        <w:rPr>
          <w:rFonts w:ascii="Verdana" w:eastAsia="Arial" w:hAnsi="Verdana" w:cs="Arial"/>
          <w:lang w:val="es-ES" w:eastAsia="es-ES" w:bidi="es-ES"/>
        </w:rPr>
      </w:pPr>
    </w:p>
    <w:p w14:paraId="040F98E6" w14:textId="77777777" w:rsidR="002964FC" w:rsidRPr="00E2397D" w:rsidRDefault="002964FC" w:rsidP="002964F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w:t>
      </w:r>
      <w:r w:rsidRPr="00E2397D">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9"/>
    </w:p>
    <w:bookmarkEnd w:id="10"/>
    <w:p w14:paraId="65695E4F" w14:textId="77777777" w:rsidR="002964FC" w:rsidRPr="00E2397D" w:rsidRDefault="002964FC" w:rsidP="002964F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1653E3BA" w14:textId="77777777" w:rsidR="002964FC" w:rsidRDefault="002964FC" w:rsidP="002964FC">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B54270B" w14:textId="77777777" w:rsidR="002964FC" w:rsidRPr="00E2397D" w:rsidRDefault="002964FC" w:rsidP="002964FC">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566AADFB" w14:textId="77777777" w:rsidR="002964FC" w:rsidRPr="0057193B" w:rsidRDefault="002964FC" w:rsidP="002964FC">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55A15FFB" w14:textId="77777777" w:rsidR="002964FC" w:rsidRPr="0057193B" w:rsidRDefault="002964FC" w:rsidP="002964FC">
      <w:pPr>
        <w:spacing w:after="0" w:line="240" w:lineRule="auto"/>
        <w:ind w:left="708" w:right="709"/>
        <w:jc w:val="both"/>
        <w:rPr>
          <w:rFonts w:ascii="Verdana" w:eastAsia="Calibri" w:hAnsi="Verdana" w:cs="Arial"/>
          <w:sz w:val="21"/>
          <w:szCs w:val="21"/>
          <w:lang w:val="es-MX"/>
        </w:rPr>
      </w:pPr>
    </w:p>
    <w:p w14:paraId="2AEC0C4F" w14:textId="77777777" w:rsidR="002964FC" w:rsidRPr="0057193B" w:rsidRDefault="002964FC" w:rsidP="002964FC">
      <w:pPr>
        <w:spacing w:after="120" w:line="240" w:lineRule="auto"/>
        <w:ind w:left="709" w:right="709"/>
        <w:jc w:val="both"/>
        <w:rPr>
          <w:rFonts w:ascii="Verdana" w:eastAsia="Calibri" w:hAnsi="Verdana" w:cs="Arial"/>
          <w:sz w:val="21"/>
          <w:szCs w:val="21"/>
          <w:lang w:val="es-MX"/>
        </w:rPr>
      </w:pPr>
      <w:r w:rsidRPr="0057193B">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57193B">
        <w:rPr>
          <w:rFonts w:ascii="Verdana" w:eastAsia="Calibri" w:hAnsi="Verdana" w:cs="Arial"/>
          <w:sz w:val="21"/>
          <w:szCs w:val="21"/>
          <w:lang w:val="es-MX"/>
        </w:rPr>
        <w:lastRenderedPageBreak/>
        <w:t>(numeral 4, artículo 2, ley 1150 de 2007), y cumpliendo siempre los principios que rigen la contratación pública</w:t>
      </w:r>
      <w:r w:rsidRPr="0057193B">
        <w:rPr>
          <w:rFonts w:ascii="Verdana" w:eastAsia="Times New Roman" w:hAnsi="Verdana" w:cs="Arial"/>
          <w:vertAlign w:val="superscript"/>
          <w:lang w:eastAsia="es-CO"/>
        </w:rPr>
        <w:footnoteReference w:id="12"/>
      </w:r>
      <w:r w:rsidRPr="0057193B">
        <w:rPr>
          <w:rFonts w:ascii="Verdana" w:eastAsia="Calibri" w:hAnsi="Verdana" w:cs="Arial"/>
          <w:sz w:val="21"/>
          <w:szCs w:val="21"/>
          <w:lang w:val="es-MX"/>
        </w:rPr>
        <w:t>.</w:t>
      </w:r>
    </w:p>
    <w:p w14:paraId="3CA0EA4C" w14:textId="77777777" w:rsidR="002964FC" w:rsidRPr="0057193B" w:rsidRDefault="002964FC" w:rsidP="002964FC">
      <w:pPr>
        <w:spacing w:after="0" w:line="240" w:lineRule="auto"/>
        <w:ind w:left="708" w:right="709"/>
        <w:jc w:val="both"/>
        <w:rPr>
          <w:rFonts w:ascii="Verdana" w:eastAsia="Calibri" w:hAnsi="Verdana" w:cs="Arial"/>
          <w:sz w:val="21"/>
          <w:szCs w:val="21"/>
          <w:lang w:val="es-MX"/>
        </w:rPr>
      </w:pPr>
      <w:r w:rsidRPr="0057193B">
        <w:rPr>
          <w:rFonts w:ascii="Verdana" w:eastAsia="Calibri" w:hAnsi="Verdana" w:cs="Arial"/>
          <w:sz w:val="21"/>
          <w:szCs w:val="21"/>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7193B">
        <w:rPr>
          <w:rFonts w:ascii="Verdana" w:eastAsia="Times New Roman" w:hAnsi="Verdana" w:cs="Arial"/>
          <w:sz w:val="21"/>
          <w:szCs w:val="21"/>
          <w:vertAlign w:val="superscript"/>
          <w:lang w:val="es-MX"/>
        </w:rPr>
        <w:footnoteReference w:id="13"/>
      </w:r>
      <w:r w:rsidRPr="0057193B">
        <w:rPr>
          <w:rFonts w:ascii="Verdana" w:eastAsia="Times New Roman" w:hAnsi="Verdana" w:cs="Arial"/>
          <w:sz w:val="21"/>
          <w:szCs w:val="21"/>
          <w:vertAlign w:val="superscript"/>
          <w:lang w:val="es-MX"/>
        </w:rPr>
        <w:t>.</w:t>
      </w:r>
      <w:r w:rsidRPr="0057193B">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14"/>
      </w:r>
      <w:r w:rsidRPr="0057193B">
        <w:rPr>
          <w:rFonts w:ascii="Verdana" w:eastAsia="Calibri" w:hAnsi="Verdana" w:cs="Arial"/>
          <w:sz w:val="21"/>
          <w:szCs w:val="21"/>
          <w:lang w:val="es-MX"/>
        </w:rPr>
        <w:t xml:space="preserve"> .</w:t>
      </w:r>
    </w:p>
    <w:p w14:paraId="044936E9" w14:textId="77777777" w:rsidR="002964FC" w:rsidRPr="0057193B" w:rsidRDefault="002964FC" w:rsidP="002964FC">
      <w:pPr>
        <w:shd w:val="clear" w:color="auto" w:fill="FFFFFF"/>
        <w:spacing w:after="0" w:line="276" w:lineRule="auto"/>
        <w:ind w:firstLine="709"/>
        <w:jc w:val="both"/>
        <w:rPr>
          <w:rFonts w:ascii="Verdana" w:eastAsia="Times New Roman" w:hAnsi="Verdana" w:cs="Arial"/>
          <w:lang w:eastAsia="x-none"/>
        </w:rPr>
      </w:pPr>
    </w:p>
    <w:p w14:paraId="07CC3F32" w14:textId="77777777" w:rsidR="002964FC" w:rsidRPr="0057193B" w:rsidRDefault="002964FC" w:rsidP="002964FC">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1A11DA2" w14:textId="77777777" w:rsidR="002964FC" w:rsidRPr="0057193B" w:rsidRDefault="002964FC" w:rsidP="002964FC">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57193B">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sidRPr="0057193B">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«aun cuando no coincide única y exactamente con la regulación que de dicho sistema de selección </w:t>
      </w:r>
      <w:r w:rsidRPr="0057193B">
        <w:rPr>
          <w:rFonts w:ascii="Verdana" w:eastAsia="Times New Roman" w:hAnsi="Verdana" w:cs="Arial"/>
          <w:lang w:eastAsia="x-none"/>
        </w:rPr>
        <w:lastRenderedPageBreak/>
        <w:t>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sidRPr="0057193B">
        <w:rPr>
          <w:rFonts w:ascii="Verdana" w:eastAsia="Times New Roman" w:hAnsi="Verdana" w:cs="Arial"/>
          <w:lang w:eastAsia="en-GB"/>
        </w:rPr>
        <w:t>»</w:t>
      </w:r>
      <w:r w:rsidRPr="0057193B">
        <w:rPr>
          <w:rFonts w:ascii="Verdana" w:eastAsia="Times New Roman" w:hAnsi="Verdana" w:cs="Arial"/>
          <w:lang w:eastAsia="x-none"/>
        </w:rPr>
        <w:t xml:space="preserve">. </w:t>
      </w:r>
    </w:p>
    <w:p w14:paraId="5CFA99BB" w14:textId="77777777" w:rsidR="002964FC" w:rsidRPr="0057193B" w:rsidRDefault="002964FC" w:rsidP="002964F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14E87886" w14:textId="77777777" w:rsidR="002964FC" w:rsidRPr="0057193B" w:rsidRDefault="002964FC" w:rsidP="002964F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5645B23" w14:textId="77777777" w:rsidR="002964FC" w:rsidRPr="0057193B" w:rsidRDefault="002964FC" w:rsidP="002964FC">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660918DE" w14:textId="77777777" w:rsidR="002964FC" w:rsidRPr="0057193B" w:rsidRDefault="002964FC" w:rsidP="002964FC">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60BDD9C" w14:textId="77777777" w:rsidR="002964FC" w:rsidRPr="00447D82" w:rsidRDefault="002964FC" w:rsidP="002964F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10415ECD" w14:textId="77777777" w:rsidR="002964FC" w:rsidRPr="0057193B" w:rsidRDefault="002964FC" w:rsidP="002964F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6DE89A2" w14:textId="77777777" w:rsidR="002964FC" w:rsidRPr="0057193B" w:rsidRDefault="002964FC" w:rsidP="002964F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252D74F" w14:textId="77777777" w:rsidR="002964FC" w:rsidRPr="0057193B" w:rsidRDefault="002964FC" w:rsidP="002964FC">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F1AA1CE" w14:textId="77777777" w:rsidR="002964FC" w:rsidRPr="0057193B" w:rsidRDefault="002964FC" w:rsidP="002964FC">
      <w:pPr>
        <w:spacing w:after="0" w:line="276" w:lineRule="auto"/>
        <w:jc w:val="both"/>
        <w:rPr>
          <w:rFonts w:ascii="Verdana" w:eastAsia="Times New Roman" w:hAnsi="Verdana" w:cs="Arial"/>
          <w:bCs/>
          <w:lang w:val="es-MX" w:eastAsia="x-none"/>
        </w:rPr>
      </w:pPr>
    </w:p>
    <w:p w14:paraId="0BBE26D8" w14:textId="77777777" w:rsidR="002964FC" w:rsidRPr="0057193B" w:rsidRDefault="002964FC" w:rsidP="002964FC">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18E4D921" w14:textId="77777777" w:rsidR="002964FC" w:rsidRPr="0057193B" w:rsidRDefault="002964FC" w:rsidP="002964FC">
      <w:pPr>
        <w:spacing w:after="0" w:line="276" w:lineRule="auto"/>
        <w:ind w:firstLine="708"/>
        <w:jc w:val="both"/>
        <w:rPr>
          <w:rFonts w:ascii="Verdana" w:eastAsia="Times New Roman" w:hAnsi="Verdana" w:cs="Arial"/>
          <w:bCs/>
          <w:lang w:val="es-MX" w:eastAsia="es-CO"/>
        </w:rPr>
      </w:pPr>
    </w:p>
    <w:p w14:paraId="1E6A845B" w14:textId="77777777" w:rsidR="002964FC" w:rsidRPr="0057193B" w:rsidRDefault="002964FC" w:rsidP="002964FC">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776467D4" w14:textId="77777777" w:rsidR="002964FC" w:rsidRPr="0057193B" w:rsidRDefault="002964FC" w:rsidP="002964FC">
      <w:pPr>
        <w:spacing w:after="0" w:line="276" w:lineRule="auto"/>
        <w:jc w:val="both"/>
        <w:rPr>
          <w:rFonts w:ascii="Verdana" w:eastAsia="Calibri" w:hAnsi="Verdana" w:cs="Arial"/>
          <w:lang w:val="es-MX"/>
        </w:rPr>
      </w:pPr>
    </w:p>
    <w:p w14:paraId="61F028E0" w14:textId="77777777" w:rsidR="002964FC" w:rsidRPr="001924B7" w:rsidRDefault="002964FC" w:rsidP="002964FC">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55CF2C3" w14:textId="77777777" w:rsidR="002964FC" w:rsidRPr="001924B7" w:rsidRDefault="002964FC" w:rsidP="002964FC">
      <w:pPr>
        <w:spacing w:after="0" w:line="240" w:lineRule="auto"/>
        <w:ind w:left="708" w:right="709"/>
        <w:jc w:val="both"/>
        <w:rPr>
          <w:rFonts w:ascii="Verdana" w:eastAsia="Calibri" w:hAnsi="Verdana" w:cs="Arial"/>
          <w:sz w:val="20"/>
          <w:szCs w:val="20"/>
          <w:lang w:val="es-MX"/>
        </w:rPr>
      </w:pPr>
    </w:p>
    <w:p w14:paraId="69DA176D" w14:textId="77777777" w:rsidR="002964FC" w:rsidRPr="001924B7" w:rsidRDefault="002964FC" w:rsidP="002964FC">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w:t>
      </w:r>
      <w:r w:rsidRPr="001924B7">
        <w:rPr>
          <w:rFonts w:ascii="Verdana" w:eastAsia="Times New Roman" w:hAnsi="Verdana" w:cs="Arial"/>
          <w:bCs/>
          <w:sz w:val="20"/>
          <w:szCs w:val="20"/>
          <w:lang w:val="es-MX" w:eastAsia="x-none"/>
        </w:rPr>
        <w:lastRenderedPageBreak/>
        <w:t>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6EC1A2B6" w14:textId="77777777" w:rsidR="002964FC" w:rsidRPr="0057193B" w:rsidRDefault="002964FC" w:rsidP="002964FC">
      <w:pPr>
        <w:spacing w:after="0" w:line="276" w:lineRule="auto"/>
        <w:jc w:val="both"/>
        <w:rPr>
          <w:rFonts w:ascii="Verdana" w:eastAsia="Calibri" w:hAnsi="Verdana" w:cs="Arial"/>
          <w:lang w:val="es-MX"/>
        </w:rPr>
      </w:pPr>
    </w:p>
    <w:p w14:paraId="158C1276" w14:textId="77777777" w:rsidR="002964FC" w:rsidRPr="0057193B" w:rsidRDefault="002964FC" w:rsidP="002964FC">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39ACF389" w14:textId="77777777" w:rsidR="002964FC" w:rsidRDefault="002964FC" w:rsidP="002964F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r>
        <w:rPr>
          <w:rFonts w:ascii="Verdana" w:eastAsia="Times New Roman" w:hAnsi="Verdana" w:cs="Arial"/>
          <w:bCs/>
          <w:lang w:val="es-MX" w:eastAsia="x-none"/>
        </w:rPr>
        <w:t xml:space="preserve"> En esta línea, la Circular Externa 06 de 2025 de la Agencia expresa frente a la restricción del artículo 33 lo siguiente:</w:t>
      </w:r>
    </w:p>
    <w:p w14:paraId="3B07B13A" w14:textId="77777777" w:rsidR="002964FC" w:rsidRPr="008765DC" w:rsidRDefault="002964FC" w:rsidP="002964FC">
      <w:pPr>
        <w:spacing w:after="0" w:line="240" w:lineRule="auto"/>
        <w:ind w:left="709" w:right="709"/>
        <w:jc w:val="both"/>
        <w:rPr>
          <w:rFonts w:ascii="Verdana" w:eastAsia="Times New Roman" w:hAnsi="Verdana" w:cs="Arial"/>
          <w:bCs/>
          <w:sz w:val="20"/>
          <w:szCs w:val="20"/>
          <w:lang w:eastAsia="x-none"/>
        </w:rPr>
      </w:pPr>
      <w:r w:rsidRPr="008765DC">
        <w:rPr>
          <w:rFonts w:ascii="Verdana" w:eastAsia="Times New Roman" w:hAnsi="Verdana" w:cs="Arial"/>
          <w:bCs/>
          <w:sz w:val="20"/>
          <w:szCs w:val="20"/>
          <w:lang w:eastAsia="x-none"/>
        </w:rPr>
        <w:t xml:space="preserve">Los destinatarios de la prohibición están expresamente señalados como “todos los entes del Estado”, por lo cual incluye a los diferentes organismos o entidades autorizadas por la ley para suscribir contratos. Tal </w:t>
      </w:r>
      <w:r w:rsidRPr="008765DC">
        <w:rPr>
          <w:rFonts w:ascii="Verdana" w:eastAsia="Times New Roman" w:hAnsi="Verdana" w:cs="Arial"/>
          <w:bCs/>
          <w:sz w:val="20"/>
          <w:szCs w:val="20"/>
          <w:lang w:eastAsia="x-none"/>
        </w:rPr>
        <w:lastRenderedPageBreak/>
        <w:t xml:space="preserve">como lo ha sostenido el Consejo de Estado, el vocablo “todos” comprende a la </w:t>
      </w:r>
      <w:r w:rsidRPr="008765DC">
        <w:rPr>
          <w:rFonts w:ascii="Verdana" w:eastAsia="Times New Roman" w:hAnsi="Verdana" w:cs="Arial"/>
          <w:bCs/>
          <w:i/>
          <w:iCs/>
          <w:sz w:val="20"/>
          <w:szCs w:val="20"/>
          <w:lang w:eastAsia="x-none"/>
        </w:rPr>
        <w:t xml:space="preserve">totalidad </w:t>
      </w:r>
      <w:r w:rsidRPr="008765DC">
        <w:rPr>
          <w:rFonts w:ascii="Verdana" w:eastAsia="Times New Roman" w:hAnsi="Verdana" w:cs="Arial"/>
          <w:bCs/>
          <w:sz w:val="20"/>
          <w:szCs w:val="20"/>
          <w:lang w:eastAsia="x-none"/>
        </w:rPr>
        <w:t xml:space="preserve">de los entes del Estado, sin distinción del régimen jurídico, forma de organización o naturaleza, su pertenencia a una u otra rama del poder público o su autonomía, e incluso si se trata de entidades estatales que al estar sometidas a un régimen especial se encuentren del ámbito de aplicación del Estatuto General de Contratación de la Administración Pública. </w:t>
      </w:r>
    </w:p>
    <w:p w14:paraId="3126CB79" w14:textId="77777777" w:rsidR="002964FC" w:rsidRPr="008765DC" w:rsidRDefault="002964FC" w:rsidP="002964FC">
      <w:pPr>
        <w:spacing w:after="0" w:line="240" w:lineRule="auto"/>
        <w:ind w:left="709" w:right="709"/>
        <w:jc w:val="both"/>
        <w:rPr>
          <w:rFonts w:ascii="Verdana" w:eastAsia="Times New Roman" w:hAnsi="Verdana" w:cs="Arial"/>
          <w:bCs/>
          <w:sz w:val="20"/>
          <w:szCs w:val="20"/>
          <w:lang w:eastAsia="x-none"/>
        </w:rPr>
      </w:pPr>
      <w:r w:rsidRPr="008765DC">
        <w:rPr>
          <w:rFonts w:ascii="Verdana" w:eastAsia="Times New Roman" w:hAnsi="Verdana" w:cs="Arial"/>
          <w:bCs/>
          <w:sz w:val="20"/>
          <w:szCs w:val="20"/>
          <w:lang w:eastAsia="x-none"/>
        </w:rPr>
        <w:t xml:space="preserve">En consecuencia, algunos ejemplos de los sujetos que tienen prohibido contratar directamente durante el periodo señalado en el artículo 33 son: las Entidades Estatales establecidas en el artículo 2 de la Ley 80 de 1993; las entidades descentralizadas indirectas, es decir, las que surgen por la voluntad 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 En términos generales, la restricción cobija a </w:t>
      </w:r>
      <w:r w:rsidRPr="008765DC">
        <w:rPr>
          <w:rFonts w:ascii="Verdana" w:eastAsia="Times New Roman" w:hAnsi="Verdana" w:cs="Arial"/>
          <w:bCs/>
          <w:i/>
          <w:iCs/>
          <w:sz w:val="20"/>
          <w:szCs w:val="20"/>
          <w:lang w:eastAsia="x-none"/>
        </w:rPr>
        <w:t xml:space="preserve">cualquier </w:t>
      </w:r>
      <w:r w:rsidRPr="008765DC">
        <w:rPr>
          <w:rFonts w:ascii="Verdana" w:eastAsia="Times New Roman" w:hAnsi="Verdana" w:cs="Arial"/>
          <w:bCs/>
          <w:sz w:val="20"/>
          <w:szCs w:val="20"/>
          <w:lang w:eastAsia="x-none"/>
        </w:rPr>
        <w:t xml:space="preserve">ente público que pueda, a través de la contratación directa, romper el equilibrio entre los partidos y los candidatos en las elecciones presidenciales. </w:t>
      </w:r>
    </w:p>
    <w:p w14:paraId="3858ACC9" w14:textId="77777777" w:rsidR="002964FC" w:rsidRDefault="002964FC" w:rsidP="002964FC">
      <w:pPr>
        <w:spacing w:after="0" w:line="240" w:lineRule="auto"/>
        <w:ind w:left="709" w:right="709"/>
        <w:jc w:val="both"/>
        <w:rPr>
          <w:rFonts w:ascii="Verdana" w:eastAsia="Times New Roman" w:hAnsi="Verdana" w:cs="Arial"/>
          <w:bCs/>
          <w:sz w:val="20"/>
          <w:szCs w:val="20"/>
          <w:lang w:eastAsia="x-none"/>
        </w:rPr>
      </w:pPr>
      <w:r w:rsidRPr="008765DC">
        <w:rPr>
          <w:rFonts w:ascii="Verdana" w:eastAsia="Times New Roman" w:hAnsi="Verdana" w:cs="Arial"/>
          <w:bCs/>
          <w:sz w:val="20"/>
          <w:szCs w:val="20"/>
          <w:lang w:eastAsia="x-none"/>
        </w:rPr>
        <w:t>Es importante reiterar que la norma no estableció un supuesto de exoneración a la prohibición por tener un régimen especial. Dado que la posibilidad de que los entes del Estado utilicen la contratación con fines políticos, esto es, con la intención de influir a los electores y alterar la voluntad popular en las contiendas electorales, se puede presentar tanto en la contratación sometida al Estatuto General de Contratación de la Administración Pública, como en la regida por el derecho privado, la prohibición del artículo 33 se extiende a ambas</w:t>
      </w:r>
      <w:r>
        <w:rPr>
          <w:rStyle w:val="Refdenotaalpie"/>
          <w:rFonts w:ascii="Verdana" w:eastAsia="Times New Roman" w:hAnsi="Verdana" w:cs="Arial"/>
          <w:bCs/>
          <w:sz w:val="20"/>
          <w:szCs w:val="20"/>
          <w:lang w:eastAsia="x-none"/>
        </w:rPr>
        <w:footnoteReference w:id="26"/>
      </w:r>
      <w:r w:rsidRPr="008765DC">
        <w:rPr>
          <w:rFonts w:ascii="Verdana" w:eastAsia="Times New Roman" w:hAnsi="Verdana" w:cs="Arial"/>
          <w:bCs/>
          <w:sz w:val="20"/>
          <w:szCs w:val="20"/>
          <w:lang w:eastAsia="x-none"/>
        </w:rPr>
        <w:t>.</w:t>
      </w:r>
    </w:p>
    <w:p w14:paraId="3CE96DF7" w14:textId="77777777" w:rsidR="002964FC" w:rsidRPr="008765DC" w:rsidRDefault="002964FC" w:rsidP="002964FC">
      <w:pPr>
        <w:spacing w:after="0" w:line="240" w:lineRule="auto"/>
        <w:ind w:left="709" w:right="709"/>
        <w:jc w:val="both"/>
        <w:rPr>
          <w:rFonts w:ascii="Verdana" w:eastAsia="Times New Roman" w:hAnsi="Verdana" w:cs="Arial"/>
          <w:bCs/>
          <w:sz w:val="20"/>
          <w:szCs w:val="20"/>
          <w:lang w:val="es-MX" w:eastAsia="x-none"/>
        </w:rPr>
      </w:pPr>
    </w:p>
    <w:p w14:paraId="622C797D" w14:textId="77777777" w:rsidR="002964FC" w:rsidRDefault="002964FC" w:rsidP="002964FC">
      <w:pPr>
        <w:spacing w:after="120" w:line="276" w:lineRule="auto"/>
        <w:ind w:firstLine="709"/>
        <w:jc w:val="both"/>
        <w:rPr>
          <w:rFonts w:ascii="Verdana" w:eastAsia="Times New Roman" w:hAnsi="Verdana" w:cs="Arial"/>
          <w:bCs/>
          <w:lang w:val="es-MX" w:eastAsia="x-none"/>
        </w:rPr>
      </w:pPr>
      <w:r>
        <w:rPr>
          <w:rFonts w:ascii="Verdana" w:eastAsia="Calibri" w:hAnsi="Verdana" w:cs="Times New Roman"/>
        </w:rPr>
        <w:t xml:space="preserve">De lo expuesto, se precisa que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 xml:space="preserve">tanto en la contratación regulada por la Ley 80 de 1993 como en la regida por normas especiales. </w:t>
      </w:r>
    </w:p>
    <w:p w14:paraId="5F3DABAA" w14:textId="77777777" w:rsidR="002964FC" w:rsidRPr="004971B1" w:rsidRDefault="002964FC" w:rsidP="002964FC">
      <w:pPr>
        <w:spacing w:after="120" w:line="276" w:lineRule="auto"/>
        <w:ind w:firstLine="708"/>
        <w:jc w:val="both"/>
        <w:rPr>
          <w:rFonts w:ascii="Verdana" w:eastAsia="Times New Roman" w:hAnsi="Verdana" w:cs="Arial"/>
          <w:bCs/>
          <w:lang w:eastAsia="x-none"/>
        </w:rPr>
      </w:pPr>
      <w:r w:rsidRPr="004971B1">
        <w:rPr>
          <w:rFonts w:ascii="Verdana" w:eastAsia="Times New Roman" w:hAnsi="Verdana" w:cs="Arial"/>
          <w:bCs/>
          <w:lang w:val="es-MX" w:eastAsia="x-none"/>
        </w:rPr>
        <w:t>En todo caso, es necesario revisar si lo dispuesto en el Sistema General de Regalías le aplica la Ley 996 de 2005 –Ley de Garantías Electorales-. Para ello, es importante señalar que la Ley 2056 de 2020, “</w:t>
      </w:r>
      <w:r w:rsidRPr="004971B1">
        <w:rPr>
          <w:rFonts w:ascii="Verdana" w:eastAsia="Times New Roman" w:hAnsi="Verdana" w:cs="Arial"/>
          <w:bCs/>
          <w:lang w:eastAsia="x-none"/>
        </w:rPr>
        <w:t xml:space="preserve">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p w14:paraId="5BEF913E" w14:textId="77777777" w:rsidR="002964FC" w:rsidRPr="003F3BFF" w:rsidRDefault="002964FC" w:rsidP="002964FC">
      <w:pPr>
        <w:spacing w:after="120" w:line="276" w:lineRule="auto"/>
        <w:ind w:firstLine="709"/>
        <w:jc w:val="both"/>
        <w:rPr>
          <w:rFonts w:ascii="Verdana" w:eastAsia="Times New Roman" w:hAnsi="Verdana" w:cs="Arial"/>
          <w:bCs/>
          <w:lang w:eastAsia="x-none"/>
        </w:rPr>
      </w:pPr>
      <w:r w:rsidRPr="003F3BFF">
        <w:rPr>
          <w:rFonts w:ascii="Verdana" w:eastAsia="Times New Roman" w:hAnsi="Verdana" w:cs="Arial"/>
          <w:bCs/>
          <w:lang w:eastAsia="x-none"/>
        </w:rPr>
        <w:t>En este sentido, el artículo 54 de la Ley 2056 de 2020 dispone que los proyectos que pretendan financiarse con recursos de la Asignación para la Ciencia, Tecnología e Innovación deberán ser presentados por las entidades públicas o privadas que integren el Sistema Nacional de Ciencia, Tecnología e Innovación, regulado en el artículo 20 de la Ley 1286 de 2009 o en la norma que lo modifique o sustituya, ante el Ministerio de Ciencia, Tecnología e Innovación.</w:t>
      </w:r>
      <w:r>
        <w:rPr>
          <w:rFonts w:ascii="Verdana" w:eastAsia="Times New Roman" w:hAnsi="Verdana" w:cs="Arial"/>
          <w:bCs/>
          <w:lang w:eastAsia="x-none"/>
        </w:rPr>
        <w:t xml:space="preserve"> </w:t>
      </w:r>
      <w:r w:rsidRPr="003F3BFF">
        <w:rPr>
          <w:rFonts w:ascii="Verdana" w:eastAsia="Times New Roman" w:hAnsi="Verdana" w:cs="Arial"/>
          <w:bCs/>
          <w:lang w:eastAsia="x-none"/>
        </w:rPr>
        <w:t>Asimismo, cuando las universidades privadas actúan como ejecutoras de dichos proyectos, el Ministerio de Ciencia, Tecnología e Innovación —o los departamentos que así lo soliciten—, con cargo a los recursos de inversión, está obligado a vigilar la correcta ejecución de los mismos, directamente o a través de terceros, conforme a lo previsto en el artículo 83 de la Ley 1474 de 2011.</w:t>
      </w:r>
    </w:p>
    <w:p w14:paraId="10A3D45D" w14:textId="77777777" w:rsidR="002964FC" w:rsidRDefault="002964FC" w:rsidP="002964FC">
      <w:pPr>
        <w:spacing w:after="120" w:line="276" w:lineRule="auto"/>
        <w:ind w:firstLine="709"/>
        <w:jc w:val="both"/>
        <w:rPr>
          <w:rFonts w:ascii="Verdana" w:eastAsia="Times New Roman" w:hAnsi="Verdana" w:cs="Arial"/>
          <w:bCs/>
          <w:lang w:eastAsia="x-none"/>
        </w:rPr>
      </w:pPr>
      <w:r w:rsidRPr="003F3BFF">
        <w:rPr>
          <w:rFonts w:ascii="Verdana" w:eastAsia="Times New Roman" w:hAnsi="Verdana" w:cs="Arial"/>
          <w:bCs/>
          <w:lang w:eastAsia="x-none"/>
        </w:rPr>
        <w:t xml:space="preserve">Dentro de este marco normativo no se contempla excepción </w:t>
      </w:r>
      <w:r>
        <w:rPr>
          <w:rFonts w:ascii="Verdana" w:eastAsia="Times New Roman" w:hAnsi="Verdana" w:cs="Arial"/>
          <w:bCs/>
          <w:lang w:eastAsia="x-none"/>
        </w:rPr>
        <w:t>que permita considerar que la</w:t>
      </w:r>
      <w:r w:rsidRPr="003F3BFF">
        <w:rPr>
          <w:rFonts w:ascii="Verdana" w:eastAsia="Times New Roman" w:hAnsi="Verdana" w:cs="Arial"/>
          <w:bCs/>
          <w:lang w:eastAsia="x-none"/>
        </w:rPr>
        <w:t xml:space="preserve">s </w:t>
      </w:r>
      <w:r>
        <w:rPr>
          <w:rFonts w:ascii="Verdana" w:eastAsia="Times New Roman" w:hAnsi="Verdana" w:cs="Arial"/>
          <w:bCs/>
          <w:lang w:eastAsia="x-none"/>
        </w:rPr>
        <w:t xml:space="preserve">entidades privadas que ejecutan </w:t>
      </w:r>
      <w:r w:rsidRPr="003F3BFF">
        <w:rPr>
          <w:rFonts w:ascii="Verdana" w:eastAsia="Times New Roman" w:hAnsi="Verdana" w:cs="Arial"/>
          <w:bCs/>
          <w:lang w:eastAsia="x-none"/>
        </w:rPr>
        <w:t>recursos del Sistema General de Regalías estén sujetos a la restricción establecida en el artículo 33 de la Ley 996 de 2005, la cual prohíbe la contratación directa durante el periodo preelectoral de las elecciones presidenciales. En otras palabras, la normativa especial que regula la ejecución de los recursos del Sistema General de Regalías no otorga a las entidades privadas que los ejecutan la co</w:t>
      </w:r>
      <w:r>
        <w:rPr>
          <w:rFonts w:ascii="Verdana" w:eastAsia="Times New Roman" w:hAnsi="Verdana" w:cs="Arial"/>
          <w:bCs/>
          <w:lang w:eastAsia="x-none"/>
        </w:rPr>
        <w:t>ndición de entidades estatales.</w:t>
      </w:r>
    </w:p>
    <w:p w14:paraId="7816A948" w14:textId="77777777" w:rsidR="002964FC" w:rsidRDefault="002964FC" w:rsidP="002964FC">
      <w:pPr>
        <w:spacing w:after="120" w:line="276" w:lineRule="auto"/>
        <w:ind w:firstLine="709"/>
        <w:jc w:val="both"/>
        <w:rPr>
          <w:rFonts w:ascii="Verdana" w:eastAsia="Times New Roman" w:hAnsi="Verdana" w:cs="Arial"/>
          <w:bCs/>
          <w:lang w:eastAsia="x-none"/>
        </w:rPr>
      </w:pPr>
      <w:r w:rsidRPr="00D5606F">
        <w:rPr>
          <w:rFonts w:ascii="Verdana" w:eastAsia="Times New Roman" w:hAnsi="Verdana" w:cs="Arial"/>
          <w:bCs/>
          <w:lang w:eastAsia="x-none"/>
        </w:rPr>
        <w:t xml:space="preserve">En todo caso, resulta relevante señalar que la restricción prevista en el artículo 33 de la Ley 996 de 2005 aplica también a los procesos de contratación adelantados en el marco de las actividades de Ciencia, Tecnología e Innovación. Dichos procesos se encuentran regulados principalmente por el Decreto Ley 393 </w:t>
      </w:r>
      <w:r w:rsidRPr="00D5606F">
        <w:rPr>
          <w:rFonts w:ascii="Verdana" w:eastAsia="Times New Roman" w:hAnsi="Verdana" w:cs="Arial"/>
          <w:bCs/>
          <w:lang w:eastAsia="x-none"/>
        </w:rPr>
        <w:lastRenderedPageBreak/>
        <w:t xml:space="preserve">de 1991, el Decreto Ley 591 de 1991, la Ley 1286 de 2009 y el Documento CONPES 3582 de 2009. Estos cuerpos normativos establecen las formas de asociación y los tipos de contratos aplicables, tales como convenios especiales de cooperación, contratos de financiamiento y contratos </w:t>
      </w:r>
      <w:r>
        <w:rPr>
          <w:rFonts w:ascii="Verdana" w:eastAsia="Times New Roman" w:hAnsi="Verdana" w:cs="Arial"/>
          <w:bCs/>
          <w:lang w:eastAsia="x-none"/>
        </w:rPr>
        <w:t xml:space="preserve">de administración de proyectos. </w:t>
      </w:r>
      <w:r w:rsidRPr="00D5606F">
        <w:rPr>
          <w:rFonts w:ascii="Verdana" w:eastAsia="Times New Roman" w:hAnsi="Verdana" w:cs="Arial"/>
          <w:bCs/>
          <w:lang w:eastAsia="x-none"/>
        </w:rPr>
        <w:t>Asimismo, la Ley 1150 de 2007 reconoce como causal de contratación directa aquellos contratos destinados al desarrollo de actividades científicas y tecnológicas, lo que faculta a las entidades estatales para aplicar esta modalidad siempre que el objeto contractual corresponda efectivamente a dichas actividades. En este sentido, cuando la contratación se adelante de manera directa —es decir, sin libre concurrencia de oferentes— por parte de entidades del Estado</w:t>
      </w:r>
      <w:r>
        <w:rPr>
          <w:rFonts w:ascii="Verdana" w:eastAsia="Times New Roman" w:hAnsi="Verdana" w:cs="Arial"/>
          <w:bCs/>
          <w:lang w:eastAsia="x-none"/>
        </w:rPr>
        <w:t xml:space="preserve"> independiente del régimen jurídico aplicable</w:t>
      </w:r>
      <w:r w:rsidRPr="00D5606F">
        <w:rPr>
          <w:rFonts w:ascii="Verdana" w:eastAsia="Times New Roman" w:hAnsi="Verdana" w:cs="Arial"/>
          <w:bCs/>
          <w:lang w:eastAsia="x-none"/>
        </w:rPr>
        <w:t>, estará igualmente sujeta a la restricción mencionada.</w:t>
      </w:r>
    </w:p>
    <w:p w14:paraId="18692386" w14:textId="77777777" w:rsidR="002964FC" w:rsidRPr="00D5606F" w:rsidRDefault="002964FC" w:rsidP="002964FC">
      <w:pPr>
        <w:spacing w:after="120" w:line="276" w:lineRule="auto"/>
        <w:ind w:firstLine="709"/>
        <w:jc w:val="both"/>
        <w:rPr>
          <w:rFonts w:ascii="Verdana" w:eastAsia="Times New Roman" w:hAnsi="Verdana" w:cs="Arial"/>
          <w:bCs/>
          <w:lang w:eastAsia="x-none"/>
        </w:rPr>
      </w:pPr>
    </w:p>
    <w:bookmarkEnd w:id="12"/>
    <w:p w14:paraId="1484829B" w14:textId="77777777" w:rsidR="002964FC" w:rsidRPr="008D191C" w:rsidRDefault="002964FC" w:rsidP="002964FC">
      <w:pPr>
        <w:spacing w:after="120" w:line="276" w:lineRule="auto"/>
        <w:jc w:val="both"/>
        <w:rPr>
          <w:rFonts w:ascii="Verdana" w:hAnsi="Verdana"/>
        </w:rPr>
      </w:pPr>
      <w:r>
        <w:rPr>
          <w:rFonts w:ascii="Verdana" w:eastAsia="Calibri" w:hAnsi="Verdana" w:cs="Arial"/>
          <w:bCs/>
          <w:iCs/>
          <w:lang w:val="es-ES" w:eastAsia="es-ES_tradnl"/>
        </w:rPr>
        <w:t xml:space="preserve">iv.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A932D41" w14:textId="77777777" w:rsidR="002964FC" w:rsidRPr="008D191C" w:rsidRDefault="002964FC" w:rsidP="002964FC">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w:t>
      </w:r>
      <w:r>
        <w:rPr>
          <w:rFonts w:ascii="Verdana" w:eastAsia="Calibri" w:hAnsi="Verdana" w:cs="Arial"/>
          <w:bCs/>
          <w:color w:val="000000" w:themeColor="text1"/>
        </w:rPr>
        <w:t xml:space="preserve">consultante </w:t>
      </w:r>
      <w:r w:rsidRPr="008D191C">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B3BF240" w14:textId="77777777" w:rsidR="002964FC" w:rsidRPr="0030488C" w:rsidRDefault="002964FC" w:rsidP="002964FC">
      <w:pPr>
        <w:spacing w:after="120" w:line="276" w:lineRule="auto"/>
        <w:ind w:firstLine="709"/>
        <w:jc w:val="both"/>
        <w:rPr>
          <w:rFonts w:ascii="Verdana" w:eastAsia="Arial" w:hAnsi="Verdana" w:cs="Arial"/>
          <w:bCs/>
          <w:lang w:eastAsia="es-ES" w:bidi="es-ES"/>
        </w:rPr>
      </w:pPr>
    </w:p>
    <w:p w14:paraId="05C960B6" w14:textId="77777777" w:rsidR="002964FC" w:rsidRPr="008853C1" w:rsidRDefault="002964FC" w:rsidP="002964FC">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8853C1">
        <w:rPr>
          <w:rFonts w:ascii="Verdana" w:eastAsia="Century Gothic" w:hAnsi="Verdana" w:cs="Century Gothic"/>
          <w:b/>
          <w:bCs/>
        </w:rPr>
        <w:t>Referencias normativas</w:t>
      </w:r>
    </w:p>
    <w:p w14:paraId="198FE955" w14:textId="77777777" w:rsidR="002964FC" w:rsidRPr="00E2397D" w:rsidRDefault="002964FC" w:rsidP="002964F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964FC" w:rsidRPr="00810249" w14:paraId="0C86E914" w14:textId="77777777" w:rsidTr="000F7FDB">
        <w:trPr>
          <w:trHeight w:val="477"/>
          <w:jc w:val="center"/>
        </w:trPr>
        <w:tc>
          <w:tcPr>
            <w:tcW w:w="8647" w:type="dxa"/>
          </w:tcPr>
          <w:p w14:paraId="40F712BC" w14:textId="77777777" w:rsidR="002964FC" w:rsidRPr="00AB51C6" w:rsidRDefault="002964FC" w:rsidP="002964F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lastRenderedPageBreak/>
              <w:t>Constitución Política: Artículo 127.</w:t>
            </w:r>
          </w:p>
          <w:p w14:paraId="61967A41" w14:textId="77777777" w:rsidR="002964FC" w:rsidRPr="00EC214E" w:rsidRDefault="002964FC" w:rsidP="002964FC">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64DD0626" w14:textId="77777777" w:rsidR="002964FC" w:rsidRPr="00AB51C6" w:rsidRDefault="002964FC" w:rsidP="002964FC">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 xml:space="preserve">Ley 2056 de 2020, artículos 1, 54 y 55. </w:t>
            </w:r>
          </w:p>
          <w:p w14:paraId="0E41C749" w14:textId="77777777" w:rsidR="002964FC" w:rsidRPr="008C67B1" w:rsidRDefault="002964FC" w:rsidP="002964FC">
            <w:pPr>
              <w:widowControl w:val="0"/>
              <w:numPr>
                <w:ilvl w:val="0"/>
                <w:numId w:val="17"/>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Colombia Compra Efi</w:t>
            </w:r>
            <w:r>
              <w:rPr>
                <w:rFonts w:ascii="Verdana" w:eastAsia="Calibri" w:hAnsi="Verdana" w:cs="Arial"/>
                <w:lang w:val="es-ES"/>
              </w:rPr>
              <w:t xml:space="preserve">ciente. Circular Externa 06 de 2025. </w:t>
            </w:r>
            <w:r w:rsidRPr="008C67B1">
              <w:rPr>
                <w:rFonts w:ascii="Verdana" w:eastAsia="Calibri" w:hAnsi="Verdana" w:cs="Arial"/>
                <w:lang w:val="pt-BR"/>
              </w:rPr>
              <w:t xml:space="preserve"> </w:t>
            </w:r>
          </w:p>
        </w:tc>
      </w:tr>
    </w:tbl>
    <w:p w14:paraId="2EA86887" w14:textId="77777777" w:rsidR="002964FC" w:rsidRPr="00810249" w:rsidRDefault="002964FC" w:rsidP="002964FC">
      <w:pPr>
        <w:widowControl w:val="0"/>
        <w:autoSpaceDE w:val="0"/>
        <w:autoSpaceDN w:val="0"/>
        <w:spacing w:after="0" w:line="276" w:lineRule="auto"/>
        <w:jc w:val="both"/>
        <w:rPr>
          <w:rFonts w:ascii="Verdana" w:hAnsi="Verdana" w:cs="Arial"/>
          <w:lang w:val="pt-BR"/>
        </w:rPr>
      </w:pPr>
    </w:p>
    <w:p w14:paraId="0DBEC8BB" w14:textId="77777777" w:rsidR="002964FC" w:rsidRPr="00AB70DD" w:rsidRDefault="002964FC" w:rsidP="002964FC">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AB70DD">
        <w:rPr>
          <w:rFonts w:ascii="Verdana" w:eastAsia="Century Gothic" w:hAnsi="Verdana" w:cs="Century Gothic"/>
          <w:b/>
          <w:bCs/>
        </w:rPr>
        <w:t>Doctrina de la Agencia Nacional de Contratación Pública:</w:t>
      </w:r>
    </w:p>
    <w:p w14:paraId="6B275E8F" w14:textId="77777777" w:rsidR="002964FC" w:rsidRPr="00AB70DD" w:rsidRDefault="002964FC" w:rsidP="002964FC">
      <w:pPr>
        <w:widowControl w:val="0"/>
        <w:autoSpaceDE w:val="0"/>
        <w:autoSpaceDN w:val="0"/>
        <w:spacing w:after="0" w:line="276" w:lineRule="auto"/>
        <w:jc w:val="both"/>
        <w:rPr>
          <w:rFonts w:ascii="Verdana" w:hAnsi="Verdana" w:cs="Arial"/>
        </w:rPr>
      </w:pPr>
    </w:p>
    <w:p w14:paraId="60638FBB" w14:textId="77777777" w:rsidR="002964FC" w:rsidRDefault="002964FC" w:rsidP="002964FC">
      <w:pPr>
        <w:widowControl w:val="0"/>
        <w:autoSpaceDE w:val="0"/>
        <w:autoSpaceDN w:val="0"/>
        <w:spacing w:after="0" w:line="276" w:lineRule="auto"/>
        <w:jc w:val="both"/>
        <w:rPr>
          <w:rFonts w:ascii="Verdana" w:hAnsi="Verdana" w:cs="Arial"/>
          <w:shd w:val="clear" w:color="auto" w:fill="FFFFFF"/>
          <w:lang w:val="es-ES"/>
        </w:rPr>
      </w:pPr>
      <w:r w:rsidRPr="00AB70DD">
        <w:rPr>
          <w:rFonts w:ascii="Verdana" w:hAnsi="Verdana" w:cs="Arial"/>
          <w:shd w:val="clear" w:color="auto" w:fill="FFFFFF"/>
          <w:lang w:val="es-ES"/>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w:t>
      </w:r>
      <w:r>
        <w:rPr>
          <w:rFonts w:ascii="Verdana" w:hAnsi="Verdana" w:cs="Arial"/>
          <w:shd w:val="clear" w:color="auto" w:fill="FFFFFF"/>
          <w:lang w:val="es-ES"/>
        </w:rPr>
        <w:t xml:space="preserve"> </w:t>
      </w:r>
      <w:r w:rsidRPr="00AB51C6">
        <w:rPr>
          <w:rFonts w:ascii="Verdana" w:hAnsi="Verdana" w:cs="Arial"/>
          <w:shd w:val="clear" w:color="auto" w:fill="FFFFFF"/>
          <w:lang w:val="es-ES"/>
        </w:rPr>
        <w:t>C-317 del 25 de abril de 2025, C-510 del 4 de junio de 2025,</w:t>
      </w:r>
      <w:r>
        <w:rPr>
          <w:rFonts w:ascii="Verdana" w:hAnsi="Verdana" w:cs="Arial"/>
          <w:shd w:val="clear" w:color="auto" w:fill="FFFFFF"/>
          <w:lang w:val="es-ES"/>
        </w:rPr>
        <w:t xml:space="preserve"> 646 del 26 de junio de 2025, C-957 del 23 de agosto de 2025, C-975 del 28 de agosto de 2025, C-1015 del 4 de septiembre de 2025, C-1096 del 28 de agosto de 2025, C-1170 del 16 de septiembre de 2025, entre otros.</w:t>
      </w:r>
      <w:r w:rsidRPr="00AB70DD">
        <w:rPr>
          <w:rFonts w:ascii="Verdana" w:hAnsi="Verdana" w:cs="Arial"/>
          <w:shd w:val="clear" w:color="auto" w:fill="FFFFFF"/>
          <w:lang w:val="es-ES"/>
        </w:rPr>
        <w:t xml:space="preserve"> </w:t>
      </w:r>
    </w:p>
    <w:p w14:paraId="668DD578" w14:textId="77777777" w:rsidR="002964FC" w:rsidRDefault="002964FC" w:rsidP="002964FC">
      <w:pPr>
        <w:widowControl w:val="0"/>
        <w:autoSpaceDE w:val="0"/>
        <w:autoSpaceDN w:val="0"/>
        <w:spacing w:after="0" w:line="276" w:lineRule="auto"/>
        <w:jc w:val="both"/>
        <w:rPr>
          <w:rFonts w:ascii="Verdana" w:hAnsi="Verdana" w:cs="Arial"/>
          <w:shd w:val="clear" w:color="auto" w:fill="FFFFFF"/>
          <w:lang w:val="es-ES"/>
        </w:rPr>
      </w:pPr>
    </w:p>
    <w:p w14:paraId="6A4342F2" w14:textId="77777777" w:rsidR="002964FC" w:rsidRPr="00982D5D" w:rsidRDefault="002964FC" w:rsidP="002964FC">
      <w:pPr>
        <w:widowControl w:val="0"/>
        <w:autoSpaceDE w:val="0"/>
        <w:autoSpaceDN w:val="0"/>
        <w:spacing w:after="0" w:line="276" w:lineRule="auto"/>
        <w:jc w:val="both"/>
        <w:rPr>
          <w:rFonts w:ascii="Verdana" w:hAnsi="Verdana" w:cs="Arial"/>
          <w:bCs/>
          <w:shd w:val="clear" w:color="auto" w:fill="FFFFFF"/>
        </w:rPr>
      </w:pPr>
      <w:r w:rsidRPr="00982D5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16C1C66" w14:textId="77777777" w:rsidR="002964FC" w:rsidRPr="00982D5D" w:rsidRDefault="00BB005F" w:rsidP="002964FC">
      <w:pPr>
        <w:spacing w:after="0" w:line="256" w:lineRule="auto"/>
        <w:jc w:val="both"/>
        <w:rPr>
          <w:rFonts w:ascii="Verdana" w:eastAsia="Calibri" w:hAnsi="Verdana" w:cs="Times New Roman"/>
        </w:rPr>
      </w:pPr>
      <w:hyperlink r:id="rId13" w:history="1">
        <w:r w:rsidR="002964FC" w:rsidRPr="00982D5D">
          <w:rPr>
            <w:rFonts w:ascii="Verdana" w:eastAsia="Calibri" w:hAnsi="Verdana" w:cs="Times New Roman"/>
            <w:color w:val="0000FF"/>
            <w:u w:val="single"/>
            <w:lang w:val="es-ES"/>
          </w:rPr>
          <w:t>https://relatoria.colombiacompra.gov.co/busqueda/conceptos</w:t>
        </w:r>
      </w:hyperlink>
      <w:r w:rsidR="002964FC" w:rsidRPr="00982D5D">
        <w:rPr>
          <w:rFonts w:ascii="Verdana" w:eastAsia="Calibri" w:hAnsi="Verdana" w:cs="Times New Roman"/>
        </w:rPr>
        <w:t xml:space="preserve">. </w:t>
      </w:r>
    </w:p>
    <w:p w14:paraId="1B8A50C5" w14:textId="77777777" w:rsidR="002964FC" w:rsidRPr="00CB2288" w:rsidRDefault="002964FC" w:rsidP="002964FC">
      <w:pPr>
        <w:spacing w:after="0"/>
        <w:jc w:val="both"/>
        <w:rPr>
          <w:rFonts w:ascii="Verdana" w:hAnsi="Verdana"/>
          <w:lang w:val="es-ES"/>
        </w:rPr>
      </w:pPr>
    </w:p>
    <w:p w14:paraId="244955A2" w14:textId="77777777" w:rsidR="002964FC" w:rsidRDefault="002964FC" w:rsidP="002964FC">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w:t>
      </w:r>
      <w:r w:rsidRPr="00EC0E3F">
        <w:rPr>
          <w:rFonts w:ascii="Verdana" w:eastAsia="Calibri" w:hAnsi="Verdana" w:cs="Times New Roman"/>
          <w:b/>
          <w:bCs/>
        </w:rPr>
        <w:lastRenderedPageBreak/>
        <w:t xml:space="preserve">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2C66E6F1" w14:textId="77777777" w:rsidR="002964FC" w:rsidRPr="00CF2D08" w:rsidRDefault="002964FC" w:rsidP="002964FC">
      <w:pPr>
        <w:spacing w:after="0" w:line="256" w:lineRule="auto"/>
        <w:jc w:val="both"/>
        <w:rPr>
          <w:rFonts w:ascii="Verdana" w:eastAsia="Calibri" w:hAnsi="Verdana" w:cs="Times New Roman"/>
        </w:rPr>
      </w:pPr>
    </w:p>
    <w:p w14:paraId="02B68325" w14:textId="77777777" w:rsidR="002964FC" w:rsidRPr="00AB70DD" w:rsidRDefault="002964FC" w:rsidP="002964FC">
      <w:pPr>
        <w:spacing w:after="0" w:line="25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ED1E2E2" w14:textId="77777777" w:rsidR="002964FC" w:rsidRPr="00AB70DD" w:rsidRDefault="002964FC" w:rsidP="002964FC">
      <w:pPr>
        <w:spacing w:after="0" w:line="256" w:lineRule="auto"/>
        <w:jc w:val="both"/>
        <w:rPr>
          <w:rFonts w:ascii="Verdana" w:eastAsia="Calibri" w:hAnsi="Verdana" w:cs="Times New Roman"/>
        </w:rPr>
      </w:pPr>
    </w:p>
    <w:p w14:paraId="44F9B3AC" w14:textId="77777777" w:rsidR="002964FC" w:rsidRPr="00AB70DD" w:rsidRDefault="002964FC" w:rsidP="002964FC">
      <w:pPr>
        <w:spacing w:after="0" w:line="256" w:lineRule="auto"/>
        <w:jc w:val="both"/>
        <w:rPr>
          <w:rFonts w:ascii="Verdana" w:eastAsia="Calibri" w:hAnsi="Verdana" w:cs="Times New Roman"/>
        </w:rPr>
      </w:pPr>
      <w:r w:rsidRPr="00AB70DD">
        <w:rPr>
          <w:rFonts w:ascii="Verdana" w:eastAsia="Calibri" w:hAnsi="Verdana" w:cs="Times New Roman"/>
        </w:rPr>
        <w:t>Atentamente,</w:t>
      </w:r>
    </w:p>
    <w:p w14:paraId="3A6EA779" w14:textId="77777777" w:rsidR="002964FC" w:rsidRDefault="002964FC" w:rsidP="002964FC">
      <w:pPr>
        <w:spacing w:after="0" w:line="256" w:lineRule="auto"/>
        <w:rPr>
          <w:rFonts w:ascii="Century Gothic" w:hAnsi="Century Gothic"/>
          <w:noProof/>
          <w:lang w:val="en-US"/>
        </w:rPr>
      </w:pPr>
    </w:p>
    <w:p w14:paraId="421BAC91" w14:textId="5306513C" w:rsidR="002964FC" w:rsidRPr="00045117" w:rsidRDefault="004836C3" w:rsidP="002964FC">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3467539F" wp14:editId="7AFFD905">
            <wp:extent cx="3279140" cy="1285875"/>
            <wp:effectExtent l="0" t="0" r="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5" cy="1299045"/>
                    </a:xfrm>
                    <a:prstGeom prst="rect">
                      <a:avLst/>
                    </a:prstGeom>
                  </pic:spPr>
                </pic:pic>
              </a:graphicData>
            </a:graphic>
          </wp:inline>
        </w:drawing>
      </w:r>
    </w:p>
    <w:p w14:paraId="3AB807D3" w14:textId="77777777" w:rsidR="002964FC" w:rsidRPr="00045117" w:rsidRDefault="002964FC" w:rsidP="002964FC">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964FC" w:rsidRPr="00045117" w14:paraId="50DD4FA9" w14:textId="77777777" w:rsidTr="000F7FDB">
        <w:trPr>
          <w:trHeight w:val="409"/>
        </w:trPr>
        <w:tc>
          <w:tcPr>
            <w:tcW w:w="817" w:type="dxa"/>
            <w:tcBorders>
              <w:top w:val="nil"/>
              <w:left w:val="nil"/>
              <w:bottom w:val="nil"/>
              <w:right w:val="nil"/>
            </w:tcBorders>
            <w:vAlign w:val="center"/>
            <w:hideMark/>
          </w:tcPr>
          <w:p w14:paraId="4110F8A1"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31EFD33"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José Luis Sánchez Cardona</w:t>
            </w:r>
          </w:p>
          <w:p w14:paraId="16E456A9"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Contratista de la Subdirección de Gestión Contractual</w:t>
            </w:r>
          </w:p>
        </w:tc>
      </w:tr>
      <w:tr w:rsidR="002964FC" w:rsidRPr="00045117" w14:paraId="598866E4" w14:textId="77777777" w:rsidTr="000F7FDB">
        <w:trPr>
          <w:trHeight w:val="409"/>
        </w:trPr>
        <w:tc>
          <w:tcPr>
            <w:tcW w:w="817" w:type="dxa"/>
            <w:tcBorders>
              <w:top w:val="nil"/>
              <w:left w:val="nil"/>
              <w:bottom w:val="nil"/>
              <w:right w:val="nil"/>
            </w:tcBorders>
            <w:vAlign w:val="center"/>
            <w:hideMark/>
          </w:tcPr>
          <w:p w14:paraId="5545DE0F"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64D337"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Alejandro Sarmiento Cantillo</w:t>
            </w:r>
          </w:p>
          <w:p w14:paraId="5B07E927"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Gestor T1-15 de la Subdirección de Gestión Contractual </w:t>
            </w:r>
          </w:p>
        </w:tc>
      </w:tr>
      <w:tr w:rsidR="002964FC" w:rsidRPr="00045117" w14:paraId="22177F8F" w14:textId="77777777" w:rsidTr="000F7FDB">
        <w:trPr>
          <w:trHeight w:val="389"/>
        </w:trPr>
        <w:tc>
          <w:tcPr>
            <w:tcW w:w="817" w:type="dxa"/>
            <w:tcBorders>
              <w:top w:val="nil"/>
              <w:left w:val="nil"/>
              <w:bottom w:val="nil"/>
              <w:right w:val="nil"/>
            </w:tcBorders>
            <w:vAlign w:val="center"/>
            <w:hideMark/>
          </w:tcPr>
          <w:p w14:paraId="60E01DFB"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0EB0845"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Carolina Quintero Gacharná</w:t>
            </w:r>
          </w:p>
          <w:p w14:paraId="23A8E9A1" w14:textId="77777777" w:rsidR="002964FC" w:rsidRPr="00045117" w:rsidRDefault="002964FC" w:rsidP="000F7FDB">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Subdirectora de Gestión Contractual ANCP – CCE</w:t>
            </w:r>
          </w:p>
        </w:tc>
      </w:tr>
      <w:bookmarkEnd w:id="0"/>
    </w:tbl>
    <w:p w14:paraId="0F293BF4" w14:textId="74C1CC36" w:rsidR="00127233" w:rsidRPr="002964FC" w:rsidRDefault="00127233" w:rsidP="002964FC"/>
    <w:sectPr w:rsidR="00127233" w:rsidRPr="002964F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6C26A" w14:textId="77777777" w:rsidR="00BB005F" w:rsidRDefault="00BB005F" w:rsidP="004A1847">
      <w:pPr>
        <w:spacing w:after="0" w:line="240" w:lineRule="auto"/>
      </w:pPr>
      <w:r>
        <w:separator/>
      </w:r>
    </w:p>
  </w:endnote>
  <w:endnote w:type="continuationSeparator" w:id="0">
    <w:p w14:paraId="050EDEF4" w14:textId="77777777" w:rsidR="00BB005F" w:rsidRDefault="00BB005F" w:rsidP="004A1847">
      <w:pPr>
        <w:spacing w:after="0" w:line="240" w:lineRule="auto"/>
      </w:pPr>
      <w:r>
        <w:continuationSeparator/>
      </w:r>
    </w:p>
  </w:endnote>
  <w:endnote w:type="continuationNotice" w:id="1">
    <w:p w14:paraId="5E067093" w14:textId="77777777" w:rsidR="00BB005F" w:rsidRDefault="00BB00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5FCEF37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836C3" w:rsidRPr="004836C3">
      <w:rPr>
        <w:rFonts w:ascii="Verdana" w:eastAsiaTheme="minorEastAsia" w:hAnsi="Verdana"/>
        <w:b/>
        <w:bCs/>
        <w:noProof/>
        <w:sz w:val="16"/>
        <w:szCs w:val="16"/>
      </w:rPr>
      <w:t>25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338CF2" w14:textId="77777777" w:rsidR="00BB005F" w:rsidRDefault="00BB005F" w:rsidP="004A1847">
      <w:pPr>
        <w:spacing w:after="0" w:line="240" w:lineRule="auto"/>
      </w:pPr>
      <w:r>
        <w:separator/>
      </w:r>
    </w:p>
  </w:footnote>
  <w:footnote w:type="continuationSeparator" w:id="0">
    <w:p w14:paraId="7790A2B4" w14:textId="77777777" w:rsidR="00BB005F" w:rsidRDefault="00BB005F" w:rsidP="004A1847">
      <w:pPr>
        <w:spacing w:after="0" w:line="240" w:lineRule="auto"/>
      </w:pPr>
      <w:r>
        <w:continuationSeparator/>
      </w:r>
    </w:p>
  </w:footnote>
  <w:footnote w:type="continuationNotice" w:id="1">
    <w:p w14:paraId="6DA8A150" w14:textId="77777777" w:rsidR="00BB005F" w:rsidRDefault="00BB005F">
      <w:pPr>
        <w:spacing w:after="0" w:line="240" w:lineRule="auto"/>
      </w:pPr>
    </w:p>
  </w:footnote>
  <w:footnote w:id="2">
    <w:p w14:paraId="70D659B1"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A3BBF54" w14:textId="77777777" w:rsidR="002964FC" w:rsidRPr="00F95083" w:rsidRDefault="002964FC" w:rsidP="002964FC">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1127E63D"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4">
    <w:p w14:paraId="42B87B24" w14:textId="77777777" w:rsidR="002964FC" w:rsidRPr="00F95083" w:rsidRDefault="002964FC" w:rsidP="002964FC">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5">
    <w:p w14:paraId="3A58EAC5" w14:textId="77777777" w:rsidR="002964FC" w:rsidRPr="00F95083" w:rsidRDefault="002964FC" w:rsidP="002964FC">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033677B" w14:textId="77777777" w:rsidR="002964FC" w:rsidRPr="00F95083" w:rsidRDefault="002964FC" w:rsidP="002964FC">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F1579FA"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8">
    <w:p w14:paraId="05F550AE" w14:textId="77777777" w:rsidR="002964FC" w:rsidRPr="00F95083" w:rsidRDefault="002964FC" w:rsidP="002964FC">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6"/>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2F24D171" w14:textId="77777777" w:rsidR="002964FC" w:rsidRPr="00F95083" w:rsidRDefault="002964FC" w:rsidP="002964FC">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9">
    <w:p w14:paraId="3283B8AA" w14:textId="77777777" w:rsidR="002964FC" w:rsidRPr="00F95083" w:rsidRDefault="002964FC" w:rsidP="002964FC">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7"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7"/>
      <w:r w:rsidRPr="00F95083">
        <w:rPr>
          <w:rFonts w:ascii="Verdana" w:hAnsi="Verdana" w:cs="Arial"/>
          <w:sz w:val="15"/>
          <w:szCs w:val="15"/>
          <w:lang w:val="es-MX"/>
        </w:rPr>
        <w:t xml:space="preserve"> […]</w:t>
      </w:r>
    </w:p>
    <w:p w14:paraId="025018B8" w14:textId="77777777" w:rsidR="002964FC" w:rsidRPr="00F95083" w:rsidRDefault="002964FC" w:rsidP="002964FC">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10">
    <w:p w14:paraId="55D0FED8" w14:textId="77777777" w:rsidR="002964FC" w:rsidRPr="00F95083" w:rsidRDefault="002964FC" w:rsidP="002964FC">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1">
    <w:p w14:paraId="4DCD808F" w14:textId="77777777" w:rsidR="002964FC" w:rsidRPr="00F95083" w:rsidRDefault="002964FC" w:rsidP="002964FC">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5FC9C17E" w14:textId="77777777" w:rsidR="002964FC" w:rsidRPr="00F95083" w:rsidRDefault="002964FC" w:rsidP="002964F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3">
    <w:p w14:paraId="5A10ECEB" w14:textId="77777777" w:rsidR="002964FC" w:rsidRPr="00F95083" w:rsidRDefault="002964FC" w:rsidP="002964F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14">
    <w:p w14:paraId="565DCDA9"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67A7A183" w14:textId="77777777" w:rsidR="002964FC" w:rsidRPr="00F95083" w:rsidRDefault="002964FC" w:rsidP="002964F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16">
    <w:p w14:paraId="24EC059E" w14:textId="77777777" w:rsidR="002964FC" w:rsidRPr="00F95083" w:rsidRDefault="002964FC" w:rsidP="002964F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17">
    <w:p w14:paraId="0DA04EE0" w14:textId="77777777" w:rsidR="002964FC" w:rsidRPr="00F95083" w:rsidRDefault="002964FC" w:rsidP="002964F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59FE9DFF" w14:textId="77777777" w:rsidR="002964FC" w:rsidRPr="00F95083" w:rsidRDefault="002964FC" w:rsidP="002964FC">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18002970"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Exp. 2.382. C.P. Álvaro Namén Vargas.</w:t>
      </w:r>
    </w:p>
  </w:footnote>
  <w:footnote w:id="20">
    <w:p w14:paraId="59427372" w14:textId="77777777" w:rsidR="002964FC" w:rsidRPr="00F95083" w:rsidRDefault="002964FC" w:rsidP="002964FC">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6553BA5F" w14:textId="77777777" w:rsidR="002964FC" w:rsidRPr="00F95083" w:rsidRDefault="002964FC" w:rsidP="002964F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5821C62C" w14:textId="77777777" w:rsidR="002964FC" w:rsidRPr="00F95083" w:rsidRDefault="002964FC" w:rsidP="002964FC">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22BC62E6" w14:textId="77777777" w:rsidR="002964FC" w:rsidRPr="00CB2288" w:rsidRDefault="002964FC" w:rsidP="002964FC">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24">
    <w:p w14:paraId="302ACE06" w14:textId="77777777" w:rsidR="002964FC" w:rsidRPr="00F95083" w:rsidRDefault="002964FC" w:rsidP="002964FC">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5">
    <w:p w14:paraId="752E860E" w14:textId="77777777" w:rsidR="002964FC" w:rsidRPr="00F95083" w:rsidRDefault="002964FC" w:rsidP="002964F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6">
    <w:p w14:paraId="14D9CB0A" w14:textId="77777777" w:rsidR="002964FC" w:rsidRPr="004971B1" w:rsidRDefault="002964FC" w:rsidP="002964FC">
      <w:pPr>
        <w:pStyle w:val="Textonotapie"/>
        <w:ind w:firstLine="708"/>
        <w:rPr>
          <w:rFonts w:ascii="Verdana" w:hAnsi="Verdana"/>
          <w:sz w:val="16"/>
          <w:szCs w:val="16"/>
          <w:lang w:val="es-ES"/>
        </w:rPr>
      </w:pPr>
      <w:r w:rsidRPr="004971B1">
        <w:rPr>
          <w:rStyle w:val="Refdenotaalpie"/>
          <w:rFonts w:ascii="Verdana" w:hAnsi="Verdana"/>
          <w:sz w:val="16"/>
          <w:szCs w:val="16"/>
        </w:rPr>
        <w:footnoteRef/>
      </w:r>
      <w:r w:rsidRPr="004971B1">
        <w:rPr>
          <w:rFonts w:ascii="Verdana" w:hAnsi="Verdana"/>
          <w:sz w:val="16"/>
          <w:szCs w:val="16"/>
        </w:rPr>
        <w:t xml:space="preserve"> Agencia Nacional de Contratación Pública – Colombia Compra Eficiente. Circular Externa 06 del 25 de septiembre de 2025.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2.8pt;height:12.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3"/>
  </w:num>
  <w:num w:numId="14">
    <w:abstractNumId w:val="16"/>
  </w:num>
  <w:num w:numId="15">
    <w:abstractNumId w:val="12"/>
  </w:num>
  <w:num w:numId="16">
    <w:abstractNumId w:val="0"/>
  </w:num>
  <w:num w:numId="17">
    <w:abstractNumId w:val="10"/>
  </w:num>
  <w:num w:numId="18">
    <w:abstractNumId w:val="1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6F78"/>
    <w:rsid w:val="0002207F"/>
    <w:rsid w:val="00046945"/>
    <w:rsid w:val="00061B2A"/>
    <w:rsid w:val="00081367"/>
    <w:rsid w:val="00082362"/>
    <w:rsid w:val="000825A6"/>
    <w:rsid w:val="00090FA4"/>
    <w:rsid w:val="00095DAE"/>
    <w:rsid w:val="000A683E"/>
    <w:rsid w:val="000B19B9"/>
    <w:rsid w:val="000D0334"/>
    <w:rsid w:val="000D5DA7"/>
    <w:rsid w:val="000F4FFB"/>
    <w:rsid w:val="000F6486"/>
    <w:rsid w:val="00102203"/>
    <w:rsid w:val="00116940"/>
    <w:rsid w:val="00125105"/>
    <w:rsid w:val="00127233"/>
    <w:rsid w:val="0015699B"/>
    <w:rsid w:val="001A33BF"/>
    <w:rsid w:val="001E194B"/>
    <w:rsid w:val="001E4177"/>
    <w:rsid w:val="001F0B24"/>
    <w:rsid w:val="001F7DC6"/>
    <w:rsid w:val="0022400B"/>
    <w:rsid w:val="002421BB"/>
    <w:rsid w:val="00242D9B"/>
    <w:rsid w:val="0025796E"/>
    <w:rsid w:val="00261121"/>
    <w:rsid w:val="002707A2"/>
    <w:rsid w:val="00275976"/>
    <w:rsid w:val="0027757A"/>
    <w:rsid w:val="002845F4"/>
    <w:rsid w:val="00293441"/>
    <w:rsid w:val="002951A0"/>
    <w:rsid w:val="002962BC"/>
    <w:rsid w:val="002964FC"/>
    <w:rsid w:val="002A093D"/>
    <w:rsid w:val="002A0DD0"/>
    <w:rsid w:val="002A49AC"/>
    <w:rsid w:val="002A64FD"/>
    <w:rsid w:val="002C5725"/>
    <w:rsid w:val="002C7A84"/>
    <w:rsid w:val="002E2BF8"/>
    <w:rsid w:val="002E4FD9"/>
    <w:rsid w:val="002F3CDF"/>
    <w:rsid w:val="0030657A"/>
    <w:rsid w:val="00322A85"/>
    <w:rsid w:val="00324168"/>
    <w:rsid w:val="00330834"/>
    <w:rsid w:val="003318AB"/>
    <w:rsid w:val="003448F4"/>
    <w:rsid w:val="00355EA0"/>
    <w:rsid w:val="003604F5"/>
    <w:rsid w:val="00374F5E"/>
    <w:rsid w:val="00377E3E"/>
    <w:rsid w:val="00385A72"/>
    <w:rsid w:val="003A779E"/>
    <w:rsid w:val="003C5B9E"/>
    <w:rsid w:val="003C64B8"/>
    <w:rsid w:val="003D0F4D"/>
    <w:rsid w:val="003D1CF9"/>
    <w:rsid w:val="003D5B0D"/>
    <w:rsid w:val="003E0499"/>
    <w:rsid w:val="003E4F80"/>
    <w:rsid w:val="003E6439"/>
    <w:rsid w:val="003E6646"/>
    <w:rsid w:val="003F3941"/>
    <w:rsid w:val="003F3BFF"/>
    <w:rsid w:val="00406575"/>
    <w:rsid w:val="00414C74"/>
    <w:rsid w:val="00417B5B"/>
    <w:rsid w:val="0042722E"/>
    <w:rsid w:val="00437377"/>
    <w:rsid w:val="0044528D"/>
    <w:rsid w:val="00466302"/>
    <w:rsid w:val="00466E39"/>
    <w:rsid w:val="00472D0B"/>
    <w:rsid w:val="00473BEB"/>
    <w:rsid w:val="004836C3"/>
    <w:rsid w:val="004971B1"/>
    <w:rsid w:val="004A1847"/>
    <w:rsid w:val="004A305D"/>
    <w:rsid w:val="004B7D74"/>
    <w:rsid w:val="004F21C4"/>
    <w:rsid w:val="004F685F"/>
    <w:rsid w:val="0053199F"/>
    <w:rsid w:val="005566E8"/>
    <w:rsid w:val="00574867"/>
    <w:rsid w:val="0058093F"/>
    <w:rsid w:val="00580BC6"/>
    <w:rsid w:val="005874CB"/>
    <w:rsid w:val="00591460"/>
    <w:rsid w:val="00597A19"/>
    <w:rsid w:val="005A65E0"/>
    <w:rsid w:val="005C3777"/>
    <w:rsid w:val="005C5CDC"/>
    <w:rsid w:val="005C6BC8"/>
    <w:rsid w:val="005D476C"/>
    <w:rsid w:val="005E6B20"/>
    <w:rsid w:val="005F181C"/>
    <w:rsid w:val="00611660"/>
    <w:rsid w:val="006200BF"/>
    <w:rsid w:val="006219F8"/>
    <w:rsid w:val="006302F7"/>
    <w:rsid w:val="00646B9F"/>
    <w:rsid w:val="00665D70"/>
    <w:rsid w:val="006900D9"/>
    <w:rsid w:val="006A5727"/>
    <w:rsid w:val="006C04F1"/>
    <w:rsid w:val="006F6E95"/>
    <w:rsid w:val="00700569"/>
    <w:rsid w:val="00701F6E"/>
    <w:rsid w:val="00706C16"/>
    <w:rsid w:val="007317FA"/>
    <w:rsid w:val="007340C3"/>
    <w:rsid w:val="0075235A"/>
    <w:rsid w:val="00756841"/>
    <w:rsid w:val="007649AB"/>
    <w:rsid w:val="00771D0C"/>
    <w:rsid w:val="007829E1"/>
    <w:rsid w:val="007833AC"/>
    <w:rsid w:val="007A153F"/>
    <w:rsid w:val="007B268C"/>
    <w:rsid w:val="007B7171"/>
    <w:rsid w:val="007C0C0F"/>
    <w:rsid w:val="007C3DC2"/>
    <w:rsid w:val="007D3968"/>
    <w:rsid w:val="007E5497"/>
    <w:rsid w:val="00806F5F"/>
    <w:rsid w:val="00815B83"/>
    <w:rsid w:val="00820169"/>
    <w:rsid w:val="00820278"/>
    <w:rsid w:val="008258C9"/>
    <w:rsid w:val="00844AE9"/>
    <w:rsid w:val="00863C89"/>
    <w:rsid w:val="00867F95"/>
    <w:rsid w:val="008765DC"/>
    <w:rsid w:val="008773C8"/>
    <w:rsid w:val="008835B4"/>
    <w:rsid w:val="008843B6"/>
    <w:rsid w:val="00891928"/>
    <w:rsid w:val="008934CB"/>
    <w:rsid w:val="00895356"/>
    <w:rsid w:val="008A446D"/>
    <w:rsid w:val="008B104D"/>
    <w:rsid w:val="008B25F1"/>
    <w:rsid w:val="008C571F"/>
    <w:rsid w:val="008C67B1"/>
    <w:rsid w:val="008D180B"/>
    <w:rsid w:val="008E6091"/>
    <w:rsid w:val="008E72AF"/>
    <w:rsid w:val="008F0EA7"/>
    <w:rsid w:val="008F327E"/>
    <w:rsid w:val="00923EEF"/>
    <w:rsid w:val="009305DC"/>
    <w:rsid w:val="009419F9"/>
    <w:rsid w:val="0095685E"/>
    <w:rsid w:val="00961B09"/>
    <w:rsid w:val="00965334"/>
    <w:rsid w:val="0097093E"/>
    <w:rsid w:val="00990BF1"/>
    <w:rsid w:val="009A0DFA"/>
    <w:rsid w:val="009A1C6F"/>
    <w:rsid w:val="009B01A0"/>
    <w:rsid w:val="009B2D26"/>
    <w:rsid w:val="009C71FA"/>
    <w:rsid w:val="009C72E7"/>
    <w:rsid w:val="009C7F7E"/>
    <w:rsid w:val="009D3058"/>
    <w:rsid w:val="009F144A"/>
    <w:rsid w:val="009F3A13"/>
    <w:rsid w:val="00A07EBF"/>
    <w:rsid w:val="00A122D3"/>
    <w:rsid w:val="00A14468"/>
    <w:rsid w:val="00A17F13"/>
    <w:rsid w:val="00A20739"/>
    <w:rsid w:val="00A23AF9"/>
    <w:rsid w:val="00A33C78"/>
    <w:rsid w:val="00A63F17"/>
    <w:rsid w:val="00A716AB"/>
    <w:rsid w:val="00A83161"/>
    <w:rsid w:val="00A86E5C"/>
    <w:rsid w:val="00AA5EE3"/>
    <w:rsid w:val="00AB0ADB"/>
    <w:rsid w:val="00B00C0E"/>
    <w:rsid w:val="00B01B1A"/>
    <w:rsid w:val="00B0381D"/>
    <w:rsid w:val="00B13882"/>
    <w:rsid w:val="00B14142"/>
    <w:rsid w:val="00B14F36"/>
    <w:rsid w:val="00B44A47"/>
    <w:rsid w:val="00B72CD3"/>
    <w:rsid w:val="00B72FFF"/>
    <w:rsid w:val="00B7443D"/>
    <w:rsid w:val="00B944AA"/>
    <w:rsid w:val="00B95ED8"/>
    <w:rsid w:val="00BA7A2E"/>
    <w:rsid w:val="00BB005F"/>
    <w:rsid w:val="00BC3D36"/>
    <w:rsid w:val="00BD54A6"/>
    <w:rsid w:val="00BD7F72"/>
    <w:rsid w:val="00BF6651"/>
    <w:rsid w:val="00BF7425"/>
    <w:rsid w:val="00C04FB3"/>
    <w:rsid w:val="00C11D8B"/>
    <w:rsid w:val="00C15139"/>
    <w:rsid w:val="00C330EB"/>
    <w:rsid w:val="00C50D69"/>
    <w:rsid w:val="00C5365C"/>
    <w:rsid w:val="00C67C8B"/>
    <w:rsid w:val="00C754BE"/>
    <w:rsid w:val="00C76B1C"/>
    <w:rsid w:val="00C925AC"/>
    <w:rsid w:val="00C958D1"/>
    <w:rsid w:val="00CA0E68"/>
    <w:rsid w:val="00CB6357"/>
    <w:rsid w:val="00CC1B26"/>
    <w:rsid w:val="00CD6067"/>
    <w:rsid w:val="00CE4589"/>
    <w:rsid w:val="00CF4861"/>
    <w:rsid w:val="00D350D3"/>
    <w:rsid w:val="00D361FD"/>
    <w:rsid w:val="00D423A2"/>
    <w:rsid w:val="00D44E26"/>
    <w:rsid w:val="00D520D8"/>
    <w:rsid w:val="00D53F94"/>
    <w:rsid w:val="00D63AC2"/>
    <w:rsid w:val="00D7383B"/>
    <w:rsid w:val="00D75A74"/>
    <w:rsid w:val="00D7788A"/>
    <w:rsid w:val="00DA231B"/>
    <w:rsid w:val="00DC39FC"/>
    <w:rsid w:val="00DD0992"/>
    <w:rsid w:val="00DF5254"/>
    <w:rsid w:val="00E02524"/>
    <w:rsid w:val="00E16408"/>
    <w:rsid w:val="00E20894"/>
    <w:rsid w:val="00E245AB"/>
    <w:rsid w:val="00E2764C"/>
    <w:rsid w:val="00E27F2E"/>
    <w:rsid w:val="00E50AFE"/>
    <w:rsid w:val="00E56EE8"/>
    <w:rsid w:val="00E60AD8"/>
    <w:rsid w:val="00E75C92"/>
    <w:rsid w:val="00E760D9"/>
    <w:rsid w:val="00E771DC"/>
    <w:rsid w:val="00E8772A"/>
    <w:rsid w:val="00E90AC3"/>
    <w:rsid w:val="00E90F6B"/>
    <w:rsid w:val="00E92C27"/>
    <w:rsid w:val="00EA0E3D"/>
    <w:rsid w:val="00EA4B5D"/>
    <w:rsid w:val="00EC38A7"/>
    <w:rsid w:val="00EE1AA8"/>
    <w:rsid w:val="00F163B0"/>
    <w:rsid w:val="00F23FEA"/>
    <w:rsid w:val="00F3074C"/>
    <w:rsid w:val="00F31A4A"/>
    <w:rsid w:val="00F31EDC"/>
    <w:rsid w:val="00F462B3"/>
    <w:rsid w:val="00F5664F"/>
    <w:rsid w:val="00F624DD"/>
    <w:rsid w:val="00F666C4"/>
    <w:rsid w:val="00F7339B"/>
    <w:rsid w:val="00F760B7"/>
    <w:rsid w:val="00F76AFC"/>
    <w:rsid w:val="00F859C7"/>
    <w:rsid w:val="00FA3E17"/>
    <w:rsid w:val="00FA47C0"/>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64F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B14142"/>
    <w:rPr>
      <w:b/>
      <w:bCs/>
    </w:rPr>
  </w:style>
  <w:style w:type="character" w:styleId="nfasis">
    <w:name w:val="Emphasis"/>
    <w:basedOn w:val="Fuentedeprrafopredeter"/>
    <w:uiPriority w:val="20"/>
    <w:qFormat/>
    <w:rsid w:val="00B141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lazasdemercado.pei@unilibre.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EAA69-4EAA-471A-B2E4-E4FD7E22735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936A9A8-42FC-469E-BB1A-56C65AE6C1B3}">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43</TotalTime>
  <Pages>25</Pages>
  <Words>8233</Words>
  <Characters>46932</Characters>
  <Application>Microsoft Office Word</Application>
  <DocSecurity>0</DocSecurity>
  <Lines>391</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12</cp:revision>
  <cp:lastPrinted>2023-01-10T21:18:00Z</cp:lastPrinted>
  <dcterms:created xsi:type="dcterms:W3CDTF">2025-12-24T15:37:00Z</dcterms:created>
  <dcterms:modified xsi:type="dcterms:W3CDTF">2025-12-26T21:19:00Z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