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F384C" w14:textId="77777777" w:rsidR="007641FC" w:rsidRPr="00572E66" w:rsidRDefault="007641FC" w:rsidP="007641FC">
      <w:pPr>
        <w:spacing w:line="276" w:lineRule="auto"/>
        <w:jc w:val="both"/>
        <w:rPr>
          <w:rFonts w:ascii="Verdana" w:hAnsi="Verdana" w:cs="Arial"/>
          <w:b/>
          <w:bCs/>
          <w:color w:val="000000" w:themeColor="text1"/>
          <w:lang w:val="es-ES"/>
        </w:rPr>
      </w:pPr>
      <w:bookmarkStart w:id="0" w:name="_Hlk213674657"/>
      <w:bookmarkEnd w:id="0"/>
      <w:r w:rsidRPr="00572E66">
        <w:rPr>
          <w:rFonts w:ascii="Verdana" w:hAnsi="Verdana" w:cs="Arial"/>
          <w:b/>
          <w:bCs/>
          <w:color w:val="000000" w:themeColor="text1"/>
          <w:lang w:val="es-ES"/>
        </w:rPr>
        <w:t xml:space="preserve">SUBSANABILIDAD – Aplicación – Regla general – Excepciones </w:t>
      </w:r>
    </w:p>
    <w:p w14:paraId="41FFA14A" w14:textId="77777777" w:rsidR="007641FC" w:rsidRDefault="007641FC" w:rsidP="007641FC">
      <w:pPr>
        <w:spacing w:after="0" w:line="240" w:lineRule="auto"/>
        <w:jc w:val="both"/>
        <w:rPr>
          <w:rFonts w:ascii="Verdana" w:eastAsia="Times New Roman" w:hAnsi="Verdana" w:cs="Arial"/>
          <w:sz w:val="20"/>
          <w:szCs w:val="20"/>
          <w:lang w:val="es-ES" w:eastAsia="es-ES"/>
        </w:rPr>
      </w:pPr>
      <w:r w:rsidRPr="00EC0EEB">
        <w:rPr>
          <w:rFonts w:ascii="Verdana" w:hAnsi="Verdana" w:cs="Arial"/>
          <w:noProof/>
          <w:sz w:val="20"/>
          <w:szCs w:val="20"/>
          <w:lang w:val="es-ES"/>
        </w:rPr>
        <w:t>L</w:t>
      </w:r>
      <w:r w:rsidRPr="00EC0EEB">
        <w:rPr>
          <w:rFonts w:ascii="Verdana" w:eastAsia="Times New Roman" w:hAnsi="Verdana" w:cs="Arial"/>
          <w:sz w:val="20"/>
          <w:szCs w:val="20"/>
        </w:rPr>
        <w:t xml:space="preserve">a regla de la </w:t>
      </w:r>
      <w:proofErr w:type="spellStart"/>
      <w:r w:rsidRPr="00EC0EEB">
        <w:rPr>
          <w:rFonts w:ascii="Verdana" w:eastAsia="Times New Roman" w:hAnsi="Verdana" w:cs="Arial"/>
          <w:sz w:val="20"/>
          <w:szCs w:val="20"/>
        </w:rPr>
        <w:t>subsanabilidad</w:t>
      </w:r>
      <w:proofErr w:type="spellEnd"/>
      <w:r w:rsidRPr="00EC0EEB">
        <w:rPr>
          <w:rFonts w:ascii="Verdana" w:eastAsia="Times New Roman" w:hAnsi="Verdana" w:cs="Arial"/>
          <w:sz w:val="20"/>
          <w:szCs w:val="20"/>
        </w:rPr>
        <w:t xml:space="preserve"> de las ofertas en los procedimientos de selección</w:t>
      </w:r>
      <w:r w:rsidRPr="00EC0EEB">
        <w:rPr>
          <w:rFonts w:ascii="Verdana" w:eastAsia="Times New Roman" w:hAnsi="Verdana" w:cs="Arial"/>
          <w:b/>
          <w:bCs/>
          <w:sz w:val="20"/>
          <w:szCs w:val="20"/>
        </w:rPr>
        <w:t xml:space="preserve"> </w:t>
      </w:r>
      <w:r w:rsidRPr="00EC0EEB">
        <w:rPr>
          <w:rFonts w:ascii="Verdana" w:eastAsia="Times New Roman" w:hAnsi="Verdana" w:cs="Arial"/>
          <w:sz w:val="20"/>
          <w:szCs w:val="20"/>
          <w:lang w:val="es-ES" w:eastAsia="es-ES"/>
        </w:rPr>
        <w:t>indica que, por regla general, la falta de entrega y los defectos en la acreditación de los requisitos habilitantes son aspectos subsanables. La excepción corresponde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06DB5A05" w14:textId="77777777" w:rsidR="007641FC" w:rsidRDefault="007641FC" w:rsidP="007641FC">
      <w:pPr>
        <w:spacing w:after="0" w:line="240" w:lineRule="auto"/>
        <w:jc w:val="both"/>
        <w:rPr>
          <w:rFonts w:ascii="Verdana" w:eastAsia="Times New Roman" w:hAnsi="Verdana" w:cs="Arial"/>
          <w:sz w:val="20"/>
          <w:szCs w:val="20"/>
          <w:lang w:val="es-ES" w:eastAsia="es-ES"/>
        </w:rPr>
      </w:pPr>
    </w:p>
    <w:p w14:paraId="281925E5" w14:textId="77777777" w:rsidR="007641FC" w:rsidRDefault="007641FC" w:rsidP="007641FC">
      <w:pPr>
        <w:spacing w:after="0" w:line="240" w:lineRule="auto"/>
        <w:jc w:val="both"/>
        <w:rPr>
          <w:rFonts w:ascii="Verdana" w:hAnsi="Verdana" w:cs="Arial"/>
          <w:b/>
          <w:bCs/>
          <w:color w:val="000000" w:themeColor="text1"/>
          <w:lang w:val="es-ES"/>
        </w:rPr>
      </w:pPr>
      <w:r w:rsidRPr="00572E66">
        <w:rPr>
          <w:rFonts w:ascii="Verdana" w:hAnsi="Verdana" w:cs="Arial"/>
          <w:b/>
          <w:bCs/>
          <w:color w:val="000000" w:themeColor="text1"/>
          <w:lang w:val="es-ES"/>
        </w:rPr>
        <w:t>SUBSANABILIDAD – Ley 1882 de 2018</w:t>
      </w:r>
    </w:p>
    <w:p w14:paraId="67CF7EE2" w14:textId="77777777" w:rsidR="007641FC" w:rsidRDefault="007641FC" w:rsidP="007641FC">
      <w:pPr>
        <w:spacing w:after="0" w:line="240" w:lineRule="auto"/>
        <w:jc w:val="both"/>
        <w:rPr>
          <w:rFonts w:ascii="Verdana" w:hAnsi="Verdana" w:cs="Arial"/>
          <w:b/>
          <w:bCs/>
          <w:color w:val="000000" w:themeColor="text1"/>
          <w:lang w:val="es-ES"/>
        </w:rPr>
      </w:pPr>
    </w:p>
    <w:p w14:paraId="1E4382E3" w14:textId="77777777" w:rsidR="007641FC" w:rsidRPr="00EC0EEB" w:rsidRDefault="007641FC" w:rsidP="007641FC">
      <w:pPr>
        <w:spacing w:after="0" w:line="240" w:lineRule="auto"/>
        <w:jc w:val="both"/>
        <w:rPr>
          <w:rFonts w:ascii="Verdana" w:eastAsia="Times New Roman" w:hAnsi="Verdana" w:cs="Arial"/>
          <w:sz w:val="20"/>
          <w:szCs w:val="20"/>
          <w:lang w:val="es-ES" w:eastAsia="es-ES"/>
        </w:rPr>
      </w:pPr>
      <w:r w:rsidRPr="00EC0EEB">
        <w:rPr>
          <w:rFonts w:ascii="Verdana" w:eastAsia="Arial" w:hAnsi="Verdana" w:cs="Arial"/>
          <w:color w:val="000000"/>
          <w:sz w:val="20"/>
          <w:szCs w:val="20"/>
        </w:rPr>
        <w:t xml:space="preserve">[…] el legislador expidió la Ley 1882 de 2018, con la finalidad de introducir cambios y ajustes para fortalecer la contratación pública. […] esta norma: i) mantiene el criterio de la Ley 80 de 1993, relativo a que todo lo que no sea necesario para la comparación de propuestas no es título suficiente para su rechazo; </w:t>
      </w:r>
      <w:proofErr w:type="spellStart"/>
      <w:r w:rsidRPr="00EC0EEB">
        <w:rPr>
          <w:rFonts w:ascii="Verdana" w:eastAsia="Arial" w:hAnsi="Verdana" w:cs="Arial"/>
          <w:color w:val="000000"/>
          <w:sz w:val="20"/>
          <w:szCs w:val="20"/>
        </w:rPr>
        <w:t>ii</w:t>
      </w:r>
      <w:proofErr w:type="spellEnd"/>
      <w:r w:rsidRPr="00EC0EEB">
        <w:rPr>
          <w:rFonts w:ascii="Verdana" w:eastAsia="Arial" w:hAnsi="Verdana" w:cs="Arial"/>
          <w:color w:val="000000"/>
          <w:sz w:val="20"/>
          <w:szCs w:val="20"/>
        </w:rPr>
        <w:t xml:space="preserve">) mantiene el criterio aclaratorio de la Ley 1150 de 2007, según el cual todo lo que no afecte la asignación de puntaje puede subsanarse e </w:t>
      </w:r>
      <w:proofErr w:type="spellStart"/>
      <w:r w:rsidRPr="00EC0EEB">
        <w:rPr>
          <w:rFonts w:ascii="Verdana" w:eastAsia="Arial" w:hAnsi="Verdana" w:cs="Arial"/>
          <w:color w:val="000000"/>
          <w:sz w:val="20"/>
          <w:szCs w:val="20"/>
        </w:rPr>
        <w:t>iii</w:t>
      </w:r>
      <w:proofErr w:type="spellEnd"/>
      <w:r w:rsidRPr="00EC0EEB">
        <w:rPr>
          <w:rFonts w:ascii="Verdana" w:eastAsia="Arial" w:hAnsi="Verdana" w:cs="Arial"/>
          <w:color w:val="000000"/>
          <w:sz w:val="20"/>
          <w:szCs w:val="20"/>
        </w:rPr>
        <w:t xml:space="preserve">) introduce modificaciones en relación con algunos aspectos que se analizarán a continuación. </w:t>
      </w:r>
    </w:p>
    <w:p w14:paraId="1F010FB0" w14:textId="77777777" w:rsidR="007641FC" w:rsidRDefault="007641FC" w:rsidP="007641FC">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06C3A8E2" w14:textId="77777777" w:rsidR="007641FC" w:rsidRDefault="007641FC" w:rsidP="007641FC">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EC0EEB">
        <w:rPr>
          <w:rFonts w:ascii="Verdana" w:eastAsia="Arial" w:hAnsi="Verdana" w:cs="Arial"/>
          <w:color w:val="000000"/>
          <w:sz w:val="20"/>
          <w:szCs w:val="20"/>
        </w:rPr>
        <w:t>El primero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y para el proceso de selección a través del sistema de subasta; en el último, los documentos o requisitos subsanables pueden y deben solicitarse hasta el momento previo a su realización.</w:t>
      </w:r>
    </w:p>
    <w:p w14:paraId="1B32A6B1" w14:textId="77777777" w:rsidR="007641FC" w:rsidRDefault="007641FC" w:rsidP="007641FC">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01319DCF" w14:textId="77777777" w:rsidR="007641FC" w:rsidRDefault="007641FC" w:rsidP="007641FC">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EC0EEB">
        <w:rPr>
          <w:rFonts w:ascii="Verdana" w:eastAsia="Arial" w:hAnsi="Verdana" w:cs="Arial"/>
          <w:color w:val="000000"/>
          <w:sz w:val="20"/>
          <w:szCs w:val="20"/>
        </w:rPr>
        <w:t xml:space="preserve">[…] </w:t>
      </w:r>
    </w:p>
    <w:p w14:paraId="677FC8F1" w14:textId="77777777" w:rsidR="007641FC" w:rsidRDefault="007641FC" w:rsidP="007641FC">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2C4CAEFA" w14:textId="77777777" w:rsidR="007641FC" w:rsidRDefault="007641FC" w:rsidP="007641FC">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EC0EEB">
        <w:rPr>
          <w:rFonts w:ascii="Verdana" w:eastAsia="Arial" w:hAnsi="Verdana" w:cs="Arial"/>
          <w:color w:val="000000"/>
          <w:sz w:val="20"/>
          <w:szCs w:val="20"/>
        </w:rPr>
        <w:t xml:space="preserve">Así pues, 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 inclusive, es más adecuado y conveniente que la subsanación de las ofertas se intente con anterioridad, de forma que una vez la Administración advierta el defecto le solicite directamente al oferente que subsane. Esta interpretación es más consistente con los principios de economía, transparencia y selección objetiva. </w:t>
      </w:r>
    </w:p>
    <w:p w14:paraId="14E18191" w14:textId="77777777" w:rsidR="007641FC" w:rsidRDefault="007641FC" w:rsidP="007641FC">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2A345BDD" w14:textId="77777777" w:rsidR="007641FC" w:rsidRPr="00EC0EEB" w:rsidRDefault="007641FC" w:rsidP="007641FC">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EC0EEB">
        <w:rPr>
          <w:rFonts w:ascii="Verdana" w:eastAsia="Arial" w:hAnsi="Verdana" w:cs="Arial"/>
          <w:color w:val="000000"/>
          <w:sz w:val="20"/>
          <w:szCs w:val="20"/>
        </w:rPr>
        <w:t>De otro lado, el segundo cambio importante de la Ley 1882 de 2018 fue la introducción de un criterio material, directamente relacionado con los aspectos subsanables: “los proponentes no podrán acreditar circunstancias ocurridas con posterioridad al cierre del proceso”</w:t>
      </w:r>
      <w:r w:rsidRPr="00EC0EEB">
        <w:rPr>
          <w:rFonts w:ascii="Verdana" w:eastAsia="Arial" w:hAnsi="Verdana" w:cs="Arial"/>
          <w:b/>
          <w:i/>
          <w:color w:val="000000"/>
          <w:sz w:val="20"/>
          <w:szCs w:val="20"/>
        </w:rPr>
        <w:t>.</w:t>
      </w:r>
      <w:r w:rsidRPr="00EC0EEB">
        <w:rPr>
          <w:rFonts w:ascii="Verdana" w:eastAsia="Arial" w:hAnsi="Verdana" w:cs="Arial"/>
          <w:b/>
          <w:color w:val="000000"/>
          <w:sz w:val="20"/>
          <w:szCs w:val="20"/>
        </w:rPr>
        <w:t xml:space="preserve"> </w:t>
      </w:r>
    </w:p>
    <w:p w14:paraId="35B4EC00" w14:textId="77777777" w:rsidR="007641FC" w:rsidRDefault="007641FC" w:rsidP="007641FC">
      <w:pPr>
        <w:pBdr>
          <w:top w:val="nil"/>
          <w:left w:val="nil"/>
          <w:bottom w:val="nil"/>
          <w:right w:val="nil"/>
          <w:between w:val="nil"/>
        </w:pBdr>
        <w:tabs>
          <w:tab w:val="left" w:pos="284"/>
        </w:tabs>
        <w:spacing w:after="0" w:line="240" w:lineRule="auto"/>
        <w:jc w:val="both"/>
        <w:rPr>
          <w:rFonts w:ascii="Verdana" w:eastAsia="Arial" w:hAnsi="Verdana" w:cs="Arial"/>
          <w:bCs/>
          <w:color w:val="000000"/>
          <w:sz w:val="20"/>
          <w:szCs w:val="20"/>
        </w:rPr>
      </w:pPr>
    </w:p>
    <w:p w14:paraId="78CE971C" w14:textId="77777777" w:rsidR="007641FC" w:rsidRPr="00EC0EEB" w:rsidRDefault="007641FC" w:rsidP="007641FC">
      <w:pPr>
        <w:pBdr>
          <w:top w:val="nil"/>
          <w:left w:val="nil"/>
          <w:bottom w:val="nil"/>
          <w:right w:val="nil"/>
          <w:between w:val="nil"/>
        </w:pBdr>
        <w:tabs>
          <w:tab w:val="left" w:pos="284"/>
        </w:tabs>
        <w:spacing w:after="0" w:line="240" w:lineRule="auto"/>
        <w:jc w:val="both"/>
        <w:rPr>
          <w:rFonts w:ascii="Verdana" w:eastAsia="Arial" w:hAnsi="Verdana" w:cs="Arial"/>
          <w:bCs/>
          <w:color w:val="000000"/>
          <w:sz w:val="20"/>
          <w:szCs w:val="20"/>
        </w:rPr>
      </w:pPr>
      <w:r w:rsidRPr="00EC0EEB">
        <w:rPr>
          <w:rFonts w:ascii="Verdana" w:eastAsia="Arial" w:hAnsi="Verdana" w:cs="Arial"/>
          <w:bCs/>
          <w:color w:val="000000"/>
          <w:sz w:val="20"/>
          <w:szCs w:val="20"/>
        </w:rPr>
        <w:lastRenderedPageBreak/>
        <w:t xml:space="preserve">[…] </w:t>
      </w:r>
    </w:p>
    <w:p w14:paraId="28880895" w14:textId="77777777" w:rsidR="007641FC" w:rsidRDefault="007641FC" w:rsidP="007641FC">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05BDF5E7" w14:textId="77777777" w:rsidR="007641FC" w:rsidRPr="00EC0EEB" w:rsidRDefault="007641FC" w:rsidP="007641FC">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EC0EEB">
        <w:rPr>
          <w:rFonts w:ascii="Verdana" w:eastAsia="Arial" w:hAnsi="Verdana" w:cs="Arial"/>
          <w:color w:val="000000"/>
          <w:sz w:val="20"/>
          <w:szCs w:val="20"/>
        </w:rPr>
        <w:t xml:space="preserve">Un mejor entendimiento del significado de la expresión “circunstancias ocurridas con posterioridad al cierre del proceso” lleva necesariamente a distinguir entre la prueba de un hecho y el hecho mismo. En el caso de la </w:t>
      </w:r>
      <w:proofErr w:type="spellStart"/>
      <w:r w:rsidRPr="00EC0EEB">
        <w:rPr>
          <w:rFonts w:ascii="Verdana" w:eastAsia="Arial" w:hAnsi="Verdana" w:cs="Arial"/>
          <w:color w:val="000000"/>
          <w:sz w:val="20"/>
          <w:szCs w:val="20"/>
        </w:rPr>
        <w:t>subsanabilidad</w:t>
      </w:r>
      <w:proofErr w:type="spellEnd"/>
      <w:r w:rsidRPr="00EC0EEB">
        <w:rPr>
          <w:rFonts w:ascii="Verdana" w:eastAsia="Arial" w:hAnsi="Verdana" w:cs="Arial"/>
          <w:color w:val="000000"/>
          <w:sz w:val="20"/>
          <w:szCs w:val="20"/>
        </w:rPr>
        <w:t xml:space="preserve"> de las ofertas, una cosa es el requisito habilitante o el elemento de la propuesta y otra su prueba. Lo que prohíbe la norma es que se subsanen requisitos que no estaban cumplidos al momento de presentar la oferta, o en palabras de la ley, que se acrediten hechos que ocurrieron después del cierre del proceso.</w:t>
      </w:r>
    </w:p>
    <w:p w14:paraId="638F541D" w14:textId="77777777" w:rsidR="007641FC" w:rsidRDefault="007641FC" w:rsidP="007641FC">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0C9ADB64" w14:textId="77777777" w:rsidR="007641FC" w:rsidRDefault="007641FC" w:rsidP="007641FC">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EC0EEB">
        <w:rPr>
          <w:rFonts w:ascii="Verdana" w:eastAsia="Arial" w:hAnsi="Verdana" w:cs="Arial"/>
          <w:color w:val="000000"/>
          <w:sz w:val="20"/>
          <w:szCs w:val="20"/>
        </w:rPr>
        <w:t xml:space="preserve">Lo anterior quiere decir que no es la prueba –usualmente un documento– lo que debe ser anterior al cierre del proceso, sino el hecho que ella acredita, es decir, ante la solicitud de la Administración de subsanar un requisito, el documento podría estar fechado con posterioridad al vencimiento del término para recibir propuestas, siempre y cuando el hecho que acredite haya ocurrido antes, esto es, que no sea una circunstancia ocurrida con posterioridad al cierre del proceso. Es por ello </w:t>
      </w:r>
      <w:proofErr w:type="gramStart"/>
      <w:r w:rsidRPr="00EC0EEB">
        <w:rPr>
          <w:rFonts w:ascii="Verdana" w:eastAsia="Arial" w:hAnsi="Verdana" w:cs="Arial"/>
          <w:color w:val="000000"/>
          <w:sz w:val="20"/>
          <w:szCs w:val="20"/>
        </w:rPr>
        <w:t>que</w:t>
      </w:r>
      <w:proofErr w:type="gramEnd"/>
      <w:r w:rsidRPr="00EC0EEB">
        <w:rPr>
          <w:rFonts w:ascii="Verdana" w:eastAsia="Arial" w:hAnsi="Verdana" w:cs="Arial"/>
          <w:color w:val="000000"/>
          <w:sz w:val="20"/>
          <w:szCs w:val="20"/>
        </w:rPr>
        <w:t xml:space="preserv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p>
    <w:p w14:paraId="2BDF52A9" w14:textId="77777777" w:rsidR="007641FC" w:rsidRDefault="007641FC" w:rsidP="007641FC">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3172F43D" w14:textId="77777777" w:rsidR="007641FC" w:rsidRDefault="007641FC" w:rsidP="007641FC">
      <w:pPr>
        <w:pBdr>
          <w:top w:val="nil"/>
          <w:left w:val="nil"/>
          <w:bottom w:val="nil"/>
          <w:right w:val="nil"/>
          <w:between w:val="nil"/>
        </w:pBdr>
        <w:tabs>
          <w:tab w:val="left" w:pos="284"/>
        </w:tabs>
        <w:spacing w:after="0" w:line="240" w:lineRule="auto"/>
        <w:jc w:val="both"/>
        <w:rPr>
          <w:rFonts w:ascii="Verdana" w:hAnsi="Verdana" w:cs="Arial"/>
          <w:b/>
          <w:bCs/>
          <w:color w:val="000000" w:themeColor="text1"/>
        </w:rPr>
      </w:pPr>
      <w:r w:rsidRPr="00EC0EEB">
        <w:rPr>
          <w:rFonts w:ascii="Verdana" w:hAnsi="Verdana" w:cs="Arial"/>
          <w:b/>
          <w:bCs/>
          <w:color w:val="000000" w:themeColor="text1"/>
        </w:rPr>
        <w:t xml:space="preserve">CAUSALES DE RECHAZO DE LAS OFERTAS – Origen – Límites en su configuración </w:t>
      </w:r>
    </w:p>
    <w:p w14:paraId="22108FA5" w14:textId="77777777" w:rsidR="007641FC" w:rsidRDefault="007641FC" w:rsidP="007641FC">
      <w:pPr>
        <w:pBdr>
          <w:top w:val="nil"/>
          <w:left w:val="nil"/>
          <w:bottom w:val="nil"/>
          <w:right w:val="nil"/>
          <w:between w:val="nil"/>
        </w:pBdr>
        <w:tabs>
          <w:tab w:val="left" w:pos="284"/>
        </w:tabs>
        <w:spacing w:after="0" w:line="240" w:lineRule="auto"/>
        <w:jc w:val="both"/>
        <w:rPr>
          <w:rFonts w:ascii="Verdana" w:hAnsi="Verdana" w:cs="Arial"/>
          <w:b/>
          <w:bCs/>
          <w:color w:val="000000" w:themeColor="text1"/>
        </w:rPr>
      </w:pPr>
    </w:p>
    <w:p w14:paraId="70636B5B" w14:textId="77777777" w:rsidR="007641FC" w:rsidRPr="00EC0EEB" w:rsidRDefault="007641FC" w:rsidP="007641FC">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EC0EEB">
        <w:rPr>
          <w:rFonts w:ascii="Verdana" w:eastAsia="Arial" w:hAnsi="Verdana" w:cs="Arial"/>
          <w:sz w:val="20"/>
          <w:szCs w:val="20"/>
        </w:rPr>
        <w:t xml:space="preserve">El rechazo de las ofertas y los eventos en los que proceden han sido asuntos de los que se ha ocupado la legislación nacional en materia de contratación pública, por lo que “la competencia de las entidades estales para establecer eventos de exclusión de propuestas es de carácter residual y restringido”. En ese sentido, si bien las entidades estatales, en ejercicio de la discrecionalidad que les corresponde en la configuración de los pliegos de condiciones, tienen competencia para determinar los requisitos que deben cumplir los proponentes para la presentación de ofertas y regular los eventos en los que procede su rechazo, el ejercicio de tales facultades encuentra ciertos límites en la ley y el reglamento, así como en los principios de razonabilidad y proporcionalidad.  </w:t>
      </w:r>
    </w:p>
    <w:p w14:paraId="311A67AA" w14:textId="77777777" w:rsidR="007641FC" w:rsidRDefault="007641FC" w:rsidP="007641FC">
      <w:pPr>
        <w:spacing w:after="0" w:line="240" w:lineRule="auto"/>
        <w:jc w:val="both"/>
        <w:rPr>
          <w:rFonts w:ascii="Verdana" w:eastAsia="Arial" w:hAnsi="Verdana" w:cs="Arial"/>
          <w:sz w:val="20"/>
          <w:szCs w:val="20"/>
        </w:rPr>
      </w:pPr>
    </w:p>
    <w:p w14:paraId="5D07A3EC" w14:textId="77777777" w:rsidR="007641FC" w:rsidRDefault="007641FC" w:rsidP="007641FC">
      <w:pPr>
        <w:spacing w:after="0" w:line="240" w:lineRule="auto"/>
        <w:jc w:val="both"/>
        <w:rPr>
          <w:rFonts w:ascii="Verdana" w:eastAsia="Arial" w:hAnsi="Verdana" w:cs="Arial"/>
          <w:sz w:val="20"/>
          <w:szCs w:val="20"/>
        </w:rPr>
      </w:pPr>
      <w:r w:rsidRPr="00EC0EEB">
        <w:rPr>
          <w:rFonts w:ascii="Verdana" w:eastAsia="Arial" w:hAnsi="Verdana" w:cs="Arial"/>
          <w:sz w:val="20"/>
          <w:szCs w:val="20"/>
        </w:rPr>
        <w:t xml:space="preserve">En ese entendido, uno de los límites a la facultad para establecer causales de rechazo, se encuentra en la regla de </w:t>
      </w:r>
      <w:proofErr w:type="spellStart"/>
      <w:r w:rsidRPr="00EC0EEB">
        <w:rPr>
          <w:rFonts w:ascii="Verdana" w:eastAsia="Arial" w:hAnsi="Verdana" w:cs="Arial"/>
          <w:sz w:val="20"/>
          <w:szCs w:val="20"/>
        </w:rPr>
        <w:t>subsanabilidad</w:t>
      </w:r>
      <w:proofErr w:type="spellEnd"/>
      <w:r w:rsidRPr="00EC0EEB">
        <w:rPr>
          <w:rFonts w:ascii="Verdana" w:eastAsia="Arial" w:hAnsi="Verdana" w:cs="Arial"/>
          <w:sz w:val="20"/>
          <w:szCs w:val="20"/>
        </w:rPr>
        <w:t xml:space="preserve"> del parágrafo 1 del artículo 5 de la Ley 1150 de 2007, según la cual “La ausencia de requisitos o la falta de documentos referentes a la futura contratación o al proponente, no necesarios para la comparación de las propuestas no servirán de título suficiente para el rechazo de los ofrecimientos hechos”, por lo que las entidades no podrán establecer causales de rechazo referentes a meros requisitos formales o rechazar las ofertas por esa razón. </w:t>
      </w:r>
    </w:p>
    <w:p w14:paraId="0928734C" w14:textId="77777777" w:rsidR="007641FC" w:rsidRDefault="007641FC" w:rsidP="007641FC">
      <w:pPr>
        <w:spacing w:after="0" w:line="240" w:lineRule="auto"/>
        <w:jc w:val="both"/>
        <w:rPr>
          <w:rFonts w:ascii="Verdana" w:eastAsia="Arial" w:hAnsi="Verdana" w:cs="Arial"/>
          <w:sz w:val="20"/>
          <w:szCs w:val="20"/>
        </w:rPr>
      </w:pPr>
    </w:p>
    <w:p w14:paraId="6FDBE6ED" w14:textId="77777777" w:rsidR="007641FC" w:rsidRDefault="007641FC" w:rsidP="007641FC">
      <w:pPr>
        <w:spacing w:after="0" w:line="240" w:lineRule="auto"/>
        <w:jc w:val="both"/>
        <w:rPr>
          <w:rFonts w:ascii="Verdana" w:eastAsia="Arial" w:hAnsi="Verdana" w:cs="Arial"/>
          <w:sz w:val="20"/>
          <w:szCs w:val="20"/>
        </w:rPr>
      </w:pPr>
    </w:p>
    <w:p w14:paraId="6236F467" w14:textId="77777777" w:rsidR="007641FC" w:rsidRDefault="007641FC" w:rsidP="007641FC">
      <w:pPr>
        <w:spacing w:after="0" w:line="240" w:lineRule="auto"/>
        <w:jc w:val="both"/>
        <w:rPr>
          <w:rFonts w:ascii="Verdana" w:eastAsia="Arial" w:hAnsi="Verdana" w:cs="Arial"/>
          <w:color w:val="000000"/>
          <w:sz w:val="20"/>
          <w:szCs w:val="20"/>
        </w:rPr>
      </w:pPr>
    </w:p>
    <w:p w14:paraId="714AF93E" w14:textId="77777777" w:rsidR="007641FC" w:rsidRDefault="007641FC" w:rsidP="007641FC">
      <w:pPr>
        <w:spacing w:after="0" w:line="240" w:lineRule="auto"/>
        <w:jc w:val="both"/>
        <w:rPr>
          <w:rFonts w:ascii="Verdana" w:eastAsia="Arial" w:hAnsi="Verdana" w:cs="Arial"/>
          <w:color w:val="000000"/>
          <w:sz w:val="20"/>
          <w:szCs w:val="20"/>
        </w:rPr>
      </w:pPr>
    </w:p>
    <w:p w14:paraId="6448B9F4" w14:textId="77777777" w:rsidR="007641FC" w:rsidRPr="00EC0EEB" w:rsidRDefault="007641FC" w:rsidP="007641FC">
      <w:pPr>
        <w:spacing w:after="0" w:line="240" w:lineRule="auto"/>
        <w:jc w:val="both"/>
        <w:rPr>
          <w:rFonts w:ascii="Verdana" w:eastAsia="Arial" w:hAnsi="Verdana" w:cs="Arial"/>
          <w:b/>
          <w:bCs/>
          <w:color w:val="000000"/>
          <w:sz w:val="20"/>
          <w:szCs w:val="20"/>
        </w:rPr>
      </w:pPr>
      <w:r w:rsidRPr="00EC0EEB">
        <w:rPr>
          <w:rFonts w:ascii="Verdana" w:hAnsi="Verdana" w:cs="Arial"/>
          <w:b/>
          <w:bCs/>
          <w:color w:val="000000" w:themeColor="text1"/>
        </w:rPr>
        <w:lastRenderedPageBreak/>
        <w:t>CAUSALES DE RECHAZO – Procedencia</w:t>
      </w:r>
    </w:p>
    <w:p w14:paraId="5512BE59" w14:textId="77777777" w:rsidR="007641FC" w:rsidRDefault="007641FC" w:rsidP="007641FC">
      <w:pPr>
        <w:spacing w:after="0" w:line="240" w:lineRule="auto"/>
        <w:jc w:val="both"/>
        <w:rPr>
          <w:rFonts w:ascii="Verdana" w:eastAsia="Arial" w:hAnsi="Verdana" w:cs="Arial"/>
        </w:rPr>
      </w:pPr>
    </w:p>
    <w:p w14:paraId="4B1D4E13" w14:textId="77777777" w:rsidR="007641FC" w:rsidRPr="00EC0EEB" w:rsidRDefault="007641FC" w:rsidP="007641FC">
      <w:pPr>
        <w:spacing w:after="0" w:line="240" w:lineRule="auto"/>
        <w:jc w:val="both"/>
        <w:rPr>
          <w:rFonts w:ascii="Verdana" w:eastAsia="Arial" w:hAnsi="Verdana" w:cs="Arial"/>
          <w:color w:val="000000"/>
          <w:sz w:val="20"/>
          <w:szCs w:val="20"/>
        </w:rPr>
      </w:pPr>
      <w:r w:rsidRPr="00EC0EEB">
        <w:rPr>
          <w:rFonts w:ascii="Verdana" w:eastAsia="Arial" w:hAnsi="Verdana" w:cs="Arial"/>
          <w:sz w:val="20"/>
          <w:szCs w:val="20"/>
        </w:rPr>
        <w:t xml:space="preserve">De acuerdo con la jurisprudencia citada, existen dos eventos en los cuales procede el rechazo de la oferta: i) cuando se configure alguna de las causales de rechazo originadas en la ley o el reglamento y </w:t>
      </w:r>
      <w:proofErr w:type="spellStart"/>
      <w:r w:rsidRPr="00EC0EEB">
        <w:rPr>
          <w:rFonts w:ascii="Verdana" w:eastAsia="Arial" w:hAnsi="Verdana" w:cs="Arial"/>
          <w:sz w:val="20"/>
          <w:szCs w:val="20"/>
        </w:rPr>
        <w:t>ii</w:t>
      </w:r>
      <w:proofErr w:type="spellEnd"/>
      <w:r w:rsidRPr="00EC0EEB">
        <w:rPr>
          <w:rFonts w:ascii="Verdana" w:eastAsia="Arial" w:hAnsi="Verdana" w:cs="Arial"/>
          <w:sz w:val="20"/>
          <w:szCs w:val="20"/>
        </w:rPr>
        <w:t xml:space="preserve">) cuando se materialicen las establecidas en el pliego de condiciones. En tal sentido, las causales de rechazo de la oferta serán las consagradas en la ley o el reglamento producto de su aplicación, así como las definidas por las entidades en el respectivo pliego de condiciones. </w:t>
      </w:r>
    </w:p>
    <w:p w14:paraId="3E48FE67" w14:textId="77777777" w:rsidR="007641FC" w:rsidRDefault="007641FC" w:rsidP="007641FC">
      <w:pPr>
        <w:spacing w:line="276" w:lineRule="auto"/>
        <w:jc w:val="both"/>
        <w:rPr>
          <w:rFonts w:ascii="Verdana" w:hAnsi="Verdana" w:cs="Arial"/>
          <w:color w:val="000000" w:themeColor="text1"/>
        </w:rPr>
      </w:pPr>
    </w:p>
    <w:p w14:paraId="1154848C" w14:textId="77777777" w:rsidR="007641FC" w:rsidRDefault="007641FC" w:rsidP="007641FC">
      <w:pPr>
        <w:spacing w:line="276" w:lineRule="auto"/>
        <w:jc w:val="both"/>
        <w:rPr>
          <w:rFonts w:ascii="Verdana" w:hAnsi="Verdana" w:cs="Arial"/>
          <w:color w:val="000000" w:themeColor="text1"/>
        </w:rPr>
      </w:pPr>
    </w:p>
    <w:p w14:paraId="726D9B24" w14:textId="77777777" w:rsidR="007641FC" w:rsidRDefault="007641FC" w:rsidP="007641FC">
      <w:pPr>
        <w:spacing w:line="276" w:lineRule="auto"/>
        <w:jc w:val="both"/>
        <w:rPr>
          <w:rFonts w:ascii="Verdana" w:hAnsi="Verdana" w:cs="Arial"/>
          <w:color w:val="000000" w:themeColor="text1"/>
        </w:rPr>
      </w:pPr>
    </w:p>
    <w:p w14:paraId="71E59B54" w14:textId="77777777" w:rsidR="007641FC" w:rsidRDefault="007641FC" w:rsidP="007641FC">
      <w:pPr>
        <w:spacing w:line="276" w:lineRule="auto"/>
        <w:jc w:val="both"/>
        <w:rPr>
          <w:rFonts w:ascii="Verdana" w:hAnsi="Verdana" w:cs="Arial"/>
          <w:color w:val="000000" w:themeColor="text1"/>
        </w:rPr>
      </w:pPr>
    </w:p>
    <w:p w14:paraId="1084CB0C" w14:textId="77777777" w:rsidR="007641FC" w:rsidRDefault="007641FC" w:rsidP="007641FC">
      <w:pPr>
        <w:spacing w:line="276" w:lineRule="auto"/>
        <w:jc w:val="both"/>
        <w:rPr>
          <w:rFonts w:ascii="Verdana" w:hAnsi="Verdana" w:cs="Arial"/>
          <w:color w:val="000000" w:themeColor="text1"/>
        </w:rPr>
      </w:pPr>
    </w:p>
    <w:p w14:paraId="516E43A1" w14:textId="77777777" w:rsidR="007641FC" w:rsidRDefault="007641FC" w:rsidP="007641FC">
      <w:pPr>
        <w:spacing w:line="276" w:lineRule="auto"/>
        <w:jc w:val="both"/>
        <w:rPr>
          <w:rFonts w:ascii="Verdana" w:hAnsi="Verdana" w:cs="Arial"/>
          <w:color w:val="000000" w:themeColor="text1"/>
        </w:rPr>
      </w:pPr>
    </w:p>
    <w:p w14:paraId="0E256124" w14:textId="77777777" w:rsidR="007641FC" w:rsidRDefault="007641FC" w:rsidP="007641FC">
      <w:pPr>
        <w:spacing w:line="276" w:lineRule="auto"/>
        <w:jc w:val="both"/>
        <w:rPr>
          <w:rFonts w:ascii="Verdana" w:hAnsi="Verdana" w:cs="Arial"/>
          <w:color w:val="000000" w:themeColor="text1"/>
        </w:rPr>
      </w:pPr>
    </w:p>
    <w:p w14:paraId="4B0C59E6" w14:textId="77777777" w:rsidR="007641FC" w:rsidRDefault="007641FC" w:rsidP="007641FC">
      <w:pPr>
        <w:spacing w:line="276" w:lineRule="auto"/>
        <w:jc w:val="both"/>
        <w:rPr>
          <w:rFonts w:ascii="Verdana" w:hAnsi="Verdana" w:cs="Arial"/>
          <w:color w:val="000000" w:themeColor="text1"/>
        </w:rPr>
      </w:pPr>
    </w:p>
    <w:p w14:paraId="33E1B2C2" w14:textId="77777777" w:rsidR="007641FC" w:rsidRDefault="007641FC" w:rsidP="007641FC">
      <w:pPr>
        <w:spacing w:line="276" w:lineRule="auto"/>
        <w:jc w:val="both"/>
        <w:rPr>
          <w:rFonts w:ascii="Verdana" w:hAnsi="Verdana" w:cs="Arial"/>
          <w:color w:val="000000" w:themeColor="text1"/>
        </w:rPr>
      </w:pPr>
    </w:p>
    <w:p w14:paraId="74938D06" w14:textId="77777777" w:rsidR="007641FC" w:rsidRDefault="007641FC" w:rsidP="007641FC">
      <w:pPr>
        <w:spacing w:line="276" w:lineRule="auto"/>
        <w:jc w:val="both"/>
        <w:rPr>
          <w:rFonts w:ascii="Verdana" w:hAnsi="Verdana" w:cs="Arial"/>
          <w:color w:val="000000" w:themeColor="text1"/>
        </w:rPr>
      </w:pPr>
    </w:p>
    <w:p w14:paraId="5B960322" w14:textId="77777777" w:rsidR="007641FC" w:rsidRDefault="007641FC" w:rsidP="007641FC">
      <w:pPr>
        <w:spacing w:line="276" w:lineRule="auto"/>
        <w:jc w:val="both"/>
        <w:rPr>
          <w:rFonts w:ascii="Verdana" w:hAnsi="Verdana" w:cs="Arial"/>
          <w:color w:val="000000" w:themeColor="text1"/>
        </w:rPr>
      </w:pPr>
    </w:p>
    <w:p w14:paraId="2503152E" w14:textId="77777777" w:rsidR="007641FC" w:rsidRDefault="007641FC" w:rsidP="007641FC">
      <w:pPr>
        <w:spacing w:line="276" w:lineRule="auto"/>
        <w:jc w:val="both"/>
        <w:rPr>
          <w:rFonts w:ascii="Verdana" w:hAnsi="Verdana" w:cs="Arial"/>
          <w:color w:val="000000" w:themeColor="text1"/>
        </w:rPr>
      </w:pPr>
    </w:p>
    <w:p w14:paraId="025059C9" w14:textId="77777777" w:rsidR="007641FC" w:rsidRDefault="007641FC" w:rsidP="007641FC">
      <w:pPr>
        <w:spacing w:after="0" w:line="240" w:lineRule="auto"/>
        <w:rPr>
          <w:rFonts w:ascii="Verdana" w:hAnsi="Verdana"/>
        </w:rPr>
      </w:pPr>
    </w:p>
    <w:p w14:paraId="5F911FDA" w14:textId="77777777" w:rsidR="007641FC" w:rsidRDefault="007641FC" w:rsidP="007641FC">
      <w:pPr>
        <w:spacing w:after="0" w:line="240" w:lineRule="auto"/>
        <w:rPr>
          <w:rFonts w:ascii="Verdana" w:hAnsi="Verdana"/>
        </w:rPr>
      </w:pPr>
    </w:p>
    <w:p w14:paraId="5D7FD200" w14:textId="77777777" w:rsidR="007641FC" w:rsidRDefault="007641FC" w:rsidP="007641FC">
      <w:pPr>
        <w:spacing w:after="0" w:line="240" w:lineRule="auto"/>
        <w:rPr>
          <w:rFonts w:ascii="Verdana" w:hAnsi="Verdana"/>
        </w:rPr>
      </w:pPr>
    </w:p>
    <w:p w14:paraId="0BA838BF" w14:textId="77777777" w:rsidR="007641FC" w:rsidRDefault="007641FC" w:rsidP="007641FC">
      <w:pPr>
        <w:spacing w:after="0" w:line="240" w:lineRule="auto"/>
        <w:rPr>
          <w:rFonts w:ascii="Verdana" w:hAnsi="Verdana"/>
        </w:rPr>
      </w:pPr>
    </w:p>
    <w:p w14:paraId="4F95BCB2" w14:textId="77777777" w:rsidR="007641FC" w:rsidRDefault="007641FC" w:rsidP="007641FC">
      <w:pPr>
        <w:spacing w:after="0" w:line="240" w:lineRule="auto"/>
        <w:rPr>
          <w:rFonts w:ascii="Verdana" w:hAnsi="Verdana"/>
        </w:rPr>
      </w:pPr>
    </w:p>
    <w:p w14:paraId="3E74D32E" w14:textId="77777777" w:rsidR="007641FC" w:rsidRDefault="007641FC" w:rsidP="007641FC">
      <w:pPr>
        <w:spacing w:after="0" w:line="240" w:lineRule="auto"/>
        <w:rPr>
          <w:rFonts w:ascii="Verdana" w:hAnsi="Verdana"/>
        </w:rPr>
      </w:pPr>
    </w:p>
    <w:p w14:paraId="22D64F60" w14:textId="77777777" w:rsidR="007641FC" w:rsidRDefault="007641FC" w:rsidP="007641FC">
      <w:pPr>
        <w:spacing w:after="0" w:line="240" w:lineRule="auto"/>
        <w:rPr>
          <w:rFonts w:ascii="Verdana" w:hAnsi="Verdana"/>
        </w:rPr>
      </w:pPr>
    </w:p>
    <w:p w14:paraId="12AFCA2E" w14:textId="77777777" w:rsidR="007641FC" w:rsidRDefault="007641FC" w:rsidP="007641FC">
      <w:pPr>
        <w:spacing w:after="0" w:line="240" w:lineRule="auto"/>
        <w:rPr>
          <w:rFonts w:ascii="Verdana" w:hAnsi="Verdana"/>
        </w:rPr>
      </w:pPr>
    </w:p>
    <w:p w14:paraId="7CEBF1F1" w14:textId="77777777" w:rsidR="007641FC" w:rsidRDefault="007641FC" w:rsidP="007641FC">
      <w:pPr>
        <w:spacing w:after="0" w:line="240" w:lineRule="auto"/>
        <w:rPr>
          <w:rFonts w:ascii="Verdana" w:hAnsi="Verdana"/>
        </w:rPr>
      </w:pPr>
    </w:p>
    <w:p w14:paraId="02ADA357" w14:textId="77777777" w:rsidR="007641FC" w:rsidRDefault="007641FC" w:rsidP="007641FC">
      <w:pPr>
        <w:spacing w:after="0" w:line="240" w:lineRule="auto"/>
        <w:rPr>
          <w:rFonts w:ascii="Verdana" w:hAnsi="Verdana"/>
        </w:rPr>
      </w:pPr>
    </w:p>
    <w:p w14:paraId="5A5FEC96" w14:textId="77777777" w:rsidR="007641FC" w:rsidRDefault="007641FC" w:rsidP="007641FC">
      <w:pPr>
        <w:spacing w:after="0" w:line="240" w:lineRule="auto"/>
        <w:rPr>
          <w:rFonts w:ascii="Verdana" w:hAnsi="Verdana"/>
        </w:rPr>
      </w:pPr>
    </w:p>
    <w:p w14:paraId="2D04283D" w14:textId="77777777" w:rsidR="007641FC" w:rsidRDefault="007641FC" w:rsidP="007641FC">
      <w:pPr>
        <w:spacing w:after="0" w:line="240" w:lineRule="auto"/>
        <w:rPr>
          <w:rFonts w:ascii="Verdana" w:hAnsi="Verdana"/>
        </w:rPr>
      </w:pPr>
    </w:p>
    <w:p w14:paraId="13886C4D" w14:textId="77777777" w:rsidR="007641FC" w:rsidRDefault="007641FC" w:rsidP="007641FC">
      <w:pPr>
        <w:spacing w:after="0" w:line="240" w:lineRule="auto"/>
        <w:rPr>
          <w:rFonts w:ascii="Verdana" w:hAnsi="Verdana"/>
        </w:rPr>
      </w:pPr>
    </w:p>
    <w:p w14:paraId="0D22205D" w14:textId="77777777" w:rsidR="00054793" w:rsidRDefault="00054793" w:rsidP="007641FC">
      <w:pPr>
        <w:spacing w:after="0" w:line="240" w:lineRule="auto"/>
        <w:rPr>
          <w:rFonts w:ascii="Verdana" w:eastAsia="Geomanist Light" w:hAnsi="Verdana" w:cs="Arial"/>
        </w:rPr>
      </w:pPr>
    </w:p>
    <w:p w14:paraId="73AF8C07" w14:textId="764F88CD" w:rsidR="007641FC" w:rsidRPr="00960F72" w:rsidRDefault="007641FC" w:rsidP="007641FC">
      <w:pPr>
        <w:spacing w:after="0" w:line="240" w:lineRule="auto"/>
        <w:rPr>
          <w:rFonts w:ascii="Verdana" w:eastAsia="Calibri" w:hAnsi="Verdana" w:cs="Arial"/>
          <w:bCs/>
          <w:sz w:val="20"/>
          <w:szCs w:val="20"/>
          <w:lang w:eastAsia="es-ES_tradnl"/>
        </w:rPr>
      </w:pPr>
      <w:r w:rsidRPr="00960F72">
        <w:rPr>
          <w:rFonts w:ascii="Verdana" w:eastAsia="Geomanist Light" w:hAnsi="Verdana" w:cs="Arial"/>
        </w:rPr>
        <w:t>Bogotá D.C., [Día] de [</w:t>
      </w:r>
      <w:proofErr w:type="spellStart"/>
      <w:r w:rsidRPr="00960F72">
        <w:rPr>
          <w:rFonts w:ascii="Verdana" w:eastAsia="Geomanist Light" w:hAnsi="Verdana" w:cs="Arial"/>
        </w:rPr>
        <w:t>Mes.NombreCapitalizado</w:t>
      </w:r>
      <w:proofErr w:type="spellEnd"/>
      <w:r w:rsidRPr="00960F72">
        <w:rPr>
          <w:rFonts w:ascii="Verdana" w:eastAsia="Geomanist Light" w:hAnsi="Verdana" w:cs="Arial"/>
        </w:rPr>
        <w:t>] de [Año]</w:t>
      </w:r>
    </w:p>
    <w:p w14:paraId="309BE261" w14:textId="4FD56B7B" w:rsidR="007641FC" w:rsidRDefault="007641FC" w:rsidP="007641FC">
      <w:pPr>
        <w:spacing w:after="0" w:line="240" w:lineRule="auto"/>
        <w:rPr>
          <w:rFonts w:ascii="Verdana" w:eastAsia="Calibri" w:hAnsi="Verdana" w:cs="Arial"/>
          <w:b/>
          <w:bCs/>
          <w:lang w:eastAsia="es-ES_tradnl"/>
        </w:rPr>
      </w:pPr>
    </w:p>
    <w:p w14:paraId="67486433" w14:textId="64400746" w:rsidR="007641FC" w:rsidRDefault="006E632F" w:rsidP="007641FC">
      <w:pPr>
        <w:spacing w:after="0" w:line="240" w:lineRule="auto"/>
        <w:rPr>
          <w:rFonts w:ascii="Verdana" w:eastAsia="Calibri" w:hAnsi="Verdana" w:cs="Arial"/>
          <w:lang w:eastAsia="es-ES_tradnl"/>
        </w:rPr>
      </w:pPr>
      <w:r w:rsidRPr="00054793">
        <w:rPr>
          <w:rFonts w:ascii="Verdana" w:eastAsia="Calibri" w:hAnsi="Verdana" w:cs="Arial"/>
          <w:b/>
          <w:bCs/>
          <w:noProof/>
          <w:lang w:eastAsia="es-ES_tradnl"/>
        </w:rPr>
        <w:drawing>
          <wp:anchor distT="0" distB="0" distL="114300" distR="114300" simplePos="0" relativeHeight="251658240" behindDoc="1" locked="0" layoutInCell="1" allowOverlap="1" wp14:anchorId="4B6482DC" wp14:editId="0763EA5D">
            <wp:simplePos x="0" y="0"/>
            <wp:positionH relativeFrom="margin">
              <wp:align>right</wp:align>
            </wp:positionH>
            <wp:positionV relativeFrom="paragraph">
              <wp:posOffset>8863</wp:posOffset>
            </wp:positionV>
            <wp:extent cx="2285365" cy="788035"/>
            <wp:effectExtent l="0" t="0" r="635" b="0"/>
            <wp:wrapSquare wrapText="bothSides"/>
            <wp:docPr id="69856404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564048" name="Imagen 1" descr="Texto&#10;&#10;Descripción generada automá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85365" cy="788035"/>
                    </a:xfrm>
                    <a:prstGeom prst="rect">
                      <a:avLst/>
                    </a:prstGeom>
                  </pic:spPr>
                </pic:pic>
              </a:graphicData>
            </a:graphic>
            <wp14:sizeRelH relativeFrom="page">
              <wp14:pctWidth>0</wp14:pctWidth>
            </wp14:sizeRelH>
            <wp14:sizeRelV relativeFrom="page">
              <wp14:pctHeight>0</wp14:pctHeight>
            </wp14:sizeRelV>
          </wp:anchor>
        </w:drawing>
      </w:r>
      <w:r w:rsidR="007641FC">
        <w:rPr>
          <w:rFonts w:ascii="Verdana" w:eastAsia="Calibri" w:hAnsi="Verdana" w:cs="Arial"/>
          <w:lang w:eastAsia="es-ES_tradnl"/>
        </w:rPr>
        <w:t>Señor (a)</w:t>
      </w:r>
    </w:p>
    <w:p w14:paraId="5F38E4DF" w14:textId="37B6A009" w:rsidR="007641FC" w:rsidRDefault="007641FC" w:rsidP="007641FC">
      <w:pPr>
        <w:spacing w:after="0" w:line="240" w:lineRule="auto"/>
        <w:rPr>
          <w:rFonts w:ascii="Verdana" w:eastAsia="Calibri" w:hAnsi="Verdana" w:cs="Arial"/>
          <w:b/>
          <w:bCs/>
          <w:lang w:eastAsia="es-ES_tradnl"/>
        </w:rPr>
      </w:pPr>
      <w:r>
        <w:rPr>
          <w:rFonts w:ascii="Verdana" w:eastAsia="Calibri" w:hAnsi="Verdana" w:cs="Arial"/>
          <w:b/>
          <w:bCs/>
          <w:lang w:eastAsia="es-ES_tradnl"/>
        </w:rPr>
        <w:t>Anónimo</w:t>
      </w:r>
      <w:r w:rsidR="00054793" w:rsidRPr="00054793">
        <w:rPr>
          <w:noProof/>
        </w:rPr>
        <w:t xml:space="preserve"> </w:t>
      </w:r>
    </w:p>
    <w:p w14:paraId="24B131E1" w14:textId="77777777" w:rsidR="007641FC" w:rsidRPr="00583A8C" w:rsidRDefault="007641FC" w:rsidP="007641FC">
      <w:pPr>
        <w:spacing w:after="0" w:line="240" w:lineRule="auto"/>
        <w:rPr>
          <w:rFonts w:ascii="Verdana" w:hAnsi="Verdana"/>
        </w:rPr>
      </w:pPr>
      <w:r>
        <w:rPr>
          <w:rFonts w:ascii="Verdana" w:hAnsi="Verdana"/>
        </w:rPr>
        <w:t>Servitedh@hotmail.com</w:t>
      </w:r>
    </w:p>
    <w:p w14:paraId="3CD349AC" w14:textId="77777777" w:rsidR="007641FC" w:rsidRPr="00514983" w:rsidRDefault="007641FC" w:rsidP="007641FC">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641FC" w:rsidRPr="00960F72" w14:paraId="17275994" w14:textId="77777777" w:rsidTr="007641FC">
        <w:trPr>
          <w:trHeight w:val="190"/>
        </w:trPr>
        <w:tc>
          <w:tcPr>
            <w:tcW w:w="2689" w:type="dxa"/>
          </w:tcPr>
          <w:p w14:paraId="10BE2986" w14:textId="77777777" w:rsidR="007641FC" w:rsidRPr="00960F72" w:rsidRDefault="007641FC" w:rsidP="007641FC">
            <w:pPr>
              <w:jc w:val="both"/>
              <w:rPr>
                <w:rFonts w:ascii="Verdana" w:eastAsia="Calibri" w:hAnsi="Verdana" w:cs="Arial"/>
                <w:b/>
                <w:bCs/>
                <w:lang w:eastAsia="es-ES_tradnl"/>
              </w:rPr>
            </w:pPr>
          </w:p>
        </w:tc>
        <w:tc>
          <w:tcPr>
            <w:tcW w:w="6100" w:type="dxa"/>
          </w:tcPr>
          <w:p w14:paraId="6A4BAB94" w14:textId="77777777" w:rsidR="007641FC" w:rsidRPr="00960F72" w:rsidRDefault="007641FC" w:rsidP="007641FC">
            <w:pPr>
              <w:jc w:val="both"/>
              <w:rPr>
                <w:rFonts w:ascii="Verdana" w:eastAsia="Calibri" w:hAnsi="Verdana" w:cs="Arial"/>
                <w:b/>
                <w:bCs/>
                <w:lang w:eastAsia="es-ES"/>
              </w:rPr>
            </w:pPr>
            <w:r w:rsidRPr="00960F72">
              <w:rPr>
                <w:rFonts w:ascii="Verdana" w:eastAsia="Calibri" w:hAnsi="Verdana" w:cs="Arial"/>
                <w:b/>
                <w:bCs/>
                <w:lang w:eastAsia="es-ES"/>
              </w:rPr>
              <w:t>Concepto C- 1</w:t>
            </w:r>
            <w:r>
              <w:rPr>
                <w:rFonts w:ascii="Verdana" w:eastAsia="Calibri" w:hAnsi="Verdana" w:cs="Arial"/>
                <w:b/>
                <w:bCs/>
                <w:lang w:eastAsia="es-ES"/>
              </w:rPr>
              <w:t>771</w:t>
            </w:r>
            <w:r w:rsidRPr="00960F72">
              <w:rPr>
                <w:rFonts w:ascii="Verdana" w:eastAsia="Calibri" w:hAnsi="Verdana" w:cs="Arial"/>
                <w:b/>
                <w:bCs/>
                <w:lang w:eastAsia="es-ES"/>
              </w:rPr>
              <w:t xml:space="preserve"> de 2025</w:t>
            </w:r>
          </w:p>
          <w:p w14:paraId="74024BEB" w14:textId="77777777" w:rsidR="007641FC" w:rsidRPr="00960F72" w:rsidRDefault="007641FC" w:rsidP="007641FC">
            <w:pPr>
              <w:jc w:val="both"/>
              <w:rPr>
                <w:rFonts w:ascii="Verdana" w:eastAsia="Calibri" w:hAnsi="Verdana" w:cs="Arial"/>
                <w:b/>
                <w:bCs/>
                <w:lang w:eastAsia="es-ES"/>
              </w:rPr>
            </w:pPr>
          </w:p>
        </w:tc>
      </w:tr>
      <w:tr w:rsidR="007641FC" w:rsidRPr="00960F72" w14:paraId="46FBADE8" w14:textId="77777777" w:rsidTr="007641FC">
        <w:trPr>
          <w:trHeight w:val="884"/>
        </w:trPr>
        <w:tc>
          <w:tcPr>
            <w:tcW w:w="2689" w:type="dxa"/>
          </w:tcPr>
          <w:p w14:paraId="5BA4491F" w14:textId="77777777" w:rsidR="007641FC" w:rsidRPr="00960F72" w:rsidRDefault="007641FC" w:rsidP="007641FC">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4896199B" w14:textId="77777777" w:rsidR="007641FC" w:rsidRPr="00314EDC" w:rsidRDefault="007641FC" w:rsidP="007641FC">
            <w:pPr>
              <w:spacing w:line="276" w:lineRule="auto"/>
              <w:jc w:val="both"/>
              <w:rPr>
                <w:rFonts w:ascii="Verdana" w:hAnsi="Verdana" w:cs="Arial"/>
                <w:color w:val="000000" w:themeColor="text1"/>
              </w:rPr>
            </w:pPr>
            <w:bookmarkStart w:id="1" w:name="_Hlk213432273"/>
            <w:r w:rsidRPr="00314EDC">
              <w:rPr>
                <w:rFonts w:ascii="Verdana" w:hAnsi="Verdana" w:cs="Arial"/>
                <w:color w:val="000000" w:themeColor="text1"/>
                <w:lang w:val="es-ES"/>
              </w:rPr>
              <w:t xml:space="preserve">SUBSANABILIDAD – Aplicación – Regla general – Excepciones / SUBSANABILIDAD – Ley 1882 de 2018 / </w:t>
            </w:r>
            <w:r w:rsidRPr="00314EDC">
              <w:rPr>
                <w:rFonts w:ascii="Verdana" w:hAnsi="Verdana" w:cs="Arial"/>
                <w:color w:val="000000" w:themeColor="text1"/>
              </w:rPr>
              <w:t>CAUSALES DE RECHAZO DE LAS OFERTAS – Origen – Límites en su configuración / CAUSALES DE RECHAZO – Procedencia</w:t>
            </w:r>
          </w:p>
          <w:bookmarkEnd w:id="1"/>
          <w:p w14:paraId="41612600" w14:textId="77777777" w:rsidR="007641FC" w:rsidRPr="001F1B6C" w:rsidRDefault="007641FC" w:rsidP="007641FC">
            <w:pPr>
              <w:spacing w:line="276" w:lineRule="auto"/>
              <w:jc w:val="both"/>
              <w:rPr>
                <w:rFonts w:ascii="Verdana" w:eastAsia="Calibri" w:hAnsi="Verdana" w:cs="Arial"/>
                <w:lang w:val="es-ES" w:eastAsia="es-ES"/>
              </w:rPr>
            </w:pPr>
            <w:r w:rsidRPr="00FD1291">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p>
        </w:tc>
      </w:tr>
      <w:tr w:rsidR="007641FC" w:rsidRPr="00960F72" w14:paraId="4991DB39" w14:textId="77777777" w:rsidTr="007641FC">
        <w:tc>
          <w:tcPr>
            <w:tcW w:w="2689" w:type="dxa"/>
          </w:tcPr>
          <w:p w14:paraId="404B8A4D" w14:textId="77777777" w:rsidR="007641FC" w:rsidRPr="00583A8C" w:rsidRDefault="007641FC" w:rsidP="007641FC">
            <w:pPr>
              <w:jc w:val="both"/>
              <w:rPr>
                <w:rFonts w:ascii="Verdana" w:eastAsia="Calibri" w:hAnsi="Verdana" w:cs="Arial"/>
                <w:b/>
                <w:lang w:eastAsia="es-ES_tradnl"/>
              </w:rPr>
            </w:pPr>
            <w:r w:rsidRPr="00583A8C">
              <w:rPr>
                <w:rFonts w:ascii="Verdana" w:eastAsia="Calibri" w:hAnsi="Verdana" w:cs="Arial"/>
                <w:b/>
                <w:lang w:eastAsia="es-ES_tradnl"/>
              </w:rPr>
              <w:t>Radicación:</w:t>
            </w:r>
            <w:r w:rsidRPr="00583A8C">
              <w:rPr>
                <w:rFonts w:ascii="Verdana" w:eastAsia="Calibri" w:hAnsi="Verdana" w:cs="Arial"/>
                <w:lang w:eastAsia="es-ES_tradnl"/>
              </w:rPr>
              <w:t xml:space="preserve">               </w:t>
            </w:r>
          </w:p>
        </w:tc>
        <w:tc>
          <w:tcPr>
            <w:tcW w:w="6100" w:type="dxa"/>
          </w:tcPr>
          <w:p w14:paraId="2D0590D4" w14:textId="77777777" w:rsidR="007641FC" w:rsidRPr="006E632F" w:rsidRDefault="007641FC" w:rsidP="007641FC">
            <w:pPr>
              <w:jc w:val="both"/>
              <w:rPr>
                <w:rFonts w:ascii="Verdana" w:eastAsia="Calibri" w:hAnsi="Verdana" w:cs="Arial"/>
                <w:lang w:eastAsia="es-ES_tradnl"/>
              </w:rPr>
            </w:pPr>
            <w:r w:rsidRPr="006E632F">
              <w:rPr>
                <w:rFonts w:ascii="Verdana" w:eastAsia="Calibri" w:hAnsi="Verdana" w:cs="Arial"/>
                <w:lang w:eastAsia="es-ES_tradnl"/>
              </w:rPr>
              <w:t>Respuesta a consulta con radicado No.</w:t>
            </w:r>
            <w:r w:rsidRPr="006E632F">
              <w:rPr>
                <w:rFonts w:ascii="Verdana" w:hAnsi="Verdana" w:cs="Segoe UI"/>
                <w:shd w:val="clear" w:color="auto" w:fill="FFFFFF"/>
              </w:rPr>
              <w:t xml:space="preserve"> 1_2025_11_27_013424</w:t>
            </w:r>
          </w:p>
        </w:tc>
      </w:tr>
    </w:tbl>
    <w:p w14:paraId="7B93FB1C" w14:textId="77777777" w:rsidR="007641FC" w:rsidRPr="00960F72" w:rsidRDefault="007641FC" w:rsidP="007641FC">
      <w:pPr>
        <w:spacing w:after="0" w:line="240" w:lineRule="auto"/>
        <w:jc w:val="both"/>
        <w:rPr>
          <w:rFonts w:ascii="Verdana" w:eastAsia="Calibri" w:hAnsi="Verdana" w:cs="Arial"/>
          <w:lang w:eastAsia="es-ES_tradnl"/>
        </w:rPr>
      </w:pPr>
    </w:p>
    <w:p w14:paraId="77156677" w14:textId="77777777" w:rsidR="007641FC" w:rsidRPr="00960F72" w:rsidRDefault="007641FC" w:rsidP="007641FC">
      <w:pPr>
        <w:spacing w:after="0" w:line="276" w:lineRule="auto"/>
        <w:jc w:val="both"/>
        <w:rPr>
          <w:rFonts w:ascii="Verdana" w:eastAsia="Calibri" w:hAnsi="Verdana" w:cs="Arial"/>
          <w:lang w:eastAsia="es-ES"/>
        </w:rPr>
      </w:pPr>
      <w:r>
        <w:rPr>
          <w:rFonts w:ascii="Verdana" w:eastAsia="Calibri" w:hAnsi="Verdana" w:cs="Arial"/>
          <w:lang w:eastAsia="es-ES"/>
        </w:rPr>
        <w:t>Estimado(a):</w:t>
      </w:r>
    </w:p>
    <w:p w14:paraId="0B08E8D5" w14:textId="77777777" w:rsidR="007641FC" w:rsidRPr="00960F72" w:rsidRDefault="007641FC" w:rsidP="007641FC">
      <w:pPr>
        <w:tabs>
          <w:tab w:val="left" w:pos="3768"/>
        </w:tabs>
        <w:spacing w:after="0" w:line="276" w:lineRule="auto"/>
        <w:jc w:val="both"/>
        <w:rPr>
          <w:rFonts w:ascii="Verdana" w:eastAsia="Calibri" w:hAnsi="Verdana" w:cs="Arial"/>
          <w:lang w:eastAsia="es-ES"/>
        </w:rPr>
      </w:pPr>
    </w:p>
    <w:p w14:paraId="6FD8E1C2" w14:textId="77777777" w:rsidR="007641FC" w:rsidRPr="00960F72" w:rsidRDefault="007641FC" w:rsidP="007641FC">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 xml:space="preserve">27 </w:t>
      </w:r>
      <w:r w:rsidRPr="00960F72">
        <w:rPr>
          <w:rFonts w:ascii="Verdana" w:eastAsia="Calibri" w:hAnsi="Verdana" w:cs="Arial"/>
          <w:lang w:eastAsia="es-ES"/>
        </w:rPr>
        <w:t xml:space="preserve">de </w:t>
      </w:r>
      <w:r>
        <w:rPr>
          <w:rFonts w:ascii="Verdana" w:eastAsia="Calibri" w:hAnsi="Verdana" w:cs="Arial"/>
          <w:lang w:eastAsia="es-ES"/>
        </w:rPr>
        <w:t>noviembre</w:t>
      </w:r>
      <w:r w:rsidRPr="00960F72">
        <w:rPr>
          <w:rFonts w:ascii="Verdana" w:eastAsia="Calibri" w:hAnsi="Verdana" w:cs="Arial"/>
          <w:lang w:eastAsia="es-ES"/>
        </w:rPr>
        <w:t xml:space="preserve"> de 2025, en la cual manifiesta lo siguiente: </w:t>
      </w:r>
    </w:p>
    <w:p w14:paraId="6E59BA06" w14:textId="77777777" w:rsidR="007641FC" w:rsidRPr="00960F72" w:rsidRDefault="007641FC" w:rsidP="007641FC">
      <w:pPr>
        <w:spacing w:after="0" w:line="276" w:lineRule="auto"/>
        <w:jc w:val="both"/>
        <w:rPr>
          <w:rFonts w:ascii="Verdana" w:eastAsia="Calibri" w:hAnsi="Verdana" w:cs="Arial"/>
          <w:lang w:eastAsia="es-ES"/>
        </w:rPr>
      </w:pPr>
    </w:p>
    <w:p w14:paraId="03425D69" w14:textId="77777777" w:rsidR="007641FC" w:rsidRPr="003C2C84" w:rsidRDefault="007641FC" w:rsidP="00A8432D">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proofErr w:type="gramStart"/>
      <w:r>
        <w:rPr>
          <w:rFonts w:ascii="Verdana" w:eastAsia="Calibri" w:hAnsi="Verdana" w:cs="Arial"/>
          <w:sz w:val="20"/>
          <w:szCs w:val="20"/>
          <w:lang w:eastAsia="es-ES"/>
        </w:rPr>
        <w:t>…¿</w:t>
      </w:r>
      <w:proofErr w:type="gramEnd"/>
      <w:r w:rsidRPr="00103680">
        <w:rPr>
          <w:rFonts w:ascii="Verdana" w:eastAsia="Calibri" w:hAnsi="Verdana" w:cs="Arial"/>
          <w:sz w:val="20"/>
          <w:szCs w:val="20"/>
          <w:lang w:eastAsia="es-ES"/>
        </w:rPr>
        <w:t xml:space="preserve">es jurídicamente válido aceptar el soporte de pago de una política de seriedad efectuada con posterioridad al cierre de presentación de oferta en proceso de </w:t>
      </w:r>
      <w:proofErr w:type="gramStart"/>
      <w:r w:rsidRPr="00103680">
        <w:rPr>
          <w:rFonts w:ascii="Verdana" w:eastAsia="Calibri" w:hAnsi="Verdana" w:cs="Arial"/>
          <w:sz w:val="20"/>
          <w:szCs w:val="20"/>
          <w:lang w:eastAsia="es-ES"/>
        </w:rPr>
        <w:t>subasta?</w:t>
      </w:r>
      <w:r w:rsidRPr="003C2C84">
        <w:rPr>
          <w:rFonts w:ascii="Verdana" w:eastAsia="Calibri" w:hAnsi="Verdana" w:cs="Arial"/>
          <w:sz w:val="20"/>
          <w:szCs w:val="20"/>
          <w:lang w:eastAsia="es-ES"/>
        </w:rPr>
        <w:t>.</w:t>
      </w:r>
      <w:proofErr w:type="gramEnd"/>
      <w:r>
        <w:rPr>
          <w:rFonts w:ascii="Verdana" w:eastAsia="Calibri" w:hAnsi="Verdana" w:cs="Arial"/>
          <w:sz w:val="20"/>
          <w:szCs w:val="20"/>
          <w:lang w:eastAsia="es-ES"/>
        </w:rPr>
        <w:t>”</w:t>
      </w:r>
    </w:p>
    <w:p w14:paraId="240647E8" w14:textId="77777777" w:rsidR="007641FC" w:rsidRPr="00755387" w:rsidRDefault="007641FC" w:rsidP="007641FC">
      <w:pPr>
        <w:spacing w:after="0" w:line="276" w:lineRule="auto"/>
        <w:ind w:right="709"/>
        <w:jc w:val="both"/>
        <w:rPr>
          <w:rFonts w:ascii="Verdana" w:eastAsia="Calibri" w:hAnsi="Verdana" w:cs="Arial"/>
          <w:lang w:eastAsia="es-ES"/>
        </w:rPr>
      </w:pPr>
    </w:p>
    <w:p w14:paraId="2001630E" w14:textId="77777777" w:rsidR="007641FC" w:rsidRPr="00960F72" w:rsidRDefault="007641FC" w:rsidP="007641FC">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w:t>
      </w:r>
      <w:r w:rsidRPr="00960F72">
        <w:rPr>
          <w:rFonts w:ascii="Verdana" w:eastAsia="Calibri" w:hAnsi="Verdana" w:cs="Arial"/>
          <w:lang w:eastAsia="es-ES"/>
        </w:rPr>
        <w:lastRenderedPageBreak/>
        <w:t xml:space="preserve">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7041DD69" w14:textId="77777777" w:rsidR="007641FC" w:rsidRPr="00960F72" w:rsidRDefault="007641FC" w:rsidP="007641FC">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29D7F05E" w14:textId="77777777" w:rsidR="007641FC" w:rsidRPr="00960F72" w:rsidRDefault="007641FC" w:rsidP="007641FC">
      <w:pPr>
        <w:spacing w:after="0" w:line="276" w:lineRule="auto"/>
        <w:ind w:firstLine="709"/>
        <w:jc w:val="both"/>
        <w:rPr>
          <w:rFonts w:ascii="Verdana" w:eastAsia="Calibri" w:hAnsi="Verdana" w:cs="Arial"/>
          <w:lang w:eastAsia="es-ES"/>
        </w:rPr>
      </w:pPr>
    </w:p>
    <w:p w14:paraId="5C2D1D4A" w14:textId="77777777" w:rsidR="007641FC" w:rsidRPr="00960F72" w:rsidRDefault="007641FC" w:rsidP="00A52BB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49C9833D" w14:textId="77777777" w:rsidR="007641FC" w:rsidRPr="00960F72" w:rsidRDefault="007641FC" w:rsidP="007641FC">
      <w:pPr>
        <w:tabs>
          <w:tab w:val="left" w:pos="426"/>
        </w:tabs>
        <w:spacing w:after="0" w:line="276" w:lineRule="auto"/>
        <w:jc w:val="both"/>
        <w:rPr>
          <w:rFonts w:ascii="Verdana" w:eastAsia="Century Gothic" w:hAnsi="Verdana" w:cs="Century Gothic"/>
        </w:rPr>
      </w:pPr>
    </w:p>
    <w:p w14:paraId="487AA06C" w14:textId="75EC65F6" w:rsidR="007641FC" w:rsidRPr="007211E4" w:rsidRDefault="007641FC" w:rsidP="007641FC">
      <w:pPr>
        <w:spacing w:after="0" w:line="276" w:lineRule="auto"/>
        <w:jc w:val="both"/>
        <w:rPr>
          <w:rFonts w:ascii="Verdana" w:eastAsia="Century Gothic" w:hAnsi="Verdana" w:cs="Century Gothic"/>
          <w:color w:val="000000" w:themeColor="text1"/>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505635">
        <w:rPr>
          <w:rFonts w:ascii="Verdana" w:eastAsia="Century Gothic" w:hAnsi="Verdana" w:cs="Century Gothic"/>
        </w:rPr>
        <w:t xml:space="preserve">¿Es jurídicamente válido que </w:t>
      </w:r>
      <w:r w:rsidR="00D726E5">
        <w:rPr>
          <w:rFonts w:ascii="Verdana" w:eastAsia="Century Gothic" w:hAnsi="Verdana" w:cs="Century Gothic"/>
        </w:rPr>
        <w:t>una</w:t>
      </w:r>
      <w:r w:rsidRPr="00505635">
        <w:rPr>
          <w:rFonts w:ascii="Verdana" w:eastAsia="Century Gothic" w:hAnsi="Verdana" w:cs="Century Gothic"/>
        </w:rPr>
        <w:t xml:space="preserve"> entidad contratante acepte el soporte de pago de la póliza de seriedad de la oferta cuando dicho</w:t>
      </w:r>
      <w:r w:rsidR="00CB14B6">
        <w:rPr>
          <w:rFonts w:ascii="Verdana" w:eastAsia="Century Gothic" w:hAnsi="Verdana" w:cs="Century Gothic"/>
        </w:rPr>
        <w:t xml:space="preserve"> soporte se acredita </w:t>
      </w:r>
      <w:r w:rsidRPr="00505635">
        <w:rPr>
          <w:rFonts w:ascii="Verdana" w:eastAsia="Century Gothic" w:hAnsi="Verdana" w:cs="Century Gothic"/>
        </w:rPr>
        <w:t>con posterioridad al cierre del plazo de presentación de propuestas</w:t>
      </w:r>
      <w:r w:rsidR="00D726E5">
        <w:rPr>
          <w:rFonts w:ascii="Verdana" w:eastAsia="Century Gothic" w:hAnsi="Verdana" w:cs="Century Gothic"/>
        </w:rPr>
        <w:t>?</w:t>
      </w:r>
    </w:p>
    <w:p w14:paraId="26D83C3E" w14:textId="77777777" w:rsidR="007641FC" w:rsidRPr="00960F72" w:rsidRDefault="007641FC" w:rsidP="007641FC">
      <w:pPr>
        <w:spacing w:after="0" w:line="276" w:lineRule="auto"/>
        <w:jc w:val="both"/>
        <w:rPr>
          <w:rFonts w:ascii="Verdana" w:eastAsia="Century Gothic" w:hAnsi="Verdana" w:cs="Century Gothic"/>
        </w:rPr>
      </w:pPr>
    </w:p>
    <w:p w14:paraId="508BEDF7" w14:textId="77777777" w:rsidR="007641FC" w:rsidRDefault="007641FC" w:rsidP="00A52BB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2334F599" w14:textId="77777777" w:rsidR="007641FC" w:rsidRPr="00027E7B" w:rsidRDefault="007641FC" w:rsidP="007641FC">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641FC" w:rsidRPr="00960F72" w14:paraId="1225B540" w14:textId="77777777" w:rsidTr="007641FC">
        <w:tc>
          <w:tcPr>
            <w:tcW w:w="8828" w:type="dxa"/>
          </w:tcPr>
          <w:p w14:paraId="766A8C69" w14:textId="07C23EC1" w:rsidR="007641FC" w:rsidRPr="00114892" w:rsidRDefault="007641FC" w:rsidP="007641FC">
            <w:pPr>
              <w:spacing w:line="276" w:lineRule="auto"/>
              <w:jc w:val="both"/>
              <w:rPr>
                <w:rFonts w:ascii="Verdana" w:hAnsi="Verdana"/>
              </w:rPr>
            </w:pPr>
            <w:r w:rsidRPr="00114892">
              <w:rPr>
                <w:rFonts w:ascii="Verdana" w:hAnsi="Verdana"/>
              </w:rPr>
              <w:t xml:space="preserve">La regla de la </w:t>
            </w:r>
            <w:proofErr w:type="spellStart"/>
            <w:r w:rsidRPr="00114892">
              <w:rPr>
                <w:rFonts w:ascii="Verdana" w:hAnsi="Verdana"/>
              </w:rPr>
              <w:t>subsanabilidad</w:t>
            </w:r>
            <w:proofErr w:type="spellEnd"/>
            <w:r w:rsidRPr="00114892">
              <w:rPr>
                <w:rFonts w:ascii="Verdana" w:hAnsi="Verdana"/>
              </w:rPr>
              <w:t xml:space="preserve"> de las ofertas en los procedimientos de selección establece que, por principio general, la falta de entrega o los defectos en la acreditación de los requisitos habilitantes son subsanables, salvo en tres eventos expresamente exceptuados por la ley: i) cuando se trate de requisitos que otorgan puntaje; </w:t>
            </w:r>
            <w:proofErr w:type="spellStart"/>
            <w:r w:rsidRPr="00114892">
              <w:rPr>
                <w:rFonts w:ascii="Verdana" w:hAnsi="Verdana"/>
              </w:rPr>
              <w:t>ii</w:t>
            </w:r>
            <w:proofErr w:type="spellEnd"/>
            <w:r w:rsidRPr="00114892">
              <w:rPr>
                <w:rFonts w:ascii="Verdana" w:hAnsi="Verdana"/>
              </w:rPr>
              <w:t xml:space="preserve">) cuando se pretenda acreditar circunstancias ocurridas con posterioridad al cierre del proceso; y </w:t>
            </w:r>
            <w:proofErr w:type="spellStart"/>
            <w:r w:rsidRPr="00114892">
              <w:rPr>
                <w:rFonts w:ascii="Verdana" w:hAnsi="Verdana"/>
              </w:rPr>
              <w:t>iii</w:t>
            </w:r>
            <w:proofErr w:type="spellEnd"/>
            <w:r w:rsidRPr="00114892">
              <w:rPr>
                <w:rFonts w:ascii="Verdana" w:hAnsi="Verdana"/>
              </w:rPr>
              <w:t>) cuando no se haya aportado la garantía de seriedad de la oferta con la propuesta.</w:t>
            </w:r>
          </w:p>
          <w:p w14:paraId="4D48B92B" w14:textId="1D177601" w:rsidR="007641FC" w:rsidRPr="00114892" w:rsidRDefault="007641FC" w:rsidP="007641FC">
            <w:pPr>
              <w:spacing w:line="276" w:lineRule="auto"/>
              <w:jc w:val="both"/>
              <w:rPr>
                <w:rFonts w:ascii="Verdana" w:hAnsi="Verdana"/>
              </w:rPr>
            </w:pPr>
            <w:r>
              <w:rPr>
                <w:rFonts w:ascii="Verdana" w:hAnsi="Verdana"/>
              </w:rPr>
              <w:t xml:space="preserve">     </w:t>
            </w:r>
            <w:r w:rsidRPr="00114892">
              <w:rPr>
                <w:rFonts w:ascii="Verdana" w:hAnsi="Verdana"/>
              </w:rPr>
              <w:t>Conforme al artículo 5 de la Ley 1882 de 2018, la prohibición de acreditar circunstancias posteriores al cierre del proceso implica que únicamente es subsanable la prueba de hechos o situaciones que ya existían al momento de la presentación de la oferta, m</w:t>
            </w:r>
            <w:r w:rsidR="00D61879">
              <w:rPr>
                <w:rFonts w:ascii="Verdana" w:hAnsi="Verdana"/>
              </w:rPr>
              <w:t>á</w:t>
            </w:r>
            <w:r w:rsidRPr="00114892">
              <w:rPr>
                <w:rFonts w:ascii="Verdana" w:hAnsi="Verdana"/>
              </w:rPr>
              <w:t>s no la constitución extemporánea de requisitos habilitantes. De ahí la necesidad de distinguir entre el requisito en sí mismo y su medio de acreditación, pues lo jurídicamente inadmisible es subsanar un requisito no cumplido al cierre, y no la aportación posterior de documentos que prueban una circunstancia preexistente.</w:t>
            </w:r>
          </w:p>
          <w:p w14:paraId="34023FC4" w14:textId="61DBD087" w:rsidR="007641FC" w:rsidRPr="00114892" w:rsidRDefault="007641FC" w:rsidP="00A8432D">
            <w:pPr>
              <w:spacing w:after="120" w:line="276" w:lineRule="auto"/>
              <w:jc w:val="both"/>
              <w:rPr>
                <w:rFonts w:ascii="Verdana" w:hAnsi="Verdana"/>
              </w:rPr>
            </w:pPr>
            <w:r>
              <w:rPr>
                <w:rFonts w:ascii="Verdana" w:hAnsi="Verdana"/>
              </w:rPr>
              <w:lastRenderedPageBreak/>
              <w:t xml:space="preserve">      </w:t>
            </w:r>
            <w:r w:rsidRPr="00114892">
              <w:rPr>
                <w:rFonts w:ascii="Verdana" w:hAnsi="Verdana"/>
              </w:rPr>
              <w:t>En este marco, la garantía de seriedad de la oferta debe existir y encontrarse válidamente constituida y vigente al cierre del plazo de presentación de propuestas, siendo insubsanable su no aportación o su expedición posterior. No obstante, los soportes documentales asociados a la póliza, como el comprobante de pago de la prima, no constituyen requisitos habilitantes autónomos, sino medios probatorios de una relación jurídica ya existente, cuya acreditación puede realizarse con posterioridad sin que ello suponga la introducción de un hecho nuevo.</w:t>
            </w:r>
          </w:p>
          <w:p w14:paraId="555502DE" w14:textId="77777777" w:rsidR="007641FC" w:rsidRDefault="007641FC" w:rsidP="007641FC">
            <w:pPr>
              <w:spacing w:line="276" w:lineRule="auto"/>
              <w:jc w:val="both"/>
              <w:rPr>
                <w:rFonts w:ascii="Verdana" w:hAnsi="Verdana"/>
              </w:rPr>
            </w:pPr>
            <w:r>
              <w:rPr>
                <w:rFonts w:ascii="Verdana" w:hAnsi="Verdana"/>
              </w:rPr>
              <w:t xml:space="preserve">     </w:t>
            </w:r>
            <w:r w:rsidRPr="00114892">
              <w:rPr>
                <w:rFonts w:ascii="Verdana" w:hAnsi="Verdana"/>
              </w:rPr>
              <w:t xml:space="preserve">Por tanto, la entrega posterior del comprobante de pago </w:t>
            </w:r>
            <w:proofErr w:type="gramStart"/>
            <w:r w:rsidRPr="00114892">
              <w:rPr>
                <w:rFonts w:ascii="Verdana" w:hAnsi="Verdana"/>
              </w:rPr>
              <w:t>se enmarca dentro de</w:t>
            </w:r>
            <w:proofErr w:type="gramEnd"/>
            <w:r w:rsidRPr="00114892">
              <w:rPr>
                <w:rFonts w:ascii="Verdana" w:hAnsi="Verdana"/>
              </w:rPr>
              <w:t xml:space="preserve"> la regla general de </w:t>
            </w:r>
            <w:proofErr w:type="spellStart"/>
            <w:r w:rsidRPr="00114892">
              <w:rPr>
                <w:rFonts w:ascii="Verdana" w:hAnsi="Verdana"/>
              </w:rPr>
              <w:t>subsanabilidad</w:t>
            </w:r>
            <w:proofErr w:type="spellEnd"/>
            <w:r w:rsidRPr="00114892">
              <w:rPr>
                <w:rFonts w:ascii="Verdana" w:hAnsi="Verdana"/>
              </w:rPr>
              <w:t>, siempre que la póliza haya sido expedida y se encuentre vigente antes del cierre del proceso. En consecuencia, salvo que la ley o el pliego de condiciones hayan previsto de manera expresa, razonable y proporcional el pago de la prima como causal autónoma de rechazo</w:t>
            </w:r>
            <w:r>
              <w:rPr>
                <w:rFonts w:ascii="Verdana" w:hAnsi="Verdana"/>
              </w:rPr>
              <w:t xml:space="preserve">, </w:t>
            </w:r>
            <w:r w:rsidRPr="00114892">
              <w:rPr>
                <w:rFonts w:ascii="Verdana" w:hAnsi="Verdana"/>
              </w:rPr>
              <w:t>lo cual es de interpretación restrictiva, la ausencia inicial de dicho soporte no constituye fundamento jurídico suficiente para rechazar la oferta.</w:t>
            </w:r>
          </w:p>
          <w:p w14:paraId="395BCF1F" w14:textId="77777777" w:rsidR="007641FC" w:rsidRPr="00594F8C" w:rsidRDefault="007641FC" w:rsidP="007641FC">
            <w:pPr>
              <w:spacing w:before="120" w:line="276" w:lineRule="auto"/>
              <w:ind w:firstLine="709"/>
              <w:jc w:val="both"/>
              <w:rPr>
                <w:rFonts w:ascii="Verdana" w:eastAsia="Arial" w:hAnsi="Verdana" w:cs="Arial"/>
              </w:rPr>
            </w:pPr>
            <w:r w:rsidRPr="00314EDC">
              <w:rPr>
                <w:rFonts w:ascii="Verdana" w:eastAsia="Arial" w:hAnsi="Verdana" w:cs="Arial"/>
                <w:lang w:val="es-ES"/>
              </w:rPr>
              <w:t>Finalmente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tc>
      </w:tr>
    </w:tbl>
    <w:p w14:paraId="77D97EFA" w14:textId="77777777" w:rsidR="007641FC" w:rsidRPr="00960F72" w:rsidRDefault="007641FC" w:rsidP="007641FC">
      <w:pPr>
        <w:tabs>
          <w:tab w:val="left" w:pos="142"/>
          <w:tab w:val="left" w:pos="284"/>
        </w:tabs>
        <w:spacing w:after="0" w:line="276" w:lineRule="auto"/>
        <w:jc w:val="both"/>
        <w:rPr>
          <w:rFonts w:ascii="Verdana" w:eastAsia="Century Gothic" w:hAnsi="Verdana" w:cs="Century Gothic"/>
          <w:b/>
          <w:bCs/>
        </w:rPr>
      </w:pPr>
    </w:p>
    <w:p w14:paraId="6DE935FA" w14:textId="77777777" w:rsidR="007641FC" w:rsidRDefault="007641FC" w:rsidP="00A52BB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26C8AD16" w14:textId="77777777" w:rsidR="007641FC" w:rsidRDefault="007641FC" w:rsidP="007641FC">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7BA4E2CE" w14:textId="77777777" w:rsidR="007641FC" w:rsidRDefault="007641FC" w:rsidP="007641FC">
      <w:pPr>
        <w:tabs>
          <w:tab w:val="left" w:pos="142"/>
          <w:tab w:val="left" w:pos="284"/>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7F9DF36A" w14:textId="77777777" w:rsidR="007641FC" w:rsidRDefault="007641FC" w:rsidP="00A8432D">
      <w:pPr>
        <w:tabs>
          <w:tab w:val="left" w:pos="142"/>
          <w:tab w:val="left" w:pos="284"/>
        </w:tabs>
        <w:spacing w:after="0" w:line="276" w:lineRule="auto"/>
        <w:jc w:val="both"/>
        <w:rPr>
          <w:rFonts w:ascii="Verdana" w:eastAsia="Calibri" w:hAnsi="Verdana" w:cs="Arial"/>
        </w:rPr>
      </w:pPr>
    </w:p>
    <w:p w14:paraId="69903000" w14:textId="77777777" w:rsidR="007641FC" w:rsidRPr="0055341A" w:rsidDel="004D5F83" w:rsidRDefault="007641FC" w:rsidP="007641FC">
      <w:pPr>
        <w:spacing w:after="120" w:line="276" w:lineRule="auto"/>
        <w:jc w:val="both"/>
        <w:rPr>
          <w:rFonts w:ascii="Verdana" w:eastAsia="Times New Roman" w:hAnsi="Verdana" w:cs="Arial"/>
          <w:lang w:val="es-ES" w:eastAsia="es-ES"/>
        </w:rPr>
      </w:pPr>
      <w:r w:rsidRPr="3F2B4452">
        <w:rPr>
          <w:rFonts w:ascii="Verdana" w:hAnsi="Verdana" w:cs="Arial"/>
          <w:noProof/>
          <w:lang w:val="es-ES"/>
        </w:rPr>
        <w:t>L</w:t>
      </w:r>
      <w:r w:rsidRPr="3F2B4452">
        <w:rPr>
          <w:rFonts w:ascii="Verdana" w:eastAsia="Times New Roman" w:hAnsi="Verdana" w:cs="Arial"/>
        </w:rPr>
        <w:t xml:space="preserve">a regla de la </w:t>
      </w:r>
      <w:proofErr w:type="spellStart"/>
      <w:r w:rsidRPr="3F2B4452">
        <w:rPr>
          <w:rFonts w:ascii="Verdana" w:eastAsia="Times New Roman" w:hAnsi="Verdana" w:cs="Arial"/>
        </w:rPr>
        <w:t>subsanabilidad</w:t>
      </w:r>
      <w:proofErr w:type="spellEnd"/>
      <w:r w:rsidRPr="3F2B4452">
        <w:rPr>
          <w:rFonts w:ascii="Verdana" w:eastAsia="Times New Roman" w:hAnsi="Verdana" w:cs="Arial"/>
        </w:rPr>
        <w:t xml:space="preserve"> de las ofertas en los procedimientos de selección</w:t>
      </w:r>
      <w:r w:rsidRPr="3F2B4452">
        <w:rPr>
          <w:rFonts w:ascii="Verdana" w:eastAsia="Times New Roman" w:hAnsi="Verdana" w:cs="Arial"/>
          <w:b/>
          <w:bCs/>
        </w:rPr>
        <w:t xml:space="preserve"> </w:t>
      </w:r>
      <w:r w:rsidRPr="3F2B4452">
        <w:rPr>
          <w:rFonts w:ascii="Verdana" w:eastAsia="Times New Roman" w:hAnsi="Verdana" w:cs="Arial"/>
          <w:lang w:val="es-ES" w:eastAsia="es-ES"/>
        </w:rPr>
        <w:t xml:space="preserve">indica que, por regla general, la falta de entrega y los defectos en la acreditación de los requisitos habilitantes son aspectos subsanables. La excepción </w:t>
      </w:r>
      <w:r>
        <w:rPr>
          <w:rFonts w:ascii="Verdana" w:eastAsia="Times New Roman" w:hAnsi="Verdana" w:cs="Arial"/>
          <w:lang w:val="es-ES" w:eastAsia="es-ES"/>
        </w:rPr>
        <w:t>corresponde</w:t>
      </w:r>
      <w:r w:rsidRPr="3F2B4452">
        <w:rPr>
          <w:rFonts w:ascii="Verdana" w:eastAsia="Times New Roman" w:hAnsi="Verdana" w:cs="Arial"/>
          <w:lang w:val="es-ES" w:eastAsia="es-ES"/>
        </w:rPr>
        <w:t xml:space="preserve">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5B8E7200" w14:textId="77777777" w:rsidR="007641FC" w:rsidRDefault="007641FC" w:rsidP="007641FC">
      <w:pPr>
        <w:tabs>
          <w:tab w:val="left" w:pos="3828"/>
        </w:tabs>
        <w:spacing w:after="120" w:line="276" w:lineRule="auto"/>
        <w:ind w:firstLine="709"/>
        <w:jc w:val="both"/>
        <w:rPr>
          <w:rFonts w:ascii="Verdana" w:eastAsia="Times New Roman" w:hAnsi="Verdana" w:cs="Arial"/>
          <w:lang w:val="es-ES" w:eastAsia="es-ES"/>
        </w:rPr>
      </w:pPr>
      <w:r w:rsidRPr="37C57DE6">
        <w:rPr>
          <w:rFonts w:ascii="Verdana" w:eastAsia="Times New Roman" w:hAnsi="Verdana" w:cs="Arial"/>
          <w:lang w:val="es-ES" w:eastAsia="es-ES"/>
        </w:rPr>
        <w:lastRenderedPageBreak/>
        <w:t>La posibilidad de enmendar, corregir o subsanar los errores en los que se incurre en los documentos contentivos de la oferta</w:t>
      </w:r>
      <w:r>
        <w:rPr>
          <w:rFonts w:ascii="Verdana" w:eastAsia="Times New Roman" w:hAnsi="Verdana" w:cs="Arial"/>
          <w:lang w:val="es-ES" w:eastAsia="es-ES"/>
        </w:rPr>
        <w:t>,</w:t>
      </w:r>
      <w:r w:rsidRPr="37C57DE6">
        <w:rPr>
          <w:rFonts w:ascii="Verdana" w:eastAsia="Times New Roman" w:hAnsi="Verdana" w:cs="Arial"/>
          <w:lang w:val="es-ES" w:eastAsia="es-ES"/>
        </w:rPr>
        <w:t xml:space="preserve"> es un </w:t>
      </w:r>
      <w:r>
        <w:rPr>
          <w:rFonts w:ascii="Verdana" w:eastAsia="Times New Roman" w:hAnsi="Verdana" w:cs="Arial"/>
          <w:lang w:val="es-ES" w:eastAsia="es-ES"/>
        </w:rPr>
        <w:t xml:space="preserve">asunto </w:t>
      </w:r>
      <w:r w:rsidRPr="37C57DE6">
        <w:rPr>
          <w:rFonts w:ascii="Verdana" w:eastAsia="Times New Roman" w:hAnsi="Verdana" w:cs="Arial"/>
          <w:lang w:val="es-ES" w:eastAsia="es-ES"/>
        </w:rPr>
        <w:t>que ha tenido diferentes momentos o etapas en el ordenamiento jurídico colombiano</w:t>
      </w:r>
      <w:r>
        <w:rPr>
          <w:rFonts w:ascii="Verdana" w:eastAsia="Times New Roman" w:hAnsi="Verdana" w:cs="Arial"/>
          <w:lang w:val="es-ES" w:eastAsia="es-ES"/>
        </w:rPr>
        <w:t xml:space="preserve">. </w:t>
      </w:r>
    </w:p>
    <w:p w14:paraId="02B84976" w14:textId="77777777" w:rsidR="007641FC" w:rsidRDefault="007641FC" w:rsidP="007641FC">
      <w:pPr>
        <w:spacing w:after="120" w:line="276" w:lineRule="auto"/>
        <w:ind w:firstLine="709"/>
        <w:jc w:val="both"/>
        <w:rPr>
          <w:rFonts w:ascii="Verdana" w:eastAsia="Arial" w:hAnsi="Verdana" w:cs="Arial"/>
          <w:color w:val="000000" w:themeColor="text1"/>
        </w:rPr>
      </w:pPr>
      <w:r w:rsidRPr="05E3EA9D">
        <w:rPr>
          <w:rFonts w:ascii="Verdana" w:eastAsia="Arial" w:hAnsi="Verdana" w:cs="Arial"/>
          <w:color w:val="000000" w:themeColor="text1"/>
        </w:rPr>
        <w:t xml:space="preserve">En un </w:t>
      </w:r>
      <w:r w:rsidRPr="05E3EA9D">
        <w:rPr>
          <w:rFonts w:ascii="Verdana" w:eastAsia="Arial" w:hAnsi="Verdana" w:cs="Arial"/>
          <w:i/>
          <w:color w:val="000000" w:themeColor="text1"/>
        </w:rPr>
        <w:t>primer momento</w:t>
      </w:r>
      <w:r w:rsidRPr="05E3EA9D">
        <w:rPr>
          <w:rFonts w:ascii="Verdana" w:eastAsia="Arial" w:hAnsi="Verdana" w:cs="Arial"/>
          <w:color w:val="000000" w:themeColor="text1"/>
        </w:rPr>
        <w:t xml:space="preserve">, antes de expedirse la Constitución Política de 1991, el régimen jurídico de la </w:t>
      </w:r>
      <w:proofErr w:type="spellStart"/>
      <w:r w:rsidRPr="05E3EA9D">
        <w:rPr>
          <w:rFonts w:ascii="Verdana" w:eastAsia="Arial" w:hAnsi="Verdana" w:cs="Arial"/>
          <w:color w:val="000000" w:themeColor="text1"/>
        </w:rPr>
        <w:t>subsanabilidad</w:t>
      </w:r>
      <w:proofErr w:type="spellEnd"/>
      <w:r w:rsidRPr="05E3EA9D">
        <w:rPr>
          <w:rFonts w:ascii="Verdana" w:eastAsia="Arial" w:hAnsi="Verdana" w:cs="Arial"/>
          <w:color w:val="000000" w:themeColor="text1"/>
        </w:rPr>
        <w:t xml:space="preserve"> de las ofertas estaba compuesto por el Decreto-ley 150 de 1976 y el Decreto-ley 222 de 1983. Bajo el imperio de estas normas, la posibilidad de subsanar errores era prácticamente inexistente, debido al excesivo formalismo procedimental que irradiaba la actuación administrativa. En este contexto, por ejemplo, no era extraordinario que una oferta fuera rechazada por no aportar una copia de esta. </w:t>
      </w:r>
    </w:p>
    <w:p w14:paraId="72E6F713" w14:textId="77777777" w:rsidR="007641FC" w:rsidRPr="00166975" w:rsidRDefault="007641FC" w:rsidP="007641FC">
      <w:pPr>
        <w:spacing w:before="120" w:after="0" w:line="276" w:lineRule="auto"/>
        <w:ind w:firstLine="709"/>
        <w:jc w:val="both"/>
        <w:rPr>
          <w:rFonts w:ascii="Verdana" w:eastAsia="Arial" w:hAnsi="Verdana" w:cs="Arial"/>
          <w:color w:val="000000" w:themeColor="text1"/>
        </w:rPr>
      </w:pPr>
      <w:r w:rsidRPr="00C64261">
        <w:rPr>
          <w:rFonts w:ascii="Verdana" w:eastAsia="Arial" w:hAnsi="Verdana" w:cs="Arial"/>
          <w:color w:val="000000"/>
        </w:rPr>
        <w:t xml:space="preserve">En un </w:t>
      </w:r>
      <w:r w:rsidRPr="00C64261">
        <w:rPr>
          <w:rFonts w:ascii="Verdana" w:eastAsia="Arial" w:hAnsi="Verdana" w:cs="Arial"/>
          <w:i/>
          <w:color w:val="000000"/>
        </w:rPr>
        <w:t>segundo momento</w:t>
      </w:r>
      <w:r w:rsidRPr="00C64261">
        <w:rPr>
          <w:rFonts w:ascii="Verdana" w:eastAsia="Arial" w:hAnsi="Verdana" w:cs="Arial"/>
          <w:color w:val="000000"/>
        </w:rPr>
        <w:t xml:space="preserve"> se expidió la Ley 80 de 1993, bajo el paradigma que supuso la Constitución de 1991, particularmente en la forma como se relaciona lo formal y lo sustancial en las actuaciones judiciales y administrativas. Este cambio ideológico quedó consignado en el artículo 228, que introdujo el principio de supremacía o prevalencia del derecho sustancial sobre el procedimental. En este nuevo escenario constitucional, el numeral 15 del artículo 25 de la Ley 80 de 1993 dispuso lo siguiente: </w:t>
      </w:r>
    </w:p>
    <w:p w14:paraId="21A1917D" w14:textId="77777777" w:rsidR="007641FC" w:rsidRPr="00C64261" w:rsidRDefault="007641FC" w:rsidP="00A8432D">
      <w:pPr>
        <w:spacing w:after="0" w:line="276" w:lineRule="auto"/>
        <w:jc w:val="both"/>
        <w:rPr>
          <w:rFonts w:ascii="Verdana" w:eastAsia="Arial" w:hAnsi="Verdana" w:cs="Arial"/>
          <w:color w:val="000000"/>
        </w:rPr>
      </w:pPr>
    </w:p>
    <w:p w14:paraId="4E571D16" w14:textId="77777777" w:rsidR="007641FC" w:rsidRPr="00216288" w:rsidRDefault="007641FC" w:rsidP="007641FC">
      <w:pPr>
        <w:spacing w:after="0" w:line="240" w:lineRule="auto"/>
        <w:ind w:left="709" w:right="709"/>
        <w:jc w:val="both"/>
        <w:rPr>
          <w:rFonts w:ascii="Verdana" w:eastAsia="Arial" w:hAnsi="Verdana" w:cs="Arial"/>
          <w:color w:val="000000"/>
          <w:sz w:val="20"/>
          <w:szCs w:val="20"/>
        </w:rPr>
      </w:pPr>
      <w:r w:rsidRPr="00216288">
        <w:rPr>
          <w:rFonts w:ascii="Verdana" w:eastAsia="Arial" w:hAnsi="Verdana" w:cs="Arial"/>
          <w:color w:val="000000"/>
          <w:sz w:val="20"/>
          <w:szCs w:val="20"/>
        </w:rPr>
        <w:t xml:space="preserve">“15. Las autoridades no exigirán sellos, autenticaciones, documentos originales o autenticados, reconocimientos de firmas, traducciones oficiales, ni cualquier otra clase de formalidades o exigencias rituales, salvo cuando en forma perentoria y expresa lo exijan leyes especiales. </w:t>
      </w:r>
    </w:p>
    <w:p w14:paraId="7F03A310" w14:textId="77777777" w:rsidR="007641FC" w:rsidRDefault="007641FC" w:rsidP="007641FC">
      <w:pPr>
        <w:spacing w:after="0" w:line="240" w:lineRule="auto"/>
        <w:ind w:left="709" w:right="709"/>
        <w:jc w:val="both"/>
        <w:rPr>
          <w:rFonts w:ascii="Verdana" w:eastAsia="Arial" w:hAnsi="Verdana" w:cs="Arial"/>
          <w:color w:val="000000" w:themeColor="text1"/>
          <w:sz w:val="20"/>
          <w:szCs w:val="20"/>
        </w:rPr>
      </w:pPr>
    </w:p>
    <w:p w14:paraId="4993A75B" w14:textId="77777777" w:rsidR="007641FC" w:rsidRPr="001F283D" w:rsidRDefault="007641FC" w:rsidP="007641FC">
      <w:pPr>
        <w:spacing w:after="0" w:line="240" w:lineRule="auto"/>
        <w:ind w:left="709" w:right="709"/>
        <w:jc w:val="both"/>
        <w:rPr>
          <w:rFonts w:ascii="Verdana" w:eastAsia="Arial" w:hAnsi="Verdana" w:cs="Arial"/>
          <w:color w:val="000000"/>
          <w:sz w:val="20"/>
          <w:szCs w:val="20"/>
        </w:rPr>
      </w:pPr>
      <w:r w:rsidRPr="05E3EA9D">
        <w:rPr>
          <w:rFonts w:ascii="Verdana" w:eastAsia="Arial" w:hAnsi="Verdana" w:cs="Arial"/>
          <w:color w:val="000000" w:themeColor="text1"/>
          <w:sz w:val="20"/>
          <w:szCs w:val="20"/>
        </w:rPr>
        <w:t xml:space="preserve">La ausencia de requisitos o la falta de documentos referentes a la futura contratación o al proponente, no necesarios para la comparación de propuestas, no servirá de título suficiente para el rechazo de los ofrecimientos hechos”. </w:t>
      </w:r>
    </w:p>
    <w:p w14:paraId="4088225A" w14:textId="77777777" w:rsidR="007641FC" w:rsidRPr="00693ABA" w:rsidRDefault="007641FC" w:rsidP="007641FC">
      <w:pPr>
        <w:spacing w:after="0" w:line="240" w:lineRule="auto"/>
        <w:ind w:left="709" w:right="709"/>
        <w:jc w:val="both"/>
        <w:rPr>
          <w:rFonts w:ascii="Verdana" w:eastAsia="Arial" w:hAnsi="Verdana" w:cs="Arial"/>
          <w:color w:val="000000"/>
        </w:rPr>
      </w:pPr>
    </w:p>
    <w:p w14:paraId="419ABDCC" w14:textId="77777777" w:rsidR="007641FC" w:rsidRDefault="007641FC" w:rsidP="007641FC">
      <w:pPr>
        <w:spacing w:after="0" w:line="276" w:lineRule="auto"/>
        <w:ind w:firstLine="709"/>
        <w:jc w:val="both"/>
        <w:rPr>
          <w:rFonts w:ascii="Verdana" w:eastAsia="Arial" w:hAnsi="Verdana" w:cs="Arial"/>
          <w:color w:val="000000"/>
        </w:rPr>
      </w:pPr>
      <w:r w:rsidRPr="05E3EA9D">
        <w:rPr>
          <w:rFonts w:ascii="Verdana" w:eastAsia="Arial" w:hAnsi="Verdana" w:cs="Arial"/>
          <w:color w:val="000000" w:themeColor="text1"/>
        </w:rPr>
        <w:t xml:space="preserve">Bajo el amparo de esta norma, el régimen jurídico de </w:t>
      </w:r>
      <w:proofErr w:type="spellStart"/>
      <w:r w:rsidRPr="05E3EA9D">
        <w:rPr>
          <w:rFonts w:ascii="Verdana" w:eastAsia="Arial" w:hAnsi="Verdana" w:cs="Arial"/>
          <w:color w:val="000000" w:themeColor="text1"/>
        </w:rPr>
        <w:t>subsanabilidad</w:t>
      </w:r>
      <w:proofErr w:type="spellEnd"/>
      <w:r w:rsidRPr="05E3EA9D">
        <w:rPr>
          <w:rFonts w:ascii="Verdana" w:eastAsia="Arial" w:hAnsi="Verdana" w:cs="Arial"/>
          <w:color w:val="000000" w:themeColor="text1"/>
        </w:rPr>
        <w:t xml:space="preserve"> de las ofertas sufre un cambio fundamental, pues ya no era posible rechazar las ofertas por falta de requisitos o documentos que no fueran “</w:t>
      </w:r>
      <w:r w:rsidRPr="05E3EA9D">
        <w:rPr>
          <w:rFonts w:ascii="Verdana" w:eastAsia="Arial" w:hAnsi="Verdana" w:cs="Arial"/>
          <w:i/>
          <w:color w:val="000000" w:themeColor="text1"/>
        </w:rPr>
        <w:t>necesarios para la comparación de propuestas</w:t>
      </w:r>
      <w:r w:rsidRPr="05E3EA9D">
        <w:rPr>
          <w:rFonts w:ascii="Verdana" w:eastAsia="Arial" w:hAnsi="Verdana" w:cs="Arial"/>
          <w:color w:val="000000" w:themeColor="text1"/>
        </w:rPr>
        <w:t xml:space="preserve">”. De esta manera, la ley introdujo un primer criterio jurídico, aunque indeterminado, que servía como punto de partida en la posibilidad de subsanar las ofertas, pues, verificada la ausencia de un requisito o documento, previo al rechazo de la oferta, la Administración debía constatar si este era o no necesario para la comparación de las propuestas, y de ese análisis surgiría la decisión sobre su rechazo o la oportunidad de subsanar. </w:t>
      </w:r>
    </w:p>
    <w:p w14:paraId="6870128C" w14:textId="77777777" w:rsidR="007641FC" w:rsidRDefault="007641FC" w:rsidP="007641FC">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lastRenderedPageBreak/>
        <w:t>El artículo 25</w:t>
      </w:r>
      <w:r>
        <w:rPr>
          <w:rFonts w:ascii="Verdana" w:eastAsia="Arial" w:hAnsi="Verdana" w:cs="Arial"/>
          <w:color w:val="000000"/>
        </w:rPr>
        <w:t xml:space="preserve"> numeral 1</w:t>
      </w:r>
      <w:r w:rsidRPr="00C64261">
        <w:rPr>
          <w:rFonts w:ascii="Verdana" w:eastAsia="Arial" w:hAnsi="Verdana" w:cs="Arial"/>
          <w:color w:val="000000"/>
        </w:rPr>
        <w:t xml:space="preserve">5 </w:t>
      </w:r>
      <w:r>
        <w:rPr>
          <w:rFonts w:ascii="Verdana" w:eastAsia="Arial" w:hAnsi="Verdana" w:cs="Arial"/>
          <w:color w:val="000000"/>
        </w:rPr>
        <w:t xml:space="preserve">de la Ley 80 de 1993 </w:t>
      </w:r>
      <w:r w:rsidRPr="00C64261">
        <w:rPr>
          <w:rFonts w:ascii="Verdana" w:eastAsia="Arial" w:hAnsi="Verdana" w:cs="Arial"/>
          <w:color w:val="000000"/>
        </w:rPr>
        <w:t>debía leerse en conjunto con otras de</w:t>
      </w:r>
      <w:r>
        <w:rPr>
          <w:rFonts w:ascii="Verdana" w:eastAsia="Arial" w:hAnsi="Verdana" w:cs="Arial"/>
          <w:color w:val="000000"/>
        </w:rPr>
        <w:t>l EGCAP</w:t>
      </w:r>
      <w:r w:rsidRPr="00C64261">
        <w:rPr>
          <w:rFonts w:ascii="Verdana" w:eastAsia="Arial" w:hAnsi="Verdana" w:cs="Arial"/>
          <w:color w:val="000000"/>
        </w:rPr>
        <w:t>, particularmente con el artículo 30</w:t>
      </w:r>
      <w:r>
        <w:rPr>
          <w:rFonts w:ascii="Verdana" w:eastAsia="Arial" w:hAnsi="Verdana" w:cs="Arial"/>
          <w:color w:val="000000"/>
        </w:rPr>
        <w:t xml:space="preserve"> numeral </w:t>
      </w:r>
      <w:r w:rsidRPr="00C64261">
        <w:rPr>
          <w:rFonts w:ascii="Verdana" w:eastAsia="Arial" w:hAnsi="Verdana" w:cs="Arial"/>
          <w:color w:val="000000"/>
        </w:rPr>
        <w:t>7</w:t>
      </w:r>
      <w:r w:rsidRPr="00C64261">
        <w:rPr>
          <w:rFonts w:ascii="Verdana" w:eastAsia="Arial" w:hAnsi="Verdana" w:cs="Arial"/>
          <w:color w:val="000000"/>
          <w:vertAlign w:val="superscript"/>
        </w:rPr>
        <w:footnoteReference w:id="2"/>
      </w:r>
      <w:r w:rsidRPr="00C64261">
        <w:rPr>
          <w:rFonts w:ascii="Verdana" w:eastAsia="Arial" w:hAnsi="Verdana" w:cs="Arial"/>
          <w:color w:val="000000"/>
        </w:rPr>
        <w:t xml:space="preserve">, que ordena a la </w:t>
      </w:r>
      <w:r w:rsidRPr="003C06BF">
        <w:rPr>
          <w:rFonts w:ascii="Verdana" w:eastAsia="Arial" w:hAnsi="Verdana" w:cs="Arial"/>
          <w:color w:val="000000"/>
        </w:rPr>
        <w:t>entidad señalar un plazo razonable para evaluar las propuestas y pedir a los proponentes, de ser necesario, que aclaren o expliquen aspectos que ofrezcan dudas y resulten indispensables para hacer la evaluación</w:t>
      </w:r>
      <w:r>
        <w:rPr>
          <w:rFonts w:ascii="Verdana" w:eastAsia="Arial" w:hAnsi="Verdana" w:cs="Arial"/>
          <w:color w:val="000000"/>
        </w:rPr>
        <w:t>. C</w:t>
      </w:r>
      <w:r w:rsidRPr="003C06BF">
        <w:rPr>
          <w:rFonts w:ascii="Verdana" w:eastAsia="Arial" w:hAnsi="Verdana" w:cs="Arial"/>
          <w:color w:val="000000"/>
        </w:rPr>
        <w:t>on el artículo 30</w:t>
      </w:r>
      <w:r>
        <w:rPr>
          <w:rFonts w:ascii="Verdana" w:eastAsia="Arial" w:hAnsi="Verdana" w:cs="Arial"/>
          <w:color w:val="000000"/>
        </w:rPr>
        <w:t xml:space="preserve"> numeral </w:t>
      </w:r>
      <w:r w:rsidRPr="003C06BF">
        <w:rPr>
          <w:rFonts w:ascii="Verdana" w:eastAsia="Arial" w:hAnsi="Verdana" w:cs="Arial"/>
          <w:color w:val="000000"/>
        </w:rPr>
        <w:t>8</w:t>
      </w:r>
      <w:r w:rsidRPr="003C06BF">
        <w:rPr>
          <w:rFonts w:ascii="Verdana" w:eastAsia="Arial" w:hAnsi="Verdana" w:cs="Arial"/>
          <w:color w:val="000000"/>
          <w:vertAlign w:val="superscript"/>
        </w:rPr>
        <w:footnoteReference w:id="3"/>
      </w:r>
      <w:r w:rsidRPr="003C06BF">
        <w:rPr>
          <w:rFonts w:ascii="Verdana" w:eastAsia="Arial" w:hAnsi="Verdana" w:cs="Arial"/>
          <w:color w:val="000000"/>
        </w:rPr>
        <w:t>, que consagró el término de 5 días hábiles para que los oferentes presenten observaciones al informe de evaluación de las propuestas, sin que sea posible completar, adicionar, modificar o mejorar la oferta. A partir de la lectura integrada de estas tres normas</w:t>
      </w:r>
      <w:r>
        <w:rPr>
          <w:rFonts w:ascii="Verdana" w:eastAsia="Arial" w:hAnsi="Verdana" w:cs="Arial"/>
          <w:color w:val="000000"/>
        </w:rPr>
        <w:t>,</w:t>
      </w:r>
      <w:r w:rsidRPr="003C06BF">
        <w:rPr>
          <w:rFonts w:ascii="Verdana" w:eastAsia="Arial" w:hAnsi="Verdana" w:cs="Arial"/>
          <w:color w:val="000000"/>
        </w:rPr>
        <w:t xml:space="preserve"> debía concluirse que con la Ley 80 de 1993 era posible subsanar las propuestas, y la omisión o el error en algún aspecto de </w:t>
      </w:r>
      <w:proofErr w:type="gramStart"/>
      <w:r w:rsidRPr="003C06BF">
        <w:rPr>
          <w:rFonts w:ascii="Verdana" w:eastAsia="Arial" w:hAnsi="Verdana" w:cs="Arial"/>
          <w:color w:val="000000"/>
        </w:rPr>
        <w:t>la misma</w:t>
      </w:r>
      <w:proofErr w:type="gramEnd"/>
      <w:r w:rsidRPr="003C06BF">
        <w:rPr>
          <w:rFonts w:ascii="Verdana" w:eastAsia="Arial" w:hAnsi="Verdana" w:cs="Arial"/>
          <w:color w:val="000000"/>
        </w:rPr>
        <w:t xml:space="preserve"> no podía llevar a su rechazo, sin antes verificar que lo omitido fuera un aspecto necesario para la comparación.</w:t>
      </w:r>
      <w:r w:rsidRPr="00C64261">
        <w:rPr>
          <w:rFonts w:ascii="Verdana" w:eastAsia="Arial" w:hAnsi="Verdana" w:cs="Arial"/>
          <w:color w:val="000000"/>
        </w:rPr>
        <w:t xml:space="preserve"> </w:t>
      </w:r>
    </w:p>
    <w:p w14:paraId="2E848417" w14:textId="77777777" w:rsidR="007641FC" w:rsidRDefault="007641FC" w:rsidP="007641FC">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En un </w:t>
      </w:r>
      <w:r w:rsidRPr="00C64261">
        <w:rPr>
          <w:rFonts w:ascii="Verdana" w:eastAsia="Arial" w:hAnsi="Verdana" w:cs="Arial"/>
          <w:i/>
          <w:color w:val="000000"/>
        </w:rPr>
        <w:t>tercer momento</w:t>
      </w:r>
      <w:r w:rsidRPr="00C64261">
        <w:rPr>
          <w:rFonts w:ascii="Verdana" w:eastAsia="Arial" w:hAnsi="Verdana" w:cs="Arial"/>
          <w:color w:val="000000"/>
        </w:rPr>
        <w:t>, y siguiendo la línea trazada por la Ley 80 de 1993, el legislador expidió la Ley 1150 de 2007, que, en el parágrafo 1º del artículo 5, determinó lo siguiente: “La ausencia de requisitos o la falta de documentos referentes a la futura contratación o al proponente, no necesarios para la comparación de las propuestas no servirán de título suficiente para el rechazo de los ofrecimientos hechos. En consecuencia</w:t>
      </w:r>
      <w:r w:rsidRPr="00C64261">
        <w:rPr>
          <w:rFonts w:ascii="Verdana" w:eastAsia="Arial" w:hAnsi="Verdana" w:cs="Arial"/>
          <w:b/>
          <w:color w:val="000000"/>
        </w:rPr>
        <w:t xml:space="preserve">, </w:t>
      </w:r>
      <w:r w:rsidRPr="00C64261">
        <w:rPr>
          <w:rFonts w:ascii="Verdana" w:eastAsia="Arial" w:hAnsi="Verdana" w:cs="Arial"/>
          <w:color w:val="000000"/>
        </w:rPr>
        <w:t xml:space="preserve">todos aquellos requisitos de la propuesta que no afecten la asignación de </w:t>
      </w:r>
      <w:proofErr w:type="gramStart"/>
      <w:r w:rsidRPr="00C64261">
        <w:rPr>
          <w:rFonts w:ascii="Verdana" w:eastAsia="Arial" w:hAnsi="Verdana" w:cs="Arial"/>
          <w:color w:val="000000"/>
        </w:rPr>
        <w:t>puntaje</w:t>
      </w:r>
      <w:r>
        <w:rPr>
          <w:rFonts w:ascii="Verdana" w:eastAsia="Arial" w:hAnsi="Verdana" w:cs="Arial"/>
          <w:color w:val="000000"/>
        </w:rPr>
        <w:t>,</w:t>
      </w:r>
      <w:proofErr w:type="gramEnd"/>
      <w:r w:rsidRPr="00C64261">
        <w:rPr>
          <w:rFonts w:ascii="Verdana" w:eastAsia="Arial" w:hAnsi="Verdana" w:cs="Arial"/>
          <w:color w:val="000000"/>
        </w:rPr>
        <w:t xml:space="preserve"> podrán ser solicitados por las entidades en cualquier momento, hasta la adjudicación. No </w:t>
      </w:r>
      <w:proofErr w:type="gramStart"/>
      <w:r w:rsidRPr="00C64261">
        <w:rPr>
          <w:rFonts w:ascii="Verdana" w:eastAsia="Arial" w:hAnsi="Verdana" w:cs="Arial"/>
          <w:color w:val="000000"/>
        </w:rPr>
        <w:t>obstante</w:t>
      </w:r>
      <w:proofErr w:type="gramEnd"/>
      <w:r w:rsidRPr="00C64261">
        <w:rPr>
          <w:rFonts w:ascii="Verdana" w:eastAsia="Arial" w:hAnsi="Verdana" w:cs="Arial"/>
          <w:color w:val="000000"/>
        </w:rPr>
        <w:t xml:space="preserve"> lo anterior, en aquellos procesos de selección en los que se utilice el mecanismo de subasta, deberán ser solicitados hasta el momento previo a su realización”. </w:t>
      </w:r>
    </w:p>
    <w:p w14:paraId="2CCC2A2B" w14:textId="77777777" w:rsidR="007641FC" w:rsidRDefault="007641FC" w:rsidP="007641FC">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Nótese que esta norma reitera lo que dispuso la Ley 80 de 1993, en el sentido de que los requisitos o documentos que no sean necesarios para la comparación de las ofertas pueden subsanarse, pero además la Ley 1150 de 2007 introdujo otro criterio que le dio mayor claridad al tema: la asignación de puntaje. A partir de la Ley 1150 de 2007, la Administración contó con un criterio más claro y determinado para saber si la ausencia de documentos o requisitos de la oferta conlleva a su rechazo o al requerimiento del proponente para que lo </w:t>
      </w:r>
      <w:r w:rsidRPr="00C64261">
        <w:rPr>
          <w:rFonts w:ascii="Verdana" w:eastAsia="Arial" w:hAnsi="Verdana" w:cs="Arial"/>
          <w:color w:val="000000"/>
        </w:rPr>
        <w:lastRenderedPageBreak/>
        <w:t xml:space="preserve">subsane, pues bastará con un simple ejercicio de verificación que consiste en corroborar si lo omitido hace parte de los aspectos que otorgan puntaje o no.  Si al verificar la Administración encuentra que lo omitido por el proponente es un aspecto que otorga puntaje, no es posible subsanarlo; pero, si no otorga puntaje, la Administración debe requerir al proponente para que lo subsane.  </w:t>
      </w:r>
    </w:p>
    <w:p w14:paraId="2F7A75DC" w14:textId="77777777" w:rsidR="007641FC" w:rsidRPr="00C64261" w:rsidRDefault="007641FC" w:rsidP="007641FC">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El artículo 5 de la Ley 1150 de 2007, además de consagrar un criterio más claro, y, de paso, reducir la discrecionalidad de la Administración, fijó un ámbito temporal para la subsanación de las ofertas: “</w:t>
      </w:r>
      <w:r w:rsidRPr="00C64261">
        <w:rPr>
          <w:rFonts w:ascii="Verdana" w:eastAsia="Arial" w:hAnsi="Verdana" w:cs="Arial"/>
          <w:i/>
          <w:color w:val="000000"/>
        </w:rPr>
        <w:t>en cualquier momento, hasta la adjudicación</w:t>
      </w:r>
      <w:r w:rsidRPr="00C64261">
        <w:rPr>
          <w:rFonts w:ascii="Verdana" w:eastAsia="Arial" w:hAnsi="Verdana" w:cs="Arial"/>
          <w:color w:val="000000"/>
        </w:rPr>
        <w:t xml:space="preserve">”. El Consejo de Estado, con particular sindéresis, concluyó que a partir del parágrafo 1º del artículo 5 de la Ley 1150, la definición de lo que es subsanable y lo que no lo es surge a partir del planteamiento de la pregunta sobre si el defecto asigna puntaje o no, en estos términos: </w:t>
      </w:r>
    </w:p>
    <w:p w14:paraId="08084248" w14:textId="77777777" w:rsidR="007641FC" w:rsidRPr="00C64261" w:rsidRDefault="007641FC" w:rsidP="007641FC">
      <w:pPr>
        <w:spacing w:after="0" w:line="240" w:lineRule="auto"/>
        <w:jc w:val="both"/>
        <w:rPr>
          <w:rFonts w:ascii="Verdana" w:eastAsia="Arial" w:hAnsi="Verdana" w:cs="Arial"/>
          <w:color w:val="000000"/>
        </w:rPr>
      </w:pPr>
    </w:p>
    <w:p w14:paraId="3FE370F7" w14:textId="77777777" w:rsidR="007641FC" w:rsidRDefault="007641FC" w:rsidP="007641FC">
      <w:pPr>
        <w:spacing w:after="0" w:line="240" w:lineRule="auto"/>
        <w:ind w:left="709" w:right="709"/>
        <w:jc w:val="both"/>
        <w:rPr>
          <w:rFonts w:ascii="Verdana" w:eastAsia="Arial" w:hAnsi="Verdana" w:cs="Arial"/>
          <w:color w:val="000000"/>
          <w:sz w:val="20"/>
          <w:szCs w:val="20"/>
        </w:rPr>
      </w:pPr>
      <w:r w:rsidRPr="003C06BF">
        <w:rPr>
          <w:rFonts w:ascii="Verdana" w:eastAsia="Arial" w:hAnsi="Verdana" w:cs="Arial"/>
          <w:color w:val="000000"/>
          <w:sz w:val="20"/>
          <w:szCs w:val="20"/>
        </w:rPr>
        <w:t>“Esto significa que en adelante las entidades y los oferentes aplican directamente la regla que contempla el art. 5, parágrafo, de la Ley 1150, de manera que lo subsanable o insubsanable se define a partir de una pregunta, que se le formula a cada requisito omitido o cumplido imperfectamente: ¿el defecto asigna puntaje al oferente? Si lo hace no es subsanable, si no lo hace es subsanable; en el último evento la entidad le solicitará al oferente que satisfaga la deficiencia, para poner su oferta en condiciones de ser evaluada, y no importa si se refiere a no a problemas de capacidad o a requisitos cumplidos antes o después de presentadas las ofertas, con la condición de que cuando le pidan la acreditación la satisfaga suficientemente”</w:t>
      </w:r>
      <w:r w:rsidRPr="003C06BF">
        <w:rPr>
          <w:rFonts w:ascii="Verdana" w:eastAsia="Arial" w:hAnsi="Verdana" w:cs="Arial"/>
          <w:color w:val="000000"/>
          <w:sz w:val="20"/>
          <w:szCs w:val="20"/>
          <w:vertAlign w:val="superscript"/>
        </w:rPr>
        <w:footnoteReference w:id="4"/>
      </w:r>
      <w:r w:rsidRPr="003C06BF">
        <w:rPr>
          <w:rFonts w:ascii="Verdana" w:eastAsia="Arial" w:hAnsi="Verdana" w:cs="Arial"/>
          <w:color w:val="000000"/>
          <w:sz w:val="20"/>
          <w:szCs w:val="20"/>
        </w:rPr>
        <w:t>.</w:t>
      </w:r>
    </w:p>
    <w:p w14:paraId="13717F09" w14:textId="77777777" w:rsidR="007641FC" w:rsidRPr="00EC0EEB" w:rsidRDefault="007641FC" w:rsidP="007641FC">
      <w:pPr>
        <w:spacing w:after="0" w:line="240" w:lineRule="auto"/>
        <w:ind w:left="709" w:right="709"/>
        <w:jc w:val="both"/>
        <w:rPr>
          <w:rFonts w:ascii="Verdana" w:eastAsia="Arial" w:hAnsi="Verdana" w:cs="Arial"/>
          <w:color w:val="000000"/>
          <w:sz w:val="20"/>
          <w:szCs w:val="20"/>
        </w:rPr>
      </w:pPr>
    </w:p>
    <w:p w14:paraId="042344CE" w14:textId="77777777" w:rsidR="007641FC" w:rsidRDefault="007641FC" w:rsidP="007641FC">
      <w:pPr>
        <w:pBdr>
          <w:top w:val="nil"/>
          <w:left w:val="nil"/>
          <w:bottom w:val="nil"/>
          <w:right w:val="nil"/>
          <w:between w:val="nil"/>
        </w:pBdr>
        <w:tabs>
          <w:tab w:val="left" w:pos="284"/>
        </w:tabs>
        <w:spacing w:after="0" w:line="276" w:lineRule="auto"/>
        <w:ind w:firstLine="709"/>
        <w:jc w:val="both"/>
        <w:rPr>
          <w:rFonts w:ascii="Verdana" w:eastAsia="Arial" w:hAnsi="Verdana" w:cs="Arial"/>
          <w:color w:val="000000"/>
        </w:rPr>
      </w:pPr>
      <w:r w:rsidRPr="00C64261">
        <w:rPr>
          <w:rFonts w:ascii="Verdana" w:eastAsia="Arial" w:hAnsi="Verdana" w:cs="Arial"/>
          <w:color w:val="000000"/>
        </w:rPr>
        <w:t>Esa interpretación fue compartida por la Agencia Nacional de Contratación Pública – Colombia Compra Eficiente, pues en la Circular Externa Única</w:t>
      </w:r>
      <w:r>
        <w:rPr>
          <w:rStyle w:val="Refdenotaalpie"/>
          <w:rFonts w:ascii="Verdana" w:eastAsia="Arial" w:hAnsi="Verdana" w:cs="Arial"/>
          <w:color w:val="000000"/>
        </w:rPr>
        <w:footnoteReference w:id="5"/>
      </w:r>
      <w:r w:rsidRPr="00C64261">
        <w:rPr>
          <w:rFonts w:ascii="Verdana" w:eastAsia="Arial" w:hAnsi="Verdana" w:cs="Arial"/>
          <w:color w:val="000000"/>
        </w:rPr>
        <w:t xml:space="preserve"> se había precisado que</w:t>
      </w:r>
      <w:r>
        <w:rPr>
          <w:rFonts w:ascii="Verdana" w:eastAsia="Arial" w:hAnsi="Verdana" w:cs="Arial"/>
          <w:color w:val="000000"/>
        </w:rPr>
        <w:t>,</w:t>
      </w:r>
      <w:r w:rsidRPr="00C64261">
        <w:rPr>
          <w:rFonts w:ascii="Verdana" w:eastAsia="Arial" w:hAnsi="Verdana" w:cs="Arial"/>
          <w:color w:val="000000"/>
        </w:rPr>
        <w:t xml:space="preserve"> si durante un proceso de contratación hay proponentes que no acreditaron en sus ofertas requisitos que no afectan la asignación de puntaje o la comparación de </w:t>
      </w:r>
      <w:proofErr w:type="gramStart"/>
      <w:r w:rsidRPr="00C64261">
        <w:rPr>
          <w:rFonts w:ascii="Verdana" w:eastAsia="Arial" w:hAnsi="Verdana" w:cs="Arial"/>
          <w:color w:val="000000"/>
        </w:rPr>
        <w:t>las mismas</w:t>
      </w:r>
      <w:proofErr w:type="gramEnd"/>
      <w:r w:rsidRPr="00C64261">
        <w:rPr>
          <w:rFonts w:ascii="Verdana" w:eastAsia="Arial" w:hAnsi="Verdana" w:cs="Arial"/>
          <w:color w:val="000000"/>
        </w:rPr>
        <w:t>, la entidad estatal deberá indicarlo en el informe de evaluación y advertir que la correspondiente oferta no será evaluada hasta que se subsane.</w:t>
      </w:r>
    </w:p>
    <w:p w14:paraId="58133FB8" w14:textId="77777777" w:rsidR="007641FC" w:rsidRDefault="007641FC" w:rsidP="007641FC">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En un </w:t>
      </w:r>
      <w:r w:rsidRPr="00C64261">
        <w:rPr>
          <w:rFonts w:ascii="Verdana" w:eastAsia="Arial" w:hAnsi="Verdana" w:cs="Arial"/>
          <w:i/>
          <w:color w:val="000000"/>
        </w:rPr>
        <w:t>cuarto momento</w:t>
      </w:r>
      <w:r w:rsidRPr="00C64261">
        <w:rPr>
          <w:rFonts w:ascii="Verdana" w:eastAsia="Arial" w:hAnsi="Verdana" w:cs="Arial"/>
          <w:color w:val="000000"/>
        </w:rPr>
        <w:t xml:space="preserve">, el legislador expidió la Ley 1882 de 2018, con la finalidad de introducir cambios y ajustes para fortalecer la contratación pública. El artículo 5 modificó el parágrafo 1º del artículo 5 de la Ley 1150 de 2007 en </w:t>
      </w:r>
      <w:r w:rsidRPr="00C64261">
        <w:rPr>
          <w:rFonts w:ascii="Verdana" w:eastAsia="Arial" w:hAnsi="Verdana" w:cs="Arial"/>
          <w:color w:val="000000"/>
        </w:rPr>
        <w:lastRenderedPageBreak/>
        <w:t xml:space="preserve">los siguientes términos: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 </w:t>
      </w:r>
    </w:p>
    <w:p w14:paraId="7580481D" w14:textId="77777777" w:rsidR="007641FC" w:rsidRDefault="007641FC" w:rsidP="007641FC">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Como puede observarse, esta norma: i) mantiene el criterio de la Ley 80 de 1993, relativo a que todo lo que no sea necesario para la comparación de propuestas no es título suficiente para su rechazo; </w:t>
      </w:r>
      <w:proofErr w:type="spellStart"/>
      <w:r w:rsidRPr="00C64261">
        <w:rPr>
          <w:rFonts w:ascii="Verdana" w:eastAsia="Arial" w:hAnsi="Verdana" w:cs="Arial"/>
          <w:color w:val="000000"/>
        </w:rPr>
        <w:t>ii</w:t>
      </w:r>
      <w:proofErr w:type="spellEnd"/>
      <w:r w:rsidRPr="00C64261">
        <w:rPr>
          <w:rFonts w:ascii="Verdana" w:eastAsia="Arial" w:hAnsi="Verdana" w:cs="Arial"/>
          <w:color w:val="000000"/>
        </w:rPr>
        <w:t xml:space="preserve">) mantiene el criterio aclaratorio de la Ley 1150 de 2007, según el cual todo lo que no afecte la asignación de puntaje puede subsanarse e </w:t>
      </w:r>
      <w:proofErr w:type="spellStart"/>
      <w:r w:rsidRPr="00C64261">
        <w:rPr>
          <w:rFonts w:ascii="Verdana" w:eastAsia="Arial" w:hAnsi="Verdana" w:cs="Arial"/>
          <w:color w:val="000000"/>
        </w:rPr>
        <w:t>iii</w:t>
      </w:r>
      <w:proofErr w:type="spellEnd"/>
      <w:r w:rsidRPr="00C64261">
        <w:rPr>
          <w:rFonts w:ascii="Verdana" w:eastAsia="Arial" w:hAnsi="Verdana" w:cs="Arial"/>
          <w:color w:val="000000"/>
        </w:rPr>
        <w:t xml:space="preserve">) introduce modificaciones en relación con algunos aspectos que se analizarán a continuación. </w:t>
      </w:r>
    </w:p>
    <w:p w14:paraId="555B6B4F" w14:textId="77777777" w:rsidR="007641FC" w:rsidRDefault="007641FC" w:rsidP="007641FC">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El primero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y para el proceso de selección a través del sistema de subasta</w:t>
      </w:r>
      <w:r w:rsidRPr="00C64261">
        <w:rPr>
          <w:rFonts w:ascii="Verdana" w:eastAsia="Arial" w:hAnsi="Verdana" w:cs="Arial"/>
          <w:color w:val="000000"/>
          <w:vertAlign w:val="superscript"/>
        </w:rPr>
        <w:footnoteReference w:id="6"/>
      </w:r>
      <w:r w:rsidRPr="00C64261">
        <w:rPr>
          <w:rFonts w:ascii="Verdana" w:eastAsia="Arial" w:hAnsi="Verdana" w:cs="Arial"/>
          <w:color w:val="000000"/>
        </w:rPr>
        <w:t>; en el último</w:t>
      </w:r>
      <w:r>
        <w:rPr>
          <w:rFonts w:ascii="Verdana" w:eastAsia="Arial" w:hAnsi="Verdana" w:cs="Arial"/>
          <w:color w:val="000000"/>
        </w:rPr>
        <w:t>,</w:t>
      </w:r>
      <w:r w:rsidRPr="00C64261">
        <w:rPr>
          <w:rFonts w:ascii="Verdana" w:eastAsia="Arial" w:hAnsi="Verdana" w:cs="Arial"/>
          <w:color w:val="000000"/>
        </w:rPr>
        <w:t xml:space="preserve"> los documentos o requisitos subsanables pueden y deben solicitarse hasta el momento previo a su realización.</w:t>
      </w:r>
    </w:p>
    <w:p w14:paraId="2F308965" w14:textId="77777777" w:rsidR="007641FC" w:rsidRDefault="007641FC" w:rsidP="007641FC">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Frente a la regla general, la norma fijó un límite final para que la Administración y los oferentes subsanen los requisitos o documentos que puedan y deban ser subsanados, pero nada impide, y la norma no lo hace, que la </w:t>
      </w:r>
      <w:r w:rsidRPr="00C64261">
        <w:rPr>
          <w:rFonts w:ascii="Verdana" w:eastAsia="Arial" w:hAnsi="Verdana" w:cs="Arial"/>
          <w:color w:val="000000"/>
        </w:rPr>
        <w:lastRenderedPageBreak/>
        <w:t xml:space="preserve">Administración requiera al proponente antes de publicar el informe de evaluación. En efecto, la redacción de la norma permite que la Administración solicite a los oferentes subsanar y que estos lo hagan hasta antes del término del traslado del informe de evaluación: “deberán ser solicitados por las entidades estatales y deberán ser entregados por los proponentes hasta el término de traslado del informe de evaluación que corresponda a cada modalidad de selección”. </w:t>
      </w:r>
    </w:p>
    <w:p w14:paraId="7413BD68" w14:textId="77777777" w:rsidR="007641FC" w:rsidRDefault="007641FC" w:rsidP="007641FC">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No obstante, de la lectura de este aparte podrían, en la práctica, darse dos interpretaciones que dan lugar a dos formas de proceder en los procesos de selección, en lo que se refiere a la </w:t>
      </w:r>
      <w:proofErr w:type="spellStart"/>
      <w:r w:rsidRPr="00C64261">
        <w:rPr>
          <w:rFonts w:ascii="Verdana" w:eastAsia="Arial" w:hAnsi="Verdana" w:cs="Arial"/>
          <w:color w:val="000000"/>
        </w:rPr>
        <w:t>subsanabilidad</w:t>
      </w:r>
      <w:proofErr w:type="spellEnd"/>
      <w:r w:rsidRPr="00C64261">
        <w:rPr>
          <w:rFonts w:ascii="Verdana" w:eastAsia="Arial" w:hAnsi="Verdana" w:cs="Arial"/>
          <w:color w:val="000000"/>
        </w:rPr>
        <w:t xml:space="preserve"> de las ofertas. </w:t>
      </w:r>
      <w:r w:rsidRPr="00C64261">
        <w:rPr>
          <w:rFonts w:ascii="Verdana" w:eastAsia="Arial" w:hAnsi="Verdana" w:cs="Arial"/>
          <w:i/>
          <w:color w:val="000000"/>
        </w:rPr>
        <w:t>Primera</w:t>
      </w:r>
      <w:r w:rsidRPr="00C64261">
        <w:rPr>
          <w:rFonts w:ascii="Verdana" w:eastAsia="Arial" w:hAnsi="Verdana" w:cs="Arial"/>
          <w:color w:val="000000"/>
        </w:rPr>
        <w:t xml:space="preserve">, que la posibilidad de los oferentes para subsanar es el término del traslado del informe de evaluación, ya que en este documento es donde la Administración establece los requisitos o documentos omitidos que los oferentes deben subsanar, so pena de rechazo; </w:t>
      </w:r>
      <w:r w:rsidRPr="00C64261">
        <w:rPr>
          <w:rFonts w:ascii="Verdana" w:eastAsia="Arial" w:hAnsi="Verdana" w:cs="Arial"/>
          <w:i/>
          <w:color w:val="000000"/>
        </w:rPr>
        <w:t>segunda</w:t>
      </w:r>
      <w:r w:rsidRPr="00C64261">
        <w:rPr>
          <w:rFonts w:ascii="Verdana" w:eastAsia="Arial" w:hAnsi="Verdana" w:cs="Arial"/>
          <w:color w:val="000000"/>
        </w:rPr>
        <w:t xml:space="preserve">, que el término del traslado del informe de evaluación es el límite para la subsanación de ofertas, pero no el único momento para hacerlo. </w:t>
      </w:r>
    </w:p>
    <w:p w14:paraId="34563731" w14:textId="77777777" w:rsidR="007641FC" w:rsidRDefault="007641FC" w:rsidP="007641FC">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De acuerdo con la primera interpretación, el informe de evaluación se convierte en la oportunidad que adopta la Administración para comunicarles a los oferentes qué documentos o requisitos omitieron y deben subsanar y, consecuentemente, el término del traslado es la oportunidad del proponente para cumplir con lo solicitado. La segunda interpretación permitiría que la Administración requiera al oferente durante el proceso de evaluación de las propuestas, tan pronto advierta que hace falta un documento o requisito que se puede subsanar. En este caso, la subsanación se lleva a cabo con anterioridad a la publicación del informe de evaluación, de manera que una vez se publique el informe ya se encuentren subsanadas las propuestas, sin perjuicio del término límite que concedió la ley.</w:t>
      </w:r>
    </w:p>
    <w:p w14:paraId="6A9028BE" w14:textId="77777777" w:rsidR="007641FC" w:rsidRDefault="007641FC" w:rsidP="007641FC">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En criterio de esta Subdirección, la segunda interpretación es la que más se ajusta a la norma, pero, además, es la más conveniente para el desarrollo del proceso de selección, porque garantiza que el informe de evaluación presente una comparación de propuestas más depurada y el término de traslado para observaciones al mismo sea una oportunidad en la que se planteen aspectos sustanciales o de fondo a la evaluación, teniendo en cuenta que ya las propuestas estarán consolidadas en lo formal. Subsanar antes del informe de evaluación ofrece mayor seguridad y certeza al proceso de selección, a la Administración y a los oferentes. </w:t>
      </w:r>
    </w:p>
    <w:p w14:paraId="3777E7FA" w14:textId="77777777" w:rsidR="007641FC" w:rsidRDefault="007641FC" w:rsidP="007641FC">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lastRenderedPageBreak/>
        <w:t xml:space="preserve">Así pues, 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 inclusive, es más adecuado y conveniente que la subsanación de las ofertas se intente con anterioridad, de forma que una vez la Administración advierta el defecto le solicite directamente al oferente que subsane. Esta interpretación es más consistente con los principios de economía, transparencia y selección objetiva. </w:t>
      </w:r>
    </w:p>
    <w:p w14:paraId="0E0B2B54" w14:textId="77777777" w:rsidR="007641FC" w:rsidRDefault="007641FC" w:rsidP="007641FC">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De otro lado, el segundo cambio importante de la Ley 1882 de 2018 fue la introducción de un criterio material, directamente relacionado con los aspectos subsanables: “los proponentes no podrán acreditar circunstancias ocurridas con posterioridad al cierre del proceso”</w:t>
      </w:r>
      <w:r w:rsidRPr="00C64261">
        <w:rPr>
          <w:rFonts w:ascii="Verdana" w:eastAsia="Arial" w:hAnsi="Verdana" w:cs="Arial"/>
          <w:b/>
          <w:i/>
          <w:color w:val="000000"/>
        </w:rPr>
        <w:t>.</w:t>
      </w:r>
      <w:r w:rsidRPr="00C64261">
        <w:rPr>
          <w:rFonts w:ascii="Verdana" w:eastAsia="Arial" w:hAnsi="Verdana" w:cs="Arial"/>
          <w:b/>
          <w:color w:val="000000"/>
        </w:rPr>
        <w:t xml:space="preserve"> </w:t>
      </w:r>
      <w:r w:rsidRPr="00C64261">
        <w:rPr>
          <w:rFonts w:ascii="Verdana" w:eastAsia="Arial" w:hAnsi="Verdana" w:cs="Arial"/>
          <w:color w:val="000000"/>
        </w:rPr>
        <w:t xml:space="preserve">Lo anterior ofrece dos aspectos que merecen clarificación: </w:t>
      </w:r>
      <w:r w:rsidRPr="00C64261">
        <w:rPr>
          <w:rFonts w:ascii="Verdana" w:eastAsia="Arial" w:hAnsi="Verdana" w:cs="Arial"/>
          <w:i/>
          <w:color w:val="000000"/>
        </w:rPr>
        <w:t>primero</w:t>
      </w:r>
      <w:r w:rsidRPr="00C64261">
        <w:rPr>
          <w:rFonts w:ascii="Verdana" w:eastAsia="Arial" w:hAnsi="Verdana" w:cs="Arial"/>
          <w:color w:val="000000"/>
        </w:rPr>
        <w:t xml:space="preserve">, qué debe entenderse por circunstancias ocurridas con posterioridad; y </w:t>
      </w:r>
      <w:r w:rsidRPr="00C64261">
        <w:rPr>
          <w:rFonts w:ascii="Verdana" w:eastAsia="Arial" w:hAnsi="Verdana" w:cs="Arial"/>
          <w:i/>
          <w:color w:val="000000"/>
        </w:rPr>
        <w:t>segundo</w:t>
      </w:r>
      <w:r w:rsidRPr="00C64261">
        <w:rPr>
          <w:rFonts w:ascii="Verdana" w:eastAsia="Arial" w:hAnsi="Verdana" w:cs="Arial"/>
          <w:color w:val="000000"/>
        </w:rPr>
        <w:t>, qué es el cierre del proceso.</w:t>
      </w:r>
    </w:p>
    <w:p w14:paraId="5D89F042" w14:textId="77777777" w:rsidR="007641FC" w:rsidRPr="00C64261" w:rsidRDefault="007641FC" w:rsidP="007641FC">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La Sala de Consulta y Servicio Civil del Consejo de Estado ya había tenido la oportunidad de precisar estas expresiones, a propósito de un concepto en el que se refirió al artículo 10 del derogado Decreto 2474 de 2008</w:t>
      </w:r>
      <w:r w:rsidRPr="00C64261">
        <w:rPr>
          <w:rFonts w:ascii="Verdana" w:eastAsia="Arial" w:hAnsi="Verdana" w:cs="Arial"/>
          <w:color w:val="000000"/>
          <w:vertAlign w:val="superscript"/>
        </w:rPr>
        <w:footnoteReference w:id="7"/>
      </w:r>
      <w:r w:rsidRPr="00C64261">
        <w:rPr>
          <w:rFonts w:ascii="Verdana" w:eastAsia="Arial" w:hAnsi="Verdana" w:cs="Arial"/>
          <w:color w:val="000000"/>
        </w:rPr>
        <w:t xml:space="preserve">, que había determinado que en ningún caso la entidad podía permitir que se acreditaran circunstancias ocurridas con posterioridad al cierre del proceso. El Consejo de Estado precisó que por cierre del proceso debe entenderse el vencimiento del </w:t>
      </w:r>
      <w:r w:rsidRPr="00C64261">
        <w:rPr>
          <w:rFonts w:ascii="Verdana" w:eastAsia="Arial" w:hAnsi="Verdana" w:cs="Arial"/>
          <w:color w:val="000000"/>
        </w:rPr>
        <w:lastRenderedPageBreak/>
        <w:t xml:space="preserve">plazo para la presentación de las ofertas y que lo subsanable son las circunstancias que ocurrieron con anterioridad a esa fecha: </w:t>
      </w:r>
    </w:p>
    <w:p w14:paraId="0FD2FD67" w14:textId="77777777" w:rsidR="007641FC" w:rsidRPr="00C64261" w:rsidRDefault="007641FC" w:rsidP="007641FC">
      <w:pPr>
        <w:spacing w:after="0" w:line="240" w:lineRule="auto"/>
        <w:ind w:left="709" w:right="709"/>
        <w:jc w:val="both"/>
        <w:rPr>
          <w:rFonts w:ascii="Verdana" w:eastAsia="Arial" w:hAnsi="Verdana" w:cs="Arial"/>
          <w:color w:val="000000"/>
        </w:rPr>
      </w:pPr>
    </w:p>
    <w:p w14:paraId="2C5021B3" w14:textId="77777777" w:rsidR="007641FC" w:rsidRPr="00817F71" w:rsidRDefault="007641FC" w:rsidP="007641FC">
      <w:pPr>
        <w:spacing w:after="120" w:line="240" w:lineRule="auto"/>
        <w:ind w:left="709" w:right="709"/>
        <w:jc w:val="both"/>
        <w:rPr>
          <w:rFonts w:ascii="Verdana" w:eastAsia="Arial" w:hAnsi="Verdana" w:cs="Arial"/>
          <w:color w:val="000000"/>
          <w:sz w:val="20"/>
          <w:szCs w:val="20"/>
        </w:rPr>
      </w:pPr>
      <w:r w:rsidRPr="00817F71">
        <w:rPr>
          <w:rFonts w:ascii="Verdana" w:eastAsia="Arial" w:hAnsi="Verdana" w:cs="Arial"/>
          <w:color w:val="000000"/>
          <w:sz w:val="20"/>
          <w:szCs w:val="20"/>
        </w:rPr>
        <w:t xml:space="preserve">“Sin embargo, debe tenerse en cuenta que la última norma en cita -Decreto 2474 de 2008, aparte subrayado-, establece un límite a la </w:t>
      </w:r>
      <w:proofErr w:type="spellStart"/>
      <w:r w:rsidRPr="00817F71">
        <w:rPr>
          <w:rFonts w:ascii="Verdana" w:eastAsia="Arial" w:hAnsi="Verdana" w:cs="Arial"/>
          <w:color w:val="000000"/>
          <w:sz w:val="20"/>
          <w:szCs w:val="20"/>
        </w:rPr>
        <w:t>subsanabilidad</w:t>
      </w:r>
      <w:proofErr w:type="spellEnd"/>
      <w:r w:rsidRPr="00817F71">
        <w:rPr>
          <w:rFonts w:ascii="Verdana" w:eastAsia="Arial" w:hAnsi="Verdana" w:cs="Arial"/>
          <w:color w:val="000000"/>
          <w:sz w:val="20"/>
          <w:szCs w:val="20"/>
        </w:rPr>
        <w:t>, puesto que en cualquier caso debe referirse o recaer sobre circunstancias ocurridas antes del cierre del respectivo proceso, esto es, del vencimiento del plazo para presentar ofertas.</w:t>
      </w:r>
    </w:p>
    <w:p w14:paraId="19299C3B" w14:textId="77777777" w:rsidR="007641FC" w:rsidRPr="001F283D" w:rsidRDefault="007641FC" w:rsidP="007641FC">
      <w:pPr>
        <w:spacing w:after="0" w:line="240" w:lineRule="auto"/>
        <w:ind w:left="709" w:right="709"/>
        <w:jc w:val="both"/>
        <w:rPr>
          <w:rFonts w:ascii="Verdana" w:eastAsia="Arial" w:hAnsi="Verdana" w:cs="Arial"/>
          <w:color w:val="000000"/>
          <w:sz w:val="20"/>
          <w:szCs w:val="20"/>
        </w:rPr>
      </w:pPr>
      <w:r w:rsidRPr="00817F71">
        <w:rPr>
          <w:rFonts w:ascii="Verdana" w:eastAsia="Arial" w:hAnsi="Verdana" w:cs="Arial"/>
          <w:color w:val="000000"/>
          <w:sz w:val="20"/>
          <w:szCs w:val="20"/>
        </w:rPr>
        <w:t xml:space="preserve">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w:t>
      </w:r>
      <w:proofErr w:type="gramStart"/>
      <w:r w:rsidRPr="00817F71">
        <w:rPr>
          <w:rFonts w:ascii="Verdana" w:eastAsia="Arial" w:hAnsi="Verdana" w:cs="Arial"/>
          <w:color w:val="000000"/>
          <w:sz w:val="20"/>
          <w:szCs w:val="20"/>
        </w:rPr>
        <w:t>la misma</w:t>
      </w:r>
      <w:proofErr w:type="gramEnd"/>
      <w:r w:rsidRPr="00817F71">
        <w:rPr>
          <w:rFonts w:ascii="Verdana" w:eastAsia="Arial" w:hAnsi="Verdana" w:cs="Arial"/>
          <w:color w:val="000000"/>
          <w:sz w:val="20"/>
          <w:szCs w:val="20"/>
        </w:rPr>
        <w:t xml:space="preserve">,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w:t>
      </w:r>
      <w:proofErr w:type="gramStart"/>
      <w:r w:rsidRPr="00817F71">
        <w:rPr>
          <w:rFonts w:ascii="Verdana" w:eastAsia="Arial" w:hAnsi="Verdana" w:cs="Arial"/>
          <w:color w:val="000000"/>
          <w:sz w:val="20"/>
          <w:szCs w:val="20"/>
        </w:rPr>
        <w:t>del mismo</w:t>
      </w:r>
      <w:proofErr w:type="gramEnd"/>
      <w:r w:rsidRPr="00817F71">
        <w:rPr>
          <w:rFonts w:ascii="Verdana" w:eastAsia="Arial" w:hAnsi="Verdana" w:cs="Arial"/>
          <w:color w:val="000000"/>
          <w:sz w:val="20"/>
          <w:szCs w:val="20"/>
        </w:rPr>
        <w:t xml:space="preserve"> o lo actualice, pero no para que se constituya la sociedad con posterioridad al cierre del proceso, pues si ello no se había hecho, significa simplemente que el oferente no tenía la condición para participar”</w:t>
      </w:r>
      <w:r w:rsidRPr="00817F71">
        <w:rPr>
          <w:rFonts w:ascii="Verdana" w:eastAsia="Arial" w:hAnsi="Verdana" w:cs="Arial"/>
          <w:color w:val="000000"/>
          <w:sz w:val="20"/>
          <w:szCs w:val="20"/>
          <w:vertAlign w:val="superscript"/>
        </w:rPr>
        <w:footnoteReference w:id="8"/>
      </w:r>
      <w:r w:rsidRPr="00817F71">
        <w:rPr>
          <w:rFonts w:ascii="Verdana" w:eastAsia="Arial" w:hAnsi="Verdana" w:cs="Arial"/>
          <w:color w:val="000000"/>
          <w:sz w:val="20"/>
          <w:szCs w:val="20"/>
        </w:rPr>
        <w:t>.</w:t>
      </w:r>
    </w:p>
    <w:p w14:paraId="6C5B52DB" w14:textId="77777777" w:rsidR="007641FC" w:rsidRPr="00693ABA" w:rsidRDefault="007641FC" w:rsidP="007641FC">
      <w:pPr>
        <w:spacing w:after="0" w:line="240" w:lineRule="auto"/>
        <w:ind w:left="709" w:right="709"/>
        <w:jc w:val="both"/>
        <w:rPr>
          <w:rFonts w:ascii="Verdana" w:eastAsia="Arial" w:hAnsi="Verdana" w:cs="Arial"/>
          <w:color w:val="000000"/>
        </w:rPr>
      </w:pPr>
    </w:p>
    <w:p w14:paraId="06868A15" w14:textId="77777777" w:rsidR="007641FC" w:rsidRDefault="007641FC" w:rsidP="007641FC">
      <w:pPr>
        <w:spacing w:after="0" w:line="276" w:lineRule="auto"/>
        <w:ind w:firstLine="709"/>
        <w:jc w:val="both"/>
        <w:rPr>
          <w:rFonts w:ascii="Verdana" w:eastAsia="Arial" w:hAnsi="Verdana" w:cs="Arial"/>
          <w:color w:val="000000"/>
        </w:rPr>
      </w:pPr>
      <w:r w:rsidRPr="05E3EA9D">
        <w:rPr>
          <w:rFonts w:ascii="Verdana" w:eastAsia="Arial" w:hAnsi="Verdana" w:cs="Arial"/>
          <w:color w:val="000000" w:themeColor="text1"/>
        </w:rPr>
        <w:t xml:space="preserve">De conformidad con el artículo 5 de la Ley 1882 de 2018, lo subsanable es la prueba de todas las circunstancias ocurridas antes del vencimiento del término para presentar las ofertas; eso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726BF81B" w14:textId="77777777" w:rsidR="007641FC" w:rsidRDefault="007641FC" w:rsidP="007641FC">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Un mejor entendimiento del significado de la expresión “circunstancias ocurridas con posterioridad al cierre del proceso” lleva necesariamente a distinguir entre la prueba de un hecho y el hecho mismo. En el caso de la </w:t>
      </w:r>
      <w:proofErr w:type="spellStart"/>
      <w:r w:rsidRPr="00C64261">
        <w:rPr>
          <w:rFonts w:ascii="Verdana" w:eastAsia="Arial" w:hAnsi="Verdana" w:cs="Arial"/>
          <w:color w:val="000000"/>
        </w:rPr>
        <w:lastRenderedPageBreak/>
        <w:t>subsanabilidad</w:t>
      </w:r>
      <w:proofErr w:type="spellEnd"/>
      <w:r w:rsidRPr="00C64261">
        <w:rPr>
          <w:rFonts w:ascii="Verdana" w:eastAsia="Arial" w:hAnsi="Verdana" w:cs="Arial"/>
          <w:color w:val="000000"/>
        </w:rPr>
        <w:t xml:space="preserve"> de las ofertas, una cosa es el requisito habilitante o el elemento de la propuesta y otra su prueba. Lo que prohíbe la norma es que se subsanen requisitos que no estaban cumplidos al momento de presentar la oferta, o en palabras de la ley, que se acrediten hechos que ocurrieron después del cierre del proceso. </w:t>
      </w:r>
    </w:p>
    <w:p w14:paraId="331A11A8" w14:textId="77777777" w:rsidR="007641FC" w:rsidRDefault="007641FC" w:rsidP="007641FC">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Por ejemplo: i) si un oferente olvidó adjuntar con su propuesta el certificado que da cuenta de su inscripción en el RUP, el requisito será subsanable siempre que la prueba allegada demuestre que el hecho, esto es, la inscripción en el registro, ocurrió con anterioridad al cierre del proceso; </w:t>
      </w:r>
      <w:proofErr w:type="spellStart"/>
      <w:r w:rsidRPr="00C64261">
        <w:rPr>
          <w:rFonts w:ascii="Verdana" w:eastAsia="Arial" w:hAnsi="Verdana" w:cs="Arial"/>
          <w:color w:val="000000"/>
        </w:rPr>
        <w:t>ii</w:t>
      </w:r>
      <w:proofErr w:type="spellEnd"/>
      <w:r w:rsidRPr="00C64261">
        <w:rPr>
          <w:rFonts w:ascii="Verdana" w:eastAsia="Arial" w:hAnsi="Verdana" w:cs="Arial"/>
          <w:color w:val="000000"/>
        </w:rPr>
        <w:t>) si un oferente presentó la propuesta sin aportar la autorización al representante legal, por parte de la junta directiva de la sociedad, el certificado, aunque sea posterior, debe dar cuenta de que el hecho que pretende acreditar –la autorización de la junta– ocurrió antes del vencimiento del término para ofertar</w:t>
      </w:r>
      <w:r w:rsidRPr="00C64261">
        <w:rPr>
          <w:rFonts w:ascii="Verdana" w:eastAsia="Arial" w:hAnsi="Verdana" w:cs="Arial"/>
          <w:color w:val="000000"/>
          <w:vertAlign w:val="superscript"/>
        </w:rPr>
        <w:footnoteReference w:id="9"/>
      </w:r>
      <w:r w:rsidRPr="00C64261">
        <w:rPr>
          <w:rFonts w:ascii="Verdana" w:eastAsia="Arial" w:hAnsi="Verdana" w:cs="Arial"/>
          <w:color w:val="000000"/>
        </w:rPr>
        <w:t xml:space="preserve">; </w:t>
      </w:r>
      <w:proofErr w:type="spellStart"/>
      <w:r w:rsidRPr="00C64261">
        <w:rPr>
          <w:rFonts w:ascii="Verdana" w:eastAsia="Arial" w:hAnsi="Verdana" w:cs="Arial"/>
          <w:color w:val="000000"/>
        </w:rPr>
        <w:t>iii</w:t>
      </w:r>
      <w:proofErr w:type="spellEnd"/>
      <w:r w:rsidRPr="00C64261">
        <w:rPr>
          <w:rFonts w:ascii="Verdana" w:eastAsia="Arial" w:hAnsi="Verdana" w:cs="Arial"/>
          <w:color w:val="000000"/>
        </w:rPr>
        <w:t>) si un oferente no anexó el certificado de existencia y representación legal, el documento aportado con posterioridad debe dar cuenta de que la sociedad existe desde antes del cierre del proceso</w:t>
      </w:r>
      <w:r w:rsidRPr="00C64261">
        <w:rPr>
          <w:rFonts w:ascii="Verdana" w:eastAsia="Arial" w:hAnsi="Verdana" w:cs="Arial"/>
          <w:color w:val="000000"/>
          <w:vertAlign w:val="superscript"/>
        </w:rPr>
        <w:footnoteReference w:id="10"/>
      </w:r>
      <w:r w:rsidRPr="00C64261">
        <w:rPr>
          <w:rFonts w:ascii="Verdana" w:eastAsia="Arial" w:hAnsi="Verdana" w:cs="Arial"/>
          <w:color w:val="000000"/>
        </w:rPr>
        <w:t xml:space="preserve">; </w:t>
      </w:r>
      <w:proofErr w:type="spellStart"/>
      <w:r w:rsidRPr="00C64261">
        <w:rPr>
          <w:rFonts w:ascii="Verdana" w:eastAsia="Arial" w:hAnsi="Verdana" w:cs="Arial"/>
          <w:color w:val="000000"/>
        </w:rPr>
        <w:t>iv</w:t>
      </w:r>
      <w:proofErr w:type="spellEnd"/>
      <w:r w:rsidRPr="00C64261">
        <w:rPr>
          <w:rFonts w:ascii="Verdana" w:eastAsia="Arial" w:hAnsi="Verdana" w:cs="Arial"/>
          <w:color w:val="000000"/>
        </w:rPr>
        <w:t xml:space="preserve">) si un oferente olvidó adjuntar un certificado que demuestra un título universitario, el documento, aunque tenga fecha posterior al cierre del proceso, debe acreditar que el título académico se obtuvo con anterioridad al cierre del proceso; v) si un oferente no aportó un certificado de experiencia, el documento que subsana –sin importar que tenga fecha posterior– debe demostrar que la experiencia que se pretende hacer valer se obtuvo antes de vencerse el término para presentar ofertas, </w:t>
      </w:r>
      <w:r>
        <w:rPr>
          <w:rFonts w:ascii="Verdana" w:eastAsia="Arial" w:hAnsi="Verdana" w:cs="Arial"/>
          <w:color w:val="000000"/>
        </w:rPr>
        <w:t>o</w:t>
      </w:r>
      <w:r w:rsidRPr="00C64261">
        <w:rPr>
          <w:rFonts w:ascii="Verdana" w:eastAsia="Arial" w:hAnsi="Verdana" w:cs="Arial"/>
          <w:color w:val="000000"/>
        </w:rPr>
        <w:t xml:space="preserve"> vi) si el oferente olvidó firmar la propuesta o presentar una copia de ella, puede subsanar sin que se entienda que acreditó una circunstancia ocurrida con posterioridad al cierre del proceso. </w:t>
      </w:r>
    </w:p>
    <w:p w14:paraId="0A24189A" w14:textId="77777777" w:rsidR="007641FC" w:rsidRPr="00C64261" w:rsidRDefault="007641FC" w:rsidP="007641FC">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Lo anterior quiere decir que no es la prueba –usualmente un documento– lo que debe ser anterior al cierre del proceso, sino el hecho que ella acredita, es decir, ante la solicitud de la Administración de subsanar un requisito, el documento podría estar fechado con posterioridad al vencimiento del término para recibir propuestas, siempre y cuando el hecho que acredite haya ocurrido </w:t>
      </w:r>
      <w:r w:rsidRPr="00C64261">
        <w:rPr>
          <w:rFonts w:ascii="Verdana" w:eastAsia="Arial" w:hAnsi="Verdana" w:cs="Arial"/>
          <w:color w:val="000000"/>
        </w:rPr>
        <w:lastRenderedPageBreak/>
        <w:t xml:space="preserve">antes, esto es, que no sea una circunstancia ocurrida con posterioridad al cierre del proceso. Es por ello </w:t>
      </w:r>
      <w:proofErr w:type="gramStart"/>
      <w:r w:rsidRPr="00C64261">
        <w:rPr>
          <w:rFonts w:ascii="Verdana" w:eastAsia="Arial" w:hAnsi="Verdana" w:cs="Arial"/>
          <w:color w:val="000000"/>
        </w:rPr>
        <w:t>que</w:t>
      </w:r>
      <w:proofErr w:type="gramEnd"/>
      <w:r w:rsidRPr="00C64261">
        <w:rPr>
          <w:rFonts w:ascii="Verdana" w:eastAsia="Arial" w:hAnsi="Verdana" w:cs="Arial"/>
          <w:color w:val="000000"/>
        </w:rPr>
        <w:t xml:space="preserv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00C64261">
        <w:rPr>
          <w:rFonts w:ascii="Verdana" w:eastAsia="Arial" w:hAnsi="Verdana" w:cs="Arial"/>
          <w:color w:val="000000"/>
          <w:vertAlign w:val="superscript"/>
        </w:rPr>
        <w:footnoteReference w:id="11"/>
      </w:r>
      <w:r w:rsidRPr="00C64261">
        <w:rPr>
          <w:rFonts w:ascii="Verdana" w:eastAsia="Arial" w:hAnsi="Verdana" w:cs="Arial"/>
          <w:color w:val="000000"/>
        </w:rPr>
        <w:t xml:space="preserve">. </w:t>
      </w:r>
    </w:p>
    <w:p w14:paraId="25D072C3" w14:textId="77777777" w:rsidR="007641FC" w:rsidRDefault="007641FC" w:rsidP="007641FC">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Visto lo anterior, una vez verificada la ausencia de requisitos y/o documentos de la oferta, para saber si se puede subsanar, la Administración se debe preguntar, en primer lugar, si lo que hace falta es un documento o información que otorga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otorgue puntaje, y la respuesta al segundo interrogante debe dar cuenta de que lo omitido sea la prueba de una circunstancia o hecho que ocurrió con anterioridad al cierre del proceso. </w:t>
      </w:r>
    </w:p>
    <w:p w14:paraId="48CF59C3" w14:textId="77777777" w:rsidR="007641FC" w:rsidRDefault="007641FC" w:rsidP="007641FC">
      <w:pPr>
        <w:spacing w:before="120" w:after="0" w:line="276" w:lineRule="auto"/>
        <w:ind w:firstLine="709"/>
        <w:jc w:val="both"/>
        <w:rPr>
          <w:rFonts w:ascii="Verdana" w:eastAsia="Arial" w:hAnsi="Verdana" w:cs="Arial"/>
          <w:color w:val="000000"/>
        </w:rPr>
      </w:pPr>
      <w:r w:rsidRPr="05E3EA9D">
        <w:rPr>
          <w:rFonts w:ascii="Verdana" w:eastAsia="Arial" w:hAnsi="Verdana" w:cs="Arial"/>
          <w:color w:val="000000" w:themeColor="text1"/>
        </w:rPr>
        <w:t xml:space="preserve">Finalmente, el parágrafo 3 del artículo 5 de la Ley 1882 de 2018 determinó, de manera expresa, que “la no entrega de la garantía de seriedad junto con la propuesta no será subsanable y será causal de rechazo de </w:t>
      </w:r>
      <w:proofErr w:type="gramStart"/>
      <w:r w:rsidRPr="05E3EA9D">
        <w:rPr>
          <w:rFonts w:ascii="Verdana" w:eastAsia="Arial" w:hAnsi="Verdana" w:cs="Arial"/>
          <w:color w:val="000000" w:themeColor="text1"/>
        </w:rPr>
        <w:t>la misma</w:t>
      </w:r>
      <w:proofErr w:type="gramEnd"/>
      <w:r w:rsidRPr="05E3EA9D">
        <w:rPr>
          <w:rFonts w:ascii="Verdana" w:eastAsia="Arial" w:hAnsi="Verdana" w:cs="Arial"/>
          <w:color w:val="000000" w:themeColor="text1"/>
        </w:rPr>
        <w:t>”, dejando claro que se trata de un documento de obligatoria presentación junto con la propuesta y que materializa los principios de seriedad e irrevocabilidad de la oferta.</w:t>
      </w:r>
    </w:p>
    <w:p w14:paraId="55B36D26" w14:textId="77777777" w:rsidR="007641FC" w:rsidRDefault="007641FC" w:rsidP="007641FC">
      <w:pPr>
        <w:spacing w:after="0" w:line="240" w:lineRule="auto"/>
        <w:ind w:firstLine="709"/>
        <w:jc w:val="both"/>
        <w:rPr>
          <w:rFonts w:ascii="Verdana" w:eastAsia="Arial" w:hAnsi="Verdana" w:cs="Arial"/>
          <w:color w:val="000000"/>
        </w:rPr>
      </w:pPr>
    </w:p>
    <w:p w14:paraId="5F6F2671" w14:textId="59F0823A" w:rsidR="007641FC" w:rsidRDefault="007641FC" w:rsidP="00D61879">
      <w:pPr>
        <w:spacing w:after="0" w:line="276" w:lineRule="auto"/>
        <w:ind w:firstLine="708"/>
        <w:jc w:val="both"/>
        <w:rPr>
          <w:rFonts w:ascii="Verdana" w:eastAsia="Calibri" w:hAnsi="Verdana" w:cs="Arial"/>
        </w:rPr>
      </w:pPr>
      <w:r>
        <w:rPr>
          <w:rFonts w:ascii="Verdana" w:eastAsia="Calibri" w:hAnsi="Verdana" w:cs="Arial"/>
        </w:rPr>
        <w:t>Por otro lado, el</w:t>
      </w:r>
      <w:r w:rsidRPr="00E85A8F">
        <w:rPr>
          <w:rFonts w:ascii="Verdana" w:eastAsia="Calibri" w:hAnsi="Verdana" w:cs="Arial"/>
        </w:rPr>
        <w:t xml:space="preserve"> Manual para determinar y verificar los requisitos habilitantes en los Procesos de Contratación, elaborado por Colombia Compra Eficiente</w:t>
      </w:r>
      <w:r>
        <w:rPr>
          <w:rStyle w:val="Refdenotaalpie"/>
          <w:rFonts w:ascii="Verdana" w:eastAsia="Calibri" w:hAnsi="Verdana" w:cs="Arial"/>
        </w:rPr>
        <w:footnoteReference w:id="12"/>
      </w:r>
      <w:r w:rsidRPr="00E85A8F">
        <w:rPr>
          <w:rFonts w:ascii="Verdana" w:eastAsia="Calibri" w:hAnsi="Verdana" w:cs="Arial"/>
        </w:rPr>
        <w:t xml:space="preserve">, constituye una herramienta técnica fundamental para las entidades estatales y los proponentes, ya que establece criterios claros y uniformes sobre cómo definir, exigir y verificar los requisitos habilitantes en los distintos procesos de selección. Este manual orienta a las entidades para que dichos requisitos respondan a la naturaleza del objeto contractual, se ajusten al principio de proporcionalidad y no constituyan barreras injustificadas al acceso. Además, </w:t>
      </w:r>
      <w:r w:rsidRPr="00E85A8F">
        <w:rPr>
          <w:rFonts w:ascii="Verdana" w:eastAsia="Calibri" w:hAnsi="Verdana" w:cs="Arial"/>
        </w:rPr>
        <w:lastRenderedPageBreak/>
        <w:t xml:space="preserve">delimita con precisión cuáles documentos pueden ser objeto de subsanación, brindando seguridad jurídica en la evaluación de ofertas. </w:t>
      </w:r>
    </w:p>
    <w:p w14:paraId="7AC0CE93" w14:textId="77777777" w:rsidR="00D61879" w:rsidRDefault="00D61879" w:rsidP="00A8432D">
      <w:pPr>
        <w:spacing w:after="0" w:line="276" w:lineRule="auto"/>
        <w:ind w:firstLine="708"/>
        <w:jc w:val="both"/>
        <w:rPr>
          <w:rFonts w:ascii="Verdana" w:eastAsia="Calibri" w:hAnsi="Verdana" w:cs="Arial"/>
          <w:lang w:eastAsia="es-ES"/>
        </w:rPr>
      </w:pPr>
    </w:p>
    <w:p w14:paraId="38DB10CD" w14:textId="4CD758D7" w:rsidR="007641FC" w:rsidRDefault="007641FC" w:rsidP="00A8432D">
      <w:pPr>
        <w:spacing w:after="0" w:line="276" w:lineRule="auto"/>
        <w:jc w:val="both"/>
        <w:rPr>
          <w:rFonts w:ascii="Verdana" w:eastAsia="Arial" w:hAnsi="Verdana" w:cs="Arial"/>
          <w:color w:val="000000"/>
        </w:rPr>
      </w:pPr>
      <w:proofErr w:type="spellStart"/>
      <w:r>
        <w:rPr>
          <w:rFonts w:ascii="Verdana" w:eastAsia="Arial" w:hAnsi="Verdana" w:cs="Arial"/>
          <w:color w:val="000000"/>
        </w:rPr>
        <w:t>ii</w:t>
      </w:r>
      <w:proofErr w:type="spellEnd"/>
      <w:r>
        <w:rPr>
          <w:rFonts w:ascii="Verdana" w:eastAsia="Arial" w:hAnsi="Verdana" w:cs="Arial"/>
          <w:color w:val="000000"/>
        </w:rPr>
        <w:t xml:space="preserve">) </w:t>
      </w:r>
      <w:r w:rsidRPr="00B36F85">
        <w:rPr>
          <w:rFonts w:ascii="Verdana" w:eastAsia="Arial" w:hAnsi="Verdana" w:cs="Arial"/>
        </w:rPr>
        <w:t xml:space="preserve">El rechazo de las ofertas y los eventos en los que proceden han sido asuntos de los que se ha ocupado la legislación nacional en materia de contratación pública, por lo que </w:t>
      </w:r>
      <w:r>
        <w:rPr>
          <w:rFonts w:ascii="Verdana" w:eastAsia="Arial" w:hAnsi="Verdana" w:cs="Arial"/>
        </w:rPr>
        <w:t>“</w:t>
      </w:r>
      <w:r w:rsidRPr="00B36F85">
        <w:rPr>
          <w:rFonts w:ascii="Verdana" w:eastAsia="Arial" w:hAnsi="Verdana" w:cs="Arial"/>
        </w:rPr>
        <w:t>la competencia de las entidades estales para establecer eventos de exclusión de propuestas es de carácter residual y restringido</w:t>
      </w:r>
      <w:r>
        <w:rPr>
          <w:rFonts w:ascii="Verdana" w:eastAsia="Arial" w:hAnsi="Verdana" w:cs="Arial"/>
        </w:rPr>
        <w:t>”</w:t>
      </w:r>
      <w:r w:rsidRPr="00B36F85">
        <w:rPr>
          <w:rFonts w:ascii="Verdana" w:eastAsia="Arial" w:hAnsi="Verdana" w:cs="Arial"/>
          <w:vertAlign w:val="superscript"/>
        </w:rPr>
        <w:footnoteReference w:id="13"/>
      </w:r>
      <w:r w:rsidRPr="00B36F85">
        <w:rPr>
          <w:rFonts w:ascii="Verdana" w:eastAsia="Arial" w:hAnsi="Verdana" w:cs="Arial"/>
        </w:rPr>
        <w:t>. En ese sentido, si bien las entidades estatales, en ejercicio de la discrecionalidad que les corresponde en la configuración de los pliegos de condiciones, tienen competencia para determinar los requisitos que deben cumplir los proponentes para la presentación de ofertas</w:t>
      </w:r>
      <w:r w:rsidRPr="00B36F85">
        <w:rPr>
          <w:rFonts w:ascii="Verdana" w:eastAsia="Arial" w:hAnsi="Verdana" w:cs="Arial"/>
          <w:vertAlign w:val="superscript"/>
        </w:rPr>
        <w:footnoteReference w:id="14"/>
      </w:r>
      <w:r w:rsidRPr="00B36F85">
        <w:rPr>
          <w:rFonts w:ascii="Verdana" w:eastAsia="Arial" w:hAnsi="Verdana" w:cs="Arial"/>
        </w:rPr>
        <w:t xml:space="preserve"> y regular los eventos en los que procede su rechazo</w:t>
      </w:r>
      <w:r w:rsidRPr="00B36F85">
        <w:rPr>
          <w:rFonts w:ascii="Verdana" w:eastAsia="Arial" w:hAnsi="Verdana" w:cs="Arial"/>
          <w:vertAlign w:val="superscript"/>
        </w:rPr>
        <w:footnoteReference w:id="15"/>
      </w:r>
      <w:r w:rsidRPr="00B36F85">
        <w:rPr>
          <w:rFonts w:ascii="Verdana" w:eastAsia="Arial" w:hAnsi="Verdana" w:cs="Arial"/>
        </w:rPr>
        <w:t xml:space="preserve">, el ejercicio de tales facultades encuentra ciertos límites en la ley y el reglamento, así como en los principios de razonabilidad y proporcionalidad.  </w:t>
      </w:r>
    </w:p>
    <w:p w14:paraId="47205FB0" w14:textId="77777777" w:rsidR="007641FC" w:rsidRDefault="007641FC" w:rsidP="007641FC">
      <w:pPr>
        <w:spacing w:before="120" w:after="0" w:line="276" w:lineRule="auto"/>
        <w:ind w:firstLine="709"/>
        <w:jc w:val="both"/>
        <w:rPr>
          <w:rFonts w:ascii="Verdana" w:eastAsia="Arial" w:hAnsi="Verdana" w:cs="Arial"/>
          <w:color w:val="000000"/>
        </w:rPr>
      </w:pPr>
      <w:r w:rsidRPr="00B36F85">
        <w:rPr>
          <w:rFonts w:ascii="Verdana" w:eastAsia="Arial" w:hAnsi="Verdana" w:cs="Arial"/>
        </w:rPr>
        <w:t xml:space="preserve">En ese entendido, uno de los límites a la facultad para establecer causales de rechazo, se encuentra en la regla de </w:t>
      </w:r>
      <w:proofErr w:type="spellStart"/>
      <w:r w:rsidRPr="00B36F85">
        <w:rPr>
          <w:rFonts w:ascii="Verdana" w:eastAsia="Arial" w:hAnsi="Verdana" w:cs="Arial"/>
        </w:rPr>
        <w:t>subsanabilidad</w:t>
      </w:r>
      <w:proofErr w:type="spellEnd"/>
      <w:r w:rsidRPr="00B36F85">
        <w:rPr>
          <w:rFonts w:ascii="Verdana" w:eastAsia="Arial" w:hAnsi="Verdana" w:cs="Arial"/>
        </w:rPr>
        <w:t xml:space="preserve"> del parágrafo 1 del artículo 5 de la Ley 1150 de 2007, según la cual </w:t>
      </w:r>
      <w:r>
        <w:rPr>
          <w:rFonts w:ascii="Verdana" w:eastAsia="Arial" w:hAnsi="Verdana" w:cs="Arial"/>
        </w:rPr>
        <w:t>“</w:t>
      </w:r>
      <w:r w:rsidRPr="00B36F85">
        <w:rPr>
          <w:rFonts w:ascii="Verdana" w:eastAsia="Arial" w:hAnsi="Verdana" w:cs="Arial"/>
        </w:rPr>
        <w:t>La ausencia de requisitos o la falta de documentos referentes a la futura contratación o al proponente, no necesarios para la comparación de las propuestas no servirán de título suficiente para el rechazo de los ofrecimientos hechos</w:t>
      </w:r>
      <w:r>
        <w:rPr>
          <w:rFonts w:ascii="Verdana" w:eastAsia="Arial" w:hAnsi="Verdana" w:cs="Arial"/>
        </w:rPr>
        <w:t>”</w:t>
      </w:r>
      <w:r w:rsidRPr="00B36F85">
        <w:rPr>
          <w:rFonts w:ascii="Verdana" w:eastAsia="Arial" w:hAnsi="Verdana" w:cs="Arial"/>
        </w:rPr>
        <w:t xml:space="preserve">, por lo que las entidades no podrán establecer causales de rechazo referentes a meros requisitos formales o rechazar las ofertas por esa razón. </w:t>
      </w:r>
    </w:p>
    <w:p w14:paraId="6CE65383" w14:textId="39CB5EA8" w:rsidR="007641FC" w:rsidRPr="00054793" w:rsidRDefault="007641FC" w:rsidP="00054793">
      <w:pPr>
        <w:spacing w:before="120" w:after="0" w:line="276" w:lineRule="auto"/>
        <w:ind w:firstLine="709"/>
        <w:jc w:val="both"/>
        <w:rPr>
          <w:rFonts w:ascii="Verdana" w:eastAsia="Arial" w:hAnsi="Verdana" w:cs="Arial"/>
          <w:color w:val="000000"/>
        </w:rPr>
      </w:pPr>
      <w:r w:rsidRPr="00B36F85">
        <w:rPr>
          <w:rFonts w:ascii="Verdana" w:eastAsia="Arial" w:hAnsi="Verdana" w:cs="Arial"/>
        </w:rPr>
        <w:t xml:space="preserve">De esta manera, la jurisprudencia del Consejo de Estado ha determinado que las causales de rechazo pueden o no estar establecidas en el pliego de condiciones, sin perjuicio de que sean aplicables al proceso contractual las </w:t>
      </w:r>
      <w:r w:rsidRPr="00B36F85">
        <w:rPr>
          <w:rFonts w:ascii="Verdana" w:eastAsia="Arial" w:hAnsi="Verdana" w:cs="Arial"/>
        </w:rPr>
        <w:lastRenderedPageBreak/>
        <w:t>establecidas directamente en la ley. Así se estableció en la sentencia del 27 de abril de 2011, en los siguientes términos:</w:t>
      </w:r>
    </w:p>
    <w:p w14:paraId="5B1EB011" w14:textId="77777777" w:rsidR="007641FC" w:rsidRPr="004B49E2" w:rsidRDefault="007641FC" w:rsidP="007641FC">
      <w:pPr>
        <w:widowControl w:val="0"/>
        <w:spacing w:after="0" w:line="240" w:lineRule="auto"/>
        <w:ind w:left="709" w:right="709"/>
        <w:jc w:val="both"/>
        <w:rPr>
          <w:rFonts w:ascii="Verdana" w:eastAsia="Arial" w:hAnsi="Verdana" w:cs="Arial"/>
          <w:sz w:val="20"/>
          <w:szCs w:val="20"/>
        </w:rPr>
      </w:pPr>
      <w:r>
        <w:rPr>
          <w:rFonts w:ascii="Verdana" w:eastAsia="Arial" w:hAnsi="Verdana" w:cs="Arial"/>
          <w:sz w:val="21"/>
          <w:szCs w:val="21"/>
        </w:rPr>
        <w:t>“</w:t>
      </w:r>
      <w:r w:rsidRPr="004B49E2">
        <w:rPr>
          <w:rFonts w:ascii="Verdana" w:eastAsia="Arial" w:hAnsi="Verdana" w:cs="Arial"/>
          <w:sz w:val="20"/>
          <w:szCs w:val="20"/>
        </w:rPr>
        <w:t>En efecto, la Administración puede rechazar o descalificar los ofrecimientos hechos por causales previstas en la ley; hipótesis bajo la cual, la entidad pública licitante se limita a dar por comprobado el hecho que justifica la exclusión y así lo declarará apoyada en normas legales o reglamentarias de carácter general.</w:t>
      </w:r>
    </w:p>
    <w:p w14:paraId="3AF17337" w14:textId="6A087B31" w:rsidR="007641FC" w:rsidRDefault="007641FC" w:rsidP="00054793">
      <w:pPr>
        <w:widowControl w:val="0"/>
        <w:spacing w:after="0" w:line="240" w:lineRule="auto"/>
        <w:ind w:left="709" w:right="709"/>
        <w:jc w:val="both"/>
        <w:rPr>
          <w:rFonts w:ascii="Verdana" w:eastAsia="Arial" w:hAnsi="Verdana" w:cs="Arial"/>
          <w:sz w:val="20"/>
          <w:szCs w:val="20"/>
        </w:rPr>
      </w:pPr>
      <w:r w:rsidRPr="004B49E2">
        <w:rPr>
          <w:rFonts w:ascii="Verdana" w:eastAsia="Arial" w:hAnsi="Verdana" w:cs="Arial"/>
          <w:sz w:val="20"/>
          <w:szCs w:val="20"/>
        </w:rPr>
        <w:t>En esta línea de pensamiento, resulta claro que el rechazo o la descalificación de ofertas no puede depender de la libre discrecionalidad de la Administración, en la medida en que el oferente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o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661699DC" w14:textId="496CB27F" w:rsidR="007641FC" w:rsidRDefault="007641FC" w:rsidP="00054793">
      <w:pPr>
        <w:widowControl w:val="0"/>
        <w:spacing w:after="0" w:line="240" w:lineRule="auto"/>
        <w:ind w:left="709" w:right="709"/>
        <w:jc w:val="both"/>
        <w:rPr>
          <w:rFonts w:ascii="Verdana" w:eastAsia="Arial" w:hAnsi="Verdana" w:cs="Arial"/>
          <w:sz w:val="20"/>
          <w:szCs w:val="20"/>
        </w:rPr>
      </w:pPr>
      <w:r w:rsidRPr="004B49E2">
        <w:rPr>
          <w:rFonts w:ascii="Verdana" w:eastAsia="Arial" w:hAnsi="Verdana" w:cs="Arial"/>
          <w:sz w:val="20"/>
          <w:szCs w:val="20"/>
        </w:rPr>
        <w:t>[…]</w:t>
      </w:r>
    </w:p>
    <w:p w14:paraId="0C19852F" w14:textId="77777777" w:rsidR="007641FC" w:rsidRPr="004B49E2" w:rsidRDefault="007641FC" w:rsidP="007641FC">
      <w:pPr>
        <w:widowControl w:val="0"/>
        <w:spacing w:after="0" w:line="240" w:lineRule="auto"/>
        <w:ind w:left="709" w:right="709"/>
        <w:jc w:val="both"/>
        <w:rPr>
          <w:rFonts w:ascii="Verdana" w:eastAsia="Arial" w:hAnsi="Verdana" w:cs="Arial"/>
          <w:sz w:val="20"/>
          <w:szCs w:val="20"/>
        </w:rPr>
      </w:pPr>
      <w:r w:rsidRPr="004B49E2">
        <w:rPr>
          <w:rFonts w:ascii="Verdana" w:eastAsia="Arial" w:hAnsi="Verdana" w:cs="Arial"/>
          <w:sz w:val="20"/>
          <w:szCs w:val="20"/>
        </w:rPr>
        <w:t xml:space="preserve">Quiere con esto destacar la Sala que las causales de rechazo de las propuestas pueden ser legales y por lo mismo generan el efecto del descarte o exclusión de la oferta </w:t>
      </w:r>
      <w:proofErr w:type="spellStart"/>
      <w:r w:rsidRPr="004B49E2">
        <w:rPr>
          <w:rFonts w:ascii="Verdana" w:eastAsia="Arial" w:hAnsi="Verdana" w:cs="Arial"/>
          <w:i/>
          <w:iCs/>
          <w:sz w:val="20"/>
          <w:szCs w:val="20"/>
        </w:rPr>
        <w:t>ope</w:t>
      </w:r>
      <w:proofErr w:type="spellEnd"/>
      <w:r w:rsidRPr="004B49E2">
        <w:rPr>
          <w:rFonts w:ascii="Verdana" w:eastAsia="Arial" w:hAnsi="Verdana" w:cs="Arial"/>
          <w:i/>
          <w:iCs/>
          <w:sz w:val="20"/>
          <w:szCs w:val="20"/>
        </w:rPr>
        <w:t xml:space="preserve"> </w:t>
      </w:r>
      <w:proofErr w:type="spellStart"/>
      <w:r w:rsidRPr="004B49E2">
        <w:rPr>
          <w:rFonts w:ascii="Verdana" w:eastAsia="Arial" w:hAnsi="Verdana" w:cs="Arial"/>
          <w:i/>
          <w:iCs/>
          <w:sz w:val="20"/>
          <w:szCs w:val="20"/>
        </w:rPr>
        <w:t>legis</w:t>
      </w:r>
      <w:proofErr w:type="spellEnd"/>
      <w:r w:rsidRPr="004B49E2">
        <w:rPr>
          <w:rFonts w:ascii="Verdana" w:eastAsia="Arial" w:hAnsi="Verdana" w:cs="Arial"/>
          <w:sz w:val="20"/>
          <w:szCs w:val="20"/>
        </w:rPr>
        <w:t>,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r w:rsidRPr="004B49E2">
        <w:rPr>
          <w:rFonts w:ascii="Verdana" w:eastAsia="Arial" w:hAnsi="Verdana" w:cs="Arial"/>
          <w:sz w:val="20"/>
          <w:szCs w:val="20"/>
          <w:vertAlign w:val="superscript"/>
        </w:rPr>
        <w:footnoteReference w:id="16"/>
      </w:r>
      <w:r w:rsidRPr="004B49E2">
        <w:rPr>
          <w:rFonts w:ascii="Verdana" w:eastAsia="Arial" w:hAnsi="Verdana" w:cs="Arial"/>
          <w:sz w:val="20"/>
          <w:szCs w:val="20"/>
        </w:rPr>
        <w:t>”.</w:t>
      </w:r>
    </w:p>
    <w:p w14:paraId="4A172401" w14:textId="77777777" w:rsidR="007641FC" w:rsidRPr="004B49E2" w:rsidRDefault="007641FC" w:rsidP="007641FC">
      <w:pPr>
        <w:widowControl w:val="0"/>
        <w:spacing w:after="0" w:line="240" w:lineRule="auto"/>
        <w:ind w:left="709" w:right="709"/>
        <w:jc w:val="both"/>
        <w:rPr>
          <w:rFonts w:ascii="Verdana" w:eastAsia="Arial" w:hAnsi="Verdana" w:cs="Arial"/>
          <w:sz w:val="20"/>
          <w:szCs w:val="20"/>
        </w:rPr>
      </w:pPr>
    </w:p>
    <w:p w14:paraId="74CD2296" w14:textId="77777777" w:rsidR="007641FC" w:rsidRDefault="007641FC" w:rsidP="007641FC">
      <w:pPr>
        <w:widowControl w:val="0"/>
        <w:spacing w:after="0" w:line="276" w:lineRule="auto"/>
        <w:ind w:firstLine="709"/>
        <w:jc w:val="both"/>
        <w:rPr>
          <w:rFonts w:ascii="Verdana" w:eastAsia="Arial" w:hAnsi="Verdana" w:cs="Arial"/>
        </w:rPr>
      </w:pPr>
      <w:r w:rsidRPr="00B36F85">
        <w:rPr>
          <w:rFonts w:ascii="Verdana" w:eastAsia="Arial" w:hAnsi="Verdana" w:cs="Arial"/>
        </w:rPr>
        <w:t xml:space="preserve">De acuerdo con la jurisprudencia citada, existen dos </w:t>
      </w:r>
      <w:r>
        <w:rPr>
          <w:rFonts w:ascii="Verdana" w:eastAsia="Arial" w:hAnsi="Verdana" w:cs="Arial"/>
        </w:rPr>
        <w:t>eventos</w:t>
      </w:r>
      <w:r w:rsidRPr="00B36F85">
        <w:rPr>
          <w:rFonts w:ascii="Verdana" w:eastAsia="Arial" w:hAnsi="Verdana" w:cs="Arial"/>
        </w:rPr>
        <w:t xml:space="preserve"> en los </w:t>
      </w:r>
      <w:r>
        <w:rPr>
          <w:rFonts w:ascii="Verdana" w:eastAsia="Arial" w:hAnsi="Verdana" w:cs="Arial"/>
        </w:rPr>
        <w:t xml:space="preserve">cuales </w:t>
      </w:r>
      <w:r w:rsidRPr="00B36F85">
        <w:rPr>
          <w:rFonts w:ascii="Verdana" w:eastAsia="Arial" w:hAnsi="Verdana" w:cs="Arial"/>
        </w:rPr>
        <w:t xml:space="preserve">procede el rechazo de la oferta: </w:t>
      </w:r>
      <w:r>
        <w:rPr>
          <w:rFonts w:ascii="Verdana" w:eastAsia="Arial" w:hAnsi="Verdana" w:cs="Arial"/>
        </w:rPr>
        <w:t xml:space="preserve">i) cuando </w:t>
      </w:r>
      <w:r w:rsidRPr="00B36F85">
        <w:rPr>
          <w:rFonts w:ascii="Verdana" w:eastAsia="Arial" w:hAnsi="Verdana" w:cs="Arial"/>
        </w:rPr>
        <w:t>se configure alguna de las causales de rechazo originadas en la ley o</w:t>
      </w:r>
      <w:r>
        <w:rPr>
          <w:rFonts w:ascii="Verdana" w:eastAsia="Arial" w:hAnsi="Verdana" w:cs="Arial"/>
        </w:rPr>
        <w:t xml:space="preserve"> el reglamento y</w:t>
      </w:r>
      <w:r w:rsidRPr="00B36F85">
        <w:rPr>
          <w:rFonts w:ascii="Verdana" w:eastAsia="Arial" w:hAnsi="Verdana" w:cs="Arial"/>
        </w:rPr>
        <w:t xml:space="preserve"> </w:t>
      </w:r>
      <w:proofErr w:type="spellStart"/>
      <w:r>
        <w:rPr>
          <w:rFonts w:ascii="Verdana" w:eastAsia="Arial" w:hAnsi="Verdana" w:cs="Arial"/>
        </w:rPr>
        <w:t>ii</w:t>
      </w:r>
      <w:proofErr w:type="spellEnd"/>
      <w:r>
        <w:rPr>
          <w:rFonts w:ascii="Verdana" w:eastAsia="Arial" w:hAnsi="Verdana" w:cs="Arial"/>
        </w:rPr>
        <w:t xml:space="preserve">) cuando se materialicen </w:t>
      </w:r>
      <w:r w:rsidRPr="00B36F85">
        <w:rPr>
          <w:rFonts w:ascii="Verdana" w:eastAsia="Arial" w:hAnsi="Verdana" w:cs="Arial"/>
        </w:rPr>
        <w:t xml:space="preserve">las </w:t>
      </w:r>
      <w:r w:rsidRPr="00B36F85">
        <w:rPr>
          <w:rFonts w:ascii="Verdana" w:eastAsia="Arial" w:hAnsi="Verdana" w:cs="Arial"/>
        </w:rPr>
        <w:lastRenderedPageBreak/>
        <w:t>establecidas en el pliego de condiciones. En tal sentido, las causales de rechazo de la oferta serán las consagradas en la ley o</w:t>
      </w:r>
      <w:r>
        <w:rPr>
          <w:rFonts w:ascii="Verdana" w:eastAsia="Arial" w:hAnsi="Verdana" w:cs="Arial"/>
        </w:rPr>
        <w:t xml:space="preserve"> el reglamento</w:t>
      </w:r>
      <w:r w:rsidRPr="00B36F85">
        <w:rPr>
          <w:rFonts w:ascii="Verdana" w:eastAsia="Arial" w:hAnsi="Verdana" w:cs="Arial"/>
        </w:rPr>
        <w:t xml:space="preserve"> producto de su aplicación, así como las definidas por las entidades en el respectivo pliego de condiciones. </w:t>
      </w:r>
    </w:p>
    <w:p w14:paraId="7CB4C7BB" w14:textId="77777777" w:rsidR="007641FC" w:rsidRDefault="007641FC" w:rsidP="007641FC">
      <w:pPr>
        <w:widowControl w:val="0"/>
        <w:spacing w:before="120" w:after="0" w:line="276" w:lineRule="auto"/>
        <w:ind w:firstLine="709"/>
        <w:jc w:val="both"/>
        <w:rPr>
          <w:rFonts w:ascii="Verdana" w:eastAsia="Arial" w:hAnsi="Verdana" w:cs="Arial"/>
        </w:rPr>
      </w:pPr>
      <w:r w:rsidRPr="00B36F85">
        <w:rPr>
          <w:rFonts w:ascii="Verdana" w:eastAsia="Arial" w:hAnsi="Verdana" w:cs="Arial"/>
        </w:rPr>
        <w:t xml:space="preserve">En tales términos, la facultad de las entidades estatales para incluir en los pliegos de condiciones causales de rechazo de las ofertas, no es una facultad absoluta, en la medida que se encuentra limitada por lo dispuesto en ley, al igual que por los principios de razonabilidad y proporcionalidad, los cuales exigen que las causales de rechazo que sean establecidas por la entidad, además de no contrariar el ordenamiento jurídico, no versen sobre aspectos meramente formales sin relevancia para el transcurso del proceso de selección o el perfeccionamiento del contrato. </w:t>
      </w:r>
    </w:p>
    <w:p w14:paraId="3E5F38DC" w14:textId="77777777" w:rsidR="007641FC" w:rsidRDefault="007641FC" w:rsidP="007641FC">
      <w:pPr>
        <w:widowControl w:val="0"/>
        <w:spacing w:before="120" w:after="0" w:line="276" w:lineRule="auto"/>
        <w:ind w:firstLine="709"/>
        <w:jc w:val="both"/>
        <w:rPr>
          <w:rFonts w:ascii="Verdana" w:eastAsia="Arial" w:hAnsi="Verdana" w:cs="Arial"/>
        </w:rPr>
      </w:pPr>
      <w:r w:rsidRPr="05E3EA9D">
        <w:rPr>
          <w:rFonts w:ascii="Verdana" w:eastAsia="Arial" w:hAnsi="Verdana" w:cs="Arial"/>
          <w:lang w:val="es-ES"/>
        </w:rPr>
        <w:t>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w:t>
      </w:r>
      <w:r w:rsidRPr="05E3EA9D">
        <w:rPr>
          <w:rFonts w:ascii="Verdana" w:eastAsia="Arial" w:hAnsi="Verdana" w:cs="Arial"/>
          <w:vertAlign w:val="superscript"/>
          <w:lang w:val="es-ES"/>
        </w:rPr>
        <w:footnoteReference w:id="17"/>
      </w:r>
      <w:r w:rsidRPr="05E3EA9D">
        <w:rPr>
          <w:rFonts w:ascii="Verdana" w:eastAsia="Arial" w:hAnsi="Verdana" w:cs="Arial"/>
          <w:lang w:val="es-ES"/>
        </w:rPr>
        <w:t xml:space="preserve"> sostuvo: </w:t>
      </w:r>
    </w:p>
    <w:p w14:paraId="6615275C" w14:textId="77777777" w:rsidR="007641FC" w:rsidRPr="008C505B" w:rsidRDefault="007641FC" w:rsidP="007641FC">
      <w:pPr>
        <w:spacing w:after="0" w:line="240" w:lineRule="auto"/>
        <w:ind w:firstLine="709"/>
        <w:jc w:val="both"/>
        <w:rPr>
          <w:rFonts w:ascii="Verdana" w:eastAsia="Arial" w:hAnsi="Verdana" w:cs="Arial"/>
        </w:rPr>
      </w:pPr>
    </w:p>
    <w:p w14:paraId="4AF7117A" w14:textId="626AE476" w:rsidR="007641FC" w:rsidRPr="004B49E2" w:rsidRDefault="007641FC" w:rsidP="00054793">
      <w:pPr>
        <w:spacing w:after="0"/>
        <w:ind w:left="708" w:right="709"/>
        <w:jc w:val="both"/>
        <w:rPr>
          <w:rFonts w:ascii="Verdana" w:eastAsia="Arial" w:hAnsi="Verdana" w:cs="Arial"/>
          <w:sz w:val="20"/>
          <w:szCs w:val="20"/>
          <w:lang w:val="es-ES"/>
        </w:rPr>
      </w:pPr>
      <w:r w:rsidRPr="05E3EA9D">
        <w:rPr>
          <w:rFonts w:ascii="Verdana" w:eastAsia="Arial" w:hAnsi="Verdana" w:cs="Arial"/>
          <w:sz w:val="20"/>
          <w:szCs w:val="20"/>
          <w:lang w:val="es-ES"/>
        </w:rPr>
        <w:t>“En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03665DED" w14:textId="77777777" w:rsidR="007641FC" w:rsidRDefault="007641FC" w:rsidP="00A8432D">
      <w:pPr>
        <w:spacing w:after="120" w:line="276" w:lineRule="auto"/>
        <w:ind w:firstLine="709"/>
        <w:jc w:val="both"/>
        <w:rPr>
          <w:rFonts w:ascii="Verdana" w:eastAsia="Arial" w:hAnsi="Verdana" w:cs="Arial"/>
          <w:lang w:val="es-ES"/>
        </w:rPr>
      </w:pPr>
      <w:r w:rsidRPr="004B49E2">
        <w:rPr>
          <w:rFonts w:ascii="Verdana" w:eastAsia="Arial" w:hAnsi="Verdana" w:cs="Arial"/>
          <w:lang w:val="es-ES"/>
        </w:rPr>
        <w:lastRenderedPageBreak/>
        <w:t>Por lo expuesto, las causales de rechazo deben estar necesariamente nominadas en la Ley o en el pliego de condiciones, y no puede realizarse, frente a su redacción, ninguna interpretación extensiva. Por esta razón si el Estatuto General de Contratación de la Administración Pública o el pliego de condiciones no establecen de manera literal una causal de rechazo, en los términos expuestos, no podrán rechazarse las propuestas.</w:t>
      </w:r>
    </w:p>
    <w:p w14:paraId="092DF018" w14:textId="77777777" w:rsidR="007641FC" w:rsidRDefault="007641FC" w:rsidP="00A8432D">
      <w:pPr>
        <w:spacing w:after="120" w:line="276" w:lineRule="auto"/>
        <w:ind w:firstLine="709"/>
        <w:jc w:val="both"/>
        <w:rPr>
          <w:rFonts w:ascii="Verdana" w:eastAsia="Arial" w:hAnsi="Verdana" w:cs="Arial"/>
        </w:rPr>
      </w:pPr>
      <w:r>
        <w:rPr>
          <w:rFonts w:ascii="Verdana" w:eastAsia="Arial" w:hAnsi="Verdana" w:cs="Arial"/>
        </w:rPr>
        <w:t>De conformidad con lo anterior, p</w:t>
      </w:r>
      <w:r w:rsidRPr="004B49E2">
        <w:rPr>
          <w:rFonts w:ascii="Verdana" w:eastAsia="Arial" w:hAnsi="Verdana" w:cs="Arial"/>
        </w:rPr>
        <w:t xml:space="preserve">ara garantizar el principio de selección objetiva, es necesario, entre otras, que las entidades estatales se abstengan de rechazar las ofertas, por el incumplimiento de requisitos meramente formales, sacrificando la favorabilidad que podría representar la oferta que adolezca de estos defectos, si se permitiese su corrección. </w:t>
      </w:r>
    </w:p>
    <w:p w14:paraId="42607587" w14:textId="77777777" w:rsidR="007641FC" w:rsidRDefault="007641FC" w:rsidP="00A8432D">
      <w:pPr>
        <w:spacing w:after="120" w:line="276" w:lineRule="auto"/>
        <w:ind w:firstLine="709"/>
        <w:jc w:val="both"/>
        <w:rPr>
          <w:rFonts w:ascii="Verdana" w:eastAsia="Arial" w:hAnsi="Verdana" w:cs="Arial"/>
        </w:rPr>
      </w:pPr>
      <w:r w:rsidRPr="004B49E2">
        <w:rPr>
          <w:rFonts w:ascii="Verdana" w:eastAsia="Arial" w:hAnsi="Verdana" w:cs="Arial"/>
        </w:rPr>
        <w:t>La decisión de rechazar, por regla general –salvo en los casos específicos previstos en la ley, como el de la imposibilidad de subsanar la no entrega de la garantía de seriedad de la oferta o de acreditar circunstancias ocurridas con posterioridad al cierre del procedimiento de selección –art. 5, par. 1º y 3º, Ley 1150 de 2007)– solo puede tomarse si, previamente, se ha permitido que los proponentes completen o corrijan la información relacionada con los requisitos que no asignan puntaje, como mecanismo para hacer prevalecer el derecho sustancial sobre las formalidades.</w:t>
      </w:r>
    </w:p>
    <w:p w14:paraId="09898759" w14:textId="77777777" w:rsidR="007641FC" w:rsidRDefault="007641FC" w:rsidP="00A8432D">
      <w:pPr>
        <w:spacing w:after="120" w:line="276" w:lineRule="auto"/>
        <w:ind w:firstLine="709"/>
        <w:jc w:val="both"/>
        <w:rPr>
          <w:rFonts w:ascii="Verdana" w:eastAsia="Arial" w:hAnsi="Verdana" w:cs="Arial"/>
        </w:rPr>
      </w:pPr>
      <w:r w:rsidRPr="00C90784">
        <w:rPr>
          <w:rFonts w:ascii="Verdana" w:eastAsia="Arial" w:hAnsi="Verdana" w:cs="Arial"/>
        </w:rPr>
        <w:t xml:space="preserve">Con base en lo anterior, tratándose de la garantía de seriedad de la oferta, debe precisarse que la regla de </w:t>
      </w:r>
      <w:proofErr w:type="spellStart"/>
      <w:r w:rsidRPr="00C90784">
        <w:rPr>
          <w:rFonts w:ascii="Verdana" w:eastAsia="Arial" w:hAnsi="Verdana" w:cs="Arial"/>
        </w:rPr>
        <w:t>subsanabilidad</w:t>
      </w:r>
      <w:proofErr w:type="spellEnd"/>
      <w:r w:rsidRPr="00C90784">
        <w:rPr>
          <w:rFonts w:ascii="Verdana" w:eastAsia="Arial" w:hAnsi="Verdana" w:cs="Arial"/>
        </w:rPr>
        <w:t xml:space="preserve"> prevista por el legislador recae sobre la no entrega de la garantía junto con la propuesta y, en general, sobre la inexistencia o falta de vigencia de la póliza al momento del cierre del proceso, por cuanto ello implicaría pretender acreditar una circunstancia constitutiva posterior e inadmisible. Sin embargo, resulta necesario distinguir entre la garantía como requisito habilitante y los soportes documentales asociados a su acreditación, como el comprobante de pago de la prima. En la medida en que el pago de la prima corresponde a una obligación derivada del contrato de seguro entre tomador y aseguradora, su soporte constituye un medio de prueba que no altera la realidad jurídica de la oferta, siempre que la póliza haya sido válidamente expedida y se encuentre vigente desde antes del cierre del plazo de presentación de propuestas. Por tanto, la entrega posterior del comprobante de pago no configura la acreditación de una circunstancia ocurrida con posterioridad al cierre del proceso, sino la aportación extemporánea de un documento verificable, subsanable bajo la regla del artículo 5 de la Ley 1882 de 2018, salvo </w:t>
      </w:r>
      <w:r w:rsidRPr="00C90784">
        <w:rPr>
          <w:rFonts w:ascii="Verdana" w:eastAsia="Arial" w:hAnsi="Verdana" w:cs="Arial"/>
        </w:rPr>
        <w:lastRenderedPageBreak/>
        <w:t>que la ley o el pliego de condiciones</w:t>
      </w:r>
      <w:r>
        <w:rPr>
          <w:rFonts w:ascii="Verdana" w:eastAsia="Arial" w:hAnsi="Verdana" w:cs="Arial"/>
        </w:rPr>
        <w:t xml:space="preserve">, </w:t>
      </w:r>
      <w:r w:rsidRPr="00C90784">
        <w:rPr>
          <w:rFonts w:ascii="Verdana" w:eastAsia="Arial" w:hAnsi="Verdana" w:cs="Arial"/>
        </w:rPr>
        <w:t>de forma expresa, razonable y proporcional</w:t>
      </w:r>
      <w:r>
        <w:rPr>
          <w:rFonts w:ascii="Verdana" w:eastAsia="Arial" w:hAnsi="Verdana" w:cs="Arial"/>
        </w:rPr>
        <w:t xml:space="preserve">, </w:t>
      </w:r>
      <w:r w:rsidRPr="00C90784">
        <w:rPr>
          <w:rFonts w:ascii="Verdana" w:eastAsia="Arial" w:hAnsi="Verdana" w:cs="Arial"/>
        </w:rPr>
        <w:t xml:space="preserve"> hubiesen elevado dicho soporte a causal autónoma de rechazo, hipótesis que, por su naturaleza, es de interpretación estricta y restrictiva.</w:t>
      </w:r>
    </w:p>
    <w:p w14:paraId="7C1A29DC" w14:textId="77777777" w:rsidR="007641FC" w:rsidRPr="00314EDC" w:rsidRDefault="007641FC" w:rsidP="00A8432D">
      <w:pPr>
        <w:spacing w:after="120" w:line="276" w:lineRule="auto"/>
        <w:ind w:firstLine="709"/>
        <w:jc w:val="both"/>
        <w:rPr>
          <w:rFonts w:ascii="Verdana" w:eastAsia="Arial" w:hAnsi="Verdana" w:cs="Arial"/>
        </w:rPr>
      </w:pPr>
      <w:r w:rsidRPr="00314EDC">
        <w:rPr>
          <w:rFonts w:ascii="Verdana" w:eastAsia="Arial" w:hAnsi="Verdana" w:cs="Arial"/>
          <w:lang w:val="es-ES"/>
        </w:rPr>
        <w:t>Finalmente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12C4D689" w14:textId="77777777" w:rsidR="007641FC" w:rsidRPr="00314EDC" w:rsidRDefault="007641FC" w:rsidP="007641FC">
      <w:pPr>
        <w:spacing w:before="120" w:after="0" w:line="276" w:lineRule="auto"/>
        <w:ind w:firstLine="709"/>
        <w:jc w:val="both"/>
        <w:rPr>
          <w:rFonts w:ascii="Verdana" w:eastAsia="Arial" w:hAnsi="Verdana" w:cs="Arial"/>
          <w:lang w:val="es-ES"/>
        </w:rPr>
      </w:pPr>
      <w:r w:rsidRPr="00314EDC">
        <w:rPr>
          <w:rFonts w:ascii="Verdana" w:eastAsia="Arial" w:hAnsi="Verdana" w:cs="Arial"/>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2466F1C1" w14:textId="77777777" w:rsidR="007641FC" w:rsidRDefault="007641FC" w:rsidP="007641FC">
      <w:pPr>
        <w:pStyle w:val="Prrafodelista"/>
        <w:tabs>
          <w:tab w:val="left" w:pos="142"/>
          <w:tab w:val="left" w:pos="284"/>
          <w:tab w:val="left" w:pos="3828"/>
          <w:tab w:val="left" w:pos="6900"/>
        </w:tabs>
        <w:spacing w:after="0" w:line="240" w:lineRule="auto"/>
        <w:ind w:left="0"/>
        <w:contextualSpacing w:val="0"/>
        <w:jc w:val="both"/>
        <w:rPr>
          <w:rFonts w:ascii="Verdana" w:eastAsia="Calibri" w:hAnsi="Verdana" w:cs="Arial"/>
          <w:lang w:val="es-CO"/>
        </w:rPr>
      </w:pPr>
    </w:p>
    <w:p w14:paraId="0E316547" w14:textId="7140438F" w:rsidR="007641FC" w:rsidRPr="005644FE" w:rsidRDefault="007641FC" w:rsidP="007641FC">
      <w:pPr>
        <w:tabs>
          <w:tab w:val="left" w:pos="142"/>
          <w:tab w:val="left" w:pos="284"/>
          <w:tab w:val="left" w:pos="3828"/>
        </w:tabs>
        <w:spacing w:after="0" w:line="240" w:lineRule="auto"/>
        <w:rPr>
          <w:rFonts w:ascii="Verdana" w:eastAsia="Century Gothic" w:hAnsi="Verdana" w:cs="Century Gothic"/>
          <w:b/>
          <w:bCs/>
        </w:rPr>
      </w:pPr>
      <w:bookmarkStart w:id="2" w:name="_Hlk204854194"/>
      <w:r w:rsidRPr="005644FE">
        <w:rPr>
          <w:rFonts w:ascii="Verdana" w:eastAsia="Century Gothic" w:hAnsi="Verdana" w:cs="Century Gothic"/>
          <w:b/>
          <w:bCs/>
        </w:rPr>
        <w:t>4. 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2"/>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641FC" w:rsidRPr="005644FE" w14:paraId="1AC304AA" w14:textId="77777777" w:rsidTr="007641FC">
        <w:trPr>
          <w:trHeight w:val="1288"/>
          <w:jc w:val="center"/>
        </w:trPr>
        <w:tc>
          <w:tcPr>
            <w:tcW w:w="8647" w:type="dxa"/>
          </w:tcPr>
          <w:p w14:paraId="1806FD8F" w14:textId="77777777" w:rsidR="007641FC" w:rsidRPr="001C79AB" w:rsidRDefault="007641FC" w:rsidP="007641FC">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1C79AB">
              <w:rPr>
                <w:rFonts w:ascii="Verdana" w:eastAsia="Arial" w:hAnsi="Verdana" w:cs="Arial"/>
                <w:color w:val="000000" w:themeColor="text1"/>
              </w:rPr>
              <w:t>Decreto-ley 150 de 1976</w:t>
            </w:r>
            <w:r>
              <w:rPr>
                <w:rFonts w:ascii="Verdana" w:eastAsia="Arial" w:hAnsi="Verdana" w:cs="Arial"/>
                <w:color w:val="000000" w:themeColor="text1"/>
              </w:rPr>
              <w:t>.</w:t>
            </w:r>
          </w:p>
          <w:p w14:paraId="5F3A033B" w14:textId="77777777" w:rsidR="007641FC" w:rsidRPr="001C79AB" w:rsidRDefault="007641FC" w:rsidP="007641FC">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1C79AB">
              <w:rPr>
                <w:rFonts w:ascii="Verdana" w:eastAsia="Arial" w:hAnsi="Verdana" w:cs="Arial"/>
                <w:color w:val="000000" w:themeColor="text1"/>
              </w:rPr>
              <w:t>Decreto-ley 222 de 1983</w:t>
            </w:r>
            <w:r>
              <w:rPr>
                <w:rFonts w:ascii="Verdana" w:eastAsia="Arial" w:hAnsi="Verdana" w:cs="Arial"/>
                <w:color w:val="000000" w:themeColor="text1"/>
              </w:rPr>
              <w:t>.</w:t>
            </w:r>
          </w:p>
          <w:p w14:paraId="4F9AD5AF" w14:textId="77777777" w:rsidR="007641FC" w:rsidRPr="005F35CB" w:rsidRDefault="007641FC" w:rsidP="007641FC">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Pr>
                <w:rFonts w:ascii="Verdana" w:eastAsia="Arial" w:hAnsi="Verdana" w:cs="Arial"/>
                <w:color w:val="000000" w:themeColor="text1"/>
              </w:rPr>
              <w:t>Constitución Política. Artículo 228.</w:t>
            </w:r>
          </w:p>
          <w:p w14:paraId="02047FF5" w14:textId="77777777" w:rsidR="007641FC" w:rsidRPr="005F35CB" w:rsidRDefault="007641FC" w:rsidP="007641FC">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Pr>
                <w:rFonts w:ascii="Verdana" w:eastAsia="Arial" w:hAnsi="Verdana" w:cs="Arial"/>
                <w:color w:val="000000" w:themeColor="text1"/>
              </w:rPr>
              <w:t>Ley 80 de 1993. Artículo 25 numeral 15, 30 numerales 7 y 8.</w:t>
            </w:r>
          </w:p>
          <w:p w14:paraId="01AD8445" w14:textId="77777777" w:rsidR="007641FC" w:rsidRDefault="007641FC" w:rsidP="007641FC">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5F35CB">
              <w:rPr>
                <w:rFonts w:ascii="Verdana" w:eastAsia="Aptos" w:hAnsi="Verdana" w:cs="Arial"/>
              </w:rPr>
              <w:t xml:space="preserve">Ley 1150 de 2007. Artículo 5 parágrafo 1. </w:t>
            </w:r>
          </w:p>
          <w:p w14:paraId="78B7E943" w14:textId="77777777" w:rsidR="007641FC" w:rsidRPr="005F35CB" w:rsidRDefault="007641FC" w:rsidP="007641FC">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C64261">
              <w:rPr>
                <w:rFonts w:ascii="Verdana" w:eastAsia="Arial" w:hAnsi="Verdana" w:cs="Arial"/>
                <w:color w:val="000000"/>
              </w:rPr>
              <w:t>Ley 1882 de 2018</w:t>
            </w:r>
            <w:r>
              <w:rPr>
                <w:rFonts w:ascii="Verdana" w:eastAsia="Arial" w:hAnsi="Verdana" w:cs="Arial"/>
                <w:color w:val="000000"/>
              </w:rPr>
              <w:t>. Artículo 5.</w:t>
            </w:r>
          </w:p>
          <w:p w14:paraId="427CA7E5" w14:textId="77777777" w:rsidR="007641FC" w:rsidRDefault="007641FC" w:rsidP="007641FC">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5F35CB">
              <w:rPr>
                <w:rFonts w:ascii="Verdana" w:eastAsia="Aptos" w:hAnsi="Verdana" w:cs="Arial"/>
              </w:rPr>
              <w:t xml:space="preserve">Consejo de Estado. Sala de lo Contencioso Administrativo Sección Tercera, Subsección C. Sentencia del 26 de febrero de 2014. Radicado: 1999-00113-01 (25.804). C.P. Enrique Gil Botero. </w:t>
            </w:r>
          </w:p>
          <w:p w14:paraId="4341D86E" w14:textId="77777777" w:rsidR="007641FC" w:rsidRDefault="007641FC" w:rsidP="007641FC">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5F35CB">
              <w:rPr>
                <w:rFonts w:ascii="Verdana" w:eastAsia="Aptos" w:hAnsi="Verdana" w:cs="Arial"/>
              </w:rPr>
              <w:t>Consejo de Estado. Sala de Consulta y Servicio Civil, concepto del 6 de noviembre de 2008. Rad. 2008-00079-00 (1927). C.P. William Zambrano Cetina.</w:t>
            </w:r>
          </w:p>
          <w:p w14:paraId="5018BE70" w14:textId="77777777" w:rsidR="007641FC" w:rsidRPr="005F35CB" w:rsidRDefault="007641FC" w:rsidP="007641FC">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5F35CB">
              <w:rPr>
                <w:rFonts w:ascii="Verdana" w:eastAsia="Aptos" w:hAnsi="Verdana" w:cs="Arial"/>
              </w:rPr>
              <w:t xml:space="preserve">Consejo de Estado. Sala de lo Contencioso Administrativo. Sección Tercera, Subsección C. Sentencia del 26 de febrero de 2011. </w:t>
            </w:r>
            <w:r w:rsidRPr="005F35CB">
              <w:rPr>
                <w:rFonts w:ascii="Verdana" w:eastAsia="Aptos" w:hAnsi="Verdana" w:cs="Arial"/>
              </w:rPr>
              <w:lastRenderedPageBreak/>
              <w:t xml:space="preserve">Radicado: 11001-03-26-000-2009-00018-00 (36.408). C.P. Jaime Orlando Santofimio.   </w:t>
            </w:r>
          </w:p>
          <w:p w14:paraId="604EBDA8" w14:textId="77777777" w:rsidR="007641FC" w:rsidRDefault="007641FC" w:rsidP="007641FC">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5F35CB">
              <w:rPr>
                <w:rFonts w:ascii="Verdana" w:eastAsia="Aptos" w:hAnsi="Verdana" w:cs="Arial"/>
              </w:rPr>
              <w:t xml:space="preserve">Consejo de Estado, Sección Tercera, Subsección C. Sentencia del 26 de febrero de 2014. C.P. Enrique Gil Botero. Radicado: 13001-23-31-000-1999-00113-01 (25.804). M.P: Enrique Gil Botero.   </w:t>
            </w:r>
          </w:p>
          <w:p w14:paraId="47CEB03F" w14:textId="77777777" w:rsidR="007641FC" w:rsidRDefault="007641FC" w:rsidP="007641FC">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5F35CB">
              <w:rPr>
                <w:rFonts w:ascii="Verdana" w:eastAsia="Aptos" w:hAnsi="Verdana" w:cs="Arial"/>
              </w:rPr>
              <w:t>Consejo de Estado. Sala de Consulta y Servicio Civil. Concepto del 20 de mayo de 2010. Rad. 2010-00034-00 (1992). C.P. Enrique José Arboleda Perdomo.</w:t>
            </w:r>
          </w:p>
          <w:p w14:paraId="5F4C2F09" w14:textId="77777777" w:rsidR="007641FC" w:rsidRDefault="007641FC" w:rsidP="007641FC">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5F35CB">
              <w:rPr>
                <w:rFonts w:ascii="Verdana" w:eastAsia="Aptos" w:hAnsi="Verdana" w:cs="Arial"/>
              </w:rPr>
              <w:t>Consejo de Estado. Sala de lo Contencioso Administrativo. Sección Tercera. Sentencia de 30 de noviembre de 2006. Radicado: 11001-03-26-000-2000-00020-01 (18.059). M.P. Alier Hernández Enríquez.</w:t>
            </w:r>
          </w:p>
          <w:p w14:paraId="08B5576C" w14:textId="77777777" w:rsidR="007641FC" w:rsidRDefault="007641FC" w:rsidP="007641FC">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5F35CB">
              <w:rPr>
                <w:rFonts w:ascii="Verdana" w:eastAsia="Aptos" w:hAnsi="Verdana" w:cs="Arial"/>
              </w:rPr>
              <w:t>Consejo de Estado. Sala de lo Contencioso Administrativo. Sección Tercera Subsección B. Sentencia del 27 de abril de 2011. Radicado: 25000-23-26-000-1997-03924-01 (18.293). C.P. Ponente: Ruth Stella Correa Palacio.</w:t>
            </w:r>
          </w:p>
          <w:p w14:paraId="2FE773F9" w14:textId="77777777" w:rsidR="007641FC" w:rsidRPr="005F35CB" w:rsidRDefault="007641FC" w:rsidP="007641FC">
            <w:pPr>
              <w:pStyle w:val="Prrafodelista"/>
              <w:widowControl w:val="0"/>
              <w:numPr>
                <w:ilvl w:val="0"/>
                <w:numId w:val="17"/>
              </w:numPr>
              <w:tabs>
                <w:tab w:val="left" w:pos="3828"/>
              </w:tabs>
              <w:autoSpaceDE w:val="0"/>
              <w:autoSpaceDN w:val="0"/>
              <w:spacing w:after="120" w:line="276" w:lineRule="auto"/>
              <w:jc w:val="both"/>
              <w:rPr>
                <w:rFonts w:ascii="Verdana" w:eastAsia="Aptos" w:hAnsi="Verdana" w:cs="Arial"/>
              </w:rPr>
            </w:pPr>
            <w:r w:rsidRPr="005F35CB">
              <w:rPr>
                <w:rFonts w:ascii="Verdana" w:eastAsia="Aptos" w:hAnsi="Verdana" w:cs="Arial"/>
              </w:rPr>
              <w:t>Consejo de Estado. Sección Tercera. Sentencia del 21 de noviembre de 2013. Radicado 25000-23-26-000-1999-01850-01 (25.397). C.P. Carlos Alberto Zambrano Barrera.</w:t>
            </w:r>
          </w:p>
          <w:p w14:paraId="5D58D19A" w14:textId="77777777" w:rsidR="007641FC" w:rsidRPr="005F35CB" w:rsidRDefault="007641FC" w:rsidP="007641FC">
            <w:pPr>
              <w:pStyle w:val="Prrafodelista"/>
              <w:numPr>
                <w:ilvl w:val="0"/>
                <w:numId w:val="17"/>
              </w:numPr>
              <w:jc w:val="both"/>
              <w:rPr>
                <w:rFonts w:ascii="Verdana" w:eastAsia="Aptos" w:hAnsi="Verdana" w:cs="Arial"/>
              </w:rPr>
            </w:pPr>
            <w:r w:rsidRPr="005F35CB">
              <w:rPr>
                <w:rFonts w:ascii="Verdana" w:eastAsia="Aptos" w:hAnsi="Verdana" w:cs="Arial"/>
              </w:rPr>
              <w:t xml:space="preserve">Circular </w:t>
            </w:r>
            <w:r>
              <w:rPr>
                <w:rFonts w:ascii="Verdana" w:eastAsia="Aptos" w:hAnsi="Verdana" w:cs="Arial"/>
              </w:rPr>
              <w:t xml:space="preserve">Única </w:t>
            </w:r>
            <w:r w:rsidRPr="005F35CB">
              <w:rPr>
                <w:rFonts w:ascii="Verdana" w:eastAsia="Aptos" w:hAnsi="Verdana" w:cs="Arial"/>
              </w:rPr>
              <w:t xml:space="preserve">Externa. Agencia Nacional de Contratación Pública. Disponible en </w:t>
            </w:r>
            <w:hyperlink r:id="rId11" w:history="1">
              <w:r w:rsidRPr="005F35CB">
                <w:rPr>
                  <w:rStyle w:val="Hipervnculo"/>
                  <w:rFonts w:ascii="Verdana" w:hAnsi="Verdana"/>
                  <w:lang w:val="es-CO"/>
                </w:rPr>
                <w:t>circular_externa_unica_version_3_vf49.pdf</w:t>
              </w:r>
            </w:hyperlink>
          </w:p>
          <w:p w14:paraId="336DD8FD" w14:textId="77777777" w:rsidR="007641FC" w:rsidRPr="005F35CB" w:rsidRDefault="007641FC" w:rsidP="007641FC">
            <w:pPr>
              <w:pStyle w:val="Prrafodelista"/>
              <w:numPr>
                <w:ilvl w:val="0"/>
                <w:numId w:val="17"/>
              </w:numPr>
              <w:jc w:val="both"/>
              <w:rPr>
                <w:rFonts w:ascii="Verdana" w:eastAsia="Aptos" w:hAnsi="Verdana" w:cs="Arial"/>
              </w:rPr>
            </w:pPr>
            <w:r w:rsidRPr="00E85A8F">
              <w:rPr>
                <w:rFonts w:ascii="Verdana" w:eastAsia="Calibri" w:hAnsi="Verdana" w:cs="Arial"/>
              </w:rPr>
              <w:t>Manual para determinar y verificar los requisitos habilitantes en los Procesos de Contratación</w:t>
            </w:r>
            <w:r>
              <w:rPr>
                <w:rFonts w:ascii="Verdana" w:hAnsi="Verdana"/>
                <w:sz w:val="16"/>
                <w:szCs w:val="16"/>
                <w:lang w:val="es-CO"/>
              </w:rPr>
              <w:t xml:space="preserve">. </w:t>
            </w:r>
            <w:r w:rsidRPr="005F35CB">
              <w:rPr>
                <w:rFonts w:ascii="Verdana" w:hAnsi="Verdana"/>
                <w:lang w:val="es-CO"/>
              </w:rPr>
              <w:t xml:space="preserve">Disponible en </w:t>
            </w:r>
            <w:hyperlink r:id="rId12" w:history="1">
              <w:r w:rsidRPr="005F35CB">
                <w:rPr>
                  <w:rStyle w:val="Hipervnculo"/>
                  <w:rFonts w:ascii="Verdana" w:hAnsi="Verdana"/>
                  <w:lang w:val="es-CO"/>
                </w:rPr>
                <w:t>cce-eicp-ma-04._manual_requisitos_habilitantes_v3_29-09-2023.pdf</w:t>
              </w:r>
            </w:hyperlink>
          </w:p>
          <w:p w14:paraId="182A25CC" w14:textId="77777777" w:rsidR="007641FC" w:rsidRDefault="007641FC" w:rsidP="007641FC">
            <w:pPr>
              <w:pStyle w:val="Prrafodelista"/>
              <w:numPr>
                <w:ilvl w:val="0"/>
                <w:numId w:val="17"/>
              </w:numPr>
              <w:jc w:val="both"/>
              <w:rPr>
                <w:rFonts w:ascii="Verdana" w:eastAsia="Aptos" w:hAnsi="Verdana" w:cs="Arial"/>
              </w:rPr>
            </w:pPr>
            <w:r w:rsidRPr="005F35CB">
              <w:rPr>
                <w:rFonts w:ascii="Verdana" w:eastAsia="Aptos" w:hAnsi="Verdana" w:cs="Arial"/>
              </w:rPr>
              <w:t xml:space="preserve">OSPINA MENA, Jesús Marino. Régimen de la Contratación Estatal. Un salto a la contratación líquida. Bogotá: Ed. 1ª. </w:t>
            </w:r>
            <w:proofErr w:type="spellStart"/>
            <w:r w:rsidRPr="005F35CB">
              <w:rPr>
                <w:rFonts w:ascii="Verdana" w:eastAsia="Aptos" w:hAnsi="Verdana" w:cs="Arial"/>
              </w:rPr>
              <w:t>Diké</w:t>
            </w:r>
            <w:proofErr w:type="spellEnd"/>
            <w:r w:rsidRPr="005F35CB">
              <w:rPr>
                <w:rFonts w:ascii="Verdana" w:eastAsia="Aptos" w:hAnsi="Verdana" w:cs="Arial"/>
              </w:rPr>
              <w:t>, 2020</w:t>
            </w:r>
            <w:r>
              <w:rPr>
                <w:rFonts w:ascii="Verdana" w:eastAsia="Aptos" w:hAnsi="Verdana" w:cs="Arial"/>
              </w:rPr>
              <w:t>.</w:t>
            </w:r>
          </w:p>
          <w:p w14:paraId="23F8CC51" w14:textId="77777777" w:rsidR="007641FC" w:rsidRPr="005F35CB" w:rsidRDefault="007641FC" w:rsidP="007641FC">
            <w:pPr>
              <w:pStyle w:val="Prrafodelista"/>
              <w:numPr>
                <w:ilvl w:val="0"/>
                <w:numId w:val="17"/>
              </w:numPr>
              <w:jc w:val="both"/>
              <w:rPr>
                <w:rFonts w:ascii="Verdana" w:eastAsia="Aptos" w:hAnsi="Verdana" w:cs="Arial"/>
              </w:rPr>
            </w:pPr>
            <w:r w:rsidRPr="005F35CB">
              <w:rPr>
                <w:rFonts w:ascii="Verdana" w:eastAsia="Aptos" w:hAnsi="Verdana" w:cs="Arial"/>
              </w:rPr>
              <w:t xml:space="preserve">RODRÍGUEZ TAMAYO, Mauricio Fernando. Evaluación y rechazo de ofertas en la Ley 80 de 1993. Medellín: Librería Jurídica Sánchez, 2016. </w:t>
            </w:r>
          </w:p>
        </w:tc>
      </w:tr>
    </w:tbl>
    <w:p w14:paraId="46969AF1" w14:textId="77777777" w:rsidR="007641FC" w:rsidRPr="005644FE" w:rsidRDefault="007641FC" w:rsidP="007641FC">
      <w:pPr>
        <w:widowControl w:val="0"/>
        <w:tabs>
          <w:tab w:val="left" w:pos="3828"/>
        </w:tabs>
        <w:autoSpaceDE w:val="0"/>
        <w:autoSpaceDN w:val="0"/>
        <w:spacing w:after="0" w:line="276" w:lineRule="auto"/>
        <w:jc w:val="both"/>
        <w:rPr>
          <w:rFonts w:ascii="Verdana" w:hAnsi="Verdana" w:cs="Arial"/>
        </w:rPr>
      </w:pPr>
    </w:p>
    <w:p w14:paraId="3FCBB22B" w14:textId="4123B925" w:rsidR="007641FC" w:rsidRPr="00054793" w:rsidRDefault="007641FC" w:rsidP="00054793">
      <w:pPr>
        <w:tabs>
          <w:tab w:val="left" w:pos="142"/>
          <w:tab w:val="left" w:pos="284"/>
          <w:tab w:val="left" w:pos="3828"/>
        </w:tabs>
        <w:spacing w:after="0" w:line="276" w:lineRule="auto"/>
        <w:jc w:val="both"/>
        <w:rPr>
          <w:rFonts w:ascii="Verdana" w:eastAsia="Century Gothic" w:hAnsi="Verdana" w:cs="Century Gothic"/>
          <w:b/>
          <w:bCs/>
        </w:rPr>
      </w:pPr>
      <w:r w:rsidRPr="005644FE">
        <w:rPr>
          <w:rFonts w:ascii="Verdana" w:eastAsia="Century Gothic" w:hAnsi="Verdana" w:cs="Century Gothic"/>
          <w:b/>
          <w:bCs/>
        </w:rPr>
        <w:t>5. Doctrina de la Agencia Nacional de Contratación Pública:</w:t>
      </w:r>
    </w:p>
    <w:p w14:paraId="14E669B1" w14:textId="49FB1A10" w:rsidR="007641FC" w:rsidRDefault="007641FC" w:rsidP="00054793">
      <w:pPr>
        <w:widowControl w:val="0"/>
        <w:autoSpaceDE w:val="0"/>
        <w:autoSpaceDN w:val="0"/>
        <w:spacing w:after="0" w:line="276" w:lineRule="auto"/>
        <w:jc w:val="both"/>
        <w:rPr>
          <w:rStyle w:val="normaltextrun"/>
          <w:rFonts w:ascii="Verdana" w:hAnsi="Verdana" w:cs="Arial"/>
          <w:shd w:val="clear" w:color="auto" w:fill="FFFFFF"/>
          <w:lang w:val="es-ES"/>
        </w:rPr>
      </w:pPr>
      <w:r w:rsidRPr="00277E26">
        <w:rPr>
          <w:rStyle w:val="normaltextrun"/>
          <w:rFonts w:ascii="Verdana" w:hAnsi="Verdana" w:cs="Arial"/>
          <w:shd w:val="clear" w:color="auto" w:fill="FFFFFF"/>
          <w:lang w:val="es-ES"/>
        </w:rPr>
        <w:t>Esta Subdirección</w:t>
      </w:r>
      <w:r>
        <w:rPr>
          <w:rStyle w:val="normaltextrun"/>
          <w:rFonts w:ascii="Verdana" w:hAnsi="Verdana" w:cs="Arial"/>
          <w:shd w:val="clear" w:color="auto" w:fill="FFFFFF"/>
          <w:lang w:val="es-ES"/>
        </w:rPr>
        <w:t xml:space="preserve"> </w:t>
      </w:r>
      <w:r w:rsidRPr="009D1699">
        <w:rPr>
          <w:rStyle w:val="normaltextrun"/>
          <w:rFonts w:ascii="Verdana" w:hAnsi="Verdana" w:cs="Arial"/>
          <w:shd w:val="clear" w:color="auto" w:fill="FFFFFF"/>
          <w:lang w:val="es-ES"/>
        </w:rPr>
        <w:t xml:space="preserve">se ha pronunciado sobre la </w:t>
      </w:r>
      <w:r>
        <w:rPr>
          <w:rStyle w:val="normaltextrun"/>
          <w:rFonts w:ascii="Verdana" w:hAnsi="Verdana" w:cs="Arial"/>
          <w:shd w:val="clear" w:color="auto" w:fill="FFFFFF"/>
          <w:lang w:val="es-ES"/>
        </w:rPr>
        <w:t xml:space="preserve">regla de </w:t>
      </w:r>
      <w:proofErr w:type="spellStart"/>
      <w:r>
        <w:rPr>
          <w:rStyle w:val="normaltextrun"/>
          <w:rFonts w:ascii="Verdana" w:hAnsi="Verdana" w:cs="Arial"/>
          <w:shd w:val="clear" w:color="auto" w:fill="FFFFFF"/>
          <w:lang w:val="es-ES"/>
        </w:rPr>
        <w:t>subsanabilidad</w:t>
      </w:r>
      <w:proofErr w:type="spellEnd"/>
      <w:r w:rsidRPr="00277E26">
        <w:rPr>
          <w:rStyle w:val="normaltextrun"/>
          <w:rFonts w:ascii="Verdana" w:hAnsi="Verdana" w:cs="Arial"/>
          <w:shd w:val="clear" w:color="auto" w:fill="FFFFFF"/>
          <w:lang w:val="es-ES"/>
        </w:rPr>
        <w:t xml:space="preserve"> en los Conceptos </w:t>
      </w:r>
      <w:r w:rsidRPr="00E90148">
        <w:rPr>
          <w:rStyle w:val="normaltextrun"/>
          <w:rFonts w:ascii="Verdana" w:hAnsi="Verdana" w:cs="Arial"/>
          <w:shd w:val="clear" w:color="auto" w:fill="FFFFFF"/>
          <w:lang w:val="es-ES"/>
        </w:rPr>
        <w:t>C-218 del 2 de abril de 2020, C-229 del 16 de abril de 2020, C-307 del 21 de mayo de 2020, C-396 del 16 de julio de 2020, C-410 del 26 de junio de 2020, C-429 del 24 de julio de 2020, C-481 del 27 de julio de 2020, C-548 del 21 de agosto de 2020, C-633 del 2 de octubre de 2020, C-634 del 21 de octubre de 2020, C-675 del 25 de noviembre de 2020, C-802 del 1° de febrero de 2021, C-010 del 16 de febrero de 2021, C-083 del 18 de marzo de 2021, C-</w:t>
      </w:r>
      <w:r w:rsidRPr="00E90148">
        <w:rPr>
          <w:rStyle w:val="normaltextrun"/>
          <w:rFonts w:ascii="Verdana" w:hAnsi="Verdana" w:cs="Arial"/>
          <w:shd w:val="clear" w:color="auto" w:fill="FFFFFF"/>
          <w:lang w:val="es-ES"/>
        </w:rPr>
        <w:lastRenderedPageBreak/>
        <w:t>090 del 23 de marzo de 2021, C-565 del 11 de octubre de 2021, C-691 del 28 de diciembre de 2021, C-716 del 23 de enero de 2022, C-728 del 26 de enero de 2022, C-753 del 6 de febrero de 2022, C-114 del 22 de marzo de 2022, C-140 del 28 de marzo de 2022, C-162 del 5 de abril de 2022, C-285 del 20 de mayo de 2022, C-343 del 31 de mayo de 2022, C-381 del 15 de julio de 2022, C-416 del 30 de junio de 2022, C-431 del 7 de julio de 2022, C-434 del 8 de julio de 2022, C-542 del 23 de agosto de 2022, C-595 del 9 de septiembre de 2022, C-772 del 28 de noviembre de 2022, C-793 del 21 de noviembre de 2022, C-923 del 27 de diciembre de 2022, C-965 del 27 de enero de 2023, C-058 del 10 de mayo de 2023, C-082 del 19 de abril de 2023</w:t>
      </w:r>
      <w:r>
        <w:rPr>
          <w:rStyle w:val="normaltextrun"/>
          <w:rFonts w:ascii="Verdana" w:hAnsi="Verdana" w:cs="Arial"/>
          <w:shd w:val="clear" w:color="auto" w:fill="FFFFFF"/>
          <w:lang w:val="es-ES"/>
        </w:rPr>
        <w:t>,</w:t>
      </w:r>
      <w:r w:rsidRPr="00E90148">
        <w:rPr>
          <w:rStyle w:val="normaltextrun"/>
          <w:rFonts w:ascii="Verdana" w:hAnsi="Verdana" w:cs="Arial"/>
          <w:shd w:val="clear" w:color="auto" w:fill="FFFFFF"/>
          <w:lang w:val="es-ES"/>
        </w:rPr>
        <w:t xml:space="preserve"> C-216 del 6 de junio de 2023</w:t>
      </w:r>
      <w:r>
        <w:rPr>
          <w:rStyle w:val="normaltextrun"/>
          <w:rFonts w:ascii="Verdana" w:hAnsi="Verdana" w:cs="Arial"/>
          <w:shd w:val="clear" w:color="auto" w:fill="FFFFFF"/>
          <w:lang w:val="es-ES"/>
        </w:rPr>
        <w:t>, C-304 del 4 de julio de 2023, C-051 del 21 de febrero de 2025, C-293 del 16 de abril de 2025, C-295 del 16 de abril de 2025, C-678 del 9 de julio de 2025, C- 1363 del 30 de octubre de 2025, C-1376 del 31 de octubre de 2025, entre otros</w:t>
      </w:r>
      <w:r w:rsidRPr="00277E26">
        <w:rPr>
          <w:rStyle w:val="normaltextrun"/>
          <w:rFonts w:ascii="Verdana" w:hAnsi="Verdana" w:cs="Arial"/>
          <w:shd w:val="clear" w:color="auto" w:fill="FFFFFF"/>
          <w:lang w:val="es-ES"/>
        </w:rPr>
        <w:t xml:space="preserve">. </w:t>
      </w:r>
    </w:p>
    <w:p w14:paraId="66715569" w14:textId="77777777" w:rsidR="007641FC" w:rsidRPr="005644FE" w:rsidRDefault="007641FC" w:rsidP="007641FC">
      <w:pPr>
        <w:widowControl w:val="0"/>
        <w:tabs>
          <w:tab w:val="left" w:pos="3828"/>
        </w:tabs>
        <w:autoSpaceDE w:val="0"/>
        <w:autoSpaceDN w:val="0"/>
        <w:spacing w:after="0" w:line="276" w:lineRule="auto"/>
        <w:jc w:val="both"/>
        <w:rPr>
          <w:rFonts w:ascii="Verdana" w:eastAsia="Times New Roman" w:hAnsi="Verdana" w:cs="Arial"/>
          <w:shd w:val="clear" w:color="auto" w:fill="FFFFFF"/>
        </w:rPr>
      </w:pPr>
      <w:r>
        <w:rPr>
          <w:rStyle w:val="normaltextrun"/>
          <w:rFonts w:ascii="Verdana" w:hAnsi="Verdana" w:cs="Arial"/>
          <w:shd w:val="clear" w:color="auto" w:fill="FFFFFF"/>
          <w:lang w:val="es-ES"/>
        </w:rPr>
        <w:t xml:space="preserve">Sobre las causales de rechazo contempladas en el pliego de condiciones, esta Subdirección se ha pronunciado en los conceptos </w:t>
      </w:r>
      <w:r w:rsidRPr="0039727B">
        <w:rPr>
          <w:rFonts w:ascii="Verdana" w:eastAsia="Calibri" w:hAnsi="Verdana" w:cs="Arial"/>
          <w:shd w:val="clear" w:color="auto" w:fill="FFFFFF"/>
          <w:lang w:val="es-ES"/>
        </w:rPr>
        <w:t>2201913000007117 del 25 de septiembre de 2019, 2201913000009538 del 23 de diciembre de 2019, C- 716 del 30 de octubre de 2020, C-096 del 24 de marzo de 2021, C-056 del 20 de abril de 2021, C-078 del 15 de marzo de 2022, C-321 del 17 de mayo de 2022, C-113 del 22 de marzo de 2022, C-178, C-186 del 12 de abril de 2022, C-406 del 2 de octubre de 2023,</w:t>
      </w:r>
      <w:r>
        <w:rPr>
          <w:rFonts w:ascii="Verdana" w:eastAsia="Calibri" w:hAnsi="Verdana" w:cs="Arial"/>
          <w:shd w:val="clear" w:color="auto" w:fill="FFFFFF"/>
          <w:lang w:val="es-ES"/>
        </w:rPr>
        <w:t xml:space="preserve"> C-244 del 13 de agosto de 2024,</w:t>
      </w:r>
      <w:r w:rsidRPr="0039727B">
        <w:rPr>
          <w:rFonts w:ascii="Verdana" w:eastAsia="Calibri" w:hAnsi="Verdana" w:cs="Arial"/>
          <w:shd w:val="clear" w:color="auto" w:fill="FFFFFF"/>
          <w:lang w:val="es-ES"/>
        </w:rPr>
        <w:t xml:space="preserve"> </w:t>
      </w:r>
      <w:r>
        <w:rPr>
          <w:rFonts w:ascii="Verdana" w:eastAsia="Calibri" w:hAnsi="Verdana" w:cs="Arial"/>
          <w:shd w:val="clear" w:color="auto" w:fill="FFFFFF"/>
          <w:lang w:val="es-ES"/>
        </w:rPr>
        <w:t xml:space="preserve">C- 848 del 4 de agosto de 2025, </w:t>
      </w:r>
      <w:r w:rsidRPr="0039727B">
        <w:rPr>
          <w:rFonts w:ascii="Verdana" w:eastAsia="Calibri" w:hAnsi="Verdana" w:cs="Arial"/>
          <w:shd w:val="clear" w:color="auto" w:fill="FFFFFF"/>
          <w:lang w:val="es-ES"/>
        </w:rPr>
        <w:t>entre otros.</w:t>
      </w:r>
      <w:r>
        <w:rPr>
          <w:rStyle w:val="normaltextrun"/>
          <w:rFonts w:ascii="Verdana" w:hAnsi="Verdana" w:cs="Arial"/>
          <w:shd w:val="clear" w:color="auto" w:fill="FFFFFF"/>
          <w:lang w:val="es-ES"/>
        </w:rPr>
        <w:t xml:space="preserve"> </w:t>
      </w:r>
      <w:r w:rsidRPr="00314EDC">
        <w:rPr>
          <w:rFonts w:ascii="Verdana" w:hAnsi="Verdana" w:cs="Arial"/>
        </w:rPr>
        <w:t xml:space="preserve">Estos y otros </w:t>
      </w:r>
      <w:r w:rsidRPr="00314EDC">
        <w:rPr>
          <w:rFonts w:ascii="Verdana" w:hAnsi="Verdana"/>
        </w:rPr>
        <w:t>conceptos se encuentran disponibles para consulta en el Sistema de relatoría de la Agencia, al cual se puede acceder a través del siguiente enlace:</w:t>
      </w:r>
      <w:r w:rsidRPr="00314EDC">
        <w:rPr>
          <w:rFonts w:ascii="Verdana" w:hAnsi="Verdana" w:cs="Arial"/>
          <w:shd w:val="clear" w:color="auto" w:fill="FFFFFF"/>
        </w:rPr>
        <w:t xml:space="preserve"> </w:t>
      </w:r>
      <w:hyperlink r:id="rId13" w:history="1">
        <w:r w:rsidRPr="00314EDC">
          <w:rPr>
            <w:rStyle w:val="Hipervnculo"/>
            <w:rFonts w:ascii="Verdana" w:hAnsi="Verdana" w:cs="Arial"/>
            <w:shd w:val="clear" w:color="auto" w:fill="FFFFFF"/>
          </w:rPr>
          <w:t>https://relatoria.colombiacompra.gov.co/busqueda/conceptos</w:t>
        </w:r>
      </w:hyperlink>
      <w:r w:rsidRPr="00314EDC">
        <w:rPr>
          <w:rFonts w:ascii="Verdana" w:hAnsi="Verdana" w:cs="Arial"/>
          <w:shd w:val="clear" w:color="auto" w:fill="FFFFFF"/>
        </w:rPr>
        <w:t>.</w:t>
      </w:r>
      <w:r w:rsidRPr="005644FE">
        <w:rPr>
          <w:rFonts w:ascii="Verdana" w:hAnsi="Verdana" w:cs="Arial"/>
          <w:color w:val="FF0000"/>
          <w:shd w:val="clear" w:color="auto" w:fill="FFFFFF"/>
        </w:rPr>
        <w:t xml:space="preserve"> </w:t>
      </w:r>
      <w:r w:rsidRPr="005644FE">
        <w:rPr>
          <w:rFonts w:ascii="Verdana" w:hAnsi="Verdana" w:cs="Arial"/>
          <w:color w:val="000000" w:themeColor="text1"/>
          <w:shd w:val="clear" w:color="auto" w:fill="FFFFFF"/>
        </w:rPr>
        <w:t>  </w:t>
      </w:r>
    </w:p>
    <w:p w14:paraId="24E67A22" w14:textId="77777777" w:rsidR="007641FC" w:rsidRPr="00103B90" w:rsidRDefault="007641FC" w:rsidP="007641FC">
      <w:pPr>
        <w:widowControl w:val="0"/>
        <w:autoSpaceDE w:val="0"/>
        <w:autoSpaceDN w:val="0"/>
        <w:spacing w:after="0" w:line="276" w:lineRule="auto"/>
        <w:jc w:val="both"/>
        <w:rPr>
          <w:rFonts w:ascii="Verdana" w:hAnsi="Verdana"/>
        </w:rPr>
      </w:pPr>
    </w:p>
    <w:p w14:paraId="38E82DCA" w14:textId="77777777" w:rsidR="007641FC" w:rsidRPr="00505CD6" w:rsidRDefault="007641FC" w:rsidP="007641FC">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3E316424" w14:textId="77777777" w:rsidR="007641FC" w:rsidRPr="00505CD6" w:rsidRDefault="007641FC" w:rsidP="007641FC">
      <w:pPr>
        <w:widowControl w:val="0"/>
        <w:autoSpaceDE w:val="0"/>
        <w:autoSpaceDN w:val="0"/>
        <w:spacing w:after="0" w:line="276" w:lineRule="auto"/>
        <w:jc w:val="both"/>
        <w:rPr>
          <w:rFonts w:ascii="Verdana" w:hAnsi="Verdana" w:cs="Arial"/>
        </w:rPr>
      </w:pPr>
    </w:p>
    <w:p w14:paraId="07DB970B" w14:textId="77777777" w:rsidR="007641FC" w:rsidRDefault="007641FC" w:rsidP="007641FC">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106F730F" w14:textId="4B740A14" w:rsidR="007641FC" w:rsidRDefault="00054793" w:rsidP="007641FC">
      <w:pPr>
        <w:spacing w:after="0" w:line="276" w:lineRule="auto"/>
        <w:jc w:val="center"/>
        <w:rPr>
          <w:rFonts w:ascii="Verdana" w:hAnsi="Verdana"/>
          <w:lang w:val="es-ES_tradnl"/>
        </w:rPr>
      </w:pPr>
      <w:r>
        <w:rPr>
          <w:rFonts w:ascii="Verdana" w:hAnsi="Verdana"/>
          <w:noProof/>
          <w:lang w:val="es-ES_tradnl"/>
        </w:rPr>
        <w:drawing>
          <wp:inline distT="0" distB="0" distL="0" distR="0" wp14:anchorId="3DB38179" wp14:editId="12424FF8">
            <wp:extent cx="1519767" cy="560961"/>
            <wp:effectExtent l="0" t="0" r="4445" b="0"/>
            <wp:docPr id="72081584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815842" name="Imagen 1" descr="Texto&#10;&#10;Descripción generada automáticament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525364" cy="563027"/>
                    </a:xfrm>
                    <a:prstGeom prst="rect">
                      <a:avLst/>
                    </a:prstGeom>
                  </pic:spPr>
                </pic:pic>
              </a:graphicData>
            </a:graphic>
          </wp:inline>
        </w:drawing>
      </w:r>
    </w:p>
    <w:tbl>
      <w:tblPr>
        <w:tblStyle w:val="Tablaconcuadrcula"/>
        <w:tblW w:w="58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10"/>
        <w:gridCol w:w="4614"/>
      </w:tblGrid>
      <w:tr w:rsidR="007641FC" w:rsidRPr="00D53651" w14:paraId="2FC5F841" w14:textId="77777777" w:rsidTr="00054793">
        <w:trPr>
          <w:trHeight w:val="216"/>
        </w:trPr>
        <w:tc>
          <w:tcPr>
            <w:tcW w:w="1210" w:type="dxa"/>
            <w:vAlign w:val="center"/>
            <w:hideMark/>
          </w:tcPr>
          <w:p w14:paraId="1E9DB522" w14:textId="77777777" w:rsidR="007641FC" w:rsidRPr="00D53651" w:rsidRDefault="007641FC" w:rsidP="007641FC">
            <w:pPr>
              <w:spacing w:line="276" w:lineRule="auto"/>
              <w:jc w:val="both"/>
              <w:rPr>
                <w:rFonts w:ascii="Verdana" w:hAnsi="Verdana"/>
                <w:sz w:val="16"/>
                <w:szCs w:val="16"/>
              </w:rPr>
            </w:pPr>
            <w:r w:rsidRPr="00D53651">
              <w:rPr>
                <w:rFonts w:ascii="Verdana" w:hAnsi="Verdana"/>
                <w:sz w:val="16"/>
                <w:szCs w:val="16"/>
              </w:rPr>
              <w:t>Elaboró:</w:t>
            </w:r>
          </w:p>
        </w:tc>
        <w:tc>
          <w:tcPr>
            <w:tcW w:w="4614" w:type="dxa"/>
            <w:tcBorders>
              <w:top w:val="nil"/>
              <w:left w:val="nil"/>
              <w:bottom w:val="dotted" w:sz="4" w:space="0" w:color="7F7F7F"/>
              <w:right w:val="nil"/>
            </w:tcBorders>
            <w:vAlign w:val="center"/>
            <w:hideMark/>
          </w:tcPr>
          <w:p w14:paraId="233A930C" w14:textId="77777777" w:rsidR="007641FC" w:rsidRPr="00D53651" w:rsidRDefault="007641FC" w:rsidP="007641FC">
            <w:pPr>
              <w:spacing w:line="276" w:lineRule="auto"/>
              <w:jc w:val="both"/>
              <w:rPr>
                <w:rFonts w:ascii="Verdana" w:hAnsi="Verdana"/>
                <w:sz w:val="16"/>
                <w:szCs w:val="16"/>
              </w:rPr>
            </w:pPr>
            <w:r>
              <w:rPr>
                <w:rFonts w:ascii="Verdana" w:hAnsi="Verdana"/>
                <w:sz w:val="16"/>
                <w:szCs w:val="16"/>
              </w:rPr>
              <w:t>Gloria Elizabeth Arango Builes</w:t>
            </w:r>
          </w:p>
          <w:p w14:paraId="192807F5" w14:textId="77777777" w:rsidR="007641FC" w:rsidRPr="00D53651" w:rsidRDefault="007641FC" w:rsidP="007641FC">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7641FC" w:rsidRPr="00D53651" w14:paraId="30D555D8" w14:textId="77777777" w:rsidTr="00054793">
        <w:trPr>
          <w:trHeight w:val="227"/>
        </w:trPr>
        <w:tc>
          <w:tcPr>
            <w:tcW w:w="1210" w:type="dxa"/>
            <w:vAlign w:val="center"/>
            <w:hideMark/>
          </w:tcPr>
          <w:p w14:paraId="58D19C92" w14:textId="77777777" w:rsidR="007641FC" w:rsidRPr="00D53651" w:rsidRDefault="007641FC" w:rsidP="007641FC">
            <w:pPr>
              <w:spacing w:line="276" w:lineRule="auto"/>
              <w:jc w:val="both"/>
              <w:rPr>
                <w:rFonts w:ascii="Verdana" w:hAnsi="Verdana"/>
                <w:sz w:val="16"/>
                <w:szCs w:val="16"/>
              </w:rPr>
            </w:pPr>
            <w:r w:rsidRPr="00D53651">
              <w:rPr>
                <w:rFonts w:ascii="Verdana" w:hAnsi="Verdana"/>
                <w:sz w:val="16"/>
                <w:szCs w:val="16"/>
              </w:rPr>
              <w:lastRenderedPageBreak/>
              <w:t>Revisó:</w:t>
            </w:r>
          </w:p>
        </w:tc>
        <w:tc>
          <w:tcPr>
            <w:tcW w:w="4614" w:type="dxa"/>
            <w:tcBorders>
              <w:top w:val="dotted" w:sz="4" w:space="0" w:color="7F7F7F"/>
              <w:left w:val="nil"/>
              <w:bottom w:val="dotted" w:sz="4" w:space="0" w:color="7F7F7F"/>
              <w:right w:val="nil"/>
            </w:tcBorders>
            <w:vAlign w:val="center"/>
            <w:hideMark/>
          </w:tcPr>
          <w:p w14:paraId="7C706766" w14:textId="77777777" w:rsidR="007641FC" w:rsidRPr="00D53651" w:rsidRDefault="007641FC" w:rsidP="007641FC">
            <w:pPr>
              <w:spacing w:line="276" w:lineRule="auto"/>
              <w:jc w:val="both"/>
              <w:rPr>
                <w:rFonts w:ascii="Verdana" w:hAnsi="Verdana"/>
                <w:sz w:val="16"/>
                <w:szCs w:val="16"/>
              </w:rPr>
            </w:pPr>
            <w:r>
              <w:rPr>
                <w:rFonts w:ascii="Verdana" w:hAnsi="Verdana"/>
                <w:sz w:val="16"/>
                <w:szCs w:val="16"/>
              </w:rPr>
              <w:t>Diana Lucía Saavedra</w:t>
            </w:r>
            <w:r w:rsidRPr="00D53651">
              <w:rPr>
                <w:rFonts w:ascii="Verdana" w:hAnsi="Verdana"/>
                <w:sz w:val="16"/>
                <w:szCs w:val="16"/>
              </w:rPr>
              <w:t xml:space="preserve"> </w:t>
            </w:r>
          </w:p>
          <w:p w14:paraId="7F3BB680" w14:textId="77777777" w:rsidR="007641FC" w:rsidRPr="00D53651" w:rsidRDefault="007641FC" w:rsidP="007641FC">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7641FC" w:rsidRPr="00D53651" w14:paraId="4CC763E0" w14:textId="77777777" w:rsidTr="00054793">
        <w:trPr>
          <w:trHeight w:val="206"/>
        </w:trPr>
        <w:tc>
          <w:tcPr>
            <w:tcW w:w="1210" w:type="dxa"/>
            <w:vAlign w:val="center"/>
            <w:hideMark/>
          </w:tcPr>
          <w:p w14:paraId="034B175D" w14:textId="77777777" w:rsidR="007641FC" w:rsidRPr="00D53651" w:rsidRDefault="007641FC" w:rsidP="007641FC">
            <w:pPr>
              <w:spacing w:line="276" w:lineRule="auto"/>
              <w:jc w:val="both"/>
              <w:rPr>
                <w:rFonts w:ascii="Verdana" w:hAnsi="Verdana"/>
                <w:sz w:val="16"/>
                <w:szCs w:val="16"/>
              </w:rPr>
            </w:pPr>
            <w:r w:rsidRPr="00D53651">
              <w:rPr>
                <w:rFonts w:ascii="Verdana" w:hAnsi="Verdana"/>
                <w:sz w:val="16"/>
                <w:szCs w:val="16"/>
              </w:rPr>
              <w:t>Aprobó:</w:t>
            </w:r>
          </w:p>
        </w:tc>
        <w:tc>
          <w:tcPr>
            <w:tcW w:w="4614" w:type="dxa"/>
            <w:tcBorders>
              <w:top w:val="dotted" w:sz="4" w:space="0" w:color="7F7F7F"/>
              <w:left w:val="nil"/>
              <w:bottom w:val="dotted" w:sz="4" w:space="0" w:color="7F7F7F"/>
              <w:right w:val="nil"/>
            </w:tcBorders>
            <w:vAlign w:val="center"/>
            <w:hideMark/>
          </w:tcPr>
          <w:p w14:paraId="72CC00BB" w14:textId="77777777" w:rsidR="007641FC" w:rsidRPr="00D53651" w:rsidRDefault="007641FC" w:rsidP="007641FC">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1744FDC0" w14:textId="77777777" w:rsidR="007641FC" w:rsidRPr="00D53651" w:rsidRDefault="007641FC" w:rsidP="007641FC">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184F59E6" w14:textId="77777777" w:rsidR="007641FC" w:rsidRPr="000931E9" w:rsidRDefault="007641FC" w:rsidP="007641FC"/>
    <w:p w14:paraId="37389802" w14:textId="77777777" w:rsidR="007641FC" w:rsidRPr="0044528D" w:rsidRDefault="007641FC" w:rsidP="007641FC">
      <w:pPr>
        <w:spacing w:after="0"/>
        <w:rPr>
          <w:rFonts w:ascii="Verdana" w:hAnsi="Verdana"/>
        </w:rPr>
      </w:pPr>
    </w:p>
    <w:p w14:paraId="112C5B32" w14:textId="77777777" w:rsidR="007641FC" w:rsidRPr="00FA01E0" w:rsidRDefault="007641FC" w:rsidP="007641FC">
      <w:pPr>
        <w:spacing w:after="0" w:line="276" w:lineRule="auto"/>
        <w:jc w:val="both"/>
        <w:rPr>
          <w:rFonts w:ascii="Verdana" w:eastAsia="Calibri" w:hAnsi="Verdana" w:cs="Arial"/>
          <w:lang w:val="es-ES"/>
        </w:rPr>
      </w:pPr>
    </w:p>
    <w:p w14:paraId="6DB3582A" w14:textId="77777777" w:rsidR="007641FC" w:rsidRDefault="007641FC" w:rsidP="007641FC"/>
    <w:p w14:paraId="144A3CA5" w14:textId="77777777" w:rsidR="007641FC" w:rsidRDefault="007641FC" w:rsidP="007641FC"/>
    <w:p w14:paraId="7F05434E" w14:textId="77777777" w:rsidR="007641FC" w:rsidRDefault="007641FC" w:rsidP="007641FC"/>
    <w:p w14:paraId="07F3FE7A" w14:textId="77777777" w:rsidR="007641FC" w:rsidRDefault="007641FC" w:rsidP="007641FC"/>
    <w:p w14:paraId="36763A9B" w14:textId="77777777" w:rsidR="007641FC" w:rsidRDefault="007641FC" w:rsidP="007641FC"/>
    <w:p w14:paraId="70B30D32" w14:textId="77777777" w:rsidR="007641FC" w:rsidRDefault="007641FC" w:rsidP="007641FC"/>
    <w:p w14:paraId="200E1C8B" w14:textId="77777777" w:rsidR="007641FC" w:rsidRDefault="007641FC" w:rsidP="007641FC"/>
    <w:p w14:paraId="13FB33C5" w14:textId="77777777" w:rsidR="007641FC" w:rsidRDefault="007641FC" w:rsidP="007641FC"/>
    <w:p w14:paraId="26FDDB9E" w14:textId="77777777" w:rsidR="007641FC" w:rsidRPr="00FF4E35" w:rsidRDefault="007641FC" w:rsidP="007641FC"/>
    <w:p w14:paraId="0F293BF4" w14:textId="4C986D4A" w:rsidR="00127233" w:rsidRPr="007641FC" w:rsidRDefault="00127233" w:rsidP="007641FC"/>
    <w:sectPr w:rsidR="00127233" w:rsidRPr="007641FC"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4E3464" w14:textId="77777777" w:rsidR="00707CC2" w:rsidRDefault="00707CC2" w:rsidP="004A1847">
      <w:pPr>
        <w:spacing w:after="0" w:line="240" w:lineRule="auto"/>
      </w:pPr>
      <w:r>
        <w:separator/>
      </w:r>
    </w:p>
  </w:endnote>
  <w:endnote w:type="continuationSeparator" w:id="0">
    <w:p w14:paraId="2A206563" w14:textId="77777777" w:rsidR="00707CC2" w:rsidRDefault="00707CC2" w:rsidP="004A1847">
      <w:pPr>
        <w:spacing w:after="0" w:line="240" w:lineRule="auto"/>
      </w:pPr>
      <w:r>
        <w:continuationSeparator/>
      </w:r>
    </w:p>
  </w:endnote>
  <w:endnote w:type="continuationNotice" w:id="1">
    <w:p w14:paraId="67E9FF61" w14:textId="77777777" w:rsidR="00707CC2" w:rsidRDefault="00707CC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CD7618" w14:textId="77777777" w:rsidR="00707CC2" w:rsidRDefault="00707CC2" w:rsidP="004A1847">
      <w:pPr>
        <w:spacing w:after="0" w:line="240" w:lineRule="auto"/>
      </w:pPr>
      <w:r>
        <w:separator/>
      </w:r>
    </w:p>
  </w:footnote>
  <w:footnote w:type="continuationSeparator" w:id="0">
    <w:p w14:paraId="3230F6B9" w14:textId="77777777" w:rsidR="00707CC2" w:rsidRDefault="00707CC2" w:rsidP="004A1847">
      <w:pPr>
        <w:spacing w:after="0" w:line="240" w:lineRule="auto"/>
      </w:pPr>
      <w:r>
        <w:continuationSeparator/>
      </w:r>
    </w:p>
  </w:footnote>
  <w:footnote w:type="continuationNotice" w:id="1">
    <w:p w14:paraId="12717BCA" w14:textId="77777777" w:rsidR="00707CC2" w:rsidRDefault="00707CC2">
      <w:pPr>
        <w:spacing w:after="0" w:line="240" w:lineRule="auto"/>
      </w:pPr>
    </w:p>
  </w:footnote>
  <w:footnote w:id="2">
    <w:p w14:paraId="61EEDE82" w14:textId="77777777" w:rsidR="007641FC" w:rsidRPr="00AF56B9" w:rsidRDefault="007641FC" w:rsidP="007641FC">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Ley 80 de 1993, art. 30.7: “De acuerdo con la naturaleza, objeto y cuantía del contrato, en los pliegos de condiciones o términos de referencia, se señalará el plazo razonable dentro del cual la entidad deberá elaborar los estudios técnicos, económicos y jurídicos necesarios para la evaluación de las propuestas y para solicitar a los proponentes las aclaraciones y explicaciones que se estimen indispensables”. </w:t>
      </w:r>
    </w:p>
    <w:p w14:paraId="23DAFC57" w14:textId="77777777" w:rsidR="007641FC" w:rsidRPr="00AF56B9" w:rsidRDefault="007641FC" w:rsidP="007641FC">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3">
    <w:p w14:paraId="230F6AA7" w14:textId="77777777" w:rsidR="007641FC" w:rsidRPr="00AF56B9" w:rsidRDefault="007641FC" w:rsidP="007641FC">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Ley 80 de 1993, art. 30.8: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footnote>
  <w:footnote w:id="4">
    <w:p w14:paraId="217B425D" w14:textId="77777777" w:rsidR="007641FC" w:rsidRPr="00AF56B9" w:rsidRDefault="007641FC" w:rsidP="007641FC">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Consejo de Estado. Sala de lo Contencioso Administrativo Sección Tercera, Subsección C. Sentencia del 26 de febrero de 2014. Radicado: 1999-00113-01 (25.804). C.P. Enrique Gil Botero. </w:t>
      </w:r>
    </w:p>
    <w:p w14:paraId="10ADBE62" w14:textId="77777777" w:rsidR="007641FC" w:rsidRPr="00AF56B9" w:rsidRDefault="007641FC" w:rsidP="007641FC">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5">
    <w:p w14:paraId="746D6BD9" w14:textId="77777777" w:rsidR="007641FC" w:rsidRPr="00AF56B9" w:rsidRDefault="007641FC" w:rsidP="007641FC">
      <w:pPr>
        <w:pStyle w:val="Textonotapie"/>
        <w:ind w:firstLine="709"/>
        <w:jc w:val="both"/>
        <w:rPr>
          <w:rFonts w:ascii="Verdana" w:hAnsi="Verdana"/>
          <w:sz w:val="16"/>
          <w:szCs w:val="16"/>
        </w:rPr>
      </w:pPr>
      <w:r w:rsidRPr="00AF56B9">
        <w:rPr>
          <w:rStyle w:val="Refdenotaalpie"/>
          <w:rFonts w:ascii="Verdana" w:hAnsi="Verdana"/>
          <w:sz w:val="16"/>
          <w:szCs w:val="16"/>
        </w:rPr>
        <w:footnoteRef/>
      </w:r>
      <w:r w:rsidRPr="00AF56B9">
        <w:rPr>
          <w:rFonts w:ascii="Verdana" w:hAnsi="Verdana"/>
          <w:sz w:val="16"/>
          <w:szCs w:val="16"/>
        </w:rPr>
        <w:t xml:space="preserve"> En </w:t>
      </w:r>
      <w:hyperlink r:id="rId1" w:history="1">
        <w:r w:rsidRPr="00AF56B9">
          <w:rPr>
            <w:rStyle w:val="Hipervnculo"/>
            <w:rFonts w:ascii="Verdana" w:hAnsi="Verdana"/>
            <w:sz w:val="16"/>
            <w:szCs w:val="16"/>
            <w:lang w:val="es-CO"/>
          </w:rPr>
          <w:t>circular_externa_unica_version_3_vf49.pdf</w:t>
        </w:r>
      </w:hyperlink>
    </w:p>
  </w:footnote>
  <w:footnote w:id="6">
    <w:p w14:paraId="24CF5128" w14:textId="77777777" w:rsidR="007641FC" w:rsidRPr="00AF56B9" w:rsidRDefault="007641FC" w:rsidP="007641FC">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vertAlign w:val="superscript"/>
        </w:rPr>
        <w:t xml:space="preserve"> </w:t>
      </w:r>
      <w:r w:rsidRPr="00AF56B9">
        <w:rPr>
          <w:rFonts w:ascii="Verdana" w:eastAsia="Arial" w:hAnsi="Verdana" w:cs="Arial"/>
          <w:color w:val="000000"/>
          <w:sz w:val="16"/>
          <w:szCs w:val="16"/>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footnote>
  <w:footnote w:id="7">
    <w:p w14:paraId="40691F9B" w14:textId="77777777" w:rsidR="007641FC" w:rsidRPr="00AF56B9" w:rsidRDefault="007641FC" w:rsidP="007641FC">
      <w:pP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Decreto 2474 de 2008 (DEROGADO): “art. 10. Reglas de subsanabilidad. En todo proceso de selección de contratistas primará lo sustancial sobre lo formal. En consecuencia no podrá rechazarse una propuesta por la ausencia de requisitos o la falta de documentos que verifiquen las condiciones del proponente o soporten el contenido de la oferta, y que no constituyan los factores de escogencia establecidos por la entidad en el pliego de condiciones, de conformidad con lo previsto en los numerales 2º, 3º y 4º del artículo 5º de la </w:t>
      </w:r>
      <w:hyperlink r:id="rId2">
        <w:r w:rsidRPr="00AF56B9">
          <w:rPr>
            <w:rFonts w:ascii="Verdana" w:eastAsia="Arial" w:hAnsi="Verdana" w:cs="Arial"/>
            <w:color w:val="000000"/>
            <w:sz w:val="16"/>
            <w:szCs w:val="16"/>
          </w:rPr>
          <w:t>Ley 1150 de 2007</w:t>
        </w:r>
      </w:hyperlink>
      <w:r w:rsidRPr="00AF56B9">
        <w:rPr>
          <w:rFonts w:ascii="Verdana" w:eastAsia="Arial" w:hAnsi="Verdana" w:cs="Arial"/>
          <w:color w:val="000000"/>
          <w:sz w:val="16"/>
          <w:szCs w:val="16"/>
        </w:rPr>
        <w:t> y en el presente decreto.</w:t>
      </w:r>
    </w:p>
    <w:p w14:paraId="1BEE605E" w14:textId="77777777" w:rsidR="007641FC" w:rsidRPr="00AF56B9" w:rsidRDefault="007641FC" w:rsidP="007641FC">
      <w:pPr>
        <w:spacing w:after="0" w:line="240" w:lineRule="auto"/>
        <w:ind w:firstLine="709"/>
        <w:jc w:val="both"/>
        <w:rPr>
          <w:rFonts w:ascii="Verdana" w:eastAsia="Arial" w:hAnsi="Verdana" w:cs="Arial"/>
          <w:color w:val="000000"/>
          <w:sz w:val="16"/>
          <w:szCs w:val="16"/>
        </w:rPr>
      </w:pPr>
      <w:r w:rsidRPr="00AF56B9">
        <w:rPr>
          <w:rFonts w:ascii="Verdana" w:eastAsia="Arial" w:hAnsi="Verdana" w:cs="Arial"/>
          <w:color w:val="000000"/>
          <w:sz w:val="16"/>
          <w:szCs w:val="16"/>
        </w:rPr>
        <w:t>Tales requisitos o documentos podrán ser requeridos por la entidad en condiciones de igualdad para todos los proponentes hasta la adjudicación, o hasta el momento en que la entidad lo establezca en los pliegos de condiciones, sin que tal previsión haga nugatorio el principio contemplado en el inciso anterior.</w:t>
      </w:r>
    </w:p>
    <w:p w14:paraId="22F3AE92" w14:textId="77777777" w:rsidR="007641FC" w:rsidRPr="00AF56B9" w:rsidRDefault="007641FC" w:rsidP="007641FC">
      <w:pPr>
        <w:spacing w:after="0" w:line="240" w:lineRule="auto"/>
        <w:ind w:firstLine="709"/>
        <w:jc w:val="both"/>
        <w:rPr>
          <w:rFonts w:ascii="Verdana" w:eastAsia="Arial" w:hAnsi="Verdana" w:cs="Arial"/>
          <w:color w:val="000000"/>
          <w:sz w:val="16"/>
          <w:szCs w:val="16"/>
        </w:rPr>
      </w:pPr>
      <w:r w:rsidRPr="00AF56B9">
        <w:rPr>
          <w:rFonts w:ascii="Verdana" w:eastAsia="Arial" w:hAnsi="Verdana" w:cs="Arial"/>
          <w:color w:val="000000"/>
          <w:sz w:val="16"/>
          <w:szCs w:val="16"/>
        </w:rPr>
        <w:t>Será rechazada la oferta del proponente que dentro del término previsto en el pliego o en la solicitud, no responda al requerimiento que le haga la entidad para subsanarla.</w:t>
      </w:r>
    </w:p>
    <w:p w14:paraId="797CE842" w14:textId="77777777" w:rsidR="007641FC" w:rsidRPr="00AF56B9" w:rsidRDefault="007641FC" w:rsidP="007641FC">
      <w:pPr>
        <w:spacing w:after="0" w:line="240" w:lineRule="auto"/>
        <w:ind w:firstLine="709"/>
        <w:jc w:val="both"/>
        <w:rPr>
          <w:rFonts w:ascii="Verdana" w:eastAsia="Arial" w:hAnsi="Verdana" w:cs="Arial"/>
          <w:color w:val="000000"/>
          <w:sz w:val="16"/>
          <w:szCs w:val="16"/>
        </w:rPr>
      </w:pPr>
      <w:r w:rsidRPr="00AF56B9">
        <w:rPr>
          <w:rFonts w:ascii="Verdana" w:eastAsia="Arial" w:hAnsi="Verdana" w:cs="Arial"/>
          <w:color w:val="000000"/>
          <w:sz w:val="16"/>
          <w:szCs w:val="16"/>
        </w:rPr>
        <w:t>Cuando se utilice el mecanismo de subasta esta posibilidad deberá ejercerse hasta el momento previo a su realización, de conformidad con el artículo 22 del presente decreto.</w:t>
      </w:r>
    </w:p>
    <w:p w14:paraId="47E72848" w14:textId="77777777" w:rsidR="007641FC" w:rsidRDefault="007641FC" w:rsidP="007641FC">
      <w:pPr>
        <w:spacing w:after="0" w:line="240" w:lineRule="auto"/>
        <w:ind w:firstLine="709"/>
        <w:jc w:val="both"/>
        <w:rPr>
          <w:rFonts w:ascii="Verdana" w:eastAsia="Arial" w:hAnsi="Verdana" w:cs="Arial"/>
          <w:color w:val="000000"/>
          <w:sz w:val="14"/>
          <w:szCs w:val="14"/>
        </w:rPr>
      </w:pPr>
      <w:r w:rsidRPr="00AF56B9">
        <w:rPr>
          <w:rFonts w:ascii="Verdana" w:eastAsia="Arial" w:hAnsi="Verdana" w:cs="Arial"/>
          <w:color w:val="000000"/>
          <w:sz w:val="16"/>
          <w:szCs w:val="16"/>
        </w:rPr>
        <w:t xml:space="preserve">En ningún caso la entidad podrá señalar taxativamente los requisitos o documentos subsanables o no subsanables en el pliego de condiciones, </w:t>
      </w:r>
      <w:r w:rsidRPr="00AF56B9">
        <w:rPr>
          <w:rFonts w:ascii="Verdana" w:eastAsia="Arial" w:hAnsi="Verdana" w:cs="Arial"/>
          <w:i/>
          <w:color w:val="000000"/>
          <w:sz w:val="16"/>
          <w:szCs w:val="16"/>
        </w:rPr>
        <w:t>ni permitir que se subsane la falta de capacidad para presentar la oferta, ni que se acrediten circunstancias ocurridas con posterioridad al cierre del proceso</w:t>
      </w:r>
      <w:r w:rsidRPr="00AF56B9">
        <w:rPr>
          <w:rFonts w:ascii="Verdana" w:eastAsia="Arial" w:hAnsi="Verdana" w:cs="Arial"/>
          <w:color w:val="000000"/>
          <w:sz w:val="16"/>
          <w:szCs w:val="16"/>
        </w:rPr>
        <w:t>”. (Cursivas fuera de texto).</w:t>
      </w:r>
      <w:r w:rsidRPr="00817F71">
        <w:rPr>
          <w:rFonts w:ascii="Verdana" w:eastAsia="Arial" w:hAnsi="Verdana" w:cs="Arial"/>
          <w:color w:val="000000"/>
          <w:sz w:val="14"/>
          <w:szCs w:val="14"/>
        </w:rPr>
        <w:t xml:space="preserve"> </w:t>
      </w:r>
    </w:p>
    <w:p w14:paraId="0A013930" w14:textId="77777777" w:rsidR="007641FC" w:rsidRPr="00817F71" w:rsidRDefault="007641FC" w:rsidP="007641FC">
      <w:pPr>
        <w:spacing w:after="0" w:line="240" w:lineRule="auto"/>
        <w:ind w:firstLine="709"/>
        <w:jc w:val="both"/>
        <w:rPr>
          <w:rFonts w:ascii="Verdana" w:eastAsia="Arial" w:hAnsi="Verdana" w:cs="Arial"/>
          <w:color w:val="000000"/>
          <w:sz w:val="14"/>
          <w:szCs w:val="14"/>
        </w:rPr>
      </w:pPr>
    </w:p>
  </w:footnote>
  <w:footnote w:id="8">
    <w:p w14:paraId="6BFB908B" w14:textId="77777777" w:rsidR="007641FC" w:rsidRPr="00AF56B9" w:rsidRDefault="007641FC" w:rsidP="007641FC">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Consejo de Estado. Sala de Consulta y Servicio Civil, concepto del 6 de noviembre de 2008. Rad. 2008-00079-00 (1927). C.P. William Zambrano Cetina.</w:t>
      </w:r>
    </w:p>
  </w:footnote>
  <w:footnote w:id="9">
    <w:p w14:paraId="2CE527D9" w14:textId="77777777" w:rsidR="007641FC" w:rsidRPr="00AF56B9" w:rsidRDefault="007641FC" w:rsidP="007641FC">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Ver Consejo de Estado. Sala de lo Contencioso Administrativo. Sección Tercera, Subsección C. Sentencia del 26 de febrero de 2011. Radicado: 11001-03-26-000-2009-00018-00 (36.408). C.P. Jaime Orlando Santofimio.   </w:t>
      </w:r>
    </w:p>
    <w:p w14:paraId="6E367357" w14:textId="77777777" w:rsidR="007641FC" w:rsidRPr="00AF56B9" w:rsidRDefault="007641FC" w:rsidP="007641FC">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10">
    <w:p w14:paraId="39F3C3B2" w14:textId="77777777" w:rsidR="007641FC" w:rsidRPr="00AF56B9" w:rsidRDefault="007641FC" w:rsidP="007641FC">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Ver Consejo de Estado, Sección Tercera, Subsección C. Sentencia del 26 de febrero de 2014. C.P. Enrique Gil Botero. Radicado: 13001-23-31-000-1999-00113-01 (25.804). M.P: Enrique Gil Botero.   </w:t>
      </w:r>
    </w:p>
    <w:p w14:paraId="57A75D81" w14:textId="77777777" w:rsidR="007641FC" w:rsidRPr="00AF56B9" w:rsidRDefault="007641FC" w:rsidP="007641FC">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11">
    <w:p w14:paraId="4ABAEF89" w14:textId="77777777" w:rsidR="007641FC" w:rsidRPr="00AF56B9" w:rsidRDefault="007641FC" w:rsidP="007641FC">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Consejo de Estado. Sala de Consulta y Servicio Civil. Concepto del 20 de mayo de 2010. Rad. 2010-00034-00 (1992). C.P. Enrique José Arboleda Perdomo.</w:t>
      </w:r>
    </w:p>
    <w:p w14:paraId="0084342A" w14:textId="77777777" w:rsidR="007641FC" w:rsidRPr="00AF56B9" w:rsidRDefault="007641FC" w:rsidP="007641FC">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12">
    <w:p w14:paraId="6AD1D71E" w14:textId="77777777" w:rsidR="007641FC" w:rsidRPr="00A76E99" w:rsidRDefault="007641FC" w:rsidP="007641FC">
      <w:pPr>
        <w:pStyle w:val="Textonotapie"/>
        <w:ind w:firstLine="709"/>
        <w:rPr>
          <w:rFonts w:ascii="Verdana" w:hAnsi="Verdana"/>
          <w:sz w:val="16"/>
          <w:szCs w:val="16"/>
          <w:lang w:val="es-CO"/>
        </w:rPr>
      </w:pPr>
      <w:r w:rsidRPr="00AF56B9">
        <w:rPr>
          <w:rStyle w:val="Refdenotaalpie"/>
          <w:rFonts w:ascii="Verdana" w:hAnsi="Verdana"/>
          <w:sz w:val="16"/>
          <w:szCs w:val="16"/>
        </w:rPr>
        <w:footnoteRef/>
      </w:r>
      <w:r w:rsidRPr="00AF56B9">
        <w:rPr>
          <w:rFonts w:ascii="Verdana" w:hAnsi="Verdana"/>
          <w:sz w:val="16"/>
          <w:szCs w:val="16"/>
          <w:lang w:val="es-CO"/>
        </w:rPr>
        <w:t xml:space="preserve"> Disponible en </w:t>
      </w:r>
      <w:hyperlink r:id="rId3" w:history="1">
        <w:r w:rsidRPr="00AF56B9">
          <w:rPr>
            <w:rStyle w:val="Hipervnculo"/>
            <w:rFonts w:ascii="Verdana" w:hAnsi="Verdana"/>
            <w:sz w:val="16"/>
            <w:szCs w:val="16"/>
            <w:lang w:val="es-CO"/>
          </w:rPr>
          <w:t>cce-eicp-ma-04._manual_requisitos_habilitantes_v3_29-09-2023.pdf</w:t>
        </w:r>
      </w:hyperlink>
    </w:p>
    <w:p w14:paraId="0F368C05" w14:textId="77777777" w:rsidR="007641FC" w:rsidRPr="00AF56B9" w:rsidRDefault="007641FC" w:rsidP="007641FC">
      <w:pPr>
        <w:pStyle w:val="Textonotapie"/>
        <w:ind w:firstLine="709"/>
        <w:rPr>
          <w:rFonts w:ascii="Verdana" w:hAnsi="Verdana"/>
          <w:sz w:val="16"/>
          <w:szCs w:val="16"/>
          <w:lang w:val="es-CO"/>
        </w:rPr>
      </w:pPr>
    </w:p>
  </w:footnote>
  <w:footnote w:id="13">
    <w:p w14:paraId="3C08FADC" w14:textId="77777777" w:rsidR="007641FC" w:rsidRPr="00AF56B9" w:rsidRDefault="007641FC" w:rsidP="007641FC">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hAnsi="Verdana" w:cs="Arial"/>
          <w:color w:val="000000" w:themeColor="text1"/>
          <w:sz w:val="16"/>
          <w:szCs w:val="16"/>
          <w:vertAlign w:val="superscript"/>
        </w:rPr>
        <w:footnoteRef/>
      </w:r>
      <w:r w:rsidRPr="00AF56B9">
        <w:rPr>
          <w:rFonts w:ascii="Verdana" w:eastAsia="Arial" w:hAnsi="Verdana" w:cs="Arial"/>
          <w:color w:val="000000" w:themeColor="text1"/>
          <w:sz w:val="16"/>
          <w:szCs w:val="16"/>
        </w:rPr>
        <w:t xml:space="preserve">  RODRÍGUEZ TAMAYO, Mauricio Fernando. Evaluación y rechazo de ofertas en la Ley 80 de 1993. Medellín: Librería Jurídica Sánchez, 2016. p. 190. </w:t>
      </w:r>
    </w:p>
    <w:p w14:paraId="3F8C9A3F" w14:textId="77777777" w:rsidR="007641FC" w:rsidRPr="00AF56B9" w:rsidRDefault="007641FC" w:rsidP="007641FC">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p>
  </w:footnote>
  <w:footnote w:id="14">
    <w:p w14:paraId="100631F0" w14:textId="77777777" w:rsidR="007641FC" w:rsidRPr="00AF56B9" w:rsidRDefault="007641FC" w:rsidP="007641FC">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hAnsi="Verdana" w:cs="Arial"/>
          <w:color w:val="000000" w:themeColor="text1"/>
          <w:sz w:val="16"/>
          <w:szCs w:val="16"/>
          <w:vertAlign w:val="superscript"/>
        </w:rPr>
        <w:footnoteRef/>
      </w:r>
      <w:r w:rsidRPr="00AF56B9">
        <w:rPr>
          <w:rFonts w:ascii="Verdana" w:eastAsia="Arial" w:hAnsi="Verdana" w:cs="Arial"/>
          <w:color w:val="000000" w:themeColor="text1"/>
          <w:sz w:val="16"/>
          <w:szCs w:val="16"/>
        </w:rPr>
        <w:t xml:space="preserve">  Ley 80 de 1993 “</w:t>
      </w:r>
      <w:r w:rsidRPr="00AF56B9">
        <w:rPr>
          <w:rFonts w:ascii="Verdana" w:eastAsia="Arial" w:hAnsi="Verdana" w:cs="Arial"/>
          <w:bCs/>
          <w:color w:val="000000" w:themeColor="text1"/>
          <w:sz w:val="16"/>
          <w:szCs w:val="16"/>
        </w:rPr>
        <w:t>Articulo 24. Del principio de transparencia. </w:t>
      </w:r>
      <w:r w:rsidRPr="00AF56B9">
        <w:rPr>
          <w:rFonts w:ascii="Verdana" w:eastAsia="Arial" w:hAnsi="Verdana" w:cs="Arial"/>
          <w:color w:val="000000" w:themeColor="text1"/>
          <w:sz w:val="16"/>
          <w:szCs w:val="16"/>
        </w:rPr>
        <w:t xml:space="preserve">En virtud de este principio: </w:t>
      </w:r>
    </w:p>
    <w:p w14:paraId="58B68FDD" w14:textId="77777777" w:rsidR="007641FC" w:rsidRPr="00AF56B9" w:rsidRDefault="007641FC" w:rsidP="007641FC">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w:t>
      </w:r>
    </w:p>
    <w:p w14:paraId="6EB9FCA8" w14:textId="77777777" w:rsidR="007641FC" w:rsidRPr="00AF56B9" w:rsidRDefault="007641FC" w:rsidP="007641FC">
      <w:pP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5o. En los pliegos de condiciones:</w:t>
      </w:r>
    </w:p>
    <w:p w14:paraId="701E9E08" w14:textId="77777777" w:rsidR="007641FC" w:rsidRPr="00AF56B9" w:rsidRDefault="007641FC" w:rsidP="007641FC">
      <w:pP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w:t>
      </w:r>
    </w:p>
    <w:p w14:paraId="61A1936A" w14:textId="77777777" w:rsidR="007641FC" w:rsidRDefault="007641FC" w:rsidP="007641FC">
      <w:pP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b) Se definirán reglas objetivas, justas, claras y completas que permitan la confección de ofrecimientos de la misma índole, aseguren una escogencia objetiva y eviten la declaratoria de desierta de la licitación […]”.</w:t>
      </w:r>
    </w:p>
    <w:p w14:paraId="0EA122C0" w14:textId="77777777" w:rsidR="007641FC" w:rsidRPr="00AF56B9" w:rsidRDefault="007641FC" w:rsidP="007641FC">
      <w:pPr>
        <w:spacing w:after="0" w:line="240" w:lineRule="auto"/>
        <w:ind w:firstLine="709"/>
        <w:jc w:val="both"/>
        <w:rPr>
          <w:rFonts w:ascii="Verdana" w:eastAsia="Arial" w:hAnsi="Verdana" w:cs="Arial"/>
          <w:color w:val="000000" w:themeColor="text1"/>
          <w:sz w:val="16"/>
          <w:szCs w:val="16"/>
        </w:rPr>
      </w:pPr>
    </w:p>
  </w:footnote>
  <w:footnote w:id="15">
    <w:p w14:paraId="56BEE00A" w14:textId="77777777" w:rsidR="007641FC" w:rsidRPr="00AF56B9" w:rsidRDefault="007641FC" w:rsidP="007641FC">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hAnsi="Verdana" w:cs="Arial"/>
          <w:color w:val="000000" w:themeColor="text1"/>
          <w:sz w:val="16"/>
          <w:szCs w:val="16"/>
          <w:vertAlign w:val="superscript"/>
        </w:rPr>
        <w:footnoteRef/>
      </w:r>
      <w:r w:rsidRPr="00AF56B9">
        <w:rPr>
          <w:rFonts w:ascii="Verdana" w:eastAsia="Arial" w:hAnsi="Verdana" w:cs="Arial"/>
          <w:color w:val="000000" w:themeColor="text1"/>
          <w:sz w:val="16"/>
          <w:szCs w:val="16"/>
        </w:rPr>
        <w:t xml:space="preserve"> Decreto 1082 de 2015 “Artículo 2.2.1.1.2.1.3. Pliegos de condiciones. Los pliegos de condiciones deben contener por lo menos la siguiente información</w:t>
      </w:r>
    </w:p>
    <w:p w14:paraId="73A5B3A0" w14:textId="77777777" w:rsidR="007641FC" w:rsidRPr="00AF56B9" w:rsidRDefault="007641FC" w:rsidP="007641FC">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w:t>
      </w:r>
    </w:p>
    <w:p w14:paraId="36E8F2B8" w14:textId="77777777" w:rsidR="007641FC" w:rsidRPr="00AF56B9" w:rsidRDefault="007641FC" w:rsidP="007641FC">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6. Las causas que dan lugar a rechazar una oferta […]”.</w:t>
      </w:r>
    </w:p>
  </w:footnote>
  <w:footnote w:id="16">
    <w:p w14:paraId="21B43E68" w14:textId="77777777" w:rsidR="007641FC" w:rsidRDefault="007641FC" w:rsidP="007641FC">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hAnsi="Verdana" w:cs="Arial"/>
          <w:color w:val="000000" w:themeColor="text1"/>
          <w:sz w:val="16"/>
          <w:szCs w:val="16"/>
          <w:vertAlign w:val="superscript"/>
        </w:rPr>
        <w:footnoteRef/>
      </w:r>
      <w:r w:rsidRPr="00AF56B9">
        <w:rPr>
          <w:rFonts w:ascii="Verdana" w:eastAsia="Arial" w:hAnsi="Verdana" w:cs="Arial"/>
          <w:color w:val="000000" w:themeColor="text1"/>
          <w:sz w:val="16"/>
          <w:szCs w:val="16"/>
        </w:rPr>
        <w:t xml:space="preserve"> Consejo de Estado. Sala de lo Contencioso Administrativo. Sección Tercera Subsección B. Sentencia del 27 de abril de 2011. Radicado: 25000-23-26-000-1997-03924-01 (18.293). C.P. Ponente: Ruth Stella Correa Palacio. </w:t>
      </w:r>
    </w:p>
    <w:p w14:paraId="1ACAF326" w14:textId="77777777" w:rsidR="007641FC" w:rsidRPr="00AF56B9" w:rsidRDefault="007641FC" w:rsidP="007641FC">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p>
  </w:footnote>
  <w:footnote w:id="17">
    <w:p w14:paraId="76DECAB3" w14:textId="77777777" w:rsidR="007641FC" w:rsidRPr="00AF56B9" w:rsidRDefault="007641FC" w:rsidP="007641FC">
      <w:pPr>
        <w:pStyle w:val="Textonotapie"/>
        <w:ind w:firstLine="709"/>
        <w:jc w:val="both"/>
        <w:rPr>
          <w:rFonts w:ascii="Verdana" w:eastAsia="Times New Roman" w:hAnsi="Verdana" w:cs="Arial"/>
          <w:sz w:val="16"/>
          <w:szCs w:val="16"/>
          <w:lang w:val="es-CO" w:eastAsia="es-CO"/>
        </w:rPr>
      </w:pPr>
      <w:r w:rsidRPr="00AF56B9">
        <w:rPr>
          <w:rStyle w:val="Refdenotaalpie"/>
          <w:rFonts w:ascii="Verdana" w:hAnsi="Verdana" w:cs="Arial"/>
          <w:sz w:val="16"/>
          <w:szCs w:val="16"/>
        </w:rPr>
        <w:footnoteRef/>
      </w:r>
      <w:r w:rsidRPr="00AF56B9">
        <w:rPr>
          <w:rFonts w:ascii="Verdana" w:hAnsi="Verdana" w:cs="Arial"/>
          <w:sz w:val="16"/>
          <w:szCs w:val="16"/>
        </w:rPr>
        <w:t xml:space="preserve"> </w:t>
      </w:r>
      <w:r w:rsidRPr="00AF56B9">
        <w:rPr>
          <w:rFonts w:ascii="Verdana" w:eastAsia="Times New Roman" w:hAnsi="Verdana" w:cs="Arial"/>
          <w:sz w:val="16"/>
          <w:szCs w:val="16"/>
          <w:lang w:val="es-CO" w:eastAsia="es-CO"/>
        </w:rPr>
        <w:t>Consejo de Estado. Sección Tercera. Sentencia del 21 de noviembre de 2013. Radicado 25000-23-26-000-1999-01850-01 (25.397). C.P. Carlos Alberto Zambrano Barrera.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BFD188E"/>
    <w:multiLevelType w:val="hybridMultilevel"/>
    <w:tmpl w:val="888829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143663266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4793"/>
    <w:rsid w:val="00061B2A"/>
    <w:rsid w:val="00082362"/>
    <w:rsid w:val="000A683E"/>
    <w:rsid w:val="000B19B9"/>
    <w:rsid w:val="000B6A16"/>
    <w:rsid w:val="000D0334"/>
    <w:rsid w:val="000D5DA7"/>
    <w:rsid w:val="000F6486"/>
    <w:rsid w:val="00116940"/>
    <w:rsid w:val="00117699"/>
    <w:rsid w:val="00125105"/>
    <w:rsid w:val="00127233"/>
    <w:rsid w:val="0015699B"/>
    <w:rsid w:val="00163EF9"/>
    <w:rsid w:val="001A33BF"/>
    <w:rsid w:val="001E4177"/>
    <w:rsid w:val="001F0B24"/>
    <w:rsid w:val="001F7DC6"/>
    <w:rsid w:val="0022400B"/>
    <w:rsid w:val="002421BB"/>
    <w:rsid w:val="0025796E"/>
    <w:rsid w:val="002707A2"/>
    <w:rsid w:val="00271A6F"/>
    <w:rsid w:val="002951A0"/>
    <w:rsid w:val="002962BC"/>
    <w:rsid w:val="002A093D"/>
    <w:rsid w:val="002A0DD0"/>
    <w:rsid w:val="002A49AC"/>
    <w:rsid w:val="002A64FD"/>
    <w:rsid w:val="002C1DA9"/>
    <w:rsid w:val="002C7A84"/>
    <w:rsid w:val="002E2BF8"/>
    <w:rsid w:val="002E4FD9"/>
    <w:rsid w:val="0030657A"/>
    <w:rsid w:val="00322A85"/>
    <w:rsid w:val="00324168"/>
    <w:rsid w:val="00330834"/>
    <w:rsid w:val="003327F7"/>
    <w:rsid w:val="003448F4"/>
    <w:rsid w:val="00374F5E"/>
    <w:rsid w:val="00377E3E"/>
    <w:rsid w:val="003A779E"/>
    <w:rsid w:val="003D0F4D"/>
    <w:rsid w:val="003D5B0D"/>
    <w:rsid w:val="003E0499"/>
    <w:rsid w:val="003E4F80"/>
    <w:rsid w:val="003E6439"/>
    <w:rsid w:val="003F3941"/>
    <w:rsid w:val="004032E4"/>
    <w:rsid w:val="00406575"/>
    <w:rsid w:val="00414C74"/>
    <w:rsid w:val="0042722E"/>
    <w:rsid w:val="0044528D"/>
    <w:rsid w:val="00466E39"/>
    <w:rsid w:val="004A1847"/>
    <w:rsid w:val="004A305D"/>
    <w:rsid w:val="004F18D6"/>
    <w:rsid w:val="004F21C4"/>
    <w:rsid w:val="004F685F"/>
    <w:rsid w:val="00530B96"/>
    <w:rsid w:val="005566E8"/>
    <w:rsid w:val="00557C2E"/>
    <w:rsid w:val="00571774"/>
    <w:rsid w:val="00574867"/>
    <w:rsid w:val="00591460"/>
    <w:rsid w:val="005A65E0"/>
    <w:rsid w:val="005B2037"/>
    <w:rsid w:val="005C3777"/>
    <w:rsid w:val="005C5CDC"/>
    <w:rsid w:val="005C6D9D"/>
    <w:rsid w:val="005D476C"/>
    <w:rsid w:val="00612B0C"/>
    <w:rsid w:val="006200BF"/>
    <w:rsid w:val="006219F8"/>
    <w:rsid w:val="006302F7"/>
    <w:rsid w:val="00646B9F"/>
    <w:rsid w:val="00665D70"/>
    <w:rsid w:val="006900D9"/>
    <w:rsid w:val="006D0922"/>
    <w:rsid w:val="006E632F"/>
    <w:rsid w:val="006F61ED"/>
    <w:rsid w:val="00706C16"/>
    <w:rsid w:val="00707CC2"/>
    <w:rsid w:val="007340C3"/>
    <w:rsid w:val="007420D1"/>
    <w:rsid w:val="0075235A"/>
    <w:rsid w:val="00756841"/>
    <w:rsid w:val="007641FC"/>
    <w:rsid w:val="007649AB"/>
    <w:rsid w:val="00771D0C"/>
    <w:rsid w:val="007833AC"/>
    <w:rsid w:val="007A2C36"/>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06FFD"/>
    <w:rsid w:val="00923EEF"/>
    <w:rsid w:val="009419F9"/>
    <w:rsid w:val="0095685E"/>
    <w:rsid w:val="00961B09"/>
    <w:rsid w:val="00965334"/>
    <w:rsid w:val="0097093E"/>
    <w:rsid w:val="00991A32"/>
    <w:rsid w:val="009A0DFA"/>
    <w:rsid w:val="009A1C6F"/>
    <w:rsid w:val="009B2D26"/>
    <w:rsid w:val="009C71FA"/>
    <w:rsid w:val="009C72E7"/>
    <w:rsid w:val="009C7F7E"/>
    <w:rsid w:val="009D3058"/>
    <w:rsid w:val="009E521D"/>
    <w:rsid w:val="009F3A13"/>
    <w:rsid w:val="00A122D3"/>
    <w:rsid w:val="00A14468"/>
    <w:rsid w:val="00A17F13"/>
    <w:rsid w:val="00A20739"/>
    <w:rsid w:val="00A21898"/>
    <w:rsid w:val="00A23AF9"/>
    <w:rsid w:val="00A33C78"/>
    <w:rsid w:val="00A52BB4"/>
    <w:rsid w:val="00A8432D"/>
    <w:rsid w:val="00AB0ADB"/>
    <w:rsid w:val="00B00C0E"/>
    <w:rsid w:val="00B01B1A"/>
    <w:rsid w:val="00B0381D"/>
    <w:rsid w:val="00B44A47"/>
    <w:rsid w:val="00B72CD3"/>
    <w:rsid w:val="00B72FFF"/>
    <w:rsid w:val="00BA3BFA"/>
    <w:rsid w:val="00BC3D36"/>
    <w:rsid w:val="00BD54A6"/>
    <w:rsid w:val="00BD7F72"/>
    <w:rsid w:val="00BF7425"/>
    <w:rsid w:val="00C04FB3"/>
    <w:rsid w:val="00C11D8B"/>
    <w:rsid w:val="00C15139"/>
    <w:rsid w:val="00C330EB"/>
    <w:rsid w:val="00C50D69"/>
    <w:rsid w:val="00C5365C"/>
    <w:rsid w:val="00C70734"/>
    <w:rsid w:val="00C754BE"/>
    <w:rsid w:val="00C76B1C"/>
    <w:rsid w:val="00C817DC"/>
    <w:rsid w:val="00C925AC"/>
    <w:rsid w:val="00CB14B6"/>
    <w:rsid w:val="00CB6357"/>
    <w:rsid w:val="00CC1B26"/>
    <w:rsid w:val="00CF7942"/>
    <w:rsid w:val="00D361FD"/>
    <w:rsid w:val="00D423A2"/>
    <w:rsid w:val="00D44E26"/>
    <w:rsid w:val="00D520D8"/>
    <w:rsid w:val="00D61879"/>
    <w:rsid w:val="00D63AC2"/>
    <w:rsid w:val="00D726E5"/>
    <w:rsid w:val="00D7383B"/>
    <w:rsid w:val="00D7788A"/>
    <w:rsid w:val="00DA231B"/>
    <w:rsid w:val="00DC39FC"/>
    <w:rsid w:val="00DE4799"/>
    <w:rsid w:val="00DF5254"/>
    <w:rsid w:val="00E02524"/>
    <w:rsid w:val="00E16408"/>
    <w:rsid w:val="00E20894"/>
    <w:rsid w:val="00E245AB"/>
    <w:rsid w:val="00E2764C"/>
    <w:rsid w:val="00E27F2E"/>
    <w:rsid w:val="00E50AFE"/>
    <w:rsid w:val="00E7244E"/>
    <w:rsid w:val="00E75C92"/>
    <w:rsid w:val="00E771DC"/>
    <w:rsid w:val="00E8772A"/>
    <w:rsid w:val="00E90F6B"/>
    <w:rsid w:val="00E92C27"/>
    <w:rsid w:val="00EA0E3D"/>
    <w:rsid w:val="00EC38A7"/>
    <w:rsid w:val="00EE1AA8"/>
    <w:rsid w:val="00F1078A"/>
    <w:rsid w:val="00F23FEA"/>
    <w:rsid w:val="00F31EDC"/>
    <w:rsid w:val="00F35BD8"/>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EB8365DF-26BD-4073-B5B8-569BD1FCD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1769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17699"/>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wp-content/uploads/2024/08/cce-eicp-ma-04._manual_requisitos_habilitantes_v3_29-09-2023.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wp-content/uploads/2024/08/circular_externa_unica_version_3_vf49.pdf"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wp-content/uploads/2024/08/cce-eicp-ma-04._manual_requisitos_habilitantes_v3_29-09-2023.pdf" TargetMode="External"/><Relationship Id="rId2" Type="http://schemas.openxmlformats.org/officeDocument/2006/relationships/hyperlink" Target="http://www.lexbase.biz/lexbase/normas/leyes/2007/L1150de2007.htm" TargetMode="External"/><Relationship Id="rId1" Type="http://schemas.openxmlformats.org/officeDocument/2006/relationships/hyperlink" Target="https://www.colombiacompra.gov.co/wp-content/uploads/2024/08/circular_externa_unica_version_3_vf49.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9EB8C0F-829A-43CB-AD6E-EA42E6615A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TotalTime>
  <Pages>23</Pages>
  <Words>7915</Words>
  <Characters>41240</Characters>
  <Application>Microsoft Office Word</Application>
  <DocSecurity>0</DocSecurity>
  <Lines>793</Lines>
  <Paragraphs>146</Paragraphs>
  <ScaleCrop>false</ScaleCrop>
  <Company/>
  <LinksUpToDate>false</LinksUpToDate>
  <CharactersWithSpaces>49009</CharactersWithSpaces>
  <SharedDoc>false</SharedDoc>
  <HLinks>
    <vt:vector size="36" baseType="variant">
      <vt:variant>
        <vt:i4>7471218</vt:i4>
      </vt:variant>
      <vt:variant>
        <vt:i4>6</vt:i4>
      </vt:variant>
      <vt:variant>
        <vt:i4>0</vt:i4>
      </vt:variant>
      <vt:variant>
        <vt:i4>5</vt:i4>
      </vt:variant>
      <vt:variant>
        <vt:lpwstr>https://relatoria.colombiacompra.gov.co/busqueda/conceptos</vt:lpwstr>
      </vt:variant>
      <vt:variant>
        <vt:lpwstr/>
      </vt:variant>
      <vt:variant>
        <vt:i4>655414</vt:i4>
      </vt:variant>
      <vt:variant>
        <vt:i4>3</vt:i4>
      </vt:variant>
      <vt:variant>
        <vt:i4>0</vt:i4>
      </vt:variant>
      <vt:variant>
        <vt:i4>5</vt:i4>
      </vt:variant>
      <vt:variant>
        <vt:lpwstr>https://www.colombiacompra.gov.co/wp-content/uploads/2024/08/cce-eicp-ma-04._manual_requisitos_habilitantes_v3_29-09-2023.pdf</vt:lpwstr>
      </vt:variant>
      <vt:variant>
        <vt:lpwstr/>
      </vt:variant>
      <vt:variant>
        <vt:i4>786475</vt:i4>
      </vt:variant>
      <vt:variant>
        <vt:i4>0</vt:i4>
      </vt:variant>
      <vt:variant>
        <vt:i4>0</vt:i4>
      </vt:variant>
      <vt:variant>
        <vt:i4>5</vt:i4>
      </vt:variant>
      <vt:variant>
        <vt:lpwstr>https://www.colombiacompra.gov.co/wp-content/uploads/2024/08/circular_externa_unica_version_3_vf49.pdf</vt:lpwstr>
      </vt:variant>
      <vt:variant>
        <vt:lpwstr/>
      </vt:variant>
      <vt:variant>
        <vt:i4>655414</vt:i4>
      </vt:variant>
      <vt:variant>
        <vt:i4>6</vt:i4>
      </vt:variant>
      <vt:variant>
        <vt:i4>0</vt:i4>
      </vt:variant>
      <vt:variant>
        <vt:i4>5</vt:i4>
      </vt:variant>
      <vt:variant>
        <vt:lpwstr>https://www.colombiacompra.gov.co/wp-content/uploads/2024/08/cce-eicp-ma-04._manual_requisitos_habilitantes_v3_29-09-2023.pdf</vt:lpwstr>
      </vt:variant>
      <vt:variant>
        <vt:lpwstr/>
      </vt:variant>
      <vt:variant>
        <vt:i4>4390933</vt:i4>
      </vt:variant>
      <vt:variant>
        <vt:i4>3</vt:i4>
      </vt:variant>
      <vt:variant>
        <vt:i4>0</vt:i4>
      </vt:variant>
      <vt:variant>
        <vt:i4>5</vt:i4>
      </vt:variant>
      <vt:variant>
        <vt:lpwstr>http://www.lexbase.biz/lexbase/normas/leyes/2007/L1150de2007.htm</vt:lpwstr>
      </vt:variant>
      <vt:variant>
        <vt:lpwstr/>
      </vt:variant>
      <vt:variant>
        <vt:i4>786475</vt:i4>
      </vt:variant>
      <vt:variant>
        <vt:i4>0</vt:i4>
      </vt:variant>
      <vt:variant>
        <vt:i4>0</vt:i4>
      </vt:variant>
      <vt:variant>
        <vt:i4>5</vt:i4>
      </vt:variant>
      <vt:variant>
        <vt:lpwstr>https://www.colombiacompra.gov.co/wp-content/uploads/2024/08/circular_externa_unica_version_3_vf49.pdf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2025-12-29T04:18:00Z</dcterms:created>
  <dcterms:modified xsi:type="dcterms:W3CDTF">2025-12-29T18:23:00Z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