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52E07" w14:textId="4F234C80" w:rsidR="009D2E0C" w:rsidRPr="00EE2D71" w:rsidRDefault="009D2E0C" w:rsidP="00EE2D71">
      <w:pPr>
        <w:spacing w:after="0"/>
        <w:jc w:val="both"/>
        <w:rPr>
          <w:rFonts w:ascii="Verdana" w:hAnsi="Verdana"/>
        </w:rPr>
      </w:pPr>
      <w:bookmarkStart w:id="0" w:name="_Hlk143780582"/>
      <w:r w:rsidRPr="009D2E0C">
        <w:rPr>
          <w:rFonts w:ascii="Verdana" w:eastAsia="Calibri" w:hAnsi="Verdana" w:cs="Arial"/>
          <w:b/>
          <w:bCs/>
          <w:lang w:val="es-ES" w:eastAsia="es-ES"/>
        </w:rPr>
        <w:t>DOCUMENTOS TIPO DE INFRAESTRUCTURA SOCIAL – Generalidades</w:t>
      </w:r>
    </w:p>
    <w:p w14:paraId="5323AA18" w14:textId="77777777" w:rsidR="009D2E0C" w:rsidRPr="009D2E0C" w:rsidRDefault="009D2E0C" w:rsidP="009D2E0C">
      <w:pPr>
        <w:shd w:val="clear" w:color="auto" w:fill="FFFFFF"/>
        <w:spacing w:after="0" w:line="276" w:lineRule="auto"/>
        <w:contextualSpacing/>
        <w:jc w:val="both"/>
        <w:rPr>
          <w:rFonts w:ascii="Verdana" w:eastAsia="Calibri" w:hAnsi="Verdana" w:cs="Arial"/>
          <w:b/>
          <w:bCs/>
          <w:lang w:val="es-ES" w:eastAsia="es-ES"/>
        </w:rPr>
      </w:pPr>
    </w:p>
    <w:p w14:paraId="1A41359C" w14:textId="772DD340" w:rsidR="009D2E0C" w:rsidRPr="009D2E0C" w:rsidRDefault="00FA7411" w:rsidP="009D2E0C">
      <w:pPr>
        <w:widowControl w:val="0"/>
        <w:autoSpaceDE w:val="0"/>
        <w:autoSpaceDN w:val="0"/>
        <w:spacing w:after="0" w:line="240" w:lineRule="auto"/>
        <w:jc w:val="both"/>
        <w:rPr>
          <w:rFonts w:ascii="Verdana" w:eastAsia="Calibri" w:hAnsi="Verdana" w:cs="Arial"/>
          <w:b/>
          <w:bCs/>
          <w:iCs/>
          <w:sz w:val="20"/>
          <w:szCs w:val="20"/>
          <w:lang w:val="es-ES" w:eastAsia="es-ES"/>
        </w:rPr>
      </w:pPr>
      <w:r w:rsidRPr="00FA7411">
        <w:rPr>
          <w:rFonts w:ascii="Verdana" w:eastAsia="Arial MT" w:hAnsi="Verdana" w:cs="Arial MT"/>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52B261CF" w14:textId="77777777" w:rsidR="009D2E0C" w:rsidRPr="009D2E0C" w:rsidRDefault="009D2E0C" w:rsidP="009D2E0C">
      <w:pPr>
        <w:shd w:val="clear" w:color="auto" w:fill="FFFFFF"/>
        <w:spacing w:after="0" w:line="276" w:lineRule="auto"/>
        <w:contextualSpacing/>
        <w:jc w:val="both"/>
        <w:rPr>
          <w:rFonts w:ascii="Verdana" w:eastAsia="Calibri" w:hAnsi="Verdana" w:cs="Arial"/>
          <w:b/>
          <w:bCs/>
          <w:lang w:val="es-ES" w:eastAsia="es-ES"/>
        </w:rPr>
      </w:pPr>
    </w:p>
    <w:p w14:paraId="205F2E9F" w14:textId="77777777" w:rsidR="009D2E0C" w:rsidRPr="009D2E0C" w:rsidRDefault="009D2E0C" w:rsidP="009D2E0C">
      <w:pPr>
        <w:shd w:val="clear" w:color="auto" w:fill="FFFFFF"/>
        <w:spacing w:after="0" w:line="276" w:lineRule="auto"/>
        <w:contextualSpacing/>
        <w:jc w:val="both"/>
        <w:rPr>
          <w:rFonts w:ascii="Verdana" w:eastAsia="Calibri" w:hAnsi="Verdana" w:cs="Arial"/>
          <w:b/>
          <w:lang w:val="es-MX" w:eastAsia="es-ES_tradnl"/>
        </w:rPr>
      </w:pPr>
      <w:r w:rsidRPr="009D2E0C">
        <w:rPr>
          <w:rFonts w:ascii="Verdana" w:eastAsia="Calibri" w:hAnsi="Verdana" w:cs="Arial"/>
          <w:b/>
          <w:bCs/>
          <w:lang w:val="es-ES" w:eastAsia="es-ES"/>
        </w:rPr>
        <w:t xml:space="preserve">DOCUMENTOS TIPO DE INFRAESTRUCTURA SOCIAL – Cultura, recreación y deporte – Matriz – Experiencia – Actividad 1.10 – Bien de interés cultural – Alcance </w:t>
      </w:r>
    </w:p>
    <w:p w14:paraId="7E8C5D3A" w14:textId="77777777" w:rsidR="009D2E0C" w:rsidRPr="009D2E0C" w:rsidRDefault="009D2E0C" w:rsidP="009D2E0C">
      <w:pPr>
        <w:spacing w:after="0" w:line="276" w:lineRule="auto"/>
        <w:jc w:val="both"/>
        <w:rPr>
          <w:rFonts w:ascii="Verdana" w:eastAsia="Calibri" w:hAnsi="Verdana" w:cs="Arial"/>
          <w:color w:val="000000"/>
          <w:lang w:val="es-ES" w:eastAsia="es-MX"/>
        </w:rPr>
      </w:pPr>
    </w:p>
    <w:p w14:paraId="69E1879C" w14:textId="58AE34EF" w:rsidR="009D2E0C" w:rsidRPr="009D2E0C" w:rsidRDefault="00FA7411" w:rsidP="009D2E0C">
      <w:pPr>
        <w:snapToGrid w:val="0"/>
        <w:spacing w:after="0" w:line="240" w:lineRule="auto"/>
        <w:jc w:val="both"/>
        <w:rPr>
          <w:rFonts w:ascii="Verdana" w:eastAsia="Calibri" w:hAnsi="Verdana" w:cs="Times New Roman"/>
          <w:sz w:val="20"/>
          <w:szCs w:val="20"/>
          <w:lang w:eastAsia="es-MX"/>
        </w:rPr>
      </w:pPr>
      <w:r w:rsidRPr="00FA7411">
        <w:rPr>
          <w:rFonts w:ascii="Verdana" w:eastAsia="Calibri" w:hAnsi="Verdana" w:cs="Times New Roman"/>
          <w:sz w:val="20"/>
          <w:szCs w:val="20"/>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FA7411">
        <w:rPr>
          <w:rFonts w:ascii="Verdana" w:eastAsia="Calibri" w:hAnsi="Verdana" w:cs="Times New Roman"/>
          <w:sz w:val="20"/>
          <w:szCs w:val="20"/>
          <w:lang w:eastAsia="es-MX"/>
        </w:rPr>
        <w:t>ii</w:t>
      </w:r>
      <w:proofErr w:type="spellEnd"/>
      <w:r w:rsidRPr="00FA7411">
        <w:rPr>
          <w:rFonts w:ascii="Verdana" w:eastAsia="Calibri" w:hAnsi="Verdana" w:cs="Times New Roman"/>
          <w:sz w:val="20"/>
          <w:szCs w:val="20"/>
          <w:lang w:eastAsia="es-MX"/>
        </w:rPr>
        <w:t xml:space="preserve">) la actividad a contratar y </w:t>
      </w:r>
      <w:proofErr w:type="spellStart"/>
      <w:r w:rsidRPr="00FA7411">
        <w:rPr>
          <w:rFonts w:ascii="Verdana" w:eastAsia="Calibri" w:hAnsi="Verdana" w:cs="Times New Roman"/>
          <w:sz w:val="20"/>
          <w:szCs w:val="20"/>
          <w:lang w:eastAsia="es-MX"/>
        </w:rPr>
        <w:t>iii</w:t>
      </w:r>
      <w:proofErr w:type="spellEnd"/>
      <w:r w:rsidRPr="00FA7411">
        <w:rPr>
          <w:rFonts w:ascii="Verdana" w:eastAsia="Calibri" w:hAnsi="Verdana" w:cs="Times New Roman"/>
          <w:sz w:val="20"/>
          <w:szCs w:val="20"/>
          <w:lang w:eastAsia="es-MX"/>
        </w:rPr>
        <w:t>) la cuantía del proceso de contratación.</w:t>
      </w:r>
    </w:p>
    <w:p w14:paraId="0C1C4A29" w14:textId="77777777" w:rsidR="009D2E0C" w:rsidRPr="009D2E0C" w:rsidRDefault="009D2E0C" w:rsidP="009D2E0C">
      <w:pPr>
        <w:snapToGrid w:val="0"/>
        <w:spacing w:after="0" w:line="240" w:lineRule="auto"/>
        <w:jc w:val="both"/>
        <w:rPr>
          <w:rFonts w:ascii="Verdana" w:eastAsia="Calibri" w:hAnsi="Verdana" w:cs="Times New Roman"/>
          <w:sz w:val="20"/>
          <w:szCs w:val="20"/>
          <w:lang w:eastAsia="es-MX"/>
        </w:rPr>
      </w:pPr>
      <w:r w:rsidRPr="009D2E0C">
        <w:rPr>
          <w:rFonts w:ascii="Verdana" w:eastAsia="Calibri" w:hAnsi="Verdana" w:cs="Times New Roman"/>
          <w:sz w:val="20"/>
          <w:szCs w:val="20"/>
          <w:lang w:eastAsia="es-MX"/>
        </w:rPr>
        <w:t>[…]</w:t>
      </w:r>
    </w:p>
    <w:p w14:paraId="3455BC3F" w14:textId="4439BC1E" w:rsidR="009D2E0C" w:rsidRPr="009D2E0C" w:rsidRDefault="00FA7411" w:rsidP="009D2E0C">
      <w:pPr>
        <w:spacing w:after="0" w:line="240" w:lineRule="auto"/>
        <w:jc w:val="both"/>
        <w:rPr>
          <w:rFonts w:ascii="Verdana" w:eastAsia="Times New Roman" w:hAnsi="Verdana" w:cs="Times New Roman"/>
          <w:color w:val="000000"/>
          <w:sz w:val="20"/>
          <w:szCs w:val="20"/>
          <w:lang w:eastAsia="es-MX"/>
        </w:rPr>
      </w:pPr>
      <w:r w:rsidRPr="00FA7411">
        <w:rPr>
          <w:rFonts w:ascii="Verdana" w:eastAsia="Times New Roman" w:hAnsi="Verdana" w:cs="Times New Roman"/>
          <w:color w:val="000000"/>
          <w:sz w:val="20"/>
          <w:szCs w:val="20"/>
          <w:lang w:eastAsia="es-MX"/>
        </w:rPr>
        <w:t>Por su parte, en el glosario del sector de cultura, recreación y deporte vigente (CCE-EICP-IDI-38), en el numeral 2.13, se establece la siguiente definición:</w:t>
      </w:r>
    </w:p>
    <w:p w14:paraId="58237CF3" w14:textId="77777777" w:rsidR="009D2E0C" w:rsidRPr="009D2E0C" w:rsidRDefault="009D2E0C" w:rsidP="009D2E0C">
      <w:pPr>
        <w:spacing w:after="0" w:line="240" w:lineRule="auto"/>
        <w:jc w:val="both"/>
        <w:rPr>
          <w:rFonts w:ascii="Verdana" w:eastAsia="Times New Roman" w:hAnsi="Verdana" w:cs="Times New Roman"/>
          <w:color w:val="000000"/>
          <w:sz w:val="20"/>
          <w:szCs w:val="20"/>
          <w:lang w:eastAsia="es-MX"/>
        </w:rPr>
      </w:pPr>
      <w:r w:rsidRPr="009D2E0C">
        <w:rPr>
          <w:rFonts w:ascii="Verdana" w:eastAsia="Times New Roman" w:hAnsi="Verdana" w:cs="Times New Roman"/>
          <w:color w:val="000000"/>
          <w:sz w:val="20"/>
          <w:szCs w:val="20"/>
          <w:lang w:eastAsia="es-MX"/>
        </w:rPr>
        <w:t>[…]</w:t>
      </w:r>
    </w:p>
    <w:p w14:paraId="647D5BBA" w14:textId="494B7531" w:rsidR="009D2E0C" w:rsidRPr="009D2E0C" w:rsidRDefault="00FA7411" w:rsidP="009D2E0C">
      <w:pPr>
        <w:snapToGrid w:val="0"/>
        <w:spacing w:after="120" w:line="240" w:lineRule="auto"/>
        <w:jc w:val="both"/>
        <w:rPr>
          <w:rFonts w:ascii="Verdana" w:eastAsia="Times New Roman" w:hAnsi="Verdana" w:cs="Times New Roman"/>
          <w:color w:val="000000"/>
          <w:sz w:val="20"/>
          <w:szCs w:val="20"/>
          <w:lang w:eastAsia="es-MX"/>
        </w:rPr>
      </w:pPr>
      <w:r w:rsidRPr="00FA7411">
        <w:rPr>
          <w:rFonts w:ascii="Verdana" w:eastAsia="Times New Roman" w:hAnsi="Verdana" w:cs="Times New Roman"/>
          <w:color w:val="000000"/>
          <w:sz w:val="20"/>
          <w:szCs w:val="20"/>
          <w:lang w:eastAsia="es-MX"/>
        </w:rPr>
        <w:t xml:space="preserve">De acuerdo con lo anterior, los requisitos establecidos dentro de la matriz para este tipo de proyectos no podrían cerrarse a que solo hayan sido en edificaciones consideradas de interés cultural y/o patrimonial solo en </w:t>
      </w:r>
      <w:r w:rsidRPr="00FA7411">
        <w:rPr>
          <w:rFonts w:ascii="Verdana" w:eastAsia="Times New Roman" w:hAnsi="Verdana" w:cs="Times New Roman"/>
          <w:b/>
          <w:bCs/>
          <w:color w:val="000000"/>
          <w:sz w:val="20"/>
          <w:szCs w:val="20"/>
          <w:lang w:eastAsia="es-MX"/>
        </w:rPr>
        <w:t>"infraestructura cultural".</w:t>
      </w:r>
    </w:p>
    <w:p w14:paraId="3834EC87" w14:textId="77777777" w:rsidR="009D2E0C" w:rsidRPr="009D2E0C" w:rsidRDefault="009D2E0C" w:rsidP="009D2E0C">
      <w:pPr>
        <w:snapToGrid w:val="0"/>
        <w:spacing w:after="0" w:line="240" w:lineRule="auto"/>
        <w:jc w:val="both"/>
        <w:rPr>
          <w:rFonts w:ascii="Verdana" w:eastAsia="Aptos" w:hAnsi="Verdana" w:cs="Times New Roman"/>
          <w:sz w:val="20"/>
          <w:szCs w:val="20"/>
          <w:lang w:eastAsia="es-MX"/>
        </w:rPr>
      </w:pPr>
    </w:p>
    <w:p w14:paraId="6162B77B"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2325CB9E"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7C012F62"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5483AB47"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5A4E9331"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137194D2"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076703D9"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160B6138"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4D9D5C76"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28F100C5"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40B7609B"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223CDBC8" w14:textId="77777777" w:rsidR="009D2E0C" w:rsidRPr="009D2E0C" w:rsidRDefault="009D2E0C" w:rsidP="009D2E0C">
      <w:pPr>
        <w:spacing w:after="0" w:line="240" w:lineRule="auto"/>
        <w:jc w:val="both"/>
        <w:rPr>
          <w:rFonts w:ascii="Verdana" w:eastAsia="Calibri" w:hAnsi="Verdana" w:cs="Arial"/>
          <w:color w:val="000000"/>
          <w:sz w:val="20"/>
          <w:szCs w:val="20"/>
          <w:lang w:val="es-ES" w:eastAsia="es-MX"/>
        </w:rPr>
      </w:pPr>
    </w:p>
    <w:p w14:paraId="0CF5EEDC" w14:textId="3A6BF7B8" w:rsidR="00EE2D71" w:rsidRPr="007B02C1" w:rsidRDefault="00EE2D71" w:rsidP="009D2E0C">
      <w:pPr>
        <w:spacing w:after="0" w:line="240" w:lineRule="auto"/>
        <w:jc w:val="both"/>
        <w:rPr>
          <w:rFonts w:ascii="Verdana" w:hAnsi="Verdana"/>
        </w:rPr>
      </w:pPr>
      <w:r w:rsidRPr="0024624F">
        <w:rPr>
          <w:rFonts w:ascii="Verdana" w:hAnsi="Verdana"/>
        </w:rPr>
        <w:lastRenderedPageBreak/>
        <w:t xml:space="preserve">Bogotá D.C., </w:t>
      </w:r>
      <w:r w:rsidR="007B02C1">
        <w:rPr>
          <w:rFonts w:ascii="Verdana" w:hAnsi="Verdana"/>
        </w:rPr>
        <w:t>22 Diciembre 2025</w:t>
      </w:r>
    </w:p>
    <w:p w14:paraId="3843D6CA" w14:textId="6CCA835F" w:rsidR="009D2E0C" w:rsidRPr="009D2E0C" w:rsidRDefault="007B02C1" w:rsidP="007B02C1">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301EB645" wp14:editId="5B0B31CC">
            <wp:extent cx="2756568" cy="807172"/>
            <wp:effectExtent l="0" t="0" r="0" b="5715"/>
            <wp:docPr id="9363556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355688" name="Imagen 93635568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3447" cy="809186"/>
                    </a:xfrm>
                    <a:prstGeom prst="rect">
                      <a:avLst/>
                    </a:prstGeom>
                  </pic:spPr>
                </pic:pic>
              </a:graphicData>
            </a:graphic>
          </wp:inline>
        </w:drawing>
      </w:r>
    </w:p>
    <w:p w14:paraId="1D93DBE0" w14:textId="77777777" w:rsidR="009D2E0C" w:rsidRPr="009D2E0C" w:rsidRDefault="009D2E0C" w:rsidP="009D2E0C">
      <w:pPr>
        <w:spacing w:after="0" w:line="240" w:lineRule="auto"/>
        <w:jc w:val="both"/>
        <w:rPr>
          <w:rFonts w:ascii="Verdana" w:eastAsia="Calibri" w:hAnsi="Verdana" w:cs="Arial"/>
          <w:lang w:val="es-ES" w:eastAsia="es-ES"/>
        </w:rPr>
      </w:pPr>
      <w:r w:rsidRPr="009D2E0C">
        <w:rPr>
          <w:rFonts w:ascii="Verdana" w:eastAsia="Calibri" w:hAnsi="Verdana" w:cs="Arial"/>
          <w:lang w:val="es-ES" w:eastAsia="es-ES"/>
        </w:rPr>
        <w:t>Señor</w:t>
      </w:r>
    </w:p>
    <w:p w14:paraId="4C66E7B5" w14:textId="77777777" w:rsidR="009D2E0C" w:rsidRPr="009D2E0C" w:rsidRDefault="009D2E0C" w:rsidP="009D2E0C">
      <w:pPr>
        <w:spacing w:after="0" w:line="240" w:lineRule="auto"/>
        <w:rPr>
          <w:rFonts w:ascii="Verdana" w:eastAsia="Calibri" w:hAnsi="Verdana" w:cs="Arial"/>
          <w:b/>
          <w:lang w:eastAsia="es-ES_tradnl"/>
        </w:rPr>
      </w:pPr>
      <w:r w:rsidRPr="009D2E0C">
        <w:rPr>
          <w:rFonts w:ascii="Verdana" w:eastAsia="Calibri" w:hAnsi="Verdana" w:cs="Arial"/>
          <w:b/>
          <w:lang w:eastAsia="es-ES_tradnl"/>
        </w:rPr>
        <w:t>Julián Andrés Marín Ramos</w:t>
      </w:r>
    </w:p>
    <w:p w14:paraId="22D3E199" w14:textId="77777777" w:rsidR="009D2E0C" w:rsidRPr="009D2E0C" w:rsidRDefault="009D2E0C" w:rsidP="009D2E0C">
      <w:pPr>
        <w:spacing w:after="0" w:line="240" w:lineRule="auto"/>
        <w:rPr>
          <w:rFonts w:ascii="Verdana" w:eastAsia="Calibri" w:hAnsi="Verdana" w:cs="Arial"/>
          <w:b/>
          <w:bCs/>
          <w:lang w:val="es-ES" w:eastAsia="es-ES"/>
        </w:rPr>
      </w:pPr>
      <w:r w:rsidRPr="009D2E0C">
        <w:rPr>
          <w:rFonts w:ascii="Verdana" w:eastAsia="Calibri" w:hAnsi="Verdana" w:cs="Arial"/>
          <w:lang w:val="es-ES" w:eastAsia="es-ES"/>
        </w:rPr>
        <w:t>Cali, Valle del Cauca</w:t>
      </w:r>
    </w:p>
    <w:p w14:paraId="35827211" w14:textId="77777777" w:rsidR="009D2E0C" w:rsidRPr="009D2E0C" w:rsidRDefault="009D2E0C" w:rsidP="009D2E0C">
      <w:pPr>
        <w:spacing w:after="0" w:line="240" w:lineRule="auto"/>
        <w:rPr>
          <w:rFonts w:ascii="Verdana" w:eastAsia="Calibri" w:hAnsi="Verdana" w:cs="Arial"/>
          <w:b/>
          <w:bCs/>
          <w:lang w:eastAsia="es-ES_tradnl"/>
        </w:rPr>
      </w:pPr>
    </w:p>
    <w:p w14:paraId="685EB497" w14:textId="77777777" w:rsidR="009D2E0C" w:rsidRPr="009D2E0C" w:rsidRDefault="009D2E0C" w:rsidP="009D2E0C">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D2E0C" w:rsidRPr="009D2E0C" w14:paraId="5EBBC177" w14:textId="77777777" w:rsidTr="00EE2D71">
        <w:trPr>
          <w:trHeight w:val="884"/>
        </w:trPr>
        <w:tc>
          <w:tcPr>
            <w:tcW w:w="2689" w:type="dxa"/>
          </w:tcPr>
          <w:p w14:paraId="1442EA76" w14:textId="77777777" w:rsidR="009D2E0C" w:rsidRPr="009D2E0C" w:rsidRDefault="009D2E0C" w:rsidP="009D2E0C">
            <w:pPr>
              <w:jc w:val="both"/>
              <w:rPr>
                <w:rFonts w:ascii="Verdana" w:eastAsia="Calibri" w:hAnsi="Verdana" w:cs="Arial"/>
                <w:b/>
                <w:bCs/>
                <w:lang w:eastAsia="es-ES_tradnl"/>
              </w:rPr>
            </w:pPr>
          </w:p>
        </w:tc>
        <w:tc>
          <w:tcPr>
            <w:tcW w:w="6100" w:type="dxa"/>
          </w:tcPr>
          <w:p w14:paraId="66297008" w14:textId="77777777" w:rsidR="009D2E0C" w:rsidRPr="009D2E0C" w:rsidRDefault="009D2E0C" w:rsidP="009D2E0C">
            <w:pPr>
              <w:jc w:val="both"/>
              <w:rPr>
                <w:rFonts w:ascii="Verdana" w:eastAsia="Calibri" w:hAnsi="Verdana" w:cs="Arial"/>
                <w:b/>
                <w:bCs/>
                <w:lang w:val="es-ES" w:eastAsia="es-ES"/>
              </w:rPr>
            </w:pPr>
            <w:r w:rsidRPr="009D2E0C">
              <w:rPr>
                <w:rFonts w:ascii="Verdana" w:eastAsia="Calibri" w:hAnsi="Verdana" w:cs="Arial"/>
                <w:b/>
                <w:bCs/>
                <w:lang w:val="es-ES" w:eastAsia="es-ES"/>
              </w:rPr>
              <w:t>Concepto C – 1772 de 2025</w:t>
            </w:r>
          </w:p>
        </w:tc>
      </w:tr>
      <w:tr w:rsidR="009D2E0C" w:rsidRPr="009D2E0C" w14:paraId="017F3FE2" w14:textId="77777777" w:rsidTr="00EE2D71">
        <w:trPr>
          <w:trHeight w:val="884"/>
        </w:trPr>
        <w:tc>
          <w:tcPr>
            <w:tcW w:w="2689" w:type="dxa"/>
          </w:tcPr>
          <w:p w14:paraId="63F9D4E9" w14:textId="77777777" w:rsidR="009D2E0C" w:rsidRPr="009D2E0C" w:rsidRDefault="009D2E0C" w:rsidP="009D2E0C">
            <w:pPr>
              <w:jc w:val="both"/>
              <w:rPr>
                <w:rFonts w:ascii="Verdana" w:eastAsia="Calibri" w:hAnsi="Verdana" w:cs="Arial"/>
                <w:lang w:eastAsia="es-ES_tradnl"/>
              </w:rPr>
            </w:pPr>
            <w:r w:rsidRPr="009D2E0C">
              <w:rPr>
                <w:rFonts w:ascii="Verdana" w:eastAsia="Calibri" w:hAnsi="Verdana" w:cs="Arial"/>
                <w:b/>
                <w:lang w:eastAsia="es-ES_tradnl"/>
              </w:rPr>
              <w:t>Temas:</w:t>
            </w:r>
            <w:r w:rsidRPr="009D2E0C">
              <w:rPr>
                <w:rFonts w:ascii="Verdana" w:eastAsia="Calibri" w:hAnsi="Verdana" w:cs="Arial"/>
                <w:lang w:eastAsia="es-ES_tradnl"/>
              </w:rPr>
              <w:t xml:space="preserve">                   </w:t>
            </w:r>
          </w:p>
        </w:tc>
        <w:tc>
          <w:tcPr>
            <w:tcW w:w="6100" w:type="dxa"/>
          </w:tcPr>
          <w:p w14:paraId="0269D0F4" w14:textId="77777777" w:rsidR="009D2E0C" w:rsidRPr="009D2E0C" w:rsidRDefault="009D2E0C" w:rsidP="009D2E0C">
            <w:pPr>
              <w:shd w:val="clear" w:color="auto" w:fill="FFFFFF"/>
              <w:spacing w:line="276" w:lineRule="auto"/>
              <w:contextualSpacing/>
              <w:jc w:val="both"/>
              <w:rPr>
                <w:rFonts w:ascii="Verdana" w:eastAsia="Calibri" w:hAnsi="Verdana" w:cs="Arial"/>
                <w:lang w:val="es-MX" w:eastAsia="es-ES_tradnl"/>
              </w:rPr>
            </w:pPr>
            <w:r w:rsidRPr="009D2E0C">
              <w:rPr>
                <w:rFonts w:ascii="Verdana" w:eastAsia="Calibri" w:hAnsi="Verdana" w:cs="Arial"/>
                <w:lang w:val="es-ES" w:eastAsia="es-ES"/>
              </w:rPr>
              <w:t xml:space="preserve">DOCUMENTOS TIPO DE INFRAESTRUCTURA SOCIAL – Generalidades / DOCUMENTOS TIPO DE INFRAESTRUCTURA SOCIAL – Cultura, recreación y deporte – Matriz – Experiencia – Actividad 1.10 – Bien de interés cultural – Alcance </w:t>
            </w:r>
          </w:p>
          <w:p w14:paraId="3081E01B" w14:textId="77777777" w:rsidR="009D2E0C" w:rsidRPr="009D2E0C" w:rsidRDefault="009D2E0C" w:rsidP="009D2E0C">
            <w:pPr>
              <w:spacing w:line="276" w:lineRule="auto"/>
              <w:jc w:val="both"/>
              <w:rPr>
                <w:rFonts w:ascii="Verdana" w:eastAsia="Calibri" w:hAnsi="Verdana" w:cs="Arial"/>
                <w:highlight w:val="yellow"/>
                <w:lang w:val="es-ES" w:eastAsia="es-ES"/>
              </w:rPr>
            </w:pPr>
          </w:p>
        </w:tc>
      </w:tr>
      <w:tr w:rsidR="009D2E0C" w:rsidRPr="009D2E0C" w14:paraId="3C62302A" w14:textId="77777777" w:rsidTr="00EE2D71">
        <w:tc>
          <w:tcPr>
            <w:tcW w:w="2689" w:type="dxa"/>
          </w:tcPr>
          <w:p w14:paraId="09C283F1" w14:textId="77777777" w:rsidR="009D2E0C" w:rsidRPr="009D2E0C" w:rsidRDefault="009D2E0C" w:rsidP="009D2E0C">
            <w:pPr>
              <w:jc w:val="both"/>
              <w:rPr>
                <w:rFonts w:ascii="Verdana" w:eastAsia="Calibri" w:hAnsi="Verdana" w:cs="Arial"/>
                <w:b/>
                <w:lang w:eastAsia="es-ES_tradnl"/>
              </w:rPr>
            </w:pPr>
            <w:r w:rsidRPr="009D2E0C">
              <w:rPr>
                <w:rFonts w:ascii="Verdana" w:eastAsia="Calibri" w:hAnsi="Verdana" w:cs="Arial"/>
                <w:b/>
                <w:lang w:eastAsia="es-ES_tradnl"/>
              </w:rPr>
              <w:t>Radicación:</w:t>
            </w:r>
            <w:r w:rsidRPr="009D2E0C">
              <w:rPr>
                <w:rFonts w:ascii="Verdana" w:eastAsia="Calibri" w:hAnsi="Verdana" w:cs="Arial"/>
                <w:lang w:eastAsia="es-ES_tradnl"/>
              </w:rPr>
              <w:t xml:space="preserve">               </w:t>
            </w:r>
          </w:p>
        </w:tc>
        <w:tc>
          <w:tcPr>
            <w:tcW w:w="6100" w:type="dxa"/>
          </w:tcPr>
          <w:p w14:paraId="064C68EE" w14:textId="77777777" w:rsidR="009D2E0C" w:rsidRPr="009D2E0C" w:rsidRDefault="009D2E0C" w:rsidP="009D2E0C">
            <w:pPr>
              <w:jc w:val="both"/>
              <w:rPr>
                <w:rFonts w:ascii="Verdana" w:eastAsia="Calibri" w:hAnsi="Verdana" w:cs="Arial"/>
                <w:lang w:eastAsia="es-ES_tradnl"/>
              </w:rPr>
            </w:pPr>
            <w:r w:rsidRPr="009D2E0C">
              <w:rPr>
                <w:rFonts w:ascii="Verdana" w:eastAsia="Calibri" w:hAnsi="Verdana" w:cs="Arial"/>
                <w:lang w:eastAsia="es-ES_tradnl"/>
              </w:rPr>
              <w:t>Respuesta a consulta con radicado No. 1_2025_11_28_013451</w:t>
            </w:r>
          </w:p>
        </w:tc>
      </w:tr>
    </w:tbl>
    <w:p w14:paraId="1DDE9835" w14:textId="77777777" w:rsidR="009D2E0C" w:rsidRPr="009D2E0C" w:rsidRDefault="009D2E0C" w:rsidP="009D2E0C">
      <w:pPr>
        <w:spacing w:after="0" w:line="240" w:lineRule="auto"/>
        <w:jc w:val="both"/>
        <w:rPr>
          <w:rFonts w:ascii="Verdana" w:eastAsia="Calibri" w:hAnsi="Verdana" w:cs="Arial"/>
          <w:lang w:eastAsia="es-ES_tradnl"/>
        </w:rPr>
      </w:pPr>
    </w:p>
    <w:p w14:paraId="7F81FC6C" w14:textId="77777777" w:rsidR="009D2E0C" w:rsidRPr="009D2E0C" w:rsidRDefault="009D2E0C" w:rsidP="009D2E0C">
      <w:pPr>
        <w:spacing w:after="0" w:line="240" w:lineRule="auto"/>
        <w:jc w:val="both"/>
        <w:rPr>
          <w:rFonts w:ascii="Verdana" w:eastAsia="Calibri" w:hAnsi="Verdana" w:cs="Arial"/>
          <w:lang w:eastAsia="es-ES_tradnl"/>
        </w:rPr>
      </w:pPr>
    </w:p>
    <w:p w14:paraId="38BDACE7" w14:textId="77777777" w:rsidR="009D2E0C" w:rsidRPr="009D2E0C" w:rsidRDefault="009D2E0C" w:rsidP="009D2E0C">
      <w:pPr>
        <w:spacing w:after="0" w:line="276" w:lineRule="auto"/>
        <w:jc w:val="both"/>
        <w:rPr>
          <w:rFonts w:ascii="Verdana" w:eastAsia="Calibri" w:hAnsi="Verdana" w:cs="Arial"/>
          <w:lang w:val="es-ES" w:eastAsia="es-ES"/>
        </w:rPr>
      </w:pPr>
      <w:r w:rsidRPr="009D2E0C">
        <w:rPr>
          <w:rFonts w:ascii="Verdana" w:eastAsia="Calibri" w:hAnsi="Verdana" w:cs="Arial"/>
          <w:lang w:val="es-ES" w:eastAsia="es-ES"/>
        </w:rPr>
        <w:t xml:space="preserve">Estimado señor Marín Ramos: </w:t>
      </w:r>
    </w:p>
    <w:p w14:paraId="5F9EE286" w14:textId="77777777" w:rsidR="009D2E0C" w:rsidRPr="009D2E0C" w:rsidRDefault="009D2E0C" w:rsidP="009D2E0C">
      <w:pPr>
        <w:tabs>
          <w:tab w:val="left" w:pos="3768"/>
        </w:tabs>
        <w:spacing w:after="0" w:line="276" w:lineRule="auto"/>
        <w:jc w:val="both"/>
        <w:rPr>
          <w:rFonts w:ascii="Verdana" w:eastAsia="Calibri" w:hAnsi="Verdana" w:cs="Arial"/>
          <w:lang w:val="es-ES" w:eastAsia="es-ES"/>
        </w:rPr>
      </w:pPr>
      <w:r w:rsidRPr="009D2E0C">
        <w:rPr>
          <w:rFonts w:ascii="Verdana" w:eastAsia="Calibri" w:hAnsi="Verdana" w:cs="Arial"/>
          <w:lang w:val="es-ES" w:eastAsia="es-ES"/>
        </w:rPr>
        <w:tab/>
      </w:r>
    </w:p>
    <w:p w14:paraId="6D6508E4" w14:textId="77777777" w:rsidR="009D2E0C" w:rsidRPr="009D2E0C" w:rsidRDefault="009D2E0C" w:rsidP="009D2E0C">
      <w:pPr>
        <w:spacing w:after="0" w:line="276" w:lineRule="auto"/>
        <w:jc w:val="both"/>
        <w:rPr>
          <w:rFonts w:ascii="Verdana" w:eastAsia="Calibri" w:hAnsi="Verdana" w:cs="Arial"/>
          <w:lang w:val="es-ES" w:eastAsia="es-ES"/>
        </w:rPr>
      </w:pPr>
      <w:r w:rsidRPr="009D2E0C">
        <w:rPr>
          <w:rFonts w:ascii="Verdana" w:eastAsia="Calibri" w:hAnsi="Verdana" w:cs="Arial"/>
          <w:lang w:val="es-ES" w:eastAsia="es-ES"/>
        </w:rPr>
        <w:t>En ejercicio de la competencia otorgada por los artículos 3, numeral 5º, y 11, numeral 8º, del Decreto Ley 4170 de 2011,</w:t>
      </w:r>
      <w:r w:rsidRPr="009D2E0C">
        <w:rPr>
          <w:rFonts w:ascii="Verdana" w:eastAsia="Arial MT" w:hAnsi="Verdana" w:cs="Arial MT"/>
          <w:lang w:val="es-ES" w:eastAsia="es-ES"/>
        </w:rPr>
        <w:t xml:space="preserve"> </w:t>
      </w:r>
      <w:r w:rsidRPr="009D2E0C">
        <w:rPr>
          <w:rFonts w:ascii="Verdana" w:eastAsia="Calibri" w:hAnsi="Verdana" w:cs="Arial"/>
          <w:lang w:eastAsia="es-MX"/>
        </w:rPr>
        <w:t xml:space="preserve">así como lo establecido en el artículo 4 de la Resolución 1707 de 2018 expedida por esta Entidad, </w:t>
      </w:r>
      <w:r w:rsidRPr="009D2E0C">
        <w:rPr>
          <w:rFonts w:ascii="Verdana" w:eastAsia="Calibri" w:hAnsi="Verdana" w:cs="Arial"/>
          <w:lang w:val="es-ES" w:eastAsia="es-ES"/>
        </w:rPr>
        <w:t>la Agencia Nacional de Contratación Pública – Colombia Compra Eficiente responde su solicitud de consulta de fecha 28 de noviembre de 2025, en la que manifiesta lo siguiente:</w:t>
      </w:r>
    </w:p>
    <w:p w14:paraId="58130757" w14:textId="77777777" w:rsidR="009D2E0C" w:rsidRPr="009D2E0C" w:rsidRDefault="009D2E0C" w:rsidP="009D2E0C">
      <w:pPr>
        <w:spacing w:after="0" w:line="276" w:lineRule="auto"/>
        <w:jc w:val="both"/>
        <w:rPr>
          <w:rFonts w:ascii="Verdana" w:eastAsia="Calibri" w:hAnsi="Verdana" w:cs="Arial"/>
          <w:lang w:val="es-ES" w:eastAsia="es-ES"/>
        </w:rPr>
      </w:pPr>
    </w:p>
    <w:p w14:paraId="6D0D7FD3" w14:textId="77777777" w:rsidR="009D2E0C" w:rsidRPr="009D2E0C" w:rsidRDefault="009D2E0C" w:rsidP="009D2E0C">
      <w:pPr>
        <w:spacing w:after="0" w:line="240" w:lineRule="auto"/>
        <w:ind w:left="709" w:right="709"/>
        <w:jc w:val="both"/>
        <w:rPr>
          <w:rFonts w:ascii="Verdana" w:eastAsia="Calibri" w:hAnsi="Verdana" w:cs="Arial"/>
          <w:sz w:val="21"/>
          <w:szCs w:val="21"/>
          <w:lang w:val="es-ES" w:eastAsia="es-ES"/>
        </w:rPr>
      </w:pPr>
      <w:r w:rsidRPr="009D2E0C">
        <w:rPr>
          <w:rFonts w:ascii="Verdana" w:eastAsia="Calibri" w:hAnsi="Verdana" w:cs="Arial"/>
          <w:sz w:val="21"/>
          <w:szCs w:val="21"/>
          <w:lang w:val="es-ES" w:eastAsia="es-ES"/>
        </w:rPr>
        <w:t>"</w:t>
      </w:r>
      <w:r w:rsidRPr="009D2E0C">
        <w:rPr>
          <w:rFonts w:ascii="Times New Roman" w:eastAsia="Times New Roman" w:hAnsi="Times New Roman" w:cs="Times New Roman"/>
          <w:sz w:val="24"/>
          <w:szCs w:val="24"/>
          <w:lang w:eastAsia="es-MX"/>
        </w:rPr>
        <w:t xml:space="preserve">[…] </w:t>
      </w:r>
      <w:r w:rsidRPr="009D2E0C">
        <w:rPr>
          <w:rFonts w:ascii="Verdana" w:eastAsia="Calibri" w:hAnsi="Verdana" w:cs="Arial"/>
          <w:sz w:val="21"/>
          <w:szCs w:val="21"/>
          <w:lang w:val="es-ES" w:eastAsia="es-ES"/>
        </w:rPr>
        <w:t xml:space="preserve">mi </w:t>
      </w:r>
      <w:proofErr w:type="spellStart"/>
      <w:r w:rsidRPr="009D2E0C">
        <w:rPr>
          <w:rFonts w:ascii="Verdana" w:eastAsia="Calibri" w:hAnsi="Verdana" w:cs="Arial"/>
          <w:sz w:val="21"/>
          <w:szCs w:val="21"/>
          <w:lang w:val="es-ES" w:eastAsia="es-ES"/>
        </w:rPr>
        <w:t>cosulta</w:t>
      </w:r>
      <w:proofErr w:type="spellEnd"/>
      <w:r w:rsidRPr="009D2E0C">
        <w:rPr>
          <w:rFonts w:ascii="Verdana" w:eastAsia="Calibri" w:hAnsi="Verdana" w:cs="Arial"/>
          <w:sz w:val="21"/>
          <w:szCs w:val="21"/>
          <w:lang w:val="es-ES" w:eastAsia="es-ES"/>
        </w:rPr>
        <w:t xml:space="preserve"> esta </w:t>
      </w:r>
      <w:proofErr w:type="spellStart"/>
      <w:r w:rsidRPr="009D2E0C">
        <w:rPr>
          <w:rFonts w:ascii="Verdana" w:eastAsia="Calibri" w:hAnsi="Verdana" w:cs="Arial"/>
          <w:sz w:val="21"/>
          <w:szCs w:val="21"/>
          <w:lang w:val="es-ES" w:eastAsia="es-ES"/>
        </w:rPr>
        <w:t>realcionada</w:t>
      </w:r>
      <w:proofErr w:type="spellEnd"/>
      <w:r w:rsidRPr="009D2E0C">
        <w:rPr>
          <w:rFonts w:ascii="Verdana" w:eastAsia="Calibri" w:hAnsi="Verdana" w:cs="Arial"/>
          <w:sz w:val="21"/>
          <w:szCs w:val="21"/>
          <w:lang w:val="es-ES" w:eastAsia="es-ES"/>
        </w:rPr>
        <w:t xml:space="preserve"> con la </w:t>
      </w:r>
      <w:proofErr w:type="spellStart"/>
      <w:r w:rsidRPr="009D2E0C">
        <w:rPr>
          <w:rFonts w:ascii="Verdana" w:eastAsia="Calibri" w:hAnsi="Verdana" w:cs="Arial"/>
          <w:sz w:val="21"/>
          <w:szCs w:val="21"/>
          <w:lang w:val="es-ES" w:eastAsia="es-ES"/>
        </w:rPr>
        <w:t>aplicacion</w:t>
      </w:r>
      <w:proofErr w:type="spellEnd"/>
      <w:r w:rsidRPr="009D2E0C">
        <w:rPr>
          <w:rFonts w:ascii="Verdana" w:eastAsia="Calibri" w:hAnsi="Verdana" w:cs="Arial"/>
          <w:sz w:val="21"/>
          <w:szCs w:val="21"/>
          <w:lang w:val="es-ES" w:eastAsia="es-ES"/>
        </w:rPr>
        <w:t xml:space="preserve"> de la normatividad frente a la </w:t>
      </w:r>
      <w:proofErr w:type="spellStart"/>
      <w:r w:rsidRPr="009D2E0C">
        <w:rPr>
          <w:rFonts w:ascii="Verdana" w:eastAsia="Calibri" w:hAnsi="Verdana" w:cs="Arial"/>
          <w:sz w:val="21"/>
          <w:szCs w:val="21"/>
          <w:lang w:val="es-ES" w:eastAsia="es-ES"/>
        </w:rPr>
        <w:t>conformacion</w:t>
      </w:r>
      <w:proofErr w:type="spellEnd"/>
      <w:r w:rsidRPr="009D2E0C">
        <w:rPr>
          <w:rFonts w:ascii="Verdana" w:eastAsia="Calibri" w:hAnsi="Verdana" w:cs="Arial"/>
          <w:sz w:val="21"/>
          <w:szCs w:val="21"/>
          <w:lang w:val="es-ES" w:eastAsia="es-ES"/>
        </w:rPr>
        <w:t xml:space="preserve"> </w:t>
      </w:r>
      <w:proofErr w:type="gramStart"/>
      <w:r w:rsidRPr="009D2E0C">
        <w:rPr>
          <w:rFonts w:ascii="Verdana" w:eastAsia="Calibri" w:hAnsi="Verdana" w:cs="Arial"/>
          <w:sz w:val="21"/>
          <w:szCs w:val="21"/>
          <w:lang w:val="es-ES" w:eastAsia="es-ES"/>
        </w:rPr>
        <w:t>de los pliego</w:t>
      </w:r>
      <w:proofErr w:type="gramEnd"/>
      <w:r w:rsidRPr="009D2E0C">
        <w:rPr>
          <w:rFonts w:ascii="Verdana" w:eastAsia="Calibri" w:hAnsi="Verdana" w:cs="Arial"/>
          <w:sz w:val="21"/>
          <w:szCs w:val="21"/>
          <w:lang w:val="es-ES" w:eastAsia="es-ES"/>
        </w:rPr>
        <w:t xml:space="preserve"> de condiciones y </w:t>
      </w:r>
      <w:proofErr w:type="gramStart"/>
      <w:r w:rsidRPr="009D2E0C">
        <w:rPr>
          <w:rFonts w:ascii="Verdana" w:eastAsia="Calibri" w:hAnsi="Verdana" w:cs="Arial"/>
          <w:sz w:val="21"/>
          <w:szCs w:val="21"/>
          <w:lang w:val="es-ES" w:eastAsia="es-ES"/>
        </w:rPr>
        <w:t>las respuesta</w:t>
      </w:r>
      <w:proofErr w:type="gramEnd"/>
      <w:r w:rsidRPr="009D2E0C">
        <w:rPr>
          <w:rFonts w:ascii="Verdana" w:eastAsia="Calibri" w:hAnsi="Verdana" w:cs="Arial"/>
          <w:sz w:val="21"/>
          <w:szCs w:val="21"/>
          <w:lang w:val="es-ES" w:eastAsia="es-ES"/>
        </w:rPr>
        <w:t xml:space="preserve"> que la entidad emite a los observantes respecto de un bien en calidad de bien cultural y la obligatoriedad de pliego tipo”. [SIC]</w:t>
      </w:r>
    </w:p>
    <w:p w14:paraId="39EDBF15" w14:textId="77777777" w:rsidR="009D2E0C" w:rsidRPr="009D2E0C" w:rsidRDefault="009D2E0C" w:rsidP="009D2E0C">
      <w:pPr>
        <w:spacing w:after="0" w:line="240" w:lineRule="auto"/>
        <w:ind w:left="709" w:right="709"/>
        <w:jc w:val="both"/>
        <w:rPr>
          <w:rFonts w:ascii="Verdana" w:eastAsia="Calibri" w:hAnsi="Verdana" w:cs="Arial"/>
          <w:sz w:val="21"/>
          <w:szCs w:val="21"/>
          <w:lang w:val="es-ES" w:eastAsia="es-ES"/>
        </w:rPr>
      </w:pPr>
    </w:p>
    <w:p w14:paraId="70C8652A" w14:textId="77777777" w:rsidR="009D2E0C" w:rsidRPr="009D2E0C" w:rsidRDefault="009D2E0C" w:rsidP="009D2E0C">
      <w:pPr>
        <w:spacing w:after="120" w:line="276" w:lineRule="auto"/>
        <w:ind w:firstLine="709"/>
        <w:jc w:val="both"/>
        <w:rPr>
          <w:rFonts w:ascii="Verdana" w:eastAsia="Calibri" w:hAnsi="Verdana" w:cs="Arial"/>
          <w:szCs w:val="24"/>
          <w:lang w:eastAsia="es-ES_tradnl"/>
        </w:rPr>
      </w:pPr>
      <w:r w:rsidRPr="009D2E0C">
        <w:rPr>
          <w:rFonts w:ascii="Verdana" w:eastAsia="Calibri" w:hAnsi="Verdana" w:cs="Arial"/>
          <w:lang w:val="es-ES" w:eastAsia="es-ES"/>
        </w:rPr>
        <w:t xml:space="preserve">De manera preliminar, resulta necesario acotar que esta entidad solo tiene competencia para responder consultas sobre la aplicación de normas de carácter </w:t>
      </w:r>
      <w:r w:rsidRPr="009D2E0C">
        <w:rPr>
          <w:rFonts w:ascii="Verdana" w:eastAsia="Calibri" w:hAnsi="Verdana" w:cs="Arial"/>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D2E0C">
        <w:rPr>
          <w:rFonts w:ascii="Verdana" w:eastAsia="Calibri" w:hAnsi="Verdana" w:cs="Arial"/>
          <w:szCs w:val="24"/>
          <w:lang w:eastAsia="es-ES_tradnl"/>
        </w:rPr>
        <w:tab/>
      </w:r>
    </w:p>
    <w:p w14:paraId="52DDE29C" w14:textId="77777777" w:rsidR="009D2E0C" w:rsidRPr="009D2E0C" w:rsidRDefault="009D2E0C" w:rsidP="009D2E0C">
      <w:pPr>
        <w:spacing w:after="0" w:line="276" w:lineRule="auto"/>
        <w:ind w:firstLine="709"/>
        <w:jc w:val="both"/>
        <w:rPr>
          <w:rFonts w:ascii="Verdana" w:eastAsia="Calibri" w:hAnsi="Verdana" w:cs="Arial"/>
          <w:lang w:val="es-ES" w:eastAsia="es-ES"/>
        </w:rPr>
      </w:pPr>
      <w:r w:rsidRPr="009D2E0C">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9D2E0C">
        <w:rPr>
          <w:rFonts w:ascii="Verdana" w:eastAsia="Calibri" w:hAnsi="Verdana" w:cs="Arial"/>
          <w:lang w:val="es-ES" w:eastAsia="es-ES"/>
        </w:rPr>
        <w:tab/>
      </w:r>
    </w:p>
    <w:p w14:paraId="254B594F" w14:textId="77777777" w:rsidR="009D2E0C" w:rsidRPr="009D2E0C" w:rsidRDefault="009D2E0C" w:rsidP="009D2E0C">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eastAsia="es-MX"/>
        </w:rPr>
      </w:pPr>
      <w:r w:rsidRPr="009D2E0C">
        <w:rPr>
          <w:rFonts w:ascii="Verdana" w:eastAsia="Century Gothic" w:hAnsi="Verdana" w:cs="Century Gothic"/>
          <w:b/>
          <w:bCs/>
          <w:lang w:val="es-ES" w:eastAsia="es-MX"/>
        </w:rPr>
        <w:t>Problema planteado:</w:t>
      </w:r>
    </w:p>
    <w:p w14:paraId="56ADEEFC" w14:textId="77777777" w:rsidR="009D2E0C" w:rsidRPr="009D2E0C" w:rsidRDefault="009D2E0C" w:rsidP="009D2E0C">
      <w:pPr>
        <w:tabs>
          <w:tab w:val="left" w:pos="426"/>
        </w:tabs>
        <w:spacing w:after="0" w:line="276" w:lineRule="auto"/>
        <w:jc w:val="both"/>
        <w:rPr>
          <w:rFonts w:ascii="Verdana" w:eastAsia="Century Gothic" w:hAnsi="Verdana" w:cs="Century Gothic"/>
          <w:lang w:val="es-ES" w:eastAsia="es-MX"/>
        </w:rPr>
      </w:pPr>
    </w:p>
    <w:p w14:paraId="69B617BB" w14:textId="77777777" w:rsidR="009D2E0C" w:rsidRPr="009D2E0C" w:rsidRDefault="009D2E0C" w:rsidP="009D2E0C">
      <w:pPr>
        <w:snapToGrid w:val="0"/>
        <w:spacing w:after="0" w:line="276" w:lineRule="auto"/>
        <w:jc w:val="both"/>
        <w:rPr>
          <w:rFonts w:ascii="Verdana" w:eastAsia="Century Gothic" w:hAnsi="Verdana" w:cs="Century Gothic"/>
          <w:lang w:eastAsia="es-MX"/>
        </w:rPr>
      </w:pPr>
      <w:r w:rsidRPr="009D2E0C">
        <w:rPr>
          <w:rFonts w:ascii="Verdana" w:eastAsia="Century Gothic" w:hAnsi="Verdana" w:cs="Century Gothic"/>
          <w:lang w:eastAsia="es-MX"/>
        </w:rPr>
        <w:t>De acuerdo con el contenido de su solicitud, esta Agencia resolverá el siguiente problema jurídico: ¿cómo debe ser entendida la experiencia respecto a un bien de interés cultural en aplicación documentos tipo de infraestructura social – sector cultura, recreación y deporte?</w:t>
      </w:r>
    </w:p>
    <w:p w14:paraId="09B94724" w14:textId="77777777" w:rsidR="009D2E0C" w:rsidRPr="009D2E0C" w:rsidRDefault="009D2E0C" w:rsidP="009D2E0C">
      <w:pPr>
        <w:snapToGrid w:val="0"/>
        <w:spacing w:after="0" w:line="276" w:lineRule="auto"/>
        <w:jc w:val="both"/>
        <w:rPr>
          <w:rFonts w:ascii="Verdana" w:eastAsia="Calibri" w:hAnsi="Verdana" w:cs="Arial"/>
          <w:lang w:val="es-ES" w:eastAsia="es-MX"/>
        </w:rPr>
      </w:pPr>
    </w:p>
    <w:p w14:paraId="23EADA44" w14:textId="77777777" w:rsidR="009D2E0C" w:rsidRPr="009D2E0C" w:rsidRDefault="009D2E0C" w:rsidP="009D2E0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9D2E0C">
        <w:rPr>
          <w:rFonts w:ascii="Verdana" w:eastAsia="Century Gothic" w:hAnsi="Verdana" w:cs="Century Gothic"/>
          <w:b/>
          <w:bCs/>
          <w:lang w:val="es-ES" w:eastAsia="es-MX"/>
        </w:rPr>
        <w:t>Respuesta:</w:t>
      </w:r>
    </w:p>
    <w:p w14:paraId="03C4204C" w14:textId="77777777" w:rsidR="009D2E0C" w:rsidRPr="009D2E0C" w:rsidRDefault="009D2E0C" w:rsidP="009D2E0C">
      <w:pPr>
        <w:tabs>
          <w:tab w:val="left" w:pos="142"/>
          <w:tab w:val="left" w:pos="284"/>
        </w:tabs>
        <w:snapToGrid w:val="0"/>
        <w:spacing w:after="0" w:line="276" w:lineRule="auto"/>
        <w:jc w:val="both"/>
        <w:rPr>
          <w:rFonts w:ascii="Verdana" w:eastAsia="Century Gothic" w:hAnsi="Verdana" w:cs="Century Gothic"/>
          <w:b/>
          <w:bCs/>
          <w:lang w:val="es-ES" w:eastAsia="es-MX"/>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D2E0C" w:rsidRPr="009D2E0C" w14:paraId="408DE8CE" w14:textId="77777777" w:rsidTr="00B9141B">
        <w:tc>
          <w:tcPr>
            <w:tcW w:w="8828" w:type="dxa"/>
          </w:tcPr>
          <w:p w14:paraId="1617C2ED" w14:textId="77777777" w:rsidR="009D2E0C" w:rsidRPr="009D2E0C" w:rsidRDefault="009D2E0C" w:rsidP="009D2E0C">
            <w:pPr>
              <w:spacing w:after="120" w:line="276" w:lineRule="auto"/>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Dentro de la matriz de experiencia del sector de cultura, recreación y deporte de los documentos tipo de infraestructura social, en la actividad 1.10, no se solicita que el bien de interés cultural sea de infraestructura cultural, por lo siguiente:</w:t>
            </w:r>
          </w:p>
          <w:p w14:paraId="289DC43B" w14:textId="77777777" w:rsidR="009D2E0C" w:rsidRPr="009D2E0C" w:rsidRDefault="009D2E0C" w:rsidP="009D2E0C">
            <w:pPr>
              <w:spacing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La actividad 1.10 contemplada dentro de la matriz de experiencia del sector de cultura recreación y deporte vigente (CCE-EICP-FM-124) corresponde a:</w:t>
            </w:r>
          </w:p>
          <w:p w14:paraId="477DE5DF" w14:textId="77777777" w:rsidR="009D2E0C" w:rsidRPr="009D2E0C" w:rsidRDefault="009D2E0C" w:rsidP="009D2E0C">
            <w:pPr>
              <w:ind w:left="709" w:right="709"/>
              <w:jc w:val="both"/>
              <w:rPr>
                <w:rFonts w:ascii="Verdana" w:eastAsia="Times New Roman" w:hAnsi="Verdana" w:cs="Times New Roman"/>
                <w:color w:val="000000"/>
                <w:lang w:eastAsia="es-MX"/>
              </w:rPr>
            </w:pPr>
          </w:p>
          <w:p w14:paraId="43E87F11" w14:textId="77777777" w:rsidR="009D2E0C" w:rsidRPr="009D2E0C" w:rsidRDefault="009D2E0C" w:rsidP="009D2E0C">
            <w:pPr>
              <w:ind w:left="709" w:right="709"/>
              <w:jc w:val="both"/>
              <w:rPr>
                <w:rFonts w:ascii="Verdana" w:eastAsia="Times New Roman" w:hAnsi="Verdana" w:cs="Times New Roman"/>
                <w:color w:val="000000"/>
                <w:sz w:val="21"/>
                <w:szCs w:val="21"/>
                <w:lang w:eastAsia="es-MX"/>
              </w:rPr>
            </w:pPr>
            <w:r w:rsidRPr="009D2E0C">
              <w:rPr>
                <w:rFonts w:ascii="Verdana" w:eastAsia="Times New Roman" w:hAnsi="Verdana" w:cs="Times New Roman"/>
                <w:color w:val="000000"/>
                <w:sz w:val="21"/>
                <w:szCs w:val="21"/>
                <w:lang w:eastAsia="es-MX"/>
              </w:rPr>
              <w:t xml:space="preserve">“1.10. Proyectos de construcción y/o mejoramiento y/o adecuación y/o mantenimiento y/o remodelación y/o conservación y/o </w:t>
            </w:r>
            <w:r w:rsidRPr="009D2E0C">
              <w:rPr>
                <w:rFonts w:ascii="Verdana" w:eastAsia="Times New Roman" w:hAnsi="Verdana" w:cs="Times New Roman"/>
                <w:color w:val="000000"/>
                <w:sz w:val="21"/>
                <w:szCs w:val="21"/>
                <w:lang w:eastAsia="es-MX"/>
              </w:rPr>
              <w:lastRenderedPageBreak/>
              <w:t>restauración y/o recuperación y/o intervención de infraestructura cultural en bienes de interés cultural y/o patrimonial”.</w:t>
            </w:r>
            <w:r w:rsidRPr="009D2E0C">
              <w:rPr>
                <w:rFonts w:ascii="Verdana" w:eastAsia="Times New Roman" w:hAnsi="Verdana" w:cs="Times New Roman"/>
                <w:color w:val="000000"/>
                <w:sz w:val="21"/>
                <w:szCs w:val="21"/>
                <w:lang w:eastAsia="es-MX"/>
              </w:rPr>
              <w:t> </w:t>
            </w:r>
            <w:r w:rsidRPr="009D2E0C">
              <w:rPr>
                <w:rFonts w:ascii="Verdana" w:eastAsia="Times New Roman" w:hAnsi="Verdana" w:cs="Times New Roman"/>
                <w:color w:val="000000"/>
                <w:sz w:val="21"/>
                <w:szCs w:val="21"/>
                <w:lang w:eastAsia="es-MX"/>
              </w:rPr>
              <w:t> </w:t>
            </w:r>
            <w:r w:rsidRPr="009D2E0C">
              <w:rPr>
                <w:rFonts w:ascii="Verdana" w:eastAsia="Times New Roman" w:hAnsi="Verdana" w:cs="Times New Roman"/>
                <w:color w:val="000000"/>
                <w:sz w:val="21"/>
                <w:szCs w:val="21"/>
                <w:lang w:eastAsia="es-MX"/>
              </w:rPr>
              <w:t> </w:t>
            </w:r>
            <w:r w:rsidRPr="009D2E0C">
              <w:rPr>
                <w:rFonts w:ascii="Verdana" w:eastAsia="Times New Roman" w:hAnsi="Verdana" w:cs="Times New Roman"/>
                <w:color w:val="000000"/>
                <w:sz w:val="21"/>
                <w:szCs w:val="21"/>
                <w:lang w:eastAsia="es-MX"/>
              </w:rPr>
              <w:t> </w:t>
            </w:r>
          </w:p>
          <w:p w14:paraId="495F8DF6" w14:textId="77777777" w:rsidR="009D2E0C" w:rsidRPr="009D2E0C" w:rsidRDefault="009D2E0C" w:rsidP="009D2E0C">
            <w:pPr>
              <w:spacing w:line="276" w:lineRule="auto"/>
              <w:rPr>
                <w:rFonts w:ascii="Verdana" w:eastAsia="Times New Roman" w:hAnsi="Verdana" w:cs="Times New Roman"/>
                <w:color w:val="000000"/>
                <w:lang w:eastAsia="es-MX"/>
              </w:rPr>
            </w:pPr>
          </w:p>
          <w:p w14:paraId="71D5E796" w14:textId="77777777" w:rsidR="009D2E0C" w:rsidRPr="009D2E0C" w:rsidRDefault="009D2E0C" w:rsidP="009D2E0C">
            <w:pPr>
              <w:spacing w:after="12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A su vez, la matriz establece como experiencia general</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xml:space="preserve">proyectos que contemplen: </w:t>
            </w:r>
            <w:r w:rsidRPr="009D2E0C">
              <w:rPr>
                <w:rFonts w:ascii="Verdana" w:eastAsia="Times New Roman" w:hAnsi="Verdana" w:cs="Times New Roman"/>
                <w:i/>
                <w:iCs/>
                <w:color w:val="000000"/>
                <w:lang w:eastAsia="es-MX"/>
              </w:rPr>
              <w:t>"construcción y/o mejoramiento y/o adecuación y/o mantenimiento y/o remodelación y/o conservación y/o restauración y/o recuperación y/o ampliación y/o reforzamiento y/o modificación de edificaciones".</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p>
          <w:p w14:paraId="362261CD" w14:textId="77777777" w:rsidR="009D2E0C" w:rsidRPr="009D2E0C" w:rsidRDefault="009D2E0C" w:rsidP="009D2E0C">
            <w:pPr>
              <w:spacing w:after="12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Y, para acreditar la experiencia específica,</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solicita: </w:t>
            </w:r>
            <w:r w:rsidRPr="009D2E0C">
              <w:rPr>
                <w:rFonts w:ascii="Verdana" w:eastAsia="Times New Roman" w:hAnsi="Verdana" w:cs="Times New Roman"/>
                <w:i/>
                <w:iCs/>
                <w:color w:val="000000"/>
                <w:lang w:eastAsia="es-MX"/>
              </w:rPr>
              <w:t>"por lo menos uno (1) de los contratos válidos aportados como experiencia general debe corresponder o contemple la construcción y/o mejoramiento y/o adecuación y/o mantenimiento y/o remodelación y/o conservación y/o restauración y/o recuperación y/o ampliación y/o reforzamiento y/o modificación </w:t>
            </w:r>
            <w:r w:rsidRPr="009D2E0C">
              <w:rPr>
                <w:rFonts w:ascii="Verdana" w:eastAsia="Times New Roman" w:hAnsi="Verdana" w:cs="Times New Roman"/>
                <w:b/>
                <w:bCs/>
                <w:i/>
                <w:iCs/>
                <w:color w:val="000000"/>
                <w:u w:val="single"/>
                <w:lang w:eastAsia="es-MX"/>
              </w:rPr>
              <w:t>de edificaciones consideradas de interés cultural y/o patrimonial</w:t>
            </w:r>
            <w:r w:rsidRPr="009D2E0C">
              <w:rPr>
                <w:rFonts w:ascii="Verdana" w:eastAsia="Times New Roman" w:hAnsi="Verdana" w:cs="Times New Roman"/>
                <w:i/>
                <w:iCs/>
                <w:color w:val="000000"/>
                <w:lang w:eastAsia="es-MX"/>
              </w:rPr>
              <w:t>."</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p>
          <w:p w14:paraId="600EB622" w14:textId="77777777" w:rsidR="009D2E0C" w:rsidRPr="009D2E0C" w:rsidRDefault="009D2E0C" w:rsidP="009D2E0C">
            <w:pPr>
              <w:spacing w:after="120" w:line="276" w:lineRule="auto"/>
              <w:ind w:firstLine="709"/>
              <w:jc w:val="both"/>
              <w:rPr>
                <w:rFonts w:ascii="Verdana" w:eastAsia="Times New Roman" w:hAnsi="Verdana" w:cs="Times New Roman"/>
                <w:i/>
                <w:iCs/>
                <w:color w:val="000000"/>
                <w:lang w:eastAsia="es-MX"/>
              </w:rPr>
            </w:pPr>
            <w:r w:rsidRPr="009D2E0C">
              <w:rPr>
                <w:rFonts w:ascii="Verdana" w:eastAsia="Times New Roman" w:hAnsi="Verdana" w:cs="Times New Roman"/>
                <w:color w:val="000000"/>
                <w:lang w:eastAsia="es-MX"/>
              </w:rPr>
              <w:t xml:space="preserve">De igual manera, la referida matriz establece para la experiencia especifica que: </w:t>
            </w:r>
            <w:r w:rsidRPr="009D2E0C">
              <w:rPr>
                <w:rFonts w:ascii="Verdana" w:eastAsia="Times New Roman" w:hAnsi="Verdana" w:cs="Times New Roman"/>
                <w:i/>
                <w:iCs/>
                <w:color w:val="000000"/>
                <w:lang w:eastAsia="es-MX"/>
              </w:rPr>
              <w:t>"por lo menos uno (1) de los contratos válidos aportados como experiencia general debe corresponder mínimo al 50% del presupuesto oficial del presente proceso de selección".</w:t>
            </w:r>
          </w:p>
          <w:p w14:paraId="2F6E2D30" w14:textId="77777777" w:rsidR="009D2E0C" w:rsidRPr="009D2E0C" w:rsidRDefault="009D2E0C" w:rsidP="009D2E0C">
            <w:pPr>
              <w:spacing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Por su parte, en el glosario del sector de cultura, recreación y deporte vigente (CCE-EICP-IDI-38), en el numeral 2.13, se establece la siguiente definición:</w:t>
            </w:r>
          </w:p>
          <w:p w14:paraId="30C8676D" w14:textId="77777777" w:rsidR="009D2E0C" w:rsidRPr="009D2E0C" w:rsidRDefault="009D2E0C" w:rsidP="009D2E0C">
            <w:pPr>
              <w:spacing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p>
          <w:p w14:paraId="13348409" w14:textId="77777777" w:rsidR="009D2E0C" w:rsidRPr="009D2E0C" w:rsidRDefault="009D2E0C" w:rsidP="009D2E0C">
            <w:pPr>
              <w:ind w:left="709" w:right="709"/>
              <w:jc w:val="both"/>
              <w:rPr>
                <w:rFonts w:ascii="Verdana" w:eastAsia="Times New Roman" w:hAnsi="Verdana" w:cs="Times New Roman"/>
                <w:color w:val="000000"/>
                <w:sz w:val="21"/>
                <w:szCs w:val="21"/>
                <w:lang w:eastAsia="es-MX"/>
              </w:rPr>
            </w:pPr>
            <w:r w:rsidRPr="009D2E0C">
              <w:rPr>
                <w:rFonts w:ascii="Verdana" w:eastAsia="Times New Roman" w:hAnsi="Verdana" w:cs="Times New Roman"/>
                <w:color w:val="000000"/>
                <w:sz w:val="21"/>
                <w:szCs w:val="21"/>
                <w:lang w:eastAsia="es-MX"/>
              </w:rPr>
              <w:t>"</w:t>
            </w:r>
            <w:r w:rsidRPr="009D2E0C">
              <w:rPr>
                <w:rFonts w:ascii="Verdana" w:eastAsia="Times New Roman" w:hAnsi="Verdana" w:cs="Times New Roman"/>
                <w:b/>
                <w:bCs/>
                <w:color w:val="000000"/>
                <w:sz w:val="21"/>
                <w:szCs w:val="21"/>
                <w:lang w:eastAsia="es-MX"/>
              </w:rPr>
              <w:t>2.13. Bien de Interés Cultural:</w:t>
            </w:r>
            <w:r w:rsidRPr="009D2E0C">
              <w:rPr>
                <w:rFonts w:ascii="Verdana" w:eastAsia="Times New Roman" w:hAnsi="Verdana" w:cs="Times New Roman"/>
                <w:color w:val="000000"/>
                <w:sz w:val="21"/>
                <w:szCs w:val="21"/>
                <w:lang w:eastAsia="es-MX"/>
              </w:rPr>
              <w:t> Todos aquellos bienes declarados de interés cultural por la autoridad competente, en razón del interés especial que el bien revista para la comunidad en todo el territorio nacional o en una división territorial determinada". </w:t>
            </w:r>
          </w:p>
          <w:p w14:paraId="60BA1307" w14:textId="77777777" w:rsidR="009D2E0C" w:rsidRPr="009D2E0C" w:rsidRDefault="009D2E0C" w:rsidP="009D2E0C">
            <w:pPr>
              <w:spacing w:line="276" w:lineRule="auto"/>
              <w:ind w:left="709" w:right="709"/>
              <w:jc w:val="both"/>
              <w:rPr>
                <w:rFonts w:ascii="Verdana" w:eastAsia="Times New Roman" w:hAnsi="Verdana" w:cs="Times New Roman"/>
                <w:color w:val="000000"/>
                <w:lang w:eastAsia="es-MX"/>
              </w:rPr>
            </w:pPr>
          </w:p>
          <w:p w14:paraId="5D78D180" w14:textId="77777777" w:rsidR="009D2E0C" w:rsidRPr="009D2E0C" w:rsidRDefault="009D2E0C" w:rsidP="009D2E0C">
            <w:pPr>
              <w:snapToGrid w:val="0"/>
              <w:spacing w:after="12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De acuerdo con lo anterior, los requisitos establecidos dentro de la matriz para este tipo de proyectos no podrían cerrarse a que solo hayan sido en edificaciones consideradas de interés cultural y/o patrimonial solo en </w:t>
            </w:r>
            <w:r w:rsidRPr="009D2E0C">
              <w:rPr>
                <w:rFonts w:ascii="Verdana" w:eastAsia="Times New Roman" w:hAnsi="Verdana" w:cs="Times New Roman"/>
                <w:b/>
                <w:bCs/>
                <w:color w:val="000000"/>
                <w:lang w:eastAsia="es-MX"/>
              </w:rPr>
              <w:t>"infraestructura cultural".</w:t>
            </w:r>
          </w:p>
          <w:p w14:paraId="7F0A1328" w14:textId="77777777" w:rsidR="009D2E0C" w:rsidRPr="009D2E0C" w:rsidRDefault="009D2E0C" w:rsidP="009D2E0C">
            <w:pPr>
              <w:widowControl w:val="0"/>
              <w:autoSpaceDE w:val="0"/>
              <w:autoSpaceDN w:val="0"/>
              <w:snapToGrid w:val="0"/>
              <w:spacing w:line="276" w:lineRule="auto"/>
              <w:ind w:firstLine="709"/>
              <w:jc w:val="both"/>
              <w:rPr>
                <w:rFonts w:ascii="Verdana" w:eastAsia="Calibri" w:hAnsi="Verdana" w:cs="Arial"/>
                <w:lang w:eastAsia="es-MX"/>
              </w:rPr>
            </w:pPr>
            <w:r w:rsidRPr="009D2E0C">
              <w:rPr>
                <w:rFonts w:ascii="Verdana" w:eastAsia="Calibri" w:hAnsi="Verdana" w:cs="Arial"/>
                <w:lang w:eastAsia="es-MX"/>
              </w:rPr>
              <w:t>En todo caso, corresponde a las entidades estatales y a los particulares adoptar las decisiones que estimen procedentes en desarrollo de sus procesos de selección. Lo anterior, sin perjuicio del deber que tienen las entidades sometidas al Estatuto General de Contratación de la Administración Pública –</w:t>
            </w:r>
            <w:r w:rsidRPr="009D2E0C">
              <w:rPr>
                <w:rFonts w:ascii="Verdana" w:eastAsia="Calibri" w:hAnsi="Verdana" w:cs="Arial"/>
                <w:lang w:eastAsia="es-MX"/>
              </w:rPr>
              <w:lastRenderedPageBreak/>
              <w:t xml:space="preserve">EGCAP– de utilizar los documentos tipo sin la posibilidad de modificarlos o alterarlos, salvo en los aspectos expresamente permitidos. </w:t>
            </w:r>
          </w:p>
        </w:tc>
      </w:tr>
    </w:tbl>
    <w:p w14:paraId="1F2909AB" w14:textId="77777777" w:rsidR="009D2E0C" w:rsidRPr="009D2E0C" w:rsidRDefault="009D2E0C" w:rsidP="009D2E0C">
      <w:pPr>
        <w:tabs>
          <w:tab w:val="left" w:pos="142"/>
          <w:tab w:val="left" w:pos="284"/>
        </w:tabs>
        <w:snapToGrid w:val="0"/>
        <w:spacing w:after="0" w:line="276" w:lineRule="auto"/>
        <w:jc w:val="both"/>
        <w:rPr>
          <w:rFonts w:ascii="Verdana" w:eastAsia="Century Gothic" w:hAnsi="Verdana" w:cs="Century Gothic"/>
          <w:b/>
          <w:bCs/>
          <w:lang w:val="es-ES" w:eastAsia="es-MX"/>
        </w:rPr>
      </w:pPr>
    </w:p>
    <w:p w14:paraId="0464AF01" w14:textId="77777777" w:rsidR="009D2E0C" w:rsidRPr="009D2E0C" w:rsidRDefault="009D2E0C" w:rsidP="009D2E0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9D2E0C">
        <w:rPr>
          <w:rFonts w:ascii="Verdana" w:eastAsia="Century Gothic" w:hAnsi="Verdana" w:cs="Century Gothic"/>
          <w:b/>
          <w:bCs/>
          <w:lang w:val="es-ES" w:eastAsia="es-MX"/>
        </w:rPr>
        <w:t>Razones de la respuesta:</w:t>
      </w:r>
    </w:p>
    <w:p w14:paraId="259A7096" w14:textId="77777777" w:rsidR="009D2E0C" w:rsidRPr="009D2E0C" w:rsidRDefault="009D2E0C" w:rsidP="009D2E0C">
      <w:pPr>
        <w:tabs>
          <w:tab w:val="left" w:pos="142"/>
          <w:tab w:val="left" w:pos="284"/>
        </w:tabs>
        <w:snapToGrid w:val="0"/>
        <w:spacing w:after="0" w:line="276" w:lineRule="auto"/>
        <w:ind w:left="357"/>
        <w:jc w:val="both"/>
        <w:rPr>
          <w:rFonts w:ascii="Verdana" w:eastAsia="Century Gothic" w:hAnsi="Verdana" w:cs="Century Gothic"/>
          <w:b/>
          <w:bCs/>
          <w:lang w:val="es-ES" w:eastAsia="es-MX"/>
        </w:rPr>
      </w:pPr>
    </w:p>
    <w:p w14:paraId="30DDFF50" w14:textId="77777777" w:rsidR="009D2E0C" w:rsidRPr="009D2E0C" w:rsidRDefault="009D2E0C" w:rsidP="009D2E0C">
      <w:pPr>
        <w:snapToGrid w:val="0"/>
        <w:spacing w:after="0" w:line="276" w:lineRule="auto"/>
        <w:jc w:val="both"/>
        <w:rPr>
          <w:rFonts w:ascii="Verdana" w:eastAsia="Calibri" w:hAnsi="Verdana" w:cs="Arial"/>
          <w:lang w:val="es-ES" w:eastAsia="es-MX"/>
        </w:rPr>
      </w:pPr>
      <w:r w:rsidRPr="009D2E0C">
        <w:rPr>
          <w:rFonts w:ascii="Verdana" w:eastAsia="Calibri" w:hAnsi="Verdana" w:cs="Arial"/>
          <w:lang w:val="es-ES" w:eastAsia="es-MX"/>
        </w:rPr>
        <w:t xml:space="preserve">Lo anterior se sustenta en las siguientes consideraciones: </w:t>
      </w:r>
    </w:p>
    <w:p w14:paraId="4F986B37" w14:textId="77777777" w:rsidR="009D2E0C" w:rsidRPr="009D2E0C" w:rsidRDefault="009D2E0C" w:rsidP="009D2E0C">
      <w:pPr>
        <w:spacing w:after="0" w:line="276" w:lineRule="auto"/>
        <w:jc w:val="both"/>
        <w:rPr>
          <w:rFonts w:ascii="Verdana" w:eastAsia="Calibri" w:hAnsi="Verdana" w:cs="Arial"/>
          <w:lang w:val="es-ES" w:eastAsia="es-MX"/>
        </w:rPr>
      </w:pPr>
    </w:p>
    <w:p w14:paraId="2555FDF1" w14:textId="77777777" w:rsidR="009D2E0C" w:rsidRPr="009D2E0C" w:rsidRDefault="009D2E0C" w:rsidP="009D2E0C">
      <w:pPr>
        <w:snapToGrid w:val="0"/>
        <w:spacing w:after="120" w:line="276" w:lineRule="auto"/>
        <w:jc w:val="both"/>
        <w:rPr>
          <w:rFonts w:ascii="Verdana" w:eastAsia="Calibri" w:hAnsi="Verdana" w:cs="Times New Roman"/>
          <w:lang w:val="es-ES" w:eastAsia="es-MX"/>
        </w:rPr>
      </w:pPr>
      <w:r w:rsidRPr="009D2E0C">
        <w:rPr>
          <w:rFonts w:ascii="Verdana" w:eastAsia="Calibri" w:hAnsi="Verdana" w:cs="Times New Roman"/>
          <w:lang w:val="es-ES" w:eastAsia="es-MX"/>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9D2E0C">
        <w:rPr>
          <w:rFonts w:ascii="Verdana" w:eastAsia="Calibri" w:hAnsi="Verdana" w:cs="Times New Roman"/>
          <w:lang w:val="es-ES" w:eastAsia="es-MX"/>
        </w:rPr>
        <w:tab/>
      </w:r>
    </w:p>
    <w:p w14:paraId="6EFBBBAC" w14:textId="77777777" w:rsidR="009D2E0C" w:rsidRPr="009D2E0C" w:rsidRDefault="009D2E0C" w:rsidP="009D2E0C">
      <w:pPr>
        <w:snapToGrid w:val="0"/>
        <w:spacing w:after="120" w:line="276" w:lineRule="auto"/>
        <w:ind w:firstLine="709"/>
        <w:jc w:val="both"/>
        <w:rPr>
          <w:rFonts w:ascii="Verdana" w:eastAsia="Calibri" w:hAnsi="Verdana" w:cs="Times New Roman"/>
          <w:lang w:val="es-ES" w:eastAsia="es-MX"/>
        </w:rPr>
      </w:pPr>
      <w:r w:rsidRPr="009D2E0C">
        <w:rPr>
          <w:rFonts w:ascii="Verdana" w:eastAsia="Calibri" w:hAnsi="Verdana"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4A5BAD5F" w14:textId="77777777" w:rsidR="009D2E0C" w:rsidRPr="009D2E0C" w:rsidRDefault="009D2E0C" w:rsidP="009D2E0C">
      <w:pPr>
        <w:snapToGrid w:val="0"/>
        <w:spacing w:after="120" w:line="276" w:lineRule="auto"/>
        <w:ind w:firstLine="709"/>
        <w:jc w:val="both"/>
        <w:rPr>
          <w:rFonts w:ascii="Verdana" w:eastAsia="Calibri" w:hAnsi="Verdana" w:cs="Times New Roman"/>
          <w:lang w:eastAsia="es-MX"/>
        </w:rPr>
      </w:pPr>
      <w:r w:rsidRPr="009D2E0C">
        <w:rPr>
          <w:rFonts w:ascii="Verdana" w:eastAsia="Calibri" w:hAnsi="Verdana" w:cs="Times New Roman"/>
          <w:lang w:eastAsia="es-MX"/>
        </w:rPr>
        <w:t xml:space="preserve">Para la determinación de los requisitos mínimos de experiencia según la “Matriz – Experiencia”, el numeral 3.5.1 del documento base de los documentos tipo de licitación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 Experiencia”. </w:t>
      </w:r>
    </w:p>
    <w:p w14:paraId="3A16E0F7" w14:textId="77777777" w:rsidR="009D2E0C" w:rsidRPr="009D2E0C" w:rsidRDefault="009D2E0C" w:rsidP="009D2E0C">
      <w:pPr>
        <w:snapToGrid w:val="0"/>
        <w:spacing w:after="120" w:line="276" w:lineRule="auto"/>
        <w:ind w:firstLine="709"/>
        <w:jc w:val="both"/>
        <w:rPr>
          <w:rFonts w:ascii="Verdana" w:eastAsia="Calibri" w:hAnsi="Verdana" w:cs="Times New Roman"/>
          <w:lang w:val="es-ES" w:eastAsia="es-MX"/>
        </w:rPr>
      </w:pPr>
      <w:r w:rsidRPr="009D2E0C">
        <w:rPr>
          <w:rFonts w:ascii="Verdana" w:eastAsia="Calibri" w:hAnsi="Verdana" w:cs="Times New Roman"/>
          <w:bCs/>
          <w:lang w:val="es-ES" w:eastAsia="es-MX"/>
        </w:rPr>
        <w:lastRenderedPageBreak/>
        <w:t xml:space="preserve">El 6 de agosto, 18 de noviembre y 16 de diciembre de 2021, se adoptaron los documentos tipo complementarios para los procesos de licitación de obra pública de infraestructura social relacionados con el </w:t>
      </w:r>
      <w:r w:rsidRPr="009D2E0C">
        <w:rPr>
          <w:rFonts w:ascii="Verdana" w:eastAsia="Calibri" w:hAnsi="Verdana" w:cs="Times New Roman"/>
          <w:bCs/>
          <w:i/>
          <w:iCs/>
          <w:lang w:val="es-ES" w:eastAsia="es-MX"/>
        </w:rPr>
        <w:t>sector educ</w:t>
      </w:r>
      <w:r w:rsidRPr="009D2E0C">
        <w:rPr>
          <w:rFonts w:ascii="Verdana" w:eastAsia="Calibri" w:hAnsi="Verdana" w:cs="Times New Roman"/>
          <w:bCs/>
          <w:i/>
          <w:lang w:val="es-ES" w:eastAsia="es-MX"/>
        </w:rPr>
        <w:t xml:space="preserve">ativo, salud, y cultura, recreación y deporte, </w:t>
      </w:r>
      <w:r w:rsidRPr="009D2E0C">
        <w:rPr>
          <w:rFonts w:ascii="Verdana" w:eastAsia="Calibri" w:hAnsi="Verdana" w:cs="Times New Roman"/>
          <w:bCs/>
          <w:iCs/>
          <w:lang w:val="es-ES" w:eastAsia="es-MX"/>
        </w:rPr>
        <w:t>respectivamente</w:t>
      </w:r>
      <w:r w:rsidRPr="009D2E0C">
        <w:rPr>
          <w:rFonts w:ascii="Verdana" w:eastAsia="Calibri" w:hAnsi="Verdana" w:cs="Times New Roman"/>
          <w:bCs/>
          <w:i/>
          <w:lang w:val="es-ES" w:eastAsia="es-MX"/>
        </w:rPr>
        <w:t xml:space="preserve">, </w:t>
      </w:r>
      <w:r w:rsidRPr="009D2E0C">
        <w:rPr>
          <w:rFonts w:ascii="Verdana" w:eastAsia="Calibri" w:hAnsi="Verdana" w:cs="Times New Roman"/>
          <w:bCs/>
          <w:lang w:val="es-ES" w:eastAsia="es-MX"/>
        </w:rPr>
        <w:t xml:space="preserve">mediante las </w:t>
      </w:r>
      <w:r w:rsidRPr="009D2E0C">
        <w:rPr>
          <w:rFonts w:ascii="Verdana" w:eastAsia="Calibri" w:hAnsi="Verdana" w:cs="Times New Roman"/>
          <w:lang w:val="es-ES" w:eastAsia="es-MX"/>
        </w:rPr>
        <w:t xml:space="preserve">Resoluciones 220, 392 y 454 de 2021. Estas Resoluciones, en el artículo 2, desarrollan el “Anexo – Glosario” y la </w:t>
      </w:r>
      <w:r w:rsidRPr="009D2E0C">
        <w:rPr>
          <w:rFonts w:ascii="Verdana" w:eastAsia="Calibri" w:hAnsi="Verdana" w:cs="Times New Roman"/>
          <w:lang w:eastAsia="es-MX"/>
        </w:rPr>
        <w:t>“Matriz – Experiencia”</w:t>
      </w:r>
      <w:r w:rsidRPr="009D2E0C">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1AC13A33" w14:textId="77777777" w:rsidR="009D2E0C" w:rsidRPr="009D2E0C" w:rsidRDefault="009D2E0C" w:rsidP="009D2E0C">
      <w:pPr>
        <w:snapToGrid w:val="0"/>
        <w:spacing w:after="120" w:line="276" w:lineRule="auto"/>
        <w:ind w:firstLine="709"/>
        <w:jc w:val="both"/>
        <w:rPr>
          <w:rFonts w:ascii="Verdana" w:eastAsia="Calibri" w:hAnsi="Verdana" w:cs="Times New Roman"/>
          <w:lang w:val="es-ES" w:eastAsia="es-MX"/>
        </w:rPr>
      </w:pPr>
      <w:r w:rsidRPr="009D2E0C">
        <w:rPr>
          <w:rFonts w:ascii="Verdana" w:eastAsia="Calibri" w:hAnsi="Verdana" w:cs="Times New Roman"/>
          <w:lang w:val="es-ES" w:eastAsia="es-MX"/>
        </w:rPr>
        <w:t xml:space="preserve">La Matriz de Experiencia de los documentos tipo complementarios que se adoptaron con la Resolución 454 del 16 de diciembre de 2021 aplica en el sector de cultura, recreación y deporte a dos (2) tipos de obras: 1) Infraestructura cultural y 2) Infraestructura recreo deportiva. A su vez, en la “Matriz – Experiencia” para proyectos de infraestructura social para el sector de cultura, recreación y deporte, se establecen las actividades a contratar que hacen parte de un tipo o grupo de infraestructura, los cuales contemplan las condiciones y requerimientos de experiencia general y específica. </w:t>
      </w:r>
    </w:p>
    <w:p w14:paraId="01E28189" w14:textId="77777777" w:rsidR="009D2E0C" w:rsidRPr="009D2E0C" w:rsidRDefault="009D2E0C" w:rsidP="009D2E0C">
      <w:pPr>
        <w:snapToGrid w:val="0"/>
        <w:spacing w:after="120" w:line="276" w:lineRule="auto"/>
        <w:ind w:firstLine="709"/>
        <w:jc w:val="both"/>
        <w:rPr>
          <w:rFonts w:ascii="Verdana" w:eastAsia="Calibri" w:hAnsi="Verdana" w:cs="Times New Roman"/>
          <w:lang w:val="es-ES" w:eastAsia="es-MX"/>
        </w:rPr>
      </w:pPr>
      <w:r w:rsidRPr="009D2E0C">
        <w:rPr>
          <w:rFonts w:ascii="Verdana" w:eastAsia="Calibri" w:hAnsi="Verdana" w:cs="Times New Roman"/>
          <w:lang w:val="es-ES" w:eastAsia="es-MX"/>
        </w:rPr>
        <w:t>La experiencia específica, dependiendo del tipo de “actividad a contratar”, puede contener un “% de dimensionamiento” con la implementación de un factor (F%),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6990116D" w14:textId="77777777" w:rsidR="009D2E0C" w:rsidRPr="009D2E0C" w:rsidRDefault="009D2E0C" w:rsidP="009D2E0C">
      <w:pPr>
        <w:snapToGrid w:val="0"/>
        <w:spacing w:after="120" w:line="276" w:lineRule="auto"/>
        <w:ind w:firstLine="709"/>
        <w:jc w:val="both"/>
        <w:rPr>
          <w:rFonts w:ascii="Verdana" w:eastAsia="Calibri" w:hAnsi="Verdana" w:cs="Times New Roman"/>
          <w:lang w:eastAsia="es-MX"/>
        </w:rPr>
      </w:pPr>
      <w:r w:rsidRPr="009D2E0C">
        <w:rPr>
          <w:rFonts w:ascii="Verdana" w:eastAsia="Calibri" w:hAnsi="Verdana" w:cs="Times New Roman"/>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w:t>
      </w:r>
      <w:r w:rsidRPr="009D2E0C">
        <w:rPr>
          <w:rFonts w:ascii="Verdana" w:eastAsia="Calibri" w:hAnsi="Verdana" w:cs="Times New Roman"/>
          <w:lang w:eastAsia="es-MX"/>
        </w:rPr>
        <w:lastRenderedPageBreak/>
        <w:t xml:space="preserve">con: i) el tipo de obra de infraestructura social, </w:t>
      </w:r>
      <w:proofErr w:type="spellStart"/>
      <w:r w:rsidRPr="009D2E0C">
        <w:rPr>
          <w:rFonts w:ascii="Verdana" w:eastAsia="Calibri" w:hAnsi="Verdana" w:cs="Times New Roman"/>
          <w:lang w:eastAsia="es-MX"/>
        </w:rPr>
        <w:t>ii</w:t>
      </w:r>
      <w:proofErr w:type="spellEnd"/>
      <w:r w:rsidRPr="009D2E0C">
        <w:rPr>
          <w:rFonts w:ascii="Verdana" w:eastAsia="Calibri" w:hAnsi="Verdana" w:cs="Times New Roman"/>
          <w:lang w:eastAsia="es-MX"/>
        </w:rPr>
        <w:t xml:space="preserve">) la actividad a contratar y </w:t>
      </w:r>
      <w:proofErr w:type="spellStart"/>
      <w:r w:rsidRPr="009D2E0C">
        <w:rPr>
          <w:rFonts w:ascii="Verdana" w:eastAsia="Calibri" w:hAnsi="Verdana" w:cs="Times New Roman"/>
          <w:lang w:eastAsia="es-MX"/>
        </w:rPr>
        <w:t>iii</w:t>
      </w:r>
      <w:proofErr w:type="spellEnd"/>
      <w:r w:rsidRPr="009D2E0C">
        <w:rPr>
          <w:rFonts w:ascii="Verdana" w:eastAsia="Calibri" w:hAnsi="Verdana" w:cs="Times New Roman"/>
          <w:lang w:eastAsia="es-MX"/>
        </w:rPr>
        <w:t>) la cuantía del proceso de contratación.</w:t>
      </w:r>
    </w:p>
    <w:p w14:paraId="56F96654" w14:textId="77777777" w:rsidR="009D2E0C" w:rsidRPr="009D2E0C" w:rsidRDefault="009D2E0C" w:rsidP="009D2E0C">
      <w:pPr>
        <w:spacing w:after="12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Ahora bien, teniendo en cuenta el contexto de su consulta, es importante señalar que, dentro de la matriz de experiencia del sector de cultura, recreación y deporte, en la actividad 1.10, no se solicita que el bien de interés cultural sea de infraestructura cultural, por lo siguiente:</w:t>
      </w:r>
    </w:p>
    <w:p w14:paraId="38D78C4B" w14:textId="77777777" w:rsidR="009D2E0C" w:rsidRPr="009D2E0C" w:rsidRDefault="009D2E0C" w:rsidP="009D2E0C">
      <w:pPr>
        <w:spacing w:after="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La actividad 1.10 contemplada dentro de la matriz de experiencia del sector de cultura recreación y deporte vigente (CCE-EICP-FM-124) corresponde a:</w:t>
      </w:r>
    </w:p>
    <w:p w14:paraId="402DE2AD" w14:textId="77777777" w:rsidR="009D2E0C" w:rsidRPr="009D2E0C" w:rsidRDefault="009D2E0C" w:rsidP="009D2E0C">
      <w:pPr>
        <w:spacing w:after="0" w:line="240" w:lineRule="auto"/>
        <w:ind w:left="709" w:right="709"/>
        <w:jc w:val="both"/>
        <w:rPr>
          <w:rFonts w:ascii="Verdana" w:eastAsia="Times New Roman" w:hAnsi="Verdana" w:cs="Times New Roman"/>
          <w:color w:val="000000"/>
          <w:lang w:eastAsia="es-MX"/>
        </w:rPr>
      </w:pPr>
    </w:p>
    <w:p w14:paraId="3B5DE0FD" w14:textId="77777777" w:rsidR="009D2E0C" w:rsidRPr="009D2E0C" w:rsidRDefault="009D2E0C" w:rsidP="009D2E0C">
      <w:pPr>
        <w:spacing w:after="0" w:line="240" w:lineRule="auto"/>
        <w:ind w:left="709" w:right="709"/>
        <w:jc w:val="both"/>
        <w:rPr>
          <w:rFonts w:ascii="Verdana" w:eastAsia="Times New Roman" w:hAnsi="Verdana" w:cs="Times New Roman"/>
          <w:color w:val="000000"/>
          <w:sz w:val="21"/>
          <w:szCs w:val="21"/>
          <w:lang w:eastAsia="es-MX"/>
        </w:rPr>
      </w:pPr>
      <w:r w:rsidRPr="009D2E0C">
        <w:rPr>
          <w:rFonts w:ascii="Verdana" w:eastAsia="Times New Roman" w:hAnsi="Verdana" w:cs="Times New Roman"/>
          <w:color w:val="000000"/>
          <w:sz w:val="21"/>
          <w:szCs w:val="21"/>
          <w:lang w:eastAsia="es-MX"/>
        </w:rPr>
        <w:t>“1.10. Proyectos de construcción y/o mejoramiento y/o adecuación y/o mantenimiento y/o remodelación y/o conservación y/o restauración y/o recuperación y/o intervención de infraestructura cultural en bienes de interés cultural y/o patrimonial”.</w:t>
      </w:r>
      <w:r w:rsidRPr="009D2E0C">
        <w:rPr>
          <w:rFonts w:ascii="Verdana" w:eastAsia="Times New Roman" w:hAnsi="Verdana" w:cs="Times New Roman"/>
          <w:color w:val="000000"/>
          <w:sz w:val="21"/>
          <w:szCs w:val="21"/>
          <w:lang w:eastAsia="es-MX"/>
        </w:rPr>
        <w:t> </w:t>
      </w:r>
      <w:r w:rsidRPr="009D2E0C">
        <w:rPr>
          <w:rFonts w:ascii="Verdana" w:eastAsia="Times New Roman" w:hAnsi="Verdana" w:cs="Times New Roman"/>
          <w:color w:val="000000"/>
          <w:sz w:val="21"/>
          <w:szCs w:val="21"/>
          <w:lang w:eastAsia="es-MX"/>
        </w:rPr>
        <w:t> </w:t>
      </w:r>
      <w:r w:rsidRPr="009D2E0C">
        <w:rPr>
          <w:rFonts w:ascii="Verdana" w:eastAsia="Times New Roman" w:hAnsi="Verdana" w:cs="Times New Roman"/>
          <w:color w:val="000000"/>
          <w:sz w:val="21"/>
          <w:szCs w:val="21"/>
          <w:lang w:eastAsia="es-MX"/>
        </w:rPr>
        <w:t> </w:t>
      </w:r>
      <w:r w:rsidRPr="009D2E0C">
        <w:rPr>
          <w:rFonts w:ascii="Verdana" w:eastAsia="Times New Roman" w:hAnsi="Verdana" w:cs="Times New Roman"/>
          <w:color w:val="000000"/>
          <w:sz w:val="21"/>
          <w:szCs w:val="21"/>
          <w:lang w:eastAsia="es-MX"/>
        </w:rPr>
        <w:t> </w:t>
      </w:r>
    </w:p>
    <w:p w14:paraId="1B8D1118" w14:textId="77777777" w:rsidR="009D2E0C" w:rsidRPr="009D2E0C" w:rsidRDefault="009D2E0C" w:rsidP="009D2E0C">
      <w:pPr>
        <w:spacing w:after="0" w:line="276" w:lineRule="auto"/>
        <w:rPr>
          <w:rFonts w:ascii="Verdana" w:eastAsia="Times New Roman" w:hAnsi="Verdana" w:cs="Times New Roman"/>
          <w:color w:val="000000"/>
          <w:lang w:eastAsia="es-MX"/>
        </w:rPr>
      </w:pPr>
    </w:p>
    <w:p w14:paraId="0DD58EA1" w14:textId="77777777" w:rsidR="009D2E0C" w:rsidRPr="009D2E0C" w:rsidRDefault="009D2E0C" w:rsidP="009D2E0C">
      <w:pPr>
        <w:spacing w:after="12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A su vez, la matriz establece como experiencia general</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xml:space="preserve">proyectos que contemplen: </w:t>
      </w:r>
      <w:r w:rsidRPr="009D2E0C">
        <w:rPr>
          <w:rFonts w:ascii="Verdana" w:eastAsia="Times New Roman" w:hAnsi="Verdana" w:cs="Times New Roman"/>
          <w:i/>
          <w:iCs/>
          <w:color w:val="000000"/>
          <w:lang w:eastAsia="es-MX"/>
        </w:rPr>
        <w:t>"construcción y/o mejoramiento y/o adecuación y/o mantenimiento y/o remodelación y/o conservación y/o restauración y/o recuperación y/o ampliación y/o reforzamiento y/o modificación de edificaciones".</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p>
    <w:p w14:paraId="54CD5FD9" w14:textId="77777777" w:rsidR="009D2E0C" w:rsidRPr="009D2E0C" w:rsidRDefault="009D2E0C" w:rsidP="009D2E0C">
      <w:pPr>
        <w:spacing w:after="12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Y, para acreditar la experiencia específica,</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solicita: </w:t>
      </w:r>
      <w:r w:rsidRPr="009D2E0C">
        <w:rPr>
          <w:rFonts w:ascii="Verdana" w:eastAsia="Times New Roman" w:hAnsi="Verdana" w:cs="Times New Roman"/>
          <w:i/>
          <w:iCs/>
          <w:color w:val="000000"/>
          <w:lang w:eastAsia="es-MX"/>
        </w:rPr>
        <w:t>"por lo menos uno (1) de los contratos válidos aportados como experiencia general debe corresponder o contemple la construcción y/o mejoramiento y/o adecuación y/o mantenimiento y/o remodelación y/o conservación y/o restauración y/o recuperación y/o ampliación y/o reforzamiento y/o modificación </w:t>
      </w:r>
      <w:r w:rsidRPr="009D2E0C">
        <w:rPr>
          <w:rFonts w:ascii="Verdana" w:eastAsia="Times New Roman" w:hAnsi="Verdana" w:cs="Times New Roman"/>
          <w:b/>
          <w:bCs/>
          <w:i/>
          <w:iCs/>
          <w:color w:val="000000"/>
          <w:u w:val="single"/>
          <w:lang w:eastAsia="es-MX"/>
        </w:rPr>
        <w:t>de edificaciones consideradas de interés cultural y/o patrimonial</w:t>
      </w:r>
      <w:r w:rsidRPr="009D2E0C">
        <w:rPr>
          <w:rFonts w:ascii="Verdana" w:eastAsia="Times New Roman" w:hAnsi="Verdana" w:cs="Times New Roman"/>
          <w:i/>
          <w:iCs/>
          <w:color w:val="000000"/>
          <w:lang w:eastAsia="es-MX"/>
        </w:rPr>
        <w:t>."</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p>
    <w:p w14:paraId="65E2EBDC" w14:textId="77777777" w:rsidR="009D2E0C" w:rsidRPr="009D2E0C" w:rsidRDefault="009D2E0C" w:rsidP="009D2E0C">
      <w:pPr>
        <w:spacing w:after="120" w:line="276" w:lineRule="auto"/>
        <w:ind w:firstLine="709"/>
        <w:jc w:val="both"/>
        <w:rPr>
          <w:rFonts w:ascii="Verdana" w:eastAsia="Times New Roman" w:hAnsi="Verdana" w:cs="Times New Roman"/>
          <w:i/>
          <w:iCs/>
          <w:color w:val="000000"/>
          <w:lang w:eastAsia="es-MX"/>
        </w:rPr>
      </w:pPr>
      <w:r w:rsidRPr="009D2E0C">
        <w:rPr>
          <w:rFonts w:ascii="Verdana" w:eastAsia="Times New Roman" w:hAnsi="Verdana" w:cs="Times New Roman"/>
          <w:color w:val="000000"/>
          <w:lang w:eastAsia="es-MX"/>
        </w:rPr>
        <w:t xml:space="preserve">De igual manera, la referida matriz establece para la experiencia especifica que: </w:t>
      </w:r>
      <w:r w:rsidRPr="009D2E0C">
        <w:rPr>
          <w:rFonts w:ascii="Verdana" w:eastAsia="Times New Roman" w:hAnsi="Verdana" w:cs="Times New Roman"/>
          <w:i/>
          <w:iCs/>
          <w:color w:val="000000"/>
          <w:lang w:eastAsia="es-MX"/>
        </w:rPr>
        <w:t>"por lo menos uno (1) de los contratos válidos aportados como experiencia general debe corresponder mínimo al 50% del presupuesto oficial del presente proceso de selección".</w:t>
      </w:r>
    </w:p>
    <w:p w14:paraId="4D7F4391" w14:textId="77777777" w:rsidR="009D2E0C" w:rsidRPr="009D2E0C" w:rsidRDefault="009D2E0C" w:rsidP="009D2E0C">
      <w:pPr>
        <w:spacing w:after="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Por su parte, en el glosario del sector de cultura, recreación y deporte vigente (CCE-EICP-IDI-38), en el numeral 2.13, se establece la siguiente definición:</w:t>
      </w:r>
    </w:p>
    <w:p w14:paraId="264FFA0E" w14:textId="77777777" w:rsidR="009D2E0C" w:rsidRPr="009D2E0C" w:rsidRDefault="009D2E0C" w:rsidP="009D2E0C">
      <w:pPr>
        <w:spacing w:after="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r w:rsidRPr="009D2E0C">
        <w:rPr>
          <w:rFonts w:ascii="Verdana" w:eastAsia="Times New Roman" w:hAnsi="Verdana" w:cs="Times New Roman"/>
          <w:color w:val="000000"/>
          <w:lang w:eastAsia="es-MX"/>
        </w:rPr>
        <w:t> </w:t>
      </w:r>
    </w:p>
    <w:p w14:paraId="65389F89" w14:textId="77777777" w:rsidR="009D2E0C" w:rsidRPr="009D2E0C" w:rsidRDefault="009D2E0C" w:rsidP="009D2E0C">
      <w:pPr>
        <w:spacing w:after="0" w:line="240" w:lineRule="auto"/>
        <w:ind w:left="709" w:right="709"/>
        <w:jc w:val="both"/>
        <w:rPr>
          <w:rFonts w:ascii="Verdana" w:eastAsia="Times New Roman" w:hAnsi="Verdana" w:cs="Times New Roman"/>
          <w:color w:val="000000"/>
          <w:sz w:val="21"/>
          <w:szCs w:val="21"/>
          <w:lang w:eastAsia="es-MX"/>
        </w:rPr>
      </w:pPr>
      <w:r w:rsidRPr="009D2E0C">
        <w:rPr>
          <w:rFonts w:ascii="Verdana" w:eastAsia="Times New Roman" w:hAnsi="Verdana" w:cs="Times New Roman"/>
          <w:color w:val="000000"/>
          <w:sz w:val="21"/>
          <w:szCs w:val="21"/>
          <w:lang w:eastAsia="es-MX"/>
        </w:rPr>
        <w:t>"</w:t>
      </w:r>
      <w:r w:rsidRPr="009D2E0C">
        <w:rPr>
          <w:rFonts w:ascii="Verdana" w:eastAsia="Times New Roman" w:hAnsi="Verdana" w:cs="Times New Roman"/>
          <w:b/>
          <w:bCs/>
          <w:color w:val="000000"/>
          <w:sz w:val="21"/>
          <w:szCs w:val="21"/>
          <w:lang w:eastAsia="es-MX"/>
        </w:rPr>
        <w:t>2.13. Bien de Interés Cultural:</w:t>
      </w:r>
      <w:r w:rsidRPr="009D2E0C">
        <w:rPr>
          <w:rFonts w:ascii="Verdana" w:eastAsia="Times New Roman" w:hAnsi="Verdana" w:cs="Times New Roman"/>
          <w:color w:val="000000"/>
          <w:sz w:val="21"/>
          <w:szCs w:val="21"/>
          <w:lang w:eastAsia="es-MX"/>
        </w:rPr>
        <w:t xml:space="preserve"> Todos aquellos bienes declarados de interés cultural por la autoridad competente, en razón del interés </w:t>
      </w:r>
      <w:r w:rsidRPr="009D2E0C">
        <w:rPr>
          <w:rFonts w:ascii="Verdana" w:eastAsia="Times New Roman" w:hAnsi="Verdana" w:cs="Times New Roman"/>
          <w:color w:val="000000"/>
          <w:sz w:val="21"/>
          <w:szCs w:val="21"/>
          <w:lang w:eastAsia="es-MX"/>
        </w:rPr>
        <w:lastRenderedPageBreak/>
        <w:t>especial que el bien revista para la comunidad en todo el territorio nacional o en una división territorial determinada". </w:t>
      </w:r>
    </w:p>
    <w:p w14:paraId="484D2A4E" w14:textId="77777777" w:rsidR="009D2E0C" w:rsidRPr="009D2E0C" w:rsidRDefault="009D2E0C" w:rsidP="009D2E0C">
      <w:pPr>
        <w:spacing w:after="0" w:line="276" w:lineRule="auto"/>
        <w:ind w:left="709" w:right="709"/>
        <w:jc w:val="both"/>
        <w:rPr>
          <w:rFonts w:ascii="Verdana" w:eastAsia="Times New Roman" w:hAnsi="Verdana" w:cs="Times New Roman"/>
          <w:color w:val="000000"/>
          <w:lang w:eastAsia="es-MX"/>
        </w:rPr>
      </w:pPr>
    </w:p>
    <w:p w14:paraId="535CBC84" w14:textId="77777777" w:rsidR="009D2E0C" w:rsidRPr="009D2E0C" w:rsidRDefault="009D2E0C" w:rsidP="009D2E0C">
      <w:pPr>
        <w:snapToGrid w:val="0"/>
        <w:spacing w:after="120" w:line="276" w:lineRule="auto"/>
        <w:ind w:firstLine="709"/>
        <w:jc w:val="both"/>
        <w:rPr>
          <w:rFonts w:ascii="Verdana" w:eastAsia="Times New Roman" w:hAnsi="Verdana" w:cs="Times New Roman"/>
          <w:color w:val="000000"/>
          <w:lang w:eastAsia="es-MX"/>
        </w:rPr>
      </w:pPr>
      <w:r w:rsidRPr="009D2E0C">
        <w:rPr>
          <w:rFonts w:ascii="Verdana" w:eastAsia="Times New Roman" w:hAnsi="Verdana" w:cs="Times New Roman"/>
          <w:color w:val="000000"/>
          <w:lang w:eastAsia="es-MX"/>
        </w:rPr>
        <w:t>De acuerdo con lo anterior, los requisitos establecidos dentro de la matriz para este tipo de proyectos no podrían cerrarse a que solo hayan sido en edificaciones consideradas de interés cultural y/o patrimonial solo en </w:t>
      </w:r>
      <w:r w:rsidRPr="009D2E0C">
        <w:rPr>
          <w:rFonts w:ascii="Verdana" w:eastAsia="Times New Roman" w:hAnsi="Verdana" w:cs="Times New Roman"/>
          <w:b/>
          <w:bCs/>
          <w:color w:val="000000"/>
          <w:lang w:eastAsia="es-MX"/>
        </w:rPr>
        <w:t>"infraestructura cultural".</w:t>
      </w:r>
    </w:p>
    <w:p w14:paraId="27B8E70D" w14:textId="77777777" w:rsidR="009D2E0C" w:rsidRPr="009D2E0C" w:rsidRDefault="009D2E0C" w:rsidP="009D2E0C">
      <w:pPr>
        <w:widowControl w:val="0"/>
        <w:autoSpaceDE w:val="0"/>
        <w:autoSpaceDN w:val="0"/>
        <w:snapToGrid w:val="0"/>
        <w:spacing w:after="0" w:line="276" w:lineRule="auto"/>
        <w:ind w:firstLine="709"/>
        <w:jc w:val="both"/>
        <w:rPr>
          <w:rFonts w:ascii="Verdana" w:eastAsia="Calibri" w:hAnsi="Verdana" w:cs="Arial"/>
          <w:lang w:eastAsia="es-MX"/>
        </w:rPr>
      </w:pPr>
      <w:r w:rsidRPr="009D2E0C">
        <w:rPr>
          <w:rFonts w:ascii="Verdana" w:eastAsia="Calibri" w:hAnsi="Verdana" w:cs="Arial"/>
          <w:lang w:eastAsia="es-MX"/>
        </w:rPr>
        <w:t xml:space="preserve">En todo caso, corresponde a las entidades estatales y a los particulares adoptar las decisiones que estimen procedentes en desarrollo de sus procesos de selección. Lo anterior, sin perjuicio del deber que tienen las entidades sometidas al Estatuto General de Contratación de la Administración Pública –EGCAP– de utilizar los documentos tipo sin la posibilidad de modificarlos o alterarlos, salvo en los aspectos expresamente permitidos. </w:t>
      </w:r>
    </w:p>
    <w:p w14:paraId="7B84A20E" w14:textId="77777777" w:rsidR="009D2E0C" w:rsidRPr="009D2E0C" w:rsidRDefault="009D2E0C" w:rsidP="009D2E0C">
      <w:pPr>
        <w:widowControl w:val="0"/>
        <w:autoSpaceDE w:val="0"/>
        <w:autoSpaceDN w:val="0"/>
        <w:spacing w:after="0" w:line="276" w:lineRule="auto"/>
        <w:jc w:val="both"/>
        <w:rPr>
          <w:rFonts w:ascii="Verdana" w:eastAsia="Calibri" w:hAnsi="Verdana" w:cs="Arial"/>
          <w:lang w:eastAsia="es-MX"/>
        </w:rPr>
      </w:pPr>
    </w:p>
    <w:p w14:paraId="2A49E61A" w14:textId="77777777" w:rsidR="009D2E0C" w:rsidRPr="009D2E0C" w:rsidRDefault="009D2E0C" w:rsidP="009D2E0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9D2E0C">
        <w:rPr>
          <w:rFonts w:ascii="Verdana" w:eastAsia="Century Gothic" w:hAnsi="Verdana" w:cs="Century Gothic"/>
          <w:b/>
          <w:bCs/>
          <w:lang w:val="es-ES" w:eastAsia="es-MX"/>
        </w:rPr>
        <w:t>Referencias normativas, jurisprudenciales y otras fuentes:</w:t>
      </w:r>
    </w:p>
    <w:p w14:paraId="700D4663" w14:textId="77777777" w:rsidR="009D2E0C" w:rsidRPr="009D2E0C" w:rsidRDefault="009D2E0C" w:rsidP="009D2E0C">
      <w:pPr>
        <w:widowControl w:val="0"/>
        <w:autoSpaceDE w:val="0"/>
        <w:autoSpaceDN w:val="0"/>
        <w:spacing w:after="0" w:line="276" w:lineRule="auto"/>
        <w:jc w:val="both"/>
        <w:rPr>
          <w:rFonts w:ascii="Verdana" w:eastAsia="Calibri" w:hAnsi="Verdana" w:cs="Arial"/>
          <w:lang w:eastAsia="es-MX"/>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9D2E0C" w:rsidRPr="009D2E0C" w14:paraId="5A94B31D" w14:textId="77777777" w:rsidTr="00B9141B">
        <w:trPr>
          <w:trHeight w:val="870"/>
        </w:trPr>
        <w:tc>
          <w:tcPr>
            <w:tcW w:w="8647" w:type="dxa"/>
          </w:tcPr>
          <w:p w14:paraId="48524717" w14:textId="77777777" w:rsidR="009D2E0C" w:rsidRPr="009D2E0C" w:rsidRDefault="009D2E0C" w:rsidP="009D2E0C">
            <w:pPr>
              <w:widowControl w:val="0"/>
              <w:numPr>
                <w:ilvl w:val="0"/>
                <w:numId w:val="17"/>
              </w:numPr>
              <w:autoSpaceDE w:val="0"/>
              <w:autoSpaceDN w:val="0"/>
              <w:spacing w:after="120" w:line="276" w:lineRule="auto"/>
              <w:jc w:val="both"/>
              <w:rPr>
                <w:rFonts w:ascii="Verdana" w:eastAsia="Calibri" w:hAnsi="Verdana" w:cs="Arial"/>
                <w:lang w:eastAsia="es-MX"/>
              </w:rPr>
            </w:pPr>
            <w:r w:rsidRPr="009D2E0C">
              <w:rPr>
                <w:rFonts w:ascii="Verdana" w:eastAsia="Calibri" w:hAnsi="Verdana" w:cs="Arial"/>
                <w:lang w:eastAsia="es-MX"/>
              </w:rPr>
              <w:t>Ley 2022 de 2020, artículo 1.</w:t>
            </w:r>
          </w:p>
          <w:p w14:paraId="177E1267" w14:textId="77777777" w:rsidR="009D2E0C" w:rsidRPr="009D2E0C" w:rsidRDefault="009D2E0C" w:rsidP="009D2E0C">
            <w:pPr>
              <w:widowControl w:val="0"/>
              <w:numPr>
                <w:ilvl w:val="0"/>
                <w:numId w:val="17"/>
              </w:numPr>
              <w:autoSpaceDE w:val="0"/>
              <w:autoSpaceDN w:val="0"/>
              <w:spacing w:after="120" w:line="276" w:lineRule="auto"/>
              <w:jc w:val="both"/>
              <w:rPr>
                <w:rFonts w:ascii="Verdana" w:eastAsia="Calibri" w:hAnsi="Verdana" w:cs="Arial"/>
                <w:lang w:eastAsia="es-MX"/>
              </w:rPr>
            </w:pPr>
            <w:r w:rsidRPr="009D2E0C">
              <w:rPr>
                <w:rFonts w:ascii="Verdana" w:eastAsia="Calibri" w:hAnsi="Verdana" w:cs="Arial"/>
                <w:lang w:eastAsia="es-MX"/>
              </w:rPr>
              <w:t xml:space="preserve">Documentos tipo de obra pública de infraestructura social, y complementarios del sector cultura, recreación y deporte. Disponibles en: </w:t>
            </w:r>
            <w:hyperlink r:id="rId11" w:history="1">
              <w:r w:rsidRPr="009D2E0C">
                <w:rPr>
                  <w:rFonts w:ascii="Verdana" w:eastAsia="Calibri" w:hAnsi="Verdana" w:cs="Arial"/>
                  <w:color w:val="467886"/>
                  <w:u w:val="single"/>
                  <w:lang w:eastAsia="es-MX"/>
                </w:rPr>
                <w:t>https://www.colombiacompra.gov.co/normativa-y-relatoria/documentos-tipo</w:t>
              </w:r>
            </w:hyperlink>
            <w:r w:rsidRPr="009D2E0C">
              <w:rPr>
                <w:rFonts w:ascii="Verdana" w:eastAsia="Calibri" w:hAnsi="Verdana" w:cs="Arial"/>
                <w:lang w:eastAsia="es-MX"/>
              </w:rPr>
              <w:t xml:space="preserve">. </w:t>
            </w:r>
          </w:p>
        </w:tc>
      </w:tr>
    </w:tbl>
    <w:p w14:paraId="15A83422" w14:textId="77777777" w:rsidR="009D2E0C" w:rsidRPr="009D2E0C" w:rsidRDefault="009D2E0C" w:rsidP="009D2E0C">
      <w:pPr>
        <w:tabs>
          <w:tab w:val="left" w:pos="142"/>
          <w:tab w:val="left" w:pos="284"/>
        </w:tabs>
        <w:spacing w:after="0" w:line="276" w:lineRule="auto"/>
        <w:jc w:val="both"/>
        <w:rPr>
          <w:rFonts w:ascii="Verdana" w:eastAsia="Calibri" w:hAnsi="Verdana" w:cs="Arial"/>
          <w:lang w:eastAsia="es-MX"/>
        </w:rPr>
      </w:pPr>
    </w:p>
    <w:p w14:paraId="70E4B299" w14:textId="77777777" w:rsidR="009D2E0C" w:rsidRPr="009D2E0C" w:rsidRDefault="009D2E0C" w:rsidP="009D2E0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9D2E0C">
        <w:rPr>
          <w:rFonts w:ascii="Verdana" w:eastAsia="Century Gothic" w:hAnsi="Verdana" w:cs="Century Gothic"/>
          <w:b/>
          <w:bCs/>
          <w:lang w:val="es-ES" w:eastAsia="es-MX"/>
        </w:rPr>
        <w:t>Doctrina de la Agencia Nacional de Contratación Pública:</w:t>
      </w:r>
    </w:p>
    <w:p w14:paraId="10A484E8" w14:textId="77777777" w:rsidR="009D2E0C" w:rsidRPr="009D2E0C" w:rsidRDefault="009D2E0C" w:rsidP="009D2E0C">
      <w:pPr>
        <w:widowControl w:val="0"/>
        <w:autoSpaceDE w:val="0"/>
        <w:autoSpaceDN w:val="0"/>
        <w:spacing w:after="0" w:line="276" w:lineRule="auto"/>
        <w:jc w:val="both"/>
        <w:rPr>
          <w:rFonts w:ascii="Verdana" w:eastAsia="Calibri" w:hAnsi="Verdana" w:cs="Arial"/>
          <w:lang w:eastAsia="es-MX"/>
        </w:rPr>
      </w:pPr>
    </w:p>
    <w:p w14:paraId="128B6C5C" w14:textId="77777777" w:rsidR="009D2E0C" w:rsidRPr="009D2E0C" w:rsidRDefault="009D2E0C" w:rsidP="009D2E0C">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9D2E0C">
        <w:rPr>
          <w:rFonts w:ascii="Verdana" w:eastAsia="Calibri" w:hAnsi="Verdana" w:cs="Arial"/>
          <w:shd w:val="clear" w:color="auto" w:fill="FFFFFF"/>
          <w:lang w:val="es-ES" w:eastAsia="es-MX"/>
        </w:rPr>
        <w:t>La Agencia Nacional de Contratación Pública – Colombia Compra Eficiente se pronunció</w:t>
      </w:r>
      <w:r w:rsidRPr="009D2E0C">
        <w:rPr>
          <w:rFonts w:ascii="Aptos" w:eastAsia="Aptos" w:hAnsi="Aptos" w:cs="Times New Roman"/>
          <w:sz w:val="24"/>
          <w:szCs w:val="24"/>
          <w:lang w:eastAsia="es-MX"/>
        </w:rPr>
        <w:t xml:space="preserve"> </w:t>
      </w:r>
      <w:r w:rsidRPr="009D2E0C">
        <w:rPr>
          <w:rFonts w:ascii="Verdana" w:eastAsia="Calibri" w:hAnsi="Verdana"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entre otros. </w:t>
      </w:r>
      <w:r w:rsidRPr="009D2E0C">
        <w:rPr>
          <w:rFonts w:ascii="Verdana" w:eastAsia="Times New Roman" w:hAnsi="Verdana" w:cs="Arial"/>
          <w:kern w:val="2"/>
          <w:shd w:val="clear" w:color="auto" w:fill="FFFFFF"/>
          <w:lang w:val="es-ES" w:eastAsia="es-MX"/>
          <w14:ligatures w14:val="standardContextual"/>
        </w:rPr>
        <w:t xml:space="preserve">Esos y otros conceptos se encuentran disponibles para consulta en el Sistema de Relatoría de la Agencia, en el cual también podrá encontrar jurisprudencia del Consejo de Estado, laudos arbitrales y la normativa de la contratación concordada con la </w:t>
      </w:r>
      <w:r w:rsidRPr="009D2E0C">
        <w:rPr>
          <w:rFonts w:ascii="Verdana" w:eastAsia="Times New Roman" w:hAnsi="Verdana" w:cs="Arial"/>
          <w:kern w:val="2"/>
          <w:shd w:val="clear" w:color="auto" w:fill="FFFFFF"/>
          <w:lang w:val="es-ES" w:eastAsia="es-MX"/>
          <w14:ligatures w14:val="standardContextual"/>
        </w:rPr>
        <w:lastRenderedPageBreak/>
        <w:t>doctrina de la Subdirección de Gestión Contractual. Acceda a través del siguiente enlace: </w:t>
      </w:r>
      <w:hyperlink r:id="rId12" w:tgtFrame="_blank" w:tooltip="Dirección URL original: https://relatoria.colombiacompra.gov.co/. Haga clic o pulse si confía en este vínculo." w:history="1">
        <w:r w:rsidRPr="009D2E0C">
          <w:rPr>
            <w:rFonts w:ascii="Verdana" w:eastAsia="Times New Roman" w:hAnsi="Verdana" w:cs="Arial"/>
            <w:kern w:val="2"/>
            <w:shd w:val="clear" w:color="auto" w:fill="FFFFFF"/>
            <w:lang w:val="es-ES" w:eastAsia="es-MX"/>
            <w14:ligatures w14:val="standardContextual"/>
          </w:rPr>
          <w:t>https://relatoria.colombiacompra.gov.co/</w:t>
        </w:r>
      </w:hyperlink>
      <w:r w:rsidRPr="009D2E0C">
        <w:rPr>
          <w:rFonts w:ascii="Verdana" w:eastAsia="Times New Roman" w:hAnsi="Verdana" w:cs="Arial"/>
          <w:kern w:val="2"/>
          <w:shd w:val="clear" w:color="auto" w:fill="FFFFFF"/>
          <w:lang w:val="es-ES" w:eastAsia="es-MX"/>
          <w14:ligatures w14:val="standardContextual"/>
        </w:rPr>
        <w:t>.</w:t>
      </w:r>
    </w:p>
    <w:p w14:paraId="09C8C21E" w14:textId="77777777" w:rsidR="009D2E0C" w:rsidRPr="009D2E0C" w:rsidRDefault="009D2E0C" w:rsidP="009D2E0C">
      <w:pPr>
        <w:spacing w:after="0" w:line="240" w:lineRule="auto"/>
        <w:jc w:val="both"/>
        <w:rPr>
          <w:rFonts w:ascii="Verdana" w:eastAsia="Calibri" w:hAnsi="Verdana" w:cs="Arial"/>
          <w:color w:val="000000"/>
          <w:kern w:val="2"/>
          <w:shd w:val="clear" w:color="auto" w:fill="FFFFFF"/>
          <w:lang w:val="es-ES_tradnl" w:eastAsia="es-MX"/>
          <w14:ligatures w14:val="standardContextual"/>
        </w:rPr>
      </w:pPr>
    </w:p>
    <w:p w14:paraId="75CBB151" w14:textId="77777777" w:rsidR="009D2E0C" w:rsidRPr="009D2E0C" w:rsidRDefault="009D2E0C" w:rsidP="009D2E0C">
      <w:pPr>
        <w:widowControl w:val="0"/>
        <w:autoSpaceDE w:val="0"/>
        <w:autoSpaceDN w:val="0"/>
        <w:spacing w:after="0" w:line="276" w:lineRule="auto"/>
        <w:jc w:val="both"/>
        <w:rPr>
          <w:rFonts w:ascii="Verdana" w:eastAsia="Calibri" w:hAnsi="Verdana" w:cs="Arial"/>
          <w:kern w:val="2"/>
          <w:shd w:val="clear" w:color="auto" w:fill="FFFFFF"/>
          <w:lang w:val="es-ES_tradnl" w:eastAsia="es-MX"/>
          <w14:ligatures w14:val="standardContextual"/>
        </w:rPr>
      </w:pPr>
      <w:r w:rsidRPr="009D2E0C">
        <w:rPr>
          <w:rFonts w:ascii="Verdana" w:eastAsia="Calibri" w:hAnsi="Verdana" w:cs="Arial"/>
          <w:kern w:val="2"/>
          <w:shd w:val="clear" w:color="auto" w:fill="FFFFFF"/>
          <w:lang w:val="es-ES_tradnl" w:eastAsia="es-MX"/>
          <w14:ligatures w14:val="standardContextual"/>
        </w:rPr>
        <w:t>La</w:t>
      </w:r>
      <w:r w:rsidRPr="009D2E0C">
        <w:rPr>
          <w:rFonts w:ascii="Verdana" w:eastAsia="Calibri" w:hAnsi="Verdana" w:cs="Arial"/>
          <w:b/>
          <w:bCs/>
          <w:kern w:val="2"/>
          <w:shd w:val="clear" w:color="auto" w:fill="FFFFFF"/>
          <w:lang w:val="es-ES_tradnl" w:eastAsia="es-MX"/>
          <w14:ligatures w14:val="standardContextual"/>
        </w:rPr>
        <w:t xml:space="preserve"> Agencia Nacional de Contratación Pública - Colombia Compra Eficiente</w:t>
      </w:r>
      <w:r w:rsidRPr="009D2E0C">
        <w:rPr>
          <w:rFonts w:ascii="Verdana" w:eastAsia="Calibri" w:hAnsi="Verdana" w:cs="Arial"/>
          <w:kern w:val="2"/>
          <w:shd w:val="clear" w:color="auto" w:fill="FFFFFF"/>
          <w:lang w:val="es-ES_tradnl" w:eastAsia="es-MX"/>
          <w14:ligatures w14:val="standardContextual"/>
        </w:rPr>
        <w:t> recomienda a todas las entidades públicas, independientemente de su naturaleza, que gestionan recursos públicos, la aplicación de los </w:t>
      </w:r>
      <w:r w:rsidRPr="009D2E0C">
        <w:rPr>
          <w:rFonts w:ascii="Verdana" w:eastAsia="Calibri" w:hAnsi="Verdana" w:cs="Arial"/>
          <w:b/>
          <w:bCs/>
          <w:kern w:val="2"/>
          <w:shd w:val="clear" w:color="auto" w:fill="FFFFFF"/>
          <w:lang w:val="es-ES_tradnl" w:eastAsia="es-MX"/>
          <w14:ligatures w14:val="standardContextual"/>
        </w:rPr>
        <w:t>Documentos Tipo</w:t>
      </w:r>
      <w:r w:rsidRPr="009D2E0C">
        <w:rPr>
          <w:rFonts w:ascii="Verdana" w:eastAsia="Calibri" w:hAnsi="Verdana" w:cs="Arial"/>
          <w:kern w:val="2"/>
          <w:shd w:val="clear" w:color="auto" w:fill="FFFFFF"/>
          <w:lang w:val="es-ES_tradnl" w:eastAsia="es-MX"/>
          <w14:ligatures w14:val="standardContextual"/>
        </w:rPr>
        <w:t>. Esta recomendación es válida tanto para su uso obligatorio, cuando así lo establezca la normatividad vigente, como para su implementación como una buena práctica. El objetivo es garantizar la </w:t>
      </w:r>
      <w:r w:rsidRPr="009D2E0C">
        <w:rPr>
          <w:rFonts w:ascii="Verdana" w:eastAsia="Calibri" w:hAnsi="Verdana" w:cs="Arial"/>
          <w:b/>
          <w:bCs/>
          <w:kern w:val="2"/>
          <w:shd w:val="clear" w:color="auto" w:fill="FFFFFF"/>
          <w:lang w:val="es-ES_tradnl" w:eastAsia="es-MX"/>
          <w14:ligatures w14:val="standardContextual"/>
        </w:rPr>
        <w:t>transparencia</w:t>
      </w:r>
      <w:r w:rsidRPr="009D2E0C">
        <w:rPr>
          <w:rFonts w:ascii="Verdana" w:eastAsia="Calibri" w:hAnsi="Verdana" w:cs="Arial"/>
          <w:kern w:val="2"/>
          <w:shd w:val="clear" w:color="auto" w:fill="FFFFFF"/>
          <w:lang w:val="es-ES_tradnl" w:eastAsia="es-MX"/>
          <w14:ligatures w14:val="standardContextual"/>
        </w:rPr>
        <w:t> y promover un proceso de </w:t>
      </w:r>
      <w:r w:rsidRPr="009D2E0C">
        <w:rPr>
          <w:rFonts w:ascii="Verdana" w:eastAsia="Calibri" w:hAnsi="Verdana" w:cs="Arial"/>
          <w:b/>
          <w:bCs/>
          <w:kern w:val="2"/>
          <w:shd w:val="clear" w:color="auto" w:fill="FFFFFF"/>
          <w:lang w:val="es-ES_tradnl" w:eastAsia="es-MX"/>
          <w14:ligatures w14:val="standardContextual"/>
        </w:rPr>
        <w:t>selección objetiva</w:t>
      </w:r>
      <w:r w:rsidRPr="009D2E0C">
        <w:rPr>
          <w:rFonts w:ascii="Verdana" w:eastAsia="Calibri" w:hAnsi="Verdana" w:cs="Arial"/>
          <w:kern w:val="2"/>
          <w:shd w:val="clear" w:color="auto" w:fill="FFFFFF"/>
          <w:lang w:val="es-ES_tradnl" w:eastAsia="es-MX"/>
          <w14:ligatures w14:val="standardContextual"/>
        </w:rPr>
        <w:t> en la contratación pública, contribuyendo así a mejorar la eficiencia, la competencia y la confianza en el manejo de los recursos del Estado.</w:t>
      </w:r>
    </w:p>
    <w:p w14:paraId="225E6803" w14:textId="77777777" w:rsidR="009D2E0C" w:rsidRPr="009D2E0C" w:rsidRDefault="009D2E0C" w:rsidP="009D2E0C">
      <w:pPr>
        <w:widowControl w:val="0"/>
        <w:autoSpaceDE w:val="0"/>
        <w:autoSpaceDN w:val="0"/>
        <w:spacing w:after="0" w:line="276" w:lineRule="auto"/>
        <w:jc w:val="both"/>
        <w:rPr>
          <w:rFonts w:ascii="Verdana" w:eastAsia="Calibri" w:hAnsi="Verdana" w:cs="Arial"/>
          <w:kern w:val="2"/>
          <w:shd w:val="clear" w:color="auto" w:fill="FFFFFF"/>
          <w:lang w:val="es-ES_tradnl" w:eastAsia="es-MX"/>
          <w14:ligatures w14:val="standardContextual"/>
        </w:rPr>
      </w:pPr>
    </w:p>
    <w:p w14:paraId="1AC91109" w14:textId="77777777" w:rsidR="009D2E0C" w:rsidRPr="009D2E0C" w:rsidRDefault="009D2E0C" w:rsidP="009D2E0C">
      <w:pPr>
        <w:widowControl w:val="0"/>
        <w:autoSpaceDE w:val="0"/>
        <w:autoSpaceDN w:val="0"/>
        <w:spacing w:after="0" w:line="276" w:lineRule="auto"/>
        <w:jc w:val="both"/>
        <w:rPr>
          <w:rFonts w:ascii="Verdana" w:eastAsia="Calibri" w:hAnsi="Verdana" w:cs="Arial"/>
          <w:kern w:val="2"/>
          <w:shd w:val="clear" w:color="auto" w:fill="FFFFFF"/>
          <w:lang w:val="es-ES" w:eastAsia="es-MX"/>
          <w14:ligatures w14:val="standardContextual"/>
        </w:rPr>
      </w:pPr>
      <w:r w:rsidRPr="009D2E0C">
        <w:rPr>
          <w:rFonts w:ascii="Verdana" w:eastAsia="Calibri" w:hAnsi="Verdana" w:cs="Arial"/>
          <w:kern w:val="2"/>
          <w:shd w:val="clear" w:color="auto" w:fill="FFFFFF"/>
          <w:lang w:val="es-ES" w:eastAsia="es-MX"/>
          <w14:ligatures w14:val="standardContextual"/>
        </w:rPr>
        <w:t>También, le contamos que ya se encuentra disponible la </w:t>
      </w:r>
      <w:r w:rsidRPr="009D2E0C">
        <w:rPr>
          <w:rFonts w:ascii="Verdana" w:eastAsia="Calibri" w:hAnsi="Verdana" w:cs="Arial"/>
          <w:b/>
          <w:kern w:val="2"/>
          <w:shd w:val="clear" w:color="auto" w:fill="FFFFFF"/>
          <w:lang w:val="es-ES" w:eastAsia="es-MX"/>
          <w14:ligatures w14:val="standardContextual"/>
        </w:rPr>
        <w:t>Guía de lineamientos de transparencia y selección objetiva para el departamento de La Guajira – Objetivo sexto constitucional de la Sentencia T-302 del 2017. </w:t>
      </w:r>
      <w:r w:rsidRPr="009D2E0C">
        <w:rPr>
          <w:rFonts w:ascii="Verdana" w:eastAsia="Calibri" w:hAnsi="Verdana" w:cs="Arial"/>
          <w:kern w:val="2"/>
          <w:shd w:val="clear" w:color="auto" w:fill="FFFFFF"/>
          <w:lang w:val="es-ES" w:eastAsia="es-MX"/>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D2E0C">
        <w:rPr>
          <w:rFonts w:ascii="Verdana" w:eastAsia="Calibri" w:hAnsi="Verdana" w:cs="Arial"/>
          <w:kern w:val="2"/>
          <w:shd w:val="clear" w:color="auto" w:fill="FFFFFF"/>
          <w:lang w:val="es-ES" w:eastAsia="es-MX"/>
          <w14:ligatures w14:val="standardContextual"/>
        </w:rPr>
        <w:t>Wayúu</w:t>
      </w:r>
      <w:proofErr w:type="spellEnd"/>
      <w:r w:rsidRPr="009D2E0C">
        <w:rPr>
          <w:rFonts w:ascii="Verdana" w:eastAsia="Calibri" w:hAnsi="Verdana" w:cs="Arial"/>
          <w:kern w:val="2"/>
          <w:shd w:val="clear" w:color="auto" w:fill="FFFFFF"/>
          <w:lang w:val="es-ES" w:eastAsia="es-MX"/>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9D2E0C">
          <w:rPr>
            <w:rFonts w:ascii="Verdana" w:eastAsia="Calibri" w:hAnsi="Verdana" w:cs="Arial"/>
            <w:color w:val="0000FF"/>
            <w:kern w:val="2"/>
            <w:u w:val="single"/>
            <w:shd w:val="clear" w:color="auto" w:fill="FFFFFF"/>
            <w:lang w:val="es-ES" w:eastAsia="es-MX"/>
            <w14:ligatures w14:val="standardContextual"/>
          </w:rPr>
          <w:t>Guía de lineamientos de transparencia y selección objetiva para el departamento de La Guajira – Objetivo sexto constitucional de la Sentencia T-302 del 2017</w:t>
        </w:r>
      </w:hyperlink>
      <w:r w:rsidRPr="009D2E0C">
        <w:rPr>
          <w:rFonts w:ascii="Verdana" w:eastAsia="Calibri" w:hAnsi="Verdana" w:cs="Arial"/>
          <w:kern w:val="2"/>
          <w:u w:val="single"/>
          <w:shd w:val="clear" w:color="auto" w:fill="FFFFFF"/>
          <w:lang w:val="es-ES" w:eastAsia="es-MX"/>
          <w14:ligatures w14:val="standardContextual"/>
        </w:rPr>
        <w:t>.</w:t>
      </w:r>
    </w:p>
    <w:p w14:paraId="2E9F46DC" w14:textId="77777777" w:rsidR="009D2E0C" w:rsidRPr="009D2E0C" w:rsidRDefault="009D2E0C" w:rsidP="009D2E0C">
      <w:pPr>
        <w:widowControl w:val="0"/>
        <w:autoSpaceDE w:val="0"/>
        <w:autoSpaceDN w:val="0"/>
        <w:spacing w:after="0" w:line="276" w:lineRule="auto"/>
        <w:jc w:val="both"/>
        <w:rPr>
          <w:rFonts w:ascii="Verdana" w:eastAsia="Calibri" w:hAnsi="Verdana" w:cs="Arial"/>
          <w:kern w:val="2"/>
          <w:shd w:val="clear" w:color="auto" w:fill="FFFFFF"/>
          <w:lang w:val="es-ES_tradnl" w:eastAsia="es-MX"/>
          <w14:ligatures w14:val="standardContextual"/>
        </w:rPr>
      </w:pPr>
    </w:p>
    <w:p w14:paraId="2F6E2F6E" w14:textId="77777777" w:rsidR="009D2E0C" w:rsidRPr="009D2E0C" w:rsidRDefault="009D2E0C" w:rsidP="009D2E0C">
      <w:pPr>
        <w:spacing w:after="0" w:line="276" w:lineRule="auto"/>
        <w:jc w:val="both"/>
        <w:rPr>
          <w:rFonts w:ascii="Verdana" w:eastAsia="Calibri" w:hAnsi="Verdana" w:cs="Times New Roman"/>
          <w:kern w:val="2"/>
          <w:lang w:val="es-ES_tradnl" w:eastAsia="es-MX"/>
          <w14:ligatures w14:val="standardContextual"/>
        </w:rPr>
      </w:pPr>
      <w:r w:rsidRPr="009D2E0C">
        <w:rPr>
          <w:rFonts w:ascii="Verdana" w:eastAsia="Calibri" w:hAnsi="Verdana" w:cs="Times New Roman"/>
          <w:kern w:val="2"/>
          <w:lang w:val="es-ES_tradnl" w:eastAsia="es-MX"/>
          <w14:ligatures w14:val="standardContextual"/>
        </w:rPr>
        <w:t xml:space="preserve">Por último, los invitamos a seguirnos en las redes sociales, en las cuales se difunde información institucional: </w:t>
      </w:r>
    </w:p>
    <w:p w14:paraId="311E49B5" w14:textId="77777777" w:rsidR="009D2E0C" w:rsidRPr="009D2E0C" w:rsidRDefault="009D2E0C" w:rsidP="009D2E0C">
      <w:pPr>
        <w:spacing w:after="0" w:line="240" w:lineRule="auto"/>
        <w:jc w:val="both"/>
        <w:rPr>
          <w:rFonts w:ascii="Verdana" w:eastAsia="Calibri" w:hAnsi="Verdana" w:cs="Times New Roman"/>
          <w:kern w:val="2"/>
          <w:lang w:val="es-ES_tradnl" w:eastAsia="es-MX"/>
          <w14:ligatures w14:val="standardContextual"/>
        </w:rPr>
      </w:pPr>
    </w:p>
    <w:p w14:paraId="71FE67D0" w14:textId="77777777" w:rsidR="009D2E0C" w:rsidRPr="009D2E0C" w:rsidRDefault="009D2E0C" w:rsidP="009D2E0C">
      <w:pPr>
        <w:spacing w:after="0" w:line="240" w:lineRule="auto"/>
        <w:jc w:val="both"/>
        <w:rPr>
          <w:rFonts w:ascii="Verdana" w:eastAsia="Calibri" w:hAnsi="Verdana" w:cs="Times New Roman"/>
          <w:kern w:val="2"/>
          <w:lang w:val="es-ES_tradnl" w:eastAsia="es-MX"/>
          <w14:ligatures w14:val="standardContextual"/>
        </w:rPr>
      </w:pPr>
      <w:r w:rsidRPr="009D2E0C">
        <w:rPr>
          <w:rFonts w:ascii="Verdana" w:eastAsia="Calibri" w:hAnsi="Verdana" w:cs="Times New Roman"/>
          <w:kern w:val="2"/>
          <w:lang w:val="es-ES_tradnl" w:eastAsia="es-MX"/>
          <w14:ligatures w14:val="standardContextual"/>
        </w:rPr>
        <w:t xml:space="preserve">X: </w:t>
      </w:r>
      <w:r w:rsidRPr="009D2E0C">
        <w:rPr>
          <w:rFonts w:ascii="Verdana" w:eastAsia="Calibri" w:hAnsi="Verdana" w:cs="Times New Roman"/>
          <w:kern w:val="2"/>
          <w:u w:val="single"/>
          <w:lang w:val="es-ES_tradnl" w:eastAsia="es-MX"/>
          <w14:ligatures w14:val="standardContextual"/>
        </w:rPr>
        <w:t>@colombiacompra</w:t>
      </w:r>
      <w:r w:rsidRPr="009D2E0C">
        <w:rPr>
          <w:rFonts w:ascii="Verdana" w:eastAsia="Calibri" w:hAnsi="Verdana" w:cs="Times New Roman"/>
          <w:kern w:val="2"/>
          <w:lang w:val="es-ES_tradnl" w:eastAsia="es-MX"/>
          <w14:ligatures w14:val="standardContextual"/>
        </w:rPr>
        <w:t xml:space="preserve"> </w:t>
      </w:r>
    </w:p>
    <w:p w14:paraId="47E18635" w14:textId="77777777" w:rsidR="009D2E0C" w:rsidRPr="009D2E0C" w:rsidRDefault="009D2E0C" w:rsidP="009D2E0C">
      <w:pPr>
        <w:spacing w:after="0" w:line="240" w:lineRule="auto"/>
        <w:jc w:val="both"/>
        <w:rPr>
          <w:rFonts w:ascii="Verdana" w:eastAsia="Calibri" w:hAnsi="Verdana" w:cs="Times New Roman"/>
          <w:kern w:val="2"/>
          <w:lang w:val="es-ES" w:eastAsia="es-MX"/>
          <w14:ligatures w14:val="standardContextual"/>
        </w:rPr>
      </w:pPr>
      <w:r w:rsidRPr="009D2E0C">
        <w:rPr>
          <w:rFonts w:ascii="Verdana" w:eastAsia="Calibri" w:hAnsi="Verdana" w:cs="Times New Roman"/>
          <w:kern w:val="2"/>
          <w:lang w:val="es-ES" w:eastAsia="es-MX"/>
          <w14:ligatures w14:val="standardContextual"/>
        </w:rPr>
        <w:t xml:space="preserve">Facebook: </w:t>
      </w:r>
      <w:proofErr w:type="spellStart"/>
      <w:r w:rsidRPr="009D2E0C">
        <w:rPr>
          <w:rFonts w:ascii="Verdana" w:eastAsia="Calibri" w:hAnsi="Verdana" w:cs="Times New Roman"/>
          <w:kern w:val="2"/>
          <w:u w:val="single"/>
          <w:lang w:val="es-ES" w:eastAsia="es-MX"/>
          <w14:ligatures w14:val="standardContextual"/>
        </w:rPr>
        <w:t>ColombiaCompraEficiente</w:t>
      </w:r>
      <w:proofErr w:type="spellEnd"/>
    </w:p>
    <w:p w14:paraId="31E66B9B" w14:textId="77777777" w:rsidR="009D2E0C" w:rsidRPr="009D2E0C" w:rsidRDefault="009D2E0C" w:rsidP="009D2E0C">
      <w:pPr>
        <w:spacing w:after="0" w:line="240" w:lineRule="auto"/>
        <w:jc w:val="both"/>
        <w:rPr>
          <w:rFonts w:ascii="Verdana" w:eastAsia="Calibri" w:hAnsi="Verdana" w:cs="Times New Roman"/>
          <w:kern w:val="2"/>
          <w:lang w:val="es-ES_tradnl" w:eastAsia="es-MX"/>
          <w14:ligatures w14:val="standardContextual"/>
        </w:rPr>
      </w:pPr>
      <w:r w:rsidRPr="009D2E0C">
        <w:rPr>
          <w:rFonts w:ascii="Verdana" w:eastAsia="Calibri" w:hAnsi="Verdana" w:cs="Times New Roman"/>
          <w:kern w:val="2"/>
          <w:lang w:val="es-ES_tradnl" w:eastAsia="es-MX"/>
          <w14:ligatures w14:val="standardContextual"/>
        </w:rPr>
        <w:t xml:space="preserve">LinkedIn: </w:t>
      </w:r>
      <w:r w:rsidRPr="009D2E0C">
        <w:rPr>
          <w:rFonts w:ascii="Verdana" w:eastAsia="Calibri" w:hAnsi="Verdana" w:cs="Times New Roman"/>
          <w:kern w:val="2"/>
          <w:u w:val="single"/>
          <w:lang w:val="es-ES_tradnl" w:eastAsia="es-MX"/>
          <w14:ligatures w14:val="standardContextual"/>
        </w:rPr>
        <w:t>Agencia Nacional de Contratación Pública - Colombia Compra Eficiente</w:t>
      </w:r>
      <w:r w:rsidRPr="009D2E0C">
        <w:rPr>
          <w:rFonts w:ascii="Verdana" w:eastAsia="Calibri" w:hAnsi="Verdana" w:cs="Times New Roman"/>
          <w:kern w:val="2"/>
          <w:lang w:val="es-ES_tradnl" w:eastAsia="es-MX"/>
          <w14:ligatures w14:val="standardContextual"/>
        </w:rPr>
        <w:t xml:space="preserve"> Instagram: </w:t>
      </w:r>
      <w:r w:rsidRPr="009D2E0C">
        <w:rPr>
          <w:rFonts w:ascii="Verdana" w:eastAsia="Calibri" w:hAnsi="Verdana" w:cs="Times New Roman"/>
          <w:kern w:val="2"/>
          <w:u w:val="single"/>
          <w:lang w:val="es-ES_tradnl" w:eastAsia="es-MX"/>
          <w14:ligatures w14:val="standardContextual"/>
        </w:rPr>
        <w:t>@colombiacompraeficiente_cce</w:t>
      </w:r>
    </w:p>
    <w:p w14:paraId="6FBAF6AB" w14:textId="77777777" w:rsidR="009D2E0C" w:rsidRPr="009D2E0C" w:rsidRDefault="009D2E0C" w:rsidP="009D2E0C">
      <w:pPr>
        <w:widowControl w:val="0"/>
        <w:autoSpaceDE w:val="0"/>
        <w:autoSpaceDN w:val="0"/>
        <w:spacing w:after="0" w:line="276" w:lineRule="auto"/>
        <w:jc w:val="both"/>
        <w:rPr>
          <w:rFonts w:ascii="Verdana" w:eastAsia="Calibri" w:hAnsi="Verdana" w:cs="Arial"/>
          <w:kern w:val="2"/>
          <w:lang w:val="es-ES_tradnl" w:eastAsia="es-MX"/>
          <w14:ligatures w14:val="standardContextual"/>
        </w:rPr>
      </w:pPr>
    </w:p>
    <w:p w14:paraId="7295E465" w14:textId="77777777" w:rsidR="009D2E0C" w:rsidRPr="009D2E0C" w:rsidRDefault="009D2E0C" w:rsidP="009D2E0C">
      <w:pPr>
        <w:widowControl w:val="0"/>
        <w:autoSpaceDE w:val="0"/>
        <w:autoSpaceDN w:val="0"/>
        <w:spacing w:after="0" w:line="276" w:lineRule="auto"/>
        <w:jc w:val="both"/>
        <w:rPr>
          <w:rFonts w:ascii="Verdana" w:eastAsia="Calibri" w:hAnsi="Verdana" w:cs="Arial"/>
          <w:lang w:eastAsia="es-MX"/>
        </w:rPr>
      </w:pPr>
      <w:r w:rsidRPr="009D2E0C">
        <w:rPr>
          <w:rFonts w:ascii="Verdana" w:eastAsia="Calibri" w:hAnsi="Verdana" w:cs="Arial"/>
          <w:kern w:val="2"/>
          <w:lang w:val="es-ES_tradnl" w:eastAsia="es-MX"/>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B67F4A4" w14:textId="77777777" w:rsidR="009D2E0C" w:rsidRPr="009D2E0C" w:rsidRDefault="009D2E0C" w:rsidP="009D2E0C">
      <w:pPr>
        <w:widowControl w:val="0"/>
        <w:autoSpaceDE w:val="0"/>
        <w:autoSpaceDN w:val="0"/>
        <w:spacing w:after="0" w:line="276" w:lineRule="auto"/>
        <w:jc w:val="both"/>
        <w:rPr>
          <w:rFonts w:ascii="Verdana" w:eastAsia="Calibri" w:hAnsi="Verdana" w:cs="Arial"/>
          <w:lang w:eastAsia="es-MX"/>
        </w:rPr>
      </w:pPr>
    </w:p>
    <w:p w14:paraId="5E2144D1" w14:textId="77777777" w:rsidR="009D2E0C" w:rsidRPr="009D2E0C" w:rsidRDefault="009D2E0C" w:rsidP="009D2E0C">
      <w:pPr>
        <w:spacing w:after="0" w:line="240" w:lineRule="auto"/>
        <w:rPr>
          <w:rFonts w:ascii="Verdana" w:eastAsia="Calibri" w:hAnsi="Verdana" w:cs="Arial"/>
          <w:lang w:eastAsia="es-CO"/>
        </w:rPr>
      </w:pPr>
      <w:r w:rsidRPr="009D2E0C">
        <w:rPr>
          <w:rFonts w:ascii="Verdana" w:eastAsia="Times New Roman" w:hAnsi="Verdana" w:cs="Arial"/>
          <w:lang w:eastAsia="es-CO"/>
        </w:rPr>
        <w:t>Atentamente,</w:t>
      </w:r>
      <w:r w:rsidRPr="009D2E0C">
        <w:rPr>
          <w:rFonts w:ascii="Verdana" w:eastAsia="Calibri" w:hAnsi="Verdana" w:cs="Arial"/>
          <w:lang w:eastAsia="es-CO"/>
        </w:rPr>
        <w:t xml:space="preserve"> </w:t>
      </w:r>
    </w:p>
    <w:p w14:paraId="3D59EEE7" w14:textId="010A26EE" w:rsidR="009D2E0C" w:rsidRPr="009D2E0C" w:rsidRDefault="00170400" w:rsidP="009D2E0C">
      <w:pPr>
        <w:tabs>
          <w:tab w:val="left" w:pos="1320"/>
        </w:tabs>
        <w:spacing w:after="0" w:line="240" w:lineRule="auto"/>
        <w:jc w:val="center"/>
        <w:rPr>
          <w:rFonts w:ascii="Verdana" w:eastAsia="Calibri" w:hAnsi="Verdana" w:cs="Times New Roman"/>
          <w:sz w:val="24"/>
          <w:szCs w:val="24"/>
          <w:lang w:eastAsia="es-MX"/>
        </w:rPr>
      </w:pPr>
      <w:r>
        <w:rPr>
          <w:noProof/>
        </w:rPr>
        <w:drawing>
          <wp:inline distT="0" distB="0" distL="0" distR="0" wp14:anchorId="7D842244" wp14:editId="5123988B">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9D2E0C" w:rsidRPr="009D2E0C" w14:paraId="3E9FA175" w14:textId="77777777" w:rsidTr="009D2E0C">
        <w:trPr>
          <w:trHeight w:val="315"/>
        </w:trPr>
        <w:tc>
          <w:tcPr>
            <w:tcW w:w="893" w:type="dxa"/>
            <w:tcBorders>
              <w:top w:val="nil"/>
              <w:left w:val="nil"/>
              <w:bottom w:val="nil"/>
              <w:right w:val="nil"/>
            </w:tcBorders>
            <w:vAlign w:val="center"/>
            <w:hideMark/>
          </w:tcPr>
          <w:p w14:paraId="3E2ED9C0" w14:textId="77777777" w:rsidR="009D2E0C" w:rsidRPr="009D2E0C" w:rsidRDefault="009D2E0C" w:rsidP="009D2E0C">
            <w:pPr>
              <w:rPr>
                <w:rFonts w:ascii="Verdana" w:eastAsia="Calibri" w:hAnsi="Verdana" w:cs="Arial"/>
                <w:sz w:val="16"/>
                <w:szCs w:val="16"/>
                <w:lang w:eastAsia="es-ES"/>
              </w:rPr>
            </w:pPr>
            <w:r w:rsidRPr="009D2E0C">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6647FAE" w14:textId="77777777" w:rsidR="009D2E0C" w:rsidRPr="009D2E0C" w:rsidRDefault="009D2E0C" w:rsidP="009D2E0C">
            <w:pPr>
              <w:rPr>
                <w:rFonts w:ascii="Verdana" w:eastAsia="Arial" w:hAnsi="Verdana" w:cs="Arial"/>
                <w:sz w:val="16"/>
                <w:szCs w:val="16"/>
                <w:lang w:eastAsia="es-MX"/>
              </w:rPr>
            </w:pPr>
            <w:r w:rsidRPr="009D2E0C">
              <w:rPr>
                <w:rFonts w:ascii="Verdana" w:eastAsia="Arial" w:hAnsi="Verdana" w:cs="Arial"/>
                <w:sz w:val="16"/>
                <w:szCs w:val="16"/>
                <w:lang w:eastAsia="es-MX"/>
              </w:rPr>
              <w:t>Kevin Arlid Herrera Santa</w:t>
            </w:r>
          </w:p>
          <w:p w14:paraId="78830362" w14:textId="77777777" w:rsidR="009D2E0C" w:rsidRPr="009D2E0C" w:rsidRDefault="009D2E0C" w:rsidP="009D2E0C">
            <w:pPr>
              <w:rPr>
                <w:rFonts w:ascii="Verdana" w:eastAsia="Arial" w:hAnsi="Verdana" w:cs="Arial"/>
                <w:sz w:val="16"/>
                <w:szCs w:val="16"/>
                <w:lang w:eastAsia="es-MX"/>
              </w:rPr>
            </w:pPr>
            <w:r w:rsidRPr="009D2E0C">
              <w:rPr>
                <w:rFonts w:ascii="Verdana" w:eastAsia="Arial" w:hAnsi="Verdana" w:cs="Arial"/>
                <w:sz w:val="16"/>
                <w:szCs w:val="16"/>
                <w:lang w:eastAsia="es-MX"/>
              </w:rPr>
              <w:t>Contratista de la Subdirección de Gestión Contractual</w:t>
            </w:r>
          </w:p>
          <w:p w14:paraId="5525CA40" w14:textId="77777777" w:rsidR="009D2E0C" w:rsidRPr="009D2E0C" w:rsidRDefault="009D2E0C" w:rsidP="009D2E0C">
            <w:pPr>
              <w:rPr>
                <w:rFonts w:ascii="Verdana" w:eastAsia="Arial" w:hAnsi="Verdana" w:cs="Arial"/>
                <w:sz w:val="16"/>
                <w:szCs w:val="16"/>
                <w:lang w:eastAsia="es-MX"/>
              </w:rPr>
            </w:pPr>
            <w:r w:rsidRPr="009D2E0C">
              <w:rPr>
                <w:rFonts w:ascii="Verdana" w:eastAsia="Arial" w:hAnsi="Verdana" w:cs="Arial"/>
                <w:sz w:val="16"/>
                <w:szCs w:val="16"/>
                <w:lang w:eastAsia="es-MX"/>
              </w:rPr>
              <w:t>Alexandra Rodríguez Motta</w:t>
            </w:r>
          </w:p>
          <w:p w14:paraId="25CCD8A3" w14:textId="77777777" w:rsidR="009D2E0C" w:rsidRPr="009D2E0C" w:rsidRDefault="009D2E0C" w:rsidP="009D2E0C">
            <w:pPr>
              <w:rPr>
                <w:rFonts w:ascii="Verdana" w:eastAsia="Arial" w:hAnsi="Verdana" w:cs="Arial"/>
                <w:sz w:val="16"/>
                <w:szCs w:val="16"/>
                <w:lang w:eastAsia="es-MX"/>
              </w:rPr>
            </w:pPr>
            <w:r w:rsidRPr="009D2E0C">
              <w:rPr>
                <w:rFonts w:ascii="Verdana" w:eastAsia="Arial" w:hAnsi="Verdana" w:cs="Arial"/>
                <w:sz w:val="16"/>
                <w:szCs w:val="16"/>
                <w:lang w:eastAsia="es-MX"/>
              </w:rPr>
              <w:t>Contratista de la Subdirección de Gestión Contractual</w:t>
            </w:r>
          </w:p>
        </w:tc>
      </w:tr>
      <w:tr w:rsidR="009D2E0C" w:rsidRPr="009D2E0C" w14:paraId="05319C61" w14:textId="77777777" w:rsidTr="009D2E0C">
        <w:trPr>
          <w:trHeight w:val="330"/>
        </w:trPr>
        <w:tc>
          <w:tcPr>
            <w:tcW w:w="893" w:type="dxa"/>
            <w:tcBorders>
              <w:top w:val="nil"/>
              <w:left w:val="nil"/>
              <w:bottom w:val="nil"/>
              <w:right w:val="nil"/>
            </w:tcBorders>
            <w:vAlign w:val="center"/>
            <w:hideMark/>
          </w:tcPr>
          <w:p w14:paraId="0D01E0D8" w14:textId="77777777" w:rsidR="009D2E0C" w:rsidRPr="009D2E0C" w:rsidRDefault="009D2E0C" w:rsidP="009D2E0C">
            <w:pPr>
              <w:rPr>
                <w:rFonts w:ascii="Verdana" w:eastAsia="Calibri" w:hAnsi="Verdana" w:cs="Arial"/>
                <w:sz w:val="16"/>
                <w:szCs w:val="16"/>
                <w:lang w:eastAsia="es-ES"/>
              </w:rPr>
            </w:pPr>
            <w:r w:rsidRPr="009D2E0C">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C1B820E" w14:textId="77777777" w:rsidR="009D2E0C" w:rsidRPr="009D2E0C" w:rsidRDefault="009D2E0C" w:rsidP="009D2E0C">
            <w:pPr>
              <w:textAlignment w:val="baseline"/>
              <w:rPr>
                <w:rFonts w:ascii="Verdana" w:eastAsia="Times New Roman" w:hAnsi="Verdana" w:cs="Segoe UI"/>
                <w:sz w:val="16"/>
                <w:szCs w:val="16"/>
                <w:lang w:val="es-ES" w:eastAsia="es-ES"/>
              </w:rPr>
            </w:pPr>
            <w:r w:rsidRPr="009D2E0C">
              <w:rPr>
                <w:rFonts w:ascii="Verdana" w:eastAsia="Times New Roman" w:hAnsi="Verdana" w:cs="Segoe UI"/>
                <w:sz w:val="16"/>
                <w:szCs w:val="16"/>
                <w:lang w:val="es-ES" w:eastAsia="es-ES"/>
              </w:rPr>
              <w:t xml:space="preserve">Adriana </w:t>
            </w:r>
            <w:proofErr w:type="spellStart"/>
            <w:r w:rsidRPr="009D2E0C">
              <w:rPr>
                <w:rFonts w:ascii="Verdana" w:eastAsia="Times New Roman" w:hAnsi="Verdana" w:cs="Segoe UI"/>
                <w:sz w:val="16"/>
                <w:szCs w:val="16"/>
                <w:lang w:val="es-ES" w:eastAsia="es-ES"/>
              </w:rPr>
              <w:t>Katerine</w:t>
            </w:r>
            <w:proofErr w:type="spellEnd"/>
            <w:r w:rsidRPr="009D2E0C">
              <w:rPr>
                <w:rFonts w:ascii="Verdana" w:eastAsia="Times New Roman" w:hAnsi="Verdana" w:cs="Segoe UI"/>
                <w:sz w:val="16"/>
                <w:szCs w:val="16"/>
                <w:lang w:val="es-ES" w:eastAsia="es-ES"/>
              </w:rPr>
              <w:t xml:space="preserve"> López Rodríguez</w:t>
            </w:r>
          </w:p>
          <w:p w14:paraId="665926C7" w14:textId="77777777" w:rsidR="009D2E0C" w:rsidRPr="009D2E0C" w:rsidRDefault="009D2E0C" w:rsidP="009D2E0C">
            <w:pPr>
              <w:textAlignment w:val="baseline"/>
              <w:rPr>
                <w:rFonts w:ascii="Verdana" w:eastAsia="Times New Roman" w:hAnsi="Verdana" w:cs="Segoe UI"/>
                <w:sz w:val="16"/>
                <w:szCs w:val="16"/>
                <w:lang w:eastAsia="es-ES_tradnl"/>
              </w:rPr>
            </w:pPr>
            <w:r w:rsidRPr="009D2E0C">
              <w:rPr>
                <w:rFonts w:ascii="Verdana" w:eastAsia="Times New Roman" w:hAnsi="Verdana" w:cs="Arial"/>
                <w:sz w:val="16"/>
                <w:szCs w:val="16"/>
                <w:lang w:val="es-ES_tradnl" w:eastAsia="es-ES_tradnl"/>
              </w:rPr>
              <w:t>Contratista de la Subdirección de Gestión Contractual </w:t>
            </w:r>
          </w:p>
        </w:tc>
      </w:tr>
      <w:tr w:rsidR="009D2E0C" w:rsidRPr="009D2E0C" w14:paraId="203D2A17" w14:textId="77777777" w:rsidTr="009D2E0C">
        <w:trPr>
          <w:trHeight w:val="300"/>
        </w:trPr>
        <w:tc>
          <w:tcPr>
            <w:tcW w:w="893" w:type="dxa"/>
            <w:tcBorders>
              <w:top w:val="nil"/>
              <w:left w:val="nil"/>
              <w:bottom w:val="nil"/>
              <w:right w:val="nil"/>
            </w:tcBorders>
            <w:vAlign w:val="center"/>
          </w:tcPr>
          <w:p w14:paraId="5B48E0EC" w14:textId="77777777" w:rsidR="009D2E0C" w:rsidRPr="009D2E0C" w:rsidRDefault="009D2E0C" w:rsidP="009D2E0C">
            <w:pPr>
              <w:rPr>
                <w:rFonts w:ascii="Verdana" w:eastAsia="Calibri" w:hAnsi="Verdana" w:cs="Arial"/>
                <w:sz w:val="16"/>
                <w:szCs w:val="16"/>
                <w:lang w:eastAsia="es-ES"/>
              </w:rPr>
            </w:pPr>
            <w:r w:rsidRPr="009D2E0C">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15E9939B" w14:textId="77777777" w:rsidR="009D2E0C" w:rsidRPr="009D2E0C" w:rsidRDefault="009D2E0C" w:rsidP="009D2E0C">
            <w:pPr>
              <w:rPr>
                <w:rFonts w:ascii="Verdana" w:eastAsia="Calibri" w:hAnsi="Verdana" w:cs="Arial"/>
                <w:sz w:val="16"/>
                <w:szCs w:val="16"/>
                <w:lang w:eastAsia="es-ES"/>
              </w:rPr>
            </w:pPr>
            <w:r w:rsidRPr="009D2E0C">
              <w:rPr>
                <w:rFonts w:ascii="Verdana" w:eastAsia="Calibri" w:hAnsi="Verdana" w:cs="Arial"/>
                <w:sz w:val="16"/>
                <w:szCs w:val="16"/>
                <w:lang w:eastAsia="es-ES"/>
              </w:rPr>
              <w:t>Carolina Quintero Gacharná</w:t>
            </w:r>
          </w:p>
          <w:p w14:paraId="3CD05AEE" w14:textId="77777777" w:rsidR="009D2E0C" w:rsidRPr="009D2E0C" w:rsidRDefault="009D2E0C" w:rsidP="009D2E0C">
            <w:pPr>
              <w:rPr>
                <w:rFonts w:ascii="Verdana" w:eastAsia="Calibri" w:hAnsi="Verdana" w:cs="Arial"/>
                <w:sz w:val="16"/>
                <w:szCs w:val="16"/>
                <w:lang w:eastAsia="es-ES"/>
              </w:rPr>
            </w:pPr>
            <w:r w:rsidRPr="009D2E0C">
              <w:rPr>
                <w:rFonts w:ascii="Verdana" w:eastAsia="Calibri" w:hAnsi="Verdana" w:cs="Arial"/>
                <w:sz w:val="16"/>
                <w:szCs w:val="16"/>
                <w:lang w:eastAsia="es-ES"/>
              </w:rPr>
              <w:t>Subdirectora de Gestión Contractual ANCP – CCE</w:t>
            </w:r>
          </w:p>
        </w:tc>
      </w:tr>
    </w:tbl>
    <w:p w14:paraId="65846EB9" w14:textId="77777777" w:rsidR="009D2E0C" w:rsidRPr="009D2E0C" w:rsidRDefault="009D2E0C" w:rsidP="009D2E0C">
      <w:pPr>
        <w:spacing w:line="276" w:lineRule="auto"/>
        <w:rPr>
          <w:rFonts w:ascii="Verdana" w:eastAsia="Calibri" w:hAnsi="Verdana" w:cs="Arial"/>
          <w:lang w:eastAsia="es-CO"/>
        </w:rPr>
      </w:pPr>
    </w:p>
    <w:bookmarkEnd w:id="0"/>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D9603" w14:textId="77777777" w:rsidR="00097765" w:rsidRDefault="00097765" w:rsidP="004A1847">
      <w:pPr>
        <w:spacing w:after="0" w:line="240" w:lineRule="auto"/>
      </w:pPr>
      <w:r>
        <w:separator/>
      </w:r>
    </w:p>
  </w:endnote>
  <w:endnote w:type="continuationSeparator" w:id="0">
    <w:p w14:paraId="1F4B10F2" w14:textId="77777777" w:rsidR="00097765" w:rsidRDefault="0009776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85253" w14:textId="77777777" w:rsidR="00097765" w:rsidRDefault="00097765" w:rsidP="004A1847">
      <w:pPr>
        <w:spacing w:after="0" w:line="240" w:lineRule="auto"/>
      </w:pPr>
      <w:r>
        <w:separator/>
      </w:r>
    </w:p>
  </w:footnote>
  <w:footnote w:type="continuationSeparator" w:id="0">
    <w:p w14:paraId="1650993E" w14:textId="77777777" w:rsidR="00097765" w:rsidRDefault="00097765"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7765"/>
    <w:rsid w:val="000A683E"/>
    <w:rsid w:val="000B19B9"/>
    <w:rsid w:val="000D0334"/>
    <w:rsid w:val="000D5DA7"/>
    <w:rsid w:val="000F6486"/>
    <w:rsid w:val="00116940"/>
    <w:rsid w:val="00125105"/>
    <w:rsid w:val="00127233"/>
    <w:rsid w:val="0015699B"/>
    <w:rsid w:val="00170400"/>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430C3"/>
    <w:rsid w:val="0075235A"/>
    <w:rsid w:val="00756841"/>
    <w:rsid w:val="007649AB"/>
    <w:rsid w:val="00771D0C"/>
    <w:rsid w:val="007833AC"/>
    <w:rsid w:val="007B02C1"/>
    <w:rsid w:val="007B268C"/>
    <w:rsid w:val="007B7171"/>
    <w:rsid w:val="007C0C0F"/>
    <w:rsid w:val="007C3DC2"/>
    <w:rsid w:val="007E5497"/>
    <w:rsid w:val="007F69B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2E0C"/>
    <w:rsid w:val="009D3058"/>
    <w:rsid w:val="009F3A13"/>
    <w:rsid w:val="00A122D3"/>
    <w:rsid w:val="00A14468"/>
    <w:rsid w:val="00A17F13"/>
    <w:rsid w:val="00A20739"/>
    <w:rsid w:val="00A23AF9"/>
    <w:rsid w:val="00A33C78"/>
    <w:rsid w:val="00A50FD9"/>
    <w:rsid w:val="00AB0ADB"/>
    <w:rsid w:val="00AE4C49"/>
    <w:rsid w:val="00B00C0E"/>
    <w:rsid w:val="00B01B1A"/>
    <w:rsid w:val="00B0381D"/>
    <w:rsid w:val="00B12C1A"/>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164C"/>
    <w:rsid w:val="00D361FD"/>
    <w:rsid w:val="00D423A2"/>
    <w:rsid w:val="00D44E26"/>
    <w:rsid w:val="00D520D8"/>
    <w:rsid w:val="00D63AC2"/>
    <w:rsid w:val="00D7383B"/>
    <w:rsid w:val="00D7788A"/>
    <w:rsid w:val="00D96893"/>
    <w:rsid w:val="00DA231B"/>
    <w:rsid w:val="00DC39FC"/>
    <w:rsid w:val="00DF5254"/>
    <w:rsid w:val="00E02524"/>
    <w:rsid w:val="00E16408"/>
    <w:rsid w:val="00E20894"/>
    <w:rsid w:val="00E245AB"/>
    <w:rsid w:val="00E2764C"/>
    <w:rsid w:val="00E27F2E"/>
    <w:rsid w:val="00E50AFE"/>
    <w:rsid w:val="00E545FB"/>
    <w:rsid w:val="00E75C92"/>
    <w:rsid w:val="00E771DC"/>
    <w:rsid w:val="00E84A52"/>
    <w:rsid w:val="00E8772A"/>
    <w:rsid w:val="00E90F6B"/>
    <w:rsid w:val="00E92C27"/>
    <w:rsid w:val="00EA0E3D"/>
    <w:rsid w:val="00EC38A7"/>
    <w:rsid w:val="00EE1AA8"/>
    <w:rsid w:val="00EE2D71"/>
    <w:rsid w:val="00F23FEA"/>
    <w:rsid w:val="00F31EDC"/>
    <w:rsid w:val="00F462B3"/>
    <w:rsid w:val="00F5664F"/>
    <w:rsid w:val="00F666C4"/>
    <w:rsid w:val="00F76AFC"/>
    <w:rsid w:val="00FA47C0"/>
    <w:rsid w:val="00FA7411"/>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F91BECB5-5F56-4EC5-994A-0970CA769F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10</Pages>
  <Words>2746</Words>
  <Characters>16176</Characters>
  <Application>Microsoft Office Word</Application>
  <DocSecurity>0</DocSecurity>
  <Lines>341</Lines>
  <Paragraphs>80</Paragraphs>
  <ScaleCrop>false</ScaleCrop>
  <Company/>
  <LinksUpToDate>false</LinksUpToDate>
  <CharactersWithSpaces>18931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2025-12-23T00:49:00Z</dcterms:created>
  <dcterms:modified xsi:type="dcterms:W3CDTF">2025-12-23T19:58:00Z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