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E9866" w14:textId="77777777" w:rsidR="00437377" w:rsidRPr="00647611" w:rsidRDefault="00437377" w:rsidP="00437377">
      <w:pPr>
        <w:spacing w:after="0" w:line="240" w:lineRule="auto"/>
        <w:jc w:val="both"/>
        <w:rPr>
          <w:rFonts w:ascii="Verdana" w:eastAsia="Calibri" w:hAnsi="Verdana" w:cs="Arial"/>
          <w:sz w:val="20"/>
          <w:szCs w:val="20"/>
          <w:lang w:val="es-ES_tradnl" w:eastAsia="es-ES"/>
        </w:rPr>
      </w:pPr>
    </w:p>
    <w:p w14:paraId="2CE96443" w14:textId="77777777" w:rsidR="00437377" w:rsidRPr="00647611" w:rsidRDefault="00437377" w:rsidP="00437377">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10B824B3" w14:textId="77777777" w:rsidR="00437377" w:rsidRPr="00647611" w:rsidRDefault="00437377" w:rsidP="00437377">
      <w:pPr>
        <w:spacing w:after="0" w:line="240" w:lineRule="auto"/>
        <w:jc w:val="both"/>
        <w:rPr>
          <w:rFonts w:ascii="Verdana" w:hAnsi="Verdana" w:cs="Arial"/>
          <w:b/>
          <w:sz w:val="20"/>
          <w:szCs w:val="20"/>
          <w:lang w:val="es-MX" w:eastAsia="es-ES_tradnl"/>
        </w:rPr>
      </w:pPr>
    </w:p>
    <w:p w14:paraId="0364B003" w14:textId="77777777" w:rsidR="00437377" w:rsidRPr="00647611" w:rsidRDefault="00437377" w:rsidP="00437377">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48C1136B" w14:textId="77777777" w:rsidR="00437377" w:rsidRPr="00647611" w:rsidRDefault="00437377" w:rsidP="00437377">
      <w:pPr>
        <w:spacing w:after="0" w:line="240" w:lineRule="auto"/>
        <w:jc w:val="both"/>
        <w:rPr>
          <w:rFonts w:ascii="Verdana" w:hAnsi="Verdana" w:cs="Arial"/>
          <w:b/>
          <w:sz w:val="20"/>
          <w:szCs w:val="20"/>
          <w:lang w:val="es-MX" w:eastAsia="es-ES_tradnl"/>
        </w:rPr>
      </w:pPr>
    </w:p>
    <w:p w14:paraId="3212CFC8" w14:textId="77777777" w:rsidR="00437377" w:rsidRPr="00647611" w:rsidRDefault="00437377" w:rsidP="00437377">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16B9F251" w14:textId="77777777" w:rsidR="00437377" w:rsidRPr="00647611" w:rsidRDefault="00437377" w:rsidP="00437377">
      <w:pPr>
        <w:spacing w:after="0" w:line="240" w:lineRule="auto"/>
        <w:jc w:val="both"/>
        <w:rPr>
          <w:rFonts w:ascii="Verdana" w:hAnsi="Verdana" w:cs="Arial"/>
          <w:b/>
          <w:sz w:val="20"/>
          <w:szCs w:val="20"/>
          <w:lang w:val="es-MX" w:eastAsia="es-ES_tradnl"/>
        </w:rPr>
      </w:pPr>
    </w:p>
    <w:p w14:paraId="7691CBEA" w14:textId="77777777" w:rsidR="00437377" w:rsidRPr="00647611" w:rsidRDefault="00437377" w:rsidP="00437377">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248BC94" w14:textId="77777777" w:rsidR="00437377" w:rsidRPr="00647611" w:rsidRDefault="00437377" w:rsidP="00437377">
      <w:pPr>
        <w:spacing w:after="0" w:line="240" w:lineRule="auto"/>
        <w:jc w:val="both"/>
        <w:rPr>
          <w:rFonts w:ascii="Verdana" w:eastAsia="Calibri" w:hAnsi="Verdana" w:cs="Arial"/>
          <w:sz w:val="20"/>
          <w:szCs w:val="20"/>
        </w:rPr>
      </w:pPr>
    </w:p>
    <w:p w14:paraId="4B775B3F" w14:textId="77777777" w:rsidR="00437377" w:rsidRPr="00647611" w:rsidRDefault="00437377" w:rsidP="00437377">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3CF465CA" w14:textId="77777777" w:rsidR="00437377" w:rsidRPr="00647611" w:rsidRDefault="00437377" w:rsidP="00437377">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06F1D16D" w14:textId="77777777" w:rsidR="00437377" w:rsidRPr="00647611" w:rsidRDefault="00437377" w:rsidP="00437377">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05FBEA50" w14:textId="77777777" w:rsidR="00437377" w:rsidRPr="00647611" w:rsidRDefault="00437377" w:rsidP="00437377">
      <w:pPr>
        <w:spacing w:after="0" w:line="240" w:lineRule="auto"/>
        <w:jc w:val="both"/>
        <w:rPr>
          <w:rFonts w:ascii="Verdana" w:hAnsi="Verdana" w:cs="Arial"/>
          <w:b/>
          <w:sz w:val="20"/>
          <w:szCs w:val="20"/>
          <w:lang w:val="es-MX" w:eastAsia="es-ES_tradnl"/>
        </w:rPr>
      </w:pPr>
    </w:p>
    <w:p w14:paraId="2C58BCE1" w14:textId="77777777" w:rsidR="00437377" w:rsidRPr="00647611" w:rsidRDefault="00437377" w:rsidP="00437377">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LEY DE GARANTÍAS ELECTORALES – Prohibición artículo 3</w:t>
      </w:r>
      <w:r>
        <w:rPr>
          <w:rFonts w:ascii="Verdana" w:hAnsi="Verdana" w:cs="Arial"/>
          <w:b/>
          <w:lang w:val="es-MX" w:eastAsia="es-ES_tradnl"/>
        </w:rPr>
        <w:t>8</w:t>
      </w:r>
      <w:r w:rsidRPr="00647611">
        <w:rPr>
          <w:rFonts w:ascii="Verdana" w:hAnsi="Verdana" w:cs="Arial"/>
          <w:b/>
          <w:lang w:val="es-MX" w:eastAsia="es-ES_tradnl"/>
        </w:rPr>
        <w:t xml:space="preserve"> – C</w:t>
      </w:r>
      <w:r>
        <w:rPr>
          <w:rFonts w:ascii="Verdana" w:hAnsi="Verdana" w:cs="Arial"/>
          <w:b/>
          <w:lang w:val="es-MX" w:eastAsia="es-ES_tradnl"/>
        </w:rPr>
        <w:t>onvenios interadministrativos</w:t>
      </w:r>
      <w:r w:rsidRPr="00647611">
        <w:rPr>
          <w:rFonts w:ascii="Verdana" w:hAnsi="Verdana" w:cs="Arial"/>
          <w:b/>
          <w:lang w:val="es-MX" w:eastAsia="es-ES_tradnl"/>
        </w:rPr>
        <w:t xml:space="preserve"> – </w:t>
      </w:r>
      <w:r>
        <w:rPr>
          <w:rFonts w:ascii="Verdana" w:hAnsi="Verdana" w:cs="Arial"/>
          <w:b/>
          <w:lang w:val="es-MX" w:eastAsia="es-ES_tradnl"/>
        </w:rPr>
        <w:t>Ejecución de recursos públicos</w:t>
      </w:r>
      <w:r w:rsidRPr="00647611">
        <w:rPr>
          <w:rFonts w:ascii="Verdana" w:hAnsi="Verdana" w:cs="Arial"/>
          <w:b/>
          <w:lang w:val="es-MX" w:eastAsia="es-ES_tradnl"/>
        </w:rPr>
        <w:t xml:space="preserve"> </w:t>
      </w:r>
    </w:p>
    <w:p w14:paraId="6352D7F5" w14:textId="77777777" w:rsidR="00437377" w:rsidRPr="00647611" w:rsidRDefault="00437377" w:rsidP="00437377">
      <w:pPr>
        <w:spacing w:after="0" w:line="240" w:lineRule="auto"/>
        <w:jc w:val="both"/>
        <w:rPr>
          <w:rFonts w:ascii="Verdana" w:hAnsi="Verdana" w:cs="Arial"/>
          <w:b/>
          <w:sz w:val="20"/>
          <w:szCs w:val="20"/>
          <w:lang w:val="es-MX" w:eastAsia="es-ES_tradnl"/>
        </w:rPr>
      </w:pPr>
    </w:p>
    <w:p w14:paraId="7C33B222" w14:textId="77777777" w:rsidR="00437377" w:rsidRDefault="00437377" w:rsidP="00437377">
      <w:pPr>
        <w:spacing w:after="0" w:line="240" w:lineRule="auto"/>
        <w:jc w:val="both"/>
        <w:rPr>
          <w:rFonts w:ascii="Verdana" w:eastAsia="Times New Roman" w:hAnsi="Verdana" w:cs="Arial"/>
          <w:sz w:val="20"/>
          <w:szCs w:val="20"/>
          <w:lang w:val="es-MX" w:eastAsia="x-none"/>
        </w:rPr>
      </w:pPr>
      <w:r>
        <w:rPr>
          <w:rFonts w:ascii="Verdana" w:eastAsia="Times New Roman" w:hAnsi="Verdana" w:cs="Arial"/>
          <w:sz w:val="20"/>
          <w:szCs w:val="20"/>
          <w:lang w:val="es-ES" w:eastAsia="x-none"/>
        </w:rPr>
        <w:t>E</w:t>
      </w:r>
      <w:r w:rsidRPr="007C748A">
        <w:rPr>
          <w:rFonts w:ascii="Verdana" w:eastAsia="Times New Roman" w:hAnsi="Verdana" w:cs="Arial"/>
          <w:sz w:val="20"/>
          <w:szCs w:val="20"/>
          <w:lang w:val="es-ES" w:eastAsia="x-none"/>
        </w:rPr>
        <w:t xml:space="preserve">l parágrafo </w:t>
      </w:r>
      <w:r w:rsidRPr="007C748A">
        <w:rPr>
          <w:rFonts w:ascii="Verdana" w:eastAsia="Times New Roman" w:hAnsi="Verdana" w:cs="Arial"/>
          <w:sz w:val="20"/>
          <w:szCs w:val="20"/>
          <w:lang w:eastAsia="x-none"/>
        </w:rPr>
        <w:t xml:space="preserve">del artículo 38 de la Ley 996 de 2005 dispone que “Los Gobernadores, </w:t>
      </w:r>
      <w:proofErr w:type="gramStart"/>
      <w:r w:rsidRPr="007C748A">
        <w:rPr>
          <w:rFonts w:ascii="Verdana" w:eastAsia="Times New Roman" w:hAnsi="Verdana" w:cs="Arial"/>
          <w:sz w:val="20"/>
          <w:szCs w:val="20"/>
          <w:lang w:eastAsia="x-none"/>
        </w:rPr>
        <w:t>Alcaldes</w:t>
      </w:r>
      <w:proofErr w:type="gramEnd"/>
      <w:r w:rsidRPr="007C748A">
        <w:rPr>
          <w:rFonts w:ascii="Verdana" w:eastAsia="Times New Roman" w:hAnsi="Verdana" w:cs="Arial"/>
          <w:sz w:val="20"/>
          <w:szCs w:val="20"/>
          <w:lang w:eastAsia="x-none"/>
        </w:rPr>
        <w:t xml:space="preserve"> Municipales y/o Distritales, </w:t>
      </w:r>
      <w:proofErr w:type="gramStart"/>
      <w:r w:rsidRPr="007C748A">
        <w:rPr>
          <w:rFonts w:ascii="Verdana" w:eastAsia="Times New Roman" w:hAnsi="Verdana" w:cs="Arial"/>
          <w:sz w:val="20"/>
          <w:szCs w:val="20"/>
          <w:lang w:eastAsia="x-none"/>
        </w:rPr>
        <w:t>Secretarios</w:t>
      </w:r>
      <w:proofErr w:type="gramEnd"/>
      <w:r w:rsidRPr="007C748A">
        <w:rPr>
          <w:rFonts w:ascii="Verdana" w:eastAsia="Times New Roman" w:hAnsi="Verdana" w:cs="Arial"/>
          <w:sz w:val="20"/>
          <w:szCs w:val="20"/>
          <w:lang w:eastAsia="x-none"/>
        </w:rPr>
        <w:t>, Gerentes y directores de Entidades Descentralizadas del orden Municipal, Departamental o Distrital, dentro de los cuatro (4) meses anteriores a las elecciones, no podrán celebrar convenios interadministrativos para la ejecución de recursos públicos”</w:t>
      </w:r>
      <w:r w:rsidRPr="007C748A">
        <w:rPr>
          <w:rFonts w:ascii="Verdana" w:eastAsia="Times New Roman" w:hAnsi="Verdana" w:cs="Arial"/>
          <w:sz w:val="20"/>
          <w:szCs w:val="20"/>
          <w:lang w:val="es-MX" w:eastAsia="x-none"/>
        </w:rPr>
        <w:t xml:space="preserve">, sin importar de que estos sean en dinero o en especie, ya que la norma no distingue. </w:t>
      </w:r>
    </w:p>
    <w:p w14:paraId="6645C446" w14:textId="77777777" w:rsidR="00437377" w:rsidRPr="007C748A" w:rsidRDefault="00437377" w:rsidP="00437377">
      <w:pPr>
        <w:spacing w:after="0" w:line="240" w:lineRule="auto"/>
        <w:jc w:val="both"/>
        <w:rPr>
          <w:rFonts w:ascii="Verdana" w:eastAsia="Times New Roman" w:hAnsi="Verdana" w:cs="Arial"/>
          <w:sz w:val="20"/>
          <w:szCs w:val="20"/>
          <w:lang w:val="es-MX" w:eastAsia="x-none"/>
        </w:rPr>
      </w:pPr>
    </w:p>
    <w:p w14:paraId="1D87B049" w14:textId="77777777" w:rsidR="00437377" w:rsidRPr="007C748A" w:rsidRDefault="00437377" w:rsidP="00437377">
      <w:pPr>
        <w:spacing w:after="0" w:line="240" w:lineRule="auto"/>
        <w:jc w:val="both"/>
        <w:rPr>
          <w:rFonts w:ascii="Verdana" w:eastAsia="Times New Roman" w:hAnsi="Verdana" w:cs="Arial"/>
          <w:sz w:val="20"/>
          <w:szCs w:val="20"/>
          <w:lang w:val="es-MX" w:eastAsia="x-none"/>
        </w:rPr>
      </w:pPr>
      <w:r w:rsidRPr="007C748A">
        <w:rPr>
          <w:rFonts w:ascii="Verdana" w:eastAsia="Times New Roman" w:hAnsi="Verdana" w:cs="Arial"/>
          <w:sz w:val="20"/>
          <w:szCs w:val="20"/>
          <w:lang w:val="es-MX" w:eastAsia="x-none"/>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7982A7D9" w14:textId="77777777" w:rsidR="00437377" w:rsidRPr="00647611" w:rsidRDefault="00437377" w:rsidP="00437377">
      <w:pPr>
        <w:spacing w:after="0" w:line="240" w:lineRule="auto"/>
        <w:jc w:val="both"/>
        <w:rPr>
          <w:rFonts w:ascii="Verdana" w:hAnsi="Verdana" w:cs="Arial"/>
          <w:b/>
          <w:sz w:val="20"/>
          <w:szCs w:val="20"/>
          <w:lang w:eastAsia="es-ES_tradnl"/>
        </w:rPr>
      </w:pPr>
    </w:p>
    <w:p w14:paraId="246E2D0A" w14:textId="77777777" w:rsidR="00437377" w:rsidRPr="00647611" w:rsidRDefault="00437377" w:rsidP="00437377">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w:t>
      </w:r>
      <w:r>
        <w:rPr>
          <w:rFonts w:ascii="Verdana" w:hAnsi="Verdana" w:cs="Arial"/>
          <w:b/>
          <w:lang w:val="es-MX" w:eastAsia="es-ES_tradnl"/>
        </w:rPr>
        <w:t>Entes universitarios autónomos – Ausencia de restricción</w:t>
      </w:r>
    </w:p>
    <w:p w14:paraId="31C2A031" w14:textId="77777777" w:rsidR="00437377" w:rsidRPr="00647611" w:rsidRDefault="00437377" w:rsidP="00437377">
      <w:pPr>
        <w:spacing w:after="0" w:line="240" w:lineRule="auto"/>
        <w:jc w:val="both"/>
        <w:rPr>
          <w:rFonts w:ascii="Verdana" w:hAnsi="Verdana" w:cs="Arial"/>
          <w:b/>
          <w:sz w:val="20"/>
          <w:szCs w:val="20"/>
          <w:lang w:val="es-MX" w:eastAsia="es-ES_tradnl"/>
        </w:rPr>
      </w:pPr>
    </w:p>
    <w:p w14:paraId="12883D30" w14:textId="77777777" w:rsidR="00437377" w:rsidRPr="00647611" w:rsidRDefault="00437377" w:rsidP="00437377">
      <w:pPr>
        <w:spacing w:after="0" w:line="240" w:lineRule="auto"/>
        <w:jc w:val="both"/>
        <w:rPr>
          <w:rFonts w:ascii="Verdana" w:eastAsia="Times New Roman" w:hAnsi="Verdana" w:cs="Arial"/>
          <w:bCs/>
          <w:sz w:val="20"/>
          <w:szCs w:val="20"/>
          <w:lang w:val="es-MX" w:eastAsia="es-CO"/>
        </w:rPr>
      </w:pPr>
      <w:r>
        <w:rPr>
          <w:rFonts w:ascii="Verdana" w:eastAsia="Times New Roman" w:hAnsi="Verdana" w:cs="Arial"/>
          <w:bCs/>
          <w:sz w:val="20"/>
          <w:szCs w:val="20"/>
          <w:lang w:val="es-MX" w:eastAsia="x-none"/>
        </w:rPr>
        <w:t>C</w:t>
      </w:r>
      <w:r w:rsidRPr="007C748A">
        <w:rPr>
          <w:rFonts w:ascii="Verdana" w:eastAsia="Times New Roman" w:hAnsi="Verdana" w:cs="Arial"/>
          <w:bCs/>
          <w:sz w:val="20"/>
          <w:szCs w:val="20"/>
          <w:lang w:val="es-MX" w:eastAsia="x-none"/>
        </w:rPr>
        <w:t>onforme al artículo 69 superior y el artículo 40 de la Ley 489 de 1993, los entes universitarios no son entidades que hagan parte de la rama ejecutiva, ni pueden, por tanto, considerarse entidades descentralizadas, sino que gozan de un régimen especial. Si bien son entes del Estado, tampoco encuadran en el concepto de entidad territorial en los términos del artículo 286 de la Constitución Política de 1991. Por tanto, como el parágrafo del artículo 38 de la Ley de Garantías Electorales restringe la celebración de convenios interadministrativos por entidades estatales del orden territorial y descentralizado, la prohibición no es aplicable a las universidades públicas, debido a que, en virtud de su atributo constitucional de autonomía, no son ni pueden asimilarse a las entidades públicas que expresamente contempla la norma.</w:t>
      </w:r>
    </w:p>
    <w:p w14:paraId="0FA0158F" w14:textId="77777777" w:rsidR="00437377" w:rsidRDefault="00437377" w:rsidP="00437377">
      <w:pPr>
        <w:spacing w:after="0" w:line="240" w:lineRule="auto"/>
        <w:jc w:val="both"/>
        <w:rPr>
          <w:rFonts w:ascii="Verdana" w:eastAsia="Geomanist Light" w:hAnsi="Verdana" w:cs="Arial"/>
          <w:color w:val="000000" w:themeColor="text1"/>
          <w:lang w:val="es-MX"/>
        </w:rPr>
      </w:pPr>
    </w:p>
    <w:p w14:paraId="0B67CE7E" w14:textId="77777777" w:rsidR="00437377" w:rsidRDefault="00437377" w:rsidP="00437377">
      <w:pPr>
        <w:spacing w:after="0" w:line="240" w:lineRule="auto"/>
        <w:jc w:val="both"/>
        <w:rPr>
          <w:rFonts w:ascii="Verdana" w:eastAsia="Geomanist Light" w:hAnsi="Verdana" w:cs="Arial"/>
          <w:color w:val="000000" w:themeColor="text1"/>
          <w:lang w:val="es-MX"/>
        </w:rPr>
      </w:pPr>
    </w:p>
    <w:p w14:paraId="28696C73" w14:textId="77777777" w:rsidR="00437377" w:rsidRDefault="00437377" w:rsidP="00437377">
      <w:pPr>
        <w:spacing w:after="0" w:line="240" w:lineRule="auto"/>
        <w:jc w:val="both"/>
        <w:rPr>
          <w:rFonts w:ascii="Verdana" w:eastAsia="Geomanist Light" w:hAnsi="Verdana" w:cs="Arial"/>
          <w:color w:val="000000" w:themeColor="text1"/>
          <w:lang w:val="es-MX"/>
        </w:rPr>
      </w:pPr>
    </w:p>
    <w:p w14:paraId="6F7245DA" w14:textId="77777777" w:rsidR="00437377" w:rsidRDefault="00437377" w:rsidP="00437377">
      <w:pPr>
        <w:spacing w:after="0" w:line="240" w:lineRule="auto"/>
        <w:jc w:val="both"/>
        <w:rPr>
          <w:rFonts w:ascii="Verdana" w:eastAsia="Geomanist Light" w:hAnsi="Verdana" w:cs="Arial"/>
          <w:color w:val="000000" w:themeColor="text1"/>
          <w:lang w:val="es-MX"/>
        </w:rPr>
      </w:pPr>
    </w:p>
    <w:p w14:paraId="0DEEA061" w14:textId="77777777" w:rsidR="00437377" w:rsidRDefault="00437377" w:rsidP="00437377">
      <w:pPr>
        <w:spacing w:after="0" w:line="240" w:lineRule="auto"/>
        <w:jc w:val="both"/>
        <w:rPr>
          <w:rFonts w:ascii="Verdana" w:eastAsia="Geomanist Light" w:hAnsi="Verdana" w:cs="Arial"/>
          <w:color w:val="000000" w:themeColor="text1"/>
          <w:lang w:val="es-MX"/>
        </w:rPr>
      </w:pPr>
    </w:p>
    <w:p w14:paraId="168B572C" w14:textId="77777777" w:rsidR="00437377" w:rsidRDefault="00437377" w:rsidP="00437377">
      <w:pPr>
        <w:spacing w:after="0" w:line="240" w:lineRule="auto"/>
        <w:jc w:val="both"/>
        <w:rPr>
          <w:rFonts w:ascii="Verdana" w:eastAsia="Geomanist Light" w:hAnsi="Verdana" w:cs="Arial"/>
          <w:color w:val="000000" w:themeColor="text1"/>
          <w:lang w:val="es-MX"/>
        </w:rPr>
      </w:pPr>
    </w:p>
    <w:p w14:paraId="7A9BF3B8" w14:textId="77777777" w:rsidR="00437377" w:rsidRDefault="00437377" w:rsidP="00437377">
      <w:pPr>
        <w:spacing w:after="0" w:line="240" w:lineRule="auto"/>
        <w:jc w:val="both"/>
        <w:rPr>
          <w:rFonts w:ascii="Verdana" w:eastAsia="Geomanist Light" w:hAnsi="Verdana" w:cs="Arial"/>
          <w:color w:val="000000" w:themeColor="text1"/>
          <w:lang w:val="es-MX"/>
        </w:rPr>
      </w:pPr>
    </w:p>
    <w:p w14:paraId="4BE1D7A6" w14:textId="77777777" w:rsidR="00437377" w:rsidRDefault="00437377" w:rsidP="00437377">
      <w:pPr>
        <w:spacing w:after="0" w:line="240" w:lineRule="auto"/>
        <w:jc w:val="both"/>
        <w:rPr>
          <w:rFonts w:ascii="Verdana" w:eastAsia="Geomanist Light" w:hAnsi="Verdana" w:cs="Arial"/>
          <w:color w:val="000000" w:themeColor="text1"/>
          <w:lang w:val="es-MX"/>
        </w:rPr>
      </w:pPr>
    </w:p>
    <w:p w14:paraId="321AD43F" w14:textId="77777777" w:rsidR="00437377" w:rsidRDefault="00437377" w:rsidP="00437377">
      <w:pPr>
        <w:spacing w:after="0" w:line="240" w:lineRule="auto"/>
        <w:jc w:val="both"/>
        <w:rPr>
          <w:rFonts w:ascii="Verdana" w:eastAsia="Geomanist Light" w:hAnsi="Verdana" w:cs="Arial"/>
          <w:color w:val="000000" w:themeColor="text1"/>
          <w:lang w:val="es-MX"/>
        </w:rPr>
      </w:pPr>
    </w:p>
    <w:p w14:paraId="4A4D3FAA" w14:textId="77777777" w:rsidR="00437377" w:rsidRDefault="00437377" w:rsidP="00437377">
      <w:pPr>
        <w:spacing w:after="0" w:line="240" w:lineRule="auto"/>
        <w:jc w:val="both"/>
        <w:rPr>
          <w:rFonts w:ascii="Verdana" w:eastAsia="Geomanist Light" w:hAnsi="Verdana" w:cs="Arial"/>
          <w:color w:val="000000" w:themeColor="text1"/>
          <w:lang w:val="es-MX"/>
        </w:rPr>
      </w:pPr>
    </w:p>
    <w:p w14:paraId="1090413D" w14:textId="77777777" w:rsidR="00437377" w:rsidRDefault="00437377" w:rsidP="00437377">
      <w:pPr>
        <w:spacing w:after="0" w:line="240" w:lineRule="auto"/>
        <w:jc w:val="both"/>
        <w:rPr>
          <w:rFonts w:ascii="Verdana" w:eastAsia="Geomanist Light" w:hAnsi="Verdana" w:cs="Arial"/>
          <w:color w:val="000000" w:themeColor="text1"/>
          <w:lang w:val="es-MX"/>
        </w:rPr>
      </w:pPr>
    </w:p>
    <w:p w14:paraId="0DAB7FDE" w14:textId="77777777" w:rsidR="00437377" w:rsidRDefault="00437377" w:rsidP="00D53F94">
      <w:pPr>
        <w:spacing w:after="0" w:line="240" w:lineRule="auto"/>
        <w:jc w:val="both"/>
        <w:rPr>
          <w:rFonts w:ascii="Verdana" w:eastAsia="Geomanist Light" w:hAnsi="Verdana" w:cs="Arial"/>
          <w:color w:val="000000" w:themeColor="text1"/>
          <w:lang w:val="es-MX"/>
        </w:rPr>
      </w:pPr>
    </w:p>
    <w:p w14:paraId="7846A1C0" w14:textId="32F21F67" w:rsidR="00D53F94" w:rsidRPr="009C7241" w:rsidRDefault="00D53F94" w:rsidP="00D53F94">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4B7D74" w:rsidRPr="004B7D74">
        <w:rPr>
          <w:rFonts w:ascii="Verdana" w:eastAsia="Geomanist Light" w:hAnsi="Verdana" w:cs="Arial"/>
          <w:color w:val="000000" w:themeColor="text1"/>
          <w:lang w:val="es-MX"/>
        </w:rPr>
        <w:t>05 de Diciembre de 2025</w:t>
      </w:r>
    </w:p>
    <w:p w14:paraId="48B83FCE" w14:textId="77777777" w:rsidR="00D53F94" w:rsidRDefault="00D53F94" w:rsidP="00D53F94">
      <w:pPr>
        <w:spacing w:after="0" w:line="240" w:lineRule="auto"/>
        <w:jc w:val="both"/>
        <w:rPr>
          <w:rFonts w:ascii="Verdana" w:eastAsia="Calibri" w:hAnsi="Verdana" w:cs="Arial"/>
          <w:color w:val="000000"/>
          <w:lang w:val="es-ES"/>
        </w:rPr>
      </w:pPr>
    </w:p>
    <w:p w14:paraId="5F74A1D1" w14:textId="125F6965" w:rsidR="00D53F94" w:rsidRDefault="007D3968" w:rsidP="007D3968">
      <w:pPr>
        <w:spacing w:after="0" w:line="240" w:lineRule="auto"/>
        <w:jc w:val="right"/>
        <w:rPr>
          <w:rFonts w:ascii="Verdana" w:eastAsia="Calibri" w:hAnsi="Verdana" w:cs="Arial"/>
          <w:color w:val="000000"/>
          <w:lang w:val="es-ES"/>
        </w:rPr>
      </w:pPr>
      <w:r w:rsidRPr="007D3968">
        <w:rPr>
          <w:rFonts w:ascii="Verdana" w:eastAsia="Calibri" w:hAnsi="Verdana" w:cs="Arial"/>
          <w:noProof/>
          <w:color w:val="000000"/>
          <w:lang w:val="es-ES"/>
        </w:rPr>
        <w:drawing>
          <wp:inline distT="0" distB="0" distL="0" distR="0" wp14:anchorId="715AFA91" wp14:editId="061171B0">
            <wp:extent cx="2706915" cy="757434"/>
            <wp:effectExtent l="0" t="0" r="0" b="5080"/>
            <wp:docPr id="20813076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307690" name=""/>
                    <pic:cNvPicPr/>
                  </pic:nvPicPr>
                  <pic:blipFill>
                    <a:blip r:embed="rId10"/>
                    <a:stretch>
                      <a:fillRect/>
                    </a:stretch>
                  </pic:blipFill>
                  <pic:spPr>
                    <a:xfrm>
                      <a:off x="0" y="0"/>
                      <a:ext cx="2788113" cy="780154"/>
                    </a:xfrm>
                    <a:prstGeom prst="rect">
                      <a:avLst/>
                    </a:prstGeom>
                  </pic:spPr>
                </pic:pic>
              </a:graphicData>
            </a:graphic>
          </wp:inline>
        </w:drawing>
      </w:r>
    </w:p>
    <w:p w14:paraId="2D736E4F" w14:textId="77777777" w:rsidR="004B7D74" w:rsidRPr="00593A5F" w:rsidRDefault="004B7D74" w:rsidP="00D53F94">
      <w:pPr>
        <w:spacing w:after="0" w:line="240" w:lineRule="auto"/>
        <w:jc w:val="both"/>
        <w:rPr>
          <w:rFonts w:ascii="Verdana" w:eastAsia="Calibri" w:hAnsi="Verdana" w:cs="Arial"/>
          <w:color w:val="000000"/>
          <w:lang w:val="es-ES"/>
        </w:rPr>
      </w:pPr>
    </w:p>
    <w:p w14:paraId="1870C2EB" w14:textId="77777777" w:rsidR="00D53F94" w:rsidRPr="000C555D" w:rsidRDefault="00D53F94" w:rsidP="00D53F94">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38F26BBE" w14:textId="77777777" w:rsidR="00D53F94" w:rsidRDefault="00D53F94" w:rsidP="00D53F94">
      <w:pPr>
        <w:spacing w:after="0" w:line="240" w:lineRule="auto"/>
        <w:rPr>
          <w:rFonts w:ascii="Verdana" w:eastAsia="Calibri" w:hAnsi="Verdana" w:cs="Arial"/>
          <w:b/>
          <w:lang w:val="es-ES" w:eastAsia="es-ES"/>
        </w:rPr>
      </w:pPr>
      <w:r w:rsidRPr="00604DF8">
        <w:rPr>
          <w:rFonts w:ascii="Verdana" w:eastAsia="Calibri" w:hAnsi="Verdana" w:cs="Arial"/>
          <w:b/>
          <w:lang w:val="es-ES" w:eastAsia="es-ES"/>
        </w:rPr>
        <w:t>María Camila Pardo Reyes</w:t>
      </w:r>
    </w:p>
    <w:p w14:paraId="471C1E9B" w14:textId="77777777" w:rsidR="00D53F94" w:rsidRPr="00604DF8" w:rsidRDefault="00D53F94" w:rsidP="00D53F94">
      <w:pPr>
        <w:spacing w:after="0" w:line="240" w:lineRule="auto"/>
        <w:rPr>
          <w:rFonts w:ascii="Verdana" w:eastAsia="Calibri" w:hAnsi="Verdana" w:cs="Arial"/>
          <w:lang w:val="es-ES" w:eastAsia="es-ES"/>
        </w:rPr>
      </w:pPr>
      <w:hyperlink r:id="rId11" w:history="1">
        <w:r w:rsidRPr="00387A9F">
          <w:rPr>
            <w:rStyle w:val="Hipervnculo"/>
            <w:rFonts w:ascii="Verdana" w:hAnsi="Verdana"/>
          </w:rPr>
          <w:t>notificacionespqrs@cnmh.gov.co</w:t>
        </w:r>
      </w:hyperlink>
      <w:r>
        <w:rPr>
          <w:rFonts w:ascii="Verdana" w:hAnsi="Verdana"/>
        </w:rPr>
        <w:t xml:space="preserve"> </w:t>
      </w:r>
      <w:r w:rsidRPr="00604DF8">
        <w:rPr>
          <w:rFonts w:ascii="Verdana" w:hAnsi="Verdana"/>
        </w:rPr>
        <w:t xml:space="preserve">  </w:t>
      </w:r>
      <w:r w:rsidRPr="00604DF8">
        <w:rPr>
          <w:rFonts w:ascii="Verdana" w:eastAsia="Calibri" w:hAnsi="Verdana" w:cs="Arial"/>
          <w:lang w:val="es-ES" w:eastAsia="es-ES"/>
        </w:rPr>
        <w:t xml:space="preserve">  </w:t>
      </w:r>
    </w:p>
    <w:p w14:paraId="1CCEFE32" w14:textId="77777777" w:rsidR="00D53F94" w:rsidRDefault="00D53F94" w:rsidP="00D53F94">
      <w:pPr>
        <w:spacing w:after="0" w:line="240" w:lineRule="auto"/>
        <w:rPr>
          <w:rFonts w:ascii="Verdana" w:eastAsia="Calibri" w:hAnsi="Verdana" w:cs="Arial"/>
          <w:lang w:val="es-ES" w:eastAsia="es-ES"/>
        </w:rPr>
      </w:pPr>
      <w:r w:rsidRPr="00867D8E">
        <w:rPr>
          <w:rFonts w:ascii="Verdana" w:eastAsia="Calibri" w:hAnsi="Verdana" w:cs="Arial"/>
          <w:lang w:val="es-ES" w:eastAsia="es-ES"/>
        </w:rPr>
        <w:t>Bogotá D.C.</w:t>
      </w:r>
      <w:r>
        <w:rPr>
          <w:rFonts w:ascii="Verdana" w:eastAsia="Calibri" w:hAnsi="Verdana" w:cs="Arial"/>
          <w:lang w:val="es-ES" w:eastAsia="es-ES"/>
        </w:rPr>
        <w:t xml:space="preserve"> </w:t>
      </w:r>
    </w:p>
    <w:p w14:paraId="4BFA8E7E" w14:textId="77777777" w:rsidR="00D53F94" w:rsidRPr="00593A5F" w:rsidRDefault="00D53F94" w:rsidP="00D53F94">
      <w:pPr>
        <w:spacing w:after="0" w:line="240" w:lineRule="auto"/>
        <w:rPr>
          <w:rFonts w:ascii="Verdana" w:eastAsia="Calibri" w:hAnsi="Verdana" w:cs="Arial"/>
          <w:b/>
          <w:bCs/>
          <w:color w:val="000000"/>
          <w:lang w:val="es-ES_tradnl" w:eastAsia="es-ES_tradnl"/>
        </w:rPr>
      </w:pPr>
    </w:p>
    <w:p w14:paraId="663958CE" w14:textId="77777777" w:rsidR="00D53F94" w:rsidRPr="00593A5F" w:rsidRDefault="00D53F94" w:rsidP="00D53F9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53F94" w:rsidRPr="00593A5F" w14:paraId="7A138F21" w14:textId="77777777" w:rsidTr="00A40E60">
        <w:trPr>
          <w:trHeight w:val="884"/>
        </w:trPr>
        <w:tc>
          <w:tcPr>
            <w:tcW w:w="2689" w:type="dxa"/>
          </w:tcPr>
          <w:p w14:paraId="4110B94B" w14:textId="77777777" w:rsidR="00D53F94" w:rsidRPr="00C00976" w:rsidRDefault="00D53F94" w:rsidP="00A40E60">
            <w:pPr>
              <w:jc w:val="both"/>
              <w:rPr>
                <w:rFonts w:ascii="Verdana" w:eastAsia="Calibri" w:hAnsi="Verdana" w:cs="Arial"/>
                <w:b/>
                <w:bCs/>
                <w:color w:val="7030A0"/>
                <w:lang w:val="es-ES_tradnl" w:eastAsia="es-ES_tradnl"/>
              </w:rPr>
            </w:pPr>
          </w:p>
        </w:tc>
        <w:tc>
          <w:tcPr>
            <w:tcW w:w="6100" w:type="dxa"/>
          </w:tcPr>
          <w:p w14:paraId="39A13FA6" w14:textId="67881CED" w:rsidR="00D53F94" w:rsidRPr="00C00976" w:rsidRDefault="00D53F94" w:rsidP="00A40E6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E90AC3" w:rsidRPr="00C958D1">
              <w:rPr>
                <w:rFonts w:ascii="Verdana" w:eastAsia="Calibri" w:hAnsi="Verdana" w:cs="Arial"/>
                <w:b/>
                <w:bCs/>
                <w:lang w:val="es-ES" w:eastAsia="es-ES"/>
              </w:rPr>
              <w:t>1773</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D53F94" w:rsidRPr="00593A5F" w14:paraId="747A94CA" w14:textId="77777777" w:rsidTr="00A40E60">
        <w:trPr>
          <w:trHeight w:val="884"/>
        </w:trPr>
        <w:tc>
          <w:tcPr>
            <w:tcW w:w="2689" w:type="dxa"/>
          </w:tcPr>
          <w:p w14:paraId="5B66DE4C" w14:textId="77777777" w:rsidR="00D53F94" w:rsidRPr="00593A5F" w:rsidRDefault="00D53F94" w:rsidP="00A40E6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46AE673" w14:textId="6372CA7A" w:rsidR="00D53F94" w:rsidRPr="00A11406" w:rsidRDefault="00D53F94" w:rsidP="00A40E60">
            <w:pPr>
              <w:spacing w:line="276" w:lineRule="auto"/>
              <w:jc w:val="both"/>
              <w:rPr>
                <w:rFonts w:ascii="Verdana" w:eastAsia="Calibri" w:hAnsi="Verdana" w:cs="Arial"/>
                <w:lang w:val="es-ES" w:eastAsia="es-ES"/>
              </w:rPr>
            </w:pPr>
            <w:r w:rsidRPr="00177E85">
              <w:rPr>
                <w:rFonts w:ascii="Verdana" w:eastAsia="Calibri" w:hAnsi="Verdana" w:cs="Arial"/>
                <w:lang w:val="es-ES" w:eastAsia="es-ES"/>
              </w:rPr>
              <w:t xml:space="preserve">LEY DE GARANTÍAS ELECTORALES ‒ Finalidad / LEY DE GARANTÍAS ELECTORALES ‒ Tipos de restricciones ‒ Ámbito temporal – </w:t>
            </w:r>
            <w:r w:rsidR="00B8150B">
              <w:rPr>
                <w:rFonts w:ascii="Verdana" w:eastAsia="Calibri" w:hAnsi="Verdana" w:cs="Arial"/>
                <w:lang w:val="es-ES" w:eastAsia="es-ES"/>
              </w:rPr>
              <w:t>C</w:t>
            </w:r>
            <w:r w:rsidRPr="00177E85">
              <w:rPr>
                <w:rFonts w:ascii="Verdana" w:eastAsia="Calibri" w:hAnsi="Verdana" w:cs="Arial"/>
                <w:lang w:val="es-ES" w:eastAsia="es-ES"/>
              </w:rPr>
              <w:t xml:space="preserve">elebración- </w:t>
            </w:r>
            <w:r w:rsidR="00B8150B">
              <w:rPr>
                <w:rFonts w:ascii="Verdana" w:eastAsia="Calibri" w:hAnsi="Verdana" w:cs="Arial"/>
                <w:lang w:val="es-ES" w:eastAsia="es-ES"/>
              </w:rPr>
              <w:t>L</w:t>
            </w:r>
            <w:r w:rsidRPr="00177E85">
              <w:rPr>
                <w:rFonts w:ascii="Verdana" w:eastAsia="Calibri" w:hAnsi="Verdana" w:cs="Arial"/>
                <w:lang w:val="es-ES" w:eastAsia="es-ES"/>
              </w:rPr>
              <w:t xml:space="preserve">ímite / </w:t>
            </w:r>
            <w:r w:rsidRPr="007C748A">
              <w:rPr>
                <w:rFonts w:ascii="Verdana" w:eastAsia="Calibri" w:hAnsi="Verdana" w:cs="Arial"/>
                <w:lang w:val="es-ES" w:eastAsia="es-ES"/>
              </w:rPr>
              <w:t>LEY DE GARANTÍAS ELECTORALES – Prohibición artículo 38 – Convenios interadministrativos – Ejecución de recursos públicos</w:t>
            </w:r>
            <w:r>
              <w:rPr>
                <w:rFonts w:ascii="Verdana" w:eastAsia="Calibri" w:hAnsi="Verdana" w:cs="Arial"/>
                <w:lang w:val="es-ES" w:eastAsia="es-ES"/>
              </w:rPr>
              <w:t xml:space="preserve"> / </w:t>
            </w:r>
            <w:r w:rsidRPr="007C748A">
              <w:rPr>
                <w:rFonts w:ascii="Verdana" w:eastAsia="Calibri" w:hAnsi="Verdana" w:cs="Arial"/>
                <w:lang w:val="es-ES" w:eastAsia="es-ES"/>
              </w:rPr>
              <w:t>LEY DE GARANTÍAS ELECTORALES – Entes universitarios autónomos – Ausencia de restricción</w:t>
            </w:r>
          </w:p>
          <w:p w14:paraId="64177F46" w14:textId="77777777" w:rsidR="00D53F94" w:rsidRPr="00593A5F" w:rsidRDefault="00D53F94" w:rsidP="00A40E6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53F94" w:rsidRPr="008E6AD9" w14:paraId="5E7D6EBA" w14:textId="77777777" w:rsidTr="00A40E60">
        <w:tc>
          <w:tcPr>
            <w:tcW w:w="2689" w:type="dxa"/>
          </w:tcPr>
          <w:p w14:paraId="1DAB0CF6" w14:textId="77777777" w:rsidR="00D53F94" w:rsidRPr="008E6AD9" w:rsidRDefault="00D53F94" w:rsidP="00A40E6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61CEB58" w14:textId="03B020F8" w:rsidR="00D53F94" w:rsidRPr="00B92340" w:rsidRDefault="00D53F94" w:rsidP="00A40E6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sidR="00597A19">
              <w:rPr>
                <w:rFonts w:ascii="Verdana" w:eastAsia="Calibri" w:hAnsi="Verdana" w:cs="Arial"/>
                <w:lang w:val="es-ES_tradnl" w:eastAsia="es-ES_tradnl"/>
              </w:rPr>
              <w:t>s</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2A5186">
              <w:rPr>
                <w:rFonts w:ascii="Verdana" w:eastAsia="Calibri" w:hAnsi="Verdana" w:cs="Arial"/>
                <w:lang w:val="es-ES_tradnl" w:eastAsia="es-ES_tradnl"/>
              </w:rPr>
              <w:t>1_2025_11_28_013465</w:t>
            </w:r>
            <w:r w:rsidRPr="008E6AD9">
              <w:rPr>
                <w:rFonts w:ascii="Verdana" w:eastAsia="Calibri" w:hAnsi="Verdana" w:cs="Arial"/>
                <w:lang w:val="es-ES_tradnl" w:eastAsia="es-ES_tradnl"/>
              </w:rPr>
              <w:t xml:space="preserve"> </w:t>
            </w:r>
            <w:r w:rsidR="00597A19">
              <w:rPr>
                <w:rFonts w:ascii="Verdana" w:eastAsia="Calibri" w:hAnsi="Verdana" w:cs="Arial"/>
                <w:lang w:val="es-ES_tradnl" w:eastAsia="es-ES_tradnl"/>
              </w:rPr>
              <w:t xml:space="preserve">y </w:t>
            </w:r>
            <w:r w:rsidR="003318AB" w:rsidRPr="003318AB">
              <w:rPr>
                <w:rFonts w:ascii="Verdana" w:eastAsia="Calibri" w:hAnsi="Verdana" w:cs="Arial"/>
                <w:lang w:val="es-ES_tradnl" w:eastAsia="es-ES_tradnl"/>
              </w:rPr>
              <w:t>1_2025_12_02_013570</w:t>
            </w:r>
            <w:r w:rsidR="003318AB">
              <w:rPr>
                <w:rFonts w:ascii="Verdana" w:eastAsia="Calibri" w:hAnsi="Verdana" w:cs="Arial"/>
                <w:lang w:val="es-ES_tradnl" w:eastAsia="es-ES_tradnl"/>
              </w:rPr>
              <w:t xml:space="preserve">       –Acumulados–</w:t>
            </w:r>
            <w:r>
              <w:rPr>
                <w:rFonts w:ascii="Verdana" w:eastAsia="Calibri" w:hAnsi="Verdana" w:cs="Arial"/>
                <w:lang w:val="es-ES_tradnl" w:eastAsia="es-ES_tradnl"/>
              </w:rPr>
              <w:t xml:space="preserve">                                   </w:t>
            </w:r>
          </w:p>
        </w:tc>
      </w:tr>
    </w:tbl>
    <w:p w14:paraId="0D0DB4A8" w14:textId="77777777" w:rsidR="00D53F94" w:rsidRPr="00593A5F" w:rsidRDefault="00D53F94" w:rsidP="00D53F94">
      <w:pPr>
        <w:spacing w:after="0" w:line="240" w:lineRule="auto"/>
        <w:jc w:val="both"/>
        <w:rPr>
          <w:rFonts w:ascii="Verdana" w:eastAsia="Calibri" w:hAnsi="Verdana" w:cs="Arial"/>
          <w:color w:val="000000"/>
          <w:lang w:val="es-ES_tradnl" w:eastAsia="es-ES_tradnl"/>
        </w:rPr>
      </w:pPr>
    </w:p>
    <w:p w14:paraId="61D857C3" w14:textId="77777777" w:rsidR="00D53F94" w:rsidRPr="00593A5F" w:rsidRDefault="00D53F94" w:rsidP="00D53F94">
      <w:pPr>
        <w:spacing w:after="0" w:line="240" w:lineRule="auto"/>
        <w:jc w:val="both"/>
        <w:rPr>
          <w:rFonts w:ascii="Verdana" w:eastAsia="Calibri" w:hAnsi="Verdana" w:cs="Arial"/>
          <w:color w:val="000000"/>
          <w:lang w:val="es-ES_tradnl" w:eastAsia="es-ES_tradnl"/>
        </w:rPr>
      </w:pPr>
    </w:p>
    <w:p w14:paraId="43ABBFA9" w14:textId="77777777" w:rsidR="00D53F94" w:rsidRPr="008E6AD9" w:rsidRDefault="00D53F94" w:rsidP="00D53F9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604DF8">
        <w:rPr>
          <w:rFonts w:ascii="Verdana" w:eastAsia="Calibri" w:hAnsi="Verdana" w:cs="Arial"/>
          <w:lang w:val="es-ES" w:eastAsia="es-ES"/>
        </w:rPr>
        <w:t>Pardo Reyes</w:t>
      </w:r>
      <w:r w:rsidRPr="008E6AD9">
        <w:rPr>
          <w:rFonts w:ascii="Verdana" w:eastAsia="Calibri" w:hAnsi="Verdana" w:cs="Arial"/>
          <w:lang w:val="es-ES" w:eastAsia="es-ES"/>
        </w:rPr>
        <w:t xml:space="preserve">: </w:t>
      </w:r>
    </w:p>
    <w:p w14:paraId="2EE49ED9" w14:textId="77777777" w:rsidR="00D53F94" w:rsidRDefault="00D53F94" w:rsidP="00D53F9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3AEA641" w14:textId="2AD77F89" w:rsidR="00D53F94" w:rsidRPr="00593A5F" w:rsidRDefault="00D53F94" w:rsidP="00D53F94">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28 de noviembre</w:t>
      </w:r>
      <w:r w:rsidR="00A86E5C">
        <w:rPr>
          <w:rFonts w:ascii="Verdana" w:eastAsia="Calibri" w:hAnsi="Verdana" w:cs="Arial"/>
          <w:lang w:val="es-ES" w:eastAsia="es-ES"/>
        </w:rPr>
        <w:t xml:space="preserve"> y 2 de diciembre</w:t>
      </w:r>
      <w:r>
        <w:rPr>
          <w:rFonts w:ascii="Verdana" w:eastAsia="Calibri" w:hAnsi="Verdana" w:cs="Arial"/>
          <w:lang w:val="es-ES" w:eastAsia="es-ES"/>
        </w:rPr>
        <w:t xml:space="preserve"> de 2025, en la</w:t>
      </w:r>
      <w:r w:rsidR="00A86E5C">
        <w:rPr>
          <w:rFonts w:ascii="Verdana" w:eastAsia="Calibri" w:hAnsi="Verdana" w:cs="Arial"/>
          <w:lang w:val="es-ES" w:eastAsia="es-ES"/>
        </w:rPr>
        <w:t>s</w:t>
      </w:r>
      <w:r>
        <w:rPr>
          <w:rFonts w:ascii="Verdana" w:eastAsia="Calibri" w:hAnsi="Verdana" w:cs="Arial"/>
          <w:lang w:val="es-ES" w:eastAsia="es-ES"/>
        </w:rPr>
        <w:t xml:space="preserve"> cual</w:t>
      </w:r>
      <w:r w:rsidR="00A86E5C">
        <w:rPr>
          <w:rFonts w:ascii="Verdana" w:eastAsia="Calibri" w:hAnsi="Verdana" w:cs="Arial"/>
          <w:lang w:val="es-ES" w:eastAsia="es-ES"/>
        </w:rPr>
        <w:t>es</w:t>
      </w:r>
      <w:r>
        <w:rPr>
          <w:rFonts w:ascii="Verdana" w:eastAsia="Calibri" w:hAnsi="Verdana" w:cs="Arial"/>
          <w:lang w:val="es-ES" w:eastAsia="es-ES"/>
        </w:rPr>
        <w:t xml:space="preserve"> manifiesta que:</w:t>
      </w:r>
      <w:r w:rsidRPr="008E6AD9">
        <w:rPr>
          <w:rFonts w:ascii="Verdana" w:eastAsia="Calibri" w:hAnsi="Verdana" w:cs="Arial"/>
          <w:lang w:val="es-ES" w:eastAsia="es-ES"/>
        </w:rPr>
        <w:t xml:space="preserve"> </w:t>
      </w:r>
    </w:p>
    <w:p w14:paraId="2E2CC0AA" w14:textId="77777777" w:rsidR="00D53F94" w:rsidRPr="00272A7B" w:rsidRDefault="00D53F94" w:rsidP="00D53F94">
      <w:pPr>
        <w:pStyle w:val="Prrafodelista"/>
        <w:tabs>
          <w:tab w:val="left" w:pos="142"/>
          <w:tab w:val="left" w:pos="284"/>
        </w:tabs>
        <w:spacing w:after="0" w:line="276" w:lineRule="auto"/>
        <w:ind w:left="0"/>
        <w:jc w:val="both"/>
        <w:rPr>
          <w:rFonts w:ascii="Verdana" w:eastAsia="Century Gothic" w:hAnsi="Verdana" w:cs="Century Gothic"/>
          <w:b/>
          <w:bCs/>
        </w:rPr>
      </w:pPr>
    </w:p>
    <w:p w14:paraId="05E80451" w14:textId="77777777" w:rsidR="00D53F94" w:rsidRPr="00604DF8" w:rsidRDefault="00D53F94" w:rsidP="00D53F94">
      <w:pPr>
        <w:spacing w:after="120" w:line="240" w:lineRule="auto"/>
        <w:ind w:left="709" w:right="709"/>
        <w:jc w:val="both"/>
        <w:rPr>
          <w:rFonts w:ascii="Verdana" w:eastAsia="Century Gothic" w:hAnsi="Verdana" w:cs="Century Gothic"/>
          <w:sz w:val="20"/>
          <w:szCs w:val="20"/>
          <w:lang w:val="es-ES"/>
        </w:rPr>
      </w:pPr>
      <w:bookmarkStart w:id="0" w:name="_Hlk95313578"/>
      <w:r w:rsidRPr="00D10E3B">
        <w:rPr>
          <w:rFonts w:ascii="Verdana" w:eastAsia="Century Gothic" w:hAnsi="Verdana" w:cs="Century Gothic"/>
          <w:sz w:val="20"/>
          <w:szCs w:val="20"/>
          <w:lang w:val="es-ES"/>
        </w:rPr>
        <w:lastRenderedPageBreak/>
        <w:t>“</w:t>
      </w:r>
      <w:bookmarkEnd w:id="0"/>
      <w:r w:rsidRPr="00604DF8">
        <w:rPr>
          <w:rFonts w:ascii="Verdana" w:eastAsia="Century Gothic" w:hAnsi="Verdana" w:cs="Century Gothic"/>
          <w:sz w:val="20"/>
          <w:szCs w:val="20"/>
          <w:lang w:val="es-ES"/>
        </w:rPr>
        <w:t>Desde el Centro Nacional de Memoria Histórica – CNMH, nos permitimos solicitar de manera atenta concepto jurídico respecto al alcance de la restricción prevista en el parágrafo del artículo 38 de la Ley 996 de 2005, particularmente en lo relacionado con la prohibición establecida para los Gobernadores, Alcaldes Municipales y/o Distritales, Secretarios, Gerentes y Directores de Entidades Descentralizadas del orden Municipal, Departamental o Distrital quienes no pueden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en las que participen los candidatos a cargos de elección popular, dentro de los cuatro (4) meses anteriores a la celebración de cualquier proceso electoral.</w:t>
      </w:r>
    </w:p>
    <w:p w14:paraId="30FA40A3" w14:textId="77777777" w:rsidR="00D53F94" w:rsidRDefault="00D53F94" w:rsidP="00D53F94">
      <w:pPr>
        <w:spacing w:after="120" w:line="240" w:lineRule="auto"/>
        <w:ind w:left="709" w:right="709"/>
        <w:jc w:val="both"/>
        <w:rPr>
          <w:rFonts w:ascii="Verdana" w:eastAsia="Century Gothic" w:hAnsi="Verdana" w:cs="Century Gothic"/>
          <w:sz w:val="20"/>
          <w:szCs w:val="20"/>
          <w:lang w:val="es-ES"/>
        </w:rPr>
      </w:pPr>
      <w:r w:rsidRPr="00604DF8">
        <w:rPr>
          <w:rFonts w:ascii="Verdana" w:eastAsia="Century Gothic" w:hAnsi="Verdana" w:cs="Century Gothic"/>
          <w:sz w:val="20"/>
          <w:szCs w:val="20"/>
          <w:lang w:val="es-ES"/>
        </w:rPr>
        <w:t xml:space="preserve">Adicionalmente, debe considerarse que el parágrafo del artículo 38 extiende expresamente la restricción no solo a los Gobernadores y </w:t>
      </w:r>
      <w:proofErr w:type="gramStart"/>
      <w:r w:rsidRPr="00604DF8">
        <w:rPr>
          <w:rFonts w:ascii="Verdana" w:eastAsia="Century Gothic" w:hAnsi="Verdana" w:cs="Century Gothic"/>
          <w:sz w:val="20"/>
          <w:szCs w:val="20"/>
          <w:lang w:val="es-ES"/>
        </w:rPr>
        <w:t>Alcaldes</w:t>
      </w:r>
      <w:proofErr w:type="gramEnd"/>
      <w:r w:rsidRPr="00604DF8">
        <w:rPr>
          <w:rFonts w:ascii="Verdana" w:eastAsia="Century Gothic" w:hAnsi="Verdana" w:cs="Century Gothic"/>
          <w:sz w:val="20"/>
          <w:szCs w:val="20"/>
          <w:lang w:val="es-ES"/>
        </w:rPr>
        <w:t xml:space="preserve">, sino también a los </w:t>
      </w:r>
      <w:proofErr w:type="gramStart"/>
      <w:r w:rsidRPr="00604DF8">
        <w:rPr>
          <w:rFonts w:ascii="Verdana" w:eastAsia="Century Gothic" w:hAnsi="Verdana" w:cs="Century Gothic"/>
          <w:sz w:val="20"/>
          <w:szCs w:val="20"/>
          <w:lang w:val="es-ES"/>
        </w:rPr>
        <w:t>Secretarios</w:t>
      </w:r>
      <w:proofErr w:type="gramEnd"/>
      <w:r w:rsidRPr="00604DF8">
        <w:rPr>
          <w:rFonts w:ascii="Verdana" w:eastAsia="Century Gothic" w:hAnsi="Verdana" w:cs="Century Gothic"/>
          <w:sz w:val="20"/>
          <w:szCs w:val="20"/>
          <w:lang w:val="es-ES"/>
        </w:rPr>
        <w:t xml:space="preserve">, Gerentes y </w:t>
      </w:r>
      <w:proofErr w:type="gramStart"/>
      <w:r w:rsidRPr="00604DF8">
        <w:rPr>
          <w:rFonts w:ascii="Verdana" w:eastAsia="Century Gothic" w:hAnsi="Verdana" w:cs="Century Gothic"/>
          <w:sz w:val="20"/>
          <w:szCs w:val="20"/>
          <w:lang w:val="es-ES"/>
        </w:rPr>
        <w:t>Directores</w:t>
      </w:r>
      <w:proofErr w:type="gramEnd"/>
      <w:r w:rsidRPr="00604DF8">
        <w:rPr>
          <w:rFonts w:ascii="Verdana" w:eastAsia="Century Gothic" w:hAnsi="Verdana" w:cs="Century Gothic"/>
          <w:sz w:val="20"/>
          <w:szCs w:val="20"/>
          <w:lang w:val="es-ES"/>
        </w:rPr>
        <w:t xml:space="preserve"> de entidades descentralizadas del orden territorial. En este sentido, y conforme al Concepto C-1010 de 2025 de Colombia Compra Eficiente, los establecimientos públicos educativos territoriales, en su calidad de entidades descentralizadas de los órdenes departamental, municipal o distrital, tienen prohibido celebrar convenios interadministrativos que impliquen la destinación de recursos públicos durante los cuatro (4) meses previos a las elecciones.</w:t>
      </w:r>
    </w:p>
    <w:p w14:paraId="0B8E8350" w14:textId="77777777" w:rsidR="00D53F94" w:rsidRDefault="00D53F94" w:rsidP="00D53F94">
      <w:pPr>
        <w:spacing w:after="120" w:line="240" w:lineRule="auto"/>
        <w:ind w:left="709" w:right="709"/>
        <w:jc w:val="both"/>
        <w:rPr>
          <w:rFonts w:ascii="Verdana" w:eastAsia="Century Gothic" w:hAnsi="Verdana" w:cs="Century Gothic"/>
          <w:sz w:val="20"/>
          <w:szCs w:val="20"/>
        </w:rPr>
      </w:pPr>
      <w:r w:rsidRPr="00604DF8">
        <w:rPr>
          <w:rFonts w:ascii="Verdana" w:eastAsia="Century Gothic" w:hAnsi="Verdana" w:cs="Century Gothic"/>
          <w:sz w:val="20"/>
          <w:szCs w:val="20"/>
        </w:rPr>
        <w:t>El concepto solicitado tiene como propósito aclarar los siguientes interrogantes:</w:t>
      </w:r>
    </w:p>
    <w:p w14:paraId="75503C39" w14:textId="77777777" w:rsidR="00D53F94" w:rsidRPr="00604DF8" w:rsidRDefault="00D53F94" w:rsidP="00D53F94">
      <w:pPr>
        <w:pStyle w:val="Prrafodelista"/>
        <w:numPr>
          <w:ilvl w:val="0"/>
          <w:numId w:val="18"/>
        </w:numPr>
        <w:spacing w:after="120" w:line="240" w:lineRule="auto"/>
        <w:ind w:left="1134" w:right="709" w:hanging="425"/>
        <w:jc w:val="both"/>
        <w:rPr>
          <w:rFonts w:ascii="Verdana" w:eastAsia="Century Gothic" w:hAnsi="Verdana" w:cs="Century Gothic"/>
          <w:sz w:val="20"/>
          <w:szCs w:val="20"/>
        </w:rPr>
      </w:pPr>
      <w:r w:rsidRPr="00604DF8">
        <w:rPr>
          <w:rFonts w:ascii="Verdana" w:eastAsia="Century Gothic" w:hAnsi="Verdana" w:cs="Century Gothic"/>
          <w:sz w:val="20"/>
          <w:szCs w:val="20"/>
        </w:rPr>
        <w:t>¿Dicha restricción resulta aplicable para la suscripción de convenios interadministrativos con aportes en especie cuantificados en dinero?</w:t>
      </w:r>
    </w:p>
    <w:p w14:paraId="22233E56" w14:textId="77777777" w:rsidR="00D53F94" w:rsidRPr="00604DF8" w:rsidRDefault="00D53F94" w:rsidP="00D53F94">
      <w:pPr>
        <w:spacing w:after="120" w:line="240" w:lineRule="auto"/>
        <w:ind w:left="709" w:right="709"/>
        <w:jc w:val="both"/>
        <w:rPr>
          <w:rFonts w:ascii="Verdana" w:eastAsia="Century Gothic" w:hAnsi="Verdana" w:cs="Century Gothic"/>
          <w:sz w:val="20"/>
          <w:szCs w:val="20"/>
        </w:rPr>
      </w:pPr>
      <w:r w:rsidRPr="00604DF8">
        <w:rPr>
          <w:rFonts w:ascii="Verdana" w:eastAsia="Century Gothic" w:hAnsi="Verdana" w:cs="Century Gothic"/>
          <w:sz w:val="20"/>
          <w:szCs w:val="20"/>
        </w:rPr>
        <w:t>Si la respuesta al anterior interrogante es afirmativa, se consulta entonces:</w:t>
      </w:r>
    </w:p>
    <w:p w14:paraId="3D1B24D0" w14:textId="77777777" w:rsidR="00D53F94" w:rsidRPr="00604DF8" w:rsidRDefault="00D53F94" w:rsidP="00D53F94">
      <w:pPr>
        <w:pStyle w:val="Prrafodelista"/>
        <w:numPr>
          <w:ilvl w:val="0"/>
          <w:numId w:val="18"/>
        </w:numPr>
        <w:spacing w:after="120" w:line="240" w:lineRule="auto"/>
        <w:ind w:left="1134" w:right="709" w:hanging="425"/>
        <w:jc w:val="both"/>
        <w:rPr>
          <w:rFonts w:ascii="Verdana" w:eastAsia="Century Gothic" w:hAnsi="Verdana" w:cs="Century Gothic"/>
          <w:sz w:val="20"/>
          <w:szCs w:val="20"/>
        </w:rPr>
      </w:pPr>
      <w:r w:rsidRPr="00604DF8">
        <w:rPr>
          <w:rFonts w:ascii="Verdana" w:eastAsia="Century Gothic" w:hAnsi="Verdana" w:cs="Century Gothic"/>
          <w:sz w:val="20"/>
          <w:szCs w:val="20"/>
        </w:rPr>
        <w:t>¿Qué se entiende por entidades descentralizadas del orden territorial? ¿Están los entes universitarios autónomos del orden departamental incluidos en este tipo de entidades?</w:t>
      </w:r>
    </w:p>
    <w:p w14:paraId="5560028C" w14:textId="77777777" w:rsidR="00D53F94" w:rsidRPr="00604DF8" w:rsidRDefault="00D53F94" w:rsidP="00D53F94">
      <w:pPr>
        <w:pStyle w:val="Prrafodelista"/>
        <w:numPr>
          <w:ilvl w:val="0"/>
          <w:numId w:val="18"/>
        </w:numPr>
        <w:spacing w:after="120" w:line="240" w:lineRule="auto"/>
        <w:ind w:left="1134" w:right="709" w:hanging="425"/>
        <w:jc w:val="both"/>
        <w:rPr>
          <w:rFonts w:ascii="Verdana" w:eastAsia="Century Gothic" w:hAnsi="Verdana" w:cs="Century Gothic"/>
          <w:sz w:val="20"/>
          <w:szCs w:val="20"/>
        </w:rPr>
      </w:pPr>
      <w:r w:rsidRPr="00604DF8">
        <w:rPr>
          <w:rFonts w:ascii="Verdana" w:eastAsia="Century Gothic" w:hAnsi="Verdana" w:cs="Century Gothic"/>
          <w:sz w:val="20"/>
          <w:szCs w:val="20"/>
        </w:rPr>
        <w:t xml:space="preserve">¿Una universidad pública </w:t>
      </w:r>
      <w:proofErr w:type="gramStart"/>
      <w:r w:rsidRPr="00604DF8">
        <w:rPr>
          <w:rFonts w:ascii="Verdana" w:eastAsia="Century Gothic" w:hAnsi="Verdana" w:cs="Century Gothic"/>
          <w:sz w:val="20"/>
          <w:szCs w:val="20"/>
        </w:rPr>
        <w:t>del orden departamental organizada</w:t>
      </w:r>
      <w:proofErr w:type="gramEnd"/>
      <w:r w:rsidRPr="00604DF8">
        <w:rPr>
          <w:rFonts w:ascii="Verdana" w:eastAsia="Century Gothic" w:hAnsi="Verdana" w:cs="Century Gothic"/>
          <w:sz w:val="20"/>
          <w:szCs w:val="20"/>
        </w:rPr>
        <w:t xml:space="preserve"> como ente universitario autónomo con régimen especial es sujeto de la restricción del parágrafo del artículo 38 de la ley de garantías?</w:t>
      </w:r>
    </w:p>
    <w:p w14:paraId="5F4E9D88" w14:textId="77777777" w:rsidR="00D53F94" w:rsidRPr="00604DF8" w:rsidRDefault="00D53F94" w:rsidP="00D53F94">
      <w:pPr>
        <w:pStyle w:val="Prrafodelista"/>
        <w:numPr>
          <w:ilvl w:val="0"/>
          <w:numId w:val="18"/>
        </w:numPr>
        <w:spacing w:after="120" w:line="240" w:lineRule="auto"/>
        <w:ind w:left="1134" w:right="709" w:hanging="425"/>
        <w:jc w:val="both"/>
        <w:rPr>
          <w:rFonts w:ascii="Verdana" w:eastAsia="Century Gothic" w:hAnsi="Verdana" w:cs="Century Gothic"/>
          <w:sz w:val="20"/>
          <w:szCs w:val="20"/>
        </w:rPr>
      </w:pPr>
      <w:r w:rsidRPr="00604DF8">
        <w:rPr>
          <w:rFonts w:ascii="Verdana" w:eastAsia="Century Gothic" w:hAnsi="Verdana" w:cs="Century Gothic"/>
          <w:sz w:val="20"/>
          <w:szCs w:val="20"/>
        </w:rPr>
        <w:t>¿La autonomía universitaria —entendida como la facultad de las instituciones de educación superior para gobernarse a sí mismas, elegir sus directivas y definir sus estatutos, planes de estudio, políticas de investigación y administración— tiene el alcance suficiente para excluir a las universidades del ámbito de aplicación de la restricción prevista en el parágrafo 38 de la Ley 996 de 2005?</w:t>
      </w:r>
    </w:p>
    <w:p w14:paraId="65FE6117" w14:textId="77777777" w:rsidR="00D53F94" w:rsidRPr="00604DF8" w:rsidRDefault="00D53F94" w:rsidP="00D53F94">
      <w:pPr>
        <w:pStyle w:val="Prrafodelista"/>
        <w:numPr>
          <w:ilvl w:val="0"/>
          <w:numId w:val="18"/>
        </w:numPr>
        <w:spacing w:after="120" w:line="240" w:lineRule="auto"/>
        <w:ind w:left="1134" w:right="709" w:hanging="425"/>
        <w:jc w:val="both"/>
        <w:rPr>
          <w:rFonts w:ascii="Verdana" w:eastAsia="Century Gothic" w:hAnsi="Verdana" w:cs="Century Gothic"/>
          <w:sz w:val="20"/>
          <w:szCs w:val="20"/>
        </w:rPr>
      </w:pPr>
      <w:r w:rsidRPr="00604DF8">
        <w:rPr>
          <w:rFonts w:ascii="Verdana" w:eastAsia="Century Gothic" w:hAnsi="Verdana" w:cs="Century Gothic"/>
          <w:sz w:val="20"/>
          <w:szCs w:val="20"/>
        </w:rPr>
        <w:t xml:space="preserve">¿Una universidad constituida como institución pública del orden departamental podría estar considerada dentro de las entidades a las </w:t>
      </w:r>
      <w:r w:rsidRPr="00604DF8">
        <w:rPr>
          <w:rFonts w:ascii="Verdana" w:eastAsia="Century Gothic" w:hAnsi="Verdana" w:cs="Century Gothic"/>
          <w:sz w:val="20"/>
          <w:szCs w:val="20"/>
        </w:rPr>
        <w:lastRenderedPageBreak/>
        <w:t>que aplica la restricción del parágrafo del artículo 38 de la ley 996 de 2005?</w:t>
      </w:r>
    </w:p>
    <w:p w14:paraId="6ADFA4C4" w14:textId="77777777" w:rsidR="00D53F94" w:rsidRPr="00604DF8" w:rsidRDefault="00D53F94" w:rsidP="00D53F94">
      <w:pPr>
        <w:pStyle w:val="Prrafodelista"/>
        <w:numPr>
          <w:ilvl w:val="0"/>
          <w:numId w:val="18"/>
        </w:numPr>
        <w:spacing w:after="120" w:line="240" w:lineRule="auto"/>
        <w:ind w:left="1134" w:right="709" w:hanging="425"/>
        <w:jc w:val="both"/>
        <w:rPr>
          <w:rFonts w:ascii="Verdana" w:eastAsia="Century Gothic" w:hAnsi="Verdana" w:cs="Century Gothic"/>
          <w:sz w:val="20"/>
          <w:szCs w:val="20"/>
        </w:rPr>
      </w:pPr>
      <w:r w:rsidRPr="00604DF8">
        <w:rPr>
          <w:rFonts w:ascii="Verdana" w:eastAsia="Century Gothic" w:hAnsi="Verdana" w:cs="Century Gothic"/>
          <w:sz w:val="20"/>
          <w:szCs w:val="20"/>
        </w:rPr>
        <w:t>¿Si una universidad o institución pública educativa es creada por ordenanza de la Asamblea Departamental y dentro de sus estatutos se establece que es del orden territorial/departamental, le aplica la restricción establecida en el parágrafo 38 de la ley 996 de 2005?</w:t>
      </w:r>
    </w:p>
    <w:p w14:paraId="20C0E53F" w14:textId="77777777" w:rsidR="00D53F94" w:rsidRPr="00604DF8" w:rsidRDefault="00D53F94" w:rsidP="00D53F94">
      <w:pPr>
        <w:pStyle w:val="Prrafodelista"/>
        <w:numPr>
          <w:ilvl w:val="0"/>
          <w:numId w:val="18"/>
        </w:numPr>
        <w:spacing w:after="0" w:line="240" w:lineRule="auto"/>
        <w:ind w:left="1134" w:right="709" w:hanging="425"/>
        <w:jc w:val="both"/>
        <w:rPr>
          <w:rFonts w:ascii="Verdana" w:eastAsia="Century Gothic" w:hAnsi="Verdana" w:cs="Century Gothic"/>
          <w:sz w:val="20"/>
          <w:szCs w:val="20"/>
        </w:rPr>
      </w:pPr>
      <w:r w:rsidRPr="00604DF8">
        <w:rPr>
          <w:rFonts w:ascii="Verdana" w:eastAsia="Century Gothic" w:hAnsi="Verdana" w:cs="Century Gothic"/>
          <w:sz w:val="20"/>
          <w:szCs w:val="20"/>
        </w:rPr>
        <w:t>¿La restricción del parágrafo del articulo 38 aplica para la celebración de convenios interadministrativos entre una entidad pública del orden nacional con una universidad o institución pública educativa del orden departamental que prestan el servicio público de educación superior?”.</w:t>
      </w:r>
    </w:p>
    <w:p w14:paraId="232766E6" w14:textId="77777777" w:rsidR="00D53F94" w:rsidRPr="008E6AD9" w:rsidRDefault="00D53F94" w:rsidP="00D53F94">
      <w:pPr>
        <w:pStyle w:val="Prrafodelista"/>
        <w:tabs>
          <w:tab w:val="left" w:pos="142"/>
          <w:tab w:val="left" w:pos="284"/>
        </w:tabs>
        <w:spacing w:after="0" w:line="276" w:lineRule="auto"/>
        <w:ind w:left="0"/>
        <w:jc w:val="both"/>
        <w:rPr>
          <w:rFonts w:ascii="Verdana" w:eastAsia="Century Gothic" w:hAnsi="Verdana" w:cs="Century Gothic"/>
          <w:b/>
          <w:bCs/>
        </w:rPr>
      </w:pPr>
    </w:p>
    <w:p w14:paraId="39A34432" w14:textId="77777777" w:rsidR="00D53F94" w:rsidRPr="00A652FF" w:rsidRDefault="00D53F94" w:rsidP="00D53F9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77C064F" w14:textId="77777777" w:rsidR="00D53F94" w:rsidRPr="00423BE7" w:rsidRDefault="00D53F94" w:rsidP="00D53F94">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C0ADDDC" w14:textId="77777777" w:rsidR="00D53F94" w:rsidRPr="00593A5F" w:rsidRDefault="00D53F94" w:rsidP="00D53F94">
      <w:pPr>
        <w:spacing w:after="0" w:line="276" w:lineRule="auto"/>
        <w:ind w:firstLine="709"/>
        <w:jc w:val="both"/>
        <w:rPr>
          <w:rFonts w:ascii="Verdana" w:eastAsia="Calibri" w:hAnsi="Verdana" w:cs="Arial"/>
          <w:color w:val="000000"/>
          <w:lang w:val="es-ES" w:eastAsia="es-ES"/>
        </w:rPr>
      </w:pPr>
    </w:p>
    <w:p w14:paraId="47EE46F8" w14:textId="77777777" w:rsidR="00D53F94" w:rsidRPr="00593A5F" w:rsidRDefault="00D53F94" w:rsidP="00D53F9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1B257049" w14:textId="77777777" w:rsidR="00D53F94" w:rsidRPr="00593A5F" w:rsidRDefault="00D53F94" w:rsidP="00D53F94">
      <w:pPr>
        <w:tabs>
          <w:tab w:val="left" w:pos="426"/>
        </w:tabs>
        <w:spacing w:after="0" w:line="276" w:lineRule="auto"/>
        <w:jc w:val="both"/>
        <w:rPr>
          <w:rFonts w:ascii="Verdana" w:eastAsia="Century Gothic" w:hAnsi="Verdana" w:cs="Century Gothic"/>
          <w:lang w:val="es-ES"/>
        </w:rPr>
      </w:pPr>
    </w:p>
    <w:p w14:paraId="06517258" w14:textId="77777777" w:rsidR="00D53F94" w:rsidRPr="00593A5F" w:rsidRDefault="00D53F94" w:rsidP="00D53F94">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los </w:t>
      </w:r>
      <w:r w:rsidRPr="00906BE9">
        <w:rPr>
          <w:rFonts w:ascii="Verdana" w:eastAsia="Century Gothic" w:hAnsi="Verdana" w:cs="Century Gothic"/>
        </w:rPr>
        <w:t>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w:t>
      </w:r>
      <w:r>
        <w:rPr>
          <w:rFonts w:ascii="Verdana" w:eastAsia="Century Gothic" w:hAnsi="Verdana" w:cs="Century Gothic"/>
        </w:rPr>
        <w:t xml:space="preserve"> i) ¿la restricción para celebrar contratos interadministrativos para ejecución de recursos públicos durante la Ley de Garantías sólo aplica para los recursos en dinero? y </w:t>
      </w:r>
      <w:proofErr w:type="spellStart"/>
      <w:r>
        <w:rPr>
          <w:rFonts w:ascii="Verdana" w:eastAsia="Century Gothic" w:hAnsi="Verdana" w:cs="Century Gothic"/>
        </w:rPr>
        <w:t>ii</w:t>
      </w:r>
      <w:proofErr w:type="spellEnd"/>
      <w:r>
        <w:rPr>
          <w:rFonts w:ascii="Verdana" w:eastAsia="Century Gothic" w:hAnsi="Verdana" w:cs="Century Gothic"/>
        </w:rPr>
        <w:t xml:space="preserve">) ¿la prohibición del parágrafo del artículo 38 de la </w:t>
      </w:r>
      <w:r w:rsidRPr="00046AE2">
        <w:rPr>
          <w:rFonts w:ascii="Verdana" w:eastAsia="Century Gothic" w:hAnsi="Verdana" w:cs="Century Gothic"/>
        </w:rPr>
        <w:t>Ley 996 de 2005</w:t>
      </w:r>
      <w:r>
        <w:rPr>
          <w:rFonts w:ascii="Verdana" w:eastAsia="Century Gothic" w:hAnsi="Verdana" w:cs="Century Gothic"/>
        </w:rPr>
        <w:t xml:space="preserve"> aplica a los entes universitarios autónomos</w:t>
      </w:r>
      <w:r>
        <w:rPr>
          <w:rFonts w:ascii="Verdana" w:eastAsia="Times New Roman" w:hAnsi="Verdana" w:cs="Arial"/>
          <w:lang w:val="es-MX" w:eastAsia="es-CO"/>
        </w:rPr>
        <w:t>?</w:t>
      </w:r>
      <w:r>
        <w:rPr>
          <w:rFonts w:ascii="Verdana" w:eastAsia="Century Gothic" w:hAnsi="Verdana" w:cs="Century Gothic"/>
        </w:rPr>
        <w:t xml:space="preserve"> </w:t>
      </w:r>
    </w:p>
    <w:p w14:paraId="7D9C5AEE" w14:textId="77777777" w:rsidR="00D53F94" w:rsidRPr="004B140F" w:rsidRDefault="00D53F94" w:rsidP="00D53F94">
      <w:pPr>
        <w:spacing w:after="0" w:line="276" w:lineRule="auto"/>
        <w:jc w:val="both"/>
        <w:rPr>
          <w:rFonts w:ascii="Verdana" w:eastAsia="Calibri" w:hAnsi="Verdana" w:cs="Arial"/>
          <w:color w:val="7030A0"/>
        </w:rPr>
      </w:pPr>
    </w:p>
    <w:p w14:paraId="725948CE" w14:textId="77777777" w:rsidR="00D53F94" w:rsidRPr="00593A5F" w:rsidRDefault="00D53F94" w:rsidP="00D53F9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664AF9B3" w14:textId="77777777" w:rsidR="00D53F94" w:rsidRPr="00593A5F" w:rsidRDefault="00D53F94" w:rsidP="00D53F9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53F94" w:rsidRPr="00593A5F" w14:paraId="2C4F2349" w14:textId="77777777" w:rsidTr="00A40E60">
        <w:trPr>
          <w:jc w:val="center"/>
        </w:trPr>
        <w:tc>
          <w:tcPr>
            <w:tcW w:w="8828" w:type="dxa"/>
          </w:tcPr>
          <w:p w14:paraId="655A3366" w14:textId="77777777" w:rsidR="00D53F94" w:rsidRDefault="00D53F94" w:rsidP="00A40E60">
            <w:pPr>
              <w:spacing w:after="120" w:line="276" w:lineRule="auto"/>
              <w:jc w:val="both"/>
              <w:rPr>
                <w:rFonts w:ascii="Verdana" w:eastAsia="Calibri" w:hAnsi="Verdana" w:cs="Arial"/>
                <w:lang w:val="es-MX"/>
              </w:rPr>
            </w:pPr>
            <w:bookmarkStart w:id="1" w:name="_Hlk171694685"/>
            <w:r w:rsidRPr="004B35AC">
              <w:rPr>
                <w:rFonts w:ascii="Verdana" w:eastAsia="Calibri" w:hAnsi="Verdana" w:cs="Arial"/>
                <w:lang w:val="es-MX"/>
              </w:rPr>
              <w:t xml:space="preserve">Conforme a la interpretación general de las normas del sistema de compras públicas, </w:t>
            </w:r>
            <w:r w:rsidRPr="00667CD6">
              <w:rPr>
                <w:rFonts w:ascii="Verdana" w:hAnsi="Verdana" w:cs="Arial"/>
                <w:lang w:val="es-ES"/>
              </w:rPr>
              <w:t xml:space="preserve">el parágrafo </w:t>
            </w:r>
            <w:r w:rsidRPr="00667CD6">
              <w:rPr>
                <w:rFonts w:ascii="Verdana" w:hAnsi="Verdana" w:cs="Arial"/>
              </w:rPr>
              <w:t>del artículo 38 de la Ley 996 de 2005</w:t>
            </w:r>
            <w:r>
              <w:rPr>
                <w:rFonts w:ascii="Verdana" w:hAnsi="Verdana" w:cs="Arial"/>
              </w:rPr>
              <w:t xml:space="preserve"> dispone </w:t>
            </w:r>
            <w:r w:rsidRPr="00667CD6">
              <w:rPr>
                <w:rFonts w:ascii="Verdana" w:hAnsi="Verdana" w:cs="Arial"/>
              </w:rPr>
              <w:t>que “</w:t>
            </w:r>
            <w:r>
              <w:rPr>
                <w:rFonts w:ascii="Verdana" w:hAnsi="Verdana" w:cs="Arial"/>
              </w:rPr>
              <w:t>L</w:t>
            </w:r>
            <w:r w:rsidRPr="00667CD6">
              <w:rPr>
                <w:rFonts w:ascii="Verdana" w:hAnsi="Verdana" w:cs="Arial"/>
              </w:rPr>
              <w:t xml:space="preserve">os Gobernadores, Alcaldes Municipales y/o Distritales, Secretarios, Gerentes y directores de Entidades Descentralizadas del orden Municipal, Departamental o Distrital, dentro de los cuatro (4) meses anteriores a las elecciones, no podrán celebrar </w:t>
            </w:r>
            <w:r w:rsidRPr="00767D56">
              <w:rPr>
                <w:rFonts w:ascii="Verdana" w:hAnsi="Verdana" w:cs="Arial"/>
              </w:rPr>
              <w:t>convenios interadministrativos para la ejecución de recursos públicos</w:t>
            </w:r>
            <w:r w:rsidRPr="00667CD6">
              <w:rPr>
                <w:rFonts w:ascii="Verdana" w:hAnsi="Verdana" w:cs="Arial"/>
              </w:rPr>
              <w:t>”</w:t>
            </w:r>
            <w:r w:rsidRPr="00D84E8B">
              <w:rPr>
                <w:rFonts w:ascii="Verdana" w:eastAsia="Calibri" w:hAnsi="Verdana" w:cs="Arial"/>
                <w:lang w:val="es-MX"/>
              </w:rPr>
              <w:t xml:space="preserve">, sin importar de que estos sean en dinero o en especie, ya que la norma no distingue. </w:t>
            </w:r>
          </w:p>
          <w:p w14:paraId="5072B50F" w14:textId="77777777" w:rsidR="00D53F94" w:rsidRPr="00767D56" w:rsidRDefault="00D53F94" w:rsidP="00A40E60">
            <w:pPr>
              <w:spacing w:after="120" w:line="276" w:lineRule="auto"/>
              <w:ind w:firstLine="737"/>
              <w:jc w:val="both"/>
              <w:rPr>
                <w:rFonts w:ascii="Verdana" w:eastAsia="Calibri" w:hAnsi="Verdana" w:cs="Arial"/>
                <w:lang w:val="es-MX"/>
              </w:rPr>
            </w:pPr>
            <w:r w:rsidRPr="00D84E8B">
              <w:rPr>
                <w:rFonts w:ascii="Verdana" w:eastAsia="Calibri" w:hAnsi="Verdana" w:cs="Arial"/>
                <w:lang w:val="es-MX"/>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5B98D498" w14:textId="25ABCE73" w:rsidR="00D53F94" w:rsidRDefault="00D53F94" w:rsidP="00A40E60">
            <w:pPr>
              <w:spacing w:after="120" w:line="276" w:lineRule="auto"/>
              <w:ind w:firstLine="709"/>
              <w:jc w:val="both"/>
              <w:rPr>
                <w:rFonts w:ascii="Verdana" w:eastAsia="Calibri" w:hAnsi="Verdana" w:cs="Arial"/>
                <w:color w:val="000000" w:themeColor="text1"/>
                <w:lang w:val="es-ES_tradnl"/>
              </w:rPr>
            </w:pPr>
            <w:r>
              <w:rPr>
                <w:rFonts w:ascii="Verdana" w:eastAsia="Times New Roman" w:hAnsi="Verdana" w:cs="Arial"/>
                <w:lang w:eastAsia="x-none"/>
              </w:rPr>
              <w:t xml:space="preserve">Por otra parte, conforme al artículo 69 superior y el artículo 40 de la Ley 489 de 1993, </w:t>
            </w:r>
            <w:r w:rsidRPr="00767D56">
              <w:rPr>
                <w:rFonts w:ascii="Verdana" w:eastAsia="Times New Roman" w:hAnsi="Verdana" w:cs="Arial"/>
                <w:lang w:eastAsia="x-none"/>
              </w:rPr>
              <w:t>los entes universitarios no son entidades que hagan parte de la rama ejecutiva, ni pueden, por tanto, considerarse entidades descentralizadas, sino que gozan de un régimen especial</w:t>
            </w:r>
            <w:r>
              <w:rPr>
                <w:rFonts w:ascii="Verdana" w:eastAsia="Times New Roman" w:hAnsi="Verdana" w:cs="Arial"/>
                <w:lang w:eastAsia="x-none"/>
              </w:rPr>
              <w:t>. S</w:t>
            </w:r>
            <w:r w:rsidRPr="00D10D3D">
              <w:rPr>
                <w:rFonts w:ascii="Verdana" w:eastAsia="Calibri" w:hAnsi="Verdana" w:cs="Arial"/>
                <w:color w:val="000000" w:themeColor="text1"/>
                <w:lang w:val="es-ES_tradnl"/>
              </w:rPr>
              <w:t>i bien son entes del Estado, tampoco encuadran en el concepto de entidad territorial</w:t>
            </w:r>
            <w:r>
              <w:rPr>
                <w:rFonts w:ascii="Verdana" w:eastAsia="Calibri" w:hAnsi="Verdana" w:cs="Arial"/>
                <w:color w:val="000000" w:themeColor="text1"/>
                <w:lang w:val="es-ES_tradnl"/>
              </w:rPr>
              <w:t xml:space="preserve"> en los términos del artículo 286 de la Constitución Política de 1991. Por tanto, como e</w:t>
            </w:r>
            <w:r w:rsidRPr="00046AE2">
              <w:rPr>
                <w:rFonts w:ascii="Verdana" w:eastAsia="Calibri" w:hAnsi="Verdana" w:cs="Arial"/>
                <w:color w:val="000000" w:themeColor="text1"/>
                <w:lang w:val="es-ES_tradnl"/>
              </w:rPr>
              <w:t xml:space="preserve">l parágrafo del artículo 38 de la </w:t>
            </w:r>
            <w:r>
              <w:rPr>
                <w:rFonts w:ascii="Verdana" w:eastAsia="Calibri" w:hAnsi="Verdana" w:cs="Arial"/>
                <w:color w:val="000000" w:themeColor="text1"/>
                <w:lang w:val="es-ES_tradnl"/>
              </w:rPr>
              <w:t>L</w:t>
            </w:r>
            <w:r w:rsidRPr="00046AE2">
              <w:rPr>
                <w:rFonts w:ascii="Verdana" w:eastAsia="Calibri" w:hAnsi="Verdana" w:cs="Arial"/>
                <w:color w:val="000000" w:themeColor="text1"/>
                <w:lang w:val="es-ES_tradnl"/>
              </w:rPr>
              <w:t xml:space="preserve">ey de </w:t>
            </w:r>
            <w:r>
              <w:rPr>
                <w:rFonts w:ascii="Verdana" w:eastAsia="Calibri" w:hAnsi="Verdana" w:cs="Arial"/>
                <w:color w:val="000000" w:themeColor="text1"/>
                <w:lang w:val="es-ES_tradnl"/>
              </w:rPr>
              <w:t>G</w:t>
            </w:r>
            <w:r w:rsidRPr="00046AE2">
              <w:rPr>
                <w:rFonts w:ascii="Verdana" w:eastAsia="Calibri" w:hAnsi="Verdana" w:cs="Arial"/>
                <w:color w:val="000000" w:themeColor="text1"/>
                <w:lang w:val="es-ES_tradnl"/>
              </w:rPr>
              <w:t xml:space="preserve">arantías </w:t>
            </w:r>
            <w:r>
              <w:rPr>
                <w:rFonts w:ascii="Verdana" w:eastAsia="Calibri" w:hAnsi="Verdana" w:cs="Arial"/>
                <w:color w:val="000000" w:themeColor="text1"/>
                <w:lang w:val="es-ES_tradnl"/>
              </w:rPr>
              <w:t>E</w:t>
            </w:r>
            <w:r w:rsidRPr="00046AE2">
              <w:rPr>
                <w:rFonts w:ascii="Verdana" w:eastAsia="Calibri" w:hAnsi="Verdana" w:cs="Arial"/>
                <w:color w:val="000000" w:themeColor="text1"/>
                <w:lang w:val="es-ES_tradnl"/>
              </w:rPr>
              <w:t>lectorales</w:t>
            </w:r>
            <w:r>
              <w:rPr>
                <w:rFonts w:ascii="Verdana" w:eastAsia="Calibri" w:hAnsi="Verdana" w:cs="Arial"/>
                <w:color w:val="000000" w:themeColor="text1"/>
                <w:lang w:val="es-ES_tradnl"/>
              </w:rPr>
              <w:t xml:space="preserve"> </w:t>
            </w:r>
            <w:r w:rsidRPr="00046AE2">
              <w:rPr>
                <w:rFonts w:ascii="Verdana" w:eastAsia="Calibri" w:hAnsi="Verdana" w:cs="Arial"/>
                <w:color w:val="000000" w:themeColor="text1"/>
                <w:lang w:val="es-ES_tradnl"/>
              </w:rPr>
              <w:t xml:space="preserve">restringe la celebración de convenios interadministrativos por entidades estatales del orden territorial y descentralizado, </w:t>
            </w:r>
            <w:r>
              <w:rPr>
                <w:rFonts w:ascii="Verdana" w:eastAsia="Calibri" w:hAnsi="Verdana" w:cs="Arial"/>
                <w:color w:val="000000" w:themeColor="text1"/>
                <w:lang w:val="es-ES_tradnl"/>
              </w:rPr>
              <w:t xml:space="preserve">la prohibición </w:t>
            </w:r>
            <w:r w:rsidRPr="00046AE2">
              <w:rPr>
                <w:rFonts w:ascii="Verdana" w:eastAsia="Calibri" w:hAnsi="Verdana" w:cs="Arial"/>
                <w:color w:val="000000" w:themeColor="text1"/>
                <w:lang w:val="es-ES_tradnl"/>
              </w:rPr>
              <w:t>no es aplicable a las universidades públicas</w:t>
            </w:r>
            <w:r w:rsidR="003C5B9E">
              <w:rPr>
                <w:rFonts w:ascii="Verdana" w:eastAsia="Calibri" w:hAnsi="Verdana" w:cs="Arial"/>
                <w:color w:val="000000" w:themeColor="text1"/>
                <w:lang w:val="es-ES_tradnl"/>
              </w:rPr>
              <w:t xml:space="preserve"> que tengan la naturaleza jurídica de </w:t>
            </w:r>
            <w:r w:rsidR="00E56EE8">
              <w:rPr>
                <w:rFonts w:ascii="Verdana" w:eastAsia="Calibri" w:hAnsi="Verdana" w:cs="Arial"/>
                <w:color w:val="000000" w:themeColor="text1"/>
                <w:lang w:val="es-ES_tradnl"/>
              </w:rPr>
              <w:t xml:space="preserve">entes universitarios </w:t>
            </w:r>
            <w:r w:rsidR="00FA3E17">
              <w:rPr>
                <w:rFonts w:ascii="Verdana" w:eastAsia="Calibri" w:hAnsi="Verdana" w:cs="Arial"/>
                <w:color w:val="000000" w:themeColor="text1"/>
                <w:lang w:val="es-ES_tradnl"/>
              </w:rPr>
              <w:t>autónomos</w:t>
            </w:r>
            <w:r w:rsidRPr="00046AE2">
              <w:rPr>
                <w:rFonts w:ascii="Verdana" w:eastAsia="Calibri" w:hAnsi="Verdana" w:cs="Arial"/>
                <w:color w:val="000000" w:themeColor="text1"/>
                <w:lang w:val="es-ES_tradnl"/>
              </w:rPr>
              <w:t xml:space="preserve">, debido a que, en virtud de su atributo constitucional de autonomía, no son ni pueden asimilarse a las entidades públicas que expresamente </w:t>
            </w:r>
            <w:r>
              <w:rPr>
                <w:rFonts w:ascii="Verdana" w:eastAsia="Calibri" w:hAnsi="Verdana" w:cs="Arial"/>
                <w:color w:val="000000" w:themeColor="text1"/>
                <w:lang w:val="es-ES_tradnl"/>
              </w:rPr>
              <w:t>contempla</w:t>
            </w:r>
            <w:r w:rsidRPr="00046AE2">
              <w:rPr>
                <w:rFonts w:ascii="Verdana" w:eastAsia="Calibri" w:hAnsi="Verdana" w:cs="Arial"/>
                <w:color w:val="000000" w:themeColor="text1"/>
                <w:lang w:val="es-ES_tradnl"/>
              </w:rPr>
              <w:t xml:space="preserve"> la norma.</w:t>
            </w:r>
          </w:p>
          <w:p w14:paraId="3936A515" w14:textId="67E19089" w:rsidR="003D1CF9" w:rsidRPr="00767D56" w:rsidRDefault="003D1CF9" w:rsidP="00A40E60">
            <w:pPr>
              <w:spacing w:after="120" w:line="276" w:lineRule="auto"/>
              <w:ind w:firstLine="709"/>
              <w:jc w:val="both"/>
              <w:rPr>
                <w:rFonts w:ascii="Verdana" w:eastAsia="Calibri" w:hAnsi="Verdana" w:cs="Arial"/>
                <w:color w:val="000000" w:themeColor="text1"/>
                <w:lang w:val="es-ES_tradnl"/>
              </w:rPr>
            </w:pPr>
            <w:r w:rsidRPr="003D0447">
              <w:rPr>
                <w:rFonts w:ascii="Verdana" w:hAnsi="Verdana" w:cs="Arial"/>
                <w:color w:val="000000"/>
              </w:rPr>
              <w:t>Caso contrario ocurre con las instituciones de educación superior constituidas como establecimientos públicos, quienes s</w:t>
            </w:r>
            <w:r>
              <w:rPr>
                <w:rFonts w:ascii="Verdana" w:hAnsi="Verdana" w:cs="Arial"/>
                <w:color w:val="000000"/>
              </w:rPr>
              <w:t>í</w:t>
            </w:r>
            <w:r w:rsidRPr="003D0447">
              <w:rPr>
                <w:rFonts w:ascii="Verdana" w:hAnsi="Verdana" w:cs="Arial"/>
                <w:color w:val="000000"/>
              </w:rPr>
              <w:t xml:space="preserve"> constituyen entidades </w:t>
            </w:r>
            <w:r w:rsidRPr="003D0447">
              <w:rPr>
                <w:rFonts w:ascii="Verdana" w:hAnsi="Verdana" w:cs="Arial"/>
                <w:color w:val="000000"/>
              </w:rPr>
              <w:lastRenderedPageBreak/>
              <w:t>descentralizadas a luz de lo dispuesto en el artículo 68 de la Ley 489 de 1998 y de conformidad con el parágrafo 1 del artículo 57 de la Ley 30 de 1992, pueden estar inscritos en los órdenes nacional, departamental, distrital o municipal, lo que hace forzoso concluir que establecimientos públicos educativos de estos tres últimos órdenes, estarían cobijados por la restricción del artículo 38, al ser entidades descentralizadas del nivel territorial, sujetos a los que expresamente alude el texto de la restricción como destinatarios de la misma del nivel territorial–departamental, municipal o distrital–.</w:t>
            </w:r>
          </w:p>
          <w:p w14:paraId="1120A463" w14:textId="77777777" w:rsidR="00D53F94" w:rsidRPr="001941FD" w:rsidRDefault="00D53F94" w:rsidP="00A40E60">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3097FA2" w14:textId="77777777" w:rsidR="00D53F94" w:rsidRPr="00593A5F" w:rsidRDefault="00D53F94" w:rsidP="00D53F94">
      <w:pPr>
        <w:tabs>
          <w:tab w:val="left" w:pos="142"/>
          <w:tab w:val="left" w:pos="284"/>
        </w:tabs>
        <w:spacing w:after="0" w:line="276" w:lineRule="auto"/>
        <w:jc w:val="both"/>
        <w:rPr>
          <w:rFonts w:ascii="Verdana" w:eastAsia="Century Gothic" w:hAnsi="Verdana" w:cs="Century Gothic"/>
          <w:b/>
          <w:bCs/>
          <w:lang w:val="es-ES"/>
        </w:rPr>
      </w:pPr>
    </w:p>
    <w:bookmarkEnd w:id="1"/>
    <w:p w14:paraId="4E725B11" w14:textId="77777777" w:rsidR="00D53F94" w:rsidRPr="00593A5F" w:rsidRDefault="00D53F94" w:rsidP="00D53F9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141C86B3" w14:textId="77777777" w:rsidR="00D53F94" w:rsidRPr="00593A5F" w:rsidRDefault="00D53F94" w:rsidP="00D53F94">
      <w:pPr>
        <w:spacing w:after="0" w:line="276" w:lineRule="auto"/>
        <w:jc w:val="both"/>
        <w:rPr>
          <w:rFonts w:ascii="Verdana" w:eastAsia="Calibri" w:hAnsi="Verdana" w:cs="Arial"/>
          <w:color w:val="7030A0"/>
          <w:lang w:val="es-ES"/>
        </w:rPr>
      </w:pPr>
    </w:p>
    <w:p w14:paraId="25684D9B" w14:textId="77777777" w:rsidR="00D53F94" w:rsidRDefault="00D53F94" w:rsidP="00D53F9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D75FF36" w14:textId="77777777" w:rsidR="00D53F94" w:rsidRDefault="00D53F94" w:rsidP="00D53F94">
      <w:pPr>
        <w:spacing w:after="0" w:line="276" w:lineRule="auto"/>
        <w:jc w:val="both"/>
        <w:rPr>
          <w:rFonts w:ascii="Verdana" w:eastAsia="Calibri" w:hAnsi="Verdana" w:cs="Arial"/>
          <w:lang w:val="es-ES"/>
        </w:rPr>
      </w:pPr>
    </w:p>
    <w:p w14:paraId="22CC9489" w14:textId="77777777" w:rsidR="00D53F94" w:rsidRPr="002D6B43" w:rsidRDefault="00D53F94" w:rsidP="00D53F94">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1D6AFE0D" w14:textId="77777777" w:rsidR="00D53F94" w:rsidRPr="006B14B5" w:rsidRDefault="00D53F94" w:rsidP="00D53F94">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lastRenderedPageBreak/>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CA0E7A1" w14:textId="77777777" w:rsidR="00D53F94" w:rsidRPr="00E2397D" w:rsidRDefault="00D53F94" w:rsidP="00D53F94">
      <w:pPr>
        <w:spacing w:after="0" w:line="276" w:lineRule="auto"/>
        <w:ind w:right="709"/>
        <w:contextualSpacing/>
        <w:jc w:val="both"/>
        <w:rPr>
          <w:rFonts w:ascii="Verdana" w:eastAsia="Times New Roman" w:hAnsi="Verdana" w:cs="Arial"/>
          <w:lang w:val="es-ES" w:eastAsia="es-CO"/>
        </w:rPr>
      </w:pPr>
    </w:p>
    <w:p w14:paraId="33E2DA17" w14:textId="77777777" w:rsidR="00D53F94" w:rsidRPr="00E2397D" w:rsidRDefault="00D53F94" w:rsidP="00D53F9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0D56C97" w14:textId="77777777" w:rsidR="00D53F94" w:rsidRDefault="00D53F94" w:rsidP="00D53F94">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6B3943A" w14:textId="77777777" w:rsidR="00D53F94" w:rsidRPr="000B35C5" w:rsidRDefault="00D53F94" w:rsidP="00D53F94">
      <w:pPr>
        <w:spacing w:after="0" w:line="240" w:lineRule="auto"/>
        <w:ind w:left="709" w:right="709"/>
        <w:contextualSpacing/>
        <w:jc w:val="both"/>
        <w:rPr>
          <w:rFonts w:ascii="Verdana" w:eastAsia="Times New Roman" w:hAnsi="Verdana" w:cs="Arial"/>
          <w:sz w:val="12"/>
          <w:szCs w:val="12"/>
          <w:lang w:val="es-MX" w:eastAsia="es-CO"/>
        </w:rPr>
      </w:pPr>
    </w:p>
    <w:p w14:paraId="224A57D4" w14:textId="77777777" w:rsidR="00D53F94" w:rsidRPr="00E2397D" w:rsidRDefault="00D53F94" w:rsidP="00D53F9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191822EE" w14:textId="77777777" w:rsidR="00D53F94" w:rsidRPr="00E2397D" w:rsidRDefault="00D53F94" w:rsidP="00D53F94">
      <w:pPr>
        <w:spacing w:after="0" w:line="276" w:lineRule="auto"/>
        <w:ind w:firstLine="709"/>
        <w:jc w:val="both"/>
        <w:rPr>
          <w:rFonts w:ascii="Verdana" w:eastAsia="Times New Roman" w:hAnsi="Verdana" w:cs="Arial"/>
          <w:lang w:val="es-MX" w:eastAsia="es-CO"/>
        </w:rPr>
      </w:pPr>
      <w:bookmarkStart w:id="3" w:name="_Hlk78818186"/>
    </w:p>
    <w:p w14:paraId="4E00BFCE" w14:textId="77777777" w:rsidR="00D53F94" w:rsidRPr="00E2397D" w:rsidRDefault="00D53F94" w:rsidP="00D53F94">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0DCB1649" w14:textId="77777777" w:rsidR="00D53F94" w:rsidRPr="00886C02" w:rsidRDefault="00D53F94" w:rsidP="00D53F94">
      <w:pPr>
        <w:spacing w:after="0" w:line="276" w:lineRule="auto"/>
        <w:ind w:firstLine="709"/>
        <w:jc w:val="both"/>
        <w:rPr>
          <w:rFonts w:ascii="Verdana" w:eastAsia="Times New Roman" w:hAnsi="Verdana" w:cs="Arial"/>
          <w:lang w:val="es-MX" w:eastAsia="es-CO"/>
        </w:rPr>
      </w:pPr>
    </w:p>
    <w:p w14:paraId="432296D5" w14:textId="77777777" w:rsidR="00D53F94" w:rsidRPr="00E2397D" w:rsidRDefault="00D53F94" w:rsidP="00D53F9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1013895" w14:textId="77777777" w:rsidR="00D53F94" w:rsidRPr="000B35C5" w:rsidRDefault="00D53F94" w:rsidP="00D53F94">
      <w:pPr>
        <w:spacing w:after="0" w:line="240" w:lineRule="auto"/>
        <w:ind w:right="709"/>
        <w:contextualSpacing/>
        <w:jc w:val="both"/>
        <w:rPr>
          <w:rFonts w:ascii="Verdana" w:eastAsia="Times New Roman" w:hAnsi="Verdana" w:cs="Arial"/>
          <w:sz w:val="12"/>
          <w:szCs w:val="12"/>
          <w:lang w:val="es-MX" w:eastAsia="es-CO"/>
        </w:rPr>
      </w:pPr>
    </w:p>
    <w:p w14:paraId="46E45F61" w14:textId="77777777" w:rsidR="00D53F94" w:rsidRPr="00E2397D" w:rsidRDefault="00D53F94" w:rsidP="00D53F9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422BEF5E" w14:textId="77777777" w:rsidR="00D53F94" w:rsidRPr="00E2397D" w:rsidRDefault="00D53F94" w:rsidP="00D53F94">
      <w:pPr>
        <w:spacing w:after="0" w:line="276" w:lineRule="auto"/>
        <w:jc w:val="both"/>
        <w:rPr>
          <w:rFonts w:ascii="Verdana" w:eastAsia="Calibri" w:hAnsi="Verdana" w:cs="Arial"/>
          <w:bCs/>
          <w:lang w:val="es-ES_tradnl"/>
        </w:rPr>
      </w:pPr>
    </w:p>
    <w:p w14:paraId="2A8ACEE7" w14:textId="77777777" w:rsidR="00D53F94" w:rsidRDefault="00D53F94" w:rsidP="00D53F94">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A304105" w14:textId="77777777" w:rsidR="00D53F94" w:rsidRPr="00E2397D" w:rsidRDefault="00D53F94" w:rsidP="00D53F94">
      <w:pPr>
        <w:spacing w:after="0" w:line="276" w:lineRule="auto"/>
        <w:ind w:firstLine="709"/>
        <w:jc w:val="both"/>
        <w:rPr>
          <w:rFonts w:ascii="Verdana" w:eastAsia="Arial" w:hAnsi="Verdana" w:cs="Arial"/>
          <w:lang w:val="es-ES" w:eastAsia="es-ES" w:bidi="es-ES"/>
        </w:rPr>
      </w:pPr>
    </w:p>
    <w:p w14:paraId="183B3323" w14:textId="77777777" w:rsidR="00D53F94" w:rsidRPr="00E2397D" w:rsidRDefault="00D53F94" w:rsidP="00D53F94">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xml:space="preserve">. Precisado el propósito de la Ley, es pertinente señalar que las restricciones consagradas en la citada Ley se dirigen a dos (2) tipos de campañas electorales claramente diferenciadas: las presidenciales y las demás que se adelanten para </w:t>
      </w:r>
      <w:r w:rsidRPr="00E2397D">
        <w:rPr>
          <w:rFonts w:ascii="Verdana" w:eastAsia="Arial" w:hAnsi="Verdana" w:cs="Arial"/>
          <w:lang w:val="es-ES" w:eastAsia="es-ES" w:bidi="es-ES"/>
        </w:rPr>
        <w:lastRenderedPageBreak/>
        <w:t>la elección de los demás cargos de elección popular, tanto a nivel nacional como territorial.</w:t>
      </w:r>
      <w:bookmarkEnd w:id="4"/>
    </w:p>
    <w:p w14:paraId="322582C8" w14:textId="77777777" w:rsidR="00D53F94" w:rsidRPr="00E2397D" w:rsidRDefault="00D53F94" w:rsidP="00D53F94">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64170DEB" w14:textId="77777777" w:rsidR="00D53F94" w:rsidRDefault="00D53F94" w:rsidP="00D53F94">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5"/>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637DD359" w14:textId="77777777" w:rsidR="00D53F94" w:rsidRDefault="00D53F94" w:rsidP="00D53F94">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w:t>
      </w:r>
      <w:r>
        <w:rPr>
          <w:rFonts w:ascii="Verdana" w:eastAsia="Times New Roman" w:hAnsi="Verdana" w:cs="Arial"/>
          <w:bCs/>
          <w:lang w:eastAsia="es-CO"/>
        </w:rPr>
        <w:lastRenderedPageBreak/>
        <w:t xml:space="preserve">la que se acerca a la expresión “celebrar” en el contexto de la Ley de Garantías Electorales es la primera, esto es, al perfeccionamiento del contrato. </w:t>
      </w:r>
    </w:p>
    <w:p w14:paraId="6D21FB82" w14:textId="77777777" w:rsidR="00D53F94" w:rsidRDefault="00D53F94" w:rsidP="00D53F9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4BBAA5EF" w14:textId="77777777" w:rsidR="00D53F94" w:rsidRDefault="00D53F94" w:rsidP="00D53F9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27C9777" w14:textId="77777777" w:rsidR="00D53F94" w:rsidRPr="00894384" w:rsidRDefault="00D53F94" w:rsidP="00D53F9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10CBA1AD" w14:textId="77777777" w:rsidR="00D53F94" w:rsidRPr="00E2397D" w:rsidRDefault="00D53F94" w:rsidP="00D53F9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6F061D79" w14:textId="77777777" w:rsidR="00D53F94" w:rsidRPr="00E2397D" w:rsidRDefault="00D53F94" w:rsidP="00D53F94">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58A58A90" w14:textId="77777777" w:rsidR="00D53F94" w:rsidRPr="00E2397D" w:rsidRDefault="00D53F94" w:rsidP="00D53F94">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lastRenderedPageBreak/>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2397D">
        <w:rPr>
          <w:rFonts w:ascii="Verdana" w:eastAsia="Arial" w:hAnsi="Verdana" w:cs="Arial"/>
          <w:sz w:val="20"/>
          <w:szCs w:val="20"/>
          <w:lang w:eastAsia="es-ES" w:bidi="es-ES"/>
        </w:rPr>
        <w:t>se integran parcialmente</w:t>
      </w:r>
      <w:bookmarkEnd w:id="8"/>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61C1ADD2" w14:textId="77777777" w:rsidR="00D53F94" w:rsidRPr="00E2397D" w:rsidRDefault="00D53F94" w:rsidP="00D53F94">
      <w:pPr>
        <w:widowControl w:val="0"/>
        <w:autoSpaceDE w:val="0"/>
        <w:autoSpaceDN w:val="0"/>
        <w:spacing w:after="0" w:line="276" w:lineRule="auto"/>
        <w:contextualSpacing/>
        <w:rPr>
          <w:rFonts w:ascii="Verdana" w:eastAsia="Arial" w:hAnsi="Verdana" w:cs="Arial"/>
          <w:lang w:val="es-ES" w:eastAsia="es-ES" w:bidi="es-ES"/>
        </w:rPr>
      </w:pPr>
    </w:p>
    <w:p w14:paraId="5E3646A0" w14:textId="77777777" w:rsidR="00D53F94" w:rsidRPr="00E2397D" w:rsidRDefault="00D53F94" w:rsidP="00D53F94">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63405332" w14:textId="77777777" w:rsidR="00D53F94" w:rsidRPr="00E2397D" w:rsidRDefault="00D53F94" w:rsidP="00D53F94">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w:t>
      </w:r>
      <w:r w:rsidRPr="00E2397D">
        <w:rPr>
          <w:rFonts w:ascii="Verdana" w:eastAsia="Arial" w:hAnsi="Verdana" w:cs="Arial"/>
          <w:lang w:val="es-ES" w:eastAsia="es-ES" w:bidi="es-ES"/>
        </w:rPr>
        <w:lastRenderedPageBreak/>
        <w:t xml:space="preserve">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35C494A9" w14:textId="77777777" w:rsidR="00D53F94" w:rsidRDefault="00D53F94" w:rsidP="00D53F94">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187D5A9" w14:textId="77777777" w:rsidR="00D53F94" w:rsidRPr="00E2397D" w:rsidRDefault="00D53F94" w:rsidP="00D53F94">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2" w:name="_Hlk78820161"/>
    </w:p>
    <w:p w14:paraId="631C8C0F" w14:textId="77777777" w:rsidR="00D53F94" w:rsidRPr="00667CD6" w:rsidRDefault="00D53F94" w:rsidP="00D53F94">
      <w:pPr>
        <w:spacing w:after="120" w:line="276" w:lineRule="auto"/>
        <w:jc w:val="both"/>
        <w:rPr>
          <w:rFonts w:ascii="Verdana" w:hAnsi="Verdana" w:cs="Arial"/>
          <w:lang w:val="es-ES"/>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bookmarkEnd w:id="12"/>
      <w:r w:rsidRPr="00667CD6">
        <w:rPr>
          <w:rFonts w:ascii="Verdana" w:hAnsi="Verdana" w:cs="Arial"/>
          <w:lang w:val="es-ES"/>
        </w:rPr>
        <w:t xml:space="preserve">Ahora bien, respecto del alcance del parágrafo </w:t>
      </w:r>
      <w:r w:rsidRPr="00667CD6">
        <w:rPr>
          <w:rFonts w:ascii="Verdana" w:hAnsi="Verdana" w:cs="Arial"/>
        </w:rPr>
        <w:t xml:space="preserve">del artículo 38 de la Ley 996 de 2005, esta prohibición dispone </w:t>
      </w:r>
      <w:r>
        <w:rPr>
          <w:rFonts w:ascii="Verdana" w:hAnsi="Verdana" w:cs="Arial"/>
        </w:rPr>
        <w:t xml:space="preserve">en primera medida </w:t>
      </w:r>
      <w:r w:rsidRPr="00667CD6">
        <w:rPr>
          <w:rFonts w:ascii="Verdana" w:hAnsi="Verdana" w:cs="Arial"/>
        </w:rPr>
        <w:t xml:space="preserve">que: “[l]os Gobernadores, </w:t>
      </w:r>
      <w:proofErr w:type="gramStart"/>
      <w:r w:rsidRPr="00667CD6">
        <w:rPr>
          <w:rFonts w:ascii="Verdana" w:hAnsi="Verdana" w:cs="Arial"/>
        </w:rPr>
        <w:t>Alcaldes</w:t>
      </w:r>
      <w:proofErr w:type="gramEnd"/>
      <w:r w:rsidRPr="00667CD6">
        <w:rPr>
          <w:rFonts w:ascii="Verdana" w:hAnsi="Verdana" w:cs="Arial"/>
        </w:rPr>
        <w:t xml:space="preserve"> Municipales y/o Distritales, </w:t>
      </w:r>
      <w:proofErr w:type="gramStart"/>
      <w:r w:rsidRPr="00667CD6">
        <w:rPr>
          <w:rFonts w:ascii="Verdana" w:hAnsi="Verdana" w:cs="Arial"/>
        </w:rPr>
        <w:t>Secretarios</w:t>
      </w:r>
      <w:proofErr w:type="gramEnd"/>
      <w:r w:rsidRPr="00667CD6">
        <w:rPr>
          <w:rFonts w:ascii="Verdana" w:hAnsi="Verdana" w:cs="Arial"/>
        </w:rPr>
        <w:t xml:space="preserve">, Gerentes y directores de Entidades Descentralizadas del orden Municipal, Departamental o Distrital, dentro de los cuatro (4) meses anteriores a las elecciones, no podrán celebrar </w:t>
      </w:r>
      <w:r w:rsidRPr="00667CD6">
        <w:rPr>
          <w:rFonts w:ascii="Verdana" w:hAnsi="Verdana" w:cs="Arial"/>
          <w:i/>
          <w:iCs/>
        </w:rPr>
        <w:t>convenios interadministrativos</w:t>
      </w:r>
      <w:r w:rsidRPr="00667CD6">
        <w:rPr>
          <w:rFonts w:ascii="Verdana" w:hAnsi="Verdana" w:cs="Arial"/>
        </w:rPr>
        <w:t xml:space="preserve"> </w:t>
      </w:r>
      <w:r w:rsidRPr="00667CD6">
        <w:rPr>
          <w:rFonts w:ascii="Verdana" w:hAnsi="Verdana" w:cs="Arial"/>
          <w:i/>
          <w:iCs/>
        </w:rPr>
        <w:t>para la ejecución de recursos públicos</w:t>
      </w:r>
      <w:r w:rsidRPr="00667CD6">
        <w:rPr>
          <w:rFonts w:ascii="Verdana" w:hAnsi="Verdana" w:cs="Arial"/>
        </w:rPr>
        <w:t>”.</w:t>
      </w:r>
      <w:r w:rsidRPr="00667CD6">
        <w:rPr>
          <w:rFonts w:ascii="Verdana" w:eastAsia="Times New Roman" w:hAnsi="Verdana" w:cs="Arial"/>
          <w:lang w:val="es-MX" w:eastAsia="x-none"/>
        </w:rPr>
        <w:t xml:space="preserve"> [Énfasis fuera del texto original]</w:t>
      </w:r>
    </w:p>
    <w:p w14:paraId="59360938" w14:textId="77777777" w:rsidR="00D53F94" w:rsidRPr="00667CD6" w:rsidRDefault="00D53F94" w:rsidP="00D53F94">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12"/>
      </w:r>
      <w:r w:rsidRPr="00667CD6">
        <w:rPr>
          <w:rFonts w:ascii="Verdana" w:hAnsi="Verdana" w:cs="Arial"/>
          <w:lang w:eastAsia="es-ES"/>
        </w:rPr>
        <w:t>.</w:t>
      </w:r>
    </w:p>
    <w:p w14:paraId="090C8728" w14:textId="77777777" w:rsidR="00D53F94" w:rsidRPr="00667CD6" w:rsidRDefault="00D53F94" w:rsidP="00D53F94">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lastRenderedPageBreak/>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0A9CCE4" w14:textId="77777777" w:rsidR="00D53F94" w:rsidRPr="00667CD6" w:rsidRDefault="00D53F94" w:rsidP="00D53F94">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13"/>
      </w:r>
      <w:r w:rsidRPr="2035D652">
        <w:rPr>
          <w:rFonts w:ascii="Verdana" w:hAnsi="Verdana" w:cs="Arial"/>
          <w:lang w:val="es-ES"/>
        </w:rPr>
        <w:t>. Nótese que, en este caso, lo que cambia es la modalidad de selección y no la naturaleza de contrato interadministrativo.</w:t>
      </w:r>
    </w:p>
    <w:p w14:paraId="4D262BFB" w14:textId="77777777" w:rsidR="00D53F94" w:rsidRPr="00667CD6" w:rsidRDefault="00D53F94" w:rsidP="00D53F94">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14"/>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C721E44" w14:textId="77777777" w:rsidR="00D53F94" w:rsidRPr="00667CD6" w:rsidRDefault="00D53F94" w:rsidP="00D53F94">
      <w:pPr>
        <w:spacing w:before="120" w:after="0" w:line="276" w:lineRule="auto"/>
        <w:ind w:firstLine="708"/>
        <w:jc w:val="both"/>
        <w:rPr>
          <w:rFonts w:ascii="Verdana" w:hAnsi="Verdana"/>
          <w:sz w:val="24"/>
          <w:szCs w:val="24"/>
          <w:lang w:eastAsia="es-CO"/>
        </w:rPr>
      </w:pPr>
      <w:r w:rsidRPr="2035D652">
        <w:rPr>
          <w:rFonts w:ascii="Verdana" w:hAnsi="Verdana" w:cs="Arial"/>
          <w:lang w:val="es-ES"/>
        </w:rPr>
        <w:t xml:space="preserve">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w:t>
      </w:r>
      <w:r w:rsidRPr="2035D652">
        <w:rPr>
          <w:rFonts w:ascii="Verdana" w:hAnsi="Verdana" w:cs="Arial"/>
          <w:lang w:val="es-ES"/>
        </w:rPr>
        <w:lastRenderedPageBreak/>
        <w:t>a la literalidad de las normas enunciadas, no cabe una interpretación diferente</w:t>
      </w:r>
      <w:r w:rsidRPr="2035D652">
        <w:rPr>
          <w:rFonts w:ascii="Verdana" w:hAnsi="Verdana" w:cs="Arial"/>
          <w:vertAlign w:val="superscript"/>
          <w:lang w:val="es-ES"/>
        </w:rPr>
        <w:footnoteReference w:id="15"/>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50FFE7A0" w14:textId="77777777" w:rsidR="00D53F94" w:rsidRPr="00667CD6" w:rsidRDefault="00D53F94" w:rsidP="00D53F94">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0465C590" w14:textId="77777777" w:rsidR="00D53F94" w:rsidRDefault="00D53F94" w:rsidP="00D53F9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4F58D005" w14:textId="77777777" w:rsidR="00D53F94" w:rsidRPr="00667CD6" w:rsidRDefault="00D53F94" w:rsidP="00D53F9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 xml:space="preserve">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w:t>
      </w:r>
      <w:r w:rsidRPr="00C016C8">
        <w:rPr>
          <w:rFonts w:ascii="Verdana" w:eastAsia="Times New Roman" w:hAnsi="Verdana" w:cs="Arial"/>
          <w:lang w:val="es-ES" w:eastAsia="es-CO"/>
        </w:rPr>
        <w:lastRenderedPageBreak/>
        <w:t>precedentes”</w:t>
      </w:r>
      <w:r>
        <w:rPr>
          <w:rStyle w:val="Refdenotaalpie"/>
          <w:rFonts w:ascii="Verdana" w:hAnsi="Verdana" w:cs="Arial"/>
          <w:lang w:val="es-ES"/>
        </w:rPr>
        <w:footnoteReference w:id="16"/>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1D313E30" w14:textId="77777777" w:rsidR="00D53F94" w:rsidRPr="00667CD6" w:rsidRDefault="00D53F94" w:rsidP="00D53F9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052B8046" w14:textId="77777777" w:rsidR="00D53F94" w:rsidRPr="00667CD6" w:rsidRDefault="00D53F94" w:rsidP="00D53F9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 xml:space="preserve">Colombia </w:t>
      </w:r>
      <w:r w:rsidRPr="00667CD6">
        <w:rPr>
          <w:rFonts w:ascii="Verdana" w:hAnsi="Verdana" w:cs="Arial"/>
        </w:rPr>
        <w:lastRenderedPageBreak/>
        <w:t>Compra Eficiente, concretamente, respecto de los siguientes apartes normativos</w:t>
      </w:r>
      <w:r w:rsidRPr="00667CD6">
        <w:rPr>
          <w:rFonts w:ascii="Verdana" w:hAnsi="Verdana" w:cs="Arial"/>
          <w:vertAlign w:val="superscript"/>
        </w:rPr>
        <w:footnoteReference w:id="17"/>
      </w:r>
      <w:r w:rsidRPr="00667CD6">
        <w:rPr>
          <w:rFonts w:ascii="Verdana" w:hAnsi="Verdana" w:cs="Arial"/>
        </w:rPr>
        <w:t xml:space="preserve">: </w:t>
      </w:r>
    </w:p>
    <w:p w14:paraId="70E49FD2" w14:textId="77777777" w:rsidR="00D53F94" w:rsidRPr="00667CD6" w:rsidRDefault="00D53F94" w:rsidP="00D53F94">
      <w:pPr>
        <w:spacing w:after="0" w:line="276" w:lineRule="auto"/>
        <w:ind w:firstLine="709"/>
        <w:jc w:val="both"/>
        <w:rPr>
          <w:rFonts w:ascii="Verdana" w:hAnsi="Verdana" w:cs="Arial"/>
        </w:rPr>
      </w:pPr>
    </w:p>
    <w:p w14:paraId="0DD42371" w14:textId="77777777" w:rsidR="00D53F94" w:rsidRPr="00667CD6" w:rsidRDefault="00D53F94" w:rsidP="00D53F94">
      <w:pPr>
        <w:spacing w:after="12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1E606BF6" w14:textId="77777777" w:rsidR="00D53F94" w:rsidRPr="00667CD6" w:rsidRDefault="00D53F94" w:rsidP="00D53F94">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741A81E6" w14:textId="77777777" w:rsidR="00D53F94" w:rsidRPr="00667CD6" w:rsidRDefault="00D53F94" w:rsidP="00D53F94">
      <w:pPr>
        <w:spacing w:after="0" w:line="276" w:lineRule="auto"/>
        <w:ind w:left="709" w:right="709"/>
        <w:jc w:val="both"/>
        <w:rPr>
          <w:rFonts w:ascii="Verdana" w:hAnsi="Verdana" w:cs="Arial"/>
        </w:rPr>
      </w:pPr>
    </w:p>
    <w:p w14:paraId="37F643F9" w14:textId="77777777" w:rsidR="00D53F94" w:rsidRPr="00667CD6" w:rsidRDefault="00D53F94" w:rsidP="00D53F94">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7D9A8530" w14:textId="77777777" w:rsidR="00D53F94" w:rsidRPr="00667CD6" w:rsidRDefault="00D53F94" w:rsidP="00D53F94">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lastRenderedPageBreak/>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18"/>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2BF48B8F" w14:textId="77777777" w:rsidR="00D53F94" w:rsidRDefault="00D53F94" w:rsidP="00D53F94">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5F9AAFDC" w14:textId="77777777" w:rsidR="00D53F94" w:rsidRDefault="00D53F94" w:rsidP="00D53F94">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19"/>
      </w:r>
      <w:r w:rsidRPr="2035D652">
        <w:rPr>
          <w:rFonts w:ascii="Verdana" w:eastAsia="Times New Roman" w:hAnsi="Verdana" w:cs="Times New Roman"/>
          <w:lang w:eastAsia="es-ES"/>
        </w:rPr>
        <w:t xml:space="preserve">. Sobre el </w:t>
      </w:r>
      <w:r w:rsidRPr="2035D65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4C596CA1" w14:textId="77777777" w:rsidR="00D53F94" w:rsidRDefault="00D53F94" w:rsidP="00D53F94">
      <w:pPr>
        <w:spacing w:after="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20"/>
      </w:r>
      <w:r>
        <w:rPr>
          <w:rFonts w:ascii="Verdana" w:eastAsia="Times New Roman" w:hAnsi="Verdana" w:cs="Arial"/>
          <w:lang w:eastAsia="es-CO"/>
        </w:rPr>
        <w:t>.</w:t>
      </w:r>
    </w:p>
    <w:p w14:paraId="1DA930EF" w14:textId="77777777" w:rsidR="00D53F94" w:rsidRDefault="00D53F94" w:rsidP="00D53F94">
      <w:pPr>
        <w:spacing w:after="0" w:line="276" w:lineRule="auto"/>
        <w:ind w:firstLine="709"/>
        <w:jc w:val="both"/>
        <w:rPr>
          <w:rFonts w:ascii="Verdana" w:eastAsia="Times New Roman" w:hAnsi="Verdana" w:cs="Arial"/>
          <w:lang w:eastAsia="es-CO"/>
        </w:rPr>
      </w:pPr>
    </w:p>
    <w:p w14:paraId="7EC70F7F" w14:textId="77777777" w:rsidR="00D53F94" w:rsidRPr="00D10D3D" w:rsidRDefault="00D53F94" w:rsidP="00D53F94">
      <w:pPr>
        <w:spacing w:after="120" w:line="276" w:lineRule="auto"/>
        <w:jc w:val="both"/>
        <w:rPr>
          <w:rFonts w:ascii="Verdana" w:hAnsi="Verdana" w:cs="Arial"/>
        </w:rPr>
      </w:pPr>
      <w:proofErr w:type="spellStart"/>
      <w:r>
        <w:rPr>
          <w:rFonts w:ascii="Verdana" w:eastAsia="Times New Roman" w:hAnsi="Verdana" w:cs="Arial"/>
          <w:lang w:eastAsia="es-CO"/>
        </w:rPr>
        <w:t>iv</w:t>
      </w:r>
      <w:proofErr w:type="spellEnd"/>
      <w:r>
        <w:rPr>
          <w:rFonts w:ascii="Verdana" w:eastAsia="Times New Roman" w:hAnsi="Verdana" w:cs="Arial"/>
          <w:lang w:eastAsia="es-CO"/>
        </w:rPr>
        <w:t xml:space="preserve">. Por lo demás, </w:t>
      </w:r>
      <w:r>
        <w:rPr>
          <w:rFonts w:ascii="Verdana" w:hAnsi="Verdana" w:cs="Arial"/>
        </w:rPr>
        <w:t>l</w:t>
      </w:r>
      <w:r w:rsidRPr="00D10D3D">
        <w:rPr>
          <w:rFonts w:ascii="Verdana" w:hAnsi="Verdana" w:cs="Arial"/>
        </w:rPr>
        <w:t>a Constitución Política de Colombia consagra en el artículo 69, por una parte, una garantía de autonomía para que las universidades establezcan sus directivas y sus estatutos de acuerdo con la ley; y por otra, la posibilidad de que cuenten con un régimen especial que corresponde dictar al Congreso</w:t>
      </w:r>
      <w:r w:rsidRPr="00D10D3D">
        <w:rPr>
          <w:rStyle w:val="Refdenotaalpie"/>
          <w:rFonts w:ascii="Verdana" w:hAnsi="Verdana" w:cs="Arial"/>
        </w:rPr>
        <w:footnoteReference w:id="21"/>
      </w:r>
      <w:r w:rsidRPr="00D10D3D">
        <w:rPr>
          <w:rStyle w:val="Refdenotaalpie"/>
          <w:rFonts w:ascii="Verdana" w:hAnsi="Verdana" w:cs="Arial"/>
          <w:vertAlign w:val="subscript"/>
        </w:rPr>
        <w:t>.</w:t>
      </w:r>
      <w:r w:rsidRPr="00D10D3D">
        <w:rPr>
          <w:rFonts w:ascii="Verdana" w:hAnsi="Verdana" w:cs="Arial"/>
        </w:rPr>
        <w:t xml:space="preserve"> En desarrollo de lo anterior, se expidió la Ley 30 de 1992, mediante la cual se regularon aspectos como la naturaleza jurídica de las universidades </w:t>
      </w:r>
      <w:r w:rsidRPr="00D10D3D">
        <w:rPr>
          <w:rFonts w:ascii="Verdana" w:hAnsi="Verdana" w:cs="Arial"/>
        </w:rPr>
        <w:lastRenderedPageBreak/>
        <w:t>estatales y oficiales, la forma de organizarse y el régimen de contratación aplicable. As</w:t>
      </w:r>
      <w:r>
        <w:rPr>
          <w:rFonts w:ascii="Verdana" w:hAnsi="Verdana" w:cs="Arial"/>
        </w:rPr>
        <w:t>i</w:t>
      </w:r>
      <w:r w:rsidRPr="00D10D3D">
        <w:rPr>
          <w:rFonts w:ascii="Verdana" w:hAnsi="Verdana" w:cs="Arial"/>
        </w:rPr>
        <w:t>mismo, en el artículo 57 se consignó que el carácter especial del régimen de las universidades estatales u oficiales comprende, entre otros aspectos, el régimen de contratación</w:t>
      </w:r>
      <w:r w:rsidRPr="00D10D3D">
        <w:rPr>
          <w:rStyle w:val="Refdenotaalpie"/>
          <w:rFonts w:ascii="Verdana" w:hAnsi="Verdana" w:cs="Arial"/>
        </w:rPr>
        <w:footnoteReference w:id="22"/>
      </w:r>
      <w:r w:rsidRPr="00D10D3D">
        <w:rPr>
          <w:rFonts w:ascii="Verdana" w:hAnsi="Verdana" w:cs="Arial"/>
        </w:rPr>
        <w:t>. En el mismo sentido, estableció en el artículo 93 que los contratos que celebren las universidades estatales u oficiales se regirán por las normas del derecho privado</w:t>
      </w:r>
      <w:r w:rsidRPr="00D10D3D">
        <w:rPr>
          <w:rStyle w:val="Refdenotaalpie"/>
          <w:rFonts w:ascii="Verdana" w:hAnsi="Verdana" w:cs="Arial"/>
        </w:rPr>
        <w:footnoteReference w:id="23"/>
      </w:r>
      <w:r w:rsidRPr="00D10D3D">
        <w:rPr>
          <w:rFonts w:ascii="Verdana" w:hAnsi="Verdana" w:cs="Arial"/>
        </w:rPr>
        <w:t xml:space="preserve">. </w:t>
      </w:r>
    </w:p>
    <w:p w14:paraId="35AA70B3" w14:textId="77777777" w:rsidR="00D53F94" w:rsidRPr="00D10D3D" w:rsidRDefault="00D53F94" w:rsidP="00D53F94">
      <w:pPr>
        <w:pStyle w:val="Textoindependiente"/>
        <w:spacing w:line="276" w:lineRule="auto"/>
        <w:ind w:right="102" w:firstLine="708"/>
        <w:jc w:val="both"/>
      </w:pPr>
      <w:r w:rsidRPr="00D10D3D">
        <w:t>De otro lado, la Ley 489 de 1998, al desarrollar la estructura y organización de la Administración Pública, establece que los entes universitarios hacen parte integral de esta</w:t>
      </w:r>
      <w:r w:rsidRPr="00D10D3D">
        <w:rPr>
          <w:rStyle w:val="Refdenotaalpie"/>
        </w:rPr>
        <w:footnoteReference w:id="24"/>
      </w:r>
      <w:r w:rsidRPr="00D10D3D">
        <w:t>, catalogándolos como entidades públicas de carácter autónomo a las que aplica un régimen especial</w:t>
      </w:r>
      <w:r w:rsidRPr="00D10D3D">
        <w:rPr>
          <w:rStyle w:val="Refdenotaalpie"/>
        </w:rPr>
        <w:footnoteReference w:id="25"/>
      </w:r>
      <w:r w:rsidRPr="00D10D3D">
        <w:t>.  Al respecto, en la sentencia C-1019 de 2012, la Corte Constitucional señaló:</w:t>
      </w:r>
    </w:p>
    <w:p w14:paraId="66B25CB7" w14:textId="77777777" w:rsidR="00D53F94" w:rsidRPr="00D10D3D" w:rsidRDefault="00D53F94" w:rsidP="00D53F94">
      <w:pPr>
        <w:pStyle w:val="Textoindependiente"/>
        <w:spacing w:line="276" w:lineRule="auto"/>
      </w:pPr>
    </w:p>
    <w:p w14:paraId="639BC294" w14:textId="77777777" w:rsidR="00D53F94" w:rsidRPr="00D10D3D" w:rsidRDefault="00D53F94" w:rsidP="00D53F94">
      <w:pPr>
        <w:pStyle w:val="Textoindependiente"/>
        <w:spacing w:after="120"/>
        <w:ind w:left="709" w:right="709"/>
        <w:jc w:val="both"/>
        <w:rPr>
          <w:sz w:val="20"/>
          <w:szCs w:val="20"/>
        </w:rPr>
      </w:pPr>
      <w:r w:rsidRPr="00D10D3D">
        <w:rPr>
          <w:sz w:val="20"/>
          <w:szCs w:val="20"/>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D10D3D">
        <w:rPr>
          <w:spacing w:val="49"/>
          <w:sz w:val="20"/>
          <w:szCs w:val="20"/>
        </w:rPr>
        <w:t xml:space="preserve"> </w:t>
      </w:r>
      <w:r w:rsidRPr="00D10D3D">
        <w:rPr>
          <w:sz w:val="20"/>
          <w:szCs w:val="20"/>
        </w:rPr>
        <w:t>exige el cumplimiento de la obligación de colaboración armónica consagrado en el artículo 113 de la C.P. para el cumplimiento de las funciones del Estado.</w:t>
      </w:r>
    </w:p>
    <w:p w14:paraId="69848965" w14:textId="77777777" w:rsidR="00D53F94" w:rsidRPr="00D10D3D" w:rsidRDefault="00D53F94" w:rsidP="00D53F94">
      <w:pPr>
        <w:pStyle w:val="Textoindependiente"/>
        <w:ind w:left="709" w:right="709"/>
        <w:jc w:val="both"/>
      </w:pPr>
      <w:r w:rsidRPr="00D10D3D">
        <w:rPr>
          <w:sz w:val="20"/>
          <w:szCs w:val="20"/>
        </w:rPr>
        <w:t xml:space="preserve">Aunque se establezca la participación de representantes del Estado en sus </w:t>
      </w:r>
      <w:r w:rsidRPr="00D10D3D">
        <w:rPr>
          <w:sz w:val="20"/>
          <w:szCs w:val="20"/>
        </w:rPr>
        <w:lastRenderedPageBreak/>
        <w:t xml:space="preserve">órganos de gobierno, la normatividad y la jurisprudencia han reconocido que lo anterior no significa que dichas instituciones hagan parte de la administración central o descentralizada, o se conviertan por ello en órganos dependientes y bajo el control de tutela del Estado, </w:t>
      </w:r>
      <w:r>
        <w:rPr>
          <w:sz w:val="20"/>
          <w:szCs w:val="20"/>
        </w:rPr>
        <w:t>‘</w:t>
      </w:r>
      <w:r w:rsidRPr="00D10D3D">
        <w:rPr>
          <w:sz w:val="20"/>
          <w:szCs w:val="20"/>
        </w:rPr>
        <w:t>pues las universidades estatales por su carácter de entes autónomos no conforman ninguna de las ramas del poder ni pueden formar parte de la administración nacional</w:t>
      </w:r>
      <w:r>
        <w:rPr>
          <w:sz w:val="20"/>
          <w:szCs w:val="20"/>
        </w:rPr>
        <w:t>’</w:t>
      </w:r>
      <w:r w:rsidRPr="00D10D3D">
        <w:rPr>
          <w:rStyle w:val="Refdenotaalpie"/>
          <w:sz w:val="20"/>
          <w:szCs w:val="20"/>
        </w:rPr>
        <w:footnoteReference w:id="26"/>
      </w:r>
      <w:r w:rsidRPr="00D10D3D">
        <w:rPr>
          <w:sz w:val="20"/>
          <w:szCs w:val="20"/>
        </w:rPr>
        <w:t>. De esta manera se pretende preservar a las universidades públicas y oficiales, de las injerencias e interferencias arbitrarias e indebidas del poder</w:t>
      </w:r>
      <w:r w:rsidRPr="00D10D3D">
        <w:rPr>
          <w:spacing w:val="-6"/>
          <w:sz w:val="20"/>
          <w:szCs w:val="20"/>
        </w:rPr>
        <w:t xml:space="preserve"> </w:t>
      </w:r>
      <w:r w:rsidRPr="00D10D3D">
        <w:rPr>
          <w:sz w:val="20"/>
          <w:szCs w:val="20"/>
        </w:rPr>
        <w:t>político”</w:t>
      </w:r>
      <w:r w:rsidRPr="00D10D3D">
        <w:rPr>
          <w:rStyle w:val="Refdenotaalpie"/>
          <w:sz w:val="20"/>
          <w:szCs w:val="20"/>
        </w:rPr>
        <w:footnoteReference w:id="27"/>
      </w:r>
      <w:r w:rsidRPr="00D10D3D">
        <w:rPr>
          <w:sz w:val="20"/>
          <w:szCs w:val="20"/>
        </w:rPr>
        <w:t>.</w:t>
      </w:r>
    </w:p>
    <w:p w14:paraId="1C97DB88" w14:textId="77777777" w:rsidR="00D53F94" w:rsidRPr="00D10D3D" w:rsidRDefault="00D53F94" w:rsidP="00D53F94">
      <w:pPr>
        <w:pStyle w:val="Textoindependiente"/>
        <w:spacing w:line="276" w:lineRule="auto"/>
        <w:ind w:left="709" w:right="709"/>
        <w:jc w:val="both"/>
      </w:pPr>
    </w:p>
    <w:p w14:paraId="08CDC335" w14:textId="77777777" w:rsidR="00D53F94" w:rsidRPr="00D10D3D" w:rsidRDefault="00D53F94" w:rsidP="00D53F94">
      <w:pPr>
        <w:pStyle w:val="Textoindependiente"/>
        <w:spacing w:line="276" w:lineRule="auto"/>
        <w:ind w:firstLine="709"/>
        <w:jc w:val="both"/>
      </w:pPr>
      <w:r w:rsidRPr="00D10D3D">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D10D3D">
        <w:rPr>
          <w:rStyle w:val="Refdenotaalpie"/>
        </w:rPr>
        <w:footnoteReference w:id="28"/>
      </w:r>
      <w:r w:rsidRPr="00D10D3D">
        <w:t>:</w:t>
      </w:r>
    </w:p>
    <w:p w14:paraId="58C670B7" w14:textId="77777777" w:rsidR="00D53F94" w:rsidRPr="00D10D3D" w:rsidRDefault="00D53F94" w:rsidP="00D53F94">
      <w:pPr>
        <w:pStyle w:val="Textoindependiente"/>
        <w:spacing w:line="276" w:lineRule="auto"/>
      </w:pPr>
    </w:p>
    <w:p w14:paraId="4FDEF99E" w14:textId="77777777" w:rsidR="00D53F94" w:rsidRPr="00D10D3D" w:rsidRDefault="00D53F94" w:rsidP="00D53F94">
      <w:pPr>
        <w:pStyle w:val="Textoindependiente"/>
        <w:ind w:left="709" w:right="709"/>
        <w:jc w:val="both"/>
        <w:rPr>
          <w:sz w:val="20"/>
          <w:szCs w:val="20"/>
        </w:rPr>
      </w:pPr>
      <w:r w:rsidRPr="00D10D3D">
        <w:rPr>
          <w:sz w:val="20"/>
          <w:szCs w:val="20"/>
        </w:rPr>
        <w:t>“Ahora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381AF3C5" w14:textId="77777777" w:rsidR="00D53F94" w:rsidRPr="00D10D3D" w:rsidRDefault="00D53F94" w:rsidP="00D53F94">
      <w:pPr>
        <w:pStyle w:val="Textoindependiente"/>
        <w:spacing w:after="120"/>
        <w:ind w:left="709" w:right="709"/>
        <w:rPr>
          <w:sz w:val="20"/>
          <w:szCs w:val="20"/>
        </w:rPr>
      </w:pPr>
      <w:r w:rsidRPr="00D10D3D">
        <w:rPr>
          <w:sz w:val="20"/>
          <w:szCs w:val="20"/>
        </w:rPr>
        <w:t>[…]</w:t>
      </w:r>
    </w:p>
    <w:p w14:paraId="7D06B071" w14:textId="77777777" w:rsidR="00D53F94" w:rsidRPr="00D10D3D" w:rsidRDefault="00D53F94" w:rsidP="00D53F94">
      <w:pPr>
        <w:pStyle w:val="Textoindependiente"/>
        <w:ind w:left="709" w:right="709"/>
        <w:jc w:val="both"/>
        <w:rPr>
          <w:sz w:val="20"/>
          <w:szCs w:val="20"/>
        </w:rPr>
      </w:pPr>
      <w:r w:rsidRPr="00D10D3D">
        <w:rPr>
          <w:sz w:val="20"/>
          <w:szCs w:val="20"/>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04ABE421" w14:textId="77777777" w:rsidR="00D53F94" w:rsidRPr="00D10D3D" w:rsidRDefault="00D53F94" w:rsidP="00D53F94">
      <w:pPr>
        <w:pStyle w:val="Textoindependiente"/>
        <w:ind w:left="709" w:right="709"/>
        <w:jc w:val="both"/>
      </w:pPr>
      <w:r w:rsidRPr="00D10D3D">
        <w:rPr>
          <w:sz w:val="20"/>
          <w:szCs w:val="20"/>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r w:rsidRPr="00D10D3D">
        <w:rPr>
          <w:rStyle w:val="Refdenotaalpie"/>
          <w:sz w:val="20"/>
          <w:szCs w:val="20"/>
        </w:rPr>
        <w:footnoteReference w:id="29"/>
      </w:r>
      <w:r w:rsidRPr="00D10D3D">
        <w:rPr>
          <w:sz w:val="20"/>
          <w:szCs w:val="20"/>
        </w:rPr>
        <w:t>.</w:t>
      </w:r>
    </w:p>
    <w:p w14:paraId="515B69E1" w14:textId="77777777" w:rsidR="00D53F94" w:rsidRPr="00D10D3D" w:rsidRDefault="00D53F94" w:rsidP="00D53F94">
      <w:pPr>
        <w:pStyle w:val="Textoindependiente"/>
        <w:spacing w:line="276" w:lineRule="auto"/>
        <w:ind w:left="748" w:right="535"/>
        <w:jc w:val="both"/>
      </w:pPr>
    </w:p>
    <w:p w14:paraId="3AF9B6CD" w14:textId="77777777" w:rsidR="00D53F94" w:rsidRPr="00D10D3D" w:rsidRDefault="00D53F94" w:rsidP="00D53F94">
      <w:pPr>
        <w:pStyle w:val="Textoindependiente"/>
        <w:spacing w:line="276" w:lineRule="auto"/>
        <w:ind w:firstLine="709"/>
        <w:jc w:val="both"/>
      </w:pPr>
      <w:r w:rsidRPr="00D10D3D">
        <w:lastRenderedPageBreak/>
        <w:t>De este modo,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18E6BD0D" w14:textId="77777777" w:rsidR="00D53F94" w:rsidRPr="00D10D3D" w:rsidRDefault="00D53F94" w:rsidP="00D53F94">
      <w:pPr>
        <w:pStyle w:val="Textoindependiente"/>
        <w:spacing w:line="276" w:lineRule="auto"/>
        <w:ind w:left="180" w:right="108" w:firstLine="528"/>
        <w:jc w:val="both"/>
      </w:pPr>
    </w:p>
    <w:p w14:paraId="66EF68BF" w14:textId="77777777" w:rsidR="00D53F94" w:rsidRPr="00D10D3D" w:rsidRDefault="00D53F94" w:rsidP="00D53F94">
      <w:pPr>
        <w:pStyle w:val="Textoindependiente"/>
        <w:ind w:left="709" w:right="709"/>
        <w:jc w:val="both"/>
        <w:rPr>
          <w:sz w:val="20"/>
          <w:szCs w:val="20"/>
        </w:rPr>
      </w:pPr>
      <w:r w:rsidRPr="00D10D3D">
        <w:rPr>
          <w:sz w:val="20"/>
          <w:szCs w:val="20"/>
        </w:rPr>
        <w:t>“La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w:t>
      </w:r>
      <w:r w:rsidRPr="00D10D3D">
        <w:rPr>
          <w:spacing w:val="-4"/>
          <w:sz w:val="20"/>
          <w:szCs w:val="20"/>
        </w:rPr>
        <w:t xml:space="preserve"> </w:t>
      </w:r>
      <w:r w:rsidRPr="00D10D3D">
        <w:rPr>
          <w:sz w:val="20"/>
          <w:szCs w:val="20"/>
        </w:rPr>
        <w:t>1968”.</w:t>
      </w:r>
    </w:p>
    <w:p w14:paraId="09925D1A" w14:textId="77777777" w:rsidR="00D53F94" w:rsidRPr="00D10D3D" w:rsidRDefault="00D53F94" w:rsidP="00D53F94">
      <w:pPr>
        <w:pStyle w:val="Textoindependiente"/>
        <w:spacing w:line="276" w:lineRule="auto"/>
        <w:ind w:left="748" w:right="533"/>
        <w:jc w:val="both"/>
      </w:pPr>
    </w:p>
    <w:p w14:paraId="4F0A6FA2" w14:textId="77777777" w:rsidR="00D53F94" w:rsidRDefault="00D53F94" w:rsidP="00D53F94">
      <w:pPr>
        <w:spacing w:after="0"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L</w:t>
      </w:r>
      <w:r w:rsidRPr="00D10D3D">
        <w:rPr>
          <w:rFonts w:ascii="Verdana" w:eastAsia="Calibri" w:hAnsi="Verdana" w:cs="Arial"/>
          <w:color w:val="000000" w:themeColor="text1"/>
          <w:lang w:val="es-ES_tradnl"/>
        </w:rPr>
        <w:t>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w:t>
      </w:r>
      <w:r>
        <w:rPr>
          <w:rFonts w:ascii="Verdana" w:eastAsia="Calibri" w:hAnsi="Verdana" w:cs="Arial"/>
          <w:color w:val="000000" w:themeColor="text1"/>
          <w:lang w:val="es-ES_tradnl"/>
        </w:rPr>
        <w:t xml:space="preserve"> En efecto, el artículo 286 superior dispone que –sin perjuicio de lo dispuesto para regiones y provincias, “</w:t>
      </w:r>
      <w:r w:rsidRPr="00586A23">
        <w:rPr>
          <w:rFonts w:ascii="Verdana" w:eastAsia="Calibri" w:hAnsi="Verdana" w:cs="Arial"/>
          <w:color w:val="000000" w:themeColor="text1"/>
          <w:lang w:val="es-ES_tradnl"/>
        </w:rPr>
        <w:t>Son entidades territoriales los departamentos, los distritos, los municipios y los territorios indígenas</w:t>
      </w:r>
      <w:r>
        <w:rPr>
          <w:rFonts w:ascii="Verdana" w:eastAsia="Calibri" w:hAnsi="Verdana" w:cs="Arial"/>
          <w:color w:val="000000" w:themeColor="text1"/>
          <w:lang w:val="es-ES_tradnl"/>
        </w:rPr>
        <w:t>”. Por tanto, como e</w:t>
      </w:r>
      <w:r w:rsidRPr="00046AE2">
        <w:rPr>
          <w:rFonts w:ascii="Verdana" w:eastAsia="Calibri" w:hAnsi="Verdana" w:cs="Arial"/>
          <w:color w:val="000000" w:themeColor="text1"/>
          <w:lang w:val="es-ES_tradnl"/>
        </w:rPr>
        <w:t xml:space="preserve">l parágrafo del artículo 38 de la </w:t>
      </w:r>
      <w:r>
        <w:rPr>
          <w:rFonts w:ascii="Verdana" w:eastAsia="Calibri" w:hAnsi="Verdana" w:cs="Arial"/>
          <w:color w:val="000000" w:themeColor="text1"/>
          <w:lang w:val="es-ES_tradnl"/>
        </w:rPr>
        <w:t>L</w:t>
      </w:r>
      <w:r w:rsidRPr="00046AE2">
        <w:rPr>
          <w:rFonts w:ascii="Verdana" w:eastAsia="Calibri" w:hAnsi="Verdana" w:cs="Arial"/>
          <w:color w:val="000000" w:themeColor="text1"/>
          <w:lang w:val="es-ES_tradnl"/>
        </w:rPr>
        <w:t xml:space="preserve">ey de </w:t>
      </w:r>
      <w:r>
        <w:rPr>
          <w:rFonts w:ascii="Verdana" w:eastAsia="Calibri" w:hAnsi="Verdana" w:cs="Arial"/>
          <w:color w:val="000000" w:themeColor="text1"/>
          <w:lang w:val="es-ES_tradnl"/>
        </w:rPr>
        <w:t>G</w:t>
      </w:r>
      <w:r w:rsidRPr="00046AE2">
        <w:rPr>
          <w:rFonts w:ascii="Verdana" w:eastAsia="Calibri" w:hAnsi="Verdana" w:cs="Arial"/>
          <w:color w:val="000000" w:themeColor="text1"/>
          <w:lang w:val="es-ES_tradnl"/>
        </w:rPr>
        <w:t xml:space="preserve">arantías </w:t>
      </w:r>
      <w:r>
        <w:rPr>
          <w:rFonts w:ascii="Verdana" w:eastAsia="Calibri" w:hAnsi="Verdana" w:cs="Arial"/>
          <w:color w:val="000000" w:themeColor="text1"/>
          <w:lang w:val="es-ES_tradnl"/>
        </w:rPr>
        <w:t>E</w:t>
      </w:r>
      <w:r w:rsidRPr="00046AE2">
        <w:rPr>
          <w:rFonts w:ascii="Verdana" w:eastAsia="Calibri" w:hAnsi="Verdana" w:cs="Arial"/>
          <w:color w:val="000000" w:themeColor="text1"/>
          <w:lang w:val="es-ES_tradnl"/>
        </w:rPr>
        <w:t>lectorales</w:t>
      </w:r>
      <w:r>
        <w:rPr>
          <w:rFonts w:ascii="Verdana" w:eastAsia="Calibri" w:hAnsi="Verdana" w:cs="Arial"/>
          <w:color w:val="000000" w:themeColor="text1"/>
          <w:lang w:val="es-ES_tradnl"/>
        </w:rPr>
        <w:t xml:space="preserve"> </w:t>
      </w:r>
      <w:r w:rsidRPr="00046AE2">
        <w:rPr>
          <w:rFonts w:ascii="Verdana" w:eastAsia="Calibri" w:hAnsi="Verdana" w:cs="Arial"/>
          <w:color w:val="000000" w:themeColor="text1"/>
          <w:lang w:val="es-ES_tradnl"/>
        </w:rPr>
        <w:t xml:space="preserve">restringe la celebración de convenios interadministrativos por entidades estatales del orden territorial y descentralizado, </w:t>
      </w:r>
      <w:r>
        <w:rPr>
          <w:rFonts w:ascii="Verdana" w:eastAsia="Calibri" w:hAnsi="Verdana" w:cs="Arial"/>
          <w:color w:val="000000" w:themeColor="text1"/>
          <w:lang w:val="es-ES_tradnl"/>
        </w:rPr>
        <w:t xml:space="preserve">la prohibición </w:t>
      </w:r>
      <w:r w:rsidRPr="00046AE2">
        <w:rPr>
          <w:rFonts w:ascii="Verdana" w:eastAsia="Calibri" w:hAnsi="Verdana" w:cs="Arial"/>
          <w:color w:val="000000" w:themeColor="text1"/>
          <w:lang w:val="es-ES_tradnl"/>
        </w:rPr>
        <w:t xml:space="preserve">no es aplicable a las universidades públicas, debido a que, en virtud de su atributo constitucional de autonomía, no son ni pueden asimilarse a las entidades públicas que expresamente </w:t>
      </w:r>
      <w:r>
        <w:rPr>
          <w:rFonts w:ascii="Verdana" w:eastAsia="Calibri" w:hAnsi="Verdana" w:cs="Arial"/>
          <w:color w:val="000000" w:themeColor="text1"/>
          <w:lang w:val="es-ES_tradnl"/>
        </w:rPr>
        <w:t>contempla</w:t>
      </w:r>
      <w:r w:rsidRPr="00046AE2">
        <w:rPr>
          <w:rFonts w:ascii="Verdana" w:eastAsia="Calibri" w:hAnsi="Verdana" w:cs="Arial"/>
          <w:color w:val="000000" w:themeColor="text1"/>
          <w:lang w:val="es-ES_tradnl"/>
        </w:rPr>
        <w:t xml:space="preserve"> la norma.</w:t>
      </w:r>
    </w:p>
    <w:p w14:paraId="5E6974BD" w14:textId="77777777" w:rsidR="00D53F94" w:rsidRPr="00046AE2" w:rsidRDefault="00D53F94" w:rsidP="00D53F94">
      <w:pPr>
        <w:spacing w:after="0" w:line="276" w:lineRule="auto"/>
        <w:ind w:firstLine="708"/>
        <w:jc w:val="both"/>
        <w:rPr>
          <w:rFonts w:ascii="Verdana" w:eastAsia="Calibri" w:hAnsi="Verdana" w:cs="Arial"/>
          <w:color w:val="000000" w:themeColor="text1"/>
          <w:lang w:val="es-ES_tradnl"/>
        </w:rPr>
      </w:pPr>
    </w:p>
    <w:p w14:paraId="55A7122B" w14:textId="2513E11C" w:rsidR="00815B83" w:rsidRPr="003D0447" w:rsidRDefault="00D53F94" w:rsidP="00C958D1">
      <w:pPr>
        <w:widowControl w:val="0"/>
        <w:autoSpaceDE w:val="0"/>
        <w:autoSpaceDN w:val="0"/>
        <w:spacing w:after="120" w:line="276" w:lineRule="auto"/>
        <w:jc w:val="both"/>
        <w:rPr>
          <w:rFonts w:ascii="Verdana" w:hAnsi="Verdana" w:cs="Arial"/>
          <w:color w:val="000000"/>
        </w:rPr>
      </w:pPr>
      <w:r>
        <w:rPr>
          <w:rFonts w:ascii="Verdana" w:eastAsia="Calibri" w:hAnsi="Verdana" w:cs="Arial"/>
          <w:bCs/>
          <w:color w:val="000000" w:themeColor="text1"/>
        </w:rPr>
        <w:t xml:space="preserve">v. </w:t>
      </w:r>
      <w:r w:rsidR="00815B83" w:rsidRPr="003D0447">
        <w:rPr>
          <w:rFonts w:ascii="Verdana" w:hAnsi="Verdana" w:cs="Arial"/>
          <w:bCs/>
          <w:color w:val="000000" w:themeColor="text1"/>
          <w:lang w:eastAsia="es-ES_tradnl"/>
        </w:rPr>
        <w:t xml:space="preserve">No obstante, es preciso advertir que no todas las instituciones de educación superior públicas obedecen a la naturaleza jurídica de entes universitarios autónomos o universidades públicas, </w:t>
      </w:r>
      <w:r w:rsidR="00081367">
        <w:rPr>
          <w:rFonts w:ascii="Verdana" w:hAnsi="Verdana" w:cs="Arial"/>
          <w:bCs/>
          <w:color w:val="000000" w:themeColor="text1"/>
          <w:lang w:eastAsia="es-ES_tradnl"/>
        </w:rPr>
        <w:t>pues</w:t>
      </w:r>
      <w:r w:rsidR="00815B83" w:rsidRPr="003D0447">
        <w:rPr>
          <w:rFonts w:ascii="Verdana" w:hAnsi="Verdana" w:cs="Arial"/>
          <w:bCs/>
          <w:color w:val="000000" w:themeColor="text1"/>
          <w:lang w:eastAsia="es-ES_tradnl"/>
        </w:rPr>
        <w:t xml:space="preserve"> el parágrafo 1 del artículo 57 de la Ley 30 de 1992 establece que las </w:t>
      </w:r>
      <w:r w:rsidR="00815B83">
        <w:rPr>
          <w:rFonts w:ascii="Verdana" w:hAnsi="Verdana" w:cs="Arial"/>
          <w:bCs/>
          <w:color w:val="000000" w:themeColor="text1"/>
          <w:lang w:eastAsia="es-ES_tradnl"/>
        </w:rPr>
        <w:t>“</w:t>
      </w:r>
      <w:r w:rsidR="00815B83" w:rsidRPr="003D0447">
        <w:rPr>
          <w:rFonts w:ascii="Verdana" w:hAnsi="Verdana" w:cs="Arial"/>
          <w:color w:val="000000"/>
        </w:rPr>
        <w:t xml:space="preserve">Las instituciones estatales u oficiales de Educación Superior que no tengan el carácter de universidad […] deberán organizarse como Establecimientos Públicos del orden Nacional, Departamental, </w:t>
      </w:r>
      <w:r w:rsidR="00815B83" w:rsidRPr="003D0447">
        <w:rPr>
          <w:rFonts w:ascii="Verdana" w:hAnsi="Verdana" w:cs="Arial"/>
          <w:color w:val="000000"/>
        </w:rPr>
        <w:lastRenderedPageBreak/>
        <w:t>Distrital o Municipal</w:t>
      </w:r>
      <w:r w:rsidR="00815B83">
        <w:rPr>
          <w:rFonts w:ascii="Verdana" w:hAnsi="Verdana" w:cs="Arial"/>
          <w:color w:val="000000"/>
        </w:rPr>
        <w:t>”</w:t>
      </w:r>
      <w:r w:rsidR="00815B83" w:rsidRPr="003D0447">
        <w:rPr>
          <w:rFonts w:ascii="Verdana" w:hAnsi="Verdana" w:cs="Arial"/>
          <w:color w:val="000000"/>
        </w:rPr>
        <w:t>. Esta norma además es referida en la Ley 749 de 2002</w:t>
      </w:r>
      <w:r w:rsidR="00081367">
        <w:rPr>
          <w:rFonts w:ascii="Verdana" w:hAnsi="Verdana" w:cs="Arial"/>
          <w:color w:val="000000"/>
        </w:rPr>
        <w:t>, “</w:t>
      </w:r>
      <w:r w:rsidR="00815B83" w:rsidRPr="003D0447">
        <w:rPr>
          <w:rFonts w:ascii="Verdana" w:hAnsi="Verdana" w:cs="Arial"/>
          <w:color w:val="000000"/>
        </w:rPr>
        <w:t>por la cual se organiza el servicio público de la educación superior en las modalidades de formación técnica profesional y tecnológica, y se dictan otras disposiciones</w:t>
      </w:r>
      <w:r w:rsidR="00081367">
        <w:rPr>
          <w:rFonts w:ascii="Verdana" w:hAnsi="Verdana" w:cs="Arial"/>
          <w:color w:val="000000"/>
        </w:rPr>
        <w:t>”</w:t>
      </w:r>
      <w:r w:rsidR="00815B83" w:rsidRPr="003D0447">
        <w:rPr>
          <w:rFonts w:ascii="Verdana" w:hAnsi="Verdana" w:cs="Arial"/>
          <w:color w:val="000000"/>
        </w:rPr>
        <w:t xml:space="preserve">, cuyo artículo 18 </w:t>
      </w:r>
      <w:r w:rsidR="00081367">
        <w:rPr>
          <w:rFonts w:ascii="Verdana" w:hAnsi="Verdana" w:cs="Arial"/>
          <w:color w:val="000000"/>
        </w:rPr>
        <w:t>dispone</w:t>
      </w:r>
      <w:r w:rsidR="00815B83" w:rsidRPr="003D0447">
        <w:rPr>
          <w:rFonts w:ascii="Verdana" w:hAnsi="Verdana" w:cs="Arial"/>
          <w:color w:val="000000"/>
        </w:rPr>
        <w:t xml:space="preserve"> </w:t>
      </w:r>
      <w:r w:rsidR="00815B83" w:rsidRPr="00FD14D9">
        <w:rPr>
          <w:rFonts w:ascii="Verdana" w:hAnsi="Verdana" w:cs="Arial"/>
          <w:color w:val="000000"/>
        </w:rPr>
        <w:t>que</w:t>
      </w:r>
      <w:r w:rsidR="00081367">
        <w:rPr>
          <w:rFonts w:ascii="Verdana" w:hAnsi="Verdana" w:cs="Arial"/>
          <w:color w:val="000000"/>
        </w:rPr>
        <w:t xml:space="preserve"> “</w:t>
      </w:r>
      <w:r w:rsidR="00815B83" w:rsidRPr="00FD14D9">
        <w:rPr>
          <w:rFonts w:ascii="Verdana" w:hAnsi="Verdana" w:cs="Arial"/>
          <w:color w:val="000000"/>
        </w:rPr>
        <w:t>Las</w:t>
      </w:r>
      <w:r w:rsidR="00815B83" w:rsidRPr="003D0447">
        <w:rPr>
          <w:rFonts w:ascii="Verdana" w:hAnsi="Verdana" w:cs="Arial"/>
          <w:color w:val="000000"/>
        </w:rPr>
        <w:t xml:space="preserve"> instituciones técnicas profesionales y tecnológicas de educación superior estatales u oficiales, son establecimientos públicos de conformidad con el artículo 57 de la Ley 30 de 1992</w:t>
      </w:r>
      <w:r w:rsidR="00815B83">
        <w:rPr>
          <w:rFonts w:ascii="Verdana" w:hAnsi="Verdana" w:cs="Arial"/>
          <w:color w:val="000000"/>
        </w:rPr>
        <w:t>”</w:t>
      </w:r>
      <w:r w:rsidR="00815B83" w:rsidRPr="003D0447">
        <w:rPr>
          <w:rFonts w:ascii="Verdana" w:hAnsi="Verdana" w:cs="Arial"/>
          <w:color w:val="000000"/>
        </w:rPr>
        <w:t>.</w:t>
      </w:r>
    </w:p>
    <w:p w14:paraId="0570D4DD" w14:textId="3FF2912D" w:rsidR="00815B83" w:rsidRPr="003D0447" w:rsidRDefault="00815B83" w:rsidP="00815B83">
      <w:pPr>
        <w:pStyle w:val="NormalWeb"/>
        <w:spacing w:before="0" w:beforeAutospacing="0" w:after="120" w:afterAutospacing="0" w:line="276" w:lineRule="auto"/>
        <w:ind w:firstLine="708"/>
        <w:jc w:val="both"/>
        <w:rPr>
          <w:rFonts w:ascii="Verdana" w:hAnsi="Verdana" w:cs="Arial"/>
          <w:color w:val="000000"/>
          <w:sz w:val="22"/>
          <w:szCs w:val="22"/>
        </w:rPr>
      </w:pPr>
      <w:r w:rsidRPr="003D0447">
        <w:rPr>
          <w:rFonts w:ascii="Verdana" w:hAnsi="Verdana" w:cs="Arial"/>
          <w:bCs/>
          <w:color w:val="000000" w:themeColor="text1"/>
          <w:sz w:val="22"/>
          <w:szCs w:val="22"/>
          <w:lang w:eastAsia="es-ES_tradnl"/>
        </w:rPr>
        <w:t xml:space="preserve">Los establecimientos públicos </w:t>
      </w:r>
      <w:r w:rsidR="007829E1">
        <w:rPr>
          <w:rFonts w:ascii="Verdana" w:hAnsi="Verdana" w:cs="Arial"/>
          <w:bCs/>
          <w:color w:val="000000"/>
          <w:sz w:val="22"/>
          <w:szCs w:val="22"/>
        </w:rPr>
        <w:t>están</w:t>
      </w:r>
      <w:r w:rsidRPr="003D0447">
        <w:rPr>
          <w:rFonts w:ascii="Verdana" w:hAnsi="Verdana" w:cs="Arial"/>
          <w:bCs/>
          <w:color w:val="000000"/>
          <w:sz w:val="22"/>
          <w:szCs w:val="22"/>
        </w:rPr>
        <w:t xml:space="preserve"> definidos</w:t>
      </w:r>
      <w:r w:rsidRPr="003D0447">
        <w:rPr>
          <w:rFonts w:ascii="Verdana" w:hAnsi="Verdana" w:cs="Arial"/>
          <w:color w:val="000000"/>
          <w:sz w:val="22"/>
          <w:szCs w:val="22"/>
        </w:rPr>
        <w:t xml:space="preserve"> por el artículo 70 de la Ley 489 de 1998 como </w:t>
      </w:r>
      <w:r>
        <w:rPr>
          <w:rFonts w:ascii="Verdana" w:hAnsi="Verdana" w:cs="Arial"/>
          <w:color w:val="000000"/>
          <w:sz w:val="22"/>
          <w:szCs w:val="22"/>
        </w:rPr>
        <w:t>“</w:t>
      </w:r>
      <w:r w:rsidRPr="003D0447">
        <w:rPr>
          <w:rFonts w:ascii="Verdana" w:hAnsi="Verdana" w:cs="Arial"/>
          <w:color w:val="000000"/>
          <w:sz w:val="22"/>
          <w:szCs w:val="22"/>
        </w:rPr>
        <w:t>[…] organismos encargados principalmente de atender funciones administrativas y de prestar servicios públicos conforme a las reglas del Derecho Público</w:t>
      </w:r>
      <w:r>
        <w:rPr>
          <w:rFonts w:ascii="Verdana" w:hAnsi="Verdana" w:cs="Arial"/>
          <w:color w:val="000000"/>
          <w:sz w:val="22"/>
          <w:szCs w:val="22"/>
        </w:rPr>
        <w:t>”</w:t>
      </w:r>
      <w:r w:rsidRPr="003D0447">
        <w:rPr>
          <w:rFonts w:ascii="Verdana" w:hAnsi="Verdana" w:cs="Arial"/>
          <w:color w:val="000000"/>
          <w:sz w:val="22"/>
          <w:szCs w:val="22"/>
        </w:rPr>
        <w:t xml:space="preserve">. Dicha norma además establece como atributos de este tipo de entidades: la personería jurídica, la autonomía administrativa y financiera y patrimonio independiente. Por su parte, el artículo 68 de la Ley 489 de 1998, al definir las entidades descentralizadas, expresamente contempla a los establecimientos públicos, lo que supone que, al margen de la autonomía de la que gozan, </w:t>
      </w:r>
      <w:r>
        <w:rPr>
          <w:rFonts w:ascii="Verdana" w:hAnsi="Verdana" w:cs="Arial"/>
          <w:color w:val="000000"/>
          <w:sz w:val="22"/>
          <w:szCs w:val="22"/>
        </w:rPr>
        <w:t>“</w:t>
      </w:r>
      <w:r w:rsidRPr="003D0447">
        <w:rPr>
          <w:rFonts w:ascii="Verdana" w:hAnsi="Verdana" w:cs="Arial"/>
          <w:color w:val="000000"/>
          <w:sz w:val="22"/>
          <w:szCs w:val="22"/>
        </w:rPr>
        <w:t>[…] están sujetas al control político y a la suprema dirección del órgano de la administración al cual están adscritas</w:t>
      </w:r>
      <w:r>
        <w:rPr>
          <w:rFonts w:ascii="Verdana" w:hAnsi="Verdana" w:cs="Arial"/>
          <w:color w:val="000000"/>
          <w:sz w:val="22"/>
          <w:szCs w:val="22"/>
        </w:rPr>
        <w:t>”</w:t>
      </w:r>
      <w:r w:rsidRPr="003D0447">
        <w:rPr>
          <w:rFonts w:ascii="Verdana" w:hAnsi="Verdana" w:cs="Arial"/>
          <w:color w:val="000000"/>
          <w:sz w:val="22"/>
          <w:szCs w:val="22"/>
        </w:rPr>
        <w:t xml:space="preserve">. De esto se colige que, a diferencia de las universidades públicas, las instituciones de educación superior constituidas como establecimientos públicos sí son consideradas entidades descentralizadas, por lo que no están excluidos del control de tutela propio de la descentralización. </w:t>
      </w:r>
    </w:p>
    <w:p w14:paraId="54A2E293" w14:textId="4FDA4CFF" w:rsidR="00815B83" w:rsidRPr="003D0447" w:rsidRDefault="00815B83" w:rsidP="00815B83">
      <w:pPr>
        <w:pStyle w:val="NormalWeb"/>
        <w:spacing w:before="0" w:beforeAutospacing="0" w:after="120" w:afterAutospacing="0" w:line="276" w:lineRule="auto"/>
        <w:ind w:firstLine="708"/>
        <w:jc w:val="both"/>
        <w:rPr>
          <w:rFonts w:ascii="Verdana" w:hAnsi="Verdana" w:cs="Arial"/>
          <w:color w:val="000000"/>
          <w:sz w:val="22"/>
          <w:szCs w:val="22"/>
        </w:rPr>
      </w:pPr>
      <w:r w:rsidRPr="003D0447">
        <w:rPr>
          <w:rFonts w:ascii="Verdana" w:hAnsi="Verdana" w:cs="Arial"/>
          <w:color w:val="000000"/>
          <w:sz w:val="22"/>
          <w:szCs w:val="22"/>
        </w:rPr>
        <w:t xml:space="preserve">En cuanto al régimen contractual de los establecimientos públicos, el artículo 81 de la Ley 489 de 1998 prevé que </w:t>
      </w:r>
      <w:r>
        <w:rPr>
          <w:rFonts w:ascii="Verdana" w:hAnsi="Verdana" w:cs="Arial"/>
          <w:color w:val="000000"/>
          <w:sz w:val="22"/>
          <w:szCs w:val="22"/>
        </w:rPr>
        <w:t>“</w:t>
      </w:r>
      <w:r w:rsidRPr="003D0447">
        <w:rPr>
          <w:rFonts w:ascii="Verdana" w:hAnsi="Verdana" w:cs="Arial"/>
          <w:color w:val="000000"/>
          <w:sz w:val="22"/>
          <w:szCs w:val="22"/>
        </w:rPr>
        <w:t>Los contratos que celebren […] se rigen por las normas del Estatuto Contractual de las entidades estatales contenido en la Ley 80 de 1993 y las disposiciones que lo complementen, adicionen o modifiquen, sin perjuicio de lo dispuesto en las normas especiales</w:t>
      </w:r>
      <w:r>
        <w:rPr>
          <w:rFonts w:ascii="Verdana" w:hAnsi="Verdana" w:cs="Arial"/>
          <w:color w:val="000000"/>
          <w:sz w:val="22"/>
          <w:szCs w:val="22"/>
        </w:rPr>
        <w:t>”</w:t>
      </w:r>
      <w:r w:rsidRPr="003D0447">
        <w:rPr>
          <w:rFonts w:ascii="Verdana" w:hAnsi="Verdana" w:cs="Arial"/>
          <w:color w:val="000000"/>
          <w:sz w:val="22"/>
          <w:szCs w:val="22"/>
        </w:rPr>
        <w:t xml:space="preserve">. </w:t>
      </w:r>
      <w:r w:rsidRPr="003D0447">
        <w:rPr>
          <w:rFonts w:ascii="Verdana" w:hAnsi="Verdana" w:cs="Arial"/>
          <w:bCs/>
          <w:color w:val="000000" w:themeColor="text1"/>
          <w:sz w:val="22"/>
          <w:szCs w:val="22"/>
          <w:lang w:eastAsia="es-ES_tradnl"/>
        </w:rPr>
        <w:t>Esto es concordante con el artículo 2</w:t>
      </w:r>
      <w:r w:rsidR="00D350D3">
        <w:rPr>
          <w:rFonts w:ascii="Verdana" w:hAnsi="Verdana" w:cs="Arial"/>
          <w:bCs/>
          <w:color w:val="000000" w:themeColor="text1"/>
          <w:sz w:val="22"/>
          <w:szCs w:val="22"/>
          <w:lang w:eastAsia="es-ES_tradnl"/>
        </w:rPr>
        <w:t>.</w:t>
      </w:r>
      <w:r w:rsidRPr="003D0447">
        <w:rPr>
          <w:rFonts w:ascii="Verdana" w:hAnsi="Verdana" w:cs="Arial"/>
          <w:bCs/>
          <w:color w:val="000000" w:themeColor="text1"/>
          <w:sz w:val="22"/>
          <w:szCs w:val="22"/>
          <w:lang w:eastAsia="es-ES_tradnl"/>
        </w:rPr>
        <w:t>1 de la Ley 80 de 1993</w:t>
      </w:r>
      <w:r w:rsidRPr="003D0447">
        <w:rPr>
          <w:rStyle w:val="Refdenotaalpie"/>
          <w:rFonts w:ascii="Verdana" w:hAnsi="Verdana" w:cs="Arial"/>
          <w:bCs/>
          <w:color w:val="000000" w:themeColor="text1"/>
          <w:sz w:val="22"/>
          <w:szCs w:val="22"/>
          <w:lang w:eastAsia="es-ES_tradnl"/>
        </w:rPr>
        <w:footnoteReference w:id="30"/>
      </w:r>
      <w:r w:rsidRPr="003D0447">
        <w:rPr>
          <w:rFonts w:ascii="Verdana" w:hAnsi="Verdana" w:cs="Arial"/>
          <w:bCs/>
          <w:color w:val="000000" w:themeColor="text1"/>
          <w:sz w:val="22"/>
          <w:szCs w:val="22"/>
          <w:lang w:eastAsia="es-ES_tradnl"/>
        </w:rPr>
        <w:t xml:space="preserve">, que, al enlistar </w:t>
      </w:r>
      <w:r w:rsidRPr="003D0447">
        <w:rPr>
          <w:rFonts w:ascii="Verdana" w:hAnsi="Verdana" w:cs="Arial"/>
          <w:bCs/>
          <w:color w:val="000000" w:themeColor="text1"/>
          <w:sz w:val="22"/>
          <w:szCs w:val="22"/>
          <w:lang w:eastAsia="es-ES_tradnl"/>
        </w:rPr>
        <w:lastRenderedPageBreak/>
        <w:t xml:space="preserve">a los establecimientos públicos dentro de las entidades estatales, incluye a este tipo de entidades dentro del ámbito de aplicación del régimen general de contratación público. Así, el régimen contractual constituye otra importante diferencia entre las universidades públicas y los establecimientos públicos de educación superior, al estar las primeras sometidas a regímenes de derecho privado, en virtud de lo señalado en el artículo 93 de la Ley 30 de 1992, que únicamente se refiere a </w:t>
      </w:r>
      <w:r>
        <w:rPr>
          <w:rFonts w:ascii="Verdana" w:hAnsi="Verdana" w:cs="Arial"/>
          <w:bCs/>
          <w:color w:val="000000" w:themeColor="text1"/>
          <w:sz w:val="22"/>
          <w:szCs w:val="22"/>
          <w:lang w:eastAsia="es-ES_tradnl"/>
        </w:rPr>
        <w:t>“</w:t>
      </w:r>
      <w:r w:rsidRPr="003D0447">
        <w:rPr>
          <w:rFonts w:ascii="Verdana" w:hAnsi="Verdana" w:cs="Arial"/>
          <w:sz w:val="22"/>
          <w:szCs w:val="22"/>
        </w:rPr>
        <w:t>universidades</w:t>
      </w:r>
      <w:r w:rsidRPr="003D0447">
        <w:rPr>
          <w:rFonts w:ascii="Verdana" w:hAnsi="Verdana" w:cs="Arial"/>
          <w:bCs/>
          <w:color w:val="000000" w:themeColor="text1"/>
          <w:sz w:val="22"/>
          <w:szCs w:val="22"/>
          <w:lang w:eastAsia="es-ES_tradnl"/>
        </w:rPr>
        <w:t xml:space="preserve"> estatales u oficiales</w:t>
      </w:r>
      <w:r>
        <w:rPr>
          <w:rFonts w:ascii="Verdana" w:hAnsi="Verdana" w:cs="Arial"/>
          <w:bCs/>
          <w:color w:val="000000" w:themeColor="text1"/>
          <w:sz w:val="22"/>
          <w:szCs w:val="22"/>
          <w:lang w:eastAsia="es-ES_tradnl"/>
        </w:rPr>
        <w:t>”</w:t>
      </w:r>
      <w:r w:rsidRPr="003D0447">
        <w:rPr>
          <w:rFonts w:ascii="Verdana" w:hAnsi="Verdana" w:cs="Arial"/>
          <w:bCs/>
          <w:color w:val="000000" w:themeColor="text1"/>
          <w:sz w:val="22"/>
          <w:szCs w:val="22"/>
          <w:lang w:eastAsia="es-ES_tradnl"/>
        </w:rPr>
        <w:t>, más no a los establecimientos públicos de los que habla el artículo 57 de dicha ley en su parágrafo 1.</w:t>
      </w:r>
    </w:p>
    <w:p w14:paraId="5FD498A0" w14:textId="402EF284" w:rsidR="00815B83" w:rsidRDefault="00990BF1" w:rsidP="00990BF1">
      <w:pPr>
        <w:pStyle w:val="NormalWeb"/>
        <w:spacing w:before="0" w:beforeAutospacing="0" w:after="0" w:afterAutospacing="0" w:line="276" w:lineRule="auto"/>
        <w:ind w:firstLine="708"/>
        <w:jc w:val="both"/>
        <w:rPr>
          <w:rFonts w:ascii="Verdana" w:hAnsi="Verdana" w:cs="Arial"/>
          <w:color w:val="000000"/>
          <w:sz w:val="22"/>
          <w:szCs w:val="22"/>
        </w:rPr>
      </w:pPr>
      <w:r w:rsidRPr="003D0447">
        <w:rPr>
          <w:rFonts w:ascii="Verdana" w:hAnsi="Verdana" w:cs="Arial"/>
          <w:color w:val="000000"/>
          <w:sz w:val="22"/>
          <w:szCs w:val="22"/>
        </w:rPr>
        <w:t xml:space="preserve">Conforme </w:t>
      </w:r>
      <w:r>
        <w:rPr>
          <w:rFonts w:ascii="Verdana" w:hAnsi="Verdana" w:cs="Arial"/>
          <w:color w:val="000000"/>
          <w:sz w:val="22"/>
          <w:szCs w:val="22"/>
        </w:rPr>
        <w:t xml:space="preserve">a lo explicado </w:t>
      </w:r>
      <w:r w:rsidRPr="00C958D1">
        <w:rPr>
          <w:rFonts w:ascii="Verdana" w:hAnsi="Verdana" w:cs="Arial"/>
          <w:i/>
          <w:iCs/>
          <w:color w:val="000000"/>
          <w:sz w:val="22"/>
          <w:szCs w:val="22"/>
        </w:rPr>
        <w:t>ut</w:t>
      </w:r>
      <w:r w:rsidRPr="003D0447">
        <w:rPr>
          <w:rFonts w:ascii="Verdana" w:hAnsi="Verdana" w:cs="Arial"/>
          <w:color w:val="000000"/>
          <w:sz w:val="22"/>
          <w:szCs w:val="22"/>
        </w:rPr>
        <w:t xml:space="preserve"> </w:t>
      </w:r>
      <w:r w:rsidRPr="003D0447">
        <w:rPr>
          <w:rFonts w:ascii="Verdana" w:hAnsi="Verdana" w:cs="Arial"/>
          <w:i/>
          <w:iCs/>
          <w:color w:val="000000"/>
          <w:sz w:val="22"/>
          <w:szCs w:val="22"/>
        </w:rPr>
        <w:t>supra</w:t>
      </w:r>
      <w:r w:rsidRPr="003D0447">
        <w:rPr>
          <w:rFonts w:ascii="Verdana" w:hAnsi="Verdana" w:cs="Arial"/>
          <w:color w:val="000000"/>
          <w:sz w:val="22"/>
          <w:szCs w:val="22"/>
        </w:rPr>
        <w:t>, la restricción que deriva del primer inciso del parágrafo del artículo 38 tiene como destinatarios a los entes territoriales y sus entidades descentralizadas, lo que excluye de la prohibición a los entes universitarios autónomos que, de acuerdo con lo manifestado en el presente concepto, no son considerados entidades descentralizadas y mucho menos entidades territoriales. Caso contrario ocurre con las instituciones de educación superior constituidas como establecimientos públicos, quienes s</w:t>
      </w:r>
      <w:r w:rsidR="005E6B20">
        <w:rPr>
          <w:rFonts w:ascii="Verdana" w:hAnsi="Verdana" w:cs="Arial"/>
          <w:color w:val="000000"/>
          <w:sz w:val="22"/>
          <w:szCs w:val="22"/>
        </w:rPr>
        <w:t>í</w:t>
      </w:r>
      <w:r w:rsidRPr="003D0447">
        <w:rPr>
          <w:rFonts w:ascii="Verdana" w:hAnsi="Verdana" w:cs="Arial"/>
          <w:color w:val="000000"/>
          <w:sz w:val="22"/>
          <w:szCs w:val="22"/>
        </w:rPr>
        <w:t xml:space="preserve"> constituyen entidades descentralizadas a luz de lo dispuesto en el artículo 68 de la Ley 489 de 1998 y de conformidad con el parágrafo 1 del artículo 57 de la Ley 30 de 1992, pueden estar inscritos en los órdenes nacional, departamental, distrital o municipal, lo que hace forzoso concluir que establecimientos públicos educativos de estos tres últimos órdenes, estarían cobijados por la restricción del artículo 38, al ser entidades descentralizadas del nivel territorial, sujetos a los que expresamente alude el texto de la restricción como destinatarios de la misma del nivel territorial–departamental, municipal o distrital–.</w:t>
      </w:r>
    </w:p>
    <w:p w14:paraId="56861DD6" w14:textId="77777777" w:rsidR="00990BF1" w:rsidRPr="00C958D1" w:rsidRDefault="00990BF1" w:rsidP="00C958D1">
      <w:pPr>
        <w:pStyle w:val="NormalWeb"/>
        <w:spacing w:before="0" w:beforeAutospacing="0" w:after="0" w:afterAutospacing="0" w:line="276" w:lineRule="auto"/>
        <w:ind w:firstLine="708"/>
        <w:jc w:val="both"/>
        <w:rPr>
          <w:rFonts w:ascii="Verdana" w:hAnsi="Verdana" w:cs="Arial"/>
          <w:color w:val="000000"/>
          <w:sz w:val="22"/>
          <w:szCs w:val="22"/>
        </w:rPr>
      </w:pPr>
    </w:p>
    <w:p w14:paraId="0EB05D2A" w14:textId="78B90BCB" w:rsidR="00D53F94" w:rsidRPr="00F4158D" w:rsidRDefault="00815B83" w:rsidP="00D53F94">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vi. </w:t>
      </w:r>
      <w:r w:rsidR="00D53F94"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EF2DA51" w14:textId="77777777" w:rsidR="00D53F94" w:rsidRPr="00F4158D" w:rsidRDefault="00D53F94" w:rsidP="00D53F94">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5AE28E5" w14:textId="77777777" w:rsidR="00D53F94" w:rsidRPr="00F4158D" w:rsidRDefault="00D53F94" w:rsidP="00D53F94">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6563C05E" w14:textId="77777777" w:rsidR="00D53F94" w:rsidRPr="00593A5F" w:rsidRDefault="00D53F94" w:rsidP="00D53F9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ED7B48F" w14:textId="77777777" w:rsidR="00D53F94" w:rsidRPr="00593A5F" w:rsidRDefault="00D53F94" w:rsidP="00D53F9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53F94" w:rsidRPr="002407CE" w14:paraId="7A79402C" w14:textId="77777777" w:rsidTr="00A40E60">
        <w:trPr>
          <w:trHeight w:val="870"/>
          <w:jc w:val="center"/>
        </w:trPr>
        <w:tc>
          <w:tcPr>
            <w:tcW w:w="8647" w:type="dxa"/>
          </w:tcPr>
          <w:p w14:paraId="7436A6B1" w14:textId="77777777" w:rsidR="00D53F94" w:rsidRDefault="00D53F94" w:rsidP="00A40E6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69, 127, 190, 197 y 286.</w:t>
            </w:r>
          </w:p>
          <w:p w14:paraId="53183540" w14:textId="4726A7A3" w:rsidR="00D350D3" w:rsidRDefault="00D350D3" w:rsidP="00A40E6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30 de 1992</w:t>
            </w:r>
            <w:r w:rsidR="000825A6">
              <w:rPr>
                <w:rFonts w:ascii="Verdana" w:hAnsi="Verdana" w:cs="Arial"/>
              </w:rPr>
              <w:t>, artículos 57 y 93.</w:t>
            </w:r>
          </w:p>
          <w:p w14:paraId="6FA5BED9" w14:textId="5A5286C8" w:rsidR="00D53F94" w:rsidRDefault="00D53F94" w:rsidP="00A40E6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80 de 1993, artículos </w:t>
            </w:r>
            <w:r w:rsidR="000825A6">
              <w:rPr>
                <w:rFonts w:ascii="Verdana" w:hAnsi="Verdana" w:cs="Arial"/>
              </w:rPr>
              <w:t xml:space="preserve">2, </w:t>
            </w:r>
            <w:r>
              <w:rPr>
                <w:rFonts w:ascii="Verdana" w:hAnsi="Verdana" w:cs="Arial"/>
              </w:rPr>
              <w:t>39 y 41.</w:t>
            </w:r>
          </w:p>
          <w:p w14:paraId="44976FE9" w14:textId="2A01D99B" w:rsidR="00D53F94" w:rsidRDefault="00D53F94" w:rsidP="00A40E6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w:t>
            </w:r>
            <w:r w:rsidR="000825A6">
              <w:rPr>
                <w:rFonts w:ascii="Verdana" w:hAnsi="Verdana" w:cs="Arial"/>
              </w:rPr>
              <w:t>s</w:t>
            </w:r>
            <w:r>
              <w:rPr>
                <w:rFonts w:ascii="Verdana" w:hAnsi="Verdana" w:cs="Arial"/>
              </w:rPr>
              <w:t xml:space="preserve"> 40</w:t>
            </w:r>
            <w:r w:rsidR="000825A6">
              <w:rPr>
                <w:rFonts w:ascii="Verdana" w:hAnsi="Verdana" w:cs="Arial"/>
              </w:rPr>
              <w:t>, 68, 70 y 81</w:t>
            </w:r>
            <w:r>
              <w:rPr>
                <w:rFonts w:ascii="Verdana" w:hAnsi="Verdana" w:cs="Arial"/>
              </w:rPr>
              <w:t>.</w:t>
            </w:r>
          </w:p>
          <w:p w14:paraId="0C3F94BB" w14:textId="5B34A9F3" w:rsidR="000825A6" w:rsidRPr="00612CBF" w:rsidRDefault="000825A6" w:rsidP="00A40E6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749 de 2002, artículo 18.</w:t>
            </w:r>
          </w:p>
          <w:p w14:paraId="00AD18D6" w14:textId="77777777" w:rsidR="00D53F94" w:rsidRDefault="00D53F94" w:rsidP="00A40E6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0B9E7F65" w14:textId="77777777" w:rsidR="00D53F94" w:rsidRDefault="00D53F94" w:rsidP="00A40E6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5A89FB44" w14:textId="77777777" w:rsidR="00D53F94" w:rsidRPr="003630EB" w:rsidRDefault="00D53F94" w:rsidP="00A40E60">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artículos 31 y 1501.</w:t>
            </w:r>
          </w:p>
        </w:tc>
      </w:tr>
    </w:tbl>
    <w:p w14:paraId="189FBFC3" w14:textId="77777777" w:rsidR="00D53F94" w:rsidRPr="002407CE" w:rsidRDefault="00D53F94" w:rsidP="00D53F94">
      <w:pPr>
        <w:widowControl w:val="0"/>
        <w:autoSpaceDE w:val="0"/>
        <w:autoSpaceDN w:val="0"/>
        <w:spacing w:after="0" w:line="276" w:lineRule="auto"/>
        <w:jc w:val="both"/>
        <w:rPr>
          <w:rFonts w:ascii="Verdana" w:hAnsi="Verdana" w:cs="Arial"/>
        </w:rPr>
      </w:pPr>
    </w:p>
    <w:p w14:paraId="438C6558" w14:textId="77777777" w:rsidR="00D53F94" w:rsidRPr="00593A5F" w:rsidRDefault="00D53F94" w:rsidP="00D53F9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C18C213" w14:textId="77777777" w:rsidR="00D53F94" w:rsidRPr="00593A5F" w:rsidRDefault="00D53F94" w:rsidP="00D53F94">
      <w:pPr>
        <w:widowControl w:val="0"/>
        <w:autoSpaceDE w:val="0"/>
        <w:autoSpaceDN w:val="0"/>
        <w:spacing w:after="0" w:line="276" w:lineRule="auto"/>
        <w:jc w:val="both"/>
        <w:rPr>
          <w:rFonts w:ascii="Verdana" w:hAnsi="Verdana" w:cs="Arial"/>
        </w:rPr>
      </w:pPr>
    </w:p>
    <w:p w14:paraId="5CDA3C53" w14:textId="77777777" w:rsidR="00D53F94" w:rsidRPr="00ED0098" w:rsidRDefault="00D53F94" w:rsidP="00D53F94">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w:t>
      </w:r>
      <w:r w:rsidRPr="00177E85">
        <w:rPr>
          <w:rFonts w:ascii="Verdana" w:hAnsi="Verdana" w:cs="Arial"/>
          <w:shd w:val="clear" w:color="auto" w:fill="FFFFFF"/>
        </w:rPr>
        <w:lastRenderedPageBreak/>
        <w:t xml:space="preserve">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C-1509 del 19 de noviembre de 2025, </w:t>
      </w:r>
      <w:r w:rsidRPr="00177E85">
        <w:rPr>
          <w:rFonts w:ascii="Verdana" w:hAnsi="Verdana" w:cs="Arial"/>
          <w:shd w:val="clear" w:color="auto" w:fill="FFFFFF"/>
        </w:rPr>
        <w:t>entre otros</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se</w:t>
      </w:r>
      <w:r>
        <w:rPr>
          <w:rStyle w:val="normaltextrun"/>
          <w:rFonts w:ascii="Verdana" w:hAnsi="Verdana" w:cs="Arial"/>
          <w:shd w:val="clear" w:color="auto" w:fill="FFFFFF"/>
        </w:rPr>
        <w:t xml:space="preserve"> </w:t>
      </w:r>
      <w:r w:rsidRPr="008D0AB0">
        <w:rPr>
          <w:rStyle w:val="normaltextrun"/>
          <w:rFonts w:ascii="Verdana" w:hAnsi="Verdana" w:cs="Arial"/>
          <w:shd w:val="clear" w:color="auto" w:fill="FFFFFF"/>
        </w:rPr>
        <w:t xml:space="preserve">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B492BDF" w14:textId="77777777" w:rsidR="00D53F94" w:rsidRPr="00096788" w:rsidRDefault="00D53F94" w:rsidP="00D53F94">
      <w:pPr>
        <w:widowControl w:val="0"/>
        <w:autoSpaceDE w:val="0"/>
        <w:autoSpaceDN w:val="0"/>
        <w:spacing w:after="0" w:line="276" w:lineRule="auto"/>
        <w:jc w:val="both"/>
        <w:rPr>
          <w:rFonts w:ascii="Verdana" w:hAnsi="Verdana" w:cs="Arial"/>
          <w:color w:val="000000" w:themeColor="text1"/>
          <w:shd w:val="clear" w:color="auto" w:fill="FFFFFF"/>
        </w:rPr>
      </w:pPr>
    </w:p>
    <w:p w14:paraId="0124DD30" w14:textId="77777777" w:rsidR="00D53F94" w:rsidRDefault="00D53F94" w:rsidP="00D53F94">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7E461F60" w14:textId="77777777" w:rsidR="00D53F94" w:rsidRDefault="00D53F94" w:rsidP="00D53F94">
      <w:pPr>
        <w:shd w:val="clear" w:color="auto" w:fill="FFFFFF"/>
        <w:spacing w:after="0" w:line="276" w:lineRule="auto"/>
        <w:jc w:val="both"/>
        <w:rPr>
          <w:rFonts w:ascii="Verdana" w:hAnsi="Verdana"/>
          <w:color w:val="000000"/>
          <w:u w:val="single"/>
        </w:rPr>
      </w:pPr>
    </w:p>
    <w:p w14:paraId="632E94C5" w14:textId="77777777" w:rsidR="00D53F94" w:rsidRPr="0038088D" w:rsidRDefault="00D53F94" w:rsidP="00D53F94">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0D0E285B" w14:textId="77777777" w:rsidR="00D53F94" w:rsidRPr="0038088D" w:rsidRDefault="00D53F94" w:rsidP="00D53F94">
      <w:pPr>
        <w:spacing w:after="0"/>
        <w:jc w:val="both"/>
        <w:rPr>
          <w:rFonts w:ascii="Verdana" w:hAnsi="Verdana"/>
        </w:rPr>
      </w:pPr>
    </w:p>
    <w:p w14:paraId="732ED5EA" w14:textId="77777777" w:rsidR="00D53F94" w:rsidRPr="0038088D" w:rsidRDefault="00D53F94" w:rsidP="00D53F94">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66D16E50" w14:textId="77777777" w:rsidR="00D53F94" w:rsidRPr="0038088D" w:rsidRDefault="00D53F94" w:rsidP="00D53F94">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0B81DA18" w14:textId="77777777" w:rsidR="00D53F94" w:rsidRPr="0038088D" w:rsidRDefault="00D53F94" w:rsidP="00D53F94">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0F9874D5" w14:textId="77777777" w:rsidR="00D53F94" w:rsidRPr="0038088D" w:rsidRDefault="00D53F94" w:rsidP="00D53F94">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lastRenderedPageBreak/>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66C6C600" w14:textId="77777777" w:rsidR="00D53F94" w:rsidRPr="0038088D" w:rsidRDefault="00D53F94" w:rsidP="00D53F94">
      <w:pPr>
        <w:spacing w:after="0" w:line="240" w:lineRule="auto"/>
        <w:ind w:left="720"/>
        <w:jc w:val="both"/>
        <w:rPr>
          <w:rFonts w:ascii="Verdana" w:hAnsi="Verdana"/>
        </w:rPr>
      </w:pPr>
    </w:p>
    <w:p w14:paraId="72A6D7CC" w14:textId="77777777" w:rsidR="00D53F94" w:rsidRPr="0038088D" w:rsidRDefault="00D53F94" w:rsidP="00D53F94">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05B1993C" w14:textId="77777777" w:rsidR="00D53F94" w:rsidRPr="0038088D" w:rsidRDefault="00D53F94" w:rsidP="00D53F94">
      <w:pPr>
        <w:spacing w:after="0" w:line="240" w:lineRule="auto"/>
        <w:rPr>
          <w:rFonts w:ascii="Verdana" w:hAnsi="Verdana"/>
        </w:rPr>
      </w:pPr>
    </w:p>
    <w:p w14:paraId="09504A79" w14:textId="77777777" w:rsidR="00D53F94" w:rsidRPr="0038088D" w:rsidRDefault="00D53F94" w:rsidP="00D53F94">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6845B5DB" w14:textId="77777777" w:rsidR="00D53F94" w:rsidRPr="00116940" w:rsidRDefault="00D53F94" w:rsidP="00D53F94">
      <w:pPr>
        <w:spacing w:after="0" w:line="240" w:lineRule="auto"/>
        <w:jc w:val="both"/>
        <w:rPr>
          <w:rFonts w:ascii="Verdana" w:hAnsi="Verdana"/>
        </w:rPr>
      </w:pPr>
    </w:p>
    <w:p w14:paraId="555E91B6" w14:textId="77777777" w:rsidR="00D53F94" w:rsidRPr="00116940" w:rsidRDefault="00D53F94" w:rsidP="00D53F9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808D653" w14:textId="77777777" w:rsidR="00D53F94" w:rsidRPr="00116940" w:rsidRDefault="00D53F94" w:rsidP="00D53F94">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612F482" w14:textId="77777777" w:rsidR="00D53F94" w:rsidRPr="00E22E6E" w:rsidRDefault="00D53F94" w:rsidP="00D53F94">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03B0E92" w14:textId="77777777" w:rsidR="00D53F94" w:rsidRPr="009C4035" w:rsidRDefault="00D53F94" w:rsidP="00D53F94">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04AACDBC" w14:textId="77777777" w:rsidR="00D53F94" w:rsidRPr="00593A5F" w:rsidRDefault="00D53F94" w:rsidP="00D53F9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27A35ED8" w14:textId="77777777" w:rsidR="00D53F94" w:rsidRPr="00593A5F" w:rsidRDefault="00D53F94" w:rsidP="00D53F94">
      <w:pPr>
        <w:widowControl w:val="0"/>
        <w:autoSpaceDE w:val="0"/>
        <w:autoSpaceDN w:val="0"/>
        <w:spacing w:after="0" w:line="276" w:lineRule="auto"/>
        <w:jc w:val="both"/>
        <w:rPr>
          <w:rFonts w:ascii="Verdana" w:hAnsi="Verdana" w:cs="Arial"/>
        </w:rPr>
      </w:pPr>
    </w:p>
    <w:p w14:paraId="417A4B20" w14:textId="77777777" w:rsidR="00D53F94" w:rsidRPr="00593A5F" w:rsidRDefault="00D53F94" w:rsidP="00D53F9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BA0EF7B" w14:textId="6F34F3AE" w:rsidR="00D53F94" w:rsidRPr="00593A5F" w:rsidRDefault="00C67C8B" w:rsidP="00D53F94">
      <w:pPr>
        <w:spacing w:line="276" w:lineRule="auto"/>
        <w:jc w:val="center"/>
        <w:rPr>
          <w:rFonts w:ascii="Verdana" w:hAnsi="Verdana" w:cs="Arial"/>
          <w:color w:val="000000"/>
          <w:lang w:val="es-ES_tradnl" w:eastAsia="es-CO"/>
        </w:rPr>
      </w:pPr>
      <w:r>
        <w:rPr>
          <w:noProof/>
        </w:rPr>
        <w:drawing>
          <wp:inline distT="0" distB="0" distL="0" distR="0" wp14:anchorId="5D7543DC" wp14:editId="76B92D1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53F94" w:rsidRPr="00593A5F" w14:paraId="1B566018" w14:textId="77777777" w:rsidTr="00A40E60">
        <w:trPr>
          <w:trHeight w:val="315"/>
        </w:trPr>
        <w:tc>
          <w:tcPr>
            <w:tcW w:w="893" w:type="dxa"/>
            <w:vAlign w:val="center"/>
            <w:hideMark/>
          </w:tcPr>
          <w:p w14:paraId="381007E4" w14:textId="77777777" w:rsidR="00D53F94" w:rsidRPr="003751C7" w:rsidRDefault="00D53F94" w:rsidP="00A40E6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A0B973C" w14:textId="77777777" w:rsidR="00D53F94" w:rsidRPr="00254A7A" w:rsidRDefault="00D53F94" w:rsidP="00A40E6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9B5B7BC" w14:textId="77777777" w:rsidR="00D53F94" w:rsidRPr="00254A7A" w:rsidRDefault="00D53F94" w:rsidP="00A40E6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53F94" w:rsidRPr="00593A5F" w14:paraId="52B5CF8B" w14:textId="77777777" w:rsidTr="00A40E60">
        <w:trPr>
          <w:trHeight w:val="330"/>
        </w:trPr>
        <w:tc>
          <w:tcPr>
            <w:tcW w:w="893" w:type="dxa"/>
            <w:vAlign w:val="center"/>
            <w:hideMark/>
          </w:tcPr>
          <w:p w14:paraId="5BB1466B" w14:textId="77777777" w:rsidR="00D53F94" w:rsidRPr="003751C7" w:rsidRDefault="00D53F94" w:rsidP="00A40E6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AE75E93" w14:textId="77777777" w:rsidR="00D53F94" w:rsidRPr="001B6B73" w:rsidRDefault="00D53F94" w:rsidP="00A40E60">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923EFDD" w14:textId="77777777" w:rsidR="00D53F94" w:rsidRPr="00254A7A" w:rsidRDefault="00D53F94" w:rsidP="00A40E60">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D53F94" w:rsidRPr="00593A5F" w14:paraId="468AA698" w14:textId="77777777" w:rsidTr="00A40E60">
        <w:trPr>
          <w:trHeight w:val="300"/>
        </w:trPr>
        <w:tc>
          <w:tcPr>
            <w:tcW w:w="893" w:type="dxa"/>
            <w:vAlign w:val="center"/>
          </w:tcPr>
          <w:p w14:paraId="23E7F4AB" w14:textId="77777777" w:rsidR="00D53F94" w:rsidRPr="003751C7" w:rsidRDefault="00D53F94" w:rsidP="00A40E6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A2108D" w14:textId="77777777" w:rsidR="00D53F94" w:rsidRPr="003751C7" w:rsidRDefault="00D53F94" w:rsidP="00A40E60">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861AF31" w14:textId="77777777" w:rsidR="00D53F94" w:rsidRPr="003751C7" w:rsidRDefault="00D53F94" w:rsidP="00A40E60">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5025ED1C" w14:textId="77777777" w:rsidR="00D53F94" w:rsidRPr="00543BFE" w:rsidRDefault="00D53F94" w:rsidP="00D53F94"/>
    <w:p w14:paraId="5A06277B" w14:textId="77777777" w:rsidR="00D53F94" w:rsidRPr="00B36323" w:rsidRDefault="00D53F94" w:rsidP="00D53F94"/>
    <w:p w14:paraId="0F293BF4" w14:textId="3AA9448E" w:rsidR="00127233" w:rsidRPr="00D53F94" w:rsidRDefault="00127233" w:rsidP="006C04F1"/>
    <w:sectPr w:rsidR="00127233" w:rsidRPr="00D53F9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86D25" w14:textId="77777777" w:rsidR="003F3F9C" w:rsidRDefault="003F3F9C" w:rsidP="004A1847">
      <w:pPr>
        <w:spacing w:after="0" w:line="240" w:lineRule="auto"/>
      </w:pPr>
      <w:r>
        <w:separator/>
      </w:r>
    </w:p>
  </w:endnote>
  <w:endnote w:type="continuationSeparator" w:id="0">
    <w:p w14:paraId="22764048" w14:textId="77777777" w:rsidR="003F3F9C" w:rsidRDefault="003F3F9C" w:rsidP="004A1847">
      <w:pPr>
        <w:spacing w:after="0" w:line="240" w:lineRule="auto"/>
      </w:pPr>
      <w:r>
        <w:continuationSeparator/>
      </w:r>
    </w:p>
  </w:endnote>
  <w:endnote w:type="continuationNotice" w:id="1">
    <w:p w14:paraId="0CB5519F" w14:textId="77777777" w:rsidR="003F3F9C" w:rsidRDefault="003F3F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F0CE7" w14:textId="77777777" w:rsidR="003F3F9C" w:rsidRDefault="003F3F9C" w:rsidP="004A1847">
      <w:pPr>
        <w:spacing w:after="0" w:line="240" w:lineRule="auto"/>
      </w:pPr>
      <w:r>
        <w:separator/>
      </w:r>
    </w:p>
  </w:footnote>
  <w:footnote w:type="continuationSeparator" w:id="0">
    <w:p w14:paraId="44024492" w14:textId="77777777" w:rsidR="003F3F9C" w:rsidRDefault="003F3F9C" w:rsidP="004A1847">
      <w:pPr>
        <w:spacing w:after="0" w:line="240" w:lineRule="auto"/>
      </w:pPr>
      <w:r>
        <w:continuationSeparator/>
      </w:r>
    </w:p>
  </w:footnote>
  <w:footnote w:type="continuationNotice" w:id="1">
    <w:p w14:paraId="6A91D45C" w14:textId="77777777" w:rsidR="003F3F9C" w:rsidRDefault="003F3F9C">
      <w:pPr>
        <w:spacing w:after="0" w:line="240" w:lineRule="auto"/>
      </w:pPr>
    </w:p>
  </w:footnote>
  <w:footnote w:id="2">
    <w:p w14:paraId="7785A359" w14:textId="77777777" w:rsidR="00D53F94" w:rsidRPr="00C9050C" w:rsidRDefault="00D53F94" w:rsidP="00D53F94">
      <w:pPr>
        <w:pStyle w:val="Textonotapie"/>
        <w:ind w:firstLine="709"/>
        <w:jc w:val="both"/>
        <w:rPr>
          <w:rFonts w:ascii="Verdana" w:hAnsi="Verdana" w:cs="Arial"/>
          <w:sz w:val="16"/>
          <w:szCs w:val="16"/>
        </w:rPr>
      </w:pPr>
      <w:r w:rsidRPr="00C9050C">
        <w:rPr>
          <w:rStyle w:val="Refdenotaalpie"/>
          <w:rFonts w:ascii="Verdana" w:hAnsi="Verdana" w:cs="Arial"/>
          <w:sz w:val="16"/>
          <w:szCs w:val="16"/>
        </w:rPr>
        <w:footnoteRef/>
      </w:r>
      <w:r w:rsidRPr="00C905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CD87E66" w14:textId="77777777" w:rsidR="00D53F94" w:rsidRPr="00C9050C" w:rsidRDefault="00D53F94" w:rsidP="00D53F94">
      <w:pPr>
        <w:pStyle w:val="Textonotapie"/>
        <w:ind w:firstLine="709"/>
        <w:jc w:val="both"/>
        <w:rPr>
          <w:rFonts w:ascii="Verdana" w:hAnsi="Verdana" w:cs="Arial"/>
          <w:sz w:val="16"/>
          <w:szCs w:val="16"/>
        </w:rPr>
      </w:pPr>
      <w:r w:rsidRPr="00C905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7875ECA3" w14:textId="77777777" w:rsidR="00D53F94" w:rsidRPr="00C9050C" w:rsidRDefault="00D53F94" w:rsidP="00D53F94">
      <w:pPr>
        <w:pStyle w:val="Textonotapie"/>
        <w:ind w:firstLine="709"/>
        <w:jc w:val="both"/>
        <w:rPr>
          <w:rFonts w:ascii="Verdana" w:hAnsi="Verdana" w:cs="Arial"/>
          <w:sz w:val="16"/>
          <w:szCs w:val="16"/>
        </w:rPr>
      </w:pPr>
      <w:r w:rsidRPr="00C9050C">
        <w:rPr>
          <w:rStyle w:val="Refdenotaalpie"/>
          <w:rFonts w:ascii="Verdana" w:hAnsi="Verdana" w:cs="Arial"/>
          <w:sz w:val="16"/>
          <w:szCs w:val="16"/>
        </w:rPr>
        <w:footnoteRef/>
      </w:r>
      <w:r w:rsidRPr="00C9050C">
        <w:rPr>
          <w:rFonts w:ascii="Verdana" w:hAnsi="Verdana" w:cs="Arial"/>
          <w:sz w:val="16"/>
          <w:szCs w:val="16"/>
        </w:rPr>
        <w:t xml:space="preserve"> Gaceta del Congreso de la República No. 71 del 2005.</w:t>
      </w:r>
    </w:p>
  </w:footnote>
  <w:footnote w:id="4">
    <w:p w14:paraId="5F042465" w14:textId="77777777" w:rsidR="00D53F94" w:rsidRPr="00C9050C" w:rsidRDefault="00D53F94" w:rsidP="00D53F94">
      <w:pPr>
        <w:pStyle w:val="Textonotapie"/>
        <w:ind w:firstLine="709"/>
        <w:jc w:val="both"/>
        <w:rPr>
          <w:rFonts w:ascii="Verdana" w:hAnsi="Verdana" w:cs="Arial"/>
          <w:sz w:val="16"/>
          <w:szCs w:val="16"/>
          <w:lang w:val="pt-BR"/>
        </w:rPr>
      </w:pPr>
      <w:r w:rsidRPr="00C9050C">
        <w:rPr>
          <w:rStyle w:val="Refdenotaalpie"/>
          <w:rFonts w:ascii="Verdana" w:hAnsi="Verdana" w:cs="Arial"/>
          <w:sz w:val="16"/>
          <w:szCs w:val="16"/>
        </w:rPr>
        <w:footnoteRef/>
      </w:r>
      <w:r w:rsidRPr="00C9050C">
        <w:rPr>
          <w:rFonts w:ascii="Verdana" w:hAnsi="Verdana" w:cs="Arial"/>
          <w:sz w:val="16"/>
          <w:szCs w:val="16"/>
          <w:lang w:val="pt-BR"/>
        </w:rPr>
        <w:t xml:space="preserve"> Corte Constitucional, Sentencia C- 1153 de 2005, M.P. Marco Gerardo Monroy Cabra.</w:t>
      </w:r>
    </w:p>
  </w:footnote>
  <w:footnote w:id="5">
    <w:p w14:paraId="3CF52835" w14:textId="77777777" w:rsidR="00D53F94" w:rsidRPr="00C9050C" w:rsidRDefault="00D53F94" w:rsidP="00D53F94">
      <w:pPr>
        <w:pStyle w:val="Textonotapie"/>
        <w:ind w:firstLine="709"/>
        <w:jc w:val="both"/>
        <w:rPr>
          <w:rFonts w:ascii="Verdana" w:hAnsi="Verdana" w:cs="Arial"/>
          <w:sz w:val="16"/>
          <w:szCs w:val="16"/>
          <w:lang w:val="pt-BR"/>
        </w:rPr>
      </w:pPr>
      <w:r w:rsidRPr="00C9050C">
        <w:rPr>
          <w:rStyle w:val="Refdenotaalpie"/>
          <w:rFonts w:ascii="Verdana" w:hAnsi="Verdana" w:cs="Arial"/>
          <w:sz w:val="16"/>
          <w:szCs w:val="16"/>
        </w:rPr>
        <w:footnoteRef/>
      </w:r>
      <w:r w:rsidRPr="00C905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24145A37" w14:textId="77777777" w:rsidR="00D53F94" w:rsidRPr="00C9050C" w:rsidRDefault="00D53F94" w:rsidP="00D53F94">
      <w:pPr>
        <w:pStyle w:val="Textonotapie"/>
        <w:ind w:firstLine="709"/>
        <w:jc w:val="both"/>
        <w:rPr>
          <w:rFonts w:ascii="Verdana" w:hAnsi="Verdana" w:cs="Arial"/>
          <w:sz w:val="16"/>
          <w:szCs w:val="16"/>
          <w:lang w:val="es-CO"/>
        </w:rPr>
      </w:pPr>
      <w:r w:rsidRPr="00C9050C">
        <w:rPr>
          <w:rStyle w:val="Refdenotaalpie"/>
          <w:rFonts w:ascii="Verdana" w:hAnsi="Verdana" w:cs="Arial"/>
          <w:sz w:val="16"/>
          <w:szCs w:val="16"/>
        </w:rPr>
        <w:footnoteRef/>
      </w:r>
      <w:r w:rsidRPr="00C905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3BD5A51B" w14:textId="77777777" w:rsidR="00D53F94" w:rsidRPr="00C9050C" w:rsidRDefault="00D53F94" w:rsidP="00D53F94">
      <w:pPr>
        <w:pStyle w:val="Textonotapie"/>
        <w:ind w:firstLine="709"/>
        <w:jc w:val="both"/>
        <w:rPr>
          <w:rFonts w:ascii="Verdana" w:hAnsi="Verdana" w:cs="Arial"/>
          <w:sz w:val="16"/>
          <w:szCs w:val="16"/>
        </w:rPr>
      </w:pPr>
      <w:r w:rsidRPr="00C9050C">
        <w:rPr>
          <w:rStyle w:val="Refdenotaalpie"/>
          <w:rFonts w:ascii="Verdana" w:hAnsi="Verdana" w:cs="Arial"/>
          <w:sz w:val="16"/>
          <w:szCs w:val="16"/>
        </w:rPr>
        <w:footnoteRef/>
      </w:r>
      <w:r w:rsidRPr="00C9050C">
        <w:rPr>
          <w:rFonts w:ascii="Verdana" w:hAnsi="Verdana" w:cs="Arial"/>
          <w:sz w:val="16"/>
          <w:szCs w:val="16"/>
        </w:rPr>
        <w:t xml:space="preserve"> Consejo de Estado, Sala de Consulta y Servicio Civil de fecha 24 de julio de 2013, radicado 2166, C. P. Álvaro Namén Vargas.  </w:t>
      </w:r>
    </w:p>
  </w:footnote>
  <w:footnote w:id="8">
    <w:p w14:paraId="0E2BCE55" w14:textId="77777777" w:rsidR="00D53F94" w:rsidRPr="00C9050C" w:rsidRDefault="00D53F94" w:rsidP="00D53F94">
      <w:pPr>
        <w:spacing w:after="0" w:line="240" w:lineRule="auto"/>
        <w:ind w:firstLine="709"/>
        <w:jc w:val="both"/>
        <w:rPr>
          <w:rFonts w:ascii="Verdana" w:eastAsia="Times New Roman" w:hAnsi="Verdana" w:cs="Arial"/>
          <w:sz w:val="16"/>
          <w:szCs w:val="16"/>
        </w:rPr>
      </w:pPr>
      <w:r w:rsidRPr="00C9050C">
        <w:rPr>
          <w:rStyle w:val="Refdenotaalpie"/>
          <w:rFonts w:ascii="Verdana" w:hAnsi="Verdana" w:cs="Arial"/>
          <w:sz w:val="16"/>
          <w:szCs w:val="16"/>
        </w:rPr>
        <w:footnoteRef/>
      </w:r>
      <w:r w:rsidRPr="00C9050C">
        <w:rPr>
          <w:rFonts w:ascii="Verdana" w:hAnsi="Verdana" w:cs="Arial"/>
          <w:sz w:val="16"/>
          <w:szCs w:val="16"/>
        </w:rPr>
        <w:t xml:space="preserve"> </w:t>
      </w:r>
      <w:bookmarkStart w:id="6" w:name="33"/>
      <w:r w:rsidRPr="00C9050C">
        <w:rPr>
          <w:rFonts w:ascii="Verdana" w:eastAsia="Calibri" w:hAnsi="Verdana" w:cs="Arial"/>
          <w:color w:val="000000"/>
          <w:sz w:val="16"/>
          <w:szCs w:val="16"/>
        </w:rPr>
        <w:t>“</w:t>
      </w:r>
      <w:r w:rsidRPr="00C9050C">
        <w:rPr>
          <w:rFonts w:ascii="Verdana" w:eastAsia="Times New Roman" w:hAnsi="Verdana" w:cs="Arial"/>
          <w:sz w:val="16"/>
          <w:szCs w:val="16"/>
        </w:rPr>
        <w:t>Artículo 33. Restricciones a la contratación pública.</w:t>
      </w:r>
      <w:bookmarkEnd w:id="6"/>
      <w:r w:rsidRPr="00C9050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1975E55" w14:textId="77777777" w:rsidR="00D53F94" w:rsidRPr="00C9050C" w:rsidRDefault="00D53F94" w:rsidP="00D53F94">
      <w:pPr>
        <w:spacing w:after="0" w:line="240" w:lineRule="auto"/>
        <w:ind w:firstLine="709"/>
        <w:jc w:val="both"/>
        <w:rPr>
          <w:rFonts w:ascii="Verdana" w:eastAsia="Times New Roman" w:hAnsi="Verdana" w:cs="Arial"/>
          <w:sz w:val="16"/>
          <w:szCs w:val="16"/>
        </w:rPr>
      </w:pPr>
      <w:r w:rsidRPr="00C905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9050C">
        <w:rPr>
          <w:rFonts w:ascii="Verdana" w:eastAsia="Calibri" w:hAnsi="Verdana" w:cs="Arial"/>
          <w:color w:val="000000"/>
          <w:sz w:val="16"/>
          <w:szCs w:val="16"/>
        </w:rPr>
        <w:t>”</w:t>
      </w:r>
      <w:r w:rsidRPr="00C9050C">
        <w:rPr>
          <w:rFonts w:ascii="Verdana" w:eastAsia="Times New Roman" w:hAnsi="Verdana" w:cs="Arial"/>
          <w:sz w:val="16"/>
          <w:szCs w:val="16"/>
        </w:rPr>
        <w:t>.</w:t>
      </w:r>
    </w:p>
  </w:footnote>
  <w:footnote w:id="9">
    <w:p w14:paraId="670AB958" w14:textId="77777777" w:rsidR="00D53F94" w:rsidRPr="00C9050C" w:rsidRDefault="00D53F94" w:rsidP="00D53F94">
      <w:pPr>
        <w:pStyle w:val="NormalWeb"/>
        <w:spacing w:before="0" w:beforeAutospacing="0" w:after="0" w:afterAutospacing="0"/>
        <w:ind w:firstLine="709"/>
        <w:jc w:val="both"/>
        <w:rPr>
          <w:rFonts w:ascii="Verdana" w:hAnsi="Verdana" w:cs="Arial"/>
          <w:sz w:val="16"/>
          <w:szCs w:val="16"/>
          <w:lang w:val="es-MX"/>
        </w:rPr>
      </w:pPr>
      <w:r w:rsidRPr="00C9050C">
        <w:rPr>
          <w:rStyle w:val="Refdenotaalpie"/>
          <w:rFonts w:ascii="Verdana" w:hAnsi="Verdana" w:cs="Arial"/>
          <w:sz w:val="16"/>
          <w:szCs w:val="16"/>
        </w:rPr>
        <w:footnoteRef/>
      </w:r>
      <w:r w:rsidRPr="00C9050C">
        <w:rPr>
          <w:rFonts w:ascii="Verdana" w:hAnsi="Verdana" w:cs="Arial"/>
          <w:sz w:val="16"/>
          <w:szCs w:val="16"/>
        </w:rPr>
        <w:t xml:space="preserve"> </w:t>
      </w:r>
      <w:bookmarkStart w:id="7" w:name="38"/>
      <w:r w:rsidRPr="00C9050C">
        <w:rPr>
          <w:rFonts w:ascii="Verdana" w:eastAsia="Calibri" w:hAnsi="Verdana" w:cs="Arial"/>
          <w:color w:val="000000"/>
          <w:sz w:val="16"/>
          <w:szCs w:val="16"/>
        </w:rPr>
        <w:t>“</w:t>
      </w:r>
      <w:r w:rsidRPr="00C9050C">
        <w:rPr>
          <w:rFonts w:ascii="Verdana" w:hAnsi="Verdana" w:cs="Arial"/>
          <w:sz w:val="16"/>
          <w:szCs w:val="16"/>
          <w:lang w:val="es-MX"/>
        </w:rPr>
        <w:t>Artículo 38. Prohibiciones para los servidores públicos. A los empleados del Estado les está prohibido:</w:t>
      </w:r>
      <w:bookmarkEnd w:id="7"/>
      <w:r w:rsidRPr="00C9050C">
        <w:rPr>
          <w:rFonts w:ascii="Verdana" w:hAnsi="Verdana" w:cs="Arial"/>
          <w:sz w:val="16"/>
          <w:szCs w:val="16"/>
          <w:lang w:val="es-MX"/>
        </w:rPr>
        <w:t xml:space="preserve"> […]</w:t>
      </w:r>
    </w:p>
    <w:p w14:paraId="21755656" w14:textId="77777777" w:rsidR="00D53F94" w:rsidRPr="00C9050C" w:rsidRDefault="00D53F94" w:rsidP="00D53F94">
      <w:pPr>
        <w:pStyle w:val="NormalWeb"/>
        <w:spacing w:before="0" w:beforeAutospacing="0" w:after="0" w:afterAutospacing="0"/>
        <w:ind w:firstLine="709"/>
        <w:jc w:val="both"/>
        <w:rPr>
          <w:rFonts w:ascii="Verdana" w:hAnsi="Verdana" w:cs="Arial"/>
          <w:sz w:val="16"/>
          <w:szCs w:val="16"/>
          <w:lang w:val="es-MX"/>
        </w:rPr>
      </w:pPr>
      <w:r w:rsidRPr="00C9050C">
        <w:rPr>
          <w:rStyle w:val="baj"/>
          <w:rFonts w:ascii="Verdana" w:hAnsi="Verdana" w:cs="Arial"/>
          <w:sz w:val="16"/>
          <w:szCs w:val="16"/>
          <w:lang w:val="es-MX"/>
        </w:rPr>
        <w:t>Parágrafo.</w:t>
      </w:r>
      <w:r w:rsidRPr="00C905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9050C">
        <w:rPr>
          <w:rFonts w:ascii="Verdana" w:eastAsia="Calibri" w:hAnsi="Verdana" w:cs="Arial"/>
          <w:color w:val="000000"/>
          <w:sz w:val="16"/>
          <w:szCs w:val="16"/>
        </w:rPr>
        <w:t>”</w:t>
      </w:r>
      <w:r w:rsidRPr="00C9050C">
        <w:rPr>
          <w:rFonts w:ascii="Verdana" w:hAnsi="Verdana" w:cs="Arial"/>
          <w:sz w:val="16"/>
          <w:szCs w:val="16"/>
          <w:lang w:val="es-MX"/>
        </w:rPr>
        <w:t>.</w:t>
      </w:r>
    </w:p>
  </w:footnote>
  <w:footnote w:id="10">
    <w:p w14:paraId="2D7DF444" w14:textId="77777777" w:rsidR="00D53F94" w:rsidRPr="00C9050C" w:rsidRDefault="00D53F94" w:rsidP="00D53F94">
      <w:pPr>
        <w:pStyle w:val="Textonotapie"/>
        <w:ind w:firstLine="708"/>
        <w:jc w:val="both"/>
        <w:rPr>
          <w:rFonts w:ascii="Verdana" w:hAnsi="Verdana" w:cs="Arial"/>
          <w:sz w:val="16"/>
          <w:szCs w:val="16"/>
        </w:rPr>
      </w:pPr>
      <w:r w:rsidRPr="00C9050C">
        <w:rPr>
          <w:rStyle w:val="Refdenotaalpie"/>
          <w:rFonts w:ascii="Verdana" w:hAnsi="Verdana" w:cs="Arial"/>
          <w:sz w:val="16"/>
          <w:szCs w:val="16"/>
        </w:rPr>
        <w:footnoteRef/>
      </w:r>
      <w:r w:rsidRPr="00C9050C">
        <w:rPr>
          <w:rFonts w:ascii="Verdana" w:hAnsi="Verdana" w:cs="Arial"/>
          <w:sz w:val="16"/>
          <w:szCs w:val="16"/>
        </w:rPr>
        <w:t xml:space="preserve"> Colombia Compra Eficiente. Circular Externa Única. Numeral 16.5. </w:t>
      </w:r>
    </w:p>
  </w:footnote>
  <w:footnote w:id="11">
    <w:p w14:paraId="54109212" w14:textId="77777777" w:rsidR="00D53F94" w:rsidRPr="00C9050C" w:rsidRDefault="00D53F94" w:rsidP="00D53F94">
      <w:pPr>
        <w:spacing w:after="0" w:line="240" w:lineRule="auto"/>
        <w:ind w:left="100" w:right="244" w:firstLine="608"/>
        <w:jc w:val="both"/>
        <w:rPr>
          <w:rFonts w:ascii="Verdana" w:hAnsi="Verdana" w:cs="Arial"/>
          <w:sz w:val="16"/>
          <w:szCs w:val="16"/>
          <w:lang w:val="es-ES"/>
        </w:rPr>
      </w:pPr>
      <w:r w:rsidRPr="00C9050C">
        <w:rPr>
          <w:rStyle w:val="Refdenotaalpie"/>
          <w:rFonts w:ascii="Verdana" w:hAnsi="Verdana" w:cs="Arial"/>
          <w:sz w:val="16"/>
          <w:szCs w:val="16"/>
        </w:rPr>
        <w:footnoteRef/>
      </w:r>
      <w:r w:rsidRPr="00C905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1AC08D50" w14:textId="77777777" w:rsidR="00D53F94" w:rsidRPr="00C9050C" w:rsidRDefault="00D53F94" w:rsidP="00D53F94">
      <w:pPr>
        <w:pStyle w:val="Textonotapie"/>
        <w:ind w:firstLine="709"/>
        <w:contextualSpacing/>
        <w:jc w:val="both"/>
        <w:rPr>
          <w:rFonts w:ascii="Verdana" w:hAnsi="Verdana" w:cs="Arial"/>
          <w:sz w:val="16"/>
          <w:szCs w:val="16"/>
        </w:rPr>
      </w:pPr>
      <w:r w:rsidRPr="00C9050C">
        <w:rPr>
          <w:rStyle w:val="Refdenotaalpie"/>
          <w:rFonts w:ascii="Verdana" w:hAnsi="Verdana"/>
          <w:sz w:val="16"/>
          <w:szCs w:val="16"/>
        </w:rPr>
        <w:footnoteRef/>
      </w:r>
      <w:r w:rsidRPr="00C9050C">
        <w:rPr>
          <w:rFonts w:ascii="Verdana" w:hAnsi="Verdana"/>
          <w:sz w:val="16"/>
          <w:szCs w:val="16"/>
        </w:rPr>
        <w:t xml:space="preserve"> </w:t>
      </w:r>
      <w:r w:rsidRPr="00C9050C">
        <w:rPr>
          <w:rFonts w:ascii="Verdana" w:hAnsi="Verdana" w:cs="Arial"/>
          <w:sz w:val="16"/>
          <w:szCs w:val="16"/>
        </w:rPr>
        <w:t>Consejo de Estado -Sección Tercera-. Sentencia del 21 de febrero de 2025. Radicación Número: 68.280. CP: José Roberto Sáchica Méndez.</w:t>
      </w:r>
    </w:p>
  </w:footnote>
  <w:footnote w:id="13">
    <w:p w14:paraId="67FA088E" w14:textId="77777777" w:rsidR="00D53F94" w:rsidRPr="00C9050C" w:rsidRDefault="00D53F94" w:rsidP="00D53F94">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sz w:val="16"/>
          <w:szCs w:val="16"/>
          <w:vertAlign w:val="superscript"/>
        </w:rPr>
        <w:t xml:space="preserve"> </w:t>
      </w:r>
      <w:r w:rsidRPr="00C9050C">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4">
    <w:p w14:paraId="7E272F43" w14:textId="77777777" w:rsidR="00D53F94" w:rsidRPr="00C9050C" w:rsidRDefault="00D53F94" w:rsidP="00D53F94">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cs="Arial"/>
          <w:sz w:val="16"/>
          <w:szCs w:val="16"/>
          <w:vertAlign w:val="superscript"/>
        </w:rPr>
        <w:t xml:space="preserve"> </w:t>
      </w:r>
      <w:r w:rsidRPr="00C9050C">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404D0AF6" w14:textId="77777777" w:rsidR="00D53F94" w:rsidRPr="00C9050C" w:rsidRDefault="00D53F94" w:rsidP="00D53F94">
      <w:pPr>
        <w:pStyle w:val="Textonotapie"/>
        <w:ind w:firstLine="709"/>
        <w:contextualSpacing/>
        <w:jc w:val="both"/>
        <w:rPr>
          <w:rFonts w:ascii="Verdana" w:hAnsi="Verdana" w:cs="Arial"/>
          <w:sz w:val="16"/>
          <w:szCs w:val="16"/>
        </w:rPr>
      </w:pPr>
      <w:r w:rsidRPr="00C9050C">
        <w:rPr>
          <w:rFonts w:ascii="Verdana" w:hAnsi="Verdana" w:cs="Arial"/>
          <w:sz w:val="16"/>
          <w:szCs w:val="16"/>
        </w:rPr>
        <w:t>[…]”.</w:t>
      </w:r>
    </w:p>
  </w:footnote>
  <w:footnote w:id="15">
    <w:p w14:paraId="66AA4F50" w14:textId="77777777" w:rsidR="00D53F94" w:rsidRPr="00C9050C" w:rsidRDefault="00D53F94" w:rsidP="00D53F94">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cs="Arial"/>
          <w:sz w:val="16"/>
          <w:szCs w:val="16"/>
          <w:vertAlign w:val="superscript"/>
        </w:rPr>
        <w:t xml:space="preserve"> </w:t>
      </w:r>
      <w:r w:rsidRPr="00C9050C">
        <w:rPr>
          <w:rFonts w:ascii="Verdana" w:hAnsi="Verdana" w:cs="Arial"/>
          <w:sz w:val="16"/>
          <w:szCs w:val="16"/>
        </w:rPr>
        <w:t>Código Civil: “Artículo 27. Cuando el sentido de la ley sea claro, no se desatenderá su tenor a pretexto de consultar su espíritu”.</w:t>
      </w:r>
    </w:p>
  </w:footnote>
  <w:footnote w:id="16">
    <w:p w14:paraId="2EB1A900" w14:textId="77777777" w:rsidR="00D53F94" w:rsidRPr="00C9667E" w:rsidRDefault="00D53F94" w:rsidP="00D53F94">
      <w:pPr>
        <w:pStyle w:val="Textonotapie"/>
        <w:ind w:firstLine="708"/>
        <w:jc w:val="both"/>
        <w:rPr>
          <w:rFonts w:ascii="Verdana" w:hAnsi="Verdana"/>
          <w:sz w:val="16"/>
          <w:szCs w:val="16"/>
          <w:lang w:val="es-ES"/>
        </w:rPr>
      </w:pPr>
      <w:r w:rsidRPr="00C9667E">
        <w:rPr>
          <w:rStyle w:val="Refdenotaalpie"/>
          <w:rFonts w:ascii="Verdana" w:hAnsi="Verdana"/>
          <w:sz w:val="16"/>
          <w:szCs w:val="16"/>
        </w:rPr>
        <w:footnoteRef/>
      </w:r>
      <w:r w:rsidRPr="00C9667E">
        <w:rPr>
          <w:rFonts w:ascii="Verdana" w:hAnsi="Verdana"/>
          <w:sz w:val="16"/>
          <w:szCs w:val="16"/>
        </w:rPr>
        <w:t xml:space="preserve"> </w:t>
      </w:r>
      <w:r w:rsidRPr="00C9667E">
        <w:rPr>
          <w:rFonts w:ascii="Verdana" w:hAnsi="Verdana"/>
          <w:sz w:val="16"/>
          <w:szCs w:val="16"/>
          <w:lang w:val="es-ES"/>
        </w:rPr>
        <w:t>La doctrina chilena ilustra su aplicación en los siguientes términos:</w:t>
      </w:r>
      <w:r>
        <w:rPr>
          <w:rFonts w:ascii="Verdana" w:hAnsi="Verdana"/>
          <w:sz w:val="16"/>
          <w:szCs w:val="16"/>
          <w:lang w:val="es-ES"/>
        </w:rPr>
        <w:t xml:space="preserve"> </w:t>
      </w:r>
      <w:r w:rsidRPr="00C9667E">
        <w:rPr>
          <w:rFonts w:ascii="Verdana" w:hAnsi="Verdana"/>
          <w:sz w:val="16"/>
          <w:szCs w:val="16"/>
          <w:lang w:val="es-ES"/>
        </w:rPr>
        <w:t xml:space="preserve">“La ley se ha de entender general e indistintamente. Cuando la ley no hace excepción alguna, pudiendo haberla hecho, no podemos separarnos de su disposición general por medio de una distinción que ella no ha formulado. </w:t>
      </w:r>
      <w:r w:rsidRPr="00C9667E">
        <w:rPr>
          <w:rFonts w:ascii="Verdana" w:hAnsi="Verdana"/>
          <w:i/>
          <w:iCs/>
          <w:sz w:val="16"/>
          <w:szCs w:val="16"/>
          <w:lang w:val="es-ES"/>
        </w:rPr>
        <w:t>Ubi lex non distinguit nec nos distinguere debemus</w:t>
      </w:r>
      <w:r w:rsidRPr="00C9667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70AD1EEB" w14:textId="77777777" w:rsidR="00D53F94" w:rsidRPr="00C9667E" w:rsidRDefault="00D53F94" w:rsidP="00D53F94">
      <w:pPr>
        <w:pStyle w:val="Textonotapie"/>
        <w:ind w:firstLine="708"/>
        <w:jc w:val="both"/>
        <w:rPr>
          <w:rFonts w:ascii="Verdana" w:hAnsi="Verdana"/>
          <w:sz w:val="16"/>
          <w:szCs w:val="16"/>
          <w:lang w:val="es-CO"/>
        </w:rPr>
      </w:pPr>
      <w:r w:rsidRPr="00C9667E">
        <w:rPr>
          <w:rFonts w:ascii="Verdana" w:hAnsi="Verdana"/>
          <w:sz w:val="16"/>
          <w:szCs w:val="16"/>
          <w:lang w:val="es-ES"/>
        </w:rPr>
        <w:t xml:space="preserve">En el derecho antiguo y en el derecho canónico se distinguían las leyes en favorables y odiosas, para ampliar o restringir su interpretación. </w:t>
      </w:r>
      <w:r w:rsidRPr="00C9667E">
        <w:rPr>
          <w:rFonts w:ascii="Verdana" w:hAnsi="Verdana"/>
          <w:i/>
          <w:iCs/>
          <w:sz w:val="16"/>
          <w:szCs w:val="16"/>
          <w:lang w:val="es-ES"/>
        </w:rPr>
        <w:t>Odia restringí et favores convenit ampliari</w:t>
      </w:r>
      <w:r w:rsidRPr="00C9667E">
        <w:rPr>
          <w:rFonts w:ascii="Verdana" w:hAnsi="Verdana"/>
          <w:sz w:val="16"/>
          <w:szCs w:val="16"/>
          <w:lang w:val="es-ES"/>
        </w:rPr>
        <w:t>.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w:t>
      </w:r>
      <w:r>
        <w:rPr>
          <w:rFonts w:ascii="Verdana" w:hAnsi="Verdana"/>
          <w:sz w:val="16"/>
          <w:szCs w:val="16"/>
          <w:lang w:val="es-ES"/>
        </w:rPr>
        <w:t xml:space="preserve"> (Cfr. </w:t>
      </w:r>
      <w:r w:rsidRPr="008A44AC">
        <w:rPr>
          <w:rFonts w:ascii="Verdana" w:hAnsi="Verdana"/>
          <w:sz w:val="16"/>
          <w:szCs w:val="16"/>
        </w:rPr>
        <w:t>CLARO SOLAR, Luis. Explicaciones de derecho civil chileno y comparado. Volumen I. Tomo I. Santiago: Editorial Jurídica de Chile, 2013. p. 11</w:t>
      </w:r>
      <w:r>
        <w:rPr>
          <w:rFonts w:ascii="Verdana" w:hAnsi="Verdana"/>
          <w:sz w:val="16"/>
          <w:szCs w:val="16"/>
        </w:rPr>
        <w:t>9</w:t>
      </w:r>
      <w:r w:rsidRPr="008A44AC">
        <w:rPr>
          <w:rFonts w:ascii="Verdana" w:hAnsi="Verdana"/>
          <w:sz w:val="16"/>
          <w:szCs w:val="16"/>
        </w:rPr>
        <w:t>. Énfasis dentro del texto</w:t>
      </w:r>
      <w:r>
        <w:rPr>
          <w:rFonts w:ascii="Verdana" w:hAnsi="Verdana"/>
          <w:sz w:val="16"/>
          <w:szCs w:val="16"/>
        </w:rPr>
        <w:t>).</w:t>
      </w:r>
    </w:p>
  </w:footnote>
  <w:footnote w:id="17">
    <w:p w14:paraId="3C8806DF" w14:textId="77777777" w:rsidR="00D53F94" w:rsidRPr="00C9050C" w:rsidRDefault="00D53F94" w:rsidP="00D53F94">
      <w:pPr>
        <w:pStyle w:val="Textonotapie"/>
        <w:ind w:firstLine="709"/>
        <w:contextualSpacing/>
        <w:jc w:val="both"/>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lang w:val="es-CO"/>
        </w:rPr>
        <w:t xml:space="preserve"> Consejo de Estado, Sección Tercera. Auto del 4 de octubre de 2024. Exp. 70.313. C.P: Fredy Ibarra Martínez.</w:t>
      </w:r>
    </w:p>
  </w:footnote>
  <w:footnote w:id="18">
    <w:p w14:paraId="497C6942" w14:textId="77777777" w:rsidR="00D53F94" w:rsidRPr="00C9050C" w:rsidRDefault="00D53F94" w:rsidP="00D53F94">
      <w:pPr>
        <w:pStyle w:val="Textonotapie"/>
        <w:ind w:firstLine="709"/>
        <w:contextualSpacing/>
        <w:jc w:val="both"/>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rPr>
        <w:t xml:space="preserve"> La parte resolutiva del auto dispone lo siguiente; “</w:t>
      </w:r>
      <w:r w:rsidRPr="00C9050C">
        <w:rPr>
          <w:rFonts w:ascii="Verdana" w:hAnsi="Verdana"/>
          <w:b/>
          <w:sz w:val="16"/>
          <w:szCs w:val="16"/>
          <w:lang w:val="es-CO"/>
        </w:rPr>
        <w:t xml:space="preserve">PRIMERO: DECRETAR </w:t>
      </w:r>
      <w:r w:rsidRPr="00C9050C">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C9050C">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9050C">
        <w:rPr>
          <w:rFonts w:ascii="Verdana" w:hAnsi="Verdana"/>
          <w:sz w:val="16"/>
          <w:szCs w:val="16"/>
          <w:lang w:val="es-CO"/>
        </w:rPr>
        <w:t xml:space="preserve">, por las razones expuestas en precedencia. </w:t>
      </w:r>
    </w:p>
    <w:p w14:paraId="44DEF76C" w14:textId="77777777" w:rsidR="00D53F94" w:rsidRPr="00C9050C" w:rsidRDefault="00D53F94" w:rsidP="00D53F94">
      <w:pPr>
        <w:pStyle w:val="Textonotapie"/>
        <w:ind w:firstLine="709"/>
        <w:contextualSpacing/>
        <w:jc w:val="both"/>
        <w:rPr>
          <w:rFonts w:ascii="Verdana" w:hAnsi="Verdana"/>
          <w:sz w:val="16"/>
          <w:szCs w:val="16"/>
          <w:lang w:val="es-CO"/>
        </w:rPr>
      </w:pPr>
      <w:r w:rsidRPr="00C9050C">
        <w:rPr>
          <w:rFonts w:ascii="Verdana" w:hAnsi="Verdana"/>
          <w:b/>
          <w:sz w:val="16"/>
          <w:szCs w:val="16"/>
          <w:lang w:val="es-CO"/>
        </w:rPr>
        <w:t xml:space="preserve">SEGUNDO: DECRETAR </w:t>
      </w:r>
      <w:r w:rsidRPr="00C9050C">
        <w:rPr>
          <w:rFonts w:ascii="Verdana" w:hAnsi="Verdana"/>
          <w:sz w:val="16"/>
          <w:szCs w:val="16"/>
          <w:lang w:val="es-CO"/>
        </w:rPr>
        <w:t>la suspensión provisional de la expresión “</w:t>
      </w:r>
      <w:r w:rsidRPr="00C9050C">
        <w:rPr>
          <w:rFonts w:ascii="Verdana" w:hAnsi="Verdana"/>
          <w:i/>
          <w:sz w:val="16"/>
          <w:szCs w:val="16"/>
          <w:lang w:val="es-CO"/>
        </w:rPr>
        <w:t>contratos</w:t>
      </w:r>
      <w:r w:rsidRPr="00C9050C">
        <w:rPr>
          <w:rFonts w:ascii="Verdana" w:hAnsi="Verdana"/>
          <w:sz w:val="16"/>
          <w:szCs w:val="16"/>
          <w:lang w:val="es-CO"/>
        </w:rPr>
        <w:t xml:space="preserve">” y del párrafo </w:t>
      </w:r>
      <w:r w:rsidRPr="00C9050C">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9050C">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19">
    <w:p w14:paraId="38C6BA09" w14:textId="77777777" w:rsidR="00D53F94" w:rsidRPr="00C9050C" w:rsidRDefault="00D53F94" w:rsidP="00D53F94">
      <w:pPr>
        <w:spacing w:after="0" w:line="240" w:lineRule="auto"/>
        <w:ind w:firstLine="709"/>
        <w:contextualSpacing/>
        <w:jc w:val="both"/>
        <w:rPr>
          <w:rFonts w:ascii="Verdana" w:eastAsia="Times New Roman" w:hAnsi="Verdana" w:cs="Times New Roman"/>
          <w:sz w:val="16"/>
          <w:szCs w:val="16"/>
          <w:lang w:eastAsia="es-ES"/>
        </w:rPr>
      </w:pPr>
      <w:r w:rsidRPr="00C9050C">
        <w:rPr>
          <w:rStyle w:val="Refdenotaalpie"/>
          <w:rFonts w:ascii="Verdana" w:hAnsi="Verdana"/>
          <w:sz w:val="16"/>
          <w:szCs w:val="16"/>
        </w:rPr>
        <w:footnoteRef/>
      </w:r>
      <w:r w:rsidRPr="00C9050C">
        <w:rPr>
          <w:rFonts w:ascii="Verdana" w:hAnsi="Verdana"/>
          <w:sz w:val="16"/>
          <w:szCs w:val="16"/>
        </w:rPr>
        <w:t xml:space="preserve"> </w:t>
      </w:r>
      <w:r w:rsidRPr="00C9050C">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9050C">
        <w:rPr>
          <w:rFonts w:ascii="Verdana" w:hAnsi="Verdana"/>
          <w:sz w:val="16"/>
          <w:szCs w:val="16"/>
        </w:rPr>
        <w:t xml:space="preserve">La parte de la providencia señala: </w:t>
      </w:r>
      <w:r w:rsidRPr="00C9050C">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0">
    <w:p w14:paraId="3ADBAFE8" w14:textId="77777777" w:rsidR="00D53F94" w:rsidRPr="00C9050C" w:rsidRDefault="00D53F94" w:rsidP="00D53F94">
      <w:pPr>
        <w:pStyle w:val="Textonotapie"/>
        <w:ind w:firstLine="709"/>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1">
    <w:p w14:paraId="18F81972" w14:textId="77777777" w:rsidR="00D53F94" w:rsidRPr="00D10D3D" w:rsidRDefault="00D53F94" w:rsidP="00D53F94">
      <w:pPr>
        <w:spacing w:after="0"/>
        <w:ind w:right="114"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69. Se garantiza la autonomía universitaria. Las universidades podrán darse sus directivas y regirse por sus</w:t>
      </w:r>
      <w:r w:rsidRPr="00D10D3D">
        <w:rPr>
          <w:rFonts w:ascii="Verdana" w:hAnsi="Verdana" w:cs="Arial"/>
          <w:spacing w:val="-2"/>
          <w:sz w:val="16"/>
          <w:szCs w:val="16"/>
        </w:rPr>
        <w:t xml:space="preserve"> </w:t>
      </w:r>
      <w:r w:rsidRPr="00D10D3D">
        <w:rPr>
          <w:rFonts w:ascii="Verdana" w:hAnsi="Verdana" w:cs="Arial"/>
          <w:sz w:val="16"/>
          <w:szCs w:val="16"/>
        </w:rPr>
        <w:t>propios</w:t>
      </w:r>
      <w:r w:rsidRPr="00D10D3D">
        <w:rPr>
          <w:rFonts w:ascii="Verdana" w:hAnsi="Verdana" w:cs="Arial"/>
          <w:spacing w:val="-2"/>
          <w:sz w:val="16"/>
          <w:szCs w:val="16"/>
        </w:rPr>
        <w:t xml:space="preserve"> </w:t>
      </w:r>
      <w:r w:rsidRPr="00D10D3D">
        <w:rPr>
          <w:rFonts w:ascii="Verdana" w:hAnsi="Verdana" w:cs="Arial"/>
          <w:sz w:val="16"/>
          <w:szCs w:val="16"/>
        </w:rPr>
        <w:t>estatutos,</w:t>
      </w:r>
      <w:r w:rsidRPr="00D10D3D">
        <w:rPr>
          <w:rFonts w:ascii="Verdana" w:hAnsi="Verdana" w:cs="Arial"/>
          <w:spacing w:val="-4"/>
          <w:sz w:val="16"/>
          <w:szCs w:val="16"/>
        </w:rPr>
        <w:t xml:space="preserve"> </w:t>
      </w:r>
      <w:r w:rsidRPr="00D10D3D">
        <w:rPr>
          <w:rFonts w:ascii="Verdana" w:hAnsi="Verdana" w:cs="Arial"/>
          <w:sz w:val="16"/>
          <w:szCs w:val="16"/>
        </w:rPr>
        <w:t>de</w:t>
      </w:r>
      <w:r w:rsidRPr="00D10D3D">
        <w:rPr>
          <w:rFonts w:ascii="Verdana" w:hAnsi="Verdana" w:cs="Arial"/>
          <w:spacing w:val="-4"/>
          <w:sz w:val="16"/>
          <w:szCs w:val="16"/>
        </w:rPr>
        <w:t xml:space="preserve"> </w:t>
      </w:r>
      <w:r w:rsidRPr="00D10D3D">
        <w:rPr>
          <w:rFonts w:ascii="Verdana" w:hAnsi="Verdana" w:cs="Arial"/>
          <w:sz w:val="16"/>
          <w:szCs w:val="16"/>
        </w:rPr>
        <w:t>acuerdo</w:t>
      </w:r>
      <w:r w:rsidRPr="00D10D3D">
        <w:rPr>
          <w:rFonts w:ascii="Verdana" w:hAnsi="Verdana" w:cs="Arial"/>
          <w:spacing w:val="-4"/>
          <w:sz w:val="16"/>
          <w:szCs w:val="16"/>
        </w:rPr>
        <w:t xml:space="preserve"> </w:t>
      </w:r>
      <w:r w:rsidRPr="00D10D3D">
        <w:rPr>
          <w:rFonts w:ascii="Verdana" w:hAnsi="Verdana" w:cs="Arial"/>
          <w:sz w:val="16"/>
          <w:szCs w:val="16"/>
        </w:rPr>
        <w:t>con</w:t>
      </w:r>
      <w:r w:rsidRPr="00D10D3D">
        <w:rPr>
          <w:rFonts w:ascii="Verdana" w:hAnsi="Verdana" w:cs="Arial"/>
          <w:spacing w:val="-1"/>
          <w:sz w:val="16"/>
          <w:szCs w:val="16"/>
        </w:rPr>
        <w:t xml:space="preserve"> </w:t>
      </w:r>
      <w:r w:rsidRPr="00D10D3D">
        <w:rPr>
          <w:rFonts w:ascii="Verdana" w:hAnsi="Verdana" w:cs="Arial"/>
          <w:sz w:val="16"/>
          <w:szCs w:val="16"/>
        </w:rPr>
        <w:t>la</w:t>
      </w:r>
      <w:r w:rsidRPr="00D10D3D">
        <w:rPr>
          <w:rFonts w:ascii="Verdana" w:hAnsi="Verdana" w:cs="Arial"/>
          <w:spacing w:val="-1"/>
          <w:sz w:val="16"/>
          <w:szCs w:val="16"/>
        </w:rPr>
        <w:t xml:space="preserve"> </w:t>
      </w:r>
      <w:r w:rsidRPr="00D10D3D">
        <w:rPr>
          <w:rFonts w:ascii="Verdana" w:hAnsi="Verdana" w:cs="Arial"/>
          <w:sz w:val="16"/>
          <w:szCs w:val="16"/>
        </w:rPr>
        <w:t>ley.</w:t>
      </w:r>
      <w:r w:rsidRPr="00D10D3D">
        <w:rPr>
          <w:rFonts w:ascii="Verdana" w:hAnsi="Verdana" w:cs="Arial"/>
          <w:spacing w:val="-2"/>
          <w:sz w:val="16"/>
          <w:szCs w:val="16"/>
        </w:rPr>
        <w:t xml:space="preserve"> </w:t>
      </w:r>
      <w:r w:rsidRPr="00D10D3D">
        <w:rPr>
          <w:rFonts w:ascii="Verdana" w:hAnsi="Verdana" w:cs="Arial"/>
          <w:sz w:val="16"/>
          <w:szCs w:val="16"/>
        </w:rPr>
        <w:t>La</w:t>
      </w:r>
      <w:r w:rsidRPr="00D10D3D">
        <w:rPr>
          <w:rFonts w:ascii="Verdana" w:hAnsi="Verdana" w:cs="Arial"/>
          <w:spacing w:val="-1"/>
          <w:sz w:val="16"/>
          <w:szCs w:val="16"/>
        </w:rPr>
        <w:t xml:space="preserve"> </w:t>
      </w:r>
      <w:r w:rsidRPr="00D10D3D">
        <w:rPr>
          <w:rFonts w:ascii="Verdana" w:hAnsi="Verdana" w:cs="Arial"/>
          <w:sz w:val="16"/>
          <w:szCs w:val="16"/>
        </w:rPr>
        <w:t>ley</w:t>
      </w:r>
      <w:r w:rsidRPr="00D10D3D">
        <w:rPr>
          <w:rFonts w:ascii="Verdana" w:hAnsi="Verdana" w:cs="Arial"/>
          <w:spacing w:val="-5"/>
          <w:sz w:val="16"/>
          <w:szCs w:val="16"/>
        </w:rPr>
        <w:t xml:space="preserve"> </w:t>
      </w:r>
      <w:r w:rsidRPr="00D10D3D">
        <w:rPr>
          <w:rFonts w:ascii="Verdana" w:hAnsi="Verdana" w:cs="Arial"/>
          <w:sz w:val="16"/>
          <w:szCs w:val="16"/>
        </w:rPr>
        <w:t>establecerá</w:t>
      </w:r>
      <w:r w:rsidRPr="00D10D3D">
        <w:rPr>
          <w:rFonts w:ascii="Verdana" w:hAnsi="Verdana" w:cs="Arial"/>
          <w:spacing w:val="-1"/>
          <w:sz w:val="16"/>
          <w:szCs w:val="16"/>
        </w:rPr>
        <w:t xml:space="preserve"> </w:t>
      </w:r>
      <w:r w:rsidRPr="00D10D3D">
        <w:rPr>
          <w:rFonts w:ascii="Verdana" w:hAnsi="Verdana" w:cs="Arial"/>
          <w:sz w:val="16"/>
          <w:szCs w:val="16"/>
        </w:rPr>
        <w:t>un</w:t>
      </w:r>
      <w:r w:rsidRPr="00D10D3D">
        <w:rPr>
          <w:rFonts w:ascii="Verdana" w:hAnsi="Verdana" w:cs="Arial"/>
          <w:spacing w:val="-1"/>
          <w:sz w:val="16"/>
          <w:szCs w:val="16"/>
        </w:rPr>
        <w:t xml:space="preserve"> </w:t>
      </w:r>
      <w:r w:rsidRPr="00D10D3D">
        <w:rPr>
          <w:rFonts w:ascii="Verdana" w:hAnsi="Verdana" w:cs="Arial"/>
          <w:sz w:val="16"/>
          <w:szCs w:val="16"/>
        </w:rPr>
        <w:t>régimen</w:t>
      </w:r>
      <w:r w:rsidRPr="00D10D3D">
        <w:rPr>
          <w:rFonts w:ascii="Verdana" w:hAnsi="Verdana" w:cs="Arial"/>
          <w:spacing w:val="-4"/>
          <w:sz w:val="16"/>
          <w:szCs w:val="16"/>
        </w:rPr>
        <w:t xml:space="preserve"> </w:t>
      </w:r>
      <w:r w:rsidRPr="00D10D3D">
        <w:rPr>
          <w:rFonts w:ascii="Verdana" w:hAnsi="Verdana" w:cs="Arial"/>
          <w:sz w:val="16"/>
          <w:szCs w:val="16"/>
        </w:rPr>
        <w:t>especial</w:t>
      </w:r>
      <w:r w:rsidRPr="00D10D3D">
        <w:rPr>
          <w:rFonts w:ascii="Verdana" w:hAnsi="Verdana" w:cs="Arial"/>
          <w:spacing w:val="-5"/>
          <w:sz w:val="16"/>
          <w:szCs w:val="16"/>
        </w:rPr>
        <w:t xml:space="preserve"> </w:t>
      </w:r>
      <w:r w:rsidRPr="00D10D3D">
        <w:rPr>
          <w:rFonts w:ascii="Verdana" w:hAnsi="Verdana" w:cs="Arial"/>
          <w:sz w:val="16"/>
          <w:szCs w:val="16"/>
        </w:rPr>
        <w:t>para</w:t>
      </w:r>
      <w:r w:rsidRPr="00D10D3D">
        <w:rPr>
          <w:rFonts w:ascii="Verdana" w:hAnsi="Verdana" w:cs="Arial"/>
          <w:spacing w:val="-1"/>
          <w:sz w:val="16"/>
          <w:szCs w:val="16"/>
        </w:rPr>
        <w:t xml:space="preserve"> </w:t>
      </w:r>
      <w:r w:rsidRPr="00D10D3D">
        <w:rPr>
          <w:rFonts w:ascii="Verdana" w:hAnsi="Verdana" w:cs="Arial"/>
          <w:sz w:val="16"/>
          <w:szCs w:val="16"/>
        </w:rPr>
        <w:t>las</w:t>
      </w:r>
      <w:r w:rsidRPr="00D10D3D">
        <w:rPr>
          <w:rFonts w:ascii="Verdana" w:hAnsi="Verdana" w:cs="Arial"/>
          <w:spacing w:val="-5"/>
          <w:sz w:val="16"/>
          <w:szCs w:val="16"/>
        </w:rPr>
        <w:t xml:space="preserve"> </w:t>
      </w:r>
      <w:r w:rsidRPr="00D10D3D">
        <w:rPr>
          <w:rFonts w:ascii="Verdana" w:hAnsi="Verdana" w:cs="Arial"/>
          <w:sz w:val="16"/>
          <w:szCs w:val="16"/>
        </w:rPr>
        <w:t>universidades</w:t>
      </w:r>
      <w:r w:rsidRPr="00D10D3D">
        <w:rPr>
          <w:rFonts w:ascii="Verdana" w:hAnsi="Verdana" w:cs="Arial"/>
          <w:spacing w:val="-2"/>
          <w:sz w:val="16"/>
          <w:szCs w:val="16"/>
        </w:rPr>
        <w:t xml:space="preserve"> </w:t>
      </w:r>
      <w:r w:rsidRPr="00D10D3D">
        <w:rPr>
          <w:rFonts w:ascii="Verdana" w:hAnsi="Verdana" w:cs="Arial"/>
          <w:sz w:val="16"/>
          <w:szCs w:val="16"/>
        </w:rPr>
        <w:t>del</w:t>
      </w:r>
      <w:r w:rsidRPr="00D10D3D">
        <w:rPr>
          <w:rFonts w:ascii="Verdana" w:hAnsi="Verdana" w:cs="Arial"/>
          <w:spacing w:val="-3"/>
          <w:sz w:val="16"/>
          <w:szCs w:val="16"/>
        </w:rPr>
        <w:t xml:space="preserve"> </w:t>
      </w:r>
      <w:r w:rsidRPr="00D10D3D">
        <w:rPr>
          <w:rFonts w:ascii="Verdana" w:hAnsi="Verdana" w:cs="Arial"/>
          <w:sz w:val="16"/>
          <w:szCs w:val="16"/>
        </w:rPr>
        <w:t>Estado</w:t>
      </w:r>
      <w:r>
        <w:rPr>
          <w:rFonts w:ascii="Verdana" w:hAnsi="Verdana" w:cs="Arial"/>
          <w:sz w:val="16"/>
          <w:szCs w:val="16"/>
        </w:rPr>
        <w:t>”</w:t>
      </w:r>
      <w:r w:rsidRPr="00D10D3D">
        <w:rPr>
          <w:rFonts w:ascii="Verdana" w:hAnsi="Verdana" w:cs="Arial"/>
          <w:sz w:val="16"/>
          <w:szCs w:val="16"/>
        </w:rPr>
        <w:t>.</w:t>
      </w:r>
    </w:p>
  </w:footnote>
  <w:footnote w:id="22">
    <w:p w14:paraId="00F4ECCE" w14:textId="77777777" w:rsidR="00D53F94" w:rsidRPr="00D10D3D" w:rsidRDefault="00D53F94" w:rsidP="00D53F94">
      <w:pPr>
        <w:pStyle w:val="Textonotapie"/>
        <w:ind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57. Las universidades estatales u oficiales deben organizarse como entes universitarios autónomos, con régimen especial y vinculados al Ministerio de Educación Nacional en lo que se refiere a las políticas y la planeación del sector educativo.</w:t>
      </w:r>
    </w:p>
    <w:p w14:paraId="4F2D4BC3" w14:textId="77777777" w:rsidR="00D53F94" w:rsidRPr="00D10D3D" w:rsidRDefault="00D53F94" w:rsidP="00D53F94">
      <w:pPr>
        <w:pStyle w:val="Textonotapie"/>
        <w:ind w:firstLine="708"/>
        <w:jc w:val="both"/>
        <w:rPr>
          <w:rFonts w:ascii="Verdana" w:hAnsi="Verdana" w:cs="Arial"/>
          <w:sz w:val="16"/>
          <w:szCs w:val="16"/>
        </w:rPr>
      </w:pPr>
      <w:r w:rsidRPr="00D10D3D">
        <w:rPr>
          <w:rFonts w:ascii="Verdana" w:hAnsi="Verdana" w:cs="Arial"/>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17C06923" w14:textId="77777777" w:rsidR="00D53F94" w:rsidRPr="00D10D3D" w:rsidRDefault="00D53F94" w:rsidP="00D53F94">
      <w:pPr>
        <w:pStyle w:val="Textonotapie"/>
        <w:jc w:val="both"/>
        <w:rPr>
          <w:rFonts w:ascii="Verdana" w:hAnsi="Verdana" w:cs="Arial"/>
          <w:sz w:val="16"/>
          <w:szCs w:val="16"/>
          <w:lang w:val="es-CO"/>
        </w:rPr>
      </w:pPr>
      <w:r w:rsidRPr="00D10D3D">
        <w:rPr>
          <w:rFonts w:ascii="Verdana" w:hAnsi="Verdana" w:cs="Arial"/>
          <w:sz w:val="16"/>
          <w:szCs w:val="16"/>
        </w:rPr>
        <w:tab/>
      </w:r>
      <w:r w:rsidRPr="00D10D3D">
        <w:rPr>
          <w:rFonts w:ascii="Verdana" w:hAnsi="Verdana" w:cs="Arial"/>
          <w:sz w:val="16"/>
          <w:szCs w:val="16"/>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r>
        <w:rPr>
          <w:rFonts w:ascii="Verdana" w:hAnsi="Verdana" w:cs="Arial"/>
          <w:sz w:val="16"/>
          <w:szCs w:val="16"/>
          <w:lang w:val="es-CO"/>
        </w:rPr>
        <w:t>”</w:t>
      </w:r>
      <w:r w:rsidRPr="00D10D3D">
        <w:rPr>
          <w:rFonts w:ascii="Verdana" w:hAnsi="Verdana" w:cs="Arial"/>
          <w:sz w:val="16"/>
          <w:szCs w:val="16"/>
          <w:lang w:val="es-CO"/>
        </w:rPr>
        <w:t>.</w:t>
      </w:r>
    </w:p>
  </w:footnote>
  <w:footnote w:id="23">
    <w:p w14:paraId="4B8E14DE" w14:textId="77777777" w:rsidR="00D53F94" w:rsidRPr="00D10D3D" w:rsidRDefault="00D53F94" w:rsidP="00D53F94">
      <w:pPr>
        <w:spacing w:after="0"/>
        <w:ind w:right="110"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93. 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w:t>
      </w:r>
      <w:r w:rsidRPr="00D10D3D">
        <w:rPr>
          <w:rFonts w:ascii="Verdana" w:hAnsi="Verdana" w:cs="Arial"/>
          <w:spacing w:val="-16"/>
          <w:sz w:val="16"/>
          <w:szCs w:val="16"/>
        </w:rPr>
        <w:t xml:space="preserve"> </w:t>
      </w:r>
      <w:r w:rsidRPr="00D10D3D">
        <w:rPr>
          <w:rFonts w:ascii="Verdana" w:hAnsi="Verdana" w:cs="Arial"/>
          <w:sz w:val="16"/>
          <w:szCs w:val="16"/>
        </w:rPr>
        <w:t>contratos</w:t>
      </w:r>
      <w:r>
        <w:rPr>
          <w:rFonts w:ascii="Verdana" w:hAnsi="Verdana" w:cs="Arial"/>
          <w:sz w:val="16"/>
          <w:szCs w:val="16"/>
        </w:rPr>
        <w:t>”</w:t>
      </w:r>
      <w:r w:rsidRPr="00D10D3D">
        <w:rPr>
          <w:rFonts w:ascii="Verdana" w:hAnsi="Verdana" w:cs="Arial"/>
          <w:sz w:val="16"/>
          <w:szCs w:val="16"/>
        </w:rPr>
        <w:t>.</w:t>
      </w:r>
    </w:p>
  </w:footnote>
  <w:footnote w:id="24">
    <w:p w14:paraId="24C3687C" w14:textId="77777777" w:rsidR="00D53F94" w:rsidRPr="00D10D3D" w:rsidRDefault="00D53F94" w:rsidP="00D53F94">
      <w:pPr>
        <w:spacing w:after="0"/>
        <w:ind w:right="106"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r>
        <w:rPr>
          <w:rFonts w:ascii="Verdana" w:hAnsi="Verdana" w:cs="Arial"/>
          <w:sz w:val="16"/>
          <w:szCs w:val="16"/>
        </w:rPr>
        <w:t>”</w:t>
      </w:r>
      <w:r w:rsidRPr="00D10D3D">
        <w:rPr>
          <w:rFonts w:ascii="Verdana" w:hAnsi="Verdana" w:cs="Arial"/>
          <w:sz w:val="16"/>
          <w:szCs w:val="16"/>
        </w:rPr>
        <w:t>.</w:t>
      </w:r>
    </w:p>
  </w:footnote>
  <w:footnote w:id="25">
    <w:p w14:paraId="778C1CBC" w14:textId="77777777" w:rsidR="00D53F94" w:rsidRPr="00D10D3D" w:rsidRDefault="00D53F94" w:rsidP="00D53F94">
      <w:pPr>
        <w:spacing w:after="0"/>
        <w:ind w:right="106"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40.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r>
        <w:rPr>
          <w:rFonts w:ascii="Verdana" w:hAnsi="Verdana" w:cs="Arial"/>
          <w:sz w:val="16"/>
          <w:szCs w:val="16"/>
        </w:rPr>
        <w:t>”</w:t>
      </w:r>
      <w:r w:rsidRPr="00D10D3D">
        <w:rPr>
          <w:rFonts w:ascii="Verdana" w:hAnsi="Verdana" w:cs="Arial"/>
          <w:sz w:val="16"/>
          <w:szCs w:val="16"/>
        </w:rPr>
        <w:t>.</w:t>
      </w:r>
    </w:p>
  </w:footnote>
  <w:footnote w:id="26">
    <w:p w14:paraId="55374145" w14:textId="77777777" w:rsidR="00D53F94" w:rsidRPr="00D10D3D" w:rsidRDefault="00D53F94" w:rsidP="00D53F94">
      <w:pPr>
        <w:spacing w:after="0"/>
        <w:ind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Corte Constitucional. Sentencia C-121 de 2003. M.P. Clara Inés Vargas Hernández.</w:t>
      </w:r>
    </w:p>
  </w:footnote>
  <w:footnote w:id="27">
    <w:p w14:paraId="43CFE056" w14:textId="77777777" w:rsidR="00D53F94" w:rsidRPr="00D10D3D" w:rsidRDefault="00D53F94" w:rsidP="00D53F94">
      <w:pPr>
        <w:spacing w:after="0"/>
        <w:ind w:left="-1" w:right="110" w:firstLine="709"/>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Corte</w:t>
      </w:r>
      <w:r w:rsidRPr="00D10D3D">
        <w:rPr>
          <w:rFonts w:ascii="Verdana" w:hAnsi="Verdana" w:cs="Arial"/>
          <w:spacing w:val="10"/>
          <w:sz w:val="16"/>
          <w:szCs w:val="16"/>
        </w:rPr>
        <w:t xml:space="preserve"> </w:t>
      </w:r>
      <w:r w:rsidRPr="00D10D3D">
        <w:rPr>
          <w:rFonts w:ascii="Verdana" w:hAnsi="Verdana" w:cs="Arial"/>
          <w:sz w:val="16"/>
          <w:szCs w:val="16"/>
        </w:rPr>
        <w:t>Constitucional.</w:t>
      </w:r>
      <w:r w:rsidRPr="00D10D3D">
        <w:rPr>
          <w:rFonts w:ascii="Verdana" w:hAnsi="Verdana" w:cs="Arial"/>
          <w:spacing w:val="11"/>
          <w:sz w:val="16"/>
          <w:szCs w:val="16"/>
        </w:rPr>
        <w:t xml:space="preserve"> </w:t>
      </w:r>
      <w:r w:rsidRPr="00D10D3D">
        <w:rPr>
          <w:rFonts w:ascii="Verdana" w:hAnsi="Verdana" w:cs="Arial"/>
          <w:sz w:val="16"/>
          <w:szCs w:val="16"/>
        </w:rPr>
        <w:t>Sentencia</w:t>
      </w:r>
      <w:r w:rsidRPr="00D10D3D">
        <w:rPr>
          <w:rFonts w:ascii="Verdana" w:hAnsi="Verdana" w:cs="Arial"/>
          <w:spacing w:val="10"/>
          <w:sz w:val="16"/>
          <w:szCs w:val="16"/>
        </w:rPr>
        <w:t xml:space="preserve"> </w:t>
      </w:r>
      <w:r w:rsidRPr="00D10D3D">
        <w:rPr>
          <w:rFonts w:ascii="Verdana" w:hAnsi="Verdana" w:cs="Arial"/>
          <w:sz w:val="16"/>
          <w:szCs w:val="16"/>
        </w:rPr>
        <w:t>C-1019</w:t>
      </w:r>
      <w:r w:rsidRPr="00D10D3D">
        <w:rPr>
          <w:rFonts w:ascii="Verdana" w:hAnsi="Verdana" w:cs="Arial"/>
          <w:spacing w:val="10"/>
          <w:sz w:val="16"/>
          <w:szCs w:val="16"/>
        </w:rPr>
        <w:t xml:space="preserve"> </w:t>
      </w:r>
      <w:r w:rsidRPr="00D10D3D">
        <w:rPr>
          <w:rFonts w:ascii="Verdana" w:hAnsi="Verdana" w:cs="Arial"/>
          <w:sz w:val="16"/>
          <w:szCs w:val="16"/>
        </w:rPr>
        <w:t>del</w:t>
      </w:r>
      <w:r w:rsidRPr="00D10D3D">
        <w:rPr>
          <w:rFonts w:ascii="Verdana" w:hAnsi="Verdana" w:cs="Arial"/>
          <w:spacing w:val="9"/>
          <w:sz w:val="16"/>
          <w:szCs w:val="16"/>
        </w:rPr>
        <w:t xml:space="preserve"> </w:t>
      </w:r>
      <w:r w:rsidRPr="00D10D3D">
        <w:rPr>
          <w:rFonts w:ascii="Verdana" w:hAnsi="Verdana" w:cs="Arial"/>
          <w:sz w:val="16"/>
          <w:szCs w:val="16"/>
        </w:rPr>
        <w:t>28</w:t>
      </w:r>
      <w:r w:rsidRPr="00D10D3D">
        <w:rPr>
          <w:rFonts w:ascii="Verdana" w:hAnsi="Verdana" w:cs="Arial"/>
          <w:spacing w:val="10"/>
          <w:sz w:val="16"/>
          <w:szCs w:val="16"/>
        </w:rPr>
        <w:t xml:space="preserve"> </w:t>
      </w:r>
      <w:r w:rsidRPr="00D10D3D">
        <w:rPr>
          <w:rFonts w:ascii="Verdana" w:hAnsi="Verdana" w:cs="Arial"/>
          <w:sz w:val="16"/>
          <w:szCs w:val="16"/>
        </w:rPr>
        <w:t>de</w:t>
      </w:r>
      <w:r w:rsidRPr="00D10D3D">
        <w:rPr>
          <w:rFonts w:ascii="Verdana" w:hAnsi="Verdana" w:cs="Arial"/>
          <w:spacing w:val="10"/>
          <w:sz w:val="16"/>
          <w:szCs w:val="16"/>
        </w:rPr>
        <w:t xml:space="preserve"> </w:t>
      </w:r>
      <w:r w:rsidRPr="00D10D3D">
        <w:rPr>
          <w:rFonts w:ascii="Verdana" w:hAnsi="Verdana" w:cs="Arial"/>
          <w:sz w:val="16"/>
          <w:szCs w:val="16"/>
        </w:rPr>
        <w:t>noviembre</w:t>
      </w:r>
      <w:r w:rsidRPr="00D10D3D">
        <w:rPr>
          <w:rFonts w:ascii="Verdana" w:hAnsi="Verdana" w:cs="Arial"/>
          <w:spacing w:val="10"/>
          <w:sz w:val="16"/>
          <w:szCs w:val="16"/>
        </w:rPr>
        <w:t xml:space="preserve"> </w:t>
      </w:r>
      <w:r w:rsidRPr="00D10D3D">
        <w:rPr>
          <w:rFonts w:ascii="Verdana" w:hAnsi="Verdana" w:cs="Arial"/>
          <w:sz w:val="16"/>
          <w:szCs w:val="16"/>
        </w:rPr>
        <w:t>de</w:t>
      </w:r>
      <w:r w:rsidRPr="00D10D3D">
        <w:rPr>
          <w:rFonts w:ascii="Verdana" w:hAnsi="Verdana" w:cs="Arial"/>
          <w:spacing w:val="10"/>
          <w:sz w:val="16"/>
          <w:szCs w:val="16"/>
        </w:rPr>
        <w:t xml:space="preserve"> </w:t>
      </w:r>
      <w:r w:rsidRPr="00D10D3D">
        <w:rPr>
          <w:rFonts w:ascii="Verdana" w:hAnsi="Verdana" w:cs="Arial"/>
          <w:sz w:val="16"/>
          <w:szCs w:val="16"/>
        </w:rPr>
        <w:t>2012.</w:t>
      </w:r>
      <w:r w:rsidRPr="00D10D3D">
        <w:rPr>
          <w:rFonts w:ascii="Verdana" w:hAnsi="Verdana" w:cs="Arial"/>
          <w:spacing w:val="10"/>
          <w:sz w:val="16"/>
          <w:szCs w:val="16"/>
        </w:rPr>
        <w:t xml:space="preserve"> </w:t>
      </w:r>
      <w:r w:rsidRPr="00D10D3D">
        <w:rPr>
          <w:rFonts w:ascii="Verdana" w:hAnsi="Verdana" w:cs="Arial"/>
          <w:sz w:val="16"/>
          <w:szCs w:val="16"/>
        </w:rPr>
        <w:t>M.P.</w:t>
      </w:r>
      <w:r w:rsidRPr="00D10D3D">
        <w:rPr>
          <w:rFonts w:ascii="Verdana" w:hAnsi="Verdana" w:cs="Arial"/>
          <w:spacing w:val="10"/>
          <w:sz w:val="16"/>
          <w:szCs w:val="16"/>
        </w:rPr>
        <w:t xml:space="preserve"> </w:t>
      </w:r>
      <w:r w:rsidRPr="00D10D3D">
        <w:rPr>
          <w:rFonts w:ascii="Verdana" w:hAnsi="Verdana" w:cs="Arial"/>
          <w:sz w:val="16"/>
          <w:szCs w:val="16"/>
        </w:rPr>
        <w:t>Mauricio</w:t>
      </w:r>
      <w:r w:rsidRPr="00D10D3D">
        <w:rPr>
          <w:rFonts w:ascii="Verdana" w:hAnsi="Verdana" w:cs="Arial"/>
          <w:spacing w:val="8"/>
          <w:sz w:val="16"/>
          <w:szCs w:val="16"/>
        </w:rPr>
        <w:t xml:space="preserve"> </w:t>
      </w:r>
      <w:r w:rsidRPr="00D10D3D">
        <w:rPr>
          <w:rFonts w:ascii="Verdana" w:hAnsi="Verdana" w:cs="Arial"/>
          <w:sz w:val="16"/>
          <w:szCs w:val="16"/>
        </w:rPr>
        <w:t>González.</w:t>
      </w:r>
    </w:p>
  </w:footnote>
  <w:footnote w:id="28">
    <w:p w14:paraId="18DE2F24" w14:textId="77777777" w:rsidR="00D53F94" w:rsidRPr="00D10D3D" w:rsidRDefault="00D53F94" w:rsidP="00D53F94">
      <w:pPr>
        <w:pStyle w:val="Textonotapie"/>
        <w:ind w:firstLine="708"/>
        <w:jc w:val="both"/>
        <w:rPr>
          <w:rFonts w:ascii="Verdana" w:hAnsi="Verdana" w:cs="Arial"/>
          <w:sz w:val="16"/>
          <w:szCs w:val="16"/>
          <w:lang w:val="es-ES_tradnl"/>
        </w:rPr>
      </w:pPr>
      <w:r w:rsidRPr="00D10D3D">
        <w:rPr>
          <w:rStyle w:val="Refdenotaalpie"/>
          <w:rFonts w:ascii="Verdana" w:hAnsi="Verdana" w:cs="Arial"/>
          <w:sz w:val="16"/>
          <w:szCs w:val="16"/>
        </w:rPr>
        <w:footnoteRef/>
      </w:r>
      <w:r w:rsidRPr="00D10D3D">
        <w:rPr>
          <w:rFonts w:ascii="Verdana" w:hAnsi="Verdana" w:cs="Arial"/>
          <w:sz w:val="16"/>
          <w:szCs w:val="16"/>
        </w:rPr>
        <w:t xml:space="preserve"> CONSEJO DE ESTADO. Sección Cuarta. Sentencia del 16 de diciembre de 2008. Exp. 16.297. C.P. Martha Teresa Briceño de Valencia</w:t>
      </w:r>
    </w:p>
  </w:footnote>
  <w:footnote w:id="29">
    <w:p w14:paraId="1EC34123" w14:textId="77777777" w:rsidR="00D53F94" w:rsidRPr="00D10D3D" w:rsidRDefault="00D53F94" w:rsidP="00D53F94">
      <w:pPr>
        <w:pStyle w:val="Textonotapie"/>
        <w:jc w:val="both"/>
        <w:rPr>
          <w:rFonts w:ascii="Verdana" w:hAnsi="Verdana" w:cs="Arial"/>
          <w:sz w:val="16"/>
          <w:szCs w:val="16"/>
        </w:rPr>
      </w:pPr>
    </w:p>
  </w:footnote>
  <w:footnote w:id="30">
    <w:p w14:paraId="76051548" w14:textId="77777777" w:rsidR="00815B83" w:rsidRPr="003D0447" w:rsidRDefault="00815B83" w:rsidP="00815B83">
      <w:pPr>
        <w:pStyle w:val="Textonotapie"/>
        <w:ind w:firstLine="709"/>
        <w:jc w:val="both"/>
        <w:rPr>
          <w:rFonts w:ascii="Verdana" w:hAnsi="Verdana" w:cs="Arial"/>
          <w:sz w:val="16"/>
          <w:szCs w:val="16"/>
        </w:rPr>
      </w:pPr>
      <w:r w:rsidRPr="003D0447">
        <w:rPr>
          <w:rStyle w:val="Refdenotaalpie"/>
          <w:rFonts w:ascii="Verdana" w:hAnsi="Verdana" w:cs="Arial"/>
          <w:sz w:val="16"/>
          <w:szCs w:val="16"/>
        </w:rPr>
        <w:footnoteRef/>
      </w:r>
      <w:r w:rsidRPr="003D0447">
        <w:rPr>
          <w:rFonts w:ascii="Verdana" w:hAnsi="Verdana" w:cs="Arial"/>
          <w:sz w:val="16"/>
          <w:szCs w:val="16"/>
        </w:rPr>
        <w:t xml:space="preserve"> </w:t>
      </w:r>
      <w:r>
        <w:rPr>
          <w:rFonts w:ascii="Verdana" w:hAnsi="Verdana" w:cs="Arial"/>
          <w:sz w:val="16"/>
          <w:szCs w:val="16"/>
        </w:rPr>
        <w:t>“</w:t>
      </w:r>
      <w:r w:rsidRPr="003D0447">
        <w:rPr>
          <w:rFonts w:ascii="Verdana" w:hAnsi="Verdana" w:cs="Arial"/>
          <w:sz w:val="16"/>
          <w:szCs w:val="16"/>
        </w:rPr>
        <w:t>Artículo 2o. De la definición de entidades, servidores y servicios públicos. Para los solos efectos de esta ley:</w:t>
      </w:r>
    </w:p>
    <w:p w14:paraId="3C0E5315" w14:textId="77777777" w:rsidR="00815B83" w:rsidRPr="003D0447" w:rsidRDefault="00815B83" w:rsidP="00815B83">
      <w:pPr>
        <w:pStyle w:val="Textonotapie"/>
        <w:ind w:firstLine="709"/>
        <w:jc w:val="both"/>
        <w:rPr>
          <w:rFonts w:ascii="Verdana" w:hAnsi="Verdana" w:cs="Arial"/>
          <w:sz w:val="16"/>
          <w:szCs w:val="16"/>
        </w:rPr>
      </w:pPr>
      <w:r w:rsidRPr="003D0447">
        <w:rPr>
          <w:rFonts w:ascii="Verdana" w:hAnsi="Verdana" w:cs="Arial"/>
          <w:sz w:val="16"/>
          <w:szCs w:val="16"/>
        </w:rPr>
        <w:t>1o. Se denominan entidades estatales:</w:t>
      </w:r>
    </w:p>
    <w:p w14:paraId="0C962413" w14:textId="77777777" w:rsidR="00815B83" w:rsidRPr="003D0447" w:rsidRDefault="00815B83" w:rsidP="00815B83">
      <w:pPr>
        <w:pStyle w:val="Textonotapie"/>
        <w:ind w:firstLine="709"/>
        <w:jc w:val="both"/>
        <w:rPr>
          <w:rFonts w:ascii="Verdana" w:hAnsi="Verdana" w:cs="Arial"/>
          <w:sz w:val="16"/>
          <w:szCs w:val="16"/>
        </w:rPr>
      </w:pPr>
      <w:r w:rsidRPr="003D0447">
        <w:rPr>
          <w:rFonts w:ascii="Verdana" w:hAnsi="Verdana" w:cs="Arial"/>
          <w:sz w:val="16"/>
          <w:szCs w:val="16"/>
        </w:rPr>
        <w:t xml:space="preserve">a) La Nación, las regiones, los departamentos, las provincias, el distrito capital y los distritos especiales, las áreas metropolitanas, las asociaciones de municipios, los territorios indígenas y los municipios; </w:t>
      </w:r>
      <w:r w:rsidRPr="003D0447">
        <w:rPr>
          <w:rFonts w:ascii="Verdana" w:hAnsi="Verdana" w:cs="Arial"/>
          <w:i/>
          <w:iCs/>
          <w:sz w:val="16"/>
          <w:szCs w:val="16"/>
          <w:u w:val="single"/>
        </w:rPr>
        <w:t>los establecimientos públicos</w:t>
      </w:r>
      <w:r w:rsidRPr="003D0447">
        <w:rPr>
          <w:rFonts w:ascii="Verdana" w:hAnsi="Verdana" w:cs="Arial"/>
          <w:sz w:val="16"/>
          <w:szCs w:val="16"/>
        </w:rPr>
        <w:t>,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r>
        <w:rPr>
          <w:rFonts w:ascii="Verdana" w:hAnsi="Verdana" w:cs="Arial"/>
          <w:sz w:val="16"/>
          <w:szCs w:val="16"/>
        </w:rPr>
        <w:t>”</w:t>
      </w:r>
      <w:r w:rsidRPr="003D0447">
        <w:rPr>
          <w:rFonts w:ascii="Verdana" w:hAnsi="Verdana" w:cs="Arial"/>
          <w:sz w:val="16"/>
          <w:szCs w:val="16"/>
        </w:rPr>
        <w:t>. [Énfasis fuera de texto].</w:t>
      </w:r>
    </w:p>
    <w:p w14:paraId="76F29F67" w14:textId="77777777" w:rsidR="00815B83" w:rsidRPr="003D0447" w:rsidRDefault="00815B83" w:rsidP="00815B83">
      <w:pPr>
        <w:pStyle w:val="Textonotapie"/>
        <w:ind w:firstLine="709"/>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679089576">
    <w:abstractNumId w:val="9"/>
  </w:num>
  <w:num w:numId="18" w16cid:durableId="110823207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1367"/>
    <w:rsid w:val="00082362"/>
    <w:rsid w:val="000825A6"/>
    <w:rsid w:val="00095DAE"/>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61121"/>
    <w:rsid w:val="002707A2"/>
    <w:rsid w:val="002845F4"/>
    <w:rsid w:val="00293441"/>
    <w:rsid w:val="002951A0"/>
    <w:rsid w:val="002962BC"/>
    <w:rsid w:val="002A093D"/>
    <w:rsid w:val="002A0DD0"/>
    <w:rsid w:val="002A49AC"/>
    <w:rsid w:val="002A64FD"/>
    <w:rsid w:val="002C7A84"/>
    <w:rsid w:val="002E2BF8"/>
    <w:rsid w:val="002E4FD9"/>
    <w:rsid w:val="002F3CDF"/>
    <w:rsid w:val="0030657A"/>
    <w:rsid w:val="00322A85"/>
    <w:rsid w:val="00324168"/>
    <w:rsid w:val="00330834"/>
    <w:rsid w:val="003318AB"/>
    <w:rsid w:val="003448F4"/>
    <w:rsid w:val="00374F5E"/>
    <w:rsid w:val="00377E3E"/>
    <w:rsid w:val="003A779E"/>
    <w:rsid w:val="003C5B9E"/>
    <w:rsid w:val="003D0F4D"/>
    <w:rsid w:val="003D1CF9"/>
    <w:rsid w:val="003D5B0D"/>
    <w:rsid w:val="003E0499"/>
    <w:rsid w:val="003E4F80"/>
    <w:rsid w:val="003E6439"/>
    <w:rsid w:val="003E6646"/>
    <w:rsid w:val="003F3941"/>
    <w:rsid w:val="003F3F9C"/>
    <w:rsid w:val="00406575"/>
    <w:rsid w:val="00414C74"/>
    <w:rsid w:val="00417B5B"/>
    <w:rsid w:val="0042722E"/>
    <w:rsid w:val="00437377"/>
    <w:rsid w:val="0044528D"/>
    <w:rsid w:val="00466302"/>
    <w:rsid w:val="00466E39"/>
    <w:rsid w:val="004A1847"/>
    <w:rsid w:val="004A305D"/>
    <w:rsid w:val="004B7D74"/>
    <w:rsid w:val="004F21C4"/>
    <w:rsid w:val="004F685F"/>
    <w:rsid w:val="0053199F"/>
    <w:rsid w:val="005566E8"/>
    <w:rsid w:val="00574867"/>
    <w:rsid w:val="00591460"/>
    <w:rsid w:val="00597A19"/>
    <w:rsid w:val="005A65E0"/>
    <w:rsid w:val="005C3777"/>
    <w:rsid w:val="005C5CDC"/>
    <w:rsid w:val="005C6BC8"/>
    <w:rsid w:val="005D476C"/>
    <w:rsid w:val="005E6B20"/>
    <w:rsid w:val="006200BF"/>
    <w:rsid w:val="006219F8"/>
    <w:rsid w:val="006302F7"/>
    <w:rsid w:val="00646B9F"/>
    <w:rsid w:val="00665D70"/>
    <w:rsid w:val="006900D9"/>
    <w:rsid w:val="006C04F1"/>
    <w:rsid w:val="00706C16"/>
    <w:rsid w:val="007340C3"/>
    <w:rsid w:val="0075235A"/>
    <w:rsid w:val="00756841"/>
    <w:rsid w:val="007649AB"/>
    <w:rsid w:val="00771D0C"/>
    <w:rsid w:val="007829E1"/>
    <w:rsid w:val="007833AC"/>
    <w:rsid w:val="00790DB9"/>
    <w:rsid w:val="007B268C"/>
    <w:rsid w:val="007B7171"/>
    <w:rsid w:val="007C0C0F"/>
    <w:rsid w:val="007C3DC2"/>
    <w:rsid w:val="007D3968"/>
    <w:rsid w:val="007E5497"/>
    <w:rsid w:val="00806F5F"/>
    <w:rsid w:val="00815B83"/>
    <w:rsid w:val="00820278"/>
    <w:rsid w:val="008258C9"/>
    <w:rsid w:val="00844AE9"/>
    <w:rsid w:val="00867F95"/>
    <w:rsid w:val="008843B6"/>
    <w:rsid w:val="00891928"/>
    <w:rsid w:val="008934CB"/>
    <w:rsid w:val="008A446D"/>
    <w:rsid w:val="008B104D"/>
    <w:rsid w:val="008B25F1"/>
    <w:rsid w:val="008D180B"/>
    <w:rsid w:val="008E72AF"/>
    <w:rsid w:val="008F0EA7"/>
    <w:rsid w:val="008F327E"/>
    <w:rsid w:val="00923EEF"/>
    <w:rsid w:val="009419F9"/>
    <w:rsid w:val="0095685E"/>
    <w:rsid w:val="00961B09"/>
    <w:rsid w:val="00965334"/>
    <w:rsid w:val="0097093E"/>
    <w:rsid w:val="00990BF1"/>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3161"/>
    <w:rsid w:val="00A86E5C"/>
    <w:rsid w:val="00AB0ADB"/>
    <w:rsid w:val="00B00C0E"/>
    <w:rsid w:val="00B01B1A"/>
    <w:rsid w:val="00B0381D"/>
    <w:rsid w:val="00B44A47"/>
    <w:rsid w:val="00B72CD3"/>
    <w:rsid w:val="00B72FFF"/>
    <w:rsid w:val="00B7443D"/>
    <w:rsid w:val="00B8150B"/>
    <w:rsid w:val="00BA7A2E"/>
    <w:rsid w:val="00BC3D36"/>
    <w:rsid w:val="00BD54A6"/>
    <w:rsid w:val="00BD7F72"/>
    <w:rsid w:val="00BF6651"/>
    <w:rsid w:val="00BF7425"/>
    <w:rsid w:val="00C04FB3"/>
    <w:rsid w:val="00C11D8B"/>
    <w:rsid w:val="00C15139"/>
    <w:rsid w:val="00C330EB"/>
    <w:rsid w:val="00C50D69"/>
    <w:rsid w:val="00C5365C"/>
    <w:rsid w:val="00C67C8B"/>
    <w:rsid w:val="00C754BE"/>
    <w:rsid w:val="00C76B1C"/>
    <w:rsid w:val="00C925AC"/>
    <w:rsid w:val="00C958D1"/>
    <w:rsid w:val="00CB6357"/>
    <w:rsid w:val="00CC1B26"/>
    <w:rsid w:val="00CD6067"/>
    <w:rsid w:val="00CE4589"/>
    <w:rsid w:val="00D350D3"/>
    <w:rsid w:val="00D361FD"/>
    <w:rsid w:val="00D423A2"/>
    <w:rsid w:val="00D44E26"/>
    <w:rsid w:val="00D520D8"/>
    <w:rsid w:val="00D53F94"/>
    <w:rsid w:val="00D63AC2"/>
    <w:rsid w:val="00D7383B"/>
    <w:rsid w:val="00D7788A"/>
    <w:rsid w:val="00DA231B"/>
    <w:rsid w:val="00DC39FC"/>
    <w:rsid w:val="00DF5254"/>
    <w:rsid w:val="00E02524"/>
    <w:rsid w:val="00E16408"/>
    <w:rsid w:val="00E20894"/>
    <w:rsid w:val="00E245AB"/>
    <w:rsid w:val="00E2764C"/>
    <w:rsid w:val="00E27F2E"/>
    <w:rsid w:val="00E50AFE"/>
    <w:rsid w:val="00E56EE8"/>
    <w:rsid w:val="00E75C92"/>
    <w:rsid w:val="00E771DC"/>
    <w:rsid w:val="00E8772A"/>
    <w:rsid w:val="00E90AC3"/>
    <w:rsid w:val="00E90F6B"/>
    <w:rsid w:val="00E92C27"/>
    <w:rsid w:val="00EA0E3D"/>
    <w:rsid w:val="00EC38A7"/>
    <w:rsid w:val="00EE1AA8"/>
    <w:rsid w:val="00F23FEA"/>
    <w:rsid w:val="00F31A4A"/>
    <w:rsid w:val="00F31EDC"/>
    <w:rsid w:val="00F462B3"/>
    <w:rsid w:val="00F5664F"/>
    <w:rsid w:val="00F666C4"/>
    <w:rsid w:val="00F76AFC"/>
    <w:rsid w:val="00FA3E17"/>
    <w:rsid w:val="00FA47C0"/>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tificacionespqrs@cnmh.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CD7FD0-67A6-4B79-9FB9-3808787E0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27</Pages>
  <Words>8918</Words>
  <Characters>49053</Characters>
  <Application>Microsoft Office Word</Application>
  <DocSecurity>0</DocSecurity>
  <Lines>408</Lines>
  <Paragraphs>115</Paragraphs>
  <ScaleCrop>false</ScaleCrop>
  <Company/>
  <LinksUpToDate>false</LinksUpToDate>
  <CharactersWithSpaces>57856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7</cp:revision>
  <cp:lastPrinted>2023-01-10T21:18:00Z</cp:lastPrinted>
  <dcterms:created xsi:type="dcterms:W3CDTF">2025-12-05T20:33:00Z</dcterms:created>
  <dcterms:modified xsi:type="dcterms:W3CDTF">2025-12-09T14:25:00Z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