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7EEB6E" w14:textId="77777777" w:rsidR="000C32A3" w:rsidRPr="0040127E" w:rsidRDefault="000C32A3" w:rsidP="000C32A3">
      <w:pPr>
        <w:spacing w:after="0" w:line="240" w:lineRule="auto"/>
        <w:rPr>
          <w:rFonts w:ascii="Verdana" w:eastAsia="Calibri" w:hAnsi="Verdana" w:cs="Arial"/>
          <w:b/>
          <w:bCs/>
          <w:lang w:val="es-ES" w:eastAsia="es-ES"/>
        </w:rPr>
      </w:pPr>
      <w:bookmarkStart w:id="0" w:name="_Hlk143780582"/>
      <w:r w:rsidRPr="0040127E">
        <w:rPr>
          <w:rFonts w:ascii="Verdana" w:hAnsi="Verdana" w:cs="Arial"/>
          <w:b/>
          <w:bCs/>
          <w:lang w:val="es-ES_tradnl"/>
        </w:rPr>
        <w:t>ANTICIPO Y/O PAGO ANTICIPADO– Regulación normativa</w:t>
      </w:r>
      <w:r w:rsidRPr="0040127E">
        <w:rPr>
          <w:rFonts w:ascii="Verdana" w:eastAsia="Calibri" w:hAnsi="Verdana" w:cs="Arial"/>
          <w:b/>
          <w:bCs/>
          <w:lang w:val="es-ES" w:eastAsia="es-ES"/>
        </w:rPr>
        <w:t xml:space="preserve"> </w:t>
      </w:r>
    </w:p>
    <w:p w14:paraId="041AB70D" w14:textId="77777777" w:rsidR="000C32A3" w:rsidRDefault="000C32A3" w:rsidP="000C32A3">
      <w:pPr>
        <w:spacing w:after="0" w:line="240" w:lineRule="auto"/>
        <w:rPr>
          <w:rFonts w:ascii="Verdana" w:eastAsia="Calibri" w:hAnsi="Verdana" w:cs="Arial"/>
          <w:bCs/>
          <w:lang w:val="es-ES" w:eastAsia="es-ES"/>
        </w:rPr>
      </w:pPr>
    </w:p>
    <w:p w14:paraId="0FED2A45" w14:textId="77777777" w:rsidR="000C32A3" w:rsidRPr="00940B15" w:rsidRDefault="000C32A3" w:rsidP="000C32A3">
      <w:pPr>
        <w:snapToGrid w:val="0"/>
        <w:spacing w:after="0" w:line="240" w:lineRule="auto"/>
        <w:jc w:val="both"/>
        <w:rPr>
          <w:rFonts w:ascii="Verdana" w:eastAsia="Calibri" w:hAnsi="Verdana" w:cs="Arial"/>
          <w:sz w:val="20"/>
          <w:lang w:val="es-ES"/>
        </w:rPr>
      </w:pPr>
      <w:r w:rsidRPr="00940B15">
        <w:rPr>
          <w:rFonts w:ascii="Verdana" w:eastAsia="Calibri" w:hAnsi="Verdana" w:cs="Arial"/>
          <w:sz w:val="20"/>
          <w:lang w:val="es-ES"/>
        </w:rPr>
        <w:t xml:space="preserve">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“En los contratos que celebren las entidades estatales se podrá pactar el pago anticipado y la entrega de anticipos, pero su 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187B438E" w14:textId="77777777" w:rsidR="000C32A3" w:rsidRDefault="000C32A3" w:rsidP="000C32A3">
      <w:pPr>
        <w:spacing w:after="0" w:line="240" w:lineRule="auto"/>
        <w:rPr>
          <w:rFonts w:ascii="Verdana" w:eastAsia="Calibri" w:hAnsi="Verdana" w:cs="Arial"/>
          <w:bCs/>
          <w:lang w:val="es-ES" w:eastAsia="es-ES"/>
        </w:rPr>
      </w:pPr>
    </w:p>
    <w:p w14:paraId="4BDB51B0" w14:textId="77777777" w:rsidR="000C32A3" w:rsidRDefault="000C32A3" w:rsidP="000C32A3">
      <w:pPr>
        <w:spacing w:after="0" w:line="240" w:lineRule="auto"/>
        <w:jc w:val="both"/>
        <w:rPr>
          <w:rFonts w:ascii="Verdana" w:eastAsia="Calibri" w:hAnsi="Verdana" w:cs="Arial"/>
          <w:b/>
          <w:bCs/>
          <w:lang w:eastAsia="es-ES"/>
        </w:rPr>
      </w:pPr>
      <w:r w:rsidRPr="00940B15">
        <w:rPr>
          <w:rFonts w:ascii="Verdana" w:eastAsia="Calibri" w:hAnsi="Verdana" w:cs="Arial"/>
          <w:b/>
          <w:bCs/>
          <w:lang w:eastAsia="es-ES"/>
        </w:rPr>
        <w:t>ANTICIP</w:t>
      </w:r>
      <w:r>
        <w:rPr>
          <w:rFonts w:ascii="Verdana" w:eastAsia="Calibri" w:hAnsi="Verdana" w:cs="Arial"/>
          <w:b/>
          <w:bCs/>
          <w:lang w:eastAsia="es-ES"/>
        </w:rPr>
        <w:t>O – Definición jurisprudencial</w:t>
      </w:r>
    </w:p>
    <w:p w14:paraId="37D9A222" w14:textId="77777777" w:rsidR="000C32A3" w:rsidRDefault="000C32A3" w:rsidP="000C32A3">
      <w:pPr>
        <w:spacing w:after="0" w:line="240" w:lineRule="auto"/>
        <w:jc w:val="both"/>
        <w:rPr>
          <w:rFonts w:ascii="Verdana" w:eastAsia="Calibri" w:hAnsi="Verdana" w:cs="Arial"/>
          <w:b/>
          <w:bCs/>
          <w:lang w:eastAsia="es-ES"/>
        </w:rPr>
      </w:pPr>
    </w:p>
    <w:p w14:paraId="332DB9FC" w14:textId="77777777" w:rsidR="000C32A3" w:rsidRPr="00940B15" w:rsidRDefault="000C32A3" w:rsidP="000C32A3">
      <w:pPr>
        <w:spacing w:after="0" w:line="240" w:lineRule="auto"/>
        <w:jc w:val="both"/>
        <w:rPr>
          <w:rFonts w:ascii="Verdana" w:eastAsia="Calibri" w:hAnsi="Verdana" w:cs="Arial"/>
          <w:bCs/>
          <w:sz w:val="20"/>
          <w:szCs w:val="20"/>
          <w:lang w:eastAsia="es-ES"/>
        </w:rPr>
      </w:pPr>
      <w:r w:rsidRPr="00940B15">
        <w:rPr>
          <w:rFonts w:ascii="Verdana" w:eastAsia="Calibri" w:hAnsi="Verdana" w:cs="Arial"/>
          <w:bCs/>
          <w:sz w:val="20"/>
          <w:szCs w:val="20"/>
          <w:lang w:eastAsia="es-ES"/>
        </w:rPr>
        <w:t xml:space="preserve">Sobre la calidad de recurso público del anticipo, la jurisprudencia ha reiterado que “dicho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 Igualmente, explica que el anticipo, al facilitar al contratista la financiación de los bienes y servicios que se le han encargado, es un factor determinante para impulsar la ejecución del contrato. </w:t>
      </w:r>
    </w:p>
    <w:p w14:paraId="7C44C4E5" w14:textId="77777777" w:rsidR="000C32A3" w:rsidRDefault="000C32A3" w:rsidP="000C32A3">
      <w:pPr>
        <w:spacing w:after="0" w:line="240" w:lineRule="auto"/>
        <w:jc w:val="both"/>
        <w:rPr>
          <w:rFonts w:ascii="Verdana" w:eastAsia="Calibri" w:hAnsi="Verdana" w:cs="Arial"/>
          <w:b/>
          <w:bCs/>
          <w:lang w:eastAsia="es-ES"/>
        </w:rPr>
      </w:pPr>
    </w:p>
    <w:p w14:paraId="754288EA" w14:textId="77777777" w:rsidR="000C32A3" w:rsidRPr="00940B15" w:rsidRDefault="000C32A3" w:rsidP="000C32A3">
      <w:pPr>
        <w:spacing w:after="0" w:line="240" w:lineRule="auto"/>
        <w:jc w:val="both"/>
        <w:rPr>
          <w:rFonts w:ascii="Verdana" w:eastAsia="Calibri" w:hAnsi="Verdana" w:cs="Arial"/>
          <w:b/>
          <w:bCs/>
          <w:lang w:val="es-ES" w:eastAsia="es-ES"/>
        </w:rPr>
      </w:pPr>
      <w:r w:rsidRPr="00940B15">
        <w:rPr>
          <w:rFonts w:ascii="Verdana" w:eastAsia="Calibri" w:hAnsi="Verdana" w:cs="Arial"/>
          <w:b/>
          <w:bCs/>
          <w:lang w:eastAsia="es-ES"/>
        </w:rPr>
        <w:t>PAGO ANTICIPADO – Definición</w:t>
      </w:r>
    </w:p>
    <w:p w14:paraId="148B5F70" w14:textId="77777777" w:rsidR="000C32A3" w:rsidRDefault="000C32A3" w:rsidP="000C32A3">
      <w:pPr>
        <w:spacing w:after="0" w:line="240" w:lineRule="auto"/>
        <w:rPr>
          <w:rFonts w:ascii="Verdana" w:eastAsia="Calibri" w:hAnsi="Verdana" w:cs="Arial"/>
          <w:bCs/>
          <w:lang w:val="es-ES" w:eastAsia="es-ES"/>
        </w:rPr>
      </w:pPr>
    </w:p>
    <w:p w14:paraId="41D90ADA" w14:textId="77777777" w:rsidR="000C32A3" w:rsidRPr="00A06B14" w:rsidRDefault="000C32A3" w:rsidP="000C32A3">
      <w:pPr>
        <w:spacing w:after="0" w:line="240" w:lineRule="auto"/>
        <w:jc w:val="both"/>
        <w:rPr>
          <w:rFonts w:ascii="Verdana" w:eastAsia="Calibri" w:hAnsi="Verdana" w:cs="Arial"/>
          <w:bCs/>
          <w:sz w:val="20"/>
          <w:szCs w:val="20"/>
          <w:lang w:eastAsia="es-ES"/>
        </w:rPr>
      </w:pPr>
      <w:r w:rsidRPr="00A06B14">
        <w:rPr>
          <w:rFonts w:ascii="Verdana" w:eastAsia="Calibri" w:hAnsi="Verdana" w:cs="Arial"/>
          <w:bCs/>
          <w:sz w:val="20"/>
          <w:szCs w:val="20"/>
          <w:lang w:eastAsia="es-ES"/>
        </w:rPr>
        <w:t xml:space="preserve">Por otro lado, la institución jurídica del pago anticipado se concibe como la retribución parcial que el contratista recibe en los contratos estatales. Al respecto, la doctrina expresa: “El pago anticipado sí hace parte del precio y su entrega comporta la extinción parcial de la obligación de remuneración a cargo de la entidad solo que de manera adelantada a la realización del contrato o como primer contado”. En esta línea, el pago anticipado se entiende como una forma en que la Entidad entrega en forma anticipada un pago parcial, es decir, sale de la esfera de la entidad y entra al patrimonio del contratista, sin que tenga una destinación diferente a la que este lo use, en el marco de su libertad y autonomía. </w:t>
      </w:r>
    </w:p>
    <w:p w14:paraId="3E822BC1" w14:textId="77777777" w:rsidR="000C32A3" w:rsidRPr="00A06B14" w:rsidRDefault="000C32A3" w:rsidP="000C32A3">
      <w:pPr>
        <w:spacing w:after="0" w:line="240" w:lineRule="auto"/>
        <w:rPr>
          <w:rFonts w:ascii="Verdana" w:eastAsia="Calibri" w:hAnsi="Verdana" w:cs="Arial"/>
          <w:bCs/>
          <w:lang w:eastAsia="es-ES"/>
        </w:rPr>
      </w:pPr>
    </w:p>
    <w:p w14:paraId="22D56DCC" w14:textId="77777777" w:rsidR="000C32A3" w:rsidRDefault="000C32A3" w:rsidP="000C32A3">
      <w:pPr>
        <w:spacing w:after="0" w:line="240" w:lineRule="auto"/>
        <w:rPr>
          <w:rFonts w:ascii="Verdana" w:eastAsia="Calibri" w:hAnsi="Verdana" w:cs="Arial"/>
          <w:b/>
          <w:bCs/>
        </w:rPr>
      </w:pPr>
      <w:r w:rsidRPr="00940B15">
        <w:rPr>
          <w:rFonts w:ascii="Verdana" w:eastAsia="Calibri" w:hAnsi="Verdana" w:cs="Arial"/>
          <w:b/>
          <w:bCs/>
        </w:rPr>
        <w:t>PAGO ANTICIPADO Y/O ANTICIPO – Límites – Aplicación</w:t>
      </w:r>
    </w:p>
    <w:p w14:paraId="70E1E70D" w14:textId="77777777" w:rsidR="000C32A3" w:rsidRDefault="000C32A3" w:rsidP="000C32A3">
      <w:pPr>
        <w:spacing w:after="0" w:line="240" w:lineRule="auto"/>
        <w:rPr>
          <w:rFonts w:ascii="Verdana" w:eastAsia="Calibri" w:hAnsi="Verdana" w:cs="Arial"/>
          <w:b/>
          <w:bCs/>
        </w:rPr>
      </w:pPr>
    </w:p>
    <w:p w14:paraId="2569C38D" w14:textId="77777777" w:rsidR="000C32A3" w:rsidRPr="00A06B14" w:rsidRDefault="000C32A3" w:rsidP="000C32A3">
      <w:pPr>
        <w:spacing w:after="0" w:line="240" w:lineRule="auto"/>
        <w:jc w:val="both"/>
        <w:rPr>
          <w:rFonts w:ascii="Verdana" w:eastAsia="Calibri" w:hAnsi="Verdana" w:cs="Arial"/>
          <w:bCs/>
          <w:sz w:val="20"/>
        </w:rPr>
      </w:pPr>
      <w:r w:rsidRPr="00A06B14">
        <w:rPr>
          <w:rFonts w:ascii="Verdana" w:eastAsia="Calibri" w:hAnsi="Verdana" w:cs="Arial"/>
          <w:bCs/>
          <w:sz w:val="20"/>
        </w:rPr>
        <w:t xml:space="preserve">De lo expuesto, se infiere que entidades estatales tienen la facultad de pactar la entrega de anticipos o pagos anticipados en los contratos que celebren. Para ello, deberán realizar el estudio correspondiente, con el fin de determinar la conveniencia de otorgar recursos al contratista bajo dichas denominaciones. De este modo, las entidades podrán determinar las condiciones de entrega, el monto –que no podrá ser superior al cincuenta por ciento (50%) del valor del contrato–. En el caso del anticipo debe definirse el plazo </w:t>
      </w:r>
      <w:r w:rsidRPr="00A06B14">
        <w:rPr>
          <w:rFonts w:ascii="Verdana" w:eastAsia="Calibri" w:hAnsi="Verdana" w:cs="Arial"/>
          <w:bCs/>
          <w:sz w:val="20"/>
        </w:rPr>
        <w:lastRenderedPageBreak/>
        <w:t>de amortización, las condiciones necesarias para su exigibilidad, así como todas las obligaciones para su correcta inversión.</w:t>
      </w:r>
    </w:p>
    <w:p w14:paraId="3B12E46D" w14:textId="77777777" w:rsidR="000C32A3" w:rsidRPr="000C32A3" w:rsidRDefault="000C32A3" w:rsidP="000C32A3">
      <w:pPr>
        <w:spacing w:after="0" w:line="240" w:lineRule="auto"/>
        <w:jc w:val="both"/>
        <w:rPr>
          <w:rFonts w:ascii="Verdana" w:hAnsi="Verdana"/>
          <w:b/>
        </w:rPr>
      </w:pPr>
    </w:p>
    <w:p w14:paraId="3CF1C885" w14:textId="77777777" w:rsidR="000C32A3" w:rsidRPr="000C32A3" w:rsidRDefault="000C32A3" w:rsidP="000C32A3">
      <w:pPr>
        <w:spacing w:after="0" w:line="240" w:lineRule="auto"/>
        <w:jc w:val="both"/>
        <w:rPr>
          <w:rFonts w:ascii="Verdana" w:hAnsi="Verdana"/>
          <w:b/>
          <w:bCs/>
          <w:lang w:val="es-ES"/>
        </w:rPr>
      </w:pPr>
      <w:r w:rsidRPr="000C32A3">
        <w:rPr>
          <w:rFonts w:ascii="Verdana" w:hAnsi="Verdana"/>
          <w:b/>
          <w:bCs/>
          <w:lang w:val="es-ES"/>
        </w:rPr>
        <w:t xml:space="preserve">CONSTITUCIÓN DE FIDUCIA O PATRIMONIO AUTÓNOMO IRREVOCABLE – Artículo 91 – Ley 1474 de 2011 </w:t>
      </w:r>
    </w:p>
    <w:p w14:paraId="2D6D363A" w14:textId="45A33845" w:rsidR="000C32A3" w:rsidRDefault="000C32A3" w:rsidP="000C32A3">
      <w:pPr>
        <w:spacing w:after="0" w:line="240" w:lineRule="auto"/>
        <w:jc w:val="both"/>
        <w:rPr>
          <w:rFonts w:ascii="Verdana" w:hAnsi="Verdana"/>
          <w:b/>
          <w:bCs/>
          <w:lang w:val="es-ES"/>
        </w:rPr>
      </w:pPr>
    </w:p>
    <w:p w14:paraId="14D4A151" w14:textId="77777777" w:rsidR="000C32A3" w:rsidRPr="000C32A3" w:rsidRDefault="000C32A3" w:rsidP="000C32A3">
      <w:pPr>
        <w:spacing w:after="0" w:line="240" w:lineRule="auto"/>
        <w:jc w:val="both"/>
        <w:rPr>
          <w:rFonts w:ascii="Verdana" w:eastAsia="Calibri" w:hAnsi="Verdana" w:cs="Arial"/>
          <w:sz w:val="20"/>
        </w:rPr>
      </w:pPr>
      <w:r w:rsidRPr="000C32A3">
        <w:rPr>
          <w:rFonts w:ascii="Verdana" w:eastAsia="Calibri" w:hAnsi="Verdana" w:cs="Arial"/>
          <w:sz w:val="20"/>
        </w:rPr>
        <w:t xml:space="preserve">El artículo 91 de la Ley 1474 de 2011 determina el ámbito de aplicación, al enumerar los casos en los cuales es deber del contratista constituir un patrimonio autónomo o una fiducia para administrar los recursos del anticipo. Para tales efectos, se establecen los siguientes contratos: i) obra, ii) concesión, iii) salud y iv) los contratos derivados de un proceso de licitación pública. En ese orden, aunque la norma menciona la modalidad de selección como un criterio principal que determine su ámbito de aplicación, la expresión </w:t>
      </w:r>
      <w:r w:rsidRPr="000C32A3">
        <w:rPr>
          <w:rFonts w:ascii="Verdana" w:eastAsia="Calibri" w:hAnsi="Verdana" w:cs="Arial"/>
          <w:color w:val="000000" w:themeColor="text1"/>
          <w:sz w:val="20"/>
          <w:lang w:val="es-ES"/>
        </w:rPr>
        <w:t>“</w:t>
      </w:r>
      <w:r w:rsidRPr="000C32A3">
        <w:rPr>
          <w:rFonts w:ascii="Verdana" w:eastAsia="Calibri" w:hAnsi="Verdana" w:cs="Arial"/>
          <w:sz w:val="20"/>
        </w:rPr>
        <w:t>o los que se realicen por licitación pública</w:t>
      </w:r>
      <w:r w:rsidRPr="000C32A3">
        <w:rPr>
          <w:rFonts w:ascii="Verdana" w:eastAsia="Calibri" w:hAnsi="Verdana" w:cs="Arial"/>
          <w:color w:val="000000" w:themeColor="text1"/>
          <w:sz w:val="20"/>
          <w:lang w:val="es-ES"/>
        </w:rPr>
        <w:t xml:space="preserve">”, indica que, además de los objetos mencionados, también para estos contratos aplica el supuesto de hecho. </w:t>
      </w:r>
      <w:r w:rsidRPr="000C32A3">
        <w:rPr>
          <w:rFonts w:ascii="Verdana" w:eastAsia="Calibri" w:hAnsi="Verdana" w:cs="Arial"/>
          <w:sz w:val="20"/>
        </w:rPr>
        <w:t>En tal sentido, respecto a los contratos de obra, concesión y salud, así como en relación con los contratos derivados de licitación pública cualquiera que sea su tipología contractual, el contratista deberá obligatoriamente constituir una fiducia mercantil para el manejo de los recursos que se entreguen en calidad de anticipo. Se aclara que la constitución del patrimonio autónomo para el manejo del anticipo no releva a la entidad estatal de exigir la garantía de buen manejo y correcta inversión.</w:t>
      </w:r>
    </w:p>
    <w:p w14:paraId="21B294F9" w14:textId="77777777" w:rsidR="000C32A3" w:rsidRPr="000C32A3" w:rsidRDefault="000C32A3" w:rsidP="000C32A3">
      <w:pPr>
        <w:spacing w:after="0" w:line="240" w:lineRule="auto"/>
        <w:jc w:val="both"/>
        <w:rPr>
          <w:rFonts w:ascii="Verdana" w:hAnsi="Verdana"/>
          <w:b/>
          <w:bCs/>
        </w:rPr>
      </w:pPr>
    </w:p>
    <w:p w14:paraId="18BC5531" w14:textId="0CA83E5D" w:rsidR="000C32A3" w:rsidRPr="000C32A3" w:rsidRDefault="000C32A3" w:rsidP="000C32A3">
      <w:pPr>
        <w:spacing w:after="0" w:line="240" w:lineRule="auto"/>
        <w:jc w:val="both"/>
        <w:rPr>
          <w:rFonts w:ascii="Verdana" w:hAnsi="Verdana"/>
          <w:b/>
        </w:rPr>
      </w:pPr>
      <w:r w:rsidRPr="000C32A3">
        <w:rPr>
          <w:rFonts w:ascii="Verdana" w:hAnsi="Verdana"/>
          <w:b/>
          <w:bCs/>
          <w:lang w:val="es-ES"/>
        </w:rPr>
        <w:t xml:space="preserve">CONSTITUCIÓN DE FIDUCIA O PATRIMONIO – Administración – Correcta inversión – Anticipo – Deber de vigilancia – Seguimiento contractual. </w:t>
      </w:r>
    </w:p>
    <w:p w14:paraId="31155115" w14:textId="77777777" w:rsidR="000C32A3" w:rsidRDefault="000C32A3" w:rsidP="000C32A3">
      <w:pPr>
        <w:spacing w:after="0" w:line="240" w:lineRule="auto"/>
        <w:jc w:val="both"/>
        <w:rPr>
          <w:rFonts w:ascii="Verdana" w:hAnsi="Verdana"/>
          <w:bCs/>
          <w:sz w:val="20"/>
          <w:lang w:val="es-ES_tradnl"/>
        </w:rPr>
      </w:pPr>
    </w:p>
    <w:p w14:paraId="3E343320" w14:textId="4DCC48E5" w:rsidR="000C32A3" w:rsidRPr="000C32A3" w:rsidRDefault="000C32A3" w:rsidP="000C32A3">
      <w:pPr>
        <w:spacing w:after="0" w:line="240" w:lineRule="auto"/>
        <w:jc w:val="both"/>
        <w:rPr>
          <w:rFonts w:ascii="Verdana" w:hAnsi="Verdana"/>
          <w:bCs/>
          <w:sz w:val="20"/>
          <w:lang w:val="es-ES_tradnl"/>
        </w:rPr>
      </w:pPr>
      <w:r w:rsidRPr="000C32A3">
        <w:rPr>
          <w:rFonts w:ascii="Verdana" w:hAnsi="Verdana"/>
          <w:bCs/>
          <w:sz w:val="20"/>
          <w:lang w:val="es-ES_tradnl"/>
        </w:rPr>
        <w:t>En concordancia, el artículo 2.2.1.1.2.4.1 del Decreto 1082 de 2015 prescribe que, en los casos previstos en la ley, el contratista debe suscribir un contrato de fiducia mercantil para crear un patrimonio autónomo, con una sociedad fiduciaria autorizada para ese fin por la Superintendencia Financiera de Colombia, a la cual la Entidad Estatal debe entregar el valor del anticipo. Los recursos del patrimonio y sus rendimientos son autónomos, además de que se manejan de acuerdo con el contrato de fiducia mercantil. Adicionalmente, la norma señala que en el pliego de condiciones la entidad debe establecer los términos y condiciones de la administración del anticipo a través del patrimonio autónomo</w:t>
      </w:r>
    </w:p>
    <w:p w14:paraId="22B7A5E0" w14:textId="2F830F79" w:rsidR="000C32A3" w:rsidRPr="000C32A3" w:rsidRDefault="000C32A3" w:rsidP="000C32A3">
      <w:pPr>
        <w:spacing w:after="0" w:line="240" w:lineRule="auto"/>
        <w:jc w:val="both"/>
        <w:rPr>
          <w:rFonts w:ascii="Verdana" w:hAnsi="Verdana"/>
          <w:bCs/>
          <w:sz w:val="20"/>
          <w:lang w:val="es-ES_tradnl"/>
        </w:rPr>
      </w:pPr>
      <w:r>
        <w:rPr>
          <w:rFonts w:ascii="Verdana" w:hAnsi="Verdana"/>
          <w:bCs/>
          <w:sz w:val="20"/>
          <w:lang w:val="es-ES_tradnl"/>
        </w:rPr>
        <w:t>[…]</w:t>
      </w:r>
    </w:p>
    <w:p w14:paraId="0961D6C4" w14:textId="1B5FEBE0" w:rsidR="000C32A3" w:rsidRPr="000C32A3" w:rsidRDefault="000C32A3" w:rsidP="000C32A3">
      <w:pPr>
        <w:spacing w:after="0" w:line="240" w:lineRule="auto"/>
        <w:jc w:val="both"/>
        <w:rPr>
          <w:rFonts w:ascii="Verdana" w:hAnsi="Verdana"/>
          <w:bCs/>
          <w:sz w:val="20"/>
          <w:lang w:val="es-ES"/>
        </w:rPr>
      </w:pPr>
      <w:r w:rsidRPr="000C32A3">
        <w:rPr>
          <w:rFonts w:ascii="Verdana" w:hAnsi="Verdana"/>
          <w:bCs/>
          <w:sz w:val="20"/>
        </w:rPr>
        <w:t xml:space="preserve">En este asunto, cobra relevancia el deber legal de </w:t>
      </w:r>
      <w:r w:rsidRPr="000C32A3">
        <w:rPr>
          <w:rFonts w:ascii="Verdana" w:hAnsi="Verdana"/>
          <w:bCs/>
          <w:sz w:val="20"/>
          <w:lang w:val="es-ES"/>
        </w:rPr>
        <w:t xml:space="preserve">seguimiento de la ejecución del contrato, que implica la dirección, control y vigilancia de su correcto cumplimiento, la cual permita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 obligación se predica, en principio, del jefe o representante legal de la entidad, por tener la responsabilidad de la dirección y manejo de la actividad contractual, </w:t>
      </w:r>
      <w:r w:rsidRPr="000C32A3">
        <w:rPr>
          <w:rFonts w:ascii="Verdana" w:hAnsi="Verdana"/>
          <w:bCs/>
          <w:sz w:val="20"/>
          <w:lang w:val="es-ES"/>
        </w:rPr>
        <w:lastRenderedPageBreak/>
        <w:t xml:space="preserve">pero también de los servidores públicos que intervienen en ella, como es el caso de los supervisores. </w:t>
      </w:r>
    </w:p>
    <w:p w14:paraId="10894DEA" w14:textId="4404735E" w:rsidR="000C32A3" w:rsidRDefault="000C32A3" w:rsidP="000C32A3">
      <w:pPr>
        <w:spacing w:after="0"/>
        <w:rPr>
          <w:rFonts w:ascii="Verdana" w:hAnsi="Verdana"/>
          <w:lang w:val="es-ES"/>
        </w:rPr>
      </w:pPr>
    </w:p>
    <w:p w14:paraId="79CAA96C" w14:textId="66985B90" w:rsidR="003F4B36" w:rsidRDefault="003F4B36" w:rsidP="000C32A3">
      <w:pPr>
        <w:spacing w:after="0"/>
        <w:rPr>
          <w:rFonts w:ascii="Verdana" w:hAnsi="Verdana"/>
          <w:lang w:val="es-ES"/>
        </w:rPr>
      </w:pPr>
    </w:p>
    <w:p w14:paraId="7DFD8A8F" w14:textId="6E4527D6" w:rsidR="003F4B36" w:rsidRDefault="003F4B36" w:rsidP="000C32A3">
      <w:pPr>
        <w:spacing w:after="0"/>
        <w:rPr>
          <w:rFonts w:ascii="Verdana" w:hAnsi="Verdana"/>
          <w:lang w:val="es-ES"/>
        </w:rPr>
      </w:pPr>
    </w:p>
    <w:p w14:paraId="6E161EE5" w14:textId="576CFD36" w:rsidR="003F4B36" w:rsidRDefault="003F4B36" w:rsidP="000C32A3">
      <w:pPr>
        <w:spacing w:after="0"/>
        <w:rPr>
          <w:rFonts w:ascii="Verdana" w:hAnsi="Verdana"/>
          <w:lang w:val="es-ES"/>
        </w:rPr>
      </w:pPr>
    </w:p>
    <w:p w14:paraId="0B3AF49C" w14:textId="563F80A4" w:rsidR="003F4B36" w:rsidRDefault="003F4B36" w:rsidP="000C32A3">
      <w:pPr>
        <w:spacing w:after="0"/>
        <w:rPr>
          <w:rFonts w:ascii="Verdana" w:hAnsi="Verdana"/>
          <w:lang w:val="es-ES"/>
        </w:rPr>
      </w:pPr>
    </w:p>
    <w:p w14:paraId="5D36F8BB" w14:textId="75E5AB2A" w:rsidR="003F4B36" w:rsidRDefault="003F4B36" w:rsidP="000C32A3">
      <w:pPr>
        <w:spacing w:after="0"/>
        <w:rPr>
          <w:rFonts w:ascii="Verdana" w:hAnsi="Verdana"/>
          <w:lang w:val="es-ES"/>
        </w:rPr>
      </w:pPr>
    </w:p>
    <w:p w14:paraId="06E4728E" w14:textId="3782E1D2" w:rsidR="003F4B36" w:rsidRDefault="003F4B36" w:rsidP="000C32A3">
      <w:pPr>
        <w:spacing w:after="0"/>
        <w:rPr>
          <w:rFonts w:ascii="Verdana" w:hAnsi="Verdana"/>
          <w:lang w:val="es-ES"/>
        </w:rPr>
      </w:pPr>
    </w:p>
    <w:p w14:paraId="331E1845" w14:textId="1D3876E6" w:rsidR="003F4B36" w:rsidRDefault="003F4B36" w:rsidP="000C32A3">
      <w:pPr>
        <w:spacing w:after="0"/>
        <w:rPr>
          <w:rFonts w:ascii="Verdana" w:hAnsi="Verdana"/>
          <w:lang w:val="es-ES"/>
        </w:rPr>
      </w:pPr>
    </w:p>
    <w:p w14:paraId="1A361CF7" w14:textId="352D8DD3" w:rsidR="003F4B36" w:rsidRDefault="003F4B36" w:rsidP="000C32A3">
      <w:pPr>
        <w:spacing w:after="0"/>
        <w:rPr>
          <w:rFonts w:ascii="Verdana" w:hAnsi="Verdana"/>
          <w:lang w:val="es-ES"/>
        </w:rPr>
      </w:pPr>
    </w:p>
    <w:p w14:paraId="2FA6A2BB" w14:textId="380074DF" w:rsidR="003F4B36" w:rsidRDefault="003F4B36" w:rsidP="000C32A3">
      <w:pPr>
        <w:spacing w:after="0"/>
        <w:rPr>
          <w:rFonts w:ascii="Verdana" w:hAnsi="Verdana"/>
          <w:lang w:val="es-ES"/>
        </w:rPr>
      </w:pPr>
    </w:p>
    <w:p w14:paraId="0490529A" w14:textId="7473C735" w:rsidR="003F4B36" w:rsidRDefault="003F4B36" w:rsidP="000C32A3">
      <w:pPr>
        <w:spacing w:after="0"/>
        <w:rPr>
          <w:rFonts w:ascii="Verdana" w:hAnsi="Verdana"/>
          <w:lang w:val="es-ES"/>
        </w:rPr>
      </w:pPr>
    </w:p>
    <w:p w14:paraId="18AE36EA" w14:textId="3D632FF9" w:rsidR="003F4B36" w:rsidRDefault="003F4B36" w:rsidP="000C32A3">
      <w:pPr>
        <w:spacing w:after="0"/>
        <w:rPr>
          <w:rFonts w:ascii="Verdana" w:hAnsi="Verdana"/>
          <w:lang w:val="es-ES"/>
        </w:rPr>
      </w:pPr>
    </w:p>
    <w:p w14:paraId="21344A69" w14:textId="404BF7FD" w:rsidR="003F4B36" w:rsidRDefault="003F4B36" w:rsidP="000C32A3">
      <w:pPr>
        <w:spacing w:after="0"/>
        <w:rPr>
          <w:rFonts w:ascii="Verdana" w:hAnsi="Verdana"/>
          <w:lang w:val="es-ES"/>
        </w:rPr>
      </w:pPr>
    </w:p>
    <w:p w14:paraId="3D7570AA" w14:textId="39C756A0" w:rsidR="003F4B36" w:rsidRDefault="003F4B36" w:rsidP="000C32A3">
      <w:pPr>
        <w:spacing w:after="0"/>
        <w:rPr>
          <w:rFonts w:ascii="Verdana" w:hAnsi="Verdana"/>
          <w:lang w:val="es-ES"/>
        </w:rPr>
      </w:pPr>
    </w:p>
    <w:p w14:paraId="2F52FABD" w14:textId="00D0A9BB" w:rsidR="003F4B36" w:rsidRDefault="003F4B36" w:rsidP="000C32A3">
      <w:pPr>
        <w:spacing w:after="0"/>
        <w:rPr>
          <w:rFonts w:ascii="Verdana" w:hAnsi="Verdana"/>
          <w:lang w:val="es-ES"/>
        </w:rPr>
      </w:pPr>
    </w:p>
    <w:p w14:paraId="600C26CD" w14:textId="54CDBE16" w:rsidR="003F4B36" w:rsidRDefault="003F4B36" w:rsidP="000C32A3">
      <w:pPr>
        <w:spacing w:after="0"/>
        <w:rPr>
          <w:rFonts w:ascii="Verdana" w:hAnsi="Verdana"/>
          <w:lang w:val="es-ES"/>
        </w:rPr>
      </w:pPr>
    </w:p>
    <w:p w14:paraId="740237D1" w14:textId="2EA89760" w:rsidR="003F4B36" w:rsidRDefault="003F4B36" w:rsidP="000C32A3">
      <w:pPr>
        <w:spacing w:after="0"/>
        <w:rPr>
          <w:rFonts w:ascii="Verdana" w:hAnsi="Verdana"/>
          <w:lang w:val="es-ES"/>
        </w:rPr>
      </w:pPr>
    </w:p>
    <w:p w14:paraId="14C4025D" w14:textId="16B86BD0" w:rsidR="003F4B36" w:rsidRDefault="003F4B36" w:rsidP="000C32A3">
      <w:pPr>
        <w:spacing w:after="0"/>
        <w:rPr>
          <w:rFonts w:ascii="Verdana" w:hAnsi="Verdana"/>
          <w:lang w:val="es-ES"/>
        </w:rPr>
      </w:pPr>
    </w:p>
    <w:p w14:paraId="3C0CD50B" w14:textId="55E83B31" w:rsidR="003F4B36" w:rsidRDefault="003F4B36" w:rsidP="000C32A3">
      <w:pPr>
        <w:spacing w:after="0"/>
        <w:rPr>
          <w:rFonts w:ascii="Verdana" w:hAnsi="Verdana"/>
          <w:lang w:val="es-ES"/>
        </w:rPr>
      </w:pPr>
    </w:p>
    <w:p w14:paraId="4933B1B9" w14:textId="5C3645C8" w:rsidR="003F4B36" w:rsidRDefault="003F4B36" w:rsidP="000C32A3">
      <w:pPr>
        <w:spacing w:after="0"/>
        <w:rPr>
          <w:rFonts w:ascii="Verdana" w:hAnsi="Verdana"/>
          <w:lang w:val="es-ES"/>
        </w:rPr>
      </w:pPr>
    </w:p>
    <w:p w14:paraId="291FE333" w14:textId="461B2DB4" w:rsidR="003F4B36" w:rsidRDefault="003F4B36" w:rsidP="000C32A3">
      <w:pPr>
        <w:spacing w:after="0"/>
        <w:rPr>
          <w:rFonts w:ascii="Verdana" w:hAnsi="Verdana"/>
          <w:lang w:val="es-ES"/>
        </w:rPr>
      </w:pPr>
    </w:p>
    <w:p w14:paraId="1BB525DD" w14:textId="6709648C" w:rsidR="003F4B36" w:rsidRDefault="003F4B36" w:rsidP="000C32A3">
      <w:pPr>
        <w:spacing w:after="0"/>
        <w:rPr>
          <w:rFonts w:ascii="Verdana" w:hAnsi="Verdana"/>
          <w:lang w:val="es-ES"/>
        </w:rPr>
      </w:pPr>
    </w:p>
    <w:p w14:paraId="6E634CBD" w14:textId="0D87A699" w:rsidR="003F4B36" w:rsidRDefault="003F4B36" w:rsidP="000C32A3">
      <w:pPr>
        <w:spacing w:after="0"/>
        <w:rPr>
          <w:rFonts w:ascii="Verdana" w:hAnsi="Verdana"/>
          <w:lang w:val="es-ES"/>
        </w:rPr>
      </w:pPr>
    </w:p>
    <w:p w14:paraId="280EECE3" w14:textId="0C4AE36C" w:rsidR="003F4B36" w:rsidRDefault="003F4B36" w:rsidP="000C32A3">
      <w:pPr>
        <w:spacing w:after="0"/>
        <w:rPr>
          <w:rFonts w:ascii="Verdana" w:hAnsi="Verdana"/>
          <w:lang w:val="es-ES"/>
        </w:rPr>
      </w:pPr>
    </w:p>
    <w:p w14:paraId="30034BB3" w14:textId="5D53BEA0" w:rsidR="003F4B36" w:rsidRDefault="003F4B36" w:rsidP="000C32A3">
      <w:pPr>
        <w:spacing w:after="0"/>
        <w:rPr>
          <w:rFonts w:ascii="Verdana" w:hAnsi="Verdana"/>
          <w:lang w:val="es-ES"/>
        </w:rPr>
      </w:pPr>
    </w:p>
    <w:p w14:paraId="70C4DD1C" w14:textId="18DDC78E" w:rsidR="003F4B36" w:rsidRDefault="003F4B36" w:rsidP="000C32A3">
      <w:pPr>
        <w:spacing w:after="0"/>
        <w:rPr>
          <w:rFonts w:ascii="Verdana" w:hAnsi="Verdana"/>
          <w:lang w:val="es-ES"/>
        </w:rPr>
      </w:pPr>
    </w:p>
    <w:p w14:paraId="0F3D4A1C" w14:textId="74FA8739" w:rsidR="003F4B36" w:rsidRDefault="003F4B36" w:rsidP="000C32A3">
      <w:pPr>
        <w:spacing w:after="0"/>
        <w:rPr>
          <w:rFonts w:ascii="Verdana" w:hAnsi="Verdana"/>
          <w:lang w:val="es-ES"/>
        </w:rPr>
      </w:pPr>
    </w:p>
    <w:p w14:paraId="4A228C8B" w14:textId="04D23BB7" w:rsidR="003F4B36" w:rsidRDefault="003F4B36" w:rsidP="000C32A3">
      <w:pPr>
        <w:spacing w:after="0"/>
        <w:rPr>
          <w:rFonts w:ascii="Verdana" w:hAnsi="Verdana"/>
          <w:lang w:val="es-ES"/>
        </w:rPr>
      </w:pPr>
    </w:p>
    <w:p w14:paraId="1049982D" w14:textId="433D10EB" w:rsidR="003F4B36" w:rsidRDefault="003F4B36" w:rsidP="000C32A3">
      <w:pPr>
        <w:spacing w:after="0"/>
        <w:rPr>
          <w:rFonts w:ascii="Verdana" w:hAnsi="Verdana"/>
          <w:lang w:val="es-ES"/>
        </w:rPr>
      </w:pPr>
    </w:p>
    <w:p w14:paraId="18BEDFB7" w14:textId="54207036" w:rsidR="003F4B36" w:rsidRDefault="003F4B36" w:rsidP="000C32A3">
      <w:pPr>
        <w:spacing w:after="0"/>
        <w:rPr>
          <w:rFonts w:ascii="Verdana" w:hAnsi="Verdana"/>
          <w:lang w:val="es-ES"/>
        </w:rPr>
      </w:pPr>
    </w:p>
    <w:p w14:paraId="7B7D9EAE" w14:textId="44F5E421" w:rsidR="003F4B36" w:rsidRDefault="003F4B36" w:rsidP="000C32A3">
      <w:pPr>
        <w:spacing w:after="0"/>
        <w:rPr>
          <w:rFonts w:ascii="Verdana" w:hAnsi="Verdana"/>
          <w:lang w:val="es-ES"/>
        </w:rPr>
      </w:pPr>
    </w:p>
    <w:p w14:paraId="283D8D79" w14:textId="6E772065" w:rsidR="003F4B36" w:rsidRDefault="003F4B36" w:rsidP="000C32A3">
      <w:pPr>
        <w:spacing w:after="0"/>
        <w:rPr>
          <w:rFonts w:ascii="Verdana" w:hAnsi="Verdana"/>
          <w:lang w:val="es-ES"/>
        </w:rPr>
      </w:pPr>
    </w:p>
    <w:p w14:paraId="6B22C7C3" w14:textId="0BBAA135" w:rsidR="003F4B36" w:rsidRDefault="003F4B36" w:rsidP="000C32A3">
      <w:pPr>
        <w:spacing w:after="0"/>
        <w:rPr>
          <w:rFonts w:ascii="Verdana" w:hAnsi="Verdana"/>
          <w:lang w:val="es-ES"/>
        </w:rPr>
      </w:pPr>
    </w:p>
    <w:p w14:paraId="11C73032" w14:textId="2949708B" w:rsidR="003F4B36" w:rsidRDefault="003F4B36" w:rsidP="000C32A3">
      <w:pPr>
        <w:spacing w:after="0"/>
        <w:rPr>
          <w:rFonts w:ascii="Verdana" w:hAnsi="Verdana"/>
          <w:lang w:val="es-ES"/>
        </w:rPr>
      </w:pPr>
    </w:p>
    <w:p w14:paraId="016F5067" w14:textId="66A838C0" w:rsidR="003F4B36" w:rsidRDefault="003F4B36" w:rsidP="000C32A3">
      <w:pPr>
        <w:spacing w:after="0"/>
        <w:rPr>
          <w:rFonts w:ascii="Verdana" w:hAnsi="Verdana"/>
          <w:lang w:val="es-ES"/>
        </w:rPr>
      </w:pPr>
    </w:p>
    <w:p w14:paraId="5E960B12" w14:textId="014772DC" w:rsidR="003F4B36" w:rsidRDefault="003F4B36" w:rsidP="000C32A3">
      <w:pPr>
        <w:spacing w:after="0"/>
        <w:rPr>
          <w:rFonts w:ascii="Verdana" w:hAnsi="Verdana"/>
          <w:lang w:val="es-ES"/>
        </w:rPr>
      </w:pPr>
    </w:p>
    <w:p w14:paraId="3A7F47F0" w14:textId="0FC0EFB9" w:rsidR="003F4B36" w:rsidRPr="000C32A3" w:rsidRDefault="003F4B36" w:rsidP="000C32A3">
      <w:pPr>
        <w:spacing w:after="0"/>
        <w:rPr>
          <w:rFonts w:ascii="Verdana" w:hAnsi="Verdana"/>
          <w:lang w:val="es-ES"/>
        </w:rPr>
      </w:pPr>
    </w:p>
    <w:p w14:paraId="0804E276" w14:textId="05A4309E" w:rsidR="002C73CC" w:rsidRPr="009C1EC5" w:rsidRDefault="00B73E61" w:rsidP="002C73CC">
      <w:pPr>
        <w:spacing w:after="0"/>
        <w:rPr>
          <w:rFonts w:ascii="Verdana" w:hAnsi="Verdana"/>
        </w:rPr>
      </w:pPr>
      <w:r w:rsidRPr="00B73E61">
        <w:rPr>
          <w:rFonts w:ascii="Verdana" w:hAnsi="Verdana"/>
          <w:noProof/>
          <w:lang w:val="en-US"/>
        </w:rPr>
        <w:lastRenderedPageBreak/>
        <w:drawing>
          <wp:anchor distT="0" distB="0" distL="114300" distR="114300" simplePos="0" relativeHeight="251658240" behindDoc="0" locked="0" layoutInCell="1" allowOverlap="1" wp14:anchorId="6330CA1B" wp14:editId="2C709F6F">
            <wp:simplePos x="0" y="0"/>
            <wp:positionH relativeFrom="margin">
              <wp:posOffset>2473383</wp:posOffset>
            </wp:positionH>
            <wp:positionV relativeFrom="paragraph">
              <wp:posOffset>183861</wp:posOffset>
            </wp:positionV>
            <wp:extent cx="3065145" cy="846455"/>
            <wp:effectExtent l="0" t="0" r="1905"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65145"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C32A3">
        <w:rPr>
          <w:rFonts w:ascii="Verdana" w:hAnsi="Verdana"/>
        </w:rPr>
        <w:t>Bogotá D.C., 22 de diciembre de 2025</w:t>
      </w:r>
      <w:r w:rsidR="002C73CC" w:rsidRPr="000E2B93">
        <w:rPr>
          <w:rFonts w:ascii="Verdana" w:hAnsi="Verdana"/>
        </w:rPr>
        <w:tab/>
      </w:r>
      <w:r w:rsidR="002C73CC" w:rsidRPr="000E2B93">
        <w:rPr>
          <w:rFonts w:ascii="Verdana" w:hAnsi="Verdana"/>
        </w:rPr>
        <w:br/>
      </w:r>
    </w:p>
    <w:p w14:paraId="3E707F57" w14:textId="552A9584" w:rsidR="002C73CC" w:rsidRDefault="002C73CC" w:rsidP="002C73CC">
      <w:pPr>
        <w:spacing w:after="0" w:line="240" w:lineRule="auto"/>
        <w:rPr>
          <w:rFonts w:ascii="Verdana" w:hAnsi="Verdana"/>
        </w:rPr>
      </w:pPr>
    </w:p>
    <w:p w14:paraId="5DB6C663" w14:textId="77777777" w:rsidR="00B73E61" w:rsidRPr="009C1EC5" w:rsidRDefault="00B73E61" w:rsidP="002C73CC">
      <w:pPr>
        <w:spacing w:after="0" w:line="240" w:lineRule="auto"/>
        <w:rPr>
          <w:rFonts w:ascii="Verdana" w:hAnsi="Verdana"/>
        </w:rPr>
      </w:pPr>
    </w:p>
    <w:p w14:paraId="7CD20877" w14:textId="77777777" w:rsidR="002C73CC" w:rsidRPr="00461462" w:rsidRDefault="002C73CC" w:rsidP="002C73CC">
      <w:pPr>
        <w:spacing w:after="0" w:line="240" w:lineRule="auto"/>
        <w:rPr>
          <w:rFonts w:ascii="Verdana" w:eastAsia="Calibri" w:hAnsi="Verdana" w:cs="Times New Roman"/>
          <w:lang w:val="en-US"/>
        </w:rPr>
      </w:pPr>
      <w:r w:rsidRPr="00461462">
        <w:rPr>
          <w:rFonts w:ascii="Verdana" w:eastAsia="Calibri" w:hAnsi="Verdana" w:cs="Times New Roman"/>
          <w:lang w:val="en-US"/>
        </w:rPr>
        <w:t>Señor</w:t>
      </w:r>
    </w:p>
    <w:p w14:paraId="209BB199" w14:textId="77777777" w:rsidR="002C73CC" w:rsidRPr="00461462" w:rsidRDefault="002C73CC" w:rsidP="002C73CC">
      <w:pPr>
        <w:spacing w:after="0" w:line="240" w:lineRule="auto"/>
        <w:rPr>
          <w:rFonts w:ascii="Verdana" w:eastAsia="Calibri" w:hAnsi="Verdana" w:cs="Times New Roman"/>
          <w:b/>
          <w:lang w:val="en-US"/>
        </w:rPr>
      </w:pPr>
      <w:r w:rsidRPr="00461462">
        <w:rPr>
          <w:rFonts w:ascii="Verdana" w:eastAsia="Calibri" w:hAnsi="Verdana" w:cs="Times New Roman"/>
          <w:b/>
          <w:lang w:val="en-US"/>
        </w:rPr>
        <w:t>Daniel Buitrago</w:t>
      </w:r>
    </w:p>
    <w:p w14:paraId="0FF8F182" w14:textId="77777777" w:rsidR="002C73CC" w:rsidRPr="00461462" w:rsidRDefault="00197609" w:rsidP="002C73CC">
      <w:pPr>
        <w:spacing w:after="0" w:line="240" w:lineRule="auto"/>
        <w:rPr>
          <w:rFonts w:ascii="Verdana" w:hAnsi="Verdana"/>
          <w:lang w:val="en-US"/>
        </w:rPr>
      </w:pPr>
      <w:hyperlink r:id="rId12" w:history="1">
        <w:r w:rsidR="002C73CC" w:rsidRPr="00461462">
          <w:rPr>
            <w:rStyle w:val="Hipervnculo"/>
            <w:rFonts w:ascii="Verdana" w:hAnsi="Verdana"/>
            <w:lang w:val="en-US"/>
          </w:rPr>
          <w:t>dbuitrago816@gmail.com;correspondencia@secretariajuridica.gov.co</w:t>
        </w:r>
      </w:hyperlink>
      <w:r w:rsidR="002C73CC" w:rsidRPr="00461462">
        <w:rPr>
          <w:rFonts w:ascii="Verdana" w:hAnsi="Verdana"/>
          <w:lang w:val="en-US"/>
        </w:rPr>
        <w:t xml:space="preserve">  </w:t>
      </w:r>
    </w:p>
    <w:p w14:paraId="5C55C12C" w14:textId="77777777" w:rsidR="002C73CC" w:rsidRPr="009C1EC5" w:rsidRDefault="002C73CC" w:rsidP="002C73CC">
      <w:pPr>
        <w:spacing w:after="0" w:line="240" w:lineRule="auto"/>
        <w:rPr>
          <w:rFonts w:ascii="Verdana" w:eastAsia="Calibri" w:hAnsi="Verdana" w:cs="Times New Roman"/>
        </w:rPr>
      </w:pPr>
      <w:r w:rsidRPr="009C1EC5">
        <w:rPr>
          <w:rFonts w:ascii="Verdana" w:eastAsia="Calibri" w:hAnsi="Verdana" w:cs="Times New Roman"/>
        </w:rPr>
        <w:t>Bogotá D.C.</w:t>
      </w:r>
    </w:p>
    <w:p w14:paraId="60E0909F" w14:textId="77777777" w:rsidR="002C73CC" w:rsidRPr="009C1EC5" w:rsidRDefault="002C73CC" w:rsidP="002C73CC">
      <w:pPr>
        <w:spacing w:after="0" w:line="240" w:lineRule="auto"/>
        <w:rPr>
          <w:rFonts w:ascii="Verdana" w:eastAsia="Calibri" w:hAnsi="Verdana" w:cs="Times New Roman"/>
        </w:rPr>
      </w:pPr>
    </w:p>
    <w:p w14:paraId="22190339" w14:textId="77777777" w:rsidR="002C73CC" w:rsidRPr="009C1EC5" w:rsidRDefault="002C73CC" w:rsidP="002C73CC">
      <w:pPr>
        <w:spacing w:after="0" w:line="240" w:lineRule="auto"/>
        <w:rPr>
          <w:rFonts w:ascii="Verdana" w:eastAsia="Calibri" w:hAnsi="Verdana" w:cs="Times New Roman"/>
        </w:rPr>
      </w:pPr>
    </w:p>
    <w:p w14:paraId="349D64EB" w14:textId="77777777" w:rsidR="002C73CC" w:rsidRPr="009C1EC5" w:rsidRDefault="002C73CC" w:rsidP="002C73CC">
      <w:pPr>
        <w:spacing w:after="0" w:line="256" w:lineRule="auto"/>
        <w:rPr>
          <w:rFonts w:ascii="Verdana" w:eastAsia="Calibri" w:hAnsi="Verdana" w:cs="Times New Roman"/>
          <w:b/>
          <w:bCs/>
          <w:lang w:val="es-ES"/>
        </w:rPr>
      </w:pPr>
      <w:r w:rsidRPr="009C1EC5">
        <w:rPr>
          <w:rFonts w:ascii="Verdana" w:eastAsia="Calibri" w:hAnsi="Verdana" w:cs="Times New Roman"/>
          <w:b/>
          <w:bCs/>
          <w:lang w:val="es-ES"/>
        </w:rPr>
        <w:t xml:space="preserve">                   </w:t>
      </w:r>
      <w:r>
        <w:rPr>
          <w:rFonts w:ascii="Verdana" w:eastAsia="Calibri" w:hAnsi="Verdana" w:cs="Times New Roman"/>
          <w:b/>
          <w:bCs/>
          <w:lang w:val="es-ES"/>
        </w:rPr>
        <w:t xml:space="preserve">                 Concepto C–1776 </w:t>
      </w:r>
      <w:r w:rsidRPr="009C1EC5">
        <w:rPr>
          <w:rFonts w:ascii="Verdana" w:eastAsia="Calibri" w:hAnsi="Verdana" w:cs="Times New Roman"/>
          <w:b/>
          <w:bCs/>
          <w:lang w:val="es-ES"/>
        </w:rPr>
        <w:t>de 2025</w:t>
      </w:r>
    </w:p>
    <w:p w14:paraId="15356297" w14:textId="77777777" w:rsidR="002C73CC" w:rsidRPr="009C1EC5" w:rsidRDefault="002C73CC" w:rsidP="002C73CC">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2C73CC" w:rsidRPr="009C1EC5" w14:paraId="50D72A45" w14:textId="77777777" w:rsidTr="00E51FD1">
        <w:trPr>
          <w:trHeight w:val="645"/>
        </w:trPr>
        <w:tc>
          <w:tcPr>
            <w:tcW w:w="2685" w:type="dxa"/>
            <w:hideMark/>
          </w:tcPr>
          <w:p w14:paraId="3C13FED1" w14:textId="77777777" w:rsidR="002C73CC" w:rsidRPr="00204A1B" w:rsidRDefault="002C73CC" w:rsidP="00E51FD1">
            <w:pPr>
              <w:spacing w:line="256" w:lineRule="auto"/>
              <w:rPr>
                <w:rFonts w:ascii="Verdana" w:hAnsi="Verdana"/>
                <w:b/>
                <w:bCs/>
                <w:lang w:val="es-ES_tradnl"/>
              </w:rPr>
            </w:pPr>
            <w:r w:rsidRPr="00204A1B">
              <w:rPr>
                <w:rFonts w:ascii="Verdana" w:hAnsi="Verdana"/>
                <w:b/>
                <w:bCs/>
                <w:lang w:val="es-ES_tradnl"/>
              </w:rPr>
              <w:t xml:space="preserve">Temas:                   </w:t>
            </w:r>
          </w:p>
        </w:tc>
        <w:tc>
          <w:tcPr>
            <w:tcW w:w="6241" w:type="dxa"/>
            <w:hideMark/>
          </w:tcPr>
          <w:p w14:paraId="66236819" w14:textId="77777777" w:rsidR="002C73CC" w:rsidRPr="00204A1B" w:rsidRDefault="002C73CC" w:rsidP="00E51FD1">
            <w:pPr>
              <w:spacing w:line="276" w:lineRule="auto"/>
              <w:jc w:val="both"/>
              <w:rPr>
                <w:rFonts w:ascii="Verdana" w:hAnsi="Verdana" w:cs="Arial"/>
                <w:lang w:eastAsia="es-ES"/>
              </w:rPr>
            </w:pPr>
            <w:r w:rsidRPr="00204A1B">
              <w:rPr>
                <w:rFonts w:ascii="Verdana" w:hAnsi="Verdana" w:cs="Arial"/>
                <w:bCs/>
                <w:lang w:val="es-ES_tradnl" w:eastAsia="es-ES"/>
              </w:rPr>
              <w:t>ANTICIPO Y/O PAGO ANTICIPADO– Regulación normativa</w:t>
            </w:r>
            <w:r w:rsidRPr="00204A1B">
              <w:rPr>
                <w:rFonts w:ascii="Verdana" w:hAnsi="Verdana" w:cs="Arial"/>
                <w:bCs/>
                <w:lang w:val="es-ES" w:eastAsia="es-ES"/>
              </w:rPr>
              <w:t xml:space="preserve"> / </w:t>
            </w:r>
            <w:r w:rsidRPr="00204A1B">
              <w:rPr>
                <w:rFonts w:ascii="Verdana" w:hAnsi="Verdana" w:cs="Arial"/>
                <w:bCs/>
                <w:lang w:eastAsia="es-ES"/>
              </w:rPr>
              <w:t xml:space="preserve">ANTICIPO – Definición jurisprudencial / PAGO ANTICIPADO – Definición / PAGO ANTICIPADO Y/O ANTICIPO – Límites – Aplicación / </w:t>
            </w:r>
            <w:r w:rsidRPr="00204A1B">
              <w:rPr>
                <w:rFonts w:ascii="Verdana" w:hAnsi="Verdana" w:cs="Arial"/>
                <w:bCs/>
                <w:lang w:val="es-ES" w:eastAsia="es-ES"/>
              </w:rPr>
              <w:t xml:space="preserve">CONSTITUCIÓN DE FIDUCIA O PATRIMONIO AUTÓNOMO IRREVOCABLE – Artículo 91 – Ley 1474 de 2011 / CONSTITUCIÓN DE FIDUCIA O PATRIMONIO – Administración – Correcta inversión – Anticipo – Deber </w:t>
            </w:r>
            <w:r>
              <w:rPr>
                <w:rFonts w:ascii="Verdana" w:hAnsi="Verdana" w:cs="Arial"/>
                <w:bCs/>
                <w:lang w:val="es-ES" w:eastAsia="es-ES"/>
              </w:rPr>
              <w:t>de vigilancia – Seguimiento contractual</w:t>
            </w:r>
            <w:r w:rsidRPr="00204A1B">
              <w:rPr>
                <w:rFonts w:ascii="Verdana" w:hAnsi="Verdana" w:cs="Arial"/>
                <w:bCs/>
                <w:lang w:val="es-ES" w:eastAsia="es-ES"/>
              </w:rPr>
              <w:t xml:space="preserve">. </w:t>
            </w:r>
          </w:p>
          <w:p w14:paraId="775D6E8E" w14:textId="77777777" w:rsidR="002C73CC" w:rsidRPr="00204A1B" w:rsidRDefault="002C73CC" w:rsidP="00E51FD1">
            <w:pPr>
              <w:spacing w:line="276" w:lineRule="auto"/>
              <w:jc w:val="both"/>
              <w:rPr>
                <w:rFonts w:ascii="Verdana" w:hAnsi="Verdana" w:cs="Arial"/>
                <w:lang w:eastAsia="es-ES"/>
              </w:rPr>
            </w:pPr>
          </w:p>
        </w:tc>
        <w:tc>
          <w:tcPr>
            <w:tcW w:w="6237" w:type="dxa"/>
          </w:tcPr>
          <w:p w14:paraId="566737DE" w14:textId="77777777" w:rsidR="002C73CC" w:rsidRPr="009C1EC5" w:rsidRDefault="002C73CC" w:rsidP="00E51FD1">
            <w:pPr>
              <w:spacing w:line="256" w:lineRule="auto"/>
              <w:rPr>
                <w:rFonts w:ascii="Verdana" w:hAnsi="Verdana"/>
              </w:rPr>
            </w:pPr>
          </w:p>
        </w:tc>
      </w:tr>
      <w:tr w:rsidR="002C73CC" w:rsidRPr="009C1EC5" w14:paraId="61A3380D" w14:textId="77777777" w:rsidTr="00E51FD1">
        <w:tc>
          <w:tcPr>
            <w:tcW w:w="2685" w:type="dxa"/>
          </w:tcPr>
          <w:p w14:paraId="697D851C" w14:textId="77777777" w:rsidR="002C73CC" w:rsidRPr="009C1EC5" w:rsidRDefault="002C73CC" w:rsidP="00E51FD1">
            <w:pPr>
              <w:spacing w:line="256" w:lineRule="auto"/>
              <w:rPr>
                <w:rFonts w:ascii="Verdana" w:hAnsi="Verdana"/>
                <w:b/>
                <w:bCs/>
                <w:lang w:val="es-ES_tradnl"/>
              </w:rPr>
            </w:pPr>
            <w:r w:rsidRPr="009C1EC5">
              <w:rPr>
                <w:rFonts w:ascii="Verdana" w:hAnsi="Verdana"/>
                <w:b/>
                <w:bCs/>
                <w:lang w:val="es-ES_tradnl"/>
              </w:rPr>
              <w:t xml:space="preserve">Radicación:               </w:t>
            </w:r>
          </w:p>
        </w:tc>
        <w:tc>
          <w:tcPr>
            <w:tcW w:w="6241" w:type="dxa"/>
          </w:tcPr>
          <w:p w14:paraId="0F688088" w14:textId="77777777" w:rsidR="002C73CC" w:rsidRPr="009C1EC5" w:rsidRDefault="002C73CC" w:rsidP="00E51FD1">
            <w:pPr>
              <w:spacing w:line="257" w:lineRule="auto"/>
              <w:jc w:val="both"/>
              <w:rPr>
                <w:rFonts w:ascii="Verdana" w:hAnsi="Verdana"/>
                <w:lang w:val="es-ES_tradnl"/>
              </w:rPr>
            </w:pPr>
            <w:r w:rsidRPr="009C1EC5">
              <w:rPr>
                <w:rFonts w:ascii="Verdana" w:hAnsi="Verdana"/>
                <w:lang w:val="es-ES_tradnl"/>
              </w:rPr>
              <w:t>Respuesta a consulta con radicado No.</w:t>
            </w:r>
            <w:r w:rsidRPr="009C1EC5">
              <w:rPr>
                <w:rFonts w:ascii="Verdana" w:eastAsiaTheme="minorHAnsi" w:hAnsi="Verdana" w:cs="Segoe UI"/>
                <w:shd w:val="clear" w:color="auto" w:fill="FFFFFF"/>
              </w:rPr>
              <w:t xml:space="preserve"> 1_2025_12_01_013525</w:t>
            </w:r>
          </w:p>
          <w:p w14:paraId="37179076" w14:textId="77777777" w:rsidR="002C73CC" w:rsidRPr="009C1EC5" w:rsidRDefault="002C73CC" w:rsidP="00E51FD1">
            <w:pPr>
              <w:spacing w:line="257" w:lineRule="auto"/>
              <w:jc w:val="both"/>
              <w:rPr>
                <w:rFonts w:ascii="Verdana" w:hAnsi="Verdana"/>
              </w:rPr>
            </w:pPr>
          </w:p>
          <w:p w14:paraId="1E0DDB68" w14:textId="77777777" w:rsidR="002C73CC" w:rsidRPr="009C1EC5" w:rsidRDefault="002C73CC" w:rsidP="00E51FD1">
            <w:pPr>
              <w:spacing w:line="257" w:lineRule="auto"/>
              <w:jc w:val="both"/>
              <w:rPr>
                <w:rFonts w:ascii="Verdana" w:hAnsi="Verdana"/>
              </w:rPr>
            </w:pPr>
          </w:p>
        </w:tc>
        <w:tc>
          <w:tcPr>
            <w:tcW w:w="6237" w:type="dxa"/>
          </w:tcPr>
          <w:p w14:paraId="14A6E4C6" w14:textId="77777777" w:rsidR="002C73CC" w:rsidRPr="009C1EC5" w:rsidRDefault="002C73CC" w:rsidP="00E51FD1">
            <w:pPr>
              <w:spacing w:line="256" w:lineRule="auto"/>
              <w:rPr>
                <w:rFonts w:ascii="Verdana" w:hAnsi="Verdana"/>
                <w:lang w:val="es-ES_tradnl"/>
              </w:rPr>
            </w:pPr>
          </w:p>
        </w:tc>
      </w:tr>
    </w:tbl>
    <w:p w14:paraId="4DAA266F" w14:textId="77777777" w:rsidR="002C73CC" w:rsidRPr="00B57A1B" w:rsidRDefault="002C73CC" w:rsidP="002C73CC">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 Buitrago</w:t>
      </w:r>
      <w:r w:rsidRPr="00B57A1B">
        <w:rPr>
          <w:rFonts w:ascii="Verdana" w:eastAsia="Calibri" w:hAnsi="Verdana" w:cs="Times New Roman"/>
          <w:lang w:val="es-ES"/>
        </w:rPr>
        <w:t xml:space="preserve">: </w:t>
      </w:r>
    </w:p>
    <w:p w14:paraId="139156C1" w14:textId="77777777" w:rsidR="002C73CC" w:rsidRPr="00B57A1B" w:rsidRDefault="002C73CC" w:rsidP="002C73CC">
      <w:pPr>
        <w:spacing w:after="0" w:line="256" w:lineRule="auto"/>
        <w:rPr>
          <w:rFonts w:ascii="Verdana" w:eastAsia="Calibri" w:hAnsi="Verdana" w:cs="Times New Roman"/>
          <w:lang w:val="es-ES"/>
        </w:rPr>
      </w:pPr>
    </w:p>
    <w:p w14:paraId="49B9E934" w14:textId="77777777" w:rsidR="002C73CC" w:rsidRDefault="002C73CC" w:rsidP="002C73CC">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 consulta 1 de diciembre del de 2025</w:t>
      </w:r>
      <w:r w:rsidRPr="00B57A1B">
        <w:rPr>
          <w:rFonts w:ascii="Verdana" w:eastAsia="Calibri" w:hAnsi="Verdana" w:cs="Times New Roman"/>
          <w:bCs/>
          <w:lang w:val="es-ES" w:bidi="es-ES"/>
        </w:rPr>
        <w:t xml:space="preserve">, en la cual manifiesta: </w:t>
      </w:r>
    </w:p>
    <w:p w14:paraId="7C34477A" w14:textId="77777777" w:rsidR="002C73CC" w:rsidRPr="00525E40" w:rsidRDefault="002C73CC" w:rsidP="002C73CC">
      <w:pPr>
        <w:spacing w:after="0" w:line="240" w:lineRule="auto"/>
        <w:ind w:right="709"/>
        <w:jc w:val="both"/>
        <w:rPr>
          <w:rFonts w:ascii="Verdana" w:eastAsia="Calibri" w:hAnsi="Verdana" w:cs="Times New Roman"/>
          <w:bCs/>
          <w:sz w:val="20"/>
          <w:szCs w:val="20"/>
          <w:lang w:val="es-ES" w:bidi="es-ES"/>
        </w:rPr>
      </w:pPr>
    </w:p>
    <w:p w14:paraId="7CA7207B" w14:textId="77777777" w:rsidR="002C73CC" w:rsidRPr="00FB0B6D" w:rsidRDefault="002C73CC" w:rsidP="002C73CC">
      <w:pPr>
        <w:spacing w:after="0" w:line="240" w:lineRule="auto"/>
        <w:ind w:left="720" w:right="709"/>
        <w:jc w:val="both"/>
        <w:rPr>
          <w:rFonts w:ascii="Verdana" w:eastAsia="Calibri" w:hAnsi="Verdana" w:cs="Times New Roman"/>
          <w:bCs/>
          <w:sz w:val="20"/>
          <w:szCs w:val="20"/>
          <w:lang w:bidi="es-ES"/>
        </w:rPr>
      </w:pPr>
      <w:r w:rsidRPr="00FB0B6D">
        <w:rPr>
          <w:rFonts w:ascii="Verdana" w:eastAsia="Calibri" w:hAnsi="Verdana" w:cs="Times New Roman"/>
          <w:bCs/>
          <w:sz w:val="20"/>
          <w:szCs w:val="20"/>
          <w:lang w:bidi="es-ES"/>
        </w:rPr>
        <w:t xml:space="preserve">“Uso de los recursos de inversión del anticipo para el pago del personal mínimo: </w:t>
      </w:r>
    </w:p>
    <w:p w14:paraId="329616FB" w14:textId="77777777" w:rsidR="002C73CC" w:rsidRPr="00FB0B6D" w:rsidRDefault="002C73CC" w:rsidP="002C73CC">
      <w:pPr>
        <w:spacing w:after="0" w:line="240" w:lineRule="auto"/>
        <w:ind w:left="720" w:right="709"/>
        <w:jc w:val="both"/>
        <w:rPr>
          <w:rFonts w:ascii="Verdana" w:eastAsia="Calibri" w:hAnsi="Verdana" w:cs="Times New Roman"/>
          <w:bCs/>
          <w:sz w:val="20"/>
          <w:szCs w:val="20"/>
          <w:lang w:bidi="es-ES"/>
        </w:rPr>
      </w:pPr>
      <w:r w:rsidRPr="00FB0B6D">
        <w:rPr>
          <w:rFonts w:ascii="Verdana" w:eastAsia="Calibri" w:hAnsi="Verdana" w:cs="Times New Roman"/>
          <w:bCs/>
          <w:sz w:val="20"/>
          <w:szCs w:val="20"/>
          <w:lang w:bidi="es-ES"/>
        </w:rPr>
        <w:t xml:space="preserve">1. Agradezco se me indique si los recursos de inversión del anticipo pueden ser utilizados para cubrir los salarios del personal mínimo requerido para la ejecución del contrato, tales como Director del Proyecto, </w:t>
      </w:r>
      <w:r w:rsidRPr="00FB0B6D">
        <w:rPr>
          <w:rFonts w:ascii="Verdana" w:eastAsia="Calibri" w:hAnsi="Verdana" w:cs="Times New Roman"/>
          <w:bCs/>
          <w:sz w:val="20"/>
          <w:szCs w:val="20"/>
          <w:lang w:bidi="es-ES"/>
        </w:rPr>
        <w:lastRenderedPageBreak/>
        <w:t>Residente de Obra y Profesionales de</w:t>
      </w:r>
      <w:r>
        <w:rPr>
          <w:rFonts w:ascii="Verdana" w:eastAsia="Calibri" w:hAnsi="Verdana" w:cs="Times New Roman"/>
          <w:bCs/>
          <w:sz w:val="20"/>
          <w:szCs w:val="20"/>
          <w:lang w:bidi="es-ES"/>
        </w:rPr>
        <w:t xml:space="preserve"> </w:t>
      </w:r>
      <w:r w:rsidRPr="00FB0B6D">
        <w:rPr>
          <w:rFonts w:ascii="Verdana" w:eastAsia="Calibri" w:hAnsi="Verdana" w:cs="Times New Roman"/>
          <w:bCs/>
          <w:sz w:val="20"/>
          <w:szCs w:val="20"/>
          <w:lang w:bidi="es-ES"/>
        </w:rPr>
        <w:t xml:space="preserve">Apoyo, teniendo en cuenta que dichas actividades están directamente vinculadas al desarrollo técnico del objeto contractual. </w:t>
      </w:r>
    </w:p>
    <w:p w14:paraId="42FC5E3F" w14:textId="77777777" w:rsidR="002C73CC" w:rsidRPr="00FB0B6D" w:rsidRDefault="002C73CC" w:rsidP="002C73CC">
      <w:pPr>
        <w:spacing w:after="0" w:line="240" w:lineRule="auto"/>
        <w:ind w:left="720" w:right="709"/>
        <w:jc w:val="both"/>
        <w:rPr>
          <w:rFonts w:ascii="Verdana" w:eastAsia="Calibri" w:hAnsi="Verdana" w:cs="Times New Roman"/>
          <w:bCs/>
          <w:sz w:val="20"/>
          <w:szCs w:val="20"/>
          <w:lang w:bidi="es-ES"/>
        </w:rPr>
      </w:pPr>
      <w:r w:rsidRPr="00FB0B6D">
        <w:rPr>
          <w:rFonts w:ascii="Verdana" w:eastAsia="Calibri" w:hAnsi="Verdana" w:cs="Times New Roman"/>
          <w:bCs/>
          <w:sz w:val="20"/>
          <w:szCs w:val="20"/>
          <w:lang w:bidi="es-ES"/>
        </w:rPr>
        <w:t>2. Pago de pólizas de garantía con recursos de inversión del anticipo:</w:t>
      </w:r>
      <w:r>
        <w:rPr>
          <w:rFonts w:ascii="Verdana" w:eastAsia="Calibri" w:hAnsi="Verdana" w:cs="Times New Roman"/>
          <w:bCs/>
          <w:sz w:val="20"/>
          <w:szCs w:val="20"/>
          <w:lang w:bidi="es-ES"/>
        </w:rPr>
        <w:t xml:space="preserve"> </w:t>
      </w:r>
      <w:r w:rsidRPr="00FB0B6D">
        <w:rPr>
          <w:rFonts w:ascii="Verdana" w:eastAsia="Calibri" w:hAnsi="Verdana" w:cs="Times New Roman"/>
          <w:bCs/>
          <w:sz w:val="20"/>
          <w:szCs w:val="20"/>
          <w:lang w:bidi="es-ES"/>
        </w:rPr>
        <w:t>Solicito igualmente se precise si es procedente utilizar recursos de inversión del anticipo para cubrir el costo de las pólizas</w:t>
      </w:r>
      <w:r>
        <w:rPr>
          <w:rFonts w:ascii="Verdana" w:eastAsia="Calibri" w:hAnsi="Verdana" w:cs="Times New Roman"/>
          <w:bCs/>
          <w:sz w:val="20"/>
          <w:szCs w:val="20"/>
          <w:lang w:bidi="es-ES"/>
        </w:rPr>
        <w:t xml:space="preserve"> </w:t>
      </w:r>
      <w:r w:rsidRPr="00FB0B6D">
        <w:rPr>
          <w:rFonts w:ascii="Verdana" w:eastAsia="Calibri" w:hAnsi="Verdana" w:cs="Times New Roman"/>
          <w:bCs/>
          <w:sz w:val="20"/>
          <w:szCs w:val="20"/>
          <w:lang w:bidi="es-ES"/>
        </w:rPr>
        <w:t>de garantía exigidas para la formalización y ejecución del contrato, considerando que estas constituyen un requisito indispensable</w:t>
      </w:r>
      <w:r>
        <w:rPr>
          <w:rFonts w:ascii="Verdana" w:eastAsia="Calibri" w:hAnsi="Verdana" w:cs="Times New Roman"/>
          <w:bCs/>
          <w:sz w:val="20"/>
          <w:szCs w:val="20"/>
          <w:lang w:bidi="es-ES"/>
        </w:rPr>
        <w:t xml:space="preserve"> </w:t>
      </w:r>
      <w:r w:rsidRPr="00FB0B6D">
        <w:rPr>
          <w:rFonts w:ascii="Verdana" w:eastAsia="Calibri" w:hAnsi="Verdana" w:cs="Times New Roman"/>
          <w:bCs/>
          <w:sz w:val="20"/>
          <w:szCs w:val="20"/>
          <w:lang w:bidi="es-ES"/>
        </w:rPr>
        <w:t>para su puesta en marcha</w:t>
      </w:r>
      <w:r>
        <w:rPr>
          <w:rFonts w:ascii="Verdana" w:eastAsia="Calibri" w:hAnsi="Verdana" w:cs="Times New Roman"/>
          <w:bCs/>
          <w:sz w:val="20"/>
          <w:szCs w:val="20"/>
          <w:lang w:bidi="es-ES"/>
        </w:rPr>
        <w:t>”</w:t>
      </w:r>
      <w:r w:rsidRPr="00FB0B6D">
        <w:rPr>
          <w:rFonts w:ascii="Verdana" w:eastAsia="Calibri" w:hAnsi="Verdana" w:cs="Times New Roman"/>
          <w:bCs/>
          <w:sz w:val="20"/>
          <w:szCs w:val="20"/>
          <w:lang w:bidi="es-ES"/>
        </w:rPr>
        <w:t>.</w:t>
      </w:r>
    </w:p>
    <w:p w14:paraId="66B8602A" w14:textId="77777777" w:rsidR="002C73CC" w:rsidRPr="00812F2C" w:rsidRDefault="002C73CC" w:rsidP="002C73CC">
      <w:pPr>
        <w:spacing w:after="0" w:line="240" w:lineRule="auto"/>
        <w:ind w:left="709" w:right="709"/>
        <w:jc w:val="both"/>
        <w:rPr>
          <w:rFonts w:ascii="Verdana" w:eastAsia="Calibri" w:hAnsi="Verdana" w:cs="Times New Roman"/>
          <w:bCs/>
          <w:sz w:val="21"/>
          <w:szCs w:val="21"/>
          <w:lang w:bidi="es-ES"/>
        </w:rPr>
      </w:pPr>
    </w:p>
    <w:p w14:paraId="4A4E1DD3" w14:textId="77777777" w:rsidR="002C73CC" w:rsidRPr="00B57A1B" w:rsidRDefault="002C73CC" w:rsidP="002C73CC">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1DAF714" w14:textId="77777777" w:rsidR="002C73CC" w:rsidRPr="00B57A1B" w:rsidRDefault="002C73CC" w:rsidP="002C73CC">
      <w:pPr>
        <w:spacing w:after="0" w:line="276" w:lineRule="auto"/>
        <w:ind w:firstLine="709"/>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3845826C" w14:textId="77777777" w:rsidR="002C73CC" w:rsidRPr="00B57A1B" w:rsidRDefault="002C73CC" w:rsidP="002C73CC">
      <w:pPr>
        <w:spacing w:after="0" w:line="256" w:lineRule="auto"/>
        <w:rPr>
          <w:rFonts w:ascii="Verdana" w:eastAsia="Calibri" w:hAnsi="Verdana" w:cs="Times New Roman"/>
          <w:lang w:val="es-ES"/>
        </w:rPr>
      </w:pPr>
    </w:p>
    <w:p w14:paraId="5DA94000" w14:textId="77777777" w:rsidR="002C73CC" w:rsidRPr="00B57A1B" w:rsidRDefault="002C73CC" w:rsidP="002C73CC">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410926E0" w14:textId="77777777" w:rsidR="002C73CC" w:rsidRPr="00B57A1B" w:rsidRDefault="002C73CC" w:rsidP="002C73CC">
      <w:pPr>
        <w:spacing w:after="0" w:line="256" w:lineRule="auto"/>
        <w:rPr>
          <w:rFonts w:ascii="Verdana" w:eastAsia="Calibri" w:hAnsi="Verdana" w:cs="Times New Roman"/>
        </w:rPr>
      </w:pPr>
    </w:p>
    <w:p w14:paraId="17254847" w14:textId="77777777" w:rsidR="002C73CC" w:rsidRDefault="002C73CC" w:rsidP="002C73CC">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i) ¿Es procedente usar</w:t>
      </w:r>
      <w:r w:rsidRPr="00F000D3">
        <w:rPr>
          <w:rFonts w:ascii="Verdana" w:eastAsia="Calibri" w:hAnsi="Verdana" w:cs="Times New Roman"/>
          <w:iCs/>
          <w:lang w:val="es-ES"/>
        </w:rPr>
        <w:t xml:space="preserve"> los recursos de inversión del anticipo para cubrir los salarios del personal mínimo requerido</w:t>
      </w:r>
      <w:r>
        <w:rPr>
          <w:rFonts w:ascii="Verdana" w:eastAsia="Calibri" w:hAnsi="Verdana" w:cs="Times New Roman"/>
          <w:iCs/>
          <w:lang w:val="es-ES"/>
        </w:rPr>
        <w:t xml:space="preserve"> para la ejecución del contrato de obra?; ii) </w:t>
      </w:r>
      <w:r w:rsidRPr="00F000D3">
        <w:rPr>
          <w:rFonts w:ascii="Verdana" w:eastAsia="Calibri" w:hAnsi="Verdana" w:cs="Times New Roman"/>
          <w:iCs/>
          <w:lang w:val="es-ES"/>
        </w:rPr>
        <w:t xml:space="preserve">¿Resulta </w:t>
      </w:r>
      <w:r>
        <w:rPr>
          <w:rFonts w:ascii="Verdana" w:eastAsia="Calibri" w:hAnsi="Verdana" w:cs="Times New Roman"/>
          <w:iCs/>
          <w:lang w:val="es-ES"/>
        </w:rPr>
        <w:t xml:space="preserve">procedente emplear </w:t>
      </w:r>
      <w:r w:rsidRPr="00F000D3">
        <w:rPr>
          <w:rFonts w:ascii="Verdana" w:eastAsia="Calibri" w:hAnsi="Verdana" w:cs="Times New Roman"/>
          <w:iCs/>
          <w:lang w:val="es-ES"/>
        </w:rPr>
        <w:t>los recursos de inversión del anticipo para sufragar el costo de las póliz</w:t>
      </w:r>
      <w:r>
        <w:rPr>
          <w:rFonts w:ascii="Verdana" w:eastAsia="Calibri" w:hAnsi="Verdana" w:cs="Times New Roman"/>
          <w:iCs/>
          <w:lang w:val="es-ES"/>
        </w:rPr>
        <w:t>as de garantía exigidas para el inicio de ejecución del contrato de obra</w:t>
      </w:r>
      <w:r w:rsidRPr="00F000D3">
        <w:rPr>
          <w:rFonts w:ascii="Verdana" w:eastAsia="Calibri" w:hAnsi="Verdana" w:cs="Times New Roman"/>
          <w:iCs/>
          <w:lang w:val="es-ES"/>
        </w:rPr>
        <w:t>?</w:t>
      </w:r>
    </w:p>
    <w:p w14:paraId="0C528AA9" w14:textId="77777777" w:rsidR="002C73CC" w:rsidRPr="00B57A1B" w:rsidRDefault="002C73CC" w:rsidP="002C73CC">
      <w:pPr>
        <w:spacing w:after="0" w:line="276" w:lineRule="auto"/>
        <w:jc w:val="both"/>
        <w:rPr>
          <w:rFonts w:ascii="Verdana" w:eastAsia="Calibri" w:hAnsi="Verdana" w:cs="Times New Roman"/>
          <w:i/>
          <w:iCs/>
          <w:lang w:val="es-ES"/>
        </w:rPr>
      </w:pPr>
    </w:p>
    <w:p w14:paraId="559E3814" w14:textId="77777777" w:rsidR="002C73CC" w:rsidRPr="00B57A1B" w:rsidRDefault="002C73CC" w:rsidP="002C73CC">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31DA4A6E" w14:textId="77777777" w:rsidR="002C73CC" w:rsidRPr="00B57A1B" w:rsidRDefault="002C73CC" w:rsidP="002C73CC">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2C73CC" w:rsidRPr="00B57A1B" w14:paraId="45E71A7D" w14:textId="77777777" w:rsidTr="00E51FD1">
        <w:trPr>
          <w:trHeight w:val="345"/>
          <w:jc w:val="center"/>
        </w:trPr>
        <w:tc>
          <w:tcPr>
            <w:tcW w:w="8784" w:type="dxa"/>
            <w:tcBorders>
              <w:bottom w:val="single" w:sz="4" w:space="0" w:color="auto"/>
            </w:tcBorders>
          </w:tcPr>
          <w:p w14:paraId="1E663EC5" w14:textId="77777777" w:rsidR="002C73CC" w:rsidRDefault="002C73CC" w:rsidP="00E51FD1">
            <w:pPr>
              <w:tabs>
                <w:tab w:val="left" w:pos="709"/>
              </w:tabs>
              <w:snapToGrid w:val="0"/>
              <w:spacing w:before="120" w:line="276" w:lineRule="auto"/>
              <w:jc w:val="both"/>
              <w:rPr>
                <w:rFonts w:ascii="Verdana" w:eastAsia="Calibri" w:hAnsi="Verdana" w:cs="Times New Roman"/>
              </w:rPr>
            </w:pPr>
            <w:r>
              <w:rPr>
                <w:rFonts w:ascii="Verdana" w:eastAsia="Calibri" w:hAnsi="Verdana" w:cs="Times New Roman"/>
              </w:rPr>
              <w:t>En cuanto a los problemas jurídicos, objeto de consulta, se expresa lo siguiente:</w:t>
            </w:r>
          </w:p>
          <w:p w14:paraId="5382D91E" w14:textId="77777777" w:rsidR="002C73CC" w:rsidRDefault="002C73CC" w:rsidP="00E51FD1">
            <w:pPr>
              <w:tabs>
                <w:tab w:val="left" w:pos="709"/>
              </w:tabs>
              <w:snapToGrid w:val="0"/>
              <w:spacing w:line="276" w:lineRule="auto"/>
              <w:jc w:val="both"/>
              <w:rPr>
                <w:rFonts w:ascii="Verdana" w:eastAsia="Calibri" w:hAnsi="Verdana" w:cs="Times New Roman"/>
              </w:rPr>
            </w:pPr>
          </w:p>
          <w:p w14:paraId="5DD02DA9" w14:textId="77777777" w:rsidR="002C73CC" w:rsidRPr="00037B78" w:rsidRDefault="002C73CC" w:rsidP="00E51FD1">
            <w:pPr>
              <w:spacing w:before="120" w:line="276" w:lineRule="auto"/>
              <w:jc w:val="both"/>
              <w:rPr>
                <w:rFonts w:ascii="Verdana" w:eastAsia="Calibri" w:hAnsi="Verdana" w:cs="Arial"/>
                <w:sz w:val="20"/>
                <w:szCs w:val="20"/>
              </w:rPr>
            </w:pPr>
            <w:r>
              <w:rPr>
                <w:rFonts w:ascii="Verdana" w:eastAsia="Calibri" w:hAnsi="Verdana" w:cs="Times New Roman"/>
              </w:rPr>
              <w:t>i.</w:t>
            </w:r>
            <w:r>
              <w:rPr>
                <w:rFonts w:ascii="Verdana" w:eastAsia="Calibri" w:hAnsi="Verdana" w:cs="Arial"/>
              </w:rPr>
              <w:t xml:space="preserve"> Frente a la administración de los </w:t>
            </w:r>
            <w:r w:rsidRPr="00704572">
              <w:rPr>
                <w:rFonts w:ascii="Verdana" w:eastAsia="Calibri" w:hAnsi="Verdana" w:cs="Arial"/>
              </w:rPr>
              <w:t>recursos de inversión del anticipo para cubrir los salarios del personal técnico mínimo indispensable para la ejecución del contrato, tales como el Director del Proyecto, el Residente de Obra y los Profesionales de Apoyo</w:t>
            </w:r>
            <w:r>
              <w:rPr>
                <w:rFonts w:ascii="Verdana" w:eastAsia="Calibri" w:hAnsi="Verdana" w:cs="Arial"/>
              </w:rPr>
              <w:t xml:space="preserve">, se consideran válidos, </w:t>
            </w:r>
            <w:r w:rsidRPr="00704572">
              <w:rPr>
                <w:rFonts w:ascii="Verdana" w:eastAsia="Calibri" w:hAnsi="Verdana" w:cs="Arial"/>
              </w:rPr>
              <w:t>por lo que su financiación con el anticipo resulta coherente con la finalidad de este mec</w:t>
            </w:r>
            <w:r>
              <w:rPr>
                <w:rFonts w:ascii="Verdana" w:eastAsia="Calibri" w:hAnsi="Verdana" w:cs="Arial"/>
              </w:rPr>
              <w:t>anismo. En esta línea</w:t>
            </w:r>
            <w:r w:rsidRPr="00704572">
              <w:rPr>
                <w:rFonts w:ascii="Verdana" w:eastAsia="Calibri" w:hAnsi="Verdana" w:cs="Arial"/>
              </w:rPr>
              <w:t>, los pagos de personal directamente vinculado al desarrollo técnico del contrato se co</w:t>
            </w:r>
            <w:r>
              <w:rPr>
                <w:rFonts w:ascii="Verdana" w:eastAsia="Calibri" w:hAnsi="Verdana" w:cs="Arial"/>
              </w:rPr>
              <w:t>nsideran gastos de inversión válidos</w:t>
            </w:r>
            <w:r w:rsidRPr="00704572">
              <w:rPr>
                <w:rFonts w:ascii="Verdana" w:eastAsia="Calibri" w:hAnsi="Verdana" w:cs="Arial"/>
              </w:rPr>
              <w:t>, pues contribuyen de manera directa al cumplimiento de las obligaciones pactadas y a la materialización del objeto contractual.</w:t>
            </w:r>
          </w:p>
          <w:p w14:paraId="16749D77" w14:textId="77777777" w:rsidR="002C73CC" w:rsidRDefault="002C73CC" w:rsidP="00E51FD1">
            <w:pPr>
              <w:spacing w:before="120" w:line="276" w:lineRule="auto"/>
              <w:ind w:firstLine="709"/>
              <w:jc w:val="both"/>
              <w:rPr>
                <w:rFonts w:ascii="Verdana" w:eastAsia="Calibri" w:hAnsi="Verdana" w:cs="Arial"/>
              </w:rPr>
            </w:pPr>
            <w:r w:rsidRPr="00704572">
              <w:rPr>
                <w:rFonts w:ascii="Verdana" w:eastAsia="Calibri" w:hAnsi="Verdana" w:cs="Arial"/>
              </w:rPr>
              <w:t>No obstante, par</w:t>
            </w:r>
            <w:r>
              <w:rPr>
                <w:rFonts w:ascii="Verdana" w:eastAsia="Calibri" w:hAnsi="Verdana" w:cs="Arial"/>
              </w:rPr>
              <w:t>a que proceda los anticipos</w:t>
            </w:r>
            <w:r w:rsidRPr="00704572">
              <w:rPr>
                <w:rFonts w:ascii="Verdana" w:eastAsia="Calibri" w:hAnsi="Verdana" w:cs="Arial"/>
              </w:rPr>
              <w:t>, los salarios deben estar expresamente previstos en el plan de inversión aprobado y contar con la debida justificación técnica que evidencie su necesidad en la ejecución del contrato. De esta manera, se asegura que los recursos del anticipo se utilicen de forma transparente y eficiente, en concordancia con la normativa vigente y con los objetivos del proyecto.</w:t>
            </w:r>
            <w:r>
              <w:rPr>
                <w:rFonts w:ascii="Verdana" w:eastAsia="Calibri" w:hAnsi="Verdana" w:cs="Arial"/>
              </w:rPr>
              <w:t xml:space="preserve"> </w:t>
            </w:r>
          </w:p>
          <w:p w14:paraId="12C99561" w14:textId="77777777" w:rsidR="002C73CC" w:rsidRDefault="002C73CC" w:rsidP="00E51FD1">
            <w:pPr>
              <w:spacing w:before="120" w:line="276" w:lineRule="auto"/>
              <w:ind w:firstLine="709"/>
              <w:jc w:val="both"/>
              <w:rPr>
                <w:rFonts w:ascii="Verdana" w:eastAsia="Calibri" w:hAnsi="Verdana" w:cs="Arial"/>
                <w:lang w:val="es-ES"/>
              </w:rPr>
            </w:pPr>
            <w:r>
              <w:rPr>
                <w:rFonts w:ascii="Verdana" w:eastAsia="Calibri" w:hAnsi="Verdana" w:cs="Arial"/>
              </w:rPr>
              <w:t xml:space="preserve">En este asunto, cobra relevancia el deber legal de </w:t>
            </w:r>
            <w:r w:rsidRPr="00B90BEF">
              <w:rPr>
                <w:rFonts w:ascii="Verdana" w:eastAsia="Calibri" w:hAnsi="Verdana" w:cs="Arial"/>
                <w:lang w:val="es-ES"/>
              </w:rPr>
              <w:t xml:space="preserve">seguimiento de la ejecución del contrato, </w:t>
            </w:r>
            <w:r>
              <w:rPr>
                <w:rFonts w:ascii="Verdana" w:eastAsia="Calibri" w:hAnsi="Verdana" w:cs="Arial"/>
                <w:lang w:val="es-ES"/>
              </w:rPr>
              <w:t xml:space="preserve">que implica </w:t>
            </w:r>
            <w:r w:rsidRPr="00B90BEF">
              <w:rPr>
                <w:rFonts w:ascii="Verdana" w:eastAsia="Calibri" w:hAnsi="Verdana" w:cs="Arial"/>
                <w:lang w:val="es-ES"/>
              </w:rPr>
              <w:t xml:space="preserve">la dirección, control y vigilancia de su correcto cumplimiento, </w:t>
            </w:r>
            <w:r>
              <w:rPr>
                <w:rFonts w:ascii="Verdana" w:eastAsia="Calibri" w:hAnsi="Verdana" w:cs="Arial"/>
                <w:lang w:val="es-ES"/>
              </w:rPr>
              <w:t>la cual permita</w:t>
            </w:r>
            <w:r w:rsidRPr="00B90BEF">
              <w:rPr>
                <w:rFonts w:ascii="Verdana" w:eastAsia="Calibri" w:hAnsi="Verdana" w:cs="Arial"/>
                <w:lang w:val="es-ES"/>
              </w:rPr>
              <w:t xml:space="preserv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 obligación se predica, en principio, del jefe o representante legal de la entidad, por tener la responsabilidad de la dirección y manejo de la actividad contractual, pero también de los servidores públicos que intervienen en ella</w:t>
            </w:r>
            <w:r>
              <w:rPr>
                <w:rFonts w:ascii="Verdana" w:eastAsia="Calibri" w:hAnsi="Verdana" w:cs="Arial"/>
                <w:lang w:val="es-ES"/>
              </w:rPr>
              <w:t xml:space="preserve">, como es el caso de los supervisores. </w:t>
            </w:r>
          </w:p>
          <w:p w14:paraId="5A747816" w14:textId="77777777" w:rsidR="002C73CC" w:rsidRPr="00B90BEF" w:rsidRDefault="002C73CC" w:rsidP="00E51FD1">
            <w:pPr>
              <w:spacing w:before="120" w:line="276" w:lineRule="auto"/>
              <w:ind w:firstLine="709"/>
              <w:jc w:val="both"/>
              <w:rPr>
                <w:rFonts w:ascii="Verdana" w:eastAsia="Calibri" w:hAnsi="Verdana" w:cs="Arial"/>
                <w:lang w:val="es-ES"/>
              </w:rPr>
            </w:pPr>
            <w:r w:rsidRPr="008452AE">
              <w:rPr>
                <w:rFonts w:ascii="Verdana" w:eastAsia="Arial MT" w:hAnsi="Verdana" w:cs="Arial"/>
                <w:color w:val="000000" w:themeColor="text1"/>
                <w:spacing w:val="-1"/>
                <w:lang w:val="es-ES"/>
              </w:rPr>
              <w:lastRenderedPageBreak/>
              <w:t>En esta perspectiva,</w:t>
            </w:r>
            <w:r w:rsidRPr="008452AE">
              <w:rPr>
                <w:rFonts w:ascii="Verdana" w:eastAsia="Arial MT" w:hAnsi="Verdana" w:cs="Arial"/>
                <w:color w:val="000000" w:themeColor="text1"/>
                <w:lang w:val="es-ES"/>
              </w:rPr>
              <w:t xml:space="preserve"> </w:t>
            </w:r>
            <w:r>
              <w:rPr>
                <w:rFonts w:ascii="Verdana" w:eastAsia="Arial MT" w:hAnsi="Verdana" w:cs="Arial"/>
                <w:color w:val="000000" w:themeColor="text1"/>
                <w:lang w:val="es-ES"/>
              </w:rPr>
              <w:t>las entidades estatales pueden tomar</w:t>
            </w:r>
            <w:r w:rsidRPr="008452AE">
              <w:rPr>
                <w:rFonts w:ascii="Verdana" w:eastAsia="Arial MT" w:hAnsi="Verdana" w:cs="Arial"/>
                <w:color w:val="000000" w:themeColor="text1"/>
                <w:lang w:val="es-ES"/>
              </w:rPr>
              <w:t xml:space="preserve"> medidas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orientadas a la satisfacción de los fines de la contratación, dentro de las cuales, se encuentra la</w:t>
            </w:r>
            <w:r>
              <w:rPr>
                <w:rFonts w:ascii="Verdana" w:eastAsia="Arial MT" w:hAnsi="Verdana" w:cs="Arial"/>
                <w:color w:val="000000" w:themeColor="text1"/>
                <w:spacing w:val="-59"/>
                <w:lang w:val="es-ES"/>
              </w:rPr>
              <w:t xml:space="preserve">   --</w:t>
            </w:r>
            <w:r w:rsidRPr="008452AE">
              <w:rPr>
                <w:rFonts w:ascii="Verdana" w:eastAsia="Arial MT" w:hAnsi="Verdana" w:cs="Arial"/>
                <w:color w:val="000000" w:themeColor="text1"/>
                <w:lang w:val="es-ES"/>
              </w:rPr>
              <w:t>posibilidad de pactar y ejercer las cláusulas exorbitantes, la designación de una supervisión o la</w:t>
            </w:r>
            <w:r>
              <w:rPr>
                <w:rFonts w:ascii="Verdana" w:eastAsia="Arial MT" w:hAnsi="Verdana" w:cs="Arial"/>
                <w:color w:val="000000" w:themeColor="text1"/>
                <w:spacing w:val="-59"/>
                <w:lang w:val="es-ES"/>
              </w:rPr>
              <w:t xml:space="preserve"> </w:t>
            </w:r>
            <w:r>
              <w:rPr>
                <w:rFonts w:ascii="Verdana" w:eastAsia="Arial MT" w:hAnsi="Verdana" w:cs="Arial"/>
                <w:color w:val="000000" w:themeColor="text1"/>
                <w:lang w:val="es-ES"/>
              </w:rPr>
              <w:t xml:space="preserve">contratación </w:t>
            </w:r>
            <w:r w:rsidRPr="008452AE">
              <w:rPr>
                <w:rFonts w:ascii="Verdana" w:eastAsia="Arial MT" w:hAnsi="Verdana" w:cs="Arial"/>
                <w:color w:val="000000" w:themeColor="text1"/>
                <w:lang w:val="es-ES"/>
              </w:rPr>
              <w:t>de una interventoría</w:t>
            </w:r>
            <w:r>
              <w:rPr>
                <w:rFonts w:ascii="Verdana" w:eastAsia="Arial MT" w:hAnsi="Verdana" w:cs="Arial"/>
                <w:color w:val="000000" w:themeColor="text1"/>
                <w:lang w:val="es-ES"/>
              </w:rPr>
              <w:t>-</w:t>
            </w:r>
            <w:r w:rsidRPr="008452AE">
              <w:rPr>
                <w:rFonts w:ascii="Verdana" w:eastAsia="Arial MT" w:hAnsi="Verdana" w:cs="Arial"/>
                <w:color w:val="000000" w:themeColor="text1"/>
                <w:lang w:val="es-ES"/>
              </w:rPr>
              <w:t xml:space="preserve"> para vigilar la ejecución del contrato y la facultad de pactar e</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imponer multas, cláusula penal o hacer efectivas las garantías del contrato, previa declaratoria</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de incumplimiento de las obligaciones del contrato, en aras de lograr la satisfacción de las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necesidades de bienes, obras o servicios que se pretenden suplir con la celebración de los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contratos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estatales. Por lo tanto, la responsabilidad por el control y vigilancia de la ejecución del contrato está</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a cargo de la Entidad Estatal contratante y, en consecuencia, es esta quien debe supervisar los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contratos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mediante</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sus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funcionarios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o</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servidores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públicos,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y</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únicamente</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puede</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contratar</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 xml:space="preserve">personal en caso de necesitarlo como apoyo a su gestión en la supervisión. </w:t>
            </w:r>
          </w:p>
          <w:p w14:paraId="412FD9A1" w14:textId="77777777" w:rsidR="002C73CC" w:rsidRDefault="002C73CC" w:rsidP="00E51FD1">
            <w:pPr>
              <w:spacing w:after="120" w:line="276" w:lineRule="auto"/>
              <w:jc w:val="both"/>
              <w:rPr>
                <w:rFonts w:ascii="Verdana" w:eastAsia="Calibri" w:hAnsi="Verdana" w:cs="Arial"/>
                <w:lang w:val="es-ES" w:eastAsia="es-ES_tradnl"/>
              </w:rPr>
            </w:pPr>
          </w:p>
          <w:p w14:paraId="63BCD612" w14:textId="77777777" w:rsidR="002C73CC" w:rsidRPr="00037B78" w:rsidRDefault="002C73CC" w:rsidP="00E51FD1">
            <w:pPr>
              <w:spacing w:before="120" w:after="120" w:line="276" w:lineRule="auto"/>
              <w:jc w:val="both"/>
              <w:rPr>
                <w:rFonts w:ascii="Verdana" w:eastAsia="Calibri" w:hAnsi="Verdana" w:cs="Arial"/>
              </w:rPr>
            </w:pPr>
            <w:r>
              <w:rPr>
                <w:rFonts w:ascii="Verdana" w:eastAsia="Calibri" w:hAnsi="Verdana" w:cs="Arial"/>
                <w:lang w:val="es-ES" w:eastAsia="es-ES_tradnl"/>
              </w:rPr>
              <w:t xml:space="preserve">ii. </w:t>
            </w:r>
            <w:r>
              <w:rPr>
                <w:rFonts w:ascii="Verdana" w:eastAsia="Calibri" w:hAnsi="Verdana" w:cs="Arial"/>
              </w:rPr>
              <w:t>En cuanto, al uso</w:t>
            </w:r>
            <w:r w:rsidRPr="00037B78">
              <w:rPr>
                <w:rFonts w:ascii="Verdana" w:eastAsia="Calibri" w:hAnsi="Verdana" w:cs="Arial"/>
              </w:rPr>
              <w:t xml:space="preserve"> de los recursos de inversión del anticipo para sufragar el costo de las pólizas de garantía no resulta procedente. Dichos recursos están destinados exclusivamente a financiar actividades directamente relacionadas con la ejecución del objeto contractual, mientras que las pólizas constituyen un requis</w:t>
            </w:r>
            <w:r>
              <w:rPr>
                <w:rFonts w:ascii="Verdana" w:eastAsia="Calibri" w:hAnsi="Verdana" w:cs="Arial"/>
              </w:rPr>
              <w:t xml:space="preserve">ito previo para el inicio de ejecución </w:t>
            </w:r>
            <w:r w:rsidRPr="00037B78">
              <w:rPr>
                <w:rFonts w:ascii="Verdana" w:eastAsia="Calibri" w:hAnsi="Verdana" w:cs="Arial"/>
              </w:rPr>
              <w:t xml:space="preserve">del contrato </w:t>
            </w:r>
            <w:r>
              <w:rPr>
                <w:rFonts w:ascii="Verdana" w:eastAsia="Calibri" w:hAnsi="Verdana" w:cs="Arial"/>
              </w:rPr>
              <w:t xml:space="preserve">como lo dispone el artículo 41 de la Ley 80 de 1993, </w:t>
            </w:r>
            <w:r w:rsidRPr="00037B78">
              <w:rPr>
                <w:rFonts w:ascii="Verdana" w:eastAsia="Calibri" w:hAnsi="Verdana" w:cs="Arial"/>
              </w:rPr>
              <w:t>y, por tanto, no pueden cons</w:t>
            </w:r>
            <w:r>
              <w:rPr>
                <w:rFonts w:ascii="Verdana" w:eastAsia="Calibri" w:hAnsi="Verdana" w:cs="Arial"/>
              </w:rPr>
              <w:t>iderarse parte de la inversión. En este contexto, se precisa que l</w:t>
            </w:r>
            <w:r w:rsidRPr="00037B78">
              <w:rPr>
                <w:rFonts w:ascii="Verdana" w:eastAsia="Calibri" w:hAnsi="Verdana" w:cs="Arial"/>
              </w:rPr>
              <w:t>as pólizas de garantía tienen como finalidad asegurar el cumplimiento de las obligaciones contractuales y proteger a la entidad contratante frente a posibles incumplimientos. En consecuencia, deben estar constituidas antes de la entrega del anticipo, lo que evidencia que su costo no guarda relación directa con la ejecución técnica del contrato, sino con la etapa de aseguramiento y formalización.</w:t>
            </w:r>
          </w:p>
          <w:p w14:paraId="5E6D4F8C" w14:textId="77777777" w:rsidR="002C73CC" w:rsidRDefault="002C73CC" w:rsidP="00E51FD1">
            <w:pPr>
              <w:spacing w:before="120" w:after="120" w:line="276" w:lineRule="auto"/>
              <w:ind w:firstLine="709"/>
              <w:jc w:val="both"/>
              <w:rPr>
                <w:rFonts w:ascii="Verdana" w:eastAsia="Calibri" w:hAnsi="Verdana" w:cs="Arial"/>
              </w:rPr>
            </w:pPr>
            <w:r w:rsidRPr="00037B78">
              <w:rPr>
                <w:rFonts w:ascii="Verdana" w:eastAsia="Calibri" w:hAnsi="Verdana" w:cs="Arial"/>
              </w:rPr>
              <w:t>Desde una perspectiva práctica, el contratista está obligado a asumir el costo de las pólizas con recursos propios. Esto garantiza que los recursos públicos entregados como anticipo se destinen exclusivamente a la ejecución d</w:t>
            </w:r>
            <w:r>
              <w:rPr>
                <w:rFonts w:ascii="Verdana" w:eastAsia="Calibri" w:hAnsi="Verdana" w:cs="Arial"/>
              </w:rPr>
              <w:t xml:space="preserve">el objeto contractual y que los amparos exigidos dentro de las garantías </w:t>
            </w:r>
            <w:r w:rsidRPr="00037B78">
              <w:rPr>
                <w:rFonts w:ascii="Verdana" w:eastAsia="Calibri" w:hAnsi="Verdana" w:cs="Arial"/>
              </w:rPr>
              <w:t>se encuentren vigentes desde el inicio de la relación contractual, brindando seguridad jurídica y financiera a la entidad.</w:t>
            </w:r>
          </w:p>
          <w:p w14:paraId="229193FD" w14:textId="77777777" w:rsidR="002C73CC" w:rsidRPr="00204A1B" w:rsidRDefault="002C73CC" w:rsidP="00E51FD1">
            <w:pPr>
              <w:spacing w:line="276" w:lineRule="auto"/>
              <w:ind w:firstLine="709"/>
              <w:jc w:val="both"/>
              <w:rPr>
                <w:rFonts w:ascii="Verdana" w:hAnsi="Verdana" w:cs="Arial"/>
                <w:lang w:val="es-ES" w:eastAsia="es-ES"/>
              </w:rPr>
            </w:pPr>
            <w:r w:rsidRPr="00B17041">
              <w:rPr>
                <w:rFonts w:ascii="Verdana" w:hAnsi="Verdana" w:cs="Arial"/>
                <w:lang w:val="es-ES" w:eastAsia="es-ES"/>
              </w:rPr>
              <w:lastRenderedPageBreak/>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w:t>
            </w:r>
            <w:r>
              <w:rPr>
                <w:rFonts w:ascii="Verdana" w:hAnsi="Verdana" w:cs="Arial"/>
                <w:lang w:val="es-ES" w:eastAsia="es-ES"/>
              </w:rPr>
              <w:t>ciente validar sus actuaciones.</w:t>
            </w:r>
          </w:p>
        </w:tc>
      </w:tr>
    </w:tbl>
    <w:p w14:paraId="4DF0157C" w14:textId="77777777" w:rsidR="002C73CC" w:rsidRPr="00B57A1B" w:rsidRDefault="002C73CC" w:rsidP="002C73CC">
      <w:pPr>
        <w:spacing w:after="0" w:line="276" w:lineRule="auto"/>
        <w:jc w:val="both"/>
        <w:rPr>
          <w:rFonts w:ascii="Verdana" w:eastAsia="Calibri" w:hAnsi="Verdana" w:cs="Arial"/>
          <w:bCs/>
          <w:color w:val="000000" w:themeColor="text1"/>
        </w:rPr>
      </w:pPr>
    </w:p>
    <w:p w14:paraId="0E751B5A" w14:textId="77777777" w:rsidR="002C73CC" w:rsidRPr="00B57A1B" w:rsidRDefault="002C73CC" w:rsidP="002C73CC">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3DA7155A" w14:textId="77777777" w:rsidR="002C73CC" w:rsidRPr="00B57A1B" w:rsidRDefault="002C73CC" w:rsidP="002C73CC">
      <w:pPr>
        <w:spacing w:after="0" w:line="256" w:lineRule="auto"/>
        <w:rPr>
          <w:rFonts w:ascii="Verdana" w:eastAsia="Calibri" w:hAnsi="Verdana" w:cs="Times New Roman"/>
          <w:b/>
          <w:bCs/>
          <w:lang w:val="es-ES"/>
        </w:rPr>
      </w:pPr>
    </w:p>
    <w:p w14:paraId="4DEAE660" w14:textId="77777777" w:rsidR="002C73CC" w:rsidRPr="00E9090B" w:rsidRDefault="002C73CC" w:rsidP="002C73CC">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4794D20F" w14:textId="77777777" w:rsidR="002C73CC" w:rsidRPr="00E9090B" w:rsidRDefault="002C73CC" w:rsidP="002C73CC">
      <w:pPr>
        <w:spacing w:after="0" w:line="276" w:lineRule="auto"/>
        <w:jc w:val="both"/>
        <w:rPr>
          <w:rFonts w:ascii="Verdana" w:hAnsi="Verdana" w:cs="Arial"/>
          <w:bCs/>
          <w:lang w:val="es-ES" w:eastAsia="es-ES" w:bidi="es-ES"/>
        </w:rPr>
      </w:pPr>
    </w:p>
    <w:p w14:paraId="334B537B" w14:textId="77777777" w:rsidR="002C73CC" w:rsidRPr="00E9090B" w:rsidRDefault="002C73CC" w:rsidP="002C73CC">
      <w:pPr>
        <w:snapToGrid w:val="0"/>
        <w:spacing w:after="120" w:line="276" w:lineRule="auto"/>
        <w:jc w:val="both"/>
        <w:rPr>
          <w:rFonts w:ascii="Verdana" w:eastAsia="Calibri" w:hAnsi="Verdana" w:cs="Arial"/>
          <w:lang w:val="es-ES"/>
        </w:rPr>
      </w:pPr>
      <w:r w:rsidRPr="00E9090B">
        <w:rPr>
          <w:rFonts w:ascii="Verdana" w:eastAsia="Calibri" w:hAnsi="Verdana" w:cs="Arial"/>
          <w:lang w:val="es-ES"/>
        </w:rPr>
        <w:t xml:space="preserve">i. 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“En los contratos que celebren las entidades estatales se podrá pactar el pago anticipado y la entrega de anticipos, pero su 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6BCE5AD7" w14:textId="77777777" w:rsidR="002C73CC" w:rsidRPr="00E9090B" w:rsidRDefault="002C73CC" w:rsidP="002C73CC">
      <w:pPr>
        <w:spacing w:before="120" w:after="120" w:line="276" w:lineRule="auto"/>
        <w:ind w:firstLine="709"/>
        <w:jc w:val="both"/>
        <w:rPr>
          <w:rFonts w:ascii="Verdana" w:eastAsia="Calibri" w:hAnsi="Verdana" w:cs="Arial"/>
          <w:sz w:val="21"/>
          <w:szCs w:val="21"/>
          <w:lang w:val="es-ES"/>
        </w:rPr>
      </w:pPr>
      <w:r w:rsidRPr="00E9090B">
        <w:rPr>
          <w:rFonts w:ascii="Verdana" w:eastAsia="Calibri" w:hAnsi="Verdana" w:cs="Arial"/>
          <w:lang w:val="es-ES"/>
        </w:rPr>
        <w:t>Un aspecto que se destaca de dicha disposición consiste en que no restringe el tipo de contratos estatales en los cuales es aplicable esa facultad, es decir, por ejemplo, no limita la posibilidad de pactar anticipo o pago anticipado en contratos de tracto sucesivo o en contratos de ejecución instantánea, o dependiendo de la tipología contractual o la modalidad de selección del contratista. Ahora bien, para distinguir o diferenciar el pago anticipado y anticipo, se acude a lo expresado en la Subsección C de la Sección Tercera del Consejo de Estado, que expresó:</w:t>
      </w:r>
    </w:p>
    <w:p w14:paraId="667FDD0B" w14:textId="77777777" w:rsidR="002C73CC" w:rsidRPr="00E9090B" w:rsidRDefault="002C73CC" w:rsidP="002C73CC">
      <w:pPr>
        <w:spacing w:after="0" w:line="240" w:lineRule="auto"/>
        <w:ind w:firstLine="709"/>
        <w:jc w:val="both"/>
        <w:rPr>
          <w:rFonts w:ascii="Arial" w:eastAsia="Calibri" w:hAnsi="Arial" w:cs="Arial"/>
          <w:lang w:val="es-ES"/>
        </w:rPr>
      </w:pPr>
    </w:p>
    <w:p w14:paraId="524FE169" w14:textId="77777777" w:rsidR="002C73CC" w:rsidRPr="00EB6668" w:rsidRDefault="002C73CC" w:rsidP="002C73CC">
      <w:pPr>
        <w:spacing w:after="0" w:line="240" w:lineRule="auto"/>
        <w:ind w:left="709" w:right="709"/>
        <w:jc w:val="both"/>
        <w:rPr>
          <w:rFonts w:ascii="Verdana" w:eastAsia="Calibri" w:hAnsi="Verdana" w:cs="Arial"/>
          <w:sz w:val="20"/>
          <w:szCs w:val="20"/>
          <w:lang w:val="es-ES"/>
        </w:rPr>
      </w:pPr>
      <w:r w:rsidRPr="00EB6668">
        <w:rPr>
          <w:rFonts w:ascii="Verdana" w:eastAsia="Calibri" w:hAnsi="Verdana" w:cs="Arial"/>
          <w:sz w:val="20"/>
          <w:szCs w:val="20"/>
          <w:lang w:val="es-ES"/>
        </w:rPr>
        <w:t xml:space="preserve">“En este punto, vuelve a ser útil la distinción que esta Corporación ha desarrollado en torno a los conceptos de “anticipo” y “pago anticipado”, </w:t>
      </w:r>
      <w:r w:rsidRPr="00EB6668">
        <w:rPr>
          <w:rFonts w:ascii="Verdana" w:eastAsia="Calibri" w:hAnsi="Verdana" w:cs="Arial"/>
          <w:sz w:val="20"/>
          <w:szCs w:val="20"/>
          <w:lang w:val="es-ES"/>
        </w:rPr>
        <w:lastRenderedPageBreak/>
        <w:t>donde el principal criterio de diferenciación es la titularidad de esas sumas de dinero en términos patrimoniales, es decir, mientras el anticipo le pertenece a la administración, ello es, son dineros públicos; el pago anticipado representa el cumplimiento de la obligación de pago del precio del contrato por parte de la administración, o sea, son dineros de propiedad del contratista”</w:t>
      </w:r>
      <w:r w:rsidRPr="00EB6668">
        <w:rPr>
          <w:rFonts w:ascii="Verdana" w:eastAsia="Calibri" w:hAnsi="Verdana" w:cs="Arial"/>
          <w:sz w:val="20"/>
          <w:szCs w:val="20"/>
          <w:vertAlign w:val="superscript"/>
          <w:lang w:val="es-ES"/>
        </w:rPr>
        <w:footnoteReference w:id="1"/>
      </w:r>
      <w:r w:rsidRPr="00EB6668">
        <w:rPr>
          <w:rFonts w:ascii="Verdana" w:eastAsia="Calibri" w:hAnsi="Verdana" w:cs="Arial"/>
          <w:sz w:val="20"/>
          <w:szCs w:val="20"/>
          <w:lang w:val="es-ES"/>
        </w:rPr>
        <w:t>.</w:t>
      </w:r>
    </w:p>
    <w:p w14:paraId="5D8760FE" w14:textId="77777777" w:rsidR="002C73CC" w:rsidRPr="00E9090B" w:rsidRDefault="002C73CC" w:rsidP="002C73CC">
      <w:pPr>
        <w:spacing w:after="0" w:line="276" w:lineRule="auto"/>
        <w:ind w:firstLine="709"/>
        <w:jc w:val="both"/>
        <w:rPr>
          <w:rFonts w:ascii="Arial" w:eastAsia="Calibri" w:hAnsi="Arial" w:cs="Arial"/>
          <w:lang w:val="es-ES"/>
        </w:rPr>
      </w:pPr>
    </w:p>
    <w:p w14:paraId="2DA0E709" w14:textId="77777777" w:rsidR="002C73CC" w:rsidRPr="00E9090B" w:rsidRDefault="002C73CC" w:rsidP="002C73CC">
      <w:pPr>
        <w:tabs>
          <w:tab w:val="left" w:pos="0"/>
        </w:tabs>
        <w:spacing w:after="120" w:line="276" w:lineRule="auto"/>
        <w:jc w:val="both"/>
        <w:rPr>
          <w:rFonts w:ascii="Verdana" w:hAnsi="Verdana" w:cs="Arial"/>
        </w:rPr>
      </w:pPr>
      <w:r w:rsidRPr="00E9090B">
        <w:rPr>
          <w:rFonts w:ascii="Verdana" w:eastAsia="Calibri" w:hAnsi="Verdana" w:cs="Arial"/>
          <w:lang w:val="es-ES"/>
        </w:rPr>
        <w:tab/>
        <w:t>Teniendo en cuenta el alcance de los conceptos de pago anticipado y el anticipo, los mismos pueden ser definidos así: i) El pago anticipado es un pago efectivo del precio que se efectúa y se causa en forma anticipada. Por tanto, los recursos se integran al patrimonio del contratista desde su desembolso. ii) 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w:t>
      </w:r>
      <w:r w:rsidRPr="00E9090B">
        <w:rPr>
          <w:rFonts w:ascii="Verdana" w:hAnsi="Verdana" w:cs="Arial"/>
          <w:lang w:bidi="es-ES"/>
        </w:rPr>
        <w:t xml:space="preserve"> Al respecto, frente a estas dos instituciones expresa, la Sección Cuarta de Consejo de Estado, citando a la Sección Tercera: “El anticipo es el primer pago de los contratos de ejecución sucesiva que habrá de destinarse al cubrimiento de los costos iniciales, mientras que el pago anticipado corresponde a la retribución parcial que el contratista recibe en los contratos de ejecución sucesiva”</w:t>
      </w:r>
      <w:r w:rsidRPr="00E9090B">
        <w:rPr>
          <w:rFonts w:ascii="Verdana" w:hAnsi="Verdana" w:cs="Arial"/>
          <w:vertAlign w:val="superscript"/>
          <w:lang w:bidi="es-ES"/>
        </w:rPr>
        <w:footnoteReference w:id="2"/>
      </w:r>
      <w:r w:rsidRPr="00E9090B">
        <w:rPr>
          <w:rFonts w:ascii="Verdana" w:hAnsi="Verdana" w:cs="Arial"/>
          <w:lang w:bidi="es-ES"/>
        </w:rPr>
        <w:t>.</w:t>
      </w:r>
    </w:p>
    <w:p w14:paraId="10CC1A4A" w14:textId="77777777" w:rsidR="002C73CC" w:rsidRPr="00E9090B" w:rsidRDefault="002C73CC" w:rsidP="002C73CC">
      <w:pPr>
        <w:spacing w:after="0" w:line="276" w:lineRule="auto"/>
        <w:ind w:firstLine="709"/>
        <w:jc w:val="both"/>
        <w:rPr>
          <w:rFonts w:ascii="Verdana" w:hAnsi="Verdana" w:cs="Arial"/>
        </w:rPr>
      </w:pPr>
      <w:r w:rsidRPr="00E9090B">
        <w:rPr>
          <w:rFonts w:ascii="Verdana" w:hAnsi="Verdana" w:cs="Arial"/>
          <w:lang w:eastAsia="en-GB"/>
        </w:rPr>
        <w:t>Para entender un poco más sobre sus diferencias, se precisa que la institución jurídica del anticipo está prevista en dos (2) preceptos normativos: el</w:t>
      </w:r>
      <w:r w:rsidRPr="00E9090B">
        <w:rPr>
          <w:rFonts w:ascii="Verdana" w:hAnsi="Verdana" w:cs="Arial"/>
        </w:rPr>
        <w:t xml:space="preserve"> inciso primero del parágrafo del artículo 40 de la Ley 80 de 1993 que establece un límite cuantitativo y en el artículo 91 de la Ley 1474 de 2011. Este último artículo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r w:rsidRPr="00E9090B">
        <w:rPr>
          <w:rFonts w:ascii="Verdana" w:hAnsi="Verdana"/>
        </w:rPr>
        <w:t xml:space="preserve"> </w:t>
      </w:r>
      <w:r w:rsidRPr="00E9090B">
        <w:rPr>
          <w:rFonts w:ascii="Verdana" w:hAnsi="Verdana" w:cs="Arial"/>
        </w:rPr>
        <w:t xml:space="preserve">Aunque las normas citadas no definen el anticipo, el Consejo de Estado ha precisado su naturaleza jurídica </w:t>
      </w:r>
      <w:r w:rsidRPr="00E9090B">
        <w:rPr>
          <w:rFonts w:ascii="Verdana" w:hAnsi="Verdana" w:cs="Arial"/>
        </w:rPr>
        <w:lastRenderedPageBreak/>
        <w:t>fijando parámetros para su aplicación</w:t>
      </w:r>
      <w:r w:rsidRPr="00E9090B">
        <w:rPr>
          <w:vertAlign w:val="superscript"/>
        </w:rPr>
        <w:footnoteReference w:id="3"/>
      </w:r>
      <w:r w:rsidRPr="00E9090B">
        <w:rPr>
          <w:rFonts w:ascii="Verdana" w:hAnsi="Verdana" w:cs="Arial"/>
        </w:rPr>
        <w:t>. En uno de sus pronunciamientos, el Consejo de Estado se refirió al anticipo como:</w:t>
      </w:r>
    </w:p>
    <w:p w14:paraId="01195072" w14:textId="77777777" w:rsidR="002C73CC" w:rsidRPr="00E9090B" w:rsidRDefault="002C73CC" w:rsidP="002C73CC">
      <w:pPr>
        <w:spacing w:after="0" w:line="276" w:lineRule="auto"/>
        <w:jc w:val="both"/>
        <w:rPr>
          <w:rFonts w:ascii="Verdana" w:hAnsi="Verdana" w:cs="Arial"/>
        </w:rPr>
      </w:pPr>
    </w:p>
    <w:p w14:paraId="432FC46F" w14:textId="77777777" w:rsidR="002C73CC" w:rsidRPr="00EB6668" w:rsidRDefault="002C73CC" w:rsidP="002C73CC">
      <w:pPr>
        <w:spacing w:after="0" w:line="240" w:lineRule="auto"/>
        <w:ind w:left="709" w:right="709"/>
        <w:jc w:val="both"/>
        <w:rPr>
          <w:rFonts w:ascii="Verdana" w:hAnsi="Verdana" w:cs="Arial"/>
          <w:sz w:val="20"/>
          <w:szCs w:val="20"/>
        </w:rPr>
      </w:pPr>
      <w:r w:rsidRPr="00EB6668">
        <w:rPr>
          <w:rFonts w:ascii="Verdana" w:hAnsi="Verdana" w:cs="Arial"/>
          <w:sz w:val="20"/>
          <w:szCs w:val="20"/>
        </w:rPr>
        <w:t>“[…] 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EB6668">
        <w:rPr>
          <w:sz w:val="20"/>
          <w:szCs w:val="20"/>
          <w:vertAlign w:val="superscript"/>
        </w:rPr>
        <w:footnoteReference w:id="4"/>
      </w:r>
      <w:r w:rsidRPr="00EB6668">
        <w:rPr>
          <w:rFonts w:ascii="Verdana" w:hAnsi="Verdana" w:cs="Arial"/>
          <w:sz w:val="20"/>
          <w:szCs w:val="20"/>
        </w:rPr>
        <w:t>.</w:t>
      </w:r>
    </w:p>
    <w:p w14:paraId="1A8FB7CF" w14:textId="77777777" w:rsidR="002C73CC" w:rsidRPr="00E9090B" w:rsidRDefault="002C73CC" w:rsidP="002C73CC">
      <w:pPr>
        <w:spacing w:after="0" w:line="240" w:lineRule="auto"/>
        <w:ind w:left="709" w:right="709"/>
        <w:jc w:val="both"/>
        <w:rPr>
          <w:rFonts w:ascii="Verdana" w:hAnsi="Verdana"/>
          <w:sz w:val="21"/>
          <w:szCs w:val="21"/>
        </w:rPr>
      </w:pPr>
    </w:p>
    <w:p w14:paraId="168B4B35" w14:textId="77777777" w:rsidR="002C73CC" w:rsidRPr="00E9090B" w:rsidRDefault="002C73CC" w:rsidP="002C73CC">
      <w:pPr>
        <w:tabs>
          <w:tab w:val="left" w:pos="0"/>
        </w:tabs>
        <w:spacing w:after="120" w:line="276" w:lineRule="auto"/>
        <w:jc w:val="both"/>
        <w:rPr>
          <w:rFonts w:ascii="Verdana" w:hAnsi="Verdana" w:cs="Arial"/>
        </w:rPr>
      </w:pPr>
      <w:r w:rsidRPr="00E9090B">
        <w:rPr>
          <w:rFonts w:ascii="Verdana" w:hAnsi="Verdana" w:cs="Arial"/>
        </w:rPr>
        <w:tab/>
        <w:t>Sobre la calidad de recurso público del anticipo, la jurisprudencia ha reiterado que “dicho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sidRPr="00E9090B">
        <w:rPr>
          <w:vertAlign w:val="superscript"/>
        </w:rPr>
        <w:footnoteReference w:id="5"/>
      </w:r>
      <w:r w:rsidRPr="00E9090B">
        <w:rPr>
          <w:rFonts w:ascii="Verdana" w:hAnsi="Verdana" w:cs="Arial"/>
        </w:rPr>
        <w:t>. Igualmente, explica que el anticipo, al facilitar al contratista la financiación de los bienes y servicios que se le han encargado, es un factor determinante para impulsar la ejecución del contrato</w:t>
      </w:r>
      <w:r w:rsidRPr="00E9090B">
        <w:rPr>
          <w:vertAlign w:val="superscript"/>
        </w:rPr>
        <w:footnoteReference w:id="6"/>
      </w:r>
      <w:r w:rsidRPr="00E9090B">
        <w:rPr>
          <w:rFonts w:ascii="Verdana" w:hAnsi="Verdana" w:cs="Arial"/>
        </w:rPr>
        <w:t>. Este también es el entendimiento de la doctrina, que ha considerado el anticipo como un dinero entregado al contratista que debe cancelarse mediante descuentos parciales, siendo una práctica común que permite impulsar la ejecución del contrato</w:t>
      </w:r>
      <w:r w:rsidRPr="00E9090B">
        <w:rPr>
          <w:vertAlign w:val="superscript"/>
        </w:rPr>
        <w:footnoteReference w:id="7"/>
      </w:r>
      <w:r w:rsidRPr="00E9090B">
        <w:rPr>
          <w:rFonts w:ascii="Verdana" w:hAnsi="Verdana" w:cs="Arial"/>
        </w:rPr>
        <w:t xml:space="preserve">. </w:t>
      </w:r>
    </w:p>
    <w:p w14:paraId="78D0DCE8" w14:textId="77777777" w:rsidR="002C73CC" w:rsidRPr="00E9090B" w:rsidRDefault="002C73CC" w:rsidP="002C73CC">
      <w:pPr>
        <w:tabs>
          <w:tab w:val="left" w:pos="0"/>
        </w:tabs>
        <w:spacing w:after="120" w:line="276" w:lineRule="auto"/>
        <w:jc w:val="both"/>
        <w:rPr>
          <w:rFonts w:ascii="Verdana" w:hAnsi="Verdana" w:cs="Arial"/>
        </w:rPr>
      </w:pPr>
      <w:r w:rsidRPr="00E9090B">
        <w:rPr>
          <w:rFonts w:ascii="Verdana" w:hAnsi="Verdana" w:cs="Arial"/>
        </w:rPr>
        <w:lastRenderedPageBreak/>
        <w:tab/>
        <w:t>Así, de acuerdo con las consideraciones de la jurisprudencia y la doctrina, el anticipo es aquella suma de dinero entregada al contratista con la finalidad de apalancarlo financieramente para solventar los costos de la ejecución del contrato. Este dinero debe amortizarse de acuerdo con el avance en la ejecución. De esta forma, los recursos entregados a título de anticipo son del erario, razón por la que debe garantizarse su buen manejo y correcta inversión.</w:t>
      </w:r>
      <w:r w:rsidRPr="00E9090B">
        <w:rPr>
          <w:rFonts w:ascii="Verdana" w:hAnsi="Verdana" w:cs="Times New Roman"/>
          <w:lang w:eastAsia="es-CO"/>
        </w:rPr>
        <w:t xml:space="preserve"> </w:t>
      </w:r>
    </w:p>
    <w:p w14:paraId="7FB7BA5F" w14:textId="77777777" w:rsidR="002C73CC" w:rsidRPr="00E9090B" w:rsidRDefault="002C73CC" w:rsidP="002C73CC">
      <w:pPr>
        <w:spacing w:after="120" w:line="276" w:lineRule="auto"/>
        <w:ind w:firstLine="708"/>
        <w:jc w:val="both"/>
        <w:rPr>
          <w:rFonts w:ascii="Verdana" w:hAnsi="Verdana" w:cs="Arial"/>
          <w:sz w:val="21"/>
          <w:szCs w:val="21"/>
        </w:rPr>
      </w:pPr>
      <w:r w:rsidRPr="00E9090B">
        <w:rPr>
          <w:rFonts w:ascii="Verdana" w:eastAsia="Calibri" w:hAnsi="Verdana" w:cs="Arial"/>
        </w:rPr>
        <w:t>Por otro lado, la institución jurídica del pago anticipado se concibe como la retribución parcial que el contratista recibe en los contratos estatales. Al respecto, la doctrina expresa:</w:t>
      </w:r>
      <w:r w:rsidRPr="00E9090B">
        <w:rPr>
          <w:rFonts w:ascii="ArialMT" w:hAnsi="ArialMT" w:cs="ArialMT"/>
          <w:sz w:val="18"/>
          <w:szCs w:val="18"/>
        </w:rPr>
        <w:t xml:space="preserve"> </w:t>
      </w:r>
      <w:r w:rsidRPr="00E9090B">
        <w:rPr>
          <w:rFonts w:ascii="Verdana" w:eastAsia="Calibri" w:hAnsi="Verdana" w:cs="Arial"/>
        </w:rPr>
        <w:t>“El pago anticipado sí hace parte del precio y su entrega comporta la extinción parcial de la obligación de remuneración a cargo de la entidad solo que de manera adelantada a la realización del contrato o como primer contado”</w:t>
      </w:r>
      <w:r w:rsidRPr="00E9090B">
        <w:rPr>
          <w:rFonts w:ascii="Verdana" w:eastAsia="Calibri" w:hAnsi="Verdana" w:cs="Arial"/>
          <w:vertAlign w:val="superscript"/>
        </w:rPr>
        <w:footnoteReference w:id="8"/>
      </w:r>
      <w:r w:rsidRPr="00E9090B">
        <w:rPr>
          <w:rFonts w:ascii="Verdana" w:eastAsia="Calibri" w:hAnsi="Verdana" w:cs="Arial"/>
        </w:rPr>
        <w:t xml:space="preserve">. En esta línea, el pago anticipado se entiende como una forma en que la Entidad entrega en forma anticipada un pago parcial, es decir, sale de la esfera de la entidad y entra al patrimonio del contratista, sin que tenga una destinación diferente a la que este lo use, en el marco de su libertad y autonomía. </w:t>
      </w:r>
    </w:p>
    <w:p w14:paraId="4675C5B9" w14:textId="77777777" w:rsidR="002C73CC" w:rsidRPr="00E9090B" w:rsidRDefault="002C73CC" w:rsidP="002C73CC">
      <w:pPr>
        <w:tabs>
          <w:tab w:val="left" w:pos="0"/>
        </w:tabs>
        <w:spacing w:after="120" w:line="276" w:lineRule="auto"/>
        <w:jc w:val="both"/>
        <w:rPr>
          <w:rFonts w:ascii="Verdana" w:hAnsi="Verdana" w:cs="Arial"/>
        </w:rPr>
      </w:pPr>
      <w:r w:rsidRPr="00E9090B">
        <w:rPr>
          <w:rFonts w:ascii="Verdana" w:hAnsi="Verdana" w:cs="Arial"/>
        </w:rPr>
        <w:tab/>
        <w:t xml:space="preserve">De lo expuesto, se infiere que entidades estatales tienen la facultad de pactar la entrega de anticipos o pagos anticipados en los contratos que celebren. Para ello, deberán realizar el estudio correspondiente, con el fin de determinar la conveniencia de otorgar recursos al contratista bajo dichas denominaciones. De este modo, las entidades podrán determinar las condiciones de entrega, el monto –que no podrá ser superior al cincuenta por ciento (50%) del valor del contrato–. En el caso del anticipo debe definirse el plazo de amortización, las condiciones necesarias para su exigibilidad, así como todas las obligaciones para su correcta inversión. </w:t>
      </w:r>
    </w:p>
    <w:p w14:paraId="2F2F23BF" w14:textId="77777777" w:rsidR="002C73CC" w:rsidRDefault="002C73CC" w:rsidP="002C73CC">
      <w:pPr>
        <w:spacing w:after="0" w:line="276" w:lineRule="auto"/>
        <w:ind w:firstLine="709"/>
        <w:jc w:val="both"/>
        <w:rPr>
          <w:rFonts w:ascii="Verdana" w:eastAsia="Arial" w:hAnsi="Verdana" w:cs="Arial"/>
          <w:lang w:val="es-ES" w:eastAsia="es-ES" w:bidi="es-ES"/>
        </w:rPr>
      </w:pPr>
      <w:r w:rsidRPr="00E9090B">
        <w:rPr>
          <w:rFonts w:ascii="Verdana" w:hAnsi="Verdana" w:cs="Arial"/>
        </w:rPr>
        <w:t xml:space="preserve">Del análisis realizado se infiere que los recursos entregados al contratista en calidad de anticipo son recursos públicos. Por tanto, corresponde a la entidad adoptar las medidas necesarias y razonables para asegurar la correcta inversión </w:t>
      </w:r>
      <w:r w:rsidRPr="00E9090B">
        <w:rPr>
          <w:rFonts w:ascii="Verdana" w:hAnsi="Verdana" w:cs="Arial"/>
        </w:rPr>
        <w:lastRenderedPageBreak/>
        <w:t>de los dineros entregados, las cuales deberán reflejarse en el contrato celebrado. En consecuencia, deben constituir la garantía única de cumplimiento e incluir el amparo de buen manejo y correcta inversión el anticipo previsto en el artículo 2.2.1.2.3.1.7 del Decreto 1082 de 2015. Este amparo establece tres circunstancias que deben ser objeto de cobertura: i) la no inversión del anticipo; ii) el uso indebido del anticipo; y iii) la apropiación indebida de los recursos recibidos en calidad de anticipo</w:t>
      </w:r>
      <w:r w:rsidRPr="00E9090B">
        <w:rPr>
          <w:vertAlign w:val="superscript"/>
        </w:rPr>
        <w:footnoteReference w:id="9"/>
      </w:r>
      <w:r w:rsidRPr="00E9090B">
        <w:rPr>
          <w:rFonts w:ascii="Verdana" w:hAnsi="Verdana" w:cs="Arial"/>
        </w:rPr>
        <w:t xml:space="preserve">. Por otro lado, frente al pago anticipado se constituye en un amparo </w:t>
      </w:r>
      <w:r w:rsidRPr="00E9090B">
        <w:rPr>
          <w:rFonts w:ascii="Verdana" w:eastAsia="Arial" w:hAnsi="Verdana" w:cs="Arial"/>
          <w:lang w:val="es-ES" w:eastAsia="es-ES" w:bidi="es-ES"/>
        </w:rPr>
        <w:t xml:space="preserve">de devolución del pago anticipado, que ampara los perjuicios sufridos por la entidad por la no devolución total o parcial del dinero que se entregó al contratista por pago anticipado. </w:t>
      </w:r>
    </w:p>
    <w:p w14:paraId="3E7B328D" w14:textId="77777777" w:rsidR="002C73CC" w:rsidRDefault="002C73CC" w:rsidP="002C73CC">
      <w:pPr>
        <w:spacing w:after="120" w:line="276" w:lineRule="auto"/>
        <w:jc w:val="both"/>
        <w:rPr>
          <w:rFonts w:ascii="Verdana" w:eastAsia="Arial" w:hAnsi="Verdana" w:cs="Arial"/>
          <w:lang w:val="es-ES" w:eastAsia="es-ES" w:bidi="es-ES"/>
        </w:rPr>
      </w:pPr>
    </w:p>
    <w:p w14:paraId="174F0EBC" w14:textId="77777777" w:rsidR="002C73CC" w:rsidRDefault="002C73CC" w:rsidP="002C73CC">
      <w:pPr>
        <w:tabs>
          <w:tab w:val="left" w:pos="0"/>
        </w:tabs>
        <w:spacing w:after="120" w:line="276" w:lineRule="auto"/>
        <w:jc w:val="both"/>
        <w:rPr>
          <w:rFonts w:ascii="Verdana" w:hAnsi="Verdana" w:cs="Times New Roman"/>
          <w:lang w:eastAsia="es-CO"/>
        </w:rPr>
      </w:pPr>
      <w:r>
        <w:rPr>
          <w:rFonts w:ascii="Verdana" w:eastAsia="Arial" w:hAnsi="Verdana" w:cs="Arial"/>
          <w:lang w:val="es-ES" w:eastAsia="es-ES" w:bidi="es-ES"/>
        </w:rPr>
        <w:t>ii. Como se detalló en las consideraciones anteriores</w:t>
      </w:r>
      <w:r w:rsidRPr="00E9090B">
        <w:rPr>
          <w:rFonts w:ascii="Verdana" w:hAnsi="Verdana" w:cs="Arial"/>
        </w:rPr>
        <w:t xml:space="preserve">, el anticipo es </w:t>
      </w:r>
      <w:r>
        <w:rPr>
          <w:rFonts w:ascii="Verdana" w:hAnsi="Verdana" w:cs="Arial"/>
        </w:rPr>
        <w:t xml:space="preserve">una institución, en la que, mediante una </w:t>
      </w:r>
      <w:r w:rsidRPr="00E9090B">
        <w:rPr>
          <w:rFonts w:ascii="Verdana" w:hAnsi="Verdana" w:cs="Arial"/>
        </w:rPr>
        <w:t>suma de dinero entregada al contratista</w:t>
      </w:r>
      <w:r>
        <w:rPr>
          <w:rFonts w:ascii="Verdana" w:hAnsi="Verdana" w:cs="Arial"/>
        </w:rPr>
        <w:t>, con el propósito</w:t>
      </w:r>
      <w:r w:rsidRPr="00E9090B">
        <w:rPr>
          <w:rFonts w:ascii="Verdana" w:hAnsi="Verdana" w:cs="Arial"/>
        </w:rPr>
        <w:t xml:space="preserve"> de apalancarlo financieramente para solventar los costos de la ejecución del contrato. Este dinero debe amortizarse de acuerdo con el avanc</w:t>
      </w:r>
      <w:r>
        <w:rPr>
          <w:rFonts w:ascii="Verdana" w:hAnsi="Verdana" w:cs="Arial"/>
        </w:rPr>
        <w:t>e en la ejecución. De esta manera, los recursos</w:t>
      </w:r>
      <w:r w:rsidRPr="00E9090B">
        <w:rPr>
          <w:rFonts w:ascii="Verdana" w:hAnsi="Verdana" w:cs="Arial"/>
        </w:rPr>
        <w:t xml:space="preserve"> a título de anticipo son </w:t>
      </w:r>
      <w:r>
        <w:rPr>
          <w:rFonts w:ascii="Verdana" w:hAnsi="Verdana" w:cs="Arial"/>
        </w:rPr>
        <w:t xml:space="preserve">entregados </w:t>
      </w:r>
      <w:r>
        <w:rPr>
          <w:rFonts w:ascii="Verdana" w:hAnsi="Verdana" w:cs="Arial"/>
        </w:rPr>
        <w:lastRenderedPageBreak/>
        <w:t>como un crédito a favor de la entidad contratante, el cual debe ser debidamente cancelado mediante descuentos a los valores cobrados por el pago del contrato</w:t>
      </w:r>
      <w:r w:rsidRPr="00E9090B">
        <w:rPr>
          <w:rFonts w:ascii="Verdana" w:hAnsi="Verdana" w:cs="Arial"/>
        </w:rPr>
        <w:t>.</w:t>
      </w:r>
      <w:r w:rsidRPr="00E9090B">
        <w:rPr>
          <w:rFonts w:ascii="Verdana" w:hAnsi="Verdana" w:cs="Times New Roman"/>
          <w:lang w:eastAsia="es-CO"/>
        </w:rPr>
        <w:t xml:space="preserve"> </w:t>
      </w:r>
    </w:p>
    <w:p w14:paraId="4EF50F06" w14:textId="77777777" w:rsidR="002C73CC" w:rsidRPr="008452AE" w:rsidRDefault="002C73CC" w:rsidP="002C73CC">
      <w:pPr>
        <w:spacing w:line="276" w:lineRule="auto"/>
        <w:jc w:val="both"/>
        <w:rPr>
          <w:rFonts w:ascii="Verdana" w:eastAsia="Calibri" w:hAnsi="Verdana" w:cs="Arial"/>
        </w:rPr>
      </w:pPr>
      <w:r>
        <w:rPr>
          <w:rFonts w:ascii="Verdana" w:hAnsi="Verdana" w:cs="Times New Roman"/>
          <w:lang w:eastAsia="es-CO"/>
        </w:rPr>
        <w:tab/>
        <w:t xml:space="preserve">En este aspecto, es importante cómo debe ser el uso adecuado de los recursos del anticipo. Para ello, hay que tener en cuenta, </w:t>
      </w:r>
      <w:r>
        <w:rPr>
          <w:rFonts w:ascii="Verdana" w:eastAsia="Calibri" w:hAnsi="Verdana" w:cs="Arial"/>
        </w:rPr>
        <w:t>e</w:t>
      </w:r>
      <w:r w:rsidRPr="008452AE">
        <w:rPr>
          <w:rFonts w:ascii="Verdana" w:eastAsia="Calibri" w:hAnsi="Verdana" w:cs="Arial"/>
        </w:rPr>
        <w:t xml:space="preserve">l citado artículo 91 de la Ley 1474 de 2011, </w:t>
      </w:r>
      <w:r>
        <w:rPr>
          <w:rFonts w:ascii="Verdana" w:eastAsia="Calibri" w:hAnsi="Verdana" w:cs="Arial"/>
        </w:rPr>
        <w:t>que dispone que algunos contratos existen una obligación de</w:t>
      </w:r>
      <w:r w:rsidRPr="008452AE">
        <w:rPr>
          <w:rFonts w:ascii="Verdana" w:eastAsia="Calibri" w:hAnsi="Verdana" w:cs="Arial"/>
        </w:rPr>
        <w:t xml:space="preserve">l contratista de constituir una fiducia mercantil para el manejo de los recursos entregados a título de anticipo. </w:t>
      </w:r>
      <w:r>
        <w:rPr>
          <w:rFonts w:ascii="Verdana" w:eastAsia="Calibri" w:hAnsi="Verdana" w:cs="Arial"/>
          <w:bCs/>
          <w:color w:val="000000" w:themeColor="text1"/>
          <w:lang w:val="es-ES_tradnl"/>
        </w:rPr>
        <w:t>Esta norma dispone</w:t>
      </w:r>
      <w:r w:rsidRPr="008452AE">
        <w:rPr>
          <w:rFonts w:ascii="Verdana" w:eastAsia="Calibri" w:hAnsi="Verdana" w:cs="Arial"/>
          <w:bCs/>
          <w:color w:val="000000" w:themeColor="text1"/>
          <w:lang w:val="es-ES_tradnl"/>
        </w:rPr>
        <w:t>: “</w:t>
      </w:r>
      <w:r w:rsidRPr="008452AE">
        <w:rPr>
          <w:rFonts w:ascii="Verdana" w:eastAsia="Calibri" w:hAnsi="Verdana" w:cs="Arial"/>
        </w:rPr>
        <w:t>En los contratos de obra, concesión, salud, o los que se realicen por licitación pública</w:t>
      </w:r>
      <w:r w:rsidRPr="008452AE">
        <w:rPr>
          <w:rFonts w:ascii="Verdana" w:eastAsia="Calibri" w:hAnsi="Verdana" w:cs="Arial"/>
          <w:i/>
          <w:iCs/>
        </w:rPr>
        <w:t>, el contratista deberá constituir una fiducia o un patrimonio autónomo irrevocable para el manejo de los recursos que reciba a título de anticipo, con el fin de garantizar que dichos recursos se apliquen exclusivamente a la ejecución del contrato correspondiente, salvo que el contrato sea de menor o mínima cuantía</w:t>
      </w:r>
      <w:r w:rsidRPr="008452AE">
        <w:rPr>
          <w:rFonts w:ascii="Verdana" w:eastAsia="Calibri" w:hAnsi="Verdana" w:cs="Arial"/>
        </w:rPr>
        <w:t>. El costo de la comisión fiduciaria será cubierto directamente por el contratista” (Énfasis fuera de texto).</w:t>
      </w:r>
    </w:p>
    <w:p w14:paraId="2A4E3305" w14:textId="77777777" w:rsidR="002C73CC" w:rsidRPr="008452AE" w:rsidRDefault="002C73CC" w:rsidP="002C73CC">
      <w:pPr>
        <w:spacing w:line="276" w:lineRule="auto"/>
        <w:ind w:firstLine="709"/>
        <w:jc w:val="both"/>
        <w:rPr>
          <w:rFonts w:ascii="Verdana" w:eastAsia="Calibri" w:hAnsi="Verdana" w:cs="Arial"/>
          <w:bCs/>
          <w:color w:val="000000" w:themeColor="text1"/>
          <w:lang w:val="es-ES_tradnl"/>
        </w:rPr>
      </w:pPr>
      <w:r w:rsidRPr="008452AE">
        <w:rPr>
          <w:rFonts w:ascii="Verdana" w:eastAsia="Calibri" w:hAnsi="Verdana" w:cs="Arial"/>
          <w:bCs/>
          <w:color w:val="000000" w:themeColor="text1"/>
          <w:lang w:val="es-ES_tradnl"/>
        </w:rPr>
        <w:t>En concordancia, el artículo 2.2.1.1.2.4.1 del Decreto 1082 de 2015 prescribe que, en los casos previstos en la ley, el contratista debe suscribir un contrato de fiducia mercantil para crear un patrimonio autónomo, con una sociedad fiduciaria autorizada para ese fin por la Superintendencia Financiera de Colombia, a la cual la Entidad Estatal debe entregar el valor del anticipo. Los recursos del patrimonio y sus rendimientos son autónomos, además de que se manejan de acuerdo con el contrato de fiducia mercantil. Adicionalmente, la norma señala que en el pliego de condiciones la entidad debe establecer los términos y condiciones de la administración del anticipo a través del patrimonio autónomo</w:t>
      </w:r>
      <w:r w:rsidRPr="008452AE">
        <w:rPr>
          <w:rFonts w:ascii="Verdana" w:eastAsia="Calibri" w:hAnsi="Verdana" w:cs="Arial"/>
          <w:bCs/>
          <w:color w:val="000000" w:themeColor="text1"/>
          <w:vertAlign w:val="superscript"/>
          <w:lang w:val="es-ES_tradnl"/>
        </w:rPr>
        <w:footnoteReference w:id="10"/>
      </w:r>
      <w:r w:rsidRPr="008452AE">
        <w:rPr>
          <w:rFonts w:ascii="Verdana" w:eastAsia="Calibri" w:hAnsi="Verdana" w:cs="Arial"/>
          <w:bCs/>
          <w:color w:val="000000" w:themeColor="text1"/>
          <w:lang w:val="es-ES_tradnl"/>
        </w:rPr>
        <w:t xml:space="preserve">. </w:t>
      </w:r>
    </w:p>
    <w:p w14:paraId="1508187E" w14:textId="77777777" w:rsidR="002C73CC" w:rsidRPr="008452AE" w:rsidRDefault="002C73CC" w:rsidP="002C73CC">
      <w:pPr>
        <w:spacing w:before="120" w:line="276" w:lineRule="auto"/>
        <w:ind w:firstLine="709"/>
        <w:jc w:val="both"/>
        <w:rPr>
          <w:rFonts w:ascii="Verdana" w:eastAsia="Calibri" w:hAnsi="Verdana" w:cs="Arial"/>
          <w:color w:val="000000" w:themeColor="text1"/>
          <w:lang w:val="es-ES"/>
        </w:rPr>
      </w:pPr>
      <w:r w:rsidRPr="008452AE">
        <w:rPr>
          <w:rFonts w:ascii="Verdana" w:eastAsia="Calibri" w:hAnsi="Verdana" w:cs="Arial"/>
          <w:color w:val="000000" w:themeColor="text1"/>
          <w:lang w:val="es-ES"/>
        </w:rPr>
        <w:t xml:space="preserve">Lo anterior surge como una medida para fortalecer los mecanismos de prevención, investigación y sanción de actos de corrupción y la efectividad del control de la gestión pública, en atención a la problemática identificada sobre el </w:t>
      </w:r>
      <w:r w:rsidRPr="008452AE">
        <w:rPr>
          <w:rFonts w:ascii="Verdana" w:eastAsia="Calibri" w:hAnsi="Verdana" w:cs="Arial"/>
          <w:color w:val="000000" w:themeColor="text1"/>
          <w:lang w:val="es-ES"/>
        </w:rPr>
        <w:lastRenderedPageBreak/>
        <w:t>incumplimiento de los contratistas de destinar los anticipos en la ejecución del contrato</w:t>
      </w:r>
      <w:r w:rsidRPr="008452AE">
        <w:rPr>
          <w:rFonts w:ascii="Verdana" w:eastAsia="Calibri" w:hAnsi="Verdana" w:cs="Arial"/>
          <w:color w:val="000000" w:themeColor="text1"/>
          <w:vertAlign w:val="superscript"/>
          <w:lang w:val="es-ES"/>
        </w:rPr>
        <w:footnoteReference w:id="11"/>
      </w:r>
      <w:r w:rsidRPr="008452AE">
        <w:rPr>
          <w:rFonts w:ascii="Verdana" w:eastAsia="Calibri" w:hAnsi="Verdana" w:cs="Arial"/>
          <w:color w:val="000000" w:themeColor="text1"/>
          <w:lang w:val="es-ES"/>
        </w:rPr>
        <w:t xml:space="preserve">. De esta manera, mediante estas disposiciones se busca realizar un seguimiento a la entrega de recursos que se otorgan en calidad de anticipo, a través de la constitución de una fiducia irrevocable. Esto con la finalidad de garantizar la adecuada inversión y administración de los recursos, así como su reintegro a la entidad estatal. </w:t>
      </w:r>
    </w:p>
    <w:p w14:paraId="72A04CCC" w14:textId="77777777" w:rsidR="002C73CC" w:rsidRPr="00C167F4" w:rsidRDefault="002C73CC" w:rsidP="002C73CC">
      <w:pPr>
        <w:spacing w:before="120" w:line="276" w:lineRule="auto"/>
        <w:ind w:firstLine="709"/>
        <w:jc w:val="both"/>
        <w:rPr>
          <w:rFonts w:ascii="Verdana" w:eastAsia="Calibri" w:hAnsi="Verdana" w:cs="Arial"/>
          <w:color w:val="000000" w:themeColor="text1"/>
        </w:rPr>
      </w:pPr>
      <w:r w:rsidRPr="008452AE">
        <w:rPr>
          <w:rFonts w:ascii="Verdana" w:eastAsia="Calibri" w:hAnsi="Verdana" w:cs="Arial"/>
          <w:bCs/>
          <w:color w:val="000000" w:themeColor="text1"/>
          <w:lang w:val="es-ES_tradnl"/>
        </w:rPr>
        <w:t xml:space="preserve">Sobre el particular, la Agencia Nacional de Contratación Pública – Colombia Compra Eficiente expidió la </w:t>
      </w:r>
      <w:r w:rsidRPr="008452AE">
        <w:rPr>
          <w:rFonts w:ascii="Verdana" w:eastAsia="Calibri" w:hAnsi="Verdana" w:cs="Arial"/>
          <w:color w:val="000000" w:themeColor="text1"/>
          <w:lang w:val="es-ES"/>
        </w:rPr>
        <w:t>“</w:t>
      </w:r>
      <w:r w:rsidRPr="008452AE">
        <w:rPr>
          <w:rFonts w:ascii="Verdana" w:eastAsia="Calibri" w:hAnsi="Verdana" w:cs="Arial"/>
          <w:bCs/>
          <w:color w:val="000000" w:themeColor="text1"/>
          <w:lang w:val="es-ES_tradnl"/>
        </w:rPr>
        <w:t>Guía para el manejo de anticipos mediante contrato de fiducia irrevocable</w:t>
      </w:r>
      <w:r w:rsidRPr="008452AE">
        <w:rPr>
          <w:rFonts w:ascii="Verdana" w:eastAsia="Calibri" w:hAnsi="Verdana" w:cs="Arial"/>
          <w:color w:val="000000" w:themeColor="text1"/>
          <w:lang w:val="es-ES"/>
        </w:rPr>
        <w:t>”</w:t>
      </w:r>
      <w:r w:rsidRPr="008452AE">
        <w:rPr>
          <w:rFonts w:ascii="Verdana" w:eastAsia="Calibri" w:hAnsi="Verdana" w:cs="Arial"/>
          <w:color w:val="000000" w:themeColor="text1"/>
          <w:vertAlign w:val="superscript"/>
          <w:lang w:val="es-ES"/>
        </w:rPr>
        <w:footnoteReference w:id="12"/>
      </w:r>
      <w:r w:rsidRPr="008452AE">
        <w:rPr>
          <w:rFonts w:ascii="Verdana" w:eastAsia="Calibri" w:hAnsi="Verdana" w:cs="Arial"/>
          <w:bCs/>
          <w:color w:val="000000" w:themeColor="text1"/>
          <w:lang w:val="es-ES_tradnl"/>
        </w:rPr>
        <w:t xml:space="preserve">. En esta se explica que </w:t>
      </w:r>
      <w:r w:rsidRPr="008452AE">
        <w:rPr>
          <w:rFonts w:ascii="Verdana" w:eastAsia="Calibri" w:hAnsi="Verdana" w:cs="Arial"/>
          <w:color w:val="000000" w:themeColor="text1"/>
          <w:lang w:val="es-ES"/>
        </w:rPr>
        <w:t xml:space="preserve">“[…] </w:t>
      </w:r>
      <w:r w:rsidRPr="008452AE">
        <w:rPr>
          <w:rFonts w:ascii="Verdana" w:eastAsia="Calibri" w:hAnsi="Verdana" w:cs="Arial"/>
          <w:bCs/>
          <w:color w:val="000000" w:themeColor="text1"/>
          <w:lang w:val="es-ES"/>
        </w:rPr>
        <w:t>e</w:t>
      </w:r>
      <w:r w:rsidRPr="008452AE">
        <w:rPr>
          <w:rFonts w:ascii="Verdana" w:eastAsia="Calibri" w:hAnsi="Verdana" w:cs="Arial"/>
          <w:bCs/>
          <w:color w:val="000000" w:themeColor="text1"/>
        </w:rPr>
        <w:t>l patrimonio autónomo para manejo de anticipos tiene como finalidad: (i) la correcta y adecuada inversión y administración del anticipo y, (ii) el reintegro de los recursos del anticipo a la Entidad Estatal cuando declara la caducidad, incumplimiento o terminación del contrato estatal o cuando se presenta la nulidad del contrato estatal</w:t>
      </w:r>
      <w:r w:rsidRPr="008452AE">
        <w:rPr>
          <w:rFonts w:ascii="Verdana" w:eastAsia="Calibri" w:hAnsi="Verdana" w:cs="Arial"/>
          <w:color w:val="000000" w:themeColor="text1"/>
          <w:lang w:val="es-ES"/>
        </w:rPr>
        <w:t>”</w:t>
      </w:r>
      <w:r>
        <w:rPr>
          <w:rStyle w:val="Refdenotaalpie"/>
          <w:rFonts w:ascii="Verdana" w:eastAsia="Calibri" w:hAnsi="Verdana" w:cs="Arial"/>
          <w:color w:val="000000" w:themeColor="text1"/>
          <w:lang w:val="es-ES"/>
        </w:rPr>
        <w:footnoteReference w:id="13"/>
      </w:r>
      <w:r w:rsidRPr="008452AE">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Dicha guía también expresa quienes son las partes del contrato de fiducia mercantil para la administración e inversión del anticipo: i) </w:t>
      </w:r>
      <w:r>
        <w:rPr>
          <w:rFonts w:ascii="Verdana" w:eastAsia="Calibri" w:hAnsi="Verdana" w:cs="Arial"/>
          <w:color w:val="000000" w:themeColor="text1"/>
        </w:rPr>
        <w:t>Fideicomitente, que</w:t>
      </w:r>
      <w:r w:rsidRPr="00C167F4">
        <w:rPr>
          <w:rFonts w:ascii="Verdana" w:eastAsia="Calibri" w:hAnsi="Verdana" w:cs="Arial"/>
          <w:color w:val="000000" w:themeColor="text1"/>
        </w:rPr>
        <w:t xml:space="preserve"> es el contratista, quien encomienda la gestión y administración de los recursos entregados por la Entidad Es</w:t>
      </w:r>
      <w:r>
        <w:rPr>
          <w:rFonts w:ascii="Verdana" w:eastAsia="Calibri" w:hAnsi="Verdana" w:cs="Arial"/>
          <w:color w:val="000000" w:themeColor="text1"/>
        </w:rPr>
        <w:t>tatal al patrimonio autónomo a título</w:t>
      </w:r>
      <w:r w:rsidRPr="00C167F4">
        <w:rPr>
          <w:rFonts w:ascii="Verdana" w:eastAsia="Calibri" w:hAnsi="Verdana" w:cs="Arial"/>
          <w:color w:val="000000" w:themeColor="text1"/>
        </w:rPr>
        <w:t xml:space="preserve"> de a</w:t>
      </w:r>
      <w:r>
        <w:rPr>
          <w:rFonts w:ascii="Verdana" w:eastAsia="Calibri" w:hAnsi="Verdana" w:cs="Arial"/>
          <w:color w:val="000000" w:themeColor="text1"/>
        </w:rPr>
        <w:t xml:space="preserve">nticipo en un contrato estatal; ii) </w:t>
      </w:r>
      <w:r w:rsidRPr="00C167F4">
        <w:rPr>
          <w:rFonts w:ascii="Verdana" w:eastAsia="Calibri" w:hAnsi="Verdana" w:cs="Arial"/>
          <w:color w:val="000000" w:themeColor="text1"/>
        </w:rPr>
        <w:t>Fiduc</w:t>
      </w:r>
      <w:r>
        <w:rPr>
          <w:rFonts w:ascii="Verdana" w:eastAsia="Calibri" w:hAnsi="Verdana" w:cs="Arial"/>
          <w:color w:val="000000" w:themeColor="text1"/>
        </w:rPr>
        <w:t>iaria o sociedad fiduciaria, son aquellas</w:t>
      </w:r>
      <w:r w:rsidRPr="00C167F4">
        <w:rPr>
          <w:rFonts w:ascii="Verdana" w:eastAsia="Calibri" w:hAnsi="Verdana" w:cs="Arial"/>
          <w:color w:val="000000" w:themeColor="text1"/>
        </w:rPr>
        <w:t xml:space="preserve"> sociedades fiduciarias autorizadas y vigiladas por la Superint</w:t>
      </w:r>
      <w:r>
        <w:rPr>
          <w:rFonts w:ascii="Verdana" w:eastAsia="Calibri" w:hAnsi="Verdana" w:cs="Arial"/>
          <w:color w:val="000000" w:themeColor="text1"/>
        </w:rPr>
        <w:t>endencia Financiera, que tienen la posibilidad de celebrar c</w:t>
      </w:r>
      <w:r w:rsidRPr="00C167F4">
        <w:rPr>
          <w:rFonts w:ascii="Verdana" w:eastAsia="Calibri" w:hAnsi="Verdana" w:cs="Arial"/>
          <w:color w:val="000000" w:themeColor="text1"/>
        </w:rPr>
        <w:t>ontratos d</w:t>
      </w:r>
      <w:r>
        <w:rPr>
          <w:rFonts w:ascii="Verdana" w:eastAsia="Calibri" w:hAnsi="Verdana" w:cs="Arial"/>
          <w:color w:val="000000" w:themeColor="text1"/>
        </w:rPr>
        <w:t>e fiducia mercantil irrevocable; iii) Be</w:t>
      </w:r>
      <w:r w:rsidRPr="00C167F4">
        <w:rPr>
          <w:rFonts w:ascii="Verdana" w:eastAsia="Calibri" w:hAnsi="Verdana" w:cs="Arial"/>
          <w:color w:val="000000" w:themeColor="text1"/>
        </w:rPr>
        <w:t xml:space="preserve">neficiario será el Fideicomitente, en cuyo nombre se efectúan pagos a terceros y se realizan giros a su favor por los excedentes que se generen al finalizar el contrato de fiducia, así como la Entidad Estatal, en los casos en que la fiduciaria deba transferirle los remanentes de los recursos del patrimonio autónomo, situación que se presenta cuando dicha Entidad comunica a la fiduciaria la terminación anticipada o unilateral del contrato estatal, o cuando se </w:t>
      </w:r>
      <w:r>
        <w:rPr>
          <w:rFonts w:ascii="Verdana" w:eastAsia="Calibri" w:hAnsi="Verdana" w:cs="Arial"/>
          <w:color w:val="000000" w:themeColor="text1"/>
        </w:rPr>
        <w:t>declare su caducidad o nulidad</w:t>
      </w:r>
      <w:r>
        <w:rPr>
          <w:rStyle w:val="Refdenotaalpie"/>
          <w:rFonts w:ascii="Verdana" w:eastAsia="Calibri" w:hAnsi="Verdana" w:cs="Arial"/>
          <w:color w:val="000000" w:themeColor="text1"/>
        </w:rPr>
        <w:footnoteReference w:id="14"/>
      </w:r>
      <w:r w:rsidRPr="00C167F4">
        <w:rPr>
          <w:rFonts w:ascii="Verdana" w:eastAsia="Calibri" w:hAnsi="Verdana" w:cs="Arial"/>
          <w:color w:val="000000" w:themeColor="text1"/>
        </w:rPr>
        <w:t>.</w:t>
      </w:r>
    </w:p>
    <w:p w14:paraId="0AAF22B4" w14:textId="77777777" w:rsidR="002C73CC" w:rsidRPr="00037B78" w:rsidRDefault="002C73CC" w:rsidP="002C73CC">
      <w:pPr>
        <w:spacing w:before="120" w:line="276" w:lineRule="auto"/>
        <w:ind w:firstLine="709"/>
        <w:jc w:val="both"/>
        <w:rPr>
          <w:rFonts w:ascii="Verdana" w:eastAsia="Calibri" w:hAnsi="Verdana" w:cs="Arial"/>
          <w:color w:val="000000" w:themeColor="text1"/>
          <w:lang w:val="es-ES"/>
        </w:rPr>
      </w:pPr>
      <w:r w:rsidRPr="008452AE">
        <w:rPr>
          <w:rFonts w:ascii="Verdana" w:eastAsia="Calibri" w:hAnsi="Verdana" w:cs="Arial"/>
          <w:color w:val="000000" w:themeColor="text1"/>
          <w:lang w:val="es-ES"/>
        </w:rPr>
        <w:t xml:space="preserve">Además, indica que, en los contratos de obra, concesión, salud y los que se realicen por licitación pública, siempre que no sean de menor o mínima </w:t>
      </w:r>
      <w:r w:rsidRPr="008452AE">
        <w:rPr>
          <w:rFonts w:ascii="Verdana" w:eastAsia="Calibri" w:hAnsi="Verdana" w:cs="Arial"/>
          <w:color w:val="000000" w:themeColor="text1"/>
          <w:lang w:val="es-ES"/>
        </w:rPr>
        <w:lastRenderedPageBreak/>
        <w:t>cuantía, el contratista debe constituir un contrato de fiducia mercantil irrevocable para el manejo de los recursos que recibe a título de anticipo. Igualmente, expone las condiciones para administrar los recursos del patrimonio autónomo, las obligaciones principales de la fiduciaria, el manejo d</w:t>
      </w:r>
      <w:r>
        <w:rPr>
          <w:rFonts w:ascii="Verdana" w:eastAsia="Calibri" w:hAnsi="Verdana" w:cs="Arial"/>
          <w:color w:val="000000" w:themeColor="text1"/>
          <w:lang w:val="es-ES"/>
        </w:rPr>
        <w:t xml:space="preserve">e los excedentes, entre otros. </w:t>
      </w:r>
      <w:r w:rsidRPr="008452AE">
        <w:rPr>
          <w:rFonts w:ascii="Verdana" w:eastAsia="Calibri" w:hAnsi="Verdana" w:cs="Arial"/>
          <w:bCs/>
          <w:color w:val="000000" w:themeColor="text1"/>
          <w:lang w:val="es-ES_tradnl"/>
        </w:rPr>
        <w:t xml:space="preserve">Es evidente entonces que para ciertos tipos de contratos la ley ha impuesto la obligación al contratista de constituir una fiducia o patrimonio autónomo irrevocable. Esta obligación tiene el propósito de asegurar el buen manejo de los recursos que se entreguen a título de anticipo, así como garantizar que estos sean destinados única y exclusivamente para </w:t>
      </w:r>
      <w:r w:rsidRPr="008452AE">
        <w:rPr>
          <w:rFonts w:ascii="Verdana" w:eastAsia="Calibri" w:hAnsi="Verdana" w:cs="Arial"/>
        </w:rPr>
        <w:t xml:space="preserve">solventar los costos iniciales de la ejecución, de acuerdo con las condiciones pactadas. </w:t>
      </w:r>
    </w:p>
    <w:p w14:paraId="7BD2F8C7" w14:textId="77777777" w:rsidR="002C73CC" w:rsidRPr="008452AE" w:rsidRDefault="002C73CC" w:rsidP="002C73CC">
      <w:pPr>
        <w:spacing w:before="120" w:line="276" w:lineRule="auto"/>
        <w:ind w:firstLine="709"/>
        <w:jc w:val="both"/>
        <w:rPr>
          <w:rFonts w:ascii="Verdana" w:eastAsia="Calibri" w:hAnsi="Verdana" w:cs="Arial"/>
        </w:rPr>
      </w:pPr>
      <w:r w:rsidRPr="008452AE">
        <w:rPr>
          <w:rFonts w:ascii="Verdana" w:eastAsia="Calibri" w:hAnsi="Verdana" w:cs="Arial"/>
        </w:rPr>
        <w:t xml:space="preserve">El artículo 91 de la Ley 1474 de 2011 determina el ámbito de aplicación, al enumerar los casos en los cuales es deber del contratista constituir un patrimonio autónomo o una fiducia para administrar los recursos del anticipo. Para tales efectos, se establecen los siguientes contratos: i) obra, ii) concesión, iii) salud y iv) los contratos derivados de un proceso de licitación pública. En ese orden, aunque la norma menciona la modalidad de selección como un criterio principal que determine su ámbito de aplicación, la expresión </w:t>
      </w:r>
      <w:r w:rsidRPr="008452AE">
        <w:rPr>
          <w:rFonts w:ascii="Verdana" w:eastAsia="Calibri" w:hAnsi="Verdana" w:cs="Arial"/>
          <w:color w:val="000000" w:themeColor="text1"/>
          <w:lang w:val="es-ES"/>
        </w:rPr>
        <w:t>“</w:t>
      </w:r>
      <w:r w:rsidRPr="008452AE">
        <w:rPr>
          <w:rFonts w:ascii="Verdana" w:eastAsia="Calibri" w:hAnsi="Verdana" w:cs="Arial"/>
        </w:rPr>
        <w:t>o los que se realicen por licitación pública</w:t>
      </w:r>
      <w:r w:rsidRPr="008452AE">
        <w:rPr>
          <w:rFonts w:ascii="Verdana" w:eastAsia="Calibri" w:hAnsi="Verdana" w:cs="Arial"/>
          <w:color w:val="000000" w:themeColor="text1"/>
          <w:lang w:val="es-ES"/>
        </w:rPr>
        <w:t xml:space="preserve">”, indica que, además de los objetos mencionados, también para estos contratos aplica el supuesto de hecho. </w:t>
      </w:r>
      <w:r w:rsidRPr="008452AE">
        <w:rPr>
          <w:rFonts w:ascii="Verdana" w:eastAsia="Calibri" w:hAnsi="Verdana" w:cs="Arial"/>
        </w:rPr>
        <w:t>En tal sentido, respecto a los contratos de obra, concesión y salud, así como en relación con los contratos derivados de licitación pública cualquiera que sea su tipología contractual, el contratista deberá obligatoriamente constituir una fiducia mercantil para el manejo de los recursos que se entreguen en calidad de anticipo. Se aclara que la constitución del patrimonio autónomo para el manejo del anticipo no releva a la entidad estatal de exigir la garantía de buen manejo y correcta inversión.</w:t>
      </w:r>
    </w:p>
    <w:p w14:paraId="679EDCA2" w14:textId="77777777" w:rsidR="002C73CC" w:rsidRDefault="002C73CC" w:rsidP="002C73CC">
      <w:pPr>
        <w:spacing w:before="120" w:after="0" w:line="276" w:lineRule="auto"/>
        <w:ind w:firstLine="709"/>
        <w:jc w:val="both"/>
        <w:rPr>
          <w:rFonts w:ascii="Verdana" w:eastAsia="Calibri" w:hAnsi="Verdana" w:cs="Arial"/>
        </w:rPr>
      </w:pPr>
      <w:r w:rsidRPr="008452AE">
        <w:rPr>
          <w:rFonts w:ascii="Verdana" w:eastAsia="Calibri" w:hAnsi="Verdana" w:cs="Arial"/>
        </w:rPr>
        <w:t xml:space="preserve">Es importante precisar que el artículo 91 de la Ley 1474 de 2011 excluye de su ámbito de aplicación a los contratos de obra, concesión y salud, siempre que estos sean adelantados mediante las modalidades de selección abreviada de menor cuantía y mínima cuantía. Sin embargo, cuando hay entrega de anticipo en estas modalidades de selección, la entidad estatal tiene la obligación de adoptar las medidas necesarias y razonables para asegurar el buen manejo y la correcta inversión del anticipo, entre las que se encuentra la constitución de una garantía como se explicó </w:t>
      </w:r>
      <w:r w:rsidRPr="008452AE">
        <w:rPr>
          <w:rFonts w:ascii="Verdana" w:eastAsia="Calibri" w:hAnsi="Verdana" w:cs="Arial"/>
          <w:i/>
          <w:iCs/>
        </w:rPr>
        <w:t>ut supra</w:t>
      </w:r>
      <w:r w:rsidRPr="008452AE">
        <w:rPr>
          <w:rFonts w:ascii="Verdana" w:eastAsia="Calibri" w:hAnsi="Verdana" w:cs="Arial"/>
        </w:rPr>
        <w:t>.</w:t>
      </w:r>
    </w:p>
    <w:p w14:paraId="548313E2" w14:textId="77777777" w:rsidR="002C73CC" w:rsidRDefault="002C73CC" w:rsidP="002C73CC">
      <w:pPr>
        <w:spacing w:before="120" w:after="0" w:line="276" w:lineRule="auto"/>
        <w:ind w:firstLine="709"/>
        <w:jc w:val="both"/>
        <w:rPr>
          <w:rFonts w:ascii="Verdana" w:eastAsia="Calibri" w:hAnsi="Verdana" w:cs="Arial"/>
        </w:rPr>
      </w:pPr>
      <w:r>
        <w:rPr>
          <w:rFonts w:ascii="Verdana" w:eastAsia="Calibri" w:hAnsi="Verdana" w:cs="Arial"/>
        </w:rPr>
        <w:lastRenderedPageBreak/>
        <w:t xml:space="preserve">Ahora bien, frente a la administración de los </w:t>
      </w:r>
      <w:r w:rsidRPr="00704572">
        <w:rPr>
          <w:rFonts w:ascii="Verdana" w:eastAsia="Calibri" w:hAnsi="Verdana" w:cs="Arial"/>
        </w:rPr>
        <w:t>recursos de inversión del anticipo para cubrir los salarios del personal técnico mínimo indispensable para la ejecución del contrato, tales como el Director del Proyecto, el Residente de Obra y los Profesionales de Apoyo</w:t>
      </w:r>
      <w:r>
        <w:rPr>
          <w:rFonts w:ascii="Verdana" w:eastAsia="Calibri" w:hAnsi="Verdana" w:cs="Arial"/>
        </w:rPr>
        <w:t xml:space="preserve">, se consideran válidos, </w:t>
      </w:r>
      <w:r w:rsidRPr="00704572">
        <w:rPr>
          <w:rFonts w:ascii="Verdana" w:eastAsia="Calibri" w:hAnsi="Verdana" w:cs="Arial"/>
        </w:rPr>
        <w:t>por lo que su financiación con el anticipo resulta coherente con la finalidad de este mec</w:t>
      </w:r>
      <w:r>
        <w:rPr>
          <w:rFonts w:ascii="Verdana" w:eastAsia="Calibri" w:hAnsi="Verdana" w:cs="Arial"/>
        </w:rPr>
        <w:t>anismo. En esta linea</w:t>
      </w:r>
      <w:r w:rsidRPr="00704572">
        <w:rPr>
          <w:rFonts w:ascii="Verdana" w:eastAsia="Calibri" w:hAnsi="Verdana" w:cs="Arial"/>
        </w:rPr>
        <w:t>, los pagos de personal directamente vinculado al desarrollo técnico del contrato se co</w:t>
      </w:r>
      <w:r>
        <w:rPr>
          <w:rFonts w:ascii="Verdana" w:eastAsia="Calibri" w:hAnsi="Verdana" w:cs="Arial"/>
        </w:rPr>
        <w:t>nsideran gastos de inversión válidos</w:t>
      </w:r>
      <w:r w:rsidRPr="00704572">
        <w:rPr>
          <w:rFonts w:ascii="Verdana" w:eastAsia="Calibri" w:hAnsi="Verdana" w:cs="Arial"/>
        </w:rPr>
        <w:t>, pues contribuyen de manera directa al cumplimiento de las obligaciones pactadas y a la materialización del objeto contractual.</w:t>
      </w:r>
      <w:r>
        <w:rPr>
          <w:rFonts w:ascii="Verdana" w:eastAsia="Calibri" w:hAnsi="Verdana" w:cs="Arial"/>
        </w:rPr>
        <w:t xml:space="preserve"> En torno a la procedencia de pagos, la doctrina expresa:</w:t>
      </w:r>
    </w:p>
    <w:p w14:paraId="439EA78F" w14:textId="77777777" w:rsidR="002C73CC" w:rsidRDefault="002C73CC" w:rsidP="002C73CC">
      <w:pPr>
        <w:spacing w:before="120" w:after="0" w:line="276" w:lineRule="auto"/>
        <w:ind w:firstLine="709"/>
        <w:jc w:val="both"/>
        <w:rPr>
          <w:rFonts w:ascii="Verdana" w:eastAsia="Calibri" w:hAnsi="Verdana" w:cs="Arial"/>
        </w:rPr>
      </w:pPr>
    </w:p>
    <w:p w14:paraId="388EE65A" w14:textId="77777777" w:rsidR="002C73CC" w:rsidRDefault="002C73CC" w:rsidP="002C73CC">
      <w:pPr>
        <w:spacing w:after="0" w:line="240" w:lineRule="auto"/>
        <w:ind w:left="709" w:right="709"/>
        <w:jc w:val="both"/>
        <w:rPr>
          <w:rFonts w:ascii="Verdana" w:hAnsi="Verdana" w:cs="Franklin Gothic Book"/>
          <w:color w:val="000000"/>
          <w:sz w:val="20"/>
          <w:szCs w:val="20"/>
        </w:rPr>
      </w:pPr>
      <w:r w:rsidRPr="00037B78">
        <w:rPr>
          <w:rFonts w:ascii="Verdana" w:hAnsi="Verdana" w:cs="Franklin Gothic Book"/>
          <w:color w:val="000000"/>
          <w:sz w:val="20"/>
          <w:szCs w:val="20"/>
        </w:rPr>
        <w:t>En cuanto a la obligación de efectuar pagos de acuerdo con las instrucciones del fideicomitente y con lo establecido en el plan de inversión del anticipo, la obligación de la fiduciaria es la de validar la instrucción recibida contra los soportes presentados, verificando que se cumplan las condiciones, es decir, si la orden de pago cumple con el visto bueno del interventor o supervisor designado y si el pago solicitado se encuentra en el plan de inversión del anticipo, la fiduciaria procederá a realizar el pago</w:t>
      </w:r>
      <w:r>
        <w:rPr>
          <w:rStyle w:val="Refdenotaalpie"/>
          <w:rFonts w:ascii="Verdana" w:hAnsi="Verdana" w:cs="Franklin Gothic Book"/>
          <w:color w:val="000000"/>
          <w:sz w:val="20"/>
          <w:szCs w:val="20"/>
        </w:rPr>
        <w:footnoteReference w:id="15"/>
      </w:r>
      <w:r w:rsidRPr="00037B78">
        <w:rPr>
          <w:rFonts w:ascii="Verdana" w:hAnsi="Verdana" w:cs="Franklin Gothic Book"/>
          <w:color w:val="000000"/>
          <w:sz w:val="20"/>
          <w:szCs w:val="20"/>
        </w:rPr>
        <w:t xml:space="preserve">. </w:t>
      </w:r>
    </w:p>
    <w:p w14:paraId="5D27D685" w14:textId="77777777" w:rsidR="002C73CC" w:rsidRPr="00EB6668" w:rsidRDefault="002C73CC" w:rsidP="002C73CC">
      <w:pPr>
        <w:spacing w:after="0" w:line="240" w:lineRule="auto"/>
        <w:ind w:left="709" w:right="709"/>
        <w:jc w:val="both"/>
        <w:rPr>
          <w:rFonts w:ascii="Verdana" w:hAnsi="Verdana" w:cs="Franklin Gothic Book"/>
          <w:color w:val="000000"/>
          <w:sz w:val="20"/>
          <w:szCs w:val="20"/>
        </w:rPr>
      </w:pPr>
    </w:p>
    <w:p w14:paraId="5C5DA5A0" w14:textId="77777777" w:rsidR="002C73CC" w:rsidRDefault="002C73CC" w:rsidP="002C73CC">
      <w:pPr>
        <w:spacing w:before="120" w:after="0" w:line="276" w:lineRule="auto"/>
        <w:ind w:firstLine="709"/>
        <w:jc w:val="both"/>
        <w:rPr>
          <w:rFonts w:ascii="Verdana" w:eastAsia="Calibri" w:hAnsi="Verdana" w:cs="Arial"/>
        </w:rPr>
      </w:pPr>
      <w:r w:rsidRPr="00704572">
        <w:rPr>
          <w:rFonts w:ascii="Verdana" w:eastAsia="Calibri" w:hAnsi="Verdana" w:cs="Arial"/>
        </w:rPr>
        <w:t>No obstante, par</w:t>
      </w:r>
      <w:r>
        <w:rPr>
          <w:rFonts w:ascii="Verdana" w:eastAsia="Calibri" w:hAnsi="Verdana" w:cs="Arial"/>
        </w:rPr>
        <w:t>a que proceda los anticipos</w:t>
      </w:r>
      <w:r w:rsidRPr="00704572">
        <w:rPr>
          <w:rFonts w:ascii="Verdana" w:eastAsia="Calibri" w:hAnsi="Verdana" w:cs="Arial"/>
        </w:rPr>
        <w:t>, los salarios deben estar expresamente previstos en el plan de inversión aprobado y contar con la debida justificación técnica que evidencie su necesidad en la ejecución del contrato. De esta manera, se asegura que los recursos del anticipo se utilicen de forma transparente y eficiente, en concordancia con la normativa vigente y con los objetivos del proyecto.</w:t>
      </w:r>
      <w:r>
        <w:rPr>
          <w:rFonts w:ascii="Verdana" w:eastAsia="Calibri" w:hAnsi="Verdana" w:cs="Arial"/>
        </w:rPr>
        <w:t xml:space="preserve"> </w:t>
      </w:r>
    </w:p>
    <w:p w14:paraId="0FA7C7E4" w14:textId="77777777" w:rsidR="002C73CC" w:rsidRDefault="002C73CC" w:rsidP="002C73CC">
      <w:pPr>
        <w:spacing w:before="120" w:after="0" w:line="276" w:lineRule="auto"/>
        <w:ind w:firstLine="709"/>
        <w:jc w:val="both"/>
        <w:rPr>
          <w:rFonts w:ascii="Verdana" w:eastAsia="Calibri" w:hAnsi="Verdana" w:cs="Arial"/>
          <w:lang w:val="es-ES"/>
        </w:rPr>
      </w:pPr>
      <w:r>
        <w:rPr>
          <w:rFonts w:ascii="Verdana" w:eastAsia="Calibri" w:hAnsi="Verdana" w:cs="Arial"/>
        </w:rPr>
        <w:t xml:space="preserve">En este asunto, cobra relevancia el deber legal de </w:t>
      </w:r>
      <w:r w:rsidRPr="00B90BEF">
        <w:rPr>
          <w:rFonts w:ascii="Verdana" w:eastAsia="Calibri" w:hAnsi="Verdana" w:cs="Arial"/>
          <w:lang w:val="es-ES"/>
        </w:rPr>
        <w:t xml:space="preserve">seguimiento de la ejecución del contrato, </w:t>
      </w:r>
      <w:r>
        <w:rPr>
          <w:rFonts w:ascii="Verdana" w:eastAsia="Calibri" w:hAnsi="Verdana" w:cs="Arial"/>
          <w:lang w:val="es-ES"/>
        </w:rPr>
        <w:t xml:space="preserve">que implica </w:t>
      </w:r>
      <w:r w:rsidRPr="00B90BEF">
        <w:rPr>
          <w:rFonts w:ascii="Verdana" w:eastAsia="Calibri" w:hAnsi="Verdana" w:cs="Arial"/>
          <w:lang w:val="es-ES"/>
        </w:rPr>
        <w:t xml:space="preserve">la dirección, control y vigilancia de su correcto cumplimiento, </w:t>
      </w:r>
      <w:r>
        <w:rPr>
          <w:rFonts w:ascii="Verdana" w:eastAsia="Calibri" w:hAnsi="Verdana" w:cs="Arial"/>
          <w:lang w:val="es-ES"/>
        </w:rPr>
        <w:t>la cual permita</w:t>
      </w:r>
      <w:r w:rsidRPr="00B90BEF">
        <w:rPr>
          <w:rFonts w:ascii="Verdana" w:eastAsia="Calibri" w:hAnsi="Verdana" w:cs="Arial"/>
          <w:lang w:val="es-ES"/>
        </w:rPr>
        <w:t xml:space="preserv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w:t>
      </w:r>
      <w:r w:rsidRPr="00B90BEF">
        <w:rPr>
          <w:rFonts w:ascii="Verdana" w:eastAsia="Calibri" w:hAnsi="Verdana" w:cs="Arial"/>
          <w:lang w:val="es-ES"/>
        </w:rPr>
        <w:lastRenderedPageBreak/>
        <w:t>estatales</w:t>
      </w:r>
      <w:r>
        <w:rPr>
          <w:rStyle w:val="Refdenotaalpie"/>
          <w:rFonts w:ascii="Verdana" w:eastAsia="Calibri" w:hAnsi="Verdana" w:cs="Arial"/>
          <w:lang w:val="es-ES"/>
        </w:rPr>
        <w:footnoteReference w:id="16"/>
      </w:r>
      <w:r w:rsidRPr="00B90BEF">
        <w:rPr>
          <w:rFonts w:ascii="Verdana" w:eastAsia="Calibri" w:hAnsi="Verdana" w:cs="Arial"/>
          <w:lang w:val="es-ES"/>
        </w:rPr>
        <w:t>. Esta obligación se predica, en principio, del jefe o representante legal de la entidad, por tener la responsabilidad de la dirección y manejo de la actividad contractual, pero también de los servidores públicos que intervienen en ella</w:t>
      </w:r>
      <w:r>
        <w:rPr>
          <w:rFonts w:ascii="Verdana" w:eastAsia="Calibri" w:hAnsi="Verdana" w:cs="Arial"/>
          <w:lang w:val="es-ES"/>
        </w:rPr>
        <w:t xml:space="preserve">, como es el caso de los supervisores. </w:t>
      </w:r>
    </w:p>
    <w:p w14:paraId="32AC245C" w14:textId="77777777" w:rsidR="002C73CC" w:rsidRPr="00B90BEF" w:rsidRDefault="002C73CC" w:rsidP="002C73CC">
      <w:pPr>
        <w:spacing w:before="120" w:after="0" w:line="276" w:lineRule="auto"/>
        <w:ind w:firstLine="709"/>
        <w:jc w:val="both"/>
        <w:rPr>
          <w:rFonts w:ascii="Verdana" w:eastAsia="Calibri" w:hAnsi="Verdana" w:cs="Arial"/>
          <w:lang w:val="es-ES"/>
        </w:rPr>
      </w:pPr>
      <w:r w:rsidRPr="008452AE">
        <w:rPr>
          <w:rFonts w:ascii="Verdana" w:eastAsia="Arial MT" w:hAnsi="Verdana" w:cs="Arial"/>
          <w:color w:val="000000" w:themeColor="text1"/>
          <w:spacing w:val="-1"/>
          <w:lang w:val="es-ES"/>
        </w:rPr>
        <w:t>En esta perspectiva,</w:t>
      </w:r>
      <w:r w:rsidRPr="008452AE">
        <w:rPr>
          <w:rFonts w:ascii="Verdana" w:eastAsia="Arial MT" w:hAnsi="Verdana" w:cs="Arial"/>
          <w:color w:val="000000" w:themeColor="text1"/>
          <w:lang w:val="es-ES"/>
        </w:rPr>
        <w:t xml:space="preserve"> </w:t>
      </w:r>
      <w:r>
        <w:rPr>
          <w:rFonts w:ascii="Verdana" w:eastAsia="Arial MT" w:hAnsi="Verdana" w:cs="Arial"/>
          <w:color w:val="000000" w:themeColor="text1"/>
          <w:lang w:val="es-ES"/>
        </w:rPr>
        <w:t>las entidades estatales pueden tomar</w:t>
      </w:r>
      <w:r w:rsidRPr="008452AE">
        <w:rPr>
          <w:rFonts w:ascii="Verdana" w:eastAsia="Arial MT" w:hAnsi="Verdana" w:cs="Arial"/>
          <w:color w:val="000000" w:themeColor="text1"/>
          <w:lang w:val="es-ES"/>
        </w:rPr>
        <w:t xml:space="preserve"> medidas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orientadas a la satisfacción de los fines de la contratación, dentro de las cuales, se encuentra la</w:t>
      </w:r>
      <w:r>
        <w:rPr>
          <w:rFonts w:ascii="Verdana" w:eastAsia="Arial MT" w:hAnsi="Verdana" w:cs="Arial"/>
          <w:color w:val="000000" w:themeColor="text1"/>
          <w:spacing w:val="-59"/>
          <w:lang w:val="es-ES"/>
        </w:rPr>
        <w:t xml:space="preserve">   --</w:t>
      </w:r>
      <w:r w:rsidRPr="008452AE">
        <w:rPr>
          <w:rFonts w:ascii="Verdana" w:eastAsia="Arial MT" w:hAnsi="Verdana" w:cs="Arial"/>
          <w:color w:val="000000" w:themeColor="text1"/>
          <w:lang w:val="es-ES"/>
        </w:rPr>
        <w:t>posibilidad de pactar y ejercer las cláusulas exorbitantes, la designación de una supervisión o la</w:t>
      </w:r>
      <w:r>
        <w:rPr>
          <w:rFonts w:ascii="Verdana" w:eastAsia="Arial MT" w:hAnsi="Verdana" w:cs="Arial"/>
          <w:color w:val="000000" w:themeColor="text1"/>
          <w:spacing w:val="-59"/>
          <w:lang w:val="es-ES"/>
        </w:rPr>
        <w:t xml:space="preserve"> </w:t>
      </w:r>
      <w:r>
        <w:rPr>
          <w:rFonts w:ascii="Verdana" w:eastAsia="Arial MT" w:hAnsi="Verdana" w:cs="Arial"/>
          <w:color w:val="000000" w:themeColor="text1"/>
          <w:lang w:val="es-ES"/>
        </w:rPr>
        <w:t xml:space="preserve">contratación </w:t>
      </w:r>
      <w:r w:rsidRPr="008452AE">
        <w:rPr>
          <w:rFonts w:ascii="Verdana" w:eastAsia="Arial MT" w:hAnsi="Verdana" w:cs="Arial"/>
          <w:color w:val="000000" w:themeColor="text1"/>
          <w:lang w:val="es-ES"/>
        </w:rPr>
        <w:t>de una interventoría</w:t>
      </w:r>
      <w:r>
        <w:rPr>
          <w:rFonts w:ascii="Verdana" w:eastAsia="Arial MT" w:hAnsi="Verdana" w:cs="Arial"/>
          <w:color w:val="000000" w:themeColor="text1"/>
          <w:lang w:val="es-ES"/>
        </w:rPr>
        <w:t>-</w:t>
      </w:r>
      <w:r w:rsidRPr="008452AE">
        <w:rPr>
          <w:rFonts w:ascii="Verdana" w:eastAsia="Arial MT" w:hAnsi="Verdana" w:cs="Arial"/>
          <w:color w:val="000000" w:themeColor="text1"/>
          <w:lang w:val="es-ES"/>
        </w:rPr>
        <w:t xml:space="preserve"> para vigilar la ejecución del contrato y la facultad de pactar e</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imponer multas, cláusula penal o hacer efectivas las garantías del contrato, previa declaratoria</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de incumplimiento de las obligaciones del contrato, en aras de lograr la satisfacción de las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necesidades de bienes, obras o servicios que se pretenden suplir con la celebración de los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contratos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estatales. Por lo tanto, la responsabilidad por el control y vigilancia de la ejecución del contrato está</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a cargo de la Entidad Estatal contratante y, en consecuencia, es esta quien debe supervisar los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contratos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mediante</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sus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funcionarios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o</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servidores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públicos,</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y</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únicamente</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puede</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contratar</w:t>
      </w:r>
      <w:r w:rsidRPr="008452AE">
        <w:rPr>
          <w:rFonts w:ascii="Verdana" w:eastAsia="Arial MT" w:hAnsi="Verdana" w:cs="Arial"/>
          <w:color w:val="000000" w:themeColor="text1"/>
          <w:spacing w:val="1"/>
          <w:lang w:val="es-ES"/>
        </w:rPr>
        <w:t xml:space="preserve"> </w:t>
      </w:r>
      <w:r w:rsidRPr="008452AE">
        <w:rPr>
          <w:rFonts w:ascii="Verdana" w:eastAsia="Arial MT" w:hAnsi="Verdana" w:cs="Arial"/>
          <w:color w:val="000000" w:themeColor="text1"/>
          <w:lang w:val="es-ES"/>
        </w:rPr>
        <w:t xml:space="preserve">personal en caso de necesitarlo como apoyo a su gestión en la supervisión. </w:t>
      </w:r>
    </w:p>
    <w:p w14:paraId="10FBAF8C" w14:textId="77777777" w:rsidR="002C73CC" w:rsidRPr="00037B78" w:rsidRDefault="002C73CC" w:rsidP="002C73CC">
      <w:pPr>
        <w:spacing w:before="120" w:after="0" w:line="276" w:lineRule="auto"/>
        <w:ind w:firstLine="709"/>
        <w:jc w:val="both"/>
        <w:rPr>
          <w:rFonts w:ascii="Verdana" w:eastAsia="Calibri" w:hAnsi="Verdana" w:cs="Arial"/>
        </w:rPr>
      </w:pPr>
      <w:r>
        <w:rPr>
          <w:rFonts w:ascii="Verdana" w:eastAsia="Calibri" w:hAnsi="Verdana" w:cs="Arial"/>
        </w:rPr>
        <w:t>En cuanto, al uso</w:t>
      </w:r>
      <w:r w:rsidRPr="00037B78">
        <w:rPr>
          <w:rFonts w:ascii="Verdana" w:eastAsia="Calibri" w:hAnsi="Verdana" w:cs="Arial"/>
        </w:rPr>
        <w:t xml:space="preserve"> de los recursos de inversión del anticipo para sufragar el costo de las pólizas de garantía no resulta procedente. Dichos recursos están destinados exclusivamente a financiar actividades directamente relacionadas con la ejecución del objeto contractual, mientras que las pólizas constituyen un requis</w:t>
      </w:r>
      <w:r>
        <w:rPr>
          <w:rFonts w:ascii="Verdana" w:eastAsia="Calibri" w:hAnsi="Verdana" w:cs="Arial"/>
        </w:rPr>
        <w:t xml:space="preserve">ito previo para el inicio de ejecución </w:t>
      </w:r>
      <w:r w:rsidRPr="00037B78">
        <w:rPr>
          <w:rFonts w:ascii="Verdana" w:eastAsia="Calibri" w:hAnsi="Verdana" w:cs="Arial"/>
        </w:rPr>
        <w:t xml:space="preserve">del contrato </w:t>
      </w:r>
      <w:r>
        <w:rPr>
          <w:rFonts w:ascii="Verdana" w:eastAsia="Calibri" w:hAnsi="Verdana" w:cs="Arial"/>
        </w:rPr>
        <w:t xml:space="preserve">como lo dispone el artículo 41 de la Ley 80 de 1993, </w:t>
      </w:r>
      <w:r w:rsidRPr="00037B78">
        <w:rPr>
          <w:rFonts w:ascii="Verdana" w:eastAsia="Calibri" w:hAnsi="Verdana" w:cs="Arial"/>
        </w:rPr>
        <w:t>y, por tanto, no pueden cons</w:t>
      </w:r>
      <w:r>
        <w:rPr>
          <w:rFonts w:ascii="Verdana" w:eastAsia="Calibri" w:hAnsi="Verdana" w:cs="Arial"/>
        </w:rPr>
        <w:t>iderarse parte de la inversión. En este contexto, se precisa que l</w:t>
      </w:r>
      <w:r w:rsidRPr="00037B78">
        <w:rPr>
          <w:rFonts w:ascii="Verdana" w:eastAsia="Calibri" w:hAnsi="Verdana" w:cs="Arial"/>
        </w:rPr>
        <w:t>as pólizas de garantía tienen como finalidad asegurar el cumplimiento de las obligaciones contractuales y proteger a la entidad contratante frente a posibles incumplimientos. En consecuencia, deben estar constituidas antes de la entrega del anticipo, lo que evidencia que su costo no guarda relación directa con la ejecución técnica del contrato, sino con la etapa de aseguramiento y formalización.</w:t>
      </w:r>
    </w:p>
    <w:p w14:paraId="228A4456" w14:textId="77777777" w:rsidR="002C73CC" w:rsidRPr="008452AE" w:rsidRDefault="002C73CC" w:rsidP="002C73CC">
      <w:pPr>
        <w:spacing w:before="120" w:after="0" w:line="276" w:lineRule="auto"/>
        <w:ind w:firstLine="709"/>
        <w:jc w:val="both"/>
        <w:rPr>
          <w:rFonts w:ascii="Verdana" w:eastAsia="Calibri" w:hAnsi="Verdana" w:cs="Arial"/>
        </w:rPr>
      </w:pPr>
      <w:r w:rsidRPr="00037B78">
        <w:rPr>
          <w:rFonts w:ascii="Verdana" w:eastAsia="Calibri" w:hAnsi="Verdana" w:cs="Arial"/>
        </w:rPr>
        <w:lastRenderedPageBreak/>
        <w:t>Desde una perspectiva práctica, el contratista está obligado a asumir el costo de las pólizas con recursos propios. Esto garantiza que los recursos públicos entregados como anticipo se destinen exclusivamente a la ejecución d</w:t>
      </w:r>
      <w:r>
        <w:rPr>
          <w:rFonts w:ascii="Verdana" w:eastAsia="Calibri" w:hAnsi="Verdana" w:cs="Arial"/>
        </w:rPr>
        <w:t xml:space="preserve">el objeto contractual y que los amparos exigidos dentro de las garantías </w:t>
      </w:r>
      <w:r w:rsidRPr="00037B78">
        <w:rPr>
          <w:rFonts w:ascii="Verdana" w:eastAsia="Calibri" w:hAnsi="Verdana" w:cs="Arial"/>
        </w:rPr>
        <w:t>se encuentren vigentes desde el inicio de la relación contractual, brindando seguridad jurídica y financiera a la entidad.</w:t>
      </w:r>
    </w:p>
    <w:p w14:paraId="2D6C4CBE" w14:textId="77777777" w:rsidR="002C73CC" w:rsidRDefault="002C73CC" w:rsidP="002C73CC">
      <w:pPr>
        <w:spacing w:after="0" w:line="276" w:lineRule="auto"/>
        <w:jc w:val="both"/>
        <w:rPr>
          <w:rFonts w:ascii="Verdana" w:eastAsia="Calibri" w:hAnsi="Verdana" w:cs="Arial"/>
          <w:color w:val="000000"/>
        </w:rPr>
      </w:pPr>
    </w:p>
    <w:p w14:paraId="2EC8E306" w14:textId="77777777" w:rsidR="002C73CC" w:rsidRPr="00B16AC6" w:rsidRDefault="002C73CC" w:rsidP="002C73CC">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iii.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los anticipos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BBA3A63" w14:textId="77777777" w:rsidR="002C73CC" w:rsidRPr="00B17041" w:rsidRDefault="002C73CC" w:rsidP="002C73CC">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25EE6AB" w14:textId="77777777" w:rsidR="002C73CC" w:rsidRPr="00AD6B46" w:rsidRDefault="002C73CC" w:rsidP="002C73CC">
      <w:pPr>
        <w:spacing w:after="0" w:line="276" w:lineRule="auto"/>
        <w:jc w:val="both"/>
        <w:rPr>
          <w:rFonts w:ascii="Verdana" w:eastAsia="Calibri" w:hAnsi="Verdana" w:cs="Arial"/>
          <w:lang w:eastAsia="es-ES_tradnl"/>
        </w:rPr>
      </w:pPr>
    </w:p>
    <w:p w14:paraId="6DC40DF4" w14:textId="77777777" w:rsidR="002C73CC" w:rsidRPr="00AD6B46" w:rsidRDefault="002C73CC" w:rsidP="002C73CC">
      <w:pPr>
        <w:numPr>
          <w:ilvl w:val="0"/>
          <w:numId w:val="16"/>
        </w:numPr>
        <w:spacing w:after="0" w:line="256" w:lineRule="auto"/>
        <w:rPr>
          <w:rFonts w:ascii="Verdana" w:eastAsia="Calibri" w:hAnsi="Verdana" w:cs="Times New Roman"/>
          <w:b/>
          <w:bCs/>
          <w:lang w:val="es-ES"/>
        </w:rPr>
      </w:pPr>
      <w:r w:rsidRPr="00AD6B46">
        <w:rPr>
          <w:rFonts w:ascii="Verdana" w:eastAsia="Calibri" w:hAnsi="Verdana" w:cs="Times New Roman"/>
          <w:b/>
          <w:bCs/>
          <w:lang w:val="es-ES"/>
        </w:rPr>
        <w:t>Referencias normativas, jurisprudenciales y otras fuentes:</w:t>
      </w:r>
    </w:p>
    <w:p w14:paraId="15582FB2" w14:textId="77777777" w:rsidR="002C73CC" w:rsidRPr="003C5A95" w:rsidRDefault="002C73CC" w:rsidP="002C73CC">
      <w:pPr>
        <w:widowControl w:val="0"/>
        <w:autoSpaceDE w:val="0"/>
        <w:autoSpaceDN w:val="0"/>
        <w:spacing w:after="0" w:line="276" w:lineRule="auto"/>
        <w:jc w:val="both"/>
        <w:rPr>
          <w:rFonts w:ascii="Verdana" w:hAnsi="Verdana" w:cs="Arial"/>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C73CC" w:rsidRPr="00AD6B46" w14:paraId="3A2F8C12" w14:textId="77777777" w:rsidTr="00E51FD1">
        <w:trPr>
          <w:trHeight w:val="870"/>
          <w:jc w:val="center"/>
        </w:trPr>
        <w:tc>
          <w:tcPr>
            <w:tcW w:w="8647" w:type="dxa"/>
          </w:tcPr>
          <w:p w14:paraId="732A826C" w14:textId="77777777" w:rsidR="002C73CC" w:rsidRPr="00AD6B46" w:rsidRDefault="002C73CC" w:rsidP="00E51FD1">
            <w:pPr>
              <w:ind w:left="720"/>
              <w:contextualSpacing/>
              <w:rPr>
                <w:rFonts w:ascii="Verdana" w:hAnsi="Verdana" w:cs="Arial"/>
                <w:lang w:val="es-ES"/>
              </w:rPr>
            </w:pPr>
          </w:p>
          <w:p w14:paraId="40DA635E" w14:textId="77777777" w:rsidR="002C73CC" w:rsidRPr="00117544" w:rsidRDefault="002C73CC" w:rsidP="00E51FD1">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eastAsia="Calibri" w:hAnsi="Verdana" w:cs="Arial"/>
                <w:lang w:val="es-ES"/>
              </w:rPr>
              <w:t xml:space="preserve">Ley 80 de 1993, artículos 4, 5, 12, 14, </w:t>
            </w:r>
            <w:r w:rsidRPr="00B90BEF">
              <w:rPr>
                <w:rFonts w:ascii="Verdana" w:eastAsia="Calibri" w:hAnsi="Verdana" w:cs="Arial"/>
                <w:lang w:val="es-ES"/>
              </w:rPr>
              <w:t>26</w:t>
            </w:r>
            <w:r>
              <w:rPr>
                <w:rFonts w:ascii="Verdana" w:eastAsia="Calibri" w:hAnsi="Verdana" w:cs="Arial"/>
                <w:lang w:val="es-ES"/>
              </w:rPr>
              <w:t xml:space="preserve"> y 40. </w:t>
            </w:r>
          </w:p>
          <w:p w14:paraId="1522E9FD" w14:textId="77777777" w:rsidR="002C73CC" w:rsidRPr="00117544" w:rsidRDefault="002C73CC" w:rsidP="00E51FD1">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eastAsia="Calibri" w:hAnsi="Verdana" w:cs="Arial"/>
                <w:lang w:val="es-ES"/>
              </w:rPr>
              <w:t xml:space="preserve">Ley 1474 de 2011, artículo 91. </w:t>
            </w:r>
          </w:p>
          <w:p w14:paraId="77774468" w14:textId="77777777" w:rsidR="002C73CC" w:rsidRPr="00445530" w:rsidRDefault="002C73CC" w:rsidP="00E51FD1">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rPr>
              <w:t>Decreto 1082 de 2015, artículos 2.2.1.2.3.1.7, 2.2.1.1.2.4.1</w:t>
            </w:r>
            <w:r>
              <w:rPr>
                <w:rFonts w:ascii="Verdana" w:hAnsi="Verdana" w:cs="Arial"/>
              </w:rPr>
              <w:t>.</w:t>
            </w:r>
          </w:p>
          <w:p w14:paraId="35883E25" w14:textId="77777777" w:rsidR="002C73CC" w:rsidRPr="00445530" w:rsidRDefault="002C73CC" w:rsidP="00E51FD1">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Consejo de Estado. Sección Tercera. Sentencia de 22 de junio de 2001. Exp. 13436, C.P. Ricardo Hoyos Duque</w:t>
            </w:r>
          </w:p>
          <w:p w14:paraId="46C4EEBA" w14:textId="77777777" w:rsidR="002C73CC" w:rsidRPr="00445530" w:rsidRDefault="002C73CC" w:rsidP="00E51FD1">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lastRenderedPageBreak/>
              <w:t>Consejo de Estado. Sección Cuarta. Sentencia del 23 de septiembre de 2013. Exp. 18.752. C.P. Jorge Octavio Ramírez Ramírez).</w:t>
            </w:r>
          </w:p>
          <w:p w14:paraId="0C0734E2" w14:textId="77777777" w:rsidR="002C73CC" w:rsidRPr="00445530" w:rsidRDefault="002C73CC" w:rsidP="00E51FD1">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Consejo de Estado. Sección Tercera. Subsección C. Sentencia del 29 de abril de 2015. Exp. 31.620. C.P. Olga Mélida Valle De De La Hoz (E).</w:t>
            </w:r>
          </w:p>
          <w:p w14:paraId="0B847761" w14:textId="77777777" w:rsidR="002C73CC" w:rsidRPr="00445530" w:rsidRDefault="002C73CC" w:rsidP="00E51FD1">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Consejo de Estado. Sección Tercera, Subsección C.  Sentencia del 27 de noviembre de 2017. Exp. 51.802</w:t>
            </w:r>
            <w:r>
              <w:rPr>
                <w:rFonts w:ascii="Verdana" w:hAnsi="Verdana" w:cs="Arial"/>
                <w:lang w:val="es-ES_tradnl"/>
              </w:rPr>
              <w:t>. M.P. Jaime Orlando Santofimio</w:t>
            </w:r>
            <w:r w:rsidRPr="00445530">
              <w:rPr>
                <w:rFonts w:ascii="Verdana" w:hAnsi="Verdana" w:cs="Arial"/>
                <w:lang w:val="es-ES_tradnl"/>
              </w:rPr>
              <w:t>.</w:t>
            </w:r>
          </w:p>
          <w:p w14:paraId="73E47D55" w14:textId="77777777" w:rsidR="002C73CC" w:rsidRPr="00445530" w:rsidRDefault="002C73CC" w:rsidP="00E51FD1">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 xml:space="preserve">Consejo de Estado. Sección Tercera – Subsección A. Sentencia del 16 de mayo de 2019. Exp 40102. C.P: María Adriana Marín </w:t>
            </w:r>
          </w:p>
          <w:p w14:paraId="1FA90F75" w14:textId="77777777" w:rsidR="002C73CC" w:rsidRPr="00445530" w:rsidRDefault="002C73CC" w:rsidP="00E51FD1">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 xml:space="preserve">Consejo de Estado. Sección Tercera, Subsección C. Sentencia del 2 de octubre del 2020. Exp. 63644. CP. Jaime Enrique Rodríguez Nava. </w:t>
            </w:r>
          </w:p>
          <w:p w14:paraId="33C2AC6F" w14:textId="77777777" w:rsidR="002C73CC" w:rsidRPr="00445530" w:rsidRDefault="002C73CC" w:rsidP="00E51FD1">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 xml:space="preserve">Agencia Nacional de Contratación Pública- Colombia Compra Eficiente. La Guía para el manejo de anticipos mediante contrato de fiducia irrevocable puede ser consultada en: </w:t>
            </w:r>
            <w:hyperlink r:id="rId13" w:history="1">
              <w:r w:rsidRPr="005A6ACD">
                <w:rPr>
                  <w:rStyle w:val="Hipervnculo"/>
                  <w:rFonts w:ascii="Verdana" w:hAnsi="Verdana" w:cs="Arial"/>
                  <w:lang w:val="es-ES_tradnl"/>
                </w:rPr>
                <w:t>https://www.colombiacompra.gov.co/wp-content/uploads/2024/08/2017-Guia-para-el-manejo-de-anticipos-mediante-contrato-de-fiducia-mercantil-irrevocable-G-MACFMI-01.pdf</w:t>
              </w:r>
            </w:hyperlink>
            <w:r>
              <w:rPr>
                <w:rFonts w:ascii="Verdana" w:hAnsi="Verdana" w:cs="Arial"/>
                <w:lang w:val="es-ES_tradnl"/>
              </w:rPr>
              <w:t xml:space="preserve">. </w:t>
            </w:r>
            <w:r w:rsidRPr="00445530">
              <w:rPr>
                <w:rFonts w:ascii="Verdana" w:hAnsi="Verdana" w:cs="Arial"/>
                <w:lang w:val="es-ES_tradnl"/>
              </w:rPr>
              <w:t xml:space="preserve"> </w:t>
            </w:r>
          </w:p>
          <w:p w14:paraId="4E5DE941" w14:textId="77777777" w:rsidR="002C73CC" w:rsidRPr="00445530" w:rsidRDefault="002C73CC" w:rsidP="00E51FD1">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DÁVILA VINUEZA, Luis Guillermo. Régimen jurídico de la contratación estatal. Bogotá: Legis, 2016.</w:t>
            </w:r>
          </w:p>
          <w:p w14:paraId="03CA2EAB" w14:textId="77777777" w:rsidR="002C73CC" w:rsidRPr="00445530" w:rsidRDefault="002C73CC" w:rsidP="00E51FD1">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MATALLANA CAMACHO, Ernesto. Manual de Contratación de la Administración Pública. Reforma de la Ley 80 de 1993. Bogotá: Universidad Externado de Colombia, 4 ed., 2015.</w:t>
            </w:r>
          </w:p>
          <w:p w14:paraId="7E6D179B" w14:textId="77777777" w:rsidR="002C73CC" w:rsidRPr="00AD6B46" w:rsidRDefault="002C73CC" w:rsidP="00E51FD1">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MÁRQUEZ VARGAS, Milena. La fiducia en el manejo de recursos de anticipos en los contratos estatales. Bogotá: Revista Derecho Privado - Universidad de los Andes, 2014, no 52.</w:t>
            </w:r>
          </w:p>
        </w:tc>
      </w:tr>
    </w:tbl>
    <w:p w14:paraId="4D1D64A2" w14:textId="77777777" w:rsidR="002C73CC" w:rsidRPr="00B57A1B" w:rsidRDefault="002C73CC" w:rsidP="002C73CC">
      <w:pPr>
        <w:widowControl w:val="0"/>
        <w:autoSpaceDE w:val="0"/>
        <w:autoSpaceDN w:val="0"/>
        <w:spacing w:after="0" w:line="276" w:lineRule="auto"/>
        <w:jc w:val="both"/>
        <w:rPr>
          <w:rFonts w:ascii="Verdana" w:hAnsi="Verdana" w:cs="Arial"/>
        </w:rPr>
      </w:pPr>
    </w:p>
    <w:p w14:paraId="7BAA6960" w14:textId="77777777" w:rsidR="002C73CC" w:rsidRPr="00B57A1B" w:rsidRDefault="002C73CC" w:rsidP="002C73CC">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53996F80" w14:textId="77777777" w:rsidR="002C73CC" w:rsidRPr="00B57A1B" w:rsidRDefault="002C73CC" w:rsidP="002C73CC">
      <w:pPr>
        <w:widowControl w:val="0"/>
        <w:autoSpaceDE w:val="0"/>
        <w:autoSpaceDN w:val="0"/>
        <w:spacing w:after="0" w:line="276" w:lineRule="auto"/>
        <w:jc w:val="both"/>
        <w:rPr>
          <w:rFonts w:ascii="Verdana" w:hAnsi="Verdana" w:cs="Arial"/>
        </w:rPr>
      </w:pPr>
    </w:p>
    <w:p w14:paraId="4057636E" w14:textId="77777777" w:rsidR="002C73CC" w:rsidRPr="00530A1F" w:rsidRDefault="002C73CC" w:rsidP="002C73CC">
      <w:pPr>
        <w:widowControl w:val="0"/>
        <w:autoSpaceDE w:val="0"/>
        <w:autoSpaceDN w:val="0"/>
        <w:spacing w:after="0" w:line="276" w:lineRule="auto"/>
        <w:jc w:val="both"/>
        <w:rPr>
          <w:rFonts w:ascii="Verdana" w:hAnsi="Verdana" w:cs="Arial"/>
          <w:bCs/>
          <w:shd w:val="clear" w:color="auto" w:fill="FFFFFF"/>
        </w:rPr>
      </w:pPr>
      <w:r w:rsidRPr="00392E13">
        <w:rPr>
          <w:rFonts w:ascii="Verdana" w:hAnsi="Verdana" w:cs="Arial"/>
          <w:bCs/>
          <w:shd w:val="clear" w:color="auto" w:fill="FFFFFF"/>
        </w:rPr>
        <w:t>La Agencia Nacional de Contratación Públi</w:t>
      </w:r>
      <w:r>
        <w:rPr>
          <w:rFonts w:ascii="Verdana" w:hAnsi="Verdana" w:cs="Arial"/>
          <w:bCs/>
          <w:shd w:val="clear" w:color="auto" w:fill="FFFFFF"/>
        </w:rPr>
        <w:t xml:space="preserve">ca – Colombia Compra Eficiente, en referencia al anticipo se han expedido los siguientes conceptos C-726 del 18 de julio de 2025, C-814 del 15 de julio de 2025, C-1228 del 7 de octubre de 2025, C- 1393 del 16 de octubre de 2025, entre otros. </w:t>
      </w:r>
      <w:r w:rsidRPr="00185EE9">
        <w:rPr>
          <w:rFonts w:ascii="Verdana" w:eastAsia="Calibri" w:hAnsi="Verdana" w:cs="Times New Roman"/>
        </w:rPr>
        <w:t xml:space="preserve">Estos y otros conceptos se </w:t>
      </w:r>
      <w:r w:rsidRPr="00185EE9">
        <w:rPr>
          <w:rFonts w:ascii="Verdana" w:eastAsia="Calibri" w:hAnsi="Verdana" w:cs="Times New Roman"/>
        </w:rPr>
        <w:lastRenderedPageBreak/>
        <w:t>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38E5C4F" w14:textId="77777777" w:rsidR="002C73CC" w:rsidRPr="00185EE9" w:rsidRDefault="00197609" w:rsidP="002C73CC">
      <w:pPr>
        <w:spacing w:after="0" w:line="256" w:lineRule="auto"/>
        <w:jc w:val="both"/>
        <w:rPr>
          <w:rFonts w:ascii="Verdana" w:eastAsia="Calibri" w:hAnsi="Verdana" w:cs="Times New Roman"/>
        </w:rPr>
      </w:pPr>
      <w:hyperlink r:id="rId14" w:history="1">
        <w:r w:rsidR="002C73CC" w:rsidRPr="00F14AAD">
          <w:rPr>
            <w:rStyle w:val="Hipervnculo"/>
            <w:rFonts w:ascii="Verdana" w:eastAsia="Calibri" w:hAnsi="Verdana" w:cs="Times New Roman"/>
            <w:lang w:val="es-ES"/>
          </w:rPr>
          <w:t>https://relatoria.colombiacompra.gov.co/busqueda/conceptos</w:t>
        </w:r>
      </w:hyperlink>
      <w:r w:rsidR="002C73CC" w:rsidRPr="00185EE9">
        <w:rPr>
          <w:rFonts w:ascii="Verdana" w:eastAsia="Calibri" w:hAnsi="Verdana" w:cs="Times New Roman"/>
        </w:rPr>
        <w:t xml:space="preserve">. </w:t>
      </w:r>
    </w:p>
    <w:p w14:paraId="37782B60" w14:textId="77777777" w:rsidR="002C73CC" w:rsidRPr="00B57A1B" w:rsidRDefault="002C73CC" w:rsidP="002C73CC">
      <w:pPr>
        <w:spacing w:after="0"/>
        <w:jc w:val="both"/>
        <w:rPr>
          <w:rFonts w:ascii="Verdana" w:hAnsi="Verdana"/>
        </w:rPr>
      </w:pPr>
    </w:p>
    <w:p w14:paraId="1824D247" w14:textId="77777777" w:rsidR="002C73CC" w:rsidRPr="00B57A1B" w:rsidRDefault="002C73CC" w:rsidP="002C73CC">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57A39D72" w14:textId="77777777" w:rsidR="002C73CC" w:rsidRPr="00B57A1B" w:rsidRDefault="002C73CC" w:rsidP="002C73CC">
      <w:pPr>
        <w:spacing w:after="0" w:line="240" w:lineRule="auto"/>
        <w:jc w:val="both"/>
        <w:rPr>
          <w:rFonts w:ascii="Verdana" w:hAnsi="Verdana"/>
        </w:rPr>
      </w:pPr>
    </w:p>
    <w:p w14:paraId="3ADC0C56" w14:textId="77777777" w:rsidR="002C73CC" w:rsidRPr="00B57A1B" w:rsidRDefault="002C73CC" w:rsidP="002C73CC">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6D204A1" w14:textId="77777777" w:rsidR="002C73CC" w:rsidRPr="00B57A1B" w:rsidRDefault="002C73CC" w:rsidP="002C73CC">
      <w:pPr>
        <w:spacing w:after="0" w:line="256" w:lineRule="auto"/>
        <w:jc w:val="both"/>
        <w:rPr>
          <w:rFonts w:ascii="Verdana" w:eastAsia="Calibri" w:hAnsi="Verdana" w:cs="Times New Roman"/>
        </w:rPr>
      </w:pPr>
    </w:p>
    <w:p w14:paraId="62084F9B" w14:textId="77777777" w:rsidR="002C73CC" w:rsidRDefault="002C73CC" w:rsidP="002C73CC">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73E2D335" w14:textId="77777777" w:rsidR="002C73CC" w:rsidRPr="00EA4124" w:rsidRDefault="002C73CC" w:rsidP="002C73CC">
      <w:pPr>
        <w:spacing w:after="0" w:line="256" w:lineRule="auto"/>
        <w:jc w:val="both"/>
        <w:rPr>
          <w:rFonts w:ascii="Verdana" w:eastAsia="Calibri" w:hAnsi="Verdana" w:cs="Times New Roman"/>
          <w:sz w:val="16"/>
          <w:szCs w:val="16"/>
        </w:rPr>
      </w:pPr>
    </w:p>
    <w:p w14:paraId="5FCD99A7" w14:textId="508EC77F" w:rsidR="002C73CC" w:rsidRDefault="003F4B36" w:rsidP="002C73CC">
      <w:pPr>
        <w:spacing w:after="0" w:line="256" w:lineRule="auto"/>
        <w:jc w:val="center"/>
        <w:rPr>
          <w:noProof/>
          <w:lang w:val="en-US"/>
        </w:rPr>
      </w:pPr>
      <w:r w:rsidRPr="002C3AD6">
        <w:rPr>
          <w:rFonts w:ascii="Century Gothic" w:hAnsi="Century Gothic"/>
          <w:noProof/>
          <w:lang w:val="en-US"/>
        </w:rPr>
        <w:drawing>
          <wp:inline distT="0" distB="0" distL="0" distR="0" wp14:anchorId="108832F9" wp14:editId="54183A25">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312722" cy="1229722"/>
                    </a:xfrm>
                    <a:prstGeom prst="rect">
                      <a:avLst/>
                    </a:prstGeom>
                  </pic:spPr>
                </pic:pic>
              </a:graphicData>
            </a:graphic>
          </wp:inline>
        </w:drawing>
      </w:r>
    </w:p>
    <w:p w14:paraId="6D8C902E" w14:textId="77777777" w:rsidR="002C73CC" w:rsidRPr="00881D12" w:rsidRDefault="002C73CC" w:rsidP="002C73CC">
      <w:pPr>
        <w:spacing w:after="0" w:line="256" w:lineRule="auto"/>
        <w:jc w:val="center"/>
        <w:rPr>
          <w:rFonts w:ascii="Verdana" w:eastAsia="Times New Roman" w:hAnsi="Verdana" w:cs="Arial"/>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2C73CC" w:rsidRPr="00B57A1B" w14:paraId="48BFDEF9" w14:textId="77777777" w:rsidTr="00E51FD1">
        <w:trPr>
          <w:trHeight w:val="409"/>
        </w:trPr>
        <w:tc>
          <w:tcPr>
            <w:tcW w:w="817" w:type="dxa"/>
            <w:tcBorders>
              <w:top w:val="nil"/>
              <w:left w:val="nil"/>
              <w:bottom w:val="nil"/>
              <w:right w:val="nil"/>
            </w:tcBorders>
            <w:vAlign w:val="center"/>
            <w:hideMark/>
          </w:tcPr>
          <w:p w14:paraId="44841FDC" w14:textId="77777777" w:rsidR="002C73CC" w:rsidRPr="00B57A1B" w:rsidRDefault="002C73CC" w:rsidP="00E51FD1">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BC70B2C" w14:textId="77777777" w:rsidR="002C73CC" w:rsidRPr="00B57A1B" w:rsidRDefault="002C73CC" w:rsidP="00E51FD1">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3E045F11" w14:textId="77777777" w:rsidR="002C73CC" w:rsidRPr="00B57A1B" w:rsidRDefault="002C73CC" w:rsidP="00E51FD1">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2C73CC" w:rsidRPr="00B57A1B" w14:paraId="46116B85" w14:textId="77777777" w:rsidTr="00E51FD1">
        <w:trPr>
          <w:trHeight w:val="409"/>
        </w:trPr>
        <w:tc>
          <w:tcPr>
            <w:tcW w:w="817" w:type="dxa"/>
            <w:tcBorders>
              <w:top w:val="nil"/>
              <w:left w:val="nil"/>
              <w:bottom w:val="nil"/>
              <w:right w:val="nil"/>
            </w:tcBorders>
            <w:vAlign w:val="center"/>
            <w:hideMark/>
          </w:tcPr>
          <w:p w14:paraId="03D9E175" w14:textId="77777777" w:rsidR="002C73CC" w:rsidRPr="00B57A1B" w:rsidRDefault="002C73CC" w:rsidP="00E51FD1">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8AB07AA" w14:textId="77777777" w:rsidR="002C73CC" w:rsidRPr="00B57A1B" w:rsidRDefault="002C73CC" w:rsidP="00E51FD1">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3451ED82" w14:textId="77777777" w:rsidR="002C73CC" w:rsidRPr="00B57A1B" w:rsidRDefault="002C73CC" w:rsidP="00E51FD1">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2C73CC" w:rsidRPr="00B57A1B" w14:paraId="591B6708" w14:textId="77777777" w:rsidTr="00E51FD1">
        <w:trPr>
          <w:trHeight w:val="389"/>
        </w:trPr>
        <w:tc>
          <w:tcPr>
            <w:tcW w:w="817" w:type="dxa"/>
            <w:tcBorders>
              <w:top w:val="nil"/>
              <w:left w:val="nil"/>
              <w:bottom w:val="nil"/>
              <w:right w:val="nil"/>
            </w:tcBorders>
            <w:vAlign w:val="center"/>
            <w:hideMark/>
          </w:tcPr>
          <w:p w14:paraId="2556983F" w14:textId="77777777" w:rsidR="002C73CC" w:rsidRPr="00B57A1B" w:rsidRDefault="002C73CC" w:rsidP="00E51FD1">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61B74F1" w14:textId="77777777" w:rsidR="002C73CC" w:rsidRPr="00B57A1B" w:rsidRDefault="002C73CC" w:rsidP="00E51FD1">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66620309" w14:textId="77777777" w:rsidR="002C73CC" w:rsidRPr="00B57A1B" w:rsidRDefault="002C73CC" w:rsidP="00E51FD1">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tbl>
    <w:p w14:paraId="0B4C73ED" w14:textId="77777777" w:rsidR="002C73CC" w:rsidRPr="0024624F" w:rsidRDefault="002C73CC" w:rsidP="003A7739">
      <w:pPr>
        <w:spacing w:after="0"/>
        <w:rPr>
          <w:rFonts w:ascii="Verdana" w:hAnsi="Verdana"/>
        </w:rPr>
      </w:pPr>
      <w:bookmarkStart w:id="1" w:name="_GoBack"/>
      <w:bookmarkEnd w:id="0"/>
      <w:bookmarkEnd w:id="1"/>
    </w:p>
    <w:sectPr w:rsidR="002C73CC" w:rsidRPr="0024624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C3799B" w14:textId="77777777" w:rsidR="00197609" w:rsidRDefault="00197609" w:rsidP="004A1847">
      <w:pPr>
        <w:spacing w:after="0" w:line="240" w:lineRule="auto"/>
      </w:pPr>
      <w:r>
        <w:separator/>
      </w:r>
    </w:p>
  </w:endnote>
  <w:endnote w:type="continuationSeparator" w:id="0">
    <w:p w14:paraId="1E05399E" w14:textId="77777777" w:rsidR="00197609" w:rsidRDefault="0019760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Vrinda">
    <w:panose1 w:val="00000400000000000000"/>
    <w:charset w:val="00"/>
    <w:family w:val="swiss"/>
    <w:pitch w:val="variable"/>
    <w:sig w:usb0="00010003" w:usb1="00000000" w:usb2="00000000" w:usb3="00000000" w:csb0="00000001" w:csb1="00000000"/>
  </w:font>
  <w:font w:name="ArialMT">
    <w:altName w:val="Klee One"/>
    <w:panose1 w:val="00000000000000000000"/>
    <w:charset w:val="00"/>
    <w:family w:val="auto"/>
    <w:notTrueType/>
    <w:pitch w:val="default"/>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8452AE" w:rsidRDefault="008452AE">
    <w:pPr>
      <w:pStyle w:val="Piedepgina"/>
    </w:pPr>
  </w:p>
  <w:p w14:paraId="594D6D9F" w14:textId="264ADDB1" w:rsidR="008452AE" w:rsidRPr="00174B77" w:rsidRDefault="008452AE"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3A7739" w:rsidRPr="003A7739">
      <w:rPr>
        <w:rFonts w:ascii="Verdana" w:eastAsiaTheme="minorEastAsia" w:hAnsi="Verdana"/>
        <w:b/>
        <w:bCs/>
        <w:noProof/>
        <w:sz w:val="16"/>
        <w:szCs w:val="16"/>
      </w:rPr>
      <w:t>20</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8452AE" w:rsidRDefault="008452AE"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8452AE" w:rsidRPr="00E41027" w:rsidRDefault="008452AE"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8452AE" w:rsidRDefault="008452AE"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AACC53" w14:textId="77777777" w:rsidR="00197609" w:rsidRDefault="00197609" w:rsidP="004A1847">
      <w:pPr>
        <w:spacing w:after="0" w:line="240" w:lineRule="auto"/>
      </w:pPr>
      <w:r>
        <w:separator/>
      </w:r>
    </w:p>
  </w:footnote>
  <w:footnote w:type="continuationSeparator" w:id="0">
    <w:p w14:paraId="66D12645" w14:textId="77777777" w:rsidR="00197609" w:rsidRDefault="00197609" w:rsidP="004A1847">
      <w:pPr>
        <w:spacing w:after="0" w:line="240" w:lineRule="auto"/>
      </w:pPr>
      <w:r>
        <w:continuationSeparator/>
      </w:r>
    </w:p>
  </w:footnote>
  <w:footnote w:id="1">
    <w:p w14:paraId="0B4502D1" w14:textId="77777777" w:rsidR="002C73CC" w:rsidRPr="003A7739" w:rsidRDefault="002C73CC" w:rsidP="002C73CC">
      <w:pPr>
        <w:pStyle w:val="Textonotapie"/>
        <w:ind w:firstLine="709"/>
        <w:jc w:val="both"/>
        <w:rPr>
          <w:rFonts w:ascii="Verdana" w:hAnsi="Verdana" w:cs="Vrinda"/>
          <w:sz w:val="16"/>
          <w:szCs w:val="16"/>
        </w:rPr>
      </w:pPr>
      <w:r w:rsidRPr="003A7739">
        <w:rPr>
          <w:rStyle w:val="Refdenotaalpie"/>
          <w:rFonts w:ascii="Verdana" w:hAnsi="Verdana" w:cs="Vrinda"/>
          <w:sz w:val="16"/>
          <w:szCs w:val="16"/>
        </w:rPr>
        <w:footnoteRef/>
      </w:r>
      <w:r w:rsidRPr="003A7739">
        <w:rPr>
          <w:rFonts w:ascii="Verdana" w:hAnsi="Verdana" w:cs="Vrinda"/>
          <w:sz w:val="16"/>
          <w:szCs w:val="16"/>
        </w:rPr>
        <w:t xml:space="preserve"> Consejo de Estado. Sección Tercera. Subsección C. Sentencia del 29 de abril de 2015. Exp. 31.620. C.P. Olga Mélida Valle De De La Hoz (E).</w:t>
      </w:r>
    </w:p>
  </w:footnote>
  <w:footnote w:id="2">
    <w:p w14:paraId="7189C099" w14:textId="77777777" w:rsidR="002C73CC" w:rsidRPr="003A7739" w:rsidRDefault="002C73CC" w:rsidP="002C73CC">
      <w:pPr>
        <w:pStyle w:val="Textonotapie"/>
        <w:ind w:firstLine="708"/>
        <w:jc w:val="both"/>
        <w:rPr>
          <w:rFonts w:ascii="Verdana" w:hAnsi="Verdana"/>
          <w:sz w:val="16"/>
          <w:szCs w:val="16"/>
          <w:lang w:val="es-ES"/>
        </w:rPr>
      </w:pPr>
      <w:r w:rsidRPr="003A7739">
        <w:rPr>
          <w:rStyle w:val="Refdenotaalpie"/>
          <w:rFonts w:ascii="Verdana" w:hAnsi="Verdana"/>
          <w:sz w:val="16"/>
          <w:szCs w:val="16"/>
        </w:rPr>
        <w:footnoteRef/>
      </w:r>
      <w:r w:rsidRPr="003A7739">
        <w:rPr>
          <w:rFonts w:ascii="Verdana" w:hAnsi="Verdana"/>
          <w:sz w:val="16"/>
          <w:szCs w:val="16"/>
        </w:rPr>
        <w:t xml:space="preserve"> </w:t>
      </w:r>
      <w:r w:rsidRPr="003A7739">
        <w:rPr>
          <w:rFonts w:ascii="Verdana" w:hAnsi="Verdana"/>
          <w:sz w:val="16"/>
          <w:szCs w:val="16"/>
          <w:lang w:val="es-ES" w:bidi="es-ES"/>
        </w:rPr>
        <w:t xml:space="preserve">(Cfr. Sección Tercera. Sentencia del 22 de junio de 2001. Radicado 13.436. </w:t>
      </w:r>
      <w:r w:rsidRPr="003A7739">
        <w:rPr>
          <w:rFonts w:ascii="Verdana" w:hAnsi="Verdana"/>
          <w:i/>
          <w:sz w:val="16"/>
          <w:szCs w:val="16"/>
          <w:lang w:val="es-ES" w:bidi="es-ES"/>
        </w:rPr>
        <w:t>Citada en</w:t>
      </w:r>
      <w:r w:rsidRPr="003A7739">
        <w:rPr>
          <w:rFonts w:ascii="Verdana" w:hAnsi="Verdana"/>
          <w:sz w:val="16"/>
          <w:szCs w:val="16"/>
          <w:lang w:val="es-ES" w:bidi="es-ES"/>
        </w:rPr>
        <w:t>: Sección Cuarta. Sentencia del 23 de septiembre de 2013. Radicado 18.752. C.P. Jorge Octavio Ramírez Ramírez).</w:t>
      </w:r>
    </w:p>
  </w:footnote>
  <w:footnote w:id="3">
    <w:p w14:paraId="4CAEA205" w14:textId="77777777" w:rsidR="002C73CC" w:rsidRPr="003A7739" w:rsidRDefault="002C73CC" w:rsidP="002C73CC">
      <w:pPr>
        <w:pStyle w:val="Textonotapie"/>
        <w:ind w:firstLine="709"/>
        <w:jc w:val="both"/>
        <w:rPr>
          <w:rFonts w:ascii="Verdana" w:hAnsi="Verdana"/>
          <w:color w:val="000000" w:themeColor="text1"/>
          <w:sz w:val="16"/>
          <w:szCs w:val="16"/>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 xml:space="preserve">“Ver, entre otros: Consejo de Estado. Sentencia del 8 de agosto de 2001. Rad. AC-10966 - AC-11274; y Sala de lo Contencioso Administrativo - Sección Tercera. Providencias del 13 de septiembre de 1999. Rad. 10607; del 13 de julio de 2000. Rad. 12513; del 10 de noviembre de 2000. Rad. 18709; del 22 de junio de 2001. Rad. 12136; del 11 de diciembre de 2003. Rad. 25000-23-26-000-1993-08696-01(13348); del 19 de agosto de 2004. Rad. 25000-23-26-000-1994-00114-01(14111)”. Citado en Consejo de Estado. Sección Tercera, Subsección A. Sentencia del 16 de mayo de 2019. Rad. (40102). C.P: María Adriana Marín [cita No. 35]. </w:t>
      </w:r>
    </w:p>
  </w:footnote>
  <w:footnote w:id="4">
    <w:p w14:paraId="628A7E25" w14:textId="77777777" w:rsidR="002C73CC" w:rsidRPr="003A7739" w:rsidRDefault="002C73CC" w:rsidP="002C73CC">
      <w:pPr>
        <w:pStyle w:val="Textonotapie"/>
        <w:ind w:firstLine="709"/>
        <w:jc w:val="both"/>
        <w:rPr>
          <w:rFonts w:ascii="Verdana" w:hAnsi="Verdana"/>
          <w:color w:val="000000" w:themeColor="text1"/>
          <w:sz w:val="16"/>
          <w:szCs w:val="16"/>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 xml:space="preserve"> Consejo de Estado. Sección Tercera, Subsección A. Sentencia del 16 de mayo de 2019. Exp 40102. C.P: María Adriana Marín</w:t>
      </w:r>
    </w:p>
  </w:footnote>
  <w:footnote w:id="5">
    <w:p w14:paraId="76163398" w14:textId="77777777" w:rsidR="002C73CC" w:rsidRPr="003A7739" w:rsidRDefault="002C73CC" w:rsidP="002C73CC">
      <w:pPr>
        <w:pStyle w:val="Textonotapie"/>
        <w:ind w:firstLine="709"/>
        <w:jc w:val="both"/>
        <w:rPr>
          <w:rFonts w:ascii="Verdana" w:hAnsi="Verdana"/>
          <w:color w:val="000000" w:themeColor="text1"/>
          <w:sz w:val="16"/>
          <w:szCs w:val="16"/>
          <w:lang w:val="es-CO"/>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 xml:space="preserve"> Consejo de Estado. Sección Tercera, Subsección C. Sentencia del 2 de octubre del 2020. Exp. 63644. CP. Jaime Enrique Rodríguez Nava. </w:t>
      </w:r>
    </w:p>
  </w:footnote>
  <w:footnote w:id="6">
    <w:p w14:paraId="4CC64C79" w14:textId="77777777" w:rsidR="002C73CC" w:rsidRPr="003A7739" w:rsidRDefault="002C73CC" w:rsidP="002C73CC">
      <w:pPr>
        <w:pStyle w:val="Textonotapie"/>
        <w:ind w:firstLine="709"/>
        <w:jc w:val="both"/>
        <w:rPr>
          <w:rFonts w:ascii="Verdana" w:hAnsi="Verdana"/>
          <w:color w:val="000000" w:themeColor="text1"/>
          <w:sz w:val="16"/>
          <w:szCs w:val="16"/>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 xml:space="preserve"> Consejo de Estado. Sección Tercera. Sentencia de 22 de junio de 2001. Exp. 13436, C.P. Ricardo Hoyos Duque</w:t>
      </w:r>
    </w:p>
  </w:footnote>
  <w:footnote w:id="7">
    <w:p w14:paraId="6E709A57" w14:textId="77777777" w:rsidR="002C73CC" w:rsidRPr="003A7739" w:rsidRDefault="002C73CC" w:rsidP="002C73CC">
      <w:pPr>
        <w:pStyle w:val="Textonotapie"/>
        <w:ind w:firstLine="709"/>
        <w:jc w:val="both"/>
        <w:rPr>
          <w:rFonts w:ascii="Verdana" w:hAnsi="Verdana"/>
          <w:color w:val="000000" w:themeColor="text1"/>
          <w:sz w:val="16"/>
          <w:szCs w:val="16"/>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sidRPr="003A7739">
        <w:rPr>
          <w:rFonts w:ascii="Verdana" w:eastAsia="Calibri" w:hAnsi="Verdana"/>
          <w:color w:val="000000" w:themeColor="text1"/>
          <w:sz w:val="16"/>
          <w:szCs w:val="16"/>
        </w:rPr>
        <w:t>” (</w:t>
      </w:r>
      <w:r w:rsidRPr="003A7739">
        <w:rPr>
          <w:rFonts w:ascii="Verdana" w:hAnsi="Verdana"/>
          <w:color w:val="000000" w:themeColor="text1"/>
          <w:sz w:val="16"/>
          <w:szCs w:val="16"/>
        </w:rPr>
        <w:t>EXPÓSITO VÉLEZ, Juan Carlos. Forma y contenido del contrato estatal. Bogotá: Universidad Externado de Colombia, 2013, p. 165-166). De igual manera, se ha expuesto que “Son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sidRPr="003A7739">
        <w:rPr>
          <w:rFonts w:ascii="Verdana" w:eastAsia="Calibri" w:hAnsi="Verdana"/>
          <w:color w:val="000000" w:themeColor="text1"/>
          <w:sz w:val="16"/>
          <w:szCs w:val="16"/>
        </w:rPr>
        <w:t>”</w:t>
      </w:r>
      <w:r w:rsidRPr="003A7739">
        <w:rPr>
          <w:rFonts w:ascii="Verdana" w:hAnsi="Verdana"/>
          <w:color w:val="000000" w:themeColor="text1"/>
          <w:sz w:val="16"/>
          <w:szCs w:val="16"/>
        </w:rPr>
        <w:t xml:space="preserve"> (MATALLANA CAMACHO, Ernesto. Manual de Contratación de la Administración Pública. Reforma de la Ley 80 de 1993. Bogotá: Universidad Externado de Colombia, 4 ed., 2015, p. 921 y ss).</w:t>
      </w:r>
    </w:p>
  </w:footnote>
  <w:footnote w:id="8">
    <w:p w14:paraId="70DDFA62" w14:textId="77777777" w:rsidR="002C73CC" w:rsidRPr="003A7739" w:rsidRDefault="002C73CC" w:rsidP="002C73CC">
      <w:pPr>
        <w:pStyle w:val="Textonotapie"/>
        <w:ind w:firstLine="708"/>
        <w:jc w:val="both"/>
        <w:rPr>
          <w:rFonts w:ascii="Verdana" w:hAnsi="Verdana"/>
          <w:sz w:val="16"/>
          <w:szCs w:val="16"/>
          <w:lang w:val="es-ES"/>
        </w:rPr>
      </w:pPr>
      <w:r w:rsidRPr="003A7739">
        <w:rPr>
          <w:rStyle w:val="Refdenotaalpie"/>
          <w:rFonts w:ascii="Verdana" w:hAnsi="Verdana"/>
          <w:sz w:val="16"/>
          <w:szCs w:val="16"/>
        </w:rPr>
        <w:footnoteRef/>
      </w:r>
      <w:r w:rsidRPr="003A7739">
        <w:rPr>
          <w:rFonts w:ascii="Verdana" w:hAnsi="Verdana"/>
          <w:sz w:val="16"/>
          <w:szCs w:val="16"/>
        </w:rPr>
        <w:t xml:space="preserve"> DÁVILA VINUEZA, Luis Guillermo. Régimen jurídico de la contratación estatal. Bogotá: Legis, 2016. p. 600.</w:t>
      </w:r>
    </w:p>
  </w:footnote>
  <w:footnote w:id="9">
    <w:p w14:paraId="0EDB6855" w14:textId="77777777" w:rsidR="002C73CC" w:rsidRPr="003A7739" w:rsidRDefault="002C73CC" w:rsidP="002C73CC">
      <w:pPr>
        <w:pStyle w:val="Sinespaciado"/>
        <w:ind w:firstLine="708"/>
        <w:jc w:val="both"/>
        <w:rPr>
          <w:rFonts w:ascii="Verdana" w:hAnsi="Verdana" w:cs="Arial"/>
          <w:color w:val="000000" w:themeColor="text1"/>
          <w:sz w:val="16"/>
          <w:szCs w:val="16"/>
        </w:rPr>
      </w:pPr>
      <w:r w:rsidRPr="003A7739">
        <w:rPr>
          <w:rStyle w:val="Refdenotaalpie"/>
          <w:rFonts w:ascii="Verdana" w:hAnsi="Verdana" w:cs="Arial"/>
          <w:color w:val="000000" w:themeColor="text1"/>
          <w:sz w:val="16"/>
          <w:szCs w:val="16"/>
        </w:rPr>
        <w:footnoteRef/>
      </w:r>
      <w:r w:rsidRPr="003A7739">
        <w:rPr>
          <w:rFonts w:ascii="Verdana" w:hAnsi="Verdana"/>
          <w:color w:val="000000" w:themeColor="text1"/>
          <w:sz w:val="16"/>
          <w:szCs w:val="16"/>
        </w:rPr>
        <w:t xml:space="preserve"> </w:t>
      </w:r>
      <w:r w:rsidRPr="003A7739">
        <w:rPr>
          <w:rFonts w:ascii="Verdana" w:hAnsi="Verdana" w:cs="Arial"/>
          <w:color w:val="000000" w:themeColor="text1"/>
          <w:sz w:val="16"/>
          <w:szCs w:val="16"/>
        </w:rPr>
        <w:t>ARTÍCULO 2.2.1.2.3.1.7. Garantía de cumplimiento. La garantía de cumplimiento del contrato debe cubrir:</w:t>
      </w:r>
    </w:p>
    <w:p w14:paraId="123E398E" w14:textId="77777777" w:rsidR="002C73CC" w:rsidRPr="003A7739" w:rsidRDefault="002C73CC" w:rsidP="002C73CC">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7832CAA8" w14:textId="77777777" w:rsidR="002C73CC" w:rsidRPr="003A7739" w:rsidRDefault="002C73CC" w:rsidP="002C73CC">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2. Devolución del pago anticipado. Este amparo cubre los perjuicios sufridos por la Entidad Estatal por la no devolución total o parcial del dinero entregado al contratista a título de pago anticipado, cuando a ello hubiere lugar.</w:t>
      </w:r>
    </w:p>
    <w:p w14:paraId="4F959993" w14:textId="77777777" w:rsidR="002C73CC" w:rsidRPr="003A7739" w:rsidRDefault="002C73CC" w:rsidP="002C73CC">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 Cumplimiento del contrato. Este amparo cubre a la Entidad Estatal de los perjuicios derivados de:</w:t>
      </w:r>
    </w:p>
    <w:p w14:paraId="393170B3" w14:textId="77777777" w:rsidR="002C73CC" w:rsidRPr="003A7739" w:rsidRDefault="002C73CC" w:rsidP="002C73CC">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3.1. El incumplimiento total o parcial del contrato, cuando el incumplimiento es imputable al contratista;</w:t>
      </w:r>
    </w:p>
    <w:p w14:paraId="38BD43C4" w14:textId="77777777" w:rsidR="002C73CC" w:rsidRPr="003A7739" w:rsidRDefault="002C73CC" w:rsidP="002C73CC">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3.2. El cumplimiento tardío o defectuoso del contrato, cuando el incumplimiento es imputable al contratista;</w:t>
      </w:r>
    </w:p>
    <w:p w14:paraId="4FDD8DA5" w14:textId="77777777" w:rsidR="002C73CC" w:rsidRPr="003A7739" w:rsidRDefault="002C73CC" w:rsidP="002C73CC">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3.3. Los daños imputables al contratista por entregas parciales de la obra, cuando el contrato no prevé entregas parciales; y</w:t>
      </w:r>
    </w:p>
    <w:p w14:paraId="018FCBCF" w14:textId="77777777" w:rsidR="002C73CC" w:rsidRPr="003A7739" w:rsidRDefault="002C73CC" w:rsidP="002C73CC">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3.4. El pago del valor de las multas y de la cláusula penal pecuniaria.</w:t>
      </w:r>
    </w:p>
    <w:p w14:paraId="048A8803" w14:textId="77777777" w:rsidR="002C73CC" w:rsidRPr="003A7739" w:rsidRDefault="002C73CC" w:rsidP="002C73CC">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w:t>
      </w:r>
    </w:p>
    <w:p w14:paraId="51909D54" w14:textId="77777777" w:rsidR="002C73CC" w:rsidRPr="003A7739" w:rsidRDefault="002C73CC" w:rsidP="002C73CC">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La Entidad Estatal no debe exigir una garantía para cubrir este Riesgo en los contratos que se ejecuten fuera del territorio nacional con personal contratado bajo un régimen jurídico distinto al colombiano.</w:t>
      </w:r>
    </w:p>
    <w:p w14:paraId="33F0745E" w14:textId="77777777" w:rsidR="002C73CC" w:rsidRPr="003A7739" w:rsidRDefault="002C73CC" w:rsidP="002C73CC">
      <w:pPr>
        <w:pStyle w:val="Sinespaciado"/>
        <w:ind w:firstLine="708"/>
        <w:jc w:val="both"/>
        <w:rPr>
          <w:rFonts w:ascii="Verdana" w:eastAsia="Calibri" w:hAnsi="Verdana" w:cs="Arial"/>
          <w:color w:val="000000" w:themeColor="text1"/>
          <w:sz w:val="16"/>
          <w:szCs w:val="16"/>
          <w:lang w:val="es-ES"/>
        </w:rPr>
      </w:pPr>
      <w:r w:rsidRPr="003A7739">
        <w:rPr>
          <w:rFonts w:ascii="Verdana" w:hAnsi="Verdana" w:cs="Arial"/>
          <w:color w:val="000000" w:themeColor="text1"/>
          <w:sz w:val="16"/>
          <w:szCs w:val="16"/>
        </w:rPr>
        <w:t>5. Estabilidad y calidad de la obra. Este amparo cubre a la Entidad Estatal de los perjuicios ocasionados por cualquier tipo de daño o deterioro, imputable al contratista, sufrido por la obra entregada a satisfacción.</w:t>
      </w:r>
    </w:p>
    <w:p w14:paraId="2AAD145D" w14:textId="77777777" w:rsidR="002C73CC" w:rsidRPr="003A7739" w:rsidRDefault="002C73CC" w:rsidP="002C73CC">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6. Calidad del servicio. Este amparo cubre a la Entidad Estatal por los perjuicios derivados de la deficiente calidad del servicio prestado.</w:t>
      </w:r>
    </w:p>
    <w:p w14:paraId="4CF301EF" w14:textId="77777777" w:rsidR="002C73CC" w:rsidRPr="003A7739" w:rsidRDefault="002C73CC" w:rsidP="002C73CC">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7. Calidad y correcto funcionamiento de los bienes. Este amparo debe cubrir la calidad y el correcto funcionamiento de los bienes que recibe la Entidad Estatal en cumplimiento de un contrato.</w:t>
      </w:r>
    </w:p>
    <w:p w14:paraId="219E18F9" w14:textId="77777777" w:rsidR="002C73CC" w:rsidRPr="003A7739" w:rsidRDefault="002C73CC" w:rsidP="002C73CC">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8. Los demás incumplimientos de obligaciones que la Entidad Estatal considere deben ser amparados de manera proporcional y acorde a la naturaleza del contrato.</w:t>
      </w:r>
    </w:p>
  </w:footnote>
  <w:footnote w:id="10">
    <w:p w14:paraId="4930D88E" w14:textId="77777777" w:rsidR="002C73CC" w:rsidRPr="003A7739" w:rsidRDefault="002C73CC" w:rsidP="002C73CC">
      <w:pPr>
        <w:pStyle w:val="NormalWeb"/>
        <w:shd w:val="clear" w:color="auto" w:fill="FFFFFF"/>
        <w:spacing w:before="0" w:beforeAutospacing="0" w:after="0" w:afterAutospacing="0"/>
        <w:ind w:firstLine="709"/>
        <w:jc w:val="both"/>
        <w:rPr>
          <w:rFonts w:ascii="Verdana" w:hAnsi="Verdana" w:cs="Arial"/>
          <w:sz w:val="16"/>
          <w:szCs w:val="16"/>
        </w:rPr>
      </w:pPr>
      <w:r w:rsidRPr="003A7739">
        <w:rPr>
          <w:rStyle w:val="Refdenotaalpie"/>
          <w:rFonts w:ascii="Verdana" w:hAnsi="Verdana" w:cs="Arial"/>
          <w:sz w:val="16"/>
          <w:szCs w:val="16"/>
        </w:rPr>
        <w:footnoteRef/>
      </w:r>
      <w:r w:rsidRPr="003A7739">
        <w:rPr>
          <w:rFonts w:ascii="Verdana" w:eastAsia="Calibri" w:hAnsi="Verdana" w:cs="Arial"/>
          <w:sz w:val="16"/>
          <w:szCs w:val="16"/>
          <w:lang w:val="es-ES"/>
        </w:rPr>
        <w:t>“</w:t>
      </w:r>
      <w:r w:rsidRPr="003A7739">
        <w:rPr>
          <w:rFonts w:ascii="Verdana" w:hAnsi="Verdana" w:cs="Arial"/>
          <w:sz w:val="16"/>
          <w:szCs w:val="16"/>
        </w:rPr>
        <w:t>Artículo 2.2.1.1.2.4.1.</w:t>
      </w:r>
      <w:r w:rsidRPr="003A7739">
        <w:rPr>
          <w:rFonts w:ascii="Verdana" w:hAnsi="Verdana" w:cs="Arial"/>
          <w:i/>
          <w:iCs/>
          <w:sz w:val="16"/>
          <w:szCs w:val="16"/>
        </w:rPr>
        <w:t> </w:t>
      </w:r>
      <w:r w:rsidRPr="003A7739">
        <w:rPr>
          <w:rFonts w:ascii="Verdana" w:hAnsi="Verdana" w:cs="Arial"/>
          <w:sz w:val="16"/>
          <w:szCs w:val="16"/>
        </w:rPr>
        <w:t>Patrimonio autónomo para el manejo de anticipos.</w:t>
      </w:r>
      <w:r w:rsidRPr="003A7739">
        <w:rPr>
          <w:rFonts w:ascii="Verdana" w:hAnsi="Verdana" w:cs="Arial"/>
          <w:i/>
          <w:iCs/>
          <w:sz w:val="16"/>
          <w:szCs w:val="16"/>
        </w:rPr>
        <w:t> </w:t>
      </w:r>
      <w:r w:rsidRPr="003A7739">
        <w:rPr>
          <w:rFonts w:ascii="Verdana" w:hAnsi="Verdana" w:cs="Arial"/>
          <w:sz w:val="16"/>
          <w:szCs w:val="16"/>
        </w:rPr>
        <w:t>En los casos previstos en la ley, el contratista debe suscribir un contrato de fiducia mercantil para crear un patrimonio autónomo, con una sociedad fiduciaria autorizada para ese fin por la Superintendencia Financiera de Colombia, a la cual la Entidad Estatal debe entregar el valor del anticipo.</w:t>
      </w:r>
    </w:p>
    <w:p w14:paraId="71F0A017" w14:textId="77777777" w:rsidR="002C73CC" w:rsidRPr="003A7739" w:rsidRDefault="002C73CC" w:rsidP="002C73CC">
      <w:pPr>
        <w:pStyle w:val="NormalWeb"/>
        <w:shd w:val="clear" w:color="auto" w:fill="FFFFFF"/>
        <w:spacing w:before="0" w:beforeAutospacing="0" w:after="0" w:afterAutospacing="0"/>
        <w:ind w:firstLine="709"/>
        <w:jc w:val="both"/>
        <w:rPr>
          <w:rFonts w:ascii="Verdana" w:hAnsi="Verdana" w:cs="Arial"/>
          <w:sz w:val="16"/>
          <w:szCs w:val="16"/>
        </w:rPr>
      </w:pPr>
      <w:r w:rsidRPr="003A7739">
        <w:rPr>
          <w:rFonts w:ascii="Verdana" w:hAnsi="Verdana" w:cs="Arial"/>
          <w:sz w:val="16"/>
          <w:szCs w:val="16"/>
        </w:rPr>
        <w:t>Los recursos entregados por la Entidad Estatal a título de anticipo dejan de ser parte del patrimonio de esta para conformar el patrimonio autónomo. En consecuencia, los recursos del patrimonio autónomo y sus rendimientos son autónomos y son manejados de acuerdo con el contrato de fiducia mercantil.</w:t>
      </w:r>
    </w:p>
    <w:p w14:paraId="373A90C3" w14:textId="77777777" w:rsidR="002C73CC" w:rsidRPr="003A7739" w:rsidRDefault="002C73CC" w:rsidP="002C73CC">
      <w:pPr>
        <w:pStyle w:val="NormalWeb"/>
        <w:shd w:val="clear" w:color="auto" w:fill="FFFFFF"/>
        <w:spacing w:before="0" w:beforeAutospacing="0" w:after="0" w:afterAutospacing="0"/>
        <w:ind w:firstLine="709"/>
        <w:jc w:val="both"/>
        <w:rPr>
          <w:rFonts w:ascii="Verdana" w:hAnsi="Verdana" w:cs="Arial"/>
          <w:sz w:val="16"/>
          <w:szCs w:val="16"/>
        </w:rPr>
      </w:pPr>
      <w:r w:rsidRPr="003A7739">
        <w:rPr>
          <w:rFonts w:ascii="Verdana" w:hAnsi="Verdana" w:cs="Arial"/>
          <w:sz w:val="16"/>
          <w:szCs w:val="16"/>
        </w:rPr>
        <w:t>En los pliegos de condiciones, la Entidad Estatal debe establecer los términos y condiciones de la administración del anticipo a través del patrimonio autónomo.</w:t>
      </w:r>
    </w:p>
    <w:p w14:paraId="5CD04CCC" w14:textId="77777777" w:rsidR="002C73CC" w:rsidRPr="003A7739" w:rsidRDefault="002C73CC" w:rsidP="002C73CC">
      <w:pPr>
        <w:pStyle w:val="NormalWeb"/>
        <w:shd w:val="clear" w:color="auto" w:fill="FFFFFF"/>
        <w:spacing w:before="0" w:beforeAutospacing="0" w:after="0" w:afterAutospacing="0"/>
        <w:ind w:firstLine="709"/>
        <w:jc w:val="both"/>
        <w:rPr>
          <w:rFonts w:ascii="Verdana" w:eastAsia="Calibri" w:hAnsi="Verdana" w:cs="Arial"/>
          <w:sz w:val="16"/>
          <w:szCs w:val="16"/>
          <w:lang w:val="es-ES" w:eastAsia="es-ES_tradnl"/>
        </w:rPr>
      </w:pPr>
      <w:r w:rsidRPr="003A7739">
        <w:rPr>
          <w:rFonts w:ascii="Verdana" w:hAnsi="Verdana" w:cs="Arial"/>
          <w:sz w:val="16"/>
          <w:szCs w:val="16"/>
        </w:rPr>
        <w:t>En este caso, la sociedad fiduciaria debe pagar a los proveedores, con base en las instrucciones que reciba del contratista, las cuales deben haber sido autorizadas por el Supervisor o el Interventor, siempre y cuando tales pagos correspondan a los rubros previstos en el plan de utilización o de inversión del anticipo</w:t>
      </w:r>
      <w:r w:rsidRPr="003A7739">
        <w:rPr>
          <w:rFonts w:ascii="Verdana" w:eastAsia="Calibri" w:hAnsi="Verdana" w:cs="Arial"/>
          <w:sz w:val="16"/>
          <w:szCs w:val="16"/>
          <w:lang w:val="es-ES"/>
        </w:rPr>
        <w:t>”.</w:t>
      </w:r>
    </w:p>
  </w:footnote>
  <w:footnote w:id="11">
    <w:p w14:paraId="3E1F24A5" w14:textId="77777777" w:rsidR="002C73CC" w:rsidRPr="003A7739" w:rsidRDefault="002C73CC" w:rsidP="002C73CC">
      <w:pPr>
        <w:pStyle w:val="Textonotapie"/>
        <w:ind w:firstLine="709"/>
        <w:jc w:val="both"/>
        <w:rPr>
          <w:rFonts w:ascii="Verdana" w:hAnsi="Verdana" w:cs="Arial"/>
          <w:sz w:val="16"/>
          <w:szCs w:val="16"/>
          <w:lang w:val="es-ES"/>
        </w:rPr>
      </w:pPr>
      <w:r w:rsidRPr="003A7739">
        <w:rPr>
          <w:rStyle w:val="Refdenotaalpie"/>
          <w:rFonts w:ascii="Verdana" w:hAnsi="Verdana" w:cs="Arial"/>
          <w:sz w:val="16"/>
          <w:szCs w:val="16"/>
        </w:rPr>
        <w:footnoteRef/>
      </w:r>
      <w:r w:rsidRPr="003A7739">
        <w:rPr>
          <w:rFonts w:ascii="Verdana" w:hAnsi="Verdana" w:cs="Arial"/>
          <w:sz w:val="16"/>
          <w:szCs w:val="16"/>
        </w:rPr>
        <w:t xml:space="preserve"> </w:t>
      </w:r>
      <w:r w:rsidRPr="003A7739">
        <w:rPr>
          <w:rFonts w:ascii="Verdana" w:hAnsi="Verdana" w:cs="Arial"/>
          <w:sz w:val="16"/>
          <w:szCs w:val="16"/>
          <w:lang w:val="es-ES"/>
        </w:rPr>
        <w:t xml:space="preserve">Sobre el particular, se puede consultar la exposición de motivos de la Ley 1474 de 2011, Gaceta 607 del 2010, disponible en:  </w:t>
      </w:r>
      <w:hyperlink r:id="rId1" w:history="1">
        <w:r w:rsidRPr="003A7739">
          <w:rPr>
            <w:rStyle w:val="Hipervnculo"/>
            <w:rFonts w:ascii="Verdana" w:hAnsi="Verdana" w:cs="Arial"/>
            <w:sz w:val="16"/>
            <w:szCs w:val="16"/>
            <w:lang w:val="es-ES"/>
          </w:rPr>
          <w:t>http://svrpubindc.imprenta.gov.co/senado/index.xhtml;jsessionid=b3ba7213a248bacd37376ffcedca</w:t>
        </w:r>
      </w:hyperlink>
      <w:r w:rsidRPr="003A7739">
        <w:rPr>
          <w:rFonts w:ascii="Verdana" w:hAnsi="Verdana" w:cs="Arial"/>
          <w:sz w:val="16"/>
          <w:szCs w:val="16"/>
          <w:lang w:val="es-ES"/>
        </w:rPr>
        <w:t xml:space="preserve"> </w:t>
      </w:r>
    </w:p>
  </w:footnote>
  <w:footnote w:id="12">
    <w:p w14:paraId="4BCDB56B" w14:textId="77777777" w:rsidR="002C73CC" w:rsidRPr="003A7739" w:rsidRDefault="002C73CC" w:rsidP="002C73CC">
      <w:pPr>
        <w:pStyle w:val="Sinespaciado"/>
        <w:ind w:firstLine="708"/>
        <w:jc w:val="both"/>
        <w:rPr>
          <w:rFonts w:ascii="Verdana" w:hAnsi="Verdana" w:cs="Arial"/>
          <w:sz w:val="16"/>
          <w:szCs w:val="16"/>
          <w:lang w:val="es-ES"/>
        </w:rPr>
      </w:pPr>
      <w:r w:rsidRPr="003A7739">
        <w:rPr>
          <w:rStyle w:val="Refdenotaalpie"/>
          <w:rFonts w:ascii="Verdana" w:hAnsi="Verdana" w:cs="Arial"/>
          <w:sz w:val="16"/>
          <w:szCs w:val="16"/>
        </w:rPr>
        <w:footnoteRef/>
      </w:r>
      <w:r w:rsidRPr="003A7739">
        <w:rPr>
          <w:rFonts w:ascii="Verdana" w:hAnsi="Verdana" w:cs="Arial"/>
          <w:sz w:val="16"/>
          <w:szCs w:val="16"/>
        </w:rPr>
        <w:t xml:space="preserve"> </w:t>
      </w:r>
      <w:r w:rsidRPr="003A7739">
        <w:rPr>
          <w:rFonts w:ascii="Verdana" w:hAnsi="Verdana" w:cs="Arial"/>
          <w:sz w:val="16"/>
          <w:szCs w:val="16"/>
          <w:lang w:val="es-ES"/>
        </w:rPr>
        <w:t xml:space="preserve">La Guía para el manejo de anticipos mediante contrato de fiducia irrevocable puede ser consultada en: </w:t>
      </w:r>
      <w:hyperlink r:id="rId2" w:history="1">
        <w:r w:rsidRPr="003A7739">
          <w:rPr>
            <w:rStyle w:val="Hipervnculo"/>
            <w:rFonts w:ascii="Verdana" w:hAnsi="Verdana" w:cs="Arial"/>
            <w:sz w:val="16"/>
            <w:szCs w:val="16"/>
            <w:lang w:val="es-ES"/>
          </w:rPr>
          <w:t>https://www.colombiacompra.gov.co/wp-content/uploads/2024/08/2017-Guia-para-el-manejo-de-anticipos-mediante-contrato-de-fiducia-mercantil-irrevocable-G-MACFMI-01.pdf</w:t>
        </w:r>
      </w:hyperlink>
      <w:r w:rsidRPr="003A7739">
        <w:rPr>
          <w:rFonts w:ascii="Verdana" w:hAnsi="Verdana" w:cs="Arial"/>
          <w:sz w:val="16"/>
          <w:szCs w:val="16"/>
          <w:lang w:val="es-ES"/>
        </w:rPr>
        <w:t xml:space="preserve">.  </w:t>
      </w:r>
    </w:p>
  </w:footnote>
  <w:footnote w:id="13">
    <w:p w14:paraId="2DB59DCB" w14:textId="77777777" w:rsidR="002C73CC" w:rsidRPr="003A7739" w:rsidRDefault="002C73CC" w:rsidP="002C73CC">
      <w:pPr>
        <w:pStyle w:val="Textonotapie"/>
        <w:ind w:firstLine="708"/>
        <w:rPr>
          <w:rFonts w:ascii="Verdana" w:hAnsi="Verdana"/>
          <w:sz w:val="16"/>
          <w:szCs w:val="16"/>
          <w:lang w:val="es-ES"/>
        </w:rPr>
      </w:pPr>
      <w:r w:rsidRPr="003A7739">
        <w:rPr>
          <w:rStyle w:val="Refdenotaalpie"/>
          <w:rFonts w:ascii="Verdana" w:hAnsi="Verdana"/>
          <w:sz w:val="16"/>
          <w:szCs w:val="16"/>
        </w:rPr>
        <w:footnoteRef/>
      </w:r>
      <w:r w:rsidRPr="003A7739">
        <w:rPr>
          <w:rFonts w:ascii="Verdana" w:hAnsi="Verdana"/>
          <w:sz w:val="16"/>
          <w:szCs w:val="16"/>
        </w:rPr>
        <w:t xml:space="preserve"> Ibídem., p. 3.</w:t>
      </w:r>
    </w:p>
  </w:footnote>
  <w:footnote w:id="14">
    <w:p w14:paraId="2B733902" w14:textId="77777777" w:rsidR="002C73CC" w:rsidRPr="003A7739" w:rsidRDefault="002C73CC" w:rsidP="002C73CC">
      <w:pPr>
        <w:pStyle w:val="Textonotapie"/>
        <w:ind w:firstLine="708"/>
        <w:rPr>
          <w:rFonts w:ascii="Verdana" w:hAnsi="Verdana"/>
          <w:sz w:val="16"/>
          <w:szCs w:val="16"/>
          <w:lang w:val="es-ES"/>
        </w:rPr>
      </w:pPr>
      <w:r w:rsidRPr="003A7739">
        <w:rPr>
          <w:rStyle w:val="Refdenotaalpie"/>
          <w:rFonts w:ascii="Verdana" w:hAnsi="Verdana"/>
          <w:sz w:val="16"/>
          <w:szCs w:val="16"/>
        </w:rPr>
        <w:footnoteRef/>
      </w:r>
      <w:r w:rsidRPr="003A7739">
        <w:rPr>
          <w:rFonts w:ascii="Verdana" w:hAnsi="Verdana"/>
          <w:sz w:val="16"/>
          <w:szCs w:val="16"/>
        </w:rPr>
        <w:t xml:space="preserve"> Ibídem., p. 4. </w:t>
      </w:r>
    </w:p>
  </w:footnote>
  <w:footnote w:id="15">
    <w:p w14:paraId="7E5EC768" w14:textId="77777777" w:rsidR="002C73CC" w:rsidRPr="003A7739" w:rsidRDefault="002C73CC" w:rsidP="002C73CC">
      <w:pPr>
        <w:pStyle w:val="Textonotapie"/>
        <w:ind w:firstLine="708"/>
        <w:jc w:val="both"/>
        <w:rPr>
          <w:rFonts w:ascii="Verdana" w:hAnsi="Verdana"/>
          <w:sz w:val="16"/>
          <w:szCs w:val="16"/>
          <w:lang w:val="es-ES"/>
        </w:rPr>
      </w:pPr>
      <w:r w:rsidRPr="003A7739">
        <w:rPr>
          <w:rStyle w:val="Refdenotaalpie"/>
          <w:rFonts w:ascii="Verdana" w:hAnsi="Verdana"/>
          <w:sz w:val="16"/>
          <w:szCs w:val="16"/>
        </w:rPr>
        <w:footnoteRef/>
      </w:r>
      <w:r w:rsidRPr="003A7739">
        <w:rPr>
          <w:rFonts w:ascii="Verdana" w:hAnsi="Verdana"/>
          <w:sz w:val="16"/>
          <w:szCs w:val="16"/>
        </w:rPr>
        <w:t xml:space="preserve"> MÁRQUEZ V</w:t>
      </w:r>
      <w:r w:rsidRPr="003A7739">
        <w:rPr>
          <w:rFonts w:ascii="Verdana" w:hAnsi="Verdana"/>
          <w:sz w:val="16"/>
          <w:szCs w:val="16"/>
          <w:lang w:val="es-CO"/>
        </w:rPr>
        <w:t xml:space="preserve">ARGAS, Milena. La fiducia en el manejo de recursos de anticipos en los contratos estatales. Bogotá: </w:t>
      </w:r>
      <w:r w:rsidRPr="003A7739">
        <w:rPr>
          <w:rFonts w:ascii="Verdana" w:hAnsi="Verdana"/>
          <w:i/>
          <w:iCs/>
          <w:sz w:val="16"/>
          <w:szCs w:val="16"/>
          <w:lang w:val="es-CO"/>
        </w:rPr>
        <w:t>Revista Derecho Privado - Universidad de los Andes</w:t>
      </w:r>
      <w:r w:rsidRPr="003A7739">
        <w:rPr>
          <w:rFonts w:ascii="Verdana" w:hAnsi="Verdana"/>
          <w:sz w:val="16"/>
          <w:szCs w:val="16"/>
          <w:lang w:val="es-CO"/>
        </w:rPr>
        <w:t>, 2014, no 52, p. 14.</w:t>
      </w:r>
    </w:p>
  </w:footnote>
  <w:footnote w:id="16">
    <w:p w14:paraId="1514DE24" w14:textId="77777777" w:rsidR="002C73CC" w:rsidRPr="00117544" w:rsidRDefault="002C73CC" w:rsidP="002C73CC">
      <w:pPr>
        <w:pStyle w:val="Textonotapie"/>
        <w:ind w:firstLine="708"/>
        <w:jc w:val="both"/>
        <w:rPr>
          <w:rFonts w:ascii="Verdana" w:hAnsi="Verdana"/>
          <w:sz w:val="16"/>
          <w:szCs w:val="16"/>
          <w:lang w:val="es-CO"/>
        </w:rPr>
      </w:pPr>
      <w:r w:rsidRPr="003A7739">
        <w:rPr>
          <w:rStyle w:val="Refdenotaalpie"/>
          <w:rFonts w:ascii="Verdana" w:hAnsi="Verdana"/>
          <w:sz w:val="16"/>
          <w:szCs w:val="16"/>
        </w:rPr>
        <w:footnoteRef/>
      </w:r>
      <w:r w:rsidRPr="003A7739">
        <w:rPr>
          <w:rFonts w:ascii="Verdana" w:hAnsi="Verdana"/>
          <w:sz w:val="16"/>
          <w:szCs w:val="16"/>
        </w:rPr>
        <w:t xml:space="preserve"> </w:t>
      </w:r>
      <w:r w:rsidRPr="003A7739">
        <w:rPr>
          <w:rFonts w:ascii="Verdana" w:eastAsia="Arial MT" w:hAnsi="Verdana" w:cs="Arial"/>
          <w:color w:val="000000"/>
          <w:sz w:val="16"/>
          <w:szCs w:val="16"/>
          <w:lang w:val="es-ES"/>
        </w:rPr>
        <w:t>La</w:t>
      </w:r>
      <w:r w:rsidRPr="003A7739">
        <w:rPr>
          <w:rFonts w:ascii="Verdana" w:eastAsia="Arial MT" w:hAnsi="Verdana" w:cs="Arial"/>
          <w:color w:val="000000"/>
          <w:spacing w:val="1"/>
          <w:sz w:val="16"/>
          <w:szCs w:val="16"/>
          <w:lang w:val="es-ES"/>
        </w:rPr>
        <w:t xml:space="preserve"> </w:t>
      </w:r>
      <w:r w:rsidRPr="003A7739">
        <w:rPr>
          <w:rFonts w:ascii="Verdana" w:eastAsia="Arial MT" w:hAnsi="Verdana" w:cs="Arial"/>
          <w:color w:val="000000"/>
          <w:sz w:val="16"/>
          <w:szCs w:val="16"/>
          <w:lang w:val="es-ES"/>
        </w:rPr>
        <w:t>jurisprudencia</w:t>
      </w:r>
      <w:r w:rsidRPr="003A7739">
        <w:rPr>
          <w:rFonts w:ascii="Verdana" w:eastAsia="Arial MT" w:hAnsi="Verdana" w:cs="Arial"/>
          <w:color w:val="000000"/>
          <w:spacing w:val="1"/>
          <w:sz w:val="16"/>
          <w:szCs w:val="16"/>
          <w:lang w:val="es-ES"/>
        </w:rPr>
        <w:t xml:space="preserve"> </w:t>
      </w:r>
      <w:r w:rsidRPr="003A7739">
        <w:rPr>
          <w:rFonts w:ascii="Verdana" w:eastAsia="Arial MT" w:hAnsi="Verdana" w:cs="Arial"/>
          <w:color w:val="000000"/>
          <w:sz w:val="16"/>
          <w:szCs w:val="16"/>
          <w:lang w:val="es-ES"/>
        </w:rPr>
        <w:t>contencioso-administrativa,</w:t>
      </w:r>
      <w:r w:rsidRPr="003A7739">
        <w:rPr>
          <w:rFonts w:ascii="Verdana" w:eastAsia="Arial MT" w:hAnsi="Verdana" w:cs="Arial"/>
          <w:color w:val="000000"/>
          <w:spacing w:val="1"/>
          <w:sz w:val="16"/>
          <w:szCs w:val="16"/>
          <w:lang w:val="es-ES"/>
        </w:rPr>
        <w:t xml:space="preserve"> </w:t>
      </w:r>
      <w:r w:rsidRPr="003A7739">
        <w:rPr>
          <w:rFonts w:ascii="Verdana" w:eastAsia="Arial MT" w:hAnsi="Verdana" w:cs="Arial"/>
          <w:color w:val="000000"/>
          <w:sz w:val="16"/>
          <w:szCs w:val="16"/>
          <w:lang w:val="es-ES"/>
        </w:rPr>
        <w:t>por</w:t>
      </w:r>
      <w:r w:rsidRPr="003A7739">
        <w:rPr>
          <w:rFonts w:ascii="Verdana" w:eastAsia="Arial MT" w:hAnsi="Verdana" w:cs="Arial"/>
          <w:color w:val="000000"/>
          <w:spacing w:val="1"/>
          <w:sz w:val="16"/>
          <w:szCs w:val="16"/>
          <w:lang w:val="es-ES"/>
        </w:rPr>
        <w:t xml:space="preserve"> </w:t>
      </w:r>
      <w:r w:rsidRPr="003A7739">
        <w:rPr>
          <w:rFonts w:ascii="Verdana" w:eastAsia="Arial MT" w:hAnsi="Verdana" w:cs="Arial"/>
          <w:color w:val="000000"/>
          <w:sz w:val="16"/>
          <w:szCs w:val="16"/>
          <w:lang w:val="es-ES"/>
        </w:rPr>
        <w:t>su</w:t>
      </w:r>
      <w:r w:rsidRPr="003A7739">
        <w:rPr>
          <w:rFonts w:ascii="Verdana" w:eastAsia="Arial MT" w:hAnsi="Verdana" w:cs="Arial"/>
          <w:color w:val="000000"/>
          <w:spacing w:val="1"/>
          <w:sz w:val="16"/>
          <w:szCs w:val="16"/>
          <w:lang w:val="es-ES"/>
        </w:rPr>
        <w:t xml:space="preserve"> </w:t>
      </w:r>
      <w:r w:rsidRPr="003A7739">
        <w:rPr>
          <w:rFonts w:ascii="Verdana" w:eastAsia="Arial MT" w:hAnsi="Verdana" w:cs="Arial"/>
          <w:color w:val="000000"/>
          <w:sz w:val="16"/>
          <w:szCs w:val="16"/>
          <w:lang w:val="es-ES"/>
        </w:rPr>
        <w:t>parte,</w:t>
      </w:r>
      <w:r w:rsidRPr="003A7739">
        <w:rPr>
          <w:rFonts w:ascii="Verdana" w:eastAsia="Arial MT" w:hAnsi="Verdana" w:cs="Arial"/>
          <w:color w:val="000000"/>
          <w:spacing w:val="1"/>
          <w:sz w:val="16"/>
          <w:szCs w:val="16"/>
          <w:lang w:val="es-ES"/>
        </w:rPr>
        <w:t xml:space="preserve"> </w:t>
      </w:r>
      <w:r w:rsidRPr="003A7739">
        <w:rPr>
          <w:rFonts w:ascii="Verdana" w:eastAsia="Arial MT" w:hAnsi="Verdana" w:cs="Arial"/>
          <w:color w:val="000000"/>
          <w:sz w:val="16"/>
          <w:szCs w:val="16"/>
          <w:lang w:val="es-ES"/>
        </w:rPr>
        <w:t>ha</w:t>
      </w:r>
      <w:r w:rsidRPr="003A7739">
        <w:rPr>
          <w:rFonts w:ascii="Verdana" w:eastAsia="Arial MT" w:hAnsi="Verdana" w:cs="Arial"/>
          <w:color w:val="000000"/>
          <w:spacing w:val="1"/>
          <w:sz w:val="16"/>
          <w:szCs w:val="16"/>
          <w:lang w:val="es-ES"/>
        </w:rPr>
        <w:t xml:space="preserve"> </w:t>
      </w:r>
      <w:r w:rsidRPr="003A7739">
        <w:rPr>
          <w:rFonts w:ascii="Verdana" w:eastAsia="Arial MT" w:hAnsi="Verdana" w:cs="Arial"/>
          <w:color w:val="000000"/>
          <w:sz w:val="16"/>
          <w:szCs w:val="16"/>
          <w:lang w:val="es-ES"/>
        </w:rPr>
        <w:t>considerado</w:t>
      </w:r>
      <w:r w:rsidRPr="003A7739">
        <w:rPr>
          <w:rFonts w:ascii="Verdana" w:eastAsia="Arial MT" w:hAnsi="Verdana" w:cs="Arial"/>
          <w:color w:val="000000"/>
          <w:spacing w:val="1"/>
          <w:sz w:val="16"/>
          <w:szCs w:val="16"/>
          <w:lang w:val="es-ES"/>
        </w:rPr>
        <w:t xml:space="preserve"> </w:t>
      </w:r>
      <w:r w:rsidRPr="003A7739">
        <w:rPr>
          <w:rFonts w:ascii="Verdana" w:eastAsia="Arial MT" w:hAnsi="Verdana" w:cs="Arial"/>
          <w:color w:val="000000"/>
          <w:sz w:val="16"/>
          <w:szCs w:val="16"/>
          <w:lang w:val="es-ES"/>
        </w:rPr>
        <w:t>que</w:t>
      </w:r>
      <w:r w:rsidRPr="003A7739">
        <w:rPr>
          <w:rFonts w:ascii="Verdana" w:eastAsia="Arial MT" w:hAnsi="Verdana" w:cs="Arial"/>
          <w:color w:val="000000"/>
          <w:spacing w:val="1"/>
          <w:sz w:val="16"/>
          <w:szCs w:val="16"/>
          <w:lang w:val="es-ES"/>
        </w:rPr>
        <w:t xml:space="preserve"> </w:t>
      </w:r>
      <w:r w:rsidRPr="003A7739">
        <w:rPr>
          <w:rFonts w:ascii="Verdana" w:eastAsia="Arial MT" w:hAnsi="Verdana" w:cs="Arial"/>
          <w:color w:val="000000"/>
          <w:sz w:val="16"/>
          <w:szCs w:val="16"/>
          <w:lang w:val="es-ES"/>
        </w:rPr>
        <w:t>la</w:t>
      </w:r>
      <w:r w:rsidRPr="003A7739">
        <w:rPr>
          <w:rFonts w:ascii="Verdana" w:eastAsia="Arial MT" w:hAnsi="Verdana" w:cs="Arial"/>
          <w:color w:val="000000"/>
          <w:spacing w:val="1"/>
          <w:sz w:val="16"/>
          <w:szCs w:val="16"/>
          <w:lang w:val="es-ES"/>
        </w:rPr>
        <w:t xml:space="preserve"> </w:t>
      </w:r>
      <w:r w:rsidRPr="003A7739">
        <w:rPr>
          <w:rFonts w:ascii="Verdana" w:eastAsia="Arial MT" w:hAnsi="Verdana" w:cs="Arial"/>
          <w:color w:val="000000"/>
          <w:sz w:val="16"/>
          <w:szCs w:val="16"/>
          <w:lang w:val="es-ES"/>
        </w:rPr>
        <w:t>obligación de vigilar la correcta ejecución del objeto contractual es una función de la entidad</w:t>
      </w:r>
      <w:r w:rsidRPr="003A7739">
        <w:rPr>
          <w:rFonts w:ascii="Verdana" w:eastAsia="Arial MT" w:hAnsi="Verdana" w:cs="Arial"/>
          <w:color w:val="000000"/>
          <w:spacing w:val="1"/>
          <w:sz w:val="16"/>
          <w:szCs w:val="16"/>
          <w:lang w:val="es-ES"/>
        </w:rPr>
        <w:t xml:space="preserve"> </w:t>
      </w:r>
      <w:r w:rsidRPr="003A7739">
        <w:rPr>
          <w:rFonts w:ascii="Verdana" w:eastAsia="Arial MT" w:hAnsi="Verdana" w:cs="Arial"/>
          <w:color w:val="000000"/>
          <w:sz w:val="16"/>
          <w:szCs w:val="16"/>
          <w:lang w:val="es-ES"/>
        </w:rPr>
        <w:t>contratante,</w:t>
      </w:r>
      <w:r w:rsidRPr="003A7739">
        <w:rPr>
          <w:rFonts w:ascii="Verdana" w:eastAsia="Arial MT" w:hAnsi="Verdana" w:cs="Arial"/>
          <w:color w:val="000000"/>
          <w:spacing w:val="1"/>
          <w:sz w:val="16"/>
          <w:szCs w:val="16"/>
          <w:lang w:val="es-ES"/>
        </w:rPr>
        <w:t xml:space="preserve"> </w:t>
      </w:r>
      <w:r w:rsidRPr="003A7739">
        <w:rPr>
          <w:rFonts w:ascii="Verdana" w:eastAsia="Arial MT" w:hAnsi="Verdana" w:cs="Arial"/>
          <w:color w:val="000000"/>
          <w:sz w:val="16"/>
          <w:szCs w:val="16"/>
          <w:lang w:val="es-ES"/>
        </w:rPr>
        <w:t>en</w:t>
      </w:r>
      <w:r w:rsidRPr="003A7739">
        <w:rPr>
          <w:rFonts w:ascii="Verdana" w:eastAsia="Arial MT" w:hAnsi="Verdana" w:cs="Arial"/>
          <w:color w:val="000000"/>
          <w:spacing w:val="-2"/>
          <w:sz w:val="16"/>
          <w:szCs w:val="16"/>
          <w:lang w:val="es-ES"/>
        </w:rPr>
        <w:t xml:space="preserve"> </w:t>
      </w:r>
      <w:r w:rsidRPr="003A7739">
        <w:rPr>
          <w:rFonts w:ascii="Verdana" w:eastAsia="Arial MT" w:hAnsi="Verdana" w:cs="Arial"/>
          <w:color w:val="000000"/>
          <w:sz w:val="16"/>
          <w:szCs w:val="16"/>
          <w:lang w:val="es-ES"/>
        </w:rPr>
        <w:t>los siguientes</w:t>
      </w:r>
      <w:r w:rsidRPr="003A7739">
        <w:rPr>
          <w:rFonts w:ascii="Verdana" w:eastAsia="Arial MT" w:hAnsi="Verdana" w:cs="Arial"/>
          <w:color w:val="000000"/>
          <w:spacing w:val="-1"/>
          <w:sz w:val="16"/>
          <w:szCs w:val="16"/>
          <w:lang w:val="es-ES"/>
        </w:rPr>
        <w:t xml:space="preserve"> </w:t>
      </w:r>
      <w:r w:rsidRPr="003A7739">
        <w:rPr>
          <w:rFonts w:ascii="Verdana" w:eastAsia="Arial MT" w:hAnsi="Verdana" w:cs="Arial"/>
          <w:color w:val="000000"/>
          <w:sz w:val="16"/>
          <w:szCs w:val="16"/>
          <w:lang w:val="es-ES"/>
        </w:rPr>
        <w:t>términos: “La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 (</w:t>
      </w:r>
      <w:r w:rsidRPr="003A7739">
        <w:rPr>
          <w:rFonts w:ascii="Verdana" w:eastAsia="Calibri" w:hAnsi="Verdana" w:cs="Arial"/>
          <w:spacing w:val="-1"/>
          <w:sz w:val="16"/>
          <w:szCs w:val="16"/>
          <w:lang w:val="es-CO"/>
        </w:rPr>
        <w:t>Consejo</w:t>
      </w:r>
      <w:r w:rsidRPr="003A7739">
        <w:rPr>
          <w:rFonts w:ascii="Verdana" w:eastAsia="Calibri" w:hAnsi="Verdana" w:cs="Arial"/>
          <w:spacing w:val="-13"/>
          <w:sz w:val="16"/>
          <w:szCs w:val="16"/>
          <w:lang w:val="es-CO"/>
        </w:rPr>
        <w:t xml:space="preserve"> </w:t>
      </w:r>
      <w:r w:rsidRPr="003A7739">
        <w:rPr>
          <w:rFonts w:ascii="Verdana" w:eastAsia="Calibri" w:hAnsi="Verdana" w:cs="Arial"/>
          <w:spacing w:val="-1"/>
          <w:sz w:val="16"/>
          <w:szCs w:val="16"/>
          <w:lang w:val="es-CO"/>
        </w:rPr>
        <w:t>de</w:t>
      </w:r>
      <w:r w:rsidRPr="003A7739">
        <w:rPr>
          <w:rFonts w:ascii="Verdana" w:eastAsia="Calibri" w:hAnsi="Verdana" w:cs="Arial"/>
          <w:spacing w:val="-13"/>
          <w:sz w:val="16"/>
          <w:szCs w:val="16"/>
          <w:lang w:val="es-CO"/>
        </w:rPr>
        <w:t xml:space="preserve"> </w:t>
      </w:r>
      <w:r w:rsidRPr="003A7739">
        <w:rPr>
          <w:rFonts w:ascii="Verdana" w:eastAsia="Calibri" w:hAnsi="Verdana" w:cs="Arial"/>
          <w:spacing w:val="-1"/>
          <w:sz w:val="16"/>
          <w:szCs w:val="16"/>
          <w:lang w:val="es-CO"/>
        </w:rPr>
        <w:t>Estado.</w:t>
      </w:r>
      <w:r w:rsidRPr="003A7739">
        <w:rPr>
          <w:rFonts w:ascii="Verdana" w:eastAsia="Calibri" w:hAnsi="Verdana" w:cs="Arial"/>
          <w:spacing w:val="-12"/>
          <w:sz w:val="16"/>
          <w:szCs w:val="16"/>
          <w:lang w:val="es-CO"/>
        </w:rPr>
        <w:t xml:space="preserve"> </w:t>
      </w:r>
      <w:r w:rsidRPr="003A7739">
        <w:rPr>
          <w:rFonts w:ascii="Verdana" w:eastAsia="Calibri" w:hAnsi="Verdana" w:cs="Arial"/>
          <w:spacing w:val="-1"/>
          <w:sz w:val="16"/>
          <w:szCs w:val="16"/>
          <w:lang w:val="es-CO"/>
        </w:rPr>
        <w:t>Sección</w:t>
      </w:r>
      <w:r w:rsidRPr="003A7739">
        <w:rPr>
          <w:rFonts w:ascii="Verdana" w:eastAsia="Calibri" w:hAnsi="Verdana" w:cs="Arial"/>
          <w:spacing w:val="-11"/>
          <w:sz w:val="16"/>
          <w:szCs w:val="16"/>
          <w:lang w:val="es-CO"/>
        </w:rPr>
        <w:t xml:space="preserve"> </w:t>
      </w:r>
      <w:r w:rsidRPr="003A7739">
        <w:rPr>
          <w:rFonts w:ascii="Verdana" w:eastAsia="Calibri" w:hAnsi="Verdana" w:cs="Arial"/>
          <w:sz w:val="16"/>
          <w:szCs w:val="16"/>
          <w:lang w:val="es-CO"/>
        </w:rPr>
        <w:t xml:space="preserve">Tercera, Subsección C. </w:t>
      </w:r>
      <w:r w:rsidRPr="003A7739">
        <w:rPr>
          <w:rFonts w:ascii="Verdana" w:eastAsia="Calibri" w:hAnsi="Verdana" w:cs="Arial"/>
          <w:spacing w:val="-12"/>
          <w:sz w:val="16"/>
          <w:szCs w:val="16"/>
          <w:lang w:val="es-CO"/>
        </w:rPr>
        <w:t xml:space="preserve"> </w:t>
      </w:r>
      <w:r w:rsidRPr="003A7739">
        <w:rPr>
          <w:rFonts w:ascii="Verdana" w:eastAsia="Calibri" w:hAnsi="Verdana" w:cs="Arial"/>
          <w:sz w:val="16"/>
          <w:szCs w:val="16"/>
          <w:lang w:val="es-CO"/>
        </w:rPr>
        <w:t>Sentencia</w:t>
      </w:r>
      <w:r w:rsidRPr="003A7739">
        <w:rPr>
          <w:rFonts w:ascii="Verdana" w:eastAsia="Calibri" w:hAnsi="Verdana" w:cs="Arial"/>
          <w:spacing w:val="-12"/>
          <w:sz w:val="16"/>
          <w:szCs w:val="16"/>
          <w:lang w:val="es-CO"/>
        </w:rPr>
        <w:t xml:space="preserve"> </w:t>
      </w:r>
      <w:r w:rsidRPr="003A7739">
        <w:rPr>
          <w:rFonts w:ascii="Verdana" w:eastAsia="Calibri" w:hAnsi="Verdana" w:cs="Arial"/>
          <w:sz w:val="16"/>
          <w:szCs w:val="16"/>
          <w:lang w:val="es-CO"/>
        </w:rPr>
        <w:t>del</w:t>
      </w:r>
      <w:r w:rsidRPr="003A7739">
        <w:rPr>
          <w:rFonts w:ascii="Verdana" w:eastAsia="Calibri" w:hAnsi="Verdana" w:cs="Arial"/>
          <w:spacing w:val="-11"/>
          <w:sz w:val="16"/>
          <w:szCs w:val="16"/>
          <w:lang w:val="es-CO"/>
        </w:rPr>
        <w:t xml:space="preserve"> </w:t>
      </w:r>
      <w:r w:rsidRPr="003A7739">
        <w:rPr>
          <w:rFonts w:ascii="Verdana" w:eastAsia="Calibri" w:hAnsi="Verdana" w:cs="Arial"/>
          <w:sz w:val="16"/>
          <w:szCs w:val="16"/>
          <w:lang w:val="es-CO"/>
        </w:rPr>
        <w:t>27</w:t>
      </w:r>
      <w:r w:rsidRPr="003A7739">
        <w:rPr>
          <w:rFonts w:ascii="Verdana" w:eastAsia="Calibri" w:hAnsi="Verdana" w:cs="Arial"/>
          <w:spacing w:val="-14"/>
          <w:sz w:val="16"/>
          <w:szCs w:val="16"/>
          <w:lang w:val="es-CO"/>
        </w:rPr>
        <w:t xml:space="preserve"> </w:t>
      </w:r>
      <w:r w:rsidRPr="003A7739">
        <w:rPr>
          <w:rFonts w:ascii="Verdana" w:eastAsia="Calibri" w:hAnsi="Verdana" w:cs="Arial"/>
          <w:sz w:val="16"/>
          <w:szCs w:val="16"/>
          <w:lang w:val="es-CO"/>
        </w:rPr>
        <w:t>de</w:t>
      </w:r>
      <w:r w:rsidRPr="003A7739">
        <w:rPr>
          <w:rFonts w:ascii="Verdana" w:eastAsia="Calibri" w:hAnsi="Verdana" w:cs="Arial"/>
          <w:spacing w:val="-12"/>
          <w:sz w:val="16"/>
          <w:szCs w:val="16"/>
          <w:lang w:val="es-CO"/>
        </w:rPr>
        <w:t xml:space="preserve"> </w:t>
      </w:r>
      <w:r w:rsidRPr="003A7739">
        <w:rPr>
          <w:rFonts w:ascii="Verdana" w:eastAsia="Calibri" w:hAnsi="Verdana" w:cs="Arial"/>
          <w:sz w:val="16"/>
          <w:szCs w:val="16"/>
          <w:lang w:val="es-CO"/>
        </w:rPr>
        <w:t>noviembre</w:t>
      </w:r>
      <w:r w:rsidRPr="003A7739">
        <w:rPr>
          <w:rFonts w:ascii="Verdana" w:eastAsia="Calibri" w:hAnsi="Verdana" w:cs="Arial"/>
          <w:spacing w:val="-12"/>
          <w:sz w:val="16"/>
          <w:szCs w:val="16"/>
          <w:lang w:val="es-CO"/>
        </w:rPr>
        <w:t xml:space="preserve"> </w:t>
      </w:r>
      <w:r w:rsidRPr="003A7739">
        <w:rPr>
          <w:rFonts w:ascii="Verdana" w:eastAsia="Calibri" w:hAnsi="Verdana" w:cs="Arial"/>
          <w:sz w:val="16"/>
          <w:szCs w:val="16"/>
          <w:lang w:val="es-CO"/>
        </w:rPr>
        <w:t>de</w:t>
      </w:r>
      <w:r w:rsidRPr="003A7739">
        <w:rPr>
          <w:rFonts w:ascii="Verdana" w:eastAsia="Calibri" w:hAnsi="Verdana" w:cs="Arial"/>
          <w:spacing w:val="-12"/>
          <w:sz w:val="16"/>
          <w:szCs w:val="16"/>
          <w:lang w:val="es-CO"/>
        </w:rPr>
        <w:t xml:space="preserve"> </w:t>
      </w:r>
      <w:r w:rsidRPr="003A7739">
        <w:rPr>
          <w:rFonts w:ascii="Verdana" w:eastAsia="Calibri" w:hAnsi="Verdana" w:cs="Arial"/>
          <w:sz w:val="16"/>
          <w:szCs w:val="16"/>
          <w:lang w:val="es-CO"/>
        </w:rPr>
        <w:t>2017.</w:t>
      </w:r>
      <w:r w:rsidRPr="003A7739">
        <w:rPr>
          <w:rFonts w:ascii="Verdana" w:eastAsia="Calibri" w:hAnsi="Verdana" w:cs="Arial"/>
          <w:spacing w:val="-8"/>
          <w:sz w:val="16"/>
          <w:szCs w:val="16"/>
          <w:lang w:val="es-CO"/>
        </w:rPr>
        <w:t xml:space="preserve"> </w:t>
      </w:r>
      <w:r w:rsidRPr="003A7739">
        <w:rPr>
          <w:rFonts w:ascii="Verdana" w:eastAsia="Calibri" w:hAnsi="Verdana" w:cs="Arial"/>
          <w:sz w:val="16"/>
          <w:szCs w:val="16"/>
          <w:lang w:val="es-CO"/>
        </w:rPr>
        <w:t>Exp.</w:t>
      </w:r>
      <w:r w:rsidRPr="003A7739">
        <w:rPr>
          <w:rFonts w:ascii="Verdana" w:eastAsia="Calibri" w:hAnsi="Verdana" w:cs="Arial"/>
          <w:spacing w:val="-12"/>
          <w:sz w:val="16"/>
          <w:szCs w:val="16"/>
          <w:lang w:val="es-CO"/>
        </w:rPr>
        <w:t xml:space="preserve"> </w:t>
      </w:r>
      <w:r w:rsidRPr="003A7739">
        <w:rPr>
          <w:rFonts w:ascii="Verdana" w:eastAsia="Calibri" w:hAnsi="Verdana" w:cs="Arial"/>
          <w:sz w:val="16"/>
          <w:szCs w:val="16"/>
          <w:lang w:val="es-CO"/>
        </w:rPr>
        <w:t>51.802.</w:t>
      </w:r>
      <w:r w:rsidRPr="003A7739">
        <w:rPr>
          <w:rFonts w:ascii="Verdana" w:eastAsia="Calibri" w:hAnsi="Verdana" w:cs="Arial"/>
          <w:spacing w:val="-9"/>
          <w:sz w:val="16"/>
          <w:szCs w:val="16"/>
          <w:lang w:val="es-CO"/>
        </w:rPr>
        <w:t xml:space="preserve"> </w:t>
      </w:r>
      <w:r w:rsidRPr="003A7739">
        <w:rPr>
          <w:rFonts w:ascii="Verdana" w:eastAsia="Calibri" w:hAnsi="Verdana" w:cs="Arial"/>
          <w:sz w:val="16"/>
          <w:szCs w:val="16"/>
          <w:lang w:val="es-CO"/>
        </w:rPr>
        <w:t>M.P.</w:t>
      </w:r>
      <w:r w:rsidRPr="003A7739">
        <w:rPr>
          <w:rFonts w:ascii="Verdana" w:eastAsia="Calibri" w:hAnsi="Verdana" w:cs="Arial"/>
          <w:spacing w:val="-12"/>
          <w:sz w:val="16"/>
          <w:szCs w:val="16"/>
          <w:lang w:val="es-CO"/>
        </w:rPr>
        <w:t xml:space="preserve"> </w:t>
      </w:r>
      <w:r w:rsidRPr="003A7739">
        <w:rPr>
          <w:rFonts w:ascii="Verdana" w:eastAsia="Calibri" w:hAnsi="Verdana" w:cs="Arial"/>
          <w:sz w:val="16"/>
          <w:szCs w:val="16"/>
          <w:lang w:val="es-CO"/>
        </w:rPr>
        <w:t>Jaime</w:t>
      </w:r>
      <w:r w:rsidRPr="003A7739">
        <w:rPr>
          <w:rFonts w:ascii="Verdana" w:eastAsia="Calibri" w:hAnsi="Verdana" w:cs="Arial"/>
          <w:spacing w:val="-47"/>
          <w:sz w:val="16"/>
          <w:szCs w:val="16"/>
          <w:lang w:val="es-CO"/>
        </w:rPr>
        <w:t xml:space="preserve"> </w:t>
      </w:r>
      <w:r w:rsidRPr="003A7739">
        <w:rPr>
          <w:rFonts w:ascii="Verdana" w:eastAsia="Calibri" w:hAnsi="Verdana" w:cs="Arial"/>
          <w:sz w:val="16"/>
          <w:szCs w:val="16"/>
          <w:lang w:val="es-CO"/>
        </w:rPr>
        <w:t>Orlando</w:t>
      </w:r>
      <w:r w:rsidRPr="003A7739">
        <w:rPr>
          <w:rFonts w:ascii="Verdana" w:eastAsia="Calibri" w:hAnsi="Verdana" w:cs="Arial"/>
          <w:spacing w:val="-1"/>
          <w:sz w:val="16"/>
          <w:szCs w:val="16"/>
          <w:lang w:val="es-CO"/>
        </w:rPr>
        <w:t xml:space="preserve"> </w:t>
      </w:r>
      <w:r w:rsidRPr="003A7739">
        <w:rPr>
          <w:rFonts w:ascii="Verdana" w:eastAsia="Calibri" w:hAnsi="Verdana" w:cs="Arial"/>
          <w:sz w:val="16"/>
          <w:szCs w:val="16"/>
          <w:lang w:val="es-CO"/>
        </w:rPr>
        <w:t>Santofimio).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8452AE" w:rsidRDefault="008452AE"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8452AE" w:rsidRDefault="008452AE">
    <w:pPr>
      <w:pStyle w:val="Encabezado"/>
    </w:pPr>
  </w:p>
  <w:p w14:paraId="5E18350A" w14:textId="705F7B76" w:rsidR="008452AE" w:rsidRPr="004A305D" w:rsidRDefault="008452AE" w:rsidP="00B01B1A">
    <w:pPr>
      <w:spacing w:after="0" w:line="120" w:lineRule="auto"/>
      <w:rPr>
        <w:rFonts w:ascii="Century Gothic" w:eastAsia="Geo" w:hAnsi="Century Gothic" w:cs="Geo"/>
        <w:sz w:val="16"/>
        <w:szCs w:val="16"/>
        <w:lang w:eastAsia="es-CO"/>
      </w:rPr>
    </w:pPr>
  </w:p>
  <w:p w14:paraId="211B7F5D" w14:textId="77777777" w:rsidR="008452AE" w:rsidRDefault="008452AE" w:rsidP="00844AE9">
    <w:pPr>
      <w:spacing w:after="0" w:line="240" w:lineRule="auto"/>
      <w:rPr>
        <w:rFonts w:ascii="Verdana" w:hAnsi="Verdana"/>
        <w:sz w:val="24"/>
        <w:szCs w:val="24"/>
      </w:rPr>
    </w:pPr>
  </w:p>
  <w:p w14:paraId="5A0054B1" w14:textId="77777777" w:rsidR="008452AE" w:rsidRPr="00C925AC" w:rsidRDefault="008452AE" w:rsidP="00844AE9">
    <w:pPr>
      <w:spacing w:after="0" w:line="240" w:lineRule="auto"/>
      <w:rPr>
        <w:rFonts w:ascii="Verdana" w:hAnsi="Verdana"/>
        <w:sz w:val="24"/>
        <w:szCs w:val="24"/>
      </w:rPr>
    </w:pPr>
  </w:p>
  <w:p w14:paraId="1FD1C243" w14:textId="37C5500A" w:rsidR="008452AE" w:rsidRPr="00C925AC" w:rsidRDefault="008452AE"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8" type="#_x0000_t75" style="width:11.45pt;height:11.4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5"/>
  </w:num>
  <w:num w:numId="8">
    <w:abstractNumId w:val="12"/>
  </w:num>
  <w:num w:numId="9">
    <w:abstractNumId w:val="7"/>
  </w:num>
  <w:num w:numId="10">
    <w:abstractNumId w:val="11"/>
  </w:num>
  <w:num w:numId="11">
    <w:abstractNumId w:val="8"/>
  </w:num>
  <w:num w:numId="12">
    <w:abstractNumId w:val="0"/>
  </w:num>
  <w:num w:numId="13">
    <w:abstractNumId w:val="2"/>
  </w:num>
  <w:num w:numId="14">
    <w:abstractNumId w:val="14"/>
  </w:num>
  <w:num w:numId="15">
    <w:abstractNumId w:val="10"/>
  </w:num>
  <w:num w:numId="16">
    <w:abstractNumId w:val="3"/>
  </w:num>
  <w:num w:numId="17">
    <w:abstractNumId w:val="9"/>
  </w:num>
  <w:num w:numId="18">
    <w:abstractNumId w:val="15"/>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3830"/>
    <w:rsid w:val="00016F78"/>
    <w:rsid w:val="00035DF5"/>
    <w:rsid w:val="00037B78"/>
    <w:rsid w:val="00046945"/>
    <w:rsid w:val="00047EC5"/>
    <w:rsid w:val="00061B2A"/>
    <w:rsid w:val="00082362"/>
    <w:rsid w:val="00082448"/>
    <w:rsid w:val="00097627"/>
    <w:rsid w:val="000A683E"/>
    <w:rsid w:val="000B19B9"/>
    <w:rsid w:val="000B2F1D"/>
    <w:rsid w:val="000C32A3"/>
    <w:rsid w:val="000D0334"/>
    <w:rsid w:val="000D5DA7"/>
    <w:rsid w:val="000F6486"/>
    <w:rsid w:val="00116940"/>
    <w:rsid w:val="00117544"/>
    <w:rsid w:val="00125105"/>
    <w:rsid w:val="00126B92"/>
    <w:rsid w:val="00127233"/>
    <w:rsid w:val="001357B2"/>
    <w:rsid w:val="00136941"/>
    <w:rsid w:val="0015699B"/>
    <w:rsid w:val="00197609"/>
    <w:rsid w:val="001A33BF"/>
    <w:rsid w:val="001A61AD"/>
    <w:rsid w:val="001B3403"/>
    <w:rsid w:val="001E4177"/>
    <w:rsid w:val="001F0B24"/>
    <w:rsid w:val="001F7DC6"/>
    <w:rsid w:val="00204A1B"/>
    <w:rsid w:val="0022400B"/>
    <w:rsid w:val="002421BB"/>
    <w:rsid w:val="0025796E"/>
    <w:rsid w:val="002707A2"/>
    <w:rsid w:val="002951A0"/>
    <w:rsid w:val="002962BC"/>
    <w:rsid w:val="002A093D"/>
    <w:rsid w:val="002A0DD0"/>
    <w:rsid w:val="002A49AC"/>
    <w:rsid w:val="002A64FD"/>
    <w:rsid w:val="002B1EF4"/>
    <w:rsid w:val="002B72B5"/>
    <w:rsid w:val="002B730F"/>
    <w:rsid w:val="002C73CC"/>
    <w:rsid w:val="002C7A84"/>
    <w:rsid w:val="002E2BF8"/>
    <w:rsid w:val="002E4FD9"/>
    <w:rsid w:val="002E6104"/>
    <w:rsid w:val="002F4390"/>
    <w:rsid w:val="002F4750"/>
    <w:rsid w:val="002F6044"/>
    <w:rsid w:val="0030657A"/>
    <w:rsid w:val="00322A85"/>
    <w:rsid w:val="00324168"/>
    <w:rsid w:val="00330834"/>
    <w:rsid w:val="00331E14"/>
    <w:rsid w:val="00334489"/>
    <w:rsid w:val="003448F4"/>
    <w:rsid w:val="003504CF"/>
    <w:rsid w:val="0037015E"/>
    <w:rsid w:val="00374F5E"/>
    <w:rsid w:val="00377E3E"/>
    <w:rsid w:val="00397E8F"/>
    <w:rsid w:val="003A7739"/>
    <w:rsid w:val="003A779E"/>
    <w:rsid w:val="003C5A95"/>
    <w:rsid w:val="003D0F4D"/>
    <w:rsid w:val="003D5B0D"/>
    <w:rsid w:val="003E0499"/>
    <w:rsid w:val="003E1AFE"/>
    <w:rsid w:val="003E348A"/>
    <w:rsid w:val="003E4F80"/>
    <w:rsid w:val="003E6439"/>
    <w:rsid w:val="003F3941"/>
    <w:rsid w:val="003F4B36"/>
    <w:rsid w:val="00406575"/>
    <w:rsid w:val="0041465D"/>
    <w:rsid w:val="00414C74"/>
    <w:rsid w:val="0042722E"/>
    <w:rsid w:val="00441434"/>
    <w:rsid w:val="004427A2"/>
    <w:rsid w:val="0044528D"/>
    <w:rsid w:val="00445530"/>
    <w:rsid w:val="00457DB0"/>
    <w:rsid w:val="00466E39"/>
    <w:rsid w:val="00482B83"/>
    <w:rsid w:val="004874D3"/>
    <w:rsid w:val="004A1847"/>
    <w:rsid w:val="004A305D"/>
    <w:rsid w:val="004B4E88"/>
    <w:rsid w:val="004C33E4"/>
    <w:rsid w:val="004D62C6"/>
    <w:rsid w:val="004F21C4"/>
    <w:rsid w:val="004F5C2E"/>
    <w:rsid w:val="004F685F"/>
    <w:rsid w:val="00500525"/>
    <w:rsid w:val="00503FCD"/>
    <w:rsid w:val="00525E40"/>
    <w:rsid w:val="00530A1F"/>
    <w:rsid w:val="005566E8"/>
    <w:rsid w:val="005637FA"/>
    <w:rsid w:val="00574867"/>
    <w:rsid w:val="005773C9"/>
    <w:rsid w:val="00591460"/>
    <w:rsid w:val="005A65E0"/>
    <w:rsid w:val="005B7638"/>
    <w:rsid w:val="005C3777"/>
    <w:rsid w:val="005C5CDC"/>
    <w:rsid w:val="005D476C"/>
    <w:rsid w:val="006200BF"/>
    <w:rsid w:val="006219F8"/>
    <w:rsid w:val="006302F7"/>
    <w:rsid w:val="0063475B"/>
    <w:rsid w:val="006420BD"/>
    <w:rsid w:val="00646B9F"/>
    <w:rsid w:val="00665D70"/>
    <w:rsid w:val="006745D3"/>
    <w:rsid w:val="006827DE"/>
    <w:rsid w:val="00683566"/>
    <w:rsid w:val="006900D9"/>
    <w:rsid w:val="0069331C"/>
    <w:rsid w:val="00694B36"/>
    <w:rsid w:val="00704572"/>
    <w:rsid w:val="00706C16"/>
    <w:rsid w:val="007340C3"/>
    <w:rsid w:val="0075235A"/>
    <w:rsid w:val="0075262A"/>
    <w:rsid w:val="00756841"/>
    <w:rsid w:val="0076175D"/>
    <w:rsid w:val="007649AB"/>
    <w:rsid w:val="00771D0C"/>
    <w:rsid w:val="007833AC"/>
    <w:rsid w:val="007A1830"/>
    <w:rsid w:val="007B268C"/>
    <w:rsid w:val="007B7171"/>
    <w:rsid w:val="007C0C0F"/>
    <w:rsid w:val="007C3DC2"/>
    <w:rsid w:val="007D5B3F"/>
    <w:rsid w:val="007E5497"/>
    <w:rsid w:val="007F2B3F"/>
    <w:rsid w:val="00804BDA"/>
    <w:rsid w:val="00806F5F"/>
    <w:rsid w:val="00813128"/>
    <w:rsid w:val="00820278"/>
    <w:rsid w:val="008258C9"/>
    <w:rsid w:val="0083378B"/>
    <w:rsid w:val="00844AE9"/>
    <w:rsid w:val="008452AE"/>
    <w:rsid w:val="00867F95"/>
    <w:rsid w:val="00881D12"/>
    <w:rsid w:val="008843B6"/>
    <w:rsid w:val="00891928"/>
    <w:rsid w:val="008A446D"/>
    <w:rsid w:val="008B1BD7"/>
    <w:rsid w:val="008B25F1"/>
    <w:rsid w:val="008B76C7"/>
    <w:rsid w:val="008C087B"/>
    <w:rsid w:val="008D180B"/>
    <w:rsid w:val="008F0EA7"/>
    <w:rsid w:val="008F1B4A"/>
    <w:rsid w:val="008F3DCB"/>
    <w:rsid w:val="00922031"/>
    <w:rsid w:val="00923EEF"/>
    <w:rsid w:val="009419F9"/>
    <w:rsid w:val="0095685E"/>
    <w:rsid w:val="00957C34"/>
    <w:rsid w:val="00961B09"/>
    <w:rsid w:val="00965334"/>
    <w:rsid w:val="0097093E"/>
    <w:rsid w:val="009721AA"/>
    <w:rsid w:val="0098174A"/>
    <w:rsid w:val="009877B5"/>
    <w:rsid w:val="009A0DFA"/>
    <w:rsid w:val="009A3571"/>
    <w:rsid w:val="009A74B4"/>
    <w:rsid w:val="009B2D26"/>
    <w:rsid w:val="009B4089"/>
    <w:rsid w:val="009C1EC5"/>
    <w:rsid w:val="009C60F2"/>
    <w:rsid w:val="009C6AE3"/>
    <w:rsid w:val="009C71FA"/>
    <w:rsid w:val="009C72E7"/>
    <w:rsid w:val="009C7F7E"/>
    <w:rsid w:val="009D3058"/>
    <w:rsid w:val="009F3A13"/>
    <w:rsid w:val="00A122D3"/>
    <w:rsid w:val="00A14468"/>
    <w:rsid w:val="00A17F13"/>
    <w:rsid w:val="00A20739"/>
    <w:rsid w:val="00A23AF9"/>
    <w:rsid w:val="00A33C78"/>
    <w:rsid w:val="00A52377"/>
    <w:rsid w:val="00A77865"/>
    <w:rsid w:val="00AB0ADB"/>
    <w:rsid w:val="00AC78D9"/>
    <w:rsid w:val="00B00C0E"/>
    <w:rsid w:val="00B01B1A"/>
    <w:rsid w:val="00B06FEE"/>
    <w:rsid w:val="00B16B6B"/>
    <w:rsid w:val="00B3286D"/>
    <w:rsid w:val="00B417F6"/>
    <w:rsid w:val="00B44A47"/>
    <w:rsid w:val="00B63408"/>
    <w:rsid w:val="00B66451"/>
    <w:rsid w:val="00B66EBC"/>
    <w:rsid w:val="00B72CD3"/>
    <w:rsid w:val="00B72FFF"/>
    <w:rsid w:val="00B73E61"/>
    <w:rsid w:val="00B90BEF"/>
    <w:rsid w:val="00BC3D36"/>
    <w:rsid w:val="00BD54A6"/>
    <w:rsid w:val="00BD7F72"/>
    <w:rsid w:val="00BF7425"/>
    <w:rsid w:val="00C04FB3"/>
    <w:rsid w:val="00C11D8B"/>
    <w:rsid w:val="00C167F4"/>
    <w:rsid w:val="00C330EB"/>
    <w:rsid w:val="00C50D69"/>
    <w:rsid w:val="00C5365C"/>
    <w:rsid w:val="00C754BE"/>
    <w:rsid w:val="00C76B1C"/>
    <w:rsid w:val="00C925AC"/>
    <w:rsid w:val="00CB6357"/>
    <w:rsid w:val="00CC1B26"/>
    <w:rsid w:val="00D361FD"/>
    <w:rsid w:val="00D423A2"/>
    <w:rsid w:val="00D44E26"/>
    <w:rsid w:val="00D51245"/>
    <w:rsid w:val="00D520D8"/>
    <w:rsid w:val="00D532F2"/>
    <w:rsid w:val="00D56C02"/>
    <w:rsid w:val="00D62B39"/>
    <w:rsid w:val="00D63AC2"/>
    <w:rsid w:val="00D7383B"/>
    <w:rsid w:val="00D7788A"/>
    <w:rsid w:val="00D77ED5"/>
    <w:rsid w:val="00D85536"/>
    <w:rsid w:val="00DA231B"/>
    <w:rsid w:val="00DB442D"/>
    <w:rsid w:val="00DC39FC"/>
    <w:rsid w:val="00DF2A39"/>
    <w:rsid w:val="00DF5254"/>
    <w:rsid w:val="00E02524"/>
    <w:rsid w:val="00E16408"/>
    <w:rsid w:val="00E20894"/>
    <w:rsid w:val="00E245AB"/>
    <w:rsid w:val="00E2764C"/>
    <w:rsid w:val="00E27F2E"/>
    <w:rsid w:val="00E50AFE"/>
    <w:rsid w:val="00E75C92"/>
    <w:rsid w:val="00E771DC"/>
    <w:rsid w:val="00E8505A"/>
    <w:rsid w:val="00E8772A"/>
    <w:rsid w:val="00E90F6B"/>
    <w:rsid w:val="00E92C27"/>
    <w:rsid w:val="00EA0E3D"/>
    <w:rsid w:val="00EA2550"/>
    <w:rsid w:val="00EB6668"/>
    <w:rsid w:val="00EC195D"/>
    <w:rsid w:val="00EC38A7"/>
    <w:rsid w:val="00EE1AA8"/>
    <w:rsid w:val="00EE7B18"/>
    <w:rsid w:val="00F000D3"/>
    <w:rsid w:val="00F11799"/>
    <w:rsid w:val="00F23FEA"/>
    <w:rsid w:val="00F27984"/>
    <w:rsid w:val="00F27B7B"/>
    <w:rsid w:val="00F31EDC"/>
    <w:rsid w:val="00F462B3"/>
    <w:rsid w:val="00F54E0C"/>
    <w:rsid w:val="00F5664F"/>
    <w:rsid w:val="00F666C4"/>
    <w:rsid w:val="00F76AFC"/>
    <w:rsid w:val="00F8569A"/>
    <w:rsid w:val="00F93BFD"/>
    <w:rsid w:val="00FA47C0"/>
    <w:rsid w:val="00FB0B6D"/>
    <w:rsid w:val="00FB5DD1"/>
    <w:rsid w:val="00FC2B5D"/>
    <w:rsid w:val="00FD0452"/>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32A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04CF"/>
    <w:rPr>
      <w:rFonts w:ascii="Geomanist Light" w:hAnsi="Geomanist Light"/>
      <w:lang w:val="es-ES"/>
    </w:rPr>
  </w:style>
  <w:style w:type="character" w:styleId="Textoennegrita">
    <w:name w:val="Strong"/>
    <w:basedOn w:val="Fuentedeprrafopredeter"/>
    <w:uiPriority w:val="22"/>
    <w:qFormat/>
    <w:rsid w:val="003E348A"/>
    <w:rPr>
      <w:b/>
      <w:bCs/>
    </w:rPr>
  </w:style>
  <w:style w:type="character" w:customStyle="1" w:styleId="NormalWebCar">
    <w:name w:val="Normal (Web) Car"/>
    <w:link w:val="NormalWeb"/>
    <w:uiPriority w:val="99"/>
    <w:locked/>
    <w:rsid w:val="003E348A"/>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83378B"/>
    <w:pPr>
      <w:spacing w:after="120"/>
    </w:pPr>
  </w:style>
  <w:style w:type="character" w:customStyle="1" w:styleId="TextoindependienteCar">
    <w:name w:val="Texto independiente Car"/>
    <w:basedOn w:val="Fuentedeprrafopredeter"/>
    <w:link w:val="Textoindependiente"/>
    <w:uiPriority w:val="99"/>
    <w:semiHidden/>
    <w:rsid w:val="0083378B"/>
  </w:style>
  <w:style w:type="paragraph" w:styleId="Sinespaciado">
    <w:name w:val="No Spacing"/>
    <w:uiPriority w:val="1"/>
    <w:qFormat/>
    <w:rsid w:val="004F5C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2017-Guia-para-el-manejo-de-anticipos-mediante-contrato-de-fiducia-mercantil-irrevocable-G-MACFMI-01.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buitrago816@gmail.com;correspondencia@secretariajuridica.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2017-Guia-para-el-manejo-de-anticipos-mediante-contrato-de-fiducia-mercantil-irrevocable-G-MACFMI-01.pdf" TargetMode="External"/><Relationship Id="rId1" Type="http://schemas.openxmlformats.org/officeDocument/2006/relationships/hyperlink" Target="http://svrpubindc.imprenta.gov.co/senado/index.xhtml;jsessionid=b3ba7213a248bacd37376ffcedc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DBD51F-A6D9-4A57-AB25-F883430BCCAF}"/>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26328CFE-62FB-4624-AF21-E15A0293C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20</Pages>
  <Words>6112</Words>
  <Characters>34841</Characters>
  <Application>Microsoft Office Word</Application>
  <DocSecurity>0</DocSecurity>
  <Lines>290</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5</cp:revision>
  <cp:lastPrinted>2023-01-10T21:18:00Z</cp:lastPrinted>
  <dcterms:created xsi:type="dcterms:W3CDTF">2025-12-20T13:45:00Z</dcterms:created>
  <dcterms:modified xsi:type="dcterms:W3CDTF">2025-12-23T03:41:00Z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