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BEB63" w14:textId="661153A0" w:rsidR="00834CA7" w:rsidRPr="00F00856" w:rsidRDefault="00834CA7" w:rsidP="00834CA7">
      <w:pPr>
        <w:spacing w:after="0" w:line="240" w:lineRule="auto"/>
        <w:jc w:val="both"/>
        <w:rPr>
          <w:rFonts w:ascii="Verdana" w:eastAsia="Times New Roman" w:hAnsi="Verdana" w:cs="Arial"/>
          <w:b/>
          <w:lang w:val="es-ES" w:eastAsia="es-ES_tradnl"/>
        </w:rPr>
      </w:pPr>
      <w:bookmarkStart w:id="0" w:name="_Hlk143780582"/>
      <w:r w:rsidRPr="00F00856">
        <w:rPr>
          <w:rFonts w:ascii="Verdana" w:eastAsia="Calibri" w:hAnsi="Verdana" w:cs="Arial"/>
          <w:b/>
          <w:lang w:val="es-MX" w:eastAsia="es-ES_tradnl"/>
        </w:rPr>
        <w:t xml:space="preserve">CABILDOS INDÍGENAS – AUTORIDADES TRADICIONALES INDÍGENAS – ASOCIACIONES DE CABILDOS INDÍGENAS Y/O AUTORIDADES TRADICIONALES INDÍGENAS – </w:t>
      </w:r>
      <w:r w:rsidR="00F00856" w:rsidRPr="00F00856">
        <w:rPr>
          <w:rFonts w:ascii="Verdana" w:eastAsia="Calibri" w:hAnsi="Verdana" w:cs="Arial"/>
          <w:b/>
          <w:lang w:val="es-MX" w:eastAsia="es-ES_tradnl"/>
        </w:rPr>
        <w:t>CONSEJOS Y ORGANIZACIONES INDÍGENAS</w:t>
      </w:r>
      <w:r w:rsidRPr="00F00856">
        <w:rPr>
          <w:rFonts w:ascii="Verdana" w:eastAsia="Calibri" w:hAnsi="Verdana" w:cs="Arial"/>
          <w:b/>
          <w:lang w:val="es-MX" w:eastAsia="es-ES_tradnl"/>
        </w:rPr>
        <w:t xml:space="preserve"> – Noción – </w:t>
      </w:r>
      <w:r w:rsidRPr="00F00856">
        <w:rPr>
          <w:rFonts w:ascii="Verdana" w:eastAsia="Times New Roman" w:hAnsi="Verdana" w:cs="Arial"/>
          <w:b/>
          <w:lang w:val="es-ES" w:eastAsia="es-ES_tradnl"/>
        </w:rPr>
        <w:t>Régimen de contratación – Decreto 1088 de 1993 – Decreto 252 de 2020 – Ley 2160 de 2021 – Ley 2294 de 2023</w:t>
      </w:r>
    </w:p>
    <w:p w14:paraId="12221267" w14:textId="77777777" w:rsidR="00834CA7" w:rsidRDefault="00834CA7" w:rsidP="00834CA7">
      <w:pPr>
        <w:spacing w:after="0" w:line="240" w:lineRule="auto"/>
        <w:jc w:val="both"/>
        <w:rPr>
          <w:rFonts w:ascii="Verdana" w:eastAsia="Times New Roman" w:hAnsi="Verdana" w:cs="Arial"/>
          <w:b/>
          <w:sz w:val="20"/>
          <w:szCs w:val="20"/>
          <w:lang w:val="es-ES" w:eastAsia="es-ES_tradnl"/>
        </w:rPr>
      </w:pPr>
    </w:p>
    <w:p w14:paraId="4028C04D" w14:textId="77777777" w:rsidR="00834CA7" w:rsidRDefault="00834CA7" w:rsidP="00834CA7">
      <w:pPr>
        <w:spacing w:after="0" w:line="240" w:lineRule="auto"/>
        <w:jc w:val="both"/>
        <w:rPr>
          <w:rFonts w:ascii="Verdana" w:eastAsia="Calibri" w:hAnsi="Verdana" w:cs="Times New Roman"/>
          <w:sz w:val="20"/>
          <w:szCs w:val="20"/>
          <w:lang w:val="es-ES"/>
        </w:rPr>
      </w:pPr>
      <w:r>
        <w:rPr>
          <w:rFonts w:ascii="Verdana" w:eastAsia="Century Gothic" w:hAnsi="Verdana" w:cs="Century Gothic"/>
          <w:sz w:val="20"/>
          <w:szCs w:val="20"/>
          <w:lang w:val="es-ES"/>
        </w:rPr>
        <w:t xml:space="preserve">“[…] </w:t>
      </w:r>
      <w:r>
        <w:rPr>
          <w:rFonts w:ascii="Verdana" w:eastAsia="Calibri" w:hAnsi="Verdana" w:cs="Times New Roman"/>
          <w:sz w:val="20"/>
          <w:szCs w:val="20"/>
          <w:lang w:val="es-ES"/>
        </w:rPr>
        <w:t>Las asociaciones de Cabildos y/o Autoridades Tradicionales Indígenas, en virtud del Decreto 1088 de 1993, son entidades de Derecho Público de carácter especial, con personería jurídica, patrimonio propio y autonomía administrativa. Por lo tanto, tienen la capacidad jurídica para contratar.</w:t>
      </w:r>
    </w:p>
    <w:p w14:paraId="76661D5D" w14:textId="77777777" w:rsidR="00834CA7" w:rsidRDefault="00834CA7" w:rsidP="00834CA7">
      <w:pPr>
        <w:spacing w:after="0" w:line="240" w:lineRule="auto"/>
        <w:jc w:val="both"/>
        <w:rPr>
          <w:rFonts w:ascii="Verdana" w:eastAsia="Calibri" w:hAnsi="Verdana" w:cs="Times New Roman"/>
          <w:sz w:val="20"/>
          <w:szCs w:val="20"/>
          <w:lang w:val="es-ES"/>
        </w:rPr>
      </w:pPr>
    </w:p>
    <w:p w14:paraId="46817F5B" w14:textId="77777777" w:rsidR="00834CA7" w:rsidRDefault="00834CA7" w:rsidP="00834CA7">
      <w:pPr>
        <w:spacing w:after="0" w:line="240" w:lineRule="auto"/>
        <w:jc w:val="both"/>
        <w:rPr>
          <w:rFonts w:ascii="Verdana" w:eastAsia="Century Gothic" w:hAnsi="Verdana" w:cs="Century Gothic"/>
          <w:sz w:val="20"/>
          <w:szCs w:val="20"/>
          <w:lang w:val="es-ES"/>
        </w:rPr>
      </w:pPr>
      <w:r>
        <w:rPr>
          <w:rFonts w:ascii="Verdana" w:eastAsia="Century Gothic" w:hAnsi="Verdana" w:cs="Century Gothic"/>
          <w:sz w:val="20"/>
          <w:szCs w:val="20"/>
          <w:lang w:val="es-ES"/>
        </w:rPr>
        <w:t>Las asociaciones de Cabildos y/o Autoridades Tradicionales Indígenas, así como las organizaciones indígenas, pueden celebrar contratos o convenios de manera directa con las Entidades Estatales de acuerdo con lo contemplado en el Estatuto General de Contratación de la Administración Pública.  En el caso de las organizaciones, esta posibilidad dependerá de que estén conformadas exclusivamente por Cabildos Indígenas, resguardos indígenas, asociaciones de cabildos, asociación de autoridades u otra forma de autoridad indígena propia […]”</w:t>
      </w:r>
    </w:p>
    <w:p w14:paraId="70FFA896" w14:textId="77777777" w:rsidR="00834CA7" w:rsidRDefault="00834CA7" w:rsidP="00834CA7">
      <w:pPr>
        <w:spacing w:after="0" w:line="240" w:lineRule="auto"/>
        <w:jc w:val="both"/>
        <w:rPr>
          <w:rFonts w:ascii="Verdana" w:eastAsia="Times New Roman" w:hAnsi="Verdana" w:cs="Arial"/>
          <w:b/>
          <w:sz w:val="20"/>
          <w:szCs w:val="20"/>
          <w:lang w:val="es-ES" w:eastAsia="es-ES_tradnl"/>
        </w:rPr>
      </w:pPr>
    </w:p>
    <w:p w14:paraId="1AF37D3A" w14:textId="77777777" w:rsidR="00834CA7" w:rsidRDefault="00834CA7" w:rsidP="00834CA7">
      <w:pPr>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La Ley 2160 de 2021, “Por medio del cual se modifica la Ley 80 de 1993 y la Ley 1150 de 2007”, estableció nuevas regulaciones con respecto a la capacidad contractual y naturaleza jurídica de varios tipos de organización, entre ellas los cabildos indígenas y asociaciones de autoridades tradicionales indígenas. Teniendo en cuenta esta filosofía y objetivos buscados en el proyecto de ley, esta modificó, entre otras cosas, el artículo 7 de la Ley 80 de 1993 mediante su artículo 3° […]</w:t>
      </w:r>
    </w:p>
    <w:p w14:paraId="0A17E1EE" w14:textId="77777777" w:rsidR="00834CA7" w:rsidRDefault="00834CA7" w:rsidP="00834CA7">
      <w:pPr>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xml:space="preserve"> </w:t>
      </w:r>
    </w:p>
    <w:p w14:paraId="5143225B" w14:textId="77777777" w:rsidR="00834CA7" w:rsidRDefault="00834CA7" w:rsidP="00834CA7">
      <w:pPr>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w:t>
      </w:r>
    </w:p>
    <w:p w14:paraId="1789CE0F" w14:textId="77777777" w:rsidR="00834CA7" w:rsidRDefault="00834CA7" w:rsidP="00834CA7">
      <w:pPr>
        <w:spacing w:after="0" w:line="240" w:lineRule="auto"/>
        <w:jc w:val="both"/>
        <w:rPr>
          <w:rFonts w:ascii="Verdana" w:eastAsia="Arial" w:hAnsi="Verdana" w:cs="Arial"/>
          <w:sz w:val="20"/>
          <w:szCs w:val="20"/>
          <w:lang w:val="es-ES"/>
        </w:rPr>
      </w:pPr>
    </w:p>
    <w:p w14:paraId="1CB2D67D" w14:textId="77777777" w:rsidR="00834CA7" w:rsidRDefault="00834CA7" w:rsidP="00834CA7">
      <w:pPr>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xml:space="preserve">[…] el anterior artículo fue modificado por el artículo 354 la Ley 2294 de 2023, Por el cual se expide el Plan Nacional de Desarrollo 2022-2026 "Colombia Potencia Mundial de la Vida”, estableciendo una nueva definición para “Asociaciones de autoridades tradicionales indígenas”, denominándola ahora “Asociaciones de cabildos indígenas y/o autoridades tradicionales indígenas” y adicionó como entidad para contratar al “Consejo Indígena” </w:t>
      </w:r>
    </w:p>
    <w:p w14:paraId="13DB465D" w14:textId="77777777" w:rsidR="00834CA7" w:rsidRDefault="00834CA7" w:rsidP="00834CA7">
      <w:pPr>
        <w:spacing w:after="0" w:line="240" w:lineRule="auto"/>
        <w:jc w:val="both"/>
        <w:rPr>
          <w:rFonts w:ascii="Verdana" w:eastAsia="Arial" w:hAnsi="Verdana" w:cs="Arial"/>
          <w:sz w:val="20"/>
          <w:szCs w:val="20"/>
          <w:lang w:val="es-ES"/>
        </w:rPr>
      </w:pPr>
    </w:p>
    <w:p w14:paraId="5E27262A" w14:textId="77777777" w:rsidR="00834CA7" w:rsidRDefault="00834CA7" w:rsidP="00834CA7">
      <w:pPr>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w:t>
      </w:r>
    </w:p>
    <w:p w14:paraId="1EF004EF" w14:textId="77777777" w:rsidR="00834CA7" w:rsidRDefault="00834CA7" w:rsidP="00834CA7">
      <w:pPr>
        <w:spacing w:after="0" w:line="240" w:lineRule="auto"/>
        <w:jc w:val="both"/>
        <w:rPr>
          <w:rFonts w:ascii="Verdana" w:eastAsia="Times New Roman" w:hAnsi="Verdana" w:cs="Arial"/>
          <w:b/>
          <w:sz w:val="20"/>
          <w:szCs w:val="20"/>
          <w:lang w:val="es-ES" w:eastAsia="es-ES_tradnl"/>
        </w:rPr>
      </w:pPr>
    </w:p>
    <w:p w14:paraId="78F9F8F9" w14:textId="77777777" w:rsidR="00834CA7" w:rsidRDefault="00834CA7" w:rsidP="00834CA7">
      <w:pPr>
        <w:spacing w:after="0" w:line="240" w:lineRule="auto"/>
        <w:jc w:val="both"/>
        <w:rPr>
          <w:rFonts w:ascii="Verdana" w:eastAsia="Times New Roman" w:hAnsi="Verdana" w:cs="Arial"/>
          <w:b/>
          <w:sz w:val="20"/>
          <w:szCs w:val="20"/>
          <w:lang w:val="es-ES" w:eastAsia="es-ES_tradnl"/>
        </w:rPr>
      </w:pPr>
      <w:r>
        <w:rPr>
          <w:rFonts w:ascii="Verdana" w:eastAsia="Calibri" w:hAnsi="Verdana" w:cs="Arial"/>
          <w:sz w:val="20"/>
          <w:szCs w:val="20"/>
          <w:lang w:val="es-ES"/>
        </w:rPr>
        <w:t xml:space="preserve">Leyes 2160 de 2021 y 2294 del 2023 contemplaron en el marco de la causal del literal l) del artículo 2, numeral 4 de la Ley 1150 de 2007 la posibilidad de contratar directamente con Cabildos Indígenas, Asociaciones y Autoridades Tradicionales Indígenas y Consejos Indígenas, lo cierto es que, estas normas no afectaron la vigencia de los Decretos 1088 de 1993 y 252 del 2020, los cuales se encuentran sujetas a la vigencia del artículo 56 transitorio de la Constitución Política. La vigencia de dicha disposición constitucional transitoria está supeditada a la regulación de las entidades territoriales indígenas, cuestión en la que, a pesar de la referencia realizada en el artículo </w:t>
      </w:r>
      <w:r>
        <w:rPr>
          <w:rFonts w:ascii="Verdana" w:eastAsia="Calibri" w:hAnsi="Verdana" w:cs="Arial"/>
          <w:sz w:val="20"/>
          <w:szCs w:val="20"/>
          <w:lang w:val="es-ES"/>
        </w:rPr>
        <w:lastRenderedPageBreak/>
        <w:t>2 de la Ley 80 de 1993 y la expedición de la Ley 1454 de 2011, permanece una omisión legislativa conforme estableció la Corte Constitucional en la Sentencia C-489 de 2012.</w:t>
      </w:r>
    </w:p>
    <w:p w14:paraId="28D1527B" w14:textId="77777777" w:rsidR="00834CA7" w:rsidRDefault="00834CA7" w:rsidP="00834CA7">
      <w:pPr>
        <w:spacing w:after="0" w:line="240" w:lineRule="auto"/>
        <w:rPr>
          <w:rFonts w:ascii="Verdana" w:hAnsi="Verdana"/>
          <w:lang w:val="es-ES"/>
        </w:rPr>
      </w:pPr>
    </w:p>
    <w:p w14:paraId="0156136D" w14:textId="77777777" w:rsidR="00834CA7" w:rsidRDefault="00834CA7" w:rsidP="00834CA7">
      <w:pPr>
        <w:snapToGrid w:val="0"/>
        <w:contextualSpacing/>
        <w:jc w:val="both"/>
        <w:rPr>
          <w:rFonts w:ascii="Verdana" w:hAnsi="Verdana" w:cs="Arial"/>
          <w:b/>
          <w:bCs/>
          <w:lang w:val="es-ES" w:eastAsia="es-ES"/>
        </w:rPr>
      </w:pPr>
      <w:r>
        <w:rPr>
          <w:rFonts w:ascii="Verdana" w:hAnsi="Verdana" w:cs="Arial"/>
          <w:b/>
          <w:bCs/>
          <w:lang w:val="es-ES" w:eastAsia="es-ES"/>
        </w:rPr>
        <w:t>LEY DE GARANTÍAS ELECTORALES – Finalidad</w:t>
      </w:r>
    </w:p>
    <w:p w14:paraId="5E33EECC" w14:textId="77777777" w:rsidR="00834CA7" w:rsidRDefault="00834CA7" w:rsidP="00834CA7">
      <w:pPr>
        <w:snapToGrid w:val="0"/>
        <w:contextualSpacing/>
        <w:jc w:val="both"/>
        <w:rPr>
          <w:rFonts w:ascii="Verdana" w:hAnsi="Verdana" w:cs="Arial"/>
          <w:b/>
          <w:bCs/>
          <w:lang w:val="es-ES" w:eastAsia="es-ES"/>
        </w:rPr>
      </w:pPr>
    </w:p>
    <w:p w14:paraId="095CFCC7" w14:textId="77777777" w:rsidR="00834CA7" w:rsidRDefault="00834CA7" w:rsidP="00834CA7">
      <w:pPr>
        <w:tabs>
          <w:tab w:val="left" w:pos="426"/>
        </w:tabs>
        <w:snapToGrid w:val="0"/>
        <w:spacing w:line="240" w:lineRule="auto"/>
        <w:contextualSpacing/>
        <w:jc w:val="both"/>
        <w:rPr>
          <w:rFonts w:ascii="Verdana" w:hAnsi="Verdana" w:cs="Arial"/>
          <w:sz w:val="20"/>
          <w:szCs w:val="20"/>
          <w:lang w:val="es-ES"/>
        </w:rPr>
      </w:pPr>
      <w:r>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Fonts w:ascii="Verdana" w:hAnsi="Verdana" w:cs="Arial"/>
          <w:sz w:val="20"/>
          <w:szCs w:val="20"/>
          <w:lang w:val="es-ES"/>
        </w:rPr>
        <w:t xml:space="preserve"> </w:t>
      </w:r>
    </w:p>
    <w:p w14:paraId="4F5A161D" w14:textId="77777777" w:rsidR="00834CA7" w:rsidRDefault="00834CA7" w:rsidP="00834CA7">
      <w:pPr>
        <w:snapToGrid w:val="0"/>
        <w:contextualSpacing/>
        <w:jc w:val="both"/>
        <w:rPr>
          <w:rFonts w:ascii="Verdana" w:hAnsi="Verdana" w:cs="Arial"/>
          <w:b/>
          <w:bCs/>
          <w:lang w:val="es-ES" w:eastAsia="es-ES"/>
        </w:rPr>
      </w:pPr>
    </w:p>
    <w:p w14:paraId="4E0F3CBD" w14:textId="77777777" w:rsidR="00834CA7" w:rsidRDefault="00834CA7" w:rsidP="00834CA7">
      <w:pPr>
        <w:snapToGrid w:val="0"/>
        <w:contextualSpacing/>
        <w:jc w:val="both"/>
        <w:rPr>
          <w:rFonts w:ascii="Verdana" w:hAnsi="Verdana" w:cs="Arial"/>
          <w:b/>
          <w:bCs/>
          <w:sz w:val="20"/>
          <w:szCs w:val="20"/>
          <w:lang w:val="es-ES" w:eastAsia="es-ES"/>
        </w:rPr>
      </w:pPr>
      <w:r>
        <w:rPr>
          <w:rFonts w:ascii="Verdana" w:hAnsi="Verdana" w:cs="Arial"/>
          <w:b/>
          <w:bCs/>
          <w:lang w:val="es-ES" w:eastAsia="es-ES"/>
        </w:rPr>
        <w:t>LEY DE GARANTÍAS ELECTORALES ‒ Restricciones ‒ Contratación ‒ Tipos de elección</w:t>
      </w:r>
    </w:p>
    <w:p w14:paraId="3999EF35" w14:textId="77777777" w:rsidR="00834CA7" w:rsidRDefault="00834CA7" w:rsidP="00834CA7">
      <w:pPr>
        <w:snapToGrid w:val="0"/>
        <w:spacing w:line="240" w:lineRule="auto"/>
        <w:contextualSpacing/>
        <w:jc w:val="both"/>
        <w:rPr>
          <w:rFonts w:ascii="Verdana" w:hAnsi="Verdana" w:cs="Arial"/>
          <w:sz w:val="20"/>
          <w:szCs w:val="20"/>
          <w:lang w:val="es-ES" w:eastAsia="es-ES"/>
        </w:rPr>
      </w:pPr>
    </w:p>
    <w:p w14:paraId="617AA835" w14:textId="77777777" w:rsidR="00834CA7" w:rsidRDefault="00834CA7" w:rsidP="00834CA7">
      <w:pPr>
        <w:snapToGrid w:val="0"/>
        <w:spacing w:line="240" w:lineRule="auto"/>
        <w:contextualSpacing/>
        <w:jc w:val="both"/>
        <w:rPr>
          <w:rFonts w:ascii="Verdana" w:hAnsi="Verdana" w:cs="Arial"/>
          <w:sz w:val="20"/>
          <w:szCs w:val="20"/>
          <w:lang w:val="es-ES"/>
        </w:rPr>
      </w:pPr>
      <w:r>
        <w:rPr>
          <w:rFonts w:ascii="Verdana" w:hAnsi="Verdana" w:cs="Arial"/>
          <w:sz w:val="20"/>
          <w:szCs w:val="20"/>
          <w:lang w:val="es-ES"/>
        </w:rPr>
        <w:t xml:space="preserve">Por un lado, el </w:t>
      </w:r>
      <w:r>
        <w:rPr>
          <w:rFonts w:ascii="Verdana" w:hAnsi="Verdana" w:cs="Arial"/>
          <w:i/>
          <w:iCs/>
          <w:sz w:val="20"/>
          <w:szCs w:val="20"/>
          <w:lang w:val="es-ES"/>
        </w:rPr>
        <w:t xml:space="preserve">artículo 33 </w:t>
      </w:r>
      <w:r>
        <w:rPr>
          <w:rFonts w:ascii="Verdana" w:hAnsi="Verdana" w:cs="Arial"/>
          <w:sz w:val="20"/>
          <w:szCs w:val="20"/>
          <w:lang w:val="es-ES"/>
        </w:rPr>
        <w:t xml:space="preserve">de la Ley 996 de 2005 prohíbe “[…] la contratación directa por parte de </w:t>
      </w:r>
      <w:r>
        <w:rPr>
          <w:rFonts w:ascii="Verdana" w:hAnsi="Verdana" w:cs="Arial"/>
          <w:i/>
          <w:iCs/>
          <w:sz w:val="20"/>
          <w:szCs w:val="20"/>
          <w:lang w:val="es-ES"/>
        </w:rPr>
        <w:t>todos los entes del Estado</w:t>
      </w:r>
      <w:r>
        <w:rPr>
          <w:rFonts w:ascii="Verdana" w:hAnsi="Verdana" w:cs="Arial"/>
          <w:sz w:val="20"/>
          <w:szCs w:val="20"/>
          <w:lang w:val="es-ES"/>
        </w:rPr>
        <w:t xml:space="preserve">” durante los cuatro (4) meses anteriores a las </w:t>
      </w:r>
      <w:r>
        <w:rPr>
          <w:rFonts w:ascii="Verdana" w:hAnsi="Verdana" w:cs="Arial"/>
          <w:i/>
          <w:iCs/>
          <w:sz w:val="20"/>
          <w:szCs w:val="20"/>
          <w:lang w:val="es-ES"/>
        </w:rPr>
        <w:t>elecciones presidenciales</w:t>
      </w:r>
      <w:r>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993DEEF" w14:textId="77777777" w:rsidR="00834CA7" w:rsidRDefault="00834CA7" w:rsidP="00834CA7">
      <w:pPr>
        <w:snapToGrid w:val="0"/>
        <w:spacing w:line="240" w:lineRule="auto"/>
        <w:contextualSpacing/>
        <w:jc w:val="both"/>
        <w:rPr>
          <w:rFonts w:ascii="Verdana" w:hAnsi="Verdana" w:cs="Arial"/>
          <w:sz w:val="20"/>
          <w:szCs w:val="20"/>
          <w:lang w:val="es-ES"/>
        </w:rPr>
      </w:pPr>
    </w:p>
    <w:p w14:paraId="78DC3CF4" w14:textId="77777777" w:rsidR="00834CA7" w:rsidRDefault="00834CA7" w:rsidP="00834CA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Pr>
          <w:rFonts w:ascii="Verdana" w:hAnsi="Verdana" w:cs="Arial"/>
          <w:sz w:val="20"/>
          <w:szCs w:val="20"/>
          <w:lang w:val="es-ES"/>
        </w:rPr>
        <w:t xml:space="preserve">Por otro lado, </w:t>
      </w:r>
      <w:r>
        <w:rPr>
          <w:rFonts w:ascii="Verdana" w:hAnsi="Verdana" w:cs="Arial"/>
          <w:i/>
          <w:iCs/>
          <w:sz w:val="20"/>
          <w:szCs w:val="20"/>
          <w:lang w:val="es-ES"/>
        </w:rPr>
        <w:t xml:space="preserve">el parágrafo del artículo 38 </w:t>
      </w:r>
      <w:r>
        <w:rPr>
          <w:rFonts w:ascii="Verdana" w:hAnsi="Verdana" w:cs="Arial"/>
          <w:sz w:val="20"/>
          <w:szCs w:val="20"/>
          <w:lang w:val="es-ES"/>
        </w:rPr>
        <w:t xml:space="preserve">de la Ley 996 de 2005 prevé una restricción, aplicable respecto de </w:t>
      </w:r>
      <w:r>
        <w:rPr>
          <w:rFonts w:ascii="Verdana" w:hAnsi="Verdana" w:cs="Arial"/>
          <w:i/>
          <w:iCs/>
          <w:sz w:val="20"/>
          <w:szCs w:val="20"/>
          <w:lang w:val="es-ES"/>
        </w:rPr>
        <w:t>cualquier tipo de contienda electoral</w:t>
      </w:r>
      <w:r>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sz w:val="20"/>
          <w:szCs w:val="20"/>
          <w:lang w:val="es-ES" w:eastAsia="es-ES" w:bidi="es-ES"/>
        </w:rPr>
        <w:t xml:space="preserve"> </w:t>
      </w:r>
    </w:p>
    <w:p w14:paraId="341B5D72" w14:textId="77777777" w:rsidR="00834CA7" w:rsidRDefault="00834CA7" w:rsidP="00834CA7">
      <w:pPr>
        <w:spacing w:after="0"/>
        <w:rPr>
          <w:rFonts w:ascii="Verdana" w:hAnsi="Verdana"/>
        </w:rPr>
      </w:pPr>
    </w:p>
    <w:p w14:paraId="18DC9B2F" w14:textId="77777777" w:rsidR="00834CA7" w:rsidRDefault="00834CA7" w:rsidP="00834CA7">
      <w:pPr>
        <w:spacing w:after="0"/>
        <w:rPr>
          <w:rFonts w:ascii="Verdana" w:hAnsi="Verdana"/>
        </w:rPr>
      </w:pPr>
    </w:p>
    <w:p w14:paraId="7F477ABC" w14:textId="77777777" w:rsidR="00E93496" w:rsidRPr="00C55BDE" w:rsidRDefault="00E93496" w:rsidP="00C15139">
      <w:pPr>
        <w:spacing w:after="0"/>
        <w:rPr>
          <w:rFonts w:ascii="Verdana" w:hAnsi="Verdana"/>
        </w:rPr>
      </w:pPr>
    </w:p>
    <w:p w14:paraId="5085BDF8" w14:textId="77777777" w:rsidR="00E93496" w:rsidRPr="00C55BDE" w:rsidRDefault="00E93496" w:rsidP="00C15139">
      <w:pPr>
        <w:spacing w:after="0"/>
        <w:rPr>
          <w:rFonts w:ascii="Verdana" w:hAnsi="Verdana"/>
        </w:rPr>
      </w:pPr>
    </w:p>
    <w:p w14:paraId="630D0AD6" w14:textId="77777777" w:rsidR="00E93496" w:rsidRPr="00C55BDE" w:rsidRDefault="00E93496" w:rsidP="00C15139">
      <w:pPr>
        <w:spacing w:after="0"/>
        <w:rPr>
          <w:rFonts w:ascii="Verdana" w:hAnsi="Verdana"/>
        </w:rPr>
      </w:pPr>
    </w:p>
    <w:p w14:paraId="04C0F318" w14:textId="77777777" w:rsidR="00E93496" w:rsidRPr="00C55BDE" w:rsidRDefault="00E93496" w:rsidP="00C15139">
      <w:pPr>
        <w:spacing w:after="0"/>
        <w:rPr>
          <w:rFonts w:ascii="Verdana" w:hAnsi="Verdana"/>
        </w:rPr>
      </w:pPr>
    </w:p>
    <w:p w14:paraId="55564C0B" w14:textId="77777777" w:rsidR="00E93496" w:rsidRPr="00C55BDE" w:rsidRDefault="00E93496" w:rsidP="00C15139">
      <w:pPr>
        <w:spacing w:after="0"/>
        <w:rPr>
          <w:rFonts w:ascii="Verdana" w:hAnsi="Verdana"/>
        </w:rPr>
      </w:pPr>
    </w:p>
    <w:p w14:paraId="04A98A11" w14:textId="77777777" w:rsidR="00E93496" w:rsidRPr="00C55BDE" w:rsidRDefault="00E93496" w:rsidP="00C15139">
      <w:pPr>
        <w:spacing w:after="0"/>
        <w:rPr>
          <w:rFonts w:ascii="Verdana" w:hAnsi="Verdana"/>
        </w:rPr>
      </w:pPr>
    </w:p>
    <w:p w14:paraId="7FC0B60A" w14:textId="77777777" w:rsidR="00E93496" w:rsidRDefault="00E93496" w:rsidP="00C15139">
      <w:pPr>
        <w:spacing w:after="0"/>
        <w:rPr>
          <w:rFonts w:ascii="Verdana" w:hAnsi="Verdana"/>
        </w:rPr>
      </w:pPr>
    </w:p>
    <w:p w14:paraId="55B1E0A5" w14:textId="501F8A2A" w:rsidR="00867916" w:rsidRDefault="00867916" w:rsidP="00867916">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0A7950">
        <w:rPr>
          <w:rFonts w:ascii="Verdana" w:eastAsia="Geomanist Light" w:hAnsi="Verdana" w:cs="Arial"/>
          <w:color w:val="201F1E"/>
        </w:rPr>
        <w:t>29 de diciembre de 2025</w:t>
      </w:r>
    </w:p>
    <w:p w14:paraId="22438F55" w14:textId="77777777" w:rsidR="008D4078" w:rsidRDefault="008D4078" w:rsidP="00867916">
      <w:pPr>
        <w:spacing w:after="0" w:line="240" w:lineRule="auto"/>
        <w:rPr>
          <w:rFonts w:ascii="Verdana" w:eastAsia="Geomanist Light" w:hAnsi="Verdana" w:cs="Arial"/>
          <w:color w:val="201F1E"/>
        </w:rPr>
      </w:pPr>
    </w:p>
    <w:p w14:paraId="24040A1C" w14:textId="3A56A31A" w:rsidR="00867916" w:rsidRDefault="000A7950" w:rsidP="000A7950">
      <w:pPr>
        <w:spacing w:after="0"/>
        <w:jc w:val="right"/>
        <w:rPr>
          <w:rFonts w:ascii="Verdana" w:hAnsi="Verdana"/>
        </w:rPr>
      </w:pPr>
      <w:r w:rsidRPr="000A7950">
        <w:rPr>
          <w:rFonts w:ascii="Verdana" w:hAnsi="Verdana"/>
          <w:noProof/>
        </w:rPr>
        <w:drawing>
          <wp:inline distT="0" distB="0" distL="0" distR="0" wp14:anchorId="2EDA8186" wp14:editId="108B36CF">
            <wp:extent cx="2758440" cy="883920"/>
            <wp:effectExtent l="0" t="0" r="3810" b="0"/>
            <wp:docPr id="20891862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8440" cy="883920"/>
                    </a:xfrm>
                    <a:prstGeom prst="rect">
                      <a:avLst/>
                    </a:prstGeom>
                    <a:noFill/>
                    <a:ln>
                      <a:noFill/>
                    </a:ln>
                  </pic:spPr>
                </pic:pic>
              </a:graphicData>
            </a:graphic>
          </wp:inline>
        </w:drawing>
      </w:r>
    </w:p>
    <w:p w14:paraId="4A04AACA" w14:textId="77777777" w:rsidR="00867916" w:rsidRPr="00441CBA" w:rsidRDefault="00867916" w:rsidP="00867916">
      <w:pPr>
        <w:spacing w:after="0"/>
        <w:rPr>
          <w:rFonts w:ascii="Verdana" w:hAnsi="Verdana"/>
        </w:rPr>
      </w:pPr>
      <w:r w:rsidRPr="00C55BDE">
        <w:rPr>
          <w:rFonts w:ascii="Verdana" w:eastAsia="Calibri" w:hAnsi="Verdana" w:cs="Arial"/>
          <w:color w:val="000000" w:themeColor="text1"/>
          <w:lang w:val="es-ES" w:eastAsia="es-ES"/>
        </w:rPr>
        <w:t>Señor</w:t>
      </w:r>
    </w:p>
    <w:p w14:paraId="3018E053" w14:textId="77777777" w:rsidR="00867916" w:rsidRDefault="00867916" w:rsidP="00867916">
      <w:pPr>
        <w:spacing w:after="0" w:line="240" w:lineRule="auto"/>
        <w:jc w:val="both"/>
        <w:rPr>
          <w:rFonts w:ascii="Verdana" w:eastAsia="Calibri" w:hAnsi="Verdana" w:cs="Arial"/>
          <w:b/>
          <w:bCs/>
          <w:color w:val="000000" w:themeColor="text1"/>
          <w:lang w:eastAsia="es-ES"/>
        </w:rPr>
      </w:pPr>
      <w:r w:rsidRPr="00664822">
        <w:rPr>
          <w:rFonts w:ascii="Verdana" w:eastAsia="Calibri" w:hAnsi="Verdana" w:cs="Arial"/>
          <w:b/>
          <w:bCs/>
          <w:color w:val="000000" w:themeColor="text1"/>
          <w:lang w:eastAsia="es-ES"/>
        </w:rPr>
        <w:t xml:space="preserve">Juan Camilo Jiménez Giraldo </w:t>
      </w:r>
    </w:p>
    <w:p w14:paraId="45629AEE" w14:textId="77777777" w:rsidR="00867916" w:rsidRDefault="00867916" w:rsidP="00867916">
      <w:pPr>
        <w:spacing w:after="0" w:line="240" w:lineRule="auto"/>
        <w:jc w:val="both"/>
        <w:rPr>
          <w:rFonts w:ascii="Verdana" w:eastAsia="Calibri" w:hAnsi="Verdana" w:cs="Arial"/>
          <w:b/>
          <w:bCs/>
          <w:color w:val="000000" w:themeColor="text1"/>
          <w:lang w:eastAsia="es-ES"/>
        </w:rPr>
      </w:pPr>
      <w:r w:rsidRPr="00664822">
        <w:rPr>
          <w:rFonts w:ascii="Verdana" w:eastAsia="Calibri" w:hAnsi="Verdana" w:cs="Arial"/>
          <w:b/>
          <w:bCs/>
          <w:color w:val="000000" w:themeColor="text1"/>
          <w:lang w:eastAsia="es-ES"/>
        </w:rPr>
        <w:t xml:space="preserve">Subdirector de Acompañamiento y Evaluación </w:t>
      </w:r>
    </w:p>
    <w:p w14:paraId="72DE80F0" w14:textId="77777777" w:rsidR="00867916" w:rsidRDefault="00867916" w:rsidP="00867916">
      <w:pPr>
        <w:spacing w:after="0" w:line="240" w:lineRule="auto"/>
        <w:jc w:val="both"/>
        <w:rPr>
          <w:rFonts w:ascii="Verdana" w:eastAsia="Calibri" w:hAnsi="Verdana" w:cs="Arial"/>
          <w:b/>
          <w:bCs/>
          <w:color w:val="000000" w:themeColor="text1"/>
          <w:lang w:val="es-ES" w:eastAsia="es-ES"/>
        </w:rPr>
      </w:pPr>
      <w:r w:rsidRPr="00664822">
        <w:rPr>
          <w:rFonts w:ascii="Verdana" w:eastAsia="Calibri" w:hAnsi="Verdana" w:cs="Arial"/>
          <w:b/>
          <w:bCs/>
          <w:color w:val="000000" w:themeColor="text1"/>
          <w:lang w:eastAsia="es-ES"/>
        </w:rPr>
        <w:t xml:space="preserve">Dirección de Vivienda Rural </w:t>
      </w:r>
    </w:p>
    <w:p w14:paraId="5D056747" w14:textId="77777777" w:rsidR="00867916" w:rsidRDefault="00867916" w:rsidP="00867916">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Ministerio de Vivienda, Ciudad y Territorio</w:t>
      </w:r>
    </w:p>
    <w:p w14:paraId="335804CE" w14:textId="77777777" w:rsidR="00867916" w:rsidRDefault="00867916" w:rsidP="00867916">
      <w:pPr>
        <w:spacing w:after="0" w:line="240" w:lineRule="auto"/>
        <w:rPr>
          <w:rFonts w:ascii="Verdana" w:hAnsi="Verdana"/>
        </w:rPr>
      </w:pPr>
      <w:hyperlink r:id="rId12" w:history="1">
        <w:r w:rsidRPr="00664822">
          <w:rPr>
            <w:rStyle w:val="Hipervnculo"/>
            <w:rFonts w:ascii="Verdana" w:hAnsi="Verdana"/>
          </w:rPr>
          <w:t>NotificacionesPQRS@minvivienda.gov.co</w:t>
        </w:r>
      </w:hyperlink>
      <w:r w:rsidRPr="00664822">
        <w:rPr>
          <w:rFonts w:ascii="Verdana" w:hAnsi="Verdana"/>
        </w:rPr>
        <w:t xml:space="preserve"> </w:t>
      </w:r>
    </w:p>
    <w:p w14:paraId="52BD2FE5" w14:textId="77777777" w:rsidR="00867916" w:rsidRPr="00664822" w:rsidRDefault="00867916" w:rsidP="00867916">
      <w:pPr>
        <w:spacing w:after="0" w:line="240" w:lineRule="auto"/>
        <w:rPr>
          <w:rFonts w:ascii="Verdana" w:hAnsi="Verdana"/>
        </w:rPr>
      </w:pPr>
      <w:hyperlink r:id="rId13" w:history="1">
        <w:r w:rsidRPr="004B4A0A">
          <w:rPr>
            <w:rStyle w:val="Hipervnculo"/>
            <w:rFonts w:ascii="Verdana" w:hAnsi="Verdana"/>
          </w:rPr>
          <w:t>correspondencia@minvivienda.gov.co</w:t>
        </w:r>
      </w:hyperlink>
      <w:r w:rsidRPr="00664822">
        <w:rPr>
          <w:rFonts w:ascii="Verdana" w:hAnsi="Verdana"/>
        </w:rPr>
        <w:t xml:space="preserve"> </w:t>
      </w:r>
    </w:p>
    <w:p w14:paraId="3EE354F5" w14:textId="77777777" w:rsidR="00867916" w:rsidRDefault="00867916" w:rsidP="00867916">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Bogotá</w:t>
      </w:r>
      <w:r w:rsidRPr="76B9ABC4">
        <w:rPr>
          <w:rFonts w:ascii="Verdana" w:eastAsia="Calibri" w:hAnsi="Verdana" w:cs="Arial"/>
          <w:color w:val="000000" w:themeColor="text1"/>
          <w:lang w:val="es-ES" w:eastAsia="es-ES"/>
        </w:rPr>
        <w:t xml:space="preserve"> </w:t>
      </w:r>
    </w:p>
    <w:p w14:paraId="323F2301" w14:textId="77777777" w:rsidR="00867916" w:rsidRPr="00C55BDE" w:rsidRDefault="00867916" w:rsidP="00867916">
      <w:pPr>
        <w:spacing w:after="0" w:line="240" w:lineRule="auto"/>
        <w:rPr>
          <w:rFonts w:ascii="Verdana" w:eastAsia="Calibri" w:hAnsi="Verdana" w:cs="Arial"/>
          <w:b/>
          <w:bCs/>
          <w:color w:val="000000" w:themeColor="text1"/>
          <w:lang w:val="es-ES_tradnl" w:eastAsia="es-ES"/>
        </w:rPr>
      </w:pPr>
      <w:r w:rsidRPr="00C55BDE">
        <w:rPr>
          <w:rFonts w:ascii="Verdana" w:eastAsia="Calibri" w:hAnsi="Verdana" w:cs="Arial"/>
          <w:color w:val="000000" w:themeColor="text1"/>
          <w:lang w:val="es-ES_tradnl" w:eastAsia="es-ES"/>
        </w:rPr>
        <w:t xml:space="preserve"> </w:t>
      </w:r>
    </w:p>
    <w:p w14:paraId="3B2EBBB3" w14:textId="77777777" w:rsidR="00867916" w:rsidRPr="00C55BDE" w:rsidRDefault="00867916" w:rsidP="00867916">
      <w:pPr>
        <w:spacing w:after="0" w:line="240" w:lineRule="auto"/>
        <w:rPr>
          <w:rFonts w:ascii="Verdana" w:eastAsia="Calibri" w:hAnsi="Verdana" w:cs="Arial"/>
          <w:b/>
          <w:bCs/>
          <w:color w:val="000000" w:themeColor="text1"/>
          <w:lang w:val="es-ES_tradnl" w:eastAsia="es-ES_tradnl"/>
        </w:rPr>
      </w:pPr>
    </w:p>
    <w:p w14:paraId="0AE38FCE" w14:textId="77777777" w:rsidR="00867916" w:rsidRPr="00C55BDE" w:rsidRDefault="00867916" w:rsidP="00867916">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1780</w:t>
      </w:r>
      <w:r w:rsidRPr="00C55BDE">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67916" w:rsidRPr="00C55BDE" w14:paraId="32F63BC8" w14:textId="77777777" w:rsidTr="00275565">
        <w:trPr>
          <w:gridAfter w:val="1"/>
          <w:wAfter w:w="6100" w:type="dxa"/>
          <w:trHeight w:val="133"/>
        </w:trPr>
        <w:tc>
          <w:tcPr>
            <w:tcW w:w="2689" w:type="dxa"/>
          </w:tcPr>
          <w:p w14:paraId="57109A24" w14:textId="77777777" w:rsidR="00867916" w:rsidRPr="00C55BDE" w:rsidRDefault="00867916" w:rsidP="00275565">
            <w:pPr>
              <w:jc w:val="both"/>
              <w:rPr>
                <w:rFonts w:ascii="Verdana" w:eastAsia="Calibri" w:hAnsi="Verdana" w:cs="Arial"/>
                <w:b/>
                <w:bCs/>
                <w:color w:val="000000" w:themeColor="text1"/>
                <w:highlight w:val="cyan"/>
                <w:lang w:val="es-ES_tradnl" w:eastAsia="es-ES_tradnl"/>
              </w:rPr>
            </w:pPr>
          </w:p>
        </w:tc>
      </w:tr>
      <w:tr w:rsidR="00867916" w:rsidRPr="00C55BDE" w14:paraId="24FAC80F" w14:textId="77777777" w:rsidTr="00275565">
        <w:trPr>
          <w:trHeight w:val="884"/>
        </w:trPr>
        <w:tc>
          <w:tcPr>
            <w:tcW w:w="2689" w:type="dxa"/>
          </w:tcPr>
          <w:p w14:paraId="2B60464B" w14:textId="77777777" w:rsidR="00867916" w:rsidRPr="00C55BDE" w:rsidRDefault="00867916" w:rsidP="00275565">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27756E89" w14:textId="73F9BD04" w:rsidR="00867916" w:rsidRDefault="00867916" w:rsidP="00275565">
            <w:pPr>
              <w:spacing w:line="276" w:lineRule="auto"/>
              <w:jc w:val="both"/>
              <w:rPr>
                <w:rFonts w:ascii="Verdana" w:eastAsia="Calibri" w:hAnsi="Verdana" w:cs="Arial"/>
                <w:lang w:eastAsia="es-ES"/>
              </w:rPr>
            </w:pPr>
            <w:r>
              <w:rPr>
                <w:rFonts w:ascii="Verdana" w:eastAsia="Calibri" w:hAnsi="Verdana" w:cs="Arial"/>
                <w:lang w:eastAsia="es-ES"/>
              </w:rPr>
              <w:t xml:space="preserve">CABILDOS INDÍGENAS / AUTORIDADES TRADICIONALES INDÍGENAS / ASOCIACIONES DE CABILDOS INDÍGENAS Y/O AUTORIDADES TRADICIONALES INDÍGENAS/ </w:t>
            </w:r>
            <w:r w:rsidR="00F00856">
              <w:rPr>
                <w:rFonts w:ascii="Verdana" w:eastAsia="Calibri" w:hAnsi="Verdana" w:cs="Arial"/>
                <w:lang w:eastAsia="es-ES"/>
              </w:rPr>
              <w:t>CONSEJOS Y ORGANIZACIONES INDÍGENAS</w:t>
            </w:r>
            <w:r>
              <w:rPr>
                <w:rFonts w:ascii="Verdana" w:eastAsia="Calibri" w:hAnsi="Verdana" w:cs="Arial"/>
                <w:lang w:eastAsia="es-ES"/>
              </w:rPr>
              <w:t xml:space="preserve"> – Noción – Régimen de contratación – Decreto 1088 de 1993 – Decreto 252 de 2020 – Ley 2160 de 2021 – Ley 2294 de 2023 /</w:t>
            </w:r>
            <w:r>
              <w:rPr>
                <w:rFonts w:ascii="Verdana" w:hAnsi="Verdana" w:cs="Arial"/>
                <w:lang w:val="es-ES" w:eastAsia="es-ES"/>
              </w:rPr>
              <w:t xml:space="preserve"> LEY DE GARANTÍAS ELECTORALES – Finalidad / LEY DE GARANTÍAS ELECTORALES ‒ Restricciones ‒ Contratación ‒ Tipos de elección </w:t>
            </w:r>
          </w:p>
          <w:p w14:paraId="5F1E3597" w14:textId="77777777" w:rsidR="00867916" w:rsidRPr="00C55BDE" w:rsidRDefault="00867916" w:rsidP="00275565">
            <w:pPr>
              <w:spacing w:line="276" w:lineRule="auto"/>
              <w:jc w:val="both"/>
              <w:rPr>
                <w:rFonts w:ascii="Verdana" w:hAnsi="Verdana" w:cs="Arial"/>
                <w:bCs/>
                <w:color w:val="000000" w:themeColor="text1"/>
                <w:highlight w:val="cyan"/>
              </w:rPr>
            </w:pPr>
          </w:p>
        </w:tc>
      </w:tr>
      <w:tr w:rsidR="00867916" w:rsidRPr="00C55BDE" w14:paraId="7776F8E6" w14:textId="77777777" w:rsidTr="00275565">
        <w:tc>
          <w:tcPr>
            <w:tcW w:w="2689" w:type="dxa"/>
          </w:tcPr>
          <w:p w14:paraId="43D9B7FF" w14:textId="77777777" w:rsidR="00867916" w:rsidRPr="00C55BDE" w:rsidRDefault="00867916" w:rsidP="00275565">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12749598" w14:textId="77777777" w:rsidR="00867916" w:rsidRPr="00C55BDE" w:rsidRDefault="00867916" w:rsidP="00275565">
            <w:pPr>
              <w:jc w:val="both"/>
              <w:rPr>
                <w:rFonts w:ascii="Verdana" w:hAnsi="Verdana" w:cs="Arial"/>
              </w:rPr>
            </w:pPr>
            <w:r w:rsidRPr="00C55BDE">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 xml:space="preserve"> No</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w:t>
            </w:r>
            <w:r w:rsidRPr="00C55BDE">
              <w:rPr>
                <w:rFonts w:ascii="Verdana" w:hAnsi="Verdana"/>
              </w:rPr>
              <w:t xml:space="preserve"> </w:t>
            </w:r>
            <w:r w:rsidRPr="00664822">
              <w:rPr>
                <w:rFonts w:ascii="Verdana" w:hAnsi="Verdana"/>
              </w:rPr>
              <w:t>1_2025_12_02_013565</w:t>
            </w:r>
            <w:r>
              <w:rPr>
                <w:rFonts w:ascii="Verdana" w:hAnsi="Verdana"/>
              </w:rPr>
              <w:t xml:space="preserve"> y </w:t>
            </w:r>
            <w:r w:rsidRPr="00664822">
              <w:rPr>
                <w:rFonts w:ascii="Verdana" w:hAnsi="Verdana"/>
              </w:rPr>
              <w:t>1_2025_12_02_013566</w:t>
            </w:r>
            <w:r>
              <w:rPr>
                <w:rFonts w:ascii="Verdana" w:hAnsi="Verdana"/>
              </w:rPr>
              <w:t xml:space="preserve"> Acumuladas</w:t>
            </w:r>
          </w:p>
          <w:p w14:paraId="1D9BA789" w14:textId="77777777" w:rsidR="00867916" w:rsidRPr="00C55BDE" w:rsidRDefault="00867916" w:rsidP="00275565">
            <w:pPr>
              <w:jc w:val="both"/>
              <w:rPr>
                <w:rFonts w:ascii="Verdana" w:hAnsi="Verdana"/>
                <w:color w:val="000000"/>
              </w:rPr>
            </w:pPr>
          </w:p>
        </w:tc>
      </w:tr>
    </w:tbl>
    <w:p w14:paraId="2A37905C" w14:textId="77777777" w:rsidR="00867916" w:rsidRPr="00C55BDE" w:rsidRDefault="00867916" w:rsidP="00867916">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w:t>
      </w: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Jiménez</w:t>
      </w:r>
      <w:r w:rsidRPr="00C55BDE">
        <w:rPr>
          <w:rFonts w:ascii="Verdana" w:eastAsia="Calibri" w:hAnsi="Verdana" w:cs="Arial"/>
          <w:color w:val="000000" w:themeColor="text1"/>
          <w:lang w:val="es-ES" w:eastAsia="es-ES"/>
        </w:rPr>
        <w:t xml:space="preserve">: </w:t>
      </w:r>
    </w:p>
    <w:p w14:paraId="30A9D631" w14:textId="77777777" w:rsidR="00867916" w:rsidRPr="00C55BDE" w:rsidRDefault="00867916" w:rsidP="00867916">
      <w:pPr>
        <w:spacing w:after="0"/>
        <w:rPr>
          <w:rFonts w:ascii="Verdana" w:eastAsia="Times New Roman" w:hAnsi="Verdana" w:cs="Segoe UI"/>
          <w:lang w:eastAsia="es-CO"/>
        </w:rPr>
      </w:pPr>
    </w:p>
    <w:p w14:paraId="7E8AD530" w14:textId="77777777" w:rsidR="00867916" w:rsidRPr="00BA1D42" w:rsidRDefault="00867916" w:rsidP="00867916">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w:t>
      </w:r>
      <w:r w:rsidRPr="00C55BDE">
        <w:rPr>
          <w:rFonts w:ascii="Verdana" w:eastAsia="Calibri" w:hAnsi="Verdana" w:cs="Arial"/>
          <w:color w:val="000000" w:themeColor="text1"/>
          <w:lang w:val="es-ES" w:eastAsia="es-ES"/>
        </w:rPr>
        <w:lastRenderedPageBreak/>
        <w:t xml:space="preserve">Contratación Pública – Colombia Compra Eficiente– responde su solicitud de consulta de fecha </w:t>
      </w:r>
      <w:r>
        <w:rPr>
          <w:rFonts w:ascii="Verdana" w:eastAsia="Calibri" w:hAnsi="Verdana" w:cs="Arial"/>
          <w:color w:val="000000" w:themeColor="text1"/>
          <w:lang w:val="es-ES" w:eastAsia="es-ES"/>
        </w:rPr>
        <w:t>2</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diciembre</w:t>
      </w:r>
      <w:r w:rsidRPr="00C55BDE">
        <w:rPr>
          <w:rFonts w:ascii="Verdana" w:eastAsia="Calibri" w:hAnsi="Verdana" w:cs="Arial"/>
          <w:color w:val="000000" w:themeColor="text1"/>
          <w:lang w:val="es-ES" w:eastAsia="es-ES"/>
        </w:rPr>
        <w:t xml:space="preserve"> del 2025, en la cual manifiesta lo siguiente: </w:t>
      </w:r>
    </w:p>
    <w:p w14:paraId="2F2185E7" w14:textId="77777777" w:rsidR="00867916" w:rsidRPr="00C55BDE" w:rsidRDefault="00867916" w:rsidP="00867916">
      <w:pPr>
        <w:tabs>
          <w:tab w:val="left" w:pos="6492"/>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41AC550"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bookmarkStart w:id="1" w:name="_Hlk95313578"/>
      <w:r w:rsidRPr="006664A1">
        <w:rPr>
          <w:rFonts w:ascii="Verdana" w:eastAsia="Century Gothic" w:hAnsi="Verdana" w:cs="Century Gothic"/>
          <w:i/>
          <w:iCs/>
          <w:color w:val="000000" w:themeColor="text1"/>
          <w:sz w:val="20"/>
          <w:szCs w:val="20"/>
        </w:rPr>
        <w:t xml:space="preserve">1.Naturaleza jurídica de la organización indígena AICO ¿Las organizaciones indígenas que integran la Mesa Permanente de Concertación —en particular AICO— pueden ser consideradas entidades públicas de derecho especial, conforme al Decreto 1088 de 1993 y su modificación por el Decreto 252 de 2020, o deben ser tratadas como entidades privadas sin ánimo de lucro, según su inscripción en cámara de comercio, pero con un enfoque diferencial? </w:t>
      </w:r>
    </w:p>
    <w:p w14:paraId="0210521A"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p>
    <w:p w14:paraId="472A6039"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2.Tipología contractual aplicable </w:t>
      </w:r>
    </w:p>
    <w:p w14:paraId="3FBA4E11"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p>
    <w:p w14:paraId="6951A71C"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¿Cuál es la tipología contractual procedente para suscribir instrumentos con AICO y con organizaciones indígenas reconocidas en la MPC? </w:t>
      </w:r>
    </w:p>
    <w:p w14:paraId="7C84BB34"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p>
    <w:bookmarkEnd w:id="1"/>
    <w:p w14:paraId="0B0EB886"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 Contrato interadministrativo (Ley 80 de 1993, art. 2) </w:t>
      </w:r>
    </w:p>
    <w:p w14:paraId="4EC99F41"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 Convenio de asociación (Ley 489 de 1998) </w:t>
      </w:r>
    </w:p>
    <w:p w14:paraId="27EF71C2"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 Contrato o convenio de asociación bajo el régimen especial del Decreto 252 de 2020 </w:t>
      </w:r>
    </w:p>
    <w:p w14:paraId="27EBDD98"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 ¿Alguna otra modalidad? </w:t>
      </w:r>
    </w:p>
    <w:p w14:paraId="1EA0D9F3"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p>
    <w:p w14:paraId="1BD60EEE"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 xml:space="preserve">3. Aplicación del régimen de contratación estatal Si AICO se considera entidad pública especial, ¿resulta procedente aplicar el régimen de contratación entre entidades estatales mediante contrato interadministrativo, aun cuando esta organización se encuentre registrada como persona jurídica privada? </w:t>
      </w:r>
    </w:p>
    <w:p w14:paraId="7E077728" w14:textId="77777777" w:rsidR="00867916"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p>
    <w:p w14:paraId="7F732A4B" w14:textId="77777777" w:rsidR="00867916" w:rsidRPr="00D6787C" w:rsidRDefault="00867916" w:rsidP="00867916">
      <w:pPr>
        <w:spacing w:after="0" w:line="240" w:lineRule="auto"/>
        <w:ind w:left="709" w:right="709"/>
        <w:jc w:val="both"/>
        <w:rPr>
          <w:rFonts w:ascii="Verdana" w:eastAsia="Century Gothic" w:hAnsi="Verdana" w:cs="Century Gothic"/>
          <w:i/>
          <w:iCs/>
          <w:color w:val="000000" w:themeColor="text1"/>
          <w:sz w:val="20"/>
          <w:szCs w:val="20"/>
        </w:rPr>
      </w:pPr>
      <w:r w:rsidRPr="006664A1">
        <w:rPr>
          <w:rFonts w:ascii="Verdana" w:eastAsia="Century Gothic" w:hAnsi="Verdana" w:cs="Century Gothic"/>
          <w:i/>
          <w:iCs/>
          <w:color w:val="000000" w:themeColor="text1"/>
          <w:sz w:val="20"/>
          <w:szCs w:val="20"/>
        </w:rPr>
        <w:t>4. Inicio de la Ley de Garantías Electorales Dependiendo de la tipología contractual seleccionada: ¿Desde qué fecha resulta aplicable la prohibición prevista en la Ley 996 de 2005 para la celebración de contratos con organizaciones indígenas?</w:t>
      </w:r>
      <w:r>
        <w:rPr>
          <w:rFonts w:ascii="Verdana" w:eastAsia="Century Gothic" w:hAnsi="Verdana" w:cs="Century Gothic"/>
          <w:i/>
          <w:iCs/>
          <w:color w:val="000000" w:themeColor="text1"/>
          <w:sz w:val="20"/>
          <w:szCs w:val="20"/>
        </w:rPr>
        <w:t>”</w:t>
      </w:r>
    </w:p>
    <w:p w14:paraId="002A8DB0" w14:textId="77777777" w:rsidR="00867916" w:rsidRPr="00C55BDE" w:rsidRDefault="00867916" w:rsidP="00867916">
      <w:pPr>
        <w:spacing w:after="0" w:line="240" w:lineRule="auto"/>
        <w:ind w:left="709" w:right="709"/>
        <w:jc w:val="both"/>
        <w:rPr>
          <w:rFonts w:ascii="Verdana" w:eastAsia="Times New Roman" w:hAnsi="Verdana" w:cs="Arial"/>
          <w:i/>
          <w:iCs/>
          <w:sz w:val="20"/>
          <w:szCs w:val="20"/>
          <w:lang w:eastAsia="es-ES_tradnl"/>
        </w:rPr>
      </w:pPr>
    </w:p>
    <w:p w14:paraId="7B8A57F3" w14:textId="77777777" w:rsidR="00867916" w:rsidRPr="00C55BDE" w:rsidRDefault="00867916" w:rsidP="00867916">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C55BDE">
        <w:rPr>
          <w:rFonts w:ascii="Verdana" w:eastAsia="Calibri" w:hAnsi="Verdana" w:cs="Arial"/>
          <w:color w:val="000000" w:themeColor="text1"/>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055CFC45" w14:textId="77777777" w:rsidR="00867916" w:rsidRPr="00C55BDE" w:rsidRDefault="00867916" w:rsidP="00867916">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B468FA6" w14:textId="77777777" w:rsidR="00867916" w:rsidRPr="00C55BDE" w:rsidRDefault="00867916" w:rsidP="00867916">
      <w:pPr>
        <w:spacing w:after="0" w:line="276" w:lineRule="auto"/>
        <w:jc w:val="both"/>
        <w:rPr>
          <w:rFonts w:ascii="Verdana" w:eastAsia="Calibri" w:hAnsi="Verdana" w:cs="Arial"/>
          <w:color w:val="000000" w:themeColor="text1"/>
          <w:lang w:val="es-ES" w:eastAsia="es-ES"/>
        </w:rPr>
      </w:pPr>
    </w:p>
    <w:p w14:paraId="3D01B011" w14:textId="77777777" w:rsidR="00867916" w:rsidRPr="00C55BDE" w:rsidRDefault="00867916" w:rsidP="0086791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04CC5113" w14:textId="77777777" w:rsidR="00867916" w:rsidRPr="00C55BDE" w:rsidRDefault="00867916" w:rsidP="00867916">
      <w:pPr>
        <w:tabs>
          <w:tab w:val="left" w:pos="426"/>
        </w:tabs>
        <w:spacing w:after="0" w:line="276" w:lineRule="auto"/>
        <w:jc w:val="both"/>
        <w:rPr>
          <w:rFonts w:ascii="Verdana" w:eastAsia="Century Gothic" w:hAnsi="Verdana" w:cs="Century Gothic"/>
          <w:color w:val="000000" w:themeColor="text1"/>
          <w:lang w:val="es-ES"/>
        </w:rPr>
      </w:pPr>
    </w:p>
    <w:p w14:paraId="2D4EF1A9" w14:textId="77777777" w:rsidR="00867916" w:rsidRDefault="00867916" w:rsidP="00867916">
      <w:pPr>
        <w:spacing w:after="0" w:line="276" w:lineRule="auto"/>
        <w:jc w:val="both"/>
        <w:rPr>
          <w:rFonts w:ascii="Verdana" w:eastAsia="Century Gothic" w:hAnsi="Verdana" w:cs="Century Gothic"/>
          <w:color w:val="000000" w:themeColor="text1"/>
          <w:lang w:val="es-ES"/>
        </w:rPr>
      </w:pPr>
      <w:r w:rsidRPr="00C55BDE">
        <w:rPr>
          <w:rFonts w:ascii="Verdana" w:eastAsia="Century Gothic" w:hAnsi="Verdana" w:cs="Century Gothic"/>
          <w:color w:val="000000" w:themeColor="text1"/>
        </w:rPr>
        <w:t>De acuerdo con el contenido de su solicitud, esta Agencia resolverá los siguientes problemas jurídicos:</w:t>
      </w:r>
      <w:r w:rsidRPr="00240D2B">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i) ¿Cuál es la naturaleza de </w:t>
      </w:r>
      <w:r>
        <w:rPr>
          <w:rFonts w:ascii="Verdana" w:eastAsia="Calibri" w:hAnsi="Verdana" w:cs="Times New Roman"/>
          <w:lang w:val="es-ES"/>
        </w:rPr>
        <w:t xml:space="preserve">las asociaciones de Cabildos Indígenas y/o autoridades tradicionales indígena a la luz de los dispuesto en el Decreto 1088 de 1993 modificado parcialmente por el Decreto 252 de 2020 y Ley 2160 de 2021 modificada parcialmente por la Ley 2294 de 2023?; </w:t>
      </w: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¿Los miembros de Pueblos Indígenas pueden constituirse como Entidades Sin Ánimo de Lucro?; </w:t>
      </w:r>
      <w:proofErr w:type="spellStart"/>
      <w:r>
        <w:rPr>
          <w:rFonts w:ascii="Verdana" w:eastAsia="Calibri" w:hAnsi="Verdana" w:cs="Times New Roman"/>
          <w:lang w:val="es-ES"/>
        </w:rPr>
        <w:t>iii</w:t>
      </w:r>
      <w:proofErr w:type="spellEnd"/>
      <w:r>
        <w:rPr>
          <w:rFonts w:ascii="Verdana" w:eastAsia="Calibri" w:hAnsi="Verdana" w:cs="Times New Roman"/>
          <w:lang w:val="es-ES"/>
        </w:rPr>
        <w:t xml:space="preserve">) </w:t>
      </w:r>
      <w:r>
        <w:rPr>
          <w:rFonts w:ascii="Verdana" w:eastAsia="Century Gothic" w:hAnsi="Verdana" w:cs="Century Gothic"/>
          <w:color w:val="000000" w:themeColor="text1"/>
        </w:rPr>
        <w:t xml:space="preserve">¿Se pueden suscribir </w:t>
      </w:r>
      <w:r>
        <w:rPr>
          <w:rFonts w:ascii="Verdana" w:eastAsia="Century Gothic" w:hAnsi="Verdana" w:cs="Century Gothic"/>
          <w:i/>
          <w:iCs/>
          <w:color w:val="000000" w:themeColor="text1"/>
        </w:rPr>
        <w:t>convenios interadministrativos</w:t>
      </w:r>
      <w:r>
        <w:rPr>
          <w:rFonts w:ascii="Verdana" w:eastAsia="Century Gothic" w:hAnsi="Verdana" w:cs="Century Gothic"/>
          <w:color w:val="000000" w:themeColor="text1"/>
        </w:rPr>
        <w:t xml:space="preserve"> con </w:t>
      </w:r>
      <w:r>
        <w:rPr>
          <w:rFonts w:ascii="Verdana" w:eastAsia="Calibri" w:hAnsi="Verdana" w:cs="Times New Roman"/>
          <w:lang w:val="es-ES"/>
        </w:rPr>
        <w:t xml:space="preserve">Cabildos Indígenas y Asociaciones de cabildos indígenas y/o autoridades tradicionales indígena </w:t>
      </w:r>
      <w:r>
        <w:rPr>
          <w:rFonts w:ascii="Verdana" w:eastAsia="Times New Roman" w:hAnsi="Verdana" w:cs="Arial"/>
          <w:lang w:eastAsia="es-CO"/>
        </w:rPr>
        <w:t>durante la aplicación de la Ley de Garantías Electorales -</w:t>
      </w:r>
      <w:r>
        <w:rPr>
          <w:rFonts w:ascii="Verdana" w:hAnsi="Verdana"/>
          <w:iCs/>
        </w:rPr>
        <w:t xml:space="preserve"> Ley 996 de 2005?</w:t>
      </w:r>
      <w:r>
        <w:rPr>
          <w:rFonts w:ascii="Verdana" w:eastAsia="Calibri" w:hAnsi="Verdana" w:cs="Times New Roman"/>
          <w:lang w:val="es-ES"/>
        </w:rPr>
        <w:t xml:space="preserve">   </w:t>
      </w:r>
    </w:p>
    <w:p w14:paraId="4899BD3B" w14:textId="77777777" w:rsidR="00867916" w:rsidRPr="00C55BDE" w:rsidRDefault="00867916" w:rsidP="00867916">
      <w:pPr>
        <w:spacing w:after="0" w:line="276" w:lineRule="auto"/>
        <w:jc w:val="both"/>
        <w:rPr>
          <w:rFonts w:ascii="Verdana" w:eastAsia="Century Gothic" w:hAnsi="Verdana" w:cs="Century Gothic"/>
          <w:color w:val="000000" w:themeColor="text1"/>
        </w:rPr>
      </w:pPr>
    </w:p>
    <w:p w14:paraId="4CFD5C4C" w14:textId="77777777" w:rsidR="00867916" w:rsidRPr="00C55BDE" w:rsidRDefault="00867916" w:rsidP="008679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2ECA9D9C" w14:textId="77777777" w:rsidR="00867916" w:rsidRPr="00C55BDE" w:rsidRDefault="00867916" w:rsidP="0086791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7916" w:rsidRPr="00C55BDE" w14:paraId="75F7F9D7" w14:textId="77777777" w:rsidTr="00275565">
        <w:tc>
          <w:tcPr>
            <w:tcW w:w="8828" w:type="dxa"/>
          </w:tcPr>
          <w:p w14:paraId="2E0D46E2" w14:textId="77777777" w:rsidR="00867916" w:rsidRDefault="00867916" w:rsidP="00275565">
            <w:pPr>
              <w:spacing w:before="120" w:after="120" w:line="276" w:lineRule="auto"/>
              <w:jc w:val="both"/>
              <w:rPr>
                <w:rFonts w:ascii="Verdana" w:hAnsi="Verdana" w:cs="Arial"/>
                <w:color w:val="000000" w:themeColor="text1"/>
              </w:rPr>
            </w:pPr>
            <w:r>
              <w:rPr>
                <w:rFonts w:ascii="Verdana" w:hAnsi="Verdana" w:cs="Arial"/>
                <w:color w:val="000000" w:themeColor="text1"/>
              </w:rPr>
              <w:t>En respuesta a los problemas antes planteados esta Subdirección manifiesta lo siguiente:</w:t>
            </w:r>
          </w:p>
          <w:p w14:paraId="4E652471" w14:textId="77777777" w:rsidR="00867916" w:rsidRDefault="00867916" w:rsidP="00275565">
            <w:pPr>
              <w:spacing w:before="120" w:after="120" w:line="276" w:lineRule="auto"/>
              <w:ind w:firstLine="709"/>
              <w:jc w:val="both"/>
              <w:rPr>
                <w:rFonts w:ascii="Verdana" w:eastAsia="Calibri" w:hAnsi="Verdana" w:cs="Arial"/>
              </w:rPr>
            </w:pPr>
            <w:r>
              <w:rPr>
                <w:rFonts w:ascii="Verdana" w:eastAsia="Calibri" w:hAnsi="Verdana" w:cs="Arial"/>
                <w:i/>
                <w:color w:val="000000" w:themeColor="text1"/>
              </w:rPr>
              <w:t>En primer lugar</w:t>
            </w:r>
            <w:r>
              <w:rPr>
                <w:rFonts w:ascii="Verdana" w:hAnsi="Verdana" w:cs="Arial"/>
              </w:rPr>
              <w:t xml:space="preserve">, </w:t>
            </w:r>
            <w:r>
              <w:rPr>
                <w:rFonts w:ascii="Verdana" w:hAnsi="Verdana" w:cs="Arial"/>
                <w:lang w:val="es-ES"/>
              </w:rPr>
              <w:t xml:space="preserve">debe indicarse que existen varias normas que confieren </w:t>
            </w:r>
            <w:r>
              <w:rPr>
                <w:rFonts w:ascii="Verdana" w:eastAsia="Calibri" w:hAnsi="Verdana" w:cs="Arial"/>
              </w:rPr>
              <w:t xml:space="preserve">capacidad contractual a diferentes tipos de entes y mecanismos de asociación a través de los cuales los pueblos indígenas ejercen su representación, con la finalidad de celebrar negocios jurídicos que deben suscribirse con sujeción a ciertas disposiciones especiales. De esta manera, los Decretos 1088 de 1993 y 252 de 2020 reconocen capacidad contractual a las organizaciones indígenas siempre y cuando estén conformadas exclusivamente por cabildos indígenas, resguardos indígenas, asociaciones de cabildos, asociación de autoridades u </w:t>
            </w:r>
            <w:r>
              <w:rPr>
                <w:rFonts w:ascii="Verdana" w:eastAsia="Calibri" w:hAnsi="Verdana" w:cs="Arial"/>
              </w:rPr>
              <w:lastRenderedPageBreak/>
              <w:t xml:space="preserve">otra forma de autoridad indígena propia y que de acuerdo con lo dispuesto en el artículo 2º del Decreto 1088 de 1993 su naturaleza jurídica es </w:t>
            </w:r>
            <w:r>
              <w:rPr>
                <w:rFonts w:ascii="Verdana" w:eastAsia="Calibri" w:hAnsi="Verdana" w:cs="Arial"/>
                <w:i/>
                <w:iCs/>
              </w:rPr>
              <w:t>Derecho Público de carácter especial.</w:t>
            </w:r>
          </w:p>
          <w:p w14:paraId="1933E2D0" w14:textId="77777777" w:rsidR="00867916" w:rsidRDefault="00867916" w:rsidP="00275565">
            <w:pPr>
              <w:spacing w:before="120" w:after="120" w:line="276" w:lineRule="auto"/>
              <w:ind w:firstLine="709"/>
              <w:jc w:val="both"/>
              <w:rPr>
                <w:rFonts w:ascii="Verdana" w:eastAsia="Times New Roman" w:hAnsi="Verdana" w:cs="Arial"/>
                <w:lang w:eastAsia="es-ES_tradnl"/>
              </w:rPr>
            </w:pPr>
            <w:r>
              <w:rPr>
                <w:rFonts w:ascii="Verdana" w:hAnsi="Verdana" w:cs="Arial"/>
              </w:rPr>
              <w:t xml:space="preserve">En lo que respecta a la </w:t>
            </w:r>
            <w:r>
              <w:rPr>
                <w:rFonts w:ascii="Verdana" w:eastAsia="Calibri" w:hAnsi="Verdana" w:cs="Arial"/>
              </w:rPr>
              <w:t xml:space="preserve">Ley 2160 de 2021, </w:t>
            </w:r>
            <w:r>
              <w:rPr>
                <w:rFonts w:ascii="Verdana" w:eastAsia="Calibri" w:hAnsi="Verdana" w:cs="Arial"/>
                <w:i/>
                <w:iCs/>
              </w:rPr>
              <w:t>“Por medio del cual se modifica la Ley 80 de 1993 y la Ley 1150 de 2007</w:t>
            </w:r>
            <w:r>
              <w:rPr>
                <w:rFonts w:ascii="Verdana" w:hAnsi="Verdana" w:cs="Arial"/>
                <w:i/>
                <w:iCs/>
              </w:rPr>
              <w:t>”</w:t>
            </w:r>
            <w:r>
              <w:rPr>
                <w:rFonts w:ascii="Verdana" w:eastAsia="Calibri" w:hAnsi="Verdana" w:cs="Arial"/>
              </w:rPr>
              <w:t xml:space="preserve"> esta estableció nuevas regulaciones con respecto a la capacidad contractual y naturaleza jurídica de varios tipos de organización, entre ellas los cabildos indígenas y asociaciones de autoridades tradicionales indígenas. </w:t>
            </w:r>
            <w:r>
              <w:rPr>
                <w:rFonts w:ascii="Verdana" w:eastAsia="Times New Roman" w:hAnsi="Verdana" w:cs="Arial"/>
                <w:lang w:eastAsia="es-ES_tradnl"/>
              </w:rPr>
              <w:t xml:space="preserve">Esta ley modificó, entre otros aspectos, el artículo 6 de la Ley 80 de 1993, en el cual se indicaba que eran capaces para contratar con las Entidades Estatales, además de las personas consideradas legalmente capaces: los cabildos indígenas y las asociaciones de autoridades tradicionales indígenas, entre otros. </w:t>
            </w:r>
          </w:p>
          <w:p w14:paraId="7690FE48" w14:textId="77777777" w:rsidR="00867916" w:rsidRDefault="00867916" w:rsidP="00275565">
            <w:pPr>
              <w:spacing w:before="120" w:after="120" w:line="276" w:lineRule="auto"/>
              <w:ind w:firstLine="709"/>
              <w:jc w:val="both"/>
              <w:rPr>
                <w:rFonts w:ascii="Verdana" w:eastAsia="Times New Roman" w:hAnsi="Verdana" w:cs="Arial"/>
                <w:i/>
                <w:iCs/>
                <w:lang w:val="es-ES"/>
              </w:rPr>
            </w:pPr>
            <w:r>
              <w:rPr>
                <w:rFonts w:ascii="Verdana" w:eastAsia="Times New Roman" w:hAnsi="Verdana" w:cs="Arial"/>
                <w:lang w:eastAsia="es-ES_tradnl"/>
              </w:rPr>
              <w:t xml:space="preserve">No obstante, estas disposiciones fueron modificadas </w:t>
            </w:r>
            <w:r>
              <w:rPr>
                <w:rFonts w:ascii="Verdana" w:eastAsia="Times New Roman" w:hAnsi="Verdana" w:cs="Arial"/>
                <w:lang w:val="es-ES"/>
              </w:rPr>
              <w:t>por el artículo 354 la Ley 2294 de 2023 “</w:t>
            </w:r>
            <w:r>
              <w:rPr>
                <w:rFonts w:ascii="Verdana" w:hAnsi="Verdana" w:cs="Arial"/>
              </w:rPr>
              <w:t>Por la cual se expide el Plan Nacional de Desarrollo 2022-2026, Colombia Potencia Mundial de la Vida”,</w:t>
            </w:r>
            <w:r>
              <w:rPr>
                <w:rFonts w:ascii="Verdana" w:hAnsi="Verdana" w:cs="Arial"/>
                <w:i/>
                <w:iCs/>
              </w:rPr>
              <w:t xml:space="preserve"> </w:t>
            </w:r>
            <w:r>
              <w:rPr>
                <w:rFonts w:ascii="Verdana" w:hAnsi="Verdana" w:cs="Arial"/>
              </w:rPr>
              <w:t xml:space="preserve">que estableció una nueva definición para </w:t>
            </w:r>
            <w:r>
              <w:rPr>
                <w:rFonts w:ascii="Verdana" w:eastAsia="Times New Roman" w:hAnsi="Verdana" w:cs="Arial"/>
                <w:lang w:val="es-ES"/>
              </w:rPr>
              <w:t xml:space="preserve">Asociaciones de autoridades tradicionales indígenas, denominándolas ahora Asociaciones de cabildos indígenas y/o autoridades tradicionales indígenas y adicionó como entidad a contratar al Consejo Indígena. Ahora bien, en lo que a su naturaleza jurídica resulta necesario aclarar que tanto los Cabildos Indígenas como las Asociaciones de cabildos indígenas y/o autoridades tradicionales indígenas son consideradas </w:t>
            </w:r>
            <w:r>
              <w:rPr>
                <w:rFonts w:ascii="Verdana" w:eastAsia="Times New Roman" w:hAnsi="Verdana" w:cs="Arial"/>
                <w:i/>
                <w:iCs/>
                <w:lang w:val="es-ES"/>
              </w:rPr>
              <w:t>Entidades de derecho público.</w:t>
            </w:r>
          </w:p>
          <w:p w14:paraId="3377FD41" w14:textId="77777777" w:rsidR="00867916" w:rsidRPr="00024D92" w:rsidRDefault="00867916" w:rsidP="00275565">
            <w:pPr>
              <w:pStyle w:val="NormalWeb"/>
              <w:shd w:val="clear" w:color="auto" w:fill="FFFFFF"/>
              <w:spacing w:before="0" w:beforeAutospacing="0" w:after="120" w:afterAutospacing="0" w:line="276" w:lineRule="auto"/>
              <w:ind w:firstLine="708"/>
              <w:jc w:val="both"/>
              <w:rPr>
                <w:rFonts w:ascii="Verdana" w:hAnsi="Verdana" w:cs="Calibri"/>
                <w:sz w:val="22"/>
                <w:szCs w:val="22"/>
              </w:rPr>
            </w:pPr>
            <w:r>
              <w:rPr>
                <w:rFonts w:ascii="Verdana" w:hAnsi="Verdana" w:cs="Segoe UI"/>
                <w:sz w:val="22"/>
                <w:szCs w:val="22"/>
                <w:lang w:val="es-MX"/>
              </w:rPr>
              <w:t xml:space="preserve">De lo expuesto, se evidencia que de las disposiciones contenidas en el </w:t>
            </w:r>
            <w:r>
              <w:rPr>
                <w:rFonts w:ascii="Verdana" w:eastAsia="Calibri" w:hAnsi="Verdana"/>
                <w:sz w:val="22"/>
                <w:szCs w:val="22"/>
                <w:lang w:val="es-ES"/>
              </w:rPr>
              <w:t xml:space="preserve">Decreto 1088 de 1993 modificado parcialmente por el Decreto 252 de 2020 y de la Ley 2160 de 2021 modificada parcialmente por la Ley 2294 de 2023, se confiere capacidad para contratar a las asociaciones de Cabildos Indígenas y las Asociaciones de autoridades tradicionales indígena, las cuales son consideradas </w:t>
            </w:r>
            <w:r>
              <w:rPr>
                <w:rFonts w:ascii="Verdana" w:eastAsia="Calibri" w:hAnsi="Verdana"/>
                <w:i/>
                <w:iCs/>
                <w:sz w:val="22"/>
                <w:szCs w:val="22"/>
                <w:u w:val="single"/>
                <w:lang w:val="es-ES"/>
              </w:rPr>
              <w:t>Entidades de derecho Público</w:t>
            </w:r>
            <w:r>
              <w:rPr>
                <w:rFonts w:ascii="Verdana" w:eastAsia="Calibri" w:hAnsi="Verdana"/>
                <w:sz w:val="22"/>
                <w:szCs w:val="22"/>
                <w:lang w:val="es-ES"/>
              </w:rPr>
              <w:t xml:space="preserve">. Sin perjuicio de lo anterior, y de cara a la consulta elevada, resulta necesario anotar que no existe imposibilidad para que los miembros de pueblos indígenas se constituyan como </w:t>
            </w:r>
            <w:r>
              <w:rPr>
                <w:rFonts w:ascii="Verdana" w:eastAsia="Calibri" w:hAnsi="Verdana" w:cs="Arial"/>
                <w:bCs/>
                <w:i/>
                <w:iCs/>
                <w:sz w:val="22"/>
                <w:szCs w:val="22"/>
              </w:rPr>
              <w:t>entidades privadas sin ánimo de lucro</w:t>
            </w:r>
            <w:r>
              <w:rPr>
                <w:rFonts w:ascii="Verdana" w:eastAsia="Calibri" w:hAnsi="Verdana" w:cs="Arial"/>
                <w:bCs/>
                <w:sz w:val="22"/>
                <w:szCs w:val="22"/>
              </w:rPr>
              <w:t>. En todo caso, corresponderá a las Entidades validar si dentro del proceso contractual la asociación indígena con la que se va a suscribir el negocio jurídico se trata de una Entidad de derecho Público a la luz de las disposiciones previamente mencionadas o de sujetos de naturaleza privada. Se precisa</w:t>
            </w:r>
            <w:r w:rsidRPr="00AC62F8">
              <w:rPr>
                <w:rFonts w:ascii="Verdana" w:eastAsia="Calibri" w:hAnsi="Verdana" w:cs="Arial"/>
                <w:bCs/>
                <w:sz w:val="22"/>
                <w:szCs w:val="22"/>
              </w:rPr>
              <w:t xml:space="preserve"> </w:t>
            </w:r>
            <w:r w:rsidRPr="00AC62F8">
              <w:rPr>
                <w:rFonts w:ascii="Verdana" w:hAnsi="Verdana" w:cs="Arial"/>
                <w:color w:val="000000"/>
                <w:sz w:val="22"/>
                <w:szCs w:val="22"/>
                <w:lang w:val="es-ES_tradnl" w:eastAsia="es-ES_tradnl"/>
              </w:rPr>
              <w:t xml:space="preserve">que la competencia consultiva de la Agencia </w:t>
            </w:r>
            <w:r w:rsidRPr="00AC62F8">
              <w:rPr>
                <w:rFonts w:ascii="Verdana" w:hAnsi="Verdana" w:cs="Arial"/>
                <w:color w:val="000000"/>
                <w:sz w:val="22"/>
                <w:szCs w:val="22"/>
                <w:lang w:val="es-ES_tradnl" w:eastAsia="es-ES_tradnl"/>
              </w:rPr>
              <w:lastRenderedPageBreak/>
              <w:t>Nacional de Contratación Pública – Colombia Compra Eficiente se circunscribe a la interpretación, en abstracto, de normas de alcance general que hagan parte del Sistema de Compras y Contratación Pública, y que, por tanto, no puede asesorar a las entidades estatales en decisiones contractuales particulares</w:t>
            </w:r>
            <w:r>
              <w:rPr>
                <w:rFonts w:ascii="Verdana" w:hAnsi="Verdana" w:cs="Arial"/>
                <w:color w:val="000000"/>
                <w:sz w:val="22"/>
                <w:szCs w:val="22"/>
                <w:lang w:val="es-ES_tradnl" w:eastAsia="es-ES_tradnl"/>
              </w:rPr>
              <w:t>.</w:t>
            </w:r>
          </w:p>
          <w:p w14:paraId="1D3B6C13" w14:textId="77777777" w:rsidR="00867916" w:rsidRDefault="00867916" w:rsidP="00275565">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Pr>
                <w:rFonts w:ascii="Verdana" w:hAnsi="Verdana" w:cs="Calibri"/>
                <w:sz w:val="22"/>
                <w:szCs w:val="22"/>
              </w:rPr>
              <w:t xml:space="preserve">Además, </w:t>
            </w:r>
            <w:r w:rsidRPr="0042623A">
              <w:rPr>
                <w:rFonts w:ascii="Verdana" w:hAnsi="Verdana" w:cs="Calibri"/>
                <w:sz w:val="22"/>
                <w:szCs w:val="22"/>
              </w:rPr>
              <w:t xml:space="preserve">de cara a la consulta elevada, debe precisarse que corresponderá a </w:t>
            </w:r>
            <w:r>
              <w:rPr>
                <w:rFonts w:ascii="Verdana" w:hAnsi="Verdana" w:cs="Calibri"/>
                <w:sz w:val="22"/>
                <w:szCs w:val="22"/>
              </w:rPr>
              <w:t>la entidad estatal</w:t>
            </w:r>
            <w:r w:rsidRPr="0042623A">
              <w:rPr>
                <w:rFonts w:ascii="Verdana" w:hAnsi="Verdana" w:cs="Calibri"/>
                <w:sz w:val="22"/>
                <w:szCs w:val="22"/>
              </w:rPr>
              <w:t xml:space="preserve">, realizar el análisis </w:t>
            </w:r>
            <w:r>
              <w:rPr>
                <w:rFonts w:ascii="Verdana" w:hAnsi="Verdana" w:cs="Calibri"/>
                <w:sz w:val="22"/>
                <w:szCs w:val="22"/>
              </w:rPr>
              <w:t xml:space="preserve">correspondiente </w:t>
            </w:r>
            <w:r w:rsidRPr="0042623A">
              <w:rPr>
                <w:rFonts w:ascii="Verdana" w:hAnsi="Verdana" w:cs="Calibri"/>
                <w:sz w:val="22"/>
                <w:szCs w:val="22"/>
              </w:rPr>
              <w:t>para determinar cuál es la modalidad de selección que se ajusta al objeto a contratar</w:t>
            </w:r>
            <w:r>
              <w:rPr>
                <w:rFonts w:ascii="Verdana" w:hAnsi="Verdana" w:cs="Calibri"/>
                <w:sz w:val="22"/>
                <w:szCs w:val="22"/>
              </w:rPr>
              <w:t xml:space="preserve"> y que tipo de convenio debe celebrarse en relación con las normas señaladas en este concepto y los sujetos </w:t>
            </w:r>
            <w:r w:rsidRPr="00024D92">
              <w:rPr>
                <w:rFonts w:ascii="Verdana" w:hAnsi="Verdana" w:cs="Calibri"/>
                <w:sz w:val="22"/>
                <w:szCs w:val="22"/>
              </w:rPr>
              <w:t xml:space="preserve">con los cuales se habilita a celebrar </w:t>
            </w:r>
            <w:r>
              <w:rPr>
                <w:rFonts w:ascii="Verdana" w:hAnsi="Verdana" w:cs="Calibri"/>
                <w:sz w:val="22"/>
                <w:szCs w:val="22"/>
              </w:rPr>
              <w:t xml:space="preserve">estos </w:t>
            </w:r>
            <w:r w:rsidRPr="00024D92">
              <w:rPr>
                <w:rFonts w:ascii="Verdana" w:hAnsi="Verdana" w:cs="Calibri"/>
                <w:sz w:val="22"/>
                <w:szCs w:val="22"/>
              </w:rPr>
              <w:t>negocios jurídicos</w:t>
            </w:r>
            <w:r w:rsidRPr="0042623A">
              <w:rPr>
                <w:rFonts w:ascii="Verdana" w:hAnsi="Verdana" w:cs="Calibri"/>
                <w:sz w:val="22"/>
                <w:szCs w:val="22"/>
              </w:rPr>
              <w:t>. En otras palabras, a esta le corresponderá definir la forma de adelantar su gestión contractual, sin que sea atribución de Colombia Compra Eficiente validar sus actuaciones frente a las autoridades que cumplen funciones de control y vigilancia.</w:t>
            </w:r>
          </w:p>
          <w:p w14:paraId="0BADD6FE" w14:textId="77777777" w:rsidR="00867916" w:rsidRDefault="00867916" w:rsidP="00275565">
            <w:pPr>
              <w:spacing w:before="120" w:after="120" w:line="276" w:lineRule="auto"/>
              <w:ind w:firstLine="709"/>
              <w:jc w:val="both"/>
              <w:rPr>
                <w:rFonts w:ascii="Verdana" w:eastAsia="Times New Roman" w:hAnsi="Verdana" w:cs="Arial"/>
                <w:lang w:eastAsia="es-CO"/>
              </w:rPr>
            </w:pPr>
            <w:r>
              <w:rPr>
                <w:rFonts w:ascii="Verdana" w:hAnsi="Verdana" w:cs="Arial"/>
                <w:lang w:val="es-ES"/>
              </w:rPr>
              <w:t xml:space="preserve">En </w:t>
            </w:r>
            <w:r>
              <w:rPr>
                <w:rFonts w:ascii="Verdana" w:hAnsi="Verdana" w:cs="Arial"/>
                <w:i/>
                <w:iCs/>
                <w:lang w:val="es-ES"/>
              </w:rPr>
              <w:t>segundo lugar</w:t>
            </w:r>
            <w:r>
              <w:rPr>
                <w:rFonts w:ascii="Verdana" w:hAnsi="Verdana" w:cs="Arial"/>
                <w:lang w:val="es-ES"/>
              </w:rPr>
              <w:t xml:space="preserve">, y en lo que respecta a lo dispuesto en el parágrafo </w:t>
            </w:r>
            <w:r>
              <w:rPr>
                <w:rFonts w:ascii="Verdana" w:eastAsia="Times New Roman" w:hAnsi="Verdana" w:cs="Arial"/>
                <w:lang w:eastAsia="es-CO"/>
              </w:rPr>
              <w:t xml:space="preserve">del artículo 38 de la Ley 996 de 2005, se precisa que, este prohíbe a los </w:t>
            </w:r>
            <w:proofErr w:type="gramStart"/>
            <w:r>
              <w:rPr>
                <w:rFonts w:ascii="Verdana" w:eastAsia="Times New Roman" w:hAnsi="Verdana" w:cs="Arial"/>
                <w:lang w:eastAsia="es-CO"/>
              </w:rPr>
              <w:t>Alcaldes</w:t>
            </w:r>
            <w:proofErr w:type="gramEnd"/>
            <w:r>
              <w:rPr>
                <w:rFonts w:ascii="Verdana" w:eastAsia="Times New Roman" w:hAnsi="Verdana" w:cs="Arial"/>
                <w:lang w:eastAsia="es-CO"/>
              </w:rPr>
              <w:t xml:space="preserve">, Gobernadores, </w:t>
            </w:r>
            <w:proofErr w:type="gramStart"/>
            <w:r>
              <w:rPr>
                <w:rFonts w:ascii="Verdana" w:eastAsia="Times New Roman" w:hAnsi="Verdana" w:cs="Arial"/>
                <w:lang w:eastAsia="es-CO"/>
              </w:rPr>
              <w:t>Secretarios</w:t>
            </w:r>
            <w:proofErr w:type="gramEnd"/>
            <w:r>
              <w:rPr>
                <w:rFonts w:ascii="Verdana" w:eastAsia="Times New Roman" w:hAnsi="Verdana" w:cs="Arial"/>
                <w:lang w:eastAsia="es-CO"/>
              </w:rPr>
              <w:t xml:space="preserve">, Gerentes y </w:t>
            </w:r>
            <w:proofErr w:type="gramStart"/>
            <w:r>
              <w:rPr>
                <w:rFonts w:ascii="Verdana" w:eastAsia="Times New Roman" w:hAnsi="Verdana" w:cs="Arial"/>
                <w:lang w:eastAsia="es-CO"/>
              </w:rPr>
              <w:t>Directores</w:t>
            </w:r>
            <w:proofErr w:type="gramEnd"/>
            <w:r>
              <w:rPr>
                <w:rFonts w:ascii="Verdana" w:eastAsia="Times New Roman" w:hAnsi="Verdana" w:cs="Arial"/>
                <w:lang w:eastAsia="es-CO"/>
              </w:rPr>
              <w:t xml:space="preserve"> de las entidades del orden municipal, departamental o distrital celebrar </w:t>
            </w:r>
            <w:r>
              <w:rPr>
                <w:rFonts w:ascii="Verdana" w:eastAsia="Times New Roman" w:hAnsi="Verdana" w:cs="Arial"/>
                <w:i/>
                <w:iCs/>
                <w:lang w:eastAsia="es-CO"/>
              </w:rPr>
              <w:t>convenios interadministrativos</w:t>
            </w:r>
            <w:r>
              <w:rPr>
                <w:rFonts w:ascii="Verdana" w:eastAsia="Times New Roman" w:hAnsi="Verdana" w:cs="Arial"/>
                <w:lang w:eastAsia="es-CO"/>
              </w:rPr>
              <w:t xml:space="preserve"> </w:t>
            </w:r>
            <w:r>
              <w:rPr>
                <w:rFonts w:ascii="Verdana" w:eastAsia="Times New Roman" w:hAnsi="Verdana" w:cs="Arial"/>
                <w:i/>
                <w:iCs/>
                <w:lang w:eastAsia="es-CO"/>
              </w:rPr>
              <w:t>para la ejecución de recursos públicos</w:t>
            </w:r>
            <w:r>
              <w:rPr>
                <w:rFonts w:ascii="Verdana" w:eastAsia="Times New Roman" w:hAnsi="Verdana" w:cs="Arial"/>
                <w:lang w:eastAsia="es-CO"/>
              </w:rPr>
              <w:t xml:space="preserve">. En este sentido, si una o ambas partes de la relación contractual </w:t>
            </w:r>
            <w:r>
              <w:rPr>
                <w:rFonts w:ascii="Verdana" w:eastAsia="Times New Roman" w:hAnsi="Verdana" w:cs="Arial"/>
                <w:i/>
                <w:iCs/>
                <w:lang w:eastAsia="es-CO"/>
              </w:rPr>
              <w:t>es una entidad</w:t>
            </w:r>
            <w:r>
              <w:rPr>
                <w:rFonts w:ascii="Verdana" w:eastAsia="Times New Roman" w:hAnsi="Verdana" w:cs="Arial"/>
                <w:lang w:eastAsia="es-CO"/>
              </w:rPr>
              <w:t xml:space="preserve"> de aquellas descritas en el parágrafo </w:t>
            </w:r>
            <w:r>
              <w:rPr>
                <w:rFonts w:ascii="Verdana" w:eastAsia="Times New Roman" w:hAnsi="Verdana" w:cs="Arial"/>
                <w:i/>
                <w:lang w:eastAsia="es-CO"/>
              </w:rPr>
              <w:t>ibidem</w:t>
            </w:r>
            <w:r>
              <w:rPr>
                <w:rFonts w:ascii="Verdana" w:eastAsia="Times New Roman" w:hAnsi="Verdana" w:cs="Arial"/>
                <w:lang w:eastAsia="es-CO"/>
              </w:rPr>
              <w:t xml:space="preserve">, no podrá celebrar tales </w:t>
            </w:r>
            <w:r>
              <w:rPr>
                <w:rFonts w:ascii="Verdana" w:eastAsia="Times New Roman" w:hAnsi="Verdana" w:cs="Arial"/>
                <w:i/>
                <w:iCs/>
                <w:lang w:eastAsia="es-CO"/>
              </w:rPr>
              <w:t>convenios</w:t>
            </w:r>
            <w:r>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271D89B2" w14:textId="77777777" w:rsidR="00867916" w:rsidRDefault="00867916" w:rsidP="00275565">
            <w:pPr>
              <w:spacing w:before="120" w:after="120" w:line="276" w:lineRule="auto"/>
              <w:ind w:firstLine="709"/>
              <w:jc w:val="both"/>
              <w:rPr>
                <w:rFonts w:ascii="Verdana" w:eastAsia="Times New Roman" w:hAnsi="Verdana" w:cs="Arial"/>
                <w:bCs/>
                <w:color w:val="000000" w:themeColor="text1"/>
                <w:lang w:eastAsia="es-CO"/>
              </w:rPr>
            </w:pPr>
            <w:r>
              <w:rPr>
                <w:rFonts w:ascii="Verdana" w:eastAsia="Times New Roman" w:hAnsi="Verdana" w:cs="Arial"/>
                <w:bCs/>
                <w:color w:val="000000" w:themeColor="text1"/>
                <w:lang w:eastAsia="es-CO"/>
              </w:rPr>
              <w:t xml:space="preserve">Ahora bien, sobre el particular, debe precisarse que la Sala de Consulta y Servicio Civil del Consejo de Estado ha señalado que la aplicación de la anterior restricción en materia contractual debe realizarse bajo una interpretación restrictiva, esto quiere decir, que se excluye la analogía </w:t>
            </w:r>
            <w:proofErr w:type="spellStart"/>
            <w:r>
              <w:rPr>
                <w:rFonts w:ascii="Verdana" w:eastAsia="Times New Roman" w:hAnsi="Verdana" w:cs="Arial"/>
                <w:bCs/>
                <w:color w:val="000000" w:themeColor="text1"/>
                <w:lang w:eastAsia="es-CO"/>
              </w:rPr>
              <w:t>legis</w:t>
            </w:r>
            <w:proofErr w:type="spellEnd"/>
            <w:r>
              <w:rPr>
                <w:rFonts w:ascii="Verdana" w:eastAsia="Times New Roman" w:hAnsi="Verdana" w:cs="Arial"/>
                <w:bCs/>
                <w:color w:val="000000" w:themeColor="text1"/>
                <w:lang w:eastAsia="es-CO"/>
              </w:rPr>
              <w:t xml:space="preserve"> o iuris y la interpretación extensiva. En ese sentido si bien los cabildos indígenas, autoridades tradicionales indígenas y las asociaciones de cabildos indígenas y/o autoridades tradicionales indígenas conformadas conforme lo establecido en las normas previamente mencionadas, se entienden como entidades de derecho público, en estricto sentido en ellas no pueden recaer las restricciones previstas en el parágrafo 38 de la Ley 996 de 2005, cuando directamente </w:t>
            </w:r>
            <w:r>
              <w:rPr>
                <w:rFonts w:ascii="Verdana" w:eastAsia="Times New Roman" w:hAnsi="Verdana" w:cs="Arial"/>
                <w:bCs/>
                <w:color w:val="000000" w:themeColor="text1"/>
                <w:lang w:eastAsia="es-CO"/>
              </w:rPr>
              <w:lastRenderedPageBreak/>
              <w:t>celebren contratos o convenios con Entidades Estatales diferentes a las previstas en la norma en cita, por ejemplo, con entidades de orden nacional.</w:t>
            </w:r>
          </w:p>
          <w:p w14:paraId="333826B7" w14:textId="77777777" w:rsidR="00867916" w:rsidRDefault="00867916" w:rsidP="00275565">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Sin embargo, es necesario tener en cuenta que, los </w:t>
            </w:r>
            <w:r>
              <w:rPr>
                <w:rFonts w:ascii="Verdana" w:eastAsia="Arial" w:hAnsi="Verdana" w:cs="Arial"/>
                <w:i/>
                <w:iCs/>
                <w:lang w:val="es-ES"/>
              </w:rPr>
              <w:t>convenios interadministrativos</w:t>
            </w:r>
            <w:r>
              <w:rPr>
                <w:rFonts w:ascii="Verdana" w:eastAsia="Arial" w:hAnsi="Verdana" w:cs="Arial"/>
                <w:lang w:val="es-ES"/>
              </w:rPr>
              <w:t xml:space="preserve"> se definen por la naturaleza de las partes, de manera que están determinados por un criterio orgánico, en el sentido de que lo serán aquellos celebrados entre </w:t>
            </w:r>
            <w:r>
              <w:rPr>
                <w:rFonts w:ascii="Verdana" w:eastAsia="Arial" w:hAnsi="Verdana" w:cs="Arial"/>
                <w:i/>
                <w:iCs/>
                <w:lang w:val="es-ES"/>
              </w:rPr>
              <w:t>entidades de derecho público</w:t>
            </w:r>
            <w:r>
              <w:rPr>
                <w:rFonts w:ascii="Verdana" w:eastAsia="Arial" w:hAnsi="Verdana" w:cs="Arial"/>
                <w:lang w:val="es-ES"/>
              </w:rPr>
              <w:t xml:space="preserve">. En este contexto, cuando </w:t>
            </w:r>
            <w:r>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Pr>
                <w:rFonts w:ascii="Verdana" w:eastAsia="Arial" w:hAnsi="Verdana" w:cs="Arial"/>
                <w:lang w:val="es-ES"/>
              </w:rPr>
              <w:t xml:space="preserve">celebren convenios </w:t>
            </w:r>
            <w:r>
              <w:rPr>
                <w:rFonts w:ascii="Verdana" w:eastAsia="Times New Roman" w:hAnsi="Verdana" w:cs="Arial"/>
                <w:lang w:eastAsia="es-ES_tradnl"/>
              </w:rPr>
              <w:t xml:space="preserve">con </w:t>
            </w:r>
            <w:r>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Pr>
                <w:rFonts w:ascii="Verdana" w:eastAsia="Times New Roman" w:hAnsi="Verdana" w:cs="Arial"/>
                <w:lang w:eastAsia="es-ES_tradnl"/>
              </w:rPr>
              <w:t xml:space="preserve">, se entenderán que son interadministrativos al catalogarlos la ley como entidades públicas. En estos casos </w:t>
            </w:r>
            <w:r>
              <w:rPr>
                <w:rFonts w:ascii="Verdana" w:eastAsia="Arial" w:hAnsi="Verdana" w:cs="Arial"/>
                <w:lang w:val="es-ES"/>
              </w:rPr>
              <w:t>aplicará la restricción del artículo 38 de la Ley 996 de 2005.</w:t>
            </w:r>
          </w:p>
          <w:p w14:paraId="0C32050A" w14:textId="77777777" w:rsidR="00867916" w:rsidRPr="00C55BDE" w:rsidRDefault="00867916" w:rsidP="00275565">
            <w:pPr>
              <w:spacing w:after="120" w:line="276" w:lineRule="auto"/>
              <w:ind w:firstLine="709"/>
              <w:jc w:val="both"/>
              <w:rPr>
                <w:rFonts w:ascii="Verdana" w:eastAsia="Times New Roman" w:hAnsi="Verdana" w:cs="Arial"/>
                <w:lang w:eastAsia="es-CO"/>
              </w:rPr>
            </w:pPr>
            <w:r>
              <w:rPr>
                <w:rFonts w:ascii="Verdana" w:eastAsia="Arial" w:hAnsi="Verdana" w:cs="Arial"/>
                <w:bCs/>
                <w:lang w:val="es-ES_tradnl" w:eastAsia="es-ES" w:bidi="es-ES"/>
              </w:rPr>
              <w:t>En todo caso</w:t>
            </w:r>
            <w:r>
              <w:rPr>
                <w:rFonts w:ascii="Verdana" w:eastAsia="Arial" w:hAnsi="Verdana" w:cs="Arial"/>
                <w:lang w:eastAsia="es-ES" w:bidi="es-ES"/>
              </w:rPr>
              <w:t>, las Entidades Estatales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tc>
      </w:tr>
    </w:tbl>
    <w:p w14:paraId="4538A990" w14:textId="77777777" w:rsidR="00867916" w:rsidRPr="00C55BDE" w:rsidRDefault="00867916" w:rsidP="0086791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9CDC7EA" w14:textId="77777777" w:rsidR="00867916" w:rsidRPr="00C55BDE" w:rsidRDefault="00867916" w:rsidP="008679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567B243D" w14:textId="77777777" w:rsidR="00867916" w:rsidRPr="00C55BDE" w:rsidRDefault="00867916" w:rsidP="00867916">
      <w:pPr>
        <w:spacing w:after="0" w:line="276" w:lineRule="auto"/>
        <w:jc w:val="both"/>
        <w:rPr>
          <w:rFonts w:ascii="Verdana" w:eastAsia="Calibri" w:hAnsi="Verdana" w:cs="Arial"/>
          <w:color w:val="000000" w:themeColor="text1"/>
          <w:lang w:val="es-ES"/>
        </w:rPr>
      </w:pPr>
    </w:p>
    <w:p w14:paraId="4D2A15E5" w14:textId="77777777" w:rsidR="00867916" w:rsidRPr="00834CA7" w:rsidRDefault="00867916" w:rsidP="00867916">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6296D4F2" w14:textId="77777777" w:rsidR="00867916" w:rsidRDefault="00867916" w:rsidP="00867916">
      <w:pPr>
        <w:spacing w:after="120" w:line="276" w:lineRule="auto"/>
        <w:jc w:val="both"/>
        <w:rPr>
          <w:rFonts w:ascii="Verdana" w:eastAsia="Calibri" w:hAnsi="Verdana" w:cs="Arial"/>
        </w:rPr>
      </w:pPr>
      <w:r>
        <w:rPr>
          <w:rFonts w:ascii="Verdana" w:eastAsia="Calibri" w:hAnsi="Verdana" w:cs="Arial"/>
        </w:rPr>
        <w:t>i. Con la suscripción del Convenio No. 169 de 1989, “Sobre pueblos indígenas y tribales en países independientes” de la Organización Internacional del Trabajo – OIT, incorporado al bloque de constitucionalidad</w:t>
      </w:r>
      <w:r>
        <w:rPr>
          <w:rFonts w:ascii="Verdana" w:hAnsi="Verdana"/>
          <w:vertAlign w:val="superscript"/>
        </w:rPr>
        <w:footnoteReference w:id="1"/>
      </w:r>
      <w:r>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w:t>
      </w:r>
      <w:r>
        <w:rPr>
          <w:rFonts w:ascii="Verdana" w:eastAsia="Calibri" w:hAnsi="Verdana" w:cs="Arial"/>
        </w:rPr>
        <w:lastRenderedPageBreak/>
        <w:t>comprometió a promover el desarrollo de los pueblos indígenas con acciones concretas dirigidas al reconocimiento de sus derechos y el respeto de su integridad, entre otros compromisos adquiridos.</w:t>
      </w:r>
    </w:p>
    <w:p w14:paraId="4F743130"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378FE025"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que ha suscitado la necesidad de un tratamiento jurídico particular para tales acuerdos.</w:t>
      </w:r>
    </w:p>
    <w:p w14:paraId="2596BFE3"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Esto ha generado que diversas disposiciones reconozcan la posibilidad de celebrar convenios y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234C3624"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regulación se torna dispersa dado que el grueso de las disposiciones en las que se sustentan las modalidades contractuales y la capacidad para celebrarlas se </w:t>
      </w:r>
      <w:r>
        <w:rPr>
          <w:rFonts w:ascii="Verdana" w:eastAsia="Calibri" w:hAnsi="Verdana" w:cs="Arial"/>
        </w:rPr>
        <w:lastRenderedPageBreak/>
        <w:t xml:space="preserve">encuentra en varios cuerpos normativos que aplican a distintos entes estatales, obedecen a contextos disímiles y tienen naturaleza normativa diferente. </w:t>
      </w:r>
    </w:p>
    <w:p w14:paraId="3DC5D247"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al problema jurídico planteado, se estima necesario hacer énfasis en el alcance de los Decretos 1088 de 1993 y 252 de 2020 y las leyes 2160 del 2021 y 2294 de 2023. </w:t>
      </w:r>
    </w:p>
    <w:p w14:paraId="6920C768"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Sobre el particular, debe iniciarse por señalar </w:t>
      </w:r>
      <w:proofErr w:type="gramStart"/>
      <w:r>
        <w:rPr>
          <w:rFonts w:ascii="Verdana" w:eastAsia="Calibri" w:hAnsi="Verdana" w:cs="Arial"/>
        </w:rPr>
        <w:t>que</w:t>
      </w:r>
      <w:proofErr w:type="gramEnd"/>
      <w:r>
        <w:rPr>
          <w:rFonts w:ascii="Verdana" w:eastAsia="Calibri" w:hAnsi="Verdana" w:cs="Arial"/>
        </w:rPr>
        <w:t xml:space="preserve"> en relación con las formas de organización indígena, la Constitución Política de 1991 dispuso que la conformación de las entidades territoriales indígenas se realizaría conforme a lo dispuesto en la Ley de Ordenamiento Territorial – LOT. El artículo 329 de la Constitución</w:t>
      </w:r>
      <w:r>
        <w:rPr>
          <w:rStyle w:val="Refdenotaalpie"/>
          <w:rFonts w:ascii="Verdana" w:eastAsia="Calibri" w:hAnsi="Verdana" w:cs="Arial"/>
        </w:rPr>
        <w:footnoteReference w:id="2"/>
      </w:r>
      <w:r>
        <w:rPr>
          <w:rFonts w:ascii="Verdana" w:eastAsia="Calibri" w:hAnsi="Verdana" w:cs="Arial"/>
        </w:rPr>
        <w:t>. Esta norma dispuso que la conformación de las entidades 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Pr>
          <w:rFonts w:ascii="Verdana" w:eastAsia="Calibri" w:hAnsi="Verdana" w:cs="Arial"/>
          <w:sz w:val="21"/>
          <w:szCs w:val="21"/>
        </w:rPr>
        <w:t>.</w:t>
      </w:r>
      <w:bookmarkStart w:id="2" w:name="_Hlk34989337"/>
    </w:p>
    <w:p w14:paraId="298EC3EA"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w:t>
      </w:r>
      <w:r>
        <w:rPr>
          <w:rFonts w:ascii="Verdana" w:eastAsia="Calibri" w:hAnsi="Verdana" w:cs="Arial"/>
        </w:rPr>
        <w:lastRenderedPageBreak/>
        <w:t xml:space="preserve">público, de carácter especial, con personería jurídica, patrimonio propio y autonomía administrativa. </w:t>
      </w:r>
      <w:bookmarkEnd w:id="2"/>
    </w:p>
    <w:p w14:paraId="64FEA765"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1868C129"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Posteriormente, se expidió el Decreto 252 de 2020, que adicionó el artículo 10 del Decreto 1088 de 1993, el cual establece que las actuaciones de esas asociaciones –de cabildos y/o de autoridades tradicionales– se rigen por el derecho privado. La modificación del Decreto 252 de 2020 consistió en la adición un parágrafo, el cual establece la posibilidad de que entidades estatales celebren convenios o contratos de manera directa con las Asociaciones de Cabildos y/o Autoridades Tradicionales y Organizaciones Indígenas, sin limitaciones en cuanto al objeto del contrato o por la fuente de los recursos.</w:t>
      </w:r>
    </w:p>
    <w:p w14:paraId="05C6F1DA" w14:textId="77777777" w:rsidR="00867916" w:rsidRDefault="00867916" w:rsidP="00867916">
      <w:pPr>
        <w:spacing w:after="120" w:line="276" w:lineRule="auto"/>
        <w:ind w:firstLine="360"/>
        <w:jc w:val="both"/>
        <w:rPr>
          <w:rFonts w:ascii="Verdana" w:eastAsia="Calibri" w:hAnsi="Verdana" w:cs="Arial"/>
        </w:rPr>
      </w:pPr>
      <w:r>
        <w:rPr>
          <w:rFonts w:ascii="Verdana" w:eastAsia="Calibri" w:hAnsi="Verdana" w:cs="Arial"/>
        </w:rPr>
        <w:t xml:space="preserve">De conformidad con lo expuesto, se observa que el artículo 1 del Decreto 252 de 2020 permite que las Asociaciones de Cabildos y/o Autoridades Tradicionales Indígenas y las Organizaciones Indígenas contraten con las Entidades Estatales definidas en el artículo 2 de la Ley 80 de 1993, y además puedan hacerlo de manera directa –sin necesidad de participar en licitaciones u otro proceso de selección–, pero condicionado a la composición de esas organizaciones, cuyos miembros deben ser, exclusivamente cabildos indígenas, </w:t>
      </w:r>
      <w:r>
        <w:rPr>
          <w:rFonts w:ascii="Verdana" w:eastAsia="Calibri" w:hAnsi="Verdana" w:cs="Arial"/>
          <w:i/>
          <w:iCs/>
        </w:rPr>
        <w:t>resguardos indígenas</w:t>
      </w:r>
      <w:r>
        <w:rPr>
          <w:rFonts w:ascii="Verdana" w:eastAsia="Calibri" w:hAnsi="Verdana" w:cs="Arial"/>
        </w:rPr>
        <w:t>, asociaciones de cabildos indígenas, asociaciones de autoridades indígenas y/</w:t>
      </w:r>
      <w:proofErr w:type="spellStart"/>
      <w:r>
        <w:rPr>
          <w:rFonts w:ascii="Verdana" w:eastAsia="Calibri" w:hAnsi="Verdana" w:cs="Arial"/>
        </w:rPr>
        <w:t>o</w:t>
      </w:r>
      <w:proofErr w:type="spellEnd"/>
      <w:r>
        <w:rPr>
          <w:rFonts w:ascii="Verdana" w:eastAsia="Calibri" w:hAnsi="Verdana" w:cs="Arial"/>
        </w:rPr>
        <w:t xml:space="preserve"> otras formas de autoridad indígena</w:t>
      </w:r>
      <w:r>
        <w:rPr>
          <w:rStyle w:val="Refdenotaalpie"/>
          <w:rFonts w:ascii="Verdana" w:eastAsia="Calibri" w:hAnsi="Verdana" w:cs="Arial"/>
        </w:rPr>
        <w:footnoteReference w:id="3"/>
      </w:r>
      <w:r>
        <w:rPr>
          <w:rFonts w:ascii="Verdana" w:eastAsia="Calibri" w:hAnsi="Verdana" w:cs="Arial"/>
        </w:rPr>
        <w:t xml:space="preserve">. En ese sentido, la norma le confirió a las Organizaciones Indígenas capacidad para contratar con el Estado y también </w:t>
      </w:r>
      <w:r>
        <w:rPr>
          <w:rFonts w:ascii="Verdana" w:eastAsia="Calibri" w:hAnsi="Verdana" w:cs="Arial"/>
        </w:rPr>
        <w:lastRenderedPageBreak/>
        <w:t>autorizó a todas las Entidades Estatales a contratar con ellas de manera directa. Por oposición, antes de esta norma solo podían celebrar convenios solidarios con municipios y distritos. En todo caso, el Decreto 252 de 2020 no califica a las Organizaciones Indígenas como Entidades Estatales, ni regula su naturaleza o régimen legal, sino que establece la regulación indicada en materia contractual.</w:t>
      </w:r>
    </w:p>
    <w:p w14:paraId="3C38F543"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En síntesis, las normas hasta aquí analizadas asignan capacidad contractual a diferentes tipos de entes y mecanismos de asociación a través de los cuales los pueblos indígenas ejercen su representación, con la finalidad de celebrar negocios jurídicos que deben suscribirse con sujeción a ciertas disposiciones especiales. De esta manera, los Decretos 1088 de 1993 y 252 de 2020 reconocen capacidad contractual a las organizaciones indígenas siempre y cuando estén conformadas exclusivamente por cabildos indígenas, </w:t>
      </w:r>
      <w:r w:rsidRPr="00AC62F8">
        <w:rPr>
          <w:rFonts w:ascii="Verdana" w:eastAsia="Calibri" w:hAnsi="Verdana" w:cs="Arial"/>
        </w:rPr>
        <w:t>resguardos indígenas</w:t>
      </w:r>
      <w:r>
        <w:rPr>
          <w:rFonts w:ascii="Verdana" w:eastAsia="Calibri" w:hAnsi="Verdana" w:cs="Arial"/>
        </w:rPr>
        <w:t>, asociaciones de cabildos, asociación de autoridades u otra forma de autoridad indígena propia.</w:t>
      </w:r>
    </w:p>
    <w:p w14:paraId="7025E69A"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Adicionalmente, las disposiciones en comento no solo coinciden en reconocer capacidad jurídica a los sujetos mencionados, sino también en permitir que los contratos que regulan se celebren directamente. Sin perjuicio de las causales del artículo 2.4 de la Ley 1150 de 2007, el Decreto 1088 de 1993 –adicionado por el Decreto 252 de 2020– regula supuestos en los cuales las asociaciones de Cabildos y/o Autoridades Tradicionales Indígenas y Organizaciones Indígenas pueden celebrar contratos de manera directa con Entidades Estatales, estableciendo formalidades especiales –relacionadas con la conformación de las respectivas asociaciones y/</w:t>
      </w:r>
      <w:proofErr w:type="spellStart"/>
      <w:r>
        <w:rPr>
          <w:rFonts w:ascii="Verdana" w:eastAsia="Calibri" w:hAnsi="Verdana" w:cs="Arial"/>
        </w:rPr>
        <w:t>o</w:t>
      </w:r>
      <w:proofErr w:type="spellEnd"/>
      <w:r>
        <w:rPr>
          <w:rFonts w:ascii="Verdana" w:eastAsia="Calibri" w:hAnsi="Verdana" w:cs="Arial"/>
        </w:rPr>
        <w:t xml:space="preserve"> organizaciones, la constitución de una garantía única y la valoración del conocimiento ancestral como aporte de las organizaciones indígenas a los convenios–, pero remitiendo en lo demás al Estatuto General de Contratación de la Administración Pública – EGCAP -, régimen jurídico prevalente de estos contratos.</w:t>
      </w:r>
    </w:p>
    <w:p w14:paraId="790C84EC"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En ese sentido, estas normas han complementado al EGCAP en lo que tiene que ver con cada una de las modalidades de contratación que regulan, en la medida en que sus contenidos han llenado vacíos normativos de las leyes 80 de 1993 y 1150 de 2007 en atención a los cuales no era posible que Entidades Estatales suscribieran contratos estatales con los pueblos indígenas, menos aun de manera directa, lo cual representa una cuestión problemática para el Estado colombiano. Esto por cuanto el despliegue de la acción coordinada y sistemática de las instituciones dirigida a proteger los derechos y garantizar la integridad de </w:t>
      </w:r>
      <w:r>
        <w:rPr>
          <w:rFonts w:ascii="Verdana" w:eastAsia="Calibri" w:hAnsi="Verdana" w:cs="Arial"/>
        </w:rPr>
        <w:lastRenderedPageBreak/>
        <w:t xml:space="preserve">los pueblos indígenas, exigida por el cumplimiento de lo dispuesto en el artículo 2 de la Ley 21 de 1991, conforme a lo explicado </w:t>
      </w:r>
      <w:r>
        <w:rPr>
          <w:rFonts w:ascii="Verdana" w:eastAsia="Calibri" w:hAnsi="Verdana" w:cs="Arial"/>
          <w:i/>
          <w:iCs/>
        </w:rPr>
        <w:t>supra</w:t>
      </w:r>
      <w:r>
        <w:rPr>
          <w:rFonts w:ascii="Verdana" w:eastAsia="Calibri" w:hAnsi="Verdana" w:cs="Arial"/>
        </w:rPr>
        <w:t xml:space="preserve">, requiere de la participación y concertación con los integrantes de las comunidades, así como de la articulación de múltiples entes estatales, lo que implica la celebración de acuerdos entre los implicados, que suponen la manifestación de la voluntad de entidades del Estado. </w:t>
      </w:r>
    </w:p>
    <w:p w14:paraId="70544FFC" w14:textId="77777777" w:rsidR="00867916" w:rsidRDefault="00867916" w:rsidP="00867916">
      <w:pPr>
        <w:spacing w:after="120" w:line="276" w:lineRule="auto"/>
        <w:ind w:firstLine="708"/>
        <w:jc w:val="both"/>
        <w:rPr>
          <w:rFonts w:ascii="Verdana" w:eastAsia="Calibri" w:hAnsi="Verdana" w:cs="Arial"/>
        </w:rPr>
      </w:pPr>
      <w:r>
        <w:rPr>
          <w:rFonts w:ascii="Verdana" w:eastAsia="Calibri" w:hAnsi="Verdana" w:cs="Arial"/>
        </w:rPr>
        <w:t xml:space="preserve">Ahora, si bien la Ley 80 de 1993 dentro de su propio texto estableció que los </w:t>
      </w:r>
      <w:r>
        <w:rPr>
          <w:rFonts w:ascii="Verdana" w:eastAsia="Calibri" w:hAnsi="Verdana" w:cs="Arial"/>
          <w:i/>
          <w:iCs/>
        </w:rPr>
        <w:t>territorios indígenas</w:t>
      </w:r>
      <w:r>
        <w:rPr>
          <w:rFonts w:ascii="Verdana" w:eastAsia="Calibri" w:hAnsi="Verdana" w:cs="Arial"/>
        </w:rPr>
        <w:t xml:space="preserve"> constituyen Entidades Estatales, lo cierto es que la implementación de estos, pasados más de treinta años de expedida la Constitución Política vigente, aun no hay desarrollos legislativos sobre la materia, lo que ha impedido que los mismos puedan implementarse y obrar como entidades estatales, al tenor del artículo 2 de la Ley 80 de 1993. Esta situación aunada a la persistencia de las obligaciones y compromisos de orden superior de las instituciones estatales para con los pueblos indígenas, es la razón principal por la que, de conformidad con el artículo 56 transitorio de la carta política, el Decreto 1088 de 1993, adicionado por el Decreto 252 de 2020, ha regulado la contratación con entes como las asociaciones de Cabildos y/o Autoridades Tradicionales y Organizaciones Indígenas, bajo el supuesto de que los contratos estatales son un mecanismo de coordinación efectiva</w:t>
      </w:r>
      <w:r>
        <w:rPr>
          <w:rStyle w:val="Refdenotaalpie"/>
          <w:rFonts w:ascii="Verdana" w:eastAsia="Calibri" w:hAnsi="Verdana" w:cs="Arial"/>
        </w:rPr>
        <w:footnoteReference w:id="4"/>
      </w:r>
      <w:r>
        <w:rPr>
          <w:rFonts w:ascii="Verdana" w:eastAsia="Calibri" w:hAnsi="Verdana" w:cs="Arial"/>
        </w:rPr>
        <w:t>.</w:t>
      </w:r>
    </w:p>
    <w:p w14:paraId="6D8D794B" w14:textId="77777777" w:rsidR="00867916" w:rsidRDefault="00867916" w:rsidP="00867916">
      <w:pPr>
        <w:spacing w:after="120" w:line="276" w:lineRule="auto"/>
        <w:ind w:firstLine="709"/>
        <w:jc w:val="both"/>
        <w:rPr>
          <w:rFonts w:ascii="Verdana" w:eastAsia="Calibri" w:hAnsi="Verdana" w:cs="Arial"/>
        </w:rPr>
      </w:pPr>
      <w:r>
        <w:rPr>
          <w:rFonts w:ascii="Verdana" w:eastAsia="Calibri" w:hAnsi="Verdana" w:cs="Arial"/>
        </w:rPr>
        <w:lastRenderedPageBreak/>
        <w:t xml:space="preserve">De acuerdo con lo hasta aquí considerado, la celebración de contratos o convenios de manera directa entre Entidades Estatales y Asociaciones de Cabildos y Autoridades Tradicionales, al igual que con organizaciones indígenas, es un asunto regulado por el Decreto 1088 de 1993, adicionado por el Decreto 252 de 2020. </w:t>
      </w:r>
    </w:p>
    <w:p w14:paraId="67733119" w14:textId="77777777" w:rsidR="00867916" w:rsidRDefault="00867916" w:rsidP="00867916">
      <w:pPr>
        <w:spacing w:after="120" w:line="276" w:lineRule="auto"/>
        <w:ind w:firstLine="709"/>
        <w:jc w:val="both"/>
        <w:rPr>
          <w:rFonts w:ascii="Verdana" w:eastAsia="Calibri" w:hAnsi="Verdana" w:cs="Arial"/>
        </w:rPr>
      </w:pPr>
      <w:r>
        <w:rPr>
          <w:rFonts w:ascii="Verdana" w:hAnsi="Verdana" w:cs="Arial"/>
        </w:rPr>
        <w:t xml:space="preserve">En todo caso, es importante considerar que estos decretos tienen el carácter de decretos autónomos, pues fueron expedidos conforme a las facultades normativas excepcionales atribuidas al Gobierno Nacional por el artículo 56 transitorio de Constitución Política, en lo que el Congreso de la República implementa los territorios indígenas, cuestión respecto de la que permanece la omisión legislativa –sin perjuicio de la expedición de la Ley 1454 de 2011, tal como lo precisó la Corte Constitucional en las sentencias C-489 de 2012 y C-617 de 2015–. Esto significa que las disposiciones de los decretos autónomos mencionados mantendrán su vigencia hasta que Legislador ejerza la competencia normativa que le asiste en orden de implementar los territorios indígenas, conforme al artículo 329 superior. </w:t>
      </w:r>
    </w:p>
    <w:p w14:paraId="492F79DA" w14:textId="77777777" w:rsidR="00867916" w:rsidRDefault="00867916" w:rsidP="00867916">
      <w:pPr>
        <w:spacing w:after="120" w:line="276" w:lineRule="auto"/>
        <w:ind w:firstLine="709"/>
        <w:jc w:val="both"/>
        <w:rPr>
          <w:rFonts w:ascii="Verdana" w:eastAsia="Times New Roman" w:hAnsi="Verdana" w:cs="Arial"/>
          <w:lang w:eastAsia="es-ES_tradnl"/>
        </w:rPr>
      </w:pPr>
      <w:r>
        <w:rPr>
          <w:rFonts w:ascii="Verdana" w:hAnsi="Verdana" w:cs="Arial"/>
        </w:rPr>
        <w:t xml:space="preserve">En lo que respecta a la </w:t>
      </w:r>
      <w:r>
        <w:rPr>
          <w:rFonts w:ascii="Verdana" w:eastAsia="Calibri" w:hAnsi="Verdana" w:cs="Arial"/>
        </w:rPr>
        <w:t xml:space="preserve">Ley 2160 de 2021, </w:t>
      </w:r>
      <w:r>
        <w:rPr>
          <w:rFonts w:ascii="Verdana" w:eastAsia="Calibri" w:hAnsi="Verdana" w:cs="Arial"/>
          <w:i/>
          <w:iCs/>
        </w:rPr>
        <w:t>“Por medio del cual se modifica la Ley 80 de 1993 y la Ley 1150 de 2007</w:t>
      </w:r>
      <w:r>
        <w:rPr>
          <w:rFonts w:ascii="Verdana" w:hAnsi="Verdana" w:cs="Arial"/>
          <w:i/>
          <w:iCs/>
        </w:rPr>
        <w:t>”</w:t>
      </w:r>
      <w:r>
        <w:rPr>
          <w:rFonts w:ascii="Verdana" w:eastAsia="Calibri" w:hAnsi="Verdana" w:cs="Arial"/>
        </w:rPr>
        <w:t>, esta estableció nuevas regulaciones con respecto a la capacidad contractual y naturaleza jurídica de varios tipos de organización, entre ellas los cabildos indígenas y asociaciones de autoridades tradicionales indígenas</w:t>
      </w:r>
      <w:r>
        <w:rPr>
          <w:rFonts w:ascii="Verdana" w:eastAsia="Times New Roman" w:hAnsi="Verdana"/>
          <w:sz w:val="21"/>
          <w:szCs w:val="21"/>
          <w:vertAlign w:val="superscript"/>
          <w:lang w:eastAsia="es-ES_tradnl"/>
        </w:rPr>
        <w:footnoteReference w:id="5"/>
      </w:r>
      <w:r>
        <w:rPr>
          <w:rFonts w:ascii="Verdana" w:eastAsia="Times New Roman" w:hAnsi="Verdana" w:cs="Arial"/>
          <w:sz w:val="21"/>
          <w:szCs w:val="21"/>
          <w:lang w:eastAsia="es-ES_tradnl"/>
        </w:rPr>
        <w:t xml:space="preserve">. </w:t>
      </w:r>
      <w:r>
        <w:rPr>
          <w:rFonts w:ascii="Verdana" w:eastAsia="Times New Roman" w:hAnsi="Verdana" w:cs="Arial"/>
          <w:lang w:eastAsia="es-ES_tradnl"/>
        </w:rPr>
        <w:t xml:space="preserve">Teniendo en cuenta esta filosofía y objetivos buscados en el proyecto de ley, esta modificó, entre otras cosas, el artículo 7 de la Ley 80 </w:t>
      </w:r>
      <w:r>
        <w:rPr>
          <w:rFonts w:ascii="Verdana" w:eastAsia="Times New Roman" w:hAnsi="Verdana" w:cs="Arial"/>
          <w:lang w:eastAsia="es-ES_tradnl"/>
        </w:rPr>
        <w:lastRenderedPageBreak/>
        <w:t>de 1993 mediante su artículo 3º. Adicionalmente, adicionó el literal L) al numeral 4 del artículo 2 de la Ley 1150 de 2007, creando un causal de contratación directa aplicable a “</w:t>
      </w:r>
      <w:r>
        <w:rPr>
          <w:rFonts w:ascii="Verdana" w:eastAsia="Times New Roman" w:hAnsi="Verdana" w:cs="Arial"/>
          <w:i/>
          <w:iCs/>
          <w:lang w:eastAsia="es-ES_tradnl"/>
        </w:rPr>
        <w:t>L) Los contratos o convenios que las entidades estatales suscriban con los cabildos Indígenas y las Asociaciones de Autoridades Tradicionales Indígenas, cuyo objeto esté relacionado con el fortalecimiento del Gobierno Propio, la identidad cultural, el ejercicio de la autonomía, y/o la garantía de los Derechos de los Pueblos Indígenas”.</w:t>
      </w:r>
      <w:r>
        <w:rPr>
          <w:rFonts w:ascii="Verdana" w:eastAsia="Times New Roman" w:hAnsi="Verdana" w:cs="Arial"/>
          <w:lang w:eastAsia="es-ES_tradnl"/>
        </w:rPr>
        <w:t xml:space="preserve"> En aplicación de esta causal era en su momento posible celebrar contratos con los Cabildos Indígenas y Asociaciones de Autoridades Tradicionales Indígenas, independientemente de su valor u objeto, siempre que estuvieran relacionado con las finalidades expresamente establecidas en la norma. </w:t>
      </w:r>
    </w:p>
    <w:p w14:paraId="3D627E02" w14:textId="77777777" w:rsidR="00867916" w:rsidRDefault="00867916" w:rsidP="00867916">
      <w:pPr>
        <w:spacing w:after="240" w:line="276" w:lineRule="auto"/>
        <w:ind w:firstLine="708"/>
        <w:jc w:val="both"/>
        <w:rPr>
          <w:rFonts w:ascii="Verdana" w:eastAsia="Calibri" w:hAnsi="Verdana" w:cs="Arial"/>
        </w:rPr>
      </w:pPr>
      <w:r>
        <w:rPr>
          <w:rFonts w:ascii="Verdana" w:eastAsia="Times New Roman" w:hAnsi="Verdana" w:cs="Arial"/>
          <w:lang w:eastAsia="es-ES_tradnl"/>
        </w:rPr>
        <w:t xml:space="preserve">Ahora bien, </w:t>
      </w:r>
      <w:r>
        <w:rPr>
          <w:rFonts w:ascii="Verdana" w:eastAsia="Calibri" w:hAnsi="Verdana" w:cs="Arial"/>
          <w:lang w:val="es-ES"/>
        </w:rPr>
        <w:t>la Ley 2160 de 2021 estableció nuevos aspectos sobre la capacidad contractual y naturaleza jurídica de varios tipos de organizaciones</w:t>
      </w:r>
      <w:r>
        <w:rPr>
          <w:rFonts w:ascii="Verdana" w:eastAsia="Times New Roman" w:hAnsi="Verdana"/>
          <w:vertAlign w:val="superscript"/>
          <w:lang w:eastAsia="es-ES_tradnl"/>
        </w:rPr>
        <w:footnoteReference w:id="6"/>
      </w:r>
      <w:r>
        <w:rPr>
          <w:rFonts w:ascii="Verdana" w:eastAsia="Times New Roman" w:hAnsi="Verdana" w:cs="Arial"/>
          <w:lang w:eastAsia="es-ES_tradnl"/>
        </w:rPr>
        <w:t xml:space="preserve">. Esta modificó, como previamente se indicó, el artículo 6 de la Ley 80 de 1993. La modificación señala que son capaces para contratar con las Entidades Estatales, además de las personas consideradas legalmente capaces: los cabildos indígenas y las asociaciones de autoridades tradicionales indígenas, entre otros. Adicionalmente, la </w:t>
      </w:r>
      <w:r>
        <w:rPr>
          <w:rFonts w:ascii="Verdana" w:eastAsia="Calibri" w:hAnsi="Verdana" w:cs="Arial"/>
          <w:lang w:val="es-ES"/>
        </w:rPr>
        <w:t>la Ley 2160 de 2021 modificó el artículo séptimo de la Ley 80 de 1993 así:</w:t>
      </w:r>
    </w:p>
    <w:p w14:paraId="0688D617"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0"/>
          <w:szCs w:val="20"/>
          <w:lang w:val="es-ES"/>
        </w:rPr>
      </w:pPr>
      <w:r>
        <w:rPr>
          <w:rFonts w:ascii="Verdana" w:eastAsia="Times New Roman" w:hAnsi="Verdana" w:cs="Arial"/>
          <w:bCs/>
          <w:sz w:val="20"/>
          <w:szCs w:val="20"/>
          <w:lang w:val="es-ES"/>
        </w:rPr>
        <w:t>“Artículo 7°.</w:t>
      </w:r>
      <w:r>
        <w:rPr>
          <w:rFonts w:ascii="Verdana" w:eastAsia="Times New Roman" w:hAnsi="Verdana" w:cs="Arial"/>
          <w:sz w:val="20"/>
          <w:szCs w:val="20"/>
          <w:lang w:val="es-ES"/>
        </w:rPr>
        <w:t> </w:t>
      </w:r>
      <w:proofErr w:type="gramStart"/>
      <w:r>
        <w:rPr>
          <w:rFonts w:ascii="Verdana" w:eastAsia="Times New Roman" w:hAnsi="Verdana" w:cs="Arial"/>
          <w:sz w:val="20"/>
          <w:szCs w:val="20"/>
          <w:lang w:val="es-ES"/>
        </w:rPr>
        <w:t>Entidades a Contratar</w:t>
      </w:r>
      <w:proofErr w:type="gramEnd"/>
      <w:r>
        <w:rPr>
          <w:rFonts w:ascii="Verdana" w:eastAsia="Times New Roman" w:hAnsi="Verdana" w:cs="Arial"/>
          <w:sz w:val="20"/>
          <w:szCs w:val="20"/>
          <w:lang w:val="es-ES"/>
        </w:rPr>
        <w:t>. Para los efectos de esta ley se entiende por:</w:t>
      </w:r>
    </w:p>
    <w:p w14:paraId="4A89EF25"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0"/>
          <w:szCs w:val="20"/>
          <w:lang w:val="es-ES"/>
        </w:rPr>
      </w:pPr>
    </w:p>
    <w:p w14:paraId="28A84086"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0"/>
          <w:szCs w:val="20"/>
          <w:lang w:val="es-ES"/>
        </w:rPr>
      </w:pPr>
      <w:r>
        <w:rPr>
          <w:rFonts w:ascii="Verdana" w:eastAsia="Times New Roman" w:hAnsi="Verdana" w:cs="Arial"/>
          <w:sz w:val="20"/>
          <w:szCs w:val="20"/>
          <w:lang w:val="es-ES"/>
        </w:rPr>
        <w:lastRenderedPageBreak/>
        <w:t xml:space="preserve">1. Cabildo Indígena: </w:t>
      </w:r>
      <w:r>
        <w:rPr>
          <w:rFonts w:ascii="Verdana" w:eastAsia="Times New Roman" w:hAnsi="Verdana" w:cs="Arial"/>
          <w:i/>
          <w:iCs/>
          <w:sz w:val="20"/>
          <w:szCs w:val="20"/>
          <w:lang w:val="es-ES"/>
        </w:rPr>
        <w:t>Es una entidad pública especial</w:t>
      </w:r>
      <w:r>
        <w:rPr>
          <w:rFonts w:ascii="Verdana" w:eastAsia="Times New Roman" w:hAnsi="Verdana" w:cs="Arial"/>
          <w:sz w:val="20"/>
          <w:szCs w:val="20"/>
          <w:lang w:val="es-ES"/>
        </w:rPr>
        <w:t>, cuyos integrantes son miembros de una comunidad indígena, elegidos y reconocidos por esta, con una organización socio política tradicional, cuya función es representar legalmente a la comunidad, ejercer la autoridad y realizar las actividades que le atribuyen las leyes, sus usos, costumbres y el reglamento interno de cada comunidad.</w:t>
      </w:r>
    </w:p>
    <w:p w14:paraId="59C0259A"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0"/>
          <w:szCs w:val="20"/>
          <w:lang w:val="es-ES"/>
        </w:rPr>
      </w:pPr>
      <w:r>
        <w:rPr>
          <w:rFonts w:ascii="Verdana" w:eastAsia="Times New Roman" w:hAnsi="Verdana" w:cs="Arial"/>
          <w:sz w:val="20"/>
          <w:szCs w:val="20"/>
          <w:lang w:val="es-ES"/>
        </w:rPr>
        <w:t>[…]</w:t>
      </w:r>
    </w:p>
    <w:p w14:paraId="3B6F6561"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0"/>
          <w:szCs w:val="20"/>
          <w:lang w:val="es-ES"/>
        </w:rPr>
      </w:pPr>
      <w:r>
        <w:rPr>
          <w:rFonts w:ascii="Verdana" w:eastAsia="Times New Roman" w:hAnsi="Verdana" w:cs="Arial"/>
          <w:sz w:val="20"/>
          <w:szCs w:val="20"/>
          <w:lang w:val="es-ES"/>
        </w:rPr>
        <w:t xml:space="preserve">8. Asociaciones de autoridades tradicionales indígenas. </w:t>
      </w:r>
      <w:r>
        <w:rPr>
          <w:rFonts w:ascii="Verdana" w:eastAsia="Times New Roman" w:hAnsi="Verdana" w:cs="Arial"/>
          <w:i/>
          <w:iCs/>
          <w:sz w:val="20"/>
          <w:szCs w:val="20"/>
          <w:lang w:val="es-ES"/>
        </w:rPr>
        <w:t>Entidad de derecho público</w:t>
      </w:r>
      <w:r>
        <w:rPr>
          <w:rFonts w:ascii="Verdana" w:eastAsia="Times New Roman" w:hAnsi="Verdana" w:cs="Arial"/>
          <w:sz w:val="20"/>
          <w:szCs w:val="20"/>
          <w:lang w:val="es-ES"/>
        </w:rPr>
        <w:t>, encargada de fomentar y coordinar con las autoridades locales, regionales y nacionales, la ejecución de proyectos en salud, educación y vivienda. Esta entidad estará conformada por diez (10) organizaciones regionales indígenas”. [Énfasis fuera del texto original]</w:t>
      </w:r>
    </w:p>
    <w:p w14:paraId="3B910B50" w14:textId="77777777" w:rsidR="00867916" w:rsidRDefault="00867916" w:rsidP="00867916">
      <w:pPr>
        <w:shd w:val="clear" w:color="auto" w:fill="FFFFFF"/>
        <w:spacing w:after="0" w:line="240" w:lineRule="auto"/>
        <w:ind w:left="709" w:right="709"/>
        <w:contextualSpacing/>
        <w:jc w:val="both"/>
        <w:rPr>
          <w:rFonts w:ascii="Verdana" w:eastAsia="Times New Roman" w:hAnsi="Verdana" w:cs="Arial"/>
          <w:sz w:val="21"/>
          <w:szCs w:val="21"/>
          <w:lang w:val="es-ES"/>
        </w:rPr>
      </w:pPr>
    </w:p>
    <w:p w14:paraId="466BC412" w14:textId="77777777" w:rsidR="00867916" w:rsidRDefault="00867916" w:rsidP="00867916">
      <w:pPr>
        <w:jc w:val="both"/>
        <w:rPr>
          <w:rFonts w:ascii="Verdana" w:eastAsia="Times New Roman" w:hAnsi="Verdana" w:cs="Arial"/>
          <w:lang w:val="es-ES"/>
        </w:rPr>
      </w:pPr>
      <w:r>
        <w:rPr>
          <w:rFonts w:ascii="Verdana" w:eastAsia="Times New Roman" w:hAnsi="Verdana" w:cs="Arial"/>
          <w:lang w:val="es-ES"/>
        </w:rPr>
        <w:tab/>
        <w:t>El anterior artículo fue luego modificado por el artículo 354 la Ley 2294 de 2023 “</w:t>
      </w:r>
      <w:r>
        <w:rPr>
          <w:rFonts w:ascii="Verdana" w:hAnsi="Verdana" w:cs="Arial"/>
        </w:rPr>
        <w:t>Por la cual se expide el Plan Nacional de Desarrollo 2022-2026, Colombia Potencia Mundial de la Vida”,</w:t>
      </w:r>
      <w:r>
        <w:rPr>
          <w:rFonts w:ascii="Verdana" w:hAnsi="Verdana" w:cs="Arial"/>
          <w:i/>
          <w:iCs/>
        </w:rPr>
        <w:t xml:space="preserve"> </w:t>
      </w:r>
      <w:r>
        <w:rPr>
          <w:rFonts w:ascii="Verdana" w:hAnsi="Verdana" w:cs="Arial"/>
        </w:rPr>
        <w:t>que estableció una nueva definición para “</w:t>
      </w:r>
      <w:r>
        <w:rPr>
          <w:rFonts w:ascii="Verdana" w:eastAsia="Times New Roman" w:hAnsi="Verdana" w:cs="Arial"/>
          <w:lang w:val="es-ES"/>
        </w:rPr>
        <w:t xml:space="preserve">Asociaciones de autoridades tradicionales indígenas”, denominándolas ahora “Asociaciones de cabildos indígenas y/o autoridades tradicionales indígenas” y adicionó como entidad a contratar al “Consejo Indígena”, en los siguientes términos: </w:t>
      </w:r>
    </w:p>
    <w:p w14:paraId="2F4DAF5F" w14:textId="77777777" w:rsidR="00867916" w:rsidRDefault="00867916" w:rsidP="00867916">
      <w:pPr>
        <w:spacing w:after="0" w:line="240" w:lineRule="auto"/>
        <w:ind w:left="709" w:right="709"/>
        <w:contextualSpacing/>
        <w:jc w:val="both"/>
        <w:rPr>
          <w:rFonts w:ascii="Verdana" w:eastAsia="Times New Roman" w:hAnsi="Verdana" w:cs="Arial"/>
          <w:sz w:val="20"/>
          <w:szCs w:val="20"/>
          <w:lang w:eastAsia="es-CO"/>
        </w:rPr>
      </w:pPr>
      <w:r>
        <w:rPr>
          <w:rFonts w:ascii="Verdana" w:eastAsia="Times New Roman" w:hAnsi="Verdana" w:cs="Arial"/>
          <w:b/>
          <w:bCs/>
          <w:sz w:val="20"/>
          <w:szCs w:val="20"/>
          <w:lang w:eastAsia="es-CO"/>
        </w:rPr>
        <w:t>“</w:t>
      </w:r>
      <w:r>
        <w:rPr>
          <w:rFonts w:ascii="Verdana" w:eastAsia="Times New Roman" w:hAnsi="Verdana" w:cs="Arial"/>
          <w:sz w:val="20"/>
          <w:szCs w:val="20"/>
          <w:lang w:eastAsia="es-CO"/>
        </w:rPr>
        <w:t xml:space="preserve">ARTÍCULO 354. Modifíquese el numeral 8 y adiciónese el numeral 9 al artículo 7° de la Ley 80 de 1993, así: </w:t>
      </w:r>
    </w:p>
    <w:p w14:paraId="524D9844" w14:textId="77777777" w:rsidR="00867916" w:rsidRDefault="00867916" w:rsidP="00867916">
      <w:pPr>
        <w:spacing w:after="0" w:line="240" w:lineRule="auto"/>
        <w:ind w:left="709" w:right="709"/>
        <w:contextualSpacing/>
        <w:jc w:val="both"/>
        <w:rPr>
          <w:rFonts w:ascii="Verdana" w:eastAsia="Times New Roman" w:hAnsi="Verdana" w:cs="Times New Roman"/>
          <w:sz w:val="20"/>
          <w:szCs w:val="20"/>
          <w:lang w:eastAsia="es-CO"/>
        </w:rPr>
      </w:pPr>
    </w:p>
    <w:p w14:paraId="05D750DB" w14:textId="77777777" w:rsidR="00867916" w:rsidRDefault="00867916" w:rsidP="00867916">
      <w:pPr>
        <w:spacing w:after="0" w:line="240" w:lineRule="auto"/>
        <w:ind w:left="709" w:right="709"/>
        <w:contextualSpacing/>
        <w:jc w:val="both"/>
        <w:rPr>
          <w:rFonts w:ascii="Verdana" w:eastAsia="Times New Roman" w:hAnsi="Verdana" w:cs="Arial"/>
          <w:sz w:val="20"/>
          <w:szCs w:val="20"/>
          <w:lang w:eastAsia="es-CO"/>
        </w:rPr>
      </w:pPr>
      <w:r>
        <w:rPr>
          <w:rFonts w:ascii="Verdana" w:eastAsia="Times New Roman" w:hAnsi="Verdana" w:cs="Arial"/>
          <w:sz w:val="20"/>
          <w:szCs w:val="20"/>
          <w:lang w:eastAsia="es-CO"/>
        </w:rPr>
        <w:t xml:space="preserve">Artículo 7°. </w:t>
      </w:r>
      <w:proofErr w:type="gramStart"/>
      <w:r>
        <w:rPr>
          <w:rFonts w:ascii="Verdana" w:eastAsia="Times New Roman" w:hAnsi="Verdana" w:cs="Arial"/>
          <w:sz w:val="20"/>
          <w:szCs w:val="20"/>
          <w:lang w:eastAsia="es-CO"/>
        </w:rPr>
        <w:t>Entidades a contratar</w:t>
      </w:r>
      <w:proofErr w:type="gramEnd"/>
      <w:r>
        <w:rPr>
          <w:rFonts w:ascii="Verdana" w:eastAsia="Times New Roman" w:hAnsi="Verdana" w:cs="Arial"/>
          <w:sz w:val="20"/>
          <w:szCs w:val="20"/>
          <w:lang w:eastAsia="es-CO"/>
        </w:rPr>
        <w:t>. Para los efectos de esta ley se entiende por:</w:t>
      </w:r>
    </w:p>
    <w:p w14:paraId="3045A778" w14:textId="77777777" w:rsidR="00867916" w:rsidRDefault="00867916" w:rsidP="00867916">
      <w:pPr>
        <w:spacing w:after="0" w:line="240" w:lineRule="auto"/>
        <w:ind w:left="709" w:right="709"/>
        <w:contextualSpacing/>
        <w:jc w:val="both"/>
        <w:rPr>
          <w:rFonts w:ascii="Verdana" w:eastAsia="Times New Roman" w:hAnsi="Verdana" w:cs="Times New Roman"/>
          <w:sz w:val="20"/>
          <w:szCs w:val="20"/>
          <w:lang w:eastAsia="es-CO"/>
        </w:rPr>
      </w:pPr>
    </w:p>
    <w:p w14:paraId="7B366C20" w14:textId="77777777" w:rsidR="00867916" w:rsidRDefault="00867916" w:rsidP="00867916">
      <w:pPr>
        <w:spacing w:after="0" w:line="240" w:lineRule="auto"/>
        <w:ind w:left="709" w:right="709"/>
        <w:contextualSpacing/>
        <w:jc w:val="both"/>
        <w:rPr>
          <w:rFonts w:ascii="Verdana" w:eastAsia="Times New Roman" w:hAnsi="Verdana" w:cs="Arial"/>
          <w:sz w:val="20"/>
          <w:szCs w:val="20"/>
          <w:lang w:eastAsia="es-CO"/>
        </w:rPr>
      </w:pPr>
      <w:r>
        <w:rPr>
          <w:rFonts w:ascii="Verdana" w:eastAsia="Times New Roman" w:hAnsi="Verdana" w:cs="Arial"/>
          <w:sz w:val="20"/>
          <w:szCs w:val="20"/>
          <w:lang w:eastAsia="es-CO"/>
        </w:rPr>
        <w:t>[…]</w:t>
      </w:r>
    </w:p>
    <w:p w14:paraId="71DEF70A" w14:textId="77777777" w:rsidR="00867916" w:rsidRDefault="00867916" w:rsidP="00867916">
      <w:pPr>
        <w:spacing w:after="0" w:line="240" w:lineRule="auto"/>
        <w:ind w:right="709"/>
        <w:contextualSpacing/>
        <w:jc w:val="both"/>
        <w:rPr>
          <w:rFonts w:ascii="Verdana" w:eastAsia="Times New Roman" w:hAnsi="Verdana" w:cs="Arial"/>
          <w:sz w:val="20"/>
          <w:szCs w:val="20"/>
          <w:lang w:eastAsia="es-CO"/>
        </w:rPr>
      </w:pPr>
    </w:p>
    <w:p w14:paraId="11B83EBC" w14:textId="77777777" w:rsidR="00867916" w:rsidRDefault="00867916" w:rsidP="00867916">
      <w:pPr>
        <w:spacing w:after="0" w:line="240" w:lineRule="auto"/>
        <w:ind w:left="709" w:right="709"/>
        <w:contextualSpacing/>
        <w:jc w:val="both"/>
        <w:rPr>
          <w:rFonts w:ascii="Verdana" w:eastAsia="Times New Roman" w:hAnsi="Verdana" w:cs="Arial"/>
          <w:sz w:val="20"/>
          <w:szCs w:val="20"/>
          <w:lang w:eastAsia="es-CO"/>
        </w:rPr>
      </w:pPr>
      <w:r>
        <w:rPr>
          <w:rFonts w:ascii="Verdana" w:eastAsia="Times New Roman" w:hAnsi="Verdana" w:cs="Arial"/>
          <w:sz w:val="20"/>
          <w:szCs w:val="20"/>
          <w:lang w:eastAsia="es-CO"/>
        </w:rPr>
        <w:t xml:space="preserve">8. Asociaciones de cabildos indígenas y/o autoridades tradicionales indígenas. </w:t>
      </w:r>
      <w:r>
        <w:rPr>
          <w:rFonts w:ascii="Verdana" w:eastAsia="Times New Roman" w:hAnsi="Verdana" w:cs="Arial"/>
          <w:sz w:val="20"/>
          <w:szCs w:val="20"/>
          <w:u w:val="single"/>
          <w:lang w:eastAsia="es-CO"/>
        </w:rPr>
        <w:t>Entidad de derecho público</w:t>
      </w:r>
      <w:r>
        <w:rPr>
          <w:rFonts w:ascii="Verdana" w:eastAsia="Times New Roman" w:hAnsi="Verdana" w:cs="Arial"/>
          <w:sz w:val="20"/>
          <w:szCs w:val="20"/>
          <w:lang w:eastAsia="es-CO"/>
        </w:rPr>
        <w:t>, encargada de fomentar y coordinar con las autoridades locales, regionales y nacionales,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conforme a los lineamientos que al respecto reglamente el Ministerio del Interior y las demás entidades técnicas con competencias relacionadas para su conformación, dentro de los seis (6) meses siguientes a la expedición de la presente ley.</w:t>
      </w:r>
    </w:p>
    <w:p w14:paraId="644B6EC3" w14:textId="77777777" w:rsidR="00867916" w:rsidRDefault="00867916" w:rsidP="00867916">
      <w:pPr>
        <w:spacing w:after="0" w:line="240" w:lineRule="auto"/>
        <w:ind w:left="709" w:right="709"/>
        <w:contextualSpacing/>
        <w:jc w:val="both"/>
        <w:rPr>
          <w:rFonts w:ascii="Verdana" w:eastAsia="Times New Roman" w:hAnsi="Verdana" w:cs="Times New Roman"/>
          <w:sz w:val="20"/>
          <w:szCs w:val="20"/>
          <w:lang w:eastAsia="es-CO"/>
        </w:rPr>
      </w:pPr>
    </w:p>
    <w:p w14:paraId="3CE51F15" w14:textId="77777777" w:rsidR="00867916" w:rsidRDefault="00867916" w:rsidP="00867916">
      <w:pPr>
        <w:spacing w:after="0" w:line="240" w:lineRule="auto"/>
        <w:ind w:left="709" w:right="709"/>
        <w:contextualSpacing/>
        <w:jc w:val="both"/>
        <w:rPr>
          <w:rFonts w:ascii="Verdana" w:eastAsia="Times New Roman" w:hAnsi="Verdana" w:cs="Times New Roman"/>
          <w:sz w:val="20"/>
          <w:szCs w:val="20"/>
          <w:lang w:eastAsia="es-CO"/>
        </w:rPr>
      </w:pPr>
      <w:r>
        <w:rPr>
          <w:rFonts w:ascii="Verdana" w:eastAsia="Times New Roman" w:hAnsi="Verdana" w:cs="Arial"/>
          <w:sz w:val="20"/>
          <w:szCs w:val="20"/>
          <w:lang w:eastAsia="es-CO"/>
        </w:rPr>
        <w:t>9. Consejo Indígena. Forma de gobierno indígena, conformados y reglamentados a través de sus usos y costumbres, de conformidad con lo dispuesto en el artículo 330 de la Constitución Política. […]”</w:t>
      </w:r>
    </w:p>
    <w:p w14:paraId="3CE64637" w14:textId="77777777" w:rsidR="00867916" w:rsidRDefault="00867916" w:rsidP="00867916">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p>
    <w:p w14:paraId="692080CC" w14:textId="77777777" w:rsidR="00867916" w:rsidRDefault="00867916" w:rsidP="00867916">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Pr>
          <w:rFonts w:ascii="Verdana" w:hAnsi="Verdana" w:cs="Calibri"/>
          <w:sz w:val="22"/>
          <w:szCs w:val="22"/>
          <w:lang w:val="es-ES"/>
        </w:rPr>
        <w:lastRenderedPageBreak/>
        <w:t>Conforme lo anterior, la Ley 80 de 1993 reconoce como “entidades a contratar” a los cabildos indígenas, las asociaciones de cabildos y/o autoridades tradicionales indígenas, y a los consejos indígenas, con lo cual estas formas de representación cuentan con capacidad para contratar en el marco del EGCAP.</w:t>
      </w:r>
    </w:p>
    <w:p w14:paraId="1EFA03A1" w14:textId="77777777" w:rsidR="00867916" w:rsidRDefault="00867916" w:rsidP="00867916">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Pr>
          <w:rFonts w:ascii="Verdana" w:hAnsi="Verdana" w:cs="Arial"/>
          <w:sz w:val="22"/>
          <w:szCs w:val="22"/>
        </w:rPr>
        <w:t xml:space="preserve">Por otro lado, el artículo 353 de la Ley 2294 de 2023, modificó la referida causal de contratación directa mutando su texto en el siguiente: “[…] </w:t>
      </w:r>
      <w:r>
        <w:rPr>
          <w:rFonts w:ascii="Verdana" w:hAnsi="Verdana" w:cs="Arial"/>
          <w:i/>
          <w:sz w:val="22"/>
          <w:szCs w:val="22"/>
        </w:rPr>
        <w:t xml:space="preserve">l) 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r>
        <w:rPr>
          <w:rFonts w:ascii="Verdana" w:hAnsi="Verdana" w:cs="Arial"/>
          <w:sz w:val="22"/>
          <w:szCs w:val="22"/>
        </w:rPr>
        <w:t>[…]” [Énfasis fuera de texto].</w:t>
      </w:r>
    </w:p>
    <w:p w14:paraId="7869F214" w14:textId="77777777" w:rsidR="00867916" w:rsidRDefault="00867916" w:rsidP="00867916">
      <w:pPr>
        <w:pStyle w:val="NormalWeb"/>
        <w:shd w:val="clear" w:color="auto" w:fill="FFFFFF"/>
        <w:spacing w:before="0" w:beforeAutospacing="0" w:after="120" w:afterAutospacing="0" w:line="276" w:lineRule="auto"/>
        <w:ind w:firstLine="708"/>
        <w:jc w:val="both"/>
        <w:rPr>
          <w:rFonts w:ascii="Verdana" w:eastAsia="Calibri" w:hAnsi="Verdana" w:cs="Arial"/>
          <w:sz w:val="22"/>
          <w:szCs w:val="22"/>
          <w:lang w:val="es-MX"/>
        </w:rPr>
      </w:pPr>
      <w:r>
        <w:rPr>
          <w:rFonts w:ascii="Verdana" w:eastAsia="Calibri" w:hAnsi="Verdana" w:cs="Arial"/>
          <w:sz w:val="22"/>
          <w:szCs w:val="22"/>
        </w:rPr>
        <w:t>De acuerdo con este texto, la referida causal</w:t>
      </w:r>
      <w:r>
        <w:rPr>
          <w:rFonts w:ascii="Verdana" w:eastAsia="Calibri" w:hAnsi="Verdana" w:cs="Arial"/>
          <w:sz w:val="22"/>
          <w:szCs w:val="22"/>
          <w:lang w:val="es-MX"/>
        </w:rPr>
        <w:t xml:space="preserve"> aplica en función de los sujetos y del objeto. </w:t>
      </w:r>
      <w:r>
        <w:rPr>
          <w:rFonts w:ascii="Verdana" w:eastAsia="Calibri" w:hAnsi="Verdana" w:cs="Arial"/>
          <w:i/>
          <w:iCs/>
          <w:sz w:val="22"/>
          <w:szCs w:val="22"/>
          <w:lang w:val="es-MX"/>
        </w:rPr>
        <w:t>Por un lado</w:t>
      </w:r>
      <w:r>
        <w:rPr>
          <w:rFonts w:ascii="Verdana" w:eastAsia="Calibri" w:hAnsi="Verdana" w:cs="Arial"/>
          <w:sz w:val="22"/>
          <w:szCs w:val="22"/>
          <w:lang w:val="es-MX"/>
        </w:rPr>
        <w:t xml:space="preserve">, se circunscribe a los contratos o convenios celebrados entre las entidades públicas con los “[…] Cabildos Indígenas, las asociaciones de Cabildos Indígenas y/o Autoridades Tradicionales Indígenas, Consejos Indígenas y Organizaciones Indígenas […]”. Las entidades públicas son aquellas definidas en el artículo 2 de las Ley 80 de 1993, mientras que la naturaleza jurídica y la capacidad contractual de las comunidades indígenas se encuentra definida en las normas señaladas previamente. </w:t>
      </w:r>
      <w:r>
        <w:rPr>
          <w:rFonts w:ascii="Verdana" w:eastAsia="Calibri" w:hAnsi="Verdana" w:cs="Arial"/>
          <w:i/>
          <w:iCs/>
          <w:sz w:val="22"/>
          <w:szCs w:val="22"/>
          <w:lang w:val="es-MX"/>
        </w:rPr>
        <w:t>Por otra parte</w:t>
      </w:r>
      <w:r>
        <w:rPr>
          <w:rFonts w:ascii="Verdana" w:eastAsia="Calibri" w:hAnsi="Verdana" w:cs="Arial"/>
          <w:sz w:val="22"/>
          <w:szCs w:val="22"/>
          <w:lang w:val="es-MX"/>
        </w:rPr>
        <w:t>, además del criterio subjetivo, se requiere que los contratos y convenios se enfoquen en “[…] el fortalecimiento del gobierno propio, la identidad cultural, el ejercicio de la autonomía, la garantía de los derechos, satisfacción de necesidades y/o servicios públicos de los pueblos y comunidades indígenas […]”. Es decir, la causal no es absoluta y, por tanto, la excepción a los procedimientos de la convocatoria abierta se refiere a objetos específicos. Sin embargo, es también es necesario que estén “[…] relacionados con la ejecución de programas, planes y proyectos del plan de desarrollo […]”, lo cual implica una delimitación adicional.</w:t>
      </w:r>
    </w:p>
    <w:p w14:paraId="1378EB1F" w14:textId="77777777" w:rsidR="00867916" w:rsidRDefault="00867916" w:rsidP="00867916">
      <w:pPr>
        <w:pStyle w:val="NormalWeb"/>
        <w:shd w:val="clear" w:color="auto" w:fill="FFFFFF"/>
        <w:spacing w:before="0" w:beforeAutospacing="0" w:after="120" w:afterAutospacing="0" w:line="276" w:lineRule="auto"/>
        <w:ind w:firstLine="708"/>
        <w:jc w:val="both"/>
        <w:rPr>
          <w:rFonts w:ascii="Verdana" w:hAnsi="Verdana" w:cs="Calibri"/>
          <w:sz w:val="22"/>
          <w:szCs w:val="22"/>
        </w:rPr>
      </w:pPr>
      <w:r>
        <w:rPr>
          <w:rFonts w:ascii="Verdana" w:hAnsi="Verdana" w:cs="Segoe UI"/>
          <w:sz w:val="22"/>
          <w:szCs w:val="22"/>
        </w:rPr>
        <w:lastRenderedPageBreak/>
        <w:t xml:space="preserve">De lo expuesto, se evidencia que de las disposiciones contenidas en el </w:t>
      </w:r>
      <w:r>
        <w:rPr>
          <w:rFonts w:ascii="Verdana" w:eastAsia="Calibri" w:hAnsi="Verdana"/>
          <w:sz w:val="22"/>
          <w:szCs w:val="22"/>
        </w:rPr>
        <w:t xml:space="preserve">Decreto 1088 de 1993 modificado parcialmente por el Decreto 252 de 2020 y de la Ley 2160 de 2021 modificada parcialmente por la Ley 2294 de 2023, se confiere capacidad para contratar a las asociaciones de Cabildos Indígenas y las Asociaciones de autoridades tradicionales indígena, las cuales son consideradas </w:t>
      </w:r>
      <w:r>
        <w:rPr>
          <w:rFonts w:ascii="Verdana" w:eastAsia="Calibri" w:hAnsi="Verdana"/>
          <w:sz w:val="22"/>
          <w:szCs w:val="22"/>
          <w:u w:val="single"/>
        </w:rPr>
        <w:t>Entidades de derecho Público</w:t>
      </w:r>
      <w:r>
        <w:rPr>
          <w:rFonts w:ascii="Verdana" w:eastAsia="Calibri" w:hAnsi="Verdana"/>
          <w:sz w:val="22"/>
          <w:szCs w:val="22"/>
        </w:rPr>
        <w:t xml:space="preserve">. Sin perjuicio de lo anterior, y de cara a la consulta elevada, resulta necesario anotar que no existe imposibilidad para que los miembros de pueblos indígenas se constituyan como </w:t>
      </w:r>
      <w:r>
        <w:rPr>
          <w:rFonts w:ascii="Verdana" w:eastAsia="Calibri" w:hAnsi="Verdana" w:cs="Arial"/>
          <w:bCs/>
          <w:i/>
          <w:iCs/>
          <w:sz w:val="22"/>
          <w:szCs w:val="22"/>
        </w:rPr>
        <w:t>entidades privadas sin ánimo de lucro</w:t>
      </w:r>
      <w:r>
        <w:rPr>
          <w:rFonts w:ascii="Verdana" w:eastAsia="Calibri" w:hAnsi="Verdana" w:cs="Arial"/>
          <w:bCs/>
          <w:sz w:val="22"/>
          <w:szCs w:val="22"/>
        </w:rPr>
        <w:t>. En todo caso, corresponderá a las Entidades validar si dentro del proceso contractual la Asociación indígena con la que se va a suscribir el negocio jurídico se trata de una Entidad de derecho Público a la luz de las disposiciones previamente mencionadas o de sujetos de naturaleza privada</w:t>
      </w:r>
      <w:r w:rsidRPr="00AC62F8">
        <w:rPr>
          <w:rFonts w:ascii="Verdana" w:eastAsia="Calibri" w:hAnsi="Verdana" w:cs="Arial"/>
          <w:bCs/>
          <w:sz w:val="22"/>
          <w:szCs w:val="22"/>
        </w:rPr>
        <w:t>.</w:t>
      </w:r>
      <w:r>
        <w:rPr>
          <w:rFonts w:ascii="Verdana" w:eastAsia="Calibri" w:hAnsi="Verdana" w:cs="Arial"/>
          <w:bCs/>
          <w:sz w:val="22"/>
          <w:szCs w:val="22"/>
        </w:rPr>
        <w:t xml:space="preserve"> Se precisa</w:t>
      </w:r>
      <w:r w:rsidRPr="00AC62F8">
        <w:rPr>
          <w:rFonts w:ascii="Verdana" w:eastAsia="Calibri" w:hAnsi="Verdana" w:cs="Arial"/>
          <w:bCs/>
          <w:sz w:val="22"/>
          <w:szCs w:val="22"/>
        </w:rPr>
        <w:t xml:space="preserve"> </w:t>
      </w:r>
      <w:r w:rsidRPr="00AC62F8">
        <w:rPr>
          <w:rFonts w:ascii="Verdana" w:hAnsi="Verdana" w:cs="Arial"/>
          <w:color w:val="000000"/>
          <w:sz w:val="22"/>
          <w:szCs w:val="22"/>
          <w:lang w:val="es-ES_tradnl" w:eastAsia="es-ES_tradnl"/>
        </w:rPr>
        <w:t>que la competencia consultiva de la Agencia Nacional de Contratación Pública – Colombia Compra Eficiente se circunscribe a la interpretación, en abstracto, de normas de alcance general que hagan parte del Sistema de Compras y Contratación Pública</w:t>
      </w:r>
      <w:r w:rsidRPr="00AC62F8">
        <w:rPr>
          <w:rFonts w:ascii="Verdana" w:hAnsi="Verdana"/>
          <w:vertAlign w:val="superscript"/>
          <w:lang w:eastAsia="es-ES_tradnl"/>
        </w:rPr>
        <w:footnoteReference w:id="7"/>
      </w:r>
      <w:r w:rsidRPr="00AC62F8">
        <w:rPr>
          <w:rFonts w:ascii="Verdana" w:hAnsi="Verdana" w:cs="Arial"/>
          <w:color w:val="000000"/>
          <w:sz w:val="22"/>
          <w:szCs w:val="22"/>
          <w:lang w:val="es-ES_tradnl" w:eastAsia="es-ES_tradnl"/>
        </w:rPr>
        <w:t>, y que, por tanto, no puede asesorar a las entidades estatales en decisiones contractuales particulares</w:t>
      </w:r>
      <w:r>
        <w:rPr>
          <w:rFonts w:ascii="Verdana" w:hAnsi="Verdana" w:cs="Arial"/>
          <w:color w:val="000000"/>
          <w:sz w:val="22"/>
          <w:szCs w:val="22"/>
          <w:lang w:val="es-ES_tradnl" w:eastAsia="es-ES_tradnl"/>
        </w:rPr>
        <w:t>.</w:t>
      </w:r>
    </w:p>
    <w:p w14:paraId="20E0AF7F" w14:textId="77777777" w:rsidR="00867916" w:rsidRDefault="00867916" w:rsidP="00867916">
      <w:pPr>
        <w:spacing w:before="120" w:after="120" w:line="276" w:lineRule="auto"/>
        <w:jc w:val="both"/>
        <w:rPr>
          <w:rFonts w:ascii="Verdana" w:hAnsi="Verdana"/>
        </w:rPr>
      </w:pPr>
      <w:proofErr w:type="spellStart"/>
      <w:r>
        <w:rPr>
          <w:rFonts w:ascii="Verdana" w:hAnsi="Verdana" w:cs="Arial"/>
          <w:lang w:val="es-ES"/>
        </w:rPr>
        <w:t>ii</w:t>
      </w:r>
      <w:proofErr w:type="spellEnd"/>
      <w:r>
        <w:rPr>
          <w:rFonts w:ascii="Verdana" w:hAnsi="Verdana" w:cs="Arial"/>
          <w:lang w:val="es-ES"/>
        </w:rPr>
        <w:t>. Frente a las restricciones de Ley de Garantías debe tener en cuenta que el ordenamiento jurídico colombiano contempla medidas para evitar la obtención de beneficios personales en asuntos propios de la administración pública</w:t>
      </w:r>
      <w:r>
        <w:rPr>
          <w:rFonts w:ascii="Verdana" w:hAnsi="Verdana" w:cs="Arial"/>
          <w:i/>
          <w:lang w:val="es-ES"/>
        </w:rPr>
        <w:t xml:space="preserve">. </w:t>
      </w:r>
      <w:r>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Pr>
          <w:rFonts w:ascii="Verdana" w:hAnsi="Verdana"/>
          <w:vertAlign w:val="superscript"/>
          <w:lang w:val="es-ES"/>
        </w:rPr>
        <w:footnoteReference w:id="8"/>
      </w:r>
      <w:r>
        <w:rPr>
          <w:rFonts w:ascii="Verdana" w:hAnsi="Verdana" w:cs="Arial"/>
          <w:lang w:val="es-ES"/>
        </w:rPr>
        <w:t>.</w:t>
      </w:r>
    </w:p>
    <w:p w14:paraId="66B96D8E" w14:textId="77777777" w:rsidR="00867916" w:rsidRDefault="00867916" w:rsidP="00867916">
      <w:pPr>
        <w:tabs>
          <w:tab w:val="left" w:pos="426"/>
        </w:tabs>
        <w:spacing w:after="120" w:line="276" w:lineRule="auto"/>
        <w:ind w:firstLine="709"/>
        <w:jc w:val="both"/>
        <w:rPr>
          <w:rFonts w:ascii="Verdana" w:hAnsi="Verdana" w:cs="Arial"/>
          <w:lang w:val="es-ES"/>
        </w:rPr>
      </w:pPr>
      <w:r>
        <w:rPr>
          <w:rFonts w:ascii="Verdana" w:eastAsia="Times New Roman" w:hAnsi="Verdana" w:cs="Arial"/>
          <w:lang w:val="es-ES" w:eastAsia="es-CO"/>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w:t>
      </w:r>
      <w:r>
        <w:rPr>
          <w:rFonts w:ascii="Verdana" w:eastAsia="Times New Roman" w:hAnsi="Verdana" w:cs="Arial"/>
          <w:lang w:val="es-ES" w:eastAsia="es-CO"/>
        </w:rPr>
        <w:lastRenderedPageBreak/>
        <w:t>ventaja injustificada, de uso irregular de los recursos del Estado en las campañas o falta de garantías en la elección presidencial</w:t>
      </w:r>
      <w:r>
        <w:rPr>
          <w:rFonts w:ascii="Verdana" w:eastAsia="Times New Roman" w:hAnsi="Verdana" w:cs="Arial"/>
          <w:vertAlign w:val="superscript"/>
          <w:lang w:val="es-ES" w:eastAsia="es-CO"/>
        </w:rPr>
        <w:footnoteReference w:id="9"/>
      </w:r>
      <w:r>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Pr>
          <w:rFonts w:ascii="Verdana" w:hAnsi="Verdana" w:cs="Arial"/>
          <w:lang w:val="es-ES"/>
        </w:rPr>
        <w:t xml:space="preserve"> </w:t>
      </w:r>
    </w:p>
    <w:p w14:paraId="72ACD94B" w14:textId="77777777" w:rsidR="00867916" w:rsidRDefault="00867916" w:rsidP="00867916">
      <w:pPr>
        <w:tabs>
          <w:tab w:val="left" w:pos="426"/>
        </w:tabs>
        <w:spacing w:after="0" w:line="276" w:lineRule="auto"/>
        <w:ind w:firstLine="709"/>
        <w:jc w:val="both"/>
        <w:rPr>
          <w:rFonts w:ascii="Verdana" w:hAnsi="Verdana" w:cs="Arial"/>
          <w:lang w:val="es-ES"/>
        </w:rPr>
      </w:pPr>
      <w:r>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C1903FC" w14:textId="77777777" w:rsidR="00867916" w:rsidRDefault="00867916" w:rsidP="00867916">
      <w:pPr>
        <w:spacing w:after="0" w:line="276" w:lineRule="auto"/>
        <w:ind w:right="709"/>
        <w:jc w:val="both"/>
        <w:rPr>
          <w:rFonts w:ascii="Verdana" w:eastAsia="Times New Roman" w:hAnsi="Verdana" w:cs="Arial"/>
          <w:lang w:val="es-ES" w:eastAsia="es-CO"/>
        </w:rPr>
      </w:pPr>
    </w:p>
    <w:p w14:paraId="16BAD090" w14:textId="77777777" w:rsidR="00867916" w:rsidRDefault="00867916" w:rsidP="00867916">
      <w:pPr>
        <w:spacing w:after="0" w:line="240" w:lineRule="auto"/>
        <w:ind w:left="709" w:right="709"/>
        <w:contextualSpacing/>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7DFDB16" w14:textId="77777777" w:rsidR="00867916" w:rsidRDefault="00867916" w:rsidP="00867916">
      <w:pPr>
        <w:spacing w:after="0" w:line="240" w:lineRule="auto"/>
        <w:ind w:left="709" w:right="709"/>
        <w:contextualSpacing/>
        <w:jc w:val="both"/>
        <w:rPr>
          <w:rFonts w:ascii="Verdana" w:eastAsia="Times New Roman" w:hAnsi="Verdana" w:cs="Arial"/>
          <w:sz w:val="20"/>
          <w:szCs w:val="20"/>
          <w:lang w:val="es-ES" w:eastAsia="es-CO"/>
        </w:rPr>
      </w:pPr>
    </w:p>
    <w:p w14:paraId="01E4AC5E" w14:textId="77777777" w:rsidR="00867916" w:rsidRDefault="00867916" w:rsidP="00867916">
      <w:pPr>
        <w:spacing w:after="0" w:line="240" w:lineRule="auto"/>
        <w:ind w:left="709" w:right="709"/>
        <w:contextualSpacing/>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 xml:space="preserve">[…] </w:t>
      </w:r>
    </w:p>
    <w:p w14:paraId="3CB54FAA" w14:textId="77777777" w:rsidR="00867916" w:rsidRDefault="00867916" w:rsidP="00867916">
      <w:pPr>
        <w:spacing w:after="0" w:line="240" w:lineRule="auto"/>
        <w:ind w:left="709" w:right="709"/>
        <w:contextualSpacing/>
        <w:jc w:val="both"/>
        <w:rPr>
          <w:rFonts w:ascii="Verdana" w:eastAsia="Times New Roman" w:hAnsi="Verdana" w:cs="Arial"/>
          <w:sz w:val="20"/>
          <w:szCs w:val="20"/>
          <w:lang w:val="es-ES" w:eastAsia="es-CO"/>
        </w:rPr>
      </w:pPr>
    </w:p>
    <w:p w14:paraId="12BE0B79" w14:textId="77777777" w:rsidR="00867916" w:rsidRDefault="00867916" w:rsidP="00867916">
      <w:pPr>
        <w:spacing w:after="0" w:line="240" w:lineRule="auto"/>
        <w:ind w:left="709" w:right="709"/>
        <w:contextualSpacing/>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hAnsi="Verdana" w:cs="Arial"/>
          <w:sz w:val="20"/>
          <w:szCs w:val="20"/>
          <w:vertAlign w:val="superscript"/>
          <w:lang w:val="es-ES"/>
        </w:rPr>
        <w:footnoteReference w:id="10"/>
      </w:r>
    </w:p>
    <w:p w14:paraId="1FCADBDA" w14:textId="77777777" w:rsidR="00867916" w:rsidRDefault="00867916" w:rsidP="00867916">
      <w:pPr>
        <w:spacing w:after="0" w:line="276" w:lineRule="auto"/>
        <w:ind w:left="709" w:right="709"/>
        <w:jc w:val="both"/>
        <w:rPr>
          <w:rFonts w:ascii="Verdana" w:eastAsia="Times New Roman" w:hAnsi="Verdana" w:cs="Arial"/>
          <w:sz w:val="20"/>
          <w:szCs w:val="20"/>
          <w:lang w:val="es-ES" w:eastAsia="es-CO"/>
        </w:rPr>
      </w:pPr>
    </w:p>
    <w:p w14:paraId="44610B31" w14:textId="77777777" w:rsidR="00867916" w:rsidRDefault="00867916" w:rsidP="00867916">
      <w:pPr>
        <w:spacing w:after="0" w:line="276" w:lineRule="auto"/>
        <w:ind w:firstLine="709"/>
        <w:jc w:val="both"/>
        <w:rPr>
          <w:rFonts w:ascii="Verdana" w:eastAsia="Times New Roman" w:hAnsi="Verdana" w:cs="Arial"/>
          <w:lang w:val="es-ES" w:eastAsia="es-CO"/>
        </w:rPr>
      </w:pPr>
      <w:r>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9F73E33" w14:textId="77777777" w:rsidR="00867916" w:rsidRDefault="00867916" w:rsidP="00867916">
      <w:pPr>
        <w:spacing w:after="0" w:line="276" w:lineRule="auto"/>
        <w:ind w:firstLine="709"/>
        <w:jc w:val="both"/>
        <w:rPr>
          <w:rFonts w:ascii="Verdana" w:eastAsia="Times New Roman" w:hAnsi="Verdana" w:cs="Arial"/>
          <w:lang w:val="es-ES" w:eastAsia="es-CO"/>
        </w:rPr>
      </w:pPr>
    </w:p>
    <w:p w14:paraId="7D1A1DD7" w14:textId="77777777" w:rsidR="00867916" w:rsidRDefault="00867916" w:rsidP="00867916">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ES" w:eastAsia="es-CO"/>
        </w:rPr>
        <w:t>legis</w:t>
      </w:r>
      <w:proofErr w:type="spellEnd"/>
      <w:r>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DF7AFD9" w14:textId="77777777" w:rsidR="00867916" w:rsidRDefault="00867916" w:rsidP="00867916">
      <w:pPr>
        <w:spacing w:after="0" w:line="240" w:lineRule="auto"/>
        <w:ind w:right="709"/>
        <w:jc w:val="both"/>
        <w:rPr>
          <w:rFonts w:ascii="Verdana" w:eastAsia="Times New Roman" w:hAnsi="Verdana" w:cs="Arial"/>
          <w:lang w:val="es-ES" w:eastAsia="es-CO"/>
        </w:rPr>
      </w:pPr>
    </w:p>
    <w:p w14:paraId="522203A7" w14:textId="77777777" w:rsidR="00867916" w:rsidRDefault="00867916" w:rsidP="00867916">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La jurisprudencia de la Corte Constitucional</w:t>
      </w:r>
      <w:r>
        <w:rPr>
          <w:rFonts w:ascii="Verdana" w:eastAsia="Times New Roman" w:hAnsi="Verdana" w:cs="Arial"/>
          <w:sz w:val="20"/>
          <w:szCs w:val="20"/>
          <w:vertAlign w:val="superscript"/>
          <w:lang w:val="es-ES" w:eastAsia="es-CO"/>
        </w:rPr>
        <w:footnoteReference w:id="11"/>
      </w:r>
      <w:r>
        <w:rPr>
          <w:rFonts w:ascii="Verdana" w:eastAsia="Times New Roman" w:hAnsi="Verdana" w:cs="Arial"/>
          <w:sz w:val="20"/>
          <w:szCs w:val="20"/>
          <w:lang w:val="es-ES" w:eastAsia="es-CO"/>
        </w:rPr>
        <w:t> y del Consejo de Estado</w:t>
      </w:r>
      <w:r>
        <w:rPr>
          <w:rFonts w:ascii="Verdana" w:eastAsia="Times New Roman" w:hAnsi="Verdana" w:cs="Arial"/>
          <w:sz w:val="20"/>
          <w:szCs w:val="20"/>
          <w:vertAlign w:val="superscript"/>
          <w:lang w:val="es-ES" w:eastAsia="es-CO"/>
        </w:rPr>
        <w:footnoteReference w:id="12"/>
      </w:r>
      <w:r>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ES" w:eastAsia="es-CO"/>
        </w:rPr>
        <w:footnoteReference w:id="13"/>
      </w:r>
      <w:r>
        <w:rPr>
          <w:rFonts w:ascii="Verdana" w:eastAsia="Times New Roman" w:hAnsi="Verdana" w:cs="Arial"/>
          <w:sz w:val="20"/>
          <w:szCs w:val="20"/>
          <w:lang w:val="es-ES" w:eastAsia="es-CO"/>
        </w:rPr>
        <w:t>.</w:t>
      </w:r>
    </w:p>
    <w:p w14:paraId="7DF30631" w14:textId="77777777" w:rsidR="00867916" w:rsidRDefault="00867916" w:rsidP="00867916">
      <w:pPr>
        <w:spacing w:after="0" w:line="276" w:lineRule="auto"/>
        <w:jc w:val="both"/>
        <w:rPr>
          <w:rFonts w:ascii="Verdana" w:hAnsi="Verdana" w:cs="Arial"/>
          <w:bCs/>
          <w:lang w:val="es-ES"/>
        </w:rPr>
      </w:pPr>
    </w:p>
    <w:p w14:paraId="6F416E8C" w14:textId="77777777" w:rsidR="00867916" w:rsidRDefault="00867916" w:rsidP="00867916">
      <w:pPr>
        <w:spacing w:after="120" w:line="276" w:lineRule="auto"/>
        <w:ind w:firstLine="709"/>
        <w:jc w:val="both"/>
        <w:rPr>
          <w:rFonts w:ascii="Verdana" w:eastAsia="Arial" w:hAnsi="Verdana" w:cs="Arial"/>
          <w:lang w:val="es-ES" w:eastAsia="es-ES" w:bidi="es-ES"/>
        </w:rPr>
      </w:pPr>
      <w:r>
        <w:rPr>
          <w:rFonts w:ascii="Verdana" w:eastAsia="Times New Roman" w:hAnsi="Verdana" w:cs="Arial"/>
          <w:lang w:val="es-ES" w:eastAsia="es-CO"/>
        </w:rPr>
        <w:t>De</w:t>
      </w:r>
      <w:r>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3C3AEEAA" w14:textId="77777777" w:rsidR="00867916" w:rsidRDefault="00867916" w:rsidP="00867916">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En ese orden, las restricciones consagradas en la Ley de Garantías Electorales se dirigen a dos (2) tipos de campañas electorales diferenciadas: las </w:t>
      </w:r>
      <w:r>
        <w:rPr>
          <w:rFonts w:ascii="Verdana" w:eastAsia="Arial" w:hAnsi="Verdana" w:cs="Arial"/>
          <w:lang w:val="es-ES" w:eastAsia="es-ES" w:bidi="es-ES"/>
        </w:rPr>
        <w:lastRenderedPageBreak/>
        <w:t>presidenciales y las que se adelanten para la elección de los demás cargos de elección popular, tanto a nivel nacional como territorial.</w:t>
      </w:r>
    </w:p>
    <w:p w14:paraId="3BE2C8B3" w14:textId="77777777" w:rsidR="00867916" w:rsidRDefault="00867916" w:rsidP="00867916">
      <w:pPr>
        <w:spacing w:after="120" w:line="276" w:lineRule="auto"/>
        <w:ind w:firstLine="708"/>
        <w:jc w:val="both"/>
        <w:rPr>
          <w:rFonts w:ascii="Verdana" w:hAnsi="Verdana" w:cs="Arial"/>
          <w:lang w:val="es-ES"/>
        </w:rPr>
      </w:pPr>
      <w:r>
        <w:rPr>
          <w:rFonts w:ascii="Verdana" w:hAnsi="Verdana" w:cs="Arial"/>
          <w:lang w:val="es-ES"/>
        </w:rPr>
        <w:t xml:space="preserve">Por un lado, el </w:t>
      </w:r>
      <w:r>
        <w:rPr>
          <w:rFonts w:ascii="Verdana" w:hAnsi="Verdana" w:cs="Arial"/>
          <w:i/>
          <w:iCs/>
          <w:lang w:val="es-ES"/>
        </w:rPr>
        <w:t xml:space="preserve">artículo 33 </w:t>
      </w:r>
      <w:r>
        <w:rPr>
          <w:rFonts w:ascii="Verdana" w:hAnsi="Verdana" w:cs="Arial"/>
          <w:lang w:val="es-ES"/>
        </w:rPr>
        <w:t xml:space="preserve">de la Ley 996 de 2005 prohíbe “[…] la contratación directa por parte de </w:t>
      </w:r>
      <w:r>
        <w:rPr>
          <w:rFonts w:ascii="Verdana" w:hAnsi="Verdana" w:cs="Arial"/>
          <w:i/>
          <w:iCs/>
          <w:lang w:val="es-ES"/>
        </w:rPr>
        <w:t>todos los entes del Estado</w:t>
      </w:r>
      <w:r>
        <w:rPr>
          <w:rFonts w:ascii="Verdana" w:hAnsi="Verdana" w:cs="Arial"/>
          <w:lang w:val="es-ES"/>
        </w:rPr>
        <w:t xml:space="preserve">” durante los cuatro (4) meses anteriores a las </w:t>
      </w:r>
      <w:r>
        <w:rPr>
          <w:rFonts w:ascii="Verdana" w:hAnsi="Verdana" w:cs="Arial"/>
          <w:i/>
          <w:iCs/>
          <w:lang w:val="es-ES"/>
        </w:rPr>
        <w:t>elecciones presidenciales</w:t>
      </w:r>
      <w:r>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hAnsi="Verdana" w:cs="Arial"/>
          <w:vertAlign w:val="superscript"/>
          <w:lang w:val="es-ES"/>
        </w:rPr>
        <w:footnoteReference w:id="14"/>
      </w:r>
      <w:r>
        <w:rPr>
          <w:rFonts w:ascii="Verdana" w:hAnsi="Verdana" w:cs="Arial"/>
          <w:lang w:val="es-ES"/>
        </w:rPr>
        <w:t>.</w:t>
      </w:r>
    </w:p>
    <w:p w14:paraId="063A45CF" w14:textId="77777777" w:rsidR="00867916" w:rsidRDefault="00867916" w:rsidP="00867916">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hAnsi="Verdana" w:cs="Arial"/>
          <w:lang w:val="es-ES"/>
        </w:rPr>
        <w:t xml:space="preserve">Por otro lado, </w:t>
      </w:r>
      <w:r>
        <w:rPr>
          <w:rFonts w:ascii="Verdana" w:hAnsi="Verdana" w:cs="Arial"/>
          <w:i/>
          <w:iCs/>
          <w:lang w:val="es-ES"/>
        </w:rPr>
        <w:t xml:space="preserve">el parágrafo del artículo 38 </w:t>
      </w:r>
      <w:r>
        <w:rPr>
          <w:rFonts w:ascii="Verdana" w:hAnsi="Verdana" w:cs="Arial"/>
          <w:lang w:val="es-ES"/>
        </w:rPr>
        <w:t xml:space="preserve">de la Ley 996 de 2005 prevé una restricción, aplicable respecto de </w:t>
      </w:r>
      <w:r>
        <w:rPr>
          <w:rFonts w:ascii="Verdana" w:hAnsi="Verdana" w:cs="Arial"/>
          <w:i/>
          <w:iCs/>
          <w:lang w:val="es-ES"/>
        </w:rPr>
        <w:t>cualquier tipo de contienda electoral</w:t>
      </w:r>
      <w:r>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hAnsi="Verdana" w:cs="Arial"/>
          <w:vertAlign w:val="superscript"/>
          <w:lang w:val="es-ES"/>
        </w:rPr>
        <w:footnoteReference w:id="15"/>
      </w:r>
      <w:r>
        <w:rPr>
          <w:rFonts w:ascii="Verdana" w:hAnsi="Verdana" w:cs="Arial"/>
          <w:lang w:val="es-ES"/>
        </w:rPr>
        <w:t>.</w:t>
      </w:r>
      <w:r>
        <w:rPr>
          <w:rFonts w:ascii="Verdana" w:eastAsia="Arial" w:hAnsi="Verdana" w:cs="Arial"/>
          <w:lang w:val="es-ES" w:eastAsia="es-ES" w:bidi="es-ES"/>
        </w:rPr>
        <w:t xml:space="preserve"> </w:t>
      </w:r>
    </w:p>
    <w:p w14:paraId="0494D452" w14:textId="77777777" w:rsidR="00867916" w:rsidRDefault="00867916" w:rsidP="0086791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CA1F127" w14:textId="77777777" w:rsidR="00867916" w:rsidRDefault="00867916" w:rsidP="0086791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BAD5B2E" w14:textId="77777777" w:rsidR="00867916" w:rsidRDefault="00867916" w:rsidP="0086791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val="es-ES" w:eastAsia="es-ES" w:bidi="es-ES"/>
        </w:rPr>
        <w:t>Presidente</w:t>
      </w:r>
      <w:proofErr w:type="gramEnd"/>
      <w:r>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val="es-ES" w:eastAsia="es-ES" w:bidi="es-ES"/>
        </w:rPr>
        <w:footnoteReference w:id="16"/>
      </w:r>
    </w:p>
    <w:p w14:paraId="548FD0C5" w14:textId="77777777" w:rsidR="00867916" w:rsidRDefault="00867916" w:rsidP="0086791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C490656" w14:textId="77777777" w:rsidR="00867916" w:rsidRDefault="00867916" w:rsidP="00867916">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884D2E2" w14:textId="77777777" w:rsidR="00867916" w:rsidRDefault="00867916" w:rsidP="00867916">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aplican las restricciones del artículo 33 con sus excepciones, así como las del parágrafo del </w:t>
      </w:r>
      <w:r>
        <w:rPr>
          <w:rFonts w:ascii="Verdana" w:eastAsia="Arial" w:hAnsi="Verdana" w:cs="Arial"/>
          <w:lang w:val="es-ES" w:eastAsia="es-ES" w:bidi="es-ES"/>
        </w:rPr>
        <w:lastRenderedPageBreak/>
        <w:t xml:space="preserve">artículo 38, a todos los entes del Estado.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A9AE012" w14:textId="77777777" w:rsidR="00867916" w:rsidRDefault="00867916" w:rsidP="00867916">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29306AD" w14:textId="77777777" w:rsidR="00867916" w:rsidRDefault="00867916" w:rsidP="00867916">
      <w:pPr>
        <w:spacing w:after="120" w:line="276" w:lineRule="auto"/>
        <w:ind w:firstLine="709"/>
        <w:jc w:val="both"/>
        <w:rPr>
          <w:rFonts w:ascii="Verdana" w:hAnsi="Verdana" w:cs="Arial"/>
          <w:lang w:val="es-ES"/>
        </w:rPr>
      </w:pPr>
      <w:r>
        <w:rPr>
          <w:rFonts w:ascii="Verdana" w:hAnsi="Verdana" w:cs="Arial"/>
          <w:lang w:val="es-ES"/>
        </w:rPr>
        <w:t xml:space="preserve">Ahora bien, para proceder a dar respuesta a la consulta elevada, debe indicarse que respecto del alcance del parágrafo </w:t>
      </w:r>
      <w:r>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Pr>
          <w:rFonts w:ascii="Verdana" w:hAnsi="Verdana" w:cs="Arial"/>
          <w:i/>
          <w:iCs/>
        </w:rPr>
        <w:t>convenios interadministrativos</w:t>
      </w:r>
      <w:r>
        <w:rPr>
          <w:rFonts w:ascii="Verdana" w:hAnsi="Verdana" w:cs="Arial"/>
        </w:rPr>
        <w:t xml:space="preserve"> </w:t>
      </w:r>
      <w:r>
        <w:rPr>
          <w:rFonts w:ascii="Verdana" w:hAnsi="Verdana" w:cs="Arial"/>
          <w:i/>
          <w:iCs/>
        </w:rPr>
        <w:t>para la ejecución de recursos públicos</w:t>
      </w:r>
      <w:r>
        <w:rPr>
          <w:rFonts w:ascii="Verdana" w:hAnsi="Verdana" w:cs="Arial"/>
        </w:rPr>
        <w:t>”.</w:t>
      </w:r>
      <w:r>
        <w:rPr>
          <w:rFonts w:ascii="Verdana" w:eastAsia="Times New Roman" w:hAnsi="Verdana" w:cs="Arial"/>
          <w:lang w:val="es-MX" w:eastAsia="x-none"/>
        </w:rPr>
        <w:t xml:space="preserve"> [Énfasis fuera del texto original]</w:t>
      </w:r>
    </w:p>
    <w:p w14:paraId="6D740984" w14:textId="77777777" w:rsidR="00867916" w:rsidRDefault="00867916" w:rsidP="00867916">
      <w:pPr>
        <w:spacing w:after="120" w:line="276" w:lineRule="auto"/>
        <w:ind w:firstLine="709"/>
        <w:jc w:val="both"/>
        <w:rPr>
          <w:rFonts w:ascii="Verdana" w:hAnsi="Verdana" w:cs="Arial"/>
          <w:lang w:eastAsia="es-ES"/>
        </w:rPr>
      </w:pPr>
      <w:r>
        <w:rPr>
          <w:rFonts w:ascii="Verdana" w:eastAsia="Times New Roman" w:hAnsi="Verdana" w:cs="Arial"/>
          <w:lang w:val="es-ES" w:eastAsia="es-ES"/>
        </w:rPr>
        <w:t xml:space="preserve">Para tales efectos, debe precisarse que </w:t>
      </w:r>
      <w:r>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Pr>
          <w:rFonts w:ascii="Verdana" w:hAnsi="Verdana" w:cs="Arial"/>
          <w:lang w:eastAsia="es-ES"/>
        </w:rPr>
        <w:t xml:space="preserve">independientemente de las normas que regulan la relación contractual. En este sentido, los convenios interadministrativos solo pueden ser celebrados entre </w:t>
      </w:r>
      <w:r>
        <w:rPr>
          <w:rFonts w:ascii="Verdana" w:hAnsi="Verdana" w:cs="Arial"/>
          <w:lang w:eastAsia="es-ES"/>
        </w:rPr>
        <w:lastRenderedPageBreak/>
        <w:t>entidades públicas, pues a éstas corresponde la realización de los fines y tareas que el legislador les ha asignado</w:t>
      </w:r>
      <w:r>
        <w:rPr>
          <w:rFonts w:ascii="Verdana" w:hAnsi="Verdana" w:cs="Arial"/>
          <w:vertAlign w:val="superscript"/>
          <w:lang w:eastAsia="es-ES"/>
        </w:rPr>
        <w:footnoteReference w:id="17"/>
      </w:r>
      <w:r>
        <w:rPr>
          <w:rFonts w:ascii="Verdana" w:hAnsi="Verdana" w:cs="Arial"/>
          <w:lang w:eastAsia="es-ES"/>
        </w:rPr>
        <w:t>.</w:t>
      </w:r>
    </w:p>
    <w:p w14:paraId="179DF1A9" w14:textId="77777777" w:rsidR="00867916" w:rsidRDefault="00867916" w:rsidP="00867916">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14C98AB" w14:textId="77777777" w:rsidR="00867916" w:rsidRDefault="00867916" w:rsidP="00867916">
      <w:pPr>
        <w:spacing w:before="120" w:after="0" w:line="276" w:lineRule="auto"/>
        <w:ind w:firstLine="708"/>
        <w:jc w:val="both"/>
        <w:rPr>
          <w:rFonts w:ascii="Verdana" w:hAnsi="Verdana" w:cs="Arial"/>
          <w:lang w:val="es-ES_tradnl"/>
        </w:rPr>
      </w:pPr>
      <w:r>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Pr>
          <w:rFonts w:ascii="Verdana" w:hAnsi="Verdana" w:cs="Arial"/>
          <w:vertAlign w:val="superscript"/>
          <w:lang w:val="es-ES"/>
        </w:rPr>
        <w:footnoteReference w:id="18"/>
      </w:r>
      <w:r>
        <w:rPr>
          <w:rFonts w:ascii="Verdana" w:hAnsi="Verdana" w:cs="Arial"/>
          <w:lang w:val="es-ES"/>
        </w:rPr>
        <w:t>. Nótese que, en este caso, lo que cambia es la modalidad de selección y no la naturaleza de contrato interadministrativo.</w:t>
      </w:r>
    </w:p>
    <w:p w14:paraId="12899B69" w14:textId="77777777" w:rsidR="00867916" w:rsidRDefault="00867916" w:rsidP="00867916">
      <w:pPr>
        <w:spacing w:before="120" w:after="0" w:line="276" w:lineRule="auto"/>
        <w:ind w:firstLine="708"/>
        <w:jc w:val="both"/>
        <w:rPr>
          <w:rFonts w:ascii="Verdana" w:hAnsi="Verdana" w:cs="Arial"/>
          <w:lang w:val="es-ES_tradnl"/>
        </w:rPr>
      </w:pPr>
      <w:r>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Pr>
          <w:rFonts w:ascii="Verdana" w:hAnsi="Verdana" w:cs="Arial"/>
          <w:vertAlign w:val="superscript"/>
          <w:lang w:val="es-ES"/>
        </w:rPr>
        <w:footnoteReference w:id="19"/>
      </w:r>
      <w:r>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41BC2F7" w14:textId="77777777" w:rsidR="00867916" w:rsidRDefault="00867916" w:rsidP="00867916">
      <w:pPr>
        <w:spacing w:before="120" w:after="0" w:line="276" w:lineRule="auto"/>
        <w:ind w:firstLine="708"/>
        <w:jc w:val="both"/>
        <w:rPr>
          <w:rFonts w:ascii="Verdana" w:hAnsi="Verdana"/>
          <w:sz w:val="24"/>
          <w:szCs w:val="24"/>
          <w:lang w:eastAsia="es-CO"/>
        </w:rPr>
      </w:pPr>
      <w:r>
        <w:rPr>
          <w:rFonts w:ascii="Verdana" w:hAnsi="Verdana" w:cs="Arial"/>
          <w:lang w:val="es-ES"/>
        </w:rPr>
        <w:lastRenderedPageBreak/>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Pr>
          <w:rFonts w:ascii="Verdana" w:hAnsi="Verdana" w:cs="Arial"/>
          <w:vertAlign w:val="superscript"/>
          <w:lang w:val="es-ES"/>
        </w:rPr>
        <w:footnoteReference w:id="20"/>
      </w:r>
      <w:r>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Pr>
          <w:rFonts w:ascii="Verdana" w:hAnsi="Verdana"/>
          <w:sz w:val="24"/>
          <w:szCs w:val="24"/>
          <w:lang w:eastAsia="es-CO"/>
        </w:rPr>
        <w:t>.</w:t>
      </w:r>
    </w:p>
    <w:p w14:paraId="781363EE" w14:textId="77777777" w:rsidR="00867916" w:rsidRDefault="00867916" w:rsidP="00867916">
      <w:pPr>
        <w:spacing w:before="120" w:after="0" w:line="276" w:lineRule="auto"/>
        <w:ind w:firstLine="708"/>
        <w:jc w:val="both"/>
        <w:rPr>
          <w:rFonts w:ascii="Verdana" w:eastAsia="Times New Roman" w:hAnsi="Verdana" w:cs="Arial"/>
          <w:lang w:val="es-MX" w:eastAsia="es-CO"/>
        </w:rPr>
      </w:pPr>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w:t>
      </w:r>
      <w:proofErr w:type="gramStart"/>
      <w:r>
        <w:rPr>
          <w:rFonts w:ascii="Verdana" w:eastAsia="Times New Roman" w:hAnsi="Verdana" w:cs="Arial"/>
          <w:lang w:val="es-MX" w:eastAsia="es-CO"/>
        </w:rPr>
        <w:t>Alcaldes</w:t>
      </w:r>
      <w:proofErr w:type="gramEnd"/>
      <w:r>
        <w:rPr>
          <w:rFonts w:ascii="Verdana" w:eastAsia="Times New Roman" w:hAnsi="Verdana" w:cs="Arial"/>
          <w:lang w:val="es-MX" w:eastAsia="es-CO"/>
        </w:rPr>
        <w:t xml:space="preserve">, Gobernadores, </w:t>
      </w:r>
      <w:proofErr w:type="gramStart"/>
      <w:r>
        <w:rPr>
          <w:rFonts w:ascii="Verdana" w:eastAsia="Times New Roman" w:hAnsi="Verdana" w:cs="Arial"/>
          <w:lang w:val="es-MX" w:eastAsia="es-CO"/>
        </w:rPr>
        <w:t>Secretarios</w:t>
      </w:r>
      <w:proofErr w:type="gramEnd"/>
      <w:r>
        <w:rPr>
          <w:rFonts w:ascii="Verdana" w:eastAsia="Times New Roman" w:hAnsi="Verdana" w:cs="Arial"/>
          <w:lang w:val="es-MX" w:eastAsia="es-CO"/>
        </w:rPr>
        <w:t xml:space="preserve">, Gerentes y </w:t>
      </w:r>
      <w:proofErr w:type="gramStart"/>
      <w:r>
        <w:rPr>
          <w:rFonts w:ascii="Verdana" w:eastAsia="Times New Roman" w:hAnsi="Verdana" w:cs="Arial"/>
          <w:lang w:val="es-MX" w:eastAsia="es-CO"/>
        </w:rPr>
        <w:t>Directores</w:t>
      </w:r>
      <w:proofErr w:type="gramEnd"/>
      <w:r>
        <w:rPr>
          <w:rFonts w:ascii="Verdana" w:eastAsia="Times New Roman" w:hAnsi="Verdana" w:cs="Arial"/>
          <w:lang w:val="es-MX" w:eastAsia="es-CO"/>
        </w:rPr>
        <w:t xml:space="preserve">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AED9860" w14:textId="77777777" w:rsidR="00867916" w:rsidRDefault="00867916" w:rsidP="00867916">
      <w:pPr>
        <w:spacing w:before="120" w:after="0" w:line="276" w:lineRule="auto"/>
        <w:ind w:firstLine="708"/>
        <w:jc w:val="both"/>
        <w:rPr>
          <w:rFonts w:ascii="Verdana" w:eastAsia="Times New Roman" w:hAnsi="Verdana" w:cs="Arial"/>
          <w:lang w:eastAsia="es-CO"/>
        </w:rPr>
      </w:pPr>
      <w:r>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xml:space="preserve">) y </w:t>
      </w:r>
      <w:proofErr w:type="spellStart"/>
      <w:r>
        <w:rPr>
          <w:rFonts w:ascii="Verdana" w:eastAsia="Times New Roman" w:hAnsi="Verdana" w:cs="Arial"/>
          <w:lang w:val="es-MX" w:eastAsia="es-CO"/>
        </w:rPr>
        <w:t>iv</w:t>
      </w:r>
      <w:proofErr w:type="spellEnd"/>
      <w:r>
        <w:rPr>
          <w:rFonts w:ascii="Verdana" w:eastAsia="Times New Roman" w:hAnsi="Verdana" w:cs="Arial"/>
          <w:lang w:val="es-MX" w:eastAsia="es-CO"/>
        </w:rPr>
        <w:t>)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Pr>
          <w:rFonts w:ascii="Verdana" w:eastAsia="Times New Roman" w:hAnsi="Verdana" w:cs="Arial"/>
          <w:lang w:eastAsia="es-CO"/>
        </w:rPr>
        <w:t xml:space="preserve">parágrafo del artículo 38 de la Ley 996 de 2005 cobija expresamente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p>
    <w:p w14:paraId="27FB588B" w14:textId="77777777" w:rsidR="00867916" w:rsidRDefault="00867916" w:rsidP="00867916">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w:t>
      </w:r>
      <w:r>
        <w:rPr>
          <w:rFonts w:ascii="Verdana" w:eastAsia="Times New Roman" w:hAnsi="Verdana" w:cs="Arial"/>
          <w:i/>
          <w:iCs/>
          <w:lang w:eastAsia="es-CO"/>
        </w:rPr>
        <w:t>ejecución de recursos públicos</w:t>
      </w:r>
      <w:r>
        <w:rPr>
          <w:rFonts w:ascii="Verdana" w:eastAsia="Times New Roman" w:hAnsi="Verdana" w:cs="Arial"/>
          <w:lang w:eastAsia="es-CO"/>
        </w:rPr>
        <w:t xml:space="preserve">. Esto significa que la prohibición no resulta </w:t>
      </w:r>
      <w:r>
        <w:rPr>
          <w:rFonts w:ascii="Verdana" w:eastAsia="Times New Roman" w:hAnsi="Verdana" w:cs="Arial"/>
          <w:lang w:eastAsia="es-CO"/>
        </w:rPr>
        <w:lastRenderedPageBreak/>
        <w:t xml:space="preserve">aplicable a </w:t>
      </w:r>
      <w:r>
        <w:rPr>
          <w:rFonts w:ascii="Verdana" w:eastAsia="Times New Roman" w:hAnsi="Verdana" w:cs="Arial"/>
          <w:i/>
          <w:iCs/>
          <w:lang w:eastAsia="es-CO"/>
        </w:rPr>
        <w:t>convenios interadministrativos a título gratuito,</w:t>
      </w:r>
      <w:r>
        <w:rPr>
          <w:rFonts w:ascii="Verdana" w:eastAsia="Times New Roman" w:hAnsi="Verdana" w:cs="Arial"/>
          <w:lang w:eastAsia="es-CO"/>
        </w:rPr>
        <w:t xml:space="preserve"> los cuales pueden celebrarse válidamente durante la vigencia de la mencionada restricción. </w:t>
      </w:r>
    </w:p>
    <w:p w14:paraId="708092C7" w14:textId="77777777" w:rsidR="00867916" w:rsidRDefault="00867916" w:rsidP="00867916">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esta manera, conforme a lo dispuesto en la Circular referida, si se suscriben </w:t>
      </w:r>
      <w:r>
        <w:rPr>
          <w:rFonts w:ascii="Verdana" w:eastAsia="Times New Roman" w:hAnsi="Verdana" w:cs="Arial"/>
          <w:i/>
          <w:iCs/>
          <w:lang w:eastAsia="es-CO"/>
        </w:rPr>
        <w:t>convenios interadministrativos para la ejecución de recursos públicos</w:t>
      </w:r>
      <w:r>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Pr>
          <w:rFonts w:ascii="Verdana" w:eastAsia="Times New Roman" w:hAnsi="Verdana" w:cs="Arial"/>
          <w:i/>
          <w:iCs/>
          <w:lang w:eastAsia="es-CO"/>
        </w:rPr>
        <w:t>ibidem</w:t>
      </w:r>
      <w:r>
        <w:rPr>
          <w:rFonts w:ascii="Verdana" w:eastAsia="Times New Roman" w:hAnsi="Verdana" w:cs="Arial"/>
          <w:lang w:eastAsia="es-CO"/>
        </w:rPr>
        <w:t>, independientemente de que se configure alguno de los supuestos de excepción que señaló el inciso final del artículo 33, es decir, que se trate de:</w:t>
      </w:r>
      <w:r>
        <w:rPr>
          <w:rFonts w:ascii="Verdana" w:hAnsi="Verdana" w:cs="Arial"/>
          <w:bCs/>
          <w:lang w:val="es-MX" w:eastAsia="x-none"/>
        </w:rPr>
        <w:t xml:space="preserve"> i) la defensa y seguridad del Estado; </w:t>
      </w:r>
      <w:proofErr w:type="spellStart"/>
      <w:r>
        <w:rPr>
          <w:rFonts w:ascii="Verdana" w:hAnsi="Verdana" w:cs="Arial"/>
          <w:bCs/>
          <w:lang w:val="es-MX" w:eastAsia="x-none"/>
        </w:rPr>
        <w:t>ii</w:t>
      </w:r>
      <w:proofErr w:type="spellEnd"/>
      <w:r>
        <w:rPr>
          <w:rFonts w:ascii="Verdana" w:hAnsi="Verdana" w:cs="Arial"/>
          <w:bCs/>
          <w:lang w:val="es-MX" w:eastAsia="x-none"/>
        </w:rPr>
        <w:t xml:space="preserve">) los contratos de crédito público; </w:t>
      </w:r>
      <w:proofErr w:type="spellStart"/>
      <w:r>
        <w:rPr>
          <w:rFonts w:ascii="Verdana" w:hAnsi="Verdana" w:cs="Arial"/>
          <w:bCs/>
          <w:lang w:val="es-MX" w:eastAsia="x-none"/>
        </w:rPr>
        <w:t>iii</w:t>
      </w:r>
      <w:proofErr w:type="spellEnd"/>
      <w:r>
        <w:rPr>
          <w:rFonts w:ascii="Verdana" w:hAnsi="Verdana" w:cs="Arial"/>
          <w:bCs/>
          <w:lang w:val="es-MX" w:eastAsia="x-none"/>
        </w:rPr>
        <w:t xml:space="preserve">) los requeridos para cubrir las emergencias educativas, sanitarias y desastres; </w:t>
      </w:r>
      <w:proofErr w:type="spellStart"/>
      <w:r>
        <w:rPr>
          <w:rFonts w:ascii="Verdana" w:hAnsi="Verdana" w:cs="Arial"/>
          <w:bCs/>
          <w:lang w:val="es-MX" w:eastAsia="x-none"/>
        </w:rPr>
        <w:t>iv</w:t>
      </w:r>
      <w:proofErr w:type="spellEnd"/>
      <w:r>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r>
        <w:rPr>
          <w:rFonts w:ascii="Verdana" w:eastAsia="Times New Roman" w:hAnsi="Verdana" w:cs="Arial"/>
          <w:lang w:eastAsia="es-CO"/>
        </w:rPr>
        <w:t xml:space="preserve">  </w:t>
      </w:r>
    </w:p>
    <w:p w14:paraId="0F8BC4AC" w14:textId="77777777" w:rsidR="00867916" w:rsidRDefault="00867916" w:rsidP="00867916">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este punto, teniendo en cuenta lo señalado en el contenido de su petición, vale la pena destacar </w:t>
      </w:r>
      <w:proofErr w:type="gramStart"/>
      <w:r>
        <w:rPr>
          <w:rFonts w:ascii="Verdana" w:eastAsia="Times New Roman" w:hAnsi="Verdana" w:cs="Arial"/>
          <w:lang w:eastAsia="es-CO"/>
        </w:rPr>
        <w:t>que</w:t>
      </w:r>
      <w:proofErr w:type="gramEnd"/>
      <w:r>
        <w:rPr>
          <w:rFonts w:ascii="Verdana" w:eastAsia="Times New Roman" w:hAnsi="Verdana" w:cs="Arial"/>
          <w:lang w:eastAsia="es-CO"/>
        </w:rPr>
        <w:t xml:space="preserve"> </w:t>
      </w:r>
      <w:r>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Pr>
          <w:rFonts w:ascii="Verdana" w:hAnsi="Verdana" w:cs="Arial"/>
        </w:rPr>
        <w:t>numeral 16.2 de la Circular Externa Única de 2022 expedida por la Agencia Nacional de Contratación Pública -Colombia Compra Eficiente-, concretamente, respecto de los siguientes apartes normativos</w:t>
      </w:r>
      <w:r>
        <w:rPr>
          <w:rFonts w:ascii="Verdana" w:hAnsi="Verdana" w:cs="Arial"/>
          <w:vertAlign w:val="superscript"/>
        </w:rPr>
        <w:footnoteReference w:id="21"/>
      </w:r>
      <w:r>
        <w:rPr>
          <w:rFonts w:ascii="Verdana" w:hAnsi="Verdana" w:cs="Arial"/>
        </w:rPr>
        <w:t xml:space="preserve">: </w:t>
      </w:r>
    </w:p>
    <w:p w14:paraId="0004AF03" w14:textId="77777777" w:rsidR="00867916" w:rsidRDefault="00867916" w:rsidP="00867916">
      <w:pPr>
        <w:spacing w:after="0" w:line="276" w:lineRule="auto"/>
        <w:ind w:firstLine="709"/>
        <w:jc w:val="both"/>
        <w:rPr>
          <w:rFonts w:ascii="Verdana" w:hAnsi="Verdana" w:cs="Arial"/>
        </w:rPr>
      </w:pPr>
    </w:p>
    <w:p w14:paraId="4EBAC63A" w14:textId="77777777" w:rsidR="00867916" w:rsidRDefault="00867916" w:rsidP="00867916">
      <w:pPr>
        <w:spacing w:after="0" w:line="240" w:lineRule="auto"/>
        <w:ind w:left="709" w:right="709"/>
        <w:jc w:val="both"/>
        <w:rPr>
          <w:rFonts w:ascii="Verdana" w:hAnsi="Verdana" w:cs="Arial"/>
          <w:sz w:val="20"/>
          <w:szCs w:val="20"/>
        </w:rPr>
      </w:pPr>
      <w:r>
        <w:rPr>
          <w:rFonts w:ascii="Verdana" w:hAnsi="Verdana" w:cs="Arial"/>
          <w:sz w:val="20"/>
          <w:szCs w:val="20"/>
          <w:lang w:val="es-MX"/>
        </w:rPr>
        <w:t>“i)</w:t>
      </w:r>
      <w:r>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E538B7E" w14:textId="77777777" w:rsidR="00867916" w:rsidRDefault="00867916" w:rsidP="00867916">
      <w:pPr>
        <w:spacing w:after="0" w:line="240" w:lineRule="auto"/>
        <w:ind w:left="709" w:right="709"/>
        <w:jc w:val="both"/>
        <w:rPr>
          <w:rFonts w:ascii="Verdana" w:hAnsi="Verdana" w:cs="Arial"/>
          <w:sz w:val="20"/>
          <w:szCs w:val="20"/>
        </w:rPr>
      </w:pPr>
    </w:p>
    <w:p w14:paraId="161B421C" w14:textId="77777777" w:rsidR="00867916" w:rsidRDefault="00867916" w:rsidP="00867916">
      <w:pPr>
        <w:spacing w:after="0" w:line="240" w:lineRule="auto"/>
        <w:ind w:left="709" w:right="709"/>
        <w:jc w:val="both"/>
        <w:rPr>
          <w:rFonts w:ascii="Verdana" w:hAnsi="Verdana" w:cs="Arial"/>
          <w:sz w:val="20"/>
          <w:szCs w:val="20"/>
        </w:rPr>
      </w:pPr>
      <w:proofErr w:type="spellStart"/>
      <w:r>
        <w:rPr>
          <w:rFonts w:ascii="Verdana" w:hAnsi="Verdana" w:cs="Arial"/>
          <w:sz w:val="20"/>
          <w:szCs w:val="20"/>
        </w:rPr>
        <w:t>ii</w:t>
      </w:r>
      <w:proofErr w:type="spellEnd"/>
      <w:r>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w:t>
      </w:r>
      <w:r>
        <w:rPr>
          <w:rFonts w:ascii="Verdana" w:hAnsi="Verdana" w:cs="Arial"/>
          <w:sz w:val="20"/>
          <w:szCs w:val="20"/>
        </w:rPr>
        <w:lastRenderedPageBreak/>
        <w:t xml:space="preserve">del Estado se ejecuten para lograr apoyos indebidos mediante la suscripción de contratos y/o convenios, que, para efectos de la Ley de Garantías, tienen la misma connotación y propósito”. </w:t>
      </w:r>
    </w:p>
    <w:p w14:paraId="2EC3DDDA" w14:textId="77777777" w:rsidR="00867916" w:rsidRDefault="00867916" w:rsidP="00867916">
      <w:pPr>
        <w:spacing w:after="0" w:line="276" w:lineRule="auto"/>
        <w:ind w:left="709" w:right="709"/>
        <w:jc w:val="both"/>
        <w:rPr>
          <w:rFonts w:ascii="Verdana" w:hAnsi="Verdana" w:cs="Arial"/>
        </w:rPr>
      </w:pPr>
    </w:p>
    <w:p w14:paraId="2B22B815" w14:textId="77777777" w:rsidR="00867916" w:rsidRDefault="00867916" w:rsidP="00867916">
      <w:pPr>
        <w:spacing w:after="120" w:line="276" w:lineRule="auto"/>
        <w:ind w:firstLine="709"/>
        <w:jc w:val="both"/>
        <w:rPr>
          <w:rFonts w:ascii="Verdana" w:eastAsia="Arial" w:hAnsi="Verdana" w:cs="Arial"/>
          <w:i/>
          <w:iCs/>
          <w:lang w:eastAsia="es-ES" w:bidi="es-ES"/>
        </w:rPr>
      </w:pPr>
      <w:r>
        <w:rPr>
          <w:rFonts w:ascii="Verdana" w:eastAsia="Arial" w:hAnsi="Verdana" w:cs="Arial"/>
          <w:lang w:val="es-MX" w:eastAsia="es-ES" w:bidi="es-ES"/>
        </w:rPr>
        <w:t xml:space="preserve">De conformidad con los argumentos de dicha providencia, se parte de la distinción entre los conceptos </w:t>
      </w:r>
      <w:r>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Pr>
          <w:rFonts w:ascii="Verdana" w:hAnsi="Verdana"/>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DFCC6D5" w14:textId="77777777" w:rsidR="00867916" w:rsidRDefault="00867916" w:rsidP="00867916">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De igual manera, mediante auto del 6 de noviembre de 2025, el Consejo de Estado, Subsección A de la Sección Tercera, decretó</w:t>
      </w:r>
      <w:r>
        <w:rPr>
          <w:rFonts w:ascii="Verdana" w:eastAsia="Arial" w:hAnsi="Verdana" w:cs="Arial"/>
          <w:b/>
          <w:bCs/>
          <w:lang w:eastAsia="es-ES" w:bidi="es-ES"/>
        </w:rPr>
        <w:t xml:space="preserve"> </w:t>
      </w:r>
      <w:r>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vertAlign w:val="superscript"/>
          <w:lang w:eastAsia="es-ES" w:bidi="es-ES"/>
        </w:rPr>
        <w:footnoteReference w:id="22"/>
      </w:r>
      <w:r>
        <w:rPr>
          <w:rFonts w:ascii="Verdana" w:eastAsia="Arial" w:hAnsi="Verdana" w:cs="Arial"/>
          <w:lang w:eastAsia="es-ES" w:bidi="es-ES"/>
        </w:rPr>
        <w:t xml:space="preserve">. Para tales </w:t>
      </w:r>
      <w:r>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Pr>
          <w:rFonts w:ascii="Verdana" w:eastAsia="Arial" w:hAnsi="Verdana" w:cs="Arial"/>
          <w:lang w:eastAsia="es-ES" w:bidi="es-ES"/>
        </w:rPr>
        <w:t>legis</w:t>
      </w:r>
      <w:proofErr w:type="spellEnd"/>
      <w:r>
        <w:rPr>
          <w:rFonts w:ascii="Verdana" w:eastAsia="Arial" w:hAnsi="Verdana" w:cs="Arial"/>
          <w:lang w:eastAsia="es-ES" w:bidi="es-ES"/>
        </w:rPr>
        <w:t xml:space="preserve"> o iuris y la interpretación extensiva y reiteró los argumentos sobre la diferencia entre contratos y convenios interadministrativos. </w:t>
      </w:r>
    </w:p>
    <w:p w14:paraId="1564C4FB" w14:textId="77777777" w:rsidR="00867916" w:rsidRDefault="00867916" w:rsidP="00867916">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5E57E5D" w14:textId="77777777" w:rsidR="00867916" w:rsidRDefault="00867916" w:rsidP="00867916">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Pr>
          <w:rStyle w:val="Refdenotaalpie"/>
          <w:rFonts w:ascii="Verdana" w:eastAsia="Times New Roman" w:hAnsi="Verdana" w:cs="Times New Roman"/>
          <w:lang w:eastAsia="es-ES"/>
        </w:rPr>
        <w:footnoteReference w:id="23"/>
      </w:r>
      <w:r>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02DA3EE" w14:textId="77777777" w:rsidR="00867916" w:rsidRDefault="00867916" w:rsidP="00867916">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 xml:space="preserve">A juicio de la Sala, aunque el propósito de la Circular Externa era legítimo —evitar el uso indebido de recursos en época electoral—, el numeral 16.2. </w:t>
      </w:r>
      <w:r>
        <w:rPr>
          <w:rFonts w:ascii="Verdana" w:eastAsia="Times New Roman" w:hAnsi="Verdana" w:cs="Times New Roman"/>
          <w:lang w:eastAsia="es-ES"/>
        </w:rPr>
        <w:lastRenderedPageBreak/>
        <w:t xml:space="preserve">desconoció el alcance literal del artículo 38 de la Ley 996 de 2005 y los límites de la potestad reglamentaria, lo que configuró un vicio de contenido. </w:t>
      </w:r>
    </w:p>
    <w:p w14:paraId="51F6BBC0" w14:textId="77777777" w:rsidR="00867916" w:rsidRPr="00240D2B" w:rsidRDefault="00867916" w:rsidP="00867916">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4"/>
      </w:r>
      <w:r>
        <w:rPr>
          <w:rFonts w:ascii="Verdana" w:eastAsia="Times New Roman" w:hAnsi="Verdana" w:cs="Arial"/>
          <w:lang w:eastAsia="es-CO"/>
        </w:rPr>
        <w:t>.</w:t>
      </w:r>
    </w:p>
    <w:p w14:paraId="018D89DF" w14:textId="77777777" w:rsidR="00867916" w:rsidRPr="00C55BDE" w:rsidRDefault="00867916" w:rsidP="00867916">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iii</w:t>
      </w:r>
      <w:proofErr w:type="spellEnd"/>
      <w:r>
        <w:rPr>
          <w:rFonts w:ascii="Verdana" w:hAnsi="Verdana" w:cs="Arial"/>
          <w:bCs/>
          <w:color w:val="000000" w:themeColor="text1"/>
        </w:rPr>
        <w:t xml:space="preserve">. </w:t>
      </w: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EEF0AD" w14:textId="77777777" w:rsidR="00867916" w:rsidRPr="00C55BDE" w:rsidRDefault="00867916" w:rsidP="00867916">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93ED52" w14:textId="77777777" w:rsidR="00867916" w:rsidRPr="00C55BDE" w:rsidRDefault="00867916" w:rsidP="00867916">
      <w:pPr>
        <w:spacing w:after="0" w:line="276" w:lineRule="auto"/>
        <w:ind w:firstLine="708"/>
        <w:jc w:val="both"/>
        <w:rPr>
          <w:rFonts w:ascii="Verdana" w:hAnsi="Verdana" w:cs="Arial"/>
          <w:bCs/>
          <w:color w:val="000000" w:themeColor="text1"/>
        </w:rPr>
      </w:pPr>
    </w:p>
    <w:p w14:paraId="40044B47" w14:textId="77777777" w:rsidR="00867916" w:rsidRPr="00C55BDE" w:rsidRDefault="00867916" w:rsidP="0086791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7FC8B4E9" w14:textId="77777777" w:rsidR="00867916" w:rsidRPr="00C55BDE" w:rsidRDefault="00867916" w:rsidP="0086791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7916" w:rsidRPr="00C55BDE" w14:paraId="2886ECCC" w14:textId="77777777" w:rsidTr="00275565">
        <w:trPr>
          <w:trHeight w:val="491"/>
          <w:jc w:val="center"/>
        </w:trPr>
        <w:tc>
          <w:tcPr>
            <w:tcW w:w="8647" w:type="dxa"/>
          </w:tcPr>
          <w:p w14:paraId="51D151D8"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Fonts w:ascii="Verdana" w:hAnsi="Verdana" w:cs="Arial"/>
              </w:rPr>
            </w:pPr>
            <w:r w:rsidRPr="00C55BDE">
              <w:rPr>
                <w:rFonts w:ascii="Verdana" w:hAnsi="Verdana" w:cs="Arial"/>
              </w:rPr>
              <w:lastRenderedPageBreak/>
              <w:t xml:space="preserve"> </w:t>
            </w:r>
            <w:r>
              <w:rPr>
                <w:rFonts w:ascii="Verdana" w:hAnsi="Verdana" w:cs="Arial"/>
                <w:lang w:val="es-CO"/>
              </w:rPr>
              <w:t>Convenio No. 169 de 1989.</w:t>
            </w:r>
          </w:p>
          <w:p w14:paraId="663DA767"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Fonts w:ascii="Verdana" w:hAnsi="Verdana" w:cs="Arial"/>
              </w:rPr>
            </w:pPr>
            <w:r>
              <w:rPr>
                <w:rFonts w:ascii="Verdana" w:hAnsi="Verdana" w:cs="Arial"/>
                <w:lang w:val="es-CO"/>
              </w:rPr>
              <w:t>Ley 21 de 1991.</w:t>
            </w:r>
          </w:p>
          <w:p w14:paraId="664C15BF"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Fonts w:ascii="Verdana" w:hAnsi="Verdana" w:cs="Arial"/>
              </w:rPr>
            </w:pPr>
            <w:r>
              <w:rPr>
                <w:rFonts w:ascii="Verdana" w:hAnsi="Verdana" w:cs="Arial"/>
                <w:lang w:val="es-CO"/>
              </w:rPr>
              <w:t xml:space="preserve">Constitución Política de 1991, Artículos 56, 93, 329, </w:t>
            </w:r>
            <w:r>
              <w:rPr>
                <w:rFonts w:ascii="Verdana" w:eastAsia="Arial MT" w:hAnsi="Verdana" w:cs="Arial"/>
                <w:lang w:eastAsia="es-ES" w:bidi="es-ES"/>
              </w:rPr>
              <w:t>127, 329, 356.</w:t>
            </w:r>
          </w:p>
          <w:p w14:paraId="0FEB3FD8" w14:textId="77777777" w:rsidR="00867916" w:rsidRDefault="00867916" w:rsidP="00275565">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Decreto 1088 de 1993.</w:t>
            </w:r>
          </w:p>
          <w:p w14:paraId="4EFCF3D2" w14:textId="77777777" w:rsidR="00867916" w:rsidRDefault="00867916" w:rsidP="00275565">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Decreto 252 del 2020.</w:t>
            </w:r>
          </w:p>
          <w:p w14:paraId="59229B86" w14:textId="77777777" w:rsidR="00867916" w:rsidRDefault="00867916" w:rsidP="00275565">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Ley 2160 de 2021</w:t>
            </w:r>
          </w:p>
          <w:p w14:paraId="1FB55486" w14:textId="77777777" w:rsidR="00867916" w:rsidRDefault="00867916" w:rsidP="00275565">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Ley 2294 de 2023</w:t>
            </w:r>
            <w:r>
              <w:rPr>
                <w:rFonts w:ascii="Verdana" w:eastAsia="Times New Roman" w:hAnsi="Verdana" w:cs="Arial"/>
                <w:lang w:val="es-ES_tradnl" w:eastAsia="es-ES"/>
              </w:rPr>
              <w:t>: Artículos 353 y 354.</w:t>
            </w:r>
          </w:p>
          <w:p w14:paraId="0A78614A" w14:textId="77777777" w:rsidR="00867916" w:rsidRDefault="00867916" w:rsidP="00275565">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bCs/>
                <w:lang w:val="es-ES" w:eastAsia="es-ES" w:bidi="es-ES"/>
              </w:rPr>
              <w:t>Ley 996 de 2005, artículos 33 y 38.</w:t>
            </w:r>
          </w:p>
          <w:p w14:paraId="473907BC" w14:textId="77777777" w:rsidR="00867916" w:rsidRDefault="00867916" w:rsidP="00275565">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Decreto 1068 de 2015, artículo 2.2.1.1.1.</w:t>
            </w:r>
          </w:p>
          <w:p w14:paraId="71EA8572"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Style w:val="Hipervnculo"/>
              </w:rPr>
            </w:pPr>
            <w:r>
              <w:rPr>
                <w:rStyle w:val="Hipervnculo"/>
                <w:rFonts w:ascii="Verdana" w:hAnsi="Verdana"/>
              </w:rPr>
              <w:t xml:space="preserve">Corte Constitucional. </w:t>
            </w:r>
            <w:r>
              <w:rPr>
                <w:rFonts w:ascii="Verdana" w:eastAsia="Calibri" w:hAnsi="Verdana" w:cs="Arial"/>
              </w:rPr>
              <w:t xml:space="preserve">Sentencia C-489 del 27 de junio del 2012. MP. Adriana María Guillén Arango. </w:t>
            </w:r>
          </w:p>
          <w:p w14:paraId="4D0E5190"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pPr>
            <w:r>
              <w:rPr>
                <w:rStyle w:val="Hipervnculo"/>
                <w:rFonts w:ascii="Verdana" w:hAnsi="Verdana"/>
              </w:rPr>
              <w:t>Corte Constitucional.</w:t>
            </w:r>
            <w:r>
              <w:rPr>
                <w:rFonts w:ascii="Verdana" w:eastAsia="Calibri" w:hAnsi="Verdana" w:cs="Arial"/>
              </w:rPr>
              <w:t xml:space="preserve"> Sentencia C-617 del 30 de septiembre del 2015. MP. Mauricio González Cuervo.</w:t>
            </w:r>
          </w:p>
          <w:p w14:paraId="395BD190"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Style w:val="Hipervnculo"/>
              </w:rPr>
            </w:pPr>
            <w:r>
              <w:rPr>
                <w:rStyle w:val="Hipervnculo"/>
                <w:rFonts w:ascii="Verdana" w:hAnsi="Verdana"/>
              </w:rPr>
              <w:t xml:space="preserve">Corte Constitucional. </w:t>
            </w:r>
            <w:r>
              <w:rPr>
                <w:rFonts w:ascii="Verdana" w:eastAsia="Calibri" w:hAnsi="Verdana" w:cs="Arial"/>
              </w:rPr>
              <w:t xml:space="preserve">Sentencia C-489 del 27 de junio del 2012. MP. Adriana María Guillén Arango. </w:t>
            </w:r>
          </w:p>
          <w:p w14:paraId="12834966"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pPr>
            <w:r>
              <w:rPr>
                <w:rStyle w:val="Hipervnculo"/>
                <w:rFonts w:ascii="Verdana" w:hAnsi="Verdana"/>
              </w:rPr>
              <w:t>Corte Constitucional.</w:t>
            </w:r>
            <w:r>
              <w:rPr>
                <w:rFonts w:ascii="Verdana" w:eastAsia="Calibri" w:hAnsi="Verdana" w:cs="Arial"/>
              </w:rPr>
              <w:t xml:space="preserve"> Sentencia C-617 del 30 de septiembre del 2015. MP. Mauricio González Cuervo.</w:t>
            </w:r>
          </w:p>
          <w:p w14:paraId="51A3777D" w14:textId="77777777" w:rsidR="00867916" w:rsidRDefault="00867916" w:rsidP="00275565">
            <w:pPr>
              <w:pStyle w:val="Prrafodelista"/>
              <w:widowControl w:val="0"/>
              <w:numPr>
                <w:ilvl w:val="0"/>
                <w:numId w:val="18"/>
              </w:numPr>
              <w:tabs>
                <w:tab w:val="left" w:pos="8419"/>
              </w:tabs>
              <w:autoSpaceDE w:val="0"/>
              <w:autoSpaceDN w:val="0"/>
              <w:spacing w:after="120" w:line="276" w:lineRule="auto"/>
              <w:jc w:val="both"/>
              <w:rPr>
                <w:rFonts w:ascii="Verdana" w:hAnsi="Verdana" w:cs="Arial"/>
              </w:rPr>
            </w:pPr>
            <w:r>
              <w:rPr>
                <w:rFonts w:ascii="Verdana" w:hAnsi="Verdana" w:cs="Arial"/>
                <w:lang w:val="pt-BR"/>
              </w:rPr>
              <w:t>Corte Constitucional. Sentencia C-671 de 2015. M.P. Alberto Rojas Ríos.</w:t>
            </w:r>
          </w:p>
          <w:p w14:paraId="072BE169" w14:textId="77777777" w:rsidR="00867916" w:rsidRDefault="00867916" w:rsidP="00275565">
            <w:pPr>
              <w:widowControl w:val="0"/>
              <w:numPr>
                <w:ilvl w:val="0"/>
                <w:numId w:val="18"/>
              </w:numPr>
              <w:autoSpaceDE w:val="0"/>
              <w:autoSpaceDN w:val="0"/>
              <w:spacing w:after="120" w:line="276" w:lineRule="auto"/>
              <w:jc w:val="both"/>
              <w:rPr>
                <w:rFonts w:ascii="Verdana" w:hAnsi="Verdana" w:cs="Arial"/>
                <w:lang w:val="es-ES"/>
              </w:rPr>
            </w:pPr>
            <w:r>
              <w:rPr>
                <w:rFonts w:ascii="Verdana" w:hAnsi="Verdana" w:cs="Arial"/>
                <w:lang w:val="es-ES"/>
              </w:rPr>
              <w:t xml:space="preserve">Consejo de Estado, Sección Primera. Sentencia de 3 de marzo de 2005, </w:t>
            </w:r>
            <w:proofErr w:type="spellStart"/>
            <w:r>
              <w:rPr>
                <w:rFonts w:ascii="Verdana" w:hAnsi="Verdana" w:cs="Arial"/>
                <w:lang w:val="es-ES"/>
              </w:rPr>
              <w:t>Exp</w:t>
            </w:r>
            <w:proofErr w:type="spellEnd"/>
            <w:r>
              <w:rPr>
                <w:rFonts w:ascii="Verdana" w:hAnsi="Verdana" w:cs="Arial"/>
                <w:lang w:val="es-ES"/>
              </w:rPr>
              <w:t xml:space="preserve">. 2004-00823-01(PI). </w:t>
            </w:r>
          </w:p>
          <w:p w14:paraId="39733B4F" w14:textId="77777777" w:rsidR="00867916" w:rsidRDefault="00867916" w:rsidP="00275565">
            <w:pPr>
              <w:numPr>
                <w:ilvl w:val="0"/>
                <w:numId w:val="18"/>
              </w:numPr>
              <w:spacing w:before="120" w:after="120" w:line="276" w:lineRule="auto"/>
              <w:jc w:val="both"/>
              <w:rPr>
                <w:rFonts w:ascii="Verdana" w:hAnsi="Verdana" w:cs="Arial"/>
                <w:lang w:val="es-ES"/>
              </w:rPr>
            </w:pPr>
            <w:r>
              <w:rPr>
                <w:rFonts w:ascii="Verdana" w:hAnsi="Verdana" w:cs="Arial"/>
              </w:rPr>
              <w:t>Consejo de Estado. Sala de Consulta y Servicio Civil. Concepto del 15 de noviembre de 2007. Expediente número 1863. Consejero Ponente: Luis Fernando Álvarez Jaramillo</w:t>
            </w:r>
          </w:p>
          <w:p w14:paraId="14B70817" w14:textId="77777777" w:rsidR="00867916" w:rsidRDefault="00867916" w:rsidP="00275565">
            <w:pPr>
              <w:widowControl w:val="0"/>
              <w:numPr>
                <w:ilvl w:val="0"/>
                <w:numId w:val="18"/>
              </w:numPr>
              <w:autoSpaceDE w:val="0"/>
              <w:autoSpaceDN w:val="0"/>
              <w:spacing w:after="120" w:line="276" w:lineRule="auto"/>
              <w:jc w:val="both"/>
              <w:rPr>
                <w:rFonts w:ascii="Verdana" w:hAnsi="Verdana" w:cs="Arial"/>
                <w:lang w:val="es-ES"/>
              </w:rPr>
            </w:pPr>
            <w:r>
              <w:rPr>
                <w:rFonts w:ascii="Verdana" w:hAnsi="Verdana" w:cs="Arial"/>
                <w:lang w:val="es-ES"/>
              </w:rPr>
              <w:t xml:space="preserve">Consejo de Estado, Sala de Consulta y Servicio Civil, Concepto de fecha 24 de julio de 2013, Rad. 2166, C. P. Álvaro </w:t>
            </w:r>
            <w:proofErr w:type="spellStart"/>
            <w:r>
              <w:rPr>
                <w:rFonts w:ascii="Verdana" w:hAnsi="Verdana" w:cs="Arial"/>
                <w:lang w:val="es-ES"/>
              </w:rPr>
              <w:t>Namén</w:t>
            </w:r>
            <w:proofErr w:type="spellEnd"/>
            <w:r>
              <w:rPr>
                <w:rFonts w:ascii="Verdana" w:hAnsi="Verdana" w:cs="Arial"/>
                <w:lang w:val="es-ES"/>
              </w:rPr>
              <w:t xml:space="preserve"> Vargas. </w:t>
            </w:r>
          </w:p>
          <w:p w14:paraId="4CBE0B48" w14:textId="77777777" w:rsidR="00867916" w:rsidRDefault="00867916" w:rsidP="00275565">
            <w:pPr>
              <w:numPr>
                <w:ilvl w:val="0"/>
                <w:numId w:val="18"/>
              </w:numPr>
              <w:spacing w:before="120" w:after="120" w:line="276" w:lineRule="auto"/>
              <w:jc w:val="both"/>
              <w:rPr>
                <w:rFonts w:ascii="Verdana" w:hAnsi="Verdana" w:cs="Arial"/>
                <w:lang w:val="es-ES"/>
              </w:rPr>
            </w:pPr>
            <w:r>
              <w:rPr>
                <w:rFonts w:ascii="Verdana" w:hAnsi="Verdana" w:cs="Arial"/>
              </w:rPr>
              <w:t xml:space="preserve">Consejo de Estado. Sala de Consulta y Servicio Civil. Concepto del 2 de septiembre de 2013 Radicado No: 2168. CP: </w:t>
            </w:r>
            <w:proofErr w:type="spellStart"/>
            <w:r>
              <w:rPr>
                <w:rFonts w:ascii="Verdana" w:hAnsi="Verdana" w:cs="Arial"/>
              </w:rPr>
              <w:t>Alvaro</w:t>
            </w:r>
            <w:proofErr w:type="spellEnd"/>
            <w:r>
              <w:rPr>
                <w:rFonts w:ascii="Verdana" w:hAnsi="Verdana" w:cs="Arial"/>
              </w:rPr>
              <w:t xml:space="preserve"> </w:t>
            </w:r>
            <w:proofErr w:type="spellStart"/>
            <w:r>
              <w:rPr>
                <w:rFonts w:ascii="Verdana" w:hAnsi="Verdana" w:cs="Arial"/>
              </w:rPr>
              <w:t>Namén</w:t>
            </w:r>
            <w:proofErr w:type="spellEnd"/>
            <w:r>
              <w:rPr>
                <w:rFonts w:ascii="Verdana" w:hAnsi="Verdana" w:cs="Arial"/>
              </w:rPr>
              <w:t xml:space="preserve"> Vargas.</w:t>
            </w:r>
          </w:p>
          <w:p w14:paraId="31C3BA73" w14:textId="77777777" w:rsidR="00867916" w:rsidRDefault="00867916" w:rsidP="00275565">
            <w:pPr>
              <w:numPr>
                <w:ilvl w:val="0"/>
                <w:numId w:val="18"/>
              </w:numPr>
              <w:spacing w:before="120" w:after="120" w:line="276" w:lineRule="auto"/>
              <w:jc w:val="both"/>
              <w:rPr>
                <w:rFonts w:ascii="Verdana" w:hAnsi="Verdana" w:cs="Arial"/>
                <w:lang w:val="es-ES"/>
              </w:rPr>
            </w:pPr>
            <w:r>
              <w:rPr>
                <w:rFonts w:ascii="Verdana" w:hAnsi="Verdana" w:cs="Arial"/>
                <w:lang w:val="es-ES"/>
              </w:rPr>
              <w:t>Consejo de Estado. Sala de Consulta y Servicio Civil. Concepto del 17 de febrero de 2015. C.P. William Zambrano Cetina. Radicación No. 11001-03-06-000-2015-00164-00(2269).</w:t>
            </w:r>
          </w:p>
          <w:p w14:paraId="3CD499D5" w14:textId="77777777" w:rsidR="00867916" w:rsidRDefault="00867916" w:rsidP="00275565">
            <w:pPr>
              <w:numPr>
                <w:ilvl w:val="0"/>
                <w:numId w:val="18"/>
              </w:numPr>
              <w:spacing w:before="120" w:after="120" w:line="276" w:lineRule="auto"/>
              <w:jc w:val="both"/>
              <w:rPr>
                <w:rFonts w:ascii="Verdana" w:hAnsi="Verdana" w:cs="Arial"/>
                <w:lang w:val="es-ES"/>
              </w:rPr>
            </w:pPr>
            <w:r>
              <w:rPr>
                <w:rFonts w:ascii="Verdana" w:hAnsi="Verdana" w:cs="Arial"/>
                <w:lang w:val="es-ES"/>
              </w:rPr>
              <w:lastRenderedPageBreak/>
              <w:t xml:space="preserve">Consejo de Estado, Sala de Consulta y Servicio Civil, Concepto de fecha 8 de mayo de 2018, No. 2382. C. P. Álvaro </w:t>
            </w:r>
            <w:proofErr w:type="spellStart"/>
            <w:r>
              <w:rPr>
                <w:rFonts w:ascii="Verdana" w:hAnsi="Verdana" w:cs="Arial"/>
                <w:lang w:val="es-ES"/>
              </w:rPr>
              <w:t>Namén</w:t>
            </w:r>
            <w:proofErr w:type="spellEnd"/>
            <w:r>
              <w:rPr>
                <w:rFonts w:ascii="Verdana" w:hAnsi="Verdana" w:cs="Arial"/>
                <w:lang w:val="es-ES"/>
              </w:rPr>
              <w:t xml:space="preserve"> Vargas.</w:t>
            </w:r>
          </w:p>
          <w:p w14:paraId="431E41DE" w14:textId="77777777" w:rsidR="00867916" w:rsidRDefault="00867916" w:rsidP="00275565">
            <w:pPr>
              <w:widowControl w:val="0"/>
              <w:numPr>
                <w:ilvl w:val="0"/>
                <w:numId w:val="18"/>
              </w:numPr>
              <w:autoSpaceDE w:val="0"/>
              <w:autoSpaceDN w:val="0"/>
              <w:spacing w:after="120" w:line="276" w:lineRule="auto"/>
              <w:jc w:val="both"/>
              <w:rPr>
                <w:rFonts w:ascii="Verdana" w:hAnsi="Verdana" w:cs="Arial"/>
                <w:lang w:val="es-ES"/>
              </w:rPr>
            </w:pPr>
            <w:proofErr w:type="spellStart"/>
            <w:r>
              <w:rPr>
                <w:rFonts w:ascii="Verdana" w:hAnsi="Verdana" w:cs="Arial"/>
                <w:lang w:val="pt-BR"/>
              </w:rPr>
              <w:t>Consejo</w:t>
            </w:r>
            <w:proofErr w:type="spellEnd"/>
            <w:r>
              <w:rPr>
                <w:rFonts w:ascii="Verdana" w:hAnsi="Verdana" w:cs="Arial"/>
                <w:lang w:val="pt-BR"/>
              </w:rPr>
              <w:t xml:space="preserve"> de Estado, </w:t>
            </w:r>
            <w:proofErr w:type="spellStart"/>
            <w:r>
              <w:rPr>
                <w:rFonts w:ascii="Verdana" w:hAnsi="Verdana" w:cs="Arial"/>
                <w:lang w:val="pt-BR"/>
              </w:rPr>
              <w:t>Sección</w:t>
            </w:r>
            <w:proofErr w:type="spellEnd"/>
            <w:r>
              <w:rPr>
                <w:rFonts w:ascii="Verdana" w:hAnsi="Verdana" w:cs="Arial"/>
                <w:lang w:val="pt-BR"/>
              </w:rPr>
              <w:t xml:space="preserve"> Tercera. Auto </w:t>
            </w:r>
            <w:proofErr w:type="spellStart"/>
            <w:r>
              <w:rPr>
                <w:rFonts w:ascii="Verdana" w:hAnsi="Verdana" w:cs="Arial"/>
                <w:lang w:val="pt-BR"/>
              </w:rPr>
              <w:t>del</w:t>
            </w:r>
            <w:proofErr w:type="spellEnd"/>
            <w:r>
              <w:rPr>
                <w:rFonts w:ascii="Verdana" w:hAnsi="Verdana" w:cs="Arial"/>
                <w:lang w:val="pt-BR"/>
              </w:rPr>
              <w:t xml:space="preserve"> 4 de </w:t>
            </w:r>
            <w:proofErr w:type="spellStart"/>
            <w:r>
              <w:rPr>
                <w:rFonts w:ascii="Verdana" w:hAnsi="Verdana" w:cs="Arial"/>
                <w:lang w:val="pt-BR"/>
              </w:rPr>
              <w:t>octubre</w:t>
            </w:r>
            <w:proofErr w:type="spellEnd"/>
            <w:r>
              <w:rPr>
                <w:rFonts w:ascii="Verdana" w:hAnsi="Verdana" w:cs="Arial"/>
                <w:lang w:val="pt-BR"/>
              </w:rPr>
              <w:t xml:space="preserve"> de 2024. Exp. 70.313. C.P: Fredy Ibarra Martínez.</w:t>
            </w:r>
          </w:p>
          <w:p w14:paraId="7AD1B20B" w14:textId="77777777" w:rsidR="00867916" w:rsidRDefault="00867916" w:rsidP="00275565">
            <w:pPr>
              <w:widowControl w:val="0"/>
              <w:numPr>
                <w:ilvl w:val="0"/>
                <w:numId w:val="18"/>
              </w:numPr>
              <w:autoSpaceDE w:val="0"/>
              <w:autoSpaceDN w:val="0"/>
              <w:spacing w:after="120" w:line="276" w:lineRule="auto"/>
              <w:jc w:val="both"/>
              <w:rPr>
                <w:rFonts w:ascii="Verdana" w:hAnsi="Verdana" w:cs="Arial"/>
                <w:lang w:val="es-ES"/>
              </w:rPr>
            </w:pPr>
            <w:r>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59A84C60" w14:textId="77777777" w:rsidR="00867916" w:rsidRPr="00C55BDE" w:rsidRDefault="00867916" w:rsidP="00275565">
            <w:pPr>
              <w:widowControl w:val="0"/>
              <w:numPr>
                <w:ilvl w:val="0"/>
                <w:numId w:val="17"/>
              </w:numPr>
              <w:autoSpaceDE w:val="0"/>
              <w:autoSpaceDN w:val="0"/>
              <w:spacing w:after="120" w:line="276" w:lineRule="auto"/>
              <w:jc w:val="both"/>
              <w:rPr>
                <w:rFonts w:ascii="Verdana" w:hAnsi="Verdana" w:cs="Arial"/>
                <w:lang w:val="es-ES"/>
              </w:rPr>
            </w:pPr>
            <w:r>
              <w:rPr>
                <w:rFonts w:ascii="Verdana" w:hAnsi="Verdana" w:cs="Arial"/>
              </w:rPr>
              <w:t xml:space="preserve">Circular Externa No. 006 de 2025 </w:t>
            </w:r>
            <w:hyperlink r:id="rId14" w:history="1">
              <w:r>
                <w:rPr>
                  <w:rStyle w:val="Hipervnculo"/>
                  <w:rFonts w:ascii="Verdana" w:hAnsi="Verdana" w:cs="Arial"/>
                </w:rPr>
                <w:t>https://www.colombiacompra.gov.co/archivos/circular/circular-externa-006-de-2025</w:t>
              </w:r>
            </w:hyperlink>
          </w:p>
        </w:tc>
      </w:tr>
    </w:tbl>
    <w:p w14:paraId="5B37137E" w14:textId="77777777" w:rsidR="00867916" w:rsidRPr="00C55BDE" w:rsidRDefault="00867916" w:rsidP="00867916">
      <w:pPr>
        <w:widowControl w:val="0"/>
        <w:autoSpaceDE w:val="0"/>
        <w:autoSpaceDN w:val="0"/>
        <w:spacing w:after="0" w:line="276" w:lineRule="auto"/>
        <w:jc w:val="both"/>
        <w:rPr>
          <w:rFonts w:ascii="Verdana" w:hAnsi="Verdana" w:cs="Arial"/>
          <w:lang w:val="es-ES_tradnl"/>
        </w:rPr>
      </w:pPr>
    </w:p>
    <w:p w14:paraId="6AF3AA41" w14:textId="77777777" w:rsidR="00867916" w:rsidRPr="00C55BDE" w:rsidRDefault="00867916" w:rsidP="0086791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20D76585" w14:textId="77777777" w:rsidR="00867916" w:rsidRDefault="00867916" w:rsidP="00867916">
      <w:pPr>
        <w:widowControl w:val="0"/>
        <w:autoSpaceDE w:val="0"/>
        <w:autoSpaceDN w:val="0"/>
        <w:spacing w:after="0" w:line="276" w:lineRule="auto"/>
        <w:jc w:val="both"/>
        <w:rPr>
          <w:rFonts w:ascii="Verdana" w:hAnsi="Verdana" w:cs="Arial"/>
          <w:lang w:val="es-ES_tradnl"/>
        </w:rPr>
      </w:pPr>
    </w:p>
    <w:p w14:paraId="025E53FF" w14:textId="77777777" w:rsidR="00867916" w:rsidRDefault="00867916" w:rsidP="00867916">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p>
    <w:p w14:paraId="77C90558" w14:textId="77777777" w:rsidR="00867916" w:rsidRPr="00240D2B" w:rsidRDefault="00867916" w:rsidP="00867916">
      <w:pPr>
        <w:widowControl w:val="0"/>
        <w:autoSpaceDE w:val="0"/>
        <w:autoSpaceDN w:val="0"/>
        <w:spacing w:after="120" w:line="276" w:lineRule="auto"/>
        <w:jc w:val="both"/>
        <w:rPr>
          <w:rFonts w:ascii="Verdana" w:hAnsi="Verdana" w:cs="Arial"/>
          <w:shd w:val="clear" w:color="auto" w:fill="FFFFFF"/>
          <w:lang w:val="es-ES"/>
        </w:rPr>
      </w:pPr>
      <w:r>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Pr>
          <w:rFonts w:ascii="Verdana" w:hAnsi="Verdana" w:cs="Arial"/>
          <w:shd w:val="clear" w:color="auto" w:fill="FFFFFF"/>
          <w:lang w:val="es-ES"/>
        </w:rPr>
        <w:t xml:space="preserve">, C-484 del 2025, C-891 del 20 de diciembre del 2024, C-714 del 04 de julio del 2025, C-844 del 06 de agosto del 2025, C-1130 del 17 de septiembre del 2025, C-1585 del 03 de diciembre del 2025, C-1620 del 9 de diciembre de 2025 y C-1766 del 22 de diciembre de 2025. </w:t>
      </w:r>
      <w:r w:rsidRPr="00C55BDE">
        <w:rPr>
          <w:rFonts w:ascii="Verdana" w:hAnsi="Verdana" w:cs="Arial"/>
          <w:shd w:val="clear" w:color="auto" w:fill="FFFFFF"/>
          <w:lang w:val="es-ES_tradnl"/>
        </w:rPr>
        <w:t xml:space="preserve">Estos conceptos se encuentran disponibles para consulta en el Sistema de relatoría de </w:t>
      </w:r>
      <w:r w:rsidRPr="00C55BDE">
        <w:rPr>
          <w:rFonts w:ascii="Verdana" w:hAnsi="Verdana" w:cs="Arial"/>
          <w:shd w:val="clear" w:color="auto" w:fill="FFFFFF"/>
          <w:lang w:val="es-ES_tradnl"/>
        </w:rPr>
        <w:lastRenderedPageBreak/>
        <w:t xml:space="preserve">la Agencia, al cual puede accederse a través del siguiente enlace: </w:t>
      </w:r>
      <w:hyperlink r:id="rId15" w:history="1">
        <w:r w:rsidRPr="00C55BDE">
          <w:rPr>
            <w:rFonts w:ascii="Verdana" w:hAnsi="Verdana" w:cs="Arial"/>
            <w:color w:val="0000FF"/>
            <w:u w:val="single"/>
            <w:shd w:val="clear" w:color="auto" w:fill="FFFFFF"/>
            <w:lang w:val="es-ES_tradnl"/>
          </w:rPr>
          <w:t>https://relatoria.colombiacompra.gov.co/busqueda/conceptos</w:t>
        </w:r>
      </w:hyperlink>
      <w:r w:rsidRPr="00C55BDE">
        <w:rPr>
          <w:rFonts w:ascii="Verdana" w:hAnsi="Verdana" w:cs="Arial"/>
          <w:shd w:val="clear" w:color="auto" w:fill="FFFFFF"/>
          <w:lang w:val="es-ES_tradnl"/>
        </w:rPr>
        <w:t xml:space="preserve">. </w:t>
      </w:r>
      <w:r w:rsidRPr="00C55BDE">
        <w:rPr>
          <w:rFonts w:ascii="Verdana" w:hAnsi="Verdana" w:cs="Arial"/>
          <w:color w:val="FF0000"/>
          <w:shd w:val="clear" w:color="auto" w:fill="FFFFFF"/>
          <w:lang w:val="es-ES_tradnl"/>
        </w:rPr>
        <w:t xml:space="preserve"> </w:t>
      </w:r>
    </w:p>
    <w:p w14:paraId="75DF0B83" w14:textId="77777777" w:rsidR="00867916" w:rsidRPr="00C55BDE" w:rsidRDefault="00867916" w:rsidP="00867916">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08C98BD1" w14:textId="77777777" w:rsidR="00867916" w:rsidRPr="00C55BDE" w:rsidRDefault="00867916" w:rsidP="00867916">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70581B4" w14:textId="77777777" w:rsidR="00867916" w:rsidRPr="00C55BDE" w:rsidRDefault="00867916" w:rsidP="00867916">
      <w:pPr>
        <w:spacing w:after="0"/>
        <w:jc w:val="both"/>
        <w:rPr>
          <w:rFonts w:ascii="Verdana" w:hAnsi="Verdana"/>
        </w:rPr>
      </w:pPr>
    </w:p>
    <w:p w14:paraId="694DB9BE" w14:textId="77777777" w:rsidR="00867916" w:rsidRPr="00C55BDE" w:rsidRDefault="00867916" w:rsidP="00867916">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65DBA8AE" w14:textId="77777777" w:rsidR="00867916" w:rsidRPr="00C55BDE" w:rsidRDefault="00867916" w:rsidP="00867916">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36E30250" w14:textId="77777777" w:rsidR="00867916" w:rsidRPr="00C55BDE" w:rsidRDefault="00867916" w:rsidP="00867916">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7" w:history="1">
        <w:r w:rsidRPr="00C55BDE">
          <w:rPr>
            <w:rFonts w:ascii="Verdana" w:eastAsia="Verdana" w:hAnsi="Verdana" w:cs="Verdana"/>
            <w:color w:val="0000FF"/>
            <w:u w:val="single"/>
            <w:lang w:val="es-MX"/>
          </w:rPr>
          <w:t>ventanilladeradicacion@colombiacompra.gov.co</w:t>
        </w:r>
      </w:hyperlink>
    </w:p>
    <w:p w14:paraId="3DDC8E81" w14:textId="77777777" w:rsidR="00867916" w:rsidRPr="00C55BDE" w:rsidRDefault="00867916" w:rsidP="00867916">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8" w:history="1">
        <w:r w:rsidRPr="00C55BDE">
          <w:rPr>
            <w:rFonts w:ascii="Verdana" w:eastAsia="Verdana" w:hAnsi="Verdana" w:cs="Verdana"/>
            <w:color w:val="0000FF"/>
            <w:u w:val="single"/>
            <w:lang w:val="es-MX"/>
          </w:rPr>
          <w:t>https://www.colombiacompra.gov.co/pqrsd/informacion-importante-antes-de-formular-una-pqrsd</w:t>
        </w:r>
      </w:hyperlink>
    </w:p>
    <w:p w14:paraId="5153C3BA" w14:textId="77777777" w:rsidR="00867916" w:rsidRPr="00C55BDE" w:rsidRDefault="00867916" w:rsidP="00867916">
      <w:pPr>
        <w:spacing w:after="0" w:line="240" w:lineRule="auto"/>
        <w:ind w:left="720"/>
        <w:jc w:val="both"/>
        <w:rPr>
          <w:rFonts w:ascii="Verdana" w:hAnsi="Verdana"/>
        </w:rPr>
      </w:pPr>
    </w:p>
    <w:p w14:paraId="1588A0BF" w14:textId="77777777" w:rsidR="00867916" w:rsidRPr="00C55BDE" w:rsidRDefault="00867916" w:rsidP="00867916">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9"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358B81A0" w14:textId="77777777" w:rsidR="00867916" w:rsidRPr="00C55BDE" w:rsidRDefault="00867916" w:rsidP="00867916">
      <w:pPr>
        <w:spacing w:after="0" w:line="240" w:lineRule="auto"/>
        <w:rPr>
          <w:rFonts w:ascii="Verdana" w:hAnsi="Verdana"/>
        </w:rPr>
      </w:pPr>
    </w:p>
    <w:p w14:paraId="43F8A07B" w14:textId="77777777" w:rsidR="00867916" w:rsidRPr="00C55BDE" w:rsidRDefault="00867916" w:rsidP="00867916">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343161DB" w14:textId="77777777" w:rsidR="00867916" w:rsidRPr="00C55BDE" w:rsidRDefault="00867916" w:rsidP="00867916">
      <w:pPr>
        <w:spacing w:after="0" w:line="240" w:lineRule="auto"/>
        <w:jc w:val="both"/>
        <w:rPr>
          <w:rFonts w:ascii="Verdana" w:hAnsi="Verdana"/>
        </w:rPr>
      </w:pPr>
    </w:p>
    <w:p w14:paraId="6583D9DC" w14:textId="77777777" w:rsidR="00867916" w:rsidRPr="00C55BDE" w:rsidRDefault="00867916" w:rsidP="00867916">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0E49BBD2" w14:textId="77777777" w:rsidR="00867916" w:rsidRPr="00C55BDE" w:rsidRDefault="00867916" w:rsidP="00867916">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3DB7142C" w14:textId="77777777" w:rsidR="00867916" w:rsidRPr="00C55BDE" w:rsidRDefault="00867916" w:rsidP="00867916">
      <w:pPr>
        <w:spacing w:after="0" w:line="240" w:lineRule="auto"/>
        <w:jc w:val="both"/>
        <w:rPr>
          <w:rFonts w:ascii="Verdana" w:hAnsi="Verdana"/>
        </w:rPr>
      </w:pPr>
      <w:r w:rsidRPr="00C55BDE">
        <w:rPr>
          <w:rFonts w:ascii="Verdana" w:hAnsi="Verdana"/>
        </w:rPr>
        <w:lastRenderedPageBreak/>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338DAE42" w14:textId="77777777" w:rsidR="00867916" w:rsidRPr="00C55BDE" w:rsidRDefault="00867916" w:rsidP="00867916">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5D62DE62" w14:textId="77777777" w:rsidR="00867916" w:rsidRPr="00C55BDE" w:rsidRDefault="00867916" w:rsidP="00867916">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4FA4F96" w14:textId="77777777" w:rsidR="00867916" w:rsidRPr="00C55BDE" w:rsidRDefault="00867916" w:rsidP="00867916">
      <w:pPr>
        <w:widowControl w:val="0"/>
        <w:autoSpaceDE w:val="0"/>
        <w:autoSpaceDN w:val="0"/>
        <w:spacing w:after="0" w:line="276" w:lineRule="auto"/>
        <w:jc w:val="both"/>
        <w:rPr>
          <w:rFonts w:ascii="Verdana" w:hAnsi="Verdana" w:cs="Arial"/>
          <w:lang w:val="es-ES_tradnl"/>
        </w:rPr>
      </w:pPr>
    </w:p>
    <w:p w14:paraId="01CBFC3F" w14:textId="77777777" w:rsidR="00867916" w:rsidRPr="00C55BDE" w:rsidRDefault="00867916" w:rsidP="00867916">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0998ACB2" w14:textId="051315DD" w:rsidR="00867916" w:rsidRDefault="00281EC5" w:rsidP="00867916">
      <w:pPr>
        <w:spacing w:line="276" w:lineRule="auto"/>
        <w:jc w:val="center"/>
        <w:rPr>
          <w:rFonts w:ascii="Verdana" w:eastAsia="Calibri" w:hAnsi="Verdana" w:cs="Arial"/>
          <w:color w:val="000000"/>
          <w:lang w:val="es-ES_tradnl" w:eastAsia="es-CO"/>
        </w:rPr>
      </w:pPr>
      <w:r>
        <w:rPr>
          <w:noProof/>
        </w:rPr>
        <w:drawing>
          <wp:inline distT="0" distB="0" distL="0" distR="0" wp14:anchorId="483A759C" wp14:editId="05BEAF9A">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360420" cy="113538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867916" w14:paraId="42EF97CA" w14:textId="77777777" w:rsidTr="00275565">
        <w:trPr>
          <w:trHeight w:val="315"/>
        </w:trPr>
        <w:tc>
          <w:tcPr>
            <w:tcW w:w="893" w:type="dxa"/>
            <w:vAlign w:val="center"/>
            <w:hideMark/>
          </w:tcPr>
          <w:p w14:paraId="4125D7CC" w14:textId="77777777" w:rsidR="00867916" w:rsidRDefault="00867916" w:rsidP="00275565">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3D4813E" w14:textId="77777777" w:rsidR="00867916" w:rsidRDefault="00867916" w:rsidP="00275565">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6A6F17C4" w14:textId="77777777" w:rsidR="00867916" w:rsidRDefault="00867916" w:rsidP="00275565">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867916" w14:paraId="04C98914" w14:textId="77777777" w:rsidTr="00275565">
        <w:trPr>
          <w:trHeight w:val="330"/>
        </w:trPr>
        <w:tc>
          <w:tcPr>
            <w:tcW w:w="893" w:type="dxa"/>
            <w:vAlign w:val="center"/>
            <w:hideMark/>
          </w:tcPr>
          <w:p w14:paraId="7C9EF533" w14:textId="77777777" w:rsidR="00867916" w:rsidRDefault="00867916" w:rsidP="00275565">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931970A" w14:textId="77777777" w:rsidR="00867916" w:rsidRDefault="00867916" w:rsidP="00275565">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7E7C6206" w14:textId="77777777" w:rsidR="00867916" w:rsidRDefault="00867916" w:rsidP="00275565">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867916" w14:paraId="0CEB73B7" w14:textId="77777777" w:rsidTr="00275565">
        <w:trPr>
          <w:trHeight w:val="300"/>
        </w:trPr>
        <w:tc>
          <w:tcPr>
            <w:tcW w:w="893" w:type="dxa"/>
            <w:vAlign w:val="center"/>
            <w:hideMark/>
          </w:tcPr>
          <w:p w14:paraId="429C7259" w14:textId="77777777" w:rsidR="00867916" w:rsidRDefault="00867916" w:rsidP="00275565">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DB8F03" w14:textId="77777777" w:rsidR="00867916" w:rsidRDefault="00867916" w:rsidP="00275565">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300A0EED" w14:textId="77777777" w:rsidR="00867916" w:rsidRDefault="00867916" w:rsidP="00275565">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3FC2F03F" w14:textId="77777777" w:rsidR="00867916" w:rsidRDefault="00867916" w:rsidP="00867916">
      <w:pPr>
        <w:spacing w:after="0" w:line="240" w:lineRule="auto"/>
        <w:rPr>
          <w:rFonts w:ascii="Verdana" w:eastAsia="Times New Roman" w:hAnsi="Verdana" w:cs="Arial"/>
          <w:sz w:val="24"/>
          <w:szCs w:val="24"/>
          <w:lang w:eastAsia="es-ES"/>
        </w:rPr>
      </w:pPr>
    </w:p>
    <w:p w14:paraId="348786A4" w14:textId="77777777" w:rsidR="00867916" w:rsidRDefault="00867916" w:rsidP="00867916"/>
    <w:p w14:paraId="4E450EAE" w14:textId="77777777" w:rsidR="00867916" w:rsidRDefault="00867916" w:rsidP="00867916">
      <w:pPr>
        <w:spacing w:after="0" w:line="240" w:lineRule="auto"/>
        <w:rPr>
          <w:rFonts w:ascii="Verdana" w:eastAsia="Calibri" w:hAnsi="Verdana" w:cs="Arial"/>
          <w:b/>
          <w:bCs/>
          <w:lang w:val="es-ES" w:eastAsia="es-ES"/>
        </w:rPr>
      </w:pPr>
    </w:p>
    <w:p w14:paraId="4A50FF87" w14:textId="77777777" w:rsidR="00867916" w:rsidRDefault="00867916" w:rsidP="00867916"/>
    <w:p w14:paraId="2067C17A" w14:textId="77777777" w:rsidR="00867916" w:rsidRPr="00C55BDE" w:rsidRDefault="00867916" w:rsidP="00867916">
      <w:pPr>
        <w:spacing w:after="0"/>
        <w:rPr>
          <w:rFonts w:ascii="Verdana" w:eastAsia="Times New Roman" w:hAnsi="Verdana" w:cs="Segoe UI"/>
          <w:lang w:val="es-ES" w:eastAsia="es-CO"/>
        </w:rPr>
      </w:pPr>
    </w:p>
    <w:p w14:paraId="47761A38" w14:textId="77777777" w:rsidR="00867916" w:rsidRPr="00B8352B" w:rsidRDefault="00867916" w:rsidP="00867916"/>
    <w:p w14:paraId="18D8B954" w14:textId="77777777" w:rsidR="00867916" w:rsidRPr="00C55BDE" w:rsidRDefault="00867916" w:rsidP="00867916">
      <w:pPr>
        <w:spacing w:after="0"/>
        <w:rPr>
          <w:rFonts w:ascii="Verdana" w:hAnsi="Verdana"/>
        </w:rPr>
      </w:pPr>
    </w:p>
    <w:p w14:paraId="4D4A7CF8" w14:textId="77777777" w:rsidR="00867916" w:rsidRPr="005C5339" w:rsidRDefault="00867916" w:rsidP="00867916"/>
    <w:bookmarkEnd w:id="0"/>
    <w:p w14:paraId="4E39E2E7" w14:textId="77777777" w:rsidR="00F80590" w:rsidRDefault="00F80590" w:rsidP="00C15139">
      <w:pPr>
        <w:spacing w:after="0"/>
        <w:rPr>
          <w:rFonts w:ascii="Verdana" w:hAnsi="Verdana"/>
        </w:rPr>
      </w:pPr>
    </w:p>
    <w:sectPr w:rsidR="00F8059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E4836" w14:textId="77777777" w:rsidR="00A17736" w:rsidRDefault="00A17736" w:rsidP="004A1847">
      <w:pPr>
        <w:spacing w:after="0" w:line="240" w:lineRule="auto"/>
      </w:pPr>
      <w:r>
        <w:separator/>
      </w:r>
    </w:p>
  </w:endnote>
  <w:endnote w:type="continuationSeparator" w:id="0">
    <w:p w14:paraId="37A8C43E" w14:textId="77777777" w:rsidR="00A17736" w:rsidRDefault="00A177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A0E90" w14:textId="77777777" w:rsidR="00A17736" w:rsidRDefault="00A17736" w:rsidP="004A1847">
      <w:pPr>
        <w:spacing w:after="0" w:line="240" w:lineRule="auto"/>
      </w:pPr>
      <w:r>
        <w:separator/>
      </w:r>
    </w:p>
  </w:footnote>
  <w:footnote w:type="continuationSeparator" w:id="0">
    <w:p w14:paraId="5F2AEF92" w14:textId="77777777" w:rsidR="00A17736" w:rsidRDefault="00A17736" w:rsidP="004A1847">
      <w:pPr>
        <w:spacing w:after="0" w:line="240" w:lineRule="auto"/>
      </w:pPr>
      <w:r>
        <w:continuationSeparator/>
      </w:r>
    </w:p>
  </w:footnote>
  <w:footnote w:id="1">
    <w:p w14:paraId="4625B116" w14:textId="77777777" w:rsidR="00867916" w:rsidRPr="008E2892" w:rsidRDefault="00867916" w:rsidP="00867916">
      <w:pPr>
        <w:pStyle w:val="Textonotapie"/>
        <w:ind w:firstLine="709"/>
        <w:jc w:val="both"/>
        <w:rPr>
          <w:rFonts w:ascii="Verdana" w:eastAsia="Calibri"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w:t>
      </w:r>
      <w:r w:rsidRPr="008E2892">
        <w:rPr>
          <w:rFonts w:ascii="Verdana" w:eastAsia="Calibri" w:hAnsi="Verdana" w:cs="Arial"/>
          <w:sz w:val="16"/>
          <w:szCs w:val="16"/>
        </w:rPr>
        <w:t>Constitución Política: “Artículo 93. Los tratados y convenios internacionales ratificados por el Congreso, que reconocen los derechos humanos y que prohíben su limitación en los estados de excepción, prevalecen en el orden interno.</w:t>
      </w:r>
    </w:p>
    <w:p w14:paraId="2F07771A" w14:textId="77777777" w:rsidR="00867916" w:rsidRPr="008E2892" w:rsidRDefault="00867916" w:rsidP="00867916">
      <w:pPr>
        <w:spacing w:after="0" w:line="240" w:lineRule="auto"/>
        <w:ind w:firstLine="708"/>
        <w:jc w:val="both"/>
        <w:rPr>
          <w:rFonts w:ascii="Verdana" w:eastAsia="Times New Roman" w:hAnsi="Verdana" w:cs="Arial"/>
          <w:sz w:val="16"/>
          <w:szCs w:val="16"/>
        </w:rPr>
      </w:pPr>
      <w:r w:rsidRPr="008E2892">
        <w:rPr>
          <w:rFonts w:ascii="Verdana" w:hAnsi="Verdana" w:cs="Arial"/>
          <w:sz w:val="16"/>
          <w:szCs w:val="16"/>
        </w:rPr>
        <w:t>“Los derechos y deberes consagrados en esta Carta se interpretarán de conformidad con los tratados internacionales sobre derechos humanos ratificados por Colombia [...]”.</w:t>
      </w:r>
    </w:p>
  </w:footnote>
  <w:footnote w:id="2">
    <w:p w14:paraId="4C70FFAE" w14:textId="77777777" w:rsidR="00867916" w:rsidRPr="008E2892" w:rsidRDefault="00867916" w:rsidP="00867916">
      <w:pPr>
        <w:pStyle w:val="Textonotapie"/>
        <w:ind w:firstLine="708"/>
        <w:jc w:val="both"/>
        <w:rPr>
          <w:rFonts w:ascii="Verdana" w:hAnsi="Verdana"/>
          <w:sz w:val="16"/>
          <w:szCs w:val="16"/>
        </w:rPr>
      </w:pPr>
      <w:r w:rsidRPr="008E2892">
        <w:rPr>
          <w:rStyle w:val="Refdenotaalpie"/>
          <w:rFonts w:ascii="Verdana" w:hAnsi="Verdana"/>
          <w:sz w:val="16"/>
          <w:szCs w:val="16"/>
        </w:rPr>
        <w:footnoteRef/>
      </w:r>
      <w:r w:rsidRPr="008E2892">
        <w:rPr>
          <w:rFonts w:ascii="Verdana" w:hAnsi="Verdana"/>
          <w:sz w:val="16"/>
          <w:szCs w:val="16"/>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260D8AE2" w14:textId="77777777" w:rsidR="00867916" w:rsidRPr="008E2892" w:rsidRDefault="00867916" w:rsidP="00867916">
      <w:pPr>
        <w:pStyle w:val="Textonotapie"/>
        <w:ind w:firstLine="708"/>
        <w:jc w:val="both"/>
        <w:rPr>
          <w:rFonts w:ascii="Verdana" w:hAnsi="Verdana"/>
          <w:sz w:val="16"/>
          <w:szCs w:val="16"/>
          <w:lang w:val="es-ES"/>
        </w:rPr>
      </w:pPr>
      <w:r w:rsidRPr="008E2892">
        <w:rPr>
          <w:rFonts w:ascii="Verdana" w:hAnsi="Verdana"/>
          <w:sz w:val="16"/>
          <w:szCs w:val="16"/>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7095BD51" w14:textId="77777777" w:rsidR="00867916" w:rsidRPr="008E2892" w:rsidRDefault="00867916" w:rsidP="00867916">
      <w:pPr>
        <w:pStyle w:val="Textonotapie"/>
        <w:ind w:firstLine="708"/>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Decreto 252 de 2020: “Articulo 1. Adiciónese al artículo 10 del Decreto 1088 de 1993, el siguiente parágrafo:</w:t>
      </w:r>
    </w:p>
    <w:p w14:paraId="3B8CB5A0"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“Artículo 10. Naturaleza de los actos y contratos.</w:t>
      </w:r>
    </w:p>
    <w:p w14:paraId="202095DE"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w:t>
      </w:r>
    </w:p>
    <w:p w14:paraId="1D2217DA"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 xml:space="preserve">“Parágrafo. Además de las anteriores asociaciones, las organizaciones indígenas, también podrán celebrar contratos o convenios de manera directa con las entidades estatales de acuerdo con lo contemplado en el presente artículo y en el Estatuto General de Contratación de la Administración Pública, siempre y cuando estén conformadas exclusivamente por cabildos indígenas, resguardos indígenas, asociaciones de cabildos, asociación de autoridades u otra forma de autoridad indígena propia. </w:t>
      </w:r>
    </w:p>
    <w:p w14:paraId="3FF9D47F"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 xml:space="preserve">“Para la ejecución contractual, la entidad estatal deberá exigir la constitución de una garantía única que consistirá en una póliza de seguros que cubrirá suficientemente los riesgos del contrato o convenio. </w:t>
      </w:r>
    </w:p>
    <w:p w14:paraId="6E59DEDB"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“La entidad estatal podrá terminar unilateralmente el contrato o convenio en caso de incumplimiento de las obligaciones a cargo de la organización indígena.</w:t>
      </w:r>
    </w:p>
    <w:p w14:paraId="08C765C8" w14:textId="77777777" w:rsidR="00867916" w:rsidRPr="008E2892" w:rsidRDefault="00867916" w:rsidP="00867916">
      <w:pPr>
        <w:pStyle w:val="Textonotapie"/>
        <w:ind w:firstLine="708"/>
        <w:jc w:val="both"/>
        <w:rPr>
          <w:rFonts w:ascii="Verdana" w:hAnsi="Verdana" w:cs="Arial"/>
          <w:sz w:val="16"/>
          <w:szCs w:val="16"/>
          <w:lang w:val="es-ES"/>
        </w:rPr>
      </w:pPr>
      <w:r w:rsidRPr="008E2892">
        <w:rPr>
          <w:rFonts w:ascii="Verdana" w:hAnsi="Verdana" w:cs="Arial"/>
          <w:sz w:val="16"/>
          <w:szCs w:val="16"/>
        </w:rPr>
        <w:t>“En estos convenios se tendrá como aporte de las organizaciones indígenas el conocimiento ancestral”.</w:t>
      </w:r>
    </w:p>
  </w:footnote>
  <w:footnote w:id="4">
    <w:p w14:paraId="6498649F" w14:textId="77777777" w:rsidR="00867916" w:rsidRPr="008E2892" w:rsidRDefault="00867916" w:rsidP="00867916">
      <w:pPr>
        <w:pStyle w:val="Textonotapie"/>
        <w:ind w:firstLine="709"/>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Así lo dejan entrever los considerandos del Decreto 252 de 2020, de los que se destacan los siguientes: “Que de acuerdo con los preceptos constitucionales, las comunidades indígenas son sujetos de especial protección constitucional, con condiciones sociales, culturales y económicas que los distinguen de otros sectores de la colectividad nacional, para lo cual, el Estado colombiano reconoce en los escenarios de participación y representación las diferentes formas organizativas que integran las mencionadas comunidades en el marco de su autonomía […]</w:t>
      </w:r>
    </w:p>
    <w:p w14:paraId="45592617"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cs="Arial"/>
          <w:sz w:val="16"/>
          <w:szCs w:val="16"/>
        </w:rPr>
        <w:t>“Que de acuerdo con lo establecido en la Ley 21 de 1991, aprobatoria del Convenio 169 de 1989 de la OIT, los gobiernos deben desarrollar, con la participación de los pueblos interesados, una acción coordinada y sistemática con miras a proteger los derechos de los pueblos indígenas, garantizar el respeto de su integridad, para cuyo efecto, se deben adoptar medidas que aseguren a los miembros de tales pueblos gozar, en pie de igualdad, de los derechos y oportunidades que la legislación nacional otorga a los demás miembros de la población; respetando su identidad social y cultural, sus costumbres y tradiciones, y sus instituciones, propendiendo por la eliminación de diferencias sociales  […]</w:t>
      </w:r>
    </w:p>
    <w:p w14:paraId="081723A4"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cs="Arial"/>
          <w:sz w:val="16"/>
          <w:szCs w:val="16"/>
        </w:rPr>
        <w:t xml:space="preserve"> “</w:t>
      </w:r>
      <w:proofErr w:type="gramStart"/>
      <w:r w:rsidRPr="008E2892">
        <w:rPr>
          <w:rFonts w:ascii="Verdana" w:hAnsi="Verdana" w:cs="Arial"/>
          <w:sz w:val="16"/>
          <w:szCs w:val="16"/>
        </w:rPr>
        <w:t>Que</w:t>
      </w:r>
      <w:proofErr w:type="gramEnd"/>
      <w:r w:rsidRPr="008E2892">
        <w:rPr>
          <w:rFonts w:ascii="Verdana" w:hAnsi="Verdana" w:cs="Arial"/>
          <w:sz w:val="16"/>
          <w:szCs w:val="16"/>
        </w:rPr>
        <w:t xml:space="preserve"> con el fin de fortalecer las organizaciones indígenas, de tal suerte que posibilite su participación y permita fortalecer su desarrollo económico, social, cultural y ambiental, se hace necesario establecer la viabilidad de suscribir convenios o contratos entre las entidades del Estado y las citadas organizaciones […]</w:t>
      </w:r>
    </w:p>
    <w:p w14:paraId="7ABEF18A"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cs="Arial"/>
          <w:sz w:val="16"/>
          <w:szCs w:val="16"/>
        </w:rPr>
        <w:t xml:space="preserve">“Que una de las formas de organizarse de las comunidades indígenas, es a través de las organizaciones legalmente constituidas, entendidas estas como los organismos que agrupan y representan a los pueblos indígenas colombianos. </w:t>
      </w:r>
    </w:p>
    <w:p w14:paraId="0A45265C"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rPr>
        <w:t>“</w:t>
      </w:r>
      <w:proofErr w:type="gramStart"/>
      <w:r w:rsidRPr="008E2892">
        <w:rPr>
          <w:rFonts w:ascii="Verdana" w:hAnsi="Verdana" w:cs="Arial"/>
          <w:sz w:val="16"/>
          <w:szCs w:val="16"/>
        </w:rPr>
        <w:t>Que</w:t>
      </w:r>
      <w:proofErr w:type="gramEnd"/>
      <w:r w:rsidRPr="008E2892">
        <w:rPr>
          <w:rFonts w:ascii="Verdana" w:hAnsi="Verdana" w:cs="Arial"/>
          <w:sz w:val="16"/>
          <w:szCs w:val="16"/>
        </w:rPr>
        <w:t xml:space="preserve"> en virtud de lo anterior, se hace necesario incorporar a las organizaciones indígenas conformadas, exclusivamente, por cabildos indígenas, resguardos indígenas, asociaciones de cabildos, asociación de autoridades y cualquier forma de autoridad indígena propia, legalmente constituidas ante la autoridad competente, </w:t>
      </w:r>
      <w:proofErr w:type="gramStart"/>
      <w:r w:rsidRPr="008E2892">
        <w:rPr>
          <w:rFonts w:ascii="Verdana" w:hAnsi="Verdana" w:cs="Arial"/>
          <w:sz w:val="16"/>
          <w:szCs w:val="16"/>
        </w:rPr>
        <w:t>de acuerdo a</w:t>
      </w:r>
      <w:proofErr w:type="gramEnd"/>
      <w:r w:rsidRPr="008E2892">
        <w:rPr>
          <w:rFonts w:ascii="Verdana" w:hAnsi="Verdana" w:cs="Arial"/>
          <w:sz w:val="16"/>
          <w:szCs w:val="16"/>
        </w:rPr>
        <w:t xml:space="preserve"> la naturaleza jurídica de la organización respectiva, con el fin de que puedan celebrar contratos o convenios de manera directa con las entidades estatales”.  </w:t>
      </w:r>
    </w:p>
  </w:footnote>
  <w:footnote w:id="5">
    <w:p w14:paraId="19DD4834" w14:textId="77777777" w:rsidR="00867916" w:rsidRPr="008E2892" w:rsidRDefault="00867916" w:rsidP="00867916">
      <w:pPr>
        <w:pStyle w:val="Textonotapie"/>
        <w:ind w:firstLine="708"/>
        <w:jc w:val="both"/>
        <w:rPr>
          <w:rFonts w:ascii="Verdana" w:hAnsi="Verdana" w:cs="Arial"/>
          <w:sz w:val="16"/>
          <w:szCs w:val="16"/>
          <w:lang w:val="es-ES"/>
        </w:rPr>
      </w:pPr>
      <w:r w:rsidRPr="008E2892">
        <w:rPr>
          <w:rStyle w:val="Refdenotaalpie"/>
          <w:rFonts w:ascii="Verdana" w:hAnsi="Verdana" w:cs="Arial"/>
          <w:sz w:val="16"/>
          <w:szCs w:val="16"/>
        </w:rPr>
        <w:footnoteRef/>
      </w:r>
      <w:r w:rsidRPr="008E2892">
        <w:rPr>
          <w:rFonts w:ascii="Verdana" w:hAnsi="Verdana" w:cs="Arial"/>
          <w:sz w:val="16"/>
          <w:szCs w:val="16"/>
        </w:rPr>
        <w:t xml:space="preserve"> </w:t>
      </w:r>
      <w:r w:rsidRPr="008E2892">
        <w:rPr>
          <w:rFonts w:ascii="Verdana" w:hAnsi="Verdana" w:cs="Arial"/>
          <w:sz w:val="16"/>
          <w:szCs w:val="16"/>
          <w:lang w:val="es-ES"/>
        </w:rPr>
        <w:t>Al respecto, la exposición de motivos expresó que: “</w:t>
      </w:r>
      <w:r w:rsidRPr="008E2892">
        <w:rPr>
          <w:rFonts w:ascii="Verdana" w:hAnsi="Verdana" w:cs="Arial"/>
          <w:sz w:val="16"/>
          <w:szCs w:val="16"/>
          <w:lang w:val="es-CO"/>
        </w:rPr>
        <w:t>La iniciativa presentada consiste en conceder capacidad jurídica a los cabildos indígenas para poder contratar directamente con las entidades del Estado, tanto en lo contemplado en la Ley 80 de 1993, como en la Ley 1150 de 2007. Sea lo primero mencionar que, el proyecto de ley se justifica en el análisis normativo realizado de las Leyes 80 de 1993 y 1150 de 2007, las cuales no incluyen disposiciones que otorguen capacidad jurídica a los cabildos indígenas para celebrar negocios con las entidades del Estado, como tampoco se evidencian causales de contratación directa que permita celebrar directamente negocios jurídicos con los cabildos.</w:t>
      </w:r>
    </w:p>
    <w:p w14:paraId="5927AFE2" w14:textId="77777777" w:rsidR="00867916" w:rsidRPr="008E2892" w:rsidRDefault="00867916" w:rsidP="00867916">
      <w:pPr>
        <w:pStyle w:val="Textonotapie"/>
        <w:ind w:firstLine="708"/>
        <w:jc w:val="both"/>
        <w:rPr>
          <w:rFonts w:ascii="Verdana" w:hAnsi="Verdana" w:cs="Arial"/>
          <w:sz w:val="16"/>
          <w:szCs w:val="16"/>
          <w:lang w:val="es-ES"/>
        </w:rPr>
      </w:pPr>
      <w:r w:rsidRPr="008E2892">
        <w:rPr>
          <w:rFonts w:ascii="Verdana" w:hAnsi="Verdana" w:cs="Arial"/>
          <w:sz w:val="16"/>
          <w:szCs w:val="16"/>
          <w:lang w:val="es-ES"/>
        </w:rPr>
        <w:t>[…]</w:t>
      </w:r>
    </w:p>
    <w:p w14:paraId="62934565"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lang w:val="es-CO"/>
        </w:rPr>
        <w:t xml:space="preserve">“Bajo este panorama, las comunidades indígenas se han visto gravemente afectadas pues las entidades del Estado han expresado que no existen alternativas jurídicas que permitan la celebración de contratos o convenios con cabildos, ni una causal de contratación directa que habilite eficazmente el desarrollo de programas o inversión de recurso en beneficio de las comunidades indígenas como sujetos de especial protección. Lo anterior, ha ocasionado que las comunidades indígenas en múltiples ocasiones hayan recurrido a las vías de hecho para promover la garantía y materialización de sus derechos. En virtud de lo anterior, es necesario crear una disposición que otorgue plena capacidad Jurídica a los cabildos indígenas y autorice a las entidades del Estado la suscripción de Negocios jurídicos directamente con esta forma de gobierno indígena”. </w:t>
      </w:r>
      <w:r w:rsidRPr="008E2892">
        <w:rPr>
          <w:rFonts w:ascii="Verdana" w:hAnsi="Verdana" w:cs="Arial"/>
          <w:sz w:val="16"/>
          <w:szCs w:val="16"/>
        </w:rPr>
        <w:t xml:space="preserve">CONGRESO DE LA REPÚBLICA. Informe de ponencia para primer debate en comisiones primeras conjuntas de Senado y Cámara. Proyecto de ley número 418 de 2021 del Senado, 485 de 2020 cámara, por medio del cual se modifica la Ley 80 de 1993 y la Ley 1150 de 2007. </w:t>
      </w:r>
    </w:p>
  </w:footnote>
  <w:footnote w:id="6">
    <w:p w14:paraId="46DA1ACB" w14:textId="77777777" w:rsidR="00867916" w:rsidRPr="008E2892" w:rsidRDefault="00867916" w:rsidP="00867916">
      <w:pPr>
        <w:pStyle w:val="Textonotapie"/>
        <w:ind w:firstLine="708"/>
        <w:jc w:val="both"/>
        <w:rPr>
          <w:rFonts w:ascii="Verdana" w:hAnsi="Verdana" w:cs="Arial"/>
          <w:sz w:val="16"/>
          <w:szCs w:val="16"/>
          <w:lang w:val="es-ES"/>
        </w:rPr>
      </w:pPr>
      <w:r w:rsidRPr="008E2892">
        <w:rPr>
          <w:rStyle w:val="Refdenotaalpie"/>
          <w:rFonts w:ascii="Verdana" w:hAnsi="Verdana" w:cs="Arial"/>
          <w:sz w:val="16"/>
          <w:szCs w:val="16"/>
        </w:rPr>
        <w:footnoteRef/>
      </w:r>
      <w:r w:rsidRPr="008E2892">
        <w:rPr>
          <w:rFonts w:ascii="Verdana" w:hAnsi="Verdana" w:cs="Arial"/>
          <w:sz w:val="16"/>
          <w:szCs w:val="16"/>
        </w:rPr>
        <w:t xml:space="preserve"> </w:t>
      </w:r>
      <w:r w:rsidRPr="008E2892">
        <w:rPr>
          <w:rFonts w:ascii="Verdana" w:hAnsi="Verdana" w:cs="Arial"/>
          <w:sz w:val="16"/>
          <w:szCs w:val="16"/>
          <w:lang w:val="es-ES"/>
        </w:rPr>
        <w:t>Al respecto, la exposición de motivos expresó que: “</w:t>
      </w:r>
      <w:r w:rsidRPr="008E2892">
        <w:rPr>
          <w:rFonts w:ascii="Verdana" w:hAnsi="Verdana" w:cs="Arial"/>
          <w:sz w:val="16"/>
          <w:szCs w:val="16"/>
          <w:lang w:val="es-CO"/>
        </w:rPr>
        <w:t>La iniciativa presentada consiste en conceder capacidad jurídica a los cabildos indígenas para poder contratar directamente con las entidades del Estado, tanto en lo contemplado en la Ley 80 de 1993, como en la Ley 1150 de 2007. Sea lo primero mencionar que, el proyecto de ley se justifica en el análisis normativo realizado de las Leyes 80 de 1993 y 1150 de 2007, las cuales no incluyen disposiciones que otorguen capacidad jurídica a los cabildos indígenas para celebrar negocios con las entidades del Estado, como tampoco se evidencian causales de contratación directa que permita celebrar directamente negocios jurídicos con los cabildos.</w:t>
      </w:r>
    </w:p>
    <w:p w14:paraId="3842B530" w14:textId="77777777" w:rsidR="00867916" w:rsidRPr="008E2892" w:rsidRDefault="00867916" w:rsidP="00867916">
      <w:pPr>
        <w:pStyle w:val="Textonotapie"/>
        <w:ind w:firstLine="708"/>
        <w:jc w:val="both"/>
        <w:rPr>
          <w:rFonts w:ascii="Verdana" w:hAnsi="Verdana" w:cs="Arial"/>
          <w:sz w:val="16"/>
          <w:szCs w:val="16"/>
          <w:lang w:val="es-ES"/>
        </w:rPr>
      </w:pPr>
      <w:r w:rsidRPr="008E2892">
        <w:rPr>
          <w:rFonts w:ascii="Verdana" w:hAnsi="Verdana" w:cs="Arial"/>
          <w:sz w:val="16"/>
          <w:szCs w:val="16"/>
          <w:lang w:val="es-ES"/>
        </w:rPr>
        <w:t>[…]</w:t>
      </w:r>
    </w:p>
    <w:p w14:paraId="722DCB4D" w14:textId="77777777" w:rsidR="00867916" w:rsidRPr="008E2892" w:rsidRDefault="00867916" w:rsidP="00867916">
      <w:pPr>
        <w:pStyle w:val="Textonotapie"/>
        <w:ind w:firstLine="708"/>
        <w:jc w:val="both"/>
        <w:rPr>
          <w:rFonts w:ascii="Verdana" w:hAnsi="Verdana" w:cs="Arial"/>
          <w:sz w:val="16"/>
          <w:szCs w:val="16"/>
        </w:rPr>
      </w:pPr>
      <w:r w:rsidRPr="008E2892">
        <w:rPr>
          <w:rFonts w:ascii="Verdana" w:hAnsi="Verdana" w:cs="Arial"/>
          <w:sz w:val="16"/>
          <w:szCs w:val="16"/>
          <w:lang w:val="es-CO"/>
        </w:rPr>
        <w:t xml:space="preserve">“Bajo este panorama, las comunidades indígenas se han visto gravemente afectadas pues las entidades del Estado han expresado que no existen alternativas jurídicas que permitan la celebración de contratos o convenios con cabildos, ni una causal de contratación directa que habilite eficazmente el desarrollo de programas o inversión de recurso en beneficio de las comunidades indígenas como sujetos de especial protección. Lo anterior, ha ocasionado que las comunidades indígenas en múltiples ocasiones hayan recurrido a las vías de hecho para promover la garantía y materialización de sus derechos. En virtud de lo anterior, es necesario crear una disposición que otorgue plena capacidad Jurídica a los cabildos indígenas y autorice a las entidades del Estado la suscripción de Negocios jurídicos directamente con esta forma de gobierno indígena”. </w:t>
      </w:r>
      <w:r w:rsidRPr="008E2892">
        <w:rPr>
          <w:rFonts w:ascii="Verdana" w:hAnsi="Verdana" w:cs="Arial"/>
          <w:sz w:val="16"/>
          <w:szCs w:val="16"/>
        </w:rPr>
        <w:t xml:space="preserve">CONGRESO DE LA REPÚBLICA. Informe de ponencia para primer debate en comisiones primeras conjuntas de Senado y Cámara. Proyecto de ley número 418 de 2021 del Senado, 485 de 2020 cámara, por medio del cual se modifica la Ley 80 de 1993 y la Ley 1150 de 2007. </w:t>
      </w:r>
    </w:p>
  </w:footnote>
  <w:footnote w:id="7">
    <w:p w14:paraId="61DD3325" w14:textId="77777777" w:rsidR="00867916" w:rsidRPr="008E2892" w:rsidRDefault="00867916" w:rsidP="00867916">
      <w:pPr>
        <w:pStyle w:val="Textonotapie"/>
        <w:ind w:firstLine="709"/>
        <w:jc w:val="both"/>
        <w:rPr>
          <w:rFonts w:ascii="Verdana" w:hAnsi="Verdana" w:cs="Arial"/>
          <w:sz w:val="16"/>
          <w:szCs w:val="16"/>
          <w:lang w:val="es-ES"/>
        </w:rPr>
      </w:pPr>
      <w:r w:rsidRPr="008E2892">
        <w:rPr>
          <w:rStyle w:val="Refdenotaalpie"/>
          <w:rFonts w:ascii="Verdana" w:hAnsi="Verdana"/>
          <w:sz w:val="16"/>
          <w:szCs w:val="16"/>
        </w:rPr>
        <w:footnoteRef/>
      </w:r>
      <w:r w:rsidRPr="008E2892">
        <w:rPr>
          <w:rFonts w:ascii="Verdana" w:hAnsi="Verdana" w:cs="Arial"/>
          <w:sz w:val="16"/>
          <w:szCs w:val="16"/>
        </w:rPr>
        <w:t xml:space="preserve"> Ello de conformidad con </w:t>
      </w:r>
      <w:r w:rsidRPr="008E2892">
        <w:rPr>
          <w:rFonts w:ascii="Verdana" w:eastAsia="Calibri" w:hAnsi="Verdana" w:cs="Arial"/>
          <w:color w:val="000000"/>
          <w:sz w:val="16"/>
          <w:szCs w:val="16"/>
          <w:lang w:val="es-ES_tradnl"/>
        </w:rPr>
        <w:t>el numeral 8 del artículo 11 y el numeral 5 del artículo 3 del Decreto Ley 4170 de 2011.</w:t>
      </w:r>
    </w:p>
  </w:footnote>
  <w:footnote w:id="8">
    <w:p w14:paraId="7DFFFB1D" w14:textId="77777777" w:rsidR="00867916" w:rsidRPr="008E2892" w:rsidRDefault="00867916" w:rsidP="00867916">
      <w:pPr>
        <w:pStyle w:val="Textonotapie"/>
        <w:ind w:firstLine="709"/>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0517E38"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1641FC2" w14:textId="77777777" w:rsidR="00867916" w:rsidRPr="008E2892" w:rsidRDefault="00867916" w:rsidP="00867916">
      <w:pPr>
        <w:pStyle w:val="Textonotapie"/>
        <w:ind w:firstLine="709"/>
        <w:jc w:val="both"/>
        <w:rPr>
          <w:rFonts w:ascii="Verdana" w:hAnsi="Verdana" w:cs="Arial"/>
          <w:sz w:val="16"/>
          <w:szCs w:val="16"/>
        </w:rPr>
      </w:pPr>
    </w:p>
  </w:footnote>
  <w:footnote w:id="9">
    <w:p w14:paraId="69232127" w14:textId="77777777" w:rsidR="00867916" w:rsidRPr="008E2892" w:rsidRDefault="00867916" w:rsidP="00867916">
      <w:pPr>
        <w:pStyle w:val="Textonotapie"/>
        <w:ind w:firstLine="709"/>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Gaceta del Congreso de la República No. 71 del 2005.</w:t>
      </w:r>
    </w:p>
    <w:p w14:paraId="03BBC08B" w14:textId="77777777" w:rsidR="00867916" w:rsidRPr="008E2892" w:rsidRDefault="00867916" w:rsidP="00867916">
      <w:pPr>
        <w:pStyle w:val="Textonotapie"/>
        <w:ind w:firstLine="709"/>
        <w:jc w:val="both"/>
        <w:rPr>
          <w:rFonts w:ascii="Verdana" w:hAnsi="Verdana" w:cs="Arial"/>
          <w:sz w:val="16"/>
          <w:szCs w:val="16"/>
        </w:rPr>
      </w:pPr>
    </w:p>
  </w:footnote>
  <w:footnote w:id="10">
    <w:p w14:paraId="54D65323" w14:textId="77777777" w:rsidR="00867916" w:rsidRPr="008E2892" w:rsidRDefault="00867916" w:rsidP="00867916">
      <w:pPr>
        <w:pStyle w:val="Textonotapie"/>
        <w:ind w:firstLine="709"/>
        <w:jc w:val="both"/>
        <w:rPr>
          <w:rFonts w:ascii="Verdana" w:hAnsi="Verdana" w:cs="Arial"/>
          <w:sz w:val="16"/>
          <w:szCs w:val="16"/>
          <w:lang w:val="pt-BR"/>
        </w:rPr>
      </w:pPr>
      <w:r w:rsidRPr="008E2892">
        <w:rPr>
          <w:rStyle w:val="Refdenotaalpie"/>
          <w:rFonts w:ascii="Verdana" w:hAnsi="Verdana" w:cs="Arial"/>
          <w:sz w:val="16"/>
          <w:szCs w:val="16"/>
        </w:rPr>
        <w:footnoteRef/>
      </w:r>
      <w:r w:rsidRPr="008E2892">
        <w:rPr>
          <w:rFonts w:ascii="Verdana" w:hAnsi="Verdana" w:cs="Arial"/>
          <w:sz w:val="16"/>
          <w:szCs w:val="16"/>
          <w:lang w:val="pt-BR"/>
        </w:rPr>
        <w:t xml:space="preserve"> Corte Constitucional, Sentencia C- 1153 de 2005, M.P. Marco Gerardo </w:t>
      </w:r>
      <w:proofErr w:type="spellStart"/>
      <w:r w:rsidRPr="008E2892">
        <w:rPr>
          <w:rFonts w:ascii="Verdana" w:hAnsi="Verdana" w:cs="Arial"/>
          <w:sz w:val="16"/>
          <w:szCs w:val="16"/>
          <w:lang w:val="pt-BR"/>
        </w:rPr>
        <w:t>Monroy</w:t>
      </w:r>
      <w:proofErr w:type="spellEnd"/>
      <w:r w:rsidRPr="008E2892">
        <w:rPr>
          <w:rFonts w:ascii="Verdana" w:hAnsi="Verdana" w:cs="Arial"/>
          <w:sz w:val="16"/>
          <w:szCs w:val="16"/>
          <w:lang w:val="pt-BR"/>
        </w:rPr>
        <w:t xml:space="preserve"> Cabra.</w:t>
      </w:r>
    </w:p>
    <w:p w14:paraId="3D4039DC" w14:textId="77777777" w:rsidR="00867916" w:rsidRPr="008E2892" w:rsidRDefault="00867916" w:rsidP="00867916">
      <w:pPr>
        <w:pStyle w:val="Textonotapie"/>
        <w:ind w:firstLine="709"/>
        <w:jc w:val="both"/>
        <w:rPr>
          <w:rFonts w:ascii="Verdana" w:hAnsi="Verdana" w:cs="Arial"/>
          <w:sz w:val="16"/>
          <w:szCs w:val="16"/>
          <w:lang w:val="pt-BR"/>
        </w:rPr>
      </w:pPr>
    </w:p>
  </w:footnote>
  <w:footnote w:id="11">
    <w:p w14:paraId="63F88616" w14:textId="77777777" w:rsidR="00867916" w:rsidRPr="008E2892" w:rsidRDefault="00867916" w:rsidP="00867916">
      <w:pPr>
        <w:pStyle w:val="Textonotapie"/>
        <w:ind w:firstLine="709"/>
        <w:jc w:val="both"/>
        <w:rPr>
          <w:rFonts w:ascii="Verdana" w:hAnsi="Verdana" w:cs="Arial"/>
          <w:sz w:val="16"/>
          <w:szCs w:val="16"/>
          <w:lang w:val="pt-BR"/>
        </w:rPr>
      </w:pPr>
      <w:r w:rsidRPr="008E2892">
        <w:rPr>
          <w:rStyle w:val="Refdenotaalpie"/>
          <w:rFonts w:ascii="Verdana" w:hAnsi="Verdana" w:cs="Arial"/>
          <w:sz w:val="16"/>
          <w:szCs w:val="16"/>
        </w:rPr>
        <w:footnoteRef/>
      </w:r>
      <w:r w:rsidRPr="008E2892">
        <w:rPr>
          <w:rFonts w:ascii="Verdana" w:hAnsi="Verdana" w:cs="Arial"/>
          <w:sz w:val="16"/>
          <w:szCs w:val="16"/>
          <w:lang w:val="pt-BR"/>
        </w:rPr>
        <w:t xml:space="preserve"> Corte Constitucional. Sentencias: C-233 de 4 de abril de 2002, expediente: D-3704; C-551 de 9 de </w:t>
      </w:r>
      <w:proofErr w:type="spellStart"/>
      <w:r w:rsidRPr="008E2892">
        <w:rPr>
          <w:rFonts w:ascii="Verdana" w:hAnsi="Verdana" w:cs="Arial"/>
          <w:sz w:val="16"/>
          <w:szCs w:val="16"/>
          <w:lang w:val="pt-BR"/>
        </w:rPr>
        <w:t>julio</w:t>
      </w:r>
      <w:proofErr w:type="spellEnd"/>
      <w:r w:rsidRPr="008E2892">
        <w:rPr>
          <w:rFonts w:ascii="Verdana" w:hAnsi="Verdana" w:cs="Arial"/>
          <w:sz w:val="16"/>
          <w:szCs w:val="16"/>
          <w:lang w:val="pt-BR"/>
        </w:rPr>
        <w:t xml:space="preserve"> de 2003, expediente: CRF-001 de 9 de </w:t>
      </w:r>
      <w:proofErr w:type="spellStart"/>
      <w:r w:rsidRPr="008E2892">
        <w:rPr>
          <w:rFonts w:ascii="Verdana" w:hAnsi="Verdana" w:cs="Arial"/>
          <w:sz w:val="16"/>
          <w:szCs w:val="16"/>
          <w:lang w:val="pt-BR"/>
        </w:rPr>
        <w:t>julio</w:t>
      </w:r>
      <w:proofErr w:type="spellEnd"/>
      <w:r w:rsidRPr="008E2892">
        <w:rPr>
          <w:rFonts w:ascii="Verdana" w:hAnsi="Verdana" w:cs="Arial"/>
          <w:sz w:val="16"/>
          <w:szCs w:val="16"/>
          <w:lang w:val="pt-BR"/>
        </w:rPr>
        <w:t xml:space="preserve"> de 2003; C-652 de 5 de agosto de 2003, expediente: D-4330; C-353 de 20 de </w:t>
      </w:r>
      <w:proofErr w:type="spellStart"/>
      <w:r w:rsidRPr="008E2892">
        <w:rPr>
          <w:rFonts w:ascii="Verdana" w:hAnsi="Verdana" w:cs="Arial"/>
          <w:sz w:val="16"/>
          <w:szCs w:val="16"/>
          <w:lang w:val="pt-BR"/>
        </w:rPr>
        <w:t>mayo</w:t>
      </w:r>
      <w:proofErr w:type="spellEnd"/>
      <w:r w:rsidRPr="008E2892">
        <w:rPr>
          <w:rFonts w:ascii="Verdana" w:hAnsi="Verdana" w:cs="Arial"/>
          <w:sz w:val="16"/>
          <w:szCs w:val="16"/>
          <w:lang w:val="pt-BR"/>
        </w:rPr>
        <w:t xml:space="preserve"> de 2009, expediente: D-7518, C-541 de 30 de </w:t>
      </w:r>
      <w:proofErr w:type="spellStart"/>
      <w:r w:rsidRPr="008E2892">
        <w:rPr>
          <w:rFonts w:ascii="Verdana" w:hAnsi="Verdana" w:cs="Arial"/>
          <w:sz w:val="16"/>
          <w:szCs w:val="16"/>
          <w:lang w:val="pt-BR"/>
        </w:rPr>
        <w:t>junio</w:t>
      </w:r>
      <w:proofErr w:type="spellEnd"/>
      <w:r w:rsidRPr="008E2892">
        <w:rPr>
          <w:rFonts w:ascii="Verdana" w:hAnsi="Verdana" w:cs="Arial"/>
          <w:sz w:val="16"/>
          <w:szCs w:val="16"/>
          <w:lang w:val="pt-BR"/>
        </w:rPr>
        <w:t xml:space="preserve"> de 2010, expediente: DD7966; entre otras.</w:t>
      </w:r>
    </w:p>
    <w:p w14:paraId="503CD9AD" w14:textId="77777777" w:rsidR="00867916" w:rsidRPr="008E2892" w:rsidRDefault="00867916" w:rsidP="00867916">
      <w:pPr>
        <w:pStyle w:val="Textonotapie"/>
        <w:ind w:firstLine="709"/>
        <w:jc w:val="both"/>
        <w:rPr>
          <w:rFonts w:ascii="Verdana" w:hAnsi="Verdana" w:cs="Arial"/>
          <w:sz w:val="16"/>
          <w:szCs w:val="16"/>
          <w:lang w:val="pt-BR"/>
        </w:rPr>
      </w:pPr>
    </w:p>
  </w:footnote>
  <w:footnote w:id="12">
    <w:p w14:paraId="497799F7" w14:textId="77777777" w:rsidR="00867916" w:rsidRPr="008E2892" w:rsidRDefault="00867916" w:rsidP="00867916">
      <w:pPr>
        <w:pStyle w:val="Textonotapie"/>
        <w:ind w:firstLine="709"/>
        <w:jc w:val="both"/>
        <w:rPr>
          <w:rFonts w:ascii="Verdana" w:hAnsi="Verdana" w:cs="Arial"/>
          <w:sz w:val="16"/>
          <w:szCs w:val="16"/>
          <w:lang w:val="es-CO"/>
        </w:rPr>
      </w:pPr>
      <w:r w:rsidRPr="008E2892">
        <w:rPr>
          <w:rStyle w:val="Refdenotaalpie"/>
          <w:rFonts w:ascii="Verdana" w:hAnsi="Verdana" w:cs="Arial"/>
          <w:sz w:val="16"/>
          <w:szCs w:val="16"/>
        </w:rPr>
        <w:footnoteRef/>
      </w:r>
      <w:r w:rsidRPr="008E2892">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C5A6396" w14:textId="77777777" w:rsidR="00867916" w:rsidRPr="008E2892" w:rsidRDefault="00867916" w:rsidP="00867916">
      <w:pPr>
        <w:pStyle w:val="Textonotapie"/>
        <w:ind w:firstLine="709"/>
        <w:jc w:val="both"/>
        <w:rPr>
          <w:rFonts w:ascii="Verdana" w:hAnsi="Verdana" w:cs="Arial"/>
          <w:sz w:val="16"/>
          <w:szCs w:val="16"/>
          <w:lang w:val="es-CO"/>
        </w:rPr>
      </w:pPr>
    </w:p>
  </w:footnote>
  <w:footnote w:id="13">
    <w:p w14:paraId="02AB3695" w14:textId="77777777" w:rsidR="00867916" w:rsidRPr="008E2892" w:rsidRDefault="00867916" w:rsidP="00867916">
      <w:pPr>
        <w:pStyle w:val="Textonotapie"/>
        <w:ind w:firstLine="709"/>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Consejo de Estado, Sala de Consulta y Servicio Civil de fecha 24 de julio de 2013, Rad. 2166, C. P. Álvaro </w:t>
      </w:r>
      <w:proofErr w:type="spellStart"/>
      <w:r w:rsidRPr="008E2892">
        <w:rPr>
          <w:rFonts w:ascii="Verdana" w:hAnsi="Verdana" w:cs="Arial"/>
          <w:sz w:val="16"/>
          <w:szCs w:val="16"/>
        </w:rPr>
        <w:t>Namén</w:t>
      </w:r>
      <w:proofErr w:type="spellEnd"/>
      <w:r w:rsidRPr="008E2892">
        <w:rPr>
          <w:rFonts w:ascii="Verdana" w:hAnsi="Verdana" w:cs="Arial"/>
          <w:sz w:val="16"/>
          <w:szCs w:val="16"/>
        </w:rPr>
        <w:t xml:space="preserve"> Vargas.  </w:t>
      </w:r>
    </w:p>
    <w:p w14:paraId="7D59915F" w14:textId="77777777" w:rsidR="00867916" w:rsidRPr="008E2892" w:rsidRDefault="00867916" w:rsidP="00867916">
      <w:pPr>
        <w:pStyle w:val="Textonotapie"/>
        <w:ind w:firstLine="709"/>
        <w:jc w:val="both"/>
        <w:rPr>
          <w:rFonts w:ascii="Verdana" w:hAnsi="Verdana" w:cs="Arial"/>
          <w:sz w:val="16"/>
          <w:szCs w:val="16"/>
        </w:rPr>
      </w:pPr>
    </w:p>
  </w:footnote>
  <w:footnote w:id="14">
    <w:p w14:paraId="702ADFE6" w14:textId="77777777" w:rsidR="00867916" w:rsidRPr="008E2892" w:rsidRDefault="00867916" w:rsidP="00867916">
      <w:pPr>
        <w:spacing w:line="240" w:lineRule="auto"/>
        <w:ind w:firstLine="709"/>
        <w:contextualSpacing/>
        <w:jc w:val="both"/>
        <w:rPr>
          <w:rFonts w:ascii="Verdana" w:eastAsia="Times New Roman"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w:t>
      </w:r>
      <w:r w:rsidRPr="008E2892">
        <w:rPr>
          <w:rFonts w:ascii="Verdana" w:hAnsi="Verdana" w:cs="Arial"/>
          <w:color w:val="000000"/>
          <w:sz w:val="16"/>
          <w:szCs w:val="16"/>
        </w:rPr>
        <w:t>“</w:t>
      </w:r>
      <w:r w:rsidRPr="008E2892">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7DC6B2C" w14:textId="77777777" w:rsidR="00867916" w:rsidRPr="008E2892" w:rsidRDefault="00867916" w:rsidP="00867916">
      <w:pPr>
        <w:spacing w:line="240" w:lineRule="auto"/>
        <w:ind w:firstLine="709"/>
        <w:contextualSpacing/>
        <w:jc w:val="both"/>
        <w:rPr>
          <w:rFonts w:ascii="Verdana" w:eastAsia="Times New Roman" w:hAnsi="Verdana" w:cs="Arial"/>
          <w:sz w:val="16"/>
          <w:szCs w:val="16"/>
        </w:rPr>
      </w:pPr>
      <w:r w:rsidRPr="008E2892">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E2892">
        <w:rPr>
          <w:rFonts w:ascii="Verdana" w:hAnsi="Verdana" w:cs="Arial"/>
          <w:color w:val="000000" w:themeColor="text1"/>
          <w:sz w:val="16"/>
          <w:szCs w:val="16"/>
        </w:rPr>
        <w:t>”</w:t>
      </w:r>
      <w:r w:rsidRPr="008E2892">
        <w:rPr>
          <w:rFonts w:ascii="Verdana" w:eastAsia="Times New Roman" w:hAnsi="Verdana" w:cs="Arial"/>
          <w:sz w:val="16"/>
          <w:szCs w:val="16"/>
        </w:rPr>
        <w:t>.</w:t>
      </w:r>
    </w:p>
    <w:p w14:paraId="1E085120" w14:textId="77777777" w:rsidR="00867916" w:rsidRPr="008E2892" w:rsidRDefault="00867916" w:rsidP="00867916">
      <w:pPr>
        <w:spacing w:line="240" w:lineRule="auto"/>
        <w:ind w:firstLine="709"/>
        <w:contextualSpacing/>
        <w:jc w:val="both"/>
        <w:rPr>
          <w:rFonts w:ascii="Verdana" w:eastAsia="Times New Roman" w:hAnsi="Verdana" w:cs="Arial"/>
          <w:sz w:val="16"/>
          <w:szCs w:val="16"/>
        </w:rPr>
      </w:pPr>
    </w:p>
  </w:footnote>
  <w:footnote w:id="15">
    <w:p w14:paraId="401CFFCF" w14:textId="77777777" w:rsidR="00867916" w:rsidRPr="008E2892" w:rsidRDefault="00867916" w:rsidP="00867916">
      <w:pPr>
        <w:pStyle w:val="NormalWeb"/>
        <w:spacing w:before="0" w:beforeAutospacing="0" w:after="0" w:afterAutospacing="0"/>
        <w:ind w:firstLine="709"/>
        <w:contextualSpacing/>
        <w:jc w:val="both"/>
        <w:rPr>
          <w:rFonts w:ascii="Verdana" w:hAnsi="Verdana" w:cs="Arial"/>
          <w:sz w:val="16"/>
          <w:szCs w:val="16"/>
          <w:lang w:val="es-MX"/>
        </w:rPr>
      </w:pPr>
      <w:r w:rsidRPr="008E2892">
        <w:rPr>
          <w:rStyle w:val="Refdenotaalpie"/>
          <w:rFonts w:ascii="Verdana" w:hAnsi="Verdana" w:cs="Arial"/>
          <w:sz w:val="16"/>
          <w:szCs w:val="16"/>
        </w:rPr>
        <w:footnoteRef/>
      </w:r>
      <w:r w:rsidRPr="008E2892">
        <w:rPr>
          <w:rFonts w:ascii="Verdana" w:hAnsi="Verdana" w:cs="Arial"/>
          <w:sz w:val="16"/>
          <w:szCs w:val="16"/>
        </w:rPr>
        <w:t xml:space="preserve"> </w:t>
      </w:r>
      <w:r w:rsidRPr="008E2892">
        <w:rPr>
          <w:rFonts w:ascii="Verdana" w:eastAsia="Calibri" w:hAnsi="Verdana" w:cs="Arial"/>
          <w:color w:val="000000"/>
          <w:sz w:val="16"/>
          <w:szCs w:val="16"/>
        </w:rPr>
        <w:t>“</w:t>
      </w:r>
      <w:r w:rsidRPr="008E2892">
        <w:rPr>
          <w:rFonts w:ascii="Verdana" w:hAnsi="Verdana" w:cs="Arial"/>
          <w:sz w:val="16"/>
          <w:szCs w:val="16"/>
          <w:lang w:val="es-MX"/>
        </w:rPr>
        <w:t>Artículo 38. Prohibiciones para los servidores públicos. A los empleados del Estado les está prohibido: […]</w:t>
      </w:r>
    </w:p>
    <w:p w14:paraId="338E711B" w14:textId="77777777" w:rsidR="00867916" w:rsidRPr="008E2892" w:rsidRDefault="00867916" w:rsidP="00867916">
      <w:pPr>
        <w:pStyle w:val="NormalWeb"/>
        <w:spacing w:before="0" w:beforeAutospacing="0" w:after="0" w:afterAutospacing="0"/>
        <w:ind w:firstLine="709"/>
        <w:contextualSpacing/>
        <w:jc w:val="both"/>
        <w:rPr>
          <w:rFonts w:ascii="Verdana" w:hAnsi="Verdana" w:cs="Arial"/>
          <w:sz w:val="16"/>
          <w:szCs w:val="16"/>
          <w:lang w:val="es-MX"/>
        </w:rPr>
      </w:pPr>
      <w:r w:rsidRPr="008E2892">
        <w:rPr>
          <w:rStyle w:val="baj"/>
          <w:rFonts w:ascii="Verdana" w:hAnsi="Verdana" w:cs="Arial"/>
          <w:sz w:val="16"/>
          <w:szCs w:val="16"/>
          <w:lang w:val="es-MX"/>
        </w:rPr>
        <w:t>Parágrafo.</w:t>
      </w:r>
      <w:r w:rsidRPr="008E2892">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E2892">
        <w:rPr>
          <w:rFonts w:ascii="Verdana" w:eastAsia="Calibri" w:hAnsi="Verdana" w:cs="Arial"/>
          <w:color w:val="000000"/>
          <w:sz w:val="16"/>
          <w:szCs w:val="16"/>
        </w:rPr>
        <w:t>”</w:t>
      </w:r>
      <w:r w:rsidRPr="008E2892">
        <w:rPr>
          <w:rFonts w:ascii="Verdana" w:hAnsi="Verdana" w:cs="Arial"/>
          <w:sz w:val="16"/>
          <w:szCs w:val="16"/>
          <w:lang w:val="es-MX"/>
        </w:rPr>
        <w:t>.</w:t>
      </w:r>
    </w:p>
    <w:p w14:paraId="7A95E887" w14:textId="77777777" w:rsidR="00867916" w:rsidRPr="008E2892" w:rsidRDefault="00867916" w:rsidP="00867916">
      <w:pPr>
        <w:pStyle w:val="NormalWeb"/>
        <w:spacing w:before="0" w:beforeAutospacing="0" w:after="0" w:afterAutospacing="0"/>
        <w:ind w:firstLine="709"/>
        <w:contextualSpacing/>
        <w:jc w:val="both"/>
        <w:rPr>
          <w:rFonts w:ascii="Verdana" w:hAnsi="Verdana" w:cs="Arial"/>
          <w:sz w:val="16"/>
          <w:szCs w:val="16"/>
          <w:lang w:val="es-MX"/>
        </w:rPr>
      </w:pPr>
    </w:p>
  </w:footnote>
  <w:footnote w:id="16">
    <w:p w14:paraId="64068D6F" w14:textId="77777777" w:rsidR="00867916" w:rsidRPr="008E2892" w:rsidRDefault="00867916" w:rsidP="00867916">
      <w:pPr>
        <w:spacing w:after="0" w:line="240" w:lineRule="auto"/>
        <w:ind w:left="100" w:right="244" w:firstLine="709"/>
        <w:contextualSpacing/>
        <w:jc w:val="both"/>
        <w:rPr>
          <w:rFonts w:ascii="Verdana" w:hAnsi="Verdana" w:cs="Arial"/>
          <w:sz w:val="16"/>
          <w:szCs w:val="16"/>
        </w:rPr>
      </w:pPr>
      <w:r w:rsidRPr="008E2892">
        <w:rPr>
          <w:rStyle w:val="Refdenotaalpie"/>
          <w:rFonts w:ascii="Verdana" w:hAnsi="Verdana" w:cs="Arial"/>
          <w:sz w:val="16"/>
          <w:szCs w:val="16"/>
        </w:rPr>
        <w:footnoteRef/>
      </w:r>
      <w:r w:rsidRPr="008E289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7">
    <w:p w14:paraId="6A6CC80B" w14:textId="77777777" w:rsidR="00867916" w:rsidRPr="008E2892" w:rsidRDefault="00867916" w:rsidP="00867916">
      <w:pPr>
        <w:pStyle w:val="Textonotapie"/>
        <w:ind w:firstLine="709"/>
        <w:jc w:val="both"/>
        <w:rPr>
          <w:rFonts w:ascii="Verdana" w:hAnsi="Verdana" w:cs="Arial"/>
          <w:sz w:val="16"/>
          <w:szCs w:val="16"/>
        </w:rPr>
      </w:pPr>
      <w:r w:rsidRPr="008E2892">
        <w:rPr>
          <w:rStyle w:val="Refdenotaalpie"/>
          <w:rFonts w:ascii="Verdana" w:hAnsi="Verdana"/>
          <w:sz w:val="16"/>
          <w:szCs w:val="16"/>
        </w:rPr>
        <w:footnoteRef/>
      </w:r>
      <w:r w:rsidRPr="008E2892">
        <w:rPr>
          <w:rFonts w:ascii="Verdana" w:hAnsi="Verdana"/>
          <w:sz w:val="16"/>
          <w:szCs w:val="16"/>
        </w:rPr>
        <w:t xml:space="preserve"> </w:t>
      </w:r>
      <w:r w:rsidRPr="008E2892">
        <w:rPr>
          <w:rFonts w:ascii="Verdana" w:hAnsi="Verdana" w:cs="Arial"/>
          <w:sz w:val="16"/>
          <w:szCs w:val="16"/>
        </w:rPr>
        <w:t>Consejo de Estado -Sección Tercera-. Sentencia del 21 de febrero de 2025. Radicación Número: 68.280. CP: José Roberto Sáchica Méndez.</w:t>
      </w:r>
    </w:p>
    <w:p w14:paraId="6A433D56" w14:textId="77777777" w:rsidR="00867916" w:rsidRPr="008E2892" w:rsidRDefault="00867916" w:rsidP="00867916">
      <w:pPr>
        <w:pStyle w:val="Textonotapie"/>
        <w:ind w:firstLine="709"/>
        <w:jc w:val="both"/>
        <w:rPr>
          <w:rFonts w:ascii="Verdana" w:hAnsi="Verdana" w:cs="Arial"/>
          <w:sz w:val="16"/>
          <w:szCs w:val="16"/>
        </w:rPr>
      </w:pPr>
    </w:p>
  </w:footnote>
  <w:footnote w:id="18">
    <w:p w14:paraId="3095094C"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sz w:val="16"/>
          <w:szCs w:val="16"/>
          <w:vertAlign w:val="superscript"/>
        </w:rPr>
        <w:t xml:space="preserve"> </w:t>
      </w:r>
      <w:r w:rsidRPr="008E2892">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0928884" w14:textId="77777777" w:rsidR="00867916" w:rsidRPr="008E2892" w:rsidRDefault="00867916" w:rsidP="00867916">
      <w:pPr>
        <w:pStyle w:val="Textonotapie"/>
        <w:ind w:firstLine="709"/>
        <w:jc w:val="both"/>
        <w:rPr>
          <w:rFonts w:ascii="Verdana" w:hAnsi="Verdana" w:cs="Arial"/>
          <w:sz w:val="16"/>
          <w:szCs w:val="16"/>
        </w:rPr>
      </w:pPr>
    </w:p>
  </w:footnote>
  <w:footnote w:id="19">
    <w:p w14:paraId="708C1CF9"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cs="Arial"/>
          <w:sz w:val="16"/>
          <w:szCs w:val="16"/>
          <w:vertAlign w:val="superscript"/>
        </w:rPr>
        <w:t xml:space="preserve"> </w:t>
      </w:r>
      <w:r w:rsidRPr="008E2892">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A40614F"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cs="Arial"/>
          <w:sz w:val="16"/>
          <w:szCs w:val="16"/>
        </w:rPr>
        <w:t>[…]”.</w:t>
      </w:r>
    </w:p>
    <w:p w14:paraId="22E2006C" w14:textId="77777777" w:rsidR="00867916" w:rsidRPr="008E2892" w:rsidRDefault="00867916" w:rsidP="00867916">
      <w:pPr>
        <w:pStyle w:val="Textonotapie"/>
        <w:ind w:firstLine="709"/>
        <w:jc w:val="both"/>
        <w:rPr>
          <w:rFonts w:ascii="Verdana" w:hAnsi="Verdana" w:cs="Arial"/>
          <w:sz w:val="16"/>
          <w:szCs w:val="16"/>
        </w:rPr>
      </w:pPr>
    </w:p>
  </w:footnote>
  <w:footnote w:id="20">
    <w:p w14:paraId="5336F837" w14:textId="77777777" w:rsidR="00867916" w:rsidRPr="008E2892" w:rsidRDefault="00867916" w:rsidP="00867916">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cs="Arial"/>
          <w:sz w:val="16"/>
          <w:szCs w:val="16"/>
          <w:vertAlign w:val="superscript"/>
        </w:rPr>
        <w:t xml:space="preserve"> </w:t>
      </w:r>
      <w:r w:rsidRPr="008E2892">
        <w:rPr>
          <w:rFonts w:ascii="Verdana" w:hAnsi="Verdana" w:cs="Arial"/>
          <w:sz w:val="16"/>
          <w:szCs w:val="16"/>
        </w:rPr>
        <w:t>Código Civil: “Artículo 27. Cuando el sentido de la ley sea claro, no se desatenderá su tenor a pretexto de consultar su espíritu”.</w:t>
      </w:r>
    </w:p>
  </w:footnote>
  <w:footnote w:id="21">
    <w:p w14:paraId="7EDD2CAB" w14:textId="77777777" w:rsidR="00867916" w:rsidRPr="008E2892" w:rsidRDefault="00867916" w:rsidP="00867916">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lang w:val="es-CO"/>
        </w:rPr>
        <w:t xml:space="preserve"> Consejo de Estado, Sección Tercera. Auto del 4 de octubre de 2024. </w:t>
      </w:r>
      <w:proofErr w:type="spellStart"/>
      <w:r w:rsidRPr="008E2892">
        <w:rPr>
          <w:rFonts w:ascii="Verdana" w:hAnsi="Verdana"/>
          <w:sz w:val="16"/>
          <w:szCs w:val="16"/>
          <w:lang w:val="es-CO"/>
        </w:rPr>
        <w:t>Exp</w:t>
      </w:r>
      <w:proofErr w:type="spellEnd"/>
      <w:r w:rsidRPr="008E2892">
        <w:rPr>
          <w:rFonts w:ascii="Verdana" w:hAnsi="Verdana"/>
          <w:sz w:val="16"/>
          <w:szCs w:val="16"/>
          <w:lang w:val="es-CO"/>
        </w:rPr>
        <w:t>. 70.313. C.P: Fredy Ibarra Martínez.</w:t>
      </w:r>
    </w:p>
  </w:footnote>
  <w:footnote w:id="22">
    <w:p w14:paraId="0607A265" w14:textId="77777777" w:rsidR="00867916" w:rsidRPr="008E2892" w:rsidRDefault="00867916" w:rsidP="00867916">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rPr>
        <w:t xml:space="preserve"> La parte resolutiva del auto dispone lo siguiente; “</w:t>
      </w:r>
      <w:r w:rsidRPr="008E2892">
        <w:rPr>
          <w:rFonts w:ascii="Verdana" w:hAnsi="Verdana"/>
          <w:b/>
          <w:sz w:val="16"/>
          <w:szCs w:val="16"/>
          <w:lang w:val="es-CO"/>
        </w:rPr>
        <w:t xml:space="preserve">PRIMERO: DECRETAR </w:t>
      </w:r>
      <w:r w:rsidRPr="008E2892">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8E2892">
        <w:rPr>
          <w:rFonts w:ascii="Verdana" w:hAnsi="Verdana"/>
          <w:i/>
          <w:sz w:val="16"/>
          <w:szCs w:val="16"/>
          <w:lang w:val="es-CO"/>
        </w:rPr>
        <w:t>“[e]</w:t>
      </w:r>
      <w:proofErr w:type="spellStart"/>
      <w:r w:rsidRPr="008E2892">
        <w:rPr>
          <w:rFonts w:ascii="Verdana" w:hAnsi="Verdana"/>
          <w:i/>
          <w:sz w:val="16"/>
          <w:szCs w:val="16"/>
          <w:lang w:val="es-CO"/>
        </w:rPr>
        <w:t>sta</w:t>
      </w:r>
      <w:proofErr w:type="spellEnd"/>
      <w:r w:rsidRPr="008E2892">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8E2892">
        <w:rPr>
          <w:rFonts w:ascii="Verdana" w:hAnsi="Verdana"/>
          <w:sz w:val="16"/>
          <w:szCs w:val="16"/>
          <w:lang w:val="es-CO"/>
        </w:rPr>
        <w:t xml:space="preserve">, por las razones expuestas en precedencia. </w:t>
      </w:r>
    </w:p>
    <w:p w14:paraId="6DEDC359" w14:textId="77777777" w:rsidR="00867916" w:rsidRPr="008E2892" w:rsidRDefault="00867916" w:rsidP="00867916">
      <w:pPr>
        <w:pStyle w:val="Textonotapie"/>
        <w:ind w:firstLine="709"/>
        <w:jc w:val="both"/>
        <w:rPr>
          <w:rFonts w:ascii="Verdana" w:hAnsi="Verdana"/>
          <w:sz w:val="16"/>
          <w:szCs w:val="16"/>
          <w:lang w:val="es-CO"/>
        </w:rPr>
      </w:pPr>
      <w:r w:rsidRPr="008E2892">
        <w:rPr>
          <w:rFonts w:ascii="Verdana" w:hAnsi="Verdana"/>
          <w:b/>
          <w:sz w:val="16"/>
          <w:szCs w:val="16"/>
          <w:lang w:val="es-CO"/>
        </w:rPr>
        <w:t xml:space="preserve">SEGUNDO: DECRETAR </w:t>
      </w:r>
      <w:r w:rsidRPr="008E2892">
        <w:rPr>
          <w:rFonts w:ascii="Verdana" w:hAnsi="Verdana"/>
          <w:sz w:val="16"/>
          <w:szCs w:val="16"/>
          <w:lang w:val="es-CO"/>
        </w:rPr>
        <w:t>la suspensión provisional de la expresión “</w:t>
      </w:r>
      <w:r w:rsidRPr="008E2892">
        <w:rPr>
          <w:rFonts w:ascii="Verdana" w:hAnsi="Verdana"/>
          <w:i/>
          <w:sz w:val="16"/>
          <w:szCs w:val="16"/>
          <w:lang w:val="es-CO"/>
        </w:rPr>
        <w:t>contratos</w:t>
      </w:r>
      <w:r w:rsidRPr="008E2892">
        <w:rPr>
          <w:rFonts w:ascii="Verdana" w:hAnsi="Verdana"/>
          <w:sz w:val="16"/>
          <w:szCs w:val="16"/>
          <w:lang w:val="es-CO"/>
        </w:rPr>
        <w:t xml:space="preserve">” y del párrafo </w:t>
      </w:r>
      <w:r w:rsidRPr="008E2892">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8E2892">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8E2892">
        <w:rPr>
          <w:rFonts w:ascii="Verdana" w:hAnsi="Verdana"/>
          <w:sz w:val="16"/>
          <w:szCs w:val="16"/>
          <w:lang w:val="es-CO"/>
        </w:rPr>
        <w:t>Exp</w:t>
      </w:r>
      <w:proofErr w:type="spellEnd"/>
      <w:r w:rsidRPr="008E2892">
        <w:rPr>
          <w:rFonts w:ascii="Verdana" w:hAnsi="Verdana"/>
          <w:sz w:val="16"/>
          <w:szCs w:val="16"/>
          <w:lang w:val="es-CO"/>
        </w:rPr>
        <w:t xml:space="preserve">. 72.424. C.P: Fernando </w:t>
      </w:r>
      <w:proofErr w:type="spellStart"/>
      <w:r w:rsidRPr="008E2892">
        <w:rPr>
          <w:rFonts w:ascii="Verdana" w:hAnsi="Verdana"/>
          <w:sz w:val="16"/>
          <w:szCs w:val="16"/>
          <w:lang w:val="es-CO"/>
        </w:rPr>
        <w:t>Alexei</w:t>
      </w:r>
      <w:proofErr w:type="spellEnd"/>
      <w:r w:rsidRPr="008E2892">
        <w:rPr>
          <w:rFonts w:ascii="Verdana" w:hAnsi="Verdana"/>
          <w:sz w:val="16"/>
          <w:szCs w:val="16"/>
          <w:lang w:val="es-CO"/>
        </w:rPr>
        <w:t xml:space="preserve"> Pardo </w:t>
      </w:r>
      <w:proofErr w:type="spellStart"/>
      <w:r w:rsidRPr="008E2892">
        <w:rPr>
          <w:rFonts w:ascii="Verdana" w:hAnsi="Verdana"/>
          <w:sz w:val="16"/>
          <w:szCs w:val="16"/>
          <w:lang w:val="es-CO"/>
        </w:rPr>
        <w:t>Florez</w:t>
      </w:r>
      <w:proofErr w:type="spellEnd"/>
      <w:r w:rsidRPr="008E2892">
        <w:rPr>
          <w:rFonts w:ascii="Verdana" w:hAnsi="Verdana"/>
          <w:sz w:val="16"/>
          <w:szCs w:val="16"/>
          <w:lang w:val="es-CO"/>
        </w:rPr>
        <w:t xml:space="preserve">. </w:t>
      </w:r>
    </w:p>
  </w:footnote>
  <w:footnote w:id="23">
    <w:p w14:paraId="556C122F" w14:textId="77777777" w:rsidR="00867916" w:rsidRPr="008E2892" w:rsidRDefault="00867916" w:rsidP="00867916">
      <w:pPr>
        <w:spacing w:line="240" w:lineRule="auto"/>
        <w:ind w:firstLine="709"/>
        <w:contextualSpacing/>
        <w:jc w:val="both"/>
        <w:rPr>
          <w:rFonts w:ascii="Verdana" w:eastAsia="Times New Roman" w:hAnsi="Verdana" w:cs="Times New Roman"/>
          <w:sz w:val="16"/>
          <w:szCs w:val="16"/>
          <w:lang w:eastAsia="es-ES"/>
        </w:rPr>
      </w:pPr>
      <w:r w:rsidRPr="008E2892">
        <w:rPr>
          <w:rStyle w:val="Refdenotaalpie"/>
          <w:rFonts w:ascii="Verdana" w:hAnsi="Verdana"/>
          <w:sz w:val="16"/>
          <w:szCs w:val="16"/>
        </w:rPr>
        <w:footnoteRef/>
      </w:r>
      <w:r w:rsidRPr="008E2892">
        <w:rPr>
          <w:rFonts w:ascii="Verdana" w:hAnsi="Verdana"/>
          <w:sz w:val="16"/>
          <w:szCs w:val="16"/>
        </w:rPr>
        <w:t xml:space="preserve"> </w:t>
      </w:r>
      <w:r w:rsidRPr="008E2892">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8E2892">
        <w:rPr>
          <w:rFonts w:ascii="Verdana" w:hAnsi="Verdana"/>
          <w:sz w:val="16"/>
          <w:szCs w:val="16"/>
        </w:rPr>
        <w:t xml:space="preserve">La parte de la providencia señala: </w:t>
      </w:r>
      <w:r w:rsidRPr="008E2892">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8E2892">
        <w:rPr>
          <w:rFonts w:ascii="Verdana" w:eastAsia="Times New Roman" w:hAnsi="Verdana" w:cs="Times New Roman"/>
          <w:sz w:val="16"/>
          <w:szCs w:val="16"/>
          <w:lang w:eastAsia="es-ES"/>
        </w:rPr>
        <w:t>ii</w:t>
      </w:r>
      <w:proofErr w:type="spellEnd"/>
      <w:r w:rsidRPr="008E2892">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E0281CC" w14:textId="77777777" w:rsidR="00867916" w:rsidRPr="008E2892" w:rsidRDefault="00867916" w:rsidP="00867916">
      <w:pPr>
        <w:spacing w:line="240" w:lineRule="auto"/>
        <w:ind w:firstLine="709"/>
        <w:contextualSpacing/>
        <w:jc w:val="both"/>
        <w:rPr>
          <w:rFonts w:ascii="Verdana" w:eastAsia="Times New Roman" w:hAnsi="Verdana" w:cs="Times New Roman"/>
          <w:sz w:val="16"/>
          <w:szCs w:val="16"/>
          <w:lang w:eastAsia="es-ES"/>
        </w:rPr>
      </w:pPr>
    </w:p>
  </w:footnote>
  <w:footnote w:id="24">
    <w:p w14:paraId="313A3817" w14:textId="77777777" w:rsidR="00867916" w:rsidRPr="008E2892" w:rsidRDefault="00867916" w:rsidP="00867916">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rPr>
        <w:t xml:space="preserve"> No </w:t>
      </w:r>
      <w:proofErr w:type="gramStart"/>
      <w:r w:rsidRPr="008E2892">
        <w:rPr>
          <w:rFonts w:ascii="Verdana" w:hAnsi="Verdana"/>
          <w:sz w:val="16"/>
          <w:szCs w:val="16"/>
        </w:rPr>
        <w:t>obstante</w:t>
      </w:r>
      <w:proofErr w:type="gramEnd"/>
      <w:r w:rsidRPr="008E2892">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3317581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29B"/>
    <w:rsid w:val="00024D92"/>
    <w:rsid w:val="00031855"/>
    <w:rsid w:val="00035438"/>
    <w:rsid w:val="00036631"/>
    <w:rsid w:val="00040801"/>
    <w:rsid w:val="000466BD"/>
    <w:rsid w:val="00046945"/>
    <w:rsid w:val="0005195F"/>
    <w:rsid w:val="00052B57"/>
    <w:rsid w:val="000547F7"/>
    <w:rsid w:val="00061547"/>
    <w:rsid w:val="00061B2A"/>
    <w:rsid w:val="000673BA"/>
    <w:rsid w:val="00071189"/>
    <w:rsid w:val="00071D46"/>
    <w:rsid w:val="00074CDA"/>
    <w:rsid w:val="00082362"/>
    <w:rsid w:val="000838BA"/>
    <w:rsid w:val="00092DCC"/>
    <w:rsid w:val="000A683E"/>
    <w:rsid w:val="000A6D90"/>
    <w:rsid w:val="000A7950"/>
    <w:rsid w:val="000B19B9"/>
    <w:rsid w:val="000D0334"/>
    <w:rsid w:val="000D15E3"/>
    <w:rsid w:val="000D591D"/>
    <w:rsid w:val="000D5DA7"/>
    <w:rsid w:val="000E3C0C"/>
    <w:rsid w:val="000F6486"/>
    <w:rsid w:val="001131F7"/>
    <w:rsid w:val="00116940"/>
    <w:rsid w:val="00125105"/>
    <w:rsid w:val="00127233"/>
    <w:rsid w:val="0013793B"/>
    <w:rsid w:val="0015683D"/>
    <w:rsid w:val="0015699B"/>
    <w:rsid w:val="00160992"/>
    <w:rsid w:val="00161946"/>
    <w:rsid w:val="0016386A"/>
    <w:rsid w:val="00186559"/>
    <w:rsid w:val="00192440"/>
    <w:rsid w:val="00194A14"/>
    <w:rsid w:val="001A0022"/>
    <w:rsid w:val="001A33BF"/>
    <w:rsid w:val="001B04E1"/>
    <w:rsid w:val="001B40D7"/>
    <w:rsid w:val="001C02BF"/>
    <w:rsid w:val="001C7A3B"/>
    <w:rsid w:val="001E4177"/>
    <w:rsid w:val="001F0B24"/>
    <w:rsid w:val="001F7DC6"/>
    <w:rsid w:val="0021326C"/>
    <w:rsid w:val="002133AC"/>
    <w:rsid w:val="00220E51"/>
    <w:rsid w:val="0022400B"/>
    <w:rsid w:val="00225635"/>
    <w:rsid w:val="0022674B"/>
    <w:rsid w:val="00240D2B"/>
    <w:rsid w:val="002421BB"/>
    <w:rsid w:val="002439E8"/>
    <w:rsid w:val="0025373A"/>
    <w:rsid w:val="0025796E"/>
    <w:rsid w:val="0026347A"/>
    <w:rsid w:val="00266506"/>
    <w:rsid w:val="002707A2"/>
    <w:rsid w:val="0027500F"/>
    <w:rsid w:val="00275223"/>
    <w:rsid w:val="00281EC5"/>
    <w:rsid w:val="00285515"/>
    <w:rsid w:val="002951A0"/>
    <w:rsid w:val="002962BC"/>
    <w:rsid w:val="002A093D"/>
    <w:rsid w:val="002A0DD0"/>
    <w:rsid w:val="002A49AC"/>
    <w:rsid w:val="002A64FD"/>
    <w:rsid w:val="002C1DC7"/>
    <w:rsid w:val="002C7024"/>
    <w:rsid w:val="002C7A84"/>
    <w:rsid w:val="002E2BF8"/>
    <w:rsid w:val="002E4FD9"/>
    <w:rsid w:val="002E61CB"/>
    <w:rsid w:val="002F0013"/>
    <w:rsid w:val="002F7B54"/>
    <w:rsid w:val="00301509"/>
    <w:rsid w:val="0030657A"/>
    <w:rsid w:val="00322A85"/>
    <w:rsid w:val="00322EC5"/>
    <w:rsid w:val="00324168"/>
    <w:rsid w:val="00330834"/>
    <w:rsid w:val="003448F4"/>
    <w:rsid w:val="00364792"/>
    <w:rsid w:val="00371077"/>
    <w:rsid w:val="00372C6B"/>
    <w:rsid w:val="00374F5E"/>
    <w:rsid w:val="0037544F"/>
    <w:rsid w:val="00377C9C"/>
    <w:rsid w:val="00377E3E"/>
    <w:rsid w:val="003820DF"/>
    <w:rsid w:val="00391B87"/>
    <w:rsid w:val="003A779E"/>
    <w:rsid w:val="003B566D"/>
    <w:rsid w:val="003C6845"/>
    <w:rsid w:val="003D0F4D"/>
    <w:rsid w:val="003D1B64"/>
    <w:rsid w:val="003D5B0D"/>
    <w:rsid w:val="003E0499"/>
    <w:rsid w:val="003E4F80"/>
    <w:rsid w:val="003E6439"/>
    <w:rsid w:val="003E735B"/>
    <w:rsid w:val="003F3941"/>
    <w:rsid w:val="003F614D"/>
    <w:rsid w:val="00406575"/>
    <w:rsid w:val="00407776"/>
    <w:rsid w:val="00410798"/>
    <w:rsid w:val="00411BDC"/>
    <w:rsid w:val="00414C74"/>
    <w:rsid w:val="0042623A"/>
    <w:rsid w:val="0042722E"/>
    <w:rsid w:val="004417F1"/>
    <w:rsid w:val="00441CBA"/>
    <w:rsid w:val="0044391D"/>
    <w:rsid w:val="0044528D"/>
    <w:rsid w:val="00447D68"/>
    <w:rsid w:val="00454929"/>
    <w:rsid w:val="00466E39"/>
    <w:rsid w:val="004826B6"/>
    <w:rsid w:val="0049672E"/>
    <w:rsid w:val="004A1847"/>
    <w:rsid w:val="004A305D"/>
    <w:rsid w:val="004A6106"/>
    <w:rsid w:val="004E615E"/>
    <w:rsid w:val="004F21C4"/>
    <w:rsid w:val="004F685F"/>
    <w:rsid w:val="00500CF5"/>
    <w:rsid w:val="00511259"/>
    <w:rsid w:val="00511821"/>
    <w:rsid w:val="0051328D"/>
    <w:rsid w:val="005173C4"/>
    <w:rsid w:val="00521F6D"/>
    <w:rsid w:val="005254E6"/>
    <w:rsid w:val="0053094D"/>
    <w:rsid w:val="00555728"/>
    <w:rsid w:val="005566E8"/>
    <w:rsid w:val="005675BF"/>
    <w:rsid w:val="00574867"/>
    <w:rsid w:val="00576A8A"/>
    <w:rsid w:val="00576B1A"/>
    <w:rsid w:val="00591460"/>
    <w:rsid w:val="005A2F05"/>
    <w:rsid w:val="005A65E0"/>
    <w:rsid w:val="005B28DF"/>
    <w:rsid w:val="005B6132"/>
    <w:rsid w:val="005C3777"/>
    <w:rsid w:val="005C5CDC"/>
    <w:rsid w:val="005D476C"/>
    <w:rsid w:val="006029C3"/>
    <w:rsid w:val="00612C39"/>
    <w:rsid w:val="00613744"/>
    <w:rsid w:val="00617111"/>
    <w:rsid w:val="006200BF"/>
    <w:rsid w:val="0062012D"/>
    <w:rsid w:val="006204DF"/>
    <w:rsid w:val="006219F8"/>
    <w:rsid w:val="006302F7"/>
    <w:rsid w:val="00646B9F"/>
    <w:rsid w:val="00654670"/>
    <w:rsid w:val="006638D4"/>
    <w:rsid w:val="00664822"/>
    <w:rsid w:val="00665D70"/>
    <w:rsid w:val="006664A1"/>
    <w:rsid w:val="00684307"/>
    <w:rsid w:val="006900D9"/>
    <w:rsid w:val="006918E2"/>
    <w:rsid w:val="00694F2A"/>
    <w:rsid w:val="006977B8"/>
    <w:rsid w:val="006E7646"/>
    <w:rsid w:val="006F73F6"/>
    <w:rsid w:val="00700FC1"/>
    <w:rsid w:val="00706C16"/>
    <w:rsid w:val="00720881"/>
    <w:rsid w:val="007340C3"/>
    <w:rsid w:val="00746BE7"/>
    <w:rsid w:val="0075235A"/>
    <w:rsid w:val="00756841"/>
    <w:rsid w:val="007649AB"/>
    <w:rsid w:val="00771CCA"/>
    <w:rsid w:val="00771D0C"/>
    <w:rsid w:val="00782142"/>
    <w:rsid w:val="007833AC"/>
    <w:rsid w:val="0079605D"/>
    <w:rsid w:val="007B268C"/>
    <w:rsid w:val="007B7171"/>
    <w:rsid w:val="007B7C67"/>
    <w:rsid w:val="007C0C0F"/>
    <w:rsid w:val="007C3DC2"/>
    <w:rsid w:val="007D4B2E"/>
    <w:rsid w:val="007D57F7"/>
    <w:rsid w:val="007E5497"/>
    <w:rsid w:val="007F431E"/>
    <w:rsid w:val="007F494F"/>
    <w:rsid w:val="008036B4"/>
    <w:rsid w:val="00806F5F"/>
    <w:rsid w:val="0081175D"/>
    <w:rsid w:val="00816000"/>
    <w:rsid w:val="00820278"/>
    <w:rsid w:val="008258C9"/>
    <w:rsid w:val="00832214"/>
    <w:rsid w:val="00832F9D"/>
    <w:rsid w:val="00834510"/>
    <w:rsid w:val="00834C77"/>
    <w:rsid w:val="00834CA7"/>
    <w:rsid w:val="00844AE9"/>
    <w:rsid w:val="00846D07"/>
    <w:rsid w:val="00861E32"/>
    <w:rsid w:val="00865796"/>
    <w:rsid w:val="00867916"/>
    <w:rsid w:val="00867F95"/>
    <w:rsid w:val="008717DA"/>
    <w:rsid w:val="0087320F"/>
    <w:rsid w:val="008843B6"/>
    <w:rsid w:val="00887563"/>
    <w:rsid w:val="00891928"/>
    <w:rsid w:val="008A446D"/>
    <w:rsid w:val="008B0077"/>
    <w:rsid w:val="008B25F1"/>
    <w:rsid w:val="008C17CB"/>
    <w:rsid w:val="008D180B"/>
    <w:rsid w:val="008D4078"/>
    <w:rsid w:val="008E12F2"/>
    <w:rsid w:val="008E21A9"/>
    <w:rsid w:val="008E2892"/>
    <w:rsid w:val="008E492D"/>
    <w:rsid w:val="008E55E5"/>
    <w:rsid w:val="008F0EA7"/>
    <w:rsid w:val="00923EEF"/>
    <w:rsid w:val="00926E3D"/>
    <w:rsid w:val="0093137C"/>
    <w:rsid w:val="00934F4F"/>
    <w:rsid w:val="009419F9"/>
    <w:rsid w:val="009433C7"/>
    <w:rsid w:val="0095685E"/>
    <w:rsid w:val="00957615"/>
    <w:rsid w:val="00961B09"/>
    <w:rsid w:val="00965334"/>
    <w:rsid w:val="0097093E"/>
    <w:rsid w:val="00970FE4"/>
    <w:rsid w:val="009948A2"/>
    <w:rsid w:val="0099559C"/>
    <w:rsid w:val="009A0DFA"/>
    <w:rsid w:val="009A1C6F"/>
    <w:rsid w:val="009B0E84"/>
    <w:rsid w:val="009B2D26"/>
    <w:rsid w:val="009B604C"/>
    <w:rsid w:val="009C1F94"/>
    <w:rsid w:val="009C71FA"/>
    <w:rsid w:val="009C72E7"/>
    <w:rsid w:val="009C7F7E"/>
    <w:rsid w:val="009D3058"/>
    <w:rsid w:val="009F3A13"/>
    <w:rsid w:val="00A122D3"/>
    <w:rsid w:val="00A14468"/>
    <w:rsid w:val="00A17736"/>
    <w:rsid w:val="00A17F13"/>
    <w:rsid w:val="00A20739"/>
    <w:rsid w:val="00A23AF9"/>
    <w:rsid w:val="00A32BE2"/>
    <w:rsid w:val="00A332C8"/>
    <w:rsid w:val="00A33C78"/>
    <w:rsid w:val="00A3402F"/>
    <w:rsid w:val="00A43116"/>
    <w:rsid w:val="00A43159"/>
    <w:rsid w:val="00A47767"/>
    <w:rsid w:val="00A53532"/>
    <w:rsid w:val="00A575FE"/>
    <w:rsid w:val="00A92EC3"/>
    <w:rsid w:val="00A960E5"/>
    <w:rsid w:val="00AA63B5"/>
    <w:rsid w:val="00AB0ADB"/>
    <w:rsid w:val="00AB619D"/>
    <w:rsid w:val="00AC62F8"/>
    <w:rsid w:val="00AD6C81"/>
    <w:rsid w:val="00AF0821"/>
    <w:rsid w:val="00AF1BE5"/>
    <w:rsid w:val="00B00C0E"/>
    <w:rsid w:val="00B01B1A"/>
    <w:rsid w:val="00B0381D"/>
    <w:rsid w:val="00B060A3"/>
    <w:rsid w:val="00B13E84"/>
    <w:rsid w:val="00B37969"/>
    <w:rsid w:val="00B44A47"/>
    <w:rsid w:val="00B45858"/>
    <w:rsid w:val="00B714B0"/>
    <w:rsid w:val="00B72CD3"/>
    <w:rsid w:val="00B72FFF"/>
    <w:rsid w:val="00B85A64"/>
    <w:rsid w:val="00B8779A"/>
    <w:rsid w:val="00BA1D42"/>
    <w:rsid w:val="00BC3D36"/>
    <w:rsid w:val="00BD4350"/>
    <w:rsid w:val="00BD54A6"/>
    <w:rsid w:val="00BD7F72"/>
    <w:rsid w:val="00BF2144"/>
    <w:rsid w:val="00BF7425"/>
    <w:rsid w:val="00C04FB3"/>
    <w:rsid w:val="00C0783E"/>
    <w:rsid w:val="00C11D8B"/>
    <w:rsid w:val="00C15139"/>
    <w:rsid w:val="00C16A37"/>
    <w:rsid w:val="00C32BE1"/>
    <w:rsid w:val="00C330EB"/>
    <w:rsid w:val="00C413E9"/>
    <w:rsid w:val="00C41DE8"/>
    <w:rsid w:val="00C50D69"/>
    <w:rsid w:val="00C5151D"/>
    <w:rsid w:val="00C5365C"/>
    <w:rsid w:val="00C54178"/>
    <w:rsid w:val="00C541CA"/>
    <w:rsid w:val="00C546CC"/>
    <w:rsid w:val="00C55BDE"/>
    <w:rsid w:val="00C65876"/>
    <w:rsid w:val="00C708C9"/>
    <w:rsid w:val="00C754BE"/>
    <w:rsid w:val="00C76B1C"/>
    <w:rsid w:val="00C84EE5"/>
    <w:rsid w:val="00C851C7"/>
    <w:rsid w:val="00C925AC"/>
    <w:rsid w:val="00CA7C8E"/>
    <w:rsid w:val="00CB1D05"/>
    <w:rsid w:val="00CB6357"/>
    <w:rsid w:val="00CC1B26"/>
    <w:rsid w:val="00CC2FD7"/>
    <w:rsid w:val="00CF29BA"/>
    <w:rsid w:val="00CF4966"/>
    <w:rsid w:val="00D177E6"/>
    <w:rsid w:val="00D201E9"/>
    <w:rsid w:val="00D25E73"/>
    <w:rsid w:val="00D302D9"/>
    <w:rsid w:val="00D361FD"/>
    <w:rsid w:val="00D414FE"/>
    <w:rsid w:val="00D423A2"/>
    <w:rsid w:val="00D44E26"/>
    <w:rsid w:val="00D460D0"/>
    <w:rsid w:val="00D520D8"/>
    <w:rsid w:val="00D63AC2"/>
    <w:rsid w:val="00D64656"/>
    <w:rsid w:val="00D6787C"/>
    <w:rsid w:val="00D7383B"/>
    <w:rsid w:val="00D7788A"/>
    <w:rsid w:val="00D82C96"/>
    <w:rsid w:val="00D8415F"/>
    <w:rsid w:val="00D86621"/>
    <w:rsid w:val="00DA02A1"/>
    <w:rsid w:val="00DA1FBF"/>
    <w:rsid w:val="00DA231B"/>
    <w:rsid w:val="00DB2058"/>
    <w:rsid w:val="00DB2E63"/>
    <w:rsid w:val="00DC2676"/>
    <w:rsid w:val="00DC38B2"/>
    <w:rsid w:val="00DC39FC"/>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3000D"/>
    <w:rsid w:val="00E36176"/>
    <w:rsid w:val="00E50AFE"/>
    <w:rsid w:val="00E51371"/>
    <w:rsid w:val="00E75C92"/>
    <w:rsid w:val="00E771DC"/>
    <w:rsid w:val="00E826C6"/>
    <w:rsid w:val="00E84956"/>
    <w:rsid w:val="00E84EEF"/>
    <w:rsid w:val="00E86265"/>
    <w:rsid w:val="00E8772A"/>
    <w:rsid w:val="00E90F6B"/>
    <w:rsid w:val="00E92C27"/>
    <w:rsid w:val="00E93496"/>
    <w:rsid w:val="00EA0E3D"/>
    <w:rsid w:val="00EA4365"/>
    <w:rsid w:val="00EB5A8E"/>
    <w:rsid w:val="00EC214E"/>
    <w:rsid w:val="00EC38A7"/>
    <w:rsid w:val="00ED5F50"/>
    <w:rsid w:val="00EE04B9"/>
    <w:rsid w:val="00EE1AA8"/>
    <w:rsid w:val="00EF2E3F"/>
    <w:rsid w:val="00EF5BD7"/>
    <w:rsid w:val="00F00856"/>
    <w:rsid w:val="00F01EE6"/>
    <w:rsid w:val="00F07CE6"/>
    <w:rsid w:val="00F07F01"/>
    <w:rsid w:val="00F10689"/>
    <w:rsid w:val="00F23FEA"/>
    <w:rsid w:val="00F302DC"/>
    <w:rsid w:val="00F31EDC"/>
    <w:rsid w:val="00F32232"/>
    <w:rsid w:val="00F34198"/>
    <w:rsid w:val="00F462B3"/>
    <w:rsid w:val="00F5664F"/>
    <w:rsid w:val="00F60C80"/>
    <w:rsid w:val="00F63C15"/>
    <w:rsid w:val="00F666C4"/>
    <w:rsid w:val="00F76AFC"/>
    <w:rsid w:val="00F775C8"/>
    <w:rsid w:val="00F80590"/>
    <w:rsid w:val="00FA47C0"/>
    <w:rsid w:val="00FB5DD1"/>
    <w:rsid w:val="00FC2B5D"/>
    <w:rsid w:val="00FC6BC9"/>
    <w:rsid w:val="00FD113E"/>
    <w:rsid w:val="00FD6717"/>
    <w:rsid w:val="00FE31C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rrespondencia@minviviend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NotificacionesPQRS@minviviend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circular/circular-externa-006-de-2025"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47D40FE-B337-4A0E-ABEE-B8C5442DA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33</Pages>
  <Words>10392</Words>
  <Characters>57574</Characters>
  <Application>Microsoft Office Word</Application>
  <DocSecurity>0</DocSecurity>
  <Lines>1086</Lines>
  <Paragraphs>212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2025-12-30T03:46:00Z</dcterms:created>
  <dcterms:modified xsi:type="dcterms:W3CDTF">2025-12-31T13:10:00Z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