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B7F75" w14:textId="697EAC64" w:rsidR="009C2AD6" w:rsidRPr="009C2AD6" w:rsidRDefault="009C2AD6" w:rsidP="009C2AD6">
      <w:pPr>
        <w:spacing w:after="0"/>
        <w:jc w:val="both"/>
        <w:rPr>
          <w:rFonts w:ascii="Verdana" w:hAnsi="Verdana"/>
        </w:rPr>
      </w:pPr>
      <w:bookmarkStart w:id="0" w:name="_Hlk143780582"/>
      <w:r w:rsidRPr="009C2AD6">
        <w:rPr>
          <w:rFonts w:ascii="Verdana" w:eastAsia="Aptos" w:hAnsi="Verdana" w:cs="Arial"/>
          <w:b/>
          <w:color w:val="000000"/>
          <w:kern w:val="2"/>
          <w:lang w:val="es-ES_tradnl"/>
          <w14:ligatures w14:val="standardContextual"/>
        </w:rPr>
        <w:t>DOCUMENTOS TIPO – Fundamento normativo</w:t>
      </w:r>
    </w:p>
    <w:p w14:paraId="1F657396" w14:textId="77777777" w:rsidR="009C2AD6" w:rsidRPr="009C2AD6" w:rsidRDefault="009C2AD6" w:rsidP="009C2AD6">
      <w:pPr>
        <w:spacing w:after="0" w:line="276" w:lineRule="auto"/>
        <w:jc w:val="both"/>
        <w:rPr>
          <w:rFonts w:ascii="Verdana" w:eastAsia="Aptos" w:hAnsi="Verdana" w:cs="Arial"/>
          <w:b/>
          <w:color w:val="000000"/>
          <w:kern w:val="2"/>
          <w:lang w:val="es-ES_tradnl"/>
          <w14:ligatures w14:val="standardContextual"/>
        </w:rPr>
      </w:pPr>
    </w:p>
    <w:p w14:paraId="1210114B" w14:textId="77777777" w:rsidR="009C2AD6" w:rsidRPr="009C2AD6" w:rsidRDefault="009C2AD6" w:rsidP="009C2AD6">
      <w:pPr>
        <w:snapToGrid w:val="0"/>
        <w:spacing w:after="0" w:line="240" w:lineRule="auto"/>
        <w:jc w:val="both"/>
        <w:rPr>
          <w:rFonts w:ascii="Verdana" w:eastAsia="Calibri" w:hAnsi="Verdana" w:cs="Times New Roman"/>
          <w:kern w:val="2"/>
          <w:sz w:val="20"/>
          <w:szCs w:val="20"/>
          <w:lang w:val="es-ES_tradnl"/>
          <w14:ligatures w14:val="standardContextual"/>
        </w:rPr>
      </w:pPr>
      <w:r w:rsidRPr="009C2AD6">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D742EE2" w14:textId="77777777" w:rsidR="009C2AD6" w:rsidRPr="009C2AD6" w:rsidRDefault="009C2AD6" w:rsidP="009C2AD6">
      <w:pPr>
        <w:spacing w:after="0" w:line="276" w:lineRule="auto"/>
        <w:jc w:val="both"/>
        <w:rPr>
          <w:rFonts w:ascii="Verdana" w:eastAsia="Aptos" w:hAnsi="Verdana" w:cs="Arial"/>
          <w:b/>
          <w:color w:val="000000"/>
          <w:kern w:val="2"/>
          <w:lang w:val="es-ES_tradnl"/>
          <w14:ligatures w14:val="standardContextual"/>
        </w:rPr>
      </w:pPr>
    </w:p>
    <w:p w14:paraId="3D375644" w14:textId="77777777" w:rsidR="009C2AD6" w:rsidRPr="009C2AD6" w:rsidRDefault="009C2AD6" w:rsidP="009C2AD6">
      <w:pPr>
        <w:spacing w:after="0" w:line="276" w:lineRule="auto"/>
        <w:jc w:val="both"/>
        <w:rPr>
          <w:rFonts w:ascii="Verdana" w:eastAsia="Aptos" w:hAnsi="Verdana" w:cs="Arial"/>
          <w:b/>
          <w:color w:val="000000"/>
          <w:kern w:val="2"/>
          <w:lang w:val="es-ES_tradnl"/>
          <w14:ligatures w14:val="standardContextual"/>
        </w:rPr>
      </w:pPr>
      <w:r w:rsidRPr="009C2AD6">
        <w:rPr>
          <w:rFonts w:ascii="Verdana" w:eastAsia="Aptos" w:hAnsi="Verdana" w:cs="Arial"/>
          <w:b/>
          <w:color w:val="000000"/>
          <w:kern w:val="2"/>
          <w:lang w:val="es-ES_tradnl"/>
          <w14:ligatures w14:val="standardContextual"/>
        </w:rPr>
        <w:t>DOCUMENTOS TIPO – Infraestructura de transporte – Ámbito de aplicación – Experiencia</w:t>
      </w:r>
    </w:p>
    <w:p w14:paraId="0EF53118" w14:textId="77777777" w:rsidR="009C2AD6" w:rsidRPr="009C2AD6" w:rsidRDefault="009C2AD6" w:rsidP="009C2AD6">
      <w:pPr>
        <w:spacing w:after="0" w:line="276" w:lineRule="auto"/>
        <w:jc w:val="both"/>
        <w:rPr>
          <w:rFonts w:ascii="Verdana" w:eastAsia="Aptos" w:hAnsi="Verdana" w:cs="Arial"/>
          <w:b/>
          <w:color w:val="000000"/>
          <w:kern w:val="2"/>
          <w:lang w:val="es-ES_tradnl"/>
          <w14:ligatures w14:val="standardContextual"/>
        </w:rPr>
      </w:pPr>
    </w:p>
    <w:p w14:paraId="6F6916A5" w14:textId="77777777" w:rsidR="009C2AD6" w:rsidRPr="009C2AD6" w:rsidRDefault="009C2AD6" w:rsidP="009C2AD6">
      <w:pPr>
        <w:snapToGrid w:val="0"/>
        <w:spacing w:after="0" w:line="240" w:lineRule="auto"/>
        <w:jc w:val="both"/>
        <w:rPr>
          <w:rFonts w:ascii="Verdana" w:eastAsia="Times New Roman" w:hAnsi="Verdana" w:cs="Aptos"/>
          <w:i/>
          <w:iCs/>
          <w:color w:val="000000"/>
          <w:sz w:val="20"/>
          <w:szCs w:val="20"/>
          <w:lang w:val="es-ES" w:eastAsia="es-MX"/>
        </w:rPr>
      </w:pPr>
      <w:r w:rsidRPr="009C2AD6">
        <w:rPr>
          <w:rFonts w:ascii="Verdana" w:eastAsia="Times New Roman" w:hAnsi="Verdana" w:cs="Aptos"/>
          <w:color w:val="000000"/>
          <w:sz w:val="20"/>
          <w:szCs w:val="20"/>
          <w:lang w:val="es-ES" w:eastAsia="es-MX"/>
        </w:rPr>
        <w:t>[…] el numeral 3.5 “EXPERIENCIA” del documento base de los documentos tipo de infraestructura de transporte indica que los proponentes deben acreditar la experiencia a través de los siguientes documentos: 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Adicionalmente, en el numeral 3.5.5 “ACREDITACIÓN DE LA EXPERIENCIA REQUERIDA” se señala la información que deben presentar los proponentes para efectos de acreditar la experiencia en cada uno de los contratos que se presenten.</w:t>
      </w:r>
    </w:p>
    <w:p w14:paraId="2D96A93C" w14:textId="77777777" w:rsidR="009C2AD6" w:rsidRPr="009C2AD6" w:rsidRDefault="009C2AD6" w:rsidP="009C2AD6">
      <w:pPr>
        <w:spacing w:after="0" w:line="276" w:lineRule="auto"/>
        <w:jc w:val="both"/>
        <w:rPr>
          <w:rFonts w:ascii="Verdana" w:eastAsia="Aptos" w:hAnsi="Verdana" w:cs="Arial"/>
          <w:b/>
          <w:color w:val="000000"/>
          <w:kern w:val="2"/>
          <w:lang w:val="es-ES_tradnl"/>
          <w14:ligatures w14:val="standardContextual"/>
        </w:rPr>
      </w:pPr>
    </w:p>
    <w:p w14:paraId="07E72EDA" w14:textId="77777777" w:rsidR="009C2AD6" w:rsidRPr="009C2AD6" w:rsidRDefault="009C2AD6" w:rsidP="009C2AD6">
      <w:pPr>
        <w:spacing w:line="276" w:lineRule="auto"/>
        <w:contextualSpacing/>
        <w:jc w:val="both"/>
        <w:rPr>
          <w:rFonts w:ascii="Verdana" w:eastAsia="Aptos" w:hAnsi="Verdana" w:cs="Arial"/>
          <w:b/>
          <w:bCs/>
          <w:color w:val="000000"/>
          <w:kern w:val="2"/>
          <w:lang w:val="es-ES_tradnl"/>
          <w14:ligatures w14:val="standardContextual"/>
        </w:rPr>
      </w:pPr>
      <w:r w:rsidRPr="009C2AD6">
        <w:rPr>
          <w:rFonts w:ascii="Verdana" w:eastAsia="Aptos" w:hAnsi="Verdana" w:cs="Arial"/>
          <w:b/>
          <w:bCs/>
          <w:color w:val="000000"/>
          <w:kern w:val="2"/>
          <w:lang w:val="es-ES_tradnl"/>
          <w14:ligatures w14:val="standardContextual"/>
        </w:rPr>
        <w:t>DOCUMENTOS TIPO DE INFRAESTRUCTURA DE TRANSPORTE – Proyectos de demolición de predios – Matriz 1 – Actividad 6.23 – Acreditación de la experiencia</w:t>
      </w:r>
    </w:p>
    <w:p w14:paraId="4AFD22AF" w14:textId="77777777" w:rsidR="009C2AD6" w:rsidRPr="009C2AD6" w:rsidRDefault="009C2AD6" w:rsidP="009C2AD6">
      <w:pPr>
        <w:spacing w:line="276" w:lineRule="auto"/>
        <w:contextualSpacing/>
        <w:jc w:val="both"/>
        <w:rPr>
          <w:rFonts w:ascii="Verdana" w:eastAsia="Aptos" w:hAnsi="Verdana" w:cs="Arial"/>
          <w:color w:val="000000"/>
          <w:kern w:val="2"/>
          <w:lang w:val="es-ES_tradnl"/>
          <w14:ligatures w14:val="standardContextual"/>
        </w:rPr>
      </w:pPr>
    </w:p>
    <w:p w14:paraId="6C2863F8" w14:textId="77777777" w:rsidR="009C2AD6" w:rsidRPr="009C2AD6" w:rsidRDefault="009C2AD6" w:rsidP="009C2AD6">
      <w:pPr>
        <w:snapToGrid w:val="0"/>
        <w:spacing w:after="0" w:line="240" w:lineRule="auto"/>
        <w:jc w:val="both"/>
        <w:rPr>
          <w:rFonts w:ascii="Verdana" w:eastAsia="Aptos" w:hAnsi="Verdana" w:cs="Aptos"/>
          <w:kern w:val="2"/>
          <w:sz w:val="20"/>
          <w:szCs w:val="20"/>
          <w:lang w:val="es-ES_tradnl"/>
          <w14:ligatures w14:val="standardContextual"/>
        </w:rPr>
      </w:pPr>
      <w:r w:rsidRPr="009C2AD6">
        <w:rPr>
          <w:rFonts w:ascii="Verdana" w:eastAsia="Aptos" w:hAnsi="Verdana" w:cs="Aptos"/>
          <w:kern w:val="2"/>
          <w:sz w:val="20"/>
          <w:szCs w:val="20"/>
          <w:lang w:val="es-ES_tradnl"/>
          <w14:ligatures w14:val="standardContextual"/>
        </w:rPr>
        <w:t>[…] la “Matriz 1 – Experiencia” de los documentos tipo de licitación de obra pública de infraestructura de transporte, en el Capítulo 6. “OBRAS DE INFRAESTRUCTURA VIAL URBANA”, incluye la actividad 6.23. “PROYECTOS DE DEMOLICION DE PREDIOS PARA INTERVENCION DE VIAS, PARQUES, ESPACIO PUBLICO ASOCIADO A LA INFRAESTRUCTURA DE TRANSPORTE”.</w:t>
      </w:r>
      <w:r w:rsidRPr="009C2AD6">
        <w:rPr>
          <w:rFonts w:ascii="Verdana" w:eastAsia="Aptos" w:hAnsi="Verdana" w:cs="Aptos"/>
          <w:i/>
          <w:iCs/>
          <w:kern w:val="2"/>
          <w:sz w:val="20"/>
          <w:szCs w:val="20"/>
          <w:lang w:val="es-ES_tradnl"/>
          <w14:ligatures w14:val="standardContextual"/>
        </w:rPr>
        <w:t xml:space="preserve"> </w:t>
      </w:r>
      <w:r w:rsidRPr="009C2AD6">
        <w:rPr>
          <w:rFonts w:ascii="Verdana" w:eastAsia="Aptos" w:hAnsi="Verdana" w:cs="Aptos"/>
          <w:kern w:val="2"/>
          <w:sz w:val="20"/>
          <w:szCs w:val="20"/>
          <w:lang w:val="es-ES_tradnl"/>
          <w14:ligatures w14:val="standardContextual"/>
        </w:rPr>
        <w:t>Frente a esta actividad, se solicita la siguiente experiencia:</w:t>
      </w:r>
    </w:p>
    <w:p w14:paraId="64901D79" w14:textId="77777777" w:rsidR="009C2AD6" w:rsidRPr="009C2AD6" w:rsidRDefault="009C2AD6" w:rsidP="009C2AD6">
      <w:pPr>
        <w:spacing w:after="0" w:line="240" w:lineRule="auto"/>
        <w:jc w:val="both"/>
        <w:rPr>
          <w:rFonts w:ascii="Verdana" w:eastAsia="Aptos" w:hAnsi="Verdana" w:cs="Aptos"/>
          <w:kern w:val="2"/>
          <w:sz w:val="20"/>
          <w:szCs w:val="20"/>
          <w:lang w:val="es-ES_tradnl"/>
          <w14:ligatures w14:val="standardContextual"/>
        </w:rPr>
      </w:pPr>
      <w:r w:rsidRPr="009C2AD6">
        <w:rPr>
          <w:rFonts w:ascii="Verdana" w:eastAsia="Aptos" w:hAnsi="Verdana" w:cs="Aptos"/>
          <w:kern w:val="2"/>
          <w:sz w:val="20"/>
          <w:szCs w:val="20"/>
          <w:lang w:val="es-ES_tradnl"/>
          <w14:ligatures w14:val="standardContextual"/>
        </w:rPr>
        <w:t>[…]</w:t>
      </w:r>
    </w:p>
    <w:p w14:paraId="07C798E1" w14:textId="77777777" w:rsidR="009C2AD6" w:rsidRPr="009C2AD6" w:rsidRDefault="009C2AD6" w:rsidP="009C2AD6">
      <w:pPr>
        <w:spacing w:after="120" w:line="240" w:lineRule="auto"/>
        <w:jc w:val="both"/>
        <w:rPr>
          <w:rFonts w:ascii="Verdana" w:eastAsia="Aptos" w:hAnsi="Verdana" w:cs="Aptos"/>
          <w:kern w:val="2"/>
          <w:sz w:val="20"/>
          <w:szCs w:val="20"/>
          <w:lang w:val="es-ES_tradnl"/>
          <w14:ligatures w14:val="standardContextual"/>
        </w:rPr>
      </w:pPr>
      <w:r w:rsidRPr="009C2AD6">
        <w:rPr>
          <w:rFonts w:ascii="Verdana" w:eastAsia="Aptos" w:hAnsi="Verdana" w:cs="Aptos"/>
          <w:kern w:val="2"/>
          <w:sz w:val="20"/>
          <w:szCs w:val="20"/>
          <w:lang w:val="es-ES_tradnl"/>
          <w14:ligatures w14:val="standardContextual"/>
        </w:rPr>
        <w:t>En ese sentido, aunque la actividad 6.23 señala que la actividad de demolición de predios se ejecuta para la intervención de vías, parques y espacio público asociado a la infraestructura de transporte, debe precisarse que la experiencia general no está limitada a que sea “asociada a la infraestructura de transporte”, pues en esta se solicita “</w:t>
      </w:r>
      <w:r w:rsidRPr="009C2AD6">
        <w:rPr>
          <w:rFonts w:ascii="Verdana" w:eastAsia="Aptos" w:hAnsi="Verdana" w:cs="Aptos"/>
          <w:i/>
          <w:iCs/>
          <w:kern w:val="2"/>
          <w:sz w:val="20"/>
          <w:szCs w:val="20"/>
          <w:lang w:val="es-ES_tradnl"/>
          <w14:ligatures w14:val="standardContextual"/>
        </w:rPr>
        <w:t>CONSTRUCCIÓN O AMPLIACIÓN O REMODELACIÓN O REFORZAMIENTO O ADECUACIÓN O REHABILITACIÓN O MANTENIMIENTO O MEJORAMIENTO O DEMOLICIÓN DE EDIFICACIONES EN ESTRUCTURA METALICA O EN CONCRETO</w:t>
      </w:r>
      <w:r w:rsidRPr="009C2AD6">
        <w:rPr>
          <w:rFonts w:ascii="Verdana" w:eastAsia="Aptos" w:hAnsi="Verdana" w:cs="Aptos"/>
          <w:kern w:val="2"/>
          <w:sz w:val="20"/>
          <w:szCs w:val="20"/>
          <w:lang w:val="es-ES_tradnl"/>
          <w14:ligatures w14:val="standardContextual"/>
        </w:rPr>
        <w:t xml:space="preserve">”. Lo mismo ocurre, con la experiencia especifica, toda vez que se dispone que: </w:t>
      </w:r>
      <w:r w:rsidRPr="009C2AD6">
        <w:rPr>
          <w:rFonts w:ascii="Verdana" w:eastAsia="Aptos" w:hAnsi="Verdana" w:cs="Aptos"/>
          <w:i/>
          <w:iCs/>
          <w:kern w:val="2"/>
          <w:sz w:val="20"/>
          <w:szCs w:val="20"/>
          <w:lang w:val="es-ES_tradnl"/>
          <w14:ligatures w14:val="standardContextual"/>
        </w:rPr>
        <w:t xml:space="preserve">“[u]no (1) de los contratos válidos aportados como experiencia general deben contemplar actividades </w:t>
      </w:r>
      <w:r w:rsidRPr="009C2AD6">
        <w:rPr>
          <w:rFonts w:ascii="Verdana" w:eastAsia="Aptos" w:hAnsi="Verdana" w:cs="Aptos"/>
          <w:i/>
          <w:iCs/>
          <w:kern w:val="2"/>
          <w:sz w:val="20"/>
          <w:szCs w:val="20"/>
          <w:lang w:val="es-ES_tradnl"/>
          <w14:ligatures w14:val="standardContextual"/>
        </w:rPr>
        <w:lastRenderedPageBreak/>
        <w:t>de demolición, total o parcial, de edificaciones y desmonte de sus elementos estructurales</w:t>
      </w:r>
      <w:r w:rsidRPr="009C2AD6">
        <w:rPr>
          <w:rFonts w:ascii="Verdana" w:eastAsia="Aptos" w:hAnsi="Verdana" w:cs="Aptos"/>
          <w:kern w:val="2"/>
          <w:sz w:val="20"/>
          <w:szCs w:val="20"/>
          <w:lang w:val="es-ES_tradnl"/>
          <w14:ligatures w14:val="standardContextual"/>
        </w:rPr>
        <w:t>”.</w:t>
      </w:r>
    </w:p>
    <w:p w14:paraId="0F40B520" w14:textId="77777777" w:rsidR="009C2AD6" w:rsidRPr="009C2AD6" w:rsidRDefault="009C2AD6" w:rsidP="009C2AD6">
      <w:pPr>
        <w:spacing w:after="0" w:line="240" w:lineRule="auto"/>
        <w:rPr>
          <w:rFonts w:ascii="Verdana" w:eastAsia="Calibri" w:hAnsi="Verdana" w:cs="Times New Roman"/>
          <w:lang w:val="es-ES_tradnl"/>
        </w:rPr>
      </w:pPr>
    </w:p>
    <w:p w14:paraId="407147BE" w14:textId="77777777" w:rsidR="009C2AD6" w:rsidRPr="009C2AD6" w:rsidRDefault="009C2AD6" w:rsidP="009C2AD6">
      <w:pPr>
        <w:spacing w:after="0" w:line="240" w:lineRule="auto"/>
        <w:rPr>
          <w:rFonts w:ascii="Verdana" w:eastAsia="Calibri" w:hAnsi="Verdana" w:cs="Times New Roman"/>
          <w:lang w:val="es-ES_tradnl"/>
        </w:rPr>
      </w:pPr>
    </w:p>
    <w:p w14:paraId="54DA29ED" w14:textId="77777777" w:rsidR="009C2AD6" w:rsidRPr="009C2AD6" w:rsidRDefault="009C2AD6" w:rsidP="009C2AD6">
      <w:pPr>
        <w:spacing w:after="0" w:line="240" w:lineRule="auto"/>
        <w:rPr>
          <w:rFonts w:ascii="Verdana" w:eastAsia="Calibri" w:hAnsi="Verdana" w:cs="Times New Roman"/>
          <w:lang w:val="es-ES_tradnl"/>
        </w:rPr>
      </w:pPr>
    </w:p>
    <w:p w14:paraId="50874423" w14:textId="77777777" w:rsidR="009C2AD6" w:rsidRPr="009C2AD6" w:rsidRDefault="009C2AD6" w:rsidP="009C2AD6">
      <w:pPr>
        <w:spacing w:after="0" w:line="240" w:lineRule="auto"/>
        <w:rPr>
          <w:rFonts w:ascii="Verdana" w:eastAsia="Calibri" w:hAnsi="Verdana" w:cs="Times New Roman"/>
          <w:lang w:val="es-ES_tradnl"/>
        </w:rPr>
      </w:pPr>
    </w:p>
    <w:p w14:paraId="704DC0CA" w14:textId="77777777" w:rsidR="009C2AD6" w:rsidRPr="009C2AD6" w:rsidRDefault="009C2AD6" w:rsidP="009C2AD6">
      <w:pPr>
        <w:spacing w:after="0" w:line="240" w:lineRule="auto"/>
        <w:rPr>
          <w:rFonts w:ascii="Verdana" w:eastAsia="Calibri" w:hAnsi="Verdana" w:cs="Times New Roman"/>
          <w:lang w:val="es-ES_tradnl"/>
        </w:rPr>
      </w:pPr>
    </w:p>
    <w:p w14:paraId="71E9E98F" w14:textId="77777777" w:rsidR="009C2AD6" w:rsidRPr="009C2AD6" w:rsidRDefault="009C2AD6" w:rsidP="009C2AD6">
      <w:pPr>
        <w:spacing w:after="0" w:line="240" w:lineRule="auto"/>
        <w:jc w:val="both"/>
        <w:rPr>
          <w:rFonts w:ascii="Verdana" w:eastAsia="Calibri" w:hAnsi="Verdana" w:cs="Times New Roman"/>
          <w:lang w:val="es-ES_tradnl"/>
        </w:rPr>
      </w:pPr>
    </w:p>
    <w:p w14:paraId="35B20D9C" w14:textId="77777777" w:rsidR="009C2AD6" w:rsidRPr="009C2AD6" w:rsidRDefault="009C2AD6" w:rsidP="009C2AD6">
      <w:pPr>
        <w:spacing w:after="0" w:line="240" w:lineRule="auto"/>
        <w:jc w:val="both"/>
        <w:rPr>
          <w:rFonts w:ascii="Verdana" w:eastAsia="Calibri" w:hAnsi="Verdana" w:cs="Times New Roman"/>
          <w:lang w:val="es-ES_tradnl"/>
        </w:rPr>
      </w:pPr>
    </w:p>
    <w:p w14:paraId="0AC0DA7D" w14:textId="77777777" w:rsidR="009C2AD6" w:rsidRPr="009C2AD6" w:rsidRDefault="009C2AD6" w:rsidP="009C2AD6">
      <w:pPr>
        <w:spacing w:after="0" w:line="240" w:lineRule="auto"/>
        <w:jc w:val="both"/>
        <w:rPr>
          <w:rFonts w:ascii="Verdana" w:eastAsia="Calibri" w:hAnsi="Verdana" w:cs="Times New Roman"/>
          <w:lang w:val="es-ES_tradnl"/>
        </w:rPr>
      </w:pPr>
    </w:p>
    <w:p w14:paraId="238AA575" w14:textId="77777777" w:rsidR="009C2AD6" w:rsidRPr="009C2AD6" w:rsidRDefault="009C2AD6" w:rsidP="009C2AD6">
      <w:pPr>
        <w:spacing w:after="0" w:line="240" w:lineRule="auto"/>
        <w:jc w:val="both"/>
        <w:rPr>
          <w:rFonts w:ascii="Verdana" w:eastAsia="Calibri" w:hAnsi="Verdana" w:cs="Times New Roman"/>
          <w:lang w:val="es-ES_tradnl"/>
        </w:rPr>
      </w:pPr>
    </w:p>
    <w:p w14:paraId="18FA4E40" w14:textId="77777777" w:rsidR="009C2AD6" w:rsidRPr="009C2AD6" w:rsidRDefault="009C2AD6" w:rsidP="009C2AD6">
      <w:pPr>
        <w:spacing w:after="0" w:line="240" w:lineRule="auto"/>
        <w:jc w:val="both"/>
        <w:rPr>
          <w:rFonts w:ascii="Verdana" w:eastAsia="Calibri" w:hAnsi="Verdana" w:cs="Times New Roman"/>
          <w:lang w:val="es-ES_tradnl"/>
        </w:rPr>
      </w:pPr>
    </w:p>
    <w:p w14:paraId="5598B16F" w14:textId="77777777" w:rsidR="009C2AD6" w:rsidRPr="009C2AD6" w:rsidRDefault="009C2AD6" w:rsidP="009C2AD6">
      <w:pPr>
        <w:spacing w:after="0" w:line="240" w:lineRule="auto"/>
        <w:jc w:val="both"/>
        <w:rPr>
          <w:rFonts w:ascii="Verdana" w:eastAsia="Calibri" w:hAnsi="Verdana" w:cs="Times New Roman"/>
          <w:lang w:val="es-ES_tradnl"/>
        </w:rPr>
      </w:pPr>
    </w:p>
    <w:p w14:paraId="5DDBD467" w14:textId="77777777" w:rsidR="009C2AD6" w:rsidRPr="009C2AD6" w:rsidRDefault="009C2AD6" w:rsidP="009C2AD6">
      <w:pPr>
        <w:spacing w:after="0" w:line="240" w:lineRule="auto"/>
        <w:jc w:val="both"/>
        <w:rPr>
          <w:rFonts w:ascii="Verdana" w:eastAsia="Calibri" w:hAnsi="Verdana" w:cs="Times New Roman"/>
          <w:lang w:val="es-ES_tradnl"/>
        </w:rPr>
      </w:pPr>
    </w:p>
    <w:p w14:paraId="55704E88" w14:textId="77777777" w:rsidR="009C2AD6" w:rsidRPr="009C2AD6" w:rsidRDefault="009C2AD6" w:rsidP="009C2AD6">
      <w:pPr>
        <w:spacing w:after="0" w:line="240" w:lineRule="auto"/>
        <w:jc w:val="both"/>
        <w:rPr>
          <w:rFonts w:ascii="Verdana" w:eastAsia="Calibri" w:hAnsi="Verdana" w:cs="Times New Roman"/>
          <w:lang w:val="es-ES_tradnl"/>
        </w:rPr>
      </w:pPr>
    </w:p>
    <w:p w14:paraId="50818C73" w14:textId="77777777" w:rsidR="009C2AD6" w:rsidRPr="009C2AD6" w:rsidRDefault="009C2AD6" w:rsidP="009C2AD6">
      <w:pPr>
        <w:spacing w:after="0" w:line="240" w:lineRule="auto"/>
        <w:jc w:val="both"/>
        <w:rPr>
          <w:rFonts w:ascii="Verdana" w:eastAsia="Calibri" w:hAnsi="Verdana" w:cs="Times New Roman"/>
          <w:lang w:val="es-ES_tradnl"/>
        </w:rPr>
      </w:pPr>
    </w:p>
    <w:p w14:paraId="14F5F7D7" w14:textId="77777777" w:rsidR="009C2AD6" w:rsidRPr="009C2AD6" w:rsidRDefault="009C2AD6" w:rsidP="009C2AD6">
      <w:pPr>
        <w:spacing w:after="0" w:line="240" w:lineRule="auto"/>
        <w:jc w:val="both"/>
        <w:rPr>
          <w:rFonts w:ascii="Verdana" w:eastAsia="Calibri" w:hAnsi="Verdana" w:cs="Times New Roman"/>
          <w:lang w:val="es-ES_tradnl"/>
        </w:rPr>
      </w:pPr>
    </w:p>
    <w:p w14:paraId="3B31A156" w14:textId="77777777" w:rsidR="009C2AD6" w:rsidRPr="009C2AD6" w:rsidRDefault="009C2AD6" w:rsidP="009C2AD6">
      <w:pPr>
        <w:spacing w:after="0" w:line="240" w:lineRule="auto"/>
        <w:jc w:val="both"/>
        <w:rPr>
          <w:rFonts w:ascii="Verdana" w:eastAsia="Calibri" w:hAnsi="Verdana" w:cs="Times New Roman"/>
          <w:lang w:val="es-ES_tradnl"/>
        </w:rPr>
      </w:pPr>
    </w:p>
    <w:p w14:paraId="7A073CDA" w14:textId="77777777" w:rsidR="009C2AD6" w:rsidRPr="009C2AD6" w:rsidRDefault="009C2AD6" w:rsidP="009C2AD6">
      <w:pPr>
        <w:spacing w:after="0" w:line="240" w:lineRule="auto"/>
        <w:jc w:val="both"/>
        <w:rPr>
          <w:rFonts w:ascii="Verdana" w:eastAsia="Calibri" w:hAnsi="Verdana" w:cs="Times New Roman"/>
          <w:lang w:val="es-ES_tradnl"/>
        </w:rPr>
      </w:pPr>
    </w:p>
    <w:p w14:paraId="02B66485" w14:textId="77777777" w:rsidR="009C2AD6" w:rsidRPr="009C2AD6" w:rsidRDefault="009C2AD6" w:rsidP="009C2AD6">
      <w:pPr>
        <w:spacing w:after="0" w:line="240" w:lineRule="auto"/>
        <w:jc w:val="both"/>
        <w:rPr>
          <w:rFonts w:ascii="Verdana" w:eastAsia="Calibri" w:hAnsi="Verdana" w:cs="Times New Roman"/>
          <w:lang w:val="es-ES_tradnl"/>
        </w:rPr>
      </w:pPr>
    </w:p>
    <w:p w14:paraId="2A3AF665" w14:textId="77777777" w:rsidR="009C2AD6" w:rsidRPr="009C2AD6" w:rsidRDefault="009C2AD6" w:rsidP="009C2AD6">
      <w:pPr>
        <w:spacing w:after="0" w:line="240" w:lineRule="auto"/>
        <w:jc w:val="both"/>
        <w:rPr>
          <w:rFonts w:ascii="Verdana" w:eastAsia="Calibri" w:hAnsi="Verdana" w:cs="Times New Roman"/>
          <w:lang w:val="es-ES_tradnl"/>
        </w:rPr>
      </w:pPr>
    </w:p>
    <w:p w14:paraId="330B3D63" w14:textId="77777777" w:rsidR="009C2AD6" w:rsidRPr="009C2AD6" w:rsidRDefault="009C2AD6" w:rsidP="009C2AD6">
      <w:pPr>
        <w:spacing w:after="0" w:line="240" w:lineRule="auto"/>
        <w:jc w:val="both"/>
        <w:rPr>
          <w:rFonts w:ascii="Verdana" w:eastAsia="Calibri" w:hAnsi="Verdana" w:cs="Times New Roman"/>
          <w:lang w:val="es-ES_tradnl"/>
        </w:rPr>
      </w:pPr>
    </w:p>
    <w:p w14:paraId="513ECE63" w14:textId="77777777" w:rsidR="009C2AD6" w:rsidRPr="009C2AD6" w:rsidRDefault="009C2AD6" w:rsidP="009C2AD6">
      <w:pPr>
        <w:spacing w:after="0" w:line="240" w:lineRule="auto"/>
        <w:jc w:val="both"/>
        <w:rPr>
          <w:rFonts w:ascii="Verdana" w:eastAsia="Calibri" w:hAnsi="Verdana" w:cs="Times New Roman"/>
          <w:lang w:val="es-ES_tradnl"/>
        </w:rPr>
      </w:pPr>
    </w:p>
    <w:p w14:paraId="71809A7B" w14:textId="77777777" w:rsidR="009C2AD6" w:rsidRPr="009C2AD6" w:rsidRDefault="009C2AD6" w:rsidP="009C2AD6">
      <w:pPr>
        <w:spacing w:after="0" w:line="240" w:lineRule="auto"/>
        <w:jc w:val="both"/>
        <w:rPr>
          <w:rFonts w:ascii="Verdana" w:eastAsia="Calibri" w:hAnsi="Verdana" w:cs="Times New Roman"/>
          <w:lang w:val="es-ES_tradnl"/>
        </w:rPr>
      </w:pPr>
    </w:p>
    <w:p w14:paraId="6DB35DD0" w14:textId="77777777" w:rsidR="009C2AD6" w:rsidRPr="009C2AD6" w:rsidRDefault="009C2AD6" w:rsidP="009C2AD6">
      <w:pPr>
        <w:spacing w:after="0" w:line="240" w:lineRule="auto"/>
        <w:jc w:val="both"/>
        <w:rPr>
          <w:rFonts w:ascii="Verdana" w:eastAsia="Calibri" w:hAnsi="Verdana" w:cs="Times New Roman"/>
          <w:lang w:val="es-ES_tradnl"/>
        </w:rPr>
      </w:pPr>
    </w:p>
    <w:p w14:paraId="1522DB98" w14:textId="77777777" w:rsidR="009C2AD6" w:rsidRPr="009C2AD6" w:rsidRDefault="009C2AD6" w:rsidP="009C2AD6">
      <w:pPr>
        <w:spacing w:after="0" w:line="240" w:lineRule="auto"/>
        <w:jc w:val="both"/>
        <w:rPr>
          <w:rFonts w:ascii="Verdana" w:eastAsia="Calibri" w:hAnsi="Verdana" w:cs="Times New Roman"/>
          <w:lang w:val="es-ES_tradnl"/>
        </w:rPr>
      </w:pPr>
    </w:p>
    <w:p w14:paraId="754F0067" w14:textId="77777777" w:rsidR="009C2AD6" w:rsidRPr="009C2AD6" w:rsidRDefault="009C2AD6" w:rsidP="009C2AD6">
      <w:pPr>
        <w:spacing w:after="0" w:line="240" w:lineRule="auto"/>
        <w:jc w:val="both"/>
        <w:rPr>
          <w:rFonts w:ascii="Verdana" w:eastAsia="Calibri" w:hAnsi="Verdana" w:cs="Times New Roman"/>
          <w:lang w:val="es-ES_tradnl"/>
        </w:rPr>
      </w:pPr>
    </w:p>
    <w:p w14:paraId="72CF535F" w14:textId="77777777" w:rsidR="009C2AD6" w:rsidRPr="009C2AD6" w:rsidRDefault="009C2AD6" w:rsidP="009C2AD6">
      <w:pPr>
        <w:spacing w:after="0" w:line="240" w:lineRule="auto"/>
        <w:jc w:val="both"/>
        <w:rPr>
          <w:rFonts w:ascii="Verdana" w:eastAsia="Calibri" w:hAnsi="Verdana" w:cs="Times New Roman"/>
          <w:lang w:val="es-ES_tradnl"/>
        </w:rPr>
      </w:pPr>
    </w:p>
    <w:p w14:paraId="16BE4958" w14:textId="77777777" w:rsidR="009C2AD6" w:rsidRPr="009C2AD6" w:rsidRDefault="009C2AD6" w:rsidP="009C2AD6">
      <w:pPr>
        <w:spacing w:after="0" w:line="240" w:lineRule="auto"/>
        <w:jc w:val="both"/>
        <w:rPr>
          <w:rFonts w:ascii="Verdana" w:eastAsia="Calibri" w:hAnsi="Verdana" w:cs="Times New Roman"/>
          <w:lang w:val="es-ES_tradnl"/>
        </w:rPr>
      </w:pPr>
    </w:p>
    <w:p w14:paraId="1D1062C1" w14:textId="77777777" w:rsidR="009C2AD6" w:rsidRPr="009C2AD6" w:rsidRDefault="009C2AD6" w:rsidP="009C2AD6">
      <w:pPr>
        <w:spacing w:after="0" w:line="240" w:lineRule="auto"/>
        <w:jc w:val="both"/>
        <w:rPr>
          <w:rFonts w:ascii="Verdana" w:eastAsia="Calibri" w:hAnsi="Verdana" w:cs="Times New Roman"/>
          <w:lang w:val="es-ES_tradnl"/>
        </w:rPr>
      </w:pPr>
    </w:p>
    <w:p w14:paraId="18A938EB" w14:textId="77777777" w:rsidR="009C2AD6" w:rsidRPr="009C2AD6" w:rsidRDefault="009C2AD6" w:rsidP="009C2AD6">
      <w:pPr>
        <w:spacing w:after="0" w:line="240" w:lineRule="auto"/>
        <w:jc w:val="both"/>
        <w:rPr>
          <w:rFonts w:ascii="Verdana" w:eastAsia="Calibri" w:hAnsi="Verdana" w:cs="Times New Roman"/>
          <w:lang w:val="es-ES_tradnl"/>
        </w:rPr>
      </w:pPr>
    </w:p>
    <w:p w14:paraId="2EF948B1" w14:textId="77777777" w:rsidR="009C2AD6" w:rsidRPr="009C2AD6" w:rsidRDefault="009C2AD6" w:rsidP="009C2AD6">
      <w:pPr>
        <w:spacing w:after="0" w:line="240" w:lineRule="auto"/>
        <w:jc w:val="both"/>
        <w:rPr>
          <w:rFonts w:ascii="Verdana" w:eastAsia="Calibri" w:hAnsi="Verdana" w:cs="Times New Roman"/>
          <w:lang w:val="es-ES_tradnl"/>
        </w:rPr>
      </w:pPr>
    </w:p>
    <w:p w14:paraId="2C66866B" w14:textId="77777777" w:rsidR="009C2AD6" w:rsidRPr="009C2AD6" w:rsidRDefault="009C2AD6" w:rsidP="009C2AD6">
      <w:pPr>
        <w:spacing w:after="0" w:line="240" w:lineRule="auto"/>
        <w:jc w:val="both"/>
        <w:rPr>
          <w:rFonts w:ascii="Verdana" w:eastAsia="Calibri" w:hAnsi="Verdana" w:cs="Times New Roman"/>
          <w:lang w:val="es-ES_tradnl"/>
        </w:rPr>
      </w:pPr>
    </w:p>
    <w:p w14:paraId="743F81B9" w14:textId="77777777" w:rsidR="009C2AD6" w:rsidRPr="009C2AD6" w:rsidRDefault="009C2AD6" w:rsidP="009C2AD6">
      <w:pPr>
        <w:spacing w:after="0" w:line="240" w:lineRule="auto"/>
        <w:jc w:val="both"/>
        <w:rPr>
          <w:rFonts w:ascii="Verdana" w:eastAsia="Calibri" w:hAnsi="Verdana" w:cs="Times New Roman"/>
          <w:lang w:val="es-ES_tradnl"/>
        </w:rPr>
      </w:pPr>
    </w:p>
    <w:p w14:paraId="436081A8" w14:textId="77777777" w:rsidR="009C2AD6" w:rsidRPr="009C2AD6" w:rsidRDefault="009C2AD6" w:rsidP="009C2AD6">
      <w:pPr>
        <w:spacing w:after="0" w:line="240" w:lineRule="auto"/>
        <w:jc w:val="both"/>
        <w:rPr>
          <w:rFonts w:ascii="Verdana" w:eastAsia="Calibri" w:hAnsi="Verdana" w:cs="Times New Roman"/>
          <w:lang w:val="es-ES_tradnl"/>
        </w:rPr>
      </w:pPr>
    </w:p>
    <w:p w14:paraId="685ACFCA" w14:textId="77777777" w:rsidR="009C2AD6" w:rsidRPr="009C2AD6" w:rsidRDefault="009C2AD6" w:rsidP="009C2AD6">
      <w:pPr>
        <w:spacing w:after="0" w:line="240" w:lineRule="auto"/>
        <w:jc w:val="both"/>
        <w:rPr>
          <w:rFonts w:ascii="Verdana" w:eastAsia="Calibri" w:hAnsi="Verdana" w:cs="Times New Roman"/>
          <w:lang w:val="es-ES_tradnl"/>
        </w:rPr>
      </w:pPr>
    </w:p>
    <w:p w14:paraId="7EE25657" w14:textId="77777777" w:rsidR="009C2AD6" w:rsidRPr="009C2AD6" w:rsidRDefault="009C2AD6" w:rsidP="009C2AD6">
      <w:pPr>
        <w:spacing w:after="0" w:line="240" w:lineRule="auto"/>
        <w:jc w:val="both"/>
        <w:rPr>
          <w:rFonts w:ascii="Verdana" w:eastAsia="Calibri" w:hAnsi="Verdana" w:cs="Times New Roman"/>
          <w:lang w:val="es-ES_tradnl"/>
        </w:rPr>
      </w:pPr>
    </w:p>
    <w:p w14:paraId="4C173F44" w14:textId="77777777" w:rsidR="009C2AD6" w:rsidRPr="009C2AD6" w:rsidRDefault="009C2AD6" w:rsidP="009C2AD6">
      <w:pPr>
        <w:spacing w:after="0" w:line="240" w:lineRule="auto"/>
        <w:jc w:val="both"/>
        <w:rPr>
          <w:rFonts w:ascii="Verdana" w:eastAsia="Calibri" w:hAnsi="Verdana" w:cs="Times New Roman"/>
          <w:lang w:val="es-ES_tradnl"/>
        </w:rPr>
      </w:pPr>
    </w:p>
    <w:p w14:paraId="32E2F0B1" w14:textId="77777777" w:rsidR="009C2AD6" w:rsidRPr="009C2AD6" w:rsidRDefault="009C2AD6" w:rsidP="009C2AD6">
      <w:pPr>
        <w:spacing w:after="0" w:line="240" w:lineRule="auto"/>
        <w:jc w:val="both"/>
        <w:rPr>
          <w:rFonts w:ascii="Verdana" w:eastAsia="Calibri" w:hAnsi="Verdana" w:cs="Times New Roman"/>
          <w:lang w:val="es-ES_tradnl"/>
        </w:rPr>
      </w:pPr>
    </w:p>
    <w:p w14:paraId="76469FD4" w14:textId="77777777" w:rsidR="009C2AD6" w:rsidRDefault="009C2AD6" w:rsidP="009C2AD6">
      <w:pPr>
        <w:spacing w:after="0" w:line="240" w:lineRule="auto"/>
        <w:jc w:val="both"/>
        <w:rPr>
          <w:rFonts w:ascii="Verdana" w:eastAsia="Calibri" w:hAnsi="Verdana" w:cs="Times New Roman"/>
          <w:lang w:val="es-ES_tradnl"/>
        </w:rPr>
      </w:pPr>
    </w:p>
    <w:p w14:paraId="48C6FF36" w14:textId="77777777" w:rsidR="009C2AD6" w:rsidRPr="009C2AD6" w:rsidRDefault="009C2AD6" w:rsidP="009C2AD6">
      <w:pPr>
        <w:spacing w:after="0" w:line="240" w:lineRule="auto"/>
        <w:jc w:val="both"/>
        <w:rPr>
          <w:rFonts w:ascii="Verdana" w:eastAsia="Calibri" w:hAnsi="Verdana" w:cs="Times New Roman"/>
          <w:lang w:val="es-ES_tradnl"/>
        </w:rPr>
      </w:pPr>
    </w:p>
    <w:p w14:paraId="4024ECD5" w14:textId="2B817189" w:rsidR="009C2AD6" w:rsidRPr="009C2AD6" w:rsidRDefault="00C64943" w:rsidP="009C2AD6">
      <w:pPr>
        <w:spacing w:after="0" w:line="240" w:lineRule="auto"/>
        <w:jc w:val="both"/>
        <w:rPr>
          <w:rFonts w:ascii="Verdana" w:eastAsia="Calibri" w:hAnsi="Verdana" w:cs="Arial"/>
          <w:lang w:val="es-ES_tradnl" w:eastAsia="es-ES"/>
        </w:rPr>
      </w:pPr>
      <w:r w:rsidRPr="00C64943">
        <w:rPr>
          <w:rFonts w:ascii="Verdana" w:eastAsia="Calibri" w:hAnsi="Verdana" w:cs="Arial"/>
          <w:b/>
          <w:bCs/>
          <w:lang w:val="es-ES" w:eastAsia="es-ES"/>
        </w:rPr>
        <w:lastRenderedPageBreak/>
        <w:drawing>
          <wp:anchor distT="0" distB="0" distL="114300" distR="114300" simplePos="0" relativeHeight="251658240" behindDoc="1" locked="0" layoutInCell="1" allowOverlap="1" wp14:anchorId="23E27ED5" wp14:editId="5B83D1C6">
            <wp:simplePos x="0" y="0"/>
            <wp:positionH relativeFrom="column">
              <wp:posOffset>3482340</wp:posOffset>
            </wp:positionH>
            <wp:positionV relativeFrom="paragraph">
              <wp:posOffset>-71120</wp:posOffset>
            </wp:positionV>
            <wp:extent cx="2581275" cy="791802"/>
            <wp:effectExtent l="0" t="0" r="0" b="8890"/>
            <wp:wrapNone/>
            <wp:docPr id="157745855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5855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81275" cy="791802"/>
                    </a:xfrm>
                    <a:prstGeom prst="rect">
                      <a:avLst/>
                    </a:prstGeom>
                  </pic:spPr>
                </pic:pic>
              </a:graphicData>
            </a:graphic>
            <wp14:sizeRelH relativeFrom="page">
              <wp14:pctWidth>0</wp14:pctWidth>
            </wp14:sizeRelH>
            <wp14:sizeRelV relativeFrom="page">
              <wp14:pctHeight>0</wp14:pctHeight>
            </wp14:sizeRelV>
          </wp:anchor>
        </w:drawing>
      </w:r>
      <w:r w:rsidR="009C2AD6" w:rsidRPr="0024624F">
        <w:rPr>
          <w:rFonts w:ascii="Verdana" w:hAnsi="Verdana"/>
        </w:rPr>
        <w:t xml:space="preserve">Bogotá D.C., </w:t>
      </w:r>
      <w:r>
        <w:rPr>
          <w:rFonts w:ascii="Verdana" w:hAnsi="Verdana"/>
        </w:rPr>
        <w:t>22 de diciembre de 2025</w:t>
      </w:r>
    </w:p>
    <w:p w14:paraId="639E912D" w14:textId="3D6BA59D" w:rsidR="009C2AD6" w:rsidRDefault="009C2AD6" w:rsidP="009C2AD6">
      <w:pPr>
        <w:spacing w:after="0" w:line="240" w:lineRule="auto"/>
        <w:jc w:val="both"/>
        <w:rPr>
          <w:rFonts w:ascii="Verdana" w:eastAsia="Calibri" w:hAnsi="Verdana" w:cs="Arial"/>
          <w:lang w:val="es-ES_tradnl" w:eastAsia="es-ES"/>
        </w:rPr>
      </w:pPr>
    </w:p>
    <w:p w14:paraId="5FF23C4A" w14:textId="36385E2B" w:rsidR="009C2AD6" w:rsidRPr="009C2AD6" w:rsidRDefault="009C2AD6" w:rsidP="009C2AD6">
      <w:pPr>
        <w:spacing w:after="0" w:line="240" w:lineRule="auto"/>
        <w:jc w:val="both"/>
        <w:rPr>
          <w:rFonts w:ascii="Verdana" w:eastAsia="Calibri" w:hAnsi="Verdana" w:cs="Arial"/>
          <w:lang w:val="es-ES_tradnl" w:eastAsia="es-ES"/>
        </w:rPr>
      </w:pPr>
    </w:p>
    <w:p w14:paraId="55345778" w14:textId="50A655A5" w:rsidR="009C2AD6" w:rsidRPr="009C2AD6" w:rsidRDefault="009C2AD6" w:rsidP="009C2AD6">
      <w:pPr>
        <w:spacing w:after="0" w:line="240" w:lineRule="auto"/>
        <w:jc w:val="both"/>
        <w:rPr>
          <w:rFonts w:ascii="Verdana" w:eastAsia="Calibri" w:hAnsi="Verdana" w:cs="Arial"/>
          <w:lang w:val="es-ES_tradnl" w:eastAsia="es-ES"/>
        </w:rPr>
      </w:pPr>
      <w:r w:rsidRPr="009C2AD6">
        <w:rPr>
          <w:rFonts w:ascii="Verdana" w:eastAsia="Calibri" w:hAnsi="Verdana" w:cs="Arial"/>
          <w:lang w:val="es-ES_tradnl" w:eastAsia="es-ES"/>
        </w:rPr>
        <w:t>Señora</w:t>
      </w:r>
    </w:p>
    <w:p w14:paraId="540C748E" w14:textId="031CD246" w:rsidR="009C2AD6" w:rsidRPr="009C2AD6" w:rsidRDefault="009C2AD6" w:rsidP="009C2AD6">
      <w:pPr>
        <w:spacing w:after="0" w:line="240" w:lineRule="auto"/>
        <w:rPr>
          <w:rFonts w:ascii="Verdana" w:eastAsia="Calibri" w:hAnsi="Verdana" w:cs="Arial"/>
          <w:b/>
          <w:bCs/>
          <w:lang w:val="es-ES" w:eastAsia="es-ES"/>
        </w:rPr>
      </w:pPr>
      <w:r w:rsidRPr="009C2AD6">
        <w:rPr>
          <w:rFonts w:ascii="Verdana" w:eastAsia="Calibri" w:hAnsi="Verdana" w:cs="Arial"/>
          <w:b/>
          <w:bCs/>
          <w:lang w:val="es-ES" w:eastAsia="es-ES"/>
        </w:rPr>
        <w:t>Martha Liliana González Martínez</w:t>
      </w:r>
    </w:p>
    <w:p w14:paraId="7CE03CE1" w14:textId="77777777" w:rsidR="009C2AD6" w:rsidRPr="009C2AD6" w:rsidRDefault="009C2AD6" w:rsidP="009C2AD6">
      <w:pPr>
        <w:spacing w:after="0" w:line="240" w:lineRule="auto"/>
        <w:rPr>
          <w:rFonts w:ascii="Verdana" w:eastAsia="Calibri" w:hAnsi="Verdana" w:cs="Arial"/>
          <w:lang w:val="es-ES_tradnl" w:eastAsia="es-ES"/>
        </w:rPr>
      </w:pPr>
      <w:r w:rsidRPr="009C2AD6">
        <w:rPr>
          <w:rFonts w:ascii="Verdana" w:eastAsia="Calibri" w:hAnsi="Verdana" w:cs="Arial"/>
          <w:lang w:val="es-ES_tradnl" w:eastAsia="es-ES"/>
        </w:rPr>
        <w:t>Subdirectora General Jurídica</w:t>
      </w:r>
    </w:p>
    <w:p w14:paraId="418C8703" w14:textId="77777777" w:rsidR="009C2AD6" w:rsidRPr="009C2AD6" w:rsidRDefault="009C2AD6" w:rsidP="009C2AD6">
      <w:pPr>
        <w:spacing w:after="0" w:line="240" w:lineRule="auto"/>
        <w:rPr>
          <w:rFonts w:ascii="Verdana" w:eastAsia="Calibri" w:hAnsi="Verdana" w:cs="Arial"/>
          <w:lang w:val="es-ES_tradnl" w:eastAsia="es-ES"/>
        </w:rPr>
      </w:pPr>
      <w:r w:rsidRPr="009C2AD6">
        <w:rPr>
          <w:rFonts w:ascii="Verdana" w:eastAsia="Calibri" w:hAnsi="Verdana" w:cs="Arial"/>
          <w:lang w:val="es-ES_tradnl" w:eastAsia="es-ES"/>
        </w:rPr>
        <w:t>Instituto de Desarrollo Urbano – IDU</w:t>
      </w:r>
    </w:p>
    <w:p w14:paraId="472460EC" w14:textId="77777777" w:rsidR="009C2AD6" w:rsidRPr="009C2AD6" w:rsidRDefault="009C2AD6" w:rsidP="009C2AD6">
      <w:pPr>
        <w:spacing w:after="0" w:line="240" w:lineRule="auto"/>
        <w:rPr>
          <w:rFonts w:ascii="Verdana" w:eastAsia="Calibri" w:hAnsi="Verdana" w:cs="Arial"/>
          <w:lang w:val="es-ES_tradnl" w:eastAsia="es-ES"/>
        </w:rPr>
      </w:pPr>
      <w:r w:rsidRPr="009C2AD6">
        <w:rPr>
          <w:rFonts w:ascii="Verdana" w:eastAsia="Calibri" w:hAnsi="Verdana" w:cs="Arial"/>
          <w:lang w:val="es-ES_tradnl" w:eastAsia="es-ES"/>
        </w:rPr>
        <w:t>Bogotá, D.C.</w:t>
      </w:r>
    </w:p>
    <w:p w14:paraId="59A7079D" w14:textId="77777777" w:rsidR="009C2AD6" w:rsidRPr="009C2AD6" w:rsidRDefault="009C2AD6" w:rsidP="009C2AD6">
      <w:pPr>
        <w:spacing w:after="0" w:line="240" w:lineRule="auto"/>
        <w:rPr>
          <w:rFonts w:ascii="Verdana" w:eastAsia="Calibri" w:hAnsi="Verdana" w:cs="Arial"/>
          <w:b/>
          <w:bCs/>
          <w:lang w:val="es-ES_tradnl" w:eastAsia="es-ES_tradnl"/>
        </w:rPr>
      </w:pPr>
    </w:p>
    <w:p w14:paraId="77DBEF9E" w14:textId="77777777" w:rsidR="009C2AD6" w:rsidRPr="009C2AD6" w:rsidRDefault="009C2AD6" w:rsidP="009C2AD6">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C2AD6" w:rsidRPr="009C2AD6" w14:paraId="2E311106" w14:textId="77777777" w:rsidTr="009C2AD6">
        <w:trPr>
          <w:trHeight w:val="884"/>
        </w:trPr>
        <w:tc>
          <w:tcPr>
            <w:tcW w:w="2689" w:type="dxa"/>
          </w:tcPr>
          <w:p w14:paraId="4B847B95" w14:textId="77777777" w:rsidR="009C2AD6" w:rsidRPr="009C2AD6" w:rsidRDefault="009C2AD6" w:rsidP="009C2AD6">
            <w:pPr>
              <w:spacing w:line="240" w:lineRule="exact"/>
              <w:jc w:val="both"/>
              <w:rPr>
                <w:rFonts w:ascii="Verdana" w:eastAsia="Calibri" w:hAnsi="Verdana" w:cs="Arial"/>
                <w:b/>
                <w:bCs/>
                <w:lang w:val="es-ES_tradnl" w:eastAsia="es-ES_tradnl"/>
              </w:rPr>
            </w:pPr>
          </w:p>
        </w:tc>
        <w:tc>
          <w:tcPr>
            <w:tcW w:w="6100" w:type="dxa"/>
          </w:tcPr>
          <w:p w14:paraId="3485CE48" w14:textId="1893E034" w:rsidR="009C2AD6" w:rsidRPr="009C2AD6" w:rsidRDefault="009C2AD6" w:rsidP="009C2AD6">
            <w:pPr>
              <w:spacing w:line="240" w:lineRule="exact"/>
              <w:jc w:val="both"/>
              <w:rPr>
                <w:rFonts w:ascii="Verdana" w:eastAsia="Calibri" w:hAnsi="Verdana" w:cs="Arial"/>
                <w:b/>
                <w:bCs/>
                <w:lang w:val="es-ES_tradnl" w:eastAsia="es-ES"/>
              </w:rPr>
            </w:pPr>
            <w:r w:rsidRPr="009C2AD6">
              <w:rPr>
                <w:rFonts w:ascii="Verdana" w:eastAsia="Calibri" w:hAnsi="Verdana" w:cs="Arial"/>
                <w:b/>
                <w:bCs/>
                <w:lang w:val="es-ES_tradnl" w:eastAsia="es-ES"/>
              </w:rPr>
              <w:t xml:space="preserve">Concepto C – </w:t>
            </w:r>
            <w:r w:rsidR="003A600C" w:rsidRPr="003A600C">
              <w:rPr>
                <w:rFonts w:ascii="Verdana" w:eastAsia="Calibri" w:hAnsi="Verdana" w:cs="Arial"/>
                <w:b/>
                <w:bCs/>
                <w:lang w:val="es-ES_tradnl" w:eastAsia="es-ES"/>
              </w:rPr>
              <w:t>1781</w:t>
            </w:r>
            <w:r w:rsidRPr="003A600C">
              <w:rPr>
                <w:rFonts w:ascii="Verdana" w:eastAsia="Calibri" w:hAnsi="Verdana" w:cs="Arial"/>
                <w:b/>
                <w:bCs/>
                <w:lang w:val="es-ES_tradnl" w:eastAsia="es-ES"/>
              </w:rPr>
              <w:t xml:space="preserve"> de 2025</w:t>
            </w:r>
          </w:p>
          <w:p w14:paraId="0C47811E" w14:textId="77777777" w:rsidR="009C2AD6" w:rsidRPr="009C2AD6" w:rsidRDefault="009C2AD6" w:rsidP="009C2AD6">
            <w:pPr>
              <w:tabs>
                <w:tab w:val="left" w:pos="1137"/>
              </w:tabs>
              <w:spacing w:line="240" w:lineRule="exact"/>
              <w:rPr>
                <w:rFonts w:ascii="Verdana" w:eastAsia="Calibri" w:hAnsi="Verdana" w:cs="Arial"/>
                <w:lang w:val="es-ES_tradnl" w:eastAsia="es-ES"/>
              </w:rPr>
            </w:pPr>
            <w:r w:rsidRPr="009C2AD6">
              <w:rPr>
                <w:rFonts w:ascii="Verdana" w:eastAsia="Calibri" w:hAnsi="Verdana" w:cs="Arial"/>
                <w:lang w:val="es-ES_tradnl" w:eastAsia="es-ES"/>
              </w:rPr>
              <w:tab/>
            </w:r>
          </w:p>
        </w:tc>
      </w:tr>
      <w:tr w:rsidR="009C2AD6" w:rsidRPr="009C2AD6" w14:paraId="4163FE31" w14:textId="77777777" w:rsidTr="009C2AD6">
        <w:trPr>
          <w:trHeight w:val="884"/>
        </w:trPr>
        <w:tc>
          <w:tcPr>
            <w:tcW w:w="2689" w:type="dxa"/>
          </w:tcPr>
          <w:p w14:paraId="2B66E4B4" w14:textId="77777777" w:rsidR="009C2AD6" w:rsidRPr="009C2AD6" w:rsidRDefault="009C2AD6" w:rsidP="009C2AD6">
            <w:pPr>
              <w:spacing w:line="240" w:lineRule="exact"/>
              <w:jc w:val="both"/>
              <w:rPr>
                <w:rFonts w:ascii="Verdana" w:eastAsia="Calibri" w:hAnsi="Verdana" w:cs="Arial"/>
                <w:lang w:val="es-ES_tradnl" w:eastAsia="es-ES_tradnl"/>
              </w:rPr>
            </w:pPr>
            <w:r w:rsidRPr="009C2AD6">
              <w:rPr>
                <w:rFonts w:ascii="Verdana" w:eastAsia="Calibri" w:hAnsi="Verdana" w:cs="Arial"/>
                <w:b/>
                <w:lang w:val="es-ES_tradnl" w:eastAsia="es-ES_tradnl"/>
              </w:rPr>
              <w:t>Temas:</w:t>
            </w:r>
            <w:r w:rsidRPr="009C2AD6">
              <w:rPr>
                <w:rFonts w:ascii="Verdana" w:eastAsia="Calibri" w:hAnsi="Verdana" w:cs="Arial"/>
                <w:lang w:val="es-ES_tradnl" w:eastAsia="es-ES_tradnl"/>
              </w:rPr>
              <w:t xml:space="preserve">                   </w:t>
            </w:r>
          </w:p>
        </w:tc>
        <w:tc>
          <w:tcPr>
            <w:tcW w:w="6100" w:type="dxa"/>
          </w:tcPr>
          <w:p w14:paraId="256098D8" w14:textId="01A5E224" w:rsidR="009C2AD6" w:rsidRPr="00014717" w:rsidRDefault="009C2AD6" w:rsidP="009C2AD6">
            <w:pPr>
              <w:spacing w:line="276" w:lineRule="auto"/>
              <w:contextualSpacing/>
              <w:jc w:val="both"/>
              <w:rPr>
                <w:rFonts w:ascii="Verdana" w:eastAsia="Aptos" w:hAnsi="Verdana" w:cs="Arial"/>
                <w:bCs/>
                <w:color w:val="000000"/>
                <w:kern w:val="2"/>
                <w:lang w:val="es-ES_tradnl"/>
                <w14:ligatures w14:val="standardContextual"/>
              </w:rPr>
            </w:pPr>
            <w:r w:rsidRPr="00014717">
              <w:rPr>
                <w:rFonts w:ascii="Verdana" w:eastAsia="Aptos" w:hAnsi="Verdana" w:cs="Arial"/>
                <w:bCs/>
                <w:color w:val="000000"/>
                <w:lang w:val="es-ES_tradnl"/>
              </w:rPr>
              <w:t>DOCUMENTOS TIPO – Fundamento normativo /</w:t>
            </w:r>
            <w:r w:rsidR="00014717" w:rsidRPr="00014717">
              <w:rPr>
                <w:rFonts w:ascii="Verdana" w:eastAsia="Aptos" w:hAnsi="Verdana" w:cs="Arial"/>
                <w:bCs/>
                <w:color w:val="000000"/>
                <w:lang w:val="es-ES_tradnl"/>
              </w:rPr>
              <w:t xml:space="preserve"> </w:t>
            </w:r>
            <w:r w:rsidR="00014717" w:rsidRPr="00014717">
              <w:rPr>
                <w:rFonts w:ascii="Verdana" w:eastAsia="Aptos" w:hAnsi="Verdana" w:cs="Arial"/>
                <w:bCs/>
                <w:color w:val="000000"/>
                <w:kern w:val="2"/>
                <w:lang w:val="es-ES_tradnl"/>
                <w14:ligatures w14:val="standardContextual"/>
              </w:rPr>
              <w:t>DOCUMENTOS TIPO – Infraestructura de transporte – Ámbito de aplicación – Experiencia / DOCUMENTOS TIPO DE INFRAESTRUCTURA DE TRANSPORTE – Proyectos de demolición de predios – Matriz 1 – Actividad 6.23 – Acreditación de la experiencia</w:t>
            </w:r>
          </w:p>
          <w:p w14:paraId="05D46CF1" w14:textId="77777777" w:rsidR="009C2AD6" w:rsidRPr="009C2AD6" w:rsidRDefault="009C2AD6" w:rsidP="009C2AD6">
            <w:pPr>
              <w:spacing w:line="276" w:lineRule="auto"/>
              <w:contextualSpacing/>
              <w:jc w:val="both"/>
              <w:rPr>
                <w:rFonts w:ascii="Verdana" w:eastAsia="Aptos" w:hAnsi="Verdana" w:cs="Arial"/>
                <w:bCs/>
                <w:color w:val="000000"/>
                <w:lang w:val="es-ES_tradnl"/>
              </w:rPr>
            </w:pPr>
          </w:p>
        </w:tc>
      </w:tr>
      <w:tr w:rsidR="009C2AD6" w:rsidRPr="009C2AD6" w14:paraId="4B0DEC97" w14:textId="77777777" w:rsidTr="009C2AD6">
        <w:tc>
          <w:tcPr>
            <w:tcW w:w="2689" w:type="dxa"/>
          </w:tcPr>
          <w:p w14:paraId="341B70D3" w14:textId="77777777" w:rsidR="009C2AD6" w:rsidRPr="009C2AD6" w:rsidRDefault="009C2AD6" w:rsidP="009C2AD6">
            <w:pPr>
              <w:spacing w:line="240" w:lineRule="exact"/>
              <w:jc w:val="both"/>
              <w:rPr>
                <w:rFonts w:ascii="Verdana" w:eastAsia="Calibri" w:hAnsi="Verdana" w:cs="Arial"/>
                <w:b/>
                <w:lang w:val="es-ES_tradnl" w:eastAsia="es-ES_tradnl"/>
              </w:rPr>
            </w:pPr>
            <w:r w:rsidRPr="009C2AD6">
              <w:rPr>
                <w:rFonts w:ascii="Verdana" w:eastAsia="Calibri" w:hAnsi="Verdana" w:cs="Arial"/>
                <w:b/>
                <w:lang w:val="es-ES_tradnl" w:eastAsia="es-ES_tradnl"/>
              </w:rPr>
              <w:t>Radicación:</w:t>
            </w:r>
            <w:r w:rsidRPr="009C2AD6">
              <w:rPr>
                <w:rFonts w:ascii="Verdana" w:eastAsia="Calibri" w:hAnsi="Verdana" w:cs="Arial"/>
                <w:lang w:val="es-ES_tradnl" w:eastAsia="es-ES_tradnl"/>
              </w:rPr>
              <w:t xml:space="preserve">               </w:t>
            </w:r>
          </w:p>
        </w:tc>
        <w:tc>
          <w:tcPr>
            <w:tcW w:w="6100" w:type="dxa"/>
          </w:tcPr>
          <w:p w14:paraId="1BC40C05" w14:textId="77777777" w:rsidR="009C2AD6" w:rsidRPr="009C2AD6" w:rsidRDefault="009C2AD6" w:rsidP="009C2AD6">
            <w:pPr>
              <w:spacing w:line="240" w:lineRule="exact"/>
              <w:jc w:val="both"/>
              <w:rPr>
                <w:rFonts w:ascii="Verdana" w:eastAsia="Calibri" w:hAnsi="Verdana" w:cs="Arial"/>
                <w:lang w:val="es-ES_tradnl" w:eastAsia="es-ES_tradnl"/>
              </w:rPr>
            </w:pPr>
            <w:r w:rsidRPr="009C2AD6">
              <w:rPr>
                <w:rFonts w:ascii="Verdana" w:eastAsia="Calibri" w:hAnsi="Verdana" w:cs="Arial"/>
                <w:lang w:val="es-ES_tradnl" w:eastAsia="es-ES_tradnl"/>
              </w:rPr>
              <w:t>Respuesta a consulta con radicado No. 1_2025_12_19_014215</w:t>
            </w:r>
          </w:p>
        </w:tc>
      </w:tr>
    </w:tbl>
    <w:p w14:paraId="703A2F59" w14:textId="77777777" w:rsidR="009C2AD6" w:rsidRPr="009C2AD6" w:rsidRDefault="009C2AD6" w:rsidP="009C2AD6">
      <w:pPr>
        <w:spacing w:after="0" w:line="240" w:lineRule="auto"/>
        <w:jc w:val="both"/>
        <w:rPr>
          <w:rFonts w:ascii="Verdana" w:eastAsia="Calibri" w:hAnsi="Verdana" w:cs="Arial"/>
          <w:lang w:val="es-ES_tradnl" w:eastAsia="es-ES_tradnl"/>
        </w:rPr>
      </w:pPr>
    </w:p>
    <w:p w14:paraId="03376904" w14:textId="77777777" w:rsidR="009C2AD6" w:rsidRPr="009C2AD6" w:rsidRDefault="009C2AD6" w:rsidP="009C2AD6">
      <w:pPr>
        <w:spacing w:after="0" w:line="240" w:lineRule="auto"/>
        <w:jc w:val="both"/>
        <w:rPr>
          <w:rFonts w:ascii="Verdana" w:eastAsia="Calibri" w:hAnsi="Verdana" w:cs="Arial"/>
          <w:lang w:val="es-ES_tradnl" w:eastAsia="es-ES_tradnl"/>
        </w:rPr>
      </w:pPr>
    </w:p>
    <w:p w14:paraId="7FC45F58" w14:textId="77777777" w:rsidR="009C2AD6" w:rsidRPr="009C2AD6" w:rsidRDefault="009C2AD6" w:rsidP="009C2AD6">
      <w:pPr>
        <w:spacing w:after="0" w:line="276" w:lineRule="auto"/>
        <w:jc w:val="both"/>
        <w:rPr>
          <w:rFonts w:ascii="Verdana" w:eastAsia="Calibri" w:hAnsi="Verdana" w:cs="Arial"/>
          <w:lang w:val="es-ES" w:eastAsia="es-ES"/>
        </w:rPr>
      </w:pPr>
      <w:r w:rsidRPr="009C2AD6">
        <w:rPr>
          <w:rFonts w:ascii="Verdana" w:eastAsia="Calibri" w:hAnsi="Verdana" w:cs="Arial"/>
          <w:lang w:val="es-ES" w:eastAsia="es-ES"/>
        </w:rPr>
        <w:t xml:space="preserve">Estimada señora González Martínez: </w:t>
      </w:r>
    </w:p>
    <w:p w14:paraId="2B8AA936" w14:textId="77777777" w:rsidR="009C2AD6" w:rsidRPr="009C2AD6" w:rsidRDefault="009C2AD6" w:rsidP="009C2AD6">
      <w:pPr>
        <w:tabs>
          <w:tab w:val="left" w:pos="3768"/>
        </w:tabs>
        <w:spacing w:after="0" w:line="276" w:lineRule="auto"/>
        <w:jc w:val="both"/>
        <w:rPr>
          <w:rFonts w:ascii="Verdana" w:eastAsia="Calibri" w:hAnsi="Verdana" w:cs="Arial"/>
          <w:lang w:val="es-ES_tradnl" w:eastAsia="es-ES"/>
        </w:rPr>
      </w:pPr>
      <w:r w:rsidRPr="009C2AD6">
        <w:rPr>
          <w:rFonts w:ascii="Verdana" w:eastAsia="Calibri" w:hAnsi="Verdana" w:cs="Arial"/>
          <w:lang w:val="es-ES_tradnl" w:eastAsia="es-ES"/>
        </w:rPr>
        <w:tab/>
      </w:r>
    </w:p>
    <w:p w14:paraId="018A38F0" w14:textId="77777777" w:rsidR="009C2AD6" w:rsidRPr="009C2AD6" w:rsidRDefault="009C2AD6" w:rsidP="009C2AD6">
      <w:pPr>
        <w:snapToGrid w:val="0"/>
        <w:spacing w:after="0" w:line="276" w:lineRule="auto"/>
        <w:jc w:val="both"/>
        <w:rPr>
          <w:rFonts w:ascii="Verdana" w:eastAsia="Calibri" w:hAnsi="Verdana" w:cs="Arial"/>
          <w:lang w:val="es-ES_tradnl" w:eastAsia="es-ES"/>
        </w:rPr>
      </w:pPr>
      <w:r w:rsidRPr="009C2AD6">
        <w:rPr>
          <w:rFonts w:ascii="Verdana" w:eastAsia="Calibri" w:hAnsi="Verdana" w:cs="Arial"/>
          <w:lang w:val="es-ES_tradnl" w:eastAsia="es-ES"/>
        </w:rPr>
        <w:t>En ejercicio de la competencia otorgada por los artículos 3, numeral 5º, y 11, numeral 8º, del Decreto Ley 4170 de 2011,</w:t>
      </w:r>
      <w:r w:rsidRPr="009C2AD6">
        <w:rPr>
          <w:rFonts w:ascii="Verdana" w:eastAsia="Arial MT" w:hAnsi="Verdana" w:cs="Arial MT"/>
          <w:lang w:val="es-ES_tradnl" w:eastAsia="es-ES"/>
        </w:rPr>
        <w:t xml:space="preserve"> </w:t>
      </w:r>
      <w:r w:rsidRPr="009C2AD6">
        <w:rPr>
          <w:rFonts w:ascii="Verdana" w:eastAsia="Calibri" w:hAnsi="Verdana" w:cs="Arial"/>
          <w:lang w:val="es-ES_tradnl"/>
        </w:rPr>
        <w:t xml:space="preserve">así como lo establecido en el artículo 4 de la Resolución 1707 de 2018 expedida por esta Entidad, </w:t>
      </w:r>
      <w:r w:rsidRPr="009C2AD6">
        <w:rPr>
          <w:rFonts w:ascii="Verdana" w:eastAsia="Calibri" w:hAnsi="Verdana" w:cs="Arial"/>
          <w:lang w:val="es-ES_tradnl" w:eastAsia="es-ES"/>
        </w:rPr>
        <w:t>la Agencia Nacional de Contratación Pública –Colombia Compra Eficiente– responde su solicitud de consulta de fecha 19 de diciembre de 2025. En relación con los documentos tipo de licitación de obra pública de infraestructura de transporte, usted pregunta lo siguiente:</w:t>
      </w:r>
    </w:p>
    <w:p w14:paraId="2EB70B22" w14:textId="77777777" w:rsidR="009C2AD6" w:rsidRPr="009C2AD6" w:rsidRDefault="009C2AD6" w:rsidP="009C2AD6">
      <w:pPr>
        <w:tabs>
          <w:tab w:val="left" w:pos="142"/>
          <w:tab w:val="left" w:pos="1275"/>
        </w:tabs>
        <w:snapToGrid w:val="0"/>
        <w:spacing w:after="0" w:line="276" w:lineRule="auto"/>
        <w:jc w:val="both"/>
        <w:rPr>
          <w:rFonts w:ascii="Verdana" w:eastAsia="Century Gothic" w:hAnsi="Verdana" w:cs="Century Gothic"/>
          <w:b/>
          <w:bCs/>
          <w:lang w:val="es-ES_tradnl"/>
        </w:rPr>
      </w:pPr>
      <w:r w:rsidRPr="009C2AD6">
        <w:rPr>
          <w:rFonts w:ascii="Verdana" w:eastAsia="Century Gothic" w:hAnsi="Verdana" w:cs="Century Gothic"/>
          <w:b/>
          <w:bCs/>
          <w:lang w:val="es-ES_tradnl"/>
        </w:rPr>
        <w:tab/>
      </w:r>
      <w:r w:rsidRPr="009C2AD6">
        <w:rPr>
          <w:rFonts w:ascii="Verdana" w:eastAsia="Century Gothic" w:hAnsi="Verdana" w:cs="Century Gothic"/>
          <w:b/>
          <w:bCs/>
          <w:lang w:val="es-ES_tradnl"/>
        </w:rPr>
        <w:tab/>
      </w:r>
    </w:p>
    <w:p w14:paraId="3F32D6D1" w14:textId="4D4A9919" w:rsidR="009C2AD6" w:rsidRPr="009C2AD6" w:rsidRDefault="009C2AD6" w:rsidP="009C2AD6">
      <w:pPr>
        <w:snapToGrid w:val="0"/>
        <w:spacing w:after="0" w:line="240" w:lineRule="auto"/>
        <w:ind w:left="720" w:right="709"/>
        <w:jc w:val="both"/>
        <w:rPr>
          <w:rFonts w:ascii="Verdana" w:eastAsia="Century Gothic" w:hAnsi="Verdana" w:cs="Century Gothic"/>
          <w:sz w:val="21"/>
          <w:szCs w:val="21"/>
          <w:lang w:val="es-ES"/>
        </w:rPr>
      </w:pPr>
      <w:r w:rsidRPr="009C2AD6">
        <w:rPr>
          <w:rFonts w:ascii="Verdana" w:eastAsia="Century Gothic" w:hAnsi="Verdana" w:cs="Century Gothic"/>
          <w:sz w:val="21"/>
          <w:szCs w:val="21"/>
          <w:lang w:val="es-ES"/>
        </w:rPr>
        <w:t xml:space="preserve">“1. En un proceso de selección, en donde aportan contratos con objetos ajenos a la infraestructura de transporte para la acreditación de la experiencia, y estos no desagregan valores y magnitudes donde se evidencie porcentajes referente a la ejecución en este tipo de infraestructura, es posible validarlos sin tener en cuenta lo establecido </w:t>
      </w:r>
      <w:r w:rsidRPr="009C2AD6">
        <w:rPr>
          <w:rFonts w:ascii="Verdana" w:eastAsia="Century Gothic" w:hAnsi="Verdana" w:cs="Century Gothic"/>
          <w:sz w:val="21"/>
          <w:szCs w:val="21"/>
          <w:lang w:val="es-ES"/>
        </w:rPr>
        <w:lastRenderedPageBreak/>
        <w:t>en el literal J del numeral 3.5.3. del pliego de condiciones, en consideración a que la experiencia aportada es de “demolición de edificaciones” sin especificar que debe estar asociada a la infraestructura de transporte</w:t>
      </w:r>
      <w:r w:rsidR="00DD35C0">
        <w:rPr>
          <w:rFonts w:ascii="Verdana" w:eastAsia="Century Gothic" w:hAnsi="Verdana" w:cs="Century Gothic"/>
          <w:sz w:val="21"/>
          <w:szCs w:val="21"/>
          <w:lang w:val="es-ES"/>
        </w:rPr>
        <w:t>”</w:t>
      </w:r>
      <w:r w:rsidRPr="009C2AD6">
        <w:rPr>
          <w:rFonts w:ascii="Verdana" w:eastAsia="Century Gothic" w:hAnsi="Verdana" w:cs="Century Gothic"/>
          <w:sz w:val="21"/>
          <w:szCs w:val="21"/>
          <w:lang w:val="es-ES"/>
        </w:rPr>
        <w:t>.</w:t>
      </w:r>
    </w:p>
    <w:p w14:paraId="1C67EF80" w14:textId="77777777" w:rsidR="009C2AD6" w:rsidRPr="009C2AD6" w:rsidRDefault="009C2AD6" w:rsidP="009C2AD6">
      <w:pPr>
        <w:snapToGrid w:val="0"/>
        <w:spacing w:after="0" w:line="240" w:lineRule="auto"/>
        <w:ind w:left="720" w:right="709"/>
        <w:jc w:val="both"/>
        <w:rPr>
          <w:rFonts w:ascii="Verdana" w:eastAsia="Century Gothic" w:hAnsi="Verdana" w:cs="Century Gothic"/>
          <w:lang w:val="es-ES_tradnl"/>
        </w:rPr>
      </w:pPr>
    </w:p>
    <w:p w14:paraId="5A5BBBF1" w14:textId="77777777" w:rsidR="009C2AD6" w:rsidRPr="009C2AD6" w:rsidRDefault="009C2AD6" w:rsidP="009C2AD6">
      <w:pPr>
        <w:spacing w:after="120" w:line="276" w:lineRule="auto"/>
        <w:ind w:firstLine="709"/>
        <w:jc w:val="both"/>
        <w:rPr>
          <w:rFonts w:ascii="Verdana" w:eastAsia="Calibri" w:hAnsi="Verdana" w:cs="Arial"/>
          <w:lang w:val="es-ES" w:eastAsia="es-ES"/>
        </w:rPr>
      </w:pPr>
      <w:r w:rsidRPr="009C2AD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C2AD6">
        <w:rPr>
          <w:rFonts w:ascii="Calibri" w:eastAsia="Calibri" w:hAnsi="Calibri" w:cs="Times New Roman"/>
        </w:rPr>
        <w:tab/>
      </w:r>
    </w:p>
    <w:p w14:paraId="0C460078" w14:textId="77777777" w:rsidR="009C2AD6" w:rsidRPr="009C2AD6" w:rsidRDefault="009C2AD6" w:rsidP="009C2AD6">
      <w:pPr>
        <w:snapToGrid w:val="0"/>
        <w:spacing w:after="0" w:line="276" w:lineRule="auto"/>
        <w:ind w:firstLine="709"/>
        <w:jc w:val="both"/>
        <w:rPr>
          <w:rFonts w:ascii="Verdana" w:eastAsia="Calibri" w:hAnsi="Verdana" w:cs="Arial"/>
          <w:lang w:val="es-ES_tradnl" w:eastAsia="es-ES"/>
        </w:rPr>
      </w:pPr>
      <w:r w:rsidRPr="009C2AD6">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48CAEFE" w14:textId="77777777" w:rsidR="009C2AD6" w:rsidRPr="009C2AD6" w:rsidRDefault="009C2AD6" w:rsidP="009C2AD6">
      <w:pPr>
        <w:snapToGrid w:val="0"/>
        <w:spacing w:after="0" w:line="276" w:lineRule="auto"/>
        <w:ind w:firstLine="709"/>
        <w:jc w:val="both"/>
        <w:rPr>
          <w:rFonts w:ascii="Verdana" w:eastAsia="Calibri" w:hAnsi="Verdana" w:cs="Arial"/>
          <w:lang w:val="es-ES_tradnl" w:eastAsia="es-ES"/>
        </w:rPr>
      </w:pPr>
    </w:p>
    <w:p w14:paraId="54223757" w14:textId="77777777" w:rsidR="009C2AD6" w:rsidRPr="009C2AD6" w:rsidRDefault="009C2AD6" w:rsidP="009C2AD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C2AD6">
        <w:rPr>
          <w:rFonts w:ascii="Verdana" w:eastAsia="Century Gothic" w:hAnsi="Verdana" w:cs="Century Gothic"/>
          <w:b/>
          <w:bCs/>
          <w:lang w:val="es-ES_tradnl"/>
        </w:rPr>
        <w:t>Problema planteado:</w:t>
      </w:r>
    </w:p>
    <w:p w14:paraId="3FB1E231" w14:textId="77777777" w:rsidR="009C2AD6" w:rsidRPr="009C2AD6" w:rsidRDefault="009C2AD6" w:rsidP="009C2AD6">
      <w:pPr>
        <w:tabs>
          <w:tab w:val="left" w:pos="426"/>
        </w:tabs>
        <w:snapToGrid w:val="0"/>
        <w:spacing w:after="0" w:line="276" w:lineRule="auto"/>
        <w:jc w:val="both"/>
        <w:rPr>
          <w:rFonts w:ascii="Verdana" w:eastAsia="Century Gothic" w:hAnsi="Verdana" w:cs="Century Gothic"/>
          <w:lang w:val="es-ES_tradnl"/>
        </w:rPr>
      </w:pPr>
    </w:p>
    <w:p w14:paraId="263F469F" w14:textId="77777777" w:rsidR="009C2AD6" w:rsidRPr="009C2AD6" w:rsidRDefault="009C2AD6" w:rsidP="009C2AD6">
      <w:pPr>
        <w:snapToGrid w:val="0"/>
        <w:spacing w:after="0" w:line="276" w:lineRule="auto"/>
        <w:jc w:val="both"/>
        <w:rPr>
          <w:rFonts w:ascii="Verdana" w:eastAsia="Century Gothic" w:hAnsi="Verdana" w:cs="Century Gothic"/>
          <w:lang w:val="es-ES"/>
        </w:rPr>
      </w:pPr>
      <w:r w:rsidRPr="009C2AD6">
        <w:rPr>
          <w:rFonts w:ascii="Verdana" w:eastAsia="Century Gothic" w:hAnsi="Verdana" w:cs="Century Gothic"/>
          <w:lang w:val="es-ES"/>
        </w:rPr>
        <w:t>De acuerdo con el contenido de su solicitud, esta Agencia resolverá el siguiente problema jurídico: ¿cuál es el alcance de la acreditación de experiencia en el caso de proyectos de demolición de predios para la intervención de vías, parques y espacio público asociado a la infraestructura de transporte, conforme a los documentos tipo de licitación de obra pública de infraestructura de transporte?</w:t>
      </w:r>
    </w:p>
    <w:p w14:paraId="64850CEA" w14:textId="77777777" w:rsidR="009C2AD6" w:rsidRPr="009C2AD6" w:rsidRDefault="009C2AD6" w:rsidP="009C2AD6">
      <w:pPr>
        <w:snapToGrid w:val="0"/>
        <w:spacing w:after="0" w:line="276" w:lineRule="auto"/>
        <w:jc w:val="both"/>
        <w:rPr>
          <w:rFonts w:ascii="Verdana" w:eastAsia="Century Gothic" w:hAnsi="Verdana" w:cs="Century Gothic"/>
          <w:lang w:val="es-ES_tradnl"/>
        </w:rPr>
      </w:pPr>
    </w:p>
    <w:p w14:paraId="5F4D4DF7" w14:textId="77777777" w:rsidR="009C2AD6" w:rsidRPr="009C2AD6" w:rsidRDefault="009C2AD6" w:rsidP="009C2AD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C2AD6">
        <w:rPr>
          <w:rFonts w:ascii="Verdana" w:eastAsia="Century Gothic" w:hAnsi="Verdana" w:cs="Century Gothic"/>
          <w:b/>
          <w:bCs/>
          <w:lang w:val="es-ES_tradnl"/>
        </w:rPr>
        <w:t>Respuesta:</w:t>
      </w:r>
    </w:p>
    <w:p w14:paraId="33B4D838" w14:textId="77777777" w:rsidR="009C2AD6" w:rsidRPr="009C2AD6" w:rsidRDefault="009C2AD6" w:rsidP="009C2AD6">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C2AD6" w:rsidRPr="009C2AD6" w14:paraId="097B5C6D" w14:textId="77777777" w:rsidTr="007E0460">
        <w:tc>
          <w:tcPr>
            <w:tcW w:w="8828" w:type="dxa"/>
          </w:tcPr>
          <w:p w14:paraId="3BD7ADDE" w14:textId="77777777" w:rsidR="009C2AD6" w:rsidRPr="009C2AD6" w:rsidRDefault="009C2AD6" w:rsidP="009C2AD6">
            <w:pPr>
              <w:snapToGrid w:val="0"/>
              <w:spacing w:line="276" w:lineRule="auto"/>
              <w:jc w:val="both"/>
              <w:rPr>
                <w:rFonts w:ascii="Verdana" w:eastAsia="Aptos" w:hAnsi="Verdana" w:cs="Aptos"/>
                <w:lang w:val="es-ES_tradnl"/>
              </w:rPr>
            </w:pPr>
            <w:r w:rsidRPr="009C2AD6">
              <w:rPr>
                <w:rFonts w:ascii="Verdana" w:eastAsia="Aptos" w:hAnsi="Verdana" w:cs="Aptos"/>
                <w:lang w:val="es-ES_tradnl"/>
              </w:rPr>
              <w:t xml:space="preserve">La “Matriz 1 – Experiencia” de los documentos tipo de licitación de obra pública de infraestructura de transporte, en el Capítulo 6. “OBRAS DE INFRAESTRUCTURA VIAL URBANA”, incluye la actividad 6.23. “PROYECTOS DE </w:t>
            </w:r>
            <w:r w:rsidRPr="009C2AD6">
              <w:rPr>
                <w:rFonts w:ascii="Verdana" w:eastAsia="Aptos" w:hAnsi="Verdana" w:cs="Aptos"/>
                <w:lang w:val="es-ES_tradnl"/>
              </w:rPr>
              <w:lastRenderedPageBreak/>
              <w:t>DEMOLICION DE PREDIOS PARA INTERVENCION DE VIAS, PARQUES, ESPACIO PUBLICO ASOCIADO A LA INFRAESTRUCTURA DE TRANSPORTE”.</w:t>
            </w:r>
            <w:r w:rsidRPr="009C2AD6">
              <w:rPr>
                <w:rFonts w:ascii="Verdana" w:eastAsia="Aptos" w:hAnsi="Verdana" w:cs="Aptos"/>
                <w:i/>
                <w:iCs/>
                <w:lang w:val="es-ES_tradnl"/>
              </w:rPr>
              <w:t xml:space="preserve"> </w:t>
            </w:r>
            <w:r w:rsidRPr="009C2AD6">
              <w:rPr>
                <w:rFonts w:ascii="Verdana" w:eastAsia="Aptos" w:hAnsi="Verdana" w:cs="Aptos"/>
                <w:lang w:val="es-ES_tradnl"/>
              </w:rPr>
              <w:t>Frente a esta actividad, se solicita la siguiente experiencia:</w:t>
            </w:r>
          </w:p>
          <w:p w14:paraId="5C35E91A" w14:textId="77777777" w:rsidR="009C2AD6" w:rsidRPr="009C2AD6" w:rsidRDefault="009C2AD6" w:rsidP="009C2AD6">
            <w:pPr>
              <w:jc w:val="both"/>
              <w:rPr>
                <w:rFonts w:ascii="Aptos" w:eastAsia="Aptos" w:hAnsi="Aptos" w:cs="Aptos"/>
                <w:lang w:val="es-ES_tradnl"/>
              </w:rPr>
            </w:pPr>
          </w:p>
          <w:p w14:paraId="1B3C60EA" w14:textId="77777777" w:rsidR="009C2AD6" w:rsidRPr="009C2AD6" w:rsidRDefault="009C2AD6" w:rsidP="009C2AD6">
            <w:pPr>
              <w:snapToGrid w:val="0"/>
              <w:ind w:left="709" w:right="709"/>
              <w:jc w:val="both"/>
              <w:rPr>
                <w:rFonts w:ascii="Verdana" w:eastAsia="Aptos" w:hAnsi="Verdana" w:cs="Aptos"/>
                <w:i/>
                <w:iCs/>
                <w:sz w:val="21"/>
                <w:szCs w:val="21"/>
                <w:lang w:val="es-ES_tradnl"/>
              </w:rPr>
            </w:pPr>
            <w:r w:rsidRPr="009C2AD6">
              <w:rPr>
                <w:rFonts w:ascii="Verdana" w:eastAsia="Aptos" w:hAnsi="Verdana" w:cs="Aptos"/>
                <w:b/>
                <w:bCs/>
                <w:sz w:val="21"/>
                <w:szCs w:val="21"/>
                <w:u w:val="single"/>
                <w:lang w:val="es-ES_tradnl"/>
              </w:rPr>
              <w:t>General:</w:t>
            </w:r>
            <w:r w:rsidRPr="009C2AD6">
              <w:rPr>
                <w:rFonts w:ascii="Verdana" w:eastAsia="Aptos" w:hAnsi="Verdana" w:cs="Aptos"/>
                <w:sz w:val="21"/>
                <w:szCs w:val="21"/>
                <w:lang w:val="es-ES_tradnl"/>
              </w:rPr>
              <w:t xml:space="preserve"> </w:t>
            </w:r>
            <w:r w:rsidRPr="009C2AD6">
              <w:rPr>
                <w:rFonts w:ascii="Verdana" w:eastAsia="Aptos" w:hAnsi="Verdana" w:cs="Aptos"/>
                <w:i/>
                <w:iCs/>
                <w:sz w:val="21"/>
                <w:szCs w:val="21"/>
                <w:lang w:val="es-ES_tradnl"/>
              </w:rPr>
              <w:t>“CONSTRUCCIÓN O AMPLIACIÓN O REMODELACIÓN O REFORZAMIENTO O ADECUACIÓN O REHABILITACIÓN O MANTENIMIENTO O MEJORAMIENTO O DEMOLICIÓN DE EDIFICACIONES EN ESTRUCTURA METALICA O EN CONCRETO”.</w:t>
            </w:r>
          </w:p>
          <w:p w14:paraId="765EBC02" w14:textId="77777777" w:rsidR="009C2AD6" w:rsidRPr="009C2AD6" w:rsidRDefault="009C2AD6" w:rsidP="009C2AD6">
            <w:pPr>
              <w:snapToGrid w:val="0"/>
              <w:ind w:left="709" w:right="709"/>
              <w:jc w:val="both"/>
              <w:rPr>
                <w:rFonts w:ascii="Verdana" w:eastAsia="Aptos" w:hAnsi="Verdana" w:cs="Aptos"/>
                <w:i/>
                <w:iCs/>
                <w:sz w:val="21"/>
                <w:szCs w:val="21"/>
                <w:lang w:val="es-ES_tradnl"/>
              </w:rPr>
            </w:pPr>
          </w:p>
          <w:p w14:paraId="2B5F921D" w14:textId="77777777" w:rsidR="009C2AD6" w:rsidRPr="009C2AD6" w:rsidRDefault="009C2AD6" w:rsidP="009C2AD6">
            <w:pPr>
              <w:snapToGrid w:val="0"/>
              <w:ind w:left="709" w:right="709"/>
              <w:jc w:val="both"/>
              <w:rPr>
                <w:rFonts w:ascii="Verdana" w:eastAsia="Aptos" w:hAnsi="Verdana" w:cs="Aptos"/>
                <w:sz w:val="21"/>
                <w:szCs w:val="21"/>
                <w:lang w:val="es-ES_tradnl"/>
              </w:rPr>
            </w:pPr>
            <w:r w:rsidRPr="009C2AD6">
              <w:rPr>
                <w:rFonts w:ascii="Verdana" w:eastAsia="Aptos" w:hAnsi="Verdana" w:cs="Aptos"/>
                <w:b/>
                <w:bCs/>
                <w:i/>
                <w:iCs/>
                <w:sz w:val="21"/>
                <w:szCs w:val="21"/>
                <w:lang w:val="es-ES_tradnl"/>
              </w:rPr>
              <w:t>Específica</w:t>
            </w:r>
            <w:r w:rsidRPr="009C2AD6">
              <w:rPr>
                <w:rFonts w:ascii="Verdana" w:eastAsia="Aptos" w:hAnsi="Verdana" w:cs="Aptos"/>
                <w:sz w:val="21"/>
                <w:szCs w:val="21"/>
                <w:lang w:val="es-ES_tradnl"/>
              </w:rPr>
              <w:t>: “</w:t>
            </w:r>
            <w:r w:rsidRPr="009C2AD6">
              <w:rPr>
                <w:rFonts w:ascii="Verdana" w:eastAsia="Aptos" w:hAnsi="Verdana" w:cs="Aptos"/>
                <w:i/>
                <w:iCs/>
                <w:sz w:val="21"/>
                <w:szCs w:val="21"/>
                <w:lang w:val="es-ES_tradnl"/>
              </w:rPr>
              <w:t>Uno (1) de los contratos válidos aportados como experiencia general deben contemplar actividades de demolición, total o parcial, de edificaciones y desmonte de sus elementos estructurales”.</w:t>
            </w:r>
          </w:p>
          <w:p w14:paraId="0C751FE8" w14:textId="77777777" w:rsidR="009C2AD6" w:rsidRPr="009C2AD6" w:rsidRDefault="009C2AD6" w:rsidP="009C2AD6">
            <w:pPr>
              <w:jc w:val="both"/>
              <w:rPr>
                <w:rFonts w:ascii="Verdana" w:eastAsia="Aptos" w:hAnsi="Verdana" w:cs="Aptos"/>
                <w:lang w:val="es-ES_tradnl"/>
              </w:rPr>
            </w:pPr>
          </w:p>
          <w:p w14:paraId="0455B1B2" w14:textId="77777777" w:rsidR="009C2AD6" w:rsidRPr="009C2AD6" w:rsidRDefault="009C2AD6" w:rsidP="009C2AD6">
            <w:pPr>
              <w:spacing w:after="120" w:line="276" w:lineRule="auto"/>
              <w:ind w:firstLine="709"/>
              <w:jc w:val="both"/>
              <w:rPr>
                <w:rFonts w:ascii="Verdana" w:eastAsia="Aptos" w:hAnsi="Verdana" w:cs="Aptos"/>
                <w:lang w:val="es-ES_tradnl"/>
              </w:rPr>
            </w:pPr>
            <w:r w:rsidRPr="009C2AD6">
              <w:rPr>
                <w:rFonts w:ascii="Verdana" w:eastAsia="Aptos" w:hAnsi="Verdana" w:cs="Aptos"/>
                <w:lang w:val="es-ES_tradnl"/>
              </w:rPr>
              <w:t>En ese sentido, aunque la actividad 6.23 señala que la actividad de demolición de predios se ejecuta para la intervención de vías, parques y espacio público asociado a la infraestructura de transporte, debe precisarse que la experiencia general no está limitada a que sea “asociada a la infraestructura de transporte”, pues en esta se solicita “</w:t>
            </w:r>
            <w:r w:rsidRPr="009C2AD6">
              <w:rPr>
                <w:rFonts w:ascii="Verdana" w:eastAsia="Aptos" w:hAnsi="Verdana" w:cs="Aptos"/>
                <w:i/>
                <w:iCs/>
                <w:lang w:val="es-ES_tradnl"/>
              </w:rPr>
              <w:t>CONSTRUCCIÓN O AMPLIACIÓN O REMODELACIÓN O REFORZAMIENTO O ADECUACIÓN O REHABILITACIÓN O MANTENIMIENTO O MEJORAMIENTO O DEMOLICIÓN DE EDIFICACIONES EN ESTRUCTURA METALICA O EN CONCRETO</w:t>
            </w:r>
            <w:r w:rsidRPr="009C2AD6">
              <w:rPr>
                <w:rFonts w:ascii="Verdana" w:eastAsia="Aptos" w:hAnsi="Verdana" w:cs="Aptos"/>
                <w:lang w:val="es-ES_tradnl"/>
              </w:rPr>
              <w:t xml:space="preserve">”. Lo mismo ocurre, con la experiencia especifica, toda vez que se dispone que: </w:t>
            </w:r>
            <w:r w:rsidRPr="009C2AD6">
              <w:rPr>
                <w:rFonts w:ascii="Verdana" w:eastAsia="Aptos" w:hAnsi="Verdana" w:cs="Aptos"/>
                <w:i/>
                <w:iCs/>
                <w:lang w:val="es-ES_tradnl"/>
              </w:rPr>
              <w:t>“[u]no (1) de los contratos válidos aportados como experiencia general deben contemplar actividades de demolición, total o parcial, de edificaciones y desmonte de sus elementos estructurales</w:t>
            </w:r>
            <w:r w:rsidRPr="009C2AD6">
              <w:rPr>
                <w:rFonts w:ascii="Verdana" w:eastAsia="Aptos" w:hAnsi="Verdana" w:cs="Aptos"/>
                <w:lang w:val="es-ES_tradnl"/>
              </w:rPr>
              <w:t>”.</w:t>
            </w:r>
          </w:p>
          <w:p w14:paraId="668EA5CB" w14:textId="77777777" w:rsidR="009C2AD6" w:rsidRPr="009C2AD6" w:rsidRDefault="009C2AD6" w:rsidP="009C2AD6">
            <w:pPr>
              <w:spacing w:line="276" w:lineRule="auto"/>
              <w:ind w:firstLine="709"/>
              <w:jc w:val="both"/>
              <w:rPr>
                <w:rFonts w:ascii="Verdana" w:eastAsia="Aptos" w:hAnsi="Verdana" w:cs="Aptos"/>
                <w:lang w:val="es-ES_tradnl"/>
              </w:rPr>
            </w:pPr>
            <w:r w:rsidRPr="009C2AD6">
              <w:rPr>
                <w:rFonts w:ascii="Verdana" w:eastAsia="Aptos" w:hAnsi="Verdana" w:cs="Aptos"/>
                <w:lang w:val="es-ES_tradnl"/>
              </w:rPr>
              <w:t>Por las razones expuestas, tratándose de proyectos de demolición de predios de que trata la actividad 6.23 de la “Matriz 1 – Experiencia” de los documentos tipo de licitación de infraestructura de transporte, no se limita la acreditación de la experiencia únicamente a actividades asociadas a infraestructura de transporte.</w:t>
            </w:r>
          </w:p>
        </w:tc>
      </w:tr>
    </w:tbl>
    <w:p w14:paraId="5C9588DA" w14:textId="77777777" w:rsidR="009C2AD6" w:rsidRPr="009C2AD6" w:rsidRDefault="009C2AD6" w:rsidP="009C2AD6">
      <w:pPr>
        <w:tabs>
          <w:tab w:val="left" w:pos="142"/>
          <w:tab w:val="left" w:pos="284"/>
        </w:tabs>
        <w:snapToGrid w:val="0"/>
        <w:spacing w:after="0" w:line="276" w:lineRule="auto"/>
        <w:jc w:val="both"/>
        <w:rPr>
          <w:rFonts w:ascii="Verdana" w:eastAsia="Century Gothic" w:hAnsi="Verdana" w:cs="Century Gothic"/>
          <w:b/>
          <w:bCs/>
          <w:lang w:val="es-ES_tradnl"/>
        </w:rPr>
      </w:pPr>
    </w:p>
    <w:p w14:paraId="6FB0096E" w14:textId="77777777" w:rsidR="009C2AD6" w:rsidRPr="009C2AD6" w:rsidRDefault="009C2AD6" w:rsidP="009C2AD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C2AD6">
        <w:rPr>
          <w:rFonts w:ascii="Verdana" w:eastAsia="Century Gothic" w:hAnsi="Verdana" w:cs="Century Gothic"/>
          <w:b/>
          <w:bCs/>
          <w:lang w:val="es-ES_tradnl"/>
        </w:rPr>
        <w:t>Razones de la respuesta:</w:t>
      </w:r>
    </w:p>
    <w:p w14:paraId="4F66B2ED" w14:textId="77777777" w:rsidR="009C2AD6" w:rsidRPr="009C2AD6" w:rsidRDefault="009C2AD6" w:rsidP="009C2AD6">
      <w:pPr>
        <w:snapToGrid w:val="0"/>
        <w:spacing w:after="0" w:line="276" w:lineRule="auto"/>
        <w:jc w:val="both"/>
        <w:rPr>
          <w:rFonts w:ascii="Verdana" w:eastAsia="Calibri" w:hAnsi="Verdana" w:cs="Arial"/>
          <w:lang w:val="es-ES_tradnl"/>
        </w:rPr>
      </w:pPr>
    </w:p>
    <w:p w14:paraId="31EB1294" w14:textId="77777777" w:rsidR="009C2AD6" w:rsidRPr="009C2AD6" w:rsidRDefault="009C2AD6" w:rsidP="009C2AD6">
      <w:pPr>
        <w:snapToGrid w:val="0"/>
        <w:spacing w:after="0" w:line="276" w:lineRule="auto"/>
        <w:jc w:val="both"/>
        <w:rPr>
          <w:rFonts w:ascii="Verdana" w:eastAsia="Calibri" w:hAnsi="Verdana" w:cs="Arial"/>
          <w:lang w:val="es-ES_tradnl"/>
        </w:rPr>
      </w:pPr>
      <w:r w:rsidRPr="009C2AD6">
        <w:rPr>
          <w:rFonts w:ascii="Verdana" w:eastAsia="Calibri" w:hAnsi="Verdana" w:cs="Arial"/>
          <w:lang w:val="es-ES_tradnl"/>
        </w:rPr>
        <w:t xml:space="preserve">Lo anterior se sustenta en las siguientes consideraciones: </w:t>
      </w:r>
    </w:p>
    <w:p w14:paraId="2234817F" w14:textId="77777777" w:rsidR="009C2AD6" w:rsidRPr="009C2AD6" w:rsidRDefault="009C2AD6" w:rsidP="009C2AD6">
      <w:pPr>
        <w:snapToGrid w:val="0"/>
        <w:spacing w:after="0" w:line="276" w:lineRule="auto"/>
        <w:jc w:val="both"/>
        <w:rPr>
          <w:rFonts w:ascii="Verdana" w:eastAsia="Calibri" w:hAnsi="Verdana" w:cs="Arial"/>
          <w:lang w:val="es-ES_tradnl"/>
        </w:rPr>
      </w:pPr>
    </w:p>
    <w:p w14:paraId="5358B4C9" w14:textId="77777777" w:rsidR="009C2AD6" w:rsidRPr="009C2AD6" w:rsidRDefault="009C2AD6" w:rsidP="009C2AD6">
      <w:pPr>
        <w:snapToGrid w:val="0"/>
        <w:spacing w:after="0" w:line="276" w:lineRule="auto"/>
        <w:jc w:val="both"/>
        <w:rPr>
          <w:rFonts w:ascii="Verdana" w:eastAsia="Calibri" w:hAnsi="Verdana" w:cs="Arial"/>
          <w:lang w:val="es-ES_tradnl"/>
        </w:rPr>
      </w:pPr>
      <w:r w:rsidRPr="009C2AD6">
        <w:rPr>
          <w:rFonts w:ascii="Verdana" w:eastAsia="Calibri" w:hAnsi="Verdana" w:cs="Arial"/>
          <w:lang w:val="es-ES_tradnl"/>
        </w:rPr>
        <w:t xml:space="preserve">Los Documentos Tipo expedidos por esta Agencia en ejercicio de la potestad otorgada por la Ley 2022 de 2020 son de obligatoria observancia por parte de </w:t>
      </w:r>
      <w:r w:rsidRPr="009C2AD6">
        <w:rPr>
          <w:rFonts w:ascii="Verdana" w:eastAsia="Calibri" w:hAnsi="Verdana" w:cs="Arial"/>
          <w:lang w:val="es-ES_tradnl"/>
        </w:rPr>
        <w:lastRenderedPageBreak/>
        <w:t>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D1C6015" w14:textId="77777777" w:rsidR="009C2AD6" w:rsidRPr="009C2AD6" w:rsidRDefault="009C2AD6" w:rsidP="009C2AD6">
      <w:pPr>
        <w:snapToGrid w:val="0"/>
        <w:spacing w:before="120" w:after="0" w:line="276" w:lineRule="auto"/>
        <w:ind w:firstLine="709"/>
        <w:jc w:val="both"/>
        <w:rPr>
          <w:rFonts w:ascii="Verdana" w:eastAsia="Calibri" w:hAnsi="Verdana" w:cs="Times New Roman"/>
          <w:lang w:val="es-ES"/>
        </w:rPr>
      </w:pPr>
      <w:r w:rsidRPr="009C2AD6">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149ED009" w14:textId="77777777" w:rsidR="009C2AD6" w:rsidRPr="009C2AD6" w:rsidRDefault="009C2AD6" w:rsidP="009C2AD6">
      <w:pPr>
        <w:snapToGrid w:val="0"/>
        <w:spacing w:before="120" w:after="0" w:line="276" w:lineRule="auto"/>
        <w:ind w:firstLine="709"/>
        <w:jc w:val="both"/>
        <w:rPr>
          <w:rFonts w:ascii="Verdana" w:eastAsia="Calibri" w:hAnsi="Verdana" w:cs="Arial"/>
          <w:lang w:val="es-ES_tradnl"/>
        </w:rPr>
      </w:pPr>
      <w:r w:rsidRPr="009C2AD6">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9C2AD6">
        <w:rPr>
          <w:rFonts w:ascii="Verdana" w:eastAsia="Calibri" w:hAnsi="Verdana" w:cs="Times New Roman"/>
          <w:vertAlign w:val="superscript"/>
          <w:lang w:val="es-ES_tradnl"/>
        </w:rPr>
        <w:footnoteReference w:id="1"/>
      </w:r>
      <w:r w:rsidRPr="009C2AD6">
        <w:rPr>
          <w:rFonts w:ascii="Verdana" w:eastAsia="Calibri" w:hAnsi="Verdana" w:cs="Times New Roman"/>
          <w:lang w:val="es-ES_tradnl"/>
        </w:rPr>
        <w:t xml:space="preserve"> </w:t>
      </w:r>
    </w:p>
    <w:p w14:paraId="2B9FAAE9" w14:textId="77777777" w:rsidR="009C2AD6" w:rsidRPr="009C2AD6" w:rsidRDefault="009C2AD6" w:rsidP="009C2AD6">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9C2AD6">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9C2AD6">
        <w:rPr>
          <w:rFonts w:ascii="Verdana" w:eastAsia="Times New Roman" w:hAnsi="Verdana" w:cs="Arial"/>
          <w:kern w:val="2"/>
          <w:highlight w:val="lightGray"/>
          <w:shd w:val="clear" w:color="auto" w:fill="FFFFFF"/>
          <w:lang w:val="es-ES" w:eastAsia="es-ES"/>
          <w14:ligatures w14:val="standardContextual"/>
        </w:rPr>
        <w:t>[texto]</w:t>
      </w:r>
      <w:r w:rsidRPr="009C2AD6">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276C649E" w14:textId="77777777" w:rsidR="009C2AD6" w:rsidRPr="009C2AD6" w:rsidRDefault="009C2AD6" w:rsidP="009C2AD6">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9C2AD6">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045CCF2E" w14:textId="77777777" w:rsidR="009C2AD6" w:rsidRPr="009C2AD6" w:rsidRDefault="009C2AD6" w:rsidP="009C2AD6">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9C2AD6">
        <w:rPr>
          <w:rFonts w:ascii="Verdana" w:eastAsia="Times New Roman" w:hAnsi="Verdana" w:cs="Arial"/>
          <w:kern w:val="2"/>
          <w:shd w:val="clear" w:color="auto" w:fill="FFFFFF"/>
          <w:lang w:val="es-ES_tradnl" w:eastAsia="es-ES"/>
          <w14:ligatures w14:val="standardContextual"/>
        </w:rPr>
        <w:t xml:space="preserve">En virtud de lo anterior, cuando existan documentos tipo y la actividad a contratar por parte de una entidad sometida al EGCAP se encuentre cobijada por </w:t>
      </w:r>
      <w:r w:rsidRPr="009C2AD6">
        <w:rPr>
          <w:rFonts w:ascii="Verdana" w:eastAsia="Times New Roman" w:hAnsi="Verdana" w:cs="Arial"/>
          <w:kern w:val="2"/>
          <w:shd w:val="clear" w:color="auto" w:fill="FFFFFF"/>
          <w:lang w:val="es-ES_tradnl" w:eastAsia="es-ES"/>
          <w14:ligatures w14:val="standardContextual"/>
        </w:rPr>
        <w:lastRenderedPageBreak/>
        <w:t>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7784B9A7" w14:textId="77777777" w:rsidR="009C2AD6" w:rsidRPr="009C2AD6" w:rsidRDefault="009C2AD6" w:rsidP="009C2AD6">
      <w:pPr>
        <w:snapToGrid w:val="0"/>
        <w:spacing w:after="120" w:line="276" w:lineRule="auto"/>
        <w:ind w:firstLine="709"/>
        <w:jc w:val="both"/>
        <w:rPr>
          <w:rFonts w:ascii="Verdana" w:eastAsia="Calibri" w:hAnsi="Verdana" w:cs="Times New Roman"/>
          <w:lang w:val="es-ES"/>
        </w:rPr>
      </w:pPr>
      <w:r w:rsidRPr="009C2AD6">
        <w:rPr>
          <w:rFonts w:ascii="Verdana" w:eastAsia="Calibri" w:hAnsi="Verdana" w:cs="Times New Roman"/>
          <w:lang w:val="es-ES"/>
        </w:rPr>
        <w:t>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ii) la actividad a contratar y iii) la cuantía del proceso de contratación.</w:t>
      </w:r>
    </w:p>
    <w:p w14:paraId="39D3205F" w14:textId="77777777" w:rsidR="009C2AD6" w:rsidRPr="009C2AD6" w:rsidRDefault="009C2AD6" w:rsidP="009C2AD6">
      <w:pPr>
        <w:snapToGrid w:val="0"/>
        <w:spacing w:after="120" w:line="276" w:lineRule="auto"/>
        <w:ind w:firstLine="709"/>
        <w:jc w:val="both"/>
        <w:rPr>
          <w:rFonts w:ascii="Verdana" w:eastAsia="Times New Roman" w:hAnsi="Verdana" w:cs="Aptos"/>
          <w:color w:val="000000"/>
          <w:lang w:val="es-ES" w:eastAsia="es-MX"/>
        </w:rPr>
      </w:pPr>
      <w:r w:rsidRPr="009C2AD6">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9C2AD6">
        <w:rPr>
          <w:rFonts w:ascii="Verdana" w:eastAsia="Aptos" w:hAnsi="Verdana" w:cs="Aptos"/>
          <w:color w:val="000000"/>
          <w:lang w:val="es-MX"/>
        </w:rPr>
        <w:t xml:space="preserve"> </w:t>
      </w:r>
      <w:r w:rsidRPr="009C2AD6">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9C2AD6">
        <w:rPr>
          <w:rFonts w:ascii="Verdana" w:eastAsia="Times New Roman" w:hAnsi="Verdana" w:cs="Aptos"/>
          <w:color w:val="000000"/>
          <w:lang w:val="es-ES" w:eastAsia="es-MX"/>
        </w:rPr>
        <w:t xml:space="preserve">Adicionalmente, en el numeral </w:t>
      </w:r>
      <w:r w:rsidRPr="009C2AD6">
        <w:rPr>
          <w:rFonts w:ascii="Verdana" w:eastAsia="Times New Roman" w:hAnsi="Verdana" w:cs="Aptos"/>
          <w:iCs/>
          <w:color w:val="000000"/>
          <w:lang w:val="es-ES" w:eastAsia="es-MX"/>
        </w:rPr>
        <w:t xml:space="preserve">3.5.5 “ACREDITACIÓN DE LA EXPERIENCIA REQUERIDA” se </w:t>
      </w:r>
      <w:r w:rsidRPr="009C2AD6">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738DBB25" w14:textId="77777777" w:rsidR="009C2AD6" w:rsidRPr="009C2AD6" w:rsidRDefault="009C2AD6" w:rsidP="009C2AD6">
      <w:pPr>
        <w:snapToGrid w:val="0"/>
        <w:spacing w:after="0" w:line="276" w:lineRule="auto"/>
        <w:ind w:firstLine="709"/>
        <w:jc w:val="both"/>
        <w:rPr>
          <w:rFonts w:ascii="Verdana" w:eastAsia="Aptos" w:hAnsi="Verdana" w:cs="Aptos"/>
          <w:kern w:val="2"/>
          <w:lang w:val="es-ES_tradnl"/>
          <w14:ligatures w14:val="standardContextual"/>
        </w:rPr>
      </w:pPr>
      <w:r w:rsidRPr="009C2AD6">
        <w:rPr>
          <w:rFonts w:ascii="Verdana" w:eastAsia="Aptos" w:hAnsi="Verdana" w:cs="Times New Roman"/>
          <w:kern w:val="2"/>
          <w:lang w:val="es-ES_tradnl"/>
          <w14:ligatures w14:val="standardContextual"/>
        </w:rPr>
        <w:t xml:space="preserve">Ahora bien, </w:t>
      </w:r>
      <w:r w:rsidRPr="009C2AD6">
        <w:rPr>
          <w:rFonts w:ascii="Verdana" w:eastAsia="Aptos" w:hAnsi="Verdana" w:cs="Aptos"/>
          <w:kern w:val="2"/>
          <w:lang w:val="es-ES_tradnl"/>
          <w14:ligatures w14:val="standardContextual"/>
        </w:rPr>
        <w:t>es importante indicar que la “Matriz 1 – Experiencia” de los documentos tipo de licitación de obra pública de infraestructura de transporte, en el Capítulo 6. “OBRAS DE INFRAESTRUCTURA VIAL URBANA”, incluye la actividad 6.23. “PROYECTOS DE DEMOLICION DE PREDIOS PARA INTERVENCION DE VIAS, PARQUES, ESPACIO PUBLICO ASOCIADO A LA INFRAESTRUCTURA DE TRANSPORTE”.</w:t>
      </w:r>
      <w:r w:rsidRPr="009C2AD6">
        <w:rPr>
          <w:rFonts w:ascii="Verdana" w:eastAsia="Aptos" w:hAnsi="Verdana" w:cs="Aptos"/>
          <w:i/>
          <w:iCs/>
          <w:kern w:val="2"/>
          <w:lang w:val="es-ES_tradnl"/>
          <w14:ligatures w14:val="standardContextual"/>
        </w:rPr>
        <w:t xml:space="preserve"> </w:t>
      </w:r>
      <w:r w:rsidRPr="009C2AD6">
        <w:rPr>
          <w:rFonts w:ascii="Verdana" w:eastAsia="Aptos" w:hAnsi="Verdana" w:cs="Aptos"/>
          <w:kern w:val="2"/>
          <w:lang w:val="es-ES_tradnl"/>
          <w14:ligatures w14:val="standardContextual"/>
        </w:rPr>
        <w:t>Frente a esta actividad, se solicita la siguiente experiencia:</w:t>
      </w:r>
    </w:p>
    <w:p w14:paraId="1F516418" w14:textId="77777777" w:rsidR="009C2AD6" w:rsidRPr="009C2AD6" w:rsidRDefault="009C2AD6" w:rsidP="009C2AD6">
      <w:pPr>
        <w:spacing w:after="0" w:line="240" w:lineRule="auto"/>
        <w:jc w:val="both"/>
        <w:rPr>
          <w:rFonts w:ascii="Aptos" w:eastAsia="Aptos" w:hAnsi="Aptos" w:cs="Aptos"/>
          <w:kern w:val="2"/>
          <w:lang w:val="es-ES_tradnl"/>
          <w14:ligatures w14:val="standardContextual"/>
        </w:rPr>
      </w:pPr>
    </w:p>
    <w:p w14:paraId="1079A4B2" w14:textId="77777777" w:rsidR="009C2AD6" w:rsidRPr="009C2AD6" w:rsidRDefault="009C2AD6" w:rsidP="009C2AD6">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9C2AD6">
        <w:rPr>
          <w:rFonts w:ascii="Verdana" w:eastAsia="Aptos" w:hAnsi="Verdana" w:cs="Aptos"/>
          <w:b/>
          <w:bCs/>
          <w:kern w:val="2"/>
          <w:sz w:val="21"/>
          <w:szCs w:val="21"/>
          <w:u w:val="single"/>
          <w:lang w:val="es-ES_tradnl"/>
          <w14:ligatures w14:val="standardContextual"/>
        </w:rPr>
        <w:t>General:</w:t>
      </w:r>
      <w:r w:rsidRPr="009C2AD6">
        <w:rPr>
          <w:rFonts w:ascii="Verdana" w:eastAsia="Aptos" w:hAnsi="Verdana" w:cs="Aptos"/>
          <w:kern w:val="2"/>
          <w:sz w:val="21"/>
          <w:szCs w:val="21"/>
          <w:lang w:val="es-ES_tradnl"/>
          <w14:ligatures w14:val="standardContextual"/>
        </w:rPr>
        <w:t xml:space="preserve"> </w:t>
      </w:r>
      <w:r w:rsidRPr="009C2AD6">
        <w:rPr>
          <w:rFonts w:ascii="Verdana" w:eastAsia="Aptos" w:hAnsi="Verdana" w:cs="Aptos"/>
          <w:i/>
          <w:iCs/>
          <w:kern w:val="2"/>
          <w:sz w:val="21"/>
          <w:szCs w:val="21"/>
          <w:lang w:val="es-ES_tradnl"/>
          <w14:ligatures w14:val="standardContextual"/>
        </w:rPr>
        <w:t>“CONSTRUCCIÓN O AMPLIACIÓN O REMODELACIÓN O REFORZAMIENTO O ADECUACIÓN O REHABILITACIÓN O MANTENIMIENTO O MEJORAMIENTO O DEMOLICIÓN DE EDIFICACIONES EN ESTRUCTURA METALICA O EN CONCRETO”.</w:t>
      </w:r>
    </w:p>
    <w:p w14:paraId="25AFE814" w14:textId="77777777" w:rsidR="009C2AD6" w:rsidRPr="009C2AD6" w:rsidRDefault="009C2AD6" w:rsidP="009C2AD6">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68670F92" w14:textId="77777777" w:rsidR="009C2AD6" w:rsidRPr="009C2AD6" w:rsidRDefault="009C2AD6" w:rsidP="009C2AD6">
      <w:pPr>
        <w:snapToGrid w:val="0"/>
        <w:spacing w:after="0" w:line="240" w:lineRule="auto"/>
        <w:ind w:left="709" w:right="709"/>
        <w:jc w:val="both"/>
        <w:rPr>
          <w:rFonts w:ascii="Verdana" w:eastAsia="Aptos" w:hAnsi="Verdana" w:cs="Aptos"/>
          <w:kern w:val="2"/>
          <w:sz w:val="21"/>
          <w:szCs w:val="21"/>
          <w:lang w:val="es-ES_tradnl"/>
          <w14:ligatures w14:val="standardContextual"/>
        </w:rPr>
      </w:pPr>
      <w:r w:rsidRPr="009C2AD6">
        <w:rPr>
          <w:rFonts w:ascii="Verdana" w:eastAsia="Aptos" w:hAnsi="Verdana" w:cs="Aptos"/>
          <w:b/>
          <w:bCs/>
          <w:i/>
          <w:iCs/>
          <w:kern w:val="2"/>
          <w:sz w:val="21"/>
          <w:szCs w:val="21"/>
          <w:lang w:val="es-ES_tradnl"/>
          <w14:ligatures w14:val="standardContextual"/>
        </w:rPr>
        <w:lastRenderedPageBreak/>
        <w:t>Específica</w:t>
      </w:r>
      <w:r w:rsidRPr="009C2AD6">
        <w:rPr>
          <w:rFonts w:ascii="Verdana" w:eastAsia="Aptos" w:hAnsi="Verdana" w:cs="Aptos"/>
          <w:kern w:val="2"/>
          <w:sz w:val="21"/>
          <w:szCs w:val="21"/>
          <w:lang w:val="es-ES_tradnl"/>
          <w14:ligatures w14:val="standardContextual"/>
        </w:rPr>
        <w:t>: “</w:t>
      </w:r>
      <w:r w:rsidRPr="009C2AD6">
        <w:rPr>
          <w:rFonts w:ascii="Verdana" w:eastAsia="Aptos" w:hAnsi="Verdana" w:cs="Aptos"/>
          <w:i/>
          <w:iCs/>
          <w:kern w:val="2"/>
          <w:sz w:val="21"/>
          <w:szCs w:val="21"/>
          <w:lang w:val="es-ES_tradnl"/>
          <w14:ligatures w14:val="standardContextual"/>
        </w:rPr>
        <w:t>Uno (1) de los contratos válidos aportados como experiencia general deben contemplar actividades de demolición, total o parcial, de edificaciones y desmonte de sus elementos estructurales”.</w:t>
      </w:r>
    </w:p>
    <w:p w14:paraId="54CD38BE" w14:textId="77777777" w:rsidR="009C2AD6" w:rsidRPr="009C2AD6" w:rsidRDefault="009C2AD6" w:rsidP="009C2AD6">
      <w:pPr>
        <w:spacing w:after="0" w:line="240" w:lineRule="auto"/>
        <w:jc w:val="both"/>
        <w:rPr>
          <w:rFonts w:ascii="Verdana" w:eastAsia="Aptos" w:hAnsi="Verdana" w:cs="Aptos"/>
          <w:kern w:val="2"/>
          <w:lang w:val="es-ES_tradnl"/>
          <w14:ligatures w14:val="standardContextual"/>
        </w:rPr>
      </w:pPr>
    </w:p>
    <w:p w14:paraId="6006AFA8" w14:textId="77777777" w:rsidR="009C2AD6" w:rsidRPr="009C2AD6" w:rsidRDefault="009C2AD6" w:rsidP="009C2AD6">
      <w:pPr>
        <w:spacing w:after="120" w:line="276" w:lineRule="auto"/>
        <w:ind w:firstLine="709"/>
        <w:jc w:val="both"/>
        <w:rPr>
          <w:rFonts w:ascii="Verdana" w:eastAsia="Aptos" w:hAnsi="Verdana" w:cs="Aptos"/>
          <w:kern w:val="2"/>
          <w:lang w:val="es-ES_tradnl"/>
          <w14:ligatures w14:val="standardContextual"/>
        </w:rPr>
      </w:pPr>
      <w:r w:rsidRPr="009C2AD6">
        <w:rPr>
          <w:rFonts w:ascii="Verdana" w:eastAsia="Aptos" w:hAnsi="Verdana" w:cs="Aptos"/>
          <w:kern w:val="2"/>
          <w:lang w:val="es-ES_tradnl"/>
          <w14:ligatures w14:val="standardContextual"/>
        </w:rPr>
        <w:t>En ese sentido, aunque la actividad 6.23 señala que la actividad de demolición de predios se ejecuta para la intervención de vías, parques y espacio público asociado a la infraestructura de transporte, debe precisarse que la experiencia general no está limitada a que sea “asociada a la infraestructura de transporte”, pues en esta se solicita “</w:t>
      </w:r>
      <w:r w:rsidRPr="009C2AD6">
        <w:rPr>
          <w:rFonts w:ascii="Verdana" w:eastAsia="Aptos" w:hAnsi="Verdana" w:cs="Aptos"/>
          <w:i/>
          <w:iCs/>
          <w:kern w:val="2"/>
          <w:lang w:val="es-ES_tradnl"/>
          <w14:ligatures w14:val="standardContextual"/>
        </w:rPr>
        <w:t>CONSTRUCCIÓN O AMPLIACIÓN O REMODELACIÓN O REFORZAMIENTO O ADECUACIÓN O REHABILITACIÓN O MANTENIMIENTO O MEJORAMIENTO O DEMOLICIÓN DE EDIFICACIONES EN ESTRUCTURA METALICA O EN CONCRETO</w:t>
      </w:r>
      <w:r w:rsidRPr="009C2AD6">
        <w:rPr>
          <w:rFonts w:ascii="Verdana" w:eastAsia="Aptos" w:hAnsi="Verdana" w:cs="Aptos"/>
          <w:kern w:val="2"/>
          <w:lang w:val="es-ES_tradnl"/>
          <w14:ligatures w14:val="standardContextual"/>
        </w:rPr>
        <w:t xml:space="preserve">”. Lo mismo ocurre, con la experiencia especifica, toda vez que se dispone que: </w:t>
      </w:r>
      <w:r w:rsidRPr="009C2AD6">
        <w:rPr>
          <w:rFonts w:ascii="Verdana" w:eastAsia="Aptos" w:hAnsi="Verdana" w:cs="Aptos"/>
          <w:i/>
          <w:iCs/>
          <w:kern w:val="2"/>
          <w:lang w:val="es-ES_tradnl"/>
          <w14:ligatures w14:val="standardContextual"/>
        </w:rPr>
        <w:t>“[u]no (1) de los contratos válidos aportados como experiencia general deben contemplar actividades de demolición, total o parcial, de edificaciones y desmonte de sus elementos estructurales</w:t>
      </w:r>
      <w:r w:rsidRPr="009C2AD6">
        <w:rPr>
          <w:rFonts w:ascii="Verdana" w:eastAsia="Aptos" w:hAnsi="Verdana" w:cs="Aptos"/>
          <w:kern w:val="2"/>
          <w:lang w:val="es-ES_tradnl"/>
          <w14:ligatures w14:val="standardContextual"/>
        </w:rPr>
        <w:t>”.</w:t>
      </w:r>
    </w:p>
    <w:p w14:paraId="7B8DA9AD" w14:textId="77777777" w:rsidR="009C2AD6" w:rsidRPr="009C2AD6" w:rsidRDefault="009C2AD6" w:rsidP="009C2AD6">
      <w:pPr>
        <w:spacing w:after="0" w:line="276" w:lineRule="auto"/>
        <w:ind w:firstLine="709"/>
        <w:jc w:val="both"/>
        <w:rPr>
          <w:rFonts w:ascii="Verdana" w:eastAsia="Aptos" w:hAnsi="Verdana" w:cs="Aptos"/>
          <w:kern w:val="2"/>
          <w:lang w:val="es-ES_tradnl"/>
          <w14:ligatures w14:val="standardContextual"/>
        </w:rPr>
      </w:pPr>
      <w:r w:rsidRPr="009C2AD6">
        <w:rPr>
          <w:rFonts w:ascii="Verdana" w:eastAsia="Aptos" w:hAnsi="Verdana" w:cs="Aptos"/>
          <w:kern w:val="2"/>
          <w:lang w:val="es-ES_tradnl"/>
          <w14:ligatures w14:val="standardContextual"/>
        </w:rPr>
        <w:t>Por las razones expuestas, tratándose de proyectos de demolición de predios de que trata la actividad 6.23 de la “Matriz 1 – Experiencia” de los documentos tipo de licitación de infraestructura de transporte, no se limita la acreditación de la experiencia únicamente a actividades asociadas a infraestructura de transporte.</w:t>
      </w:r>
    </w:p>
    <w:p w14:paraId="04B35666" w14:textId="77777777" w:rsidR="009C2AD6" w:rsidRPr="009C2AD6" w:rsidRDefault="009C2AD6" w:rsidP="009C2AD6">
      <w:pPr>
        <w:spacing w:after="0" w:line="276" w:lineRule="auto"/>
        <w:ind w:firstLine="709"/>
        <w:jc w:val="both"/>
        <w:rPr>
          <w:rFonts w:ascii="Verdana" w:eastAsia="Calibri" w:hAnsi="Verdana" w:cs="Arial"/>
          <w:color w:val="000000"/>
        </w:rPr>
      </w:pPr>
    </w:p>
    <w:p w14:paraId="6F0646F7" w14:textId="77777777" w:rsidR="009C2AD6" w:rsidRPr="009C2AD6" w:rsidRDefault="009C2AD6" w:rsidP="009C2AD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C2AD6">
        <w:rPr>
          <w:rFonts w:ascii="Verdana" w:eastAsia="Century Gothic" w:hAnsi="Verdana" w:cs="Century Gothic"/>
          <w:b/>
          <w:bCs/>
          <w:lang w:val="es-ES_tradnl"/>
        </w:rPr>
        <w:t>Referencias normativas, jurisprudenciales y otras fuentes:</w:t>
      </w:r>
    </w:p>
    <w:p w14:paraId="5EDD6F9C" w14:textId="77777777" w:rsidR="009C2AD6" w:rsidRPr="009C2AD6" w:rsidRDefault="009C2AD6" w:rsidP="009C2AD6">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9C2AD6" w:rsidRPr="009C2AD6" w14:paraId="67427721" w14:textId="77777777" w:rsidTr="007E0460">
        <w:trPr>
          <w:trHeight w:val="870"/>
        </w:trPr>
        <w:tc>
          <w:tcPr>
            <w:tcW w:w="8647" w:type="dxa"/>
          </w:tcPr>
          <w:p w14:paraId="700F9381" w14:textId="77777777" w:rsidR="009C2AD6" w:rsidRPr="009C2AD6" w:rsidRDefault="009C2AD6" w:rsidP="009C2AD6">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9C2AD6">
              <w:rPr>
                <w:rFonts w:ascii="Verdana" w:eastAsia="Calibri" w:hAnsi="Verdana" w:cs="Arial"/>
                <w:lang w:val="es-ES_tradnl"/>
              </w:rPr>
              <w:t>Ley 2022 de 2020, artículo 1.</w:t>
            </w:r>
          </w:p>
          <w:p w14:paraId="209AA1EB" w14:textId="77777777" w:rsidR="009C2AD6" w:rsidRPr="009C2AD6" w:rsidRDefault="009C2AD6" w:rsidP="009C2AD6">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9C2AD6">
              <w:rPr>
                <w:rFonts w:ascii="Verdana" w:eastAsia="Aptos" w:hAnsi="Verdana" w:cs="Arial"/>
                <w:lang w:val="es-ES_tradnl"/>
              </w:rPr>
              <w:t xml:space="preserve">Documentos tipo de infraestructura de transporte. Disponibles en: </w:t>
            </w:r>
            <w:hyperlink r:id="rId11" w:history="1">
              <w:r w:rsidRPr="009C2AD6">
                <w:rPr>
                  <w:rFonts w:ascii="Verdana" w:eastAsia="Aptos" w:hAnsi="Verdana" w:cs="Arial"/>
                  <w:color w:val="0000FF"/>
                  <w:u w:val="single"/>
                  <w:lang w:val="es-ES_tradnl"/>
                </w:rPr>
                <w:t>https://www.colombiacompra.gov.co/normativa-y-relatoria/documentos-tipo</w:t>
              </w:r>
            </w:hyperlink>
            <w:r w:rsidRPr="009C2AD6">
              <w:rPr>
                <w:rFonts w:ascii="Verdana" w:eastAsia="Aptos" w:hAnsi="Verdana" w:cs="Arial"/>
                <w:lang w:val="es-ES_tradnl"/>
              </w:rPr>
              <w:t>.</w:t>
            </w:r>
            <w:r w:rsidRPr="009C2AD6">
              <w:rPr>
                <w:rFonts w:ascii="Verdana" w:eastAsia="Aptos" w:hAnsi="Verdana" w:cs="Arial"/>
                <w:vertAlign w:val="superscript"/>
                <w:lang w:val="es-ES_tradnl"/>
              </w:rPr>
              <w:t xml:space="preserve"> </w:t>
            </w:r>
          </w:p>
        </w:tc>
      </w:tr>
    </w:tbl>
    <w:p w14:paraId="7BE1271E" w14:textId="77777777" w:rsidR="009C2AD6" w:rsidRPr="009C2AD6" w:rsidRDefault="009C2AD6" w:rsidP="009C2AD6">
      <w:pPr>
        <w:widowControl w:val="0"/>
        <w:autoSpaceDE w:val="0"/>
        <w:autoSpaceDN w:val="0"/>
        <w:snapToGrid w:val="0"/>
        <w:spacing w:after="0" w:line="276" w:lineRule="auto"/>
        <w:jc w:val="both"/>
        <w:rPr>
          <w:rFonts w:ascii="Verdana" w:eastAsia="Calibri" w:hAnsi="Verdana" w:cs="Arial"/>
          <w:lang w:val="es-ES_tradnl"/>
        </w:rPr>
      </w:pPr>
    </w:p>
    <w:p w14:paraId="07A6ACF4" w14:textId="77777777" w:rsidR="009C2AD6" w:rsidRPr="009C2AD6" w:rsidRDefault="009C2AD6" w:rsidP="009C2AD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9C2AD6">
        <w:rPr>
          <w:rFonts w:ascii="Verdana" w:eastAsia="Century Gothic" w:hAnsi="Verdana" w:cs="Century Gothic"/>
          <w:b/>
          <w:bCs/>
          <w:lang w:val="es-ES_tradnl"/>
        </w:rPr>
        <w:t>Doctrina de la Agencia Nacional de Contratación Pública:</w:t>
      </w:r>
    </w:p>
    <w:p w14:paraId="2045B448" w14:textId="77777777" w:rsidR="009C2AD6" w:rsidRPr="009C2AD6" w:rsidRDefault="009C2AD6" w:rsidP="009C2AD6">
      <w:pPr>
        <w:widowControl w:val="0"/>
        <w:autoSpaceDE w:val="0"/>
        <w:autoSpaceDN w:val="0"/>
        <w:snapToGrid w:val="0"/>
        <w:spacing w:after="0" w:line="276" w:lineRule="auto"/>
        <w:jc w:val="both"/>
        <w:rPr>
          <w:rFonts w:ascii="Verdana" w:eastAsia="Calibri" w:hAnsi="Verdana" w:cs="Arial"/>
          <w:lang w:val="es-ES_tradnl"/>
        </w:rPr>
      </w:pPr>
    </w:p>
    <w:p w14:paraId="2D21E501" w14:textId="77777777" w:rsidR="009C2AD6" w:rsidRPr="009C2AD6" w:rsidRDefault="009C2AD6" w:rsidP="009C2AD6">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9C2AD6">
        <w:rPr>
          <w:rFonts w:ascii="Verdana" w:eastAsia="Calibri" w:hAnsi="Verdana" w:cs="Arial"/>
          <w:kern w:val="2"/>
          <w:shd w:val="clear" w:color="auto" w:fill="FFFFFF"/>
          <w:lang w:val="es-ES_tradnl"/>
          <w14:ligatures w14:val="standardContextual"/>
        </w:rPr>
        <w:t xml:space="preserve">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w:t>
      </w:r>
      <w:r w:rsidRPr="009C2AD6">
        <w:rPr>
          <w:rFonts w:ascii="Verdana" w:eastAsia="Calibri" w:hAnsi="Verdana" w:cs="Arial"/>
          <w:kern w:val="2"/>
          <w:shd w:val="clear" w:color="auto" w:fill="FFFFFF"/>
          <w:lang w:val="es-ES_tradnl"/>
          <w14:ligatures w14:val="standardContextual"/>
        </w:rPr>
        <w:lastRenderedPageBreak/>
        <w:t xml:space="preserve">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 </w:t>
      </w:r>
      <w:r w:rsidRPr="009C2AD6">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9C2AD6">
          <w:rPr>
            <w:rFonts w:ascii="Verdana" w:eastAsia="Times New Roman" w:hAnsi="Verdana" w:cs="Arial"/>
            <w:kern w:val="2"/>
            <w:shd w:val="clear" w:color="auto" w:fill="FFFFFF"/>
            <w:lang w:val="es-ES"/>
            <w14:ligatures w14:val="standardContextual"/>
          </w:rPr>
          <w:t>https://relatoria.colombiacompra.gov.co/</w:t>
        </w:r>
      </w:hyperlink>
      <w:r w:rsidRPr="009C2AD6">
        <w:rPr>
          <w:rFonts w:ascii="Verdana" w:eastAsia="Times New Roman" w:hAnsi="Verdana" w:cs="Arial"/>
          <w:kern w:val="2"/>
          <w:shd w:val="clear" w:color="auto" w:fill="FFFFFF"/>
          <w:lang w:val="es-ES"/>
          <w14:ligatures w14:val="standardContextual"/>
        </w:rPr>
        <w:t>.</w:t>
      </w:r>
    </w:p>
    <w:p w14:paraId="085B2FB5" w14:textId="77777777" w:rsidR="009C2AD6" w:rsidRPr="009C2AD6" w:rsidRDefault="009C2AD6" w:rsidP="009C2AD6">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D41EC27"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9C2AD6">
        <w:rPr>
          <w:rFonts w:ascii="Verdana" w:eastAsia="Calibri" w:hAnsi="Verdana" w:cs="Arial"/>
          <w:kern w:val="2"/>
          <w:shd w:val="clear" w:color="auto" w:fill="FFFFFF"/>
          <w:lang w:val="es-ES_tradnl"/>
          <w14:ligatures w14:val="standardContextual"/>
        </w:rPr>
        <w:t>La</w:t>
      </w:r>
      <w:r w:rsidRPr="009C2AD6">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9C2AD6">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9C2AD6">
        <w:rPr>
          <w:rFonts w:ascii="Verdana" w:eastAsia="Calibri" w:hAnsi="Verdana" w:cs="Arial"/>
          <w:b/>
          <w:bCs/>
          <w:kern w:val="2"/>
          <w:shd w:val="clear" w:color="auto" w:fill="FFFFFF"/>
          <w:lang w:val="es-ES_tradnl"/>
          <w14:ligatures w14:val="standardContextual"/>
        </w:rPr>
        <w:t>Documentos Tipo</w:t>
      </w:r>
      <w:r w:rsidRPr="009C2AD6">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9C2AD6">
        <w:rPr>
          <w:rFonts w:ascii="Verdana" w:eastAsia="Calibri" w:hAnsi="Verdana" w:cs="Arial"/>
          <w:b/>
          <w:bCs/>
          <w:kern w:val="2"/>
          <w:shd w:val="clear" w:color="auto" w:fill="FFFFFF"/>
          <w:lang w:val="es-ES_tradnl"/>
          <w14:ligatures w14:val="standardContextual"/>
        </w:rPr>
        <w:t>transparencia</w:t>
      </w:r>
      <w:r w:rsidRPr="009C2AD6">
        <w:rPr>
          <w:rFonts w:ascii="Verdana" w:eastAsia="Calibri" w:hAnsi="Verdana" w:cs="Arial"/>
          <w:kern w:val="2"/>
          <w:shd w:val="clear" w:color="auto" w:fill="FFFFFF"/>
          <w:lang w:val="es-ES_tradnl"/>
          <w14:ligatures w14:val="standardContextual"/>
        </w:rPr>
        <w:t> y promover un proceso de </w:t>
      </w:r>
      <w:r w:rsidRPr="009C2AD6">
        <w:rPr>
          <w:rFonts w:ascii="Verdana" w:eastAsia="Calibri" w:hAnsi="Verdana" w:cs="Arial"/>
          <w:b/>
          <w:bCs/>
          <w:kern w:val="2"/>
          <w:shd w:val="clear" w:color="auto" w:fill="FFFFFF"/>
          <w:lang w:val="es-ES_tradnl"/>
          <w14:ligatures w14:val="standardContextual"/>
        </w:rPr>
        <w:t>selección objetiva</w:t>
      </w:r>
      <w:r w:rsidRPr="009C2AD6">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50D4CE3"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A4B8D8F"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9C2AD6">
        <w:rPr>
          <w:rFonts w:ascii="Verdana" w:eastAsia="Calibri" w:hAnsi="Verdana" w:cs="Arial"/>
          <w:kern w:val="2"/>
          <w:shd w:val="clear" w:color="auto" w:fill="FFFFFF"/>
          <w:lang w:val="es-ES"/>
          <w14:ligatures w14:val="standardContextual"/>
        </w:rPr>
        <w:t>También, le contamos que ya se encuentra disponible la </w:t>
      </w:r>
      <w:r w:rsidRPr="009C2AD6">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9C2AD6">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w:t>
      </w:r>
      <w:r w:rsidRPr="009C2AD6">
        <w:rPr>
          <w:rFonts w:ascii="Verdana" w:eastAsia="Calibri" w:hAnsi="Verdana" w:cs="Arial"/>
          <w:kern w:val="2"/>
          <w:shd w:val="clear" w:color="auto" w:fill="FFFFFF"/>
          <w:lang w:val="es-ES"/>
          <w14:ligatures w14:val="standardContextual"/>
        </w:rPr>
        <w:lastRenderedPageBreak/>
        <w:t>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Original URL: https://www.colombiacompra.gov.co/wp-content/uploads/2025/05/GUIA-DE-LINEAMIENTOS-DE-TRANSPARENCIA-Y-SELECCION-OBJETIVA-1.0.pdf. Click or tap if you trust this link." w:history="1">
        <w:r w:rsidRPr="009C2AD6">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9C2AD6">
        <w:rPr>
          <w:rFonts w:ascii="Verdana" w:eastAsia="Calibri" w:hAnsi="Verdana" w:cs="Arial"/>
          <w:kern w:val="2"/>
          <w:u w:val="single"/>
          <w:shd w:val="clear" w:color="auto" w:fill="FFFFFF"/>
          <w:lang w:val="es-ES"/>
          <w14:ligatures w14:val="standardContextual"/>
        </w:rPr>
        <w:t>.</w:t>
      </w:r>
    </w:p>
    <w:p w14:paraId="3F8292C5"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F457818" w14:textId="77777777" w:rsidR="009C2AD6" w:rsidRPr="009C2AD6" w:rsidRDefault="009C2AD6" w:rsidP="009C2AD6">
      <w:pPr>
        <w:spacing w:after="0" w:line="276" w:lineRule="auto"/>
        <w:jc w:val="both"/>
        <w:rPr>
          <w:rFonts w:ascii="Verdana" w:eastAsia="Calibri" w:hAnsi="Verdana" w:cs="Times New Roman"/>
          <w:kern w:val="2"/>
          <w:lang w:val="es-ES_tradnl"/>
          <w14:ligatures w14:val="standardContextual"/>
        </w:rPr>
      </w:pPr>
      <w:r w:rsidRPr="009C2AD6">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71CF31A" w14:textId="77777777" w:rsidR="009C2AD6" w:rsidRPr="009C2AD6" w:rsidRDefault="009C2AD6" w:rsidP="009C2AD6">
      <w:pPr>
        <w:spacing w:after="0" w:line="240" w:lineRule="auto"/>
        <w:jc w:val="both"/>
        <w:rPr>
          <w:rFonts w:ascii="Verdana" w:eastAsia="Calibri" w:hAnsi="Verdana" w:cs="Times New Roman"/>
          <w:kern w:val="2"/>
          <w:lang w:val="es-ES_tradnl"/>
          <w14:ligatures w14:val="standardContextual"/>
        </w:rPr>
      </w:pPr>
    </w:p>
    <w:p w14:paraId="2CA72A1A" w14:textId="77777777" w:rsidR="009C2AD6" w:rsidRPr="009C2AD6" w:rsidRDefault="009C2AD6" w:rsidP="009C2AD6">
      <w:pPr>
        <w:spacing w:after="0" w:line="240" w:lineRule="auto"/>
        <w:jc w:val="both"/>
        <w:rPr>
          <w:rFonts w:ascii="Verdana" w:eastAsia="Calibri" w:hAnsi="Verdana" w:cs="Times New Roman"/>
          <w:kern w:val="2"/>
          <w:lang w:val="es-ES_tradnl"/>
          <w14:ligatures w14:val="standardContextual"/>
        </w:rPr>
      </w:pPr>
      <w:r w:rsidRPr="009C2AD6">
        <w:rPr>
          <w:rFonts w:ascii="Verdana" w:eastAsia="Calibri" w:hAnsi="Verdana" w:cs="Times New Roman"/>
          <w:kern w:val="2"/>
          <w:lang w:val="es-ES_tradnl"/>
          <w14:ligatures w14:val="standardContextual"/>
        </w:rPr>
        <w:t xml:space="preserve">X: </w:t>
      </w:r>
      <w:r w:rsidRPr="009C2AD6">
        <w:rPr>
          <w:rFonts w:ascii="Verdana" w:eastAsia="Calibri" w:hAnsi="Verdana" w:cs="Times New Roman"/>
          <w:kern w:val="2"/>
          <w:u w:val="single"/>
          <w:lang w:val="es-ES_tradnl"/>
          <w14:ligatures w14:val="standardContextual"/>
        </w:rPr>
        <w:t>@colombiacompra</w:t>
      </w:r>
      <w:r w:rsidRPr="009C2AD6">
        <w:rPr>
          <w:rFonts w:ascii="Verdana" w:eastAsia="Calibri" w:hAnsi="Verdana" w:cs="Times New Roman"/>
          <w:kern w:val="2"/>
          <w:lang w:val="es-ES_tradnl"/>
          <w14:ligatures w14:val="standardContextual"/>
        </w:rPr>
        <w:t xml:space="preserve"> </w:t>
      </w:r>
    </w:p>
    <w:p w14:paraId="2406F273" w14:textId="77777777" w:rsidR="009C2AD6" w:rsidRPr="009C2AD6" w:rsidRDefault="009C2AD6" w:rsidP="009C2AD6">
      <w:pPr>
        <w:spacing w:after="0" w:line="240" w:lineRule="auto"/>
        <w:jc w:val="both"/>
        <w:rPr>
          <w:rFonts w:ascii="Verdana" w:eastAsia="Calibri" w:hAnsi="Verdana" w:cs="Times New Roman"/>
          <w:kern w:val="2"/>
          <w:lang w:val="es-ES"/>
          <w14:ligatures w14:val="standardContextual"/>
        </w:rPr>
      </w:pPr>
      <w:r w:rsidRPr="009C2AD6">
        <w:rPr>
          <w:rFonts w:ascii="Verdana" w:eastAsia="Calibri" w:hAnsi="Verdana" w:cs="Times New Roman"/>
          <w:kern w:val="2"/>
          <w:lang w:val="es-ES"/>
          <w14:ligatures w14:val="standardContextual"/>
        </w:rPr>
        <w:t xml:space="preserve">Facebook: </w:t>
      </w:r>
      <w:r w:rsidRPr="009C2AD6">
        <w:rPr>
          <w:rFonts w:ascii="Verdana" w:eastAsia="Calibri" w:hAnsi="Verdana" w:cs="Times New Roman"/>
          <w:kern w:val="2"/>
          <w:u w:val="single"/>
          <w:lang w:val="es-ES"/>
          <w14:ligatures w14:val="standardContextual"/>
        </w:rPr>
        <w:t>ColombiaCompraEficiente</w:t>
      </w:r>
    </w:p>
    <w:p w14:paraId="398FF8CC" w14:textId="77777777" w:rsidR="009C2AD6" w:rsidRPr="009C2AD6" w:rsidRDefault="009C2AD6" w:rsidP="009C2AD6">
      <w:pPr>
        <w:spacing w:after="0" w:line="240" w:lineRule="auto"/>
        <w:jc w:val="both"/>
        <w:rPr>
          <w:rFonts w:ascii="Verdana" w:eastAsia="Calibri" w:hAnsi="Verdana" w:cs="Times New Roman"/>
          <w:kern w:val="2"/>
          <w:lang w:val="es-ES_tradnl"/>
          <w14:ligatures w14:val="standardContextual"/>
        </w:rPr>
      </w:pPr>
      <w:r w:rsidRPr="009C2AD6">
        <w:rPr>
          <w:rFonts w:ascii="Verdana" w:eastAsia="Calibri" w:hAnsi="Verdana" w:cs="Times New Roman"/>
          <w:kern w:val="2"/>
          <w:lang w:val="es-ES_tradnl"/>
          <w14:ligatures w14:val="standardContextual"/>
        </w:rPr>
        <w:t xml:space="preserve">LinkedIn: </w:t>
      </w:r>
      <w:r w:rsidRPr="009C2AD6">
        <w:rPr>
          <w:rFonts w:ascii="Verdana" w:eastAsia="Calibri" w:hAnsi="Verdana" w:cs="Times New Roman"/>
          <w:kern w:val="2"/>
          <w:u w:val="single"/>
          <w:lang w:val="es-ES_tradnl"/>
          <w14:ligatures w14:val="standardContextual"/>
        </w:rPr>
        <w:t>Agencia Nacional de Contratación Pública - Colombia Compra Eficiente</w:t>
      </w:r>
      <w:r w:rsidRPr="009C2AD6">
        <w:rPr>
          <w:rFonts w:ascii="Verdana" w:eastAsia="Calibri" w:hAnsi="Verdana" w:cs="Times New Roman"/>
          <w:kern w:val="2"/>
          <w:lang w:val="es-ES_tradnl"/>
          <w14:ligatures w14:val="standardContextual"/>
        </w:rPr>
        <w:t xml:space="preserve"> Instagram: </w:t>
      </w:r>
      <w:r w:rsidRPr="009C2AD6">
        <w:rPr>
          <w:rFonts w:ascii="Verdana" w:eastAsia="Calibri" w:hAnsi="Verdana" w:cs="Times New Roman"/>
          <w:kern w:val="2"/>
          <w:u w:val="single"/>
          <w:lang w:val="es-ES_tradnl"/>
          <w14:ligatures w14:val="standardContextual"/>
        </w:rPr>
        <w:t>@colombiacompraeficiente_cce</w:t>
      </w:r>
    </w:p>
    <w:p w14:paraId="63488DD6"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17641E0" w14:textId="77777777" w:rsidR="009C2AD6" w:rsidRPr="009C2AD6" w:rsidRDefault="009C2AD6" w:rsidP="009C2AD6">
      <w:pPr>
        <w:widowControl w:val="0"/>
        <w:autoSpaceDE w:val="0"/>
        <w:autoSpaceDN w:val="0"/>
        <w:spacing w:after="0" w:line="276" w:lineRule="auto"/>
        <w:jc w:val="both"/>
        <w:rPr>
          <w:rFonts w:ascii="Verdana" w:eastAsia="Calibri" w:hAnsi="Verdana" w:cs="Arial"/>
          <w:kern w:val="2"/>
          <w:lang w:val="es-ES_tradnl"/>
          <w14:ligatures w14:val="standardContextual"/>
        </w:rPr>
      </w:pPr>
      <w:r w:rsidRPr="009C2AD6">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0CA273C" w14:textId="77777777" w:rsidR="009C2AD6" w:rsidRPr="009C2AD6" w:rsidRDefault="009C2AD6" w:rsidP="009C2AD6">
      <w:pPr>
        <w:widowControl w:val="0"/>
        <w:autoSpaceDE w:val="0"/>
        <w:autoSpaceDN w:val="0"/>
        <w:spacing w:after="0" w:line="276" w:lineRule="auto"/>
        <w:jc w:val="both"/>
        <w:rPr>
          <w:rFonts w:ascii="Verdana" w:eastAsia="Calibri" w:hAnsi="Verdana" w:cs="Arial"/>
          <w:lang w:val="es-ES_tradnl"/>
        </w:rPr>
      </w:pPr>
    </w:p>
    <w:p w14:paraId="46500230" w14:textId="77777777" w:rsidR="009C2AD6" w:rsidRPr="009C2AD6" w:rsidRDefault="009C2AD6" w:rsidP="009C2AD6">
      <w:pPr>
        <w:spacing w:after="0" w:line="240" w:lineRule="auto"/>
        <w:rPr>
          <w:rFonts w:ascii="Verdana" w:eastAsia="Calibri" w:hAnsi="Verdana" w:cs="Arial"/>
          <w:lang w:val="es-ES_tradnl" w:eastAsia="es-CO"/>
        </w:rPr>
      </w:pPr>
      <w:r w:rsidRPr="009C2AD6">
        <w:rPr>
          <w:rFonts w:ascii="Verdana" w:eastAsia="Times New Roman" w:hAnsi="Verdana" w:cs="Arial"/>
          <w:lang w:val="es-ES_tradnl" w:eastAsia="es-CO"/>
        </w:rPr>
        <w:t>Atentamente,</w:t>
      </w:r>
      <w:r w:rsidRPr="009C2AD6">
        <w:rPr>
          <w:rFonts w:ascii="Verdana" w:eastAsia="Calibri" w:hAnsi="Verdana" w:cs="Arial"/>
          <w:lang w:val="es-ES_tradnl" w:eastAsia="es-CO"/>
        </w:rPr>
        <w:t xml:space="preserve"> </w:t>
      </w:r>
    </w:p>
    <w:p w14:paraId="0670B9AB" w14:textId="33D2F11F" w:rsidR="009C2AD6" w:rsidRPr="009C2AD6" w:rsidRDefault="00DB29C3" w:rsidP="009C2AD6">
      <w:pPr>
        <w:spacing w:line="276" w:lineRule="auto"/>
        <w:jc w:val="center"/>
        <w:rPr>
          <w:rFonts w:ascii="Verdana" w:eastAsia="Calibri" w:hAnsi="Verdana" w:cs="Arial"/>
          <w:lang w:val="es-ES_tradnl" w:eastAsia="es-CO"/>
        </w:rPr>
      </w:pPr>
      <w:r>
        <w:rPr>
          <w:noProof/>
        </w:rPr>
        <w:drawing>
          <wp:inline distT="0" distB="0" distL="0" distR="0" wp14:anchorId="3E7901D6" wp14:editId="434844D6">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9C2AD6" w:rsidRPr="009C2AD6" w14:paraId="67BBEDFF" w14:textId="77777777" w:rsidTr="007E0460">
        <w:trPr>
          <w:trHeight w:val="315"/>
        </w:trPr>
        <w:tc>
          <w:tcPr>
            <w:tcW w:w="893" w:type="dxa"/>
            <w:tcBorders>
              <w:top w:val="nil"/>
              <w:left w:val="nil"/>
              <w:bottom w:val="nil"/>
              <w:right w:val="nil"/>
            </w:tcBorders>
            <w:vAlign w:val="center"/>
            <w:hideMark/>
          </w:tcPr>
          <w:p w14:paraId="2D8F7A83" w14:textId="77777777" w:rsidR="009C2AD6" w:rsidRPr="009C2AD6" w:rsidRDefault="009C2AD6" w:rsidP="009C2AD6">
            <w:pPr>
              <w:rPr>
                <w:rFonts w:ascii="Verdana" w:eastAsia="Calibri" w:hAnsi="Verdana" w:cs="Arial"/>
                <w:sz w:val="16"/>
                <w:szCs w:val="16"/>
                <w:lang w:val="es-ES_tradnl" w:eastAsia="es-ES"/>
              </w:rPr>
            </w:pPr>
            <w:r w:rsidRPr="009C2AD6">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45BBF90" w14:textId="77777777" w:rsidR="009C2AD6" w:rsidRPr="009C2AD6" w:rsidRDefault="009C2AD6" w:rsidP="009C2AD6">
            <w:pPr>
              <w:rPr>
                <w:rFonts w:ascii="Verdana" w:eastAsia="Arial" w:hAnsi="Verdana" w:cs="Arial"/>
                <w:sz w:val="16"/>
                <w:szCs w:val="16"/>
                <w:lang w:val="es-ES"/>
              </w:rPr>
            </w:pPr>
            <w:r w:rsidRPr="009C2AD6">
              <w:rPr>
                <w:rFonts w:ascii="Verdana" w:eastAsia="Arial" w:hAnsi="Verdana" w:cs="Arial"/>
                <w:sz w:val="16"/>
                <w:szCs w:val="16"/>
                <w:lang w:val="es-ES"/>
              </w:rPr>
              <w:t>Kevin Arlid Herrera Santa</w:t>
            </w:r>
          </w:p>
          <w:p w14:paraId="7ED0FE8E" w14:textId="77777777" w:rsidR="009C2AD6" w:rsidRPr="009C2AD6" w:rsidRDefault="009C2AD6" w:rsidP="009C2AD6">
            <w:pPr>
              <w:rPr>
                <w:rFonts w:ascii="Verdana" w:eastAsia="Arial" w:hAnsi="Verdana" w:cs="Arial"/>
                <w:sz w:val="16"/>
                <w:szCs w:val="16"/>
                <w:lang w:val="es-ES_tradnl"/>
              </w:rPr>
            </w:pPr>
            <w:r w:rsidRPr="009C2AD6">
              <w:rPr>
                <w:rFonts w:ascii="Verdana" w:eastAsia="Arial" w:hAnsi="Verdana" w:cs="Arial"/>
                <w:sz w:val="16"/>
                <w:szCs w:val="16"/>
                <w:lang w:val="es-ES_tradnl"/>
              </w:rPr>
              <w:t xml:space="preserve">Contratista de la Subdirección de Gestión Contractual </w:t>
            </w:r>
          </w:p>
          <w:p w14:paraId="32C2888B" w14:textId="77777777" w:rsidR="009C2AD6" w:rsidRPr="009C2AD6" w:rsidRDefault="009C2AD6" w:rsidP="009C2AD6">
            <w:pPr>
              <w:rPr>
                <w:rFonts w:ascii="Verdana" w:eastAsia="Arial" w:hAnsi="Verdana" w:cs="Arial"/>
                <w:sz w:val="16"/>
                <w:szCs w:val="16"/>
                <w:lang w:val="es-ES"/>
              </w:rPr>
            </w:pPr>
            <w:r w:rsidRPr="009C2AD6">
              <w:rPr>
                <w:rFonts w:ascii="Verdana" w:eastAsia="Arial" w:hAnsi="Verdana" w:cs="Arial"/>
                <w:sz w:val="16"/>
                <w:szCs w:val="16"/>
                <w:lang w:val="es-ES"/>
              </w:rPr>
              <w:t>Lida Milena Guanumen Pacheco</w:t>
            </w:r>
          </w:p>
          <w:p w14:paraId="6BFD192E" w14:textId="77777777" w:rsidR="009C2AD6" w:rsidRPr="009C2AD6" w:rsidRDefault="009C2AD6" w:rsidP="009C2AD6">
            <w:pPr>
              <w:rPr>
                <w:rFonts w:ascii="Verdana" w:eastAsia="Arial" w:hAnsi="Verdana" w:cs="Arial"/>
                <w:sz w:val="16"/>
                <w:szCs w:val="16"/>
                <w:lang w:val="es-ES_tradnl"/>
              </w:rPr>
            </w:pPr>
            <w:r w:rsidRPr="009C2AD6">
              <w:rPr>
                <w:rFonts w:ascii="Verdana" w:eastAsia="Arial" w:hAnsi="Verdana" w:cs="Arial"/>
                <w:sz w:val="16"/>
                <w:szCs w:val="16"/>
                <w:lang w:val="es-ES_tradnl"/>
              </w:rPr>
              <w:t>Contratista de la Subdirección de Gestión Contractual</w:t>
            </w:r>
          </w:p>
        </w:tc>
      </w:tr>
      <w:tr w:rsidR="009C2AD6" w:rsidRPr="009C2AD6" w14:paraId="76B2B910" w14:textId="77777777" w:rsidTr="007E0460">
        <w:trPr>
          <w:trHeight w:val="330"/>
        </w:trPr>
        <w:tc>
          <w:tcPr>
            <w:tcW w:w="893" w:type="dxa"/>
            <w:tcBorders>
              <w:top w:val="nil"/>
              <w:left w:val="nil"/>
              <w:bottom w:val="nil"/>
              <w:right w:val="nil"/>
            </w:tcBorders>
            <w:vAlign w:val="center"/>
            <w:hideMark/>
          </w:tcPr>
          <w:p w14:paraId="2FA64C3E" w14:textId="77777777" w:rsidR="009C2AD6" w:rsidRPr="009C2AD6" w:rsidRDefault="009C2AD6" w:rsidP="009C2AD6">
            <w:pPr>
              <w:rPr>
                <w:rFonts w:ascii="Verdana" w:eastAsia="Calibri" w:hAnsi="Verdana" w:cs="Arial"/>
                <w:sz w:val="16"/>
                <w:szCs w:val="16"/>
                <w:lang w:val="es-ES_tradnl" w:eastAsia="es-ES"/>
              </w:rPr>
            </w:pPr>
            <w:r w:rsidRPr="009C2AD6">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19C7C2FD" w14:textId="77777777" w:rsidR="009C2AD6" w:rsidRPr="009C2AD6" w:rsidRDefault="009C2AD6" w:rsidP="009C2AD6">
            <w:pPr>
              <w:textAlignment w:val="baseline"/>
              <w:rPr>
                <w:rFonts w:ascii="Verdana" w:eastAsia="Times New Roman" w:hAnsi="Verdana" w:cs="Segoe UI"/>
                <w:sz w:val="16"/>
                <w:szCs w:val="16"/>
                <w:lang w:val="es-ES" w:eastAsia="es-ES"/>
              </w:rPr>
            </w:pPr>
            <w:r w:rsidRPr="009C2AD6">
              <w:rPr>
                <w:rFonts w:ascii="Verdana" w:eastAsia="Times New Roman" w:hAnsi="Verdana" w:cs="Segoe UI"/>
                <w:sz w:val="16"/>
                <w:szCs w:val="16"/>
                <w:lang w:val="es-ES" w:eastAsia="es-ES"/>
              </w:rPr>
              <w:t>Martha Alicia Romero Vargas</w:t>
            </w:r>
          </w:p>
          <w:p w14:paraId="1F901CEF" w14:textId="77777777" w:rsidR="009C2AD6" w:rsidRPr="009C2AD6" w:rsidRDefault="009C2AD6" w:rsidP="009C2AD6">
            <w:pPr>
              <w:textAlignment w:val="baseline"/>
              <w:rPr>
                <w:rFonts w:ascii="Verdana" w:eastAsia="Times New Roman" w:hAnsi="Verdana" w:cs="Segoe UI"/>
                <w:sz w:val="16"/>
                <w:szCs w:val="16"/>
                <w:lang w:val="es-ES_tradnl" w:eastAsia="es-ES_tradnl"/>
              </w:rPr>
            </w:pPr>
            <w:r w:rsidRPr="009C2AD6">
              <w:rPr>
                <w:rFonts w:ascii="Verdana" w:eastAsia="Times New Roman" w:hAnsi="Verdana" w:cs="Arial"/>
                <w:sz w:val="16"/>
                <w:szCs w:val="16"/>
                <w:lang w:val="es-ES_tradnl" w:eastAsia="es-ES_tradnl"/>
              </w:rPr>
              <w:t>Gestor T1-15 de la Subdirección de Gestión Contractual </w:t>
            </w:r>
          </w:p>
        </w:tc>
      </w:tr>
      <w:tr w:rsidR="009C2AD6" w:rsidRPr="009C2AD6" w14:paraId="4B0E10A0" w14:textId="77777777" w:rsidTr="007E0460">
        <w:trPr>
          <w:trHeight w:val="300"/>
        </w:trPr>
        <w:tc>
          <w:tcPr>
            <w:tcW w:w="893" w:type="dxa"/>
            <w:tcBorders>
              <w:top w:val="nil"/>
              <w:left w:val="nil"/>
              <w:bottom w:val="nil"/>
              <w:right w:val="nil"/>
            </w:tcBorders>
            <w:vAlign w:val="center"/>
          </w:tcPr>
          <w:p w14:paraId="41729C83" w14:textId="77777777" w:rsidR="009C2AD6" w:rsidRPr="009C2AD6" w:rsidRDefault="009C2AD6" w:rsidP="009C2AD6">
            <w:pPr>
              <w:rPr>
                <w:rFonts w:ascii="Verdana" w:eastAsia="Calibri" w:hAnsi="Verdana" w:cs="Arial"/>
                <w:sz w:val="16"/>
                <w:szCs w:val="16"/>
                <w:lang w:val="es-ES_tradnl" w:eastAsia="es-ES"/>
              </w:rPr>
            </w:pPr>
            <w:r w:rsidRPr="009C2AD6">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64EB379D" w14:textId="77777777" w:rsidR="009C2AD6" w:rsidRPr="009C2AD6" w:rsidRDefault="009C2AD6" w:rsidP="009C2AD6">
            <w:pPr>
              <w:rPr>
                <w:rFonts w:ascii="Verdana" w:eastAsia="Calibri" w:hAnsi="Verdana" w:cs="Arial"/>
                <w:sz w:val="16"/>
                <w:szCs w:val="16"/>
                <w:lang w:val="es-ES" w:eastAsia="es-ES"/>
              </w:rPr>
            </w:pPr>
            <w:r w:rsidRPr="009C2AD6">
              <w:rPr>
                <w:rFonts w:ascii="Verdana" w:eastAsia="Calibri" w:hAnsi="Verdana" w:cs="Arial"/>
                <w:sz w:val="16"/>
                <w:szCs w:val="16"/>
                <w:lang w:val="es-ES" w:eastAsia="es-ES"/>
              </w:rPr>
              <w:t>Carolina Quintero Gacharná</w:t>
            </w:r>
          </w:p>
          <w:p w14:paraId="2EC15CB3" w14:textId="77777777" w:rsidR="009C2AD6" w:rsidRPr="009C2AD6" w:rsidRDefault="009C2AD6" w:rsidP="009C2AD6">
            <w:pPr>
              <w:rPr>
                <w:rFonts w:ascii="Verdana" w:eastAsia="Calibri" w:hAnsi="Verdana" w:cs="Arial"/>
                <w:sz w:val="16"/>
                <w:szCs w:val="16"/>
                <w:lang w:val="es-ES_tradnl" w:eastAsia="es-ES"/>
              </w:rPr>
            </w:pPr>
            <w:r w:rsidRPr="009C2AD6">
              <w:rPr>
                <w:rFonts w:ascii="Verdana" w:eastAsia="Calibri" w:hAnsi="Verdana" w:cs="Arial"/>
                <w:sz w:val="16"/>
                <w:szCs w:val="16"/>
                <w:lang w:val="es-ES_tradnl" w:eastAsia="es-ES"/>
              </w:rPr>
              <w:t>Subdirectora de Gestión Contractual ANCP – CCE</w:t>
            </w:r>
          </w:p>
        </w:tc>
      </w:tr>
    </w:tbl>
    <w:p w14:paraId="2DA27935" w14:textId="77777777" w:rsidR="009C2AD6" w:rsidRPr="009C2AD6" w:rsidRDefault="009C2AD6" w:rsidP="009C2AD6">
      <w:pPr>
        <w:spacing w:after="0" w:line="240" w:lineRule="auto"/>
        <w:rPr>
          <w:rFonts w:ascii="Aptos" w:eastAsia="Aptos" w:hAnsi="Aptos" w:cs="Times New Roman"/>
          <w:kern w:val="2"/>
          <w:sz w:val="24"/>
          <w:szCs w:val="24"/>
          <w:lang w:val="es-ES_tradnl"/>
          <w14:ligatures w14:val="standardContextual"/>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3E4DF" w14:textId="77777777" w:rsidR="001B6E39" w:rsidRDefault="001B6E39" w:rsidP="004A1847">
      <w:pPr>
        <w:spacing w:after="0" w:line="240" w:lineRule="auto"/>
      </w:pPr>
      <w:r>
        <w:separator/>
      </w:r>
    </w:p>
  </w:endnote>
  <w:endnote w:type="continuationSeparator" w:id="0">
    <w:p w14:paraId="1B0CDCE4" w14:textId="77777777" w:rsidR="001B6E39" w:rsidRDefault="001B6E3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876D4" w14:textId="77777777" w:rsidR="001B6E39" w:rsidRDefault="001B6E39" w:rsidP="004A1847">
      <w:pPr>
        <w:spacing w:after="0" w:line="240" w:lineRule="auto"/>
      </w:pPr>
      <w:r>
        <w:separator/>
      </w:r>
    </w:p>
  </w:footnote>
  <w:footnote w:type="continuationSeparator" w:id="0">
    <w:p w14:paraId="44811A05" w14:textId="77777777" w:rsidR="001B6E39" w:rsidRDefault="001B6E39" w:rsidP="004A1847">
      <w:pPr>
        <w:spacing w:after="0" w:line="240" w:lineRule="auto"/>
      </w:pPr>
      <w:r>
        <w:continuationSeparator/>
      </w:r>
    </w:p>
  </w:footnote>
  <w:footnote w:id="1">
    <w:p w14:paraId="4AE5ACB6" w14:textId="77777777" w:rsidR="009C2AD6" w:rsidRPr="00C472FF" w:rsidRDefault="009C2AD6" w:rsidP="009C2AD6">
      <w:pPr>
        <w:pStyle w:val="fn1"/>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Estos Documentos Tipo pueden ser consultados en la página web de Colombia Compra Eficiente, a través del siguiente enlace: </w:t>
      </w:r>
      <w:hyperlink r:id="rId1" w:history="1">
        <w:r w:rsidRPr="00C472FF">
          <w:rPr>
            <w:rStyle w:val="Hipervnculo"/>
            <w:rFonts w:ascii="Verdana" w:hAnsi="Verdana"/>
            <w:sz w:val="18"/>
            <w:szCs w:val="18"/>
          </w:rPr>
          <w:t>https://www.colombiacompra.gov.co/documentos-tipo/documentos-tipo</w:t>
        </w:r>
      </w:hyperlink>
      <w:r w:rsidRPr="00C472FF">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71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B6E39"/>
    <w:rsid w:val="001E4177"/>
    <w:rsid w:val="001F0B24"/>
    <w:rsid w:val="001F7DC6"/>
    <w:rsid w:val="0022400B"/>
    <w:rsid w:val="002421BB"/>
    <w:rsid w:val="0025796E"/>
    <w:rsid w:val="002707A2"/>
    <w:rsid w:val="002951A0"/>
    <w:rsid w:val="002962BC"/>
    <w:rsid w:val="002A093D"/>
    <w:rsid w:val="002A0DD0"/>
    <w:rsid w:val="002A49AC"/>
    <w:rsid w:val="002A64FD"/>
    <w:rsid w:val="002B7686"/>
    <w:rsid w:val="002C7A84"/>
    <w:rsid w:val="002E2BF8"/>
    <w:rsid w:val="002E4FD9"/>
    <w:rsid w:val="0030657A"/>
    <w:rsid w:val="00322A85"/>
    <w:rsid w:val="00324168"/>
    <w:rsid w:val="00330834"/>
    <w:rsid w:val="003448F4"/>
    <w:rsid w:val="00374F5E"/>
    <w:rsid w:val="00377E3E"/>
    <w:rsid w:val="003A600C"/>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E1B89"/>
    <w:rsid w:val="006200BF"/>
    <w:rsid w:val="006219F8"/>
    <w:rsid w:val="006302F7"/>
    <w:rsid w:val="00646B9F"/>
    <w:rsid w:val="00665D70"/>
    <w:rsid w:val="006900D9"/>
    <w:rsid w:val="00695B28"/>
    <w:rsid w:val="00706C16"/>
    <w:rsid w:val="007340C3"/>
    <w:rsid w:val="0075235A"/>
    <w:rsid w:val="00756841"/>
    <w:rsid w:val="007649AB"/>
    <w:rsid w:val="00771D0C"/>
    <w:rsid w:val="007833AC"/>
    <w:rsid w:val="007B268C"/>
    <w:rsid w:val="007B7171"/>
    <w:rsid w:val="007C0C0F"/>
    <w:rsid w:val="007C3DC2"/>
    <w:rsid w:val="007E5497"/>
    <w:rsid w:val="007F69B7"/>
    <w:rsid w:val="00806F5F"/>
    <w:rsid w:val="00820278"/>
    <w:rsid w:val="008258C9"/>
    <w:rsid w:val="00825986"/>
    <w:rsid w:val="00844AE9"/>
    <w:rsid w:val="00867F95"/>
    <w:rsid w:val="008843B6"/>
    <w:rsid w:val="00891928"/>
    <w:rsid w:val="008A409F"/>
    <w:rsid w:val="008A446D"/>
    <w:rsid w:val="008B25F1"/>
    <w:rsid w:val="008D180B"/>
    <w:rsid w:val="008F0EA7"/>
    <w:rsid w:val="00923EEF"/>
    <w:rsid w:val="009419F9"/>
    <w:rsid w:val="0095685E"/>
    <w:rsid w:val="00961B09"/>
    <w:rsid w:val="00965334"/>
    <w:rsid w:val="0097093E"/>
    <w:rsid w:val="009A0DFA"/>
    <w:rsid w:val="009A1C6F"/>
    <w:rsid w:val="009B2D26"/>
    <w:rsid w:val="009C2AD6"/>
    <w:rsid w:val="009C71FA"/>
    <w:rsid w:val="009C72E7"/>
    <w:rsid w:val="009C7F7E"/>
    <w:rsid w:val="009D3058"/>
    <w:rsid w:val="009E718B"/>
    <w:rsid w:val="009F36FC"/>
    <w:rsid w:val="009F3A13"/>
    <w:rsid w:val="00A122D3"/>
    <w:rsid w:val="00A14468"/>
    <w:rsid w:val="00A17F13"/>
    <w:rsid w:val="00A20739"/>
    <w:rsid w:val="00A23AF9"/>
    <w:rsid w:val="00A33C78"/>
    <w:rsid w:val="00A50FD9"/>
    <w:rsid w:val="00AB0ADB"/>
    <w:rsid w:val="00AE4C49"/>
    <w:rsid w:val="00B00C0E"/>
    <w:rsid w:val="00B01B1A"/>
    <w:rsid w:val="00B0381D"/>
    <w:rsid w:val="00B42667"/>
    <w:rsid w:val="00B44A47"/>
    <w:rsid w:val="00B72CD3"/>
    <w:rsid w:val="00B72FFF"/>
    <w:rsid w:val="00BC3D36"/>
    <w:rsid w:val="00BD54A6"/>
    <w:rsid w:val="00BD7F72"/>
    <w:rsid w:val="00BF7425"/>
    <w:rsid w:val="00C04FB3"/>
    <w:rsid w:val="00C11D8B"/>
    <w:rsid w:val="00C15139"/>
    <w:rsid w:val="00C330EB"/>
    <w:rsid w:val="00C50D69"/>
    <w:rsid w:val="00C5365C"/>
    <w:rsid w:val="00C64943"/>
    <w:rsid w:val="00C754BE"/>
    <w:rsid w:val="00C76B1C"/>
    <w:rsid w:val="00C925AC"/>
    <w:rsid w:val="00CB6357"/>
    <w:rsid w:val="00CC1B26"/>
    <w:rsid w:val="00D361FD"/>
    <w:rsid w:val="00D423A2"/>
    <w:rsid w:val="00D44E26"/>
    <w:rsid w:val="00D520D8"/>
    <w:rsid w:val="00D63AC2"/>
    <w:rsid w:val="00D7383B"/>
    <w:rsid w:val="00D7788A"/>
    <w:rsid w:val="00DA231B"/>
    <w:rsid w:val="00DB29C3"/>
    <w:rsid w:val="00DC39FC"/>
    <w:rsid w:val="00DD35C0"/>
    <w:rsid w:val="00DF5254"/>
    <w:rsid w:val="00E02524"/>
    <w:rsid w:val="00E16408"/>
    <w:rsid w:val="00E20894"/>
    <w:rsid w:val="00E245AB"/>
    <w:rsid w:val="00E2764C"/>
    <w:rsid w:val="00E27F2E"/>
    <w:rsid w:val="00E50AFE"/>
    <w:rsid w:val="00E65B01"/>
    <w:rsid w:val="00E75C92"/>
    <w:rsid w:val="00E771DC"/>
    <w:rsid w:val="00E875EA"/>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fn1">
    <w:name w:val="fn1"/>
    <w:basedOn w:val="Normal"/>
    <w:next w:val="Textonotapie"/>
    <w:uiPriority w:val="99"/>
    <w:unhideWhenUsed/>
    <w:qFormat/>
    <w:rsid w:val="009C2AD6"/>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9C2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C2AD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CD51169-C59B-444E-B958-52A1357A5F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10</Pages>
  <Words>3048</Words>
  <Characters>17072</Characters>
  <Application>Microsoft Office Word</Application>
  <DocSecurity>0</DocSecurity>
  <Lines>406</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2025-12-23T00:55:00Z</dcterms:created>
  <dcterms:modified xsi:type="dcterms:W3CDTF">2025-12-23T16:50:00Z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