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FCEB8" w14:textId="4C4D692A" w:rsidR="0021640A" w:rsidRPr="0021640A" w:rsidRDefault="0021640A" w:rsidP="0021640A">
      <w:pPr>
        <w:jc w:val="both"/>
        <w:rPr>
          <w:rFonts w:ascii="Verdana" w:hAnsi="Verdana" w:cs="Arial"/>
          <w:b/>
          <w:color w:val="000000" w:themeColor="text1"/>
          <w:lang w:val="es-ES_tradnl"/>
        </w:rPr>
      </w:pPr>
      <w:bookmarkStart w:id="0" w:name="_Hlk143780582"/>
      <w:r w:rsidRPr="0021640A">
        <w:rPr>
          <w:rFonts w:ascii="Verdana" w:hAnsi="Verdana" w:cs="Arial"/>
          <w:b/>
          <w:color w:val="000000" w:themeColor="text1"/>
          <w:lang w:val="es-ES_tradnl"/>
        </w:rPr>
        <w:t xml:space="preserve">REQUISITOS HABILITANTES ‒ Concepto </w:t>
      </w:r>
    </w:p>
    <w:p w14:paraId="2F0BD00A" w14:textId="77777777" w:rsidR="0021640A" w:rsidRPr="000D0F09" w:rsidRDefault="0021640A" w:rsidP="0021640A">
      <w:pPr>
        <w:spacing w:after="120" w:line="276" w:lineRule="auto"/>
        <w:jc w:val="both"/>
        <w:rPr>
          <w:rFonts w:ascii="Verdana" w:eastAsia="Calibri" w:hAnsi="Verdana" w:cs="Arial"/>
          <w:lang w:val="es-ES" w:eastAsia="es-MX"/>
        </w:rPr>
      </w:pPr>
      <w:r w:rsidRPr="001A4E79">
        <w:rPr>
          <w:rFonts w:ascii="Verdana" w:eastAsia="Calibri" w:hAnsi="Verdana" w:cs="Arial"/>
          <w:lang w:val="es-ES" w:eastAsia="es-MX"/>
        </w:rPr>
        <w:t>Los requisitos habilitantes constituyen los requ</w:t>
      </w:r>
      <w:r>
        <w:rPr>
          <w:rFonts w:ascii="Verdana" w:eastAsia="Calibri" w:hAnsi="Verdana" w:cs="Arial"/>
          <w:lang w:val="es-ES" w:eastAsia="es-MX"/>
        </w:rPr>
        <w:t>isi</w:t>
      </w:r>
      <w:r w:rsidRPr="001A4E79">
        <w:rPr>
          <w:rFonts w:ascii="Verdana" w:eastAsia="Calibri" w:hAnsi="Verdana" w:cs="Arial"/>
          <w:lang w:val="es-ES" w:eastAsia="es-MX"/>
        </w:rPr>
        <w:t>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w:t>
      </w:r>
      <w:r w:rsidRPr="00C94107">
        <w:rPr>
          <w:rFonts w:ascii="Verdana" w:eastAsia="Calibri" w:hAnsi="Verdana" w:cs="Arial"/>
          <w:lang w:val="es-ES" w:eastAsia="es-MX"/>
        </w:rPr>
        <w:t>. De esta</w:t>
      </w:r>
      <w:r w:rsidRPr="001A4E79">
        <w:rPr>
          <w:rFonts w:ascii="Verdana" w:eastAsia="Calibri" w:hAnsi="Verdana" w:cs="Arial"/>
          <w:lang w:val="es-ES" w:eastAsia="es-MX"/>
        </w:rPr>
        <w:t xml:space="preserve"> manera</w:t>
      </w:r>
      <w:r w:rsidRPr="00C94107">
        <w:rPr>
          <w:rFonts w:ascii="Verdana" w:eastAsia="Calibri" w:hAnsi="Verdana" w:cs="Arial"/>
          <w:lang w:val="es-ES" w:eastAsia="es-MX"/>
        </w:rPr>
        <w:t>,</w:t>
      </w:r>
      <w:r w:rsidRPr="001A4E79">
        <w:rPr>
          <w:rFonts w:ascii="Verdana" w:eastAsia="Calibri" w:hAnsi="Verdana" w:cs="Arial"/>
          <w:lang w:val="es-ES" w:eastAsia="es-MX"/>
        </w:rPr>
        <w:t xml:space="preserve"> quienes no los reúnan no pueden continuar en el procedimiento de selección, es decir, incurren en causal de rechazo. Esto</w:t>
      </w:r>
      <w:r w:rsidRPr="00C94107">
        <w:rPr>
          <w:rFonts w:ascii="Verdana" w:eastAsia="Calibri" w:hAnsi="Verdana" w:cs="Arial"/>
          <w:lang w:val="es-ES" w:eastAsia="es-MX"/>
        </w:rPr>
        <w:t>,</w:t>
      </w:r>
      <w:r w:rsidRPr="001A4E79">
        <w:rPr>
          <w:rFonts w:ascii="Verdana" w:eastAsia="Calibri" w:hAnsi="Verdana" w:cs="Arial"/>
          <w:lang w:val="es-ES" w:eastAsia="es-MX"/>
        </w:rPr>
        <w:t xml:space="preserve"> sin perjuicio del derecho que tienen los oferentes de subsanar los defectos que se presenten en la prueba de tales requisitos, de conformidad con el artículo 5, parágrafos 1º al 4º, de la Ley 1150 de 2007.</w:t>
      </w:r>
    </w:p>
    <w:p w14:paraId="14299844" w14:textId="0A6CD429" w:rsidR="0021640A" w:rsidRDefault="0021640A" w:rsidP="0021640A">
      <w:pPr>
        <w:jc w:val="both"/>
        <w:rPr>
          <w:rFonts w:ascii="Verdana" w:hAnsi="Verdana" w:cs="Arial"/>
          <w:b/>
          <w:color w:val="000000" w:themeColor="text1"/>
          <w:lang w:val="es-ES_tradnl"/>
        </w:rPr>
      </w:pPr>
      <w:r w:rsidRPr="0021640A">
        <w:rPr>
          <w:rFonts w:ascii="Verdana" w:hAnsi="Verdana" w:cs="Arial"/>
          <w:b/>
          <w:color w:val="000000" w:themeColor="text1"/>
          <w:lang w:val="es-ES_tradnl"/>
        </w:rPr>
        <w:t xml:space="preserve">REQUISITOS HABILITANTES ‒ Deber de verificación </w:t>
      </w:r>
    </w:p>
    <w:p w14:paraId="7269E9A1" w14:textId="7F29FC35" w:rsidR="0021640A" w:rsidRDefault="0021640A" w:rsidP="0021640A">
      <w:pPr>
        <w:spacing w:after="120" w:line="276" w:lineRule="auto"/>
        <w:jc w:val="both"/>
        <w:rPr>
          <w:rFonts w:ascii="Verdana" w:hAnsi="Verdana" w:cs="Arial"/>
        </w:rPr>
      </w:pPr>
      <w:r>
        <w:rPr>
          <w:rFonts w:ascii="Verdana" w:hAnsi="Verdana" w:cs="Arial"/>
        </w:rPr>
        <w:t xml:space="preserve">En cualquier caso, en los procedimientos en los cuales no es exigible el RUP, como aquellos que se adelanten mediante la modalidad de mínima cuantía, las </w:t>
      </w:r>
      <w:r w:rsidRPr="00C94107">
        <w:rPr>
          <w:rFonts w:ascii="Verdana" w:hAnsi="Verdana" w:cs="Arial"/>
        </w:rPr>
        <w:t>Entidades</w:t>
      </w:r>
      <w:r>
        <w:rPr>
          <w:rFonts w:ascii="Verdana" w:hAnsi="Verdana" w:cs="Arial"/>
        </w:rPr>
        <w:t xml:space="preserve"> deberán </w:t>
      </w:r>
      <w:r w:rsidRPr="003D0085">
        <w:rPr>
          <w:rFonts w:ascii="Verdana" w:hAnsi="Verdana" w:cs="Arial"/>
        </w:rPr>
        <w:t>verificar directamente el cumplimiento de los requisitos habilitantes</w:t>
      </w:r>
      <w:r>
        <w:rPr>
          <w:rFonts w:ascii="Verdana" w:hAnsi="Verdana" w:cs="Arial"/>
        </w:rPr>
        <w:t xml:space="preserve">. Para esto, deberá señalar en la invitación, o el documento que haga sus veces, </w:t>
      </w:r>
      <w:r w:rsidRPr="00FB79E2">
        <w:rPr>
          <w:rFonts w:ascii="Verdana" w:eastAsia="Times New Roman" w:hAnsi="Verdana" w:cs="Arial"/>
          <w:lang w:eastAsia="es-ES_tradnl"/>
        </w:rPr>
        <w:t>cuál es la información que se debe acreditar, así como los documentos que tendrá como válidos para tal fin.</w:t>
      </w:r>
      <w:r>
        <w:rPr>
          <w:rFonts w:ascii="Verdana" w:hAnsi="Verdana" w:cs="Arial"/>
        </w:rPr>
        <w:t xml:space="preserve"> Estos documentos también deberán ser proporcionales y adecuados, pues no podrán imponer barreras injustificadas para la participación en el proceso de selección.</w:t>
      </w:r>
    </w:p>
    <w:p w14:paraId="0AC496CD" w14:textId="5B9F9525" w:rsidR="0021640A" w:rsidRPr="0021640A" w:rsidRDefault="0021640A" w:rsidP="0021640A">
      <w:pPr>
        <w:jc w:val="both"/>
        <w:rPr>
          <w:rFonts w:ascii="Verdana" w:hAnsi="Verdana" w:cs="Arial"/>
          <w:b/>
          <w:bCs/>
          <w:color w:val="000000" w:themeColor="text1"/>
          <w:lang w:val="es-ES_tradnl"/>
        </w:rPr>
      </w:pPr>
      <w:r w:rsidRPr="0021640A">
        <w:rPr>
          <w:rFonts w:ascii="Verdana" w:hAnsi="Verdana" w:cs="Arial"/>
          <w:b/>
          <w:bCs/>
          <w:lang w:val="es-MX"/>
        </w:rPr>
        <w:t>INHABILIDADES – Delitos sexuales contra menores - Deber de verificación</w:t>
      </w:r>
    </w:p>
    <w:p w14:paraId="1B11D3A4" w14:textId="6E04005B" w:rsidR="0021640A" w:rsidRDefault="0021640A" w:rsidP="0021640A">
      <w:pPr>
        <w:spacing w:after="0"/>
        <w:jc w:val="both"/>
        <w:rPr>
          <w:rFonts w:ascii="Verdana" w:hAnsi="Verdana"/>
        </w:rPr>
      </w:pPr>
      <w:r>
        <w:rPr>
          <w:rFonts w:ascii="Verdana" w:eastAsia="Calibri" w:hAnsi="Verdana" w:cs="Arial"/>
          <w:bCs/>
        </w:rPr>
        <w:t xml:space="preserve">El </w:t>
      </w:r>
      <w:r w:rsidRPr="008B6206">
        <w:rPr>
          <w:rFonts w:ascii="Verdana" w:eastAsia="Calibri" w:hAnsi="Verdana" w:cs="Arial"/>
          <w:bCs/>
        </w:rPr>
        <w:t>artículo 4 de la Ley 1918 de 201</w:t>
      </w:r>
      <w:r>
        <w:rPr>
          <w:rFonts w:ascii="Verdana" w:eastAsia="Calibri" w:hAnsi="Verdana" w:cs="Arial"/>
          <w:bCs/>
        </w:rPr>
        <w:t>8</w:t>
      </w:r>
      <w:r w:rsidRPr="008B6206">
        <w:rPr>
          <w:rFonts w:ascii="Verdana" w:eastAsia="Calibri" w:hAnsi="Verdana" w:cs="Arial"/>
          <w:bCs/>
        </w:rPr>
        <w:t xml:space="preserve"> establece que las entidades públicas y privadas deben verificar, con autorización del aspirante, que este no esté inscrito en el Registro de Inhabilidades por delitos sexuales contra menores de edad</w:t>
      </w:r>
      <w:r>
        <w:rPr>
          <w:rFonts w:ascii="Verdana" w:eastAsia="Calibri" w:hAnsi="Verdana" w:cs="Arial"/>
          <w:bCs/>
        </w:rPr>
        <w:t> antes de contratarlo en aquellos empleos o contratos, donde exista un</w:t>
      </w:r>
      <w:r w:rsidRPr="008B6206">
        <w:rPr>
          <w:rFonts w:ascii="Verdana" w:eastAsia="Calibri" w:hAnsi="Verdana" w:cs="Arial"/>
          <w:bCs/>
        </w:rPr>
        <w:t xml:space="preserve"> contacto directo y habitual con menores. Dicha verificación debe hacerse cada cuatro (4) meses durante la relación laboral o contractual. En el evento que un servidor público omite esta verificación y contrata a una persona inhabilitada, incurre en una falta disciplinaria gravísima, y no hay que olvidar que el uso del registro debe cumplir con la Ley de </w:t>
      </w:r>
      <w:r>
        <w:rPr>
          <w:rFonts w:ascii="Verdana" w:eastAsia="Calibri" w:hAnsi="Verdana" w:cs="Arial"/>
          <w:bCs/>
        </w:rPr>
        <w:t>Protección de Datos Personales -Ley 1581 de 2012-</w:t>
      </w:r>
      <w:r w:rsidRPr="008B6206">
        <w:rPr>
          <w:rFonts w:ascii="Verdana" w:eastAsia="Calibri" w:hAnsi="Verdana" w:cs="Arial"/>
          <w:bCs/>
        </w:rPr>
        <w:t>, bajo supervisión de la Superintendencia de Industria y Comercio.</w:t>
      </w:r>
      <w:r>
        <w:rPr>
          <w:rFonts w:ascii="Verdana" w:eastAsia="Calibri" w:hAnsi="Verdana" w:cs="Arial"/>
          <w:bCs/>
        </w:rPr>
        <w:t xml:space="preserve"> Esto, sin perjuicio del manejo y custodia del expediente contractual frente a este documento, así como los demás que tengan el carácter de reservado, como se detalla en las razones de la respuesta.  </w:t>
      </w:r>
    </w:p>
    <w:p w14:paraId="5A561950" w14:textId="77777777" w:rsidR="0021640A" w:rsidRDefault="0021640A" w:rsidP="00C15139">
      <w:pPr>
        <w:spacing w:after="0"/>
        <w:rPr>
          <w:rFonts w:ascii="Verdana" w:hAnsi="Verdana"/>
        </w:rPr>
      </w:pPr>
    </w:p>
    <w:p w14:paraId="1468C46D" w14:textId="10422DEE" w:rsidR="00C15139" w:rsidRPr="0024624F" w:rsidRDefault="0021640A"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412DFC33" wp14:editId="45C3FFED">
            <wp:simplePos x="0" y="0"/>
            <wp:positionH relativeFrom="column">
              <wp:posOffset>3194050</wp:posOffset>
            </wp:positionH>
            <wp:positionV relativeFrom="paragraph">
              <wp:posOffset>0</wp:posOffset>
            </wp:positionV>
            <wp:extent cx="2546350" cy="755650"/>
            <wp:effectExtent l="0" t="0" r="635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46350" cy="75565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30 </w:t>
      </w:r>
      <w:proofErr w:type="gramStart"/>
      <w:r>
        <w:rPr>
          <w:rFonts w:ascii="Verdana" w:hAnsi="Verdana"/>
        </w:rPr>
        <w:t>Diciembre</w:t>
      </w:r>
      <w:proofErr w:type="gramEnd"/>
      <w:r>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2443EE0" w14:textId="77777777" w:rsidR="00C15139" w:rsidRPr="0024624F" w:rsidRDefault="00C15139" w:rsidP="00C15139">
      <w:pPr>
        <w:spacing w:after="0"/>
        <w:rPr>
          <w:rFonts w:ascii="Verdana" w:hAnsi="Verdana"/>
        </w:rPr>
      </w:pPr>
    </w:p>
    <w:bookmarkEnd w:id="0"/>
    <w:p w14:paraId="55A77205" w14:textId="77777777" w:rsidR="00BD716E" w:rsidRPr="0051487B" w:rsidRDefault="00BD716E" w:rsidP="00BD716E">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p>
    <w:p w14:paraId="13CE13FE" w14:textId="77777777" w:rsidR="00BD716E" w:rsidRPr="0051487B" w:rsidRDefault="00BD716E" w:rsidP="00BD716E">
      <w:pPr>
        <w:spacing w:after="0" w:line="240" w:lineRule="auto"/>
        <w:rPr>
          <w:rFonts w:ascii="Verdana" w:eastAsia="Calibri" w:hAnsi="Verdana" w:cs="Arial"/>
          <w:b/>
          <w:lang w:val="de-DE" w:eastAsia="es-ES"/>
        </w:rPr>
      </w:pPr>
      <w:r>
        <w:rPr>
          <w:rFonts w:ascii="Verdana" w:eastAsia="Calibri" w:hAnsi="Verdana" w:cs="Arial"/>
          <w:b/>
          <w:lang w:val="de-DE" w:eastAsia="es-ES"/>
        </w:rPr>
        <w:t>Virgilio Antonio Di Filippo Rodriguez</w:t>
      </w:r>
    </w:p>
    <w:p w14:paraId="63E1B982" w14:textId="77777777" w:rsidR="00BD716E" w:rsidRPr="0051487B" w:rsidRDefault="00C875A7" w:rsidP="00BD716E">
      <w:pPr>
        <w:spacing w:after="0" w:line="240" w:lineRule="auto"/>
        <w:rPr>
          <w:rFonts w:ascii="Verdana" w:hAnsi="Verdana" w:cs="ArialMT"/>
          <w:lang w:val="de-DE"/>
        </w:rPr>
      </w:pPr>
      <w:hyperlink r:id="rId11" w:history="1">
        <w:r w:rsidR="00BD716E" w:rsidRPr="00795BE4">
          <w:rPr>
            <w:rStyle w:val="Hipervnculo"/>
            <w:rFonts w:ascii="Verdana" w:hAnsi="Verdana" w:cs="ArialMT"/>
            <w:lang w:val="de-DE"/>
          </w:rPr>
          <w:t>ietamigueln@yahoo.com</w:t>
        </w:r>
      </w:hyperlink>
      <w:r w:rsidR="00BD716E">
        <w:rPr>
          <w:rFonts w:ascii="Verdana" w:hAnsi="Verdana" w:cs="ArialMT"/>
          <w:lang w:val="de-DE"/>
        </w:rPr>
        <w:t xml:space="preserve"> </w:t>
      </w:r>
      <w:r w:rsidR="00BD716E" w:rsidRPr="0051487B">
        <w:rPr>
          <w:rFonts w:ascii="Verdana" w:hAnsi="Verdana" w:cs="ArialMT"/>
          <w:lang w:val="de-DE"/>
        </w:rPr>
        <w:t xml:space="preserve">   </w:t>
      </w:r>
    </w:p>
    <w:p w14:paraId="65969FF1" w14:textId="77777777" w:rsidR="00BD716E" w:rsidRPr="00C53B42" w:rsidRDefault="00BD716E" w:rsidP="00BD716E">
      <w:pPr>
        <w:spacing w:after="0" w:line="240" w:lineRule="auto"/>
        <w:rPr>
          <w:rFonts w:ascii="Verdana" w:hAnsi="Verdana" w:cs="ArialMT"/>
        </w:rPr>
      </w:pPr>
      <w:r>
        <w:rPr>
          <w:rFonts w:ascii="Verdana" w:eastAsia="Calibri" w:hAnsi="Verdana" w:cs="Arial"/>
          <w:lang w:val="es-ES" w:eastAsia="es-ES"/>
        </w:rPr>
        <w:t>Barranquilla, Atlántico</w:t>
      </w:r>
    </w:p>
    <w:p w14:paraId="5E82DA15" w14:textId="77777777" w:rsidR="00BD716E" w:rsidRPr="00C53B42" w:rsidRDefault="00BD716E" w:rsidP="00BD716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BD716E" w:rsidRPr="00C53B42" w14:paraId="12348103" w14:textId="77777777" w:rsidTr="00596B74">
        <w:trPr>
          <w:trHeight w:val="218"/>
        </w:trPr>
        <w:tc>
          <w:tcPr>
            <w:tcW w:w="2175" w:type="dxa"/>
          </w:tcPr>
          <w:p w14:paraId="5CF5494B" w14:textId="77777777" w:rsidR="00BD716E" w:rsidRPr="00C53B42" w:rsidRDefault="00BD716E" w:rsidP="00596B74">
            <w:pPr>
              <w:jc w:val="both"/>
              <w:rPr>
                <w:rFonts w:ascii="Verdana" w:eastAsia="Calibri" w:hAnsi="Verdana" w:cs="Arial"/>
                <w:b/>
                <w:bCs/>
                <w:color w:val="7030A0"/>
                <w:lang w:val="es-ES_tradnl" w:eastAsia="es-ES_tradnl"/>
              </w:rPr>
            </w:pPr>
          </w:p>
        </w:tc>
        <w:tc>
          <w:tcPr>
            <w:tcW w:w="6614" w:type="dxa"/>
            <w:hideMark/>
          </w:tcPr>
          <w:p w14:paraId="4909B124" w14:textId="77777777" w:rsidR="00BD716E" w:rsidRDefault="00BD716E" w:rsidP="00596B74">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1790</w:t>
            </w:r>
            <w:r w:rsidRPr="00C53B42">
              <w:rPr>
                <w:rFonts w:ascii="Verdana" w:eastAsia="Calibri" w:hAnsi="Verdana" w:cs="Arial"/>
                <w:b/>
                <w:bCs/>
                <w:lang w:val="es-ES" w:eastAsia="es-ES"/>
              </w:rPr>
              <w:t xml:space="preserve"> de 2025</w:t>
            </w:r>
          </w:p>
          <w:p w14:paraId="13DD8554" w14:textId="77777777" w:rsidR="00BD716E" w:rsidRPr="00C53B42" w:rsidRDefault="00BD716E" w:rsidP="00596B74">
            <w:pPr>
              <w:jc w:val="both"/>
              <w:rPr>
                <w:rFonts w:ascii="Verdana" w:eastAsia="Calibri" w:hAnsi="Verdana" w:cs="Arial"/>
                <w:b/>
                <w:bCs/>
                <w:lang w:val="es-ES" w:eastAsia="es-ES"/>
              </w:rPr>
            </w:pPr>
          </w:p>
          <w:p w14:paraId="3450936D" w14:textId="77777777" w:rsidR="00BD716E" w:rsidRPr="00C53B42" w:rsidRDefault="00BD716E" w:rsidP="00596B74">
            <w:pPr>
              <w:jc w:val="both"/>
              <w:rPr>
                <w:rFonts w:ascii="Verdana" w:eastAsia="Calibri" w:hAnsi="Verdana" w:cs="Arial"/>
                <w:b/>
                <w:bCs/>
                <w:lang w:val="es-ES" w:eastAsia="es-ES"/>
              </w:rPr>
            </w:pPr>
          </w:p>
        </w:tc>
      </w:tr>
      <w:tr w:rsidR="00BD716E" w:rsidRPr="00C53B42" w14:paraId="27D933C0" w14:textId="77777777" w:rsidTr="00596B74">
        <w:trPr>
          <w:trHeight w:val="884"/>
        </w:trPr>
        <w:tc>
          <w:tcPr>
            <w:tcW w:w="2175" w:type="dxa"/>
            <w:hideMark/>
          </w:tcPr>
          <w:p w14:paraId="0345FD5A" w14:textId="77777777" w:rsidR="00BD716E" w:rsidRPr="00C53B42" w:rsidRDefault="00BD716E" w:rsidP="00596B74">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2F150E15" w14:textId="77777777" w:rsidR="00BD716E" w:rsidRDefault="00BD716E" w:rsidP="00596B74">
            <w:pPr>
              <w:jc w:val="both"/>
              <w:rPr>
                <w:rFonts w:ascii="Verdana" w:hAnsi="Verdana" w:cs="Arial"/>
                <w:bCs/>
                <w:color w:val="000000" w:themeColor="text1"/>
                <w:lang w:val="es-ES_tradnl"/>
              </w:rPr>
            </w:pPr>
            <w:r w:rsidRPr="00E657D1">
              <w:rPr>
                <w:rFonts w:ascii="Verdana" w:hAnsi="Verdana" w:cs="Arial"/>
                <w:bCs/>
                <w:color w:val="000000" w:themeColor="text1"/>
                <w:lang w:val="es-ES_tradnl"/>
              </w:rPr>
              <w:t>REQUISITOS HABILITANTES ‒ Concepto / REQUISITOS HABILITANTES ‒ Deber de verificación</w:t>
            </w:r>
            <w:r w:rsidRPr="009E5543">
              <w:rPr>
                <w:rFonts w:ascii="Verdana" w:hAnsi="Verdana" w:cs="Arial"/>
                <w:bCs/>
                <w:color w:val="000000" w:themeColor="text1"/>
                <w:lang w:val="es-ES_tradnl"/>
              </w:rPr>
              <w:t xml:space="preserve"> </w:t>
            </w:r>
            <w:r>
              <w:rPr>
                <w:rFonts w:ascii="Verdana" w:hAnsi="Verdana" w:cs="Arial"/>
                <w:bCs/>
                <w:color w:val="000000" w:themeColor="text1"/>
                <w:lang w:val="es-ES_tradnl"/>
              </w:rPr>
              <w:t xml:space="preserve">/ </w:t>
            </w:r>
            <w:r w:rsidRPr="00805620">
              <w:rPr>
                <w:rFonts w:ascii="Verdana" w:hAnsi="Verdana" w:cs="Arial"/>
                <w:lang w:val="es-MX"/>
              </w:rPr>
              <w:t>INHABILIDADES – Delitos sexuales contra menores - Deber de verificación</w:t>
            </w:r>
          </w:p>
          <w:p w14:paraId="55CA11CC" w14:textId="77777777" w:rsidR="00BD716E" w:rsidRDefault="00BD716E" w:rsidP="00596B74">
            <w:pPr>
              <w:jc w:val="both"/>
              <w:rPr>
                <w:rFonts w:ascii="Verdana" w:hAnsi="Verdana" w:cs="Arial"/>
                <w:bCs/>
                <w:color w:val="000000" w:themeColor="text1"/>
                <w:lang w:val="es-ES_tradnl"/>
              </w:rPr>
            </w:pPr>
          </w:p>
          <w:p w14:paraId="4419AB9B" w14:textId="77777777" w:rsidR="00BD716E" w:rsidRPr="00C53B42" w:rsidRDefault="00BD716E" w:rsidP="00596B74">
            <w:pPr>
              <w:jc w:val="both"/>
              <w:rPr>
                <w:rFonts w:ascii="Verdana" w:eastAsia="Calibri" w:hAnsi="Verdana" w:cs="Arial"/>
                <w:lang w:val="es-ES" w:eastAsia="es-ES"/>
              </w:rPr>
            </w:pPr>
          </w:p>
        </w:tc>
      </w:tr>
      <w:tr w:rsidR="00BD716E" w14:paraId="58156CF7" w14:textId="77777777" w:rsidTr="00596B74">
        <w:trPr>
          <w:trHeight w:val="360"/>
        </w:trPr>
        <w:tc>
          <w:tcPr>
            <w:tcW w:w="2175" w:type="dxa"/>
            <w:hideMark/>
          </w:tcPr>
          <w:p w14:paraId="52A30971" w14:textId="77777777" w:rsidR="00BD716E" w:rsidRPr="00C53B42" w:rsidRDefault="00BD716E" w:rsidP="00596B74">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53AE12D6" w14:textId="77777777" w:rsidR="00BD716E" w:rsidRPr="00C53B42" w:rsidRDefault="00BD716E" w:rsidP="00596B74">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6D53C3">
              <w:rPr>
                <w:rFonts w:ascii="Verdana" w:eastAsia="Calibri" w:hAnsi="Verdana" w:cs="Arial"/>
                <w:lang w:val="es-ES_tradnl" w:eastAsia="es-ES_tradnl"/>
              </w:rPr>
              <w:t>1_2025_12_03_013652</w:t>
            </w:r>
          </w:p>
        </w:tc>
      </w:tr>
    </w:tbl>
    <w:p w14:paraId="490215AC" w14:textId="77777777" w:rsidR="00BD716E" w:rsidRDefault="00BD716E" w:rsidP="00BD716E">
      <w:pPr>
        <w:spacing w:after="0" w:line="240" w:lineRule="auto"/>
        <w:jc w:val="both"/>
        <w:rPr>
          <w:rFonts w:ascii="Verdana" w:eastAsia="Calibri" w:hAnsi="Verdana" w:cs="Arial"/>
          <w:color w:val="000000"/>
          <w:lang w:val="es-ES_tradnl" w:eastAsia="es-ES_tradnl"/>
        </w:rPr>
      </w:pPr>
    </w:p>
    <w:p w14:paraId="70064E6F" w14:textId="77777777" w:rsidR="00BD716E" w:rsidRDefault="00BD716E" w:rsidP="00BD716E">
      <w:pPr>
        <w:spacing w:after="0" w:line="240" w:lineRule="auto"/>
        <w:jc w:val="both"/>
        <w:rPr>
          <w:rFonts w:ascii="Verdana" w:eastAsia="Calibri" w:hAnsi="Verdana" w:cs="Arial"/>
          <w:color w:val="000000"/>
          <w:lang w:val="es-ES_tradnl" w:eastAsia="es-ES_tradnl"/>
        </w:rPr>
      </w:pPr>
    </w:p>
    <w:p w14:paraId="3CFBE831" w14:textId="77777777" w:rsidR="00BD716E" w:rsidRDefault="00BD716E" w:rsidP="00BD716E">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Jaramillo,</w:t>
      </w:r>
    </w:p>
    <w:p w14:paraId="270780FC" w14:textId="77777777" w:rsidR="00BD716E" w:rsidRDefault="00BD716E" w:rsidP="00BD716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EC0D93" w14:textId="77777777" w:rsidR="00BD716E" w:rsidRDefault="00BD716E" w:rsidP="00BD716E">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trasladada por el Departamento Administrativo de la Función Pública el 02 de diciembre de 2025, en la cual manifiesta lo siguiente: </w:t>
      </w:r>
    </w:p>
    <w:p w14:paraId="2BD1ABED" w14:textId="77777777" w:rsidR="00BD716E" w:rsidRDefault="00BD716E" w:rsidP="00BD716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5BD6FAD" w14:textId="77777777" w:rsidR="00BD716E" w:rsidRPr="006D53C3" w:rsidRDefault="00BD716E" w:rsidP="00BD716E">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6D53C3">
        <w:rPr>
          <w:rFonts w:ascii="Verdana" w:eastAsia="Century Gothic" w:hAnsi="Verdana" w:cs="Century Gothic"/>
          <w:sz w:val="20"/>
          <w:szCs w:val="20"/>
          <w:lang w:val="es-ES"/>
        </w:rPr>
        <w:t>1. SI LA CAMARA DE COMERCIO TIENE VIGENCIA POR UN AÑO CUANDO ESTA SE ENCUENTRA AL DÍA</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 xml:space="preserve">EN SUS PAGOS Y SIN MODIFICACION DE SU OBJETO </w:t>
      </w:r>
      <w:proofErr w:type="gramStart"/>
      <w:r w:rsidRPr="006D53C3">
        <w:rPr>
          <w:rFonts w:ascii="Verdana" w:eastAsia="Century Gothic" w:hAnsi="Verdana" w:cs="Century Gothic"/>
          <w:sz w:val="20"/>
          <w:szCs w:val="20"/>
          <w:lang w:val="es-ES"/>
        </w:rPr>
        <w:t>SOCIAL ,</w:t>
      </w:r>
      <w:proofErr w:type="gramEnd"/>
      <w:r w:rsidRPr="006D53C3">
        <w:rPr>
          <w:rFonts w:ascii="Verdana" w:eastAsia="Century Gothic" w:hAnsi="Verdana" w:cs="Century Gothic"/>
          <w:sz w:val="20"/>
          <w:szCs w:val="20"/>
          <w:lang w:val="es-ES"/>
        </w:rPr>
        <w:t xml:space="preserve"> EL CONTRATISTA ESTA OBLIGADO</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CADA VEZ QUE VA A CONTRATAR CON EL SECTOR PUBLICO A PRESENTAR SU CERTFICICACION DE</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CAMARA DE COMERCIO CON FECHA  DE ESPEDICION ACTUALIZADA NO MAYOR A TRES MESES ?</w:t>
      </w:r>
    </w:p>
    <w:p w14:paraId="6F720BBF" w14:textId="77777777" w:rsidR="00BD716E" w:rsidRPr="006D53C3" w:rsidRDefault="00BD716E" w:rsidP="00BD716E">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sidRPr="006D53C3">
        <w:rPr>
          <w:rFonts w:ascii="Verdana" w:eastAsia="Century Gothic" w:hAnsi="Verdana" w:cs="Century Gothic"/>
          <w:sz w:val="20"/>
          <w:szCs w:val="20"/>
          <w:lang w:val="es-ES"/>
        </w:rPr>
        <w:t>2. EL CONTRATISTA ESTA OBLIGADO A ACTUALIZAR SU RUT CADA VEZ QUE VA A CONTRATAR CON</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EL SECTOR PUBLICO?</w:t>
      </w:r>
    </w:p>
    <w:p w14:paraId="05399EAB" w14:textId="77777777" w:rsidR="00BD716E" w:rsidRPr="006D53C3" w:rsidRDefault="00BD716E" w:rsidP="00BD716E">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sidRPr="006D53C3">
        <w:rPr>
          <w:rFonts w:ascii="Verdana" w:eastAsia="Century Gothic" w:hAnsi="Verdana" w:cs="Century Gothic"/>
          <w:sz w:val="20"/>
          <w:szCs w:val="20"/>
          <w:lang w:val="es-ES"/>
        </w:rPr>
        <w:t xml:space="preserve">3. </w:t>
      </w:r>
      <w:proofErr w:type="gramStart"/>
      <w:r w:rsidRPr="006D53C3">
        <w:rPr>
          <w:rFonts w:ascii="Verdana" w:eastAsia="Century Gothic" w:hAnsi="Verdana" w:cs="Century Gothic"/>
          <w:sz w:val="20"/>
          <w:szCs w:val="20"/>
          <w:lang w:val="es-ES"/>
        </w:rPr>
        <w:t>SI UNA PERSONA ES CONTRATADA POR EL SECTOR PUBLICO Y SU SERVICIO NOTIENE UNA</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RELACION DIRECTA CON MENORES DE EDAD, ESTA OBLIGADO A PRESENTAR CERTIFICADO DE</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ANTECEDENTES DE DELITOS SEXUALES?</w:t>
      </w:r>
      <w:proofErr w:type="gramEnd"/>
    </w:p>
    <w:p w14:paraId="0E88B867" w14:textId="77777777" w:rsidR="00BD716E" w:rsidRDefault="00BD716E" w:rsidP="00BD716E">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sidRPr="006D53C3">
        <w:rPr>
          <w:rFonts w:ascii="Verdana" w:eastAsia="Century Gothic" w:hAnsi="Verdana" w:cs="Century Gothic"/>
          <w:sz w:val="20"/>
          <w:szCs w:val="20"/>
          <w:lang w:val="es-ES"/>
        </w:rPr>
        <w:t>4. LAS ENTIDADES DEL ORDEN OFI QUE</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 xml:space="preserve">CIAL TIENEN SU REGLAMENTO DE CONTRATACIÓN ENCONOFRMIDAD CON LAS DITINTAS LEYES Y </w:t>
      </w:r>
      <w:r w:rsidRPr="006D53C3">
        <w:rPr>
          <w:rFonts w:ascii="Verdana" w:eastAsia="Century Gothic" w:hAnsi="Verdana" w:cs="Century Gothic"/>
          <w:sz w:val="20"/>
          <w:szCs w:val="20"/>
          <w:lang w:val="es-ES"/>
        </w:rPr>
        <w:lastRenderedPageBreak/>
        <w:t>DECRETOS ANTITRAMITES PUEDEN OBVIAR LA</w:t>
      </w:r>
      <w:r>
        <w:rPr>
          <w:rFonts w:ascii="Verdana" w:eastAsia="Century Gothic" w:hAnsi="Verdana" w:cs="Century Gothic"/>
          <w:sz w:val="20"/>
          <w:szCs w:val="20"/>
          <w:lang w:val="es-ES"/>
        </w:rPr>
        <w:t xml:space="preserve"> </w:t>
      </w:r>
      <w:r w:rsidRPr="006D53C3">
        <w:rPr>
          <w:rFonts w:ascii="Verdana" w:eastAsia="Century Gothic" w:hAnsi="Verdana" w:cs="Century Gothic"/>
          <w:sz w:val="20"/>
          <w:szCs w:val="20"/>
          <w:lang w:val="es-ES"/>
        </w:rPr>
        <w:t>SOLCITUD DE CERTIFICADOS DEL CONTRATISTA SIEMPRE Y CUANDO ESTOS SE ENCUENTREN</w:t>
      </w:r>
      <w:r>
        <w:rPr>
          <w:rFonts w:ascii="Verdana" w:eastAsia="Century Gothic" w:hAnsi="Verdana" w:cs="Century Gothic"/>
          <w:sz w:val="20"/>
          <w:szCs w:val="20"/>
          <w:lang w:val="es-ES"/>
        </w:rPr>
        <w:t xml:space="preserve"> </w:t>
      </w:r>
      <w:proofErr w:type="gramStart"/>
      <w:r w:rsidRPr="006D53C3">
        <w:rPr>
          <w:rFonts w:ascii="Verdana" w:eastAsia="Century Gothic" w:hAnsi="Verdana" w:cs="Century Gothic"/>
          <w:sz w:val="20"/>
          <w:szCs w:val="20"/>
          <w:lang w:val="es-ES"/>
        </w:rPr>
        <w:t>VIGENTES ?</w:t>
      </w:r>
      <w:proofErr w:type="gramEnd"/>
      <w:r w:rsidRPr="006D53C3">
        <w:rPr>
          <w:rFonts w:ascii="Verdana" w:eastAsia="Century Gothic" w:hAnsi="Verdana" w:cs="Century Gothic"/>
          <w:sz w:val="20"/>
          <w:szCs w:val="20"/>
          <w:lang w:val="es-ES"/>
        </w:rPr>
        <w:t xml:space="preserve">   </w:t>
      </w:r>
    </w:p>
    <w:p w14:paraId="2E16F653" w14:textId="77777777" w:rsidR="00BD716E" w:rsidRPr="00924340" w:rsidRDefault="00BD716E" w:rsidP="00BD716E">
      <w:pPr>
        <w:autoSpaceDE w:val="0"/>
        <w:autoSpaceDN w:val="0"/>
        <w:adjustRightInd w:val="0"/>
        <w:spacing w:after="0" w:line="240" w:lineRule="auto"/>
        <w:ind w:left="709" w:right="709"/>
        <w:jc w:val="both"/>
        <w:rPr>
          <w:rFonts w:ascii="Verdana" w:eastAsia="Century Gothic" w:hAnsi="Verdana" w:cs="Century Gothic"/>
          <w:b/>
        </w:rPr>
      </w:pPr>
    </w:p>
    <w:p w14:paraId="41F49CC1" w14:textId="77777777" w:rsidR="00BD716E" w:rsidRDefault="00BD716E" w:rsidP="00BD716E">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602E6058" w14:textId="77777777" w:rsidR="00BD716E" w:rsidRDefault="00BD716E" w:rsidP="00BD716E">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6E32EDB4" w14:textId="77777777" w:rsidR="00BD716E" w:rsidRDefault="00BD716E" w:rsidP="00BD716E">
      <w:pPr>
        <w:spacing w:after="0" w:line="276" w:lineRule="auto"/>
        <w:ind w:firstLine="709"/>
        <w:jc w:val="both"/>
        <w:rPr>
          <w:rFonts w:ascii="Verdana" w:eastAsia="Calibri" w:hAnsi="Verdana" w:cs="Arial"/>
          <w:color w:val="000000"/>
          <w:lang w:val="es-ES" w:eastAsia="es-ES"/>
        </w:rPr>
      </w:pPr>
    </w:p>
    <w:p w14:paraId="32D5F526" w14:textId="77777777" w:rsidR="00BD716E" w:rsidRDefault="00BD716E" w:rsidP="00BD716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52A75DD" w14:textId="77777777" w:rsidR="00BD716E" w:rsidRDefault="00BD716E" w:rsidP="00BD716E">
      <w:pPr>
        <w:tabs>
          <w:tab w:val="left" w:pos="426"/>
        </w:tabs>
        <w:spacing w:after="0" w:line="276" w:lineRule="auto"/>
        <w:jc w:val="both"/>
        <w:rPr>
          <w:rFonts w:ascii="Verdana" w:eastAsia="Century Gothic" w:hAnsi="Verdana" w:cs="Century Gothic"/>
          <w:lang w:val="es-ES"/>
        </w:rPr>
      </w:pPr>
    </w:p>
    <w:p w14:paraId="58F88EED" w14:textId="77777777" w:rsidR="00BD716E" w:rsidRPr="000F7C81" w:rsidRDefault="00BD716E" w:rsidP="00BD716E">
      <w:pPr>
        <w:spacing w:after="0" w:line="276" w:lineRule="auto"/>
        <w:jc w:val="both"/>
        <w:rPr>
          <w:rFonts w:ascii="Verdana" w:eastAsia="Calibri" w:hAnsi="Verdana" w:cs="Times New Roman"/>
          <w:bCs/>
          <w:iCs/>
        </w:rPr>
      </w:pPr>
      <w:r>
        <w:rPr>
          <w:rFonts w:ascii="Verdana" w:eastAsia="Century Gothic" w:hAnsi="Verdana" w:cs="Century Gothic"/>
        </w:rPr>
        <w:t xml:space="preserve">De acuerdo con el contenido de su solicitud, esta Agencia resolverá el siguiente problema jurídico: i </w:t>
      </w:r>
      <w:r>
        <w:rPr>
          <w:rFonts w:ascii="Verdana" w:eastAsia="Century Gothic" w:hAnsi="Verdana" w:cs="Century Gothic"/>
          <w:color w:val="000000" w:themeColor="text1"/>
        </w:rPr>
        <w:t>¿</w:t>
      </w:r>
      <w:r w:rsidRPr="003C18D8">
        <w:rPr>
          <w:rFonts w:ascii="Verdana" w:eastAsia="Century Gothic" w:hAnsi="Verdana" w:cs="Century Gothic"/>
          <w:color w:val="000000" w:themeColor="text1"/>
        </w:rPr>
        <w:t>Qué criterios deben aplicar las entidades para determinar los requisitos habilitantes en sus procesos de selección?</w:t>
      </w:r>
      <w:r>
        <w:rPr>
          <w:rFonts w:ascii="Verdana" w:eastAsia="Century Gothic" w:hAnsi="Verdana" w:cs="Century Gothic"/>
          <w:color w:val="000000" w:themeColor="text1"/>
        </w:rPr>
        <w:t xml:space="preserve"> </w:t>
      </w:r>
      <w:r>
        <w:rPr>
          <w:rFonts w:ascii="Verdana" w:eastAsia="Century Gothic" w:hAnsi="Verdana" w:cs="Century Gothic"/>
        </w:rPr>
        <w:t xml:space="preserve">Y </w:t>
      </w:r>
      <w:proofErr w:type="spellStart"/>
      <w:r>
        <w:rPr>
          <w:rFonts w:ascii="Verdana" w:eastAsia="Calibri" w:hAnsi="Verdana" w:cs="Times New Roman"/>
          <w:bCs/>
          <w:iCs/>
        </w:rPr>
        <w:t>ii</w:t>
      </w:r>
      <w:proofErr w:type="spellEnd"/>
      <w:r>
        <w:rPr>
          <w:rFonts w:ascii="Verdana" w:eastAsia="Calibri" w:hAnsi="Verdana" w:cs="Times New Roman"/>
          <w:bCs/>
          <w:iCs/>
        </w:rPr>
        <w:t xml:space="preserve"> ¿Cuándo procede la verificación d</w:t>
      </w:r>
      <w:r w:rsidRPr="00E4066C">
        <w:rPr>
          <w:rFonts w:ascii="Verdana" w:eastAsia="Calibri" w:hAnsi="Verdana" w:cs="Times New Roman"/>
          <w:bCs/>
          <w:iCs/>
        </w:rPr>
        <w:t>el registro de inhabilidades por delitos sexuales cometido</w:t>
      </w:r>
      <w:r>
        <w:rPr>
          <w:rFonts w:ascii="Verdana" w:eastAsia="Calibri" w:hAnsi="Verdana" w:cs="Times New Roman"/>
          <w:bCs/>
          <w:iCs/>
        </w:rPr>
        <w:t>s contra personas menores edad en los procesos de selección?</w:t>
      </w:r>
    </w:p>
    <w:p w14:paraId="52900CAA" w14:textId="77777777" w:rsidR="00BD716E" w:rsidRDefault="00BD716E" w:rsidP="00BD716E">
      <w:pPr>
        <w:spacing w:after="0" w:line="276" w:lineRule="auto"/>
        <w:jc w:val="both"/>
        <w:rPr>
          <w:rFonts w:ascii="Verdana" w:eastAsia="Calibri" w:hAnsi="Verdana" w:cs="Arial"/>
          <w:color w:val="7030A0"/>
          <w:lang w:val="es-ES"/>
        </w:rPr>
      </w:pPr>
    </w:p>
    <w:p w14:paraId="7B42A52E" w14:textId="77777777" w:rsidR="00BD716E" w:rsidRDefault="00BD716E" w:rsidP="00BD716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6C7C43B" w14:textId="77777777" w:rsidR="00BD716E" w:rsidRDefault="00BD716E" w:rsidP="00BD716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716E" w:rsidRPr="00DE5508" w14:paraId="6E02BF1D" w14:textId="77777777" w:rsidTr="00596B74">
        <w:tc>
          <w:tcPr>
            <w:tcW w:w="8828" w:type="dxa"/>
            <w:tcBorders>
              <w:top w:val="dotted" w:sz="4" w:space="0" w:color="auto"/>
              <w:left w:val="dotted" w:sz="4" w:space="0" w:color="auto"/>
              <w:bottom w:val="dotted" w:sz="4" w:space="0" w:color="auto"/>
              <w:right w:val="dotted" w:sz="4" w:space="0" w:color="auto"/>
            </w:tcBorders>
          </w:tcPr>
          <w:p w14:paraId="78BFE246" w14:textId="77777777" w:rsidR="00BD716E" w:rsidRPr="00E657D1" w:rsidRDefault="00BD716E" w:rsidP="00BD716E">
            <w:pPr>
              <w:pStyle w:val="Prrafodelista"/>
              <w:numPr>
                <w:ilvl w:val="0"/>
                <w:numId w:val="18"/>
              </w:numPr>
              <w:spacing w:before="120" w:after="120" w:line="276" w:lineRule="auto"/>
              <w:ind w:left="32" w:firstLine="0"/>
              <w:jc w:val="both"/>
              <w:rPr>
                <w:rFonts w:ascii="Verdana" w:eastAsia="Times New Roman" w:hAnsi="Verdana" w:cs="Arial"/>
                <w:lang w:eastAsia="es-MX"/>
              </w:rPr>
            </w:pPr>
            <w:r w:rsidRPr="00E657D1">
              <w:rPr>
                <w:rFonts w:ascii="Verdana" w:eastAsia="Calibri" w:hAnsi="Verdana" w:cs="Arial"/>
                <w:lang w:eastAsia="es-MX"/>
              </w:rPr>
              <w:t xml:space="preserve">Los </w:t>
            </w:r>
            <w:r w:rsidRPr="00E657D1">
              <w:rPr>
                <w:rFonts w:ascii="Verdana" w:eastAsia="Calibri" w:hAnsi="Verdana" w:cs="Arial"/>
                <w:i/>
                <w:iCs/>
                <w:lang w:eastAsia="es-MX"/>
              </w:rPr>
              <w:t>requisitos habilitantes</w:t>
            </w:r>
            <w:r w:rsidRPr="00E657D1">
              <w:rPr>
                <w:rFonts w:ascii="Verdana" w:eastAsia="Calibri" w:hAnsi="Verdana" w:cs="Arial"/>
                <w:lang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convocatoria–es decir, en el pliego </w:t>
            </w:r>
            <w:r w:rsidRPr="00E657D1">
              <w:rPr>
                <w:rFonts w:ascii="Verdana" w:eastAsia="Calibri" w:hAnsi="Verdana" w:cs="Arial"/>
                <w:lang w:eastAsia="es-MX"/>
              </w:rPr>
              <w:lastRenderedPageBreak/>
              <w:t xml:space="preserve">de condiciones o el documento equivalente a este–, mediante los cuales se mide </w:t>
            </w:r>
            <w:r w:rsidRPr="00E657D1">
              <w:rPr>
                <w:rFonts w:ascii="Verdana" w:eastAsia="Times New Roman" w:hAnsi="Verdana" w:cs="Arial"/>
                <w:lang w:eastAsia="es-MX"/>
              </w:rPr>
              <w:t xml:space="preserve">la aptitud del proponente para participar en un Proceso de Contratación. </w:t>
            </w:r>
          </w:p>
          <w:p w14:paraId="74588546" w14:textId="77777777" w:rsidR="00BD716E" w:rsidRPr="008E2B8E" w:rsidRDefault="00BD716E" w:rsidP="00596B74">
            <w:pPr>
              <w:spacing w:before="120" w:after="120" w:line="276" w:lineRule="auto"/>
              <w:ind w:firstLine="741"/>
              <w:jc w:val="both"/>
              <w:rPr>
                <w:rFonts w:ascii="Verdana" w:hAnsi="Verdana" w:cs="Arial"/>
                <w:bCs/>
                <w:lang w:val="es-ES" w:eastAsia="es-ES" w:bidi="es-ES"/>
              </w:rPr>
            </w:pPr>
            <w:r>
              <w:rPr>
                <w:rFonts w:ascii="Verdana" w:hAnsi="Verdana" w:cs="Arial"/>
                <w:bCs/>
                <w:lang w:val="es-ES" w:eastAsia="es-ES" w:bidi="es-ES"/>
              </w:rPr>
              <w:t>L</w:t>
            </w:r>
            <w:r w:rsidRPr="0041694B">
              <w:rPr>
                <w:rFonts w:ascii="Verdana" w:hAnsi="Verdana" w:cs="Arial"/>
                <w:bCs/>
                <w:lang w:val="es-ES" w:eastAsia="es-ES" w:bidi="es-ES"/>
              </w:rPr>
              <w:t xml:space="preserve">os factores de escogencia y calificación que establezcan las </w:t>
            </w:r>
            <w:r w:rsidRPr="00C94107">
              <w:rPr>
                <w:rFonts w:ascii="Verdana" w:hAnsi="Verdana" w:cs="Arial"/>
                <w:bCs/>
                <w:lang w:val="es-ES" w:eastAsia="es-ES" w:bidi="es-ES"/>
              </w:rPr>
              <w:t>Entidades</w:t>
            </w:r>
            <w:r w:rsidRPr="0041694B">
              <w:rPr>
                <w:rFonts w:ascii="Verdana" w:hAnsi="Verdana" w:cs="Arial"/>
                <w:bCs/>
                <w:lang w:val="es-ES" w:eastAsia="es-ES" w:bidi="es-ES"/>
              </w:rPr>
              <w:t xml:space="preserve"> en los pliegos de condiciones o sus documentos equivalentes deberán tener en cuenta</w:t>
            </w:r>
            <w:r>
              <w:rPr>
                <w:rFonts w:ascii="Verdana" w:hAnsi="Verdana" w:cs="Arial"/>
                <w:bCs/>
                <w:lang w:val="es-ES" w:eastAsia="es-ES" w:bidi="es-ES"/>
              </w:rPr>
              <w:t xml:space="preserve"> el deber de selección objetiva</w:t>
            </w:r>
            <w:r w:rsidRPr="0041694B">
              <w:rPr>
                <w:rFonts w:ascii="Verdana" w:hAnsi="Verdana" w:cs="Arial"/>
                <w:bCs/>
                <w:lang w:val="es-ES" w:eastAsia="es-ES" w:bidi="es-ES"/>
              </w:rPr>
              <w:t xml:space="preserve">. </w:t>
            </w:r>
            <w:r>
              <w:rPr>
                <w:rFonts w:ascii="Verdana" w:hAnsi="Verdana" w:cs="Arial"/>
                <w:bCs/>
                <w:lang w:val="es-ES" w:eastAsia="es-ES" w:bidi="es-ES"/>
              </w:rPr>
              <w:t xml:space="preserve">En especial, señala la Ley que los criterios habilitantes que determine la </w:t>
            </w:r>
            <w:r w:rsidRPr="00C94107">
              <w:rPr>
                <w:rFonts w:ascii="Verdana" w:hAnsi="Verdana" w:cs="Arial"/>
                <w:bCs/>
                <w:lang w:val="es-ES" w:eastAsia="es-ES" w:bidi="es-ES"/>
              </w:rPr>
              <w:t>Entidad</w:t>
            </w:r>
            <w:r>
              <w:rPr>
                <w:rFonts w:ascii="Verdana" w:hAnsi="Verdana" w:cs="Arial"/>
                <w:bCs/>
                <w:lang w:val="es-ES" w:eastAsia="es-ES" w:bidi="es-ES"/>
              </w:rPr>
              <w:t xml:space="preserve"> </w:t>
            </w:r>
            <w:r w:rsidRPr="008E2B8E">
              <w:rPr>
                <w:rFonts w:ascii="Verdana" w:hAnsi="Verdana" w:cs="Arial"/>
                <w:bCs/>
                <w:lang w:val="es-ES" w:eastAsia="es-ES" w:bidi="es-ES"/>
              </w:rPr>
              <w:t xml:space="preserve">deberán ser </w:t>
            </w:r>
            <w:r w:rsidRPr="008E2B8E">
              <w:rPr>
                <w:rFonts w:ascii="Verdana" w:hAnsi="Verdana" w:cs="Arial"/>
                <w:bCs/>
                <w:i/>
                <w:iCs/>
                <w:lang w:val="es-ES" w:eastAsia="es-ES" w:bidi="es-ES"/>
              </w:rPr>
              <w:t xml:space="preserve">adecuados y </w:t>
            </w:r>
            <w:proofErr w:type="gramStart"/>
            <w:r w:rsidRPr="008E2B8E">
              <w:rPr>
                <w:rFonts w:ascii="Verdana" w:hAnsi="Verdana" w:cs="Arial"/>
                <w:bCs/>
                <w:i/>
                <w:iCs/>
                <w:lang w:val="es-ES" w:eastAsia="es-ES" w:bidi="es-ES"/>
              </w:rPr>
              <w:t>proporcionales</w:t>
            </w:r>
            <w:proofErr w:type="gramEnd"/>
            <w:r w:rsidRPr="008E2B8E">
              <w:rPr>
                <w:rFonts w:ascii="Verdana" w:hAnsi="Verdana" w:cs="Arial"/>
                <w:bCs/>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02FDB35D" w14:textId="77777777" w:rsidR="00BD716E" w:rsidRDefault="00BD716E" w:rsidP="00596B74">
            <w:pPr>
              <w:spacing w:after="120" w:line="276" w:lineRule="auto"/>
              <w:ind w:firstLine="741"/>
              <w:jc w:val="both"/>
              <w:rPr>
                <w:rFonts w:ascii="Verdana" w:eastAsia="Times New Roman" w:hAnsi="Verdana" w:cs="Arial"/>
                <w:lang w:eastAsia="es-MX"/>
              </w:rPr>
            </w:pPr>
            <w:r w:rsidRPr="00E657D1">
              <w:rPr>
                <w:rFonts w:ascii="Verdana" w:eastAsia="Times New Roman" w:hAnsi="Verdana" w:cs="Arial"/>
                <w:lang w:eastAsia="es-MX"/>
              </w:rPr>
              <w:t>En este sentido, si bien las Entidades Estatales son autónomas para definir los requisitos habilitantes,</w:t>
            </w:r>
            <w:r w:rsidRPr="00E657D1">
              <w:rPr>
                <w:rFonts w:ascii="Verdana" w:eastAsia="Times New Roman" w:hAnsi="Verdana" w:cs="Arial"/>
                <w:i/>
                <w:iCs/>
                <w:lang w:eastAsia="es-MX"/>
              </w:rPr>
              <w:t xml:space="preserve"> tal facultad no puede ejercerse de forma arbitraria</w:t>
            </w:r>
            <w:r w:rsidRPr="00E657D1">
              <w:rPr>
                <w:rFonts w:ascii="Verdana" w:eastAsia="Times New Roman" w:hAnsi="Verdana" w:cs="Arial"/>
                <w:lang w:eastAsia="es-MX"/>
              </w:rPr>
              <w:t xml:space="preserve">, </w:t>
            </w:r>
            <w:r w:rsidRPr="00E657D1">
              <w:rPr>
                <w:rFonts w:ascii="Verdana" w:eastAsia="Times New Roman" w:hAnsi="Verdana" w:cs="Arial"/>
                <w:i/>
                <w:iCs/>
                <w:lang w:eastAsia="es-MX"/>
              </w:rPr>
              <w:t>caprichosa y, mucho menos, con el ánimo de direccionar el proceso de contratación o favorecer a alguno de los proponentes.</w:t>
            </w:r>
            <w:r w:rsidRPr="00E657D1">
              <w:rPr>
                <w:rFonts w:ascii="Verdana" w:eastAsia="Times New Roman" w:hAnsi="Verdana" w:cs="Arial"/>
                <w:lang w:eastAsia="es-MX"/>
              </w:rPr>
              <w:t xml:space="preserve"> Dicha autonomía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a contratar, procurando además ceñirse a la normativa que resulte aplicable.</w:t>
            </w:r>
          </w:p>
          <w:p w14:paraId="59D69DAC" w14:textId="77777777" w:rsidR="00BD716E" w:rsidRDefault="00BD716E" w:rsidP="00596B74">
            <w:pPr>
              <w:spacing w:after="120" w:line="276" w:lineRule="auto"/>
              <w:ind w:firstLine="741"/>
              <w:jc w:val="both"/>
              <w:rPr>
                <w:rFonts w:ascii="Verdana" w:hAnsi="Verdana" w:cs="Arial"/>
              </w:rPr>
            </w:pPr>
            <w:r>
              <w:rPr>
                <w:rFonts w:ascii="Verdana" w:hAnsi="Verdana" w:cs="Arial"/>
              </w:rPr>
              <w:t xml:space="preserve">Adicionalmente, en los procedimientos en los cuales no es exigible el Registro Único de Proponentes - RUP, las </w:t>
            </w:r>
            <w:r w:rsidRPr="00C94107">
              <w:rPr>
                <w:rFonts w:ascii="Verdana" w:hAnsi="Verdana" w:cs="Arial"/>
              </w:rPr>
              <w:t>Entidades</w:t>
            </w:r>
            <w:r>
              <w:rPr>
                <w:rFonts w:ascii="Verdana" w:hAnsi="Verdana" w:cs="Arial"/>
              </w:rPr>
              <w:t xml:space="preserve"> deberán </w:t>
            </w:r>
            <w:r w:rsidRPr="003D0085">
              <w:rPr>
                <w:rFonts w:ascii="Verdana" w:hAnsi="Verdana" w:cs="Arial"/>
              </w:rPr>
              <w:t>verificar directamente el cumplimiento de los requisitos habilitantes</w:t>
            </w:r>
            <w:r w:rsidRPr="003D0085">
              <w:rPr>
                <w:rFonts w:ascii="Verdana" w:hAnsi="Verdana" w:cs="Arial"/>
                <w:vertAlign w:val="superscript"/>
              </w:rPr>
              <w:footnoteReference w:id="1"/>
            </w:r>
            <w:r>
              <w:rPr>
                <w:rFonts w:ascii="Verdana" w:hAnsi="Verdana" w:cs="Arial"/>
              </w:rPr>
              <w:t xml:space="preserve">. Para esto, deberá señalar en la invitación, o el documento que haga sus veces, </w:t>
            </w:r>
            <w:r w:rsidRPr="00FB79E2">
              <w:rPr>
                <w:rFonts w:ascii="Verdana" w:eastAsia="Times New Roman" w:hAnsi="Verdana" w:cs="Arial"/>
                <w:lang w:eastAsia="es-ES_tradnl"/>
              </w:rPr>
              <w:t>cuál es la información que se debe acreditar, así como los documentos que tendrá como válidos para tal fin.</w:t>
            </w:r>
            <w:r>
              <w:rPr>
                <w:rFonts w:ascii="Verdana" w:hAnsi="Verdana" w:cs="Arial"/>
              </w:rPr>
              <w:t xml:space="preserve"> Estos documentos también deberán ser proporcionales y </w:t>
            </w:r>
            <w:r>
              <w:rPr>
                <w:rFonts w:ascii="Verdana" w:hAnsi="Verdana" w:cs="Arial"/>
              </w:rPr>
              <w:lastRenderedPageBreak/>
              <w:t>adecuados, pues no podrán imponer barreras injustificadas para la participación en el proceso de selección.</w:t>
            </w:r>
          </w:p>
          <w:p w14:paraId="196BB3BE" w14:textId="0E14BD40" w:rsidR="00BD716E" w:rsidRDefault="00BD716E" w:rsidP="00596B74">
            <w:pPr>
              <w:widowControl w:val="0"/>
              <w:autoSpaceDE w:val="0"/>
              <w:autoSpaceDN w:val="0"/>
              <w:spacing w:line="276" w:lineRule="auto"/>
              <w:ind w:firstLine="740"/>
              <w:jc w:val="both"/>
              <w:rPr>
                <w:rFonts w:ascii="Verdana" w:hAnsi="Verdana" w:cs="Arial"/>
              </w:rPr>
            </w:pPr>
            <w:r>
              <w:rPr>
                <w:rFonts w:ascii="Verdana" w:hAnsi="Verdana" w:cs="Arial"/>
              </w:rPr>
              <w:t xml:space="preserve">Es en el anterior marco que se solicita por parte de las entidades estatales la presentación de diferentes documentos para verificar los requisitos habilitantes de las personas a contratar, entre ellos el Registro Único Tributario y el certificado de existencia y representación legal expedido por la correspondiente Cámara de Comercio. Este último acredita el estado de la persona jurídica y su objeto social, las personas que la administran y representan legalmente junto con sus facultades y limitaciones, entre otros datos </w:t>
            </w:r>
            <w:proofErr w:type="gramStart"/>
            <w:r>
              <w:rPr>
                <w:rFonts w:ascii="Verdana" w:hAnsi="Verdana" w:cs="Arial"/>
              </w:rPr>
              <w:t>relevantes</w:t>
            </w:r>
            <w:proofErr w:type="gramEnd"/>
            <w:r>
              <w:rPr>
                <w:rFonts w:ascii="Verdana" w:hAnsi="Verdana" w:cs="Arial"/>
              </w:rPr>
              <w:t xml:space="preserve"> así como en </w:t>
            </w:r>
            <w:proofErr w:type="spellStart"/>
            <w:r>
              <w:rPr>
                <w:rFonts w:ascii="Verdana" w:hAnsi="Verdana" w:cs="Arial"/>
              </w:rPr>
              <w:t>el</w:t>
            </w:r>
            <w:proofErr w:type="spellEnd"/>
            <w:r>
              <w:rPr>
                <w:rFonts w:ascii="Verdana" w:hAnsi="Verdana" w:cs="Arial"/>
              </w:rPr>
              <w:t xml:space="preserve"> se inscriben los diferentes cambios que se producen en la persona y por tanto, las entidades en su autonomía para verificar las condiciones de los proponentes solicitan el documento con cierto rango de fecha de expedición. </w:t>
            </w:r>
          </w:p>
          <w:p w14:paraId="53DB4BDA" w14:textId="77777777" w:rsidR="00BD716E" w:rsidRDefault="00BD716E" w:rsidP="00596B74">
            <w:pPr>
              <w:widowControl w:val="0"/>
              <w:autoSpaceDE w:val="0"/>
              <w:autoSpaceDN w:val="0"/>
              <w:spacing w:line="276" w:lineRule="auto"/>
              <w:jc w:val="both"/>
              <w:rPr>
                <w:rFonts w:ascii="Verdana" w:hAnsi="Verdana" w:cs="Arial"/>
              </w:rPr>
            </w:pPr>
          </w:p>
          <w:p w14:paraId="1EF9BD25" w14:textId="77777777" w:rsidR="00BD716E" w:rsidRDefault="00BD716E" w:rsidP="00596B74">
            <w:pPr>
              <w:widowControl w:val="0"/>
              <w:autoSpaceDE w:val="0"/>
              <w:autoSpaceDN w:val="0"/>
              <w:spacing w:line="276" w:lineRule="auto"/>
              <w:ind w:firstLine="740"/>
              <w:jc w:val="both"/>
              <w:rPr>
                <w:rFonts w:ascii="Verdana" w:hAnsi="Verdana" w:cs="Arial"/>
              </w:rPr>
            </w:pPr>
            <w:r>
              <w:rPr>
                <w:rFonts w:ascii="Verdana" w:hAnsi="Verdana" w:cs="Arial"/>
              </w:rPr>
              <w:t>Por último</w:t>
            </w:r>
            <w:r w:rsidRPr="00AC784D">
              <w:rPr>
                <w:rFonts w:ascii="Verdana" w:hAnsi="Verdana" w:cs="Arial"/>
              </w:rPr>
              <w:t>, l</w:t>
            </w:r>
            <w:r w:rsidRPr="00AC784D">
              <w:rPr>
                <w:rFonts w:ascii="Verdana" w:hAnsi="Verdana"/>
              </w:rPr>
              <w:t>a normativa del Sistema de Compra Pública no contempla expresamente la obligación de la consulta de antecedentes del contratista por parte de las Entidades Estatales. Sin embargo, las Entidades Estatales tienen el deber de hacer una selección objetiva del contratista verificando su capacidad para contratar con el Estado y su idoneidad para ejecutar el objeto del contrato. Para esto pueden consultar la información de los registros públicos sobre sanciones que consideren convenientes y según la regulación para cada caso.</w:t>
            </w:r>
          </w:p>
          <w:p w14:paraId="6DD9EAD6" w14:textId="77777777" w:rsidR="00BD716E" w:rsidRDefault="00BD716E" w:rsidP="00596B74">
            <w:pPr>
              <w:spacing w:after="120" w:line="276" w:lineRule="auto"/>
              <w:jc w:val="both"/>
              <w:rPr>
                <w:rFonts w:ascii="Verdana" w:hAnsi="Verdana"/>
              </w:rPr>
            </w:pPr>
          </w:p>
          <w:p w14:paraId="5C130EFF" w14:textId="77777777" w:rsidR="00BD716E" w:rsidRDefault="00BD716E" w:rsidP="00596B74">
            <w:pPr>
              <w:spacing w:after="120" w:line="276" w:lineRule="auto"/>
              <w:jc w:val="both"/>
              <w:rPr>
                <w:rFonts w:ascii="Verdana" w:eastAsia="Calibri" w:hAnsi="Verdana" w:cs="Arial"/>
                <w:bCs/>
              </w:rPr>
            </w:pPr>
            <w:proofErr w:type="spellStart"/>
            <w:r>
              <w:rPr>
                <w:rFonts w:ascii="Verdana" w:hAnsi="Verdana"/>
              </w:rPr>
              <w:t>ii</w:t>
            </w:r>
            <w:proofErr w:type="spellEnd"/>
            <w:r>
              <w:rPr>
                <w:rFonts w:ascii="Verdana" w:hAnsi="Verdana"/>
              </w:rPr>
              <w:t xml:space="preserve">. </w:t>
            </w:r>
            <w:r>
              <w:rPr>
                <w:rFonts w:ascii="Verdana" w:eastAsia="Calibri" w:hAnsi="Verdana" w:cs="Arial"/>
                <w:bCs/>
              </w:rPr>
              <w:t xml:space="preserve">El </w:t>
            </w:r>
            <w:r w:rsidRPr="008B6206">
              <w:rPr>
                <w:rFonts w:ascii="Verdana" w:eastAsia="Calibri" w:hAnsi="Verdana" w:cs="Arial"/>
                <w:bCs/>
              </w:rPr>
              <w:t>artículo 4 de la Ley 1918 de 201</w:t>
            </w:r>
            <w:r>
              <w:rPr>
                <w:rFonts w:ascii="Verdana" w:eastAsia="Calibri" w:hAnsi="Verdana" w:cs="Arial"/>
                <w:bCs/>
              </w:rPr>
              <w:t>8</w:t>
            </w:r>
            <w:r w:rsidRPr="008B6206">
              <w:rPr>
                <w:rFonts w:ascii="Verdana" w:eastAsia="Calibri" w:hAnsi="Verdana" w:cs="Arial"/>
                <w:bCs/>
              </w:rPr>
              <w:t xml:space="preserve"> establece que las entidades públicas y privadas deben verificar, con autorización del aspirante, que este no esté inscrito en el Registro de Inhabilidades por delitos sexuales contra menores de edad</w:t>
            </w:r>
            <w:r>
              <w:rPr>
                <w:rFonts w:ascii="Verdana" w:eastAsia="Calibri" w:hAnsi="Verdana" w:cs="Arial"/>
                <w:bCs/>
              </w:rPr>
              <w:t> antes de contratarlo en aquellos empleos o contratos, donde exista un</w:t>
            </w:r>
            <w:r w:rsidRPr="008B6206">
              <w:rPr>
                <w:rFonts w:ascii="Verdana" w:eastAsia="Calibri" w:hAnsi="Verdana" w:cs="Arial"/>
                <w:bCs/>
              </w:rPr>
              <w:t xml:space="preserve"> contacto directo y habitual con menores. Dicha verificación debe hacerse cada cuatro (4) meses durante la relación laboral o contractual. En el evento que un servidor público omite esta verificación y contrata a una persona inhabilitada, incurre en una falta disciplinaria gravísima, y no hay que olvidar que el uso del registro debe cumplir con la Ley de </w:t>
            </w:r>
            <w:r>
              <w:rPr>
                <w:rFonts w:ascii="Verdana" w:eastAsia="Calibri" w:hAnsi="Verdana" w:cs="Arial"/>
                <w:bCs/>
              </w:rPr>
              <w:t>Protección de Datos Personales -Ley 1581 de 2012-</w:t>
            </w:r>
            <w:r w:rsidRPr="008B6206">
              <w:rPr>
                <w:rFonts w:ascii="Verdana" w:eastAsia="Calibri" w:hAnsi="Verdana" w:cs="Arial"/>
                <w:bCs/>
              </w:rPr>
              <w:t>, bajo supervisión de la Superintendencia de Industria y Comercio.</w:t>
            </w:r>
            <w:r>
              <w:rPr>
                <w:rFonts w:ascii="Verdana" w:eastAsia="Calibri" w:hAnsi="Verdana" w:cs="Arial"/>
                <w:bCs/>
              </w:rPr>
              <w:t xml:space="preserve"> Esto, sin perjuicio del manejo y custodia del expediente </w:t>
            </w:r>
            <w:r>
              <w:rPr>
                <w:rFonts w:ascii="Verdana" w:eastAsia="Calibri" w:hAnsi="Verdana" w:cs="Arial"/>
                <w:bCs/>
              </w:rPr>
              <w:lastRenderedPageBreak/>
              <w:t xml:space="preserve">contractual frente a este documento, así como los demás que tengan el carácter de reservado, como se detalla en las razones de la respuesta.  </w:t>
            </w:r>
          </w:p>
          <w:p w14:paraId="62334532" w14:textId="77777777" w:rsidR="00BD716E" w:rsidRDefault="00BD716E" w:rsidP="00596B74">
            <w:pPr>
              <w:spacing w:after="120" w:line="276" w:lineRule="auto"/>
              <w:jc w:val="both"/>
              <w:rPr>
                <w:rFonts w:ascii="Verdana" w:eastAsia="Calibri" w:hAnsi="Verdana" w:cs="Arial"/>
                <w:bCs/>
              </w:rPr>
            </w:pPr>
            <w:r>
              <w:rPr>
                <w:rFonts w:ascii="Verdana" w:eastAsia="Calibri" w:hAnsi="Verdana" w:cs="Arial"/>
                <w:bCs/>
              </w:rPr>
              <w:tab/>
              <w:t>Sin embargo</w:t>
            </w:r>
            <w:r>
              <w:rPr>
                <w:rFonts w:ascii="Verdana" w:eastAsia="Calibri" w:hAnsi="Verdana" w:cs="Arial"/>
                <w:bCs/>
                <w:lang w:val="es-MX"/>
              </w:rPr>
              <w:t xml:space="preserve">, es </w:t>
            </w:r>
            <w:r w:rsidRPr="00802249">
              <w:rPr>
                <w:rFonts w:ascii="Verdana" w:eastAsia="Calibri" w:hAnsi="Verdana" w:cs="Arial"/>
                <w:bCs/>
                <w:lang w:val="es-MX"/>
              </w:rPr>
              <w:t xml:space="preserve">preciso mencionar que a diferencia de la Ley 80 de 1993, donde no es relevante el objeto del contrato para la aplicación del régimen de inhabilidades e incompatibilidades, la Ley 1918 de 2018 </w:t>
            </w:r>
            <w:r>
              <w:rPr>
                <w:rFonts w:ascii="Verdana" w:eastAsia="Calibri" w:hAnsi="Verdana" w:cs="Arial"/>
                <w:bCs/>
                <w:lang w:val="es-MX"/>
              </w:rPr>
              <w:t>modificado por la Ley 2375 de 2024 si</w:t>
            </w:r>
            <w:r w:rsidRPr="00802249">
              <w:rPr>
                <w:rFonts w:ascii="Verdana" w:eastAsia="Calibri" w:hAnsi="Verdana" w:cs="Arial"/>
                <w:bCs/>
                <w:lang w:val="es-MX"/>
              </w:rPr>
              <w:t xml:space="preserve"> establece que la inhabilidad es para vinculaciones donde la persona tenga relación directa y habitual con menores, lo cual está definido en </w:t>
            </w:r>
            <w:r>
              <w:rPr>
                <w:rFonts w:ascii="Verdana" w:eastAsia="Calibri" w:hAnsi="Verdana" w:cs="Arial"/>
                <w:bCs/>
                <w:lang w:val="es-MX"/>
              </w:rPr>
              <w:t>el listado regulado en el artículo 2 de la Ley 1918 de 2018 modificado por el artículo 3° de la Ley 2375 de 2024. Al respecto, l</w:t>
            </w:r>
            <w:r w:rsidRPr="0045486A">
              <w:rPr>
                <w:rFonts w:ascii="Verdana" w:eastAsia="Calibri" w:hAnsi="Verdana" w:cs="Arial"/>
                <w:bCs/>
              </w:rPr>
              <w:t xml:space="preserve">os diferentes cargos, profesiones u oficios que se enumeran son enunciativos, teniendo en cuenta el numeral 21° que prescribe: “Cualquier cargo, oficio o profesión que demuestre </w:t>
            </w:r>
            <w:r w:rsidRPr="0045486A">
              <w:rPr>
                <w:rFonts w:ascii="Verdana" w:eastAsia="Calibri" w:hAnsi="Verdana" w:cs="Arial"/>
                <w:bCs/>
                <w:i/>
              </w:rPr>
              <w:t>un trato directo y habitual con menores de edad</w:t>
            </w:r>
            <w:r w:rsidRPr="0045486A">
              <w:rPr>
                <w:rFonts w:ascii="Verdana" w:eastAsia="Calibri" w:hAnsi="Verdana" w:cs="Arial"/>
                <w:bCs/>
              </w:rPr>
              <w:t>”, que es entendido por el precitado artículo así: “[…] por trato directo el contacto o la interacción personal o a través de cualquier medio tecnológico, que se genere en el ejercicio del cargo, profesión u oficio, de forma frecuente con personas menores de edad”.</w:t>
            </w:r>
          </w:p>
          <w:p w14:paraId="63F272F7" w14:textId="77777777" w:rsidR="00BD716E" w:rsidRPr="00FE5E2E" w:rsidRDefault="00BD716E" w:rsidP="00596B74">
            <w:pPr>
              <w:spacing w:after="120" w:line="276" w:lineRule="auto"/>
              <w:ind w:firstLine="720"/>
              <w:jc w:val="both"/>
              <w:rPr>
                <w:rFonts w:ascii="Verdana" w:eastAsia="Calibri" w:hAnsi="Verdana" w:cs="Arial"/>
                <w:bCs/>
                <w:lang w:val="es-MX"/>
              </w:rPr>
            </w:pPr>
            <w:r w:rsidRPr="00FE5E2E">
              <w:rPr>
                <w:rFonts w:ascii="Verdana" w:eastAsia="Calibri" w:hAnsi="Verdana" w:cs="Arial"/>
                <w:bCs/>
                <w:lang w:val="es-MX"/>
              </w:rPr>
              <w:t xml:space="preserve">Por tanto, la entidad que va a contratar a una persona y el objeto contractual, independiente de la modalidad de selección, deberá revisar si el objeto contractual </w:t>
            </w:r>
            <w:r w:rsidRPr="00FE5E2E">
              <w:rPr>
                <w:rFonts w:ascii="Verdana" w:eastAsia="Calibri" w:hAnsi="Verdana" w:cs="Arial"/>
                <w:bCs/>
              </w:rPr>
              <w:t>implica una interacción frecuente y personal con menores de edad,</w:t>
            </w:r>
            <w:r w:rsidRPr="00FE5E2E">
              <w:rPr>
                <w:rFonts w:ascii="Verdana" w:eastAsia="Calibri" w:hAnsi="Verdana" w:cs="Arial"/>
                <w:bCs/>
                <w:lang w:val="es-MX"/>
              </w:rPr>
              <w:t xml:space="preserve"> para exigir el registro de inhabilidades por delitos sexuales contra menores de edad, teniendo que el término de esta inhabilidad es definido por el juez como pena accesoria</w:t>
            </w:r>
            <w:r>
              <w:rPr>
                <w:rFonts w:ascii="Verdana" w:eastAsia="Calibri" w:hAnsi="Verdana" w:cs="Arial"/>
                <w:bCs/>
                <w:lang w:val="es-MX"/>
              </w:rPr>
              <w:t xml:space="preserve"> </w:t>
            </w:r>
            <w:r w:rsidRPr="003D1CCE">
              <w:rPr>
                <w:rFonts w:ascii="Verdana" w:eastAsia="Calibri" w:hAnsi="Verdana" w:cs="Arial"/>
                <w:bCs/>
                <w:lang w:val="es-MX"/>
              </w:rPr>
              <w:t>con fundamento en el inciso primero del artículo 51 de la Ley 599 de 2000</w:t>
            </w:r>
            <w:r w:rsidRPr="00FE5E2E">
              <w:rPr>
                <w:rFonts w:ascii="Verdana" w:eastAsia="Calibri" w:hAnsi="Verdana" w:cs="Arial"/>
                <w:bCs/>
                <w:lang w:val="es-MX"/>
              </w:rPr>
              <w:t>, la cual se contabiliza</w:t>
            </w:r>
            <w:r>
              <w:rPr>
                <w:rFonts w:ascii="Verdana" w:eastAsia="Calibri" w:hAnsi="Verdana" w:cs="Arial"/>
                <w:bCs/>
                <w:lang w:val="es-MX"/>
              </w:rPr>
              <w:t xml:space="preserve"> </w:t>
            </w:r>
            <w:r w:rsidRPr="002F4A82">
              <w:rPr>
                <w:rFonts w:ascii="Verdana" w:eastAsia="Calibri" w:hAnsi="Verdana" w:cs="Arial"/>
                <w:bCs/>
              </w:rPr>
              <w:t>una vez se cumpla la pena principal</w:t>
            </w:r>
            <w:r w:rsidRPr="00FE5E2E">
              <w:rPr>
                <w:rFonts w:ascii="Verdana" w:eastAsia="Calibri" w:hAnsi="Verdana" w:cs="Arial"/>
                <w:bCs/>
                <w:lang w:val="es-MX"/>
              </w:rPr>
              <w:t>. En otras palabras, aquellos contratos que se relacionen con el contacto directo -personal o mediante tecnolog</w:t>
            </w:r>
            <w:r w:rsidRPr="00FE5E2E">
              <w:rPr>
                <w:rFonts w:ascii="Verdana" w:eastAsia="Calibri" w:hAnsi="Verdana" w:cs="Verdana"/>
                <w:bCs/>
                <w:lang w:val="es-MX"/>
              </w:rPr>
              <w:t>í</w:t>
            </w:r>
            <w:r w:rsidRPr="00FE5E2E">
              <w:rPr>
                <w:rFonts w:ascii="Verdana" w:eastAsia="Calibri" w:hAnsi="Verdana" w:cs="Arial"/>
                <w:bCs/>
                <w:lang w:val="es-MX"/>
              </w:rPr>
              <w:t xml:space="preserve">a </w:t>
            </w:r>
            <w:r w:rsidRPr="00FE5E2E">
              <w:rPr>
                <w:rFonts w:ascii="Arial" w:eastAsia="Calibri" w:hAnsi="Arial" w:cs="Arial"/>
                <w:bCs/>
                <w:lang w:val="es-MX"/>
              </w:rPr>
              <w:t>̶</w:t>
            </w:r>
            <w:r w:rsidRPr="00FE5E2E">
              <w:rPr>
                <w:rFonts w:ascii="Verdana" w:eastAsia="Calibri" w:hAnsi="Verdana" w:cs="Arial"/>
                <w:bCs/>
                <w:lang w:val="es-MX"/>
              </w:rPr>
              <w:t xml:space="preserve"> y habitual –frecuente- con menores, puede configurar la inhabilidad prevista. </w:t>
            </w:r>
            <w:r w:rsidRPr="00FE5E2E">
              <w:rPr>
                <w:rFonts w:ascii="Verdana" w:eastAsia="Calibri" w:hAnsi="Verdana" w:cs="Arial"/>
                <w:bCs/>
              </w:rPr>
              <w:t xml:space="preserve">Dicha omisión de verificación implica sanciones reguladas en el artículo 5 de la Ley 1918 de 2018, que fueron modificadas por el artículo 4 de la Ley 2375 de 2024. </w:t>
            </w:r>
          </w:p>
          <w:p w14:paraId="67316BD5" w14:textId="77777777" w:rsidR="00BD716E" w:rsidRPr="00DE5508" w:rsidRDefault="00BD716E" w:rsidP="00596B74">
            <w:pPr>
              <w:spacing w:after="120" w:line="276" w:lineRule="auto"/>
              <w:jc w:val="both"/>
              <w:rPr>
                <w:rFonts w:ascii="Verdana" w:hAnsi="Verdana"/>
              </w:rPr>
            </w:pPr>
          </w:p>
        </w:tc>
      </w:tr>
    </w:tbl>
    <w:p w14:paraId="7A6ABB96" w14:textId="77777777" w:rsidR="00BD716E" w:rsidRPr="00DE5508" w:rsidRDefault="00BD716E" w:rsidP="00BD716E">
      <w:pPr>
        <w:tabs>
          <w:tab w:val="left" w:pos="142"/>
          <w:tab w:val="left" w:pos="284"/>
        </w:tabs>
        <w:spacing w:after="0" w:line="276" w:lineRule="auto"/>
        <w:jc w:val="both"/>
        <w:rPr>
          <w:rFonts w:ascii="Verdana" w:eastAsia="Century Gothic" w:hAnsi="Verdana" w:cs="Century Gothic"/>
          <w:b/>
          <w:bCs/>
          <w:lang w:val="es-ES"/>
        </w:rPr>
      </w:pPr>
    </w:p>
    <w:p w14:paraId="6BAB53AA" w14:textId="64A3906C" w:rsidR="00BD716E" w:rsidRDefault="00BD716E" w:rsidP="00BD716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26B5896F" w14:textId="77777777" w:rsidR="00BD716E" w:rsidRDefault="00BD716E" w:rsidP="00BD716E">
      <w:pPr>
        <w:spacing w:after="0" w:line="276" w:lineRule="auto"/>
        <w:jc w:val="both"/>
        <w:rPr>
          <w:rFonts w:ascii="Verdana" w:eastAsia="Calibri" w:hAnsi="Verdana" w:cs="Arial"/>
          <w:color w:val="7030A0"/>
          <w:lang w:val="es-ES"/>
        </w:rPr>
      </w:pPr>
    </w:p>
    <w:p w14:paraId="1D6637BA" w14:textId="77777777" w:rsidR="00BD716E" w:rsidRDefault="00BD716E" w:rsidP="00BD716E">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75748A39" w14:textId="77777777" w:rsidR="00BD716E" w:rsidRDefault="00BD716E" w:rsidP="00BD716E">
      <w:pPr>
        <w:widowControl w:val="0"/>
        <w:autoSpaceDE w:val="0"/>
        <w:autoSpaceDN w:val="0"/>
        <w:spacing w:after="0" w:line="276" w:lineRule="auto"/>
        <w:ind w:right="176"/>
        <w:jc w:val="both"/>
        <w:rPr>
          <w:rFonts w:ascii="Verdana" w:eastAsia="Calibri" w:hAnsi="Verdana" w:cs="Arial"/>
          <w:lang w:val="es-ES"/>
        </w:rPr>
      </w:pPr>
    </w:p>
    <w:p w14:paraId="12E79AA1" w14:textId="77777777" w:rsidR="00BD716E" w:rsidRDefault="00BD716E" w:rsidP="00BD716E">
      <w:pPr>
        <w:spacing w:after="120" w:line="276" w:lineRule="auto"/>
        <w:jc w:val="both"/>
        <w:rPr>
          <w:rFonts w:ascii="Verdana" w:hAnsi="Verdana" w:cs="Arial"/>
          <w:bCs/>
          <w:lang w:val="es-ES_tradnl" w:eastAsia="es-ES" w:bidi="es-ES"/>
        </w:rPr>
      </w:pPr>
      <w:r w:rsidRPr="0041694B">
        <w:rPr>
          <w:rFonts w:ascii="Verdana" w:hAnsi="Verdana" w:cs="Arial"/>
          <w:bCs/>
          <w:lang w:val="es-ES_tradnl" w:eastAsia="es-ES" w:bidi="es-ES"/>
        </w:rPr>
        <w:lastRenderedPageBreak/>
        <w:t xml:space="preserve">Los </w:t>
      </w:r>
      <w:r w:rsidRPr="0041694B">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w:t>
      </w:r>
      <w:r>
        <w:rPr>
          <w:rFonts w:ascii="Verdana" w:hAnsi="Verdana" w:cs="Arial"/>
          <w:bCs/>
          <w:lang w:val="es-ES_tradnl" w:eastAsia="es-ES" w:bidi="es-ES"/>
        </w:rPr>
        <w:t>a</w:t>
      </w:r>
      <w:r w:rsidRPr="0041694B">
        <w:rPr>
          <w:rFonts w:ascii="Verdana" w:hAnsi="Verdana" w:cs="Arial"/>
          <w:bCs/>
          <w:lang w:val="es-ES_tradnl" w:eastAsia="es-ES" w:bidi="es-ES"/>
        </w:rPr>
        <w:t xml:space="preserve">s en disposiciones normativas de carácter legal o reglamentario, o contenidas en el acto administrativo que regula las reglas de la convocatoria, es decir, en el pliego de condiciones o el documento 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en que estos son los factores definidos por la Entidad Estatal para la asignación de puntaje en el momento de la comparación de las ofertas, y que, a partir de su ponderación, permiten establecer el orden de elegibilidad y</w:t>
      </w:r>
      <w:r w:rsidRPr="00C94107">
        <w:rPr>
          <w:rFonts w:ascii="Verdana" w:hAnsi="Verdana" w:cs="Arial"/>
          <w:bCs/>
          <w:lang w:val="es-ES_tradnl" w:eastAsia="es-ES" w:bidi="es-ES"/>
        </w:rPr>
        <w:t>, por ende,</w:t>
      </w:r>
      <w:r>
        <w:rPr>
          <w:rFonts w:ascii="Verdana" w:hAnsi="Verdana" w:cs="Arial"/>
          <w:bCs/>
          <w:lang w:val="es-ES_tradnl" w:eastAsia="es-ES" w:bidi="es-ES"/>
        </w:rPr>
        <w:t xml:space="preserve"> </w:t>
      </w:r>
      <w:r w:rsidRPr="0041694B">
        <w:rPr>
          <w:rFonts w:ascii="Verdana" w:hAnsi="Verdana" w:cs="Arial"/>
          <w:bCs/>
          <w:lang w:val="es-ES_tradnl" w:eastAsia="es-ES" w:bidi="es-ES"/>
        </w:rPr>
        <w:t xml:space="preserve">la propuesta ganadora. </w:t>
      </w:r>
    </w:p>
    <w:p w14:paraId="5A23D7F2" w14:textId="77777777" w:rsidR="00BD716E" w:rsidRPr="000D0F09" w:rsidRDefault="00BD716E" w:rsidP="00BD716E">
      <w:pPr>
        <w:spacing w:after="120" w:line="276" w:lineRule="auto"/>
        <w:ind w:firstLine="708"/>
        <w:jc w:val="both"/>
        <w:rPr>
          <w:rFonts w:ascii="Verdana" w:eastAsia="Calibri" w:hAnsi="Verdana" w:cs="Arial"/>
          <w:lang w:val="es-ES" w:eastAsia="es-MX"/>
        </w:rPr>
      </w:pPr>
      <w:bookmarkStart w:id="1" w:name="_Hlk191626670"/>
      <w:r w:rsidRPr="001A4E79">
        <w:rPr>
          <w:rFonts w:ascii="Verdana" w:eastAsia="Calibri" w:hAnsi="Verdana" w:cs="Arial"/>
          <w:lang w:val="es-ES" w:eastAsia="es-MX"/>
        </w:rPr>
        <w:t>Los requisitos habilitantes constituyen los requ</w:t>
      </w:r>
      <w:r>
        <w:rPr>
          <w:rFonts w:ascii="Verdana" w:eastAsia="Calibri" w:hAnsi="Verdana" w:cs="Arial"/>
          <w:lang w:val="es-ES" w:eastAsia="es-MX"/>
        </w:rPr>
        <w:t>isi</w:t>
      </w:r>
      <w:r w:rsidRPr="001A4E79">
        <w:rPr>
          <w:rFonts w:ascii="Verdana" w:eastAsia="Calibri" w:hAnsi="Verdana" w:cs="Arial"/>
          <w:lang w:val="es-ES" w:eastAsia="es-MX"/>
        </w:rPr>
        <w:t>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w:t>
      </w:r>
      <w:r w:rsidRPr="00C94107">
        <w:rPr>
          <w:rFonts w:ascii="Verdana" w:eastAsia="Calibri" w:hAnsi="Verdana" w:cs="Arial"/>
          <w:lang w:val="es-ES" w:eastAsia="es-MX"/>
        </w:rPr>
        <w:t>. De esta</w:t>
      </w:r>
      <w:r w:rsidRPr="001A4E79">
        <w:rPr>
          <w:rFonts w:ascii="Verdana" w:eastAsia="Calibri" w:hAnsi="Verdana" w:cs="Arial"/>
          <w:lang w:val="es-ES" w:eastAsia="es-MX"/>
        </w:rPr>
        <w:t xml:space="preserve"> manera</w:t>
      </w:r>
      <w:r w:rsidRPr="00C94107">
        <w:rPr>
          <w:rFonts w:ascii="Verdana" w:eastAsia="Calibri" w:hAnsi="Verdana" w:cs="Arial"/>
          <w:lang w:val="es-ES" w:eastAsia="es-MX"/>
        </w:rPr>
        <w:t>,</w:t>
      </w:r>
      <w:r w:rsidRPr="001A4E79">
        <w:rPr>
          <w:rFonts w:ascii="Verdana" w:eastAsia="Calibri" w:hAnsi="Verdana" w:cs="Arial"/>
          <w:lang w:val="es-ES" w:eastAsia="es-MX"/>
        </w:rPr>
        <w:t xml:space="preserve"> quienes no los reúnan no pueden continuar en el procedimiento de selección, es decir, incurren en causal de rechazo. </w:t>
      </w:r>
      <w:bookmarkEnd w:id="1"/>
      <w:r w:rsidRPr="001A4E79">
        <w:rPr>
          <w:rFonts w:ascii="Verdana" w:eastAsia="Calibri" w:hAnsi="Verdana" w:cs="Arial"/>
          <w:lang w:val="es-ES" w:eastAsia="es-MX"/>
        </w:rPr>
        <w:t>Esto</w:t>
      </w:r>
      <w:r w:rsidRPr="00C94107">
        <w:rPr>
          <w:rFonts w:ascii="Verdana" w:eastAsia="Calibri" w:hAnsi="Verdana" w:cs="Arial"/>
          <w:lang w:val="es-ES" w:eastAsia="es-MX"/>
        </w:rPr>
        <w:t>,</w:t>
      </w:r>
      <w:r w:rsidRPr="001A4E79">
        <w:rPr>
          <w:rFonts w:ascii="Verdana" w:eastAsia="Calibri" w:hAnsi="Verdana" w:cs="Arial"/>
          <w:lang w:val="es-ES" w:eastAsia="es-MX"/>
        </w:rPr>
        <w:t xml:space="preserve"> sin perjuicio del derecho que tienen los oferentes de subsanar los defectos que se presenten en la prueba de tales requisitos, de conformidad con el </w:t>
      </w:r>
      <w:bookmarkStart w:id="2" w:name="_Hlk191626971"/>
      <w:r w:rsidRPr="001A4E79">
        <w:rPr>
          <w:rFonts w:ascii="Verdana" w:eastAsia="Calibri" w:hAnsi="Verdana" w:cs="Arial"/>
          <w:lang w:val="es-ES" w:eastAsia="es-MX"/>
        </w:rPr>
        <w:t>artículo 5, parágrafos 1º al 4º, de la Ley 1150 de 2007</w:t>
      </w:r>
      <w:bookmarkEnd w:id="2"/>
      <w:r w:rsidRPr="001A4E79">
        <w:rPr>
          <w:rFonts w:ascii="Verdana" w:eastAsia="Calibri" w:hAnsi="Verdana" w:cs="Arial"/>
          <w:lang w:val="es-ES" w:eastAsia="es-MX"/>
        </w:rPr>
        <w:t>.</w:t>
      </w:r>
    </w:p>
    <w:p w14:paraId="2C20475E" w14:textId="77777777" w:rsidR="00BD716E" w:rsidRPr="00C94107" w:rsidRDefault="00BD716E" w:rsidP="00BD716E">
      <w:pPr>
        <w:spacing w:after="120" w:line="276" w:lineRule="auto"/>
        <w:ind w:firstLine="708"/>
        <w:jc w:val="both"/>
        <w:rPr>
          <w:rFonts w:ascii="Verdana" w:hAnsi="Verdana" w:cs="Arial"/>
          <w:color w:val="000000" w:themeColor="text1"/>
          <w:lang w:val="es-ES_tradnl"/>
        </w:rPr>
      </w:pPr>
      <w:r w:rsidRPr="00C94107">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C94107">
        <w:rPr>
          <w:rFonts w:ascii="Verdana" w:hAnsi="Verdana" w:cs="Arial"/>
          <w:i/>
          <w:iCs/>
          <w:color w:val="000000" w:themeColor="text1"/>
          <w:lang w:val="es-ES_tradnl"/>
        </w:rPr>
        <w:t>.</w:t>
      </w:r>
      <w:r w:rsidRPr="00C94107">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6D5E9C90" w14:textId="77777777" w:rsidR="00BD716E" w:rsidRPr="0041694B" w:rsidRDefault="00BD716E" w:rsidP="00BD716E">
      <w:pPr>
        <w:spacing w:after="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Específicamente, el numeral 1º del artículo</w:t>
      </w:r>
      <w:r>
        <w:rPr>
          <w:rFonts w:ascii="Verdana" w:hAnsi="Verdana" w:cs="Arial"/>
          <w:bCs/>
          <w:lang w:val="es-ES" w:eastAsia="es-ES" w:bidi="es-ES"/>
        </w:rPr>
        <w:t xml:space="preserve"> 5 de la Ley 1150 de 2007 </w:t>
      </w:r>
      <w:r w:rsidRPr="0041694B">
        <w:rPr>
          <w:rFonts w:ascii="Verdana" w:hAnsi="Verdana" w:cs="Arial"/>
          <w:bCs/>
          <w:lang w:val="es-ES" w:eastAsia="es-ES" w:bidi="es-ES"/>
        </w:rPr>
        <w:t>establece que</w:t>
      </w:r>
      <w:r w:rsidRPr="00C94107">
        <w:rPr>
          <w:rFonts w:ascii="Verdana" w:hAnsi="Verdana" w:cs="Arial"/>
          <w:bCs/>
          <w:lang w:val="es-ES" w:eastAsia="es-ES" w:bidi="es-ES"/>
        </w:rPr>
        <w:t>,</w:t>
      </w:r>
      <w:r w:rsidRPr="0041694B">
        <w:rPr>
          <w:rFonts w:ascii="Verdana" w:hAnsi="Verdana" w:cs="Arial"/>
          <w:bCs/>
          <w:lang w:val="es-ES" w:eastAsia="es-ES" w:bidi="es-ES"/>
        </w:rPr>
        <w:t xml:space="preserve"> en los procesos de selección de contratistas</w:t>
      </w:r>
      <w:r w:rsidRPr="00C94107">
        <w:rPr>
          <w:rFonts w:ascii="Verdana" w:hAnsi="Verdana" w:cs="Arial"/>
          <w:bCs/>
          <w:lang w:val="es-ES" w:eastAsia="es-ES" w:bidi="es-ES"/>
        </w:rPr>
        <w:t>,</w:t>
      </w:r>
      <w:r w:rsidRPr="0041694B">
        <w:rPr>
          <w:rFonts w:ascii="Verdana" w:hAnsi="Verdana" w:cs="Arial"/>
          <w:bCs/>
          <w:lang w:val="es-ES" w:eastAsia="es-ES" w:bidi="es-ES"/>
        </w:rPr>
        <w:t xml:space="preserve"> serán objeto de verificación, como requisitos habilitantes, </w:t>
      </w:r>
      <w:r w:rsidRPr="0041694B">
        <w:rPr>
          <w:rFonts w:ascii="Verdana" w:hAnsi="Verdana" w:cs="Arial"/>
          <w:bCs/>
          <w:i/>
          <w:iCs/>
          <w:lang w:val="es-ES" w:eastAsia="es-ES" w:bidi="es-ES"/>
        </w:rPr>
        <w:t>entre otros</w:t>
      </w:r>
      <w:r w:rsidRPr="0041694B">
        <w:rPr>
          <w:rFonts w:ascii="Verdana" w:hAnsi="Verdana" w:cs="Arial"/>
          <w:bCs/>
          <w:lang w:val="es-ES" w:eastAsia="es-ES" w:bidi="es-ES"/>
        </w:rPr>
        <w:t xml:space="preserve">, los siguientes: </w:t>
      </w:r>
      <w:r>
        <w:rPr>
          <w:rFonts w:ascii="Verdana" w:hAnsi="Verdana" w:cs="Arial"/>
          <w:bCs/>
          <w:lang w:val="es-ES" w:eastAsia="es-ES" w:bidi="es-ES"/>
        </w:rPr>
        <w:t>(</w:t>
      </w:r>
      <w:r w:rsidRPr="0041694B">
        <w:rPr>
          <w:rFonts w:ascii="Verdana" w:hAnsi="Verdana" w:cs="Arial"/>
          <w:bCs/>
          <w:lang w:val="es-ES" w:eastAsia="es-ES" w:bidi="es-ES"/>
        </w:rPr>
        <w:t xml:space="preserve">i) la capacidad jurídica; </w:t>
      </w:r>
      <w:r>
        <w:rPr>
          <w:rFonts w:ascii="Verdana" w:hAnsi="Verdana" w:cs="Arial"/>
          <w:bCs/>
          <w:lang w:val="es-ES" w:eastAsia="es-ES" w:bidi="es-ES"/>
        </w:rPr>
        <w:t>(</w:t>
      </w:r>
      <w:proofErr w:type="spellStart"/>
      <w:r w:rsidRPr="0041694B">
        <w:rPr>
          <w:rFonts w:ascii="Verdana" w:hAnsi="Verdana" w:cs="Arial"/>
          <w:bCs/>
          <w:lang w:val="es-ES" w:eastAsia="es-ES" w:bidi="es-ES"/>
        </w:rPr>
        <w:t>ii</w:t>
      </w:r>
      <w:proofErr w:type="spellEnd"/>
      <w:r w:rsidRPr="0041694B">
        <w:rPr>
          <w:rFonts w:ascii="Verdana" w:hAnsi="Verdana" w:cs="Arial"/>
          <w:bCs/>
          <w:lang w:val="es-ES" w:eastAsia="es-ES" w:bidi="es-ES"/>
        </w:rPr>
        <w:t xml:space="preserve">) la experiencia; </w:t>
      </w:r>
      <w:r>
        <w:rPr>
          <w:rFonts w:ascii="Verdana" w:hAnsi="Verdana" w:cs="Arial"/>
          <w:bCs/>
          <w:lang w:val="es-ES" w:eastAsia="es-ES" w:bidi="es-ES"/>
        </w:rPr>
        <w:t>(</w:t>
      </w:r>
      <w:proofErr w:type="spellStart"/>
      <w:r w:rsidRPr="0041694B">
        <w:rPr>
          <w:rFonts w:ascii="Verdana" w:hAnsi="Verdana" w:cs="Arial"/>
          <w:bCs/>
          <w:lang w:val="es-ES" w:eastAsia="es-ES" w:bidi="es-ES"/>
        </w:rPr>
        <w:t>iii</w:t>
      </w:r>
      <w:proofErr w:type="spellEnd"/>
      <w:r w:rsidRPr="0041694B">
        <w:rPr>
          <w:rFonts w:ascii="Verdana" w:hAnsi="Verdana" w:cs="Arial"/>
          <w:bCs/>
          <w:lang w:val="es-ES" w:eastAsia="es-ES" w:bidi="es-ES"/>
        </w:rPr>
        <w:t xml:space="preserve">) la capacidad financiera y </w:t>
      </w:r>
      <w:r>
        <w:rPr>
          <w:rFonts w:ascii="Verdana" w:hAnsi="Verdana" w:cs="Arial"/>
          <w:bCs/>
          <w:lang w:val="es-ES" w:eastAsia="es-ES" w:bidi="es-ES"/>
        </w:rPr>
        <w:t>(</w:t>
      </w:r>
      <w:proofErr w:type="spellStart"/>
      <w:r w:rsidRPr="0041694B">
        <w:rPr>
          <w:rFonts w:ascii="Verdana" w:hAnsi="Verdana" w:cs="Arial"/>
          <w:bCs/>
          <w:lang w:val="es-ES" w:eastAsia="es-ES" w:bidi="es-ES"/>
        </w:rPr>
        <w:t>iv</w:t>
      </w:r>
      <w:proofErr w:type="spellEnd"/>
      <w:r w:rsidRPr="0041694B">
        <w:rPr>
          <w:rFonts w:ascii="Verdana" w:hAnsi="Verdana" w:cs="Arial"/>
          <w:bCs/>
          <w:lang w:val="es-ES" w:eastAsia="es-ES" w:bidi="es-ES"/>
        </w:rPr>
        <w:t>) la capacidad de organización. En efecto, la normati</w:t>
      </w:r>
      <w:r>
        <w:rPr>
          <w:rFonts w:ascii="Verdana" w:hAnsi="Verdana" w:cs="Arial"/>
          <w:bCs/>
          <w:lang w:val="es-ES" w:eastAsia="es-ES" w:bidi="es-ES"/>
        </w:rPr>
        <w:t>va citada prescribe</w:t>
      </w:r>
      <w:r w:rsidRPr="0041694B">
        <w:rPr>
          <w:rFonts w:ascii="Verdana" w:hAnsi="Verdana" w:cs="Arial"/>
          <w:bCs/>
          <w:lang w:val="es-ES" w:eastAsia="es-ES" w:bidi="es-ES"/>
        </w:rPr>
        <w:t>:</w:t>
      </w:r>
    </w:p>
    <w:p w14:paraId="61A94216" w14:textId="77777777" w:rsidR="00BD716E" w:rsidRPr="00C94107" w:rsidRDefault="00BD716E" w:rsidP="00BD716E">
      <w:pPr>
        <w:spacing w:after="0" w:line="276" w:lineRule="auto"/>
        <w:ind w:firstLine="708"/>
        <w:jc w:val="both"/>
        <w:rPr>
          <w:rFonts w:ascii="Verdana" w:hAnsi="Verdana" w:cs="Arial"/>
          <w:bCs/>
          <w:lang w:val="es-ES" w:eastAsia="es-ES" w:bidi="es-ES"/>
        </w:rPr>
      </w:pPr>
    </w:p>
    <w:p w14:paraId="355936E9" w14:textId="77777777" w:rsidR="00BD716E" w:rsidRPr="00810146" w:rsidRDefault="00BD716E" w:rsidP="00BD716E">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i/>
          <w:sz w:val="20"/>
          <w:szCs w:val="20"/>
          <w:lang w:val="es-ES_tradnl" w:eastAsia="es-ES" w:bidi="es-ES"/>
        </w:rPr>
        <w:t>“</w:t>
      </w:r>
      <w:r w:rsidRPr="00810146">
        <w:rPr>
          <w:rFonts w:ascii="Verdana" w:hAnsi="Verdana" w:cs="Arial"/>
          <w:sz w:val="20"/>
          <w:szCs w:val="20"/>
          <w:lang w:val="es-ES_tradnl" w:eastAsia="es-ES" w:bidi="es-ES"/>
        </w:rPr>
        <w:t xml:space="preserve">Artículo 5. De la Selección Objetiva. </w:t>
      </w:r>
    </w:p>
    <w:p w14:paraId="3A9C5838" w14:textId="77777777" w:rsidR="00BD716E" w:rsidRPr="00810146" w:rsidRDefault="00BD716E" w:rsidP="00BD716E">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t>[…]</w:t>
      </w:r>
    </w:p>
    <w:p w14:paraId="1AF13270" w14:textId="77777777" w:rsidR="00BD716E" w:rsidRPr="00810146" w:rsidRDefault="00BD716E" w:rsidP="00BD716E">
      <w:pPr>
        <w:spacing w:after="0" w:line="240" w:lineRule="auto"/>
        <w:ind w:left="709" w:right="709"/>
        <w:jc w:val="both"/>
        <w:rPr>
          <w:rFonts w:ascii="Verdana" w:hAnsi="Verdana" w:cs="Arial"/>
          <w:sz w:val="20"/>
          <w:szCs w:val="20"/>
          <w:lang w:val="es-ES" w:eastAsia="es-ES" w:bidi="es-ES"/>
        </w:rPr>
      </w:pPr>
      <w:r w:rsidRPr="00810146">
        <w:rPr>
          <w:rFonts w:ascii="Verdana" w:hAnsi="Verdana" w:cs="Arial"/>
          <w:sz w:val="20"/>
          <w:szCs w:val="20"/>
          <w:lang w:val="es-ES" w:eastAsia="es-ES" w:bidi="es-ES"/>
        </w:rPr>
        <w:t xml:space="preserve">1. La capacidad jurídica y las condiciones de experiencia, capacidad financiera y de organización de los proponentes serán objeto de verificación de cumplimiento como requisitos habilitantes para la </w:t>
      </w:r>
      <w:r w:rsidRPr="00810146">
        <w:rPr>
          <w:rFonts w:ascii="Verdana" w:hAnsi="Verdana" w:cs="Arial"/>
          <w:sz w:val="20"/>
          <w:szCs w:val="20"/>
          <w:lang w:val="es-ES" w:eastAsia="es-ES" w:bidi="es-ES"/>
        </w:rPr>
        <w:lastRenderedPageBreak/>
        <w:t>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228C137" w14:textId="77777777" w:rsidR="00BD716E" w:rsidRPr="00810146" w:rsidRDefault="00BD716E" w:rsidP="00BD716E">
      <w:pPr>
        <w:spacing w:after="0" w:line="276" w:lineRule="auto"/>
        <w:ind w:right="709"/>
        <w:jc w:val="both"/>
        <w:rPr>
          <w:rFonts w:ascii="Verdana" w:hAnsi="Verdana" w:cs="Arial"/>
          <w:lang w:val="es-ES" w:eastAsia="es-ES" w:bidi="es-ES"/>
        </w:rPr>
      </w:pPr>
    </w:p>
    <w:p w14:paraId="60891C3E" w14:textId="77777777" w:rsidR="00BD716E" w:rsidRPr="001A4E79" w:rsidRDefault="00BD716E" w:rsidP="00BD716E">
      <w:pPr>
        <w:spacing w:after="120" w:line="276" w:lineRule="auto"/>
        <w:ind w:firstLine="708"/>
        <w:jc w:val="both"/>
        <w:rPr>
          <w:rFonts w:ascii="Verdana" w:eastAsia="Times New Roman" w:hAnsi="Verdana" w:cs="Arial"/>
          <w:highlight w:val="cyan"/>
          <w:lang w:val="es-ES_tradnl" w:eastAsia="es-MX"/>
        </w:rPr>
      </w:pPr>
      <w:bookmarkStart w:id="3" w:name="_Hlk99547809"/>
      <w:bookmarkStart w:id="4" w:name="_Hlk99546625"/>
      <w:r w:rsidRPr="001A4E79">
        <w:rPr>
          <w:rFonts w:ascii="Verdana" w:eastAsia="Times New Roman" w:hAnsi="Verdana" w:cs="Arial"/>
          <w:lang w:val="es-ES_tradnl" w:eastAsia="es-MX"/>
        </w:rPr>
        <w:t>La Agencia Nacional de Contratación Pública</w:t>
      </w:r>
      <w:r>
        <w:rPr>
          <w:rFonts w:ascii="Verdana" w:eastAsia="Times New Roman" w:hAnsi="Verdana" w:cs="Arial"/>
          <w:lang w:val="es-ES_tradnl" w:eastAsia="es-MX"/>
        </w:rPr>
        <w:t xml:space="preserve"> – Colombia Compra Eficiente</w:t>
      </w:r>
      <w:r w:rsidRPr="001A4E79">
        <w:rPr>
          <w:rFonts w:ascii="Verdana" w:eastAsia="Times New Roman" w:hAnsi="Verdana" w:cs="Arial"/>
          <w:lang w:val="es-ES_tradnl" w:eastAsia="es-MX"/>
        </w:rPr>
        <w:t xml:space="preserve"> ha defendido el carácter </w:t>
      </w:r>
      <w:bookmarkStart w:id="5" w:name="_Hlk99547799"/>
      <w:r w:rsidRPr="001A4E79">
        <w:rPr>
          <w:rFonts w:ascii="Verdana" w:eastAsia="Times New Roman" w:hAnsi="Verdana" w:cs="Arial"/>
          <w:lang w:val="es-ES_tradnl" w:eastAsia="es-MX"/>
        </w:rPr>
        <w:t xml:space="preserve">enunciativo del listado de los requisitos habilitantes contenidos en el numeral 1 del artículo 5 de la Ley 1150 de 2007, en la medida en que </w:t>
      </w:r>
      <w:r>
        <w:rPr>
          <w:rFonts w:ascii="Verdana" w:eastAsia="Times New Roman" w:hAnsi="Verdana" w:cs="Arial"/>
          <w:lang w:val="es-ES_tradnl" w:eastAsia="es-MX"/>
        </w:rPr>
        <w:t xml:space="preserve">la mencionada </w:t>
      </w:r>
      <w:r w:rsidRPr="001A4E79">
        <w:rPr>
          <w:rFonts w:ascii="Verdana" w:eastAsia="Times New Roman" w:hAnsi="Verdana" w:cs="Arial"/>
          <w:lang w:val="es-ES_tradnl" w:eastAsia="es-MX"/>
        </w:rPr>
        <w:t xml:space="preserve">disposición, al referirse a los requisitos habilitantes, no contiene una expresión como </w:t>
      </w:r>
      <w:r>
        <w:rPr>
          <w:rFonts w:ascii="Verdana" w:eastAsia="Times New Roman" w:hAnsi="Verdana" w:cs="Arial"/>
          <w:lang w:val="es-ES_tradnl" w:eastAsia="es-MX"/>
        </w:rPr>
        <w:t>“</w:t>
      </w:r>
      <w:r w:rsidRPr="001A4E79">
        <w:rPr>
          <w:rFonts w:ascii="Verdana" w:eastAsia="Times New Roman" w:hAnsi="Verdana" w:cs="Arial"/>
          <w:lang w:val="es-ES_tradnl" w:eastAsia="es-MX"/>
        </w:rPr>
        <w:t>únicamente</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o </w:t>
      </w:r>
      <w:r>
        <w:rPr>
          <w:rFonts w:ascii="Verdana" w:eastAsia="Times New Roman" w:hAnsi="Verdana" w:cs="Arial"/>
          <w:lang w:val="es-ES_tradnl" w:eastAsia="es-MX"/>
        </w:rPr>
        <w:t>“</w:t>
      </w:r>
      <w:r w:rsidRPr="001A4E79">
        <w:rPr>
          <w:rFonts w:ascii="Verdana" w:eastAsia="Times New Roman" w:hAnsi="Verdana" w:cs="Arial"/>
          <w:lang w:val="es-ES_tradnl" w:eastAsia="es-MX"/>
        </w:rPr>
        <w:t>solo</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de la que pueda colegirse la taxatividad de los requisitos </w:t>
      </w:r>
      <w:r w:rsidRPr="00C94107">
        <w:rPr>
          <w:rFonts w:ascii="Verdana" w:eastAsia="Times New Roman" w:hAnsi="Verdana" w:cs="Arial"/>
          <w:lang w:val="es-ES_tradnl" w:eastAsia="es-MX"/>
        </w:rPr>
        <w:t>señalados.</w:t>
      </w:r>
      <w:r w:rsidRPr="001A4E79">
        <w:rPr>
          <w:rFonts w:ascii="Verdana" w:eastAsia="Times New Roman" w:hAnsi="Verdana" w:cs="Arial"/>
          <w:lang w:val="es-ES_tradnl" w:eastAsia="es-MX"/>
        </w:rPr>
        <w:t xml:space="preserve"> </w:t>
      </w:r>
      <w:bookmarkEnd w:id="3"/>
      <w:bookmarkEnd w:id="5"/>
      <w:r w:rsidRPr="001A4E79">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w:t>
      </w:r>
      <w:r>
        <w:rPr>
          <w:rFonts w:ascii="Verdana" w:eastAsia="Times New Roman" w:hAnsi="Verdana" w:cs="Arial"/>
          <w:lang w:val="es-ES_tradnl" w:eastAsia="es-MX"/>
        </w:rPr>
        <w:t>Estatales</w:t>
      </w:r>
      <w:r w:rsidRPr="001A4E79">
        <w:rPr>
          <w:rFonts w:ascii="Verdana" w:eastAsia="Times New Roman" w:hAnsi="Verdana" w:cs="Arial"/>
          <w:lang w:val="es-ES_tradnl" w:eastAsia="es-MX"/>
        </w:rPr>
        <w:t>, de las que derivan requisitos habilitantes, como sucede, por ejemplo, con la capacidad residual a la que se refiere el artículo 6º, parágrafo 1, de la Ley 1150 de 2007</w:t>
      </w:r>
      <w:bookmarkEnd w:id="4"/>
      <w:r w:rsidRPr="001A4E79">
        <w:rPr>
          <w:rFonts w:ascii="Verdana" w:eastAsia="Times New Roman" w:hAnsi="Verdana" w:cs="Arial"/>
          <w:vertAlign w:val="superscript"/>
          <w:lang w:val="es-ES_tradnl" w:eastAsia="es-MX"/>
        </w:rPr>
        <w:footnoteReference w:id="2"/>
      </w:r>
      <w:r w:rsidRPr="001A4E79">
        <w:rPr>
          <w:rFonts w:ascii="Verdana" w:eastAsia="Times New Roman" w:hAnsi="Verdana" w:cs="Arial"/>
          <w:lang w:val="es-ES_tradnl" w:eastAsia="es-MX"/>
        </w:rPr>
        <w:t xml:space="preserve">. </w:t>
      </w:r>
    </w:p>
    <w:p w14:paraId="070D5862" w14:textId="77777777" w:rsidR="00BD716E" w:rsidRPr="00C94107" w:rsidRDefault="00BD716E" w:rsidP="00BD716E">
      <w:pPr>
        <w:spacing w:after="120" w:line="276" w:lineRule="auto"/>
        <w:ind w:firstLine="708"/>
        <w:jc w:val="both"/>
        <w:rPr>
          <w:rFonts w:ascii="Verdana" w:hAnsi="Verdana" w:cs="Arial"/>
          <w:bCs/>
          <w:lang w:val="es-ES" w:eastAsia="es-ES" w:bidi="es-ES"/>
        </w:rPr>
      </w:pPr>
      <w:r w:rsidRPr="001A4E79">
        <w:rPr>
          <w:rFonts w:ascii="Verdana" w:eastAsia="Times New Roman" w:hAnsi="Verdana" w:cs="Arial"/>
          <w:lang w:val="es-ES" w:eastAsia="es-MX"/>
        </w:rPr>
        <w:t xml:space="preserve">Por otro lado, </w:t>
      </w:r>
      <w:r>
        <w:rPr>
          <w:rFonts w:ascii="Verdana" w:hAnsi="Verdana" w:cs="Arial"/>
          <w:bCs/>
          <w:lang w:val="es-ES" w:eastAsia="es-ES" w:bidi="es-ES"/>
        </w:rPr>
        <w:t>e</w:t>
      </w:r>
      <w:r w:rsidRPr="0041694B">
        <w:rPr>
          <w:rFonts w:ascii="Verdana" w:hAnsi="Verdana" w:cs="Arial"/>
          <w:bCs/>
          <w:lang w:val="es-ES" w:eastAsia="es-ES" w:bidi="es-ES"/>
        </w:rPr>
        <w:t>l artículo</w:t>
      </w:r>
      <w:r>
        <w:rPr>
          <w:rFonts w:ascii="Verdana" w:hAnsi="Verdana" w:cs="Arial"/>
          <w:bCs/>
          <w:lang w:val="es-ES" w:eastAsia="es-ES" w:bidi="es-ES"/>
        </w:rPr>
        <w:t xml:space="preserve"> 5 de la Ley 1150 de 2007</w:t>
      </w:r>
      <w:r w:rsidRPr="0041694B">
        <w:rPr>
          <w:rFonts w:ascii="Verdana" w:hAnsi="Verdana" w:cs="Arial"/>
          <w:bCs/>
          <w:lang w:val="es-ES" w:eastAsia="es-ES" w:bidi="es-ES"/>
        </w:rPr>
        <w:t xml:space="preserve">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w:t>
      </w:r>
      <w:r w:rsidRPr="00C94107">
        <w:rPr>
          <w:rFonts w:ascii="Verdana" w:hAnsi="Verdana" w:cs="Arial"/>
          <w:bCs/>
          <w:lang w:val="es-ES" w:eastAsia="es-ES" w:bidi="es-ES"/>
        </w:rPr>
        <w:t>Entidades</w:t>
      </w:r>
      <w:r w:rsidRPr="0041694B">
        <w:rPr>
          <w:rFonts w:ascii="Verdana" w:hAnsi="Verdana" w:cs="Arial"/>
          <w:bCs/>
          <w:lang w:val="es-ES" w:eastAsia="es-ES" w:bidi="es-ES"/>
        </w:rPr>
        <w:t xml:space="preserve"> en los pliegos de condiciones o sus documentos equivalentes deberán tener en cuenta, entre otras cuestiones, </w:t>
      </w:r>
      <w:r>
        <w:rPr>
          <w:rFonts w:ascii="Verdana" w:hAnsi="Verdana" w:cs="Arial"/>
          <w:bCs/>
          <w:lang w:val="es-ES" w:eastAsia="es-ES" w:bidi="es-ES"/>
        </w:rPr>
        <w:t xml:space="preserve">el deber de selección objetiva, según </w:t>
      </w:r>
      <w:r w:rsidRPr="0041694B">
        <w:rPr>
          <w:rFonts w:ascii="Verdana" w:hAnsi="Verdana" w:cs="Arial"/>
          <w:bCs/>
          <w:lang w:val="es-ES" w:eastAsia="es-ES" w:bidi="es-ES"/>
        </w:rPr>
        <w:t xml:space="preserve">los criterios establecidos en dicha disposición. </w:t>
      </w:r>
    </w:p>
    <w:p w14:paraId="2604639F" w14:textId="77777777" w:rsidR="00BD716E" w:rsidRDefault="00BD716E" w:rsidP="00BD716E">
      <w:pPr>
        <w:spacing w:after="120" w:line="276" w:lineRule="auto"/>
        <w:ind w:firstLine="708"/>
        <w:jc w:val="both"/>
        <w:rPr>
          <w:rFonts w:ascii="Verdana" w:hAnsi="Verdana" w:cs="Arial"/>
          <w:bCs/>
          <w:lang w:val="es-ES" w:eastAsia="es-ES" w:bidi="es-ES"/>
        </w:rPr>
      </w:pPr>
      <w:r>
        <w:rPr>
          <w:rFonts w:ascii="Verdana" w:hAnsi="Verdana" w:cs="Arial"/>
          <w:bCs/>
          <w:lang w:val="es-ES" w:eastAsia="es-ES" w:bidi="es-ES"/>
        </w:rPr>
        <w:t xml:space="preserve">En especial, señala la Ley que los criterios habilitantes que determine la </w:t>
      </w:r>
      <w:r w:rsidRPr="00C94107">
        <w:rPr>
          <w:rFonts w:ascii="Verdana" w:hAnsi="Verdana" w:cs="Arial"/>
          <w:bCs/>
          <w:lang w:val="es-ES" w:eastAsia="es-ES" w:bidi="es-ES"/>
        </w:rPr>
        <w:t>Entidad</w:t>
      </w:r>
      <w:r>
        <w:rPr>
          <w:rFonts w:ascii="Verdana" w:hAnsi="Verdana" w:cs="Arial"/>
          <w:bCs/>
          <w:lang w:val="es-ES" w:eastAsia="es-ES" w:bidi="es-ES"/>
        </w:rPr>
        <w:t xml:space="preserve"> </w:t>
      </w:r>
      <w:r w:rsidRPr="00266285">
        <w:rPr>
          <w:rFonts w:ascii="Verdana" w:hAnsi="Verdana" w:cs="Arial"/>
          <w:bCs/>
          <w:lang w:val="es-ES" w:eastAsia="es-ES" w:bidi="es-ES"/>
        </w:rPr>
        <w:t xml:space="preserve">deberán ser </w:t>
      </w:r>
      <w:r w:rsidRPr="00266285">
        <w:rPr>
          <w:rFonts w:ascii="Verdana" w:hAnsi="Verdana" w:cs="Arial"/>
          <w:bCs/>
          <w:i/>
          <w:iCs/>
          <w:lang w:val="es-ES" w:eastAsia="es-ES" w:bidi="es-ES"/>
        </w:rPr>
        <w:t xml:space="preserve">adecuados y </w:t>
      </w:r>
      <w:proofErr w:type="gramStart"/>
      <w:r w:rsidRPr="00266285">
        <w:rPr>
          <w:rFonts w:ascii="Verdana" w:hAnsi="Verdana" w:cs="Arial"/>
          <w:bCs/>
          <w:i/>
          <w:iCs/>
          <w:lang w:val="es-ES" w:eastAsia="es-ES" w:bidi="es-ES"/>
        </w:rPr>
        <w:t>proporcionales</w:t>
      </w:r>
      <w:proofErr w:type="gramEnd"/>
      <w:r w:rsidRPr="00266285">
        <w:rPr>
          <w:rFonts w:ascii="Verdana" w:hAnsi="Verdana" w:cs="Arial"/>
          <w:bCs/>
          <w:lang w:val="es-ES" w:eastAsia="es-ES" w:bidi="es-ES"/>
        </w:rPr>
        <w:t xml:space="preserve"> a la naturaleza del contrato a suscribir y a su valor. De esta manera, las condiciones habilitantes que no resulten adecuadas para determinar la idoneidad o capacidad del proponente </w:t>
      </w:r>
      <w:r w:rsidRPr="00266285">
        <w:rPr>
          <w:rFonts w:ascii="Verdana" w:hAnsi="Verdana" w:cs="Arial"/>
          <w:bCs/>
          <w:lang w:val="es-ES" w:eastAsia="es-ES" w:bidi="es-ES"/>
        </w:rPr>
        <w:lastRenderedPageBreak/>
        <w:t>para cumplir con el objeto del contrato, o que sean desproporcionados frente a este, serán contrarias al deber de selección objetiva.</w:t>
      </w:r>
    </w:p>
    <w:p w14:paraId="116E9133" w14:textId="77777777" w:rsidR="00BD716E" w:rsidRPr="00C94107" w:rsidRDefault="00BD716E" w:rsidP="00BD716E">
      <w:pPr>
        <w:spacing w:before="120" w:after="12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 xml:space="preserve">En línea con lo anterior, </w:t>
      </w:r>
      <w:r w:rsidRPr="001A4E79">
        <w:rPr>
          <w:rFonts w:ascii="Verdana" w:eastAsia="Times New Roman" w:hAnsi="Verdana" w:cs="Arial"/>
          <w:lang w:val="es-ES" w:eastAsia="es-MX"/>
        </w:rPr>
        <w:t xml:space="preserve">el </w:t>
      </w:r>
      <w:bookmarkStart w:id="6" w:name="_Hlk191627190"/>
      <w:r>
        <w:rPr>
          <w:rFonts w:ascii="Verdana" w:eastAsia="Times New Roman" w:hAnsi="Verdana" w:cs="Arial"/>
          <w:lang w:val="es-ES" w:eastAsia="es-MX"/>
        </w:rPr>
        <w:t>“</w:t>
      </w:r>
      <w:r w:rsidRPr="001A4E79">
        <w:rPr>
          <w:rFonts w:ascii="Verdana" w:eastAsia="Times New Roman" w:hAnsi="Verdana" w:cs="Arial"/>
          <w:lang w:val="es-ES" w:eastAsia="es-MX"/>
        </w:rPr>
        <w:t>Manual para determinar y verificar los requisitos habilitantes en los Procesos de Contratación</w:t>
      </w:r>
      <w:bookmarkEnd w:id="6"/>
      <w:r w:rsidRPr="00C94107">
        <w:rPr>
          <w:rFonts w:ascii="Verdana" w:eastAsia="Times New Roman" w:hAnsi="Verdana" w:cs="Arial"/>
          <w:lang w:val="es-ES" w:eastAsia="es-MX"/>
        </w:rPr>
        <w:t>”</w:t>
      </w:r>
      <w:r w:rsidRPr="00C94107">
        <w:rPr>
          <w:rStyle w:val="Refdenotaalpie"/>
          <w:rFonts w:ascii="Verdana" w:eastAsia="Times New Roman" w:hAnsi="Verdana" w:cs="Arial"/>
          <w:lang w:val="es-ES" w:eastAsia="es-MX"/>
        </w:rPr>
        <w:footnoteReference w:id="3"/>
      </w:r>
      <w:r w:rsidRPr="00C94107">
        <w:rPr>
          <w:rFonts w:ascii="Verdana" w:eastAsia="Calibri" w:hAnsi="Verdana" w:cs="Arial"/>
          <w:lang w:val="es-ES" w:eastAsia="es-MX"/>
        </w:rPr>
        <w:t>,</w:t>
      </w:r>
      <w:r w:rsidRPr="001A4E79">
        <w:rPr>
          <w:rFonts w:ascii="Verdana" w:eastAsia="Times New Roman" w:hAnsi="Verdana" w:cs="Arial"/>
          <w:lang w:val="es-ES" w:eastAsia="es-MX"/>
        </w:rPr>
        <w:t xml:space="preserve"> expedido por la </w:t>
      </w:r>
      <w:r w:rsidRPr="001A4E79">
        <w:rPr>
          <w:rFonts w:ascii="Verdana" w:eastAsia="Calibri" w:hAnsi="Verdana" w:cs="Arial"/>
          <w:lang w:val="es-ES" w:eastAsia="es-MX"/>
        </w:rPr>
        <w:t>Agencia Nacional de Contratación Pública – Colombia Compra Eficiente</w:t>
      </w:r>
      <w:r>
        <w:rPr>
          <w:rFonts w:ascii="Verdana" w:eastAsia="Calibri" w:hAnsi="Verdana" w:cs="Arial"/>
          <w:lang w:val="es-ES" w:eastAsia="es-MX"/>
        </w:rPr>
        <w:t>,</w:t>
      </w:r>
      <w:r w:rsidRPr="001A4E79">
        <w:rPr>
          <w:rFonts w:ascii="Verdana" w:eastAsia="Times New Roman" w:hAnsi="Verdana" w:cs="Arial"/>
          <w:lang w:val="es-ES" w:eastAsia="es-MX"/>
        </w:rPr>
        <w:t xml:space="preserve"> determin</w:t>
      </w:r>
      <w:r>
        <w:rPr>
          <w:rFonts w:ascii="Verdana" w:eastAsia="Times New Roman" w:hAnsi="Verdana" w:cs="Arial"/>
          <w:lang w:val="es-ES" w:eastAsia="es-MX"/>
        </w:rPr>
        <w:t>ó</w:t>
      </w:r>
      <w:r w:rsidRPr="001A4E79">
        <w:rPr>
          <w:rFonts w:ascii="Verdana" w:eastAsia="Times New Roman" w:hAnsi="Verdana" w:cs="Arial"/>
          <w:lang w:val="es-ES" w:eastAsia="es-MX"/>
        </w:rPr>
        <w:t xml:space="preserve"> los parámetros para establecer, acreditar y subsanar los requisitos habilitantes. </w:t>
      </w:r>
      <w:r>
        <w:rPr>
          <w:rFonts w:ascii="Verdana" w:eastAsia="Times New Roman" w:hAnsi="Verdana" w:cs="Arial"/>
          <w:lang w:val="es-ES" w:eastAsia="es-MX"/>
        </w:rPr>
        <w:t xml:space="preserve">Al respecto, precisa </w:t>
      </w:r>
      <w:r w:rsidRPr="001A4E79">
        <w:rPr>
          <w:rFonts w:ascii="Verdana" w:eastAsia="Times New Roman" w:hAnsi="Verdana" w:cs="Arial"/>
          <w:lang w:val="es-ES" w:eastAsia="es-MX"/>
        </w:rPr>
        <w:t xml:space="preserve">que estos tienen como fin primordial medir </w:t>
      </w:r>
      <w:r>
        <w:rPr>
          <w:rFonts w:ascii="Verdana" w:eastAsia="Times New Roman" w:hAnsi="Verdana" w:cs="Arial"/>
          <w:lang w:val="es-ES" w:eastAsia="es-MX"/>
        </w:rPr>
        <w:t>“</w:t>
      </w:r>
      <w:bookmarkStart w:id="7" w:name="_Hlk191627260"/>
      <w:r w:rsidRPr="001A4E79">
        <w:rPr>
          <w:rFonts w:ascii="Verdana" w:eastAsia="Times New Roman" w:hAnsi="Verdana" w:cs="Arial"/>
          <w:lang w:val="es-ES" w:eastAsia="es-MX"/>
        </w:rPr>
        <w:t>la aptitud del proponente para participar en un Proceso de Contratación como oferente y están referidos a su capacidad jurídica, financiera, organizacional y su experiencia</w:t>
      </w:r>
      <w:r>
        <w:rPr>
          <w:rFonts w:ascii="Verdana" w:eastAsia="Times New Roman" w:hAnsi="Verdana" w:cs="Arial"/>
          <w:lang w:val="es-ES" w:eastAsia="es-MX"/>
        </w:rPr>
        <w:t>”</w:t>
      </w:r>
      <w:r w:rsidRPr="001A4E79">
        <w:rPr>
          <w:rFonts w:ascii="Verdana" w:eastAsia="Times New Roman" w:hAnsi="Verdana" w:cs="Arial"/>
          <w:lang w:val="es-ES" w:eastAsia="es-MX"/>
        </w:rPr>
        <w:t xml:space="preserve">. </w:t>
      </w:r>
      <w:bookmarkEnd w:id="7"/>
      <w:r w:rsidRPr="001A4E79">
        <w:rPr>
          <w:rFonts w:ascii="Verdana" w:eastAsia="Times New Roman" w:hAnsi="Verdana" w:cs="Arial"/>
          <w:lang w:val="es-ES" w:eastAsia="es-MX"/>
        </w:rPr>
        <w:t xml:space="preserve">De acuerdo con el Manual, su propósito consiste en </w:t>
      </w:r>
      <w:r>
        <w:rPr>
          <w:rFonts w:ascii="Verdana" w:eastAsia="Times New Roman" w:hAnsi="Verdana" w:cs="Arial"/>
          <w:lang w:val="es-ES" w:eastAsia="es-MX"/>
        </w:rPr>
        <w:t>“</w:t>
      </w:r>
      <w:r w:rsidRPr="001A4E79">
        <w:rPr>
          <w:rFonts w:ascii="Verdana" w:eastAsia="Times New Roman" w:hAnsi="Verdana" w:cs="Arial"/>
          <w:lang w:val="es-ES" w:eastAsia="es-MX"/>
        </w:rPr>
        <w:t>establecer unas condiciones mínimas para los proponentes de tal manera que la Entidad Estatal sólo evalúe las ofertas de aquellos que están en condiciones de cumplir con el objeto del Proceso de Contratación</w:t>
      </w:r>
      <w:r>
        <w:rPr>
          <w:rFonts w:ascii="Verdana" w:eastAsia="Times New Roman" w:hAnsi="Verdana" w:cs="Arial"/>
          <w:lang w:val="es-ES" w:eastAsia="es-MX"/>
        </w:rPr>
        <w:t>”</w:t>
      </w:r>
      <w:r w:rsidRPr="001A4E79">
        <w:rPr>
          <w:rFonts w:ascii="Verdana" w:eastAsia="Times New Roman" w:hAnsi="Verdana" w:cs="Arial"/>
          <w:lang w:val="es-ES" w:eastAsia="es-MX"/>
        </w:rPr>
        <w:t xml:space="preserve">. </w:t>
      </w:r>
    </w:p>
    <w:p w14:paraId="59C4FB1C" w14:textId="77777777" w:rsidR="00BD716E" w:rsidRPr="001A4E79" w:rsidRDefault="00BD716E" w:rsidP="00BD716E">
      <w:pPr>
        <w:spacing w:before="120" w:after="120" w:line="276" w:lineRule="auto"/>
        <w:ind w:firstLine="708"/>
        <w:jc w:val="both"/>
        <w:rPr>
          <w:rFonts w:ascii="Verdana" w:eastAsia="Times New Roman" w:hAnsi="Verdana" w:cs="Arial"/>
          <w:lang w:val="es-ES" w:eastAsia="es-MX"/>
        </w:rPr>
      </w:pPr>
      <w:r w:rsidRPr="001A4E79">
        <w:rPr>
          <w:rFonts w:ascii="Verdana" w:eastAsia="Times New Roman" w:hAnsi="Verdana" w:cs="Arial"/>
          <w:lang w:val="es-ES" w:eastAsia="es-MX"/>
        </w:rPr>
        <w:t xml:space="preserve">Así las cosas, al tratarse de condiciones mínimas, significa que </w:t>
      </w:r>
      <w:bookmarkStart w:id="8" w:name="_Hlk191627287"/>
      <w:r w:rsidRPr="001A4E79">
        <w:rPr>
          <w:rFonts w:ascii="Verdana" w:eastAsia="Times New Roman" w:hAnsi="Verdana" w:cs="Arial"/>
          <w:lang w:val="es-ES" w:eastAsia="es-MX"/>
        </w:rPr>
        <w:t xml:space="preserve">las </w:t>
      </w:r>
      <w:r w:rsidRPr="00C94107">
        <w:rPr>
          <w:rFonts w:ascii="Verdana" w:eastAsia="Times New Roman" w:hAnsi="Verdana" w:cs="Arial"/>
          <w:lang w:val="es-ES" w:eastAsia="es-MX"/>
        </w:rPr>
        <w:t>Entidades</w:t>
      </w:r>
      <w:r w:rsidRPr="001A4E79">
        <w:rPr>
          <w:rFonts w:ascii="Verdana" w:eastAsia="Times New Roman" w:hAnsi="Verdana" w:cs="Arial"/>
          <w:lang w:val="es-ES" w:eastAsia="es-MX"/>
        </w:rPr>
        <w:t xml:space="preserve"> podrían establecer otras, según su autonomía de la voluntad, y teniendo en cuenta el objeto del contrato, los riesgos detectados en los estudios previos, el presupuesto oficial, entre otros factores.</w:t>
      </w:r>
      <w:r>
        <w:rPr>
          <w:rFonts w:ascii="Verdana" w:eastAsia="Times New Roman" w:hAnsi="Verdana" w:cs="Arial"/>
          <w:lang w:val="es-ES" w:eastAsia="es-MX"/>
        </w:rPr>
        <w:t xml:space="preserve"> Sin embargo, esto no implica que las Entidades puedan establecer cualquier tipo de requisitos, pues su exigencia debe en todo caso ser </w:t>
      </w:r>
      <w:r w:rsidRPr="00810146">
        <w:rPr>
          <w:rFonts w:ascii="Verdana" w:eastAsia="Times New Roman" w:hAnsi="Verdana" w:cs="Arial"/>
          <w:i/>
          <w:lang w:val="es-ES" w:eastAsia="es-MX"/>
        </w:rPr>
        <w:t>proporcional y adecuada</w:t>
      </w:r>
      <w:r>
        <w:rPr>
          <w:rFonts w:ascii="Verdana" w:eastAsia="Times New Roman" w:hAnsi="Verdana" w:cs="Arial"/>
          <w:lang w:val="es-ES" w:eastAsia="es-MX"/>
        </w:rPr>
        <w:t xml:space="preserve"> frente a la naturaleza y el valor del contrato.</w:t>
      </w:r>
    </w:p>
    <w:p w14:paraId="74E25A1A" w14:textId="77777777" w:rsidR="00BD716E" w:rsidRDefault="00BD716E" w:rsidP="00BD716E">
      <w:pPr>
        <w:tabs>
          <w:tab w:val="left" w:pos="426"/>
        </w:tabs>
        <w:spacing w:before="120" w:after="0" w:line="276" w:lineRule="auto"/>
        <w:ind w:firstLine="709"/>
        <w:jc w:val="both"/>
        <w:rPr>
          <w:rFonts w:ascii="Verdana" w:eastAsia="Times New Roman" w:hAnsi="Verdana" w:cs="Arial"/>
          <w:lang w:val="es-ES_tradnl" w:eastAsia="es-MX"/>
        </w:rPr>
      </w:pPr>
      <w:bookmarkStart w:id="9" w:name="_Hlk99548027"/>
      <w:bookmarkEnd w:id="8"/>
      <w:r w:rsidRPr="001A4E79">
        <w:rPr>
          <w:rFonts w:ascii="Verdana" w:eastAsia="Times New Roman" w:hAnsi="Verdana" w:cs="Arial"/>
          <w:lang w:val="es-ES_tradnl" w:eastAsia="es-MX"/>
        </w:rPr>
        <w:t xml:space="preserve">En ese sentido, </w:t>
      </w:r>
      <w:bookmarkStart w:id="10" w:name="_Hlk191627322"/>
      <w:r w:rsidRPr="001A4E79">
        <w:rPr>
          <w:rFonts w:ascii="Verdana" w:eastAsia="Times New Roman" w:hAnsi="Verdana" w:cs="Arial"/>
          <w:lang w:val="es-ES_tradnl" w:eastAsia="es-MX"/>
        </w:rPr>
        <w:t xml:space="preserve">si bien </w:t>
      </w:r>
      <w:r w:rsidRPr="001A4E79">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1A4E79">
        <w:rPr>
          <w:rFonts w:ascii="Verdana" w:eastAsia="Times New Roman" w:hAnsi="Verdana" w:cs="Arial"/>
          <w:lang w:val="es-ES_tradnl" w:eastAsia="es-MX"/>
        </w:rPr>
        <w:t xml:space="preserve">En consecuencia, corresponde a las Entidades Estatales, durante la etapa de planeación del contrato estatal, estudiar y </w:t>
      </w:r>
      <w:r w:rsidRPr="001A4E79">
        <w:rPr>
          <w:rFonts w:ascii="Verdana" w:eastAsia="Times New Roman" w:hAnsi="Verdana" w:cs="Arial"/>
          <w:bCs/>
          <w:iCs/>
          <w:lang w:val="es-ES_tradnl" w:eastAsia="es-MX"/>
        </w:rPr>
        <w:t>determinar</w:t>
      </w:r>
      <w:r w:rsidRPr="001A4E79">
        <w:rPr>
          <w:rFonts w:ascii="Verdana" w:eastAsia="Times New Roman" w:hAnsi="Verdana" w:cs="Arial"/>
          <w:lang w:val="es-ES_tradnl" w:eastAsia="es-MX"/>
        </w:rPr>
        <w:t xml:space="preserve"> los requisitos habilitantes que establecerán en los pliegos de condiciones</w:t>
      </w:r>
      <w:r w:rsidRPr="00C94107">
        <w:rPr>
          <w:rFonts w:ascii="Verdana" w:eastAsia="Times New Roman" w:hAnsi="Verdana" w:cs="Arial"/>
          <w:lang w:val="es-ES_tradnl" w:eastAsia="es-MX"/>
        </w:rPr>
        <w:t xml:space="preserve"> o documentos equivalentes</w:t>
      </w:r>
      <w:r w:rsidRPr="001A4E79">
        <w:rPr>
          <w:rFonts w:ascii="Verdana" w:eastAsia="Times New Roman" w:hAnsi="Verdana" w:cs="Arial"/>
          <w:lang w:val="es-ES_tradnl" w:eastAsia="es-MX"/>
        </w:rPr>
        <w:t xml:space="preserve">, </w:t>
      </w:r>
      <w:r w:rsidRPr="00987A26">
        <w:rPr>
          <w:rFonts w:ascii="Verdana" w:eastAsia="Times New Roman" w:hAnsi="Verdana" w:cs="Arial"/>
          <w:i/>
          <w:iCs/>
          <w:lang w:val="es-ES_tradnl" w:eastAsia="es-MX"/>
        </w:rPr>
        <w:t>los cuales deben fijarse de forma adecuada y proporcional</w:t>
      </w:r>
      <w:r w:rsidRPr="001A4E79">
        <w:rPr>
          <w:rFonts w:ascii="Verdana" w:eastAsia="Times New Roman" w:hAnsi="Verdana" w:cs="Arial"/>
          <w:lang w:val="es-ES_tradnl" w:eastAsia="es-MX"/>
        </w:rPr>
        <w:t xml:space="preserve">. </w:t>
      </w:r>
      <w:bookmarkEnd w:id="9"/>
      <w:bookmarkEnd w:id="10"/>
      <w:r w:rsidRPr="001A4E79">
        <w:rPr>
          <w:rFonts w:ascii="Verdana" w:eastAsia="Times New Roman" w:hAnsi="Verdana" w:cs="Arial"/>
          <w:lang w:val="es-ES_tradnl" w:eastAsia="es-MX"/>
        </w:rPr>
        <w:t>Al respecto, en la Sentencia C-004 de 2017, la Corte Constitucional señaló que</w:t>
      </w:r>
      <w:r>
        <w:rPr>
          <w:rFonts w:ascii="Verdana" w:eastAsia="Times New Roman" w:hAnsi="Verdana" w:cs="Arial"/>
          <w:lang w:val="es-ES_tradnl" w:eastAsia="es-MX"/>
        </w:rPr>
        <w:t>:</w:t>
      </w:r>
    </w:p>
    <w:p w14:paraId="2AA79E18" w14:textId="77777777" w:rsidR="00BD716E" w:rsidRPr="00C94107" w:rsidRDefault="00BD716E" w:rsidP="00BD716E">
      <w:pPr>
        <w:tabs>
          <w:tab w:val="left" w:pos="426"/>
        </w:tabs>
        <w:spacing w:after="0" w:line="276" w:lineRule="auto"/>
        <w:ind w:firstLine="709"/>
        <w:jc w:val="both"/>
        <w:rPr>
          <w:rFonts w:ascii="Verdana" w:eastAsia="Times New Roman" w:hAnsi="Verdana" w:cs="Arial"/>
          <w:lang w:val="es-ES_tradnl" w:eastAsia="es-MX"/>
        </w:rPr>
      </w:pPr>
    </w:p>
    <w:p w14:paraId="7B68C1ED" w14:textId="77777777" w:rsidR="00BD716E" w:rsidRPr="00C94107" w:rsidRDefault="00BD716E" w:rsidP="00BD716E">
      <w:pPr>
        <w:spacing w:after="0" w:line="240" w:lineRule="auto"/>
        <w:ind w:left="709" w:right="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t xml:space="preserve">“[l]a determinación de dichas condiciones habilitantes para participar, es competencia de la entidad que planee la celebración del contrato, a través de la valoración en concreto de las características mínimas de idoneidad, </w:t>
      </w:r>
      <w:r w:rsidRPr="00810146">
        <w:rPr>
          <w:rFonts w:ascii="Verdana" w:hAnsi="Verdana" w:cs="Arial"/>
          <w:sz w:val="20"/>
          <w:szCs w:val="20"/>
          <w:lang w:val="es-ES_tradnl" w:eastAsia="es-ES" w:bidi="es-ES"/>
        </w:rPr>
        <w:lastRenderedPageBreak/>
        <w:t>experiencia, capacidad jurídica y financiera para que la realización del objeto contractual resulte eficiente y eficaz frente a la necesidad identificada”.</w:t>
      </w:r>
    </w:p>
    <w:p w14:paraId="7CE49EAD" w14:textId="77777777" w:rsidR="00BD716E" w:rsidRPr="00810146" w:rsidRDefault="00BD716E" w:rsidP="00BD716E">
      <w:pPr>
        <w:spacing w:after="0" w:line="276" w:lineRule="auto"/>
        <w:ind w:left="709" w:right="709"/>
        <w:jc w:val="both"/>
        <w:rPr>
          <w:rFonts w:ascii="Verdana" w:hAnsi="Verdana" w:cs="Arial"/>
          <w:bCs/>
          <w:lang w:val="es-ES_tradnl" w:eastAsia="es-ES" w:bidi="es-ES"/>
        </w:rPr>
      </w:pPr>
    </w:p>
    <w:p w14:paraId="69A83D2B" w14:textId="77777777" w:rsidR="00BD716E" w:rsidRPr="001A4E79" w:rsidRDefault="00BD716E" w:rsidP="00BD716E">
      <w:pPr>
        <w:tabs>
          <w:tab w:val="left" w:pos="426"/>
        </w:tabs>
        <w:spacing w:after="120" w:line="276" w:lineRule="auto"/>
        <w:ind w:firstLine="709"/>
        <w:jc w:val="both"/>
        <w:rPr>
          <w:rFonts w:ascii="Verdana" w:eastAsia="Times New Roman" w:hAnsi="Verdana" w:cs="Arial"/>
          <w:lang w:val="es-ES_tradnl" w:eastAsia="es-MX"/>
        </w:rPr>
      </w:pPr>
      <w:r w:rsidRPr="001A4E79">
        <w:rPr>
          <w:rFonts w:ascii="Verdana" w:eastAsia="Times New Roman" w:hAnsi="Verdana" w:cs="Arial"/>
          <w:lang w:val="es-ES_tradnl" w:eastAsia="es-MX"/>
        </w:rPr>
        <w:t xml:space="preserve">El </w:t>
      </w:r>
      <w:bookmarkStart w:id="11" w:name="_Hlk191627359"/>
      <w:r w:rsidRPr="001A4E79">
        <w:rPr>
          <w:rFonts w:ascii="Verdana" w:eastAsia="Times New Roman" w:hAnsi="Verdana" w:cs="Arial"/>
          <w:lang w:val="es-ES_tradnl" w:eastAsia="es-MX"/>
        </w:rPr>
        <w:t>Decreto 1082 de 2015 en su artículo 2.2.1.1.1.6.2</w:t>
      </w:r>
      <w:r w:rsidRPr="00C94107">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w:t>
      </w:r>
      <w:bookmarkEnd w:id="11"/>
      <w:r w:rsidRPr="001A4E79">
        <w:rPr>
          <w:rFonts w:ascii="Verdana" w:eastAsia="Times New Roman" w:hAnsi="Verdana" w:cs="Arial"/>
          <w:lang w:val="es-ES_tradnl" w:eastAsia="es-MX"/>
        </w:rPr>
        <w:t>reglamenta los requisitos habilitantes, estableciendo que estos deben ser señalados en los pliegos de condiciones o en la invitación</w:t>
      </w:r>
      <w:r w:rsidRPr="001A4E79">
        <w:rPr>
          <w:rStyle w:val="Refdenotaalpie"/>
          <w:rFonts w:ascii="Verdana" w:eastAsia="Times New Roman" w:hAnsi="Verdana" w:cs="Arial"/>
          <w:lang w:val="es-ES_tradnl" w:eastAsia="es-MX"/>
        </w:rPr>
        <w:footnoteReference w:id="4"/>
      </w:r>
      <w:r w:rsidRPr="001A4E79">
        <w:rPr>
          <w:rFonts w:ascii="Verdana" w:eastAsia="Times New Roman" w:hAnsi="Verdana" w:cs="Arial"/>
          <w:lang w:val="es-ES_tradnl" w:eastAsia="es-MX"/>
        </w:rPr>
        <w:t xml:space="preserve">, lo cual es concordante con el </w:t>
      </w:r>
      <w:bookmarkStart w:id="12" w:name="_Hlk191627380"/>
      <w:r w:rsidRPr="001A4E79">
        <w:rPr>
          <w:rFonts w:ascii="Verdana" w:eastAsia="Times New Roman" w:hAnsi="Verdana" w:cs="Arial"/>
          <w:lang w:val="es-ES_tradnl" w:eastAsia="es-MX"/>
        </w:rPr>
        <w:t>numeral 5 del artículo 2.2.1.1.2.1.3</w:t>
      </w:r>
      <w:bookmarkEnd w:id="12"/>
      <w:r w:rsidRPr="001A4E79">
        <w:rPr>
          <w:rFonts w:ascii="Verdana" w:eastAsia="Times New Roman" w:hAnsi="Verdana" w:cs="Arial"/>
          <w:lang w:val="es-ES_tradnl" w:eastAsia="es-MX"/>
        </w:rPr>
        <w:t>, en el que se establece como uno de los componentes mínimos de los pliegos de condiciones</w:t>
      </w:r>
      <w:r w:rsidRPr="001A4E79">
        <w:rPr>
          <w:rFonts w:ascii="Verdana" w:hAnsi="Verdana" w:cs="Arial"/>
          <w:color w:val="000000"/>
        </w:rPr>
        <w:t xml:space="preserve"> a las reglas aplicables a la presentación y evaluación de las ofertas, entre las que se inscriben las relativas a la acreditación de las condiciones habilitantes. </w:t>
      </w:r>
      <w:r>
        <w:rPr>
          <w:rFonts w:ascii="Verdana" w:eastAsia="Times New Roman" w:hAnsi="Verdana" w:cs="Arial"/>
          <w:lang w:val="es-ES_tradnl" w:eastAsia="es-MX"/>
        </w:rPr>
        <w:t>A</w:t>
      </w:r>
      <w:r w:rsidRPr="001A4E79">
        <w:rPr>
          <w:rFonts w:ascii="Verdana" w:eastAsia="Times New Roman" w:hAnsi="Verdana" w:cs="Arial"/>
          <w:lang w:val="es-ES_tradnl" w:eastAsia="es-MX"/>
        </w:rPr>
        <w:t>demás</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el artículo 2.2.1.1.1.6.2 </w:t>
      </w:r>
      <w:r>
        <w:rPr>
          <w:rFonts w:ascii="Verdana" w:eastAsia="Times New Roman" w:hAnsi="Verdana" w:cs="Arial"/>
          <w:lang w:val="es-ES_tradnl" w:eastAsia="es-MX"/>
        </w:rPr>
        <w:t xml:space="preserve">establece </w:t>
      </w:r>
      <w:r w:rsidRPr="001A4E79">
        <w:rPr>
          <w:rFonts w:ascii="Verdana" w:eastAsia="Times New Roman" w:hAnsi="Verdana" w:cs="Arial"/>
          <w:lang w:val="es-ES_tradnl" w:eastAsia="es-MX"/>
        </w:rPr>
        <w:t xml:space="preserve">que la determinación de los requisitos habilitantes debe ser realizada en función de criterios </w:t>
      </w:r>
      <w:r w:rsidRPr="00987A26">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1A4E79">
        <w:rPr>
          <w:rFonts w:ascii="Verdana" w:eastAsia="Times New Roman" w:hAnsi="Verdana" w:cs="Arial"/>
          <w:lang w:val="es-ES_tradnl" w:eastAsia="es-MX"/>
        </w:rPr>
        <w:t xml:space="preserve">. </w:t>
      </w:r>
    </w:p>
    <w:p w14:paraId="763F913B" w14:textId="77777777" w:rsidR="00BD716E" w:rsidRPr="00C94107" w:rsidRDefault="00BD716E" w:rsidP="00BD716E">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los mismos resulten requisitos que permitan medir la aptitud de los oferentes para cumplir con el </w:t>
      </w:r>
      <w:r w:rsidRPr="00C94107">
        <w:rPr>
          <w:rFonts w:ascii="Verdana" w:eastAsia="Times New Roman" w:hAnsi="Verdana" w:cs="Arial"/>
          <w:lang w:val="es-ES" w:eastAsia="es-MX"/>
        </w:rPr>
        <w:lastRenderedPageBreak/>
        <w:t>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5"/>
      </w:r>
      <w:r w:rsidRPr="00C94107">
        <w:rPr>
          <w:rFonts w:ascii="Verdana" w:eastAsia="Times New Roman" w:hAnsi="Verdana" w:cs="Arial"/>
          <w:lang w:val="es-ES" w:eastAsia="es-MX"/>
        </w:rPr>
        <w:t xml:space="preserve">. </w:t>
      </w:r>
    </w:p>
    <w:p w14:paraId="7FB372E0" w14:textId="77777777" w:rsidR="00BD716E" w:rsidRPr="00C94107" w:rsidRDefault="00BD716E" w:rsidP="00BD716E">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eastAsia="es-MX"/>
        </w:rPr>
        <w:t xml:space="preserve">Que deban ser </w:t>
      </w:r>
      <w:r w:rsidRPr="00C94107">
        <w:rPr>
          <w:rFonts w:ascii="Verdana" w:eastAsia="Times New Roman" w:hAnsi="Verdana" w:cs="Arial"/>
          <w:i/>
          <w:iCs/>
          <w:lang w:eastAsia="es-MX"/>
        </w:rPr>
        <w:t>adecuados</w:t>
      </w:r>
      <w:r w:rsidRPr="00C94107">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C94107">
        <w:rPr>
          <w:rFonts w:ascii="Verdana" w:eastAsia="Times New Roman" w:hAnsi="Verdana" w:cs="Arial"/>
          <w:i/>
          <w:iCs/>
          <w:lang w:eastAsia="es-MX"/>
        </w:rPr>
        <w:t>proporcionales</w:t>
      </w:r>
      <w:r w:rsidRPr="00C94107">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810146">
        <w:rPr>
          <w:rFonts w:ascii="Verdana" w:eastAsia="Times New Roman" w:hAnsi="Verdana" w:cs="Arial"/>
          <w:i/>
          <w:iCs/>
          <w:lang w:eastAsia="es-MX"/>
        </w:rPr>
        <w:t>no limiten la participación</w:t>
      </w:r>
      <w:r>
        <w:rPr>
          <w:rFonts w:ascii="Verdana" w:eastAsia="Times New Roman" w:hAnsi="Verdana" w:cs="Arial"/>
          <w:i/>
          <w:iCs/>
          <w:lang w:eastAsia="es-MX"/>
        </w:rPr>
        <w:t xml:space="preserve"> o la libre concurrencia</w:t>
      </w:r>
      <w:r w:rsidRPr="00C94107">
        <w:rPr>
          <w:rFonts w:ascii="Verdana" w:eastAsia="Times New Roman" w:hAnsi="Verdana" w:cs="Arial"/>
          <w:lang w:eastAsia="es-MX"/>
        </w:rPr>
        <w:t xml:space="preserve"> en el proceso de selección significa que los requisitos establecidos no deben crear barreras injustificadas para el </w:t>
      </w:r>
      <w:r w:rsidRPr="00810146">
        <w:rPr>
          <w:rFonts w:ascii="Verdana" w:hAnsi="Verdana"/>
        </w:rPr>
        <w:t>acceso a la contratación pública de los oferentes</w:t>
      </w:r>
      <w:r w:rsidRPr="00C94107">
        <w:rPr>
          <w:rFonts w:ascii="Verdana" w:eastAsia="Times New Roman" w:hAnsi="Verdana" w:cs="Arial"/>
          <w:lang w:val="es-ES" w:eastAsia="es-MX"/>
        </w:rPr>
        <w:t xml:space="preserve"> interesados, promoviendo una mayor competencia. </w:t>
      </w:r>
    </w:p>
    <w:p w14:paraId="224AF1B0" w14:textId="77777777" w:rsidR="00BD716E" w:rsidRPr="00C94107" w:rsidRDefault="00BD716E" w:rsidP="00BD716E">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 </w:t>
      </w:r>
      <w:r w:rsidRPr="00C94107">
        <w:rPr>
          <w:rFonts w:ascii="Verdana" w:eastAsia="Times New Roman" w:hAnsi="Verdana" w:cs="Arial"/>
          <w:i/>
          <w:iCs/>
          <w:lang w:val="es-ES" w:eastAsia="es-MX"/>
        </w:rPr>
        <w:t>pero tal facultad no puede ejercerse de forma arbitraria, caprichosa y, mucho menos, con el ánimo de direccionar el proceso de contratación</w:t>
      </w:r>
      <w:r w:rsidRPr="00C94107">
        <w:rPr>
          <w:rFonts w:ascii="Verdana" w:eastAsia="Times New Roman" w:hAnsi="Verdana" w:cs="Arial"/>
          <w:lang w:val="es-ES" w:eastAsia="es-MX"/>
        </w:rPr>
        <w:t xml:space="preserve">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3026BF96" w14:textId="77777777" w:rsidR="00BD716E" w:rsidRPr="003D0085" w:rsidRDefault="00BD716E" w:rsidP="00BD716E">
      <w:pPr>
        <w:spacing w:after="120" w:line="276" w:lineRule="auto"/>
        <w:ind w:firstLine="708"/>
        <w:jc w:val="both"/>
        <w:rPr>
          <w:rFonts w:ascii="Verdana" w:hAnsi="Verdana" w:cs="Arial"/>
        </w:rPr>
      </w:pPr>
      <w:bookmarkStart w:id="14" w:name="_Hlk99548176"/>
      <w:r>
        <w:rPr>
          <w:rFonts w:ascii="Verdana" w:hAnsi="Verdana" w:cs="Arial"/>
        </w:rPr>
        <w:t xml:space="preserve">Ahora bien, </w:t>
      </w:r>
      <w:r w:rsidRPr="00C94107">
        <w:rPr>
          <w:rFonts w:ascii="Verdana" w:hAnsi="Verdana" w:cs="Arial"/>
        </w:rPr>
        <w:t>una vez fijados los requisitos habilitantes por la Entidad Estatal, quienes presenten ofertas deben acreditar que cumplen con los mismos, pues, en el evento contrario, las propuestas deberán ser rechazadas. E</w:t>
      </w:r>
      <w:r w:rsidRPr="003D0085">
        <w:rPr>
          <w:rFonts w:ascii="Verdana" w:hAnsi="Verdana" w:cs="Arial"/>
        </w:rPr>
        <w:t xml:space="preserve">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w:t>
      </w:r>
      <w:r w:rsidRPr="003D0085">
        <w:rPr>
          <w:rFonts w:ascii="Verdana" w:hAnsi="Verdana" w:cs="Arial"/>
        </w:rPr>
        <w:lastRenderedPageBreak/>
        <w:t>contiene</w:t>
      </w:r>
      <w:r w:rsidRPr="003D0085">
        <w:rPr>
          <w:rFonts w:ascii="Verdana" w:hAnsi="Verdana" w:cs="Arial"/>
          <w:vertAlign w:val="superscript"/>
        </w:rPr>
        <w:footnoteReference w:id="6"/>
      </w:r>
      <w:r w:rsidRPr="003D0085">
        <w:rPr>
          <w:rFonts w:ascii="Verdana" w:hAnsi="Verdana" w:cs="Arial"/>
        </w:rPr>
        <w:t xml:space="preserv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4"/>
    <w:p w14:paraId="59909E61" w14:textId="77777777" w:rsidR="00BD716E" w:rsidRDefault="00BD716E" w:rsidP="00BD716E">
      <w:pPr>
        <w:spacing w:after="120" w:line="276" w:lineRule="auto"/>
        <w:ind w:firstLine="708"/>
        <w:jc w:val="both"/>
        <w:rPr>
          <w:rFonts w:ascii="Verdana" w:hAnsi="Verdana" w:cs="Arial"/>
        </w:rPr>
      </w:pPr>
      <w:r w:rsidRPr="003D0085">
        <w:rPr>
          <w:rFonts w:ascii="Verdana" w:hAnsi="Verdana" w:cs="Arial"/>
        </w:rPr>
        <w:t xml:space="preserve">Dicha información debe tenerse en cuenta por las </w:t>
      </w:r>
      <w:r w:rsidRPr="00C94107">
        <w:rPr>
          <w:rFonts w:ascii="Verdana" w:hAnsi="Verdana" w:cs="Arial"/>
        </w:rPr>
        <w:t>Entidades</w:t>
      </w:r>
      <w:r w:rsidRPr="003D0085">
        <w:rPr>
          <w:rFonts w:ascii="Verdana" w:hAnsi="Verdana" w:cs="Arial"/>
        </w:rPr>
        <w:t xml:space="preserve"> en los </w:t>
      </w:r>
      <w:r w:rsidRPr="00C94107">
        <w:rPr>
          <w:rFonts w:ascii="Verdana" w:hAnsi="Verdana" w:cs="Arial"/>
        </w:rPr>
        <w:t>procedimientos</w:t>
      </w:r>
      <w:r w:rsidRPr="003D0085">
        <w:rPr>
          <w:rFonts w:ascii="Verdana" w:hAnsi="Verdana" w:cs="Arial"/>
        </w:rPr>
        <w:t xml:space="preserve"> de </w:t>
      </w:r>
      <w:r w:rsidRPr="00C94107">
        <w:rPr>
          <w:rFonts w:ascii="Verdana" w:hAnsi="Verdana" w:cs="Arial"/>
        </w:rPr>
        <w:t>contratación</w:t>
      </w:r>
      <w:r w:rsidRPr="003D0085">
        <w:rPr>
          <w:rFonts w:ascii="Verdana" w:hAnsi="Verdana" w:cs="Arial"/>
        </w:rPr>
        <w:t xml:space="preserve"> en los que es exigible el RUP</w:t>
      </w:r>
      <w:r w:rsidRPr="003D0085">
        <w:rPr>
          <w:rFonts w:ascii="Verdana" w:hAnsi="Verdana" w:cs="Arial"/>
          <w:vertAlign w:val="superscript"/>
        </w:rPr>
        <w:footnoteReference w:id="7"/>
      </w:r>
      <w:r w:rsidRPr="003D0085">
        <w:rPr>
          <w:rFonts w:ascii="Verdana" w:hAnsi="Verdana" w:cs="Arial"/>
        </w:rPr>
        <w:t>. Así las cosas,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3D0085">
        <w:rPr>
          <w:rFonts w:ascii="Verdana" w:hAnsi="Verdana" w:cs="Arial"/>
          <w:vertAlign w:val="superscript"/>
        </w:rPr>
        <w:footnoteReference w:id="8"/>
      </w:r>
      <w:r w:rsidRPr="003D0085">
        <w:rPr>
          <w:rFonts w:ascii="Verdana" w:hAnsi="Verdana" w:cs="Arial"/>
        </w:rPr>
        <w:t xml:space="preserve">. </w:t>
      </w:r>
    </w:p>
    <w:p w14:paraId="024AB3DC" w14:textId="31B71693" w:rsidR="008802A9" w:rsidRPr="00392E37" w:rsidRDefault="008802A9" w:rsidP="008802A9">
      <w:pPr>
        <w:spacing w:after="0" w:line="276" w:lineRule="auto"/>
        <w:ind w:firstLine="709"/>
        <w:contextualSpacing/>
        <w:jc w:val="both"/>
        <w:rPr>
          <w:rFonts w:ascii="Verdana" w:hAnsi="Verdana" w:cs="Arial"/>
          <w:b/>
          <w:lang w:val="es-ES" w:eastAsia="es-ES_tradnl"/>
        </w:rPr>
      </w:pPr>
      <w:r w:rsidRPr="00392E37">
        <w:rPr>
          <w:rFonts w:ascii="Verdana" w:hAnsi="Verdana" w:cs="Arial"/>
        </w:rPr>
        <w:t xml:space="preserve">De otro lado, el artículo 2.2.1.1.1.5.1. del Decreto 1082 de 2015 señala que las personas inscritas en el RUP </w:t>
      </w:r>
      <w:r w:rsidRPr="00392E37">
        <w:rPr>
          <w:rFonts w:ascii="Verdana" w:hAnsi="Verdana" w:cs="Arial"/>
          <w:i/>
          <w:iCs/>
        </w:rPr>
        <w:t>deben presentar la información para renovar su registro a más tardar el quinto día hábil del mes de abril de cada año</w:t>
      </w:r>
      <w:r w:rsidRPr="00392E37">
        <w:rPr>
          <w:rFonts w:ascii="Verdana" w:hAnsi="Verdana" w:cs="Arial"/>
        </w:rPr>
        <w:t>, de lo contrario cesan los efectos del RUP</w:t>
      </w:r>
      <w:r w:rsidRPr="00392E37">
        <w:rPr>
          <w:rStyle w:val="Refdenotaalpie"/>
          <w:rFonts w:ascii="Verdana" w:hAnsi="Verdana" w:cs="Arial"/>
        </w:rPr>
        <w:footnoteReference w:id="9"/>
      </w:r>
      <w:r>
        <w:rPr>
          <w:rFonts w:ascii="Verdana" w:hAnsi="Verdana" w:cs="Arial"/>
        </w:rPr>
        <w:t xml:space="preserve">. </w:t>
      </w:r>
      <w:r w:rsidRPr="00392E37">
        <w:rPr>
          <w:rFonts w:ascii="Verdana" w:hAnsi="Verdana" w:cs="Arial"/>
        </w:rPr>
        <w:t xml:space="preserve">El Consejo de Estado, en sentencia del 19 </w:t>
      </w:r>
      <w:r w:rsidRPr="00392E37">
        <w:rPr>
          <w:rFonts w:ascii="Verdana" w:hAnsi="Verdana" w:cs="Arial"/>
        </w:rPr>
        <w:lastRenderedPageBreak/>
        <w:t>de septiembre de 2019, señaló la finalidad de la renovación del RUP y las consecuencias de no hacerlo en el término previsto</w:t>
      </w:r>
      <w:r>
        <w:rPr>
          <w:rFonts w:ascii="Verdana" w:hAnsi="Verdana" w:cs="Arial"/>
        </w:rPr>
        <w:t>, así</w:t>
      </w:r>
      <w:r w:rsidRPr="00392E37">
        <w:rPr>
          <w:rFonts w:ascii="Verdana" w:hAnsi="Verdana" w:cs="Arial"/>
        </w:rPr>
        <w:t>:</w:t>
      </w:r>
    </w:p>
    <w:p w14:paraId="06E2A510" w14:textId="77777777" w:rsidR="008802A9" w:rsidRPr="00392E37" w:rsidRDefault="008802A9" w:rsidP="008802A9">
      <w:pPr>
        <w:spacing w:after="0" w:line="276" w:lineRule="auto"/>
        <w:contextualSpacing/>
        <w:jc w:val="both"/>
        <w:rPr>
          <w:rFonts w:ascii="Verdana" w:hAnsi="Verdana" w:cs="Arial"/>
        </w:rPr>
      </w:pPr>
    </w:p>
    <w:p w14:paraId="3FE31BC0" w14:textId="77777777" w:rsidR="008802A9" w:rsidRPr="007D7696" w:rsidRDefault="008802A9" w:rsidP="008802A9">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sz w:val="20"/>
          <w:szCs w:val="20"/>
          <w:lang w:val="es-ES"/>
        </w:rPr>
        <w:t>Al respecto, no puede perderse de vista que la finalidad principal de 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 del RUP, al margen de que con ese acto se nutra del registro de</w:t>
      </w:r>
      <w:r w:rsidRPr="007D7696">
        <w:rPr>
          <w:rFonts w:ascii="Verdana" w:eastAsia="Arial MT" w:hAnsi="Verdana" w:cs="Arial"/>
          <w:spacing w:val="-56"/>
          <w:sz w:val="20"/>
          <w:szCs w:val="20"/>
          <w:lang w:val="es-ES"/>
        </w:rPr>
        <w:t xml:space="preserve"> </w:t>
      </w:r>
      <w:r w:rsidRPr="007D7696">
        <w:rPr>
          <w:rFonts w:ascii="Verdana" w:eastAsia="Arial MT" w:hAnsi="Verdana" w:cs="Arial"/>
          <w:sz w:val="20"/>
          <w:szCs w:val="20"/>
          <w:lang w:val="es-ES"/>
        </w:rPr>
        <w:t>nueva</w:t>
      </w:r>
      <w:r w:rsidRPr="007D7696">
        <w:rPr>
          <w:rFonts w:ascii="Verdana" w:eastAsia="Arial MT" w:hAnsi="Verdana" w:cs="Arial"/>
          <w:spacing w:val="-6"/>
          <w:sz w:val="20"/>
          <w:szCs w:val="20"/>
          <w:lang w:val="es-ES"/>
        </w:rPr>
        <w:t xml:space="preserve"> </w:t>
      </w:r>
      <w:r w:rsidRPr="007D7696">
        <w:rPr>
          <w:rFonts w:ascii="Verdana" w:eastAsia="Arial MT" w:hAnsi="Verdana" w:cs="Arial"/>
          <w:sz w:val="20"/>
          <w:szCs w:val="20"/>
          <w:lang w:val="es-ES"/>
        </w:rPr>
        <w:t>información,</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es</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conservar</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su</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vigencia,</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propósito</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que,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acuerdo con el</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artículo 8 del Decreto 1510 de 2013, solo ha de cumplirse si el mismo se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 dentro del plazo allí establecido, comprendido entre el 1 de enero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hasta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quinto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día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hábil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mes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abril.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defecto,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disposición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reglamentaria establece como consecuencia la cesación de los efectos 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RUP.</w:t>
      </w:r>
    </w:p>
    <w:p w14:paraId="06AC636B" w14:textId="77777777" w:rsidR="008802A9" w:rsidRPr="007D7696" w:rsidRDefault="008802A9" w:rsidP="008802A9">
      <w:pPr>
        <w:widowControl w:val="0"/>
        <w:autoSpaceDE w:val="0"/>
        <w:autoSpaceDN w:val="0"/>
        <w:spacing w:after="0" w:line="240" w:lineRule="auto"/>
        <w:ind w:left="709" w:right="709"/>
        <w:contextualSpacing/>
        <w:rPr>
          <w:rFonts w:ascii="Verdana" w:eastAsia="Arial MT" w:hAnsi="Verdana" w:cs="Arial"/>
          <w:sz w:val="20"/>
          <w:szCs w:val="20"/>
          <w:lang w:val="es-ES"/>
        </w:rPr>
      </w:pPr>
    </w:p>
    <w:p w14:paraId="1E6EBFCA" w14:textId="77777777" w:rsidR="008802A9" w:rsidRPr="007D7696" w:rsidRDefault="008802A9" w:rsidP="008802A9">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i/>
          <w:iCs/>
          <w:sz w:val="20"/>
          <w:szCs w:val="20"/>
          <w:lang w:val="es-ES"/>
        </w:rPr>
        <w:t>Ante ese panorama, el incumplimiento del deber de renovar el RUP en el</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período trae como consecuencia la cesación de efectos respecto de la</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información</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certificada</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en</w:t>
      </w:r>
      <w:r w:rsidRPr="007D7696">
        <w:rPr>
          <w:rFonts w:ascii="Verdana" w:eastAsia="Arial MT" w:hAnsi="Verdana" w:cs="Arial"/>
          <w:i/>
          <w:iCs/>
          <w:spacing w:val="-9"/>
          <w:sz w:val="20"/>
          <w:szCs w:val="20"/>
          <w:lang w:val="es-ES"/>
        </w:rPr>
        <w:t xml:space="preserve"> </w:t>
      </w:r>
      <w:r w:rsidRPr="007D7696">
        <w:rPr>
          <w:rFonts w:ascii="Verdana" w:eastAsia="Arial MT" w:hAnsi="Verdana" w:cs="Arial"/>
          <w:i/>
          <w:iCs/>
          <w:sz w:val="20"/>
          <w:szCs w:val="20"/>
          <w:lang w:val="es-ES"/>
        </w:rPr>
        <w:t>ese</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documento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y,</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contera,</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falta</w:t>
      </w:r>
      <w:r w:rsidRPr="007D7696">
        <w:rPr>
          <w:rFonts w:ascii="Verdana" w:eastAsia="Arial MT" w:hAnsi="Verdana" w:cs="Arial"/>
          <w:spacing w:val="-7"/>
          <w:sz w:val="20"/>
          <w:szCs w:val="20"/>
          <w:lang w:val="es-ES"/>
        </w:rPr>
        <w:t xml:space="preserve"> </w:t>
      </w:r>
      <w:r w:rsidRPr="007D7696">
        <w:rPr>
          <w:rFonts w:ascii="Verdana" w:eastAsia="Arial MT" w:hAnsi="Verdana" w:cs="Arial"/>
          <w:sz w:val="20"/>
          <w:szCs w:val="20"/>
          <w:lang w:val="es-ES"/>
        </w:rPr>
        <w:t>de vocación como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plena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prueba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para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acreditar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cumplimiento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requisitos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habilitantes del proponente, anomalía que en manera alguna se sanea 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convalida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hecho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fuera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plazo reglamentado, en tanto no resulta jurídicamente admisible extender 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vigencia que por ministerio de la ley se encuentra vencida y cuyos efectos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cesaron,</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precisamente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no</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haberse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renovado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término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señalado</w:t>
      </w:r>
      <w:r w:rsidRPr="007D7696">
        <w:rPr>
          <w:rStyle w:val="Refdenotaalpie"/>
          <w:rFonts w:ascii="Verdana" w:eastAsia="Arial MT" w:hAnsi="Verdana" w:cs="Arial"/>
          <w:sz w:val="20"/>
          <w:szCs w:val="20"/>
          <w:lang w:val="es-ES"/>
        </w:rPr>
        <w:footnoteReference w:id="10"/>
      </w:r>
      <w:r w:rsidRPr="007D7696">
        <w:rPr>
          <w:rFonts w:ascii="Verdana" w:eastAsia="Arial MT" w:hAnsi="Verdana" w:cs="Arial"/>
          <w:sz w:val="20"/>
          <w:szCs w:val="20"/>
          <w:lang w:val="es-ES"/>
        </w:rPr>
        <w:t>. [Énfasis fuera del texto original]</w:t>
      </w:r>
    </w:p>
    <w:p w14:paraId="19C0598A" w14:textId="77777777" w:rsidR="008802A9" w:rsidRPr="00392E37" w:rsidRDefault="008802A9" w:rsidP="008802A9">
      <w:pPr>
        <w:widowControl w:val="0"/>
        <w:autoSpaceDE w:val="0"/>
        <w:autoSpaceDN w:val="0"/>
        <w:spacing w:after="0" w:line="276" w:lineRule="auto"/>
        <w:contextualSpacing/>
        <w:rPr>
          <w:rFonts w:ascii="Verdana" w:eastAsia="Arial MT" w:hAnsi="Verdana" w:cs="Arial"/>
          <w:lang w:val="es-ES"/>
        </w:rPr>
      </w:pPr>
    </w:p>
    <w:p w14:paraId="0337BC9B" w14:textId="77777777" w:rsidR="008802A9" w:rsidRPr="00392E37" w:rsidRDefault="008802A9" w:rsidP="008802A9">
      <w:pPr>
        <w:spacing w:after="120" w:line="276" w:lineRule="auto"/>
        <w:ind w:firstLine="709"/>
        <w:jc w:val="both"/>
        <w:rPr>
          <w:rFonts w:ascii="Verdana" w:hAnsi="Verdana" w:cs="Arial"/>
        </w:rPr>
      </w:pPr>
      <w:r w:rsidRPr="00392E37">
        <w:rPr>
          <w:rFonts w:ascii="Verdana" w:hAnsi="Verdana" w:cs="Arial"/>
        </w:rPr>
        <w:t>Conforme a lo anterior, y en armonía con lo señalado en el artículo 2.2.1.1.1.5.1. del Decreto 1082 de 2015, si el proponente no presenta la información para renovar su registro antes del quinto día hábil del mes de abril de cada año,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1C18D49E" w14:textId="77777777" w:rsidR="00BD716E" w:rsidRPr="00C94107" w:rsidRDefault="00BD716E" w:rsidP="00BD716E">
      <w:pPr>
        <w:spacing w:after="120" w:line="276" w:lineRule="auto"/>
        <w:ind w:firstLine="709"/>
        <w:jc w:val="both"/>
        <w:rPr>
          <w:rFonts w:ascii="Verdana" w:hAnsi="Verdana" w:cs="Arial"/>
        </w:rPr>
      </w:pPr>
      <w:bookmarkStart w:id="15" w:name="_Hlk99548308"/>
      <w:r w:rsidRPr="003D0085">
        <w:rPr>
          <w:rFonts w:ascii="Verdana" w:hAnsi="Verdana" w:cs="Arial"/>
        </w:rPr>
        <w:t xml:space="preserve">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w:t>
      </w:r>
      <w:r w:rsidRPr="003D0085">
        <w:rPr>
          <w:rFonts w:ascii="Verdana" w:hAnsi="Verdana" w:cs="Arial"/>
        </w:rPr>
        <w:lastRenderedPageBreak/>
        <w:t>productos, los contratos de concesión y los contratos que celebren las empresas industriales y comerciales del Estado y las sociedades de economía mixta, que tengan por objeto el desarrollo de sus actividades industriales y comerciales</w:t>
      </w:r>
      <w:bookmarkEnd w:id="15"/>
      <w:r w:rsidRPr="003D0085">
        <w:rPr>
          <w:rFonts w:ascii="Verdana" w:hAnsi="Verdana" w:cs="Arial"/>
        </w:rPr>
        <w:t xml:space="preserve">. </w:t>
      </w:r>
    </w:p>
    <w:p w14:paraId="7FA18205" w14:textId="77777777" w:rsidR="00BD716E" w:rsidRDefault="00BD716E" w:rsidP="00BD716E">
      <w:pPr>
        <w:spacing w:after="120" w:line="276" w:lineRule="auto"/>
        <w:ind w:firstLine="709"/>
        <w:jc w:val="both"/>
        <w:rPr>
          <w:rFonts w:ascii="Verdana" w:hAnsi="Verdana" w:cs="Arial"/>
        </w:rPr>
      </w:pPr>
      <w:r w:rsidRPr="003D0085">
        <w:rPr>
          <w:rFonts w:ascii="Verdana" w:hAnsi="Verdana" w:cs="Arial"/>
          <w:lang w:val="es-ES_tradnl"/>
        </w:rPr>
        <w:t xml:space="preserve">Estas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w:t>
      </w:r>
      <w:r w:rsidRPr="00C94107">
        <w:rPr>
          <w:rFonts w:ascii="Verdana" w:hAnsi="Verdana" w:cs="Arial"/>
          <w:lang w:val="es-ES_tradnl"/>
        </w:rPr>
        <w:t>Ley</w:t>
      </w:r>
      <w:r w:rsidRPr="003D0085">
        <w:rPr>
          <w:rFonts w:ascii="Verdana" w:hAnsi="Verdana" w:cs="Arial"/>
          <w:lang w:val="es-ES_tradnl"/>
        </w:rPr>
        <w:t xml:space="preserve">. </w:t>
      </w:r>
      <w:r w:rsidRPr="003D0085">
        <w:rPr>
          <w:rFonts w:ascii="Verdana" w:hAnsi="Verdana" w:cs="Arial"/>
        </w:rPr>
        <w:t xml:space="preserve">Adicionalmente, en el numeral 6.1. del artículo 6 de la Ley 1150 de 2007 establece que cuando sea necesario verificar requisitos o información que no reposa en RUP, la </w:t>
      </w:r>
      <w:r w:rsidRPr="00C94107">
        <w:rPr>
          <w:rFonts w:ascii="Verdana" w:hAnsi="Verdana" w:cs="Arial"/>
        </w:rPr>
        <w:t>Entidad</w:t>
      </w:r>
      <w:r w:rsidRPr="003D0085">
        <w:rPr>
          <w:rFonts w:ascii="Verdana" w:hAnsi="Verdana" w:cs="Arial"/>
        </w:rPr>
        <w:t xml:space="preserve"> podrá solicitar información adicional solo para complementar la información contenida en el RUP</w:t>
      </w:r>
      <w:r w:rsidRPr="003D0085">
        <w:rPr>
          <w:rFonts w:ascii="Verdana" w:hAnsi="Verdana" w:cs="Arial"/>
          <w:vertAlign w:val="superscript"/>
        </w:rPr>
        <w:footnoteReference w:id="11"/>
      </w:r>
      <w:r w:rsidRPr="003D0085">
        <w:rPr>
          <w:rFonts w:ascii="Verdana" w:hAnsi="Verdana" w:cs="Arial"/>
        </w:rPr>
        <w:t>.</w:t>
      </w:r>
    </w:p>
    <w:p w14:paraId="7205E4BD" w14:textId="77777777" w:rsidR="00BD716E" w:rsidRDefault="00BD716E" w:rsidP="00BD716E">
      <w:pPr>
        <w:spacing w:after="120" w:line="276" w:lineRule="auto"/>
        <w:ind w:firstLine="709"/>
        <w:jc w:val="both"/>
        <w:rPr>
          <w:rFonts w:ascii="Verdana" w:hAnsi="Verdana" w:cs="Arial"/>
        </w:rPr>
      </w:pPr>
      <w:r>
        <w:rPr>
          <w:rFonts w:ascii="Verdana" w:hAnsi="Verdana" w:cs="Arial"/>
        </w:rPr>
        <w:t xml:space="preserve">En cualquier caso, en los procedimientos en los cuales no es exigible el RUP, como aquellos que se adelanten mediante la modalidad de mínima cuantía, las </w:t>
      </w:r>
      <w:r w:rsidRPr="00C94107">
        <w:rPr>
          <w:rFonts w:ascii="Verdana" w:hAnsi="Verdana" w:cs="Arial"/>
        </w:rPr>
        <w:t>Entidades</w:t>
      </w:r>
      <w:r>
        <w:rPr>
          <w:rFonts w:ascii="Verdana" w:hAnsi="Verdana" w:cs="Arial"/>
        </w:rPr>
        <w:t xml:space="preserve"> deberán </w:t>
      </w:r>
      <w:r w:rsidRPr="003D0085">
        <w:rPr>
          <w:rFonts w:ascii="Verdana" w:hAnsi="Verdana" w:cs="Arial"/>
        </w:rPr>
        <w:t>verificar directamente el cumplimiento de los requisitos habilitantes</w:t>
      </w:r>
      <w:r w:rsidRPr="003D0085">
        <w:rPr>
          <w:rFonts w:ascii="Verdana" w:hAnsi="Verdana" w:cs="Arial"/>
          <w:vertAlign w:val="superscript"/>
        </w:rPr>
        <w:footnoteReference w:id="12"/>
      </w:r>
      <w:r>
        <w:rPr>
          <w:rFonts w:ascii="Verdana" w:hAnsi="Verdana" w:cs="Arial"/>
        </w:rPr>
        <w:t xml:space="preserve">. Para esto, deberá señalar en la invitación, o el documento que haga sus veces, </w:t>
      </w:r>
      <w:r w:rsidRPr="00FB79E2">
        <w:rPr>
          <w:rFonts w:ascii="Verdana" w:eastAsia="Times New Roman" w:hAnsi="Verdana" w:cs="Arial"/>
          <w:lang w:eastAsia="es-ES_tradnl"/>
        </w:rPr>
        <w:t>cuál es la información que se debe acreditar, así como los documentos que tendrá como válidos para tal fin.</w:t>
      </w:r>
      <w:r>
        <w:rPr>
          <w:rFonts w:ascii="Verdana" w:hAnsi="Verdana" w:cs="Arial"/>
        </w:rPr>
        <w:t xml:space="preserve"> Estos documentos también deberán ser proporcionales y adecuados, pues no podrán imponer barreras injustificadas para la participación en el proceso de selección.</w:t>
      </w:r>
    </w:p>
    <w:p w14:paraId="6725084A" w14:textId="77777777" w:rsidR="00BD716E" w:rsidRPr="00C94107" w:rsidRDefault="00BD716E" w:rsidP="00BD716E">
      <w:pPr>
        <w:spacing w:after="120" w:line="276" w:lineRule="auto"/>
        <w:ind w:firstLine="708"/>
        <w:jc w:val="both"/>
        <w:rPr>
          <w:rFonts w:ascii="Verdana" w:eastAsia="Calibri" w:hAnsi="Verdana" w:cs="Arial"/>
          <w:lang w:val="es-ES" w:eastAsia="es-ES"/>
        </w:rPr>
      </w:pPr>
      <w:r>
        <w:rPr>
          <w:rFonts w:ascii="Verdana" w:hAnsi="Verdana" w:cs="Arial"/>
        </w:rPr>
        <w:t xml:space="preserve">Ahora bien, </w:t>
      </w:r>
      <w:r>
        <w:rPr>
          <w:rFonts w:ascii="Verdana" w:eastAsia="Calibri" w:hAnsi="Verdana" w:cs="Arial"/>
          <w:lang w:val="es-ES" w:eastAsia="es-ES"/>
        </w:rPr>
        <w:t>r</w:t>
      </w:r>
      <w:r w:rsidRPr="00C94107">
        <w:rPr>
          <w:rFonts w:ascii="Verdana" w:eastAsia="Calibri" w:hAnsi="Verdana" w:cs="Arial"/>
          <w:lang w:val="es-ES" w:eastAsia="es-ES"/>
        </w:rPr>
        <w:t>especto a la capacidad jurídica</w:t>
      </w:r>
      <w:r>
        <w:rPr>
          <w:rFonts w:ascii="Verdana" w:eastAsia="Calibri" w:hAnsi="Verdana" w:cs="Arial"/>
          <w:lang w:val="es-ES" w:eastAsia="es-ES"/>
        </w:rPr>
        <w:t>,</w:t>
      </w:r>
      <w:r w:rsidRPr="00C94107">
        <w:rPr>
          <w:rFonts w:ascii="Verdana" w:eastAsia="Calibri" w:hAnsi="Verdana" w:cs="Arial"/>
          <w:lang w:val="es-ES" w:eastAsia="es-ES"/>
        </w:rPr>
        <w:t xml:space="preserve"> </w:t>
      </w:r>
      <w:r>
        <w:rPr>
          <w:rFonts w:ascii="Verdana" w:eastAsia="Calibri" w:hAnsi="Verdana" w:cs="Arial"/>
          <w:lang w:val="es-ES" w:eastAsia="es-ES"/>
        </w:rPr>
        <w:t xml:space="preserve">esta es entendida como </w:t>
      </w:r>
      <w:r w:rsidRPr="00C94107">
        <w:rPr>
          <w:rFonts w:ascii="Verdana" w:eastAsia="Calibri" w:hAnsi="Verdana" w:cs="Arial"/>
          <w:lang w:val="es-ES" w:eastAsia="es-ES"/>
        </w:rPr>
        <w:t>la aptitud que recae en los sujetos activos o pasivos de las relaciones jurídicas</w:t>
      </w:r>
      <w:r w:rsidRPr="00C94107">
        <w:rPr>
          <w:rFonts w:ascii="Verdana" w:eastAsia="Calibri" w:hAnsi="Verdana" w:cs="Arial"/>
          <w:vertAlign w:val="superscript"/>
          <w:lang w:val="es-ES" w:eastAsia="es-ES"/>
        </w:rPr>
        <w:footnoteReference w:id="13"/>
      </w:r>
      <w:r w:rsidRPr="00C94107">
        <w:rPr>
          <w:rFonts w:ascii="Verdana" w:eastAsia="Calibri" w:hAnsi="Verdana" w:cs="Arial"/>
          <w:lang w:val="es-ES" w:eastAsia="es-ES"/>
        </w:rPr>
        <w:t xml:space="preserve">. Para efectos de las relaciones contractuales en las que uno de los extremos de la relación sea una Entidad Estatal, la capacidad jurídica es la facultad que tiene una persona natural o jurídica para celebrar contratos </w:t>
      </w:r>
      <w:r>
        <w:rPr>
          <w:rFonts w:ascii="Verdana" w:eastAsia="Calibri" w:hAnsi="Verdana" w:cs="Arial"/>
          <w:lang w:val="es-ES" w:eastAsia="es-ES"/>
        </w:rPr>
        <w:t xml:space="preserve">con </w:t>
      </w:r>
      <w:r w:rsidRPr="00C94107">
        <w:rPr>
          <w:rFonts w:ascii="Verdana" w:eastAsia="Calibri" w:hAnsi="Verdana" w:cs="Arial"/>
          <w:lang w:val="es-ES" w:eastAsia="es-ES"/>
        </w:rPr>
        <w:t xml:space="preserve">estas Entidades. En </w:t>
      </w:r>
      <w:r w:rsidRPr="00C94107">
        <w:rPr>
          <w:rFonts w:ascii="Verdana" w:eastAsia="Calibri" w:hAnsi="Verdana" w:cs="Arial"/>
          <w:lang w:val="es-ES" w:eastAsia="es-ES"/>
        </w:rPr>
        <w:lastRenderedPageBreak/>
        <w:t>otras palabras, se refiere a la capacidad de obligarse a cumplir el objeto del contrato, así como a no estar incursa en inhabilidades o incompatibilidades que impidan su celebración.</w:t>
      </w:r>
    </w:p>
    <w:p w14:paraId="12BBF2CD" w14:textId="77777777" w:rsidR="00BD716E" w:rsidRPr="00C94107" w:rsidRDefault="00BD716E" w:rsidP="00BD716E">
      <w:pPr>
        <w:spacing w:before="120" w:after="120" w:line="276" w:lineRule="auto"/>
        <w:ind w:firstLine="709"/>
        <w:jc w:val="both"/>
        <w:rPr>
          <w:rFonts w:ascii="Verdana" w:eastAsia="Calibri" w:hAnsi="Verdana" w:cs="Arial"/>
          <w:lang w:val="es-ES_tradnl" w:eastAsia="es-ES_tradnl"/>
        </w:rPr>
      </w:pPr>
      <w:r w:rsidRPr="00C94107">
        <w:rPr>
          <w:rFonts w:ascii="Verdana" w:eastAsia="Calibri" w:hAnsi="Verdana" w:cs="Arial"/>
          <w:lang w:val="es-ES_tradnl" w:eastAsia="es-ES_tradnl"/>
        </w:rPr>
        <w:t>Para efectos del EGCAP, la capacidad para contratar la tienen las personas consideradas legalmente capaces en las disposiciones vigentes</w:t>
      </w:r>
      <w:r w:rsidRPr="00C94107">
        <w:rPr>
          <w:rFonts w:ascii="Verdana" w:eastAsia="Calibri" w:hAnsi="Verdana" w:cs="Arial"/>
          <w:vertAlign w:val="superscript"/>
          <w:lang w:val="es-ES_tradnl" w:eastAsia="es-ES_tradnl"/>
        </w:rPr>
        <w:footnoteReference w:id="14"/>
      </w:r>
      <w:r w:rsidRPr="00C94107">
        <w:rPr>
          <w:rFonts w:ascii="Verdana" w:eastAsia="Times New Roman" w:hAnsi="Verdana" w:cs="Arial"/>
          <w:lang w:eastAsia="es-ES_tradnl"/>
        </w:rPr>
        <w:t>, así como otras formas asociativas. En efecto, el artículo 6 de la Ley 80 de 1993 establece que “[p]</w:t>
      </w:r>
      <w:proofErr w:type="spellStart"/>
      <w:r w:rsidRPr="00C94107">
        <w:rPr>
          <w:rFonts w:ascii="Verdana" w:eastAsia="Times New Roman" w:hAnsi="Verdana" w:cs="Arial"/>
          <w:lang w:eastAsia="es-ES_tradnl"/>
        </w:rPr>
        <w:t>ueden</w:t>
      </w:r>
      <w:proofErr w:type="spellEnd"/>
      <w:r w:rsidRPr="00C94107">
        <w:rPr>
          <w:rFonts w:ascii="Verdana" w:eastAsia="Times New Roman" w:hAnsi="Verdana" w:cs="Arial"/>
          <w:lang w:eastAsia="es-ES_tradnl"/>
        </w:rPr>
        <w:t xml:space="preserve"> celebrar contratos con las entidades estatales las personas consideradas legalmente capaces en las disposiciones vigentes […]”, así como “[…] los consorcios y uniones temporales”.</w:t>
      </w:r>
    </w:p>
    <w:p w14:paraId="4F5E55DF" w14:textId="77777777" w:rsidR="00BD716E" w:rsidRPr="00C94107" w:rsidRDefault="00BD716E" w:rsidP="00BD716E">
      <w:pPr>
        <w:spacing w:before="120" w:after="120" w:line="276" w:lineRule="auto"/>
        <w:ind w:firstLine="709"/>
        <w:jc w:val="both"/>
        <w:rPr>
          <w:rFonts w:ascii="Verdana" w:eastAsia="Calibri" w:hAnsi="Verdana" w:cs="Arial"/>
          <w:lang w:val="es-ES" w:eastAsia="es-ES"/>
        </w:rPr>
      </w:pPr>
      <w:r w:rsidRPr="00C94107">
        <w:rPr>
          <w:rFonts w:ascii="Verdana" w:eastAsia="Calibri" w:hAnsi="Verdana" w:cs="Arial"/>
          <w:lang w:val="es-ES" w:eastAsia="es-ES"/>
        </w:rPr>
        <w:t>En este sentido, las personas naturales que tienen capacidad jurídica para contratar son los mayores de edad, salvo que por disposición expresa se encuentren limitados por decisión judicial, y que no estén incursas en inhabilidades, incompatibilidades o prohibiciones derivadas de la ley. Respecto de las personas jurídicas, la capacidad jurídica hace referencia a la posibilidad que tienen para adelantar actividades en el marco de su objeto social, las facultades que le han sido otorgadas al representante legal y a la ausencia de inhabilidades, incompatibilidades o prohibiciones para contratar, derivadas de la ley.</w:t>
      </w:r>
    </w:p>
    <w:p w14:paraId="71113D13" w14:textId="77777777" w:rsidR="00BD716E" w:rsidRPr="00B50C26" w:rsidRDefault="00BD716E" w:rsidP="00BD716E">
      <w:pPr>
        <w:spacing w:before="120" w:after="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E</w:t>
      </w:r>
      <w:r w:rsidRPr="00B50C26">
        <w:rPr>
          <w:rFonts w:ascii="Verdana" w:eastAsia="Calibri" w:hAnsi="Verdana" w:cs="Arial"/>
          <w:lang w:val="es-ES_tradnl" w:eastAsia="es-ES_tradnl"/>
        </w:rPr>
        <w:t xml:space="preserve">n el marco de los procesos de selección, las </w:t>
      </w:r>
      <w:r w:rsidRPr="00C94107">
        <w:rPr>
          <w:rFonts w:ascii="Verdana" w:eastAsia="Calibri" w:hAnsi="Verdana" w:cs="Arial"/>
          <w:lang w:val="es-ES_tradnl" w:eastAsia="es-ES_tradnl"/>
        </w:rPr>
        <w:t>Entidades Estatales</w:t>
      </w:r>
      <w:r w:rsidRPr="00B50C26">
        <w:rPr>
          <w:rFonts w:ascii="Verdana" w:eastAsia="Calibri" w:hAnsi="Verdana" w:cs="Arial"/>
          <w:lang w:val="es-ES_tradnl" w:eastAsia="es-ES_tradnl"/>
        </w:rPr>
        <w:t xml:space="preserve"> deben solicitar a los proponentes toda la información necesaria para conocer su idoneidad en la ejecución del contrato a celebrar, </w:t>
      </w:r>
      <w:r>
        <w:rPr>
          <w:rFonts w:ascii="Verdana" w:eastAsia="Calibri" w:hAnsi="Verdana" w:cs="Arial"/>
          <w:lang w:val="es-ES_tradnl" w:eastAsia="es-ES_tradnl"/>
        </w:rPr>
        <w:t xml:space="preserve">y </w:t>
      </w:r>
      <w:r w:rsidRPr="00B50C26">
        <w:rPr>
          <w:rFonts w:ascii="Verdana" w:eastAsia="Calibri" w:hAnsi="Verdana" w:cs="Arial"/>
          <w:lang w:val="es-ES_tradnl" w:eastAsia="es-ES_tradnl"/>
        </w:rPr>
        <w:t>que le permita verificar su honestidad e integridad en el manejo de los recursos. El Consejo de Estado ha exhortado a las Entidades Estatales para conocer la calidad en la que actúa el proponente, así</w:t>
      </w:r>
      <w:r w:rsidRPr="00B50C26">
        <w:rPr>
          <w:rFonts w:ascii="Verdana" w:eastAsia="Calibri" w:hAnsi="Verdana" w:cs="Arial"/>
          <w:vertAlign w:val="superscript"/>
          <w:lang w:val="es-ES_tradnl" w:eastAsia="es-ES_tradnl"/>
        </w:rPr>
        <w:footnoteReference w:id="15"/>
      </w:r>
      <w:r w:rsidRPr="00B50C26">
        <w:rPr>
          <w:rFonts w:ascii="Verdana" w:eastAsia="Calibri" w:hAnsi="Verdana" w:cs="Arial"/>
          <w:lang w:val="es-ES_tradnl" w:eastAsia="es-ES_tradnl"/>
        </w:rPr>
        <w:t>:</w:t>
      </w:r>
    </w:p>
    <w:p w14:paraId="3D6105C7" w14:textId="77777777" w:rsidR="00BD716E" w:rsidRPr="00C94107" w:rsidRDefault="00BD716E" w:rsidP="00BD716E">
      <w:pPr>
        <w:spacing w:after="0" w:line="276" w:lineRule="auto"/>
        <w:ind w:firstLine="709"/>
        <w:jc w:val="both"/>
        <w:rPr>
          <w:rFonts w:ascii="Verdana" w:eastAsia="Calibri" w:hAnsi="Verdana" w:cs="Arial"/>
          <w:lang w:val="es-ES_tradnl" w:eastAsia="es-ES_tradnl"/>
        </w:rPr>
      </w:pPr>
    </w:p>
    <w:p w14:paraId="4E277125" w14:textId="77777777" w:rsidR="00BD716E" w:rsidRPr="00810146" w:rsidRDefault="00BD716E" w:rsidP="00BD716E">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810146">
        <w:rPr>
          <w:rFonts w:ascii="Verdana" w:eastAsia="Arial" w:hAnsi="Verdana" w:cs="Arial"/>
          <w:sz w:val="20"/>
          <w:szCs w:val="20"/>
          <w:lang w:val="es-ES" w:eastAsia="es-ES" w:bidi="es-ES"/>
        </w:rPr>
        <w:t xml:space="preserve">“No duda la Sala en afirmar que la anterior disposición conlleva un deber calificado para las entidades estatales, cuyo presupuesto es la buena fe (y como se verá, el principio de precaución), consistente en una carga de conocimiento que las obliga a determinar la calidad con la que actúa el proponente o contratista, esto es, persona natural o jurídica, o sucursal de una sociedad extranjera, si pertenece o no a un grupo empresarial, si se trata de una filial o subsidiaria, la composición de su capital, si cotiza o no en bolsa, si es una empresa familiar, la idoneidad personal y profesional </w:t>
      </w:r>
      <w:r w:rsidRPr="00810146">
        <w:rPr>
          <w:rFonts w:ascii="Verdana" w:eastAsia="Arial" w:hAnsi="Verdana" w:cs="Arial"/>
          <w:sz w:val="20"/>
          <w:szCs w:val="20"/>
          <w:lang w:val="es-ES" w:eastAsia="es-ES" w:bidi="es-ES"/>
        </w:rPr>
        <w:lastRenderedPageBreak/>
        <w:t>de sus representantes legales, entre otros aspectos, así como el origen lícito de los fondos que empleará en la ejecución del objeto contratado, los cuales, por supuesto, no pueden provenir de actividades delictivas en general, o ser el producto de actos de corrupción, en</w:t>
      </w:r>
      <w:r w:rsidRPr="00810146">
        <w:rPr>
          <w:rFonts w:ascii="Verdana" w:eastAsia="Arial" w:hAnsi="Verdana" w:cs="Arial"/>
          <w:spacing w:val="-11"/>
          <w:sz w:val="20"/>
          <w:szCs w:val="20"/>
          <w:lang w:val="es-ES" w:eastAsia="es-ES" w:bidi="es-ES"/>
        </w:rPr>
        <w:t xml:space="preserve"> </w:t>
      </w:r>
      <w:r w:rsidRPr="00810146">
        <w:rPr>
          <w:rFonts w:ascii="Verdana" w:eastAsia="Arial" w:hAnsi="Verdana" w:cs="Arial"/>
          <w:sz w:val="20"/>
          <w:szCs w:val="20"/>
          <w:lang w:val="es-ES" w:eastAsia="es-ES" w:bidi="es-ES"/>
        </w:rPr>
        <w:t>particular”.</w:t>
      </w:r>
    </w:p>
    <w:p w14:paraId="5A2C67B7" w14:textId="77777777" w:rsidR="00BD716E" w:rsidRDefault="00BD716E" w:rsidP="00BD716E">
      <w:pPr>
        <w:widowControl w:val="0"/>
        <w:autoSpaceDE w:val="0"/>
        <w:autoSpaceDN w:val="0"/>
        <w:spacing w:after="0" w:line="276" w:lineRule="auto"/>
        <w:jc w:val="both"/>
        <w:rPr>
          <w:rFonts w:ascii="Verdana" w:hAnsi="Verdana" w:cs="Arial"/>
        </w:rPr>
      </w:pPr>
    </w:p>
    <w:p w14:paraId="7493B80F" w14:textId="77777777" w:rsidR="00BD716E" w:rsidRDefault="00BD716E" w:rsidP="00BD716E">
      <w:pPr>
        <w:widowControl w:val="0"/>
        <w:autoSpaceDE w:val="0"/>
        <w:autoSpaceDN w:val="0"/>
        <w:spacing w:after="0" w:line="276" w:lineRule="auto"/>
        <w:jc w:val="both"/>
        <w:rPr>
          <w:rFonts w:ascii="Verdana" w:hAnsi="Verdana" w:cs="Arial"/>
        </w:rPr>
      </w:pPr>
      <w:r>
        <w:rPr>
          <w:rFonts w:ascii="Verdana" w:hAnsi="Verdana" w:cs="Arial"/>
        </w:rPr>
        <w:tab/>
        <w:t>Es en el anterior marco que se solicita por parte de las entidades estatales la presentación de diferentes documentos para verificar los requisitos habilitantes de las personas a contratar, entre ellos el Registro Único Tributario</w:t>
      </w:r>
      <w:r>
        <w:rPr>
          <w:rStyle w:val="Refdenotaalpie"/>
          <w:rFonts w:ascii="Verdana" w:hAnsi="Verdana" w:cs="Arial"/>
        </w:rPr>
        <w:footnoteReference w:id="16"/>
      </w:r>
      <w:r>
        <w:rPr>
          <w:rFonts w:ascii="Verdana" w:hAnsi="Verdana" w:cs="Arial"/>
        </w:rPr>
        <w:t xml:space="preserve"> y el certificado de existencia y representación legal expedido por la correspondiente Cámara de Comercio. Este último acredita el estado de la persona jurídica y su objeto social, las personas que la administran y representan legalmente junto con sus facultades y limitaciones, entre otros datos </w:t>
      </w:r>
      <w:proofErr w:type="gramStart"/>
      <w:r>
        <w:rPr>
          <w:rFonts w:ascii="Verdana" w:hAnsi="Verdana" w:cs="Arial"/>
        </w:rPr>
        <w:t>relevantes</w:t>
      </w:r>
      <w:proofErr w:type="gramEnd"/>
      <w:r>
        <w:rPr>
          <w:rFonts w:ascii="Verdana" w:hAnsi="Verdana" w:cs="Arial"/>
        </w:rPr>
        <w:t xml:space="preserve"> así como en </w:t>
      </w:r>
      <w:proofErr w:type="spellStart"/>
      <w:r>
        <w:rPr>
          <w:rFonts w:ascii="Verdana" w:hAnsi="Verdana" w:cs="Arial"/>
        </w:rPr>
        <w:t>el</w:t>
      </w:r>
      <w:proofErr w:type="spellEnd"/>
      <w:r>
        <w:rPr>
          <w:rFonts w:ascii="Verdana" w:hAnsi="Verdana" w:cs="Arial"/>
        </w:rPr>
        <w:t xml:space="preserve"> se inscriben los diferentes cambios que se producen en la persona y por tanto, las entidades en su autonomía para verificar las condiciones de los proponentes solicitan el documento con cierto rango de fecha de expedición. </w:t>
      </w:r>
    </w:p>
    <w:p w14:paraId="62091CD2" w14:textId="77777777" w:rsidR="00BD716E" w:rsidRDefault="00BD716E" w:rsidP="00BD716E">
      <w:pPr>
        <w:widowControl w:val="0"/>
        <w:autoSpaceDE w:val="0"/>
        <w:autoSpaceDN w:val="0"/>
        <w:spacing w:after="0" w:line="276" w:lineRule="auto"/>
        <w:jc w:val="both"/>
        <w:rPr>
          <w:rFonts w:ascii="Verdana" w:hAnsi="Verdana" w:cs="Arial"/>
        </w:rPr>
      </w:pPr>
      <w:r>
        <w:rPr>
          <w:rFonts w:ascii="Verdana" w:hAnsi="Verdana" w:cs="Arial"/>
        </w:rPr>
        <w:tab/>
        <w:t>Por último</w:t>
      </w:r>
      <w:r w:rsidRPr="00AC784D">
        <w:rPr>
          <w:rFonts w:ascii="Verdana" w:hAnsi="Verdana" w:cs="Arial"/>
        </w:rPr>
        <w:t>, l</w:t>
      </w:r>
      <w:r w:rsidRPr="00AC784D">
        <w:rPr>
          <w:rFonts w:ascii="Verdana" w:hAnsi="Verdana"/>
        </w:rPr>
        <w:t>a normativa del Sistema de Compra Pública no contempla expresamente la obligación de la consulta de antecedentes del contratista por parte de las Entidades Estatales. Sin embargo, las Entidades Estatales tienen el deber de hacer una selección objetiva del contratista verificando su capacidad para contratar con el Estado y su idoneidad para ejecutar el objeto del contrato. Para esto pueden consultar la información de los registros públicos sobre sanciones que consideren convenientes y según la regulación para cada caso.</w:t>
      </w:r>
    </w:p>
    <w:p w14:paraId="12A38A6B" w14:textId="77777777" w:rsidR="00BD716E" w:rsidRDefault="00BD716E" w:rsidP="00BD716E">
      <w:pPr>
        <w:widowControl w:val="0"/>
        <w:autoSpaceDE w:val="0"/>
        <w:autoSpaceDN w:val="0"/>
        <w:spacing w:after="0" w:line="276" w:lineRule="auto"/>
        <w:jc w:val="both"/>
        <w:rPr>
          <w:rFonts w:ascii="Verdana" w:hAnsi="Verdana" w:cs="Arial"/>
        </w:rPr>
      </w:pPr>
    </w:p>
    <w:p w14:paraId="2701F474" w14:textId="77777777" w:rsidR="00BD716E" w:rsidRDefault="00BD716E" w:rsidP="00BD716E">
      <w:pPr>
        <w:spacing w:after="120" w:line="276" w:lineRule="auto"/>
        <w:jc w:val="both"/>
        <w:rPr>
          <w:rFonts w:ascii="Verdana" w:eastAsia="Calibri" w:hAnsi="Verdana" w:cs="Arial"/>
          <w:bCs/>
        </w:rPr>
      </w:pPr>
      <w:proofErr w:type="spellStart"/>
      <w:r>
        <w:rPr>
          <w:rFonts w:ascii="Verdana" w:hAnsi="Verdana" w:cs="Arial"/>
        </w:rPr>
        <w:t>ii</w:t>
      </w:r>
      <w:proofErr w:type="spellEnd"/>
      <w:r>
        <w:rPr>
          <w:rFonts w:ascii="Verdana" w:hAnsi="Verdana" w:cs="Arial"/>
        </w:rPr>
        <w:t xml:space="preserve">. </w:t>
      </w:r>
      <w:r>
        <w:rPr>
          <w:rFonts w:ascii="Verdana" w:eastAsia="Calibri" w:hAnsi="Verdana" w:cs="Arial"/>
          <w:bCs/>
        </w:rPr>
        <w:t xml:space="preserve">El </w:t>
      </w:r>
      <w:r w:rsidRPr="008B6206">
        <w:rPr>
          <w:rFonts w:ascii="Verdana" w:eastAsia="Calibri" w:hAnsi="Verdana" w:cs="Arial"/>
          <w:bCs/>
        </w:rPr>
        <w:t>artículo 4 de la Ley 1918 de 201</w:t>
      </w:r>
      <w:r>
        <w:rPr>
          <w:rFonts w:ascii="Verdana" w:eastAsia="Calibri" w:hAnsi="Verdana" w:cs="Arial"/>
          <w:bCs/>
        </w:rPr>
        <w:t>8</w:t>
      </w:r>
      <w:r w:rsidRPr="008B6206">
        <w:rPr>
          <w:rFonts w:ascii="Verdana" w:eastAsia="Calibri" w:hAnsi="Verdana" w:cs="Arial"/>
          <w:bCs/>
        </w:rPr>
        <w:t xml:space="preserve"> establece que las entidades públicas y privadas deben verificar, con autorización del aspirante, que este no esté inscrito en el Registro de Inhabilidades por delitos sexuales contra menores de edad</w:t>
      </w:r>
      <w:r>
        <w:rPr>
          <w:rFonts w:ascii="Verdana" w:eastAsia="Calibri" w:hAnsi="Verdana" w:cs="Arial"/>
          <w:bCs/>
        </w:rPr>
        <w:t> antes de contratarlo en aquellos empleos o contratos, donde exista un</w:t>
      </w:r>
      <w:r w:rsidRPr="008B6206">
        <w:rPr>
          <w:rFonts w:ascii="Verdana" w:eastAsia="Calibri" w:hAnsi="Verdana" w:cs="Arial"/>
          <w:bCs/>
        </w:rPr>
        <w:t xml:space="preserve"> contacto directo y habitual con menores. Dicha verificación debe hacerse cada cuatro (4) meses durante la relación laboral o contractual. En el evento que un servidor público omite esta verificación y contrata a una persona inhabilitada, incurre en una falta disciplinaria gravísima, y no hay que olvidar que el uso del registro debe cumplir con la Ley de </w:t>
      </w:r>
      <w:r>
        <w:rPr>
          <w:rFonts w:ascii="Verdana" w:eastAsia="Calibri" w:hAnsi="Verdana" w:cs="Arial"/>
          <w:bCs/>
        </w:rPr>
        <w:t>Protección de Datos Personales -Ley 1581 de 2012-</w:t>
      </w:r>
      <w:r w:rsidRPr="008B6206">
        <w:rPr>
          <w:rFonts w:ascii="Verdana" w:eastAsia="Calibri" w:hAnsi="Verdana" w:cs="Arial"/>
          <w:bCs/>
        </w:rPr>
        <w:t>, bajo supervisión de la Superintendencia de Industria y Comercio.</w:t>
      </w:r>
      <w:r>
        <w:rPr>
          <w:rFonts w:ascii="Verdana" w:eastAsia="Calibri" w:hAnsi="Verdana" w:cs="Arial"/>
          <w:bCs/>
        </w:rPr>
        <w:t xml:space="preserve"> Esto, </w:t>
      </w:r>
      <w:r>
        <w:rPr>
          <w:rFonts w:ascii="Verdana" w:eastAsia="Calibri" w:hAnsi="Verdana" w:cs="Arial"/>
          <w:bCs/>
        </w:rPr>
        <w:lastRenderedPageBreak/>
        <w:t xml:space="preserve">sin perjuicio del manejo y custodia del expediente contractual frente a este documento, así como los demás que tengan el carácter de reservado, como se detalla en las razones de la respuesta.  </w:t>
      </w:r>
    </w:p>
    <w:p w14:paraId="110BC7DB" w14:textId="77777777" w:rsidR="00BD716E" w:rsidRDefault="00BD716E" w:rsidP="00BD716E">
      <w:pPr>
        <w:spacing w:after="120" w:line="276" w:lineRule="auto"/>
        <w:jc w:val="both"/>
        <w:rPr>
          <w:rFonts w:ascii="Verdana" w:eastAsia="Calibri" w:hAnsi="Verdana" w:cs="Arial"/>
          <w:bCs/>
        </w:rPr>
      </w:pPr>
      <w:r>
        <w:rPr>
          <w:rFonts w:ascii="Verdana" w:eastAsia="Calibri" w:hAnsi="Verdana" w:cs="Arial"/>
          <w:bCs/>
        </w:rPr>
        <w:tab/>
        <w:t>Sin embargo</w:t>
      </w:r>
      <w:r>
        <w:rPr>
          <w:rFonts w:ascii="Verdana" w:eastAsia="Calibri" w:hAnsi="Verdana" w:cs="Arial"/>
          <w:bCs/>
          <w:lang w:val="es-MX"/>
        </w:rPr>
        <w:t xml:space="preserve">, es </w:t>
      </w:r>
      <w:r w:rsidRPr="00802249">
        <w:rPr>
          <w:rFonts w:ascii="Verdana" w:eastAsia="Calibri" w:hAnsi="Verdana" w:cs="Arial"/>
          <w:bCs/>
          <w:lang w:val="es-MX"/>
        </w:rPr>
        <w:t xml:space="preserve">preciso mencionar que a diferencia de la Ley 80 de 1993, donde no es relevante el objeto del contrato para la aplicación del régimen de inhabilidades e incompatibilidades, la Ley 1918 de 2018 </w:t>
      </w:r>
      <w:r>
        <w:rPr>
          <w:rFonts w:ascii="Verdana" w:eastAsia="Calibri" w:hAnsi="Verdana" w:cs="Arial"/>
          <w:bCs/>
          <w:lang w:val="es-MX"/>
        </w:rPr>
        <w:t>modificado por la Ley 2375 de 2024 si</w:t>
      </w:r>
      <w:r w:rsidRPr="00802249">
        <w:rPr>
          <w:rFonts w:ascii="Verdana" w:eastAsia="Calibri" w:hAnsi="Verdana" w:cs="Arial"/>
          <w:bCs/>
          <w:lang w:val="es-MX"/>
        </w:rPr>
        <w:t xml:space="preserve"> establece que la inhabilidad es para vinculaciones donde la persona tenga relación directa y habitual con menores, lo cual está definido en </w:t>
      </w:r>
      <w:r>
        <w:rPr>
          <w:rFonts w:ascii="Verdana" w:eastAsia="Calibri" w:hAnsi="Verdana" w:cs="Arial"/>
          <w:bCs/>
          <w:lang w:val="es-MX"/>
        </w:rPr>
        <w:t>el listado regulado en el artículo 2 de la Ley 1918 de 2018 modificado por el artículo 3° de la Ley 2375 de 2024. Al respecto, l</w:t>
      </w:r>
      <w:r w:rsidRPr="0045486A">
        <w:rPr>
          <w:rFonts w:ascii="Verdana" w:eastAsia="Calibri" w:hAnsi="Verdana" w:cs="Arial"/>
          <w:bCs/>
        </w:rPr>
        <w:t xml:space="preserve">os diferentes cargos, profesiones u oficios que se enumeran son enunciativos, teniendo en cuenta el numeral 21° que prescribe: “Cualquier cargo, oficio o profesión que demuestre </w:t>
      </w:r>
      <w:r w:rsidRPr="0045486A">
        <w:rPr>
          <w:rFonts w:ascii="Verdana" w:eastAsia="Calibri" w:hAnsi="Verdana" w:cs="Arial"/>
          <w:bCs/>
          <w:i/>
        </w:rPr>
        <w:t>un trato directo y habitual con menores de edad</w:t>
      </w:r>
      <w:r w:rsidRPr="0045486A">
        <w:rPr>
          <w:rFonts w:ascii="Verdana" w:eastAsia="Calibri" w:hAnsi="Verdana" w:cs="Arial"/>
          <w:bCs/>
        </w:rPr>
        <w:t>”, que es entendido por el precitado artículo así: “[…] por trato directo el contacto o la interacción personal o a través de cualquier medio tecnológico, que se genere en el ejercicio del cargo, profesión u oficio, de forma frecuente con personas menores de edad”.</w:t>
      </w:r>
    </w:p>
    <w:p w14:paraId="0BFEDB80" w14:textId="77777777" w:rsidR="00BD716E" w:rsidRPr="00FE5E2E" w:rsidRDefault="00BD716E" w:rsidP="00BD716E">
      <w:pPr>
        <w:spacing w:after="120" w:line="276" w:lineRule="auto"/>
        <w:ind w:firstLine="720"/>
        <w:jc w:val="both"/>
        <w:rPr>
          <w:rFonts w:ascii="Verdana" w:eastAsia="Calibri" w:hAnsi="Verdana" w:cs="Arial"/>
          <w:bCs/>
          <w:lang w:val="es-MX"/>
        </w:rPr>
      </w:pPr>
      <w:r w:rsidRPr="00FE5E2E">
        <w:rPr>
          <w:rFonts w:ascii="Verdana" w:eastAsia="Calibri" w:hAnsi="Verdana" w:cs="Arial"/>
          <w:bCs/>
          <w:lang w:val="es-MX"/>
        </w:rPr>
        <w:t xml:space="preserve">Por tanto, la entidad que va a contratar a una persona y el objeto contractual, independiente de la modalidad de selección, deberá revisar si el objeto contractual </w:t>
      </w:r>
      <w:r w:rsidRPr="00FE5E2E">
        <w:rPr>
          <w:rFonts w:ascii="Verdana" w:eastAsia="Calibri" w:hAnsi="Verdana" w:cs="Arial"/>
          <w:bCs/>
        </w:rPr>
        <w:t>implica una interacción frecuente y personal con menores de edad,</w:t>
      </w:r>
      <w:r w:rsidRPr="00FE5E2E">
        <w:rPr>
          <w:rFonts w:ascii="Verdana" w:eastAsia="Calibri" w:hAnsi="Verdana" w:cs="Arial"/>
          <w:bCs/>
          <w:lang w:val="es-MX"/>
        </w:rPr>
        <w:t xml:space="preserve"> para exigir el registro de inhabilidades por delitos sexuales contra menores de edad, teniendo que el término de esta inhabilidad es definido por el juez como pena accesoria</w:t>
      </w:r>
      <w:r>
        <w:rPr>
          <w:rFonts w:ascii="Verdana" w:eastAsia="Calibri" w:hAnsi="Verdana" w:cs="Arial"/>
          <w:bCs/>
          <w:lang w:val="es-MX"/>
        </w:rPr>
        <w:t xml:space="preserve"> </w:t>
      </w:r>
      <w:r w:rsidRPr="003D1CCE">
        <w:rPr>
          <w:rFonts w:ascii="Verdana" w:eastAsia="Calibri" w:hAnsi="Verdana" w:cs="Arial"/>
          <w:bCs/>
          <w:lang w:val="es-MX"/>
        </w:rPr>
        <w:t>con fundamento en el inciso primero del artículo 51 de la Ley 599 de 2000</w:t>
      </w:r>
      <w:r w:rsidRPr="00FE5E2E">
        <w:rPr>
          <w:rFonts w:ascii="Verdana" w:eastAsia="Calibri" w:hAnsi="Verdana" w:cs="Arial"/>
          <w:bCs/>
          <w:lang w:val="es-MX"/>
        </w:rPr>
        <w:t>, la cual se contabiliza</w:t>
      </w:r>
      <w:r>
        <w:rPr>
          <w:rFonts w:ascii="Verdana" w:eastAsia="Calibri" w:hAnsi="Verdana" w:cs="Arial"/>
          <w:bCs/>
          <w:lang w:val="es-MX"/>
        </w:rPr>
        <w:t xml:space="preserve"> </w:t>
      </w:r>
      <w:r w:rsidRPr="002F4A82">
        <w:rPr>
          <w:rFonts w:ascii="Verdana" w:eastAsia="Calibri" w:hAnsi="Verdana" w:cs="Arial"/>
          <w:bCs/>
        </w:rPr>
        <w:t>una vez se cumpla la pena principal</w:t>
      </w:r>
      <w:r w:rsidRPr="00FE5E2E">
        <w:rPr>
          <w:rFonts w:ascii="Verdana" w:eastAsia="Calibri" w:hAnsi="Verdana" w:cs="Arial"/>
          <w:bCs/>
          <w:lang w:val="es-MX"/>
        </w:rPr>
        <w:t>. En otras palabras, aquellos contratos que se relacionen con el contacto directo -personal o mediante tecnolog</w:t>
      </w:r>
      <w:r w:rsidRPr="00FE5E2E">
        <w:rPr>
          <w:rFonts w:ascii="Verdana" w:eastAsia="Calibri" w:hAnsi="Verdana" w:cs="Verdana"/>
          <w:bCs/>
          <w:lang w:val="es-MX"/>
        </w:rPr>
        <w:t>í</w:t>
      </w:r>
      <w:r w:rsidRPr="00FE5E2E">
        <w:rPr>
          <w:rFonts w:ascii="Verdana" w:eastAsia="Calibri" w:hAnsi="Verdana" w:cs="Arial"/>
          <w:bCs/>
          <w:lang w:val="es-MX"/>
        </w:rPr>
        <w:t xml:space="preserve">a </w:t>
      </w:r>
      <w:r w:rsidRPr="00FE5E2E">
        <w:rPr>
          <w:rFonts w:ascii="Arial" w:eastAsia="Calibri" w:hAnsi="Arial" w:cs="Arial"/>
          <w:bCs/>
          <w:lang w:val="es-MX"/>
        </w:rPr>
        <w:t>̶</w:t>
      </w:r>
      <w:r w:rsidRPr="00FE5E2E">
        <w:rPr>
          <w:rFonts w:ascii="Verdana" w:eastAsia="Calibri" w:hAnsi="Verdana" w:cs="Arial"/>
          <w:bCs/>
          <w:lang w:val="es-MX"/>
        </w:rPr>
        <w:t xml:space="preserve"> y habitual –frecuente- con menores, puede configurar la inhabilidad prevista. </w:t>
      </w:r>
      <w:r w:rsidRPr="00FE5E2E">
        <w:rPr>
          <w:rFonts w:ascii="Verdana" w:eastAsia="Calibri" w:hAnsi="Verdana" w:cs="Arial"/>
          <w:bCs/>
        </w:rPr>
        <w:t xml:space="preserve">Dicha omisión de verificación implica sanciones reguladas en el artículo 5 de la Ley 1918 de 2018, que fueron modificadas por el artículo 4 de la Ley 2375 de 2024. </w:t>
      </w:r>
    </w:p>
    <w:p w14:paraId="4B378727" w14:textId="77777777" w:rsidR="00BD716E" w:rsidRDefault="00BD716E" w:rsidP="00BD716E">
      <w:pPr>
        <w:widowControl w:val="0"/>
        <w:autoSpaceDE w:val="0"/>
        <w:autoSpaceDN w:val="0"/>
        <w:spacing w:after="0" w:line="276" w:lineRule="auto"/>
        <w:jc w:val="both"/>
        <w:rPr>
          <w:rFonts w:ascii="Verdana" w:hAnsi="Verdana" w:cs="Arial"/>
        </w:rPr>
      </w:pPr>
    </w:p>
    <w:p w14:paraId="2C48D237" w14:textId="77777777" w:rsidR="00BD716E" w:rsidRDefault="00BD716E" w:rsidP="00BD716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0B542CE" w14:textId="77777777" w:rsidR="00BD716E" w:rsidRDefault="00BD716E" w:rsidP="00BD716E">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D716E" w14:paraId="4BA02A97" w14:textId="77777777" w:rsidTr="00596B74">
        <w:trPr>
          <w:trHeight w:val="870"/>
        </w:trPr>
        <w:tc>
          <w:tcPr>
            <w:tcW w:w="8647" w:type="dxa"/>
            <w:tcBorders>
              <w:top w:val="dotted" w:sz="4" w:space="0" w:color="auto"/>
              <w:left w:val="dotted" w:sz="4" w:space="0" w:color="auto"/>
              <w:bottom w:val="dotted" w:sz="4" w:space="0" w:color="auto"/>
              <w:right w:val="dotted" w:sz="4" w:space="0" w:color="auto"/>
            </w:tcBorders>
            <w:hideMark/>
          </w:tcPr>
          <w:p w14:paraId="44D07C80" w14:textId="77777777" w:rsidR="00BD716E" w:rsidRPr="00B106E4" w:rsidRDefault="00BD716E" w:rsidP="00BD716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1150 de 2007. Artículo 5</w:t>
            </w:r>
          </w:p>
          <w:p w14:paraId="0D452607" w14:textId="77777777" w:rsidR="00BD716E" w:rsidRPr="00B106E4" w:rsidRDefault="00BD716E" w:rsidP="00BD716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1A4E79">
              <w:rPr>
                <w:rFonts w:ascii="Verdana" w:eastAsia="Times New Roman" w:hAnsi="Verdana" w:cs="Arial"/>
                <w:lang w:val="es-ES_tradnl" w:eastAsia="es-MX"/>
              </w:rPr>
              <w:t>Decreto 1082 de 2015</w:t>
            </w:r>
            <w:r>
              <w:rPr>
                <w:rFonts w:ascii="Verdana" w:eastAsia="Times New Roman" w:hAnsi="Verdana" w:cs="Arial"/>
                <w:lang w:val="es-ES_tradnl" w:eastAsia="es-MX"/>
              </w:rPr>
              <w:t>. Artículos</w:t>
            </w:r>
            <w:r w:rsidRPr="001A4E79">
              <w:rPr>
                <w:rFonts w:ascii="Verdana" w:eastAsia="Times New Roman" w:hAnsi="Verdana" w:cs="Arial"/>
                <w:lang w:val="es-ES_tradnl" w:eastAsia="es-MX"/>
              </w:rPr>
              <w:t xml:space="preserve"> 2.2.1.1.1.6.2</w:t>
            </w:r>
            <w:r w:rsidRPr="00C94107">
              <w:rPr>
                <w:rFonts w:ascii="Verdana" w:eastAsia="Times New Roman" w:hAnsi="Verdana" w:cs="Arial"/>
                <w:lang w:val="es-ES_tradnl" w:eastAsia="es-MX"/>
              </w:rPr>
              <w:t>.</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2.2.1.1.2.1.3</w:t>
            </w:r>
            <w:r>
              <w:rPr>
                <w:rFonts w:ascii="Verdana" w:eastAsia="Times New Roman" w:hAnsi="Verdana" w:cs="Arial"/>
                <w:lang w:val="es-ES_tradnl" w:eastAsia="es-MX"/>
              </w:rPr>
              <w:t>.</w:t>
            </w:r>
          </w:p>
          <w:p w14:paraId="30D08C39" w14:textId="77777777" w:rsidR="00BD716E" w:rsidRPr="006A640E" w:rsidRDefault="00BD716E" w:rsidP="00BD716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eastAsia="Times New Roman" w:hAnsi="Verdana" w:cs="Arial"/>
                <w:lang w:val="es-ES_tradnl" w:eastAsia="es-MX"/>
              </w:rPr>
              <w:t>Ley 1819 de 2019. Artículo 4</w:t>
            </w:r>
          </w:p>
        </w:tc>
      </w:tr>
    </w:tbl>
    <w:p w14:paraId="5A8ED26C" w14:textId="77777777" w:rsidR="00BD716E" w:rsidRDefault="00BD716E" w:rsidP="00BD716E">
      <w:pPr>
        <w:widowControl w:val="0"/>
        <w:autoSpaceDE w:val="0"/>
        <w:autoSpaceDN w:val="0"/>
        <w:spacing w:after="0" w:line="276" w:lineRule="auto"/>
        <w:jc w:val="both"/>
        <w:rPr>
          <w:rFonts w:ascii="Verdana" w:hAnsi="Verdana" w:cs="Arial"/>
        </w:rPr>
      </w:pPr>
    </w:p>
    <w:p w14:paraId="342B64D5" w14:textId="77777777" w:rsidR="00BD716E" w:rsidRDefault="00BD716E" w:rsidP="00BD716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FC812EC" w14:textId="77777777" w:rsidR="00BD716E" w:rsidRDefault="00BD716E" w:rsidP="00BD716E">
      <w:pPr>
        <w:widowControl w:val="0"/>
        <w:autoSpaceDE w:val="0"/>
        <w:autoSpaceDN w:val="0"/>
        <w:spacing w:after="0" w:line="276" w:lineRule="auto"/>
        <w:jc w:val="both"/>
        <w:rPr>
          <w:rFonts w:ascii="Verdana" w:hAnsi="Verdana" w:cs="Arial"/>
        </w:rPr>
      </w:pPr>
    </w:p>
    <w:p w14:paraId="398AD5E1" w14:textId="77777777" w:rsidR="00BD716E" w:rsidRPr="00FE3C84" w:rsidRDefault="00BD716E" w:rsidP="00BD716E">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w:t>
      </w:r>
      <w:r w:rsidRPr="00B106E4">
        <w:rPr>
          <w:rStyle w:val="normaltextrun"/>
          <w:rFonts w:ascii="Verdana" w:hAnsi="Verdana" w:cs="Arial"/>
          <w:shd w:val="clear" w:color="auto" w:fill="FFFFFF"/>
          <w:lang w:val="es-ES"/>
        </w:rPr>
        <w:t xml:space="preserve"> determinación de los requisitos habilitantes</w:t>
      </w:r>
      <w:r>
        <w:rPr>
          <w:rStyle w:val="normaltextrun"/>
          <w:rFonts w:ascii="Verdana" w:hAnsi="Verdana" w:cs="Arial"/>
          <w:shd w:val="clear" w:color="auto" w:fill="FFFFFF"/>
          <w:lang w:val="es-ES"/>
        </w:rPr>
        <w:t>, esta Subdirección se ha pronunciado</w:t>
      </w:r>
      <w:r w:rsidRPr="00B106E4">
        <w:rPr>
          <w:rStyle w:val="normaltextrun"/>
          <w:rFonts w:ascii="Verdana" w:hAnsi="Verdana" w:cs="Arial"/>
          <w:shd w:val="clear" w:color="auto" w:fill="FFFFFF"/>
          <w:lang w:val="es-ES"/>
        </w:rPr>
        <w:t xml:space="preserve"> en los conceptos C-120 del 3 de marzo de 2020, C-204 del 31 de marzo de 2020, C-099 del 6 de abril  de 2020, C-195 del 13 de abril de 2020, C-013 del 17 de abril de 2020, C-330 del 27 de mayo de 2020 y C-396 de 16 de julio de 2020, C-142 del 30 de marzo de 2022,  C-337 de 18de agosto de 2023,Concepto C-483 del 26 de septiembre de 2024, Concepto C- 662 de 2024 del 29 de enero de 2025, C –043 del 28 </w:t>
      </w:r>
      <w:proofErr w:type="spellStart"/>
      <w:r w:rsidRPr="00B106E4">
        <w:rPr>
          <w:rStyle w:val="normaltextrun"/>
          <w:rFonts w:ascii="Verdana" w:hAnsi="Verdana" w:cs="Arial"/>
          <w:shd w:val="clear" w:color="auto" w:fill="FFFFFF"/>
          <w:lang w:val="es-ES"/>
        </w:rPr>
        <w:t>del</w:t>
      </w:r>
      <w:proofErr w:type="spellEnd"/>
      <w:r w:rsidRPr="00B106E4">
        <w:rPr>
          <w:rStyle w:val="normaltextrun"/>
          <w:rFonts w:ascii="Verdana" w:hAnsi="Verdana" w:cs="Arial"/>
          <w:shd w:val="clear" w:color="auto" w:fill="FFFFFF"/>
          <w:lang w:val="es-ES"/>
        </w:rPr>
        <w:t xml:space="preserve"> febrero de 2025, Concepto C- 116 del 1 de marzo de 2025, entre otros</w:t>
      </w:r>
      <w:r>
        <w:rPr>
          <w:rStyle w:val="normaltextrun"/>
          <w:rFonts w:ascii="Verdana" w:hAnsi="Verdana" w:cs="Arial"/>
          <w:shd w:val="clear" w:color="auto" w:fill="FFFFFF"/>
          <w:lang w:val="es-ES"/>
        </w:rPr>
        <w:t>.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1E3BF32E" w14:textId="77777777" w:rsidR="00BD716E" w:rsidRDefault="00BD716E" w:rsidP="00BD716E">
      <w:pPr>
        <w:spacing w:after="0" w:line="276" w:lineRule="auto"/>
        <w:jc w:val="both"/>
        <w:rPr>
          <w:rFonts w:ascii="Verdana" w:hAnsi="Verdana"/>
        </w:rPr>
      </w:pPr>
    </w:p>
    <w:p w14:paraId="7CECE866" w14:textId="77777777" w:rsidR="00BD716E" w:rsidRDefault="00BD716E" w:rsidP="00BD716E">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79C9634" w14:textId="77777777" w:rsidR="00BD716E" w:rsidRDefault="00BD716E" w:rsidP="00BD716E">
      <w:pPr>
        <w:spacing w:after="0" w:line="276" w:lineRule="auto"/>
        <w:jc w:val="both"/>
        <w:rPr>
          <w:rFonts w:ascii="Verdana" w:hAnsi="Verdana"/>
        </w:rPr>
      </w:pPr>
    </w:p>
    <w:p w14:paraId="3D3B1A30" w14:textId="77777777" w:rsidR="00BD716E" w:rsidRDefault="00BD716E" w:rsidP="00BD716E">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1F68805A" w14:textId="77777777" w:rsidR="00BD716E" w:rsidRDefault="00BD716E" w:rsidP="00BD716E">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0710B92B" w14:textId="77777777" w:rsidR="00BD716E" w:rsidRDefault="00BD716E" w:rsidP="00BD716E">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79C4A24" w14:textId="77777777" w:rsidR="00BD716E" w:rsidRDefault="00BD716E" w:rsidP="00BD716E">
      <w:pPr>
        <w:widowControl w:val="0"/>
        <w:autoSpaceDE w:val="0"/>
        <w:autoSpaceDN w:val="0"/>
        <w:spacing w:after="0" w:line="276" w:lineRule="auto"/>
        <w:jc w:val="both"/>
        <w:rPr>
          <w:rFonts w:ascii="Verdana" w:hAnsi="Verdana" w:cs="Arial"/>
        </w:rPr>
      </w:pPr>
    </w:p>
    <w:p w14:paraId="31D4FE4D" w14:textId="77777777" w:rsidR="00BD716E" w:rsidRDefault="00BD716E" w:rsidP="00BD716E">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32CA4CA" w14:textId="77777777" w:rsidR="00BD716E" w:rsidRDefault="00BD716E" w:rsidP="00BD716E">
      <w:pPr>
        <w:widowControl w:val="0"/>
        <w:autoSpaceDE w:val="0"/>
        <w:autoSpaceDN w:val="0"/>
        <w:spacing w:after="0" w:line="276" w:lineRule="auto"/>
        <w:jc w:val="both"/>
        <w:rPr>
          <w:rFonts w:ascii="Verdana" w:hAnsi="Verdana" w:cs="Arial"/>
        </w:rPr>
      </w:pPr>
    </w:p>
    <w:p w14:paraId="72BACAE5" w14:textId="77777777" w:rsidR="00BD716E" w:rsidRDefault="00BD716E" w:rsidP="00BD716E">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0306BA84" w14:textId="0C2E8A69" w:rsidR="00BD716E" w:rsidRDefault="0021640A" w:rsidP="00BD716E">
      <w:pPr>
        <w:spacing w:after="0" w:line="276" w:lineRule="auto"/>
        <w:jc w:val="center"/>
      </w:pPr>
      <w:r>
        <w:rPr>
          <w:noProof/>
        </w:rPr>
        <w:drawing>
          <wp:inline distT="0" distB="0" distL="0" distR="0" wp14:anchorId="70808747" wp14:editId="0DD2A449">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716E" w14:paraId="61D56BE9" w14:textId="77777777" w:rsidTr="00596B74">
        <w:trPr>
          <w:trHeight w:val="315"/>
        </w:trPr>
        <w:tc>
          <w:tcPr>
            <w:tcW w:w="893" w:type="dxa"/>
            <w:vAlign w:val="center"/>
            <w:hideMark/>
          </w:tcPr>
          <w:p w14:paraId="342E0F3A" w14:textId="77777777" w:rsidR="00BD716E" w:rsidRDefault="00BD716E" w:rsidP="00596B74">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60B0388" w14:textId="77777777" w:rsidR="00BD716E" w:rsidRDefault="00BD716E" w:rsidP="00596B74">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4F93529F" w14:textId="77777777" w:rsidR="00BD716E" w:rsidRDefault="00BD716E" w:rsidP="00596B74">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BD716E" w14:paraId="08F6ABDD" w14:textId="77777777" w:rsidTr="00596B74">
        <w:trPr>
          <w:trHeight w:val="330"/>
        </w:trPr>
        <w:tc>
          <w:tcPr>
            <w:tcW w:w="893" w:type="dxa"/>
            <w:vAlign w:val="center"/>
            <w:hideMark/>
          </w:tcPr>
          <w:p w14:paraId="5399B4CB" w14:textId="77777777" w:rsidR="00BD716E" w:rsidRDefault="00BD716E" w:rsidP="00596B74">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B99FD8" w14:textId="77777777" w:rsidR="00BD716E" w:rsidRDefault="00BD716E" w:rsidP="00596B74">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4E3601FA" w14:textId="77777777" w:rsidR="00BD716E" w:rsidRDefault="00BD716E" w:rsidP="00596B74">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BD716E" w14:paraId="7425C3AF" w14:textId="77777777" w:rsidTr="00596B74">
        <w:trPr>
          <w:trHeight w:val="300"/>
        </w:trPr>
        <w:tc>
          <w:tcPr>
            <w:tcW w:w="893" w:type="dxa"/>
            <w:vAlign w:val="center"/>
            <w:hideMark/>
          </w:tcPr>
          <w:p w14:paraId="7A2C012B" w14:textId="77777777" w:rsidR="00BD716E" w:rsidRDefault="00BD716E" w:rsidP="00596B74">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35BE31" w14:textId="77777777" w:rsidR="00BD716E" w:rsidRDefault="00BD716E" w:rsidP="00596B74">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79CE231B" w14:textId="77777777" w:rsidR="00BD716E" w:rsidRDefault="00BD716E" w:rsidP="00596B74">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 </w:t>
            </w:r>
          </w:p>
        </w:tc>
      </w:tr>
    </w:tbl>
    <w:p w14:paraId="67D0FA98" w14:textId="77777777" w:rsidR="00BD716E" w:rsidRPr="001249F1" w:rsidRDefault="00BD716E" w:rsidP="00BD716E"/>
    <w:p w14:paraId="572A9A52" w14:textId="77777777" w:rsidR="00BD716E" w:rsidRPr="0044528D" w:rsidRDefault="00BD716E" w:rsidP="00BD716E">
      <w:pPr>
        <w:spacing w:after="0"/>
        <w:rPr>
          <w:rFonts w:ascii="Verdana" w:eastAsia="Times New Roman" w:hAnsi="Verdana" w:cs="Segoe UI"/>
          <w:b/>
          <w:bCs/>
          <w:color w:val="46589C"/>
          <w:lang w:val="es-ES" w:eastAsia="es-CO"/>
        </w:rPr>
      </w:pPr>
    </w:p>
    <w:p w14:paraId="186F145B" w14:textId="77777777" w:rsidR="00BD716E" w:rsidRPr="00046945" w:rsidRDefault="00BD716E" w:rsidP="00BD716E">
      <w:pPr>
        <w:spacing w:after="0"/>
        <w:rPr>
          <w:rFonts w:ascii="Verdana" w:eastAsia="Times New Roman" w:hAnsi="Verdana" w:cs="Segoe UI"/>
          <w:sz w:val="18"/>
          <w:szCs w:val="18"/>
          <w:lang w:eastAsia="es-CO"/>
        </w:rPr>
      </w:pPr>
    </w:p>
    <w:p w14:paraId="786CB55B" w14:textId="77777777" w:rsidR="00BD716E" w:rsidRPr="0044528D" w:rsidRDefault="00BD716E" w:rsidP="00BD716E">
      <w:pPr>
        <w:spacing w:after="0"/>
        <w:rPr>
          <w:rFonts w:ascii="Verdana" w:hAnsi="Verdana"/>
        </w:rPr>
      </w:pPr>
    </w:p>
    <w:p w14:paraId="7D765D24" w14:textId="77777777" w:rsidR="00BD716E" w:rsidRPr="0015699B" w:rsidRDefault="00BD716E" w:rsidP="00BD716E">
      <w:pPr>
        <w:spacing w:after="0"/>
        <w:rPr>
          <w:rFonts w:ascii="Verdana" w:eastAsia="Times New Roman" w:hAnsi="Verdana" w:cs="Segoe UI"/>
          <w:lang w:eastAsia="es-CO"/>
        </w:rPr>
      </w:pPr>
    </w:p>
    <w:p w14:paraId="0F293BF4" w14:textId="4F57FA4D" w:rsidR="00127233" w:rsidRPr="0015699B" w:rsidRDefault="00127233" w:rsidP="00BD716E">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13380" w14:textId="77777777" w:rsidR="00C875A7" w:rsidRDefault="00C875A7" w:rsidP="004A1847">
      <w:pPr>
        <w:spacing w:after="0" w:line="240" w:lineRule="auto"/>
      </w:pPr>
      <w:r>
        <w:separator/>
      </w:r>
    </w:p>
  </w:endnote>
  <w:endnote w:type="continuationSeparator" w:id="0">
    <w:p w14:paraId="37362E9C" w14:textId="77777777" w:rsidR="00C875A7" w:rsidRDefault="00C875A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C2BC6D" w14:textId="77777777" w:rsidR="00C875A7" w:rsidRDefault="00C875A7" w:rsidP="004A1847">
      <w:pPr>
        <w:spacing w:after="0" w:line="240" w:lineRule="auto"/>
      </w:pPr>
      <w:r>
        <w:separator/>
      </w:r>
    </w:p>
  </w:footnote>
  <w:footnote w:type="continuationSeparator" w:id="0">
    <w:p w14:paraId="6284C2BF" w14:textId="77777777" w:rsidR="00C875A7" w:rsidRDefault="00C875A7" w:rsidP="004A1847">
      <w:pPr>
        <w:spacing w:after="0" w:line="240" w:lineRule="auto"/>
      </w:pPr>
      <w:r>
        <w:continuationSeparator/>
      </w:r>
    </w:p>
  </w:footnote>
  <w:footnote w:id="1">
    <w:p w14:paraId="55BBA584" w14:textId="77777777" w:rsidR="00BD716E" w:rsidRPr="00810146" w:rsidRDefault="00BD716E" w:rsidP="00BD716E">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 xml:space="preserve">Ley 1150 de 2007: “Artículo 6.  De la verificación de las condiciones de los proponentes. [...]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2">
    <w:p w14:paraId="438136DD" w14:textId="77777777" w:rsidR="00BD716E" w:rsidRPr="00810146" w:rsidRDefault="00BD716E" w:rsidP="00BD716E">
      <w:pPr>
        <w:pStyle w:val="NormalWeb"/>
        <w:snapToGrid w:val="0"/>
        <w:spacing w:before="0" w:beforeAutospacing="0" w:after="0" w:afterAutospacing="0"/>
        <w:ind w:firstLine="709"/>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val="es-ES"/>
        </w:rPr>
        <w:t>“</w:t>
      </w:r>
      <w:r w:rsidRPr="00810146">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4F229F44" w14:textId="77777777" w:rsidR="00BD716E" w:rsidRPr="00810146" w:rsidRDefault="00BD716E" w:rsidP="00BD716E">
      <w:pPr>
        <w:snapToGrid w:val="0"/>
        <w:spacing w:after="0" w:line="240" w:lineRule="auto"/>
        <w:ind w:firstLine="708"/>
        <w:contextualSpacing/>
        <w:jc w:val="both"/>
        <w:rPr>
          <w:rFonts w:ascii="Verdana" w:hAnsi="Verdana" w:cs="Arial"/>
          <w:sz w:val="16"/>
          <w:szCs w:val="16"/>
        </w:rPr>
      </w:pPr>
      <w:r w:rsidRPr="00810146">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7E44CB84" w14:textId="77777777" w:rsidR="00BD716E" w:rsidRPr="00810146" w:rsidRDefault="00BD716E" w:rsidP="00BD716E">
      <w:pPr>
        <w:pStyle w:val="Textonotapie"/>
        <w:ind w:firstLine="708"/>
        <w:contextualSpacing/>
        <w:jc w:val="both"/>
        <w:rPr>
          <w:rFonts w:ascii="Verdana" w:hAnsi="Verdana"/>
          <w:sz w:val="16"/>
          <w:szCs w:val="16"/>
        </w:rPr>
      </w:pPr>
      <w:r w:rsidRPr="00810146">
        <w:rPr>
          <w:rStyle w:val="Refdenotaalpie"/>
          <w:rFonts w:ascii="Verdana" w:hAnsi="Verdana"/>
          <w:sz w:val="16"/>
          <w:szCs w:val="16"/>
        </w:rPr>
        <w:footnoteRef/>
      </w:r>
      <w:r w:rsidRPr="00810146">
        <w:rPr>
          <w:rFonts w:ascii="Verdana" w:hAnsi="Verdana"/>
          <w:sz w:val="16"/>
          <w:szCs w:val="16"/>
        </w:rPr>
        <w:t xml:space="preserve"> El </w:t>
      </w:r>
      <w:r w:rsidRPr="00810146">
        <w:rPr>
          <w:rFonts w:ascii="Verdana" w:eastAsia="Times New Roman" w:hAnsi="Verdana" w:cs="Arial"/>
          <w:sz w:val="16"/>
          <w:szCs w:val="16"/>
          <w:lang w:val="es-ES" w:eastAsia="es-MX"/>
        </w:rPr>
        <w:t>“Manual para determinar y verificar los requisitos habilitantes en los Procesos de Contratación”</w:t>
      </w:r>
      <w:r w:rsidRPr="00810146">
        <w:rPr>
          <w:rFonts w:ascii="Verdana" w:eastAsia="Calibri" w:hAnsi="Verdana" w:cs="Arial"/>
          <w:sz w:val="16"/>
          <w:szCs w:val="16"/>
          <w:lang w:val="es-ES" w:eastAsia="es-MX"/>
        </w:rPr>
        <w:t>,</w:t>
      </w:r>
      <w:r w:rsidRPr="00810146">
        <w:rPr>
          <w:rFonts w:ascii="Verdana" w:eastAsia="Times New Roman" w:hAnsi="Verdana" w:cs="Arial"/>
          <w:sz w:val="16"/>
          <w:szCs w:val="16"/>
          <w:lang w:val="es-ES" w:eastAsia="es-MX"/>
        </w:rPr>
        <w:t xml:space="preserve"> expedido por la </w:t>
      </w:r>
      <w:r w:rsidRPr="00810146">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810146">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810146">
        <w:rPr>
          <w:rFonts w:ascii="Verdana" w:eastAsia="Calibri" w:hAnsi="Verdana" w:cs="Arial"/>
          <w:sz w:val="16"/>
          <w:szCs w:val="16"/>
          <w:lang w:val="es-ES" w:eastAsia="es-MX"/>
        </w:rPr>
        <w:t xml:space="preserve">  </w:t>
      </w:r>
    </w:p>
  </w:footnote>
  <w:footnote w:id="4">
    <w:p w14:paraId="304082A9" w14:textId="77777777" w:rsidR="00BD716E" w:rsidRPr="00810146" w:rsidRDefault="00BD716E" w:rsidP="00BD716E">
      <w:pPr>
        <w:pStyle w:val="NormalWeb"/>
        <w:snapToGrid w:val="0"/>
        <w:spacing w:before="0" w:beforeAutospacing="0" w:after="0" w:afterAutospacing="0"/>
        <w:ind w:firstLine="709"/>
        <w:contextualSpacing/>
        <w:jc w:val="both"/>
        <w:rPr>
          <w:rFonts w:ascii="Verdana" w:hAnsi="Verdana" w:cs="Arial"/>
          <w:sz w:val="16"/>
          <w:szCs w:val="16"/>
          <w:lang w:val="es-ES"/>
        </w:rPr>
      </w:pPr>
      <w:r w:rsidRPr="00810146">
        <w:rPr>
          <w:rStyle w:val="Refdenotaalpie"/>
          <w:rFonts w:ascii="Verdana" w:hAnsi="Verdana" w:cs="Arial"/>
          <w:sz w:val="16"/>
          <w:szCs w:val="16"/>
        </w:rPr>
        <w:footnoteRef/>
      </w:r>
      <w:r w:rsidRPr="00810146">
        <w:rPr>
          <w:rStyle w:val="Refdenotaalpie"/>
          <w:rFonts w:ascii="Verdana" w:hAnsi="Verdana" w:cs="Arial"/>
          <w:sz w:val="16"/>
          <w:szCs w:val="16"/>
        </w:rPr>
        <w:t xml:space="preserve"> </w:t>
      </w:r>
      <w:r>
        <w:rPr>
          <w:rFonts w:ascii="Verdana" w:hAnsi="Verdana" w:cs="Arial"/>
          <w:sz w:val="16"/>
          <w:szCs w:val="16"/>
        </w:rPr>
        <w:t>“</w:t>
      </w:r>
      <w:r w:rsidRPr="00810146">
        <w:rPr>
          <w:rFonts w:ascii="Verdana" w:hAnsi="Verdana" w:cs="Arial"/>
          <w:sz w:val="16"/>
          <w:szCs w:val="16"/>
          <w:lang w:val="es-ES"/>
        </w:rPr>
        <w:t>Artículo 2.2.1.1.1.6.2.</w:t>
      </w:r>
      <w:r>
        <w:rPr>
          <w:rFonts w:ascii="Verdana" w:hAnsi="Verdana" w:cs="Arial"/>
          <w:sz w:val="16"/>
          <w:szCs w:val="16"/>
          <w:lang w:val="es-ES"/>
        </w:rPr>
        <w:t xml:space="preserve"> </w:t>
      </w:r>
      <w:r w:rsidRPr="00810146">
        <w:rPr>
          <w:rFonts w:ascii="Verdana" w:hAnsi="Verdana" w:cs="Arial"/>
          <w:sz w:val="16"/>
          <w:szCs w:val="16"/>
          <w:lang w:val="es-ES"/>
        </w:rPr>
        <w:t>Determinación de los Requisitos Habilitantes.</w:t>
      </w:r>
      <w:r>
        <w:rPr>
          <w:rFonts w:ascii="Verdana" w:hAnsi="Verdana" w:cs="Arial"/>
          <w:sz w:val="16"/>
          <w:szCs w:val="16"/>
          <w:lang w:val="es-ES"/>
        </w:rPr>
        <w:t xml:space="preserve"> </w:t>
      </w:r>
      <w:r w:rsidRPr="00810146">
        <w:rPr>
          <w:rFonts w:ascii="Verdana" w:hAnsi="Verdana" w:cs="Arial"/>
          <w:sz w:val="16"/>
          <w:szCs w:val="16"/>
          <w:lang w:val="es-ES"/>
        </w:rPr>
        <w:t>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35E1630A" w14:textId="77777777" w:rsidR="00BD716E" w:rsidRPr="00810146" w:rsidRDefault="00BD716E" w:rsidP="00BD716E">
      <w:pPr>
        <w:pStyle w:val="NormalWeb"/>
        <w:snapToGrid w:val="0"/>
        <w:spacing w:before="0" w:beforeAutospacing="0" w:after="0" w:afterAutospacing="0"/>
        <w:ind w:firstLine="709"/>
        <w:contextualSpacing/>
        <w:jc w:val="both"/>
        <w:rPr>
          <w:rFonts w:ascii="Verdana" w:hAnsi="Verdana" w:cs="Arial"/>
          <w:sz w:val="16"/>
          <w:szCs w:val="16"/>
          <w:lang w:val="es-ES"/>
        </w:rPr>
      </w:pPr>
      <w:r w:rsidRPr="00810146">
        <w:rPr>
          <w:rFonts w:ascii="Verdana" w:hAnsi="Verdana" w:cs="Arial"/>
          <w:sz w:val="16"/>
          <w:szCs w:val="16"/>
          <w:lang w:val="es-ES"/>
        </w:rPr>
        <w:t>Parágrafo Transitorio.</w:t>
      </w:r>
      <w:r>
        <w:rPr>
          <w:rFonts w:ascii="Verdana" w:hAnsi="Verdana" w:cs="Arial"/>
          <w:sz w:val="16"/>
          <w:szCs w:val="16"/>
          <w:lang w:val="es-ES"/>
        </w:rPr>
        <w:t xml:space="preserve"> </w:t>
      </w:r>
      <w:r w:rsidRPr="00810146">
        <w:rPr>
          <w:rFonts w:ascii="Verdana" w:hAnsi="Verdana"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22A141B7" w14:textId="77777777" w:rsidR="00BD716E" w:rsidRDefault="00BD716E" w:rsidP="00BD716E">
      <w:pPr>
        <w:pStyle w:val="NormalWeb"/>
        <w:snapToGrid w:val="0"/>
        <w:spacing w:before="0" w:beforeAutospacing="0" w:after="0" w:afterAutospacing="0"/>
        <w:ind w:firstLine="708"/>
        <w:contextualSpacing/>
        <w:jc w:val="both"/>
        <w:rPr>
          <w:rFonts w:ascii="Verdana" w:hAnsi="Verdana" w:cs="Arial"/>
          <w:sz w:val="16"/>
          <w:szCs w:val="16"/>
          <w:lang w:val="es-ES"/>
        </w:rPr>
      </w:pPr>
      <w:r w:rsidRPr="00810146">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w:t>
      </w:r>
      <w:r>
        <w:rPr>
          <w:rFonts w:ascii="Verdana" w:hAnsi="Verdana" w:cs="Arial"/>
          <w:sz w:val="16"/>
          <w:szCs w:val="16"/>
          <w:lang w:val="es-ES"/>
        </w:rPr>
        <w:t xml:space="preserve"> </w:t>
      </w:r>
      <w:r w:rsidRPr="00810146">
        <w:rPr>
          <w:rFonts w:ascii="Verdana" w:hAnsi="Verdana" w:cs="Arial"/>
          <w:sz w:val="16"/>
          <w:szCs w:val="16"/>
          <w:lang w:val="es-ES"/>
        </w:rPr>
        <w:t>indicadores, teniendo en cuenta el mejor año fiscal que se refleje en el registro de cada proponente</w:t>
      </w:r>
      <w:r w:rsidRPr="00810146">
        <w:rPr>
          <w:rFonts w:ascii="Verdana" w:hAnsi="Verdana" w:cs="Verdana"/>
          <w:sz w:val="16"/>
          <w:szCs w:val="16"/>
          <w:lang w:val="es-ES"/>
        </w:rPr>
        <w:t>”</w:t>
      </w:r>
      <w:r w:rsidRPr="00810146">
        <w:rPr>
          <w:rFonts w:ascii="Verdana" w:hAnsi="Verdana" w:cs="Arial"/>
          <w:sz w:val="16"/>
          <w:szCs w:val="16"/>
          <w:lang w:val="es-ES"/>
        </w:rPr>
        <w:t>.</w:t>
      </w:r>
    </w:p>
    <w:p w14:paraId="1F62BD1C" w14:textId="77777777" w:rsidR="00BD716E" w:rsidRPr="00810146" w:rsidRDefault="00BD716E" w:rsidP="00BD716E">
      <w:pPr>
        <w:pStyle w:val="NormalWeb"/>
        <w:snapToGrid w:val="0"/>
        <w:spacing w:before="0" w:beforeAutospacing="0" w:after="0" w:afterAutospacing="0"/>
        <w:ind w:firstLine="708"/>
        <w:contextualSpacing/>
        <w:jc w:val="both"/>
        <w:rPr>
          <w:rStyle w:val="Refdenotaalpie"/>
          <w:vertAlign w:val="baseline"/>
        </w:rPr>
      </w:pPr>
    </w:p>
  </w:footnote>
  <w:footnote w:id="5">
    <w:p w14:paraId="29FD946B" w14:textId="77777777" w:rsidR="00BD716E" w:rsidRPr="00810146" w:rsidRDefault="00BD716E" w:rsidP="00BD716E">
      <w:pPr>
        <w:pStyle w:val="Textonotapie"/>
        <w:ind w:firstLine="708"/>
        <w:contextualSpacing/>
        <w:jc w:val="both"/>
        <w:rPr>
          <w:rFonts w:ascii="Verdana" w:hAnsi="Verdana"/>
          <w:sz w:val="16"/>
          <w:szCs w:val="16"/>
        </w:rPr>
      </w:pPr>
      <w:r w:rsidRPr="00810146">
        <w:rPr>
          <w:rStyle w:val="Refdenotaalpie"/>
          <w:rFonts w:ascii="Verdana" w:hAnsi="Verdana"/>
          <w:sz w:val="16"/>
          <w:szCs w:val="16"/>
        </w:rPr>
        <w:footnoteRef/>
      </w:r>
      <w:r w:rsidRPr="00810146">
        <w:rPr>
          <w:rFonts w:ascii="Verdana" w:hAnsi="Verdana"/>
          <w:sz w:val="16"/>
          <w:szCs w:val="16"/>
        </w:rPr>
        <w:t xml:space="preserve"> </w:t>
      </w:r>
      <w:bookmarkStart w:id="13" w:name="44"/>
      <w:r w:rsidRPr="00810146">
        <w:rPr>
          <w:rFonts w:ascii="Verdana" w:hAnsi="Verdana"/>
          <w:sz w:val="16"/>
          <w:szCs w:val="16"/>
        </w:rPr>
        <w:t xml:space="preserve">Sobre el particular el </w:t>
      </w:r>
      <w:r w:rsidRPr="00810146">
        <w:rPr>
          <w:rFonts w:ascii="Verdana" w:hAnsi="Verdana"/>
          <w:sz w:val="16"/>
          <w:szCs w:val="16"/>
          <w:lang w:val="es-CO"/>
        </w:rPr>
        <w:t>artículo 44 de la Ley 1437 de 2011, dispone: “</w:t>
      </w:r>
      <w:r w:rsidRPr="00407F3F">
        <w:rPr>
          <w:rFonts w:ascii="Verdana" w:hAnsi="Verdana"/>
          <w:sz w:val="16"/>
          <w:szCs w:val="16"/>
          <w:lang w:val="es-CO"/>
        </w:rPr>
        <w:t>Decisiones Discrecionales</w:t>
      </w:r>
      <w:r w:rsidRPr="00810146">
        <w:rPr>
          <w:rFonts w:ascii="Verdana" w:hAnsi="Verdana"/>
          <w:sz w:val="16"/>
          <w:szCs w:val="16"/>
          <w:lang w:val="es-CO"/>
        </w:rPr>
        <w:t>.</w:t>
      </w:r>
      <w:bookmarkEnd w:id="13"/>
      <w:r w:rsidRPr="00B076AE">
        <w:rPr>
          <w:rFonts w:ascii="Verdana" w:hAnsi="Verdana"/>
          <w:sz w:val="16"/>
          <w:szCs w:val="16"/>
          <w:lang w:val="es-CO"/>
        </w:rPr>
        <w:t xml:space="preserve"> </w:t>
      </w:r>
      <w:r w:rsidRPr="00810146">
        <w:rPr>
          <w:rFonts w:ascii="Verdana" w:hAnsi="Verdana"/>
          <w:sz w:val="16"/>
          <w:szCs w:val="16"/>
          <w:lang w:val="es-CO"/>
        </w:rPr>
        <w:t>En la medida en que el contenido de una decisión de carácter general o particular sea discrecional, debe ser adecuada a los fines de la norma que la autoriza, y proporcional a los hechos que le sirven de causa”.</w:t>
      </w:r>
    </w:p>
  </w:footnote>
  <w:footnote w:id="6">
    <w:p w14:paraId="00339E06" w14:textId="77777777" w:rsidR="00BD716E" w:rsidRPr="00810146" w:rsidRDefault="00BD716E" w:rsidP="00BD716E">
      <w:pPr>
        <w:pStyle w:val="Textonotapie"/>
        <w:snapToGrid w:val="0"/>
        <w:ind w:firstLine="708"/>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Ley 1150 de 2007: “Artículo 6. De la verificación de las condiciones de los proponentes.</w:t>
      </w:r>
      <w:r w:rsidRPr="00810146">
        <w:rPr>
          <w:rFonts w:ascii="Verdana" w:hAnsi="Verdana" w:cs="Arial"/>
          <w:sz w:val="16"/>
          <w:szCs w:val="16"/>
          <w:lang w:eastAsia="es-CO"/>
        </w:rPr>
        <w:t>[…]</w:t>
      </w:r>
      <w:r w:rsidRPr="00810146">
        <w:rPr>
          <w:rFonts w:ascii="Verdana" w:hAnsi="Verdana" w:cs="Arial"/>
          <w:sz w:val="16"/>
          <w:szCs w:val="16"/>
        </w:rPr>
        <w:t xml:space="preserve"> </w:t>
      </w:r>
      <w:r w:rsidRPr="00810146">
        <w:rPr>
          <w:rFonts w:ascii="Verdana" w:hAnsi="Verdana" w:cs="Arial"/>
          <w:sz w:val="16"/>
          <w:szCs w:val="16"/>
          <w:lang w:eastAsia="es-CO"/>
        </w:rPr>
        <w:t>“6.1.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741F4CA" w14:textId="77777777" w:rsidR="00BD716E" w:rsidRPr="00810146" w:rsidRDefault="00BD716E" w:rsidP="00BD716E">
      <w:pPr>
        <w:pStyle w:val="Textonotapie"/>
        <w:snapToGrid w:val="0"/>
        <w:contextualSpacing/>
        <w:jc w:val="both"/>
        <w:rPr>
          <w:rFonts w:ascii="Verdana" w:hAnsi="Verdana" w:cs="Arial"/>
          <w:sz w:val="16"/>
          <w:szCs w:val="16"/>
          <w:lang w:eastAsia="es-CO"/>
        </w:rPr>
      </w:pPr>
      <w:r w:rsidRPr="00810146">
        <w:rPr>
          <w:rFonts w:ascii="Verdana" w:hAnsi="Verdana" w:cs="Arial"/>
          <w:sz w:val="16"/>
          <w:szCs w:val="16"/>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 […]”.</w:t>
      </w:r>
    </w:p>
  </w:footnote>
  <w:footnote w:id="7">
    <w:p w14:paraId="1858D476" w14:textId="77777777" w:rsidR="00BD716E" w:rsidRPr="00810146" w:rsidRDefault="00BD716E" w:rsidP="00BD716E">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Ley 1150 de 2007: “Artículo 5. De la selección objetiva.</w:t>
      </w:r>
      <w:r w:rsidRPr="00810146">
        <w:rPr>
          <w:rFonts w:ascii="Verdana" w:hAnsi="Verdana" w:cs="Arial"/>
          <w:sz w:val="16"/>
          <w:szCs w:val="16"/>
          <w:lang w:eastAsia="es-CO"/>
        </w:rPr>
        <w:t xml:space="preserve"> […] “1.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8">
    <w:p w14:paraId="22DB6406" w14:textId="77777777" w:rsidR="00BD716E" w:rsidRPr="00810146" w:rsidRDefault="00BD716E" w:rsidP="00BD716E">
      <w:pPr>
        <w:pStyle w:val="Textonotapie"/>
        <w:snapToGrid w:val="0"/>
        <w:ind w:firstLine="708"/>
        <w:contextualSpacing/>
        <w:jc w:val="both"/>
        <w:rPr>
          <w:rFonts w:ascii="Verdana" w:hAnsi="Verdana" w:cs="Arial"/>
          <w:sz w:val="16"/>
          <w:szCs w:val="16"/>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9">
    <w:p w14:paraId="0C4B4600" w14:textId="77777777" w:rsidR="008802A9" w:rsidRPr="00A60AC8" w:rsidRDefault="008802A9" w:rsidP="008802A9">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“Artículo 2.2.1.1.1.5.1. Inscripción, renovación, actualización y cancelación del RUP. </w:t>
      </w:r>
    </w:p>
    <w:p w14:paraId="3EC9309D" w14:textId="77777777" w:rsidR="008802A9" w:rsidRPr="00A60AC8" w:rsidRDefault="008802A9" w:rsidP="008802A9">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w:t>
      </w:r>
    </w:p>
    <w:p w14:paraId="475AD3DD" w14:textId="77777777" w:rsidR="008802A9" w:rsidRPr="00A60AC8" w:rsidRDefault="008802A9" w:rsidP="008802A9">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027E91DE" w14:textId="77777777" w:rsidR="008802A9" w:rsidRPr="00A60AC8" w:rsidRDefault="008802A9" w:rsidP="008802A9">
      <w:pPr>
        <w:pStyle w:val="Textonotapie"/>
        <w:contextualSpacing/>
        <w:jc w:val="both"/>
        <w:rPr>
          <w:rFonts w:ascii="Verdana" w:hAnsi="Verdana" w:cs="Arial"/>
          <w:sz w:val="16"/>
          <w:szCs w:val="16"/>
        </w:rPr>
      </w:pPr>
    </w:p>
  </w:footnote>
  <w:footnote w:id="10">
    <w:p w14:paraId="4CAE9730" w14:textId="77777777" w:rsidR="008802A9" w:rsidRPr="00A60AC8" w:rsidRDefault="008802A9" w:rsidP="008802A9">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CONSEJO DE ESTADO. Sección Tercera. Subsección A. Sentencia del 19 de septiembre de 2019. Exp. 59.432. C.P. Marta Nubia Velásquez Rico.</w:t>
      </w:r>
    </w:p>
    <w:p w14:paraId="60EAE65A" w14:textId="77777777" w:rsidR="008802A9" w:rsidRPr="00A60AC8" w:rsidRDefault="008802A9" w:rsidP="008802A9">
      <w:pPr>
        <w:pStyle w:val="Textonotapie"/>
        <w:contextualSpacing/>
        <w:jc w:val="both"/>
        <w:rPr>
          <w:rFonts w:ascii="Verdana" w:hAnsi="Verdana" w:cs="Arial"/>
          <w:sz w:val="16"/>
          <w:szCs w:val="16"/>
        </w:rPr>
      </w:pPr>
    </w:p>
  </w:footnote>
  <w:footnote w:id="11">
    <w:p w14:paraId="5598F3A6" w14:textId="77777777" w:rsidR="00BD716E" w:rsidRPr="00810146" w:rsidRDefault="00BD716E" w:rsidP="00BD716E">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2">
    <w:p w14:paraId="67C80D5B" w14:textId="77777777" w:rsidR="00BD716E" w:rsidRPr="00810146" w:rsidRDefault="00BD716E" w:rsidP="00BD716E">
      <w:pPr>
        <w:pStyle w:val="Textonotapie"/>
        <w:snapToGrid w:val="0"/>
        <w:ind w:firstLine="708"/>
        <w:contextualSpacing/>
        <w:jc w:val="both"/>
        <w:rPr>
          <w:rFonts w:ascii="Verdana" w:hAnsi="Verdana" w:cs="Arial"/>
          <w:sz w:val="16"/>
          <w:szCs w:val="16"/>
          <w:lang w:eastAsia="es-CO"/>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810146">
        <w:rPr>
          <w:rFonts w:ascii="Verdana" w:hAnsi="Verdana" w:cs="Arial"/>
          <w:sz w:val="16"/>
          <w:szCs w:val="16"/>
          <w:lang w:eastAsia="es-CO"/>
        </w:rPr>
        <w:t xml:space="preserve">Ley 1150 de 2007: “Artículo 6.  De la verificación de las condiciones de los proponentes. [...]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13">
    <w:p w14:paraId="00B5450A" w14:textId="77777777" w:rsidR="00BD716E" w:rsidRPr="00810146" w:rsidRDefault="00BD716E" w:rsidP="00BD716E">
      <w:pPr>
        <w:pStyle w:val="Textonotapie"/>
        <w:snapToGrid w:val="0"/>
        <w:ind w:firstLine="420"/>
        <w:contextualSpacing/>
        <w:jc w:val="both"/>
        <w:rPr>
          <w:rFonts w:ascii="Verdana" w:hAnsi="Verdana" w:cs="Arial"/>
          <w:color w:val="000000" w:themeColor="text1"/>
          <w:sz w:val="16"/>
          <w:szCs w:val="16"/>
        </w:rPr>
      </w:pPr>
      <w:r w:rsidRPr="00810146">
        <w:rPr>
          <w:rStyle w:val="Refdenotaalpie"/>
          <w:rFonts w:ascii="Verdana" w:hAnsi="Verdana" w:cs="Arial"/>
          <w:color w:val="000000" w:themeColor="text1"/>
          <w:sz w:val="16"/>
          <w:szCs w:val="16"/>
        </w:rPr>
        <w:footnoteRef/>
      </w:r>
      <w:r w:rsidRPr="00810146">
        <w:rPr>
          <w:rFonts w:ascii="Verdana" w:hAnsi="Verdana" w:cs="Arial"/>
          <w:color w:val="000000" w:themeColor="text1"/>
          <w:sz w:val="16"/>
          <w:szCs w:val="16"/>
          <w:lang w:val="pt-BR"/>
        </w:rPr>
        <w:t xml:space="preserve"> Corte Constitucional. Sala Plena. Sentencia C 178 de 29 de abril de 1996. </w:t>
      </w:r>
      <w:r w:rsidRPr="00810146">
        <w:rPr>
          <w:rFonts w:ascii="Verdana" w:hAnsi="Verdana" w:cs="Arial"/>
          <w:color w:val="000000" w:themeColor="text1"/>
          <w:sz w:val="16"/>
          <w:szCs w:val="16"/>
        </w:rPr>
        <w:t xml:space="preserve">Magistrado Ponente: Antonio Barrera Carbonell. Expediente No. D-974. </w:t>
      </w:r>
    </w:p>
  </w:footnote>
  <w:footnote w:id="14">
    <w:p w14:paraId="4526301A" w14:textId="77777777" w:rsidR="00BD716E" w:rsidRPr="00810146" w:rsidRDefault="00BD716E" w:rsidP="00BD716E">
      <w:pPr>
        <w:snapToGrid w:val="0"/>
        <w:spacing w:after="0" w:line="240" w:lineRule="auto"/>
        <w:ind w:firstLine="420"/>
        <w:contextualSpacing/>
        <w:jc w:val="both"/>
        <w:rPr>
          <w:rFonts w:ascii="Verdana" w:hAnsi="Verdana" w:cs="Arial"/>
          <w:color w:val="000000" w:themeColor="text1"/>
          <w:sz w:val="16"/>
          <w:szCs w:val="16"/>
        </w:rPr>
      </w:pPr>
      <w:r w:rsidRPr="00810146">
        <w:rPr>
          <w:rStyle w:val="Refdenotaalpie"/>
          <w:rFonts w:ascii="Verdana" w:hAnsi="Verdana" w:cs="Arial"/>
          <w:color w:val="000000" w:themeColor="text1"/>
          <w:sz w:val="16"/>
          <w:szCs w:val="16"/>
        </w:rPr>
        <w:footnoteRef/>
      </w:r>
      <w:r w:rsidRPr="00810146">
        <w:rPr>
          <w:rFonts w:ascii="Verdana" w:hAnsi="Verdana" w:cs="Arial"/>
          <w:color w:val="000000" w:themeColor="text1"/>
          <w:sz w:val="16"/>
          <w:szCs w:val="16"/>
        </w:rPr>
        <w:t xml:space="preserve"> “Artículo 6o. De la capacidad para contratar. Pueden celebrar contratos con las entidades estatales las personas consideradas legalmente capaces en las disposiciones vigentes”.</w:t>
      </w:r>
    </w:p>
  </w:footnote>
  <w:footnote w:id="15">
    <w:p w14:paraId="65103A5F" w14:textId="77777777" w:rsidR="00BD716E" w:rsidRPr="00810146" w:rsidRDefault="00BD716E" w:rsidP="00BD716E">
      <w:pPr>
        <w:pStyle w:val="Textonotapie"/>
        <w:snapToGrid w:val="0"/>
        <w:ind w:firstLine="408"/>
        <w:contextualSpacing/>
        <w:jc w:val="both"/>
        <w:rPr>
          <w:rFonts w:ascii="Verdana" w:hAnsi="Verdana" w:cs="Arial"/>
          <w:color w:val="000000" w:themeColor="text1"/>
          <w:sz w:val="16"/>
          <w:szCs w:val="16"/>
        </w:rPr>
      </w:pPr>
      <w:r w:rsidRPr="00810146">
        <w:rPr>
          <w:rStyle w:val="Refdenotaalpie"/>
          <w:rFonts w:ascii="Verdana" w:hAnsi="Verdana" w:cs="Arial"/>
          <w:color w:val="000000" w:themeColor="text1"/>
          <w:sz w:val="16"/>
          <w:szCs w:val="16"/>
        </w:rPr>
        <w:footnoteRef/>
      </w:r>
      <w:r w:rsidRPr="00810146">
        <w:rPr>
          <w:rFonts w:ascii="Verdana" w:hAnsi="Verdana" w:cs="Arial"/>
          <w:color w:val="000000" w:themeColor="text1"/>
          <w:sz w:val="16"/>
          <w:szCs w:val="16"/>
        </w:rPr>
        <w:t xml:space="preserve"> Consejo de Estado. Sala de Consulta y Servicio Civil. Consejero Ponente: Álvaro Namén Vargas. Bogotá, 10 de agosto de 2015. Radicación número: 11001-03-06-000-2015-00118-00(2.260).</w:t>
      </w:r>
    </w:p>
  </w:footnote>
  <w:footnote w:id="16">
    <w:p w14:paraId="3A9C4D84" w14:textId="77777777" w:rsidR="00BD716E" w:rsidRPr="00EB4C69" w:rsidRDefault="00BD716E" w:rsidP="00BD716E">
      <w:pPr>
        <w:pStyle w:val="Textonotapie"/>
        <w:rPr>
          <w:lang w:val="es-ES"/>
        </w:rPr>
      </w:pPr>
      <w:r>
        <w:rPr>
          <w:rStyle w:val="Refdenotaalpie"/>
        </w:rPr>
        <w:footnoteRef/>
      </w:r>
      <w:r>
        <w:t xml:space="preserve"> </w:t>
      </w:r>
      <w:r>
        <w:rPr>
          <w:lang w:val="es-ES"/>
        </w:rPr>
        <w:t xml:space="preserve">La obligación de actualización del Registro Único Tributario no se encuentra dentro de la competencia de esta Agencia, sino que está regulada en la normativa tributaria y dentro de la competencia de las autoridades de dicho sector.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849BE"/>
    <w:multiLevelType w:val="hybridMultilevel"/>
    <w:tmpl w:val="8556BA16"/>
    <w:lvl w:ilvl="0" w:tplc="4D30B85E">
      <w:start w:val="1"/>
      <w:numFmt w:val="lowerRoman"/>
      <w:lvlText w:val="%1."/>
      <w:lvlJc w:val="left"/>
      <w:pPr>
        <w:ind w:left="1080" w:hanging="720"/>
      </w:pPr>
      <w:rPr>
        <w:rFonts w:eastAsia="Calibr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7"/>
  </w:num>
  <w:num w:numId="8">
    <w:abstractNumId w:val="13"/>
  </w:num>
  <w:num w:numId="9">
    <w:abstractNumId w:val="9"/>
  </w:num>
  <w:num w:numId="10">
    <w:abstractNumId w:val="12"/>
  </w:num>
  <w:num w:numId="11">
    <w:abstractNumId w:val="10"/>
  </w:num>
  <w:num w:numId="12">
    <w:abstractNumId w:val="1"/>
  </w:num>
  <w:num w:numId="13">
    <w:abstractNumId w:val="5"/>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296"/>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1640A"/>
    <w:rsid w:val="0022400B"/>
    <w:rsid w:val="002421BB"/>
    <w:rsid w:val="00254352"/>
    <w:rsid w:val="0025796E"/>
    <w:rsid w:val="00266285"/>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31119"/>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02A9"/>
    <w:rsid w:val="008843B6"/>
    <w:rsid w:val="00891928"/>
    <w:rsid w:val="008A446D"/>
    <w:rsid w:val="008B25F1"/>
    <w:rsid w:val="008D180B"/>
    <w:rsid w:val="008E2B8E"/>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554DD"/>
    <w:rsid w:val="00B72CD3"/>
    <w:rsid w:val="00B72FFF"/>
    <w:rsid w:val="00BC3D36"/>
    <w:rsid w:val="00BD54A6"/>
    <w:rsid w:val="00BD716E"/>
    <w:rsid w:val="00BD7F72"/>
    <w:rsid w:val="00BF7425"/>
    <w:rsid w:val="00C04FB3"/>
    <w:rsid w:val="00C11D8B"/>
    <w:rsid w:val="00C15139"/>
    <w:rsid w:val="00C330EB"/>
    <w:rsid w:val="00C50D69"/>
    <w:rsid w:val="00C5365C"/>
    <w:rsid w:val="00C754BE"/>
    <w:rsid w:val="00C76B1C"/>
    <w:rsid w:val="00C875A7"/>
    <w:rsid w:val="00C925AC"/>
    <w:rsid w:val="00CB6357"/>
    <w:rsid w:val="00CC1B26"/>
    <w:rsid w:val="00D361FD"/>
    <w:rsid w:val="00D423A2"/>
    <w:rsid w:val="00D44E26"/>
    <w:rsid w:val="00D520D8"/>
    <w:rsid w:val="00D63AC2"/>
    <w:rsid w:val="00D737AA"/>
    <w:rsid w:val="00D7383B"/>
    <w:rsid w:val="00D7788A"/>
    <w:rsid w:val="00DA231B"/>
    <w:rsid w:val="00DC39FC"/>
    <w:rsid w:val="00DD50F2"/>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D716E"/>
    <w:rPr>
      <w:rFonts w:ascii="Geomanist Light" w:hAnsi="Geomanist Light"/>
      <w:lang w:val="es-ES"/>
    </w:rPr>
  </w:style>
  <w:style w:type="paragraph" w:customStyle="1" w:styleId="Appelnotedebasde">
    <w:name w:val="Appel note de bas de..."/>
    <w:basedOn w:val="Normal"/>
    <w:link w:val="Refdenotaalpie"/>
    <w:uiPriority w:val="99"/>
    <w:rsid w:val="00BD716E"/>
    <w:pPr>
      <w:spacing w:line="240" w:lineRule="exact"/>
    </w:pPr>
    <w:rPr>
      <w:vertAlign w:val="superscript"/>
    </w:rPr>
  </w:style>
  <w:style w:type="character" w:customStyle="1" w:styleId="NormalWebCar">
    <w:name w:val="Normal (Web) Car"/>
    <w:link w:val="NormalWeb"/>
    <w:uiPriority w:val="99"/>
    <w:locked/>
    <w:rsid w:val="00BD716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etamigueln@yahoo.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CE875E16-78BF-4882-A980-FD45DDF5A1C8}"/>
</file>

<file path=docProps/app.xml><?xml version="1.0" encoding="utf-8"?>
<Properties xmlns="http://schemas.openxmlformats.org/officeDocument/2006/extended-properties" xmlns:vt="http://schemas.openxmlformats.org/officeDocument/2006/docPropsVTypes">
  <Template>Normal</Template>
  <TotalTime>10</TotalTime>
  <Pages>19</Pages>
  <Words>5802</Words>
  <Characters>31914</Characters>
  <Application>Microsoft Office Word</Application>
  <DocSecurity>0</DocSecurity>
  <Lines>265</Lines>
  <Paragraphs>75</Paragraphs>
  <ScaleCrop>false</ScaleCrop>
  <Company/>
  <LinksUpToDate>false</LinksUpToDate>
  <CharactersWithSpaces>37641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2025-12-30T16:22:00Z</dcterms:created>
  <dcterms:modified xsi:type="dcterms:W3CDTF">2025-12-31T02:11:00Z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