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D67ED2" w14:textId="77777777" w:rsidR="00AC2FA2" w:rsidRDefault="00AC2FA2" w:rsidP="00AC2FA2">
      <w:pPr>
        <w:spacing w:after="0" w:line="240" w:lineRule="auto"/>
        <w:jc w:val="both"/>
        <w:rPr>
          <w:rFonts w:ascii="Verdana" w:eastAsia="Calibri" w:hAnsi="Verdana" w:cs="Arial"/>
          <w:color w:val="000000" w:themeColor="text1"/>
          <w:sz w:val="20"/>
          <w:szCs w:val="20"/>
          <w:lang w:val="es-ES_tradnl"/>
        </w:rPr>
      </w:pPr>
    </w:p>
    <w:p w14:paraId="30CBFA4F" w14:textId="77777777" w:rsidR="00AC2FA2" w:rsidRPr="00396DBB" w:rsidRDefault="00AC2FA2" w:rsidP="00AC2FA2">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CONTRATACIÓN DIRECTA</w:t>
      </w:r>
      <w:r w:rsidRPr="00A07A23">
        <w:rPr>
          <w:rFonts w:ascii="Verdana" w:hAnsi="Verdana" w:cs="Arial"/>
          <w:b/>
          <w:color w:val="000000" w:themeColor="text1"/>
          <w:lang w:val="es-ES_tradnl"/>
        </w:rPr>
        <w:t xml:space="preserve"> – </w:t>
      </w:r>
      <w:r>
        <w:rPr>
          <w:rFonts w:ascii="Verdana" w:hAnsi="Verdana" w:cs="Arial"/>
          <w:b/>
          <w:color w:val="000000" w:themeColor="text1"/>
          <w:lang w:val="es-ES_tradnl"/>
        </w:rPr>
        <w:t>Libre concurrencia – Excepciones – Causales – Interpretación estricta</w:t>
      </w:r>
    </w:p>
    <w:p w14:paraId="1C4E6F22" w14:textId="77777777" w:rsidR="00AC2FA2" w:rsidRPr="00396DBB" w:rsidRDefault="00AC2FA2" w:rsidP="00AC2FA2">
      <w:pPr>
        <w:pStyle w:val="Textoindependiente"/>
        <w:spacing w:after="0" w:line="240" w:lineRule="auto"/>
        <w:ind w:right="102"/>
        <w:jc w:val="both"/>
        <w:rPr>
          <w:rFonts w:ascii="Verdana" w:hAnsi="Verdana" w:cs="Arial"/>
          <w:color w:val="000000" w:themeColor="text1"/>
          <w:sz w:val="20"/>
          <w:szCs w:val="20"/>
          <w:lang w:val="es-ES_tradnl"/>
        </w:rPr>
      </w:pPr>
    </w:p>
    <w:p w14:paraId="080A3B4E" w14:textId="77777777" w:rsidR="00AC2FA2" w:rsidRDefault="00AC2FA2" w:rsidP="00AC2FA2">
      <w:pPr>
        <w:pStyle w:val="Textoindependiente"/>
        <w:spacing w:after="0" w:line="240" w:lineRule="auto"/>
        <w:ind w:right="102"/>
        <w:jc w:val="both"/>
        <w:rPr>
          <w:rFonts w:ascii="Verdana" w:eastAsia="Arial" w:hAnsi="Verdana" w:cs="Arial"/>
          <w:color w:val="000000" w:themeColor="text1"/>
          <w:sz w:val="20"/>
          <w:szCs w:val="20"/>
          <w:lang w:val="es-ES" w:eastAsia="en-US"/>
        </w:rPr>
      </w:pPr>
      <w:r>
        <w:rPr>
          <w:rFonts w:ascii="Verdana" w:eastAsia="Arial" w:hAnsi="Verdana" w:cs="Arial"/>
          <w:color w:val="000000" w:themeColor="text1"/>
          <w:sz w:val="20"/>
          <w:szCs w:val="20"/>
          <w:lang w:val="es-ES" w:eastAsia="en-US"/>
        </w:rPr>
        <w:t>L</w:t>
      </w:r>
      <w:r w:rsidRPr="00EF19E6">
        <w:rPr>
          <w:rFonts w:ascii="Verdana" w:eastAsia="Arial" w:hAnsi="Verdana" w:cs="Arial"/>
          <w:color w:val="000000" w:themeColor="text1"/>
          <w:sz w:val="20"/>
          <w:szCs w:val="20"/>
          <w:lang w:val="es-ES" w:eastAsia="en-US"/>
        </w:rPr>
        <w:t>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w:t>
      </w:r>
    </w:p>
    <w:p w14:paraId="0B91CB8C" w14:textId="77777777" w:rsidR="00AC2FA2" w:rsidRPr="00396DBB" w:rsidRDefault="00AC2FA2" w:rsidP="00AC2FA2">
      <w:pPr>
        <w:pStyle w:val="Textoindependiente"/>
        <w:spacing w:after="0" w:line="240" w:lineRule="auto"/>
        <w:ind w:right="102"/>
        <w:jc w:val="both"/>
        <w:rPr>
          <w:rFonts w:ascii="Verdana" w:hAnsi="Verdana" w:cs="Arial"/>
          <w:b/>
          <w:color w:val="000000" w:themeColor="text1"/>
          <w:sz w:val="20"/>
          <w:szCs w:val="20"/>
          <w:lang w:val="es-ES_tradnl"/>
        </w:rPr>
      </w:pPr>
    </w:p>
    <w:p w14:paraId="733A73C7" w14:textId="77777777" w:rsidR="00AC2FA2" w:rsidRPr="00396DBB" w:rsidRDefault="00AC2FA2" w:rsidP="00AC2FA2">
      <w:pPr>
        <w:pStyle w:val="Textoindependiente"/>
        <w:spacing w:after="0" w:line="240" w:lineRule="auto"/>
        <w:ind w:right="102"/>
        <w:jc w:val="both"/>
        <w:rPr>
          <w:rFonts w:ascii="Verdana" w:hAnsi="Verdana" w:cs="Arial"/>
          <w:b/>
          <w:color w:val="000000" w:themeColor="text1"/>
          <w:lang w:val="es-ES_tradnl"/>
        </w:rPr>
      </w:pPr>
      <w:r w:rsidRPr="00A07A23">
        <w:rPr>
          <w:rFonts w:ascii="Verdana" w:hAnsi="Verdana" w:cs="Arial"/>
          <w:b/>
          <w:color w:val="000000" w:themeColor="text1"/>
          <w:lang w:val="es-ES_tradnl"/>
        </w:rPr>
        <w:t>URGENCIA MANIFIESTA – Definición – Causal – Contratación directa</w:t>
      </w:r>
      <w:r w:rsidRPr="00396DBB">
        <w:rPr>
          <w:rFonts w:ascii="Verdana" w:hAnsi="Verdana" w:cs="Arial"/>
          <w:b/>
          <w:color w:val="000000" w:themeColor="text1"/>
          <w:lang w:val="es-ES_tradnl"/>
        </w:rPr>
        <w:t xml:space="preserve"> </w:t>
      </w:r>
    </w:p>
    <w:p w14:paraId="247882CB" w14:textId="77777777" w:rsidR="00AC2FA2" w:rsidRPr="00396DBB" w:rsidRDefault="00AC2FA2" w:rsidP="00AC2FA2">
      <w:pPr>
        <w:pStyle w:val="Textoindependiente"/>
        <w:spacing w:after="0" w:line="240" w:lineRule="auto"/>
        <w:ind w:right="102"/>
        <w:jc w:val="both"/>
        <w:rPr>
          <w:rFonts w:ascii="Verdana" w:hAnsi="Verdana" w:cs="Arial"/>
          <w:color w:val="000000" w:themeColor="text1"/>
          <w:sz w:val="20"/>
          <w:szCs w:val="20"/>
          <w:lang w:val="es-ES_tradnl"/>
        </w:rPr>
      </w:pPr>
    </w:p>
    <w:p w14:paraId="3E3E75FF" w14:textId="77777777" w:rsidR="00AC2FA2" w:rsidRPr="00A07A23" w:rsidRDefault="00AC2FA2" w:rsidP="00AC2FA2">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 Esta causal debe leerse en concordancia con los artículos 42 de la Ley 80 de 1993, que define el concepto y establece el procedimiento para su declaratoria, así como para la celebración de los contratos que se derivan de aquella.</w:t>
      </w:r>
    </w:p>
    <w:p w14:paraId="7D417FB7" w14:textId="77777777" w:rsidR="00AC2FA2" w:rsidRPr="00A07A23" w:rsidRDefault="00AC2FA2" w:rsidP="00AC2FA2">
      <w:pPr>
        <w:spacing w:after="0" w:line="240" w:lineRule="auto"/>
        <w:jc w:val="both"/>
        <w:rPr>
          <w:rFonts w:ascii="Verdana" w:eastAsia="Arial" w:hAnsi="Verdana" w:cs="Arial"/>
          <w:color w:val="000000" w:themeColor="text1"/>
          <w:sz w:val="20"/>
          <w:szCs w:val="20"/>
          <w:lang w:val="es-ES"/>
        </w:rPr>
      </w:pPr>
    </w:p>
    <w:p w14:paraId="54CD85A4" w14:textId="77777777" w:rsidR="00AC2FA2" w:rsidRPr="00A07A23" w:rsidRDefault="00AC2FA2" w:rsidP="00AC2FA2">
      <w:pPr>
        <w:spacing w:after="0" w:line="240" w:lineRule="auto"/>
        <w:jc w:val="both"/>
        <w:rPr>
          <w:rFonts w:ascii="Verdana" w:eastAsia="Arial" w:hAnsi="Verdana" w:cs="Arial"/>
          <w:color w:val="000000" w:themeColor="text1"/>
          <w:sz w:val="20"/>
          <w:szCs w:val="20"/>
          <w:lang w:val="es-ES"/>
        </w:rPr>
      </w:pPr>
      <w:r w:rsidRPr="00A07A23">
        <w:rPr>
          <w:rFonts w:ascii="Verdana" w:eastAsia="Arial" w:hAnsi="Verdana" w:cs="Arial"/>
          <w:color w:val="000000" w:themeColor="text1"/>
          <w:sz w:val="20"/>
          <w:szCs w:val="20"/>
          <w:lang w:val="es-ES"/>
        </w:rPr>
        <w:t xml:space="preserve">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 </w:t>
      </w:r>
    </w:p>
    <w:p w14:paraId="6B8CCFA6" w14:textId="77777777" w:rsidR="00AC2FA2" w:rsidRPr="00A07A23" w:rsidRDefault="00AC2FA2" w:rsidP="00AC2FA2">
      <w:pPr>
        <w:spacing w:after="0" w:line="240" w:lineRule="auto"/>
        <w:jc w:val="both"/>
        <w:rPr>
          <w:rFonts w:ascii="Verdana" w:eastAsia="Arial" w:hAnsi="Verdana" w:cs="Arial"/>
          <w:color w:val="000000" w:themeColor="text1"/>
          <w:sz w:val="20"/>
          <w:szCs w:val="20"/>
          <w:lang w:val="es-ES"/>
        </w:rPr>
      </w:pPr>
    </w:p>
    <w:p w14:paraId="140702CD" w14:textId="77777777" w:rsidR="00AC2FA2" w:rsidRPr="00FB1576" w:rsidRDefault="00AC2FA2" w:rsidP="00AC2FA2">
      <w:pPr>
        <w:spacing w:after="0" w:line="240" w:lineRule="auto"/>
        <w:jc w:val="both"/>
        <w:rPr>
          <w:rFonts w:ascii="Verdana" w:eastAsia="Arial" w:hAnsi="Verdana" w:cs="Arial"/>
          <w:color w:val="000000" w:themeColor="text1"/>
          <w:sz w:val="20"/>
          <w:szCs w:val="20"/>
        </w:rPr>
      </w:pPr>
      <w:r w:rsidRPr="00A07A23">
        <w:rPr>
          <w:rFonts w:ascii="Verdana" w:eastAsia="Arial" w:hAnsi="Verdana" w:cs="Arial"/>
          <w:color w:val="000000" w:themeColor="text1"/>
          <w:sz w:val="20"/>
          <w:szCs w:val="20"/>
          <w:lang w:val="es-ES"/>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364D">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6C0330BC" w14:textId="77777777" w:rsidR="00AC2FA2" w:rsidRPr="00396DBB" w:rsidRDefault="00AC2FA2" w:rsidP="00AC2FA2">
      <w:pPr>
        <w:spacing w:after="0" w:line="240" w:lineRule="auto"/>
        <w:jc w:val="both"/>
        <w:rPr>
          <w:rFonts w:ascii="Verdana" w:eastAsia="Calibri" w:hAnsi="Verdana" w:cs="Arial"/>
          <w:b/>
          <w:color w:val="000000" w:themeColor="text1"/>
          <w:lang w:val="es-ES_tradnl"/>
        </w:rPr>
      </w:pPr>
    </w:p>
    <w:p w14:paraId="51719A53" w14:textId="77777777" w:rsidR="00AC2FA2" w:rsidRPr="00396DBB" w:rsidRDefault="00AC2FA2" w:rsidP="00AC2FA2">
      <w:pPr>
        <w:spacing w:after="0" w:line="240" w:lineRule="auto"/>
        <w:jc w:val="both"/>
        <w:rPr>
          <w:rFonts w:ascii="Verdana" w:eastAsia="Calibri" w:hAnsi="Verdana" w:cs="Arial"/>
          <w:b/>
          <w:color w:val="000000" w:themeColor="text1"/>
          <w:lang w:val="es-ES_tradnl"/>
        </w:rPr>
      </w:pPr>
      <w:r w:rsidRPr="00A07A23">
        <w:rPr>
          <w:rFonts w:ascii="Verdana" w:eastAsia="Calibri" w:hAnsi="Verdana" w:cs="Arial"/>
          <w:b/>
          <w:color w:val="000000" w:themeColor="text1"/>
          <w:lang w:val="es-ES_tradnl"/>
        </w:rPr>
        <w:t>CALAMIDAD PÚBLICA Y DESASTRE – Declaración previa</w:t>
      </w:r>
      <w:r>
        <w:rPr>
          <w:rFonts w:ascii="Verdana" w:eastAsia="Calibri" w:hAnsi="Verdana" w:cs="Arial"/>
          <w:b/>
          <w:color w:val="000000" w:themeColor="text1"/>
          <w:lang w:val="es-ES_tradnl"/>
        </w:rPr>
        <w:t xml:space="preserve"> </w:t>
      </w:r>
      <w:r w:rsidRPr="00396DBB">
        <w:rPr>
          <w:rFonts w:ascii="Verdana" w:eastAsia="Calibri" w:hAnsi="Verdana" w:cs="Arial"/>
          <w:b/>
          <w:color w:val="000000" w:themeColor="text1"/>
          <w:lang w:val="es-ES_tradnl"/>
        </w:rPr>
        <w:t xml:space="preserve"> </w:t>
      </w:r>
    </w:p>
    <w:p w14:paraId="0E3A4FED" w14:textId="77777777" w:rsidR="00AC2FA2" w:rsidRPr="00396DBB" w:rsidRDefault="00AC2FA2" w:rsidP="00AC2FA2">
      <w:pPr>
        <w:spacing w:after="0" w:line="240" w:lineRule="auto"/>
        <w:jc w:val="both"/>
        <w:rPr>
          <w:rFonts w:ascii="Verdana" w:eastAsia="Calibri" w:hAnsi="Verdana" w:cs="Arial"/>
          <w:bCs/>
          <w:color w:val="000000" w:themeColor="text1"/>
          <w:sz w:val="20"/>
          <w:szCs w:val="20"/>
          <w:lang w:val="es-ES_tradnl"/>
        </w:rPr>
      </w:pPr>
    </w:p>
    <w:p w14:paraId="6E18EE8B" w14:textId="77777777" w:rsidR="00AC2FA2" w:rsidRPr="00A07A23" w:rsidRDefault="00AC2FA2" w:rsidP="00AC2FA2">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lastRenderedPageBreak/>
        <w:t xml:space="preserv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00A07A23">
        <w:rPr>
          <w:rFonts w:ascii="Verdana" w:hAnsi="Verdana" w:cs="Arial"/>
          <w:color w:val="000000" w:themeColor="text1"/>
          <w:sz w:val="20"/>
          <w:szCs w:val="20"/>
        </w:rPr>
        <w:t>ii</w:t>
      </w:r>
      <w:proofErr w:type="spellEnd"/>
      <w:r w:rsidRPr="00A07A23">
        <w:rPr>
          <w:rFonts w:ascii="Verdana" w:hAnsi="Verdana" w:cs="Arial"/>
          <w:color w:val="000000" w:themeColor="text1"/>
          <w:sz w:val="20"/>
          <w:szCs w:val="20"/>
        </w:rPr>
        <w:t>) el segundo, la declaración propiamente dicha de “urgencia manifiesta” de que trata el artículo 42 del Estatuto General de Contratación, amparado o fundamentado en la declaración previa del desastre o calamidad.</w:t>
      </w:r>
    </w:p>
    <w:p w14:paraId="4D843438" w14:textId="77777777" w:rsidR="00AC2FA2" w:rsidRPr="00A07A23" w:rsidRDefault="00AC2FA2" w:rsidP="00AC2FA2">
      <w:pPr>
        <w:spacing w:after="0" w:line="240" w:lineRule="auto"/>
        <w:jc w:val="both"/>
        <w:rPr>
          <w:rFonts w:ascii="Verdana" w:hAnsi="Verdana" w:cs="Arial"/>
          <w:color w:val="000000" w:themeColor="text1"/>
          <w:sz w:val="20"/>
          <w:szCs w:val="20"/>
        </w:rPr>
      </w:pPr>
    </w:p>
    <w:p w14:paraId="63D42D92" w14:textId="77777777" w:rsidR="00AC2FA2" w:rsidRPr="00A07A23" w:rsidRDefault="00AC2FA2" w:rsidP="00AC2FA2">
      <w:pPr>
        <w:spacing w:after="0" w:line="240" w:lineRule="auto"/>
        <w:jc w:val="both"/>
        <w:rPr>
          <w:rFonts w:ascii="Verdana" w:hAnsi="Verdana" w:cs="Arial"/>
          <w:color w:val="000000" w:themeColor="text1"/>
          <w:sz w:val="20"/>
          <w:szCs w:val="20"/>
        </w:rPr>
      </w:pPr>
      <w:r w:rsidRPr="00A07A23">
        <w:rPr>
          <w:rFonts w:ascii="Verdana" w:hAnsi="Verdana" w:cs="Arial"/>
          <w:color w:val="000000" w:themeColor="text1"/>
          <w:sz w:val="20"/>
          <w:szCs w:val="20"/>
        </w:rPr>
        <w:t xml:space="preserve">Sin el primer acto administrativo no es posible expedir el segundo, es decir, para declarar la urgencia manifiesta es imprescindible que el presidente de la república o el gobernador o el alcalde, según el caso, hayan declarado la situación de desastre o la declaración de calamidad.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5DE52316" w14:textId="77777777" w:rsidR="00AC2FA2" w:rsidRPr="00A07A23" w:rsidRDefault="00AC2FA2" w:rsidP="00AC2FA2">
      <w:pPr>
        <w:spacing w:after="0" w:line="240" w:lineRule="auto"/>
        <w:jc w:val="both"/>
        <w:rPr>
          <w:rFonts w:ascii="Verdana" w:hAnsi="Verdana" w:cs="Arial"/>
          <w:color w:val="000000" w:themeColor="text1"/>
          <w:sz w:val="20"/>
          <w:szCs w:val="20"/>
        </w:rPr>
      </w:pPr>
    </w:p>
    <w:p w14:paraId="3A7FF628" w14:textId="77777777" w:rsidR="00AC2FA2" w:rsidRPr="00396DBB" w:rsidRDefault="00AC2FA2" w:rsidP="00AC2FA2">
      <w:pPr>
        <w:spacing w:after="0" w:line="240" w:lineRule="auto"/>
        <w:jc w:val="both"/>
        <w:rPr>
          <w:rFonts w:ascii="Verdana" w:hAnsi="Verdana" w:cs="Arial"/>
          <w:color w:val="000000" w:themeColor="text1"/>
          <w:sz w:val="20"/>
          <w:szCs w:val="20"/>
          <w:lang w:val="es-ES_tradnl"/>
        </w:rPr>
      </w:pPr>
      <w:r w:rsidRPr="00A07A23">
        <w:rPr>
          <w:rFonts w:ascii="Verdana" w:hAnsi="Verdana" w:cs="Arial"/>
          <w:color w:val="000000" w:themeColor="text1"/>
          <w:sz w:val="20"/>
          <w:szCs w:val="20"/>
        </w:rPr>
        <w:t>Por lo tanto, como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situaciones, deben esperar a que se dicten los actos respectivos para fundamentar la declaración de urgencia manifiesta en la situación de desastre o en la situación de calamidad. 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r w:rsidRPr="00BE364D">
        <w:rPr>
          <w:rFonts w:ascii="Verdana" w:hAnsi="Verdana" w:cs="Arial"/>
          <w:color w:val="000000" w:themeColor="text1"/>
          <w:sz w:val="20"/>
          <w:szCs w:val="20"/>
        </w:rPr>
        <w:t>.</w:t>
      </w:r>
    </w:p>
    <w:p w14:paraId="5A133D56" w14:textId="77777777" w:rsidR="00AC2FA2" w:rsidRDefault="00AC2FA2" w:rsidP="00AC2FA2">
      <w:pPr>
        <w:spacing w:after="0" w:line="240" w:lineRule="auto"/>
        <w:rPr>
          <w:rFonts w:ascii="Verdana" w:eastAsia="Calibri" w:hAnsi="Verdana" w:cs="Arial"/>
          <w:b/>
          <w:color w:val="000000" w:themeColor="text1"/>
          <w:lang w:val="es-ES_tradnl"/>
        </w:rPr>
      </w:pPr>
    </w:p>
    <w:p w14:paraId="2F250028" w14:textId="77777777" w:rsidR="00AC2FA2" w:rsidRDefault="00AC2FA2" w:rsidP="00AC2FA2">
      <w:pPr>
        <w:spacing w:after="0" w:line="240" w:lineRule="auto"/>
        <w:rPr>
          <w:rFonts w:ascii="Verdana" w:eastAsia="Calibri" w:hAnsi="Verdana" w:cs="Arial"/>
          <w:b/>
          <w:color w:val="000000" w:themeColor="text1"/>
          <w:lang w:val="es-ES_tradnl"/>
        </w:rPr>
      </w:pPr>
    </w:p>
    <w:p w14:paraId="3983D84C" w14:textId="77777777" w:rsidR="00AC2FA2" w:rsidRDefault="00AC2FA2" w:rsidP="00AC2FA2">
      <w:pPr>
        <w:spacing w:after="0" w:line="240" w:lineRule="auto"/>
        <w:rPr>
          <w:rFonts w:ascii="Verdana" w:eastAsia="Calibri" w:hAnsi="Verdana" w:cs="Arial"/>
          <w:b/>
          <w:color w:val="000000" w:themeColor="text1"/>
          <w:lang w:val="es-ES_tradnl"/>
        </w:rPr>
      </w:pPr>
    </w:p>
    <w:p w14:paraId="120DA651" w14:textId="77777777" w:rsidR="00AC2FA2" w:rsidRDefault="00AC2FA2" w:rsidP="00AC2FA2">
      <w:pPr>
        <w:spacing w:after="0" w:line="240" w:lineRule="auto"/>
        <w:rPr>
          <w:rFonts w:ascii="Verdana" w:eastAsia="Calibri" w:hAnsi="Verdana" w:cs="Arial"/>
          <w:b/>
          <w:color w:val="000000" w:themeColor="text1"/>
          <w:lang w:val="es-ES_tradnl"/>
        </w:rPr>
      </w:pPr>
    </w:p>
    <w:p w14:paraId="30B22893" w14:textId="77777777" w:rsidR="00AC2FA2" w:rsidRDefault="00AC2FA2" w:rsidP="00AC2FA2">
      <w:pPr>
        <w:spacing w:after="0" w:line="240" w:lineRule="auto"/>
        <w:rPr>
          <w:rFonts w:ascii="Verdana" w:eastAsia="Calibri" w:hAnsi="Verdana" w:cs="Arial"/>
          <w:b/>
          <w:color w:val="000000" w:themeColor="text1"/>
          <w:lang w:val="es-ES_tradnl"/>
        </w:rPr>
      </w:pPr>
    </w:p>
    <w:p w14:paraId="3DCB5D41" w14:textId="77777777" w:rsidR="00AC2FA2" w:rsidRDefault="00AC2FA2" w:rsidP="00AC2FA2">
      <w:pPr>
        <w:spacing w:after="0" w:line="240" w:lineRule="auto"/>
        <w:rPr>
          <w:rFonts w:ascii="Verdana" w:eastAsia="Calibri" w:hAnsi="Verdana" w:cs="Arial"/>
          <w:b/>
          <w:color w:val="000000" w:themeColor="text1"/>
          <w:lang w:val="es-ES_tradnl"/>
        </w:rPr>
      </w:pPr>
    </w:p>
    <w:p w14:paraId="3DC555E3" w14:textId="77777777" w:rsidR="00AC2FA2" w:rsidRDefault="00AC2FA2" w:rsidP="00AC2FA2">
      <w:pPr>
        <w:spacing w:after="0" w:line="240" w:lineRule="auto"/>
        <w:rPr>
          <w:rFonts w:ascii="Verdana" w:eastAsia="Calibri" w:hAnsi="Verdana" w:cs="Arial"/>
          <w:b/>
          <w:color w:val="000000" w:themeColor="text1"/>
          <w:lang w:val="es-ES_tradnl"/>
        </w:rPr>
      </w:pPr>
    </w:p>
    <w:p w14:paraId="567CC60C" w14:textId="77777777" w:rsidR="00AC2FA2" w:rsidRDefault="00AC2FA2" w:rsidP="00AC2FA2">
      <w:pPr>
        <w:spacing w:after="0" w:line="240" w:lineRule="auto"/>
        <w:rPr>
          <w:rFonts w:ascii="Verdana" w:eastAsia="Calibri" w:hAnsi="Verdana" w:cs="Arial"/>
          <w:b/>
          <w:color w:val="000000" w:themeColor="text1"/>
          <w:lang w:val="es-ES_tradnl"/>
        </w:rPr>
      </w:pPr>
    </w:p>
    <w:p w14:paraId="0BC6995F" w14:textId="77777777" w:rsidR="00AC2FA2" w:rsidRDefault="00AC2FA2" w:rsidP="00AC2FA2">
      <w:pPr>
        <w:spacing w:after="0" w:line="240" w:lineRule="auto"/>
        <w:rPr>
          <w:rFonts w:ascii="Verdana" w:eastAsia="Calibri" w:hAnsi="Verdana" w:cs="Arial"/>
          <w:b/>
          <w:color w:val="000000" w:themeColor="text1"/>
          <w:lang w:val="es-ES_tradnl"/>
        </w:rPr>
      </w:pPr>
    </w:p>
    <w:p w14:paraId="5CF69146" w14:textId="77777777" w:rsidR="00AC2FA2" w:rsidRDefault="00AC2FA2" w:rsidP="00AC2FA2">
      <w:pPr>
        <w:spacing w:after="0" w:line="240" w:lineRule="auto"/>
        <w:rPr>
          <w:rFonts w:ascii="Verdana" w:eastAsia="Calibri" w:hAnsi="Verdana" w:cs="Arial"/>
          <w:b/>
          <w:color w:val="000000" w:themeColor="text1"/>
          <w:lang w:val="es-ES_tradnl"/>
        </w:rPr>
      </w:pPr>
    </w:p>
    <w:p w14:paraId="7A301A5F" w14:textId="77777777" w:rsidR="00AC2FA2" w:rsidRDefault="00AC2FA2" w:rsidP="00AC2FA2">
      <w:pPr>
        <w:spacing w:after="0" w:line="240" w:lineRule="auto"/>
        <w:rPr>
          <w:rFonts w:ascii="Verdana" w:eastAsia="Calibri" w:hAnsi="Verdana" w:cs="Arial"/>
          <w:b/>
          <w:color w:val="000000" w:themeColor="text1"/>
          <w:lang w:val="es-ES_tradnl"/>
        </w:rPr>
      </w:pPr>
    </w:p>
    <w:p w14:paraId="22709697" w14:textId="77777777" w:rsidR="00AC2FA2" w:rsidRDefault="00AC2FA2" w:rsidP="00AC2FA2">
      <w:pPr>
        <w:spacing w:after="0" w:line="240" w:lineRule="auto"/>
        <w:rPr>
          <w:rFonts w:ascii="Verdana" w:eastAsia="Calibri" w:hAnsi="Verdana" w:cs="Arial"/>
          <w:b/>
          <w:color w:val="000000" w:themeColor="text1"/>
          <w:lang w:val="es-ES_tradnl"/>
        </w:rPr>
      </w:pPr>
    </w:p>
    <w:p w14:paraId="544DDDDF" w14:textId="77777777" w:rsidR="00AC2FA2" w:rsidRDefault="00AC2FA2" w:rsidP="00AC2FA2">
      <w:pPr>
        <w:spacing w:after="0" w:line="240" w:lineRule="auto"/>
        <w:rPr>
          <w:rFonts w:ascii="Verdana" w:eastAsia="Calibri" w:hAnsi="Verdana" w:cs="Arial"/>
          <w:b/>
          <w:color w:val="000000" w:themeColor="text1"/>
          <w:lang w:val="es-ES_tradnl"/>
        </w:rPr>
      </w:pPr>
    </w:p>
    <w:p w14:paraId="4A4584A2" w14:textId="77777777" w:rsidR="00AC2FA2" w:rsidRDefault="00AC2FA2" w:rsidP="00AC2FA2">
      <w:pPr>
        <w:spacing w:after="0" w:line="240" w:lineRule="auto"/>
        <w:rPr>
          <w:rFonts w:ascii="Verdana" w:eastAsia="Calibri" w:hAnsi="Verdana" w:cs="Arial"/>
          <w:b/>
          <w:color w:val="000000" w:themeColor="text1"/>
          <w:lang w:val="es-ES_tradnl"/>
        </w:rPr>
      </w:pPr>
    </w:p>
    <w:p w14:paraId="67FE25C6" w14:textId="77777777" w:rsidR="00AC2FA2" w:rsidRDefault="00AC2FA2" w:rsidP="00AC2FA2">
      <w:pPr>
        <w:spacing w:after="0" w:line="240" w:lineRule="auto"/>
        <w:rPr>
          <w:rFonts w:ascii="Verdana" w:eastAsia="Calibri" w:hAnsi="Verdana" w:cs="Arial"/>
          <w:b/>
          <w:color w:val="000000" w:themeColor="text1"/>
          <w:lang w:val="es-ES_tradnl"/>
        </w:rPr>
      </w:pPr>
    </w:p>
    <w:p w14:paraId="55511CA3" w14:textId="77777777" w:rsidR="00AC2FA2" w:rsidRDefault="00AC2FA2" w:rsidP="00D15BDA">
      <w:pPr>
        <w:spacing w:after="0" w:line="240" w:lineRule="auto"/>
        <w:rPr>
          <w:rFonts w:ascii="Verdana" w:eastAsia="Calibri" w:hAnsi="Verdana" w:cs="Arial"/>
          <w:b/>
          <w:color w:val="000000" w:themeColor="text1"/>
          <w:lang w:val="es-ES_tradnl"/>
        </w:rPr>
      </w:pPr>
    </w:p>
    <w:p w14:paraId="1FF0A54B" w14:textId="34525344" w:rsidR="00D15BDA" w:rsidRPr="00593A5F" w:rsidRDefault="00D15BDA" w:rsidP="00D15BD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85592">
        <w:rPr>
          <w:rFonts w:ascii="Verdana" w:eastAsia="Geomanist Light" w:hAnsi="Verdana" w:cs="Arial"/>
          <w:color w:val="000000" w:themeColor="text1"/>
          <w:lang w:val="es-MX"/>
        </w:rPr>
        <w:t>10</w:t>
      </w:r>
      <w:r w:rsidR="00C85592" w:rsidRPr="009769EC">
        <w:rPr>
          <w:rFonts w:ascii="Verdana" w:eastAsia="Geomanist Light" w:hAnsi="Verdana" w:cs="Arial"/>
          <w:color w:val="000000" w:themeColor="text1"/>
          <w:lang w:val="es-MX"/>
        </w:rPr>
        <w:t xml:space="preserve"> de Diciembre de 2025</w:t>
      </w:r>
    </w:p>
    <w:p w14:paraId="6E01E6AA" w14:textId="77777777" w:rsidR="00D15BDA" w:rsidRDefault="00D15BDA" w:rsidP="00D15BDA">
      <w:pPr>
        <w:spacing w:after="0" w:line="240" w:lineRule="auto"/>
        <w:rPr>
          <w:rFonts w:ascii="Verdana" w:eastAsia="Calibri" w:hAnsi="Verdana" w:cs="Arial"/>
          <w:color w:val="000000"/>
          <w:lang w:val="es-ES"/>
        </w:rPr>
      </w:pPr>
    </w:p>
    <w:p w14:paraId="7C4AC681" w14:textId="009DBAF8" w:rsidR="009A5B5E" w:rsidRDefault="009A5B5E" w:rsidP="009A5B5E">
      <w:pPr>
        <w:spacing w:after="0" w:line="240" w:lineRule="auto"/>
        <w:jc w:val="right"/>
        <w:rPr>
          <w:rFonts w:ascii="Verdana" w:eastAsia="Calibri" w:hAnsi="Verdana" w:cs="Arial"/>
          <w:color w:val="000000"/>
          <w:lang w:val="es-ES"/>
        </w:rPr>
      </w:pPr>
      <w:r w:rsidRPr="009A5B5E">
        <w:rPr>
          <w:rFonts w:ascii="Verdana" w:eastAsia="Calibri" w:hAnsi="Verdana" w:cs="Arial"/>
          <w:noProof/>
          <w:color w:val="000000"/>
          <w:lang w:val="es-ES"/>
        </w:rPr>
        <w:drawing>
          <wp:inline distT="0" distB="0" distL="0" distR="0" wp14:anchorId="3E1A6F6C" wp14:editId="173145F9">
            <wp:extent cx="3238500" cy="901700"/>
            <wp:effectExtent l="0" t="0" r="0" b="0"/>
            <wp:docPr id="4420963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96317" name=""/>
                    <pic:cNvPicPr/>
                  </pic:nvPicPr>
                  <pic:blipFill>
                    <a:blip r:embed="rId10"/>
                    <a:stretch>
                      <a:fillRect/>
                    </a:stretch>
                  </pic:blipFill>
                  <pic:spPr>
                    <a:xfrm>
                      <a:off x="0" y="0"/>
                      <a:ext cx="3238500" cy="901700"/>
                    </a:xfrm>
                    <a:prstGeom prst="rect">
                      <a:avLst/>
                    </a:prstGeom>
                  </pic:spPr>
                </pic:pic>
              </a:graphicData>
            </a:graphic>
          </wp:inline>
        </w:drawing>
      </w:r>
    </w:p>
    <w:p w14:paraId="59FAFF58" w14:textId="77777777" w:rsidR="00D15BDA" w:rsidRPr="00593A5F" w:rsidRDefault="00D15BDA" w:rsidP="00D15BDA">
      <w:pPr>
        <w:spacing w:after="0" w:line="240" w:lineRule="auto"/>
        <w:jc w:val="both"/>
        <w:rPr>
          <w:rFonts w:ascii="Verdana" w:eastAsia="Calibri" w:hAnsi="Verdana" w:cs="Arial"/>
          <w:color w:val="000000"/>
          <w:lang w:val="es-ES"/>
        </w:rPr>
      </w:pPr>
    </w:p>
    <w:p w14:paraId="0D22A8EA" w14:textId="77777777" w:rsidR="00D15BDA" w:rsidRPr="00B96799" w:rsidRDefault="00D15BDA" w:rsidP="00D15BD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05B6D99A" w14:textId="77777777" w:rsidR="00D15BDA" w:rsidRPr="0085423D" w:rsidRDefault="00D15BDA" w:rsidP="00D15BDA">
      <w:pPr>
        <w:spacing w:after="0" w:line="240" w:lineRule="auto"/>
        <w:rPr>
          <w:rFonts w:ascii="Verdana" w:eastAsia="Calibri" w:hAnsi="Verdana" w:cs="Arial"/>
          <w:b/>
          <w:lang w:val="es-ES_tradnl" w:eastAsia="es-ES_tradnl"/>
        </w:rPr>
      </w:pPr>
      <w:bookmarkStart w:id="0" w:name="OLE_LINK1"/>
      <w:r w:rsidRPr="008D1CE3">
        <w:rPr>
          <w:rFonts w:ascii="Verdana" w:eastAsia="Calibri" w:hAnsi="Verdana" w:cs="Arial"/>
          <w:b/>
          <w:lang w:val="es-ES_tradnl" w:eastAsia="es-ES_tradnl"/>
        </w:rPr>
        <w:t xml:space="preserve">Carlos Andrés Hincapié Rueda  </w:t>
      </w:r>
      <w:r w:rsidRPr="00114C69">
        <w:rPr>
          <w:rFonts w:ascii="Verdana" w:eastAsia="Calibri" w:hAnsi="Verdana" w:cs="Arial"/>
          <w:b/>
          <w:lang w:val="es-ES_tradnl" w:eastAsia="es-ES_tradnl"/>
        </w:rPr>
        <w:t xml:space="preserve">  </w:t>
      </w:r>
      <w:r w:rsidRPr="00A6315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0"/>
    <w:p w14:paraId="52C68C16" w14:textId="77777777" w:rsidR="00D15BDA" w:rsidRPr="00A6315A" w:rsidRDefault="00D15BDA" w:rsidP="00D15BDA">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9B2894">
        <w:rPr>
          <w:rFonts w:ascii="Verdana" w:hAnsi="Verdana"/>
        </w:rPr>
        <w:instrText>juridica@contraloriabga.gov.co</w:instrText>
      </w:r>
      <w:r>
        <w:rPr>
          <w:rFonts w:ascii="Verdana" w:hAnsi="Verdana"/>
        </w:rPr>
        <w:instrText>"</w:instrText>
      </w:r>
      <w:r>
        <w:rPr>
          <w:rFonts w:ascii="Verdana" w:hAnsi="Verdana"/>
        </w:rPr>
      </w:r>
      <w:r>
        <w:rPr>
          <w:rFonts w:ascii="Verdana" w:hAnsi="Verdana"/>
        </w:rPr>
        <w:fldChar w:fldCharType="separate"/>
      </w:r>
      <w:r w:rsidRPr="00BC624C">
        <w:rPr>
          <w:rStyle w:val="Hipervnculo"/>
          <w:rFonts w:ascii="Verdana" w:hAnsi="Verdana"/>
        </w:rPr>
        <w:t>juridica@contraloriabga.gov.co</w:t>
      </w:r>
      <w:r>
        <w:rPr>
          <w:rFonts w:ascii="Verdana" w:hAnsi="Verdana"/>
        </w:rPr>
        <w:fldChar w:fldCharType="end"/>
      </w:r>
      <w:r>
        <w:rPr>
          <w:rFonts w:ascii="Verdana" w:hAnsi="Verdana"/>
        </w:rPr>
        <w:t xml:space="preserve">      </w:t>
      </w:r>
      <w:r w:rsidRPr="00A6315A">
        <w:rPr>
          <w:rFonts w:ascii="Verdana" w:hAnsi="Verdana"/>
        </w:rPr>
        <w:t xml:space="preserve">            </w:t>
      </w:r>
      <w:r w:rsidRPr="00A6315A">
        <w:rPr>
          <w:rFonts w:ascii="Verdana" w:eastAsia="Calibri" w:hAnsi="Verdana" w:cs="Arial"/>
          <w:lang w:val="es-ES" w:eastAsia="es-ES"/>
        </w:rPr>
        <w:t xml:space="preserve">    </w:t>
      </w:r>
    </w:p>
    <w:p w14:paraId="25F9091A" w14:textId="77777777" w:rsidR="00D15BDA" w:rsidRDefault="00D15BDA" w:rsidP="00D15BDA">
      <w:pPr>
        <w:spacing w:after="0" w:line="240" w:lineRule="auto"/>
        <w:rPr>
          <w:rFonts w:ascii="Verdana" w:eastAsia="Calibri" w:hAnsi="Verdana" w:cs="Arial"/>
          <w:lang w:val="es-ES" w:eastAsia="es-ES"/>
        </w:rPr>
      </w:pPr>
      <w:r>
        <w:rPr>
          <w:rFonts w:ascii="Verdana" w:eastAsia="Calibri" w:hAnsi="Verdana" w:cs="Arial"/>
          <w:lang w:val="es-ES" w:eastAsia="es-ES"/>
        </w:rPr>
        <w:t xml:space="preserve">Bucaramanga, Santander </w:t>
      </w:r>
    </w:p>
    <w:p w14:paraId="5DDEED81" w14:textId="77777777" w:rsidR="00D15BDA" w:rsidRPr="00593A5F" w:rsidRDefault="00D15BDA" w:rsidP="00D15BDA">
      <w:pPr>
        <w:spacing w:after="0" w:line="240" w:lineRule="auto"/>
        <w:rPr>
          <w:rFonts w:ascii="Verdana" w:eastAsia="Calibri" w:hAnsi="Verdana" w:cs="Arial"/>
          <w:b/>
          <w:bCs/>
          <w:color w:val="000000"/>
          <w:lang w:val="es-ES_tradnl" w:eastAsia="es-ES_tradnl"/>
        </w:rPr>
      </w:pPr>
    </w:p>
    <w:p w14:paraId="4C4A5D82" w14:textId="77777777" w:rsidR="00D15BDA" w:rsidRPr="00593A5F" w:rsidRDefault="00D15BDA" w:rsidP="00D15BD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15BDA" w:rsidRPr="00593A5F" w14:paraId="24C06D1F" w14:textId="77777777">
        <w:trPr>
          <w:trHeight w:val="884"/>
        </w:trPr>
        <w:tc>
          <w:tcPr>
            <w:tcW w:w="2689" w:type="dxa"/>
          </w:tcPr>
          <w:p w14:paraId="5BF2106D" w14:textId="77777777" w:rsidR="00D15BDA" w:rsidRPr="00C00976" w:rsidRDefault="00D15BDA">
            <w:pPr>
              <w:jc w:val="both"/>
              <w:rPr>
                <w:rFonts w:ascii="Verdana" w:eastAsia="Calibri" w:hAnsi="Verdana" w:cs="Arial"/>
                <w:b/>
                <w:bCs/>
                <w:color w:val="7030A0"/>
                <w:lang w:val="es-ES_tradnl" w:eastAsia="es-ES_tradnl"/>
              </w:rPr>
            </w:pPr>
          </w:p>
        </w:tc>
        <w:tc>
          <w:tcPr>
            <w:tcW w:w="6100" w:type="dxa"/>
          </w:tcPr>
          <w:p w14:paraId="706D1B62" w14:textId="1A202F69" w:rsidR="00D15BDA" w:rsidRPr="00C00976" w:rsidRDefault="00D15BD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CF69B1">
              <w:rPr>
                <w:rFonts w:ascii="Verdana" w:eastAsia="Calibri" w:hAnsi="Verdana" w:cs="Arial"/>
                <w:b/>
                <w:bCs/>
                <w:lang w:val="es-ES" w:eastAsia="es-ES"/>
              </w:rPr>
              <w:t>1793</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D15BDA" w:rsidRPr="00593A5F" w14:paraId="0C467C00" w14:textId="77777777">
        <w:trPr>
          <w:trHeight w:val="884"/>
        </w:trPr>
        <w:tc>
          <w:tcPr>
            <w:tcW w:w="2689" w:type="dxa"/>
          </w:tcPr>
          <w:p w14:paraId="0527151C" w14:textId="77777777" w:rsidR="00D15BDA" w:rsidRPr="00593A5F" w:rsidRDefault="00D15BD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761744A" w14:textId="77777777" w:rsidR="00D15BDA" w:rsidRPr="00A11406" w:rsidRDefault="00D15BDA">
            <w:pPr>
              <w:spacing w:line="276" w:lineRule="auto"/>
              <w:jc w:val="both"/>
              <w:rPr>
                <w:rFonts w:ascii="Verdana" w:eastAsia="Calibri" w:hAnsi="Verdana" w:cs="Arial"/>
                <w:lang w:val="es-ES" w:eastAsia="es-ES"/>
              </w:rPr>
            </w:pPr>
            <w:r w:rsidRPr="00EF19E6">
              <w:rPr>
                <w:rFonts w:ascii="Verdana" w:eastAsia="Calibri" w:hAnsi="Verdana" w:cs="Arial"/>
                <w:lang w:val="es-ES" w:eastAsia="es-ES"/>
              </w:rPr>
              <w:t>CONTRATACIÓN DIRECTA – Libre concurrencia – Excepciones – Causales – Interpretación estricta</w:t>
            </w:r>
            <w:r>
              <w:rPr>
                <w:rFonts w:ascii="Verdana" w:eastAsia="Calibri" w:hAnsi="Verdana" w:cs="Arial"/>
                <w:lang w:val="es-ES" w:eastAsia="es-ES"/>
              </w:rPr>
              <w:t xml:space="preserve"> / </w:t>
            </w:r>
            <w:r w:rsidRPr="00EF19E6">
              <w:rPr>
                <w:rFonts w:ascii="Verdana" w:eastAsia="Calibri" w:hAnsi="Verdana" w:cs="Arial"/>
                <w:lang w:val="es-ES" w:eastAsia="es-ES"/>
              </w:rPr>
              <w:t>URGENCIA MANIFIESTA – Definición – Causal – Contratación directa</w:t>
            </w:r>
            <w:r>
              <w:rPr>
                <w:rFonts w:ascii="Verdana" w:eastAsia="Calibri" w:hAnsi="Verdana" w:cs="Arial"/>
                <w:lang w:val="es-ES" w:eastAsia="es-ES"/>
              </w:rPr>
              <w:t xml:space="preserve"> / </w:t>
            </w:r>
            <w:r w:rsidRPr="00EF19E6">
              <w:rPr>
                <w:rFonts w:ascii="Verdana" w:eastAsia="Calibri" w:hAnsi="Verdana" w:cs="Arial"/>
                <w:lang w:val="es-ES" w:eastAsia="es-ES"/>
              </w:rPr>
              <w:t>CALAMIDAD PÚBLICA Y DESASTRE – Declaración previa</w:t>
            </w:r>
            <w:r w:rsidRPr="008A6428">
              <w:rPr>
                <w:rFonts w:ascii="Verdana" w:eastAsia="Calibri" w:hAnsi="Verdana" w:cs="Arial"/>
                <w:lang w:val="es-ES" w:eastAsia="es-ES"/>
              </w:rPr>
              <w:t xml:space="preserve"> </w:t>
            </w:r>
            <w:r w:rsidRPr="00EF19E6">
              <w:rPr>
                <w:rFonts w:ascii="Verdana" w:eastAsia="Calibri" w:hAnsi="Verdana" w:cs="Arial"/>
                <w:lang w:val="es-ES" w:eastAsia="es-ES"/>
              </w:rPr>
              <w:t xml:space="preserve">  </w:t>
            </w:r>
            <w:r w:rsidRPr="00EA1BFE">
              <w:rPr>
                <w:rFonts w:ascii="Verdana" w:eastAsia="Calibri" w:hAnsi="Verdana" w:cs="Arial"/>
                <w:lang w:val="es-ES" w:eastAsia="es-ES"/>
              </w:rPr>
              <w:t xml:space="preserve"> </w:t>
            </w:r>
            <w:r w:rsidRPr="00C75A78">
              <w:rPr>
                <w:rFonts w:ascii="Verdana" w:eastAsia="Calibri" w:hAnsi="Verdana" w:cs="Arial"/>
                <w:lang w:val="es-ES" w:eastAsia="es-ES"/>
              </w:rPr>
              <w:t xml:space="preserve"> </w:t>
            </w:r>
            <w:r w:rsidRPr="006424A3">
              <w:rPr>
                <w:rFonts w:ascii="Verdana" w:eastAsia="Calibri" w:hAnsi="Verdana" w:cs="Arial"/>
                <w:lang w:val="es-ES" w:eastAsia="es-ES"/>
              </w:rPr>
              <w:t xml:space="preserve">   </w:t>
            </w:r>
            <w:r w:rsidRPr="00003886">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00B71FAA" w14:textId="77777777" w:rsidR="00D15BDA" w:rsidRPr="00593A5F" w:rsidRDefault="00D15BD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15BDA" w:rsidRPr="008E6AD9" w14:paraId="7436B8C1" w14:textId="77777777">
        <w:tc>
          <w:tcPr>
            <w:tcW w:w="2689" w:type="dxa"/>
          </w:tcPr>
          <w:p w14:paraId="070FCB2B" w14:textId="77777777" w:rsidR="00D15BDA" w:rsidRPr="008E6AD9" w:rsidRDefault="00D15BD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3F1F453" w14:textId="699CA09F" w:rsidR="00D15BDA" w:rsidRPr="00B92340" w:rsidRDefault="00D15BDA">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B5793E">
              <w:rPr>
                <w:rFonts w:ascii="Verdana" w:eastAsia="Calibri" w:hAnsi="Verdana" w:cs="Arial"/>
                <w:lang w:val="es-ES_tradnl" w:eastAsia="es-ES_tradnl"/>
              </w:rPr>
              <w:t>1_2025_12_04_013667</w:t>
            </w:r>
            <w:r>
              <w:rPr>
                <w:rFonts w:ascii="Verdana" w:eastAsia="Calibri" w:hAnsi="Verdana" w:cs="Arial"/>
                <w:lang w:val="es-ES_tradnl" w:eastAsia="es-ES_tradnl"/>
              </w:rPr>
              <w:t xml:space="preserve">, </w:t>
            </w:r>
            <w:r w:rsidRPr="00B5793E">
              <w:rPr>
                <w:rFonts w:ascii="Verdana" w:eastAsia="Calibri" w:hAnsi="Verdana" w:cs="Arial"/>
                <w:lang w:val="es-ES_tradnl" w:eastAsia="es-ES_tradnl"/>
              </w:rPr>
              <w:t>1_2025_12_04_013691</w:t>
            </w:r>
            <w:r w:rsidR="00541E8D">
              <w:rPr>
                <w:rFonts w:ascii="Verdana" w:eastAsia="Calibri" w:hAnsi="Verdana" w:cs="Arial"/>
                <w:lang w:val="es-ES_tradnl" w:eastAsia="es-ES_tradnl"/>
              </w:rPr>
              <w:t xml:space="preserve"> y</w:t>
            </w:r>
            <w:r>
              <w:rPr>
                <w:rFonts w:ascii="Verdana" w:eastAsia="Calibri" w:hAnsi="Verdana" w:cs="Arial"/>
                <w:lang w:val="es-ES_tradnl" w:eastAsia="es-ES_tradnl"/>
              </w:rPr>
              <w:t xml:space="preserve"> </w:t>
            </w:r>
            <w:r w:rsidRPr="00B5793E">
              <w:rPr>
                <w:rFonts w:ascii="Verdana" w:eastAsia="Calibri" w:hAnsi="Verdana" w:cs="Arial"/>
                <w:lang w:val="es-ES_tradnl" w:eastAsia="es-ES_tradnl"/>
              </w:rPr>
              <w:t>1_2025_12_04_013694</w:t>
            </w:r>
            <w:r w:rsidRPr="008E6AD9">
              <w:rPr>
                <w:rFonts w:ascii="Verdana" w:eastAsia="Calibri" w:hAnsi="Verdana" w:cs="Arial"/>
                <w:lang w:val="es-ES_tradnl" w:eastAsia="es-ES_tradnl"/>
              </w:rPr>
              <w:t xml:space="preserve"> </w:t>
            </w:r>
            <w:r w:rsidR="00541E8D">
              <w:rPr>
                <w:rFonts w:ascii="Verdana" w:eastAsia="Calibri" w:hAnsi="Verdana" w:cs="Arial"/>
                <w:lang w:val="es-ES_tradnl" w:eastAsia="es-ES_tradnl"/>
              </w:rPr>
              <w:t>–Acumulados–</w:t>
            </w:r>
            <w:r>
              <w:rPr>
                <w:rFonts w:ascii="Verdana" w:eastAsia="Calibri" w:hAnsi="Verdana" w:cs="Arial"/>
                <w:lang w:val="es-ES_tradnl" w:eastAsia="es-ES_tradnl"/>
              </w:rPr>
              <w:t xml:space="preserve">                                   </w:t>
            </w:r>
          </w:p>
        </w:tc>
      </w:tr>
    </w:tbl>
    <w:p w14:paraId="725AA6D4" w14:textId="77777777" w:rsidR="00D15BDA" w:rsidRPr="00593A5F" w:rsidRDefault="00D15BDA" w:rsidP="00D15BDA">
      <w:pPr>
        <w:spacing w:after="0" w:line="240" w:lineRule="auto"/>
        <w:jc w:val="both"/>
        <w:rPr>
          <w:rFonts w:ascii="Verdana" w:eastAsia="Calibri" w:hAnsi="Verdana" w:cs="Arial"/>
          <w:color w:val="000000"/>
          <w:lang w:val="es-ES_tradnl" w:eastAsia="es-ES_tradnl"/>
        </w:rPr>
      </w:pPr>
    </w:p>
    <w:p w14:paraId="1ABF0C07" w14:textId="77777777" w:rsidR="00D15BDA" w:rsidRPr="00593A5F" w:rsidRDefault="00D15BDA" w:rsidP="00D15BDA">
      <w:pPr>
        <w:spacing w:after="0" w:line="240" w:lineRule="auto"/>
        <w:jc w:val="both"/>
        <w:rPr>
          <w:rFonts w:ascii="Verdana" w:eastAsia="Calibri" w:hAnsi="Verdana" w:cs="Arial"/>
          <w:color w:val="000000"/>
          <w:lang w:val="es-ES_tradnl" w:eastAsia="es-ES_tradnl"/>
        </w:rPr>
      </w:pPr>
    </w:p>
    <w:p w14:paraId="2E3D2982" w14:textId="77777777" w:rsidR="00D15BDA" w:rsidRPr="008E6AD9" w:rsidRDefault="00D15BDA" w:rsidP="00D15BD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9B2894">
        <w:rPr>
          <w:rFonts w:ascii="Verdana" w:eastAsia="Calibri" w:hAnsi="Verdana" w:cs="Arial"/>
          <w:lang w:val="es-ES" w:eastAsia="es-ES"/>
        </w:rPr>
        <w:t>Hincapié Rueda</w:t>
      </w:r>
      <w:r w:rsidRPr="008E6AD9">
        <w:rPr>
          <w:rFonts w:ascii="Verdana" w:eastAsia="Calibri" w:hAnsi="Verdana" w:cs="Arial"/>
          <w:lang w:val="es-ES" w:eastAsia="es-ES"/>
        </w:rPr>
        <w:t xml:space="preserve">: </w:t>
      </w:r>
    </w:p>
    <w:p w14:paraId="7B6E2635" w14:textId="77777777" w:rsidR="00D15BDA" w:rsidRDefault="00D15BDA" w:rsidP="00D15BD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BBCB21E" w14:textId="77777777" w:rsidR="00D15BDA" w:rsidRPr="00593A5F" w:rsidRDefault="00D15BDA" w:rsidP="00D15BD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593A5F">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593A5F">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4 de diciembre de 2025, en la cual pregunta lo siguiente</w:t>
      </w:r>
      <w:r w:rsidRPr="008E6AD9">
        <w:rPr>
          <w:rFonts w:ascii="Verdana" w:eastAsia="Calibri" w:hAnsi="Verdana" w:cs="Arial"/>
          <w:lang w:val="es-ES" w:eastAsia="es-ES"/>
        </w:rPr>
        <w:t xml:space="preserve">: </w:t>
      </w:r>
    </w:p>
    <w:p w14:paraId="210A1446" w14:textId="77777777" w:rsidR="00D15BDA" w:rsidRPr="00272A7B" w:rsidRDefault="00D15BDA" w:rsidP="00D15BDA">
      <w:pPr>
        <w:pStyle w:val="Prrafodelista"/>
        <w:tabs>
          <w:tab w:val="left" w:pos="142"/>
          <w:tab w:val="left" w:pos="284"/>
        </w:tabs>
        <w:spacing w:after="0" w:line="276" w:lineRule="auto"/>
        <w:ind w:left="0"/>
        <w:jc w:val="both"/>
        <w:rPr>
          <w:rFonts w:ascii="Verdana" w:eastAsia="Century Gothic" w:hAnsi="Verdana" w:cs="Century Gothic"/>
          <w:b/>
          <w:bCs/>
        </w:rPr>
      </w:pPr>
    </w:p>
    <w:p w14:paraId="1AB88013" w14:textId="77777777" w:rsidR="00D15BDA" w:rsidRPr="0003776E" w:rsidRDefault="00D15BDA" w:rsidP="00D15BDA">
      <w:pPr>
        <w:spacing w:after="120" w:line="240" w:lineRule="auto"/>
        <w:ind w:left="709" w:right="709"/>
        <w:jc w:val="both"/>
        <w:rPr>
          <w:rFonts w:ascii="Verdana" w:eastAsia="Century Gothic" w:hAnsi="Verdana" w:cs="Century Gothic"/>
          <w:sz w:val="20"/>
          <w:szCs w:val="20"/>
          <w:lang w:val="es-ES"/>
        </w:rPr>
      </w:pPr>
      <w:bookmarkStart w:id="1" w:name="_Hlk95313578"/>
      <w:r w:rsidRPr="0003776E">
        <w:rPr>
          <w:rFonts w:ascii="Verdana" w:eastAsia="Century Gothic" w:hAnsi="Verdana" w:cs="Century Gothic"/>
          <w:sz w:val="20"/>
          <w:szCs w:val="20"/>
          <w:lang w:val="es-ES"/>
        </w:rPr>
        <w:t>“</w:t>
      </w:r>
      <w:bookmarkEnd w:id="1"/>
      <w:r w:rsidRPr="0003776E">
        <w:rPr>
          <w:rFonts w:ascii="Verdana" w:eastAsia="Century Gothic" w:hAnsi="Verdana" w:cs="Century Gothic"/>
          <w:sz w:val="20"/>
          <w:szCs w:val="20"/>
          <w:lang w:val="es-ES"/>
        </w:rPr>
        <w:t xml:space="preserve">1. ¿Qué entidades públicas están legitimadas por activa, para la expedición de actos administrativos que decretan Urgencia Manifiesta?   </w:t>
      </w:r>
    </w:p>
    <w:p w14:paraId="331606AF" w14:textId="77777777" w:rsidR="00D15BDA" w:rsidRPr="0003776E" w:rsidRDefault="00D15BDA" w:rsidP="00D15BDA">
      <w:pPr>
        <w:spacing w:after="120" w:line="240" w:lineRule="auto"/>
        <w:ind w:left="709" w:right="709"/>
        <w:jc w:val="both"/>
        <w:rPr>
          <w:rFonts w:ascii="Verdana" w:eastAsia="Century Gothic" w:hAnsi="Verdana" w:cs="Century Gothic"/>
          <w:sz w:val="20"/>
          <w:szCs w:val="20"/>
          <w:lang w:val="es-ES"/>
        </w:rPr>
      </w:pPr>
      <w:r w:rsidRPr="0003776E">
        <w:rPr>
          <w:rFonts w:ascii="Verdana" w:eastAsia="Century Gothic" w:hAnsi="Verdana" w:cs="Century Gothic"/>
          <w:sz w:val="20"/>
          <w:szCs w:val="20"/>
          <w:lang w:val="es-ES"/>
        </w:rPr>
        <w:lastRenderedPageBreak/>
        <w:t xml:space="preserve">2. ¿Sólo tienen legitimación por activa los municipios, distritos y departamentos, para decretar una Calamidad Pública? </w:t>
      </w:r>
    </w:p>
    <w:p w14:paraId="6F0B40BD" w14:textId="77777777" w:rsidR="00D15BDA" w:rsidRPr="0003776E" w:rsidRDefault="00D15BDA" w:rsidP="00D15BDA">
      <w:pPr>
        <w:spacing w:after="120" w:line="240" w:lineRule="auto"/>
        <w:ind w:left="709" w:right="709"/>
        <w:jc w:val="both"/>
        <w:rPr>
          <w:rFonts w:ascii="Verdana" w:eastAsia="Century Gothic" w:hAnsi="Verdana" w:cs="Century Gothic"/>
          <w:sz w:val="20"/>
          <w:szCs w:val="20"/>
          <w:lang w:val="es-ES"/>
        </w:rPr>
      </w:pPr>
      <w:r w:rsidRPr="0003776E">
        <w:rPr>
          <w:rFonts w:ascii="Verdana" w:eastAsia="Century Gothic" w:hAnsi="Verdana" w:cs="Century Gothic"/>
          <w:sz w:val="20"/>
          <w:szCs w:val="20"/>
          <w:lang w:val="es-ES"/>
        </w:rPr>
        <w:t xml:space="preserve">3. ¿Pueden las entidades descentralizadas, del nivel departamental o municipal, empresas de servicios públicos, institutos, departamentos administrativos, direcciones de tránsito, expedir actos administrativos decretando calamidades públicas? </w:t>
      </w:r>
      <w:proofErr w:type="spellStart"/>
      <w:r w:rsidRPr="0003776E">
        <w:rPr>
          <w:rFonts w:ascii="Verdana" w:eastAsia="Century Gothic" w:hAnsi="Verdana" w:cs="Century Gothic"/>
          <w:sz w:val="20"/>
          <w:szCs w:val="20"/>
          <w:lang w:val="es-ES"/>
        </w:rPr>
        <w:t>Afin</w:t>
      </w:r>
      <w:proofErr w:type="spellEnd"/>
      <w:r w:rsidRPr="0003776E">
        <w:rPr>
          <w:rFonts w:ascii="Verdana" w:eastAsia="Century Gothic" w:hAnsi="Verdana" w:cs="Century Gothic"/>
          <w:sz w:val="20"/>
          <w:szCs w:val="20"/>
          <w:lang w:val="es-ES"/>
        </w:rPr>
        <w:t xml:space="preserve"> de llevar procesos de contratación directa. </w:t>
      </w:r>
    </w:p>
    <w:p w14:paraId="1DBF7259" w14:textId="77777777" w:rsidR="00D15BDA" w:rsidRPr="0093578E" w:rsidRDefault="00D15BDA" w:rsidP="00D15BDA">
      <w:pPr>
        <w:spacing w:after="0" w:line="240" w:lineRule="auto"/>
        <w:ind w:left="709" w:right="709"/>
        <w:jc w:val="both"/>
        <w:rPr>
          <w:rFonts w:ascii="Verdana" w:eastAsia="Century Gothic" w:hAnsi="Verdana" w:cs="Century Gothic"/>
          <w:sz w:val="21"/>
          <w:szCs w:val="21"/>
          <w:lang w:val="es-ES"/>
        </w:rPr>
      </w:pPr>
      <w:r w:rsidRPr="0003776E">
        <w:rPr>
          <w:rFonts w:ascii="Verdana" w:eastAsia="Century Gothic" w:hAnsi="Verdana" w:cs="Century Gothic"/>
          <w:sz w:val="20"/>
          <w:szCs w:val="20"/>
          <w:lang w:val="es-ES"/>
        </w:rPr>
        <w:t>4. En el caso de la declaración de una urgencia manifiesta, ¿Qué entidades pueden usar la modalidad de contratación directa?</w:t>
      </w:r>
      <w:r w:rsidRPr="0003776E">
        <w:rPr>
          <w:rFonts w:ascii="Verdana" w:eastAsia="Century Gothic" w:hAnsi="Verdana" w:cs="Century Gothic"/>
          <w:sz w:val="20"/>
          <w:szCs w:val="20"/>
        </w:rPr>
        <w:t>”.</w:t>
      </w:r>
    </w:p>
    <w:p w14:paraId="54927229" w14:textId="77777777" w:rsidR="00D15BDA" w:rsidRPr="008E6AD9" w:rsidRDefault="00D15BDA" w:rsidP="00D15BDA">
      <w:pPr>
        <w:pStyle w:val="Prrafodelista"/>
        <w:tabs>
          <w:tab w:val="left" w:pos="142"/>
          <w:tab w:val="left" w:pos="284"/>
        </w:tabs>
        <w:spacing w:after="0" w:line="276" w:lineRule="auto"/>
        <w:ind w:left="0"/>
        <w:jc w:val="both"/>
        <w:rPr>
          <w:rFonts w:ascii="Verdana" w:eastAsia="Century Gothic" w:hAnsi="Verdana" w:cs="Century Gothic"/>
          <w:b/>
          <w:bCs/>
        </w:rPr>
      </w:pPr>
    </w:p>
    <w:p w14:paraId="113260B8" w14:textId="77777777" w:rsidR="00D15BDA" w:rsidRPr="00A652FF" w:rsidRDefault="00D15BDA" w:rsidP="00D15BD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4B533CE" w14:textId="77777777" w:rsidR="00D15BDA" w:rsidRDefault="00D15BDA" w:rsidP="00D15BD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691522F" w14:textId="77777777" w:rsidR="00D15BDA" w:rsidRPr="00593A5F" w:rsidRDefault="00D15BDA" w:rsidP="00D15BDA">
      <w:pPr>
        <w:spacing w:after="0" w:line="276" w:lineRule="auto"/>
        <w:ind w:firstLine="709"/>
        <w:jc w:val="both"/>
        <w:rPr>
          <w:rFonts w:ascii="Verdana" w:eastAsia="Calibri" w:hAnsi="Verdana" w:cs="Arial"/>
          <w:color w:val="000000"/>
          <w:lang w:val="es-ES" w:eastAsia="es-ES"/>
        </w:rPr>
      </w:pPr>
    </w:p>
    <w:p w14:paraId="500AA193" w14:textId="77777777" w:rsidR="00D15BDA" w:rsidRPr="00593A5F" w:rsidRDefault="00D15BDA" w:rsidP="00D15BD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2E56FB3" w14:textId="77777777" w:rsidR="00D15BDA" w:rsidRPr="00593A5F" w:rsidRDefault="00D15BDA" w:rsidP="00D15BDA">
      <w:pPr>
        <w:tabs>
          <w:tab w:val="left" w:pos="426"/>
        </w:tabs>
        <w:spacing w:after="0" w:line="276" w:lineRule="auto"/>
        <w:jc w:val="both"/>
        <w:rPr>
          <w:rFonts w:ascii="Verdana" w:eastAsia="Century Gothic" w:hAnsi="Verdana" w:cs="Century Gothic"/>
          <w:lang w:val="es-ES"/>
        </w:rPr>
      </w:pPr>
    </w:p>
    <w:p w14:paraId="76FB040F" w14:textId="77777777" w:rsidR="00D15BDA" w:rsidRPr="00593A5F" w:rsidRDefault="00D15BDA" w:rsidP="00D15BD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392AFA">
        <w:rPr>
          <w:rFonts w:ascii="Verdana" w:eastAsia="Century Gothic" w:hAnsi="Verdana" w:cs="Century Gothic"/>
        </w:rPr>
        <w:t>¿</w:t>
      </w:r>
      <w:r>
        <w:rPr>
          <w:rFonts w:ascii="Verdana" w:eastAsia="Century Gothic" w:hAnsi="Verdana" w:cs="Century Gothic"/>
        </w:rPr>
        <w:t>qué entidades pueden decretar la situación de desastre o de calamidad pública para efectos de la declaración de urgencia manifiesta</w:t>
      </w:r>
      <w:r w:rsidRPr="00392AFA">
        <w:rPr>
          <w:rFonts w:ascii="Verdana" w:eastAsia="Century Gothic" w:hAnsi="Verdana" w:cs="Century Gothic"/>
        </w:rPr>
        <w:t>?</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16D7B215" w14:textId="77777777" w:rsidR="00D15BDA" w:rsidRPr="004B140F" w:rsidRDefault="00D15BDA" w:rsidP="00D15BDA">
      <w:pPr>
        <w:spacing w:after="0" w:line="276" w:lineRule="auto"/>
        <w:jc w:val="both"/>
        <w:rPr>
          <w:rFonts w:ascii="Verdana" w:eastAsia="Calibri" w:hAnsi="Verdana" w:cs="Arial"/>
          <w:color w:val="7030A0"/>
        </w:rPr>
      </w:pPr>
    </w:p>
    <w:p w14:paraId="6BD7820E" w14:textId="77777777" w:rsidR="00D15BDA" w:rsidRPr="00593A5F" w:rsidRDefault="00D15BDA" w:rsidP="00D15B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5A5364A" w14:textId="77777777" w:rsidR="00D15BDA" w:rsidRPr="00593A5F" w:rsidRDefault="00D15BDA" w:rsidP="00D15BD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15BDA" w:rsidRPr="00593A5F" w14:paraId="0D170934" w14:textId="77777777">
        <w:trPr>
          <w:jc w:val="center"/>
        </w:trPr>
        <w:tc>
          <w:tcPr>
            <w:tcW w:w="8828" w:type="dxa"/>
          </w:tcPr>
          <w:p w14:paraId="6E20A19A" w14:textId="77777777" w:rsidR="00D15BDA" w:rsidRPr="008A6428" w:rsidRDefault="00D15BDA">
            <w:pPr>
              <w:spacing w:after="120" w:line="276" w:lineRule="auto"/>
              <w:jc w:val="both"/>
              <w:rPr>
                <w:rFonts w:ascii="Verdana" w:eastAsia="Calibri" w:hAnsi="Verdana" w:cs="Arial"/>
                <w:lang w:val="es-ES"/>
              </w:rPr>
            </w:pPr>
            <w:bookmarkStart w:id="2" w:name="_Hlk171694685"/>
            <w:r>
              <w:rPr>
                <w:rFonts w:ascii="Verdana" w:eastAsia="Calibri" w:hAnsi="Verdana" w:cs="Arial"/>
                <w:bCs/>
                <w:color w:val="000000" w:themeColor="text1"/>
              </w:rPr>
              <w:lastRenderedPageBreak/>
              <w:t xml:space="preserve">Conforme a la interpretación general de las normas del sistema de compras públicas, de acuerdo con los artículos 56 y 57 de la Ley 1523 de 2012, </w:t>
            </w:r>
            <w:r w:rsidRPr="00392AFA">
              <w:rPr>
                <w:rFonts w:ascii="Verdana" w:eastAsia="Calibri" w:hAnsi="Verdana" w:cs="Arial"/>
                <w:bCs/>
                <w:color w:val="000000" w:themeColor="text1"/>
              </w:rPr>
              <w:t xml:space="preserve">al Presidente de la República le corresponde declarar la situación de </w:t>
            </w:r>
            <w:r w:rsidRPr="00392AFA">
              <w:rPr>
                <w:rFonts w:ascii="Verdana" w:eastAsia="Calibri" w:hAnsi="Verdana" w:cs="Arial"/>
                <w:bCs/>
                <w:i/>
                <w:iCs/>
                <w:color w:val="000000" w:themeColor="text1"/>
              </w:rPr>
              <w:t>desastre</w:t>
            </w:r>
            <w:r w:rsidRPr="00392AFA">
              <w:rPr>
                <w:rFonts w:ascii="Verdana" w:eastAsia="Calibri" w:hAnsi="Verdana" w:cs="Arial"/>
                <w:bCs/>
                <w:color w:val="000000" w:themeColor="text1"/>
              </w:rPr>
              <w:t xml:space="preserve">, tanto en el orden nacional, departamental, como en el municipal y distrital, facultad que no pueden ejercer los gobernadores y alcaldes, porque la norma no les asignó esta competencia. No obstante, a los gobernadores y alcaldes sí les corresponde declarar la situación de </w:t>
            </w:r>
            <w:r w:rsidRPr="00392AFA">
              <w:rPr>
                <w:rFonts w:ascii="Verdana" w:eastAsia="Calibri" w:hAnsi="Verdana" w:cs="Arial"/>
                <w:bCs/>
                <w:i/>
                <w:iCs/>
                <w:color w:val="000000" w:themeColor="text1"/>
              </w:rPr>
              <w:t>calamidad pública</w:t>
            </w:r>
            <w:r w:rsidRPr="00392AFA">
              <w:rPr>
                <w:rFonts w:ascii="Verdana" w:eastAsia="Calibri" w:hAnsi="Verdana" w:cs="Arial"/>
                <w:bCs/>
                <w:color w:val="000000" w:themeColor="text1"/>
              </w:rPr>
              <w:t xml:space="preserve">, en los respectivos ámbitos, facultad que, en cambio, no puede ejercer el </w:t>
            </w:r>
            <w:r>
              <w:rPr>
                <w:rFonts w:ascii="Verdana" w:eastAsia="Calibri" w:hAnsi="Verdana" w:cs="Arial"/>
                <w:bCs/>
                <w:color w:val="000000" w:themeColor="text1"/>
              </w:rPr>
              <w:t xml:space="preserve">Presidente de la República. </w:t>
            </w:r>
          </w:p>
          <w:p w14:paraId="74E48049" w14:textId="77777777" w:rsidR="00D15BDA" w:rsidRDefault="00D15BDA">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w:t>
            </w:r>
            <w:r>
              <w:rPr>
                <w:rFonts w:ascii="Verdana" w:eastAsia="Calibri" w:hAnsi="Verdana" w:cs="Arial"/>
                <w:lang w:val="es-ES_tradnl"/>
              </w:rPr>
              <w:t xml:space="preserve"> </w:t>
            </w:r>
          </w:p>
          <w:p w14:paraId="7D1A6D92" w14:textId="77777777" w:rsidR="00D15BDA" w:rsidRPr="00D93A6C" w:rsidRDefault="00D15BD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Lo anterior significa que para contratar 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3683B926">
              <w:rPr>
                <w:rFonts w:ascii="Verdana" w:eastAsia="Calibri" w:hAnsi="Verdana" w:cs="Arial"/>
                <w:lang w:val="es-ES"/>
              </w:rPr>
              <w:t>ii</w:t>
            </w:r>
            <w:proofErr w:type="spellEnd"/>
            <w:r w:rsidRPr="3683B926">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r>
              <w:rPr>
                <w:rFonts w:ascii="Verdana" w:eastAsia="Calibri" w:hAnsi="Verdana" w:cs="Arial"/>
                <w:lang w:val="es-ES"/>
              </w:rPr>
              <w:t xml:space="preserve"> </w:t>
            </w:r>
          </w:p>
          <w:p w14:paraId="79EA8062" w14:textId="77777777" w:rsidR="00D15BDA" w:rsidRPr="00D93A6C" w:rsidRDefault="00D15BD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w:t>
            </w:r>
            <w:r w:rsidRPr="3683B926">
              <w:rPr>
                <w:rFonts w:ascii="Verdana" w:eastAsia="Calibri" w:hAnsi="Verdana" w:cs="Arial"/>
                <w:lang w:val="es-ES"/>
              </w:rPr>
              <w:lastRenderedPageBreak/>
              <w:t xml:space="preserve">mismas como de la declaración del órgano competente, de manera que ninguna se configura a falta de alguna de estas condiciones. </w:t>
            </w:r>
          </w:p>
          <w:p w14:paraId="344C23AB" w14:textId="77777777" w:rsidR="00D15BDA" w:rsidRPr="008A6428" w:rsidRDefault="00D15BDA">
            <w:pPr>
              <w:spacing w:after="120" w:line="276" w:lineRule="auto"/>
              <w:ind w:firstLine="709"/>
              <w:jc w:val="both"/>
              <w:rPr>
                <w:rFonts w:ascii="Verdana" w:eastAsia="Calibri" w:hAnsi="Verdana" w:cs="Arial"/>
                <w:lang w:val="es-ES"/>
              </w:rPr>
            </w:pPr>
            <w:r>
              <w:rPr>
                <w:rFonts w:ascii="Verdana" w:eastAsia="Calibri" w:hAnsi="Verdana" w:cs="Arial"/>
                <w:lang w:val="es-ES_tradnl"/>
              </w:rPr>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 xml:space="preserve">situaciones, deben esperar a que se dicten los actos respectivos para fundamentar la declaración de urgencia manifiesta en la situación de desastre o en la situación de calamidad.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Por lo anterior, cuando el artículo 42 de la Ley 80 de 1993 dispone que la urgencia manifiesta se declara –entre otras tres (3) causales– para “[…] conjurar situaciones excepcionales relacionadas con hechos de calamidad o constitutivos de fuerza mayor o desastre que demanden actuaciones inmediatas […]”, las circunstancias de calamidad y desastre deben entenderse en los términos de la Ley 1523 de 2012, en la medida que forman una unidad jurídica completa.</w:t>
            </w:r>
          </w:p>
          <w:p w14:paraId="68011888" w14:textId="77777777" w:rsidR="00D15BDA" w:rsidRPr="001941FD" w:rsidRDefault="00D15BDA">
            <w:pPr>
              <w:spacing w:line="276" w:lineRule="auto"/>
              <w:ind w:firstLine="709"/>
              <w:jc w:val="both"/>
              <w:rPr>
                <w:rFonts w:ascii="Verdana" w:eastAsia="Calibri" w:hAnsi="Verdana" w:cs="Arial"/>
                <w:bCs/>
                <w:color w:val="000000" w:themeColor="text1"/>
              </w:rPr>
            </w:pPr>
            <w:r w:rsidRPr="0003776E">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7C8C3AA" w14:textId="77777777" w:rsidR="00D15BDA" w:rsidRPr="00593A5F" w:rsidRDefault="00D15BDA" w:rsidP="00D15BDA">
      <w:pPr>
        <w:tabs>
          <w:tab w:val="left" w:pos="142"/>
          <w:tab w:val="left" w:pos="284"/>
        </w:tabs>
        <w:spacing w:after="0" w:line="276" w:lineRule="auto"/>
        <w:jc w:val="both"/>
        <w:rPr>
          <w:rFonts w:ascii="Verdana" w:eastAsia="Century Gothic" w:hAnsi="Verdana" w:cs="Century Gothic"/>
          <w:b/>
          <w:bCs/>
          <w:lang w:val="es-ES"/>
        </w:rPr>
      </w:pPr>
    </w:p>
    <w:bookmarkEnd w:id="2"/>
    <w:p w14:paraId="7C073E4D" w14:textId="77777777" w:rsidR="00D15BDA" w:rsidRPr="00593A5F" w:rsidRDefault="00D15BDA" w:rsidP="00D15B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CEDFF3E" w14:textId="77777777" w:rsidR="00D15BDA" w:rsidRPr="00593A5F" w:rsidRDefault="00D15BDA" w:rsidP="00D15BDA">
      <w:pPr>
        <w:spacing w:after="0" w:line="276" w:lineRule="auto"/>
        <w:jc w:val="both"/>
        <w:rPr>
          <w:rFonts w:ascii="Verdana" w:eastAsia="Calibri" w:hAnsi="Verdana" w:cs="Arial"/>
          <w:color w:val="7030A0"/>
          <w:lang w:val="es-ES"/>
        </w:rPr>
      </w:pPr>
    </w:p>
    <w:p w14:paraId="1165BD53" w14:textId="77777777" w:rsidR="00D15BDA" w:rsidRDefault="00D15BDA" w:rsidP="00D15BD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71CDDCA" w14:textId="77777777" w:rsidR="00D15BDA" w:rsidRDefault="00D15BDA" w:rsidP="00D15BDA">
      <w:pPr>
        <w:spacing w:after="0" w:line="276" w:lineRule="auto"/>
        <w:jc w:val="both"/>
        <w:rPr>
          <w:rFonts w:ascii="Verdana" w:eastAsia="Calibri" w:hAnsi="Verdana" w:cs="Arial"/>
          <w:lang w:val="es-ES"/>
        </w:rPr>
      </w:pPr>
    </w:p>
    <w:p w14:paraId="7975508B" w14:textId="77777777" w:rsidR="00D15BDA" w:rsidRDefault="00D15BDA" w:rsidP="00D15BDA">
      <w:pPr>
        <w:spacing w:after="120" w:line="276" w:lineRule="auto"/>
        <w:jc w:val="both"/>
        <w:rPr>
          <w:rFonts w:ascii="Verdana" w:hAnsi="Verdana" w:cs="Arial"/>
          <w:bCs/>
          <w:lang w:val="es-MX"/>
        </w:rPr>
      </w:pPr>
      <w:r>
        <w:rPr>
          <w:rFonts w:ascii="Verdana" w:eastAsia="Calibri" w:hAnsi="Verdana" w:cs="Arial"/>
          <w:lang w:val="es-ES"/>
        </w:rPr>
        <w:lastRenderedPageBreak/>
        <w:t xml:space="preserve">i. </w:t>
      </w:r>
      <w:r>
        <w:rPr>
          <w:rFonts w:ascii="Verdana" w:hAnsi="Verdana" w:cs="Arial"/>
          <w:lang w:val="es-ES"/>
        </w:rPr>
        <w:t xml:space="preserve">Los </w:t>
      </w:r>
      <w:r w:rsidRPr="00B47324">
        <w:rPr>
          <w:rFonts w:ascii="Verdana" w:hAnsi="Verdana" w:cs="Arial"/>
          <w:lang w:val="es-ES"/>
        </w:rPr>
        <w:t xml:space="preserve">procesos de selección </w:t>
      </w:r>
      <w:r>
        <w:rPr>
          <w:rFonts w:ascii="Verdana" w:hAnsi="Verdana" w:cs="Arial"/>
          <w:lang w:val="es-ES"/>
        </w:rPr>
        <w:t>p</w:t>
      </w:r>
      <w:r w:rsidRPr="00B47324">
        <w:rPr>
          <w:rFonts w:ascii="Verdana" w:hAnsi="Verdana" w:cs="Arial"/>
          <w:lang w:val="es-ES"/>
        </w:rPr>
        <w:t xml:space="preserve">ara las entidades </w:t>
      </w:r>
      <w:r>
        <w:rPr>
          <w:rFonts w:ascii="Verdana" w:hAnsi="Verdana" w:cs="Arial"/>
          <w:lang w:val="es-ES"/>
        </w:rPr>
        <w:t xml:space="preserve">sometidas a la Ley 80 de 1993 </w:t>
      </w:r>
      <w:r w:rsidRPr="00B47324">
        <w:rPr>
          <w:rFonts w:ascii="Verdana" w:hAnsi="Verdana" w:cs="Arial"/>
          <w:lang w:val="es-ES"/>
        </w:rPr>
        <w:t xml:space="preserve">se rigen por el artículo 2 de la Ley 1150 de 2007. El </w:t>
      </w:r>
      <w:r w:rsidRPr="00B47324">
        <w:rPr>
          <w:rFonts w:ascii="Verdana" w:hAnsi="Verdana" w:cs="Arial"/>
          <w:bCs/>
          <w:lang w:val="es-MX"/>
        </w:rPr>
        <w:t>numeral</w:t>
      </w:r>
      <w:r w:rsidRPr="00666B6A">
        <w:rPr>
          <w:rFonts w:ascii="Verdana" w:hAnsi="Verdana" w:cs="Arial"/>
          <w:bCs/>
          <w:lang w:val="es-MX"/>
        </w:rPr>
        <w:t xml:space="preserve">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2"/>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3"/>
      </w:r>
      <w:r w:rsidRPr="00666B6A">
        <w:rPr>
          <w:rFonts w:ascii="Verdana" w:hAnsi="Verdana" w:cs="Arial"/>
          <w:bCs/>
          <w:lang w:val="es-MX"/>
        </w:rPr>
        <w:t>.</w:t>
      </w:r>
    </w:p>
    <w:p w14:paraId="249FCD3F" w14:textId="77777777" w:rsidR="00D15BDA" w:rsidRPr="00480D85" w:rsidRDefault="00D15BDA" w:rsidP="00D15BDA">
      <w:pPr>
        <w:spacing w:after="120" w:line="276" w:lineRule="auto"/>
        <w:ind w:firstLine="708"/>
        <w:jc w:val="both"/>
        <w:rPr>
          <w:rFonts w:ascii="Verdana" w:hAnsi="Verdana" w:cs="Arial"/>
          <w:lang w:val="es-ES" w:eastAsia="es-MX"/>
        </w:rPr>
      </w:pPr>
      <w:r w:rsidRPr="00480D85">
        <w:rPr>
          <w:rFonts w:ascii="Verdana" w:eastAsia="Times New Roman" w:hAnsi="Verdana" w:cs="Arial"/>
          <w:lang w:eastAsia="es-MX"/>
        </w:rPr>
        <w:t>La exposición de motivos de la Ley 1150 de 2007 señala las razones por las cuales se establecieron estos procedimientos, pues “[…] las experiencias exitosas a nivel internacional demuestran que el criterio de distinción que debe gobernar un esquema contractual eficiente es el de modular las modalidades de selección en razón a las características del objeto”</w:t>
      </w:r>
      <w:r w:rsidRPr="00480D85">
        <w:rPr>
          <w:rFonts w:ascii="Verdana" w:eastAsia="Times New Roman" w:hAnsi="Verdana" w:cs="Arial"/>
          <w:vertAlign w:val="superscript"/>
          <w:lang w:eastAsia="es-MX"/>
        </w:rPr>
        <w:footnoteReference w:id="4"/>
      </w:r>
      <w:r w:rsidRPr="00480D85">
        <w:rPr>
          <w:rFonts w:ascii="Verdana" w:eastAsia="Times New Roman" w:hAnsi="Verdana" w:cs="Arial"/>
          <w:lang w:eastAsia="es-MX"/>
        </w:rPr>
        <w:t>.</w:t>
      </w:r>
      <w:r w:rsidRPr="00480D85">
        <w:rPr>
          <w:rFonts w:ascii="Verdana" w:hAnsi="Verdana" w:cs="Arial"/>
          <w:lang w:eastAsia="es-MX"/>
        </w:rPr>
        <w:t xml:space="preserve"> Así, la</w:t>
      </w:r>
      <w:r>
        <w:rPr>
          <w:rFonts w:ascii="Verdana" w:hAnsi="Verdana" w:cs="Arial"/>
          <w:lang w:eastAsia="es-MX"/>
        </w:rPr>
        <w:t>s</w:t>
      </w:r>
      <w:r w:rsidRPr="00480D85">
        <w:rPr>
          <w:rFonts w:ascii="Verdana" w:hAnsi="Verdana" w:cs="Arial"/>
          <w:lang w:eastAsia="es-MX"/>
        </w:rPr>
        <w:t xml:space="preserve"> </w:t>
      </w:r>
      <w:r w:rsidRPr="00480D85">
        <w:rPr>
          <w:rFonts w:ascii="Verdana" w:eastAsia="Times New Roman" w:hAnsi="Verdana" w:cs="Arial"/>
          <w:lang w:eastAsia="es-MX"/>
        </w:rPr>
        <w:t xml:space="preserve">modalidades pueden dividirse en i) competitivas y </w:t>
      </w:r>
      <w:proofErr w:type="spellStart"/>
      <w:r w:rsidRPr="00480D85">
        <w:rPr>
          <w:rFonts w:ascii="Verdana" w:eastAsia="Times New Roman" w:hAnsi="Verdana" w:cs="Arial"/>
          <w:lang w:eastAsia="es-MX"/>
        </w:rPr>
        <w:t>ii</w:t>
      </w:r>
      <w:proofErr w:type="spellEnd"/>
      <w:r w:rsidRPr="00480D85">
        <w:rPr>
          <w:rFonts w:ascii="Verdana" w:eastAsia="Times New Roman" w:hAnsi="Verdana" w:cs="Arial"/>
          <w:lang w:eastAsia="es-MX"/>
        </w:rPr>
        <w:t xml:space="preserve">) no competitivas. Sobre el particular, la guía de competencia en las compras públicas de la Agencia Nacional de Contratación Pública – Colombia Compra Eficiente señala que “[…] la competencia, entendida como rivalidad efectiva entre empresas de un mismo mercado, incentiva la </w:t>
      </w:r>
      <w:r w:rsidRPr="00480D85">
        <w:rPr>
          <w:rFonts w:ascii="Verdana" w:eastAsia="Times New Roman" w:hAnsi="Verdana" w:cs="Arial"/>
          <w:lang w:eastAsia="es-MX"/>
        </w:rPr>
        <w:lastRenderedPageBreak/>
        <w:t>reducción de precios, el aumento de la calidad, la lucha contra la corrupción y la innovación por parte del sector privado”</w:t>
      </w:r>
      <w:r w:rsidRPr="00480D85">
        <w:rPr>
          <w:rFonts w:ascii="Verdana" w:eastAsia="Times New Roman" w:hAnsi="Verdana" w:cs="Arial"/>
          <w:vertAlign w:val="superscript"/>
          <w:lang w:eastAsia="es-MX"/>
        </w:rPr>
        <w:footnoteReference w:id="5"/>
      </w:r>
      <w:r w:rsidRPr="00480D85">
        <w:rPr>
          <w:rFonts w:ascii="Verdana" w:eastAsia="Times New Roman" w:hAnsi="Verdana" w:cs="Arial"/>
          <w:lang w:eastAsia="es-MX"/>
        </w:rPr>
        <w:t xml:space="preserve">. </w:t>
      </w:r>
    </w:p>
    <w:p w14:paraId="2191C12E" w14:textId="77777777" w:rsidR="00D15BDA" w:rsidRPr="00480D85" w:rsidRDefault="00D15BDA" w:rsidP="00D15BDA">
      <w:pPr>
        <w:spacing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modalidad de selección de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6FACCCA3" w14:textId="77777777" w:rsidR="00D15BDA" w:rsidRPr="00480D85" w:rsidRDefault="00D15BDA" w:rsidP="00D15BD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480D85">
        <w:rPr>
          <w:rFonts w:ascii="Verdana" w:eastAsia="Times New Roman" w:hAnsi="Verdana" w:cs="Century Gothic"/>
          <w:lang w:eastAsia="es-MX"/>
        </w:rPr>
        <w:t>ó</w:t>
      </w:r>
      <w:r w:rsidRPr="00480D85">
        <w:rPr>
          <w:rFonts w:ascii="Verdana" w:eastAsia="Times New Roman" w:hAnsi="Verdana" w:cs="Arial"/>
          <w:lang w:eastAsia="es-MX"/>
        </w:rPr>
        <w:t>n judicial se desarrollaron los principios de libre concurrencia y selecci</w:t>
      </w:r>
      <w:r w:rsidRPr="00480D85">
        <w:rPr>
          <w:rFonts w:ascii="Verdana" w:eastAsia="Times New Roman" w:hAnsi="Verdana" w:cs="Century Gothic"/>
          <w:lang w:eastAsia="es-MX"/>
        </w:rPr>
        <w:t>ó</w:t>
      </w:r>
      <w:r w:rsidRPr="00480D85">
        <w:rPr>
          <w:rFonts w:ascii="Verdana" w:eastAsia="Times New Roman" w:hAnsi="Verdana" w:cs="Arial"/>
          <w:lang w:eastAsia="es-MX"/>
        </w:rPr>
        <w:t>n objetiva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p</w:t>
      </w:r>
      <w:r w:rsidRPr="00480D85">
        <w:rPr>
          <w:rFonts w:ascii="Verdana" w:eastAsia="Times New Roman" w:hAnsi="Verdana" w:cs="Century Gothic"/>
          <w:lang w:eastAsia="es-MX"/>
        </w:rPr>
        <w:t>ú</w:t>
      </w:r>
      <w:r w:rsidRPr="00480D85">
        <w:rPr>
          <w:rFonts w:ascii="Verdana" w:eastAsia="Times New Roman" w:hAnsi="Verdana" w:cs="Arial"/>
          <w:lang w:eastAsia="es-MX"/>
        </w:rPr>
        <w:t>blica, como expresiones del derecho a la igualdad de oportunidades para quienes tengan inter</w:t>
      </w:r>
      <w:r w:rsidRPr="00480D85">
        <w:rPr>
          <w:rFonts w:ascii="Verdana" w:eastAsia="Times New Roman" w:hAnsi="Verdana" w:cs="Century Gothic"/>
          <w:lang w:eastAsia="es-MX"/>
        </w:rPr>
        <w:t>é</w:t>
      </w:r>
      <w:r w:rsidRPr="00480D85">
        <w:rPr>
          <w:rFonts w:ascii="Verdana" w:eastAsia="Times New Roman" w:hAnsi="Verdana" w:cs="Arial"/>
          <w:lang w:eastAsia="es-MX"/>
        </w:rPr>
        <w:t>s en participar en la contrataci</w:t>
      </w:r>
      <w:r w:rsidRPr="00480D85">
        <w:rPr>
          <w:rFonts w:ascii="Verdana" w:eastAsia="Times New Roman" w:hAnsi="Verdana" w:cs="Century Gothic"/>
          <w:lang w:eastAsia="es-MX"/>
        </w:rPr>
        <w:t>ó</w:t>
      </w:r>
      <w:r w:rsidRPr="00480D85">
        <w:rPr>
          <w:rFonts w:ascii="Verdana" w:eastAsia="Times New Roman" w:hAnsi="Verdana" w:cs="Arial"/>
          <w:lang w:eastAsia="es-MX"/>
        </w:rPr>
        <w:t>n estatal.</w:t>
      </w:r>
      <w:r>
        <w:rPr>
          <w:rFonts w:ascii="Verdana" w:eastAsia="Times New Roman" w:hAnsi="Verdana" w:cs="Arial"/>
          <w:lang w:eastAsia="es-MX"/>
        </w:rPr>
        <w:t xml:space="preserve"> </w:t>
      </w:r>
      <w:r w:rsidRPr="00480D85">
        <w:rPr>
          <w:rFonts w:ascii="Verdana" w:eastAsia="Times New Roman" w:hAnsi="Verdana" w:cs="Arial"/>
          <w:lang w:eastAsia="es-MX"/>
        </w:rPr>
        <w:t>La materializaci</w:t>
      </w:r>
      <w:r w:rsidRPr="00480D85">
        <w:rPr>
          <w:rFonts w:ascii="Verdana" w:eastAsia="Times New Roman" w:hAnsi="Verdana" w:cs="Century Gothic"/>
          <w:lang w:eastAsia="es-MX"/>
        </w:rPr>
        <w:t>ó</w:t>
      </w:r>
      <w:r w:rsidRPr="00480D85">
        <w:rPr>
          <w:rFonts w:ascii="Verdana" w:eastAsia="Times New Roman" w:hAnsi="Verdana" w:cs="Arial"/>
          <w:lang w:eastAsia="es-MX"/>
        </w:rPr>
        <w:t>n de esos principios pretende que no exista discriminaci</w:t>
      </w:r>
      <w:r w:rsidRPr="00480D85">
        <w:rPr>
          <w:rFonts w:ascii="Verdana" w:eastAsia="Times New Roman" w:hAnsi="Verdana" w:cs="Century Gothic"/>
          <w:lang w:eastAsia="es-MX"/>
        </w:rPr>
        <w:t>ó</w:t>
      </w:r>
      <w:r w:rsidRPr="00480D85">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480D85">
        <w:rPr>
          <w:rFonts w:ascii="Verdana" w:eastAsia="Times New Roman" w:hAnsi="Verdana" w:cs="Arial"/>
          <w:vertAlign w:val="superscript"/>
          <w:lang w:eastAsia="es-MX"/>
        </w:rPr>
        <w:footnoteReference w:id="6"/>
      </w:r>
      <w:r w:rsidRPr="00480D85">
        <w:rPr>
          <w:rFonts w:ascii="Verdana" w:eastAsia="Times New Roman" w:hAnsi="Verdana" w:cs="Arial"/>
          <w:lang w:eastAsia="es-MX"/>
        </w:rPr>
        <w:t>.</w:t>
      </w:r>
    </w:p>
    <w:p w14:paraId="53337BA1" w14:textId="77777777" w:rsidR="00D15BDA" w:rsidRPr="00480D85" w:rsidRDefault="00D15BDA" w:rsidP="00D15BDA">
      <w:pPr>
        <w:spacing w:after="12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 xml:space="preserve">Así las cosas, la contratación directa es una excepción al principio de libre concurrencia y competencia, que se aplica en los procesos de contratación, para 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w:t>
      </w:r>
      <w:r w:rsidRPr="00480D85">
        <w:rPr>
          <w:rFonts w:ascii="Verdana" w:eastAsia="Times New Roman" w:hAnsi="Verdana" w:cs="Arial"/>
          <w:lang w:eastAsia="es-MX"/>
        </w:rPr>
        <w:lastRenderedPageBreak/>
        <w:t xml:space="preserve">norma dispone, dentro del contexto del ordenamiento jurídico de la contratación estatal. </w:t>
      </w:r>
    </w:p>
    <w:p w14:paraId="791AB769" w14:textId="77777777" w:rsidR="00D15BDA" w:rsidRPr="00480D85" w:rsidRDefault="00D15BDA" w:rsidP="00D15BDA">
      <w:pPr>
        <w:spacing w:after="120" w:line="276" w:lineRule="auto"/>
        <w:ind w:right="45" w:firstLine="709"/>
        <w:jc w:val="both"/>
        <w:rPr>
          <w:rFonts w:ascii="Verdana" w:eastAsia="Times New Roman" w:hAnsi="Verdana" w:cs="Arial"/>
          <w:lang w:eastAsia="es-MX"/>
        </w:rPr>
      </w:pPr>
      <w:r w:rsidRPr="00480D85">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480D85">
        <w:rPr>
          <w:rFonts w:ascii="Verdana" w:eastAsia="Times New Roman" w:hAnsi="Verdana" w:cs="Arial"/>
          <w:vertAlign w:val="superscript"/>
          <w:lang w:eastAsia="es-MX"/>
        </w:rPr>
        <w:footnoteReference w:id="7"/>
      </w:r>
      <w:r w:rsidRPr="00480D85">
        <w:rPr>
          <w:rFonts w:ascii="Verdana" w:eastAsia="Times New Roman" w:hAnsi="Verdana" w:cs="Arial"/>
          <w:lang w:eastAsia="es-MX"/>
        </w:rPr>
        <w:t>.</w:t>
      </w:r>
    </w:p>
    <w:p w14:paraId="10FB34E1" w14:textId="77777777" w:rsidR="00D15BDA" w:rsidRPr="00480D85" w:rsidRDefault="00D15BDA" w:rsidP="00D15BDA">
      <w:pPr>
        <w:spacing w:after="0" w:line="276" w:lineRule="auto"/>
        <w:ind w:firstLine="708"/>
        <w:jc w:val="both"/>
        <w:rPr>
          <w:rFonts w:ascii="Verdana" w:eastAsia="Times New Roman" w:hAnsi="Verdana" w:cs="Arial"/>
          <w:lang w:eastAsia="es-MX"/>
        </w:rPr>
      </w:pPr>
      <w:r w:rsidRPr="00480D85">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480D85">
        <w:rPr>
          <w:rFonts w:ascii="Verdana" w:eastAsia="Times New Roman" w:hAnsi="Verdana" w:cs="Arial"/>
          <w:vertAlign w:val="superscript"/>
          <w:lang w:eastAsia="es-MX"/>
        </w:rPr>
        <w:footnoteReference w:id="8"/>
      </w:r>
      <w:r w:rsidRPr="00480D85">
        <w:rPr>
          <w:rFonts w:ascii="Verdana" w:eastAsia="Times New Roman" w:hAnsi="Verdana" w:cs="Arial"/>
          <w:lang w:eastAsia="es-MX"/>
        </w:rPr>
        <w:t>. Esta contratación puede estar fundada en que el proponente es único</w:t>
      </w:r>
      <w:r>
        <w:rPr>
          <w:rFonts w:ascii="Verdana" w:eastAsia="Times New Roman" w:hAnsi="Verdana" w:cs="Arial"/>
          <w:lang w:eastAsia="es-MX"/>
        </w:rPr>
        <w:t>, existe alguna situación de urgencia manifiesta</w:t>
      </w:r>
      <w:r w:rsidRPr="00480D85">
        <w:rPr>
          <w:rFonts w:ascii="Verdana" w:eastAsia="Times New Roman" w:hAnsi="Verdana" w:cs="Arial"/>
          <w:lang w:eastAsia="es-MX"/>
        </w:rPr>
        <w:t xml:space="preserve"> o el legislador privilegió algunos objetos contractuales u oferentes para contratarlos de manera directa, teniendo en cuenta las causales expresamente señaladas en la ley. </w:t>
      </w:r>
    </w:p>
    <w:p w14:paraId="10284746" w14:textId="77777777" w:rsidR="00D15BDA" w:rsidRPr="00480D85" w:rsidRDefault="00D15BDA" w:rsidP="00D15BDA">
      <w:pPr>
        <w:spacing w:before="120" w:after="12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lastRenderedPageBreak/>
        <w:t>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480D85">
        <w:rPr>
          <w:rFonts w:ascii="Verdana" w:eastAsia="Times New Roman" w:hAnsi="Verdana" w:cs="Arial"/>
          <w:vertAlign w:val="superscript"/>
          <w:lang w:eastAsia="es-MX"/>
        </w:rPr>
        <w:footnoteReference w:id="9"/>
      </w:r>
      <w:r w:rsidRPr="00480D85">
        <w:rPr>
          <w:rFonts w:ascii="Verdana" w:eastAsia="Times New Roman" w:hAnsi="Verdana" w:cs="Arial"/>
          <w:lang w:eastAsia="es-MX"/>
        </w:rPr>
        <w:t>.</w:t>
      </w:r>
    </w:p>
    <w:p w14:paraId="7443105C" w14:textId="77777777" w:rsidR="00D15BDA" w:rsidRPr="00480D85" w:rsidRDefault="00D15BDA" w:rsidP="00D15BDA">
      <w:pPr>
        <w:spacing w:after="0" w:line="276" w:lineRule="auto"/>
        <w:ind w:firstLine="709"/>
        <w:jc w:val="both"/>
        <w:rPr>
          <w:rFonts w:ascii="Verdana" w:eastAsia="Times New Roman" w:hAnsi="Verdana" w:cs="Arial"/>
          <w:lang w:eastAsia="es-MX"/>
        </w:rPr>
      </w:pPr>
      <w:r w:rsidRPr="00480D85">
        <w:rPr>
          <w:rFonts w:ascii="Verdana" w:eastAsia="Times New Roman" w:hAnsi="Verdana" w:cs="Arial"/>
          <w:lang w:eastAsia="es-MX"/>
        </w:rPr>
        <w:t>Por consiguiente, en la contratación directa la entidad no establece puntaje para ponderar ofertas, porque se presenta una sola oferta,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4BD781A6" w14:textId="77777777" w:rsidR="00D15BDA" w:rsidRDefault="00D15BDA" w:rsidP="00D15BDA">
      <w:pPr>
        <w:spacing w:after="0" w:line="276" w:lineRule="auto"/>
        <w:jc w:val="both"/>
        <w:rPr>
          <w:rFonts w:ascii="Verdana" w:eastAsia="Calibri" w:hAnsi="Verdana" w:cs="Arial"/>
          <w:lang w:val="es-ES"/>
        </w:rPr>
      </w:pPr>
    </w:p>
    <w:p w14:paraId="25958A42" w14:textId="77777777" w:rsidR="00D15BDA" w:rsidRPr="00BE5FE3" w:rsidRDefault="00D15BDA" w:rsidP="00D15BDA">
      <w:pPr>
        <w:spacing w:after="0" w:line="276" w:lineRule="auto"/>
        <w:jc w:val="both"/>
        <w:rPr>
          <w:rFonts w:ascii="Verdana" w:eastAsia="Calibri" w:hAnsi="Verdana" w:cs="Arial"/>
          <w:lang w:val="es-ES"/>
        </w:rPr>
      </w:pPr>
      <w:proofErr w:type="spellStart"/>
      <w:r w:rsidRPr="3683B926">
        <w:rPr>
          <w:rFonts w:ascii="Verdana" w:hAnsi="Verdana" w:cs="Arial"/>
          <w:lang w:val="es-ES"/>
        </w:rPr>
        <w:t>ii</w:t>
      </w:r>
      <w:proofErr w:type="spellEnd"/>
      <w:r w:rsidRPr="3683B926">
        <w:rPr>
          <w:rFonts w:ascii="Verdana" w:hAnsi="Verdana" w:cs="Arial"/>
          <w:lang w:val="es-ES"/>
        </w:rPr>
        <w:t>.</w:t>
      </w:r>
      <w:bookmarkStart w:id="3" w:name="_Hlk35882939"/>
      <w:r w:rsidRPr="3683B926">
        <w:rPr>
          <w:rFonts w:ascii="Verdana" w:hAnsi="Verdana" w:cs="Arial"/>
          <w:lang w:val="es-ES"/>
        </w:rPr>
        <w:t xml:space="preserve"> </w:t>
      </w:r>
      <w:r w:rsidRPr="3683B926">
        <w:rPr>
          <w:rFonts w:ascii="Verdana" w:eastAsia="Calibri" w:hAnsi="Verdana" w:cs="Arial"/>
          <w:lang w:val="es-ES"/>
        </w:rPr>
        <w:t>Si bien la licitación pública es la modalidad de selección que constituye la regla general para las entidades regidas por el Estatuto General de Contratación de la Administración Pública, el artículo 2.4 de la Ley 1150 de 2007 consagra algunas excepciones, que atienden a la necesidad de proteger principios como la eficiencia, la eficacia, la economía, la celeridad o la integridad de las personas. Una de las excepciones es la causal de contratación directa prevista en el literal a) del mencionado numeral, denominada por la ley como “urgencia manifiesta</w:t>
      </w:r>
      <w:bookmarkEnd w:id="3"/>
      <w:r w:rsidRPr="3683B926">
        <w:rPr>
          <w:rFonts w:ascii="Verdana" w:eastAsia="Calibri" w:hAnsi="Verdana" w:cs="Arial"/>
          <w:lang w:val="es-ES"/>
        </w:rPr>
        <w:t>”. Esta causal debe leerse en concordancia con los artículos 42 de la Ley 80 de 1993, que define el concepto y establece el procedimiento para su declaratoria, así como para la celebración de los contratos que se derivan de aquella. Esta norma dispone lo siguiente:</w:t>
      </w:r>
    </w:p>
    <w:p w14:paraId="74E5CE5B" w14:textId="77777777" w:rsidR="00D15BDA" w:rsidRPr="00BE5FE3" w:rsidRDefault="00D15BDA" w:rsidP="00D15BDA">
      <w:pPr>
        <w:spacing w:after="0" w:line="276" w:lineRule="auto"/>
        <w:jc w:val="both"/>
        <w:rPr>
          <w:rFonts w:ascii="Verdana" w:eastAsia="Calibri" w:hAnsi="Verdana" w:cs="Arial"/>
          <w:lang w:val="es-ES_tradnl"/>
        </w:rPr>
      </w:pPr>
    </w:p>
    <w:p w14:paraId="2F2A64BB" w14:textId="77777777" w:rsidR="00D15BDA" w:rsidRPr="0003776E" w:rsidRDefault="00D15BDA" w:rsidP="00D15BDA">
      <w:pPr>
        <w:spacing w:after="12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lastRenderedPageBreak/>
        <w:t xml:space="preserve">“Artículo 42. De la urgencia manifiesta. Existe urgencia manifiesta </w:t>
      </w:r>
      <w:bookmarkStart w:id="4" w:name="_Hlk35851184"/>
      <w:r w:rsidRPr="0003776E">
        <w:rPr>
          <w:rFonts w:ascii="Verdana" w:eastAsia="Calibri" w:hAnsi="Verdana" w:cs="Arial"/>
          <w:sz w:val="20"/>
          <w:szCs w:val="20"/>
          <w:lang w:val="es-ES_tradnl"/>
        </w:rPr>
        <w:t>cuando la continuidad del servicio exige el suministro de bienes, o la prestación de servicios, o la ejecución de obras en el inmediato futuro</w:t>
      </w:r>
      <w:bookmarkEnd w:id="4"/>
      <w:r w:rsidRPr="0003776E">
        <w:rPr>
          <w:rFonts w:ascii="Verdana" w:eastAsia="Calibri" w:hAnsi="Verdana" w:cs="Arial"/>
          <w:sz w:val="20"/>
          <w:szCs w:val="20"/>
          <w:lang w:val="es-ES_tradnl"/>
        </w:rPr>
        <w:t xml:space="preserve">; </w:t>
      </w:r>
      <w:bookmarkStart w:id="5" w:name="_Hlk35857288"/>
      <w:r w:rsidRPr="0003776E">
        <w:rPr>
          <w:rFonts w:ascii="Verdana" w:eastAsia="Calibri" w:hAnsi="Verdana" w:cs="Arial"/>
          <w:sz w:val="20"/>
          <w:szCs w:val="20"/>
          <w:lang w:val="es-ES_tradnl"/>
        </w:rPr>
        <w:t xml:space="preserve">cuando se presenten </w:t>
      </w:r>
      <w:bookmarkStart w:id="6" w:name="_Hlk35857424"/>
      <w:r w:rsidRPr="0003776E">
        <w:rPr>
          <w:rFonts w:ascii="Verdana" w:eastAsia="Calibri" w:hAnsi="Verdana" w:cs="Arial"/>
          <w:sz w:val="20"/>
          <w:szCs w:val="20"/>
          <w:lang w:val="es-ES_tradnl"/>
        </w:rPr>
        <w:t>situaciones relacionadas con los estados de excepción</w:t>
      </w:r>
      <w:bookmarkEnd w:id="5"/>
      <w:bookmarkEnd w:id="6"/>
      <w:r w:rsidRPr="0003776E">
        <w:rPr>
          <w:rFonts w:ascii="Verdana" w:eastAsia="Calibri" w:hAnsi="Verdana" w:cs="Arial"/>
          <w:sz w:val="20"/>
          <w:szCs w:val="20"/>
          <w:lang w:val="es-ES_tradnl"/>
        </w:rPr>
        <w:t xml:space="preserve">; </w:t>
      </w:r>
      <w:bookmarkStart w:id="7" w:name="_Hlk35865550"/>
      <w:r w:rsidRPr="0003776E">
        <w:rPr>
          <w:rFonts w:ascii="Verdana" w:eastAsia="Calibri" w:hAnsi="Verdana" w:cs="Arial"/>
          <w:sz w:val="20"/>
          <w:szCs w:val="20"/>
          <w:lang w:val="es-ES_tradnl"/>
        </w:rPr>
        <w:t xml:space="preserve">cuando se trate de conjurar situaciones excepcionales relacionadas con hechos de calamidad o constitutivos de fuerza mayor o desastre que demanden actuaciones inmediatas </w:t>
      </w:r>
      <w:bookmarkEnd w:id="7"/>
      <w:r w:rsidRPr="0003776E">
        <w:rPr>
          <w:rFonts w:ascii="Verdana" w:eastAsia="Calibri" w:hAnsi="Verdana" w:cs="Arial"/>
          <w:sz w:val="20"/>
          <w:szCs w:val="20"/>
          <w:lang w:val="es-ES_tradnl"/>
        </w:rPr>
        <w:t>y, en general, cuando se trate de situaciones similares que imposibiliten acudir a los procedimientos de selección o concurso públicos.</w:t>
      </w:r>
    </w:p>
    <w:p w14:paraId="08673487" w14:textId="77777777" w:rsidR="00D15BDA" w:rsidRPr="0003776E" w:rsidRDefault="00D15BDA" w:rsidP="00D15BDA">
      <w:pPr>
        <w:spacing w:after="120" w:line="240" w:lineRule="auto"/>
        <w:ind w:left="709" w:right="709"/>
        <w:jc w:val="both"/>
        <w:rPr>
          <w:rFonts w:ascii="Verdana" w:eastAsia="Calibri" w:hAnsi="Verdana" w:cs="Arial"/>
          <w:sz w:val="20"/>
          <w:szCs w:val="20"/>
          <w:lang w:val="es-ES_tradnl"/>
        </w:rPr>
      </w:pPr>
      <w:r w:rsidRPr="0003776E">
        <w:rPr>
          <w:rFonts w:ascii="Verdana" w:eastAsia="Calibri" w:hAnsi="Verdana" w:cs="Arial"/>
          <w:sz w:val="20"/>
          <w:szCs w:val="20"/>
          <w:lang w:val="es-ES_tradnl"/>
        </w:rPr>
        <w:t>La urgencia manifiesta se declarará mediante acto administrativo motivado.</w:t>
      </w:r>
    </w:p>
    <w:p w14:paraId="7A56C34E" w14:textId="77777777" w:rsidR="00D15BDA" w:rsidRPr="00BE5FE3" w:rsidRDefault="00D15BDA" w:rsidP="00D15BDA">
      <w:pPr>
        <w:spacing w:before="120" w:after="0" w:line="240" w:lineRule="auto"/>
        <w:ind w:left="709" w:right="709"/>
        <w:jc w:val="both"/>
        <w:rPr>
          <w:rFonts w:ascii="Verdana" w:eastAsia="Calibri" w:hAnsi="Verdana" w:cs="Arial"/>
          <w:sz w:val="21"/>
          <w:szCs w:val="21"/>
          <w:lang w:val="es-ES"/>
        </w:rPr>
      </w:pPr>
      <w:r w:rsidRPr="0003776E">
        <w:rPr>
          <w:rFonts w:ascii="Verdana" w:eastAsia="Calibri" w:hAnsi="Verdana" w:cs="Arial"/>
          <w:sz w:val="20"/>
          <w:szCs w:val="20"/>
          <w:lang w:val="es-ES"/>
        </w:rPr>
        <w:t>Parágrafo. Con el fin de atender las necesidades y los gastos propios de la urgencia manifiesta, se podrán hacer los traslados presupuestales internos que se requieran dentro del presupuesto del organismo o entidad estatal correspondiente”.</w:t>
      </w:r>
    </w:p>
    <w:p w14:paraId="6D8F843D" w14:textId="77777777" w:rsidR="00D15BDA" w:rsidRPr="00BE5FE3" w:rsidRDefault="00D15BDA" w:rsidP="00D15BDA">
      <w:pPr>
        <w:spacing w:after="0" w:line="276" w:lineRule="auto"/>
        <w:ind w:left="709" w:right="709"/>
        <w:jc w:val="both"/>
        <w:rPr>
          <w:rFonts w:ascii="Verdana" w:eastAsia="Calibri" w:hAnsi="Verdana" w:cs="Arial"/>
          <w:lang w:val="es-ES_tradnl"/>
        </w:rPr>
      </w:pPr>
    </w:p>
    <w:p w14:paraId="35D11092" w14:textId="77777777" w:rsidR="00D15BDA" w:rsidRPr="00BE5FE3" w:rsidRDefault="00D15BDA" w:rsidP="00D15BDA">
      <w:pPr>
        <w:spacing w:after="120" w:line="276" w:lineRule="auto"/>
        <w:ind w:firstLine="708"/>
        <w:jc w:val="both"/>
        <w:rPr>
          <w:rFonts w:ascii="Verdana" w:eastAsia="Calibri" w:hAnsi="Verdana" w:cs="Arial"/>
          <w:sz w:val="21"/>
          <w:szCs w:val="21"/>
          <w:lang w:val="es-ES_tradnl"/>
        </w:rPr>
      </w:pPr>
      <w:r w:rsidRPr="00BE5FE3">
        <w:rPr>
          <w:rFonts w:ascii="Verdana" w:eastAsia="Calibri" w:hAnsi="Verdana" w:cs="Arial"/>
          <w:lang w:val="es-ES_tradnl"/>
        </w:rPr>
        <w:t>Esta causal tiene como antecedente el derogado artículo 43.16 del Decreto-Ley 222 de 1983, que autorizaba la contratación directa “Cuando hubiere urgencia evidente calificada por el Consejo de Ministros, que no permita el tiempo necesario para la licitación o concurso”, entendiendo por tal “[…]</w:t>
      </w:r>
      <w:r w:rsidRPr="00BE5FE3">
        <w:rPr>
          <w:rFonts w:ascii="Verdana" w:hAnsi="Verdana"/>
        </w:rPr>
        <w:t xml:space="preserve"> </w:t>
      </w:r>
      <w:r w:rsidRPr="00BE5FE3">
        <w:rPr>
          <w:rFonts w:ascii="Verdana" w:eastAsia="Calibri" w:hAnsi="Verdana" w:cs="Arial"/>
          <w:lang w:val="es-ES_tradnl"/>
        </w:rPr>
        <w:t>necesidades actuales o previsibles de orden público, seguridad nacional o calamidad pública”; razón por la cual, los controles para su utilización eran tan evidentes que al declarase por un órgano distinto, el juez debía declarar la nulidad absoluta del contrato, por la falta de competencia</w:t>
      </w:r>
      <w:r w:rsidRPr="00BE5FE3">
        <w:rPr>
          <w:rStyle w:val="Refdenotaalpie"/>
          <w:rFonts w:ascii="Verdana" w:eastAsia="Calibri" w:hAnsi="Verdana" w:cs="Arial"/>
          <w:lang w:val="es-ES_tradnl"/>
        </w:rPr>
        <w:footnoteReference w:id="10"/>
      </w:r>
      <w:r w:rsidRPr="00BE5FE3">
        <w:rPr>
          <w:rFonts w:ascii="Verdana" w:eastAsia="Calibri" w:hAnsi="Verdana" w:cs="Arial"/>
          <w:lang w:val="es-ES_tradnl"/>
        </w:rPr>
        <w:t xml:space="preserve">. En contraste, el </w:t>
      </w:r>
      <w:r w:rsidRPr="00BE5FE3">
        <w:rPr>
          <w:rFonts w:ascii="Verdana" w:eastAsia="Calibri" w:hAnsi="Verdana" w:cs="Arial"/>
        </w:rPr>
        <w:t>Estatuto General de Contratación de la Administración Pública</w:t>
      </w:r>
      <w:r w:rsidRPr="00BE5FE3">
        <w:rPr>
          <w:rFonts w:ascii="Verdana" w:eastAsia="Calibri" w:hAnsi="Verdana" w:cs="Arial"/>
          <w:lang w:val="es-ES_tradnl"/>
        </w:rPr>
        <w:t xml:space="preserve">, interpretando de manera más realista las necesidades de la Administración, autoriza al jefe o representante legal de la entidad estatal para declarar la urgencia, siempre que tenga el carácter de </w:t>
      </w:r>
      <w:r w:rsidRPr="00BE5FE3">
        <w:rPr>
          <w:rFonts w:ascii="Verdana" w:eastAsia="Calibri" w:hAnsi="Verdana" w:cs="Arial"/>
          <w:i/>
          <w:iCs/>
          <w:lang w:val="es-ES_tradnl"/>
        </w:rPr>
        <w:t>manifiesta</w:t>
      </w:r>
      <w:r w:rsidRPr="00BE5FE3">
        <w:rPr>
          <w:rStyle w:val="Refdenotaalpie"/>
          <w:rFonts w:ascii="Verdana" w:eastAsia="Calibri" w:hAnsi="Verdana" w:cs="Arial"/>
          <w:sz w:val="21"/>
          <w:szCs w:val="21"/>
          <w:lang w:val="es-ES_tradnl"/>
        </w:rPr>
        <w:footnoteReference w:id="11"/>
      </w:r>
      <w:r w:rsidRPr="00BE5FE3">
        <w:rPr>
          <w:rFonts w:ascii="Verdana" w:eastAsia="Calibri" w:hAnsi="Verdana" w:cs="Arial"/>
          <w:sz w:val="21"/>
          <w:szCs w:val="21"/>
          <w:lang w:val="es-ES_tradnl"/>
        </w:rPr>
        <w:t>.</w:t>
      </w:r>
    </w:p>
    <w:p w14:paraId="307586FC" w14:textId="77777777" w:rsidR="00D15BDA" w:rsidRPr="00BE5FE3" w:rsidRDefault="00D15BDA" w:rsidP="00D15BDA">
      <w:pPr>
        <w:spacing w:after="120" w:line="276" w:lineRule="auto"/>
        <w:ind w:firstLine="708"/>
        <w:jc w:val="both"/>
        <w:rPr>
          <w:rFonts w:ascii="Verdana" w:eastAsia="Calibri" w:hAnsi="Verdana" w:cs="Arial"/>
          <w:lang w:val="es-ES"/>
        </w:rPr>
      </w:pPr>
      <w:bookmarkStart w:id="8" w:name="_Hlk35959309"/>
      <w:r w:rsidRPr="3683B926">
        <w:rPr>
          <w:rFonts w:ascii="Verdana" w:eastAsia="Calibri" w:hAnsi="Verdana" w:cs="Arial"/>
          <w:lang w:val="es-ES"/>
        </w:rPr>
        <w:lastRenderedPageBreak/>
        <w:t>De esta manera, el artículo 42 de la Ley 80 define la urgencia manifiesta como una circunstancia que exige, con carácter apremiante, preservar la continuidad del servicio, cuando se afecta por situaciones de fuerza mayor, desastres, calamidades o hechos relacionados con los estados de excepción. No en vano, para la doctrina, las situaciones de urgencia manifiesta deben ser concretas, inmediatas, objetivas y probadas, pues se trata de circunstancias de hecho actuales, debidamente acreditadas y fundadas por estudios técnicos, verificadas por la autoridad competente</w:t>
      </w:r>
      <w:r w:rsidRPr="3683B926">
        <w:rPr>
          <w:rStyle w:val="Refdenotaalpie"/>
          <w:rFonts w:ascii="Verdana" w:eastAsia="Calibri" w:hAnsi="Verdana" w:cs="Arial"/>
          <w:lang w:val="es-ES"/>
        </w:rPr>
        <w:footnoteReference w:id="12"/>
      </w:r>
      <w:r w:rsidRPr="3683B926">
        <w:rPr>
          <w:rFonts w:ascii="Verdana" w:eastAsia="Calibri" w:hAnsi="Verdana" w:cs="Arial"/>
          <w:lang w:val="es-ES"/>
        </w:rPr>
        <w:t xml:space="preserve">. </w:t>
      </w:r>
    </w:p>
    <w:p w14:paraId="27C83223" w14:textId="77777777" w:rsidR="00D15BDA" w:rsidRPr="00BE5FE3" w:rsidRDefault="00D15BDA" w:rsidP="00D15BDA">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En esos casos excepcionales, que comprometen fines superiores de interés colectivo, con mayor razón son de obligatoria aplicación los objetivos de la contratación administrativa, previstos en el artículo 3 de la Ley 80 de 1993. Esto en la medida que el cumplimiento de los fines estatales, la continua y eficiente prestación de los servicios públicos, y la efectividad de los derechos e intereses de los administrados que colaboran con entidades y organismos del Estado en la consecución de dichos propósitos confieren un fundamento adicional a esta causal de contratación directa</w:t>
      </w:r>
      <w:r w:rsidRPr="00BE5FE3">
        <w:rPr>
          <w:rStyle w:val="Refdenotaalpie"/>
          <w:rFonts w:ascii="Verdana" w:eastAsia="Calibri" w:hAnsi="Verdana" w:cs="Arial"/>
          <w:lang w:val="es-ES_tradnl"/>
        </w:rPr>
        <w:footnoteReference w:id="13"/>
      </w:r>
      <w:r w:rsidRPr="00BE5FE3">
        <w:rPr>
          <w:rFonts w:ascii="Verdana" w:eastAsia="Calibri" w:hAnsi="Verdana" w:cs="Arial"/>
          <w:lang w:val="es-ES_tradnl"/>
        </w:rPr>
        <w:t xml:space="preserve">. </w:t>
      </w:r>
    </w:p>
    <w:bookmarkEnd w:id="8"/>
    <w:p w14:paraId="46383238" w14:textId="77777777" w:rsidR="00D15BDA" w:rsidRPr="00BE5FE3" w:rsidRDefault="00D15BDA" w:rsidP="00D15BDA">
      <w:pPr>
        <w:spacing w:after="120" w:line="276" w:lineRule="auto"/>
        <w:ind w:firstLine="709"/>
        <w:jc w:val="both"/>
        <w:rPr>
          <w:rFonts w:ascii="Verdana" w:eastAsia="Calibri" w:hAnsi="Verdana" w:cs="Arial"/>
          <w:lang w:val="es-ES_tradnl"/>
        </w:rPr>
      </w:pPr>
      <w:r w:rsidRPr="00BE5FE3">
        <w:rPr>
          <w:rFonts w:ascii="Verdana" w:eastAsia="Calibri" w:hAnsi="Verdana" w:cs="Arial"/>
          <w:lang w:val="es-ES_tradnl"/>
        </w:rPr>
        <w:t xml:space="preserve">En esta medida, el precitado artículo 42 del </w:t>
      </w:r>
      <w:r w:rsidRPr="00BE5FE3">
        <w:rPr>
          <w:rFonts w:ascii="Verdana" w:eastAsia="Calibri" w:hAnsi="Verdana" w:cs="Arial"/>
        </w:rPr>
        <w:t>Estatuto General de Contratación</w:t>
      </w:r>
      <w:r w:rsidRPr="00BE5FE3">
        <w:rPr>
          <w:rFonts w:ascii="Verdana" w:eastAsia="Calibri" w:hAnsi="Verdana" w:cs="Arial"/>
          <w:lang w:val="es-ES_tradnl"/>
        </w:rPr>
        <w:t xml:space="preserve"> contempla cuatro (4) circunstancias o hechos que configuran la urgencia manifiesta, si así lo declara la entidad: i) cuando la continuidad del servicio exige el suministro de bienes, o la prestación de servicios, o la ejecución de obras en el inmediato futuro; </w:t>
      </w:r>
      <w:proofErr w:type="spellStart"/>
      <w:r w:rsidRPr="00BE5FE3">
        <w:rPr>
          <w:rFonts w:ascii="Verdana" w:eastAsia="Calibri" w:hAnsi="Verdana" w:cs="Arial"/>
          <w:lang w:val="es-ES_tradnl"/>
        </w:rPr>
        <w:t>ii</w:t>
      </w:r>
      <w:proofErr w:type="spellEnd"/>
      <w:r w:rsidRPr="00BE5FE3">
        <w:rPr>
          <w:rFonts w:ascii="Verdana" w:eastAsia="Calibri" w:hAnsi="Verdana" w:cs="Arial"/>
          <w:lang w:val="es-ES_tradnl"/>
        </w:rPr>
        <w:t xml:space="preserve">) cuando se presenten situaciones relacionadas con los estados de excepción; </w:t>
      </w:r>
      <w:proofErr w:type="spellStart"/>
      <w:r w:rsidRPr="00BE5FE3">
        <w:rPr>
          <w:rFonts w:ascii="Verdana" w:eastAsia="Calibri" w:hAnsi="Verdana" w:cs="Arial"/>
          <w:lang w:val="es-ES_tradnl"/>
        </w:rPr>
        <w:t>iii</w:t>
      </w:r>
      <w:proofErr w:type="spellEnd"/>
      <w:r w:rsidRPr="00BE5FE3">
        <w:rPr>
          <w:rFonts w:ascii="Verdana" w:eastAsia="Calibri" w:hAnsi="Verdana" w:cs="Arial"/>
          <w:lang w:val="es-ES_tradnl"/>
        </w:rPr>
        <w:t xml:space="preserve">) cuando se trate de conjurar situaciones excepcionales relacionadas con hechos de calamidad o constitutivos de fuerza mayor o desastre que demanden actuaciones inmediatas; y </w:t>
      </w:r>
      <w:proofErr w:type="spellStart"/>
      <w:r w:rsidRPr="00BE5FE3">
        <w:rPr>
          <w:rFonts w:ascii="Verdana" w:eastAsia="Calibri" w:hAnsi="Verdana" w:cs="Arial"/>
          <w:lang w:val="es-ES_tradnl"/>
        </w:rPr>
        <w:t>iv</w:t>
      </w:r>
      <w:proofErr w:type="spellEnd"/>
      <w:r w:rsidRPr="00BE5FE3">
        <w:rPr>
          <w:rFonts w:ascii="Verdana" w:eastAsia="Calibri" w:hAnsi="Verdana" w:cs="Arial"/>
          <w:lang w:val="es-ES_tradnl"/>
        </w:rPr>
        <w:t>) en general, cuando se trate de situaciones similares que imposibiliten acudir a los procedimientos de selección o concurso públicos.</w:t>
      </w:r>
    </w:p>
    <w:p w14:paraId="74EB6F73" w14:textId="77777777" w:rsidR="00D15BDA" w:rsidRPr="00BE5FE3" w:rsidRDefault="00D15BDA" w:rsidP="00D15BDA">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La </w:t>
      </w:r>
      <w:r w:rsidRPr="3683B926">
        <w:rPr>
          <w:rFonts w:ascii="Verdana" w:eastAsia="Calibri" w:hAnsi="Verdana" w:cs="Arial"/>
          <w:i/>
          <w:lang w:val="es-ES"/>
        </w:rPr>
        <w:t>primera circunstancia</w:t>
      </w:r>
      <w:r w:rsidRPr="3683B926">
        <w:rPr>
          <w:rFonts w:ascii="Verdana" w:eastAsia="Calibri" w:hAnsi="Verdana" w:cs="Arial"/>
          <w:lang w:val="es-ES"/>
        </w:rPr>
        <w:t xml:space="preserve"> se configura cuando la continuidad del servicio exige el suministro de bienes, la prestación de servicios, o la ejecución de obras en el inmediato futuro. En este caso, se busca evitar la paralización de un servicio, pues están destinados a satisfacer necesidades colectivas en forma general, permanente y continua. En este contexto, no puede olvidarse que el servicio público responde, por definición, a una necesidad de interés general, </w:t>
      </w:r>
      <w:r w:rsidRPr="3683B926">
        <w:rPr>
          <w:rFonts w:ascii="Verdana" w:eastAsia="Calibri" w:hAnsi="Verdana" w:cs="Arial"/>
          <w:lang w:val="es-ES"/>
        </w:rPr>
        <w:lastRenderedPageBreak/>
        <w:t xml:space="preserve">razón por la cual no podría ser discontinuo, pues la interrupción ocasiona problemas graves para la vida colectiva. </w:t>
      </w:r>
    </w:p>
    <w:p w14:paraId="071F7835" w14:textId="77777777" w:rsidR="00D15BDA" w:rsidRPr="00BE5FE3" w:rsidRDefault="00D15BDA" w:rsidP="00D15BD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esta causal es secundaria la previsibilidad de la situación, porque –si así fuera– se llegaría al absurdo de permitir que efectivamente se paralizara el servicio, sacrificando el interés general por causa de la inactividad de los servidores</w:t>
      </w:r>
      <w:r w:rsidRPr="00BE5FE3">
        <w:rPr>
          <w:rStyle w:val="Refdenotaalpie"/>
          <w:rFonts w:ascii="Verdana" w:eastAsia="Calibri" w:hAnsi="Verdana" w:cs="Arial"/>
          <w:lang w:val="es-ES_tradnl"/>
        </w:rPr>
        <w:footnoteReference w:id="14"/>
      </w:r>
      <w:r w:rsidRPr="00BE5FE3">
        <w:rPr>
          <w:rFonts w:ascii="Verdana" w:eastAsia="Calibri" w:hAnsi="Verdana" w:cs="Arial"/>
          <w:lang w:val="es-ES_tradnl"/>
        </w:rPr>
        <w:t>. En consecuencia, “[…] uno de los elementos esenciales de la urgencia manifiesta lo constituye la obligación de verificar que el objeto del contrato necesita su permanencia, es decir, que se requiere garantizar por parte de la Administración la continuidad de un servicio que exige suministro de bienes, ejecución de obras o la propia prestación de servicios”</w:t>
      </w:r>
      <w:r w:rsidRPr="00BE5FE3">
        <w:rPr>
          <w:rStyle w:val="Refdenotaalpie"/>
          <w:rFonts w:ascii="Verdana" w:eastAsia="Calibri" w:hAnsi="Verdana" w:cs="Arial"/>
          <w:lang w:val="es-ES_tradnl"/>
        </w:rPr>
        <w:footnoteReference w:id="15"/>
      </w:r>
      <w:r w:rsidRPr="00BE5FE3">
        <w:rPr>
          <w:rFonts w:ascii="Verdana" w:eastAsia="Calibri" w:hAnsi="Verdana" w:cs="Arial"/>
          <w:lang w:val="es-ES_tradnl"/>
        </w:rPr>
        <w:t xml:space="preserve">. </w:t>
      </w:r>
    </w:p>
    <w:p w14:paraId="5D532C3E" w14:textId="77777777" w:rsidR="00D15BDA" w:rsidRPr="00BE5FE3" w:rsidRDefault="00D15BDA" w:rsidP="00D15BD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La </w:t>
      </w:r>
      <w:r w:rsidRPr="00BE5FE3">
        <w:rPr>
          <w:rFonts w:ascii="Verdana" w:eastAsia="Calibri" w:hAnsi="Verdana" w:cs="Arial"/>
          <w:i/>
          <w:iCs/>
          <w:lang w:val="es-ES_tradnl"/>
        </w:rPr>
        <w:t>segunda circunstancia</w:t>
      </w:r>
      <w:r w:rsidRPr="00BE5FE3">
        <w:rPr>
          <w:rFonts w:ascii="Verdana" w:eastAsia="Calibri" w:hAnsi="Verdana" w:cs="Arial"/>
          <w:lang w:val="es-ES_tradnl"/>
        </w:rPr>
        <w:t xml:space="preserve"> se presenta en las situaciones relacionadas con los estados de excepción, siendo necesaria la remisión a los artículos 212, 213 y 215 superiores. Estas normas se refieren a la declaración de los estados de guerra exterior, conmoción interior y emergencia económica, social y ecológica. De hecho, el uso indiscriminado, excesivo e incontrolado del estado de sitio, durante la vigencia de la Constitución Nacional de 1886, llevó a que los supuestos fácticos, las facultades y los controles adscritos a cada uno de ellos fueran específicamente regulados tanto en la Constitución Política como en la Ley Estatutaria 137 de 1994</w:t>
      </w:r>
      <w:r w:rsidRPr="00BE5FE3">
        <w:rPr>
          <w:rStyle w:val="Refdenotaalpie"/>
          <w:rFonts w:ascii="Verdana" w:eastAsia="Calibri" w:hAnsi="Verdana" w:cs="Arial"/>
          <w:lang w:val="es-ES_tradnl"/>
        </w:rPr>
        <w:footnoteReference w:id="16"/>
      </w:r>
      <w:r w:rsidRPr="00BE5FE3">
        <w:rPr>
          <w:rFonts w:ascii="Verdana" w:eastAsia="Calibri" w:hAnsi="Verdana" w:cs="Arial"/>
          <w:lang w:val="es-ES_tradnl"/>
        </w:rPr>
        <w:t xml:space="preserve">. </w:t>
      </w:r>
    </w:p>
    <w:p w14:paraId="5AD5400E" w14:textId="77777777" w:rsidR="00D15BDA" w:rsidRPr="00BE5FE3" w:rsidRDefault="00D15BDA" w:rsidP="00D15BDA">
      <w:pPr>
        <w:spacing w:after="120" w:line="276" w:lineRule="auto"/>
        <w:ind w:firstLine="708"/>
        <w:jc w:val="both"/>
        <w:rPr>
          <w:rFonts w:ascii="Verdana" w:eastAsia="Calibri" w:hAnsi="Verdana" w:cs="Arial"/>
          <w:lang w:val="es-ES"/>
        </w:rPr>
      </w:pPr>
      <w:r w:rsidRPr="3683B926">
        <w:rPr>
          <w:rFonts w:ascii="Verdana" w:eastAsia="Calibri" w:hAnsi="Verdana" w:cs="Arial"/>
          <w:lang w:val="es-ES"/>
        </w:rPr>
        <w:t xml:space="preserve">De conformidad con las normas citadas, los estados de excepción se declaran en caso de situación de anormalidad, y están acompañados de facultades y limitaciones que permiten el retorno a la regularidad. Por eso, mientras subsista la situación que la origina, y sólo en lo relacionado con la declaración previa del presidente de la república, con la firma de todos los ministros, las entidades pueden contratar directamente, por urgencia manifiesta, como medida </w:t>
      </w:r>
      <w:r w:rsidRPr="3683B926">
        <w:rPr>
          <w:rFonts w:ascii="Verdana" w:eastAsia="Calibri" w:hAnsi="Verdana" w:cs="Arial"/>
          <w:i/>
          <w:lang w:val="es-ES"/>
        </w:rPr>
        <w:t>pro tempore</w:t>
      </w:r>
      <w:r w:rsidRPr="3683B926">
        <w:rPr>
          <w:rFonts w:ascii="Verdana" w:eastAsia="Calibri" w:hAnsi="Verdana" w:cs="Arial"/>
          <w:lang w:val="es-ES"/>
        </w:rPr>
        <w:t xml:space="preserve"> para adquirir bienes y servicios que permitan superar la crisis. En contraste, cuando cesen las causas, las entidades </w:t>
      </w:r>
      <w:r w:rsidRPr="3683B926">
        <w:rPr>
          <w:rFonts w:ascii="Verdana" w:eastAsia="Calibri" w:hAnsi="Verdana" w:cs="Arial"/>
          <w:lang w:val="es-ES"/>
        </w:rPr>
        <w:lastRenderedPageBreak/>
        <w:t>deben contratar de conformidad con las reglas generales del Estatuto de Contratación.</w:t>
      </w:r>
    </w:p>
    <w:p w14:paraId="42074AC1" w14:textId="77777777" w:rsidR="00D15BDA" w:rsidRPr="00BE5FE3" w:rsidRDefault="00D15BDA" w:rsidP="00D15BD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En este supuesto, cuando se declara un estado de excepción, se configura el supuesto para declarar a continuación la “urgencia manifiesta”, por parte de cualquier entidad estatal regida por la Ley 80 de 1993, por configurarse uno de los cuatro (4) supuestos del art. 42 de la Ley 80 de 1993. En este evento no es suficiente la declaración del estado de excepción, por parte del presidente y sus ministros, sino que es necesario expedir, luego, el acto que declare la urgencia manifiesta, con fundamento en la declaración previa de alguno de los tres estados de excepción.</w:t>
      </w:r>
    </w:p>
    <w:p w14:paraId="2CCB96A5" w14:textId="77777777" w:rsidR="00D15BDA" w:rsidRPr="00BE5FE3" w:rsidRDefault="00D15BDA" w:rsidP="00D15BDA">
      <w:pPr>
        <w:spacing w:after="120" w:line="276" w:lineRule="auto"/>
        <w:ind w:firstLine="708"/>
        <w:jc w:val="both"/>
        <w:rPr>
          <w:rFonts w:ascii="Verdana" w:eastAsia="Calibri" w:hAnsi="Verdana" w:cs="Arial"/>
          <w:sz w:val="21"/>
          <w:szCs w:val="21"/>
          <w:lang w:val="es-ES"/>
        </w:rPr>
      </w:pPr>
      <w:r w:rsidRPr="48C53EE2">
        <w:rPr>
          <w:rFonts w:ascii="Verdana" w:eastAsia="Calibri" w:hAnsi="Verdana" w:cs="Arial"/>
          <w:lang w:val="es-ES"/>
        </w:rPr>
        <w:t xml:space="preserve">La </w:t>
      </w:r>
      <w:r w:rsidRPr="48C53EE2">
        <w:rPr>
          <w:rFonts w:ascii="Verdana" w:eastAsia="Calibri" w:hAnsi="Verdana" w:cs="Arial"/>
          <w:i/>
          <w:lang w:val="es-ES"/>
        </w:rPr>
        <w:t>tercera circunstancia</w:t>
      </w:r>
      <w:r w:rsidRPr="48C53EE2">
        <w:rPr>
          <w:rFonts w:ascii="Verdana" w:eastAsia="Calibri" w:hAnsi="Verdana" w:cs="Arial"/>
          <w:lang w:val="es-ES"/>
        </w:rPr>
        <w:t xml:space="preserve"> surge de la necesidad de conjurar situaciones excepcionales relacionadas con </w:t>
      </w:r>
      <w:r w:rsidRPr="48C53EE2">
        <w:rPr>
          <w:rFonts w:ascii="Verdana" w:eastAsia="Calibri" w:hAnsi="Verdana" w:cs="Arial"/>
          <w:i/>
          <w:lang w:val="es-ES"/>
        </w:rPr>
        <w:t>hechos de calamidad o constitutivos de fuerza mayor o desastre</w:t>
      </w:r>
      <w:r w:rsidRPr="48C53EE2">
        <w:rPr>
          <w:rFonts w:ascii="Verdana" w:eastAsia="Calibri" w:hAnsi="Verdana" w:cs="Arial"/>
          <w:lang w:val="es-ES"/>
        </w:rPr>
        <w:t xml:space="preserve"> que demanden actuaciones inmediatas, causa que –conforme se analiza en el siguiente acápite– exige tener en cuenta lo previsto en la Ley 1523 de 2012. Lo anterior sin perjuicio de que, conforme a la </w:t>
      </w:r>
      <w:r w:rsidRPr="48C53EE2">
        <w:rPr>
          <w:rFonts w:ascii="Verdana" w:eastAsia="Calibri" w:hAnsi="Verdana" w:cs="Arial"/>
          <w:i/>
          <w:lang w:val="es-ES"/>
        </w:rPr>
        <w:t>cuarta circunstancia</w:t>
      </w:r>
      <w:r w:rsidRPr="48C53EE2">
        <w:rPr>
          <w:rFonts w:ascii="Verdana" w:eastAsia="Calibri" w:hAnsi="Verdana" w:cs="Arial"/>
          <w:lang w:val="es-ES"/>
        </w:rPr>
        <w:t xml:space="preserve">, surjan situaciones similares que imposibiliten acudir a los procedimientos de selección o concurso públicos. </w:t>
      </w:r>
    </w:p>
    <w:p w14:paraId="195F0B30" w14:textId="77777777" w:rsidR="00D15BDA" w:rsidRPr="00BE5FE3" w:rsidRDefault="00D15BDA" w:rsidP="00D15BDA">
      <w:pPr>
        <w:spacing w:after="120" w:line="276" w:lineRule="auto"/>
        <w:ind w:firstLine="708"/>
        <w:jc w:val="both"/>
        <w:rPr>
          <w:rFonts w:ascii="Verdana" w:eastAsia="Calibri" w:hAnsi="Verdana" w:cs="Arial"/>
          <w:lang w:val="es-ES_tradnl"/>
        </w:rPr>
      </w:pPr>
      <w:bookmarkStart w:id="9" w:name="_Hlk132729706"/>
      <w:r w:rsidRPr="00BE5FE3">
        <w:rPr>
          <w:rFonts w:ascii="Verdana" w:eastAsia="Calibri" w:hAnsi="Verdana" w:cs="Arial"/>
          <w:lang w:val="es-ES_tradnl"/>
        </w:rPr>
        <w:t>El elemento común en los cuatro (4) eventos es que exigen atender la contingencia de manera pronta, mediante la ejecución de obras, la prestación de servicios o el suministro de bienes. Por tanto, lo que permite catalogar un supuesto fáctico como urgente, en forma manifiesta, es que demanda actuaciones del Estado que no dan espera para mantener la regularidad del servicio, e impiden acudir a los procedimientos de selección ordinarios, es decir, a la licitación pública, la selección abreviada, el concurso de méritos y la contratación de mínima cuantía</w:t>
      </w:r>
      <w:r w:rsidRPr="00BE5FE3">
        <w:rPr>
          <w:rStyle w:val="Refdenotaalpie"/>
          <w:rFonts w:ascii="Verdana" w:eastAsia="Calibri" w:hAnsi="Verdana" w:cs="Arial"/>
          <w:sz w:val="21"/>
          <w:szCs w:val="21"/>
          <w:lang w:val="es-ES_tradnl"/>
        </w:rPr>
        <w:footnoteReference w:id="17"/>
      </w:r>
      <w:r w:rsidRPr="00BE5FE3">
        <w:rPr>
          <w:rFonts w:ascii="Verdana" w:eastAsia="Calibri" w:hAnsi="Verdana" w:cs="Arial"/>
          <w:sz w:val="21"/>
          <w:szCs w:val="21"/>
          <w:lang w:val="es-ES_tradnl"/>
        </w:rPr>
        <w:t>.</w:t>
      </w:r>
    </w:p>
    <w:bookmarkEnd w:id="9"/>
    <w:p w14:paraId="6E3D02B5" w14:textId="77777777" w:rsidR="00D15BDA" w:rsidRPr="00BE5FE3" w:rsidRDefault="00D15BDA" w:rsidP="00D15BDA">
      <w:pPr>
        <w:spacing w:after="120" w:line="276" w:lineRule="auto"/>
        <w:ind w:firstLine="708"/>
        <w:jc w:val="both"/>
        <w:rPr>
          <w:rFonts w:ascii="Verdana" w:eastAsia="Calibri" w:hAnsi="Verdana" w:cs="Arial"/>
          <w:lang w:val="es-ES_tradnl"/>
        </w:rPr>
      </w:pPr>
      <w:r w:rsidRPr="00BE5FE3">
        <w:rPr>
          <w:rFonts w:ascii="Verdana" w:eastAsia="Calibri" w:hAnsi="Verdana" w:cs="Arial"/>
          <w:lang w:val="es-ES_tradnl"/>
        </w:rPr>
        <w:t xml:space="preserve">Se insiste en que cuando se configure alguna de las cuatro (4) situaciones, el artículo 42 de la Ley 80 de 1993 exige declarar formalmente la urgencia </w:t>
      </w:r>
      <w:r w:rsidRPr="00BE5FE3">
        <w:rPr>
          <w:rFonts w:ascii="Verdana" w:eastAsia="Calibri" w:hAnsi="Verdana" w:cs="Arial"/>
          <w:lang w:val="es-ES_tradnl"/>
        </w:rPr>
        <w:lastRenderedPageBreak/>
        <w:t xml:space="preserve">manifiesta mediante acto administrativo motivado, es decir, a través de una manifestación unilateral de voluntad razonablemente justificada, proferida por el jefe o representante legal de cada entidad –o quien sea el titular de la competencia–, según lo establecido en los artículos 11 y 12 </w:t>
      </w:r>
      <w:r w:rsidRPr="00BE5FE3">
        <w:rPr>
          <w:rFonts w:ascii="Verdana" w:eastAsia="Calibri" w:hAnsi="Verdana" w:cs="Arial"/>
          <w:i/>
          <w:iCs/>
          <w:lang w:val="es-ES_tradnl"/>
        </w:rPr>
        <w:t>ibidem</w:t>
      </w:r>
      <w:r w:rsidRPr="00BE5FE3">
        <w:rPr>
          <w:rFonts w:ascii="Verdana" w:eastAsia="Calibri" w:hAnsi="Verdana" w:cs="Arial"/>
          <w:lang w:val="es-ES_tradnl"/>
        </w:rPr>
        <w:t>. Adicionalmente, no es necesario realizar estudios previos, como lo dispone el artículo 2.2.1.2.1.4.2 del Decreto 1082 de 2015: “Si la causal de contratación directa es la urgencia manifiesta, el acto administrativo que la declare hará las veces del acto administrativo de justificación, y en este caso la Entidad Estatal no está obligada a elaborar estudios y documentos previos”.</w:t>
      </w:r>
    </w:p>
    <w:p w14:paraId="359DC487" w14:textId="77777777" w:rsidR="00D15BDA" w:rsidRPr="00BE5FE3" w:rsidRDefault="00D15BDA" w:rsidP="00D15BDA">
      <w:pPr>
        <w:spacing w:after="0" w:line="276" w:lineRule="auto"/>
        <w:ind w:firstLine="708"/>
        <w:jc w:val="both"/>
        <w:rPr>
          <w:rFonts w:ascii="Verdana" w:eastAsia="Calibri" w:hAnsi="Verdana" w:cs="Arial"/>
          <w:lang w:val="es-ES"/>
        </w:rPr>
      </w:pPr>
      <w:r w:rsidRPr="3683B926">
        <w:rPr>
          <w:rFonts w:ascii="Verdana" w:eastAsia="Calibri" w:hAnsi="Verdana" w:cs="Arial"/>
          <w:lang w:val="es-ES"/>
        </w:rPr>
        <w:t xml:space="preserve">Expedido el acto administrativo, la entidad estatal debe realizar todos los trámites internos necesarios para contratar, entre ellos la disposición de los recursos. En tal sentido, el parágrafo del artículo 42 de la Ley 80 señala que “Con el fin de atender las necesidades y los gastos propios de la urgencia manifiesta, se podrán hacer los traslados presupuestales internos que se requieran dentro del presupuesto del organismo o entidad estatal correspondiente”. Este apartado fue declarado condicionalmente exequible por la Corte Constitucional en la Sentencia C-772 de 1998, “[…] bajo el entendimiento de que los traslados presupuestales internos a que se refiere dicha </w:t>
      </w:r>
      <w:proofErr w:type="gramStart"/>
      <w:r w:rsidRPr="3683B926">
        <w:rPr>
          <w:rFonts w:ascii="Verdana" w:eastAsia="Calibri" w:hAnsi="Verdana" w:cs="Arial"/>
          <w:lang w:val="es-ES"/>
        </w:rPr>
        <w:t>norma,</w:t>
      </w:r>
      <w:proofErr w:type="gramEnd"/>
      <w:r w:rsidRPr="3683B926">
        <w:rPr>
          <w:rFonts w:ascii="Verdana" w:eastAsia="Calibri" w:hAnsi="Verdana" w:cs="Arial"/>
          <w:lang w:val="es-ES"/>
        </w:rPr>
        <w:t xml:space="preserve"> se efectúen afectando exclusivamente el anexo del decreto de liquidación del Presupuesto”</w:t>
      </w:r>
      <w:r w:rsidRPr="3683B926">
        <w:rPr>
          <w:rFonts w:ascii="Verdana" w:eastAsia="Calibri" w:hAnsi="Verdana" w:cs="Arial"/>
          <w:vertAlign w:val="superscript"/>
          <w:lang w:val="es-ES"/>
        </w:rPr>
        <w:footnoteReference w:id="18"/>
      </w:r>
      <w:r w:rsidRPr="3683B926">
        <w:rPr>
          <w:rFonts w:ascii="Verdana" w:eastAsia="Calibri" w:hAnsi="Verdana" w:cs="Arial"/>
          <w:lang w:val="es-ES"/>
        </w:rPr>
        <w:t xml:space="preserve">. </w:t>
      </w:r>
    </w:p>
    <w:p w14:paraId="008942BE" w14:textId="77777777" w:rsidR="00D15BDA" w:rsidRDefault="00D15BDA" w:rsidP="00D15BDA">
      <w:pPr>
        <w:spacing w:after="0" w:line="276" w:lineRule="auto"/>
        <w:jc w:val="both"/>
        <w:rPr>
          <w:rFonts w:ascii="Verdana" w:hAnsi="Verdana" w:cs="Arial"/>
          <w:lang w:val="es-ES_tradnl"/>
        </w:rPr>
      </w:pPr>
    </w:p>
    <w:p w14:paraId="2CD22261" w14:textId="77777777" w:rsidR="00D15BDA" w:rsidRPr="00D93A6C" w:rsidRDefault="00D15BDA" w:rsidP="00D15BDA">
      <w:pPr>
        <w:spacing w:after="120" w:line="276" w:lineRule="auto"/>
        <w:jc w:val="both"/>
        <w:rPr>
          <w:rFonts w:ascii="Verdana" w:eastAsia="Calibri" w:hAnsi="Verdana" w:cs="Arial"/>
          <w:lang w:val="es-ES"/>
        </w:rPr>
      </w:pPr>
      <w:proofErr w:type="spellStart"/>
      <w:r w:rsidRPr="3683B926">
        <w:rPr>
          <w:rFonts w:ascii="Verdana" w:hAnsi="Verdana" w:cs="Arial"/>
          <w:lang w:val="es-ES"/>
        </w:rPr>
        <w:t>iii</w:t>
      </w:r>
      <w:proofErr w:type="spellEnd"/>
      <w:r w:rsidRPr="3683B926">
        <w:rPr>
          <w:rFonts w:ascii="Verdana" w:hAnsi="Verdana" w:cs="Arial"/>
          <w:lang w:val="es-ES"/>
        </w:rPr>
        <w:t xml:space="preserve">. </w:t>
      </w:r>
      <w:r w:rsidRPr="3683B926">
        <w:rPr>
          <w:rFonts w:ascii="Verdana" w:eastAsia="Calibri" w:hAnsi="Verdana" w:cs="Arial"/>
          <w:lang w:val="es-ES"/>
        </w:rPr>
        <w:t xml:space="preserve">El artículo 42 de la Ley 80 de 1993 dispone que la urgencia manifiesta se declara, entre otras tres (3) circunstancias, con la finalidad de “[…] conjurar situaciones excepcionales relacionadas con hechos de calamidad o constitutivos de fuerza mayor o desastre que demanden actuaciones inmediatas […]”. Para delimitar estas expresiones, el </w:t>
      </w:r>
      <w:bookmarkStart w:id="10" w:name="_Hlk35880053"/>
      <w:r w:rsidRPr="3683B926">
        <w:rPr>
          <w:rFonts w:ascii="Verdana" w:eastAsia="Calibri" w:hAnsi="Verdana" w:cs="Arial"/>
          <w:lang w:val="es-ES"/>
        </w:rPr>
        <w:t xml:space="preserve">artículo 28 del Código Civil </w:t>
      </w:r>
      <w:bookmarkEnd w:id="10"/>
      <w:r w:rsidRPr="3683B926">
        <w:rPr>
          <w:rFonts w:ascii="Verdana" w:eastAsia="Calibri" w:hAnsi="Verdana" w:cs="Arial"/>
          <w:lang w:val="es-ES"/>
        </w:rPr>
        <w:t xml:space="preserve">dispone que “Las palabras de la ley se entenderán en su sentido natural y obvio, según el uso general de las mismas palabras; pero cuando el legislador las haya definido expresamente para ciertas materias, se les dará en éstas su significado legal”. Y resulta que en la medida en que la norma utiliza la conjunción “o”, en principio asimilaría la </w:t>
      </w:r>
      <w:r w:rsidRPr="3683B926">
        <w:rPr>
          <w:rFonts w:ascii="Verdana" w:eastAsia="Calibri" w:hAnsi="Verdana" w:cs="Arial"/>
          <w:i/>
          <w:lang w:val="es-ES"/>
        </w:rPr>
        <w:t>calamidad</w:t>
      </w:r>
      <w:r w:rsidRPr="3683B926">
        <w:rPr>
          <w:rFonts w:ascii="Verdana" w:eastAsia="Calibri" w:hAnsi="Verdana" w:cs="Arial"/>
          <w:lang w:val="es-ES"/>
        </w:rPr>
        <w:t xml:space="preserve"> y el </w:t>
      </w:r>
      <w:r w:rsidRPr="3683B926">
        <w:rPr>
          <w:rFonts w:ascii="Verdana" w:eastAsia="Calibri" w:hAnsi="Verdana" w:cs="Arial"/>
          <w:i/>
          <w:lang w:val="es-ES"/>
        </w:rPr>
        <w:t xml:space="preserve">desastre </w:t>
      </w:r>
      <w:r w:rsidRPr="3683B926">
        <w:rPr>
          <w:rFonts w:ascii="Verdana" w:eastAsia="Calibri" w:hAnsi="Verdana" w:cs="Arial"/>
          <w:lang w:val="es-ES"/>
        </w:rPr>
        <w:t xml:space="preserve">con la </w:t>
      </w:r>
      <w:r w:rsidRPr="3683B926">
        <w:rPr>
          <w:rFonts w:ascii="Verdana" w:eastAsia="Calibri" w:hAnsi="Verdana" w:cs="Arial"/>
          <w:i/>
          <w:lang w:val="es-ES"/>
        </w:rPr>
        <w:t>fuerza mayor</w:t>
      </w:r>
      <w:r w:rsidRPr="3683B926">
        <w:rPr>
          <w:rFonts w:ascii="Verdana" w:eastAsia="Calibri" w:hAnsi="Verdana" w:cs="Arial"/>
          <w:lang w:val="es-ES"/>
        </w:rPr>
        <w:t xml:space="preserve"> o el </w:t>
      </w:r>
      <w:r w:rsidRPr="3683B926">
        <w:rPr>
          <w:rFonts w:ascii="Verdana" w:eastAsia="Calibri" w:hAnsi="Verdana" w:cs="Arial"/>
          <w:i/>
          <w:lang w:val="es-ES"/>
        </w:rPr>
        <w:t>caso fortuito</w:t>
      </w:r>
      <w:r w:rsidRPr="3683B926">
        <w:rPr>
          <w:rFonts w:ascii="Verdana" w:eastAsia="Calibri" w:hAnsi="Verdana" w:cs="Arial"/>
          <w:lang w:val="es-ES"/>
        </w:rPr>
        <w:t xml:space="preserve">. </w:t>
      </w:r>
    </w:p>
    <w:p w14:paraId="147DB54A" w14:textId="77777777" w:rsidR="00D15BDA" w:rsidRPr="00D93A6C" w:rsidRDefault="00D15BDA" w:rsidP="00D15BDA">
      <w:pPr>
        <w:spacing w:after="0" w:line="276" w:lineRule="auto"/>
        <w:ind w:firstLine="708"/>
        <w:jc w:val="both"/>
        <w:rPr>
          <w:rFonts w:ascii="Verdana" w:eastAsia="Calibri" w:hAnsi="Verdana" w:cs="Arial"/>
          <w:lang w:val="es-ES_tradnl"/>
        </w:rPr>
      </w:pPr>
      <w:r w:rsidRPr="00D93A6C">
        <w:rPr>
          <w:rFonts w:ascii="Verdana" w:eastAsia="Calibri" w:hAnsi="Verdana" w:cs="Arial"/>
          <w:lang w:val="es-ES_tradnl"/>
        </w:rPr>
        <w:t xml:space="preserve">Al respecto, el artículo 64 del Código Civil define como tal “[…] el imprevisto o que no es posible resistir, como un naufragio, un terremoto, </w:t>
      </w:r>
      <w:bookmarkStart w:id="11" w:name="_Hlk35871146"/>
      <w:r w:rsidRPr="00D93A6C">
        <w:rPr>
          <w:rFonts w:ascii="Verdana" w:eastAsia="Calibri" w:hAnsi="Verdana" w:cs="Arial"/>
          <w:lang w:val="es-ES_tradnl"/>
        </w:rPr>
        <w:t xml:space="preserve">el apresamiento de enemigos, los actos de autoridad ejercidos por un funcionario </w:t>
      </w:r>
      <w:r w:rsidRPr="00D93A6C">
        <w:rPr>
          <w:rFonts w:ascii="Verdana" w:eastAsia="Calibri" w:hAnsi="Verdana" w:cs="Arial"/>
          <w:lang w:val="es-ES_tradnl"/>
        </w:rPr>
        <w:lastRenderedPageBreak/>
        <w:t>público</w:t>
      </w:r>
      <w:bookmarkEnd w:id="11"/>
      <w:r w:rsidRPr="00D93A6C">
        <w:rPr>
          <w:rFonts w:ascii="Verdana" w:eastAsia="Calibri" w:hAnsi="Verdana" w:cs="Arial"/>
          <w:lang w:val="es-ES_tradnl"/>
        </w:rPr>
        <w:t>, etc.”</w:t>
      </w:r>
      <w:r w:rsidRPr="00D93A6C">
        <w:rPr>
          <w:rFonts w:ascii="Verdana" w:eastAsia="Calibri" w:hAnsi="Verdana" w:cs="Arial"/>
          <w:sz w:val="21"/>
          <w:szCs w:val="21"/>
          <w:vertAlign w:val="superscript"/>
          <w:lang w:val="es-ES_tradnl"/>
        </w:rPr>
        <w:footnoteReference w:id="19"/>
      </w:r>
      <w:r w:rsidRPr="00D93A6C">
        <w:rPr>
          <w:rFonts w:ascii="Verdana" w:eastAsia="Calibri" w:hAnsi="Verdana" w:cs="Arial"/>
          <w:sz w:val="21"/>
          <w:szCs w:val="21"/>
          <w:lang w:val="es-ES_tradnl"/>
        </w:rPr>
        <w:t>.</w:t>
      </w:r>
      <w:r w:rsidRPr="00D93A6C">
        <w:rPr>
          <w:rFonts w:ascii="Verdana" w:eastAsia="Calibri" w:hAnsi="Verdana" w:cs="Arial"/>
          <w:lang w:val="es-ES_tradnl"/>
        </w:rPr>
        <w:t xml:space="preserve"> Cuando provienen de fenómenos de la naturaleza estas características confluyen con los conceptos de desastre y calamidad, los cuales –conforme al Diccionario de la Real Academia Española– constituyen una “Desgracia grande, suceso infeliz y lamentable” o “Desgracia o infortunio que alcanza a muchas personas”, respectivamente. Conforme al significado natural de las palabras, parece que la diferencia es el mayor alcance de la segunda respecto al primero. No obstante, además de la ocurrencia de desastres y calamidades que –aunque irresistibles– se presentan con cierto grado de previsibilidad o que, incluso, se originan en la actuación humana intencional, estos dos conceptos también los definió </w:t>
      </w:r>
      <w:bookmarkStart w:id="12" w:name="_Hlk35879271"/>
      <w:r w:rsidRPr="00D93A6C">
        <w:rPr>
          <w:rFonts w:ascii="Verdana" w:eastAsia="Calibri" w:hAnsi="Verdana" w:cs="Arial"/>
          <w:lang w:val="es-ES_tradnl"/>
        </w:rPr>
        <w:t>el artículo 4, numerales 5 y 8, de la Ley 1523 de 2012</w:t>
      </w:r>
      <w:bookmarkEnd w:id="12"/>
      <w:r w:rsidRPr="00D93A6C">
        <w:rPr>
          <w:rFonts w:ascii="Verdana" w:eastAsia="Calibri" w:hAnsi="Verdana" w:cs="Arial"/>
          <w:lang w:val="es-ES_tradnl"/>
        </w:rPr>
        <w:t>:</w:t>
      </w:r>
    </w:p>
    <w:p w14:paraId="35A092E4" w14:textId="77777777" w:rsidR="00D15BDA" w:rsidRPr="00D93A6C" w:rsidRDefault="00D15BDA" w:rsidP="00D15BDA">
      <w:pPr>
        <w:spacing w:after="0" w:line="276" w:lineRule="auto"/>
        <w:ind w:firstLine="708"/>
        <w:jc w:val="both"/>
        <w:rPr>
          <w:rFonts w:ascii="Verdana" w:eastAsia="Calibri" w:hAnsi="Verdana" w:cs="Arial"/>
          <w:lang w:val="es-ES_tradnl"/>
        </w:rPr>
      </w:pPr>
    </w:p>
    <w:p w14:paraId="6C2FFD18" w14:textId="77777777" w:rsidR="00D15BDA" w:rsidRPr="00DB5641" w:rsidRDefault="00D15BDA" w:rsidP="00D15BDA">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“Art. 4. Para efectos de la presente ley se entenderá por:</w:t>
      </w:r>
    </w:p>
    <w:p w14:paraId="080D7629" w14:textId="77777777" w:rsidR="00D15BDA" w:rsidRPr="00DB5641" w:rsidRDefault="00D15BDA" w:rsidP="00D15BDA">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w:t>
      </w:r>
    </w:p>
    <w:p w14:paraId="077AC0B7" w14:textId="77777777" w:rsidR="00D15BDA" w:rsidRPr="00DB5641" w:rsidRDefault="00D15BDA" w:rsidP="00D15BDA">
      <w:pPr>
        <w:spacing w:after="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5. Calamidad pública: Es </w:t>
      </w:r>
      <w:bookmarkStart w:id="13" w:name="_Hlk35879333"/>
      <w:r w:rsidRPr="00DB5641">
        <w:rPr>
          <w:rFonts w:ascii="Verdana" w:eastAsia="Calibri" w:hAnsi="Verdana" w:cs="Arial"/>
          <w:sz w:val="20"/>
          <w:szCs w:val="20"/>
          <w:lang w:val="es-ES_tradnl"/>
        </w:rPr>
        <w:t xml:space="preserve">el resultado que se desencadena de la manifestación de uno o varios eventos naturales </w:t>
      </w:r>
      <w:bookmarkStart w:id="14" w:name="_Hlk35870820"/>
      <w:r w:rsidRPr="00DB5641">
        <w:rPr>
          <w:rFonts w:ascii="Verdana" w:eastAsia="Calibri" w:hAnsi="Verdana" w:cs="Arial"/>
          <w:sz w:val="20"/>
          <w:szCs w:val="20"/>
          <w:lang w:val="es-ES_tradnl"/>
        </w:rPr>
        <w:t xml:space="preserve">o antropogénicos no intencionales </w:t>
      </w:r>
      <w:bookmarkEnd w:id="14"/>
      <w:r w:rsidRPr="00DB5641">
        <w:rPr>
          <w:rFonts w:ascii="Verdana" w:eastAsia="Calibri" w:hAnsi="Verdana" w:cs="Arial"/>
          <w:sz w:val="20"/>
          <w:szCs w:val="20"/>
          <w:lang w:val="es-ES_tradnl"/>
        </w:rPr>
        <w:t xml:space="preserve">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w:t>
      </w:r>
      <w:r w:rsidRPr="00DB5641">
        <w:rPr>
          <w:rFonts w:ascii="Verdana" w:eastAsia="Calibri" w:hAnsi="Verdana" w:cs="Arial"/>
          <w:sz w:val="20"/>
          <w:szCs w:val="20"/>
          <w:lang w:val="es-ES_tradnl"/>
        </w:rPr>
        <w:lastRenderedPageBreak/>
        <w:t xml:space="preserve">funcionamiento </w:t>
      </w:r>
      <w:bookmarkEnd w:id="13"/>
      <w:r w:rsidRPr="00DB5641">
        <w:rPr>
          <w:rFonts w:ascii="Verdana" w:eastAsia="Calibri" w:hAnsi="Verdana" w:cs="Arial"/>
          <w:sz w:val="20"/>
          <w:szCs w:val="20"/>
          <w:lang w:val="es-ES_tradnl"/>
        </w:rPr>
        <w:t>de la población, en el respectivo territorio, que exige al municipio, distrito o departamento ejecutar acciones de respuesta a la emergencia, rehabilitación y reconstrucción.</w:t>
      </w:r>
    </w:p>
    <w:p w14:paraId="0B3FDA57" w14:textId="77777777" w:rsidR="00D15BDA" w:rsidRPr="00DB5641" w:rsidRDefault="00D15BDA" w:rsidP="00D15BDA">
      <w:pPr>
        <w:spacing w:after="120" w:line="240" w:lineRule="auto"/>
        <w:ind w:left="709" w:right="709"/>
        <w:jc w:val="both"/>
        <w:rPr>
          <w:rFonts w:ascii="Verdana" w:eastAsia="Calibri" w:hAnsi="Verdana" w:cs="Arial"/>
          <w:sz w:val="20"/>
          <w:szCs w:val="20"/>
          <w:lang w:val="es-ES_tradnl"/>
        </w:rPr>
      </w:pPr>
      <w:r w:rsidRPr="00DB5641">
        <w:rPr>
          <w:rFonts w:ascii="Verdana" w:eastAsia="Calibri" w:hAnsi="Verdana" w:cs="Arial"/>
          <w:sz w:val="20"/>
          <w:szCs w:val="20"/>
          <w:lang w:val="es-ES_tradnl"/>
        </w:rPr>
        <w:t xml:space="preserve">[…] </w:t>
      </w:r>
    </w:p>
    <w:p w14:paraId="2BA7F560" w14:textId="77777777" w:rsidR="00D15BDA" w:rsidRPr="00D93A6C" w:rsidRDefault="00D15BDA" w:rsidP="00D15BDA">
      <w:pPr>
        <w:spacing w:after="0" w:line="240" w:lineRule="auto"/>
        <w:ind w:left="709" w:right="709"/>
        <w:jc w:val="both"/>
        <w:rPr>
          <w:rFonts w:ascii="Verdana" w:eastAsia="Calibri" w:hAnsi="Verdana" w:cs="Arial"/>
          <w:lang w:val="es-ES_tradnl"/>
        </w:rPr>
      </w:pPr>
      <w:r w:rsidRPr="00DB5641">
        <w:rPr>
          <w:rFonts w:ascii="Verdana" w:eastAsia="Calibri" w:hAnsi="Verdana" w:cs="Arial"/>
          <w:sz w:val="20"/>
          <w:szCs w:val="20"/>
          <w:lang w:val="es-ES_tradnl"/>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14:paraId="657D3F6F" w14:textId="77777777" w:rsidR="00D15BDA" w:rsidRPr="00D93A6C" w:rsidRDefault="00D15BDA" w:rsidP="00D15BDA">
      <w:pPr>
        <w:spacing w:after="0" w:line="276" w:lineRule="auto"/>
        <w:ind w:left="709" w:right="709"/>
        <w:jc w:val="both"/>
        <w:rPr>
          <w:rFonts w:ascii="Verdana" w:eastAsia="Calibri" w:hAnsi="Verdana" w:cs="Arial"/>
          <w:lang w:val="es-ES_tradnl"/>
        </w:rPr>
      </w:pPr>
    </w:p>
    <w:p w14:paraId="10F7842E" w14:textId="77777777" w:rsidR="00D15BDA" w:rsidRPr="00D93A6C" w:rsidRDefault="00D15BDA" w:rsidP="00D15BD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Esta norma debe armonizarse con los artículos 56 y 57 </w:t>
      </w:r>
      <w:r w:rsidRPr="3683B926">
        <w:rPr>
          <w:rFonts w:ascii="Verdana" w:eastAsia="Calibri" w:hAnsi="Verdana" w:cs="Arial"/>
          <w:i/>
          <w:lang w:val="es-ES"/>
        </w:rPr>
        <w:t>ibidem</w:t>
      </w:r>
      <w:r w:rsidRPr="3683B926">
        <w:rPr>
          <w:rFonts w:ascii="Verdana" w:eastAsia="Calibri" w:hAnsi="Verdana" w:cs="Arial"/>
          <w:lang w:val="es-ES"/>
        </w:rPr>
        <w:t xml:space="preserve">, que asignan la competencia para declarar la ocurrencia de una situación de </w:t>
      </w:r>
      <w:r w:rsidRPr="3683B926">
        <w:rPr>
          <w:rFonts w:ascii="Verdana" w:eastAsia="Calibri" w:hAnsi="Verdana" w:cs="Arial"/>
          <w:i/>
          <w:lang w:val="es-ES"/>
        </w:rPr>
        <w:t>desastre</w:t>
      </w:r>
      <w:r w:rsidRPr="3683B926">
        <w:rPr>
          <w:rFonts w:ascii="Verdana" w:eastAsia="Calibri" w:hAnsi="Verdana" w:cs="Arial"/>
          <w:lang w:val="es-ES"/>
        </w:rPr>
        <w:t xml:space="preserve"> o una situación de </w:t>
      </w:r>
      <w:r w:rsidRPr="3683B926">
        <w:rPr>
          <w:rFonts w:ascii="Verdana" w:eastAsia="Calibri" w:hAnsi="Verdana" w:cs="Arial"/>
          <w:i/>
          <w:lang w:val="es-ES"/>
        </w:rPr>
        <w:t>calamidad pública</w:t>
      </w:r>
      <w:r w:rsidRPr="3683B926">
        <w:rPr>
          <w:rFonts w:ascii="Verdana" w:eastAsia="Calibri" w:hAnsi="Verdana" w:cs="Arial"/>
          <w:lang w:val="es-ES"/>
        </w:rPr>
        <w:t xml:space="preserve">. Particularmente, disponen que al </w:t>
      </w:r>
      <w:proofErr w:type="gramStart"/>
      <w:r w:rsidRPr="3683B926">
        <w:rPr>
          <w:rFonts w:ascii="Verdana" w:eastAsia="Calibri" w:hAnsi="Verdana" w:cs="Arial"/>
          <w:lang w:val="es-ES"/>
        </w:rPr>
        <w:t>Presidente</w:t>
      </w:r>
      <w:proofErr w:type="gramEnd"/>
      <w:r w:rsidRPr="3683B926">
        <w:rPr>
          <w:rFonts w:ascii="Verdana" w:eastAsia="Calibri" w:hAnsi="Verdana" w:cs="Arial"/>
          <w:lang w:val="es-ES"/>
        </w:rPr>
        <w:t xml:space="preserve"> de la República le corresponde declarar la situación de </w:t>
      </w:r>
      <w:r w:rsidRPr="3683B926">
        <w:rPr>
          <w:rFonts w:ascii="Verdana" w:eastAsia="Calibri" w:hAnsi="Verdana" w:cs="Arial"/>
          <w:i/>
          <w:lang w:val="es-ES"/>
        </w:rPr>
        <w:t>desastre</w:t>
      </w:r>
      <w:r w:rsidRPr="3683B926">
        <w:rPr>
          <w:rFonts w:ascii="Verdana" w:eastAsia="Calibri" w:hAnsi="Verdana" w:cs="Arial"/>
          <w:lang w:val="es-ES"/>
        </w:rPr>
        <w:t>, tanto en el orden nacional, departamental, como en el municipal y distrital</w:t>
      </w:r>
      <w:r w:rsidRPr="3683B926">
        <w:rPr>
          <w:rStyle w:val="Refdenotaalpie"/>
          <w:rFonts w:ascii="Verdana" w:eastAsia="Calibri" w:hAnsi="Verdana" w:cs="Arial"/>
          <w:lang w:val="es-ES"/>
        </w:rPr>
        <w:footnoteReference w:id="20"/>
      </w:r>
      <w:r w:rsidRPr="3683B926">
        <w:rPr>
          <w:rFonts w:ascii="Verdana" w:eastAsia="Calibri" w:hAnsi="Verdana" w:cs="Arial"/>
          <w:lang w:val="es-ES"/>
        </w:rPr>
        <w:t xml:space="preserve">, facultad que no pueden ejercer los gobernadores y alcaldes, porque la norma no les asignó esta competencia. No obstante, a los gobernadores y alcaldes sí les corresponde declarar la </w:t>
      </w:r>
      <w:r w:rsidRPr="3683B926">
        <w:rPr>
          <w:rFonts w:ascii="Verdana" w:eastAsia="Calibri" w:hAnsi="Verdana" w:cs="Arial"/>
          <w:i/>
          <w:lang w:val="es-ES"/>
        </w:rPr>
        <w:t>situación de calamidad pública</w:t>
      </w:r>
      <w:r w:rsidRPr="3683B926">
        <w:rPr>
          <w:rFonts w:ascii="Verdana" w:eastAsia="Calibri" w:hAnsi="Verdana" w:cs="Arial"/>
          <w:lang w:val="es-ES"/>
        </w:rPr>
        <w:t xml:space="preserve">, en los respectivos </w:t>
      </w:r>
      <w:r w:rsidRPr="3683B926">
        <w:rPr>
          <w:rFonts w:ascii="Verdana" w:eastAsia="Calibri" w:hAnsi="Verdana" w:cs="Arial"/>
          <w:lang w:val="es-ES"/>
        </w:rPr>
        <w:lastRenderedPageBreak/>
        <w:t>ámbitos, facultad que, en cambio, no puede ejercer el presidente de la república</w:t>
      </w:r>
      <w:r w:rsidRPr="3683B926">
        <w:rPr>
          <w:rStyle w:val="Refdenotaalpie"/>
          <w:rFonts w:ascii="Verdana" w:eastAsia="Calibri" w:hAnsi="Verdana" w:cs="Arial"/>
          <w:lang w:val="es-ES"/>
        </w:rPr>
        <w:footnoteReference w:id="21"/>
      </w:r>
      <w:r w:rsidRPr="3683B926">
        <w:rPr>
          <w:rFonts w:ascii="Verdana" w:eastAsia="Calibri" w:hAnsi="Verdana" w:cs="Arial"/>
          <w:lang w:val="es-ES"/>
        </w:rPr>
        <w:t xml:space="preserve">. </w:t>
      </w:r>
    </w:p>
    <w:p w14:paraId="0296A00C" w14:textId="77777777" w:rsidR="00D15BDA" w:rsidRPr="00D93A6C" w:rsidRDefault="00D15BDA" w:rsidP="00D15BDA">
      <w:pPr>
        <w:spacing w:after="120" w:line="276" w:lineRule="auto"/>
        <w:ind w:firstLine="709"/>
        <w:jc w:val="both"/>
        <w:rPr>
          <w:rFonts w:ascii="Verdana" w:eastAsia="Calibri" w:hAnsi="Verdana" w:cs="Arial"/>
          <w:lang w:val="es-ES_tradnl"/>
        </w:rPr>
      </w:pPr>
      <w:r w:rsidRPr="00D93A6C">
        <w:rPr>
          <w:rFonts w:ascii="Verdana" w:eastAsia="Calibri" w:hAnsi="Verdana" w:cs="Arial"/>
          <w:lang w:val="es-ES_tradnl"/>
        </w:rPr>
        <w:t xml:space="preserve">De esta manera, una vez se declara la situación de calamidad o la situación de desastre bajo los criterios señalados en el artículo 59 de la Ley 1523 de 2012, por parte de la autoridad competente, las demás entidades estatales –de conformidad con el artículo 42 de la Ley 80 de 1993– quedan facultadas para declarar, a continuación, la causal de contratación directa denominada “urgencia manifiesta”, mediante un acto administrativo propio, autónomo, que tiene como fundamento fáctico y jurídico la declaración de situación de calamidad o la situación de desastre. </w:t>
      </w:r>
    </w:p>
    <w:p w14:paraId="67869CD6" w14:textId="77777777" w:rsidR="00D15BDA" w:rsidRPr="00D93A6C" w:rsidRDefault="00D15BDA" w:rsidP="00D15BDA">
      <w:pPr>
        <w:spacing w:after="120" w:line="276" w:lineRule="auto"/>
        <w:ind w:firstLine="709"/>
        <w:jc w:val="both"/>
        <w:rPr>
          <w:rFonts w:ascii="Verdana" w:eastAsia="Calibri" w:hAnsi="Verdana" w:cs="Arial"/>
          <w:lang w:val="es-ES"/>
        </w:rPr>
      </w:pPr>
      <w:bookmarkStart w:id="16" w:name="_Hlk35959844"/>
      <w:r w:rsidRPr="3683B926">
        <w:rPr>
          <w:rFonts w:ascii="Verdana" w:eastAsia="Calibri" w:hAnsi="Verdana" w:cs="Arial"/>
          <w:lang w:val="es-ES"/>
        </w:rPr>
        <w:t xml:space="preserve">Lo anterior significa que </w:t>
      </w:r>
      <w:bookmarkStart w:id="17" w:name="_Hlk35959859"/>
      <w:r w:rsidRPr="3683B926">
        <w:rPr>
          <w:rFonts w:ascii="Verdana" w:eastAsia="Calibri" w:hAnsi="Verdana" w:cs="Arial"/>
          <w:lang w:val="es-ES"/>
        </w:rPr>
        <w:t xml:space="preserve">para contratar </w:t>
      </w:r>
      <w:bookmarkEnd w:id="16"/>
      <w:r w:rsidRPr="3683B926">
        <w:rPr>
          <w:rFonts w:ascii="Verdana" w:eastAsia="Calibri" w:hAnsi="Verdana" w:cs="Arial"/>
          <w:lang w:val="es-ES"/>
        </w:rPr>
        <w:t xml:space="preserve">directamente no basta con la declaración de desastre o de calamidad. Es decir, se necesitan dos (2) actos administrativos concurrentes para que pueda contratarse directamente por urgencia manifiesta: i) el primero en el tiempo, la declaración de la situación de calamidad pública o la declaración de la situación de desastre, de conformidad con lo establecido en el Capítulo VI de la Ley 1523 de 2012; y </w:t>
      </w:r>
      <w:proofErr w:type="spellStart"/>
      <w:r w:rsidRPr="3683B926">
        <w:rPr>
          <w:rFonts w:ascii="Verdana" w:eastAsia="Calibri" w:hAnsi="Verdana" w:cs="Arial"/>
          <w:lang w:val="es-ES"/>
        </w:rPr>
        <w:t>ii</w:t>
      </w:r>
      <w:proofErr w:type="spellEnd"/>
      <w:r w:rsidRPr="3683B926">
        <w:rPr>
          <w:rFonts w:ascii="Verdana" w:eastAsia="Calibri" w:hAnsi="Verdana" w:cs="Arial"/>
          <w:lang w:val="es-ES"/>
        </w:rPr>
        <w:t>) el segundo, la declaración propiamente dicha de “urgencia manifiesta” de que trata el artículo 42 del Estatuto General de Contratación, amparado o fundamentado en la declaración previa del desastre o calamidad.</w:t>
      </w:r>
    </w:p>
    <w:p w14:paraId="323BAB97" w14:textId="77777777" w:rsidR="00D15BDA" w:rsidRPr="00D93A6C" w:rsidRDefault="00D15BDA" w:rsidP="00D15BDA">
      <w:pPr>
        <w:spacing w:after="120" w:line="276" w:lineRule="auto"/>
        <w:ind w:firstLine="709"/>
        <w:jc w:val="both"/>
        <w:rPr>
          <w:rFonts w:ascii="Verdana" w:eastAsia="Calibri" w:hAnsi="Verdana" w:cs="Arial"/>
          <w:lang w:val="es-ES"/>
        </w:rPr>
      </w:pPr>
      <w:r w:rsidRPr="3683B926">
        <w:rPr>
          <w:rFonts w:ascii="Verdana" w:eastAsia="Calibri" w:hAnsi="Verdana" w:cs="Arial"/>
          <w:lang w:val="es-ES"/>
        </w:rPr>
        <w:t xml:space="preserve"> </w:t>
      </w:r>
      <w:r>
        <w:rPr>
          <w:rFonts w:ascii="Verdana" w:eastAsia="Calibri" w:hAnsi="Verdana" w:cs="Arial"/>
          <w:lang w:val="es-ES"/>
        </w:rPr>
        <w:t>P</w:t>
      </w:r>
      <w:r w:rsidRPr="3683B926">
        <w:rPr>
          <w:rFonts w:ascii="Verdana" w:eastAsia="Calibri" w:hAnsi="Verdana" w:cs="Arial"/>
          <w:lang w:val="es-ES"/>
        </w:rPr>
        <w:t>ara declarar la urgencia manifiesta es imprescindible que el presidente de la república o el gobernador o el alcalde, según el caso, hayan declarado la situación de desastre o la declaración de calamidad.</w:t>
      </w:r>
      <w:r>
        <w:rPr>
          <w:rFonts w:ascii="Verdana" w:eastAsia="Calibri" w:hAnsi="Verdana" w:cs="Arial"/>
          <w:lang w:val="es-ES"/>
        </w:rPr>
        <w:t xml:space="preserve"> Tratándose de los funcionarios mencionados, ambas declaraciones pueden realizarse en un mismo acto administrativo, es decir, el presidente, el gobernador o el alcalde declara el desastre o la calamidad y, como consecuencia, decreta la urgencia manifiesta.</w:t>
      </w:r>
      <w:r w:rsidRPr="3683B926">
        <w:rPr>
          <w:rFonts w:ascii="Verdana" w:eastAsia="Calibri" w:hAnsi="Verdana" w:cs="Arial"/>
          <w:lang w:val="es-ES"/>
        </w:rPr>
        <w:t xml:space="preserve"> Lo anterior, porque la situación de calamidad pública o la situación de desastre depende tanto de la ocurrencia de los hechos que dan lugar a las mismas como de la declaración del órgano competente, de manera que ninguna se configura a falta de alguna de estas condiciones. </w:t>
      </w:r>
    </w:p>
    <w:p w14:paraId="36329546" w14:textId="77777777" w:rsidR="00D15BDA" w:rsidRDefault="00D15BDA" w:rsidP="00D15BDA">
      <w:pPr>
        <w:spacing w:after="0" w:line="276" w:lineRule="auto"/>
        <w:ind w:firstLine="709"/>
        <w:jc w:val="both"/>
        <w:rPr>
          <w:rFonts w:ascii="Verdana" w:eastAsia="Calibri" w:hAnsi="Verdana" w:cs="Arial"/>
          <w:lang w:val="es-ES_tradnl"/>
        </w:rPr>
      </w:pPr>
      <w:r>
        <w:rPr>
          <w:rFonts w:ascii="Verdana" w:eastAsia="Calibri" w:hAnsi="Verdana" w:cs="Arial"/>
          <w:lang w:val="es-ES_tradnl"/>
        </w:rPr>
        <w:lastRenderedPageBreak/>
        <w:t>C</w:t>
      </w:r>
      <w:r w:rsidRPr="00D93A6C">
        <w:rPr>
          <w:rFonts w:ascii="Verdana" w:eastAsia="Calibri" w:hAnsi="Verdana" w:cs="Arial"/>
          <w:lang w:val="es-ES_tradnl"/>
        </w:rPr>
        <w:t xml:space="preserve">omo una autoridad diferente al presidente de la república, o al gobernador y el alcalde –por ejemplo, los ministros, directores o presidentes de agencias, directores de establecimientos públicos, de sociedades de economía mixta, etc.–, carece de competencia para declarar cualquiera de estas dos </w:t>
      </w:r>
      <w:r>
        <w:rPr>
          <w:rFonts w:ascii="Verdana" w:eastAsia="Calibri" w:hAnsi="Verdana" w:cs="Arial"/>
          <w:lang w:val="es-ES_tradnl"/>
        </w:rPr>
        <w:t xml:space="preserve">(2) </w:t>
      </w:r>
      <w:r w:rsidRPr="00D93A6C">
        <w:rPr>
          <w:rFonts w:ascii="Verdana" w:eastAsia="Calibri" w:hAnsi="Verdana" w:cs="Arial"/>
          <w:lang w:val="es-ES_tradnl"/>
        </w:rPr>
        <w:t>situaciones, deben esperar a que se dicten los actos respectivos para fundamentar la declaración de urgencia manifiesta en la situación de desastre o en la situación de calamidad</w:t>
      </w:r>
      <w:bookmarkEnd w:id="17"/>
      <w:r w:rsidRPr="00D93A6C">
        <w:rPr>
          <w:rFonts w:ascii="Verdana" w:eastAsia="Calibri" w:hAnsi="Verdana" w:cs="Arial"/>
          <w:lang w:val="es-ES_tradnl"/>
        </w:rPr>
        <w:t xml:space="preserve">. </w:t>
      </w:r>
      <w:r>
        <w:rPr>
          <w:rFonts w:ascii="Verdana" w:eastAsia="Calibri" w:hAnsi="Verdana" w:cs="Arial"/>
          <w:lang w:val="es-ES_tradnl"/>
        </w:rPr>
        <w:t xml:space="preserve">En esta segunda hipótesis, se expiden dos (2) actos administrativos separados: el presidente, gobernador o alcalde declara el desastre o la calamidad, por un lado, y </w:t>
      </w:r>
      <w:r w:rsidRPr="00D93A6C">
        <w:rPr>
          <w:rFonts w:ascii="Verdana" w:eastAsia="Calibri" w:hAnsi="Verdana" w:cs="Arial"/>
          <w:lang w:val="es-ES_tradnl"/>
        </w:rPr>
        <w:t>los ministros, directores o presidentes de agencias, directores de establecimientos públicos, de sociedades de economía mixta, etc.</w:t>
      </w:r>
      <w:r>
        <w:rPr>
          <w:rFonts w:ascii="Verdana" w:eastAsia="Calibri" w:hAnsi="Verdana" w:cs="Arial"/>
          <w:lang w:val="es-ES_tradnl"/>
        </w:rPr>
        <w:t xml:space="preserve"> decretan la urgencia manifiesta, por otro. </w:t>
      </w:r>
      <w:r w:rsidRPr="00D93A6C">
        <w:rPr>
          <w:rFonts w:ascii="Verdana" w:eastAsia="Calibri" w:hAnsi="Verdana" w:cs="Arial"/>
          <w:lang w:val="es-ES_tradnl"/>
        </w:rPr>
        <w:t xml:space="preserve">Por lo anterior, cuando el artículo 42 de la Ley 80 de 1993 dispone que la urgencia manifiesta se declara –entre otras tres (3) causales– para “[…] </w:t>
      </w:r>
      <w:bookmarkStart w:id="18" w:name="_Hlk35879915"/>
      <w:r w:rsidRPr="00D93A6C">
        <w:rPr>
          <w:rFonts w:ascii="Verdana" w:eastAsia="Calibri" w:hAnsi="Verdana" w:cs="Arial"/>
          <w:lang w:val="es-ES_tradnl"/>
        </w:rPr>
        <w:t>conjurar situaciones excepcionales relacionadas con hechos de calamidad o constitutivos de fuerza mayor o desastre que demanden actuaciones inmediatas</w:t>
      </w:r>
      <w:bookmarkEnd w:id="18"/>
      <w:r w:rsidRPr="00D93A6C">
        <w:rPr>
          <w:rFonts w:ascii="Verdana" w:eastAsia="Calibri" w:hAnsi="Verdana" w:cs="Arial"/>
          <w:lang w:val="es-ES_tradnl"/>
        </w:rPr>
        <w:t xml:space="preserve"> […]”, las circunstancias de calamidad y desastre deben entenderse en los términos de la Ley 1523 de 2012, en la medida que forman una unidad jurídica completa.</w:t>
      </w:r>
      <w:bookmarkStart w:id="19" w:name="_Hlk37246142"/>
    </w:p>
    <w:p w14:paraId="4D957AF7" w14:textId="77777777" w:rsidR="00D15BDA" w:rsidRDefault="00D15BDA" w:rsidP="00D15BDA">
      <w:pPr>
        <w:spacing w:after="0" w:line="276" w:lineRule="auto"/>
        <w:jc w:val="both"/>
        <w:rPr>
          <w:rFonts w:ascii="Verdana" w:eastAsia="Calibri" w:hAnsi="Verdana" w:cs="Arial"/>
          <w:lang w:val="es-ES_tradnl"/>
        </w:rPr>
      </w:pPr>
    </w:p>
    <w:p w14:paraId="7A9B3C14" w14:textId="77777777" w:rsidR="00D15BDA" w:rsidRPr="00A27956" w:rsidRDefault="00D15BDA" w:rsidP="00D15BDA">
      <w:pPr>
        <w:spacing w:after="120" w:line="276" w:lineRule="auto"/>
        <w:jc w:val="both"/>
        <w:rPr>
          <w:rFonts w:ascii="Verdana" w:eastAsia="Calibri" w:hAnsi="Verdana" w:cs="Arial"/>
          <w:bCs/>
          <w:color w:val="000000" w:themeColor="text1"/>
        </w:rPr>
      </w:pPr>
      <w:proofErr w:type="spellStart"/>
      <w:r w:rsidRPr="0043651D">
        <w:rPr>
          <w:rFonts w:ascii="Verdana" w:eastAsia="Calibri" w:hAnsi="Verdana" w:cs="Arial"/>
          <w:lang w:val="es-ES_tradnl"/>
        </w:rPr>
        <w:t>iv</w:t>
      </w:r>
      <w:proofErr w:type="spellEnd"/>
      <w:r w:rsidRPr="0043651D">
        <w:rPr>
          <w:rFonts w:ascii="Verdana" w:eastAsia="Calibri" w:hAnsi="Verdana" w:cs="Arial"/>
          <w:lang w:val="es-ES_tradnl"/>
        </w:rPr>
        <w:t>.</w:t>
      </w:r>
      <w:bookmarkEnd w:id="19"/>
      <w:r>
        <w:rPr>
          <w:rFonts w:ascii="Verdana" w:eastAsia="Calibri" w:hAnsi="Verdana" w:cs="Arial"/>
          <w:lang w:val="es-ES_tradnl"/>
        </w:rPr>
        <w:t xml:space="preserve"> </w:t>
      </w:r>
      <w:r w:rsidRPr="00A27956">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5CD01D" w14:textId="77777777" w:rsidR="00D15BDA" w:rsidRPr="00185EE9" w:rsidRDefault="00D15BDA" w:rsidP="00D15BDA">
      <w:pPr>
        <w:spacing w:after="120" w:line="276" w:lineRule="auto"/>
        <w:ind w:firstLine="708"/>
        <w:jc w:val="both"/>
        <w:rPr>
          <w:rFonts w:ascii="Verdana" w:eastAsia="Calibri" w:hAnsi="Verdana" w:cs="Arial"/>
          <w:bCs/>
          <w:color w:val="000000" w:themeColor="text1"/>
        </w:rPr>
      </w:pPr>
      <w:r w:rsidRPr="00A2795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A27956">
        <w:rPr>
          <w:rFonts w:ascii="Verdana" w:eastAsia="Calibri" w:hAnsi="Verdana" w:cs="Arial"/>
          <w:bCs/>
          <w:color w:val="000000" w:themeColor="text1"/>
        </w:rPr>
        <w:lastRenderedPageBreak/>
        <w:t>gestión contractual, sin que sea atribución de Colombia Compra Eficiente validar sus actuaciones.</w:t>
      </w:r>
      <w:r w:rsidRPr="00185EE9">
        <w:rPr>
          <w:rFonts w:ascii="Verdana" w:eastAsia="Calibri" w:hAnsi="Verdana" w:cs="Arial"/>
          <w:bCs/>
          <w:color w:val="000000" w:themeColor="text1"/>
        </w:rPr>
        <w:t xml:space="preserve"> </w:t>
      </w:r>
    </w:p>
    <w:p w14:paraId="73A8C452" w14:textId="77777777" w:rsidR="00D15BDA" w:rsidRPr="00182C89" w:rsidRDefault="00D15BDA" w:rsidP="00D15BDA">
      <w:pPr>
        <w:tabs>
          <w:tab w:val="left" w:pos="709"/>
        </w:tabs>
        <w:spacing w:after="0" w:line="276" w:lineRule="auto"/>
        <w:jc w:val="both"/>
        <w:rPr>
          <w:rFonts w:ascii="Verdana" w:eastAsia="Calibri" w:hAnsi="Verdana" w:cs="Arial"/>
          <w:color w:val="000000" w:themeColor="text1"/>
        </w:rPr>
      </w:pPr>
    </w:p>
    <w:p w14:paraId="2C806B30" w14:textId="77777777" w:rsidR="00D15BDA" w:rsidRPr="00593A5F" w:rsidRDefault="00D15BDA" w:rsidP="00D15B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59CCB68" w14:textId="77777777" w:rsidR="00D15BDA" w:rsidRPr="00593A5F" w:rsidRDefault="00D15BDA" w:rsidP="00D15B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15BDA" w:rsidRPr="002407CE" w14:paraId="0801D949" w14:textId="77777777">
        <w:trPr>
          <w:trHeight w:val="870"/>
          <w:jc w:val="center"/>
        </w:trPr>
        <w:tc>
          <w:tcPr>
            <w:tcW w:w="8647" w:type="dxa"/>
          </w:tcPr>
          <w:p w14:paraId="7B342CBE" w14:textId="77777777" w:rsidR="00D15BDA" w:rsidRDefault="00D15BD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Constitución Política de 1991, artículos 212, 213, y 215.</w:t>
            </w:r>
          </w:p>
          <w:p w14:paraId="1BA57EAB" w14:textId="77777777" w:rsidR="00D15BDA" w:rsidRDefault="00D15BD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80 de 1993, artículos 3, 11, 12 y 42.</w:t>
            </w:r>
          </w:p>
          <w:p w14:paraId="36F93386" w14:textId="77777777" w:rsidR="00D15BDA" w:rsidRDefault="00D15BD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Ley 1150 de 2007, artículos 2 y 5. </w:t>
            </w:r>
          </w:p>
          <w:p w14:paraId="113A6783" w14:textId="77777777" w:rsidR="00D15BDA" w:rsidRDefault="00D15BD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1523 de 2012, artículos 4, 56, 57 y 59.</w:t>
            </w:r>
          </w:p>
          <w:p w14:paraId="08A1B92D" w14:textId="77777777" w:rsidR="00D15BDA" w:rsidRPr="00B06D52" w:rsidRDefault="00D15BD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Decreto 1082 de 2015, artículo </w:t>
            </w:r>
            <w:r w:rsidRPr="00B06D52">
              <w:rPr>
                <w:rFonts w:ascii="Verdana" w:hAnsi="Verdana" w:cs="Arial"/>
                <w:color w:val="000000" w:themeColor="text1"/>
                <w:lang w:val="es-ES_tradnl"/>
              </w:rPr>
              <w:t>2.2.1.2.1.4.2</w:t>
            </w:r>
            <w:r>
              <w:rPr>
                <w:rFonts w:ascii="Verdana" w:hAnsi="Verdana" w:cs="Arial"/>
                <w:color w:val="000000" w:themeColor="text1"/>
                <w:lang w:val="es-ES_tradnl"/>
              </w:rPr>
              <w:t>.</w:t>
            </w:r>
          </w:p>
          <w:p w14:paraId="3F49A9BF" w14:textId="77777777" w:rsidR="00D15BDA" w:rsidRPr="00B06D52" w:rsidRDefault="00D15BDA">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artículos 28 y 64.</w:t>
            </w:r>
            <w:r w:rsidRPr="002407CE">
              <w:rPr>
                <w:rFonts w:ascii="Verdana" w:hAnsi="Verdana" w:cs="Arial"/>
              </w:rPr>
              <w:t xml:space="preserve"> </w:t>
            </w:r>
          </w:p>
        </w:tc>
      </w:tr>
    </w:tbl>
    <w:p w14:paraId="49F97147" w14:textId="77777777" w:rsidR="00D15BDA" w:rsidRPr="002407CE" w:rsidRDefault="00D15BDA" w:rsidP="00D15BDA">
      <w:pPr>
        <w:widowControl w:val="0"/>
        <w:autoSpaceDE w:val="0"/>
        <w:autoSpaceDN w:val="0"/>
        <w:spacing w:after="0" w:line="276" w:lineRule="auto"/>
        <w:jc w:val="both"/>
        <w:rPr>
          <w:rFonts w:ascii="Verdana" w:hAnsi="Verdana" w:cs="Arial"/>
        </w:rPr>
      </w:pPr>
    </w:p>
    <w:p w14:paraId="017B8DA2" w14:textId="77777777" w:rsidR="00D15BDA" w:rsidRPr="00593A5F" w:rsidRDefault="00D15BDA" w:rsidP="00D15B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BF53559" w14:textId="77777777" w:rsidR="00D15BDA" w:rsidRPr="00593A5F" w:rsidRDefault="00D15BDA" w:rsidP="00D15BDA">
      <w:pPr>
        <w:widowControl w:val="0"/>
        <w:autoSpaceDE w:val="0"/>
        <w:autoSpaceDN w:val="0"/>
        <w:spacing w:after="0" w:line="276" w:lineRule="auto"/>
        <w:jc w:val="both"/>
        <w:rPr>
          <w:rFonts w:ascii="Verdana" w:hAnsi="Verdana" w:cs="Arial"/>
        </w:rPr>
      </w:pPr>
    </w:p>
    <w:p w14:paraId="090C8BB3" w14:textId="77777777" w:rsidR="00D15BDA" w:rsidRPr="00003886" w:rsidRDefault="00D15BDA" w:rsidP="00D15BDA">
      <w:pPr>
        <w:widowControl w:val="0"/>
        <w:autoSpaceDE w:val="0"/>
        <w:autoSpaceDN w:val="0"/>
        <w:spacing w:after="0" w:line="276" w:lineRule="auto"/>
        <w:jc w:val="both"/>
        <w:rPr>
          <w:rStyle w:val="normaltextrun"/>
          <w:rFonts w:ascii="Verdana" w:hAnsi="Verdana" w:cs="Arial"/>
          <w:shd w:val="clear" w:color="auto" w:fill="FFFFFF"/>
        </w:rPr>
      </w:pPr>
      <w:r w:rsidRPr="00B06D52">
        <w:rPr>
          <w:rFonts w:ascii="Verdana" w:hAnsi="Verdana" w:cs="Arial"/>
          <w:shd w:val="clear" w:color="auto" w:fill="FFFFFF"/>
        </w:rPr>
        <w:t>Esta Subdirección se ha pronunciado sobre la contratación por urgencia manifiesta en los Conceptos C-003 del 23 de abril de 2020, C-004 25 de abril de 2020, C-135 del 10 de abril de 2020, C-241 del 10 de abril de 2020, C-257 del 10 de abril de 2020, C-266 del 21 de mayo de 2020, C-269 del 10 de abril de 2020, C-275 del del 10 de abril de 2020, C-284 del 27 de mayo de 2020, C-300 del 25 de abril de 2020, C-301 del 25 de abril de 2020, C-333 del 19 de mayo de 2020, C-357 del 7 de julio de 2020, C-390 del 23 de junio de 2020, C-403 del 24 de junio de 2020, C-887 del 22 de diciembre de 2022</w:t>
      </w:r>
      <w:r>
        <w:rPr>
          <w:rFonts w:ascii="Verdana" w:hAnsi="Verdana" w:cs="Arial"/>
          <w:shd w:val="clear" w:color="auto" w:fill="FFFFFF"/>
        </w:rPr>
        <w:t>,</w:t>
      </w:r>
      <w:r w:rsidRPr="00B06D52">
        <w:rPr>
          <w:rFonts w:ascii="Verdana" w:hAnsi="Verdana" w:cs="Arial"/>
          <w:shd w:val="clear" w:color="auto" w:fill="FFFFFF"/>
        </w:rPr>
        <w:t xml:space="preserve"> C-131 del 25 de mayo de 2023</w:t>
      </w:r>
      <w:r>
        <w:rPr>
          <w:rFonts w:ascii="Verdana" w:hAnsi="Verdana" w:cs="Arial"/>
          <w:shd w:val="clear" w:color="auto" w:fill="FFFFFF"/>
        </w:rPr>
        <w:t xml:space="preserve"> y C-1189 del 25 de septiembre de 2025</w:t>
      </w:r>
      <w:r>
        <w:rPr>
          <w:rStyle w:val="normaltextrun"/>
          <w:rFonts w:ascii="Verdana" w:hAnsi="Verdana" w:cs="Arial"/>
          <w:shd w:val="clear" w:color="auto" w:fill="FFFFFF"/>
          <w:lang w:val="es-ES"/>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1581457" w14:textId="77777777" w:rsidR="00D15BDA" w:rsidRPr="00096788" w:rsidRDefault="00D15BDA" w:rsidP="00D15BDA">
      <w:pPr>
        <w:widowControl w:val="0"/>
        <w:autoSpaceDE w:val="0"/>
        <w:autoSpaceDN w:val="0"/>
        <w:spacing w:after="0" w:line="276" w:lineRule="auto"/>
        <w:jc w:val="both"/>
        <w:rPr>
          <w:rFonts w:ascii="Verdana" w:hAnsi="Verdana" w:cs="Arial"/>
          <w:color w:val="000000" w:themeColor="text1"/>
          <w:shd w:val="clear" w:color="auto" w:fill="FFFFFF"/>
        </w:rPr>
      </w:pPr>
    </w:p>
    <w:p w14:paraId="6B111DED" w14:textId="77777777" w:rsidR="00D15BDA" w:rsidRPr="001205D1" w:rsidRDefault="00D15BDA" w:rsidP="00D15BD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w:t>
      </w:r>
      <w:r w:rsidRPr="00032009">
        <w:rPr>
          <w:rFonts w:ascii="Verdana" w:hAnsi="Verdana"/>
          <w:color w:val="000000"/>
        </w:rPr>
        <w:lastRenderedPageBreak/>
        <w:t xml:space="preserve">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AB60284" w14:textId="77777777" w:rsidR="00D15BDA" w:rsidRDefault="00D15BDA" w:rsidP="00D15BDA">
      <w:pPr>
        <w:widowControl w:val="0"/>
        <w:autoSpaceDE w:val="0"/>
        <w:autoSpaceDN w:val="0"/>
        <w:spacing w:after="0" w:line="276" w:lineRule="auto"/>
        <w:jc w:val="both"/>
        <w:rPr>
          <w:rStyle w:val="normaltextrun"/>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7E689C3E" w14:textId="4F415380" w:rsidR="00D15BDA" w:rsidRPr="00116940" w:rsidRDefault="00D15BDA" w:rsidP="00D15BD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69DC861" w14:textId="4F32C71A" w:rsidR="00D15BDA" w:rsidRPr="00116940" w:rsidRDefault="00D15BDA" w:rsidP="00D15BDA">
      <w:pPr>
        <w:spacing w:after="0"/>
        <w:jc w:val="both"/>
        <w:rPr>
          <w:rFonts w:ascii="Verdana" w:hAnsi="Verdana"/>
        </w:rPr>
      </w:pPr>
    </w:p>
    <w:p w14:paraId="6517DADA" w14:textId="25D0771C" w:rsidR="00D15BDA" w:rsidRPr="00116940" w:rsidRDefault="00D15BDA" w:rsidP="00D15BDA">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07E438E0" w14:textId="0F16C806" w:rsidR="00D15BDA" w:rsidRPr="00116940" w:rsidRDefault="00D15BDA" w:rsidP="00D15BDA">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945A7C5" w14:textId="26D6647F" w:rsidR="00D15BDA" w:rsidRPr="00116940" w:rsidRDefault="00D15BDA" w:rsidP="00D15B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25415399" w14:textId="47FE78B8" w:rsidR="00D15BDA" w:rsidRPr="00116940" w:rsidRDefault="00D15BDA" w:rsidP="00D15B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2D232D95" w14:textId="1D08DC67" w:rsidR="00D15BDA" w:rsidRPr="00116940" w:rsidRDefault="00D15BDA" w:rsidP="00D15BDA">
      <w:pPr>
        <w:spacing w:after="0" w:line="240" w:lineRule="auto"/>
        <w:ind w:left="720"/>
        <w:jc w:val="both"/>
        <w:rPr>
          <w:rFonts w:ascii="Verdana" w:hAnsi="Verdana"/>
        </w:rPr>
      </w:pPr>
    </w:p>
    <w:p w14:paraId="5242CF58" w14:textId="63C6ABFE" w:rsidR="00D15BDA" w:rsidRPr="00116940" w:rsidRDefault="00D15BDA" w:rsidP="00D15BDA">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6C7873D" w14:textId="77777777" w:rsidR="00D15BDA" w:rsidRPr="00116940" w:rsidRDefault="00D15BDA" w:rsidP="00D15BDA">
      <w:pPr>
        <w:spacing w:after="0" w:line="240" w:lineRule="auto"/>
        <w:rPr>
          <w:rFonts w:ascii="Verdana" w:hAnsi="Verdana"/>
        </w:rPr>
      </w:pPr>
    </w:p>
    <w:p w14:paraId="2DFF8948" w14:textId="091BC035" w:rsidR="00D15BDA" w:rsidRPr="00116940" w:rsidRDefault="00D15BDA" w:rsidP="00D15BDA">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F42646D" w14:textId="77777777" w:rsidR="00D15BDA" w:rsidRPr="00116940" w:rsidRDefault="00D15BDA" w:rsidP="00D15BDA">
      <w:pPr>
        <w:spacing w:after="0" w:line="240" w:lineRule="auto"/>
        <w:jc w:val="both"/>
        <w:rPr>
          <w:rFonts w:ascii="Verdana" w:hAnsi="Verdana"/>
        </w:rPr>
      </w:pPr>
    </w:p>
    <w:p w14:paraId="71137832" w14:textId="77777777" w:rsidR="00D15BDA" w:rsidRPr="00116940" w:rsidRDefault="00D15BDA" w:rsidP="00D15BD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12F704C3" w14:textId="77777777" w:rsidR="00D15BDA" w:rsidRPr="00116940" w:rsidRDefault="00D15BDA" w:rsidP="00D15BD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97E6437" w14:textId="77777777" w:rsidR="00D15BDA" w:rsidRPr="00116940" w:rsidRDefault="00D15BDA" w:rsidP="00D15BD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271976C" w14:textId="77777777" w:rsidR="00D15BDA" w:rsidRPr="009C4035" w:rsidRDefault="00D15BDA" w:rsidP="00D15BDA">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6ACAEB1D" w14:textId="77777777" w:rsidR="00D15BDA" w:rsidRPr="00593A5F" w:rsidRDefault="00D15BDA" w:rsidP="00D15BD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05AAB26C" w14:textId="77777777" w:rsidR="00D15BDA" w:rsidRPr="00593A5F" w:rsidRDefault="00D15BDA" w:rsidP="00D15BDA">
      <w:pPr>
        <w:widowControl w:val="0"/>
        <w:autoSpaceDE w:val="0"/>
        <w:autoSpaceDN w:val="0"/>
        <w:spacing w:after="0" w:line="276" w:lineRule="auto"/>
        <w:jc w:val="both"/>
        <w:rPr>
          <w:rFonts w:ascii="Verdana" w:hAnsi="Verdana" w:cs="Arial"/>
        </w:rPr>
      </w:pPr>
    </w:p>
    <w:p w14:paraId="008B8885" w14:textId="77777777" w:rsidR="00D15BDA" w:rsidRPr="00593A5F" w:rsidRDefault="00D15BDA" w:rsidP="00D15BD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400FB09" w14:textId="636CEAD1" w:rsidR="00D15BDA" w:rsidRPr="00593A5F" w:rsidRDefault="005349CF" w:rsidP="00D15BDA">
      <w:pPr>
        <w:spacing w:line="276" w:lineRule="auto"/>
        <w:jc w:val="center"/>
        <w:rPr>
          <w:rFonts w:ascii="Verdana" w:hAnsi="Verdana" w:cs="Arial"/>
          <w:color w:val="000000"/>
          <w:lang w:val="es-ES_tradnl" w:eastAsia="es-CO"/>
        </w:rPr>
      </w:pPr>
      <w:r>
        <w:rPr>
          <w:noProof/>
        </w:rPr>
        <w:lastRenderedPageBreak/>
        <w:drawing>
          <wp:inline distT="0" distB="0" distL="0" distR="0" wp14:anchorId="64792FC9" wp14:editId="182B2663">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6"/>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15BDA" w:rsidRPr="00593A5F" w14:paraId="7C70BCF3" w14:textId="77777777">
        <w:trPr>
          <w:trHeight w:val="315"/>
        </w:trPr>
        <w:tc>
          <w:tcPr>
            <w:tcW w:w="893" w:type="dxa"/>
            <w:vAlign w:val="center"/>
            <w:hideMark/>
          </w:tcPr>
          <w:p w14:paraId="34AB3BE6" w14:textId="77777777" w:rsidR="00D15BDA" w:rsidRPr="003751C7" w:rsidRDefault="00D15BD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825AB4E" w14:textId="77777777" w:rsidR="00D15BDA" w:rsidRPr="00254A7A" w:rsidRDefault="00D15BD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82988C5" w14:textId="77777777" w:rsidR="00D15BDA" w:rsidRPr="00254A7A" w:rsidRDefault="00D15BD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15BDA" w:rsidRPr="00593A5F" w14:paraId="0CE928A0" w14:textId="77777777">
        <w:trPr>
          <w:trHeight w:val="330"/>
        </w:trPr>
        <w:tc>
          <w:tcPr>
            <w:tcW w:w="893" w:type="dxa"/>
            <w:vAlign w:val="center"/>
            <w:hideMark/>
          </w:tcPr>
          <w:p w14:paraId="0C0DB489" w14:textId="77777777" w:rsidR="00D15BDA" w:rsidRPr="003751C7" w:rsidRDefault="00D15BD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4D3A1CC" w14:textId="77777777" w:rsidR="00D15BDA" w:rsidRPr="001B6B73" w:rsidRDefault="00D15BDA">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5F2C129" w14:textId="77777777" w:rsidR="00D15BDA" w:rsidRPr="00254A7A" w:rsidRDefault="00D15BDA">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15BDA" w:rsidRPr="00593A5F" w14:paraId="5E5D4AA6" w14:textId="77777777">
        <w:trPr>
          <w:trHeight w:val="300"/>
        </w:trPr>
        <w:tc>
          <w:tcPr>
            <w:tcW w:w="893" w:type="dxa"/>
            <w:vAlign w:val="center"/>
          </w:tcPr>
          <w:p w14:paraId="67C836B9" w14:textId="77777777" w:rsidR="00D15BDA" w:rsidRPr="003751C7" w:rsidRDefault="00D15BD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6E844AE" w14:textId="77777777" w:rsidR="00D15BDA" w:rsidRPr="00731523" w:rsidRDefault="00D15BDA">
            <w:pPr>
              <w:contextualSpacing/>
              <w:rPr>
                <w:rFonts w:ascii="Verdana" w:eastAsia="Calibri" w:hAnsi="Verdana" w:cs="Arial"/>
                <w:sz w:val="16"/>
                <w:szCs w:val="16"/>
                <w:lang w:val="es-ES" w:eastAsia="es-ES"/>
              </w:rPr>
            </w:pPr>
            <w:r w:rsidRPr="20231F41">
              <w:rPr>
                <w:rFonts w:ascii="Verdana" w:eastAsia="Calibri" w:hAnsi="Verdana" w:cs="Arial"/>
                <w:sz w:val="16"/>
                <w:szCs w:val="16"/>
                <w:lang w:val="es-ES" w:eastAsia="es-ES"/>
              </w:rPr>
              <w:t xml:space="preserve">Carolina Quintero </w:t>
            </w:r>
            <w:proofErr w:type="spellStart"/>
            <w:r w:rsidRPr="20231F41">
              <w:rPr>
                <w:rFonts w:ascii="Verdana" w:eastAsia="Calibri" w:hAnsi="Verdana" w:cs="Arial"/>
                <w:sz w:val="16"/>
                <w:szCs w:val="16"/>
                <w:lang w:val="es-ES" w:eastAsia="es-ES"/>
              </w:rPr>
              <w:t>Gacharná</w:t>
            </w:r>
            <w:proofErr w:type="spellEnd"/>
          </w:p>
          <w:p w14:paraId="179F8927" w14:textId="77777777" w:rsidR="00D15BDA" w:rsidRPr="003751C7" w:rsidRDefault="00D15BDA">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3C05A5F6" w14:textId="77777777" w:rsidR="00D15BDA" w:rsidRPr="00543BFE" w:rsidRDefault="00D15BDA" w:rsidP="00D15BDA"/>
    <w:p w14:paraId="3FBC982C" w14:textId="77777777" w:rsidR="00D15BDA" w:rsidRPr="00543BFE" w:rsidRDefault="00D15BDA" w:rsidP="00D15BDA"/>
    <w:p w14:paraId="4126A69A" w14:textId="77777777" w:rsidR="00D15BDA" w:rsidRPr="00CF6E53" w:rsidRDefault="00D15BDA" w:rsidP="00D15BDA"/>
    <w:p w14:paraId="0F293BF4" w14:textId="32B91AB2" w:rsidR="00127233" w:rsidRPr="00D15BDA" w:rsidRDefault="00127233" w:rsidP="00D15BDA"/>
    <w:sectPr w:rsidR="00127233" w:rsidRPr="00D15BDA"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28B33" w14:textId="77777777" w:rsidR="0026203D" w:rsidRDefault="0026203D" w:rsidP="004A1847">
      <w:pPr>
        <w:spacing w:after="0" w:line="240" w:lineRule="auto"/>
      </w:pPr>
      <w:r>
        <w:separator/>
      </w:r>
    </w:p>
  </w:endnote>
  <w:endnote w:type="continuationSeparator" w:id="0">
    <w:p w14:paraId="1E5A2F33" w14:textId="77777777" w:rsidR="0026203D" w:rsidRDefault="0026203D" w:rsidP="004A1847">
      <w:pPr>
        <w:spacing w:after="0" w:line="240" w:lineRule="auto"/>
      </w:pPr>
      <w:r>
        <w:continuationSeparator/>
      </w:r>
    </w:p>
  </w:endnote>
  <w:endnote w:type="continuationNotice" w:id="1">
    <w:p w14:paraId="71591327" w14:textId="77777777" w:rsidR="0026203D" w:rsidRDefault="002620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4E9B0" w14:textId="77777777" w:rsidR="0026203D" w:rsidRDefault="0026203D" w:rsidP="004A1847">
      <w:pPr>
        <w:spacing w:after="0" w:line="240" w:lineRule="auto"/>
      </w:pPr>
      <w:r>
        <w:separator/>
      </w:r>
    </w:p>
  </w:footnote>
  <w:footnote w:type="continuationSeparator" w:id="0">
    <w:p w14:paraId="386F7691" w14:textId="77777777" w:rsidR="0026203D" w:rsidRDefault="0026203D" w:rsidP="004A1847">
      <w:pPr>
        <w:spacing w:after="0" w:line="240" w:lineRule="auto"/>
      </w:pPr>
      <w:r>
        <w:continuationSeparator/>
      </w:r>
    </w:p>
  </w:footnote>
  <w:footnote w:type="continuationNotice" w:id="1">
    <w:p w14:paraId="3B920BE7" w14:textId="77777777" w:rsidR="0026203D" w:rsidRDefault="0026203D">
      <w:pPr>
        <w:spacing w:after="0" w:line="240" w:lineRule="auto"/>
      </w:pPr>
    </w:p>
  </w:footnote>
  <w:footnote w:id="2">
    <w:p w14:paraId="1FB2EC02"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El inciso primero de norma disponía que, conforme al principio de transparencia, “</w:t>
      </w:r>
      <w:r w:rsidRPr="00817BE8">
        <w:rPr>
          <w:rFonts w:ascii="Verdana" w:hAnsi="Verdana" w:cs="Arial"/>
          <w:i/>
          <w:iCs/>
          <w:sz w:val="16"/>
          <w:szCs w:val="16"/>
        </w:rPr>
        <w:t>La escogencia del contratista se efectuará siempre a través de licitación o concurso públicos</w:t>
      </w:r>
      <w:r w:rsidRPr="00817BE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2E14C319"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817BE8">
        <w:rPr>
          <w:rFonts w:ascii="Verdana" w:hAnsi="Verdana" w:cs="Arial"/>
          <w:i/>
          <w:iCs/>
          <w:sz w:val="16"/>
          <w:szCs w:val="16"/>
        </w:rPr>
        <w:t>Presentación de la oferta de manera dinámica</w:t>
      </w:r>
      <w:r w:rsidRPr="00817BE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6D8D5CA9" w14:textId="77777777" w:rsidR="00D15BDA" w:rsidRPr="00817BE8" w:rsidRDefault="00D15BDA" w:rsidP="00D15BDA">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Congreso de la República, Gaceta 466 del 2 de agosto de 2005. Exposición de motivos del Proyecto de Ley 19 de 2005 – Senado. </w:t>
      </w:r>
    </w:p>
  </w:footnote>
  <w:footnote w:id="5">
    <w:p w14:paraId="6328C3A4" w14:textId="77777777" w:rsidR="00D15BDA" w:rsidRPr="00817BE8" w:rsidRDefault="00D15BDA" w:rsidP="00D15BDA">
      <w:pPr>
        <w:pStyle w:val="Textonotapie"/>
        <w:ind w:firstLine="567"/>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817BE8">
          <w:rPr>
            <w:rStyle w:val="Hipervnculo"/>
            <w:rFonts w:ascii="Verdana" w:hAnsi="Verdana" w:cs="Arial"/>
            <w:sz w:val="16"/>
            <w:szCs w:val="16"/>
            <w:lang w:val="es-ES"/>
          </w:rPr>
          <w:t>https://colombiacompra.gov.co/sites/cce_public/files/cce_documents/cce_guia_competencia_0.pdf</w:t>
        </w:r>
      </w:hyperlink>
      <w:r w:rsidRPr="00817BE8">
        <w:rPr>
          <w:rFonts w:ascii="Verdana" w:hAnsi="Verdana" w:cs="Arial"/>
          <w:sz w:val="16"/>
          <w:szCs w:val="16"/>
          <w:lang w:val="es-ES"/>
        </w:rPr>
        <w:t xml:space="preserve">. </w:t>
      </w:r>
    </w:p>
  </w:footnote>
  <w:footnote w:id="6">
    <w:p w14:paraId="2DE65B59"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lang w:val="pt-BR"/>
        </w:rPr>
        <w:t xml:space="preserve"> Corte Constitucional. </w:t>
      </w:r>
      <w:r w:rsidRPr="00817BE8">
        <w:rPr>
          <w:rFonts w:ascii="Verdana" w:hAnsi="Verdana" w:cs="Arial"/>
          <w:sz w:val="16"/>
          <w:szCs w:val="16"/>
          <w:lang w:val="es-CO"/>
        </w:rPr>
        <w:t xml:space="preserve">Sentencia C-713 del 7 de octubre de 2009. </w:t>
      </w:r>
      <w:r w:rsidRPr="00817BE8">
        <w:rPr>
          <w:rFonts w:ascii="Verdana" w:hAnsi="Verdana" w:cs="Arial"/>
          <w:sz w:val="16"/>
          <w:szCs w:val="16"/>
        </w:rPr>
        <w:t>M.P. María Victoria Calle Correa.</w:t>
      </w:r>
    </w:p>
  </w:footnote>
  <w:footnote w:id="7">
    <w:p w14:paraId="794B26F7" w14:textId="77777777" w:rsidR="00D15BDA" w:rsidRPr="00817BE8" w:rsidRDefault="00D15BDA" w:rsidP="00D15BDA">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Sección Tercera. Subsección A. Sentencia del 24 de mayo de 2018. Exp. 50.222. C.P. Marta Nubia Velásquez Rico.</w:t>
      </w:r>
    </w:p>
  </w:footnote>
  <w:footnote w:id="8">
    <w:p w14:paraId="5322D66D" w14:textId="77777777" w:rsidR="00D15BDA" w:rsidRPr="00817BE8" w:rsidRDefault="00D15BDA" w:rsidP="00D15BDA">
      <w:pPr>
        <w:pStyle w:val="Textonotapie"/>
        <w:ind w:firstLine="708"/>
        <w:jc w:val="both"/>
        <w:rPr>
          <w:rFonts w:ascii="Verdana" w:hAnsi="Verdana" w:cs="Arial"/>
          <w:iCs/>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 xml:space="preserve">En efecto, de acuerdo con el Consejo de Estado: </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817BE8">
        <w:rPr>
          <w:rFonts w:ascii="Verdana" w:eastAsia="Times New Roman" w:hAnsi="Verdana" w:cs="Arial"/>
          <w:sz w:val="16"/>
          <w:szCs w:val="16"/>
          <w:lang w:val="es-CO" w:eastAsia="es-MX"/>
        </w:rPr>
        <w:t>”</w:t>
      </w:r>
      <w:r w:rsidRPr="00817BE8">
        <w:rPr>
          <w:rFonts w:ascii="Verdana" w:hAnsi="Verdana" w:cs="Arial"/>
          <w:iCs/>
          <w:sz w:val="16"/>
          <w:szCs w:val="16"/>
          <w:lang w:val="es-ES_tradnl"/>
        </w:rPr>
        <w:t>.</w:t>
      </w:r>
      <w:r w:rsidRPr="00817BE8">
        <w:rPr>
          <w:rFonts w:ascii="Verdana" w:hAnsi="Verdana" w:cs="Arial"/>
          <w:sz w:val="16"/>
          <w:szCs w:val="16"/>
        </w:rPr>
        <w:t xml:space="preserve"> Consejo de Estado. Sección Tercera. Sentencia del 23 de julio de 2015. Exp. 36.805. C.P. Hernán Andrade Rincón.</w:t>
      </w:r>
    </w:p>
  </w:footnote>
  <w:footnote w:id="9">
    <w:p w14:paraId="7A8907CF" w14:textId="77777777" w:rsidR="00D15BDA" w:rsidRPr="00817BE8" w:rsidRDefault="00D15BDA" w:rsidP="00D15BDA">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servicio civil. Sentencia del 20 de febrero de 2006. Exp. 1.727. C.P. Enrique José Arboleda Perdomo.</w:t>
      </w:r>
    </w:p>
  </w:footnote>
  <w:footnote w:id="10">
    <w:p w14:paraId="75FD85D5" w14:textId="77777777" w:rsidR="00D15BDA" w:rsidRPr="00817BE8" w:rsidRDefault="00D15BDA" w:rsidP="00D15BDA">
      <w:pPr>
        <w:pStyle w:val="Textonotapie"/>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MATALLANA CAMACHO, Ernesto. Manual de contratación de la administración pública. Segunda Edición. Bogotá: Universidad Externado de Colombia, 2009. p. 705.</w:t>
      </w:r>
    </w:p>
  </w:footnote>
  <w:footnote w:id="11">
    <w:p w14:paraId="1A044354" w14:textId="77777777" w:rsidR="00D15BDA" w:rsidRPr="00817BE8" w:rsidRDefault="00D15BDA" w:rsidP="00D15BDA">
      <w:pPr>
        <w:spacing w:after="0" w:line="240" w:lineRule="auto"/>
        <w:ind w:firstLine="709"/>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De conformidad con la exposición de motivos: “Si bien […] la utilización de procedimientos reglados de selección objetiva se constituye en la regla general, entre los casos de excepción se destaca el relativo a la urgencia manifiesta que el artículo 36 regula de una manera más precisa en orden a facilitar su legítima utilización. Con tal fin se elimina el requisito de la calificación del Consejo de Ministros y se incluye un detalle enunciativo de los posibles factores configurativos de dicha situación de excepción, los cuales se vinculan esencialmente con situaciones evidentes de calamidad pública o que afecten de manera inminente la prestación del servicio, circunstancias que, por su propia naturaleza, determinan la imposibilidad de acudir a procedimientos de escogencia reglada. Se pretende de esa forma, facilitar al máximo la actuación de la administración frente a eventos excepcionales que reclaman su pronta intervención” (</w:t>
      </w:r>
      <w:r w:rsidRPr="00817BE8">
        <w:rPr>
          <w:rFonts w:ascii="Verdana" w:hAnsi="Verdana" w:cs="Arial"/>
          <w:sz w:val="16"/>
          <w:szCs w:val="16"/>
        </w:rPr>
        <w:t>CONGRESO DE LA REPÚBLICA. Exposición de motivos de la Ley 80 de 1993. Gaceta del Congreso No. 75 del 23 de septiembre de 1992).</w:t>
      </w:r>
    </w:p>
  </w:footnote>
  <w:footnote w:id="12">
    <w:p w14:paraId="3097A63D"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DROMI, José Roberto. La licitación pública. Buenos Aires: Ciudad Argentina, 1980. p. 166-168.</w:t>
      </w:r>
    </w:p>
  </w:footnote>
  <w:footnote w:id="13">
    <w:p w14:paraId="44D138E4"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CONSEJO DE ESTADO. Sala de Consulta y de Servicio Civil. Concepto del 28 de enero de 1998. Rad. 1.073. C.P. Javier Henao Hidrón.</w:t>
      </w:r>
    </w:p>
  </w:footnote>
  <w:footnote w:id="14">
    <w:p w14:paraId="29806EA7"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Al respecto, “[…] si los funcionarios han sido negligentes en la realización de determinadas obras, y éstas se tornan gravemente imperiosas por el transcurso del tiempo, no podrá por tal causa la Administración la posibilidad de satisfacer la necesidad pública con la verdadera urgencia que la misma requiere. Lo que corresponde es hacer responsables, administrativa y civilmente, a los funcionarios en cuestión, sin perjuicio de solucionar el problema de la urgencia que el mismo objetivamente requiera” (GORDILLO, Agustín. Tratado de derecho administrativo y obras selectas. Tomo IX. Buenos Aires: FDA, 2014. p. XVI-16).</w:t>
      </w:r>
    </w:p>
  </w:footnote>
  <w:footnote w:id="15">
    <w:p w14:paraId="3F21BEC1" w14:textId="77777777" w:rsidR="00D15BDA" w:rsidRPr="00817BE8" w:rsidRDefault="00D15BDA" w:rsidP="00D15BDA">
      <w:pPr>
        <w:spacing w:after="0" w:line="240" w:lineRule="auto"/>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Style w:val="Refdenotaalpie"/>
          <w:rFonts w:ascii="Verdana" w:hAnsi="Verdana" w:cs="Arial"/>
          <w:sz w:val="16"/>
          <w:szCs w:val="16"/>
        </w:rPr>
        <w:t xml:space="preserve">  </w:t>
      </w:r>
      <w:r w:rsidRPr="00817BE8">
        <w:rPr>
          <w:rFonts w:ascii="Verdana" w:hAnsi="Verdana" w:cs="Arial"/>
          <w:sz w:val="16"/>
          <w:szCs w:val="16"/>
        </w:rPr>
        <w:t>CONSEJO DE ESTADO. Sección Tercera. Subsección C. Sentencia del 7 de febrero de 2011. Rad. 34.425. C.P. Jaime Orlando Santofimio Gamboa.</w:t>
      </w:r>
    </w:p>
  </w:footnote>
  <w:footnote w:id="16">
    <w:p w14:paraId="0C9FD3E6" w14:textId="77777777" w:rsidR="00D15BDA" w:rsidRPr="00817BE8" w:rsidRDefault="00D15BDA" w:rsidP="00D15BDA">
      <w:pPr>
        <w:pStyle w:val="Textonotapie"/>
        <w:ind w:firstLine="708"/>
        <w:jc w:val="both"/>
        <w:rPr>
          <w:rFonts w:ascii="Verdana" w:hAnsi="Verdana" w:cs="Arial"/>
          <w:sz w:val="16"/>
          <w:szCs w:val="16"/>
        </w:rPr>
      </w:pPr>
      <w:r w:rsidRPr="00817BE8">
        <w:rPr>
          <w:rStyle w:val="Refdenotaalpie"/>
          <w:rFonts w:ascii="Verdana" w:hAnsi="Verdana" w:cs="Arial"/>
          <w:sz w:val="16"/>
          <w:szCs w:val="16"/>
        </w:rPr>
        <w:footnoteRef/>
      </w:r>
      <w:r w:rsidRPr="00817BE8">
        <w:rPr>
          <w:rFonts w:ascii="Verdana" w:hAnsi="Verdana" w:cs="Arial"/>
          <w:sz w:val="16"/>
          <w:szCs w:val="16"/>
        </w:rPr>
        <w:t xml:space="preserve"> Cfr. ASAMBLEA NACIONAL CONSTITUYENTE. Gaceta Constitucional Nº 76 de mayo 18 de 1991. pp. 12-13.</w:t>
      </w:r>
    </w:p>
  </w:footnote>
  <w:footnote w:id="17">
    <w:p w14:paraId="6A90D39A" w14:textId="77777777" w:rsidR="00D15BDA" w:rsidRPr="00817BE8" w:rsidRDefault="00D15BDA" w:rsidP="00D15BDA">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eastAsia="Calibri" w:hAnsi="Verdana" w:cs="Arial"/>
          <w:sz w:val="16"/>
          <w:szCs w:val="16"/>
          <w:lang w:val="es-ES_tradnl"/>
        </w:rPr>
        <w:t>En resumen, la jurisprudencia explica que la urgencia manifiesta procede: “[...] en aquellos eventos en los cuales puede suscitarse la necesidad de remediar o evitar males presentes o futuros pero inminentes, provocados bien sea en virtud de los estados de excepción, o por la paralización de los servicios públicos, o provenientes de situaciones de calamidad o hechos constitutivos de fuerza mayor o desastres, o cualquier otra circunstancia similar que tampoco dé espera en su solución, de tal manera que resulte inconveniente el trámite del proceso licitatorio de selección de contratistas reglado en el estatuto contractual, por cuanto implica el agotamiento de una serie de etapas que se toman su tiempo y hacen más o menos largo el lapso para adjudicar el respectivo contrato, circunstancia que, frente a una situación de urgencia obviamente resulta entorpecedora, porque la solución en estas condiciones, puede llegar tardíamente, cuando ya se haya producido o agravado el daño” (</w:t>
      </w:r>
      <w:r w:rsidRPr="00817BE8">
        <w:rPr>
          <w:rFonts w:ascii="Verdana" w:hAnsi="Verdana" w:cs="Arial"/>
          <w:sz w:val="16"/>
          <w:szCs w:val="16"/>
        </w:rPr>
        <w:t xml:space="preserve">CONSEJO DE ESTADO. Sección Tercera. Sentencia del 27 de abril de 2006. Rad. 5.229. C.P. Ramiro Saavedra Becerra). </w:t>
      </w:r>
    </w:p>
  </w:footnote>
  <w:footnote w:id="18">
    <w:p w14:paraId="5112ABDD" w14:textId="77777777" w:rsidR="00D15BDA" w:rsidRPr="00817BE8" w:rsidRDefault="00D15BDA" w:rsidP="00D15BDA">
      <w:pPr>
        <w:pStyle w:val="Textonotapie"/>
        <w:ind w:firstLine="709"/>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CORTE CONSTITUCIONAL. Sentencia C-772 de 1998. M.P. Fabio Morón Díaz.</w:t>
      </w:r>
    </w:p>
  </w:footnote>
  <w:footnote w:id="19">
    <w:p w14:paraId="54580CDC" w14:textId="77777777" w:rsidR="00D15BDA" w:rsidRPr="00817BE8" w:rsidRDefault="00D15BDA" w:rsidP="00D15BDA">
      <w:pPr>
        <w:spacing w:after="0" w:line="240" w:lineRule="auto"/>
        <w:ind w:firstLine="708"/>
        <w:jc w:val="both"/>
        <w:rPr>
          <w:rFonts w:ascii="Verdana" w:eastAsia="Calibri" w:hAnsi="Verdana" w:cs="Arial"/>
          <w:sz w:val="16"/>
          <w:szCs w:val="16"/>
          <w:lang w:val="es-ES_tradnl"/>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_tradnl"/>
        </w:rPr>
        <w:t>La jurisprudencia delimita su sentido y alcance de la siguiente manera –</w:t>
      </w:r>
      <w:r w:rsidRPr="00817BE8">
        <w:rPr>
          <w:rFonts w:ascii="Verdana" w:hAnsi="Verdana" w:cs="Arial"/>
          <w:sz w:val="16"/>
          <w:szCs w:val="16"/>
          <w:lang w:val="es-ES"/>
        </w:rPr>
        <w:t>CORTE SUPREMA DE JUSTICIA. Sala de Casación Civil. Sentencia 20 de noviembre de 1989. MP. Alberto Ospina Botero. Publicada en la Gaceta Judicial. Tomo CXCVI. N° 2435. p. 93</w:t>
      </w:r>
      <w:r w:rsidRPr="00817BE8">
        <w:rPr>
          <w:rFonts w:ascii="Verdana" w:hAnsi="Verdana" w:cs="Arial"/>
          <w:sz w:val="16"/>
          <w:szCs w:val="16"/>
          <w:lang w:val="es-ES_tradnl"/>
        </w:rPr>
        <w:t>–:</w:t>
      </w:r>
    </w:p>
    <w:p w14:paraId="50F22A04" w14:textId="77777777" w:rsidR="00D15BDA" w:rsidRPr="00817BE8" w:rsidRDefault="00D15BDA" w:rsidP="00D15BD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“6. […] la fuerza mayor o caso fortuito se configura por la concurrencia de dos factores:</w:t>
      </w:r>
    </w:p>
    <w:p w14:paraId="7542A9FA" w14:textId="77777777" w:rsidR="00D15BDA" w:rsidRPr="00817BE8" w:rsidRDefault="00D15BDA" w:rsidP="00D15BD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a) Que el hecho sea imprevisible, esto es, que dentro de las circunstancias normales de la vida, no sea posible contemplar por anticipado su ocurrencia. Por el contrario, si el hecho razonablemente hubiera podido preverse, por ser un acontecimiento normal o de ocurrencia frecuente, tal hecho no estructura el elemento imprevisible, y</w:t>
      </w:r>
    </w:p>
    <w:p w14:paraId="197FC373" w14:textId="77777777" w:rsidR="00D15BDA" w:rsidRPr="00817BE8" w:rsidRDefault="00D15BDA" w:rsidP="00D15BD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b) Que el hecho sea irresistible, o sea, que el agente no pueda evitar su acaecimiento ni superar sus consecuencias.</w:t>
      </w:r>
    </w:p>
    <w:p w14:paraId="5579CE58" w14:textId="77777777" w:rsidR="00D15BDA" w:rsidRPr="00817BE8" w:rsidRDefault="00D15BDA" w:rsidP="00D15BD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En este preciso punto es indispensable anotar la diferencia existente entre la imposibilidad para resistir o superar el hecho y la dificultad para enfrentarlo. Porque un hecho no constituye caso fortuito o fuerza mayor, por la sola circunstancia de que se haga más difícil o más onerosa de lo previsto inicialmente.</w:t>
      </w:r>
    </w:p>
    <w:p w14:paraId="3CEDEF52" w14:textId="77777777" w:rsidR="00D15BDA" w:rsidRPr="00817BE8" w:rsidRDefault="00D15BDA" w:rsidP="00D15BDA">
      <w:pPr>
        <w:spacing w:after="0" w:line="240" w:lineRule="auto"/>
        <w:ind w:right="49" w:firstLine="708"/>
        <w:jc w:val="both"/>
        <w:rPr>
          <w:rFonts w:ascii="Verdana" w:eastAsia="Calibri" w:hAnsi="Verdana" w:cs="Arial"/>
          <w:sz w:val="16"/>
          <w:szCs w:val="16"/>
          <w:lang w:val="es-ES_tradnl"/>
        </w:rPr>
      </w:pPr>
      <w:r w:rsidRPr="00817BE8">
        <w:rPr>
          <w:rFonts w:ascii="Verdana" w:eastAsia="Calibri" w:hAnsi="Verdana" w:cs="Arial"/>
          <w:sz w:val="16"/>
          <w:szCs w:val="16"/>
          <w:lang w:val="es-ES_tradnl"/>
        </w:rPr>
        <w:t>7. Según el verdadero sentido o inteligencia […] los elementos integrantes del caso fortuito o fuerza mayor, antes reseñados, deben ser concurrentes, lo cual se traduce en que si el hecho o suceso ciertamente es imprevisible pero se le puede resistir, no se da tal fenómeno, como tampoco se configura cuando a pesar de ser irresistible pudo preverse</w:t>
      </w:r>
    </w:p>
    <w:p w14:paraId="0F02DF1B" w14:textId="77777777" w:rsidR="00D15BDA" w:rsidRPr="00817BE8" w:rsidRDefault="00D15BDA" w:rsidP="00D15BDA">
      <w:pPr>
        <w:spacing w:after="0" w:line="240" w:lineRule="auto"/>
        <w:ind w:right="49"/>
        <w:jc w:val="both"/>
        <w:rPr>
          <w:rFonts w:ascii="Verdana" w:eastAsia="Calibri" w:hAnsi="Verdana" w:cs="Arial"/>
          <w:sz w:val="16"/>
          <w:szCs w:val="16"/>
          <w:lang w:val="es-ES_tradnl"/>
        </w:rPr>
      </w:pPr>
      <w:r w:rsidRPr="00817BE8">
        <w:rPr>
          <w:rFonts w:ascii="Verdana" w:eastAsia="Calibri" w:hAnsi="Verdana" w:cs="Arial"/>
          <w:sz w:val="16"/>
          <w:szCs w:val="16"/>
          <w:lang w:val="es-ES_tradnl"/>
        </w:rPr>
        <w:t>[…]</w:t>
      </w:r>
    </w:p>
    <w:p w14:paraId="7C35B8C4" w14:textId="77777777" w:rsidR="00D15BDA" w:rsidRPr="00817BE8" w:rsidRDefault="00D15BDA" w:rsidP="00D15BDA">
      <w:pPr>
        <w:pStyle w:val="Textonotapie"/>
        <w:ind w:right="49" w:firstLine="708"/>
        <w:jc w:val="both"/>
        <w:rPr>
          <w:rFonts w:ascii="Verdana" w:hAnsi="Verdana" w:cs="Arial"/>
          <w:sz w:val="16"/>
          <w:szCs w:val="16"/>
          <w:lang w:val="es-CO"/>
        </w:rPr>
      </w:pPr>
      <w:r w:rsidRPr="00817BE8">
        <w:rPr>
          <w:rFonts w:ascii="Verdana" w:eastAsia="Calibri" w:hAnsi="Verdana" w:cs="Arial"/>
          <w:sz w:val="16"/>
          <w:szCs w:val="16"/>
          <w:lang w:val="es-ES_tradnl"/>
        </w:rPr>
        <w:t>8. Si, sólo puede calificarse como caso fortuito o fuerza mayor el hecho que concurrentemente contemple los caracteres de imprevisible e irresistible, no resulta propio elaborar un listado de los acontecimientos que constituyen tal fenómeno, ni de los que no lo constituyen. Por tal virtud, ha sostenido la doctrina nacional y foránea que un acontecimiento determinado no puede calificarse fatalmente, por sí mismo y por fuerza de su naturaleza específica como constitutivo de fuerza mayor o caso fortuito, puesto que es indispensable, en cada caso o acontecimiento, analizar y ponderar todas las circunstancias que rodearon el hecho”.</w:t>
      </w:r>
    </w:p>
  </w:footnote>
  <w:footnote w:id="20">
    <w:p w14:paraId="33FE2C9E" w14:textId="77777777" w:rsidR="00D15BDA" w:rsidRPr="00817BE8" w:rsidRDefault="00D15BDA" w:rsidP="00D15BDA">
      <w:pPr>
        <w:pStyle w:val="Textonotapie"/>
        <w:ind w:firstLine="708"/>
        <w:jc w:val="both"/>
        <w:rPr>
          <w:rFonts w:ascii="Verdana" w:hAnsi="Verdana" w:cs="Arial"/>
          <w:sz w:val="16"/>
          <w:szCs w:val="16"/>
          <w:lang w:val="es-ES"/>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Artículo 56. Declaratoria de situación de desastre.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14:paraId="39027527"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1. Nacional. Existirá una situación de desastre nacional:</w:t>
      </w:r>
    </w:p>
    <w:p w14:paraId="2E552526"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14:paraId="137EDD54"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b). Cuando se hayan producido efectos adversos en uno (1) o más departamentos y su impacto rebase la capacidad técnica y los recursos de las administraciones departamentales y municipales involucradas.</w:t>
      </w:r>
    </w:p>
    <w:p w14:paraId="04FD8DAD"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14:paraId="0E30D521"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14:paraId="026D1E12" w14:textId="77777777" w:rsidR="00D15BDA" w:rsidRPr="00817BE8" w:rsidRDefault="00D15BDA" w:rsidP="00D15BDA">
      <w:pPr>
        <w:pStyle w:val="Textonotapie"/>
        <w:ind w:firstLine="708"/>
        <w:jc w:val="both"/>
        <w:rPr>
          <w:rFonts w:ascii="Verdana" w:hAnsi="Verdana" w:cs="Arial"/>
          <w:sz w:val="16"/>
          <w:szCs w:val="16"/>
          <w:lang w:val="es-ES"/>
        </w:rPr>
      </w:pPr>
      <w:r w:rsidRPr="00817BE8">
        <w:rPr>
          <w:rFonts w:ascii="Verdana" w:hAnsi="Verdana" w:cs="Arial"/>
          <w:sz w:val="16"/>
          <w:szCs w:val="16"/>
          <w:lang w:val="es-ES"/>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 […]”.</w:t>
      </w:r>
    </w:p>
  </w:footnote>
  <w:footnote w:id="21">
    <w:p w14:paraId="2F274C2A" w14:textId="77777777" w:rsidR="00D15BDA" w:rsidRPr="00817BE8" w:rsidRDefault="00D15BDA" w:rsidP="00D15BDA">
      <w:pPr>
        <w:pStyle w:val="Textonotapie"/>
        <w:ind w:firstLine="708"/>
        <w:jc w:val="both"/>
        <w:rPr>
          <w:rFonts w:ascii="Verdana" w:hAnsi="Verdana" w:cs="Arial"/>
          <w:sz w:val="16"/>
          <w:szCs w:val="16"/>
          <w:lang w:val="es-CO"/>
        </w:rPr>
      </w:pPr>
      <w:r w:rsidRPr="00817BE8">
        <w:rPr>
          <w:rStyle w:val="Refdenotaalpie"/>
          <w:rFonts w:ascii="Verdana" w:hAnsi="Verdana" w:cs="Arial"/>
          <w:sz w:val="16"/>
          <w:szCs w:val="16"/>
        </w:rPr>
        <w:footnoteRef/>
      </w:r>
      <w:r w:rsidRPr="00817BE8">
        <w:rPr>
          <w:rFonts w:ascii="Verdana" w:hAnsi="Verdana" w:cs="Arial"/>
          <w:sz w:val="16"/>
          <w:szCs w:val="16"/>
        </w:rPr>
        <w:t xml:space="preserve"> “</w:t>
      </w:r>
      <w:r w:rsidRPr="00817BE8">
        <w:rPr>
          <w:rFonts w:ascii="Verdana" w:hAnsi="Verdana" w:cs="Arial"/>
          <w:sz w:val="16"/>
          <w:szCs w:val="16"/>
          <w:lang w:val="es-ES"/>
        </w:rPr>
        <w:t xml:space="preserve">Artículo 57. Declaratoria de situación de calamidad pública. </w:t>
      </w:r>
      <w:bookmarkStart w:id="15" w:name="_Hlk132729568"/>
      <w:r w:rsidRPr="00817BE8">
        <w:rPr>
          <w:rFonts w:ascii="Verdana" w:hAnsi="Verdana" w:cs="Arial"/>
          <w:sz w:val="16"/>
          <w:szCs w:val="16"/>
          <w:lang w:val="es-ES"/>
        </w:rPr>
        <w:t>Los gobernadores y alcaldes, previo concepto favorable del Consejo Departamental, Distrital o Municipal de Gestión del Riesgo, podrán declararla situación de calamidad pública en su respectiva jurisdicción. Las declaratorias de situación de calamidad pública se producirán y aplicarán, en lo pertinente, de conformidad con las reglas de la declaratoria de la situación de desastre</w:t>
      </w:r>
      <w:bookmarkEnd w:id="15"/>
      <w:r w:rsidRPr="00817BE8">
        <w:rPr>
          <w:rFonts w:ascii="Verdana" w:hAnsi="Verdana" w:cs="Arial"/>
          <w:sz w:val="16"/>
          <w:szCs w:val="16"/>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1"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6203D"/>
    <w:rsid w:val="002707A2"/>
    <w:rsid w:val="002951A0"/>
    <w:rsid w:val="002962BC"/>
    <w:rsid w:val="002A093D"/>
    <w:rsid w:val="002A0DD0"/>
    <w:rsid w:val="002A49AC"/>
    <w:rsid w:val="002A64FD"/>
    <w:rsid w:val="002B7116"/>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6664"/>
    <w:rsid w:val="0042722E"/>
    <w:rsid w:val="0044528D"/>
    <w:rsid w:val="00446348"/>
    <w:rsid w:val="00466E39"/>
    <w:rsid w:val="00483ED7"/>
    <w:rsid w:val="004A1847"/>
    <w:rsid w:val="004A305D"/>
    <w:rsid w:val="004F21C4"/>
    <w:rsid w:val="004F685F"/>
    <w:rsid w:val="005349CF"/>
    <w:rsid w:val="00541E8D"/>
    <w:rsid w:val="005566E8"/>
    <w:rsid w:val="00574867"/>
    <w:rsid w:val="00591460"/>
    <w:rsid w:val="005A65E0"/>
    <w:rsid w:val="005C3777"/>
    <w:rsid w:val="005C5CDC"/>
    <w:rsid w:val="005D476C"/>
    <w:rsid w:val="006200BF"/>
    <w:rsid w:val="006219F8"/>
    <w:rsid w:val="006302F7"/>
    <w:rsid w:val="00646B9F"/>
    <w:rsid w:val="00665D70"/>
    <w:rsid w:val="0068752D"/>
    <w:rsid w:val="006900D9"/>
    <w:rsid w:val="006C3C51"/>
    <w:rsid w:val="006F19FB"/>
    <w:rsid w:val="00706C16"/>
    <w:rsid w:val="007340C3"/>
    <w:rsid w:val="0075235A"/>
    <w:rsid w:val="00756841"/>
    <w:rsid w:val="007649AB"/>
    <w:rsid w:val="00771D0C"/>
    <w:rsid w:val="0077267A"/>
    <w:rsid w:val="007833AC"/>
    <w:rsid w:val="00796AB2"/>
    <w:rsid w:val="007B268C"/>
    <w:rsid w:val="007B7171"/>
    <w:rsid w:val="007C0C0F"/>
    <w:rsid w:val="007C3DC2"/>
    <w:rsid w:val="007E5497"/>
    <w:rsid w:val="00801FB3"/>
    <w:rsid w:val="00806F5F"/>
    <w:rsid w:val="00820278"/>
    <w:rsid w:val="008258C9"/>
    <w:rsid w:val="0082598A"/>
    <w:rsid w:val="00844AE9"/>
    <w:rsid w:val="00855CBE"/>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5B5E"/>
    <w:rsid w:val="009A780B"/>
    <w:rsid w:val="009B2D26"/>
    <w:rsid w:val="009C71FA"/>
    <w:rsid w:val="009C72E7"/>
    <w:rsid w:val="009C7F7E"/>
    <w:rsid w:val="009D3058"/>
    <w:rsid w:val="009F3A13"/>
    <w:rsid w:val="009F577A"/>
    <w:rsid w:val="00A122D3"/>
    <w:rsid w:val="00A14468"/>
    <w:rsid w:val="00A17F13"/>
    <w:rsid w:val="00A20739"/>
    <w:rsid w:val="00A23AF9"/>
    <w:rsid w:val="00A33C78"/>
    <w:rsid w:val="00AB0ADB"/>
    <w:rsid w:val="00AC2FA2"/>
    <w:rsid w:val="00AD7433"/>
    <w:rsid w:val="00B00C0E"/>
    <w:rsid w:val="00B01B1A"/>
    <w:rsid w:val="00B0381D"/>
    <w:rsid w:val="00B06817"/>
    <w:rsid w:val="00B40544"/>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85592"/>
    <w:rsid w:val="00C925AC"/>
    <w:rsid w:val="00CB6357"/>
    <w:rsid w:val="00CB7F7E"/>
    <w:rsid w:val="00CC1B26"/>
    <w:rsid w:val="00CC5D9D"/>
    <w:rsid w:val="00CF69B1"/>
    <w:rsid w:val="00CF7F62"/>
    <w:rsid w:val="00D15BDA"/>
    <w:rsid w:val="00D23CA6"/>
    <w:rsid w:val="00D361FD"/>
    <w:rsid w:val="00D423A2"/>
    <w:rsid w:val="00D44E26"/>
    <w:rsid w:val="00D520D8"/>
    <w:rsid w:val="00D63AC2"/>
    <w:rsid w:val="00D7383B"/>
    <w:rsid w:val="00D74C21"/>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35E3"/>
    <w:rsid w:val="00EA0E3D"/>
    <w:rsid w:val="00EB354A"/>
    <w:rsid w:val="00EC38A7"/>
    <w:rsid w:val="00EE1AA8"/>
    <w:rsid w:val="00F23FEA"/>
    <w:rsid w:val="00F31EDC"/>
    <w:rsid w:val="00F462B3"/>
    <w:rsid w:val="00F5664F"/>
    <w:rsid w:val="00F666C4"/>
    <w:rsid w:val="00F6735D"/>
    <w:rsid w:val="00F76AFC"/>
    <w:rsid w:val="00F9361F"/>
    <w:rsid w:val="00FA47C0"/>
    <w:rsid w:val="00FB5DD1"/>
    <w:rsid w:val="00FC2B5D"/>
    <w:rsid w:val="00FF1449"/>
    <w:rsid w:val="00FF7963"/>
    <w:rsid w:val="071B8F93"/>
    <w:rsid w:val="09908A09"/>
    <w:rsid w:val="0FF4CCA8"/>
    <w:rsid w:val="13CFC91B"/>
    <w:rsid w:val="19A2EC2C"/>
    <w:rsid w:val="2859CA1B"/>
    <w:rsid w:val="32A4F9CF"/>
    <w:rsid w:val="356CEDFD"/>
    <w:rsid w:val="48C53EE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EC056D3-E067-DA47-B797-1815D7E3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15B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15BDA"/>
    <w:rPr>
      <w:rFonts w:ascii="Geomanist Light" w:hAnsi="Geomanist Light"/>
      <w:lang w:val="es-ES"/>
    </w:rPr>
  </w:style>
  <w:style w:type="paragraph" w:styleId="Textoindependiente">
    <w:name w:val="Body Text"/>
    <w:basedOn w:val="Normal"/>
    <w:link w:val="TextoindependienteCar"/>
    <w:uiPriority w:val="99"/>
    <w:unhideWhenUsed/>
    <w:rsid w:val="00D15BDA"/>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D15BDA"/>
    <w:rPr>
      <w:rFonts w:eastAsiaTheme="minorEastAsia"/>
      <w:lang w:eastAsia="es-CO"/>
    </w:rPr>
  </w:style>
  <w:style w:type="character" w:customStyle="1" w:styleId="s15">
    <w:name w:val="s15"/>
    <w:basedOn w:val="Fuentedeprrafopredeter"/>
    <w:rsid w:val="00D15B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D09D762-5BE4-496E-AED1-C96BACAE852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22</Pages>
  <Words>6667</Words>
  <Characters>36669</Characters>
  <Application>Microsoft Office Word</Application>
  <DocSecurity>0</DocSecurity>
  <Lines>305</Lines>
  <Paragraphs>86</Paragraphs>
  <ScaleCrop>false</ScaleCrop>
  <Company/>
  <LinksUpToDate>false</LinksUpToDate>
  <CharactersWithSpaces>43250</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3145814</vt:i4>
      </vt:variant>
      <vt:variant>
        <vt:i4>0</vt:i4>
      </vt:variant>
      <vt:variant>
        <vt:i4>0</vt:i4>
      </vt:variant>
      <vt:variant>
        <vt:i4>5</vt:i4>
      </vt:variant>
      <vt:variant>
        <vt:lpwstr>mailto:juridica@contraloriabga.gov.co</vt:lpwstr>
      </vt:variant>
      <vt:variant>
        <vt:lpwstr/>
      </vt:variant>
      <vt:variant>
        <vt:i4>7471182</vt:i4>
      </vt:variant>
      <vt:variant>
        <vt:i4>0</vt:i4>
      </vt:variant>
      <vt:variant>
        <vt:i4>0</vt:i4>
      </vt:variant>
      <vt:variant>
        <vt:i4>5</vt:i4>
      </vt:variant>
      <vt:variant>
        <vt:lpwstr>https://colombiacompra.gov.co/sites/cce_public/files/cce_documents/cce_guia_competencia_0.pdf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2025-12-10T20:10:00Z</dcterms:created>
  <dcterms:modified xsi:type="dcterms:W3CDTF">2025-12-10T21:45:00Z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