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D48687" w14:textId="77777777" w:rsidR="00881D8A" w:rsidRPr="00881D8A" w:rsidRDefault="00881D8A" w:rsidP="00881D8A">
      <w:pPr>
        <w:spacing w:after="0"/>
        <w:jc w:val="both"/>
        <w:rPr>
          <w:rFonts w:ascii="Verdana" w:eastAsia="Calibri" w:hAnsi="Verdana" w:cs="Calibri"/>
          <w:b/>
          <w:bCs/>
          <w:lang w:val="es-ES"/>
        </w:rPr>
      </w:pPr>
      <w:bookmarkStart w:id="0" w:name="_Hlk143780582"/>
      <w:r w:rsidRPr="00881D8A">
        <w:rPr>
          <w:rFonts w:ascii="Verdana" w:eastAsia="Calibri" w:hAnsi="Verdana" w:cs="Calibri"/>
          <w:b/>
          <w:bCs/>
          <w:lang w:val="es-ES"/>
        </w:rPr>
        <w:t xml:space="preserve">CAPACIDAD RESIDUAL – Definición </w:t>
      </w:r>
    </w:p>
    <w:p w14:paraId="2A39AC41" w14:textId="77777777" w:rsidR="00881D8A" w:rsidRPr="00881D8A" w:rsidRDefault="00881D8A" w:rsidP="00881D8A">
      <w:pPr>
        <w:spacing w:after="0"/>
        <w:jc w:val="both"/>
        <w:rPr>
          <w:rFonts w:ascii="Verdana" w:eastAsia="Calibri" w:hAnsi="Verdana" w:cs="Calibri"/>
          <w:b/>
          <w:bCs/>
          <w:lang w:val="es-ES"/>
        </w:rPr>
      </w:pPr>
    </w:p>
    <w:p w14:paraId="019210D5" w14:textId="77777777" w:rsidR="00881D8A" w:rsidRPr="00881D8A" w:rsidRDefault="00881D8A" w:rsidP="00881D8A">
      <w:pPr>
        <w:spacing w:after="0" w:line="240" w:lineRule="auto"/>
        <w:jc w:val="both"/>
        <w:rPr>
          <w:rFonts w:ascii="Verdana" w:eastAsia="Calibri" w:hAnsi="Verdana" w:cs="Calibri"/>
          <w:sz w:val="20"/>
          <w:szCs w:val="20"/>
        </w:rPr>
      </w:pPr>
      <w:r w:rsidRPr="00881D8A">
        <w:rPr>
          <w:rFonts w:ascii="Verdana" w:eastAsia="Calibri" w:hAnsi="Verdana" w:cs="Calibri"/>
          <w:sz w:val="20"/>
          <w:szCs w:val="20"/>
        </w:rPr>
        <w:t xml:space="preserve">La Capacidad Residual o K de Contratación es la aptitud de un oferente para cumplir oportuna y cabalmente con el objeto de un contrato de obra, sin que sus otros compromisos contractuales afecten su habilidad de responder con el contrato objeto del Proceso de Contratación. </w:t>
      </w:r>
    </w:p>
    <w:p w14:paraId="5B9C7F56" w14:textId="77777777" w:rsidR="00881D8A" w:rsidRPr="00881D8A" w:rsidRDefault="00881D8A" w:rsidP="00881D8A">
      <w:pPr>
        <w:spacing w:after="0" w:line="240" w:lineRule="auto"/>
        <w:jc w:val="both"/>
        <w:rPr>
          <w:rFonts w:ascii="Verdana" w:eastAsia="Calibri" w:hAnsi="Verdana" w:cs="Calibri"/>
          <w:sz w:val="20"/>
          <w:szCs w:val="20"/>
        </w:rPr>
      </w:pPr>
    </w:p>
    <w:p w14:paraId="1DCDFCC8" w14:textId="77777777" w:rsidR="00881D8A" w:rsidRPr="00881D8A" w:rsidRDefault="00881D8A" w:rsidP="00881D8A">
      <w:pPr>
        <w:spacing w:after="0" w:line="240" w:lineRule="auto"/>
        <w:jc w:val="both"/>
        <w:rPr>
          <w:rFonts w:ascii="Verdana" w:eastAsia="Calibri" w:hAnsi="Verdana" w:cs="Calibri"/>
          <w:sz w:val="20"/>
          <w:szCs w:val="20"/>
        </w:rPr>
      </w:pPr>
      <w:r w:rsidRPr="00881D8A">
        <w:rPr>
          <w:rFonts w:ascii="Verdana" w:eastAsia="Calibri" w:hAnsi="Verdana" w:cs="Calibri"/>
          <w:sz w:val="20"/>
          <w:szCs w:val="20"/>
        </w:rPr>
        <w:t>El artículo 2.2.1.1.1.3.1 del Decreto 1082 de 2015 define la capacidad residual como: “Aptitud de un oferente para cumplir oportuna y cabalmente con el objeto de un contrato de obra, sin que sus otros compromisos contractuales afecten su habilidad de cumplir con el contrato que está en proceso de selección”.</w:t>
      </w:r>
    </w:p>
    <w:p w14:paraId="0267513D" w14:textId="77777777" w:rsidR="00881D8A" w:rsidRPr="00881D8A" w:rsidRDefault="00881D8A" w:rsidP="00881D8A">
      <w:pPr>
        <w:spacing w:after="0"/>
        <w:jc w:val="both"/>
        <w:rPr>
          <w:rFonts w:ascii="Verdana" w:eastAsia="Calibri" w:hAnsi="Verdana" w:cs="Calibri"/>
          <w:sz w:val="20"/>
          <w:szCs w:val="20"/>
        </w:rPr>
      </w:pPr>
    </w:p>
    <w:p w14:paraId="50A436B3" w14:textId="77777777" w:rsidR="00881D8A" w:rsidRPr="00881D8A" w:rsidRDefault="00881D8A" w:rsidP="00881D8A">
      <w:pPr>
        <w:spacing w:after="0"/>
        <w:jc w:val="both"/>
        <w:rPr>
          <w:rFonts w:ascii="Verdana" w:eastAsia="Calibri" w:hAnsi="Verdana" w:cs="Calibri"/>
          <w:b/>
          <w:bCs/>
          <w:lang w:val="es-ES"/>
        </w:rPr>
      </w:pPr>
      <w:r w:rsidRPr="00881D8A">
        <w:rPr>
          <w:rFonts w:ascii="Verdana" w:eastAsia="Calibri" w:hAnsi="Verdana" w:cs="Calibri"/>
          <w:b/>
          <w:bCs/>
          <w:lang w:val="es-ES"/>
        </w:rPr>
        <w:t xml:space="preserve">CAPACIDAD RESIDUAL – Acreditación - Pliego de condiciones </w:t>
      </w:r>
    </w:p>
    <w:p w14:paraId="46D34AF2" w14:textId="77777777" w:rsidR="00881D8A" w:rsidRPr="00881D8A" w:rsidRDefault="00881D8A" w:rsidP="00881D8A">
      <w:pPr>
        <w:spacing w:after="0"/>
        <w:jc w:val="both"/>
        <w:rPr>
          <w:rFonts w:ascii="Verdana" w:eastAsia="Calibri" w:hAnsi="Verdana" w:cs="Calibri"/>
          <w:b/>
          <w:bCs/>
          <w:lang w:val="es-ES"/>
        </w:rPr>
      </w:pPr>
    </w:p>
    <w:p w14:paraId="32EEEF32" w14:textId="77777777" w:rsidR="00881D8A" w:rsidRPr="00881D8A" w:rsidRDefault="00881D8A" w:rsidP="00881D8A">
      <w:pPr>
        <w:spacing w:after="0" w:line="240" w:lineRule="auto"/>
        <w:jc w:val="both"/>
        <w:rPr>
          <w:rFonts w:ascii="Verdana" w:eastAsia="Calibri" w:hAnsi="Verdana" w:cs="Calibri"/>
          <w:sz w:val="20"/>
          <w:szCs w:val="20"/>
        </w:rPr>
      </w:pPr>
      <w:r w:rsidRPr="00881D8A">
        <w:rPr>
          <w:rFonts w:ascii="Verdana" w:eastAsia="Calibri" w:hAnsi="Verdana" w:cs="Calibri"/>
          <w:sz w:val="20"/>
          <w:szCs w:val="20"/>
        </w:rPr>
        <w:t xml:space="preserve">Es importante indicar que la Capacidad Residual de contratación únicamente es exigido para los contratos de obra pública; por lo tanto, en los Documentos del Proceso de obra pública, la Entidad Estatal debe establecer un requisito adicional a los requisitos habilitantes como lo es la Capacidad Residual o K de Contratación, la cual deben cumplir los interesados en participar en un Proceso de Contratación. </w:t>
      </w:r>
    </w:p>
    <w:p w14:paraId="135B1D5F" w14:textId="77777777" w:rsidR="00881D8A" w:rsidRPr="00881D8A" w:rsidRDefault="00881D8A" w:rsidP="00881D8A">
      <w:pPr>
        <w:spacing w:after="0" w:line="240" w:lineRule="auto"/>
        <w:jc w:val="both"/>
        <w:rPr>
          <w:rFonts w:ascii="Verdana" w:eastAsia="Calibri" w:hAnsi="Verdana" w:cs="Calibri"/>
          <w:sz w:val="20"/>
          <w:szCs w:val="20"/>
        </w:rPr>
      </w:pPr>
    </w:p>
    <w:p w14:paraId="29826E93" w14:textId="77777777" w:rsidR="00881D8A" w:rsidRPr="00881D8A" w:rsidRDefault="00881D8A" w:rsidP="00881D8A">
      <w:pPr>
        <w:spacing w:after="0" w:line="240" w:lineRule="auto"/>
        <w:jc w:val="both"/>
        <w:rPr>
          <w:rFonts w:ascii="Verdana" w:eastAsia="Calibri" w:hAnsi="Verdana" w:cs="Calibri"/>
          <w:sz w:val="20"/>
          <w:szCs w:val="20"/>
          <w:lang w:val="es-ES"/>
        </w:rPr>
      </w:pPr>
      <w:r w:rsidRPr="00881D8A">
        <w:rPr>
          <w:rFonts w:ascii="Verdana" w:eastAsia="Calibri" w:hAnsi="Verdana" w:cs="Calibri"/>
          <w:sz w:val="20"/>
          <w:szCs w:val="20"/>
        </w:rPr>
        <w:t>De esta manera las entidades estatales deberán establecer en los documentos del proceso la forma en la cual los proponentes deben acreditar los indicadores exigidos que no están incluidos en el RUP […] La capacidad residual de contratación es uno de aquellos requisitos no acreditables a través del RUP, de tal manera que la entidad estatal fijará las condiciones y requisitos en el pliego de condiciones o en los documentos del proceso a través del cual el proponente deberá ceñirse al cumplimiento y allegar toda información ordenada, en los términos y la forma en que hayan sido señalados, con el fin de que la entidad pueda calcular la Capacidad Residual del proponente y verificar si cumple o no con la requerida en el Proceso de Contratación que adelanta.</w:t>
      </w:r>
    </w:p>
    <w:p w14:paraId="0BD8C590" w14:textId="77777777" w:rsidR="00881D8A" w:rsidRPr="00881D8A" w:rsidRDefault="00881D8A" w:rsidP="00881D8A">
      <w:pPr>
        <w:spacing w:after="0" w:line="240" w:lineRule="auto"/>
        <w:jc w:val="both"/>
        <w:rPr>
          <w:rFonts w:ascii="Verdana" w:eastAsia="Calibri" w:hAnsi="Verdana" w:cs="Calibri"/>
          <w:sz w:val="20"/>
          <w:szCs w:val="20"/>
          <w:lang w:val="es-ES"/>
        </w:rPr>
      </w:pPr>
    </w:p>
    <w:p w14:paraId="161FD5B8" w14:textId="77777777" w:rsidR="00881D8A" w:rsidRPr="00881D8A" w:rsidRDefault="00881D8A" w:rsidP="00881D8A">
      <w:pPr>
        <w:spacing w:after="0"/>
        <w:jc w:val="both"/>
        <w:rPr>
          <w:rFonts w:ascii="Verdana" w:eastAsia="Calibri" w:hAnsi="Verdana" w:cs="Calibri"/>
          <w:b/>
          <w:bCs/>
          <w:lang w:val="es-ES"/>
        </w:rPr>
      </w:pPr>
      <w:r w:rsidRPr="00881D8A">
        <w:rPr>
          <w:rFonts w:ascii="Verdana" w:eastAsia="Calibri" w:hAnsi="Verdana" w:cs="Calibri"/>
          <w:b/>
          <w:bCs/>
          <w:lang w:val="es-ES"/>
        </w:rPr>
        <w:t>CAPACIDAD RESIDUAL – Causal de rechazo</w:t>
      </w:r>
    </w:p>
    <w:p w14:paraId="5E56B45B" w14:textId="77777777" w:rsidR="00881D8A" w:rsidRPr="00881D8A" w:rsidRDefault="00881D8A" w:rsidP="00881D8A">
      <w:pPr>
        <w:spacing w:after="0"/>
        <w:jc w:val="both"/>
        <w:rPr>
          <w:rFonts w:ascii="Verdana" w:eastAsia="Calibri" w:hAnsi="Verdana" w:cs="Calibri"/>
          <w:b/>
          <w:bCs/>
          <w:lang w:val="es-ES"/>
        </w:rPr>
      </w:pPr>
    </w:p>
    <w:p w14:paraId="3F51EFF5" w14:textId="77777777" w:rsidR="00881D8A" w:rsidRPr="00881D8A" w:rsidRDefault="00881D8A" w:rsidP="00881D8A">
      <w:pPr>
        <w:spacing w:after="0" w:line="240" w:lineRule="auto"/>
        <w:jc w:val="both"/>
        <w:rPr>
          <w:rFonts w:ascii="Verdana" w:eastAsia="Calibri" w:hAnsi="Verdana" w:cs="Calibri"/>
          <w:sz w:val="20"/>
          <w:szCs w:val="20"/>
        </w:rPr>
      </w:pPr>
      <w:r w:rsidRPr="00881D8A">
        <w:rPr>
          <w:rFonts w:ascii="Verdana" w:eastAsia="Calibri" w:hAnsi="Verdana" w:cs="Calibri"/>
          <w:sz w:val="20"/>
          <w:szCs w:val="20"/>
        </w:rPr>
        <w:t>Las causales de rechazo son las establecidas en la Ley y las fijadas por la entidad estatal en los pliegos de condiciones. Sin embargo, en ejercicio de dicha facultad, a las entidades no les es dable fijar causales de rechazo que soslayen o afecten la selección objetiva en la contratación.</w:t>
      </w:r>
    </w:p>
    <w:p w14:paraId="456F6F3B" w14:textId="77777777" w:rsidR="00881D8A" w:rsidRPr="00881D8A" w:rsidRDefault="00881D8A" w:rsidP="00881D8A">
      <w:pPr>
        <w:spacing w:after="0" w:line="240" w:lineRule="auto"/>
        <w:jc w:val="both"/>
        <w:rPr>
          <w:rFonts w:ascii="Verdana" w:eastAsia="Calibri" w:hAnsi="Verdana" w:cs="Calibri"/>
          <w:sz w:val="20"/>
          <w:szCs w:val="20"/>
        </w:rPr>
      </w:pPr>
    </w:p>
    <w:p w14:paraId="5F0B137B" w14:textId="77777777" w:rsidR="00881D8A" w:rsidRPr="00881D8A" w:rsidRDefault="00881D8A" w:rsidP="00881D8A">
      <w:pPr>
        <w:spacing w:after="0" w:line="240" w:lineRule="auto"/>
        <w:jc w:val="both"/>
        <w:rPr>
          <w:rFonts w:ascii="Verdana" w:eastAsia="Calibri" w:hAnsi="Verdana" w:cs="Calibri"/>
          <w:sz w:val="20"/>
          <w:szCs w:val="20"/>
        </w:rPr>
      </w:pPr>
      <w:r w:rsidRPr="00881D8A">
        <w:rPr>
          <w:rFonts w:ascii="Verdana" w:eastAsia="Calibri" w:hAnsi="Verdana" w:cs="Calibri"/>
          <w:sz w:val="20"/>
          <w:szCs w:val="20"/>
        </w:rPr>
        <w:t>De acuerdo con lo anterior, las entidades públicas como directoras de sus procesos de contratación son autónomas en estipular en sus pliegos de condiciones o documentos equivalentes, las causales de rechazo que considere pertinentes, siempre que no contradigan la Ley y los principios que rigen en materia de contratación, en los casos en que los requisitos habilitantes, entre ellos el referido a la capacidad residual de contratación, no reúnan las exigencias descritas en los citados pliegos de condiciones o documentos equivalentes.</w:t>
      </w:r>
    </w:p>
    <w:p w14:paraId="46F748D9" w14:textId="77777777" w:rsidR="00881D8A" w:rsidRPr="00881D8A" w:rsidRDefault="00881D8A" w:rsidP="00881D8A">
      <w:pPr>
        <w:spacing w:after="0" w:line="240" w:lineRule="auto"/>
        <w:jc w:val="both"/>
        <w:rPr>
          <w:rFonts w:ascii="Verdana" w:eastAsia="Calibri" w:hAnsi="Verdana" w:cs="Calibri"/>
          <w:sz w:val="20"/>
          <w:szCs w:val="20"/>
          <w:lang w:val="es-ES"/>
        </w:rPr>
      </w:pPr>
    </w:p>
    <w:p w14:paraId="17B28DA4" w14:textId="77777777" w:rsidR="00881D8A" w:rsidRPr="00881D8A" w:rsidRDefault="00881D8A" w:rsidP="00881D8A">
      <w:pPr>
        <w:spacing w:after="0"/>
        <w:jc w:val="both"/>
        <w:rPr>
          <w:rFonts w:ascii="Verdana" w:eastAsia="Calibri" w:hAnsi="Verdana" w:cs="Calibri"/>
          <w:b/>
          <w:bCs/>
          <w:lang w:val="es-ES"/>
        </w:rPr>
      </w:pPr>
      <w:r w:rsidRPr="00881D8A">
        <w:rPr>
          <w:rFonts w:ascii="Verdana" w:eastAsia="Calibri" w:hAnsi="Verdana" w:cs="Calibri"/>
          <w:b/>
          <w:bCs/>
          <w:lang w:val="es-ES"/>
        </w:rPr>
        <w:lastRenderedPageBreak/>
        <w:t xml:space="preserve">CAPACIDAD RESIDUAL – Documentos tipo – Causales de rechazo de la oferta </w:t>
      </w:r>
    </w:p>
    <w:p w14:paraId="37F09A21" w14:textId="77777777" w:rsidR="00881D8A" w:rsidRPr="00881D8A" w:rsidRDefault="00881D8A" w:rsidP="00881D8A">
      <w:pPr>
        <w:spacing w:after="0"/>
        <w:jc w:val="both"/>
        <w:rPr>
          <w:rFonts w:ascii="Verdana" w:eastAsia="Calibri" w:hAnsi="Verdana" w:cs="Calibri"/>
          <w:b/>
          <w:bCs/>
          <w:lang w:val="es-ES"/>
        </w:rPr>
      </w:pPr>
    </w:p>
    <w:p w14:paraId="2455BDC1" w14:textId="77777777" w:rsidR="00881D8A" w:rsidRPr="00881D8A" w:rsidRDefault="00881D8A" w:rsidP="00881D8A">
      <w:pPr>
        <w:spacing w:after="0" w:line="240" w:lineRule="auto"/>
        <w:jc w:val="both"/>
        <w:rPr>
          <w:rFonts w:ascii="Verdana" w:eastAsia="Calibri" w:hAnsi="Verdana" w:cs="Arial"/>
          <w:sz w:val="20"/>
          <w:szCs w:val="20"/>
          <w:lang w:eastAsia="es-ES"/>
        </w:rPr>
      </w:pPr>
      <w:r w:rsidRPr="00881D8A">
        <w:rPr>
          <w:rFonts w:ascii="Verdana" w:eastAsia="Calibri" w:hAnsi="Verdana" w:cs="Arial"/>
          <w:sz w:val="20"/>
          <w:szCs w:val="20"/>
          <w:lang w:eastAsia="es-ES"/>
        </w:rPr>
        <w:t>El numeral 3.11 del documento base de obra de infraestructura de transporte para procesos de licitación pública – Versión 4, establece como requisito habilitante la capacidad residual. En este documento tipo se establecen al menos tres causales de rechazo en el numeral 1.15 que se relacionan con la capacidad residual como requisito habilitante, esto es, los literales E, H y X.</w:t>
      </w:r>
    </w:p>
    <w:p w14:paraId="085D5FD2" w14:textId="77777777" w:rsidR="00881D8A" w:rsidRPr="00881D8A" w:rsidRDefault="00881D8A" w:rsidP="00881D8A">
      <w:pPr>
        <w:spacing w:after="0"/>
        <w:jc w:val="both"/>
        <w:rPr>
          <w:rFonts w:ascii="Verdana" w:eastAsia="Calibri" w:hAnsi="Verdana" w:cs="Arial"/>
          <w:sz w:val="20"/>
          <w:szCs w:val="20"/>
          <w:lang w:eastAsia="es-ES"/>
        </w:rPr>
      </w:pPr>
    </w:p>
    <w:p w14:paraId="0131B271" w14:textId="77777777" w:rsidR="00881D8A" w:rsidRPr="00881D8A" w:rsidRDefault="00881D8A" w:rsidP="00881D8A">
      <w:pPr>
        <w:spacing w:after="0"/>
        <w:jc w:val="both"/>
        <w:rPr>
          <w:rFonts w:ascii="Verdana" w:eastAsia="Calibri" w:hAnsi="Verdana" w:cs="Calibri"/>
          <w:b/>
          <w:bCs/>
          <w:lang w:val="es-ES"/>
        </w:rPr>
      </w:pPr>
      <w:r w:rsidRPr="00881D8A">
        <w:rPr>
          <w:rFonts w:ascii="Verdana" w:eastAsia="Calibri" w:hAnsi="Verdana" w:cs="Calibri"/>
          <w:b/>
          <w:bCs/>
          <w:lang w:val="es-ES"/>
        </w:rPr>
        <w:t>DOCUMENTOS TIPO – Causales de rechazo de la oferta – Literal X – Capacidad residual</w:t>
      </w:r>
    </w:p>
    <w:p w14:paraId="6A974089" w14:textId="77777777" w:rsidR="00881D8A" w:rsidRPr="00881D8A" w:rsidRDefault="00881D8A" w:rsidP="00881D8A">
      <w:pPr>
        <w:spacing w:after="0"/>
        <w:jc w:val="both"/>
        <w:rPr>
          <w:rFonts w:ascii="Verdana" w:eastAsia="Calibri" w:hAnsi="Verdana" w:cs="Arial"/>
          <w:sz w:val="20"/>
          <w:szCs w:val="20"/>
          <w:lang w:eastAsia="es-ES"/>
        </w:rPr>
      </w:pPr>
    </w:p>
    <w:p w14:paraId="4793BD68" w14:textId="77777777" w:rsidR="00881D8A" w:rsidRPr="00881D8A" w:rsidRDefault="00881D8A" w:rsidP="00881D8A">
      <w:pPr>
        <w:spacing w:after="0" w:line="240" w:lineRule="auto"/>
        <w:jc w:val="both"/>
        <w:rPr>
          <w:rFonts w:ascii="Verdana" w:eastAsia="Calibri" w:hAnsi="Verdana" w:cs="Arial"/>
          <w:sz w:val="20"/>
          <w:szCs w:val="20"/>
          <w:lang w:eastAsia="es-ES"/>
        </w:rPr>
      </w:pPr>
      <w:r w:rsidRPr="00881D8A">
        <w:rPr>
          <w:rFonts w:ascii="Verdana" w:eastAsia="Calibri" w:hAnsi="Verdana" w:cs="Arial"/>
          <w:sz w:val="20"/>
          <w:szCs w:val="20"/>
          <w:lang w:eastAsia="es-ES"/>
        </w:rPr>
        <w:t>(…)  La causal del literal X del numeral 1.15 solamente aplica cuando el proponente no informa todos los contratos que tiene en ejecución antes del cierre. Por ejemplo, si el contratista tiene en ejecución diez contratos, esta causal de rechazo aplica si el contratista reporta nueve o un numero diferente a diez. Por tanto, la configuración de la causal de rechazo del literal X es objetiva, pues solo aplica ante la omisión del proponente de informar el número total de contratos en ejecución antes del cierre del proceso, es decir, opera también cuando no se aporte con la oferta el Formato 5 debidamente diligenciado.</w:t>
      </w:r>
    </w:p>
    <w:p w14:paraId="09D62AD5" w14:textId="77777777" w:rsidR="00881D8A" w:rsidRPr="00881D8A" w:rsidRDefault="00881D8A" w:rsidP="00881D8A">
      <w:pPr>
        <w:spacing w:after="0"/>
        <w:jc w:val="both"/>
        <w:rPr>
          <w:rFonts w:ascii="Verdana" w:eastAsia="Calibri" w:hAnsi="Verdana" w:cs="Arial"/>
          <w:sz w:val="20"/>
          <w:szCs w:val="20"/>
          <w:lang w:eastAsia="es-ES"/>
        </w:rPr>
      </w:pPr>
    </w:p>
    <w:p w14:paraId="7835DE01" w14:textId="77777777" w:rsidR="00881D8A" w:rsidRPr="00881D8A" w:rsidRDefault="00881D8A" w:rsidP="00881D8A">
      <w:pPr>
        <w:spacing w:after="0" w:line="240" w:lineRule="auto"/>
        <w:jc w:val="both"/>
        <w:rPr>
          <w:rFonts w:ascii="Verdana" w:eastAsia="Calibri" w:hAnsi="Verdana" w:cs="Calibri"/>
          <w:b/>
          <w:bCs/>
          <w:lang w:val="es-ES"/>
        </w:rPr>
      </w:pPr>
      <w:r w:rsidRPr="00881D8A">
        <w:rPr>
          <w:rFonts w:ascii="Verdana" w:eastAsia="Calibri" w:hAnsi="Verdana" w:cs="Calibri"/>
          <w:b/>
          <w:bCs/>
          <w:lang w:val="es-ES"/>
        </w:rPr>
        <w:t xml:space="preserve">DOCUMENTOS TIPO – Causales de rechazo de la oferta – Literal X – </w:t>
      </w:r>
      <w:proofErr w:type="spellStart"/>
      <w:r w:rsidRPr="00881D8A">
        <w:rPr>
          <w:rFonts w:ascii="Verdana" w:eastAsia="Calibri" w:hAnsi="Verdana" w:cs="Calibri"/>
          <w:b/>
          <w:bCs/>
          <w:lang w:val="es-ES"/>
        </w:rPr>
        <w:t>Subsanabilidad</w:t>
      </w:r>
      <w:proofErr w:type="spellEnd"/>
    </w:p>
    <w:p w14:paraId="4592C825" w14:textId="77777777" w:rsidR="00881D8A" w:rsidRPr="00881D8A" w:rsidRDefault="00881D8A" w:rsidP="00881D8A">
      <w:pPr>
        <w:spacing w:after="0"/>
        <w:jc w:val="both"/>
        <w:rPr>
          <w:rFonts w:ascii="Verdana" w:eastAsia="Calibri" w:hAnsi="Verdana" w:cs="Arial"/>
          <w:sz w:val="20"/>
          <w:szCs w:val="20"/>
          <w:lang w:eastAsia="es-ES"/>
        </w:rPr>
      </w:pPr>
    </w:p>
    <w:p w14:paraId="2B150FFB" w14:textId="77777777" w:rsidR="00881D8A" w:rsidRPr="00881D8A" w:rsidRDefault="00881D8A" w:rsidP="00881D8A">
      <w:pPr>
        <w:spacing w:after="0" w:line="240" w:lineRule="auto"/>
        <w:jc w:val="both"/>
        <w:rPr>
          <w:rFonts w:ascii="Arial" w:eastAsia="Aptos" w:hAnsi="Arial" w:cs="Arial"/>
          <w:sz w:val="20"/>
          <w:szCs w:val="20"/>
        </w:rPr>
      </w:pPr>
      <w:r w:rsidRPr="00881D8A">
        <w:rPr>
          <w:rFonts w:ascii="Verdana" w:eastAsia="Calibri" w:hAnsi="Verdana" w:cs="Arial"/>
          <w:sz w:val="20"/>
          <w:szCs w:val="20"/>
        </w:rPr>
        <w:t xml:space="preserve">(…) la Agencia Nacional de Contratación Pública – Colombia Compra Eficiente, reitera la postura planteada en los conceptos C-429 del 24 de julio de 2020, C-173 del 7 de abril de 2024, C-306 del 16 de mayo de 2022, C-567 del 2 de septiembre de septiembre de 2022, C-748 del 10 de noviembre de 2022, C-280 del 6 de junio de 2023, C-353 del 1 de agosto de 2023, C-978 del 24 de marzo de 2023, C-421 del 13 de septiembre de 2024, C-818 del 16 de diciembre de 2024, C-232 del 1 de abril de 2024, C-419 del 22 de abril de 2025, C-928 del 21 de agosto de 2025, y recientemente en el concepto C-1438 del 6 de noviembre de 2025, en el sentido de manifestar que, </w:t>
      </w:r>
      <w:r w:rsidRPr="00881D8A">
        <w:rPr>
          <w:rFonts w:ascii="Verdana" w:eastAsia="Calibri" w:hAnsi="Verdana" w:cs="Arial"/>
          <w:noProof/>
          <w:sz w:val="20"/>
          <w:szCs w:val="20"/>
        </w:rPr>
        <w:t>lo</w:t>
      </w:r>
      <w:r w:rsidRPr="00881D8A">
        <w:rPr>
          <w:rFonts w:ascii="Verdana" w:eastAsia="Calibri" w:hAnsi="Verdana" w:cs="Arial"/>
          <w:sz w:val="20"/>
          <w:szCs w:val="20"/>
        </w:rPr>
        <w:t xml:space="preserve"> expresado en el párrafo precedente no contradice lo dispuesto en el artículo 5, parágrafo 1, de la Ley 1150 de 2007, adicionado por el artículo 5 de la Ley 1882 de 2018, norma que dispone que “</w:t>
      </w:r>
      <w:r w:rsidRPr="00881D8A">
        <w:rPr>
          <w:rFonts w:ascii="Verdana" w:eastAsia="Calibri" w:hAnsi="Verdana" w:cs="Times New Roman"/>
          <w:sz w:val="20"/>
          <w:szCs w:val="20"/>
        </w:rPr>
        <w:t xml:space="preserve">(…) </w:t>
      </w:r>
      <w:r w:rsidRPr="00881D8A">
        <w:rPr>
          <w:rFonts w:ascii="Verdana" w:eastAsia="Calibri" w:hAnsi="Verdana" w:cs="Arial"/>
          <w:sz w:val="20"/>
          <w:szCs w:val="20"/>
        </w:rPr>
        <w:t xml:space="preserve">todos aquellos requisitos de la propuesta que no afecten la asignación de puntaje, deberán ser solicitados por las entidades estatales y deberán ser entregados por los proponentes”. Es cierto que la información “inexacta” y los contratos que no fueron informados, no afectan la asignación de puntaje, pues estos se solicitan para la acreditación de la capacidad residual del proponente, que es uno de los requisitos habilitantes a los que se refiere el Capítulo III del documento base. Sin embargo, los supuestos de hecho en los que se fundamentan las causales de rechazo no permiten la subsanación. </w:t>
      </w:r>
    </w:p>
    <w:p w14:paraId="6212D02C" w14:textId="77777777" w:rsidR="00881D8A" w:rsidRPr="00881D8A" w:rsidRDefault="00881D8A" w:rsidP="00881D8A">
      <w:pPr>
        <w:spacing w:after="0" w:line="240" w:lineRule="auto"/>
        <w:jc w:val="both"/>
        <w:rPr>
          <w:rFonts w:ascii="Verdana" w:eastAsia="Calibri" w:hAnsi="Verdana" w:cs="Arial"/>
          <w:sz w:val="20"/>
          <w:szCs w:val="20"/>
        </w:rPr>
      </w:pPr>
    </w:p>
    <w:p w14:paraId="06C90679" w14:textId="77777777" w:rsidR="00881D8A" w:rsidRPr="00881D8A" w:rsidRDefault="00881D8A" w:rsidP="00881D8A">
      <w:pPr>
        <w:spacing w:after="0" w:line="240" w:lineRule="auto"/>
        <w:jc w:val="both"/>
        <w:rPr>
          <w:rFonts w:ascii="Verdana" w:eastAsia="Calibri" w:hAnsi="Verdana" w:cs="Arial"/>
          <w:sz w:val="20"/>
          <w:szCs w:val="20"/>
        </w:rPr>
      </w:pPr>
      <w:r w:rsidRPr="00881D8A">
        <w:rPr>
          <w:rFonts w:ascii="Verdana" w:eastAsia="Calibri" w:hAnsi="Verdana" w:cs="Arial"/>
          <w:sz w:val="20"/>
          <w:szCs w:val="20"/>
        </w:rPr>
        <w:lastRenderedPageBreak/>
        <w:t xml:space="preserve">La imposibilidad de subsanar se deriva, entonces, del supuesto de hecho de aquellas causales, sin que en esto sea relevante que se otorguen o no puntos a la propuesta por el requisito de capacidad residual. No en vano, desde el punto de vista jurisprudencial, la violación al deber de buena fe en la etapa precontractual justifica el rechazo, pues este tipo de medidas “(…) guardan armonía con principios de rango constitucional y de la contratación estatal, que tienen por finalidad que ningún proponente pueda beneficiarse de información parcial, inexacta o que falta a la verdad. En otras palabras, para la Sala, suministrar información contraria a la realidad en una oferta no puede ser objeto de subsanación dentro de ningún procedimiento de selección”. </w:t>
      </w:r>
    </w:p>
    <w:p w14:paraId="690A054E" w14:textId="77777777" w:rsidR="00881D8A" w:rsidRPr="00881D8A" w:rsidRDefault="00881D8A" w:rsidP="00881D8A">
      <w:pPr>
        <w:spacing w:after="0" w:line="240" w:lineRule="auto"/>
        <w:jc w:val="both"/>
        <w:rPr>
          <w:rFonts w:ascii="Verdana" w:eastAsia="Aptos" w:hAnsi="Verdana" w:cs="Arial"/>
          <w:sz w:val="20"/>
          <w:szCs w:val="20"/>
        </w:rPr>
      </w:pPr>
    </w:p>
    <w:p w14:paraId="407A67C3" w14:textId="77777777" w:rsidR="00881D8A" w:rsidRPr="00881D8A" w:rsidRDefault="00881D8A" w:rsidP="00881D8A">
      <w:pPr>
        <w:spacing w:before="120" w:after="120" w:line="276" w:lineRule="auto"/>
        <w:jc w:val="both"/>
        <w:rPr>
          <w:rFonts w:ascii="Verdana" w:eastAsia="Calibri" w:hAnsi="Verdana" w:cs="Arial"/>
          <w:sz w:val="20"/>
          <w:szCs w:val="20"/>
        </w:rPr>
      </w:pPr>
      <w:r w:rsidRPr="00881D8A">
        <w:rPr>
          <w:rFonts w:ascii="Verdana" w:eastAsia="Calibri" w:hAnsi="Verdana" w:cs="Arial"/>
          <w:sz w:val="20"/>
          <w:szCs w:val="20"/>
        </w:rPr>
        <w:t>Como se expresó, la causal del literal X procede cuando el proponente no informa todos los contratos de obra, fenómeno que se verifica con el formato 5. Como se expresó, la causal del literal X procede cuando el proponente no informa todos los contratos de obra, fenómeno que se verifica con el formato 5. En este supuesto, lo que genera el rechazo de la oferta no es la ausencia de la información del contrato omitido, sino el hecho de haberse informado menos contratos de los que tenía en ejecución. Incluso, en el evento en el que el proponente “corrija” el error e informe la existencia de un contrato no reportado, implica aceptar que ocurrió la causal del literal Z, esto es, que el proponente incumplió su obligación de informar todos los contratos de obra que tenía en ejecución.</w:t>
      </w:r>
    </w:p>
    <w:p w14:paraId="32EB894B" w14:textId="77777777" w:rsidR="00881D8A" w:rsidRPr="00881D8A" w:rsidRDefault="00881D8A" w:rsidP="00881D8A">
      <w:pPr>
        <w:spacing w:after="0" w:line="240" w:lineRule="auto"/>
        <w:jc w:val="both"/>
        <w:rPr>
          <w:rFonts w:ascii="Verdana" w:eastAsia="Aptos" w:hAnsi="Verdana" w:cs="Arial"/>
          <w:sz w:val="20"/>
          <w:szCs w:val="20"/>
        </w:rPr>
      </w:pPr>
    </w:p>
    <w:p w14:paraId="10FED9D7" w14:textId="77777777" w:rsidR="00881D8A" w:rsidRPr="00881D8A" w:rsidRDefault="00881D8A" w:rsidP="00881D8A">
      <w:pPr>
        <w:spacing w:after="0" w:line="240" w:lineRule="auto"/>
        <w:jc w:val="both"/>
        <w:rPr>
          <w:rFonts w:ascii="Verdana" w:eastAsia="Calibri" w:hAnsi="Verdana" w:cs="Arial"/>
          <w:b/>
          <w:color w:val="000000"/>
          <w:lang w:eastAsia="es-ES_tradnl"/>
        </w:rPr>
      </w:pPr>
    </w:p>
    <w:p w14:paraId="1BF7CD8C" w14:textId="77777777" w:rsidR="00881D8A" w:rsidRPr="00881D8A" w:rsidRDefault="00881D8A" w:rsidP="00881D8A">
      <w:pPr>
        <w:spacing w:after="0" w:line="240" w:lineRule="auto"/>
        <w:jc w:val="both"/>
        <w:rPr>
          <w:rFonts w:ascii="Verdana" w:eastAsia="Aptos" w:hAnsi="Verdana" w:cs="Arial"/>
          <w:color w:val="000000"/>
          <w:sz w:val="20"/>
          <w:szCs w:val="20"/>
        </w:rPr>
      </w:pPr>
    </w:p>
    <w:p w14:paraId="0C952F6E" w14:textId="77777777" w:rsidR="00881D8A" w:rsidRPr="00881D8A" w:rsidRDefault="00881D8A" w:rsidP="00881D8A">
      <w:pPr>
        <w:spacing w:after="0" w:line="240" w:lineRule="auto"/>
        <w:jc w:val="both"/>
        <w:rPr>
          <w:rFonts w:ascii="Verdana" w:eastAsia="Aptos" w:hAnsi="Verdana" w:cs="Arial"/>
          <w:color w:val="000000"/>
          <w:highlight w:val="yellow"/>
        </w:rPr>
      </w:pPr>
    </w:p>
    <w:p w14:paraId="524951F2" w14:textId="77777777" w:rsidR="00881D8A" w:rsidRPr="00881D8A" w:rsidRDefault="00881D8A" w:rsidP="00881D8A">
      <w:pPr>
        <w:spacing w:after="0" w:line="240" w:lineRule="auto"/>
        <w:jc w:val="both"/>
        <w:rPr>
          <w:rFonts w:ascii="Verdana" w:eastAsia="Aptos" w:hAnsi="Verdana" w:cs="Arial"/>
          <w:color w:val="000000"/>
          <w:highlight w:val="yellow"/>
        </w:rPr>
      </w:pPr>
    </w:p>
    <w:p w14:paraId="61D99996" w14:textId="77777777" w:rsidR="00881D8A" w:rsidRPr="00881D8A" w:rsidRDefault="00881D8A" w:rsidP="00881D8A">
      <w:pPr>
        <w:spacing w:after="0" w:line="240" w:lineRule="auto"/>
        <w:jc w:val="both"/>
        <w:rPr>
          <w:rFonts w:ascii="Verdana" w:eastAsia="Aptos" w:hAnsi="Verdana" w:cs="Arial"/>
          <w:color w:val="000000"/>
          <w:highlight w:val="yellow"/>
        </w:rPr>
      </w:pPr>
    </w:p>
    <w:p w14:paraId="73E6062D" w14:textId="77777777" w:rsidR="00881D8A" w:rsidRPr="00881D8A" w:rsidRDefault="00881D8A" w:rsidP="00881D8A">
      <w:pPr>
        <w:spacing w:after="0" w:line="240" w:lineRule="auto"/>
        <w:jc w:val="both"/>
        <w:rPr>
          <w:rFonts w:ascii="Verdana" w:eastAsia="Aptos" w:hAnsi="Verdana" w:cs="Arial"/>
          <w:color w:val="000000"/>
          <w:highlight w:val="yellow"/>
        </w:rPr>
      </w:pPr>
    </w:p>
    <w:p w14:paraId="5A87E1C2" w14:textId="77777777" w:rsidR="00881D8A" w:rsidRPr="00881D8A" w:rsidRDefault="00881D8A" w:rsidP="00881D8A">
      <w:pPr>
        <w:spacing w:after="0" w:line="240" w:lineRule="auto"/>
        <w:jc w:val="both"/>
        <w:rPr>
          <w:rFonts w:ascii="Verdana" w:eastAsia="Aptos" w:hAnsi="Verdana" w:cs="Arial"/>
          <w:color w:val="000000"/>
          <w:highlight w:val="yellow"/>
        </w:rPr>
      </w:pPr>
    </w:p>
    <w:p w14:paraId="29ECC198" w14:textId="77777777" w:rsidR="00881D8A" w:rsidRPr="00881D8A" w:rsidRDefault="00881D8A" w:rsidP="00881D8A">
      <w:pPr>
        <w:spacing w:after="0" w:line="240" w:lineRule="auto"/>
        <w:jc w:val="both"/>
        <w:rPr>
          <w:rFonts w:ascii="Verdana" w:eastAsia="Aptos" w:hAnsi="Verdana" w:cs="Arial"/>
          <w:color w:val="000000"/>
          <w:highlight w:val="yellow"/>
        </w:rPr>
      </w:pPr>
    </w:p>
    <w:p w14:paraId="7ACBB031" w14:textId="77777777" w:rsidR="00881D8A" w:rsidRPr="00881D8A" w:rsidRDefault="00881D8A" w:rsidP="00881D8A">
      <w:pPr>
        <w:spacing w:after="0" w:line="240" w:lineRule="auto"/>
        <w:jc w:val="both"/>
        <w:rPr>
          <w:rFonts w:ascii="Verdana" w:eastAsia="Aptos" w:hAnsi="Verdana" w:cs="Arial"/>
          <w:color w:val="000000"/>
          <w:highlight w:val="yellow"/>
        </w:rPr>
      </w:pPr>
    </w:p>
    <w:p w14:paraId="73334F0B" w14:textId="77777777" w:rsidR="00881D8A" w:rsidRPr="00881D8A" w:rsidRDefault="00881D8A" w:rsidP="00881D8A">
      <w:pPr>
        <w:spacing w:after="0" w:line="240" w:lineRule="auto"/>
        <w:jc w:val="both"/>
        <w:rPr>
          <w:rFonts w:ascii="Verdana" w:eastAsia="Aptos" w:hAnsi="Verdana" w:cs="Arial"/>
          <w:color w:val="000000"/>
          <w:highlight w:val="yellow"/>
        </w:rPr>
      </w:pPr>
    </w:p>
    <w:p w14:paraId="126C53F5" w14:textId="77777777" w:rsidR="00881D8A" w:rsidRPr="00881D8A" w:rsidRDefault="00881D8A" w:rsidP="00881D8A">
      <w:pPr>
        <w:spacing w:after="0" w:line="240" w:lineRule="auto"/>
        <w:jc w:val="both"/>
        <w:rPr>
          <w:rFonts w:ascii="Verdana" w:eastAsia="Aptos" w:hAnsi="Verdana" w:cs="Arial"/>
          <w:color w:val="000000"/>
          <w:highlight w:val="yellow"/>
        </w:rPr>
      </w:pPr>
    </w:p>
    <w:p w14:paraId="60DD9453" w14:textId="77777777" w:rsidR="00881D8A" w:rsidRPr="00881D8A" w:rsidRDefault="00881D8A" w:rsidP="00881D8A">
      <w:pPr>
        <w:spacing w:after="0" w:line="240" w:lineRule="auto"/>
        <w:jc w:val="both"/>
        <w:rPr>
          <w:rFonts w:ascii="Verdana" w:eastAsia="Aptos" w:hAnsi="Verdana" w:cs="Arial"/>
          <w:color w:val="000000"/>
          <w:highlight w:val="yellow"/>
        </w:rPr>
      </w:pPr>
    </w:p>
    <w:p w14:paraId="2F902871" w14:textId="77777777" w:rsidR="00881D8A" w:rsidRPr="00881D8A" w:rsidRDefault="00881D8A" w:rsidP="00881D8A">
      <w:pPr>
        <w:spacing w:after="0" w:line="240" w:lineRule="auto"/>
        <w:jc w:val="both"/>
        <w:rPr>
          <w:rFonts w:ascii="Verdana" w:eastAsia="Aptos" w:hAnsi="Verdana" w:cs="Arial"/>
          <w:color w:val="000000"/>
          <w:highlight w:val="yellow"/>
        </w:rPr>
      </w:pPr>
    </w:p>
    <w:p w14:paraId="486C4D4B" w14:textId="77777777" w:rsidR="00881D8A" w:rsidRPr="00881D8A" w:rsidRDefault="00881D8A" w:rsidP="00881D8A">
      <w:pPr>
        <w:spacing w:after="0" w:line="240" w:lineRule="auto"/>
        <w:jc w:val="both"/>
        <w:rPr>
          <w:rFonts w:ascii="Verdana" w:eastAsia="Aptos" w:hAnsi="Verdana" w:cs="Arial"/>
          <w:color w:val="000000"/>
          <w:highlight w:val="yellow"/>
        </w:rPr>
      </w:pPr>
    </w:p>
    <w:p w14:paraId="7DDE12B4" w14:textId="77777777" w:rsidR="00881D8A" w:rsidRPr="00881D8A" w:rsidRDefault="00881D8A" w:rsidP="00881D8A">
      <w:pPr>
        <w:spacing w:after="0" w:line="240" w:lineRule="auto"/>
        <w:jc w:val="both"/>
        <w:rPr>
          <w:rFonts w:ascii="Verdana" w:eastAsia="Aptos" w:hAnsi="Verdana" w:cs="Arial"/>
          <w:color w:val="000000"/>
          <w:highlight w:val="yellow"/>
        </w:rPr>
      </w:pPr>
    </w:p>
    <w:p w14:paraId="4B808923" w14:textId="77777777" w:rsidR="00881D8A" w:rsidRPr="00881D8A" w:rsidRDefault="00881D8A" w:rsidP="00881D8A">
      <w:pPr>
        <w:spacing w:after="0" w:line="240" w:lineRule="auto"/>
        <w:jc w:val="both"/>
        <w:rPr>
          <w:rFonts w:ascii="Verdana" w:eastAsia="Aptos" w:hAnsi="Verdana" w:cs="Arial"/>
          <w:color w:val="000000"/>
          <w:highlight w:val="yellow"/>
        </w:rPr>
      </w:pPr>
    </w:p>
    <w:p w14:paraId="1D19E666" w14:textId="77777777" w:rsidR="00881D8A" w:rsidRPr="00881D8A" w:rsidRDefault="00881D8A" w:rsidP="00881D8A">
      <w:pPr>
        <w:spacing w:after="0" w:line="240" w:lineRule="auto"/>
        <w:jc w:val="both"/>
        <w:rPr>
          <w:rFonts w:ascii="Verdana" w:eastAsia="Aptos" w:hAnsi="Verdana" w:cs="Arial"/>
          <w:color w:val="000000"/>
          <w:highlight w:val="yellow"/>
        </w:rPr>
      </w:pPr>
    </w:p>
    <w:p w14:paraId="05A89300" w14:textId="77777777" w:rsidR="00881D8A" w:rsidRPr="00881D8A" w:rsidRDefault="00881D8A" w:rsidP="00881D8A">
      <w:pPr>
        <w:spacing w:after="0" w:line="240" w:lineRule="auto"/>
        <w:jc w:val="both"/>
        <w:rPr>
          <w:rFonts w:ascii="Verdana" w:eastAsia="Aptos" w:hAnsi="Verdana" w:cs="Arial"/>
          <w:color w:val="000000"/>
          <w:highlight w:val="yellow"/>
        </w:rPr>
      </w:pPr>
    </w:p>
    <w:p w14:paraId="2F1C2677" w14:textId="77777777" w:rsidR="00881D8A" w:rsidRPr="00881D8A" w:rsidRDefault="00881D8A" w:rsidP="00881D8A">
      <w:pPr>
        <w:spacing w:after="0" w:line="240" w:lineRule="auto"/>
        <w:jc w:val="both"/>
        <w:rPr>
          <w:rFonts w:ascii="Verdana" w:eastAsia="Aptos" w:hAnsi="Verdana" w:cs="Arial"/>
          <w:color w:val="000000"/>
          <w:highlight w:val="yellow"/>
        </w:rPr>
      </w:pPr>
    </w:p>
    <w:p w14:paraId="65FC774C" w14:textId="77777777" w:rsidR="00881D8A" w:rsidRPr="00881D8A" w:rsidRDefault="00881D8A" w:rsidP="00881D8A">
      <w:pPr>
        <w:spacing w:after="0" w:line="240" w:lineRule="auto"/>
        <w:jc w:val="both"/>
        <w:rPr>
          <w:rFonts w:ascii="Verdana" w:eastAsia="Aptos" w:hAnsi="Verdana" w:cs="Arial"/>
          <w:color w:val="000000"/>
          <w:highlight w:val="yellow"/>
        </w:rPr>
      </w:pPr>
    </w:p>
    <w:p w14:paraId="016ED6E0" w14:textId="77777777" w:rsidR="00881D8A" w:rsidRPr="00881D8A" w:rsidRDefault="00881D8A" w:rsidP="00881D8A">
      <w:pPr>
        <w:spacing w:after="0" w:line="240" w:lineRule="auto"/>
        <w:jc w:val="both"/>
        <w:rPr>
          <w:rFonts w:ascii="Verdana" w:eastAsia="Aptos" w:hAnsi="Verdana" w:cs="Arial"/>
          <w:color w:val="000000"/>
          <w:highlight w:val="yellow"/>
          <w:lang w:val="es-ES_tradnl"/>
        </w:rPr>
      </w:pPr>
    </w:p>
    <w:p w14:paraId="1436131D" w14:textId="43F70B6D" w:rsidR="00881D8A" w:rsidRDefault="00881D8A" w:rsidP="00881D8A">
      <w:pPr>
        <w:spacing w:after="0" w:line="240" w:lineRule="auto"/>
        <w:rPr>
          <w:rFonts w:ascii="Verdana" w:eastAsia="Calibri" w:hAnsi="Verdana" w:cs="Vrinda"/>
        </w:rPr>
      </w:pPr>
      <w:r w:rsidRPr="00881D8A">
        <w:rPr>
          <w:rFonts w:ascii="Verdana" w:eastAsia="Calibri" w:hAnsi="Verdana" w:cs="Vrinda"/>
        </w:rPr>
        <w:lastRenderedPageBreak/>
        <w:t>Bogotá D.C.,</w:t>
      </w:r>
      <w:r w:rsidR="00343947">
        <w:rPr>
          <w:rFonts w:ascii="Verdana" w:eastAsia="Calibri" w:hAnsi="Verdana" w:cs="Vrinda"/>
        </w:rPr>
        <w:t xml:space="preserve"> 30 Diciembre 2025 </w:t>
      </w:r>
    </w:p>
    <w:p w14:paraId="3DF959AC" w14:textId="77777777" w:rsidR="00343947" w:rsidRDefault="00343947" w:rsidP="00881D8A">
      <w:pPr>
        <w:spacing w:after="0" w:line="240" w:lineRule="auto"/>
        <w:rPr>
          <w:rFonts w:ascii="Verdana" w:eastAsia="Calibri" w:hAnsi="Verdana" w:cs="Vrinda"/>
        </w:rPr>
      </w:pPr>
    </w:p>
    <w:p w14:paraId="58C51530" w14:textId="41879E55" w:rsidR="00343947" w:rsidRPr="00881D8A" w:rsidRDefault="00343947" w:rsidP="00343947">
      <w:pPr>
        <w:spacing w:after="0" w:line="240" w:lineRule="auto"/>
        <w:jc w:val="right"/>
        <w:rPr>
          <w:rFonts w:ascii="Verdana" w:eastAsia="Calibri" w:hAnsi="Verdana" w:cs="Arial"/>
          <w:lang w:val="es-ES" w:eastAsia="es-ES"/>
        </w:rPr>
      </w:pPr>
      <w:r w:rsidRPr="00343947">
        <w:rPr>
          <w:rFonts w:ascii="Verdana" w:eastAsia="Calibri" w:hAnsi="Verdana" w:cs="Arial"/>
          <w:noProof/>
          <w:lang w:val="es-ES" w:eastAsia="es-ES"/>
        </w:rPr>
        <w:drawing>
          <wp:anchor distT="0" distB="0" distL="114300" distR="114300" simplePos="0" relativeHeight="251658240" behindDoc="0" locked="0" layoutInCell="1" allowOverlap="1" wp14:anchorId="0AD1FAB3" wp14:editId="20CBDF36">
            <wp:simplePos x="0" y="0"/>
            <wp:positionH relativeFrom="column">
              <wp:posOffset>2616835</wp:posOffset>
            </wp:positionH>
            <wp:positionV relativeFrom="paragraph">
              <wp:posOffset>12065</wp:posOffset>
            </wp:positionV>
            <wp:extent cx="3102610" cy="920115"/>
            <wp:effectExtent l="0" t="0" r="2540" b="0"/>
            <wp:wrapSquare wrapText="bothSides"/>
            <wp:docPr id="189092346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0923467"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102610" cy="920115"/>
                    </a:xfrm>
                    <a:prstGeom prst="rect">
                      <a:avLst/>
                    </a:prstGeom>
                  </pic:spPr>
                </pic:pic>
              </a:graphicData>
            </a:graphic>
            <wp14:sizeRelH relativeFrom="margin">
              <wp14:pctWidth>0</wp14:pctWidth>
            </wp14:sizeRelH>
            <wp14:sizeRelV relativeFrom="margin">
              <wp14:pctHeight>0</wp14:pctHeight>
            </wp14:sizeRelV>
          </wp:anchor>
        </w:drawing>
      </w:r>
    </w:p>
    <w:p w14:paraId="7987FACD" w14:textId="77777777" w:rsidR="00881D8A" w:rsidRPr="00881D8A" w:rsidRDefault="00881D8A" w:rsidP="00881D8A">
      <w:pPr>
        <w:spacing w:after="0" w:line="240" w:lineRule="auto"/>
        <w:rPr>
          <w:rFonts w:ascii="Verdana" w:eastAsia="Calibri" w:hAnsi="Verdana" w:cs="Vrinda"/>
        </w:rPr>
      </w:pPr>
    </w:p>
    <w:p w14:paraId="70AD89D0" w14:textId="77777777" w:rsidR="00881D8A" w:rsidRPr="00881D8A" w:rsidRDefault="00881D8A" w:rsidP="00881D8A">
      <w:pPr>
        <w:spacing w:after="0" w:line="240" w:lineRule="auto"/>
        <w:jc w:val="both"/>
        <w:rPr>
          <w:rFonts w:ascii="Verdana" w:eastAsia="Calibri" w:hAnsi="Verdana" w:cs="Arial"/>
          <w:lang w:eastAsia="es-ES"/>
        </w:rPr>
      </w:pPr>
      <w:bookmarkStart w:id="1" w:name="_Hlk117695077"/>
      <w:r w:rsidRPr="00881D8A">
        <w:rPr>
          <w:rFonts w:ascii="Verdana" w:eastAsia="Calibri" w:hAnsi="Verdana" w:cs="Arial"/>
          <w:lang w:eastAsia="es-ES"/>
        </w:rPr>
        <w:t>Señor</w:t>
      </w:r>
    </w:p>
    <w:p w14:paraId="4C8CD20B" w14:textId="77777777" w:rsidR="00881D8A" w:rsidRPr="00881D8A" w:rsidRDefault="00881D8A" w:rsidP="00881D8A">
      <w:pPr>
        <w:spacing w:after="0" w:line="240" w:lineRule="auto"/>
        <w:jc w:val="both"/>
        <w:rPr>
          <w:rFonts w:ascii="Verdana" w:eastAsia="Times New Roman" w:hAnsi="Verdana" w:cs="Arial"/>
          <w:b/>
          <w:bCs/>
          <w:lang w:eastAsia="es-CO"/>
        </w:rPr>
      </w:pPr>
      <w:r w:rsidRPr="00881D8A">
        <w:rPr>
          <w:rFonts w:ascii="Verdana" w:eastAsia="Times New Roman" w:hAnsi="Verdana" w:cs="Arial"/>
          <w:b/>
          <w:bCs/>
          <w:lang w:eastAsia="es-CO"/>
        </w:rPr>
        <w:t>Antonio Ochoa Cera</w:t>
      </w:r>
    </w:p>
    <w:p w14:paraId="5162D5F9" w14:textId="77777777" w:rsidR="00881D8A" w:rsidRPr="00881D8A" w:rsidRDefault="00881D8A" w:rsidP="00881D8A">
      <w:pPr>
        <w:spacing w:after="0" w:line="240" w:lineRule="auto"/>
        <w:jc w:val="both"/>
        <w:rPr>
          <w:rFonts w:ascii="Verdana" w:eastAsia="Calibri" w:hAnsi="Verdana" w:cs="Arial"/>
          <w:b/>
          <w:bCs/>
          <w:lang w:eastAsia="es-ES"/>
        </w:rPr>
      </w:pPr>
      <w:r w:rsidRPr="00881D8A">
        <w:rPr>
          <w:rFonts w:ascii="Verdana" w:eastAsia="Calibri" w:hAnsi="Verdana" w:cs="Arial"/>
        </w:rPr>
        <w:t>Plato, Magdalena</w:t>
      </w:r>
    </w:p>
    <w:p w14:paraId="57B79376" w14:textId="77777777" w:rsidR="00881D8A" w:rsidRPr="00881D8A" w:rsidRDefault="00881D8A" w:rsidP="00881D8A">
      <w:pPr>
        <w:spacing w:after="0" w:line="240" w:lineRule="auto"/>
        <w:jc w:val="both"/>
        <w:rPr>
          <w:rFonts w:ascii="Verdana" w:eastAsia="Calibri" w:hAnsi="Verdana" w:cs="Arial"/>
          <w:b/>
          <w:bCs/>
          <w:lang w:eastAsia="es-ES"/>
        </w:rPr>
      </w:pPr>
    </w:p>
    <w:p w14:paraId="38A1062F" w14:textId="77777777" w:rsidR="00881D8A" w:rsidRPr="00881D8A" w:rsidRDefault="00881D8A" w:rsidP="00881D8A">
      <w:pPr>
        <w:spacing w:after="0" w:line="240" w:lineRule="auto"/>
        <w:jc w:val="both"/>
        <w:rPr>
          <w:rFonts w:ascii="Verdana" w:eastAsia="Calibri" w:hAnsi="Verdana" w:cs="Arial"/>
          <w:b/>
          <w:bCs/>
          <w:lang w:eastAsia="es-ES"/>
        </w:rPr>
      </w:pPr>
    </w:p>
    <w:tbl>
      <w:tblPr>
        <w:tblStyle w:val="Tablaconcuadrcula"/>
        <w:tblW w:w="89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725"/>
        <w:gridCol w:w="6183"/>
      </w:tblGrid>
      <w:tr w:rsidR="00881D8A" w:rsidRPr="00881D8A" w14:paraId="29C6372B" w14:textId="77777777" w:rsidTr="00D43B08">
        <w:trPr>
          <w:trHeight w:val="910"/>
        </w:trPr>
        <w:tc>
          <w:tcPr>
            <w:tcW w:w="2725" w:type="dxa"/>
          </w:tcPr>
          <w:p w14:paraId="14771DA2" w14:textId="77777777" w:rsidR="00881D8A" w:rsidRPr="00881D8A" w:rsidRDefault="00881D8A" w:rsidP="00881D8A">
            <w:pPr>
              <w:jc w:val="both"/>
              <w:rPr>
                <w:rFonts w:ascii="Verdana" w:eastAsia="Calibri" w:hAnsi="Verdana" w:cs="Arial"/>
                <w:b/>
                <w:bCs/>
                <w:color w:val="7030A0"/>
                <w:lang w:eastAsia="es-ES_tradnl"/>
              </w:rPr>
            </w:pPr>
          </w:p>
        </w:tc>
        <w:tc>
          <w:tcPr>
            <w:tcW w:w="6183" w:type="dxa"/>
          </w:tcPr>
          <w:p w14:paraId="38B87A30" w14:textId="77777777" w:rsidR="00881D8A" w:rsidRPr="00881D8A" w:rsidRDefault="00881D8A" w:rsidP="00881D8A">
            <w:pPr>
              <w:jc w:val="both"/>
              <w:rPr>
                <w:rFonts w:ascii="Verdana" w:eastAsia="Calibri" w:hAnsi="Verdana" w:cs="Arial"/>
                <w:b/>
                <w:bCs/>
                <w:lang w:eastAsia="es-ES"/>
              </w:rPr>
            </w:pPr>
            <w:r w:rsidRPr="00881D8A">
              <w:rPr>
                <w:rFonts w:ascii="Verdana" w:eastAsia="Calibri" w:hAnsi="Verdana" w:cs="Arial"/>
                <w:b/>
                <w:bCs/>
                <w:lang w:eastAsia="es-ES"/>
              </w:rPr>
              <w:t>Concepto C-1795 de 2025</w:t>
            </w:r>
          </w:p>
          <w:p w14:paraId="047F4416" w14:textId="77777777" w:rsidR="00881D8A" w:rsidRDefault="00881D8A" w:rsidP="00881D8A">
            <w:pPr>
              <w:jc w:val="both"/>
              <w:rPr>
                <w:rFonts w:ascii="Verdana" w:eastAsia="Calibri" w:hAnsi="Verdana" w:cs="Arial"/>
                <w:b/>
                <w:bCs/>
                <w:lang w:eastAsia="es-ES"/>
              </w:rPr>
            </w:pPr>
          </w:p>
          <w:p w14:paraId="18344EF8" w14:textId="77777777" w:rsidR="0001145D" w:rsidRPr="00881D8A" w:rsidRDefault="0001145D" w:rsidP="00881D8A">
            <w:pPr>
              <w:jc w:val="both"/>
              <w:rPr>
                <w:rFonts w:ascii="Verdana" w:eastAsia="Calibri" w:hAnsi="Verdana" w:cs="Arial"/>
                <w:b/>
                <w:bCs/>
                <w:lang w:eastAsia="es-ES"/>
              </w:rPr>
            </w:pPr>
          </w:p>
        </w:tc>
      </w:tr>
      <w:tr w:rsidR="00881D8A" w:rsidRPr="00881D8A" w14:paraId="234C889B" w14:textId="77777777" w:rsidTr="00D43B08">
        <w:trPr>
          <w:trHeight w:val="910"/>
        </w:trPr>
        <w:tc>
          <w:tcPr>
            <w:tcW w:w="2725" w:type="dxa"/>
          </w:tcPr>
          <w:p w14:paraId="343F3381" w14:textId="77777777" w:rsidR="00881D8A" w:rsidRPr="00881D8A" w:rsidRDefault="00881D8A" w:rsidP="00881D8A">
            <w:pPr>
              <w:jc w:val="both"/>
              <w:rPr>
                <w:rFonts w:ascii="Verdana" w:eastAsia="Calibri" w:hAnsi="Verdana" w:cs="Arial"/>
                <w:color w:val="000000"/>
                <w:lang w:eastAsia="es-ES_tradnl"/>
              </w:rPr>
            </w:pPr>
            <w:r w:rsidRPr="00881D8A">
              <w:rPr>
                <w:rFonts w:ascii="Verdana" w:eastAsia="Calibri" w:hAnsi="Verdana" w:cs="Arial"/>
                <w:b/>
                <w:color w:val="000000"/>
                <w:lang w:eastAsia="es-ES_tradnl"/>
              </w:rPr>
              <w:t>Temas:</w:t>
            </w:r>
            <w:r w:rsidRPr="00881D8A">
              <w:rPr>
                <w:rFonts w:ascii="Verdana" w:eastAsia="Calibri" w:hAnsi="Verdana" w:cs="Arial"/>
                <w:color w:val="000000"/>
                <w:lang w:eastAsia="es-ES_tradnl"/>
              </w:rPr>
              <w:t xml:space="preserve">                   </w:t>
            </w:r>
          </w:p>
        </w:tc>
        <w:tc>
          <w:tcPr>
            <w:tcW w:w="6183" w:type="dxa"/>
          </w:tcPr>
          <w:p w14:paraId="77A7AF41" w14:textId="77777777" w:rsidR="00881D8A" w:rsidRPr="00881D8A" w:rsidRDefault="00881D8A" w:rsidP="00881D8A">
            <w:pPr>
              <w:jc w:val="both"/>
              <w:rPr>
                <w:rFonts w:ascii="Verdana" w:eastAsia="Calibri" w:hAnsi="Verdana" w:cs="Arial"/>
                <w:sz w:val="20"/>
                <w:szCs w:val="20"/>
                <w:lang w:eastAsia="es-ES"/>
              </w:rPr>
            </w:pPr>
            <w:r w:rsidRPr="00881D8A">
              <w:rPr>
                <w:rFonts w:ascii="Verdana" w:eastAsia="Calibri" w:hAnsi="Verdana" w:cs="Calibri"/>
                <w:lang w:val="es-ES"/>
              </w:rPr>
              <w:t xml:space="preserve">CAPACIDAD RESIDUAL – Definición / CAPACIDAD RESIDUAL – Acreditación - Pliego de condiciones / CAPACIDAD RESIDUAL – Causal de rechazo / CAPACIDAD RESIDUAL – Documentos tipo – Causales de rechazo de la oferta / DOCUMENTOS TIPO – Causales de rechazo de la oferta – Literal X – Capacidad residual / DOCUMENTOS TIPO – Causales de rechazo de la oferta – Literal X – </w:t>
            </w:r>
            <w:proofErr w:type="spellStart"/>
            <w:r w:rsidRPr="00881D8A">
              <w:rPr>
                <w:rFonts w:ascii="Verdana" w:eastAsia="Calibri" w:hAnsi="Verdana" w:cs="Calibri"/>
                <w:lang w:val="es-ES"/>
              </w:rPr>
              <w:t>Subsanabilidad</w:t>
            </w:r>
            <w:proofErr w:type="spellEnd"/>
          </w:p>
          <w:p w14:paraId="76FB572E" w14:textId="77777777" w:rsidR="00881D8A" w:rsidRPr="00881D8A" w:rsidRDefault="00881D8A" w:rsidP="00881D8A">
            <w:pPr>
              <w:jc w:val="both"/>
              <w:rPr>
                <w:rFonts w:ascii="Verdana" w:eastAsia="Calibri" w:hAnsi="Verdana" w:cs="Arial"/>
                <w:lang w:eastAsia="es-ES"/>
              </w:rPr>
            </w:pPr>
          </w:p>
        </w:tc>
      </w:tr>
      <w:tr w:rsidR="00881D8A" w:rsidRPr="00881D8A" w14:paraId="1D534C96" w14:textId="77777777" w:rsidTr="00D43B08">
        <w:trPr>
          <w:trHeight w:val="556"/>
        </w:trPr>
        <w:tc>
          <w:tcPr>
            <w:tcW w:w="2725" w:type="dxa"/>
          </w:tcPr>
          <w:p w14:paraId="4A2176C1" w14:textId="77777777" w:rsidR="00881D8A" w:rsidRPr="00881D8A" w:rsidRDefault="00881D8A" w:rsidP="00881D8A">
            <w:pPr>
              <w:jc w:val="both"/>
              <w:rPr>
                <w:rFonts w:ascii="Verdana" w:eastAsia="Calibri" w:hAnsi="Verdana" w:cs="Arial"/>
                <w:b/>
                <w:bCs/>
                <w:lang w:eastAsia="es-ES_tradnl"/>
              </w:rPr>
            </w:pPr>
            <w:r w:rsidRPr="00881D8A">
              <w:rPr>
                <w:rFonts w:ascii="Verdana" w:eastAsia="Calibri" w:hAnsi="Verdana" w:cs="Arial"/>
                <w:b/>
                <w:bCs/>
                <w:lang w:eastAsia="es-ES_tradnl"/>
              </w:rPr>
              <w:t xml:space="preserve">Radicación:               </w:t>
            </w:r>
          </w:p>
        </w:tc>
        <w:tc>
          <w:tcPr>
            <w:tcW w:w="6183" w:type="dxa"/>
          </w:tcPr>
          <w:p w14:paraId="00D598CB" w14:textId="77777777" w:rsidR="00881D8A" w:rsidRPr="00881D8A" w:rsidRDefault="00881D8A" w:rsidP="00881D8A">
            <w:pPr>
              <w:jc w:val="both"/>
              <w:rPr>
                <w:rFonts w:ascii="Verdana" w:eastAsia="Calibri" w:hAnsi="Verdana" w:cs="Arial"/>
                <w:lang w:eastAsia="es-ES_tradnl"/>
              </w:rPr>
            </w:pPr>
            <w:r w:rsidRPr="00881D8A">
              <w:rPr>
                <w:rFonts w:ascii="Verdana" w:eastAsia="Calibri" w:hAnsi="Verdana" w:cs="Arial"/>
                <w:lang w:eastAsia="es-ES_tradnl"/>
              </w:rPr>
              <w:t>Respuesta a consultas con radicados Nos. 1_2025_12_01_013503 y 1_2025_12_04_013686</w:t>
            </w:r>
          </w:p>
        </w:tc>
      </w:tr>
    </w:tbl>
    <w:p w14:paraId="1FADC9BF" w14:textId="77777777" w:rsidR="00881D8A" w:rsidRDefault="00881D8A" w:rsidP="00881D8A">
      <w:pPr>
        <w:spacing w:after="0" w:line="240" w:lineRule="auto"/>
        <w:jc w:val="both"/>
        <w:rPr>
          <w:rFonts w:ascii="Verdana" w:eastAsia="Calibri" w:hAnsi="Verdana" w:cs="Arial"/>
          <w:b/>
          <w:bCs/>
          <w:lang w:eastAsia="es-ES"/>
        </w:rPr>
      </w:pPr>
      <w:r w:rsidRPr="00881D8A">
        <w:rPr>
          <w:rFonts w:ascii="Verdana" w:eastAsia="Calibri" w:hAnsi="Verdana" w:cs="Arial"/>
          <w:b/>
          <w:bCs/>
          <w:lang w:eastAsia="es-ES"/>
        </w:rPr>
        <w:tab/>
      </w:r>
    </w:p>
    <w:p w14:paraId="6DBCC170" w14:textId="77777777" w:rsidR="0001145D" w:rsidRPr="00881D8A" w:rsidRDefault="0001145D" w:rsidP="00881D8A">
      <w:pPr>
        <w:spacing w:after="0" w:line="240" w:lineRule="auto"/>
        <w:jc w:val="both"/>
        <w:rPr>
          <w:rFonts w:ascii="Verdana" w:eastAsia="Calibri" w:hAnsi="Verdana" w:cs="Arial"/>
          <w:b/>
          <w:bCs/>
          <w:lang w:eastAsia="es-ES"/>
        </w:rPr>
      </w:pPr>
    </w:p>
    <w:p w14:paraId="69216CA7" w14:textId="77777777" w:rsidR="00881D8A" w:rsidRPr="00881D8A" w:rsidRDefault="00881D8A" w:rsidP="00881D8A">
      <w:pPr>
        <w:spacing w:after="0" w:line="276" w:lineRule="auto"/>
        <w:jc w:val="both"/>
        <w:rPr>
          <w:rFonts w:ascii="Verdana" w:eastAsia="Calibri" w:hAnsi="Verdana" w:cs="Vrinda"/>
          <w:lang w:val="es-ES" w:eastAsia="es-ES"/>
        </w:rPr>
      </w:pPr>
      <w:r w:rsidRPr="00881D8A">
        <w:rPr>
          <w:rFonts w:ascii="Verdana" w:eastAsia="Calibri" w:hAnsi="Verdana" w:cs="Vrinda"/>
          <w:lang w:val="es-ES" w:eastAsia="es-ES"/>
        </w:rPr>
        <w:t xml:space="preserve">Estimado Señor </w:t>
      </w:r>
      <w:r w:rsidRPr="00881D8A">
        <w:rPr>
          <w:rFonts w:ascii="Verdana" w:eastAsia="Times New Roman" w:hAnsi="Verdana" w:cs="Arial"/>
          <w:lang w:eastAsia="es-CO"/>
        </w:rPr>
        <w:t>Ochoa Cera</w:t>
      </w:r>
      <w:r w:rsidRPr="00881D8A">
        <w:rPr>
          <w:rFonts w:ascii="Verdana" w:eastAsia="Calibri" w:hAnsi="Verdana" w:cs="Vrinda"/>
          <w:lang w:val="es-ES" w:eastAsia="es-ES"/>
        </w:rPr>
        <w:t xml:space="preserve">: </w:t>
      </w:r>
    </w:p>
    <w:p w14:paraId="42523712" w14:textId="77777777" w:rsidR="00881D8A" w:rsidRPr="00881D8A" w:rsidRDefault="00881D8A" w:rsidP="00881D8A">
      <w:pPr>
        <w:spacing w:after="0" w:line="276" w:lineRule="auto"/>
        <w:jc w:val="both"/>
        <w:rPr>
          <w:rFonts w:ascii="Verdana" w:eastAsia="Calibri" w:hAnsi="Verdana" w:cs="Vrinda"/>
          <w:lang w:val="es-ES_tradnl" w:eastAsia="es-ES_tradnl"/>
        </w:rPr>
      </w:pPr>
    </w:p>
    <w:p w14:paraId="67177B03" w14:textId="77777777" w:rsidR="00881D8A" w:rsidRPr="00881D8A" w:rsidRDefault="00881D8A" w:rsidP="00881D8A">
      <w:pPr>
        <w:spacing w:after="0" w:line="276" w:lineRule="auto"/>
        <w:jc w:val="both"/>
        <w:rPr>
          <w:rFonts w:ascii="Verdana" w:eastAsia="Calibri" w:hAnsi="Verdana" w:cs="Vrinda"/>
          <w:lang w:val="es-ES" w:eastAsia="es-ES"/>
        </w:rPr>
      </w:pPr>
      <w:r w:rsidRPr="00881D8A">
        <w:rPr>
          <w:rFonts w:ascii="Verdana" w:eastAsia="Calibri" w:hAnsi="Verdana" w:cs="Vrinda"/>
          <w:lang w:val="es-ES" w:eastAsia="es-ES"/>
        </w:rPr>
        <w:t>En ejercicio de la competencia otorgada por los artículos 3, numeral 5º, y 11, numeral 8º, del Decreto Ley 4170 de 2011,</w:t>
      </w:r>
      <w:r w:rsidRPr="00881D8A">
        <w:rPr>
          <w:rFonts w:ascii="Verdana" w:eastAsia="Arial MT" w:hAnsi="Verdana" w:cs="Vrinda"/>
          <w:lang w:val="es-ES" w:eastAsia="es-ES"/>
        </w:rPr>
        <w:t xml:space="preserve"> </w:t>
      </w:r>
      <w:r w:rsidRPr="00881D8A">
        <w:rPr>
          <w:rFonts w:ascii="Verdana" w:eastAsia="Calibri" w:hAnsi="Verdana" w:cs="Vrinda"/>
        </w:rPr>
        <w:t xml:space="preserve">así como lo establecido en la Resolución 1707 de 2018 expedida por esta Entidad, </w:t>
      </w:r>
      <w:r w:rsidRPr="00881D8A">
        <w:rPr>
          <w:rFonts w:ascii="Verdana" w:eastAsia="Calibri" w:hAnsi="Verdana" w:cs="Vrinda"/>
          <w:lang w:val="es-ES" w:eastAsia="es-ES"/>
        </w:rPr>
        <w:t>la Agencia Nacional de Contratación Pública – Colombia Compra Eficiente– responde sus solicitudes del 1 y 4 de diciembre de 2025. En dichas peticiones usted manifiesta lo siguiente:</w:t>
      </w:r>
    </w:p>
    <w:p w14:paraId="0AD71B41" w14:textId="77777777" w:rsidR="00881D8A" w:rsidRPr="00881D8A" w:rsidRDefault="00881D8A" w:rsidP="00881D8A">
      <w:pPr>
        <w:spacing w:after="0" w:line="276" w:lineRule="auto"/>
        <w:jc w:val="both"/>
        <w:rPr>
          <w:rFonts w:ascii="Verdana" w:eastAsia="Calibri" w:hAnsi="Verdana" w:cs="Vrinda"/>
          <w:lang w:val="es-ES" w:eastAsia="es-ES"/>
        </w:rPr>
      </w:pPr>
    </w:p>
    <w:p w14:paraId="793D3512" w14:textId="77777777" w:rsidR="00881D8A" w:rsidRPr="00881D8A" w:rsidRDefault="00881D8A" w:rsidP="00881D8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Helvetica"/>
          <w:color w:val="000000"/>
          <w:sz w:val="21"/>
          <w:szCs w:val="21"/>
          <w14:ligatures w14:val="standardContextual"/>
        </w:rPr>
      </w:pPr>
      <w:r w:rsidRPr="00881D8A">
        <w:rPr>
          <w:rFonts w:ascii="Verdana" w:eastAsia="Aptos" w:hAnsi="Verdana" w:cs="Helvetica"/>
          <w:color w:val="000000"/>
          <w:sz w:val="21"/>
          <w:szCs w:val="21"/>
          <w:lang w:val="es-MX"/>
          <w14:ligatures w14:val="standardContextual"/>
        </w:rPr>
        <w:t>“</w:t>
      </w:r>
      <w:r w:rsidRPr="00881D8A">
        <w:rPr>
          <w:rFonts w:ascii="Verdana" w:eastAsia="Aptos" w:hAnsi="Verdana" w:cs="Helvetica"/>
          <w:color w:val="000000"/>
          <w:sz w:val="21"/>
          <w:szCs w:val="21"/>
          <w14:ligatures w14:val="standardContextual"/>
        </w:rPr>
        <w:t xml:space="preserve">Solicito respetuosamente que Colombia Compra Eficiente emita un concepto técnico-jurídico unificado que resuelva la contradicción existente entre: </w:t>
      </w:r>
    </w:p>
    <w:p w14:paraId="3C29F70A" w14:textId="77777777" w:rsidR="00881D8A" w:rsidRPr="00881D8A" w:rsidRDefault="00881D8A" w:rsidP="00881D8A">
      <w:pPr>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1069" w:right="709"/>
        <w:contextualSpacing/>
        <w:jc w:val="both"/>
        <w:rPr>
          <w:rFonts w:ascii="Verdana" w:eastAsia="Aptos" w:hAnsi="Verdana" w:cs="Helvetica"/>
          <w:color w:val="000000"/>
          <w:sz w:val="21"/>
          <w:szCs w:val="21"/>
          <w14:ligatures w14:val="standardContextual"/>
        </w:rPr>
      </w:pPr>
      <w:r w:rsidRPr="00881D8A">
        <w:rPr>
          <w:rFonts w:ascii="Verdana" w:eastAsia="Aptos" w:hAnsi="Verdana" w:cs="Helvetica"/>
          <w:color w:val="000000"/>
          <w:sz w:val="21"/>
          <w:szCs w:val="21"/>
          <w14:ligatures w14:val="standardContextual"/>
        </w:rPr>
        <w:t xml:space="preserve">El Concepto 280 de 2023, </w:t>
      </w:r>
    </w:p>
    <w:p w14:paraId="30F70C15" w14:textId="77777777" w:rsidR="00881D8A" w:rsidRPr="00881D8A" w:rsidRDefault="00881D8A" w:rsidP="00881D8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Helvetica"/>
          <w:color w:val="000000"/>
          <w:sz w:val="21"/>
          <w:szCs w:val="21"/>
          <w14:ligatures w14:val="standardContextual"/>
        </w:rPr>
      </w:pPr>
      <w:r w:rsidRPr="00881D8A">
        <w:rPr>
          <w:rFonts w:ascii="Verdana" w:eastAsia="Aptos" w:hAnsi="Verdana" w:cs="Helvetica"/>
          <w:color w:val="000000"/>
          <w:sz w:val="21"/>
          <w:szCs w:val="21"/>
          <w14:ligatures w14:val="standardContextual"/>
        </w:rPr>
        <w:t xml:space="preserve">que interpreta la causal de rechazo Z como una situación NO subsanable, incluso cuando la omisión corresponde al Formato 5C – Capacidad Residual, el cual no otorga puntaje. </w:t>
      </w:r>
    </w:p>
    <w:p w14:paraId="1097461E" w14:textId="77777777" w:rsidR="00881D8A" w:rsidRPr="00881D8A" w:rsidRDefault="00881D8A" w:rsidP="00881D8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Helvetica"/>
          <w:color w:val="000000"/>
          <w:sz w:val="21"/>
          <w:szCs w:val="21"/>
          <w14:ligatures w14:val="standardContextual"/>
        </w:rPr>
      </w:pPr>
      <w:r w:rsidRPr="00881D8A">
        <w:rPr>
          <w:rFonts w:ascii="Verdana" w:eastAsia="Aptos" w:hAnsi="Verdana" w:cs="Helvetica"/>
          <w:color w:val="000000"/>
          <w:sz w:val="21"/>
          <w:szCs w:val="21"/>
          <w14:ligatures w14:val="standardContextual"/>
        </w:rPr>
        <w:lastRenderedPageBreak/>
        <w:t xml:space="preserve">El marco legal superior vigente, especialmente: </w:t>
      </w:r>
    </w:p>
    <w:p w14:paraId="1669A120" w14:textId="77777777" w:rsidR="00881D8A" w:rsidRPr="00881D8A" w:rsidRDefault="00881D8A" w:rsidP="00881D8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Helvetica"/>
          <w:color w:val="000000"/>
          <w:sz w:val="21"/>
          <w:szCs w:val="21"/>
          <w14:ligatures w14:val="standardContextual"/>
        </w:rPr>
      </w:pPr>
      <w:r w:rsidRPr="00881D8A">
        <w:rPr>
          <w:rFonts w:ascii="Verdana" w:eastAsia="Aptos" w:hAnsi="Verdana" w:cs="Helvetica"/>
          <w:color w:val="000000"/>
          <w:sz w:val="21"/>
          <w:szCs w:val="21"/>
          <w14:ligatures w14:val="standardContextual"/>
        </w:rPr>
        <w:t xml:space="preserve">• Artículo 5, parágrafo 1 de la Ley 1150 de 2007 </w:t>
      </w:r>
    </w:p>
    <w:p w14:paraId="6D571340" w14:textId="77777777" w:rsidR="00881D8A" w:rsidRPr="00881D8A" w:rsidRDefault="00881D8A" w:rsidP="00881D8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Helvetica"/>
          <w:color w:val="000000"/>
          <w:sz w:val="21"/>
          <w:szCs w:val="21"/>
          <w14:ligatures w14:val="standardContextual"/>
        </w:rPr>
      </w:pPr>
      <w:r w:rsidRPr="00881D8A">
        <w:rPr>
          <w:rFonts w:ascii="Verdana" w:eastAsia="Aptos" w:hAnsi="Verdana" w:cs="Helvetica"/>
          <w:color w:val="000000"/>
          <w:sz w:val="21"/>
          <w:szCs w:val="21"/>
          <w14:ligatures w14:val="standardContextual"/>
        </w:rPr>
        <w:t xml:space="preserve">• Artículo 5 de la Ley 1882 de 2018 </w:t>
      </w:r>
    </w:p>
    <w:p w14:paraId="408A7B28" w14:textId="77777777" w:rsidR="00881D8A" w:rsidRPr="00881D8A" w:rsidRDefault="00881D8A" w:rsidP="00881D8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Helvetica"/>
          <w:color w:val="000000"/>
          <w:sz w:val="21"/>
          <w:szCs w:val="21"/>
          <w14:ligatures w14:val="standardContextual"/>
        </w:rPr>
      </w:pPr>
      <w:r w:rsidRPr="00881D8A">
        <w:rPr>
          <w:rFonts w:ascii="Verdana" w:eastAsia="Aptos" w:hAnsi="Verdana" w:cs="Helvetica"/>
          <w:color w:val="000000"/>
          <w:sz w:val="21"/>
          <w:szCs w:val="21"/>
          <w14:ligatures w14:val="standardContextual"/>
        </w:rPr>
        <w:t>• Decreto 1082 de 2015 Los cuales ordenan expresamente que: “Todos los requisitos de la propuesta que NO afecten la asignación de puntaje deben ser solicitados y subsanados por las entidades estatales.”</w:t>
      </w:r>
    </w:p>
    <w:p w14:paraId="1BA37F95" w14:textId="77777777" w:rsidR="00881D8A" w:rsidRPr="00881D8A" w:rsidRDefault="00881D8A" w:rsidP="00881D8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Helvetica"/>
          <w:color w:val="000000"/>
          <w:sz w:val="21"/>
          <w:szCs w:val="21"/>
          <w14:ligatures w14:val="standardContextual"/>
        </w:rPr>
      </w:pPr>
      <w:r w:rsidRPr="00881D8A">
        <w:rPr>
          <w:rFonts w:ascii="Verdana" w:eastAsia="Aptos" w:hAnsi="Verdana" w:cs="Helvetica"/>
          <w:color w:val="000000"/>
          <w:sz w:val="21"/>
          <w:szCs w:val="21"/>
          <w14:ligatures w14:val="standardContextual"/>
        </w:rPr>
        <w:t xml:space="preserve">PROBLEMA JURÍDICO A SOLUCIONAR </w:t>
      </w:r>
    </w:p>
    <w:p w14:paraId="6A6226A2" w14:textId="77777777" w:rsidR="00881D8A" w:rsidRPr="00881D8A" w:rsidRDefault="00881D8A" w:rsidP="00881D8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Helvetica"/>
          <w:color w:val="000000"/>
          <w:sz w:val="21"/>
          <w:szCs w:val="21"/>
          <w14:ligatures w14:val="standardContextual"/>
        </w:rPr>
      </w:pPr>
      <w:r w:rsidRPr="00881D8A">
        <w:rPr>
          <w:rFonts w:ascii="Verdana" w:eastAsia="Aptos" w:hAnsi="Verdana" w:cs="Helvetica"/>
          <w:color w:val="000000"/>
          <w:sz w:val="21"/>
          <w:szCs w:val="21"/>
          <w14:ligatures w14:val="standardContextual"/>
        </w:rPr>
        <w:t xml:space="preserve">Existe una contradicción directa: </w:t>
      </w:r>
    </w:p>
    <w:p w14:paraId="5270F4D5" w14:textId="77777777" w:rsidR="00881D8A" w:rsidRPr="00881D8A" w:rsidRDefault="00881D8A" w:rsidP="00881D8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Helvetica"/>
          <w:color w:val="000000"/>
          <w:sz w:val="21"/>
          <w:szCs w:val="21"/>
          <w14:ligatures w14:val="standardContextual"/>
        </w:rPr>
      </w:pPr>
      <w:r w:rsidRPr="00881D8A">
        <w:rPr>
          <w:rFonts w:ascii="Segoe UI Symbol" w:eastAsia="Aptos" w:hAnsi="Segoe UI Symbol" w:cs="Segoe UI Symbol"/>
          <w:color w:val="000000"/>
          <w:sz w:val="21"/>
          <w:szCs w:val="21"/>
          <w14:ligatures w14:val="standardContextual"/>
        </w:rPr>
        <w:t>✔</w:t>
      </w:r>
      <w:r w:rsidRPr="00881D8A">
        <w:rPr>
          <w:rFonts w:ascii="Verdana" w:eastAsia="Aptos" w:hAnsi="Verdana" w:cs="Helvetica"/>
          <w:color w:val="000000"/>
          <w:sz w:val="21"/>
          <w:szCs w:val="21"/>
          <w14:ligatures w14:val="standardContextual"/>
        </w:rPr>
        <w:t xml:space="preserve"> La LEY establece que todo requisito que no otorgue puntaje (como el Formato 5C) es subsanable. </w:t>
      </w:r>
    </w:p>
    <w:p w14:paraId="526D835E" w14:textId="77777777" w:rsidR="00881D8A" w:rsidRPr="00881D8A" w:rsidRDefault="00881D8A" w:rsidP="00881D8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Helvetica"/>
          <w:color w:val="000000"/>
          <w:sz w:val="21"/>
          <w:szCs w:val="21"/>
          <w14:ligatures w14:val="standardContextual"/>
        </w:rPr>
      </w:pPr>
      <w:r w:rsidRPr="00881D8A">
        <w:rPr>
          <w:rFonts w:ascii="Segoe UI Symbol" w:eastAsia="Aptos" w:hAnsi="Segoe UI Symbol" w:cs="Segoe UI Symbol"/>
          <w:color w:val="000000"/>
          <w:sz w:val="21"/>
          <w:szCs w:val="21"/>
          <w14:ligatures w14:val="standardContextual"/>
        </w:rPr>
        <w:t>✔</w:t>
      </w:r>
      <w:r w:rsidRPr="00881D8A">
        <w:rPr>
          <w:rFonts w:ascii="Verdana" w:eastAsia="Aptos" w:hAnsi="Verdana" w:cs="Helvetica"/>
          <w:color w:val="000000"/>
          <w:sz w:val="21"/>
          <w:szCs w:val="21"/>
          <w14:ligatures w14:val="standardContextual"/>
        </w:rPr>
        <w:t xml:space="preserve"> Pero el Concepto 280 interpreta que la causal Z impide la subsanación aun si el requisito NO otorga puntaje. </w:t>
      </w:r>
    </w:p>
    <w:p w14:paraId="4E558DE1" w14:textId="77777777" w:rsidR="00881D8A" w:rsidRPr="00881D8A" w:rsidRDefault="00881D8A" w:rsidP="00881D8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Helvetica"/>
          <w:color w:val="000000"/>
          <w:sz w:val="21"/>
          <w:szCs w:val="21"/>
          <w14:ligatures w14:val="standardContextual"/>
        </w:rPr>
      </w:pPr>
      <w:r w:rsidRPr="00881D8A">
        <w:rPr>
          <w:rFonts w:ascii="Verdana" w:eastAsia="Aptos" w:hAnsi="Verdana" w:cs="Helvetica"/>
          <w:color w:val="000000"/>
          <w:sz w:val="21"/>
          <w:szCs w:val="21"/>
          <w14:ligatures w14:val="standardContextual"/>
        </w:rPr>
        <w:t xml:space="preserve">Esto deja a los Documentos Tipo en un conflicto interno: </w:t>
      </w:r>
    </w:p>
    <w:p w14:paraId="4330DDAF" w14:textId="77777777" w:rsidR="00881D8A" w:rsidRPr="00881D8A" w:rsidRDefault="00881D8A" w:rsidP="00881D8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Helvetica"/>
          <w:color w:val="000000"/>
          <w:sz w:val="21"/>
          <w:szCs w:val="21"/>
          <w14:ligatures w14:val="standardContextual"/>
        </w:rPr>
      </w:pPr>
      <w:r w:rsidRPr="00881D8A">
        <w:rPr>
          <w:rFonts w:ascii="Verdana" w:eastAsia="Aptos" w:hAnsi="Verdana" w:cs="Helvetica"/>
          <w:color w:val="000000"/>
          <w:sz w:val="21"/>
          <w:szCs w:val="21"/>
          <w14:ligatures w14:val="standardContextual"/>
        </w:rPr>
        <w:t>La causal Z, tal como está redactada, desconoce una obligación legal: permitir subsanar requisitos no puntuables.</w:t>
      </w:r>
    </w:p>
    <w:p w14:paraId="44B56076" w14:textId="77777777" w:rsidR="00881D8A" w:rsidRPr="00881D8A" w:rsidRDefault="00881D8A" w:rsidP="00881D8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Helvetica"/>
          <w:color w:val="000000"/>
          <w:sz w:val="21"/>
          <w:szCs w:val="21"/>
          <w14:ligatures w14:val="standardContextual"/>
        </w:rPr>
      </w:pPr>
      <w:r w:rsidRPr="00881D8A">
        <w:rPr>
          <w:rFonts w:ascii="Verdana" w:eastAsia="Aptos" w:hAnsi="Verdana" w:cs="Helvetica"/>
          <w:color w:val="000000"/>
          <w:sz w:val="21"/>
          <w:szCs w:val="21"/>
          <w14:ligatures w14:val="standardContextual"/>
        </w:rPr>
        <w:t xml:space="preserve">SOLICITUD CONCRETA </w:t>
      </w:r>
    </w:p>
    <w:p w14:paraId="7D425931" w14:textId="77777777" w:rsidR="00881D8A" w:rsidRPr="00881D8A" w:rsidRDefault="00881D8A" w:rsidP="00881D8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Helvetica"/>
          <w:color w:val="000000"/>
          <w:sz w:val="21"/>
          <w:szCs w:val="21"/>
          <w14:ligatures w14:val="standardContextual"/>
        </w:rPr>
      </w:pPr>
      <w:r w:rsidRPr="00881D8A">
        <w:rPr>
          <w:rFonts w:ascii="Verdana" w:eastAsia="Aptos" w:hAnsi="Verdana" w:cs="Helvetica"/>
          <w:color w:val="000000"/>
          <w:sz w:val="21"/>
          <w:szCs w:val="21"/>
          <w14:ligatures w14:val="standardContextual"/>
        </w:rPr>
        <w:t xml:space="preserve">Solicito respetuosamente que CCE: </w:t>
      </w:r>
    </w:p>
    <w:p w14:paraId="7564B431" w14:textId="77777777" w:rsidR="00881D8A" w:rsidRPr="00881D8A" w:rsidRDefault="00881D8A" w:rsidP="00881D8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Helvetica"/>
          <w:color w:val="000000"/>
          <w:sz w:val="21"/>
          <w:szCs w:val="21"/>
          <w14:ligatures w14:val="standardContextual"/>
        </w:rPr>
      </w:pPr>
      <w:r w:rsidRPr="00881D8A">
        <w:rPr>
          <w:rFonts w:ascii="Segoe UI Symbol" w:eastAsia="Aptos" w:hAnsi="Segoe UI Symbol" w:cs="Segoe UI Symbol"/>
          <w:color w:val="000000"/>
          <w:sz w:val="21"/>
          <w:szCs w:val="21"/>
          <w14:ligatures w14:val="standardContextual"/>
        </w:rPr>
        <w:t>✔</w:t>
      </w:r>
      <w:r w:rsidRPr="00881D8A">
        <w:rPr>
          <w:rFonts w:ascii="Verdana" w:eastAsia="Aptos" w:hAnsi="Verdana" w:cs="Helvetica"/>
          <w:color w:val="000000"/>
          <w:sz w:val="21"/>
          <w:szCs w:val="21"/>
          <w14:ligatures w14:val="standardContextual"/>
        </w:rPr>
        <w:t xml:space="preserve"> Emita un concepto aclaratorio donde precise que, conforme a la Ley 1150 y 1882, el Formato 5C SÍ es subsanable, por ser un requisito que NO otorga puntaje. </w:t>
      </w:r>
    </w:p>
    <w:p w14:paraId="3361C4B2" w14:textId="77777777" w:rsidR="00881D8A" w:rsidRPr="00881D8A" w:rsidRDefault="00881D8A" w:rsidP="00881D8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Helvetica"/>
          <w:color w:val="000000"/>
          <w:sz w:val="21"/>
          <w:szCs w:val="21"/>
          <w14:ligatures w14:val="standardContextual"/>
        </w:rPr>
      </w:pPr>
      <w:r w:rsidRPr="00881D8A">
        <w:rPr>
          <w:rFonts w:ascii="Segoe UI Symbol" w:eastAsia="Aptos" w:hAnsi="Segoe UI Symbol" w:cs="Segoe UI Symbol"/>
          <w:color w:val="000000"/>
          <w:sz w:val="21"/>
          <w:szCs w:val="21"/>
          <w14:ligatures w14:val="standardContextual"/>
        </w:rPr>
        <w:t>✔</w:t>
      </w:r>
      <w:r w:rsidRPr="00881D8A">
        <w:rPr>
          <w:rFonts w:ascii="Verdana" w:eastAsia="Aptos" w:hAnsi="Verdana" w:cs="Helvetica"/>
          <w:color w:val="000000"/>
          <w:sz w:val="21"/>
          <w:szCs w:val="21"/>
          <w14:ligatures w14:val="standardContextual"/>
        </w:rPr>
        <w:t xml:space="preserve"> Adopte una interpretación armónica que respete la jerarquía normativa y prevalencia de la ley sobre el Documento Tipo. </w:t>
      </w:r>
    </w:p>
    <w:p w14:paraId="48C3B51C" w14:textId="77777777" w:rsidR="00881D8A" w:rsidRPr="00881D8A" w:rsidRDefault="00881D8A" w:rsidP="00881D8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Helvetica"/>
          <w:color w:val="000000"/>
          <w:sz w:val="21"/>
          <w:szCs w:val="21"/>
          <w14:ligatures w14:val="standardContextual"/>
        </w:rPr>
      </w:pPr>
      <w:r w:rsidRPr="00881D8A">
        <w:rPr>
          <w:rFonts w:ascii="Segoe UI Symbol" w:eastAsia="Aptos" w:hAnsi="Segoe UI Symbol" w:cs="Segoe UI Symbol"/>
          <w:color w:val="000000"/>
          <w:sz w:val="21"/>
          <w:szCs w:val="21"/>
          <w14:ligatures w14:val="standardContextual"/>
        </w:rPr>
        <w:t>✔</w:t>
      </w:r>
      <w:r w:rsidRPr="00881D8A">
        <w:rPr>
          <w:rFonts w:ascii="Verdana" w:eastAsia="Aptos" w:hAnsi="Verdana" w:cs="Helvetica"/>
          <w:color w:val="000000"/>
          <w:sz w:val="21"/>
          <w:szCs w:val="21"/>
          <w14:ligatures w14:val="standardContextual"/>
        </w:rPr>
        <w:t xml:space="preserve"> Aclare cómo debe proceder la entidad cuando una causal de rechazo de un Documento Tipo contradice una norma legal superior. </w:t>
      </w:r>
    </w:p>
    <w:p w14:paraId="1707C1D9" w14:textId="77777777" w:rsidR="00881D8A" w:rsidRPr="00881D8A" w:rsidRDefault="00881D8A" w:rsidP="00881D8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Helvetica"/>
          <w:color w:val="000000"/>
          <w:sz w:val="21"/>
          <w:szCs w:val="21"/>
          <w14:ligatures w14:val="standardContextual"/>
        </w:rPr>
      </w:pPr>
      <w:r w:rsidRPr="00881D8A">
        <w:rPr>
          <w:rFonts w:ascii="Verdana" w:eastAsia="Aptos" w:hAnsi="Verdana" w:cs="Helvetica"/>
          <w:color w:val="000000"/>
          <w:sz w:val="21"/>
          <w:szCs w:val="21"/>
          <w14:ligatures w14:val="standardContextual"/>
        </w:rPr>
        <w:t xml:space="preserve">RAZÓN DE LA SOLICITUD </w:t>
      </w:r>
    </w:p>
    <w:p w14:paraId="1FA47109" w14:textId="77777777" w:rsidR="00881D8A" w:rsidRPr="00881D8A" w:rsidRDefault="00881D8A" w:rsidP="00881D8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Helvetica"/>
          <w:color w:val="000000"/>
          <w:sz w:val="21"/>
          <w:szCs w:val="21"/>
          <w14:ligatures w14:val="standardContextual"/>
        </w:rPr>
      </w:pPr>
      <w:r w:rsidRPr="00881D8A">
        <w:rPr>
          <w:rFonts w:ascii="Verdana" w:eastAsia="Aptos" w:hAnsi="Verdana" w:cs="Helvetica"/>
          <w:color w:val="000000"/>
          <w:sz w:val="21"/>
          <w:szCs w:val="21"/>
          <w14:ligatures w14:val="standardContextual"/>
        </w:rPr>
        <w:t xml:space="preserve">La redacción actual de la causal Z deriva el rechazo automático de ofertas por un requisito que: </w:t>
      </w:r>
    </w:p>
    <w:p w14:paraId="02911986" w14:textId="77777777" w:rsidR="00881D8A" w:rsidRPr="00881D8A" w:rsidRDefault="00881D8A" w:rsidP="00881D8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contextualSpacing/>
        <w:jc w:val="both"/>
        <w:rPr>
          <w:rFonts w:ascii="Verdana" w:eastAsia="Aptos" w:hAnsi="Verdana" w:cs="Helvetica"/>
          <w:color w:val="000000"/>
          <w:sz w:val="21"/>
          <w:szCs w:val="21"/>
          <w14:ligatures w14:val="standardContextual"/>
        </w:rPr>
      </w:pPr>
      <w:r w:rsidRPr="00881D8A">
        <w:rPr>
          <w:rFonts w:ascii="Verdana" w:eastAsia="Aptos" w:hAnsi="Verdana" w:cs="Helvetica"/>
          <w:color w:val="000000"/>
          <w:sz w:val="21"/>
          <w:szCs w:val="21"/>
          <w14:ligatures w14:val="standardContextual"/>
        </w:rPr>
        <w:t xml:space="preserve">• no otorga puntaje, </w:t>
      </w:r>
    </w:p>
    <w:p w14:paraId="138CE673" w14:textId="77777777" w:rsidR="00881D8A" w:rsidRPr="00881D8A" w:rsidRDefault="00881D8A" w:rsidP="00881D8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contextualSpacing/>
        <w:jc w:val="both"/>
        <w:rPr>
          <w:rFonts w:ascii="Verdana" w:eastAsia="Aptos" w:hAnsi="Verdana" w:cs="Helvetica"/>
          <w:color w:val="000000"/>
          <w:sz w:val="21"/>
          <w:szCs w:val="21"/>
          <w14:ligatures w14:val="standardContextual"/>
        </w:rPr>
      </w:pPr>
      <w:r w:rsidRPr="00881D8A">
        <w:rPr>
          <w:rFonts w:ascii="Verdana" w:eastAsia="Aptos" w:hAnsi="Verdana" w:cs="Helvetica"/>
          <w:color w:val="000000"/>
          <w:sz w:val="21"/>
          <w:szCs w:val="21"/>
          <w14:ligatures w14:val="standardContextual"/>
        </w:rPr>
        <w:t>• no genera ventaja competitiva,</w:t>
      </w:r>
    </w:p>
    <w:p w14:paraId="1F71892C" w14:textId="77777777" w:rsidR="00881D8A" w:rsidRPr="00881D8A" w:rsidRDefault="00881D8A" w:rsidP="00881D8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contextualSpacing/>
        <w:jc w:val="both"/>
        <w:rPr>
          <w:rFonts w:ascii="Verdana" w:eastAsia="Aptos" w:hAnsi="Verdana" w:cs="Helvetica"/>
          <w:color w:val="000000"/>
          <w:sz w:val="21"/>
          <w:szCs w:val="21"/>
          <w14:ligatures w14:val="standardContextual"/>
        </w:rPr>
      </w:pPr>
      <w:r w:rsidRPr="00881D8A">
        <w:rPr>
          <w:rFonts w:ascii="Verdana" w:eastAsia="Aptos" w:hAnsi="Verdana" w:cs="Helvetica"/>
          <w:color w:val="000000"/>
          <w:sz w:val="21"/>
          <w:szCs w:val="21"/>
          <w14:ligatures w14:val="standardContextual"/>
        </w:rPr>
        <w:t>• y solo contiene información declarativa. Esto desconoce la ley, afecta la libre concurrencia y presiona a las entidades a interpretar la norma de forma incompatible con el principio de selección objetiva”.</w:t>
      </w:r>
    </w:p>
    <w:p w14:paraId="61A81AB9" w14:textId="77777777" w:rsidR="00881D8A" w:rsidRPr="00881D8A" w:rsidRDefault="00881D8A" w:rsidP="00881D8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709" w:right="709"/>
        <w:contextualSpacing/>
        <w:jc w:val="both"/>
        <w:rPr>
          <w:rFonts w:ascii="Verdana" w:eastAsia="Aptos" w:hAnsi="Verdana" w:cs="Helvetica"/>
          <w:color w:val="000000"/>
          <w:sz w:val="21"/>
          <w:szCs w:val="21"/>
          <w14:ligatures w14:val="standardContextual"/>
        </w:rPr>
      </w:pPr>
    </w:p>
    <w:p w14:paraId="09161ED3" w14:textId="77777777" w:rsidR="00881D8A" w:rsidRPr="00881D8A" w:rsidRDefault="00881D8A" w:rsidP="00881D8A">
      <w:pPr>
        <w:spacing w:after="120" w:line="276" w:lineRule="auto"/>
        <w:ind w:firstLine="709"/>
        <w:jc w:val="both"/>
        <w:rPr>
          <w:rFonts w:ascii="Verdana" w:eastAsia="Calibri" w:hAnsi="Verdana" w:cs="Arial"/>
          <w:color w:val="000000"/>
          <w:lang w:eastAsia="es-ES"/>
        </w:rPr>
      </w:pPr>
      <w:r w:rsidRPr="00881D8A">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w:t>
      </w:r>
      <w:r w:rsidRPr="00881D8A">
        <w:rPr>
          <w:rFonts w:ascii="Verdana" w:eastAsia="Calibri" w:hAnsi="Verdana" w:cs="Arial"/>
          <w:color w:val="000000"/>
          <w:lang w:eastAsia="es-ES"/>
        </w:rPr>
        <w:lastRenderedPageBreak/>
        <w:t xml:space="preserve">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881D8A">
        <w:rPr>
          <w:rFonts w:ascii="Verdana" w:eastAsia="Calibri" w:hAnsi="Verdana" w:cs="Arial"/>
          <w:color w:val="000000"/>
          <w:lang w:eastAsia="es-ES"/>
        </w:rPr>
        <w:tab/>
      </w:r>
    </w:p>
    <w:p w14:paraId="30A9428B" w14:textId="77777777" w:rsidR="00881D8A" w:rsidRPr="00881D8A" w:rsidRDefault="00881D8A" w:rsidP="00881D8A">
      <w:pPr>
        <w:spacing w:after="0" w:line="276" w:lineRule="auto"/>
        <w:ind w:firstLine="709"/>
        <w:jc w:val="both"/>
        <w:rPr>
          <w:rFonts w:ascii="Verdana" w:eastAsia="Calibri" w:hAnsi="Verdana" w:cs="Arial"/>
          <w:color w:val="000000"/>
          <w:lang w:eastAsia="es-ES"/>
        </w:rPr>
      </w:pPr>
      <w:r w:rsidRPr="00881D8A">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686AA9AF" w14:textId="77777777" w:rsidR="00881D8A" w:rsidRPr="00881D8A" w:rsidRDefault="00881D8A" w:rsidP="00881D8A">
      <w:pPr>
        <w:spacing w:after="0" w:line="276" w:lineRule="auto"/>
        <w:jc w:val="both"/>
        <w:rPr>
          <w:rFonts w:ascii="Verdana" w:eastAsia="Calibri" w:hAnsi="Verdana" w:cs="Arial"/>
          <w:color w:val="000000"/>
          <w:lang w:eastAsia="es-ES"/>
        </w:rPr>
      </w:pPr>
    </w:p>
    <w:p w14:paraId="5EFC7A96" w14:textId="77777777" w:rsidR="00881D8A" w:rsidRPr="00881D8A" w:rsidRDefault="00881D8A" w:rsidP="00881D8A">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881D8A">
        <w:rPr>
          <w:rFonts w:ascii="Verdana" w:eastAsia="Century Gothic" w:hAnsi="Verdana" w:cs="Century Gothic"/>
          <w:b/>
          <w:bCs/>
        </w:rPr>
        <w:t>Problema planteado:</w:t>
      </w:r>
    </w:p>
    <w:p w14:paraId="16F7A86F" w14:textId="77777777" w:rsidR="00881D8A" w:rsidRPr="00881D8A" w:rsidRDefault="00881D8A" w:rsidP="00881D8A">
      <w:pPr>
        <w:tabs>
          <w:tab w:val="left" w:pos="142"/>
          <w:tab w:val="left" w:pos="284"/>
        </w:tabs>
        <w:spacing w:after="0" w:line="276" w:lineRule="auto"/>
        <w:jc w:val="both"/>
        <w:rPr>
          <w:rFonts w:ascii="Verdana" w:eastAsia="Century Gothic" w:hAnsi="Verdana" w:cs="Century Gothic"/>
          <w:b/>
          <w:bCs/>
        </w:rPr>
      </w:pPr>
    </w:p>
    <w:p w14:paraId="360558EE" w14:textId="77777777" w:rsidR="00881D8A" w:rsidRPr="00881D8A" w:rsidRDefault="00881D8A" w:rsidP="00881D8A">
      <w:pPr>
        <w:tabs>
          <w:tab w:val="left" w:pos="142"/>
          <w:tab w:val="left" w:pos="284"/>
        </w:tabs>
        <w:spacing w:after="0" w:line="276" w:lineRule="auto"/>
        <w:jc w:val="both"/>
        <w:rPr>
          <w:rFonts w:ascii="Verdana" w:eastAsia="Aptos" w:hAnsi="Verdana" w:cs="Arial"/>
          <w:color w:val="000000"/>
          <w:lang w:val="es-ES_tradnl"/>
        </w:rPr>
      </w:pPr>
      <w:r w:rsidRPr="00881D8A">
        <w:rPr>
          <w:rFonts w:ascii="Verdana" w:eastAsia="Century Gothic" w:hAnsi="Verdana" w:cs="Century Gothic"/>
        </w:rPr>
        <w:t xml:space="preserve">De acuerdo con el contenido de su solicitud, en relación con los </w:t>
      </w:r>
      <w:r w:rsidRPr="00881D8A">
        <w:rPr>
          <w:rFonts w:ascii="Verdana" w:eastAsia="Aptos" w:hAnsi="Verdana" w:cs="Times New Roman"/>
        </w:rPr>
        <w:t xml:space="preserve">documentos tipo de licitación de obra pública de infraestructura de transporte – versión 4, </w:t>
      </w:r>
      <w:r w:rsidRPr="00881D8A">
        <w:rPr>
          <w:rFonts w:ascii="Verdana" w:eastAsia="Century Gothic" w:hAnsi="Verdana" w:cs="Century Gothic"/>
        </w:rPr>
        <w:t xml:space="preserve">esta Agencia resolverá el siguiente problema jurídico: </w:t>
      </w:r>
      <w:r w:rsidRPr="00881D8A">
        <w:rPr>
          <w:rFonts w:ascii="Verdana" w:eastAsia="Aptos" w:hAnsi="Verdana" w:cs="Times New Roman"/>
        </w:rPr>
        <w:t xml:space="preserve">¿Existe alguna contradicción entre la causal de rechazo establecida en el literal X del numeral 1.15 del documento base y la normativa en materia de </w:t>
      </w:r>
      <w:proofErr w:type="spellStart"/>
      <w:r w:rsidRPr="00881D8A">
        <w:rPr>
          <w:rFonts w:ascii="Verdana" w:eastAsia="Aptos" w:hAnsi="Verdana" w:cs="Times New Roman"/>
        </w:rPr>
        <w:t>subsanabilidad</w:t>
      </w:r>
      <w:proofErr w:type="spellEnd"/>
      <w:r w:rsidRPr="00881D8A">
        <w:rPr>
          <w:rFonts w:ascii="Verdana" w:eastAsia="Aptos" w:hAnsi="Verdana" w:cs="Times New Roman"/>
        </w:rPr>
        <w:t xml:space="preserve"> de las ofertas?</w:t>
      </w:r>
    </w:p>
    <w:p w14:paraId="06317B8E" w14:textId="77777777" w:rsidR="00881D8A" w:rsidRPr="00881D8A" w:rsidRDefault="00881D8A" w:rsidP="00881D8A">
      <w:pPr>
        <w:tabs>
          <w:tab w:val="left" w:pos="142"/>
          <w:tab w:val="left" w:pos="284"/>
        </w:tabs>
        <w:spacing w:after="0" w:line="276" w:lineRule="auto"/>
        <w:jc w:val="both"/>
        <w:rPr>
          <w:rFonts w:ascii="Verdana" w:eastAsia="Calibri" w:hAnsi="Verdana" w:cs="Arial"/>
          <w:color w:val="7030A0"/>
          <w:lang w:val="es-ES_tradnl"/>
        </w:rPr>
      </w:pPr>
    </w:p>
    <w:p w14:paraId="335DA8F0" w14:textId="77777777" w:rsidR="00881D8A" w:rsidRPr="00881D8A" w:rsidRDefault="00881D8A" w:rsidP="00881D8A">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881D8A">
        <w:rPr>
          <w:rFonts w:ascii="Verdana" w:eastAsia="Century Gothic" w:hAnsi="Verdana" w:cs="Century Gothic"/>
          <w:b/>
          <w:bCs/>
        </w:rPr>
        <w:t>Respuesta:</w:t>
      </w:r>
    </w:p>
    <w:p w14:paraId="2B26DB6D" w14:textId="77777777" w:rsidR="00881D8A" w:rsidRPr="00881D8A" w:rsidRDefault="00881D8A" w:rsidP="00881D8A">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81D8A" w:rsidRPr="00881D8A" w14:paraId="658EC184" w14:textId="77777777" w:rsidTr="00D43B08">
        <w:tc>
          <w:tcPr>
            <w:tcW w:w="8828" w:type="dxa"/>
          </w:tcPr>
          <w:p w14:paraId="0CBCAF14" w14:textId="77777777" w:rsidR="00881D8A" w:rsidRPr="00881D8A" w:rsidRDefault="00881D8A" w:rsidP="00881D8A">
            <w:pPr>
              <w:spacing w:after="120" w:line="276" w:lineRule="auto"/>
              <w:jc w:val="both"/>
              <w:rPr>
                <w:rFonts w:ascii="Verdana" w:eastAsia="Aptos" w:hAnsi="Verdana" w:cs="Arial"/>
                <w:szCs w:val="20"/>
                <w:lang w:val="es-MX"/>
              </w:rPr>
            </w:pPr>
            <w:r w:rsidRPr="00881D8A">
              <w:rPr>
                <w:rFonts w:ascii="Verdana" w:eastAsia="Aptos" w:hAnsi="Verdana" w:cs="Arial"/>
                <w:szCs w:val="20"/>
                <w:lang w:val="es-MX"/>
              </w:rPr>
              <w:t xml:space="preserve">La causal de rechazo del literal X del numeral 1.15 del documento tipo de licitación de obra pública de infraestructura de transporte – versión 4, aplica cuando el proponente no informa todos los contratos que tiene en ejecución antes del cierre. Esto se traduce en un deber de cumplir con esta exigencia, sin tener en cuenta la información relacionada en cada uno de ellos. Por ejemplo, si el contratista tiene en ejecución diez contratos, esta causal aplica si el contratista reporta nueve o menos. Lo anterior, sin perjuicio de que para el proponente tenga consecuencias omitir o errar en la información específica de cada contrato –esto es, la cuantía o el plazo, entre otros–, pues la entidad podrá requerirlo para que aclare la información, y en caso de no responder, </w:t>
            </w:r>
            <w:r w:rsidRPr="00881D8A">
              <w:rPr>
                <w:rFonts w:ascii="Verdana" w:eastAsia="Aptos" w:hAnsi="Verdana" w:cs="Arial"/>
                <w:szCs w:val="20"/>
                <w:lang w:val="es-MX"/>
              </w:rPr>
              <w:lastRenderedPageBreak/>
              <w:t>rechazar la propuesta por la causal del literal E del numeral 1.15 del documento base –versión 4 de licitación de obra pública–.</w:t>
            </w:r>
          </w:p>
          <w:p w14:paraId="3D955ADF" w14:textId="77777777" w:rsidR="00881D8A" w:rsidRPr="00881D8A" w:rsidRDefault="00881D8A" w:rsidP="00881D8A">
            <w:pPr>
              <w:spacing w:after="120" w:line="276" w:lineRule="auto"/>
              <w:jc w:val="both"/>
              <w:rPr>
                <w:rFonts w:ascii="Verdana" w:eastAsia="Aptos" w:hAnsi="Verdana" w:cs="Arial"/>
              </w:rPr>
            </w:pPr>
            <w:r w:rsidRPr="00881D8A">
              <w:rPr>
                <w:rFonts w:ascii="Verdana" w:eastAsia="Aptos" w:hAnsi="Verdana" w:cs="Arial"/>
                <w:szCs w:val="20"/>
                <w:lang w:val="es-MX"/>
              </w:rPr>
              <w:t xml:space="preserve">Por tanto, la </w:t>
            </w:r>
            <w:r w:rsidRPr="00881D8A">
              <w:rPr>
                <w:rFonts w:ascii="Verdana" w:eastAsia="Aptos" w:hAnsi="Verdana" w:cs="Arial"/>
                <w:lang w:val="es-MX"/>
              </w:rPr>
              <w:t xml:space="preserve">configuración de la causal de rechazo del literal X es objetiva, pues solo aplica ante la omisión del proponente de informar el número total de contratos en ejecución antes del cierre, </w:t>
            </w:r>
            <w:r w:rsidRPr="00881D8A">
              <w:rPr>
                <w:rFonts w:ascii="Verdana" w:eastAsia="Calibri" w:hAnsi="Verdana" w:cs="Arial"/>
                <w:szCs w:val="20"/>
                <w:lang w:val="es-MX"/>
              </w:rPr>
              <w:t>es decir, opera también cuando no se aporte con la oferta el Formato 5, sólo si, con ello se está omitiendo informar contratos que tenga en ejecución el proponente.</w:t>
            </w:r>
          </w:p>
          <w:p w14:paraId="25CBF73A" w14:textId="77777777" w:rsidR="00881D8A" w:rsidRPr="00881D8A" w:rsidRDefault="00881D8A" w:rsidP="00881D8A">
            <w:pPr>
              <w:spacing w:before="120" w:line="276" w:lineRule="auto"/>
              <w:jc w:val="both"/>
              <w:rPr>
                <w:rFonts w:ascii="Verdana" w:eastAsia="Aptos" w:hAnsi="Verdana" w:cs="Arial"/>
              </w:rPr>
            </w:pPr>
            <w:r w:rsidRPr="00881D8A">
              <w:rPr>
                <w:rFonts w:ascii="Verdana" w:eastAsia="Aptos" w:hAnsi="Verdana" w:cs="Arial"/>
              </w:rPr>
              <w:t>En este sentido, no se puede subsanar cuando se incurre la causal de rechazo del literal X, evento en el cual el rechazo procede de forma automática, es decir, sin permitirle al proponente subsanar el número de contratos de obra que tenía el deber de reportar.</w:t>
            </w:r>
          </w:p>
          <w:p w14:paraId="1CD83A39" w14:textId="77777777" w:rsidR="00881D8A" w:rsidRPr="00881D8A" w:rsidRDefault="00881D8A" w:rsidP="00881D8A">
            <w:pPr>
              <w:spacing w:before="120" w:after="120" w:line="276" w:lineRule="auto"/>
              <w:jc w:val="both"/>
              <w:rPr>
                <w:rFonts w:ascii="Verdana" w:eastAsia="Aptos" w:hAnsi="Verdana" w:cs="Arial"/>
              </w:rPr>
            </w:pPr>
            <w:r w:rsidRPr="00881D8A">
              <w:rPr>
                <w:rFonts w:ascii="Verdana" w:eastAsia="Calibri" w:hAnsi="Verdana" w:cs="Arial"/>
              </w:rPr>
              <w:t xml:space="preserve">Conforme con lo anterior, la Agencia Nacional de Contratación Pública – Colombia Compra Eficiente reitera la postura planteada en los conceptos C-429 del 24 de julio de 2020, C-173 del 7 de abril de 2024, C-306 del 16 de mayo de 2022, C-567 del 2 de septiembre de septiembre de 2022, C-748 del 10 de noviembre de 2022, C-280 del 6 de junio de 2023, C-353 del 1 de agosto de 2023, C-978 del 24 de marzo de 2023, C-421 del 13 de septiembre de 2024, C-818 del 16 de diciembre de 2024, C-232 del 1 de abril de 2024, C-419 del 22 de abril de 2025, C-928 del 21 de agosto de 2025, y recientemente en el concepto C-1438 del 6 de noviembre de 2025, en el sentido de manifestar que, </w:t>
            </w:r>
            <w:r w:rsidRPr="00881D8A">
              <w:rPr>
                <w:rFonts w:ascii="Verdana" w:eastAsia="Calibri" w:hAnsi="Verdana" w:cs="Arial"/>
                <w:noProof/>
              </w:rPr>
              <w:t>lo</w:t>
            </w:r>
            <w:r w:rsidRPr="00881D8A">
              <w:rPr>
                <w:rFonts w:ascii="Verdana" w:eastAsia="Calibri" w:hAnsi="Verdana" w:cs="Arial"/>
              </w:rPr>
              <w:t xml:space="preserve"> expresado en el párrafo precedente no contradice lo dispuesto en el artículo 5, parágrafo 1, de la Ley 1150 de 2007, adicionado por el artículo 5 de la Ley 1882 de 2018, norma que dispone que “</w:t>
            </w:r>
            <w:r w:rsidRPr="00881D8A">
              <w:rPr>
                <w:rFonts w:ascii="Verdana" w:eastAsia="Calibri" w:hAnsi="Verdana" w:cs="Times New Roman"/>
              </w:rPr>
              <w:t xml:space="preserve">(…) </w:t>
            </w:r>
            <w:r w:rsidRPr="00881D8A">
              <w:rPr>
                <w:rFonts w:ascii="Verdana" w:eastAsia="Calibri" w:hAnsi="Verdana" w:cs="Arial"/>
              </w:rPr>
              <w:t xml:space="preserve">todos aquellos requisitos de la propuesta que no afecten la asignación de puntaje, deberán ser solicitados por las entidades estatales y deberán ser entregados por los proponentes”. Es cierto que la información “inexacta” y los contratos que no fueron informados, no afectan la asignación de puntaje, pues estos se solicitan para la acreditación de la capacidad residual del proponente, que es uno de los requisitos habilitantes a los que se refiere el Capítulo III del documento base. Sin embargo, los supuestos de hecho en los que se fundamentan las causales de rechazo no permiten la subsanación. </w:t>
            </w:r>
          </w:p>
          <w:p w14:paraId="2E3E617E" w14:textId="77777777" w:rsidR="00881D8A" w:rsidRPr="00881D8A" w:rsidRDefault="00881D8A" w:rsidP="00881D8A">
            <w:pPr>
              <w:spacing w:before="120" w:after="120" w:line="276" w:lineRule="auto"/>
              <w:jc w:val="both"/>
              <w:rPr>
                <w:rFonts w:ascii="Verdana" w:eastAsia="Calibri" w:hAnsi="Verdana" w:cs="Arial"/>
              </w:rPr>
            </w:pPr>
            <w:r w:rsidRPr="00881D8A">
              <w:rPr>
                <w:rFonts w:ascii="Verdana" w:eastAsia="Calibri" w:hAnsi="Verdana" w:cs="Arial"/>
              </w:rPr>
              <w:t xml:space="preserve">La imposibilidad de subsanar se deriva, entonces, del supuesto de hecho de aquellas causales, sin que en esto sea relevante que se otorguen o no puntos a la propuesta por el requisito de capacidad residual. No en vano, desde el </w:t>
            </w:r>
            <w:r w:rsidRPr="00881D8A">
              <w:rPr>
                <w:rFonts w:ascii="Verdana" w:eastAsia="Calibri" w:hAnsi="Verdana" w:cs="Arial"/>
              </w:rPr>
              <w:lastRenderedPageBreak/>
              <w:t xml:space="preserve">punto de vista jurisprudencial, la violación al deber de buena fe en la etapa precontractual justifica el rechazo, pues este tipo de medidas “(…) guardan armonía con principios de rango constitucional y de la contratación estatal, que tienen por finalidad que ningún proponente pueda beneficiarse de información parcial, inexacta o que falta a la verdad. En otras palabras, para la Sala, suministrar información contraria a la realidad en una oferta no puede ser objeto de subsanación dentro de ningún procedimiento de selección”. </w:t>
            </w:r>
          </w:p>
          <w:p w14:paraId="2A2EEEE0" w14:textId="77777777" w:rsidR="00881D8A" w:rsidRPr="00881D8A" w:rsidRDefault="00881D8A" w:rsidP="00881D8A">
            <w:pPr>
              <w:spacing w:before="120" w:after="120" w:line="276" w:lineRule="auto"/>
              <w:ind w:firstLine="709"/>
              <w:jc w:val="both"/>
              <w:rPr>
                <w:rFonts w:ascii="Verdana" w:eastAsia="Aptos" w:hAnsi="Verdana" w:cs="Arial"/>
              </w:rPr>
            </w:pPr>
            <w:r w:rsidRPr="00881D8A">
              <w:rPr>
                <w:rFonts w:ascii="Verdana" w:eastAsia="Calibri" w:hAnsi="Verdana" w:cs="Arial"/>
              </w:rPr>
              <w:t>Como se expresó, la causal del literal X procede cuando el proponente no informa todos los contratos de obra, fenómeno que se verifica con el formato 5. En este supuesto, lo que genera el rechazo de la oferta no es la ausencia de la información del contrato omitido, sino el hecho de haberse informado menos contratos de los que tenía en ejecución. Incluso, en el evento en el que el proponente “corrija” el error e informe la existencia de un contrato no reportado, implica aceptar que ocurrió la causal del literal Z, esto es, que el proponente incumplió su obligación de informar todos los contratos de obra que tenía en ejecución.</w:t>
            </w:r>
          </w:p>
        </w:tc>
      </w:tr>
    </w:tbl>
    <w:p w14:paraId="30A2E35C" w14:textId="77777777" w:rsidR="00881D8A" w:rsidRPr="00881D8A" w:rsidRDefault="00881D8A" w:rsidP="00881D8A">
      <w:pPr>
        <w:tabs>
          <w:tab w:val="left" w:pos="142"/>
          <w:tab w:val="left" w:pos="284"/>
        </w:tabs>
        <w:spacing w:after="0" w:line="276" w:lineRule="auto"/>
        <w:jc w:val="both"/>
        <w:rPr>
          <w:rFonts w:ascii="Verdana" w:eastAsia="Century Gothic" w:hAnsi="Verdana" w:cs="Century Gothic"/>
          <w:b/>
          <w:bCs/>
        </w:rPr>
      </w:pPr>
    </w:p>
    <w:p w14:paraId="73F9044E" w14:textId="77777777" w:rsidR="00881D8A" w:rsidRPr="00881D8A" w:rsidRDefault="00881D8A" w:rsidP="00881D8A">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881D8A">
        <w:rPr>
          <w:rFonts w:ascii="Verdana" w:eastAsia="Century Gothic" w:hAnsi="Verdana" w:cs="Century Gothic"/>
          <w:b/>
          <w:bCs/>
        </w:rPr>
        <w:t>Razones de la respuesta:</w:t>
      </w:r>
    </w:p>
    <w:p w14:paraId="332713E8" w14:textId="77777777" w:rsidR="00881D8A" w:rsidRPr="00881D8A" w:rsidRDefault="00881D8A" w:rsidP="00881D8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Verdana" w:eastAsia="Calibri" w:hAnsi="Verdana" w:cs="Helvetica"/>
          <w:color w:val="000000"/>
          <w:sz w:val="21"/>
          <w:szCs w:val="21"/>
        </w:rPr>
      </w:pPr>
    </w:p>
    <w:p w14:paraId="7D337096" w14:textId="77777777" w:rsidR="00881D8A" w:rsidRPr="00881D8A" w:rsidRDefault="00881D8A" w:rsidP="00881D8A">
      <w:pPr>
        <w:spacing w:after="0" w:line="276" w:lineRule="auto"/>
        <w:jc w:val="both"/>
        <w:rPr>
          <w:rFonts w:ascii="Verdana" w:eastAsia="Calibri" w:hAnsi="Verdana" w:cs="Arial"/>
        </w:rPr>
      </w:pPr>
      <w:r w:rsidRPr="00881D8A">
        <w:rPr>
          <w:rFonts w:ascii="Verdana" w:eastAsia="Calibri" w:hAnsi="Verdana" w:cs="Arial"/>
        </w:rPr>
        <w:t xml:space="preserve">Lo anterior se sustenta en las siguientes consideraciones: </w:t>
      </w:r>
    </w:p>
    <w:p w14:paraId="39732B5F" w14:textId="77777777" w:rsidR="00881D8A" w:rsidRPr="00881D8A" w:rsidRDefault="00881D8A" w:rsidP="00881D8A">
      <w:pPr>
        <w:spacing w:after="0"/>
        <w:jc w:val="both"/>
        <w:rPr>
          <w:rFonts w:ascii="Verdana" w:eastAsia="Calibri" w:hAnsi="Verdana" w:cs="Arial"/>
        </w:rPr>
      </w:pPr>
    </w:p>
    <w:p w14:paraId="12539F2D" w14:textId="77777777" w:rsidR="00881D8A" w:rsidRPr="00881D8A" w:rsidRDefault="00881D8A" w:rsidP="00881D8A">
      <w:pPr>
        <w:widowControl w:val="0"/>
        <w:autoSpaceDE w:val="0"/>
        <w:autoSpaceDN w:val="0"/>
        <w:spacing w:after="120" w:line="276" w:lineRule="auto"/>
        <w:jc w:val="both"/>
        <w:rPr>
          <w:rFonts w:ascii="Verdana" w:eastAsia="Arial" w:hAnsi="Verdana" w:cs="Arial"/>
        </w:rPr>
      </w:pPr>
      <w:r w:rsidRPr="00881D8A">
        <w:rPr>
          <w:rFonts w:ascii="Verdana" w:eastAsia="Calibri" w:hAnsi="Verdana" w:cs="Times New Roman"/>
        </w:rPr>
        <w:t xml:space="preserve">La Capacidad Residual o K de Contratación es la aptitud de un oferente para cumplir oportuna y cabalmente con el objeto de un contrato de obra, sin que sus otros compromisos contractuales afecten su habilidad de responder con el contrato objeto del Proceso de Contratación. </w:t>
      </w:r>
    </w:p>
    <w:p w14:paraId="2D0E35A6" w14:textId="77777777" w:rsidR="00881D8A" w:rsidRPr="00881D8A" w:rsidRDefault="00881D8A" w:rsidP="00881D8A">
      <w:pPr>
        <w:widowControl w:val="0"/>
        <w:autoSpaceDE w:val="0"/>
        <w:autoSpaceDN w:val="0"/>
        <w:spacing w:after="120" w:line="276" w:lineRule="auto"/>
        <w:ind w:firstLine="709"/>
        <w:jc w:val="both"/>
        <w:rPr>
          <w:rFonts w:ascii="Verdana" w:eastAsia="Arial" w:hAnsi="Verdana" w:cs="Arial"/>
        </w:rPr>
      </w:pPr>
      <w:r w:rsidRPr="00881D8A">
        <w:rPr>
          <w:rFonts w:ascii="Verdana" w:eastAsia="Arial" w:hAnsi="Verdana" w:cs="Arial"/>
        </w:rPr>
        <w:t xml:space="preserve">El artículo 2.2.1.1.1.3.1 del Decreto 1082 de 2015 define la capacidad residual como: “Aptitud de un oferente para cumplir oportuna y cabalmente con el objeto de un contrato de obra, sin que sus otros compromisos contractuales afecten su habilidad de cumplir con el contrato que está en proceso de selección”. </w:t>
      </w:r>
    </w:p>
    <w:p w14:paraId="152CF2E8" w14:textId="77777777" w:rsidR="00881D8A" w:rsidRPr="00881D8A" w:rsidRDefault="00881D8A" w:rsidP="00881D8A">
      <w:pPr>
        <w:widowControl w:val="0"/>
        <w:autoSpaceDE w:val="0"/>
        <w:autoSpaceDN w:val="0"/>
        <w:spacing w:after="120" w:line="276" w:lineRule="auto"/>
        <w:ind w:firstLine="709"/>
        <w:contextualSpacing/>
        <w:jc w:val="both"/>
        <w:rPr>
          <w:rFonts w:ascii="Verdana" w:eastAsia="Arial" w:hAnsi="Verdana" w:cs="Arial"/>
        </w:rPr>
      </w:pPr>
      <w:r w:rsidRPr="00881D8A">
        <w:rPr>
          <w:rFonts w:ascii="Verdana" w:eastAsia="Arial" w:hAnsi="Verdana" w:cs="Arial"/>
        </w:rPr>
        <w:t xml:space="preserve">Por su parte, el artículo 2.2.1.1.1.6.4. del Decreto 1082 de 2015 señala la información que debe entregar el proponente interesado en un proceso de contratación para acreditar su Capacidad Residual, de la siguiente forma: </w:t>
      </w:r>
    </w:p>
    <w:p w14:paraId="786F5A56" w14:textId="77777777" w:rsidR="00881D8A" w:rsidRPr="00881D8A" w:rsidRDefault="00881D8A" w:rsidP="00881D8A">
      <w:pPr>
        <w:widowControl w:val="0"/>
        <w:autoSpaceDE w:val="0"/>
        <w:autoSpaceDN w:val="0"/>
        <w:spacing w:after="0" w:line="276" w:lineRule="auto"/>
        <w:ind w:firstLine="709"/>
        <w:contextualSpacing/>
        <w:jc w:val="both"/>
        <w:rPr>
          <w:rFonts w:ascii="Verdana" w:eastAsia="Arial" w:hAnsi="Verdana" w:cs="Arial"/>
          <w:lang w:val="es-ES"/>
        </w:rPr>
      </w:pPr>
    </w:p>
    <w:p w14:paraId="62E98DF3" w14:textId="77777777" w:rsidR="00881D8A" w:rsidRPr="00881D8A" w:rsidRDefault="00881D8A" w:rsidP="00881D8A">
      <w:pPr>
        <w:widowControl w:val="0"/>
        <w:autoSpaceDE w:val="0"/>
        <w:autoSpaceDN w:val="0"/>
        <w:spacing w:after="120" w:line="240" w:lineRule="auto"/>
        <w:ind w:left="709" w:right="709"/>
        <w:contextualSpacing/>
        <w:jc w:val="both"/>
        <w:rPr>
          <w:rFonts w:ascii="Verdana" w:eastAsia="Calibri" w:hAnsi="Verdana" w:cs="Arial"/>
          <w:color w:val="000000"/>
          <w:sz w:val="20"/>
          <w:szCs w:val="20"/>
          <w:lang w:val="es-ES"/>
        </w:rPr>
      </w:pPr>
      <w:r w:rsidRPr="00881D8A">
        <w:rPr>
          <w:rFonts w:ascii="Verdana" w:eastAsia="Calibri" w:hAnsi="Verdana" w:cs="Arial"/>
          <w:color w:val="000000"/>
          <w:sz w:val="20"/>
          <w:szCs w:val="20"/>
          <w:lang w:val="es-ES"/>
        </w:rPr>
        <w:t xml:space="preserve">“El interesado en celebrar contratos de obra pública con Entidades </w:t>
      </w:r>
      <w:r w:rsidRPr="00881D8A">
        <w:rPr>
          <w:rFonts w:ascii="Verdana" w:eastAsia="Calibri" w:hAnsi="Verdana" w:cs="Arial"/>
          <w:color w:val="000000"/>
          <w:sz w:val="20"/>
          <w:szCs w:val="20"/>
          <w:lang w:val="es-ES"/>
        </w:rPr>
        <w:lastRenderedPageBreak/>
        <w:t>Estatales debe acreditar su Capacidad Residual o K de Contratación con los siguientes documentos:  </w:t>
      </w:r>
    </w:p>
    <w:p w14:paraId="34F79518" w14:textId="77777777" w:rsidR="00881D8A" w:rsidRPr="00881D8A" w:rsidRDefault="00881D8A" w:rsidP="00881D8A">
      <w:pPr>
        <w:widowControl w:val="0"/>
        <w:autoSpaceDE w:val="0"/>
        <w:autoSpaceDN w:val="0"/>
        <w:spacing w:after="120" w:line="240" w:lineRule="auto"/>
        <w:ind w:left="709" w:right="709"/>
        <w:contextualSpacing/>
        <w:jc w:val="both"/>
        <w:rPr>
          <w:rFonts w:ascii="Verdana" w:eastAsia="Calibri" w:hAnsi="Verdana" w:cs="Arial"/>
          <w:color w:val="000000"/>
          <w:sz w:val="20"/>
          <w:szCs w:val="20"/>
          <w:lang w:val="es-ES"/>
        </w:rPr>
      </w:pPr>
    </w:p>
    <w:p w14:paraId="191F9030" w14:textId="77777777" w:rsidR="00881D8A" w:rsidRPr="00881D8A" w:rsidRDefault="00881D8A" w:rsidP="00881D8A">
      <w:pPr>
        <w:widowControl w:val="0"/>
        <w:autoSpaceDE w:val="0"/>
        <w:autoSpaceDN w:val="0"/>
        <w:spacing w:after="120" w:line="240" w:lineRule="auto"/>
        <w:ind w:left="709" w:right="709"/>
        <w:contextualSpacing/>
        <w:jc w:val="both"/>
        <w:rPr>
          <w:rFonts w:ascii="Verdana" w:eastAsia="Calibri" w:hAnsi="Verdana" w:cs="Arial"/>
          <w:color w:val="000000"/>
          <w:sz w:val="20"/>
          <w:szCs w:val="20"/>
          <w:lang w:val="es-ES"/>
        </w:rPr>
      </w:pPr>
      <w:r w:rsidRPr="00881D8A">
        <w:rPr>
          <w:rFonts w:ascii="Verdana" w:eastAsia="Calibri" w:hAnsi="Verdana" w:cs="Arial"/>
          <w:color w:val="000000"/>
          <w:sz w:val="20"/>
          <w:szCs w:val="20"/>
          <w:lang w:val="es-ES"/>
        </w:rPr>
        <w:t>1. La lista de los contratos de obras civiles en ejecución suscritos con Entidades Estatales y con entidades privadas, así como el valor y plazo de tales contratos, incluyendo contratos de concesión y los contratos de obra suscritos con concesionarios.  </w:t>
      </w:r>
    </w:p>
    <w:p w14:paraId="6AEB4C70" w14:textId="77777777" w:rsidR="00881D8A" w:rsidRPr="00881D8A" w:rsidRDefault="00881D8A" w:rsidP="00881D8A">
      <w:pPr>
        <w:widowControl w:val="0"/>
        <w:autoSpaceDE w:val="0"/>
        <w:autoSpaceDN w:val="0"/>
        <w:spacing w:after="120" w:line="240" w:lineRule="auto"/>
        <w:ind w:left="709" w:right="709"/>
        <w:contextualSpacing/>
        <w:jc w:val="both"/>
        <w:rPr>
          <w:rFonts w:ascii="Verdana" w:eastAsia="Calibri" w:hAnsi="Verdana" w:cs="Arial"/>
          <w:color w:val="000000"/>
          <w:sz w:val="20"/>
          <w:szCs w:val="20"/>
          <w:lang w:val="es-ES"/>
        </w:rPr>
      </w:pPr>
    </w:p>
    <w:p w14:paraId="5FE05E12" w14:textId="77777777" w:rsidR="00881D8A" w:rsidRPr="00881D8A" w:rsidRDefault="00881D8A" w:rsidP="00881D8A">
      <w:pPr>
        <w:widowControl w:val="0"/>
        <w:autoSpaceDE w:val="0"/>
        <w:autoSpaceDN w:val="0"/>
        <w:spacing w:after="120" w:line="240" w:lineRule="auto"/>
        <w:ind w:left="709" w:right="709"/>
        <w:contextualSpacing/>
        <w:jc w:val="both"/>
        <w:rPr>
          <w:rFonts w:ascii="Verdana" w:eastAsia="Calibri" w:hAnsi="Verdana" w:cs="Arial"/>
          <w:color w:val="000000"/>
          <w:sz w:val="20"/>
          <w:szCs w:val="20"/>
          <w:lang w:val="es-ES"/>
        </w:rPr>
      </w:pPr>
      <w:r w:rsidRPr="00881D8A">
        <w:rPr>
          <w:rFonts w:ascii="Verdana" w:eastAsia="Calibri" w:hAnsi="Verdana" w:cs="Arial"/>
          <w:color w:val="000000"/>
          <w:sz w:val="20"/>
          <w:szCs w:val="20"/>
          <w:lang w:val="es-ES"/>
        </w:rPr>
        <w:t>2. La lista de los contratos de obras civiles en ejecución, suscritos por sociedades, consorcios o uniones temporales, en los cuales el proponente tenga participación, con Entidades Estatales y con entidades privadas, así como el valor y plazo de tales contratos, incluyendo los contratos de concesión y los contratos de obra suscritos con concesionarios. […]”.</w:t>
      </w:r>
    </w:p>
    <w:p w14:paraId="3D85BC45" w14:textId="77777777" w:rsidR="00881D8A" w:rsidRPr="00881D8A" w:rsidRDefault="00881D8A" w:rsidP="00881D8A">
      <w:pPr>
        <w:widowControl w:val="0"/>
        <w:autoSpaceDE w:val="0"/>
        <w:autoSpaceDN w:val="0"/>
        <w:spacing w:after="120" w:line="240" w:lineRule="auto"/>
        <w:ind w:left="709" w:right="709"/>
        <w:contextualSpacing/>
        <w:jc w:val="both"/>
        <w:rPr>
          <w:rFonts w:ascii="Verdana" w:eastAsia="Calibri" w:hAnsi="Verdana" w:cs="Arial"/>
          <w:color w:val="000000"/>
          <w:sz w:val="20"/>
          <w:szCs w:val="20"/>
          <w:lang w:val="es-ES"/>
        </w:rPr>
      </w:pPr>
    </w:p>
    <w:p w14:paraId="4E9473D7" w14:textId="77777777" w:rsidR="00881D8A" w:rsidRPr="00881D8A" w:rsidRDefault="00881D8A" w:rsidP="00881D8A">
      <w:pPr>
        <w:spacing w:after="0"/>
        <w:ind w:left="708" w:right="758"/>
        <w:jc w:val="both"/>
        <w:rPr>
          <w:rFonts w:ascii="Verdana" w:eastAsia="Calibri" w:hAnsi="Verdana" w:cs="Arial"/>
          <w:color w:val="000000"/>
          <w:sz w:val="20"/>
          <w:szCs w:val="20"/>
        </w:rPr>
      </w:pPr>
      <w:r w:rsidRPr="00881D8A">
        <w:rPr>
          <w:rFonts w:ascii="Verdana" w:eastAsia="Calibri" w:hAnsi="Verdana" w:cs="Arial"/>
          <w:color w:val="000000"/>
          <w:sz w:val="20"/>
          <w:szCs w:val="20"/>
        </w:rPr>
        <w:t>3. Balance general auditado del año inmediatamente anterior y estado de resultados auditado del año en que haya obtenido el mayor ingreso operacional en los últimos cinco (5) años. Los estados financieros deben estar suscritos por el interesado o su representante legal y el revisor fiscal si está obligado a tenerlo, o el auditor o contador si no está obligado a tener revisor fiscal. Si se trata de proponentes obligados a tener RUP, las Entidades Estatales solo deben solicitar como documento adicional el estado de resultados del año en que el proponente obtuvo el mayor ingreso operacional en los últimos cinco (5) años.</w:t>
      </w:r>
    </w:p>
    <w:p w14:paraId="302CD19A" w14:textId="77777777" w:rsidR="00881D8A" w:rsidRPr="00881D8A" w:rsidRDefault="00881D8A" w:rsidP="00881D8A">
      <w:pPr>
        <w:spacing w:after="0"/>
        <w:ind w:left="708" w:right="758"/>
        <w:jc w:val="both"/>
        <w:rPr>
          <w:rFonts w:ascii="Verdana" w:eastAsia="Calibri" w:hAnsi="Verdana" w:cs="Arial"/>
          <w:color w:val="000000"/>
          <w:sz w:val="20"/>
          <w:szCs w:val="20"/>
        </w:rPr>
      </w:pPr>
    </w:p>
    <w:p w14:paraId="4271DA43" w14:textId="77777777" w:rsidR="00881D8A" w:rsidRPr="00881D8A" w:rsidRDefault="00881D8A" w:rsidP="00881D8A">
      <w:pPr>
        <w:spacing w:after="120" w:line="276" w:lineRule="auto"/>
        <w:ind w:firstLine="709"/>
        <w:jc w:val="both"/>
        <w:rPr>
          <w:rFonts w:ascii="Verdana" w:eastAsia="Arial" w:hAnsi="Verdana" w:cs="Arial"/>
        </w:rPr>
      </w:pPr>
      <w:r w:rsidRPr="00881D8A">
        <w:rPr>
          <w:rFonts w:ascii="Verdana" w:eastAsia="Calibri" w:hAnsi="Verdana" w:cs="Times New Roman"/>
        </w:rPr>
        <w:t xml:space="preserve">De acuerdo con lo anterior, el proponente que participe en un proceso de selección de una obra pública deberá acreditar la capacidad residual de contratación allegando para el efecto los documentos indicados en el </w:t>
      </w:r>
      <w:r w:rsidRPr="00881D8A">
        <w:rPr>
          <w:rFonts w:ascii="Verdana" w:eastAsia="Arial" w:hAnsi="Verdana" w:cs="Arial"/>
        </w:rPr>
        <w:t xml:space="preserve">2.2.1.1.1.6.4. del Decreto 1082 de 2015 antes descritos. </w:t>
      </w:r>
    </w:p>
    <w:p w14:paraId="24CF0399" w14:textId="77777777" w:rsidR="00881D8A" w:rsidRPr="00881D8A" w:rsidRDefault="00881D8A" w:rsidP="00881D8A">
      <w:pPr>
        <w:spacing w:after="120" w:line="276" w:lineRule="auto"/>
        <w:ind w:firstLine="709"/>
        <w:jc w:val="both"/>
        <w:rPr>
          <w:rFonts w:ascii="Verdana" w:eastAsia="Calibri" w:hAnsi="Verdana" w:cs="Times New Roman"/>
        </w:rPr>
      </w:pPr>
      <w:r w:rsidRPr="00881D8A">
        <w:rPr>
          <w:rFonts w:ascii="Verdana" w:eastAsia="Calibri" w:hAnsi="Verdana" w:cs="Times New Roman"/>
        </w:rPr>
        <w:t xml:space="preserve">Así mismo, debe indicarse que la Capacidad Residual es un requisito habilitante que está sujeto a la posibilidad de solicitarle aclaración, con el fin de esclarecer dudas sobre aspectos de la información presentada por el proponente y, de igual forma, está sujeta a la posibilidad de subsanar la ausencia de requisitos, siempre que se cumpla con los límites temporales y materiales, es decir, que lo omitido no sea un factor que afecte la asignación de puntaje, que sea la prueba de una circunstancia o hecho que ocurrió con anterioridad al cierre del proceso y que no existe disposición legal o en el pliego de condiciones que prohíba su subsanación. </w:t>
      </w:r>
    </w:p>
    <w:p w14:paraId="34C9D475" w14:textId="77777777" w:rsidR="00881D8A" w:rsidRPr="00881D8A" w:rsidRDefault="00881D8A" w:rsidP="00881D8A">
      <w:pPr>
        <w:spacing w:after="120" w:line="276" w:lineRule="auto"/>
        <w:ind w:firstLine="709"/>
        <w:jc w:val="both"/>
        <w:rPr>
          <w:rFonts w:ascii="Verdana" w:eastAsia="Calibri" w:hAnsi="Verdana" w:cs="Times New Roman"/>
        </w:rPr>
      </w:pPr>
      <w:r w:rsidRPr="00881D8A">
        <w:rPr>
          <w:rFonts w:ascii="Verdana" w:eastAsia="Calibri" w:hAnsi="Verdana" w:cs="Times New Roman"/>
        </w:rPr>
        <w:t xml:space="preserve">Es importante indicar que, la Capacidad Residual de contratación únicamente es exigido para los contratos de obra pública; por lo tanto, en los Documentos del Proceso de obra pública, la Entidad Estatal debe establecer un </w:t>
      </w:r>
      <w:r w:rsidRPr="00881D8A">
        <w:rPr>
          <w:rFonts w:ascii="Verdana" w:eastAsia="Calibri" w:hAnsi="Verdana" w:cs="Times New Roman"/>
        </w:rPr>
        <w:lastRenderedPageBreak/>
        <w:t xml:space="preserve">requisito adicional a los requisitos habilitantes como lo es la Capacidad Residual o K de Contratación, la cual deben cumplir los interesados en participar en un Proceso de Contratación.   </w:t>
      </w:r>
    </w:p>
    <w:p w14:paraId="3DE8581B" w14:textId="77777777" w:rsidR="00881D8A" w:rsidRPr="00881D8A" w:rsidRDefault="00881D8A" w:rsidP="00881D8A">
      <w:pPr>
        <w:spacing w:after="120" w:line="276" w:lineRule="auto"/>
        <w:ind w:firstLine="709"/>
        <w:jc w:val="both"/>
        <w:rPr>
          <w:rFonts w:ascii="Verdana" w:eastAsia="Calibri" w:hAnsi="Verdana" w:cs="Times New Roman"/>
        </w:rPr>
      </w:pPr>
      <w:r w:rsidRPr="00881D8A">
        <w:rPr>
          <w:rFonts w:ascii="Verdana" w:eastAsia="Calibri" w:hAnsi="Verdana" w:cs="Times New Roman"/>
        </w:rPr>
        <w:t>De esta manera las entidades estatales deberán establecer en los documentos del proceso la forma en la cual los proponentes deben acreditar los indicadores exigidos que no están incluidos en el RUP, así como lo dispone la Guía para determinar y verificar los requisitos habilitantes en los procesos de contratación expedida por la Agencia Nacional de Contratación Pública – Colombia Compra Eficiente</w:t>
      </w:r>
      <w:r w:rsidRPr="00881D8A">
        <w:rPr>
          <w:rFonts w:ascii="Verdana" w:eastAsia="Calibri" w:hAnsi="Verdana" w:cs="Times New Roman"/>
          <w:vertAlign w:val="superscript"/>
        </w:rPr>
        <w:footnoteReference w:id="1"/>
      </w:r>
      <w:r w:rsidRPr="00881D8A">
        <w:rPr>
          <w:rFonts w:ascii="Verdana" w:eastAsia="Calibri" w:hAnsi="Verdana" w:cs="Times New Roman"/>
        </w:rPr>
        <w:t xml:space="preserve">. La capacidad residual de contratación es uno de aquellos requisitos no acreditables a través del RUP, de tal manera que la entidad estatal fijará las condiciones y requisitos en el pliego de condiciones o en los documentos del proceso a través del cual el proponente deberá ceñirse al cumplimiento </w:t>
      </w:r>
      <w:r w:rsidRPr="00881D8A">
        <w:rPr>
          <w:rFonts w:ascii="Verdana" w:eastAsia="Calibri" w:hAnsi="Verdana" w:cs="Arial"/>
        </w:rPr>
        <w:t>y allegar toda información ordenada, en los términos y la forma en que hayan sido señalados, con el fin de que la entidad pueda calcular la Capacidad Residual del proponente y verificar si cumple o no con la requerida en el Proceso de Contratación que adelanta.</w:t>
      </w:r>
    </w:p>
    <w:p w14:paraId="1588E837" w14:textId="77777777" w:rsidR="00881D8A" w:rsidRPr="00881D8A" w:rsidRDefault="00881D8A" w:rsidP="00881D8A">
      <w:pPr>
        <w:spacing w:after="0" w:line="276" w:lineRule="auto"/>
        <w:ind w:right="51" w:firstLine="709"/>
        <w:jc w:val="both"/>
        <w:rPr>
          <w:rFonts w:ascii="Verdana" w:eastAsia="Calibri" w:hAnsi="Verdana" w:cs="Arial"/>
        </w:rPr>
      </w:pPr>
      <w:r w:rsidRPr="00881D8A">
        <w:rPr>
          <w:rFonts w:ascii="Verdana" w:eastAsia="Calibri" w:hAnsi="Verdana" w:cs="Arial"/>
        </w:rPr>
        <w:t xml:space="preserve">Ahora bien, es importante pasar al </w:t>
      </w:r>
      <w:bookmarkStart w:id="2" w:name="_Hlk121298068"/>
      <w:r w:rsidRPr="00881D8A">
        <w:rPr>
          <w:rFonts w:ascii="Verdana" w:eastAsia="Calibri" w:hAnsi="Verdana" w:cs="Arial"/>
        </w:rPr>
        <w:t>a</w:t>
      </w:r>
      <w:r w:rsidRPr="00881D8A">
        <w:rPr>
          <w:rFonts w:ascii="Verdana" w:eastAsia="Calibri" w:hAnsi="Verdana" w:cs="Times New Roman"/>
        </w:rPr>
        <w:t>nálisis frente al rechazo de ofertas respecto a la información solicitada para el cálculo de la capacidad residual</w:t>
      </w:r>
      <w:bookmarkEnd w:id="2"/>
      <w:r w:rsidRPr="00881D8A">
        <w:rPr>
          <w:rFonts w:ascii="Verdana" w:eastAsia="Calibri" w:hAnsi="Verdana" w:cs="Times New Roman"/>
        </w:rPr>
        <w:t xml:space="preserve">. En este sentido, debe indicarse que </w:t>
      </w:r>
      <w:r w:rsidRPr="00881D8A">
        <w:rPr>
          <w:rFonts w:ascii="Verdana" w:eastAsia="Calibri" w:hAnsi="Verdana" w:cs="Arial"/>
        </w:rPr>
        <w:t>las causales de rechazo son las establecidas en la Ley y las fijadas por la entidad estatal en los pliegos de condiciones. Sin embargo, en ejercicio de dicha facultad, a las entidades no les es dable fijar causales de rechazo que soslayen o afecten la selección objetiva en la contratación. Sobre el particular, el Consejo de Estado</w:t>
      </w:r>
      <w:r w:rsidRPr="00881D8A">
        <w:rPr>
          <w:rFonts w:ascii="Verdana" w:eastAsia="Calibri" w:hAnsi="Verdana" w:cs="Arial"/>
          <w:vertAlign w:val="superscript"/>
        </w:rPr>
        <w:footnoteReference w:id="2"/>
      </w:r>
      <w:r w:rsidRPr="00881D8A">
        <w:rPr>
          <w:rFonts w:ascii="Verdana" w:eastAsia="Calibri" w:hAnsi="Verdana" w:cs="Arial"/>
        </w:rPr>
        <w:t xml:space="preserve"> señala:</w:t>
      </w:r>
    </w:p>
    <w:p w14:paraId="404148BE" w14:textId="77777777" w:rsidR="00881D8A" w:rsidRPr="00881D8A" w:rsidRDefault="00881D8A" w:rsidP="00881D8A">
      <w:pPr>
        <w:spacing w:after="0" w:line="276" w:lineRule="auto"/>
        <w:ind w:right="51" w:firstLine="709"/>
        <w:jc w:val="both"/>
        <w:rPr>
          <w:rFonts w:ascii="Verdana" w:eastAsia="Calibri" w:hAnsi="Verdana" w:cs="Arial"/>
        </w:rPr>
      </w:pPr>
    </w:p>
    <w:p w14:paraId="239074CC" w14:textId="77777777" w:rsidR="00881D8A" w:rsidRPr="00881D8A" w:rsidRDefault="00881D8A" w:rsidP="00881D8A">
      <w:pPr>
        <w:spacing w:after="0" w:line="240" w:lineRule="auto"/>
        <w:ind w:left="709" w:right="709"/>
        <w:contextualSpacing/>
        <w:jc w:val="both"/>
        <w:rPr>
          <w:rFonts w:ascii="Verdana" w:eastAsia="Calibri" w:hAnsi="Verdana" w:cs="Arial"/>
          <w:sz w:val="20"/>
          <w:szCs w:val="20"/>
          <w:lang w:val="es-ES"/>
        </w:rPr>
      </w:pPr>
      <w:r w:rsidRPr="00881D8A">
        <w:rPr>
          <w:rFonts w:ascii="Verdana" w:eastAsia="Calibri" w:hAnsi="Verdana" w:cs="Arial"/>
          <w:sz w:val="20"/>
          <w:szCs w:val="20"/>
          <w:lang w:val="es-ES"/>
        </w:rPr>
        <w:t xml:space="preserve">“Quiere con esto destacar la Sala que las causales de rechazo de las propuestas pueden ser legales y por lo mismo generan el efecto del descarte o exclusión de la oferta </w:t>
      </w:r>
      <w:proofErr w:type="spellStart"/>
      <w:r w:rsidRPr="00881D8A">
        <w:rPr>
          <w:rFonts w:ascii="Verdana" w:eastAsia="Calibri" w:hAnsi="Verdana" w:cs="Arial"/>
          <w:sz w:val="20"/>
          <w:szCs w:val="20"/>
          <w:lang w:val="es-ES"/>
        </w:rPr>
        <w:t>ope</w:t>
      </w:r>
      <w:proofErr w:type="spellEnd"/>
      <w:r w:rsidRPr="00881D8A">
        <w:rPr>
          <w:rFonts w:ascii="Verdana" w:eastAsia="Calibri" w:hAnsi="Verdana" w:cs="Arial"/>
          <w:sz w:val="20"/>
          <w:szCs w:val="20"/>
          <w:lang w:val="es-ES"/>
        </w:rPr>
        <w:t xml:space="preserve"> </w:t>
      </w:r>
      <w:proofErr w:type="spellStart"/>
      <w:r w:rsidRPr="00881D8A">
        <w:rPr>
          <w:rFonts w:ascii="Verdana" w:eastAsia="Calibri" w:hAnsi="Verdana" w:cs="Arial"/>
          <w:sz w:val="20"/>
          <w:szCs w:val="20"/>
          <w:lang w:val="es-ES"/>
        </w:rPr>
        <w:t>legis</w:t>
      </w:r>
      <w:proofErr w:type="spellEnd"/>
      <w:r w:rsidRPr="00881D8A">
        <w:rPr>
          <w:rFonts w:ascii="Verdana" w:eastAsia="Calibri" w:hAnsi="Verdana" w:cs="Arial"/>
          <w:sz w:val="20"/>
          <w:szCs w:val="20"/>
          <w:lang w:val="es-ES"/>
        </w:rPr>
        <w:t xml:space="preserve">, sin necesidad de que se haga referencia a las mismas en el pliego de condiciones; o también pueden las causales de rechazo de las propuestas ser establecidas expresamente por la entidad en el respectivo pliego de condiciones. Lo cierto es que, sea que las causales de rechazo de la oferta emanen directamente de la ley o del pliego de condiciones, en uno y en otro caso se refieren a defectos, omisiones o circunstancias impeditivas que permiten deducir que la misma no resulta favorable para los intereses de la entidad y los fines de la </w:t>
      </w:r>
      <w:r w:rsidRPr="00881D8A">
        <w:rPr>
          <w:rFonts w:ascii="Verdana" w:eastAsia="Calibri" w:hAnsi="Verdana" w:cs="Arial"/>
          <w:sz w:val="20"/>
          <w:szCs w:val="20"/>
          <w:lang w:val="es-ES"/>
        </w:rPr>
        <w:lastRenderedPageBreak/>
        <w:t>contratación y que de soslayarse se comprometería el cumplimiento de los principios de transparencia, economía y responsabilidad, así como el deber de selección objetiva en la contratación.”</w:t>
      </w:r>
    </w:p>
    <w:p w14:paraId="77DD6C6E" w14:textId="77777777" w:rsidR="00881D8A" w:rsidRPr="00881D8A" w:rsidRDefault="00881D8A" w:rsidP="00881D8A">
      <w:pPr>
        <w:spacing w:after="0" w:line="276" w:lineRule="auto"/>
        <w:jc w:val="both"/>
        <w:rPr>
          <w:rFonts w:ascii="Verdana" w:eastAsia="Calibri" w:hAnsi="Verdana" w:cs="Arial"/>
          <w:lang w:val="es-ES"/>
        </w:rPr>
      </w:pPr>
    </w:p>
    <w:p w14:paraId="0495AC41" w14:textId="77777777" w:rsidR="00881D8A" w:rsidRPr="00881D8A" w:rsidRDefault="00881D8A" w:rsidP="00881D8A">
      <w:pPr>
        <w:spacing w:after="0" w:line="276" w:lineRule="auto"/>
        <w:ind w:firstLine="708"/>
        <w:jc w:val="both"/>
        <w:rPr>
          <w:rFonts w:ascii="Verdana" w:eastAsia="Calibri" w:hAnsi="Verdana" w:cs="Arial"/>
        </w:rPr>
      </w:pPr>
      <w:r w:rsidRPr="00881D8A">
        <w:rPr>
          <w:rFonts w:ascii="Verdana" w:eastAsia="Calibri" w:hAnsi="Verdana" w:cs="Arial"/>
        </w:rPr>
        <w:t>De igual forma, esta Agencia ha reiterado la postura del Consejo de Estado, según la cual, por la naturaleza propia de las causales de rechazo, su aplicación es estricta y restrictiva, lo que significa que su interpretación gramatical prevalece sobre una interpretación extensiva o de otra índole, mediante la cual se pretenda ampliar su alcance. Al respecto, el Consejo de Estado</w:t>
      </w:r>
      <w:r w:rsidRPr="00881D8A">
        <w:rPr>
          <w:rFonts w:ascii="Verdana" w:eastAsia="Calibri" w:hAnsi="Verdana" w:cs="Arial"/>
          <w:vertAlign w:val="superscript"/>
        </w:rPr>
        <w:footnoteReference w:id="3"/>
      </w:r>
      <w:r w:rsidRPr="00881D8A">
        <w:rPr>
          <w:rFonts w:ascii="Verdana" w:eastAsia="Calibri" w:hAnsi="Verdana" w:cs="Arial"/>
        </w:rPr>
        <w:t xml:space="preserve"> sostuvo: </w:t>
      </w:r>
    </w:p>
    <w:p w14:paraId="7CFDE97D" w14:textId="77777777" w:rsidR="00881D8A" w:rsidRPr="00881D8A" w:rsidRDefault="00881D8A" w:rsidP="00881D8A">
      <w:pPr>
        <w:spacing w:after="0" w:line="276" w:lineRule="auto"/>
        <w:jc w:val="both"/>
        <w:rPr>
          <w:rFonts w:ascii="Verdana" w:eastAsia="Calibri" w:hAnsi="Verdana" w:cs="Arial"/>
          <w:lang w:val="es-ES"/>
        </w:rPr>
      </w:pPr>
    </w:p>
    <w:p w14:paraId="33F3633C" w14:textId="77777777" w:rsidR="00881D8A" w:rsidRPr="00881D8A" w:rsidRDefault="00881D8A" w:rsidP="00881D8A">
      <w:pPr>
        <w:spacing w:after="0" w:line="240" w:lineRule="auto"/>
        <w:ind w:left="709" w:right="709"/>
        <w:jc w:val="both"/>
        <w:rPr>
          <w:rFonts w:ascii="Verdana" w:eastAsia="Calibri" w:hAnsi="Verdana" w:cs="Arial"/>
          <w:sz w:val="20"/>
          <w:szCs w:val="20"/>
          <w:lang w:val="es-ES"/>
        </w:rPr>
      </w:pPr>
      <w:r w:rsidRPr="00881D8A">
        <w:rPr>
          <w:rFonts w:ascii="Verdana" w:eastAsia="Calibri" w:hAnsi="Verdana" w:cs="Arial"/>
          <w:sz w:val="20"/>
          <w:szCs w:val="20"/>
          <w:lang w:val="es-ES"/>
        </w:rPr>
        <w:t>“En esta línea de pensamiento, resulta claro que el rechazo o la descalificación de ofertas no puede depender de la libre discrecionalidad de la administración, en la medida en que el oferente, por el hecho de participar en el proceso licitatorio, adquiere el derecho de participar en el procedimiento de selección y se genera para él una situación jurídica particular; en consecuencia, para rechazar o descalificar una propuesta, la entidad pública debe sujetarse a determinadas reglas consistentes en que las causales que dan lugar a ello se encuentren previamente establecidas en la ley, deriven del incumplimiento de requisitos de la propuesta o de la omisión de documentos referentes a la futura contratación que sean necesarios para la comparación de las propuestas, de conformidad con lo establecido en el numeral 15 del artículo 25 de la Ley 80 de 1993, puesto que la causa excluyente debe ser razonable, esencial y proporcionada, toda vez que no tendría justificación excluir una propuesta por una deficiencia que no tenga incidencia alguna en la contratación.”</w:t>
      </w:r>
    </w:p>
    <w:p w14:paraId="1B32D455" w14:textId="77777777" w:rsidR="00881D8A" w:rsidRPr="00881D8A" w:rsidRDefault="00881D8A" w:rsidP="00881D8A">
      <w:pPr>
        <w:spacing w:after="0" w:line="276" w:lineRule="auto"/>
        <w:ind w:left="720"/>
        <w:contextualSpacing/>
        <w:jc w:val="both"/>
        <w:rPr>
          <w:rFonts w:ascii="Verdana" w:eastAsia="Calibri" w:hAnsi="Verdana" w:cs="Arial"/>
          <w:lang w:val="es-ES"/>
        </w:rPr>
      </w:pPr>
    </w:p>
    <w:p w14:paraId="08088B10" w14:textId="77777777" w:rsidR="00881D8A" w:rsidRPr="00881D8A" w:rsidRDefault="00881D8A" w:rsidP="00881D8A">
      <w:pPr>
        <w:spacing w:after="120" w:line="276" w:lineRule="auto"/>
        <w:ind w:firstLine="709"/>
        <w:jc w:val="both"/>
        <w:rPr>
          <w:rFonts w:ascii="Verdana" w:eastAsia="Calibri" w:hAnsi="Verdana" w:cs="Arial"/>
        </w:rPr>
      </w:pPr>
      <w:r w:rsidRPr="00881D8A">
        <w:rPr>
          <w:rFonts w:ascii="Verdana" w:eastAsia="Calibri" w:hAnsi="Verdana" w:cs="Arial"/>
        </w:rPr>
        <w:t xml:space="preserve">Las causales de rechazo de ofertas son taxativas, descartándose que la entidad introduzca causales, salvo, que estén establecidas en otras disposiciones normativas. Igualmente, por la naturaleza de dichas causales, su aplicación es estricta, lo que –a juicio de la Agencia Nacional de Contratación Pública– significa que su interpretación gramatical prevalece sobre una interpretación extensiva o de otra índole, mediante la cual se pretenda ampliar su alcance. </w:t>
      </w:r>
    </w:p>
    <w:p w14:paraId="4ACB918B" w14:textId="77777777" w:rsidR="00881D8A" w:rsidRPr="00881D8A" w:rsidRDefault="00881D8A" w:rsidP="00881D8A">
      <w:pPr>
        <w:spacing w:after="120" w:line="276" w:lineRule="auto"/>
        <w:ind w:firstLine="709"/>
        <w:jc w:val="both"/>
        <w:rPr>
          <w:rFonts w:ascii="Verdana" w:eastAsia="Calibri" w:hAnsi="Verdana" w:cs="Arial"/>
        </w:rPr>
      </w:pPr>
      <w:r w:rsidRPr="00881D8A">
        <w:rPr>
          <w:rFonts w:ascii="Verdana" w:eastAsia="Calibri" w:hAnsi="Verdana" w:cs="Arial"/>
        </w:rPr>
        <w:t xml:space="preserve">De conformidad con esta regla, el rechazo de la oferta procede cuando en ejercicio de la potestad verificadora se advierta que luego de agotar la posibilidad de subsanación o aclaración, el proponente dejó de incluir información que afecta </w:t>
      </w:r>
      <w:r w:rsidRPr="00881D8A">
        <w:rPr>
          <w:rFonts w:ascii="Verdana" w:eastAsia="Calibri" w:hAnsi="Verdana" w:cs="Arial"/>
        </w:rPr>
        <w:lastRenderedPageBreak/>
        <w:t xml:space="preserve">la capacidad residual. Es del caso precisar que la expresión “afecta la capacidad residual” no se restringe a aquellos eventos en los que la información omitida conduce a que el proponente no cumpla con la exigencia de capacidad residual, pues, incluso, si la información omitida no conduce al incumplimiento de dicho requisito, estaríamos frente a un supuesto que cubre esa noción. </w:t>
      </w:r>
    </w:p>
    <w:p w14:paraId="7E9B6C31" w14:textId="77777777" w:rsidR="00881D8A" w:rsidRPr="00881D8A" w:rsidRDefault="00881D8A" w:rsidP="00881D8A">
      <w:pPr>
        <w:spacing w:after="0" w:line="276" w:lineRule="auto"/>
        <w:ind w:firstLine="709"/>
        <w:jc w:val="both"/>
        <w:rPr>
          <w:rFonts w:ascii="Verdana" w:eastAsia="Calibri" w:hAnsi="Verdana" w:cs="Arial"/>
        </w:rPr>
      </w:pPr>
      <w:r w:rsidRPr="00881D8A">
        <w:rPr>
          <w:rFonts w:ascii="Verdana" w:eastAsia="Calibri" w:hAnsi="Verdana" w:cs="Arial"/>
        </w:rPr>
        <w:t xml:space="preserve">De acuerdo con lo anterior, las entidades públicas como directoras de sus procesos de contratación son autónomas en estipular en sus pliegos de condiciones o documentos equivalentes, las causales de rechazo que considere pertinentes, siempre que no contradigan la Ley ni los principios que rigen en materia de contratación, en los casos en que los requisitos habilitantes, entre ellos el referido a la capacidad residual de contratación, no reúnan las exigencias descritas en los citados pliegos de condiciones o documentos equivalentes. Sobre el particular, debe tenerse en cuenta que el parágrafo 1 del artículo 5 de la Ley 1150 de 2007 señala:  </w:t>
      </w:r>
    </w:p>
    <w:p w14:paraId="2B9286D1" w14:textId="77777777" w:rsidR="00881D8A" w:rsidRPr="00881D8A" w:rsidRDefault="00881D8A" w:rsidP="00881D8A">
      <w:pPr>
        <w:spacing w:after="0" w:line="276" w:lineRule="auto"/>
        <w:ind w:firstLine="709"/>
        <w:jc w:val="both"/>
        <w:rPr>
          <w:rFonts w:ascii="Verdana" w:eastAsia="Calibri" w:hAnsi="Verdana" w:cs="Arial"/>
        </w:rPr>
      </w:pPr>
    </w:p>
    <w:p w14:paraId="2F4AD2DF" w14:textId="77777777" w:rsidR="00881D8A" w:rsidRPr="00881D8A" w:rsidRDefault="00881D8A" w:rsidP="00881D8A">
      <w:pPr>
        <w:spacing w:after="0" w:line="240" w:lineRule="auto"/>
        <w:ind w:left="709" w:right="709"/>
        <w:contextualSpacing/>
        <w:jc w:val="both"/>
        <w:rPr>
          <w:rFonts w:ascii="Verdana" w:eastAsia="Times New Roman" w:hAnsi="Verdana" w:cs="Arial"/>
          <w:spacing w:val="2"/>
          <w:sz w:val="21"/>
          <w:szCs w:val="21"/>
          <w:lang w:eastAsia="es-CO"/>
        </w:rPr>
      </w:pPr>
      <w:r w:rsidRPr="00881D8A">
        <w:rPr>
          <w:rFonts w:ascii="Verdana" w:eastAsia="Calibri" w:hAnsi="Verdana" w:cs="Arial"/>
          <w:bCs/>
          <w:sz w:val="21"/>
          <w:szCs w:val="21"/>
        </w:rPr>
        <w:t>“</w:t>
      </w:r>
      <w:r w:rsidRPr="00881D8A">
        <w:rPr>
          <w:rFonts w:ascii="Verdana" w:eastAsia="Times New Roman" w:hAnsi="Verdana" w:cs="Arial"/>
          <w:spacing w:val="2"/>
          <w:sz w:val="20"/>
          <w:szCs w:val="20"/>
          <w:lang w:eastAsia="es-CO"/>
        </w:rPr>
        <w:t>PARÁGRAFO 1o.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puntaje, podrán ser solicitados por las entidades en cualquier momento, hasta la adjudicación. No obstante lo anterior, en aquellos procesos de selección en los que se utilice el mecanismo de subasta, deberán ser solicitados hasta el momento previo a su realización</w:t>
      </w:r>
      <w:r w:rsidRPr="00881D8A">
        <w:rPr>
          <w:rFonts w:ascii="Verdana" w:eastAsia="Calibri" w:hAnsi="Verdana" w:cs="Arial"/>
          <w:bCs/>
          <w:sz w:val="20"/>
          <w:szCs w:val="20"/>
        </w:rPr>
        <w:t>”</w:t>
      </w:r>
      <w:r w:rsidRPr="00881D8A">
        <w:rPr>
          <w:rFonts w:ascii="Verdana" w:eastAsia="Times New Roman" w:hAnsi="Verdana" w:cs="Arial"/>
          <w:spacing w:val="2"/>
          <w:sz w:val="20"/>
          <w:szCs w:val="20"/>
          <w:lang w:eastAsia="es-CO"/>
        </w:rPr>
        <w:t>.</w:t>
      </w:r>
    </w:p>
    <w:p w14:paraId="648891C5" w14:textId="77777777" w:rsidR="00881D8A" w:rsidRPr="00881D8A" w:rsidRDefault="00881D8A" w:rsidP="00881D8A">
      <w:pPr>
        <w:spacing w:after="0" w:line="276" w:lineRule="auto"/>
        <w:contextualSpacing/>
        <w:jc w:val="both"/>
        <w:rPr>
          <w:rFonts w:ascii="Verdana" w:eastAsia="Times New Roman" w:hAnsi="Verdana" w:cs="Arial"/>
          <w:spacing w:val="2"/>
          <w:lang w:eastAsia="es-CO"/>
        </w:rPr>
      </w:pPr>
    </w:p>
    <w:p w14:paraId="664D2DD2" w14:textId="77777777" w:rsidR="00881D8A" w:rsidRPr="00881D8A" w:rsidRDefault="00881D8A" w:rsidP="00881D8A">
      <w:pPr>
        <w:spacing w:after="120" w:line="276" w:lineRule="auto"/>
        <w:ind w:firstLine="709"/>
        <w:jc w:val="both"/>
        <w:rPr>
          <w:rFonts w:ascii="Verdana" w:eastAsia="Calibri" w:hAnsi="Verdana" w:cs="Times New Roman"/>
        </w:rPr>
      </w:pPr>
      <w:r w:rsidRPr="00881D8A">
        <w:rPr>
          <w:rFonts w:ascii="Verdana" w:eastAsia="Calibri" w:hAnsi="Verdana" w:cs="Arial"/>
          <w:lang w:val="es-ES"/>
        </w:rPr>
        <w:t>Por lo tanto, si bien la administración cuenta con un espacio significativo de discrecionalidad al momento de elaborar los pliegos de condiciones, ella se encuentra delimitada por los fines y principios de la contratación estatal. En este entendimiento, la administración no puede establecer en los pliegos de condiciones causales de rechazo que no tengan un fundamento legal o constitucional, y que carezcan de razonabilidad y proporcionalidad en relación con el objeto a contratar.</w:t>
      </w:r>
    </w:p>
    <w:p w14:paraId="39E3C9C6" w14:textId="77777777" w:rsidR="00881D8A" w:rsidRPr="00881D8A" w:rsidRDefault="00881D8A" w:rsidP="00881D8A">
      <w:pPr>
        <w:spacing w:after="120" w:line="276" w:lineRule="auto"/>
        <w:ind w:firstLine="709"/>
        <w:jc w:val="both"/>
        <w:rPr>
          <w:rFonts w:ascii="Verdana" w:eastAsia="Calibri" w:hAnsi="Verdana" w:cs="Times New Roman"/>
        </w:rPr>
      </w:pPr>
      <w:r w:rsidRPr="00881D8A">
        <w:rPr>
          <w:rFonts w:ascii="Verdana" w:eastAsia="Arial" w:hAnsi="Verdana" w:cs="Arial"/>
          <w:lang w:val="es-ES" w:eastAsia="es-ES" w:bidi="es-ES"/>
        </w:rPr>
        <w:t xml:space="preserve">Bajo el marco descrito con anterioridad y para responder al problema jurídico planteado en esta solicitud, </w:t>
      </w:r>
      <w:r w:rsidRPr="00881D8A">
        <w:rPr>
          <w:rFonts w:ascii="Verdana" w:eastAsia="Calibri" w:hAnsi="Verdana" w:cs="Times New Roman"/>
        </w:rPr>
        <w:t xml:space="preserve">relativo a la posibilidad de subsanar la capacidad residual de contratación en eventos en que se utilice los documentos tipo, es menester indicar que dichos documentos tipo expedidos por esta Agencia en ejercicio de la potestad otorgada por la Ley 2022 de 2020, son de obligatoria </w:t>
      </w:r>
      <w:r w:rsidRPr="00881D8A">
        <w:rPr>
          <w:rFonts w:ascii="Verdana" w:eastAsia="Calibri" w:hAnsi="Verdana" w:cs="Times New Roman"/>
        </w:rPr>
        <w:lastRenderedPageBreak/>
        <w:t xml:space="preserve">observancia para las Entidades Estatales sometidas al Estatuto General de Contratación de la Administración Pública. Debido a esto tales entidades deben aplicar de manera forzosa los Documentos Tipo para desarrollar los Procesos de Contratación en los objetos y modalidades cobijadas por los Documentos Tipo. </w:t>
      </w:r>
    </w:p>
    <w:p w14:paraId="72C08DC3" w14:textId="77777777" w:rsidR="00881D8A" w:rsidRPr="00881D8A" w:rsidRDefault="00881D8A" w:rsidP="00881D8A">
      <w:pPr>
        <w:spacing w:after="120" w:line="276" w:lineRule="auto"/>
        <w:ind w:firstLine="709"/>
        <w:jc w:val="both"/>
        <w:rPr>
          <w:rFonts w:ascii="Verdana" w:eastAsia="Calibri" w:hAnsi="Verdana" w:cs="Times New Roman"/>
        </w:rPr>
      </w:pPr>
      <w:r w:rsidRPr="00881D8A">
        <w:rPr>
          <w:rFonts w:ascii="Verdana" w:eastAsia="Calibri" w:hAnsi="Verdana" w:cs="Arial"/>
          <w:szCs w:val="20"/>
          <w:lang w:val="es-MX"/>
        </w:rPr>
        <w:t xml:space="preserve">El numeral 3.10 del documento base de obra de licitación para obra pública de infraestructura de transporte –versión 4 establece </w:t>
      </w:r>
      <w:r w:rsidRPr="00881D8A">
        <w:rPr>
          <w:rFonts w:ascii="Verdana" w:eastAsia="Calibri" w:hAnsi="Verdana" w:cs="Arial"/>
          <w:szCs w:val="20"/>
        </w:rPr>
        <w:t xml:space="preserve">como requisito habilitante la capacidad residual. En este documento tipo, </w:t>
      </w:r>
      <w:r w:rsidRPr="00881D8A">
        <w:rPr>
          <w:rFonts w:ascii="Verdana" w:eastAsia="Calibri" w:hAnsi="Verdana" w:cs="Arial"/>
          <w:szCs w:val="20"/>
          <w:lang w:val="es-MX"/>
        </w:rPr>
        <w:t>al menos tres causales de rechazo del numeral 1.15 se relacionan con la capacidad residual como requisito habilitante, esto es, los literales E, H y X. Estas causales disponen lo siguiente:</w:t>
      </w:r>
    </w:p>
    <w:p w14:paraId="600B7410" w14:textId="77777777" w:rsidR="00881D8A" w:rsidRPr="00881D8A" w:rsidRDefault="00881D8A" w:rsidP="00881D8A">
      <w:pPr>
        <w:spacing w:after="0"/>
        <w:ind w:left="709" w:right="709"/>
        <w:jc w:val="both"/>
        <w:rPr>
          <w:rFonts w:ascii="Verdana" w:eastAsia="Calibri" w:hAnsi="Verdana" w:cs="Arial"/>
          <w:b/>
          <w:bCs/>
          <w:sz w:val="21"/>
          <w:szCs w:val="21"/>
        </w:rPr>
      </w:pPr>
    </w:p>
    <w:p w14:paraId="32707E54" w14:textId="77777777" w:rsidR="00881D8A" w:rsidRPr="00881D8A" w:rsidRDefault="00881D8A" w:rsidP="00881D8A">
      <w:pPr>
        <w:ind w:right="709" w:firstLine="708"/>
        <w:rPr>
          <w:rFonts w:ascii="Verdana" w:eastAsia="Aptos" w:hAnsi="Verdana" w:cs="Times New Roman"/>
          <w:b/>
          <w:bCs/>
          <w:sz w:val="21"/>
          <w:szCs w:val="21"/>
        </w:rPr>
      </w:pPr>
      <w:bookmarkStart w:id="3" w:name="_Toc176242637"/>
      <w:r w:rsidRPr="00881D8A">
        <w:rPr>
          <w:rFonts w:ascii="Verdana" w:eastAsia="Aptos" w:hAnsi="Verdana" w:cs="Times New Roman"/>
          <w:b/>
          <w:bCs/>
          <w:sz w:val="21"/>
          <w:szCs w:val="21"/>
        </w:rPr>
        <w:t>“1.15 CAUSALES DE RECHAZO</w:t>
      </w:r>
      <w:bookmarkEnd w:id="3"/>
    </w:p>
    <w:p w14:paraId="20AB214D" w14:textId="77777777" w:rsidR="00881D8A" w:rsidRPr="00881D8A" w:rsidRDefault="00881D8A" w:rsidP="00881D8A">
      <w:pPr>
        <w:spacing w:after="120" w:line="240" w:lineRule="auto"/>
        <w:ind w:left="709" w:right="709"/>
        <w:rPr>
          <w:rFonts w:ascii="Verdana" w:eastAsia="Aptos" w:hAnsi="Verdana" w:cs="Times New Roman"/>
          <w:sz w:val="21"/>
          <w:szCs w:val="21"/>
          <w:lang w:val="es-MX"/>
        </w:rPr>
      </w:pPr>
      <w:r w:rsidRPr="00881D8A">
        <w:rPr>
          <w:rFonts w:ascii="Verdana" w:eastAsia="Aptos" w:hAnsi="Verdana" w:cs="Times New Roman"/>
          <w:sz w:val="21"/>
          <w:szCs w:val="21"/>
          <w:lang w:val="es-MX"/>
        </w:rPr>
        <w:t xml:space="preserve">Son causales de rechazo de las propuestas las siguientes </w:t>
      </w:r>
      <w:r w:rsidRPr="00881D8A">
        <w:rPr>
          <w:rFonts w:ascii="Verdana" w:eastAsia="Aptos" w:hAnsi="Verdana" w:cs="Times New Roman"/>
          <w:sz w:val="21"/>
          <w:szCs w:val="21"/>
          <w:highlight w:val="lightGray"/>
          <w:lang w:val="es-MX"/>
        </w:rPr>
        <w:t>[Las entidades no podrán incluir causales de rechazo distintas a las señaladas en la presente sección]</w:t>
      </w:r>
      <w:r w:rsidRPr="00881D8A">
        <w:rPr>
          <w:rFonts w:ascii="Verdana" w:eastAsia="Aptos" w:hAnsi="Verdana" w:cs="Times New Roman"/>
          <w:sz w:val="21"/>
          <w:szCs w:val="21"/>
          <w:lang w:val="es-MX"/>
        </w:rPr>
        <w:t>:</w:t>
      </w:r>
    </w:p>
    <w:p w14:paraId="60295712" w14:textId="77777777" w:rsidR="00881D8A" w:rsidRPr="00881D8A" w:rsidRDefault="00881D8A" w:rsidP="00881D8A">
      <w:pPr>
        <w:spacing w:after="120" w:line="240" w:lineRule="auto"/>
        <w:ind w:left="709" w:right="709"/>
        <w:rPr>
          <w:rFonts w:ascii="Verdana" w:eastAsia="Aptos" w:hAnsi="Verdana" w:cs="Times New Roman"/>
          <w:sz w:val="21"/>
          <w:szCs w:val="21"/>
          <w:lang w:val="es-MX"/>
        </w:rPr>
      </w:pPr>
      <w:r w:rsidRPr="00881D8A">
        <w:rPr>
          <w:rFonts w:ascii="Verdana" w:eastAsia="Aptos" w:hAnsi="Verdana" w:cs="Times New Roman"/>
          <w:sz w:val="21"/>
          <w:szCs w:val="21"/>
          <w:lang w:val="es-MX"/>
        </w:rPr>
        <w:t>(…)</w:t>
      </w:r>
    </w:p>
    <w:p w14:paraId="2CFE2E0C" w14:textId="77777777" w:rsidR="00881D8A" w:rsidRPr="00881D8A" w:rsidRDefault="00881D8A" w:rsidP="00881D8A">
      <w:pPr>
        <w:numPr>
          <w:ilvl w:val="0"/>
          <w:numId w:val="19"/>
        </w:numPr>
        <w:spacing w:after="120" w:line="240" w:lineRule="auto"/>
        <w:ind w:right="709"/>
        <w:contextualSpacing/>
        <w:jc w:val="both"/>
        <w:rPr>
          <w:rFonts w:ascii="Verdana" w:eastAsia="Arial" w:hAnsi="Verdana" w:cs="Arial"/>
          <w:sz w:val="21"/>
          <w:szCs w:val="21"/>
          <w:lang w:val="es-MX"/>
        </w:rPr>
      </w:pPr>
      <w:r w:rsidRPr="00881D8A">
        <w:rPr>
          <w:rFonts w:ascii="Verdana" w:eastAsia="Arial" w:hAnsi="Verdana" w:cs="Arial"/>
          <w:sz w:val="21"/>
          <w:szCs w:val="21"/>
          <w:lang w:val="es-MX"/>
        </w:rPr>
        <w:t>Que al Proponente se le haya requerido con el propósito de subsanar o aclarar o aportar un documento de la propuesta y no lo efectúe dentro del plazo indicado o no lo realice correctamente o de acuerdo con lo solicitado, siempre que la subsanación, aclaración o aporte requerido sea necesario para cumplir con un requisito habilitante en los términos establecidos en la sección 1.6 del Documento Base.</w:t>
      </w:r>
    </w:p>
    <w:p w14:paraId="2E395A67" w14:textId="77777777" w:rsidR="00881D8A" w:rsidRPr="00881D8A" w:rsidRDefault="00881D8A" w:rsidP="00881D8A">
      <w:pPr>
        <w:spacing w:after="120" w:line="240" w:lineRule="auto"/>
        <w:ind w:left="709" w:right="709" w:firstLine="283"/>
        <w:jc w:val="both"/>
        <w:rPr>
          <w:rFonts w:ascii="Verdana" w:eastAsia="Arial" w:hAnsi="Verdana" w:cs="Arial"/>
          <w:sz w:val="21"/>
          <w:szCs w:val="21"/>
          <w:lang w:val="es-MX"/>
        </w:rPr>
      </w:pPr>
      <w:r w:rsidRPr="00881D8A">
        <w:rPr>
          <w:rFonts w:ascii="Verdana" w:eastAsia="Arial" w:hAnsi="Verdana" w:cs="Arial"/>
          <w:sz w:val="21"/>
          <w:szCs w:val="21"/>
          <w:lang w:val="es-MX"/>
        </w:rPr>
        <w:t>(…)</w:t>
      </w:r>
    </w:p>
    <w:p w14:paraId="694DE54D" w14:textId="77777777" w:rsidR="00881D8A" w:rsidRPr="00881D8A" w:rsidRDefault="00881D8A" w:rsidP="00881D8A">
      <w:pPr>
        <w:numPr>
          <w:ilvl w:val="0"/>
          <w:numId w:val="20"/>
        </w:numPr>
        <w:spacing w:after="120" w:line="240" w:lineRule="auto"/>
        <w:ind w:right="709"/>
        <w:contextualSpacing/>
        <w:jc w:val="both"/>
        <w:rPr>
          <w:rFonts w:ascii="Verdana" w:eastAsia="Arial" w:hAnsi="Verdana" w:cs="Arial"/>
          <w:sz w:val="21"/>
          <w:szCs w:val="21"/>
          <w:lang w:val="es-MX"/>
        </w:rPr>
      </w:pPr>
      <w:r w:rsidRPr="00881D8A">
        <w:rPr>
          <w:rFonts w:ascii="Verdana" w:eastAsia="Arial" w:hAnsi="Verdana" w:cs="Arial"/>
          <w:sz w:val="21"/>
          <w:szCs w:val="21"/>
          <w:lang w:val="es-MX"/>
        </w:rPr>
        <w:t>Que el proponente aporte información inexacta sobre la cual pueda existir una posible falsedad en los términos de la sección 1.11 del Documento Base.</w:t>
      </w:r>
    </w:p>
    <w:p w14:paraId="6C62AA8A" w14:textId="77777777" w:rsidR="00881D8A" w:rsidRPr="00881D8A" w:rsidRDefault="00881D8A" w:rsidP="00881D8A">
      <w:pPr>
        <w:spacing w:after="120" w:line="240" w:lineRule="auto"/>
        <w:ind w:left="1040" w:right="709"/>
        <w:jc w:val="both"/>
        <w:rPr>
          <w:rFonts w:ascii="Verdana" w:eastAsia="Arial" w:hAnsi="Verdana" w:cs="Arial"/>
          <w:sz w:val="21"/>
          <w:szCs w:val="21"/>
          <w:lang w:val="es-MX"/>
        </w:rPr>
      </w:pPr>
      <w:r w:rsidRPr="00881D8A">
        <w:rPr>
          <w:rFonts w:ascii="Verdana" w:eastAsia="Arial" w:hAnsi="Verdana" w:cs="Arial"/>
          <w:sz w:val="21"/>
          <w:szCs w:val="21"/>
          <w:lang w:val="es-MX"/>
        </w:rPr>
        <w:t>(…)</w:t>
      </w:r>
    </w:p>
    <w:p w14:paraId="20355BBB" w14:textId="77777777" w:rsidR="00881D8A" w:rsidRPr="00881D8A" w:rsidRDefault="00881D8A" w:rsidP="00881D8A">
      <w:pPr>
        <w:numPr>
          <w:ilvl w:val="0"/>
          <w:numId w:val="21"/>
        </w:numPr>
        <w:spacing w:after="120" w:line="240" w:lineRule="auto"/>
        <w:ind w:right="709"/>
        <w:contextualSpacing/>
        <w:jc w:val="both"/>
        <w:rPr>
          <w:rFonts w:ascii="Verdana" w:eastAsia="Arial" w:hAnsi="Verdana" w:cs="Arial"/>
          <w:sz w:val="21"/>
          <w:szCs w:val="21"/>
          <w:lang w:val="es-MX"/>
        </w:rPr>
      </w:pPr>
      <w:r w:rsidRPr="00881D8A">
        <w:rPr>
          <w:rFonts w:ascii="Verdana" w:eastAsia="Arial" w:hAnsi="Verdana" w:cs="Arial"/>
          <w:sz w:val="21"/>
          <w:szCs w:val="21"/>
          <w:lang w:val="es-MX"/>
        </w:rPr>
        <w:t>No informar todos los contratos que el proponente tenga en ejecución antes del cierre, necesarios para acreditar su capacidad residual conforme a la sección 3.11.</w:t>
      </w:r>
    </w:p>
    <w:p w14:paraId="3A0CE87B" w14:textId="77777777" w:rsidR="00881D8A" w:rsidRPr="00881D8A" w:rsidRDefault="00881D8A" w:rsidP="00881D8A">
      <w:pPr>
        <w:spacing w:line="240" w:lineRule="auto"/>
        <w:ind w:left="1069"/>
        <w:contextualSpacing/>
        <w:jc w:val="both"/>
        <w:rPr>
          <w:rFonts w:ascii="Verdana" w:eastAsia="Calibri" w:hAnsi="Verdana" w:cs="Times New Roman"/>
          <w:sz w:val="21"/>
          <w:szCs w:val="21"/>
          <w:lang w:val="es-ES"/>
        </w:rPr>
      </w:pPr>
      <w:r w:rsidRPr="00881D8A">
        <w:rPr>
          <w:rFonts w:ascii="Verdana" w:eastAsia="Calibri" w:hAnsi="Verdana" w:cs="Times New Roman"/>
          <w:sz w:val="21"/>
          <w:szCs w:val="21"/>
          <w:lang w:val="es-ES"/>
        </w:rPr>
        <w:t xml:space="preserve">(…)”. </w:t>
      </w:r>
    </w:p>
    <w:p w14:paraId="1C3F7E78" w14:textId="77777777" w:rsidR="00881D8A" w:rsidRPr="00881D8A" w:rsidRDefault="00881D8A" w:rsidP="00881D8A">
      <w:pPr>
        <w:spacing w:after="0"/>
        <w:ind w:left="709" w:right="709"/>
        <w:jc w:val="both"/>
        <w:rPr>
          <w:rFonts w:ascii="Verdana" w:eastAsia="Calibri" w:hAnsi="Verdana" w:cs="Arial"/>
          <w:szCs w:val="20"/>
          <w:lang w:val="es-MX"/>
        </w:rPr>
      </w:pPr>
    </w:p>
    <w:p w14:paraId="4AE37585" w14:textId="77777777" w:rsidR="00881D8A" w:rsidRPr="00881D8A" w:rsidRDefault="00881D8A" w:rsidP="00881D8A">
      <w:pPr>
        <w:spacing w:line="276" w:lineRule="auto"/>
        <w:ind w:firstLine="708"/>
        <w:jc w:val="both"/>
        <w:rPr>
          <w:rFonts w:ascii="Verdana" w:eastAsia="Calibri" w:hAnsi="Verdana" w:cs="Arial"/>
          <w:szCs w:val="20"/>
          <w:lang w:val="es-MX"/>
        </w:rPr>
      </w:pPr>
      <w:r w:rsidRPr="00881D8A">
        <w:rPr>
          <w:rFonts w:ascii="Verdana" w:eastAsia="Calibri" w:hAnsi="Verdana" w:cs="Arial"/>
          <w:szCs w:val="20"/>
          <w:lang w:val="es-MX"/>
        </w:rPr>
        <w:t xml:space="preserve">Como se consideró en los conceptos del 25 de septiembre y el 23 de diciembre de 2019 −radicados Nos. 2201913000007117 y 2201913000009538−, las causales de rechazo de ofertas contempladas en los documentos tipo son taxativas, descartándose que la entidad introduzca </w:t>
      </w:r>
      <w:r w:rsidRPr="00881D8A">
        <w:rPr>
          <w:rFonts w:ascii="Verdana" w:eastAsia="Calibri" w:hAnsi="Verdana" w:cs="Arial"/>
          <w:szCs w:val="20"/>
          <w:lang w:val="es-MX"/>
        </w:rPr>
        <w:lastRenderedPageBreak/>
        <w:t>causales, salvo, que estén establecidas en otras disposiciones normativas. Igualmente, por la naturaleza de dichas causales, su aplicación es estricta, lo que –a juicio de la Agencia Nacional de Contratación Pública– significa que su interpretación gramatical prevalece sobre una interpretación extensiva o de otra índole, mediante la cual se pretenda ampliar su alcance. En ese contexto, las tres causales de rechazo mencionadas tienen el siguiente alcance:</w:t>
      </w:r>
    </w:p>
    <w:p w14:paraId="13204470" w14:textId="77777777" w:rsidR="00881D8A" w:rsidRPr="00881D8A" w:rsidRDefault="00881D8A" w:rsidP="00881D8A">
      <w:pPr>
        <w:spacing w:before="120" w:after="120" w:line="276" w:lineRule="auto"/>
        <w:ind w:firstLine="708"/>
        <w:jc w:val="both"/>
        <w:rPr>
          <w:rFonts w:ascii="Verdana" w:eastAsia="Calibri" w:hAnsi="Verdana" w:cs="Arial"/>
          <w:i/>
          <w:iCs/>
          <w:lang w:val="es-MX"/>
        </w:rPr>
      </w:pPr>
      <w:r w:rsidRPr="00881D8A">
        <w:rPr>
          <w:rFonts w:ascii="Verdana" w:eastAsia="Calibri" w:hAnsi="Verdana" w:cs="Arial"/>
          <w:i/>
          <w:szCs w:val="20"/>
          <w:lang w:val="es-MX"/>
        </w:rPr>
        <w:t>i)</w:t>
      </w:r>
      <w:r w:rsidRPr="00881D8A">
        <w:rPr>
          <w:rFonts w:ascii="Verdana" w:eastAsia="Calibri" w:hAnsi="Verdana" w:cs="Arial"/>
          <w:szCs w:val="20"/>
          <w:lang w:val="es-MX"/>
        </w:rPr>
        <w:t xml:space="preserve"> La causal del literal X del numeral 1.15 solamente aplica cuando el proponente no informa todos los contratos que tiene en ejecución antes del cierre. Esto se traduce en un deber de cumplir con esta exigencia, sin tener en cuenta la información relacionada en cada uno de ellos. Por ejemplo, si el contratista tiene en ejecución diez contratos, esta causal aplica si el contratista reporta nueve o menos. Esto excluye la configuración de la causal cuando el proponente comete algún error en la información de los contratos, siempre que los reporte todos. Por tanto, la </w:t>
      </w:r>
      <w:r w:rsidRPr="00881D8A">
        <w:rPr>
          <w:rFonts w:ascii="Verdana" w:eastAsia="Calibri" w:hAnsi="Verdana" w:cs="Arial"/>
          <w:lang w:val="es-MX"/>
        </w:rPr>
        <w:t>configuración de la causal de rechazo del literal X es objetiva, pues solo aplica ante la omisión del proponente de informar el número total de contratos en ejecución antes del cierre</w:t>
      </w:r>
      <w:r w:rsidRPr="00881D8A">
        <w:rPr>
          <w:rFonts w:ascii="Verdana" w:eastAsia="Calibri" w:hAnsi="Verdana" w:cs="Arial"/>
          <w:szCs w:val="20"/>
          <w:lang w:val="es-MX"/>
        </w:rPr>
        <w:t>, es decir, opera también cuando no se aporte con la oferta el Formato 5, sólo si, con ello se está omitiendo informar contratos que tenga en ejecución el proponente.</w:t>
      </w:r>
    </w:p>
    <w:p w14:paraId="57EE3D59" w14:textId="77777777" w:rsidR="00881D8A" w:rsidRPr="00881D8A" w:rsidRDefault="00881D8A" w:rsidP="00881D8A">
      <w:pPr>
        <w:spacing w:before="120" w:after="120" w:line="276" w:lineRule="auto"/>
        <w:ind w:firstLine="708"/>
        <w:jc w:val="both"/>
        <w:rPr>
          <w:rFonts w:ascii="Verdana" w:eastAsia="Calibri" w:hAnsi="Verdana" w:cs="Arial"/>
          <w:szCs w:val="20"/>
          <w:lang w:val="es-MX"/>
        </w:rPr>
      </w:pPr>
      <w:r w:rsidRPr="00881D8A">
        <w:rPr>
          <w:rFonts w:ascii="Verdana" w:eastAsia="Calibri" w:hAnsi="Verdana" w:cs="Arial"/>
          <w:i/>
          <w:szCs w:val="20"/>
          <w:lang w:val="es-MX"/>
        </w:rPr>
        <w:t xml:space="preserve">ii) </w:t>
      </w:r>
      <w:r w:rsidRPr="00881D8A">
        <w:rPr>
          <w:rFonts w:ascii="Verdana" w:eastAsia="Calibri" w:hAnsi="Verdana" w:cs="Arial"/>
          <w:szCs w:val="20"/>
          <w:lang w:val="es-MX"/>
        </w:rPr>
        <w:t xml:space="preserve">Lo anterior, sin perjuicio de que para el proponente tenga consecuencias omitir o errar en la información específica de cada contrato –esto es, la cuantía o el plazo, entre otros–, pues la entidad podrá requerirlo para que aclare la información y, en caso de no responder, rechazar la propuesta por la causal que consagra el literal E del numeral 1.15. </w:t>
      </w:r>
    </w:p>
    <w:p w14:paraId="69B4762B" w14:textId="77777777" w:rsidR="00881D8A" w:rsidRPr="00881D8A" w:rsidRDefault="00881D8A" w:rsidP="00881D8A">
      <w:pPr>
        <w:spacing w:before="120" w:after="120" w:line="276" w:lineRule="auto"/>
        <w:ind w:firstLine="708"/>
        <w:jc w:val="both"/>
        <w:rPr>
          <w:rFonts w:ascii="Verdana" w:eastAsia="Calibri" w:hAnsi="Verdana" w:cs="Arial"/>
          <w:szCs w:val="20"/>
          <w:lang w:val="es-MX"/>
        </w:rPr>
      </w:pPr>
      <w:r w:rsidRPr="00881D8A">
        <w:rPr>
          <w:rFonts w:ascii="Verdana" w:eastAsia="Calibri" w:hAnsi="Verdana" w:cs="Arial"/>
          <w:i/>
          <w:szCs w:val="20"/>
          <w:lang w:val="es-MX"/>
        </w:rPr>
        <w:t xml:space="preserve">iii) </w:t>
      </w:r>
      <w:r w:rsidRPr="00881D8A">
        <w:rPr>
          <w:rFonts w:ascii="Verdana" w:eastAsia="Calibri" w:hAnsi="Verdana" w:cs="Arial"/>
          <w:szCs w:val="20"/>
          <w:lang w:val="es-MX"/>
        </w:rPr>
        <w:t xml:space="preserve">Lo dicho en los numerales precedentes tampoco descarta la posibilidad de que la entidad rechace la oferta si encuentra configurada la causal establecida en </w:t>
      </w:r>
      <w:bookmarkStart w:id="4" w:name="_Hlk81383775"/>
      <w:r w:rsidRPr="00881D8A">
        <w:rPr>
          <w:rFonts w:ascii="Verdana" w:eastAsia="Calibri" w:hAnsi="Verdana" w:cs="Arial"/>
          <w:szCs w:val="20"/>
          <w:lang w:val="es-MX"/>
        </w:rPr>
        <w:t>el literal H del numeral 1.15, que aplica cuando el proponente aporta información inexacta sobre la cual pueda existir una posible falsedad, de acuerdo con lo señalado en el numeral 1.11. del documento base</w:t>
      </w:r>
      <w:bookmarkEnd w:id="4"/>
      <w:r w:rsidRPr="00881D8A">
        <w:rPr>
          <w:rFonts w:ascii="Verdana" w:eastAsia="Calibri" w:hAnsi="Verdana" w:cs="Arial"/>
          <w:szCs w:val="20"/>
          <w:lang w:val="es-MX"/>
        </w:rPr>
        <w:t xml:space="preserve">. </w:t>
      </w:r>
    </w:p>
    <w:p w14:paraId="4B262C9B" w14:textId="77777777" w:rsidR="00881D8A" w:rsidRPr="00881D8A" w:rsidRDefault="00881D8A" w:rsidP="00881D8A">
      <w:pPr>
        <w:spacing w:before="120" w:after="120" w:line="276" w:lineRule="auto"/>
        <w:ind w:firstLine="708"/>
        <w:jc w:val="both"/>
        <w:rPr>
          <w:rFonts w:ascii="Verdana" w:eastAsia="Calibri" w:hAnsi="Verdana" w:cs="Arial"/>
          <w:szCs w:val="20"/>
          <w:lang w:val="es-MX"/>
        </w:rPr>
      </w:pPr>
      <w:r w:rsidRPr="00881D8A">
        <w:rPr>
          <w:rFonts w:ascii="Verdana" w:eastAsia="Calibri" w:hAnsi="Verdana" w:cs="Arial"/>
        </w:rPr>
        <w:t>Ahora bien, aunque las</w:t>
      </w:r>
      <w:r w:rsidRPr="00881D8A">
        <w:rPr>
          <w:rFonts w:ascii="Verdana" w:eastAsia="Calibri" w:hAnsi="Verdana" w:cs="Arial"/>
          <w:szCs w:val="20"/>
        </w:rPr>
        <w:t xml:space="preserve"> causales de rechazo del literal E, H y X del numeral 1.15 de los documentos tipo se relacionan con la capacidad residual como requisito habilitante</w:t>
      </w:r>
      <w:r w:rsidRPr="00881D8A">
        <w:rPr>
          <w:rFonts w:ascii="Verdana" w:eastAsia="Calibri" w:hAnsi="Verdana" w:cs="Arial"/>
        </w:rPr>
        <w:t xml:space="preserve">, estas se aplican en supuestos diferentes, de acuerdo con lo explicado </w:t>
      </w:r>
      <w:r w:rsidRPr="00881D8A">
        <w:rPr>
          <w:rFonts w:ascii="Verdana" w:eastAsia="Calibri" w:hAnsi="Verdana" w:cs="Arial"/>
          <w:i/>
        </w:rPr>
        <w:t>ut supra</w:t>
      </w:r>
      <w:r w:rsidRPr="00881D8A">
        <w:rPr>
          <w:rFonts w:ascii="Verdana" w:eastAsia="Calibri" w:hAnsi="Verdana" w:cs="Arial"/>
        </w:rPr>
        <w:t xml:space="preserve">. La causal del literal H se produce si, por ejemplo, el proponente informó todos los contratos en ejecución, pero advierte que la información es inexacta y, además, que sobre la misma puede “existir una posible falsedad”. A título ilustrativo, podría pensarse en un contrato que se </w:t>
      </w:r>
      <w:r w:rsidRPr="00881D8A">
        <w:rPr>
          <w:rFonts w:ascii="Verdana" w:eastAsia="Calibri" w:hAnsi="Verdana" w:cs="Arial"/>
        </w:rPr>
        <w:lastRenderedPageBreak/>
        <w:t>aportó y frente al cual la entidad advierte la falsificación de una de las firmas del documento. Por su parte, la causal del literal X se presenta cuando el proponente deja de informar la totalidad de los contratos que tiene en ejecución antes del cierre o no reporta la información de los contratos exigida en el documento base. Siguiendo con el ejemplo, el supuesto de hecho se presenta si el proponente, teniendo tres contratos de obra en ejecución antes del cierre, no informa la totalidad de estos.</w:t>
      </w:r>
    </w:p>
    <w:p w14:paraId="128A201C" w14:textId="77777777" w:rsidR="00881D8A" w:rsidRPr="00881D8A" w:rsidRDefault="00881D8A" w:rsidP="00881D8A">
      <w:pPr>
        <w:spacing w:before="120" w:after="120" w:line="276" w:lineRule="auto"/>
        <w:ind w:firstLine="708"/>
        <w:jc w:val="both"/>
        <w:rPr>
          <w:rFonts w:ascii="Verdana" w:eastAsia="Calibri" w:hAnsi="Verdana" w:cs="Arial"/>
        </w:rPr>
      </w:pPr>
      <w:r w:rsidRPr="00881D8A">
        <w:rPr>
          <w:rFonts w:ascii="Verdana" w:eastAsia="Calibri" w:hAnsi="Verdana" w:cs="Arial"/>
        </w:rPr>
        <w:t xml:space="preserve">Finalmente, esta distinción también se proyecta sobre las reglas de </w:t>
      </w:r>
      <w:proofErr w:type="spellStart"/>
      <w:r w:rsidRPr="00881D8A">
        <w:rPr>
          <w:rFonts w:ascii="Verdana" w:eastAsia="Calibri" w:hAnsi="Verdana" w:cs="Arial"/>
        </w:rPr>
        <w:t>subsanabilidad</w:t>
      </w:r>
      <w:proofErr w:type="spellEnd"/>
      <w:r w:rsidRPr="00881D8A">
        <w:rPr>
          <w:rFonts w:ascii="Verdana" w:eastAsia="Calibri" w:hAnsi="Verdana" w:cs="Arial"/>
        </w:rPr>
        <w:t xml:space="preserve"> de las ofertas de la Ley 1150 de 2007, pues solo habrá lugar a subsanar en los eventos en los que el proponente omite información sobre los contratos reportados, esto es, en el evento de la causal del literal E. Dicho de otra forma, no se puede subsanar cuando se incurre las causales H y X, eventos en los cuales el rechazo procede de forma automática, es decir, sin permitirle al proponente subsanar la “inexactitud” de la oferta o el número de contratos de obra que tenía el deber de reportar.</w:t>
      </w:r>
    </w:p>
    <w:p w14:paraId="57FE97EE" w14:textId="77777777" w:rsidR="00881D8A" w:rsidRPr="00881D8A" w:rsidRDefault="00881D8A" w:rsidP="00881D8A">
      <w:pPr>
        <w:spacing w:before="120" w:after="120" w:line="276" w:lineRule="auto"/>
        <w:ind w:firstLine="708"/>
        <w:jc w:val="both"/>
        <w:rPr>
          <w:rFonts w:ascii="Verdana" w:eastAsia="Aptos" w:hAnsi="Verdana" w:cs="Arial"/>
        </w:rPr>
      </w:pPr>
      <w:r w:rsidRPr="00881D8A">
        <w:rPr>
          <w:rFonts w:ascii="Verdana" w:eastAsia="Calibri" w:hAnsi="Verdana" w:cs="Arial"/>
        </w:rPr>
        <w:t xml:space="preserve">Ahora bien, la Agencia Nacional de Contratación Pública – Colombia Compra Eficiente, reitera la postura planteada en los conceptos C-429 del 24 de julio de 2020, C-173 del 7 de abril de 2024, C-306 del 16 de mayo de 2022, C-567 del 2 de septiembre de septiembre de 2022, C-748 del 10 de noviembre de 2022, C-280 del 6 de junio de 2023, C-353 del 1 de agosto de 2023, C-978 del 24 de marzo de 2023, C-421 del 13 de septiembre de 2024, C-818 del 16 de diciembre de 2024, C-232 del 1 de abril de 2024, C-419 del 22 de abril de 2025, C-928 del 21 de agosto de 2025, y recientemente en el concepto C-1438 del 6 de noviembre de 2025, en el sentido de manifestar que, </w:t>
      </w:r>
      <w:r w:rsidRPr="00881D8A">
        <w:rPr>
          <w:rFonts w:ascii="Verdana" w:eastAsia="Calibri" w:hAnsi="Verdana" w:cs="Arial"/>
          <w:noProof/>
        </w:rPr>
        <w:t>lo</w:t>
      </w:r>
      <w:r w:rsidRPr="00881D8A">
        <w:rPr>
          <w:rFonts w:ascii="Verdana" w:eastAsia="Calibri" w:hAnsi="Verdana" w:cs="Arial"/>
        </w:rPr>
        <w:t xml:space="preserve"> expresado en el párrafo precedente no contradice lo dispuesto en el artículo 5, parágrafo 1, de la Ley 1150 de 2007, adicionado por el artículo 5 de la Ley 1882 de 2018, norma que dispone que “</w:t>
      </w:r>
      <w:r w:rsidRPr="00881D8A">
        <w:rPr>
          <w:rFonts w:ascii="Verdana" w:eastAsia="Calibri" w:hAnsi="Verdana" w:cs="Times New Roman"/>
        </w:rPr>
        <w:t xml:space="preserve">(…) </w:t>
      </w:r>
      <w:r w:rsidRPr="00881D8A">
        <w:rPr>
          <w:rFonts w:ascii="Verdana" w:eastAsia="Calibri" w:hAnsi="Verdana" w:cs="Arial"/>
        </w:rPr>
        <w:t xml:space="preserve">todos aquellos requisitos de la propuesta que no afecten la asignación de puntaje, deberán ser solicitados por las entidades estatales y deberán ser entregados por los proponentes”. Es cierto que la información “inexacta” y los contratos que no fueron informados, no afectan la asignación de puntaje, pues estos se solicitan para la acreditación de la capacidad residual del proponente, que es uno de los requisitos habilitantes a los que se refiere el Capítulo III del documento base. Sin embargo, los supuestos de hecho en los que se fundamentan las causales de rechazo no permiten la subsanación. </w:t>
      </w:r>
    </w:p>
    <w:p w14:paraId="5D17636B" w14:textId="77777777" w:rsidR="00881D8A" w:rsidRPr="00881D8A" w:rsidRDefault="00881D8A" w:rsidP="00881D8A">
      <w:pPr>
        <w:spacing w:before="120" w:after="120" w:line="276" w:lineRule="auto"/>
        <w:ind w:firstLine="708"/>
        <w:jc w:val="both"/>
        <w:rPr>
          <w:rFonts w:ascii="Verdana" w:eastAsia="Calibri" w:hAnsi="Verdana" w:cs="Arial"/>
        </w:rPr>
      </w:pPr>
      <w:r w:rsidRPr="00881D8A">
        <w:rPr>
          <w:rFonts w:ascii="Verdana" w:eastAsia="Calibri" w:hAnsi="Verdana" w:cs="Arial"/>
        </w:rPr>
        <w:lastRenderedPageBreak/>
        <w:t>La imposibilidad de subsanar se deriva, entonces, del supuesto de hecho de aquellas causales, sin que en esto sea relevante que se otorguen o no puntos a la propuesta por el requisito de capacidad residual. No en vano, desde el punto de vista jurisprudencial, la violación al deber de buena fe en la etapa precontractual justifica el rechazo, pues este tipo de medidas “(…) guardan armonía con principios de rango constitucional y de la contratación estatal, que tienen por finalidad que ningún proponente pueda beneficiarse de información parcial, inexacta o que falta a la verdad. En otras palabras, para la Sala, suministrar información contraria a la realidad en una oferta no puede ser objeto de subsanación dentro de ningún procedimiento de selección”</w:t>
      </w:r>
      <w:r w:rsidRPr="00881D8A">
        <w:rPr>
          <w:rFonts w:ascii="Verdana" w:eastAsia="Calibri" w:hAnsi="Verdana" w:cs="Arial"/>
          <w:vertAlign w:val="superscript"/>
        </w:rPr>
        <w:footnoteReference w:id="4"/>
      </w:r>
      <w:r w:rsidRPr="00881D8A">
        <w:rPr>
          <w:rFonts w:ascii="Verdana" w:eastAsia="Calibri" w:hAnsi="Verdana" w:cs="Arial"/>
        </w:rPr>
        <w:t xml:space="preserve">. </w:t>
      </w:r>
    </w:p>
    <w:p w14:paraId="654DF788" w14:textId="77777777" w:rsidR="00881D8A" w:rsidRPr="00881D8A" w:rsidRDefault="00881D8A" w:rsidP="00881D8A">
      <w:pPr>
        <w:spacing w:before="120" w:after="120" w:line="276" w:lineRule="auto"/>
        <w:ind w:firstLine="709"/>
        <w:jc w:val="both"/>
        <w:rPr>
          <w:rFonts w:ascii="Verdana" w:eastAsia="Aptos" w:hAnsi="Verdana" w:cs="Arial"/>
        </w:rPr>
      </w:pPr>
      <w:r w:rsidRPr="00881D8A">
        <w:rPr>
          <w:rFonts w:ascii="Verdana" w:eastAsia="Aptos" w:hAnsi="Verdana" w:cs="Arial"/>
        </w:rPr>
        <w:t>Como se expresó, la causal del literal X procede cuando el proponente no informa todos los contratos de obra, fenómeno que se verifica con el formato 5. En este supuesto, lo que genera el rechazo de la oferta no es la ausencia de la información del contrato omitido, sino el hecho de haberse informado menos contratos de los que tenía en ejecución. Incluso, en el evento en el que el proponente “corrija” el error e informe la existencia de un contrato no reportado, implica aceptar que ocurrió la causal del literal Z, esto es, que el proponente incumplió su obligación de informar todos los contratos de obra que tenía en ejecución.</w:t>
      </w:r>
    </w:p>
    <w:p w14:paraId="7B1DF950" w14:textId="77777777" w:rsidR="00881D8A" w:rsidRPr="00881D8A" w:rsidRDefault="00881D8A" w:rsidP="00881D8A">
      <w:pPr>
        <w:spacing w:before="120" w:after="120" w:line="276" w:lineRule="auto"/>
        <w:ind w:firstLine="709"/>
        <w:jc w:val="both"/>
        <w:rPr>
          <w:rFonts w:ascii="Verdana" w:eastAsia="Calibri" w:hAnsi="Verdana" w:cs="Arial"/>
        </w:rPr>
      </w:pPr>
      <w:r w:rsidRPr="00881D8A">
        <w:rPr>
          <w:rFonts w:ascii="Verdana" w:eastAsia="Calibri" w:hAnsi="Verdana" w:cs="Arial"/>
        </w:rPr>
        <w:t xml:space="preserve">Conclusión similar se aplica al literal H del numeral 1.15. del documento base, en el entendido de que el supuesto de hecho de esa causal, esto es, lo que genera el rechazo de la oferta, es la acción del proponente de aportar “(…) información inexacta sobre la cual pueda existir una posible falsedad (…)”, no la </w:t>
      </w:r>
      <w:r w:rsidRPr="00881D8A">
        <w:rPr>
          <w:rFonts w:ascii="Verdana" w:eastAsia="Calibri" w:hAnsi="Verdana" w:cs="Arial"/>
        </w:rPr>
        <w:lastRenderedPageBreak/>
        <w:t xml:space="preserve">ausencia de la información que podría haberse tomado del contrato viciado de falsedad. Al respecto, surge la siguiente inquietud: ¿es posible subsanar el hecho de aportar una firma falsa presentando el documento firmado válidamente? Para esta entidad, la respuesta es negativa debido a que la finalidad que persigue la causal </w:t>
      </w:r>
      <w:r w:rsidRPr="00881D8A">
        <w:rPr>
          <w:rFonts w:ascii="Verdana" w:eastAsia="Calibri" w:hAnsi="Verdana" w:cs="Arial"/>
          <w:i/>
        </w:rPr>
        <w:t>sub examine</w:t>
      </w:r>
      <w:r w:rsidRPr="00881D8A">
        <w:rPr>
          <w:rFonts w:ascii="Verdana" w:eastAsia="Calibri" w:hAnsi="Verdana" w:cs="Arial"/>
        </w:rPr>
        <w:t xml:space="preserve"> es desincentivar todas las prácticas delictivas en los procesos de contratación estatal. </w:t>
      </w:r>
    </w:p>
    <w:p w14:paraId="47F27B42" w14:textId="77777777" w:rsidR="00881D8A" w:rsidRPr="00881D8A" w:rsidRDefault="00881D8A" w:rsidP="00881D8A">
      <w:pPr>
        <w:spacing w:after="0"/>
        <w:jc w:val="both"/>
        <w:rPr>
          <w:rFonts w:ascii="Verdana" w:eastAsia="Aptos" w:hAnsi="Verdana" w:cs="Arial"/>
          <w:color w:val="000000"/>
          <w:lang w:val="es-ES"/>
        </w:rPr>
      </w:pPr>
    </w:p>
    <w:p w14:paraId="3C6F5CEE" w14:textId="77777777" w:rsidR="00881D8A" w:rsidRPr="00881D8A" w:rsidRDefault="00881D8A" w:rsidP="00881D8A">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881D8A">
        <w:rPr>
          <w:rFonts w:ascii="Verdana" w:eastAsia="Century Gothic" w:hAnsi="Verdana" w:cs="Century Gothic"/>
          <w:b/>
          <w:bCs/>
        </w:rPr>
        <w:t>Referencias normativas, jurisprudenciales y otras fuentes:</w:t>
      </w:r>
    </w:p>
    <w:p w14:paraId="174CFB04" w14:textId="77777777" w:rsidR="00881D8A" w:rsidRPr="00881D8A" w:rsidRDefault="00881D8A" w:rsidP="00881D8A">
      <w:pPr>
        <w:spacing w:after="0"/>
        <w:ind w:left="-15840"/>
        <w:jc w:val="both"/>
        <w:rPr>
          <w:rFonts w:ascii="Verdana" w:eastAsia="Calibri" w:hAnsi="Verdana" w:cs="Arial"/>
          <w:b/>
          <w:bCs/>
        </w:rPr>
      </w:pPr>
      <w:r w:rsidRPr="00881D8A">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881D8A" w:rsidRPr="00881D8A" w14:paraId="11B1A960" w14:textId="77777777" w:rsidTr="00D43B08">
        <w:trPr>
          <w:trHeight w:val="870"/>
        </w:trPr>
        <w:tc>
          <w:tcPr>
            <w:tcW w:w="8647" w:type="dxa"/>
            <w:tcBorders>
              <w:top w:val="dotted" w:sz="4" w:space="0" w:color="auto"/>
              <w:left w:val="dotted" w:sz="4" w:space="0" w:color="auto"/>
              <w:bottom w:val="dotted" w:sz="4" w:space="0" w:color="auto"/>
              <w:right w:val="dotted" w:sz="4" w:space="0" w:color="auto"/>
            </w:tcBorders>
          </w:tcPr>
          <w:p w14:paraId="7F469926" w14:textId="77777777" w:rsidR="00881D8A" w:rsidRPr="00881D8A" w:rsidRDefault="00881D8A" w:rsidP="00881D8A">
            <w:pPr>
              <w:ind w:left="720"/>
              <w:contextualSpacing/>
              <w:jc w:val="both"/>
              <w:rPr>
                <w:rFonts w:ascii="Verdana" w:eastAsia="Calibri" w:hAnsi="Verdana" w:cs="Arial"/>
                <w:bCs/>
                <w:lang w:val="es-ES"/>
              </w:rPr>
            </w:pPr>
          </w:p>
          <w:p w14:paraId="526E38B2" w14:textId="77777777" w:rsidR="00881D8A" w:rsidRPr="00881D8A" w:rsidRDefault="00881D8A" w:rsidP="00881D8A">
            <w:pPr>
              <w:numPr>
                <w:ilvl w:val="0"/>
                <w:numId w:val="17"/>
              </w:numPr>
              <w:spacing w:line="276" w:lineRule="auto"/>
              <w:jc w:val="both"/>
              <w:rPr>
                <w:rFonts w:ascii="Verdana" w:eastAsia="Aptos" w:hAnsi="Verdana" w:cs="Arial"/>
                <w:color w:val="000000"/>
              </w:rPr>
            </w:pPr>
            <w:r w:rsidRPr="00881D8A">
              <w:rPr>
                <w:rFonts w:ascii="Verdana" w:eastAsia="Arial" w:hAnsi="Verdana" w:cs="Arial"/>
              </w:rPr>
              <w:t xml:space="preserve">Ley 1150 de 2007. Artículo 6. </w:t>
            </w:r>
          </w:p>
          <w:p w14:paraId="6981E219" w14:textId="77777777" w:rsidR="00881D8A" w:rsidRPr="00881D8A" w:rsidRDefault="00881D8A" w:rsidP="00881D8A">
            <w:pPr>
              <w:numPr>
                <w:ilvl w:val="0"/>
                <w:numId w:val="17"/>
              </w:numPr>
              <w:spacing w:line="276" w:lineRule="auto"/>
              <w:jc w:val="both"/>
              <w:rPr>
                <w:rFonts w:ascii="Verdana" w:eastAsia="Aptos" w:hAnsi="Verdana" w:cs="Arial"/>
                <w:color w:val="000000"/>
              </w:rPr>
            </w:pPr>
            <w:r w:rsidRPr="00881D8A">
              <w:rPr>
                <w:rFonts w:ascii="Verdana" w:eastAsia="Arial" w:hAnsi="Verdana" w:cs="Arial"/>
              </w:rPr>
              <w:t xml:space="preserve">Ley 1682 de 2013. </w:t>
            </w:r>
            <w:r w:rsidRPr="00881D8A">
              <w:rPr>
                <w:rFonts w:ascii="Verdana" w:eastAsia="Aptos" w:hAnsi="Verdana" w:cs="Arial"/>
                <w:color w:val="000000"/>
              </w:rPr>
              <w:t xml:space="preserve"> Artículo 3 y </w:t>
            </w:r>
            <w:r w:rsidRPr="00881D8A">
              <w:rPr>
                <w:rFonts w:ascii="Verdana" w:eastAsia="Arial" w:hAnsi="Verdana" w:cs="Arial"/>
              </w:rPr>
              <w:t>72.</w:t>
            </w:r>
          </w:p>
          <w:p w14:paraId="36CBC654" w14:textId="77777777" w:rsidR="00881D8A" w:rsidRPr="00881D8A" w:rsidRDefault="00881D8A" w:rsidP="00881D8A">
            <w:pPr>
              <w:numPr>
                <w:ilvl w:val="0"/>
                <w:numId w:val="17"/>
              </w:numPr>
              <w:spacing w:line="276" w:lineRule="auto"/>
              <w:jc w:val="both"/>
              <w:rPr>
                <w:rFonts w:ascii="Verdana" w:eastAsia="Aptos" w:hAnsi="Verdana" w:cs="Arial"/>
                <w:color w:val="000000"/>
              </w:rPr>
            </w:pPr>
            <w:r w:rsidRPr="00881D8A">
              <w:rPr>
                <w:rFonts w:ascii="Verdana" w:eastAsia="Aptos" w:hAnsi="Verdana" w:cs="Arial"/>
                <w:color w:val="000000"/>
              </w:rPr>
              <w:t xml:space="preserve">Decreto 1082 de 2015. Artículos 2.2.1.1.1.3.1, </w:t>
            </w:r>
            <w:r w:rsidRPr="00881D8A">
              <w:rPr>
                <w:rFonts w:ascii="Verdana" w:eastAsia="Calibri" w:hAnsi="Verdana" w:cs="Arial"/>
                <w:bCs/>
                <w:lang w:eastAsia="es-ES_tradnl"/>
              </w:rPr>
              <w:t xml:space="preserve">2.2.1.1.1.5.1., </w:t>
            </w:r>
            <w:r w:rsidRPr="00881D8A">
              <w:rPr>
                <w:rFonts w:ascii="Verdana" w:eastAsia="Aptos" w:hAnsi="Verdana" w:cs="Arial"/>
                <w:color w:val="000000"/>
              </w:rPr>
              <w:t>2.2.1.1.1.6.4.</w:t>
            </w:r>
          </w:p>
          <w:p w14:paraId="428457E9" w14:textId="77777777" w:rsidR="00881D8A" w:rsidRPr="00881D8A" w:rsidRDefault="00881D8A" w:rsidP="00881D8A">
            <w:pPr>
              <w:numPr>
                <w:ilvl w:val="0"/>
                <w:numId w:val="17"/>
              </w:numPr>
              <w:contextualSpacing/>
              <w:jc w:val="both"/>
              <w:rPr>
                <w:rFonts w:ascii="Verdana" w:eastAsia="Aptos" w:hAnsi="Verdana" w:cs="Times New Roman"/>
              </w:rPr>
            </w:pPr>
            <w:r w:rsidRPr="00881D8A">
              <w:rPr>
                <w:rFonts w:ascii="Verdana" w:eastAsia="Aptos" w:hAnsi="Verdana" w:cs="Times New Roman"/>
              </w:rPr>
              <w:t xml:space="preserve">Consejo de Estado. Sala de lo Contencioso Administrativo. Sección Tercera. Sentencia del 27 de abril de 2011. </w:t>
            </w:r>
            <w:proofErr w:type="spellStart"/>
            <w:r w:rsidRPr="00881D8A">
              <w:rPr>
                <w:rFonts w:ascii="Verdana" w:eastAsia="Aptos" w:hAnsi="Verdana" w:cs="Times New Roman"/>
              </w:rPr>
              <w:t>Exp</w:t>
            </w:r>
            <w:proofErr w:type="spellEnd"/>
            <w:r w:rsidRPr="00881D8A">
              <w:rPr>
                <w:rFonts w:ascii="Verdana" w:eastAsia="Aptos" w:hAnsi="Verdana" w:cs="Times New Roman"/>
              </w:rPr>
              <w:t>. 18.293. C.P. Ruth Stella Correa Palacio.</w:t>
            </w:r>
          </w:p>
          <w:p w14:paraId="6A2D65DA" w14:textId="77777777" w:rsidR="00881D8A" w:rsidRPr="00881D8A" w:rsidRDefault="00881D8A" w:rsidP="00881D8A">
            <w:pPr>
              <w:numPr>
                <w:ilvl w:val="0"/>
                <w:numId w:val="17"/>
              </w:numPr>
              <w:contextualSpacing/>
              <w:jc w:val="both"/>
              <w:rPr>
                <w:rFonts w:ascii="Verdana" w:eastAsia="Aptos" w:hAnsi="Verdana" w:cs="Times New Roman"/>
              </w:rPr>
            </w:pPr>
            <w:r w:rsidRPr="00881D8A">
              <w:rPr>
                <w:rFonts w:ascii="Verdana" w:eastAsia="Aptos" w:hAnsi="Verdana" w:cs="Times New Roman"/>
              </w:rPr>
              <w:t xml:space="preserve">Consejo de Estado. Sala de lo Contencioso Administrativo, Sección Tercera. Sentencia del 21 de noviembre de 2013 </w:t>
            </w:r>
            <w:proofErr w:type="spellStart"/>
            <w:r w:rsidRPr="00881D8A">
              <w:rPr>
                <w:rFonts w:ascii="Verdana" w:eastAsia="Aptos" w:hAnsi="Verdana" w:cs="Times New Roman"/>
              </w:rPr>
              <w:t>Exp</w:t>
            </w:r>
            <w:proofErr w:type="spellEnd"/>
            <w:r w:rsidRPr="00881D8A">
              <w:rPr>
                <w:rFonts w:ascii="Verdana" w:eastAsia="Aptos" w:hAnsi="Verdana" w:cs="Times New Roman"/>
              </w:rPr>
              <w:t>. 25397. C.P. Carlos Alberto Zambrano Barrera.</w:t>
            </w:r>
          </w:p>
          <w:p w14:paraId="6AA93EB9" w14:textId="77777777" w:rsidR="00881D8A" w:rsidRPr="00881D8A" w:rsidRDefault="00881D8A" w:rsidP="00881D8A">
            <w:pPr>
              <w:widowControl w:val="0"/>
              <w:numPr>
                <w:ilvl w:val="0"/>
                <w:numId w:val="17"/>
              </w:numPr>
              <w:autoSpaceDE w:val="0"/>
              <w:autoSpaceDN w:val="0"/>
              <w:spacing w:line="276" w:lineRule="auto"/>
              <w:ind w:left="714" w:hanging="357"/>
              <w:jc w:val="both"/>
              <w:rPr>
                <w:rFonts w:ascii="Verdana" w:eastAsia="Calibri" w:hAnsi="Verdana" w:cs="Arial"/>
                <w:lang w:val="es-ES_tradnl"/>
              </w:rPr>
            </w:pPr>
            <w:r w:rsidRPr="00881D8A">
              <w:rPr>
                <w:rFonts w:ascii="Verdana" w:eastAsia="Calibri" w:hAnsi="Verdana" w:cs="Arial"/>
                <w:lang w:val="es-ES_tradnl"/>
              </w:rPr>
              <w:t xml:space="preserve">Ley 2022 de 2020, artículo 1. </w:t>
            </w:r>
          </w:p>
          <w:p w14:paraId="79D839F0" w14:textId="77777777" w:rsidR="00881D8A" w:rsidRPr="00881D8A" w:rsidRDefault="00881D8A" w:rsidP="00881D8A">
            <w:pPr>
              <w:widowControl w:val="0"/>
              <w:numPr>
                <w:ilvl w:val="0"/>
                <w:numId w:val="17"/>
              </w:numPr>
              <w:autoSpaceDE w:val="0"/>
              <w:autoSpaceDN w:val="0"/>
              <w:spacing w:line="276" w:lineRule="auto"/>
              <w:jc w:val="both"/>
              <w:rPr>
                <w:rFonts w:ascii="Verdana" w:eastAsia="Calibri" w:hAnsi="Verdana" w:cs="Arial"/>
              </w:rPr>
            </w:pPr>
            <w:r w:rsidRPr="00881D8A">
              <w:rPr>
                <w:rFonts w:ascii="Verdana" w:eastAsia="Calibri" w:hAnsi="Verdana" w:cs="Arial"/>
              </w:rPr>
              <w:t>Ley 1150 de 2007, artículo 2.</w:t>
            </w:r>
          </w:p>
          <w:p w14:paraId="77339A41" w14:textId="77777777" w:rsidR="00881D8A" w:rsidRPr="00881D8A" w:rsidRDefault="00881D8A" w:rsidP="00881D8A">
            <w:pPr>
              <w:widowControl w:val="0"/>
              <w:numPr>
                <w:ilvl w:val="0"/>
                <w:numId w:val="17"/>
              </w:numPr>
              <w:autoSpaceDE w:val="0"/>
              <w:autoSpaceDN w:val="0"/>
              <w:spacing w:line="276" w:lineRule="auto"/>
              <w:contextualSpacing/>
              <w:jc w:val="both"/>
              <w:rPr>
                <w:rFonts w:ascii="Verdana" w:eastAsia="Calibri" w:hAnsi="Verdana" w:cs="Arial"/>
                <w:lang w:val="es-ES"/>
              </w:rPr>
            </w:pPr>
            <w:r w:rsidRPr="00881D8A">
              <w:rPr>
                <w:rFonts w:ascii="Verdana" w:eastAsia="Calibri" w:hAnsi="Verdana" w:cs="Arial"/>
                <w:lang w:val="es-ES_tradnl"/>
              </w:rPr>
              <w:t xml:space="preserve">Documentos Tipo. Disponibles en: </w:t>
            </w:r>
            <w:hyperlink r:id="rId11" w:history="1">
              <w:r w:rsidRPr="00881D8A">
                <w:rPr>
                  <w:rFonts w:ascii="Verdana" w:eastAsia="Calibri" w:hAnsi="Verdana" w:cs="Arial"/>
                  <w:color w:val="0000FF"/>
                  <w:u w:val="single"/>
                  <w:lang w:val="es-ES_tradnl"/>
                </w:rPr>
                <w:t>https://www.colombiacompra.gov.co/documentos-tipo/documentos-tipo</w:t>
              </w:r>
            </w:hyperlink>
            <w:r w:rsidRPr="00881D8A">
              <w:rPr>
                <w:rFonts w:ascii="Verdana" w:eastAsia="Calibri" w:hAnsi="Verdana" w:cs="Arial"/>
                <w:lang w:val="es-ES_tradnl"/>
              </w:rPr>
              <w:t>.</w:t>
            </w:r>
          </w:p>
        </w:tc>
      </w:tr>
    </w:tbl>
    <w:p w14:paraId="67BB81CB" w14:textId="77777777" w:rsidR="00881D8A" w:rsidRPr="00881D8A" w:rsidRDefault="00881D8A" w:rsidP="00881D8A">
      <w:pPr>
        <w:tabs>
          <w:tab w:val="left" w:pos="142"/>
          <w:tab w:val="left" w:pos="284"/>
        </w:tabs>
        <w:spacing w:after="0" w:line="276" w:lineRule="auto"/>
        <w:jc w:val="both"/>
        <w:rPr>
          <w:rFonts w:ascii="Verdana" w:eastAsia="Calibri" w:hAnsi="Verdana" w:cs="Arial"/>
        </w:rPr>
      </w:pPr>
    </w:p>
    <w:p w14:paraId="1F6F323F" w14:textId="77777777" w:rsidR="00881D8A" w:rsidRPr="00881D8A" w:rsidRDefault="00881D8A" w:rsidP="00881D8A">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881D8A">
        <w:rPr>
          <w:rFonts w:ascii="Verdana" w:eastAsia="Century Gothic" w:hAnsi="Verdana" w:cs="Century Gothic"/>
          <w:b/>
          <w:bCs/>
        </w:rPr>
        <w:t>Doctrina de la Agencia Nacional de Contratación Pública:</w:t>
      </w:r>
    </w:p>
    <w:p w14:paraId="07E76B23" w14:textId="77777777" w:rsidR="00881D8A" w:rsidRPr="00881D8A" w:rsidRDefault="00881D8A" w:rsidP="00881D8A">
      <w:pPr>
        <w:widowControl w:val="0"/>
        <w:autoSpaceDE w:val="0"/>
        <w:autoSpaceDN w:val="0"/>
        <w:spacing w:after="0" w:line="276" w:lineRule="auto"/>
        <w:jc w:val="both"/>
        <w:rPr>
          <w:rFonts w:ascii="Verdana" w:eastAsia="Calibri" w:hAnsi="Verdana" w:cs="Arial"/>
        </w:rPr>
      </w:pPr>
    </w:p>
    <w:p w14:paraId="5405E5CC" w14:textId="77777777" w:rsidR="00881D8A" w:rsidRPr="00881D8A" w:rsidRDefault="00881D8A" w:rsidP="00881D8A">
      <w:pPr>
        <w:widowControl w:val="0"/>
        <w:autoSpaceDE w:val="0"/>
        <w:autoSpaceDN w:val="0"/>
        <w:spacing w:after="0" w:line="276" w:lineRule="auto"/>
        <w:jc w:val="both"/>
        <w:rPr>
          <w:rFonts w:ascii="Verdana" w:eastAsia="Times New Roman" w:hAnsi="Verdana" w:cs="Arial"/>
          <w:shd w:val="clear" w:color="auto" w:fill="FFFFFF"/>
          <w:lang w:val="es-ES"/>
        </w:rPr>
      </w:pPr>
      <w:r w:rsidRPr="00881D8A">
        <w:rPr>
          <w:rFonts w:ascii="Verdana" w:eastAsia="Calibri" w:hAnsi="Verdana" w:cs="Arial"/>
          <w:shd w:val="clear" w:color="auto" w:fill="FFFFFF"/>
        </w:rPr>
        <w:t>L</w:t>
      </w:r>
      <w:r w:rsidRPr="00881D8A">
        <w:rPr>
          <w:rFonts w:ascii="Verdana" w:eastAsia="Calibri" w:hAnsi="Verdana" w:cs="Arial"/>
          <w:shd w:val="clear" w:color="auto" w:fill="FFFFFF"/>
          <w:lang w:val="es-ES"/>
        </w:rPr>
        <w:t xml:space="preserve">a Agencia Nacional de Contratación Pública – Colombia Compra Eficiente, se pronunció sobre la causal de rechazo del literal X de los documentos tipo de licitación de obra pública de infraestructura de trasporte, entre otros en los siguientes conceptos: </w:t>
      </w:r>
      <w:r w:rsidRPr="00881D8A">
        <w:rPr>
          <w:rFonts w:ascii="Verdana" w:eastAsia="Calibri" w:hAnsi="Verdana" w:cs="Arial"/>
        </w:rPr>
        <w:t>C-429 del 24 de julio de 2020, C-173 del 7 de abril de 2024, C-306 del 16 de mayo de 2022, C-567 del 2 de septiembre de septiembre de 2022, C-748 del 10 de noviembre de 2022, C-280 del 6 de junio de 2023, C-353 del 1 de agosto de 2023, C-978 del 24 de marzo de 2023, C-421 del 13 de septiembre de 2024, C-818 del 16 de diciembre de 2024, C-232 del 1 de abril de 2024, C-419 del 22 de abril de 2025, C-928 del 21 de agosto de 2025, y C-</w:t>
      </w:r>
      <w:r w:rsidRPr="00881D8A">
        <w:rPr>
          <w:rFonts w:ascii="Verdana" w:eastAsia="Calibri" w:hAnsi="Verdana" w:cs="Arial"/>
        </w:rPr>
        <w:lastRenderedPageBreak/>
        <w:t>1438 del 6 de noviembre de 2025.</w:t>
      </w:r>
    </w:p>
    <w:p w14:paraId="014D92EA" w14:textId="77777777" w:rsidR="00881D8A" w:rsidRPr="00881D8A" w:rsidRDefault="00881D8A" w:rsidP="00881D8A">
      <w:pPr>
        <w:widowControl w:val="0"/>
        <w:autoSpaceDE w:val="0"/>
        <w:autoSpaceDN w:val="0"/>
        <w:spacing w:after="0" w:line="276" w:lineRule="auto"/>
        <w:jc w:val="both"/>
        <w:rPr>
          <w:rFonts w:ascii="Verdana" w:eastAsia="Times New Roman" w:hAnsi="Verdana" w:cs="Arial"/>
          <w:shd w:val="clear" w:color="auto" w:fill="FFFFFF"/>
          <w:lang w:val="es-ES"/>
        </w:rPr>
      </w:pPr>
    </w:p>
    <w:p w14:paraId="1809B948" w14:textId="77777777" w:rsidR="00881D8A" w:rsidRPr="00881D8A" w:rsidRDefault="00881D8A" w:rsidP="00881D8A">
      <w:pPr>
        <w:widowControl w:val="0"/>
        <w:autoSpaceDE w:val="0"/>
        <w:autoSpaceDN w:val="0"/>
        <w:spacing w:after="0" w:line="276" w:lineRule="auto"/>
        <w:jc w:val="both"/>
        <w:rPr>
          <w:rFonts w:ascii="Verdana" w:eastAsia="Times New Roman" w:hAnsi="Verdana" w:cs="Arial"/>
          <w:shd w:val="clear" w:color="auto" w:fill="FFFFFF"/>
          <w:lang w:val="es-ES"/>
        </w:rPr>
      </w:pPr>
      <w:r w:rsidRPr="00881D8A">
        <w:rPr>
          <w:rFonts w:ascii="Verdana" w:eastAsia="Times New Roman" w:hAnsi="Verdana" w:cs="Arial"/>
          <w:shd w:val="clear" w:color="auto" w:fill="FFFFFF"/>
          <w:lang w:val="es-ES"/>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881D8A">
          <w:rPr>
            <w:rFonts w:ascii="Verdana" w:eastAsia="Calibri" w:hAnsi="Verdana" w:cs="Arial"/>
            <w:color w:val="0000FF"/>
            <w:kern w:val="2"/>
            <w:u w:val="single"/>
            <w:shd w:val="clear" w:color="auto" w:fill="FFFFFF"/>
            <w14:ligatures w14:val="standardContextual"/>
          </w:rPr>
          <w:t>https://relatoria.colombiacompra.gov.co/</w:t>
        </w:r>
      </w:hyperlink>
      <w:r w:rsidRPr="00881D8A">
        <w:rPr>
          <w:rFonts w:ascii="Verdana" w:eastAsia="Calibri" w:hAnsi="Verdana" w:cs="Arial"/>
          <w:color w:val="0000FF"/>
          <w:kern w:val="2"/>
          <w:u w:val="single"/>
          <w:shd w:val="clear" w:color="auto" w:fill="FFFFFF"/>
          <w14:ligatures w14:val="standardContextual"/>
        </w:rPr>
        <w:t> .</w:t>
      </w:r>
    </w:p>
    <w:p w14:paraId="4815C152" w14:textId="77777777" w:rsidR="00881D8A" w:rsidRPr="00881D8A" w:rsidRDefault="00881D8A" w:rsidP="00881D8A">
      <w:pPr>
        <w:spacing w:after="0" w:line="240" w:lineRule="auto"/>
        <w:jc w:val="both"/>
        <w:rPr>
          <w:rFonts w:ascii="Verdana" w:eastAsia="Calibri" w:hAnsi="Verdana" w:cs="Arial"/>
          <w:color w:val="000000"/>
          <w:kern w:val="2"/>
          <w:sz w:val="24"/>
          <w:szCs w:val="24"/>
          <w:shd w:val="clear" w:color="auto" w:fill="FFFFFF"/>
          <w14:ligatures w14:val="standardContextual"/>
        </w:rPr>
      </w:pPr>
    </w:p>
    <w:p w14:paraId="05A634AE" w14:textId="77777777" w:rsidR="00881D8A" w:rsidRPr="00881D8A" w:rsidRDefault="00881D8A" w:rsidP="00881D8A">
      <w:pPr>
        <w:spacing w:after="0" w:line="240" w:lineRule="auto"/>
        <w:jc w:val="both"/>
        <w:rPr>
          <w:rFonts w:ascii="Verdana" w:eastAsia="Calibri" w:hAnsi="Verdana" w:cs="Arial"/>
          <w:color w:val="000000"/>
          <w:kern w:val="2"/>
          <w:shd w:val="clear" w:color="auto" w:fill="FFFFFF"/>
          <w14:ligatures w14:val="standardContextual"/>
        </w:rPr>
      </w:pPr>
      <w:r w:rsidRPr="00881D8A">
        <w:rPr>
          <w:rFonts w:ascii="Verdana" w:eastAsia="Calibri" w:hAnsi="Verdana" w:cs="Arial"/>
          <w:color w:val="000000"/>
          <w:kern w:val="2"/>
          <w:shd w:val="clear" w:color="auto" w:fill="FFFFFF"/>
          <w14:ligatures w14:val="standardContextual"/>
        </w:rPr>
        <w:t>La Agencia Nacional de Contratación Pública – Colombia Compra Eficiente le informa que ya se encuentra disponible la </w:t>
      </w:r>
      <w:r w:rsidRPr="00881D8A">
        <w:rPr>
          <w:rFonts w:ascii="Verdana" w:eastAsia="Calibri" w:hAnsi="Verdana" w:cs="Arial"/>
          <w:b/>
          <w:bCs/>
          <w:color w:val="000000"/>
          <w:kern w:val="2"/>
          <w:shd w:val="clear" w:color="auto" w:fill="FFFFFF"/>
          <w14:ligatures w14:val="standardContextual"/>
        </w:rPr>
        <w:t>Guía de lineamientos de transparencia y selección objetiva para el departamento de La Guajira – Objetivo sexto constitucional de la Sentencia T-302 del 2017. </w:t>
      </w:r>
      <w:r w:rsidRPr="00881D8A">
        <w:rPr>
          <w:rFonts w:ascii="Verdana" w:eastAsia="Calibri" w:hAnsi="Verdana" w:cs="Arial"/>
          <w:color w:val="000000"/>
          <w:kern w:val="2"/>
          <w:shd w:val="clear" w:color="auto" w:fill="FFFFFF"/>
          <w14:ligatures w14:val="standardContextual"/>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881D8A">
        <w:rPr>
          <w:rFonts w:ascii="Verdana" w:eastAsia="Calibri" w:hAnsi="Verdana" w:cs="Arial"/>
          <w:color w:val="000000"/>
          <w:kern w:val="2"/>
          <w:shd w:val="clear" w:color="auto" w:fill="FFFFFF"/>
          <w14:ligatures w14:val="standardContextual"/>
        </w:rPr>
        <w:t>Wayúu</w:t>
      </w:r>
      <w:proofErr w:type="spellEnd"/>
      <w:r w:rsidRPr="00881D8A">
        <w:rPr>
          <w:rFonts w:ascii="Verdana" w:eastAsia="Calibri" w:hAnsi="Verdana" w:cs="Arial"/>
          <w:color w:val="000000"/>
          <w:kern w:val="2"/>
          <w:shd w:val="clear" w:color="auto" w:fill="FFFFFF"/>
          <w14:ligatures w14:val="standardContextual"/>
        </w:rPr>
        <w:t>. Puede consultar la guía en el siguiente enlace: </w:t>
      </w:r>
      <w:hyperlink r:id="rId13" w:tooltip="Dirección URL original: https://www.colombiacompra.gov.co/wp-content/uploads/2025/05/GUIA-DE-LINEAMIENTOS-DE-TRANSPARENCIA-Y-SELECCION-OBJETIVA-1.0.pdf. Haga clic o pulse si confía en este vínculo." w:history="1">
        <w:r w:rsidRPr="00881D8A">
          <w:rPr>
            <w:rFonts w:ascii="Verdana" w:eastAsia="Calibri" w:hAnsi="Verdana" w:cs="Arial"/>
            <w:color w:val="0000FF"/>
            <w:kern w:val="2"/>
            <w:u w:val="single"/>
            <w:shd w:val="clear" w:color="auto" w:fill="FFFFFF"/>
            <w14:ligatures w14:val="standardContextual"/>
          </w:rPr>
          <w:t>Guía de lineamientos de transparencia y selección objetiva para el departamento de La Guajira – Objetivo sexto constitucional de la Sentencia T-302 del 2017</w:t>
        </w:r>
      </w:hyperlink>
      <w:r w:rsidRPr="00881D8A">
        <w:rPr>
          <w:rFonts w:ascii="Verdana" w:eastAsia="Calibri" w:hAnsi="Verdana" w:cs="Arial"/>
          <w:color w:val="000000"/>
          <w:kern w:val="2"/>
          <w:u w:val="single"/>
          <w:shd w:val="clear" w:color="auto" w:fill="FFFFFF"/>
          <w14:ligatures w14:val="standardContextual"/>
        </w:rPr>
        <w:t>"</w:t>
      </w:r>
    </w:p>
    <w:p w14:paraId="543FB6C0" w14:textId="77777777" w:rsidR="00881D8A" w:rsidRPr="00881D8A" w:rsidRDefault="00881D8A" w:rsidP="00881D8A">
      <w:pPr>
        <w:spacing w:after="0" w:line="278" w:lineRule="auto"/>
        <w:jc w:val="both"/>
        <w:rPr>
          <w:rFonts w:ascii="Verdana" w:eastAsia="Aptos" w:hAnsi="Verdana" w:cs="Times New Roman"/>
          <w:color w:val="212121"/>
          <w:kern w:val="2"/>
          <w14:ligatures w14:val="standardContextual"/>
        </w:rPr>
      </w:pPr>
    </w:p>
    <w:p w14:paraId="2B52BECA" w14:textId="77777777" w:rsidR="00881D8A" w:rsidRPr="00881D8A" w:rsidRDefault="00881D8A" w:rsidP="00881D8A">
      <w:pPr>
        <w:spacing w:after="0" w:line="240" w:lineRule="auto"/>
        <w:jc w:val="both"/>
        <w:rPr>
          <w:rFonts w:ascii="Verdana" w:eastAsia="Calibri" w:hAnsi="Verdana" w:cs="Times New Roman"/>
          <w:kern w:val="2"/>
          <w14:ligatures w14:val="standardContextual"/>
        </w:rPr>
      </w:pPr>
      <w:r w:rsidRPr="00881D8A">
        <w:rPr>
          <w:rFonts w:ascii="Verdana" w:eastAsia="Aptos" w:hAnsi="Verdana" w:cs="Times New Roman"/>
          <w:kern w:val="2"/>
          <w14:ligatures w14:val="standardContextual"/>
        </w:rPr>
        <w:t xml:space="preserve">Por último, lo invitamos a seguirnos en las redes sociales en las cuales se difunde información institucional: </w:t>
      </w:r>
    </w:p>
    <w:p w14:paraId="206E1976" w14:textId="77777777" w:rsidR="00881D8A" w:rsidRPr="00881D8A" w:rsidRDefault="00881D8A" w:rsidP="00881D8A">
      <w:pPr>
        <w:spacing w:after="0" w:line="240" w:lineRule="auto"/>
        <w:jc w:val="both"/>
        <w:rPr>
          <w:rFonts w:ascii="Verdana" w:eastAsia="Aptos" w:hAnsi="Verdana" w:cs="Times New Roman"/>
          <w:kern w:val="2"/>
          <w14:ligatures w14:val="standardContextual"/>
        </w:rPr>
      </w:pPr>
    </w:p>
    <w:p w14:paraId="3AD381AF" w14:textId="77777777" w:rsidR="00881D8A" w:rsidRPr="00881D8A" w:rsidRDefault="00881D8A" w:rsidP="00881D8A">
      <w:pPr>
        <w:spacing w:after="0" w:line="240" w:lineRule="auto"/>
        <w:jc w:val="both"/>
        <w:rPr>
          <w:rFonts w:ascii="Verdana" w:eastAsia="Aptos" w:hAnsi="Verdana" w:cs="Times New Roman"/>
          <w:kern w:val="2"/>
          <w14:ligatures w14:val="standardContextual"/>
        </w:rPr>
      </w:pPr>
      <w:r w:rsidRPr="00881D8A">
        <w:rPr>
          <w:rFonts w:ascii="Verdana" w:eastAsia="Aptos" w:hAnsi="Verdana" w:cs="Times New Roman"/>
          <w:kern w:val="2"/>
          <w14:ligatures w14:val="standardContextual"/>
        </w:rPr>
        <w:t xml:space="preserve">Twitter: </w:t>
      </w:r>
      <w:r w:rsidRPr="00881D8A">
        <w:rPr>
          <w:rFonts w:ascii="Verdana" w:eastAsia="Calibri" w:hAnsi="Verdana" w:cs="Times New Roman"/>
          <w:color w:val="156082"/>
          <w:kern w:val="2"/>
          <w:u w:val="single"/>
          <w14:ligatures w14:val="standardContextual"/>
        </w:rPr>
        <w:t>@colombiacompra</w:t>
      </w:r>
      <w:r w:rsidRPr="00881D8A">
        <w:rPr>
          <w:rFonts w:ascii="Verdana" w:eastAsia="Calibri" w:hAnsi="Verdana" w:cs="Times New Roman"/>
          <w:color w:val="156082"/>
          <w:kern w:val="2"/>
          <w14:ligatures w14:val="standardContextual"/>
        </w:rPr>
        <w:t xml:space="preserve"> </w:t>
      </w:r>
    </w:p>
    <w:p w14:paraId="5F22EACB" w14:textId="77777777" w:rsidR="00881D8A" w:rsidRPr="00881D8A" w:rsidRDefault="00881D8A" w:rsidP="00881D8A">
      <w:pPr>
        <w:spacing w:after="0" w:line="240" w:lineRule="auto"/>
        <w:jc w:val="both"/>
        <w:rPr>
          <w:rFonts w:ascii="Verdana" w:eastAsia="Aptos" w:hAnsi="Verdana" w:cs="Times New Roman"/>
          <w:kern w:val="2"/>
          <w14:ligatures w14:val="standardContextual"/>
        </w:rPr>
      </w:pPr>
      <w:r w:rsidRPr="00881D8A">
        <w:rPr>
          <w:rFonts w:ascii="Verdana" w:eastAsia="Aptos" w:hAnsi="Verdana" w:cs="Times New Roman"/>
          <w:kern w:val="2"/>
          <w14:ligatures w14:val="standardContextual"/>
        </w:rPr>
        <w:t xml:space="preserve">Facebook: </w:t>
      </w:r>
      <w:proofErr w:type="spellStart"/>
      <w:r w:rsidRPr="00881D8A">
        <w:rPr>
          <w:rFonts w:ascii="Verdana" w:eastAsia="Calibri" w:hAnsi="Verdana" w:cs="Times New Roman"/>
          <w:color w:val="156082"/>
          <w:kern w:val="2"/>
          <w:u w:val="single"/>
          <w14:ligatures w14:val="standardContextual"/>
        </w:rPr>
        <w:t>ColombiaCompraEficiente</w:t>
      </w:r>
      <w:proofErr w:type="spellEnd"/>
    </w:p>
    <w:p w14:paraId="59964DE1" w14:textId="77777777" w:rsidR="00881D8A" w:rsidRPr="00881D8A" w:rsidRDefault="00881D8A" w:rsidP="00881D8A">
      <w:pPr>
        <w:spacing w:after="0" w:line="240" w:lineRule="auto"/>
        <w:jc w:val="both"/>
        <w:rPr>
          <w:rFonts w:ascii="Verdana" w:eastAsia="Aptos" w:hAnsi="Verdana" w:cs="Times New Roman"/>
          <w:kern w:val="2"/>
          <w14:ligatures w14:val="standardContextual"/>
        </w:rPr>
      </w:pPr>
      <w:r w:rsidRPr="00881D8A">
        <w:rPr>
          <w:rFonts w:ascii="Verdana" w:eastAsia="Aptos" w:hAnsi="Verdana" w:cs="Times New Roman"/>
          <w:kern w:val="2"/>
          <w14:ligatures w14:val="standardContextual"/>
        </w:rPr>
        <w:t xml:space="preserve">LinkedIn: </w:t>
      </w:r>
      <w:r w:rsidRPr="00881D8A">
        <w:rPr>
          <w:rFonts w:ascii="Verdana" w:eastAsia="Calibri" w:hAnsi="Verdana" w:cs="Times New Roman"/>
          <w:color w:val="156082"/>
          <w:kern w:val="2"/>
          <w:u w:val="single"/>
          <w14:ligatures w14:val="standardContextual"/>
        </w:rPr>
        <w:t>Agencia Nacional de Contratación Pública - Colombia Compra Eficiente</w:t>
      </w:r>
      <w:r w:rsidRPr="00881D8A">
        <w:rPr>
          <w:rFonts w:ascii="Verdana" w:eastAsia="Calibri" w:hAnsi="Verdana" w:cs="Times New Roman"/>
          <w:color w:val="156082"/>
          <w:kern w:val="2"/>
          <w14:ligatures w14:val="standardContextual"/>
        </w:rPr>
        <w:t xml:space="preserve"> </w:t>
      </w:r>
      <w:r w:rsidRPr="00881D8A">
        <w:rPr>
          <w:rFonts w:ascii="Verdana" w:eastAsia="Aptos" w:hAnsi="Verdana" w:cs="Times New Roman"/>
          <w:kern w:val="2"/>
          <w14:ligatures w14:val="standardContextual"/>
        </w:rPr>
        <w:t xml:space="preserve">Instagram: </w:t>
      </w:r>
      <w:r w:rsidRPr="00881D8A">
        <w:rPr>
          <w:rFonts w:ascii="Verdana" w:eastAsia="Calibri" w:hAnsi="Verdana" w:cs="Times New Roman"/>
          <w:color w:val="156082"/>
          <w:kern w:val="2"/>
          <w:u w:val="single"/>
          <w14:ligatures w14:val="standardContextual"/>
        </w:rPr>
        <w:t>@colombiacompraeficiente_cce</w:t>
      </w:r>
    </w:p>
    <w:p w14:paraId="76368C4C" w14:textId="77777777" w:rsidR="00881D8A" w:rsidRPr="00881D8A" w:rsidRDefault="00881D8A" w:rsidP="00881D8A">
      <w:pPr>
        <w:spacing w:after="0" w:line="276" w:lineRule="auto"/>
        <w:jc w:val="both"/>
        <w:rPr>
          <w:rFonts w:ascii="Verdana" w:eastAsia="Aptos" w:hAnsi="Verdana" w:cs="Times New Roman"/>
          <w:kern w:val="2"/>
          <w14:ligatures w14:val="standardContextual"/>
        </w:rPr>
      </w:pPr>
    </w:p>
    <w:p w14:paraId="25B13E77" w14:textId="77777777" w:rsidR="00881D8A" w:rsidRPr="00881D8A" w:rsidRDefault="00881D8A" w:rsidP="00881D8A">
      <w:pPr>
        <w:spacing w:after="0" w:line="276" w:lineRule="auto"/>
        <w:jc w:val="both"/>
        <w:rPr>
          <w:rFonts w:ascii="Verdana" w:eastAsia="Calibri" w:hAnsi="Verdana" w:cs="Times New Roman"/>
          <w:bCs/>
          <w:kern w:val="2"/>
          <w:lang w:val="es-ES_tradnl"/>
          <w14:ligatures w14:val="standardContextual"/>
        </w:rPr>
      </w:pPr>
      <w:r w:rsidRPr="00881D8A">
        <w:rPr>
          <w:rFonts w:ascii="Verdana" w:eastAsia="Calibri" w:hAnsi="Verdana" w:cs="Times New Roman"/>
          <w:kern w:val="2"/>
          <w:lang w:val="es-ES_tradnl"/>
          <w14:ligatures w14:val="standardContextua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1BB622A4" w14:textId="77777777" w:rsidR="00881D8A" w:rsidRPr="00881D8A" w:rsidRDefault="00881D8A" w:rsidP="00881D8A">
      <w:pPr>
        <w:spacing w:after="0" w:line="276" w:lineRule="auto"/>
        <w:jc w:val="both"/>
        <w:rPr>
          <w:rFonts w:ascii="Verdana" w:eastAsia="Times New Roman" w:hAnsi="Verdana" w:cs="Vrinda"/>
          <w:lang w:val="es-MX" w:eastAsia="es-CO"/>
        </w:rPr>
      </w:pPr>
    </w:p>
    <w:p w14:paraId="355BA507" w14:textId="77777777" w:rsidR="00881D8A" w:rsidRPr="00881D8A" w:rsidRDefault="00881D8A" w:rsidP="00881D8A">
      <w:pPr>
        <w:spacing w:after="0" w:line="276" w:lineRule="auto"/>
        <w:jc w:val="both"/>
        <w:rPr>
          <w:rFonts w:ascii="Verdana" w:eastAsia="Calibri" w:hAnsi="Verdana" w:cs="Vrinda"/>
        </w:rPr>
      </w:pPr>
      <w:r w:rsidRPr="00881D8A">
        <w:rPr>
          <w:rFonts w:ascii="Verdana" w:eastAsia="Calibri" w:hAnsi="Verdana" w:cs="Vrinda"/>
        </w:rPr>
        <w:t>Atentamente,</w:t>
      </w:r>
      <w:bookmarkEnd w:id="1"/>
    </w:p>
    <w:bookmarkEnd w:id="0"/>
    <w:p w14:paraId="17D6C0E8" w14:textId="7DDA6BBF" w:rsidR="00881D8A" w:rsidRPr="00881D8A" w:rsidRDefault="0001145D" w:rsidP="00881D8A">
      <w:pPr>
        <w:tabs>
          <w:tab w:val="left" w:pos="1320"/>
        </w:tabs>
        <w:jc w:val="center"/>
        <w:rPr>
          <w:rFonts w:ascii="Verdana" w:eastAsia="Calibri" w:hAnsi="Verdana" w:cs="Times New Roman"/>
        </w:rPr>
      </w:pPr>
      <w:r w:rsidRPr="004D5C25">
        <w:rPr>
          <w:rFonts w:ascii="Century Gothic" w:hAnsi="Century Gothic"/>
          <w:noProof/>
        </w:rPr>
        <w:lastRenderedPageBreak/>
        <w:drawing>
          <wp:inline distT="0" distB="0" distL="0" distR="0" wp14:anchorId="3F6477B2" wp14:editId="42DFCD72">
            <wp:extent cx="2379202" cy="1021404"/>
            <wp:effectExtent l="0" t="0" r="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4"/>
                    <a:stretch>
                      <a:fillRect/>
                    </a:stretch>
                  </pic:blipFill>
                  <pic:spPr>
                    <a:xfrm>
                      <a:off x="0" y="0"/>
                      <a:ext cx="2445630" cy="1049922"/>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81D8A" w:rsidRPr="00881D8A" w14:paraId="2432EACD" w14:textId="77777777" w:rsidTr="00D43B08">
        <w:trPr>
          <w:trHeight w:val="315"/>
        </w:trPr>
        <w:tc>
          <w:tcPr>
            <w:tcW w:w="893" w:type="dxa"/>
            <w:vAlign w:val="center"/>
            <w:hideMark/>
          </w:tcPr>
          <w:p w14:paraId="24B34313" w14:textId="77777777" w:rsidR="00881D8A" w:rsidRPr="00881D8A" w:rsidRDefault="00881D8A" w:rsidP="00881D8A">
            <w:pPr>
              <w:rPr>
                <w:rFonts w:ascii="Verdana" w:eastAsia="Calibri" w:hAnsi="Verdana" w:cs="Arial"/>
                <w:sz w:val="16"/>
                <w:szCs w:val="16"/>
                <w:lang w:eastAsia="es-ES"/>
              </w:rPr>
            </w:pPr>
            <w:r w:rsidRPr="00881D8A">
              <w:rPr>
                <w:rFonts w:ascii="Verdana" w:eastAsia="Calibri" w:hAnsi="Verdana" w:cs="Arial"/>
                <w:sz w:val="16"/>
                <w:szCs w:val="16"/>
                <w:lang w:eastAsia="es-ES"/>
              </w:rPr>
              <w:t>Elaboró:</w:t>
            </w:r>
          </w:p>
        </w:tc>
        <w:tc>
          <w:tcPr>
            <w:tcW w:w="5628" w:type="dxa"/>
            <w:tcBorders>
              <w:top w:val="nil"/>
              <w:left w:val="nil"/>
              <w:bottom w:val="dotted" w:sz="4" w:space="0" w:color="7F7F7F"/>
              <w:right w:val="nil"/>
            </w:tcBorders>
            <w:vAlign w:val="center"/>
            <w:hideMark/>
          </w:tcPr>
          <w:p w14:paraId="0C20EBA0" w14:textId="77777777" w:rsidR="00881D8A" w:rsidRPr="00881D8A" w:rsidRDefault="00881D8A" w:rsidP="00881D8A">
            <w:pPr>
              <w:rPr>
                <w:rFonts w:ascii="Verdana" w:eastAsia="Arial" w:hAnsi="Verdana" w:cs="Arial"/>
                <w:sz w:val="16"/>
                <w:szCs w:val="16"/>
              </w:rPr>
            </w:pPr>
            <w:r w:rsidRPr="00881D8A">
              <w:rPr>
                <w:rFonts w:ascii="Verdana" w:eastAsia="Arial" w:hAnsi="Verdana" w:cs="Arial"/>
                <w:sz w:val="16"/>
                <w:szCs w:val="16"/>
              </w:rPr>
              <w:t xml:space="preserve">Carlos Mario </w:t>
            </w:r>
            <w:proofErr w:type="spellStart"/>
            <w:r w:rsidRPr="00881D8A">
              <w:rPr>
                <w:rFonts w:ascii="Verdana" w:eastAsia="Arial" w:hAnsi="Verdana" w:cs="Arial"/>
                <w:sz w:val="16"/>
                <w:szCs w:val="16"/>
              </w:rPr>
              <w:t>Castrillon</w:t>
            </w:r>
            <w:proofErr w:type="spellEnd"/>
            <w:r w:rsidRPr="00881D8A">
              <w:rPr>
                <w:rFonts w:ascii="Verdana" w:eastAsia="Arial" w:hAnsi="Verdana" w:cs="Arial"/>
                <w:sz w:val="16"/>
                <w:szCs w:val="16"/>
              </w:rPr>
              <w:t xml:space="preserve"> Endo </w:t>
            </w:r>
          </w:p>
          <w:p w14:paraId="65FC03AF" w14:textId="77777777" w:rsidR="00881D8A" w:rsidRPr="00881D8A" w:rsidRDefault="00881D8A" w:rsidP="00881D8A">
            <w:pPr>
              <w:rPr>
                <w:rFonts w:ascii="Verdana" w:eastAsia="Arial" w:hAnsi="Verdana" w:cs="Arial"/>
                <w:sz w:val="16"/>
                <w:szCs w:val="16"/>
              </w:rPr>
            </w:pPr>
            <w:r w:rsidRPr="00881D8A">
              <w:rPr>
                <w:rFonts w:ascii="Verdana" w:eastAsia="Arial" w:hAnsi="Verdana" w:cs="Arial"/>
                <w:sz w:val="16"/>
                <w:szCs w:val="16"/>
              </w:rPr>
              <w:t>Contratista de la Subdirección de Gestión Contractual</w:t>
            </w:r>
          </w:p>
          <w:p w14:paraId="10263103" w14:textId="77777777" w:rsidR="00881D8A" w:rsidRPr="00881D8A" w:rsidRDefault="00881D8A" w:rsidP="00881D8A">
            <w:pPr>
              <w:rPr>
                <w:rFonts w:ascii="Verdana" w:eastAsia="Arial" w:hAnsi="Verdana" w:cs="Arial"/>
                <w:sz w:val="16"/>
                <w:szCs w:val="16"/>
              </w:rPr>
            </w:pPr>
          </w:p>
        </w:tc>
      </w:tr>
      <w:tr w:rsidR="00881D8A" w:rsidRPr="00881D8A" w14:paraId="790A10E7" w14:textId="77777777" w:rsidTr="00D43B08">
        <w:trPr>
          <w:trHeight w:val="330"/>
        </w:trPr>
        <w:tc>
          <w:tcPr>
            <w:tcW w:w="893" w:type="dxa"/>
            <w:vAlign w:val="center"/>
            <w:hideMark/>
          </w:tcPr>
          <w:p w14:paraId="5066827A" w14:textId="77777777" w:rsidR="00881D8A" w:rsidRPr="00881D8A" w:rsidRDefault="00881D8A" w:rsidP="00881D8A">
            <w:pPr>
              <w:rPr>
                <w:rFonts w:ascii="Verdana" w:eastAsia="Calibri" w:hAnsi="Verdana" w:cs="Arial"/>
                <w:sz w:val="16"/>
                <w:szCs w:val="16"/>
                <w:lang w:eastAsia="es-ES"/>
              </w:rPr>
            </w:pPr>
            <w:r w:rsidRPr="00881D8A">
              <w:rPr>
                <w:rFonts w:ascii="Verdana" w:eastAsia="Calibri" w:hAnsi="Verdana" w:cs="Arial"/>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07A87185" w14:textId="77777777" w:rsidR="00881D8A" w:rsidRPr="00881D8A" w:rsidRDefault="00881D8A" w:rsidP="00881D8A">
            <w:pPr>
              <w:textAlignment w:val="baseline"/>
              <w:rPr>
                <w:rFonts w:ascii="Verdana" w:eastAsia="Times New Roman" w:hAnsi="Verdana" w:cs="Aptos"/>
                <w:sz w:val="16"/>
                <w:szCs w:val="16"/>
                <w:lang w:eastAsia="es-CO"/>
              </w:rPr>
            </w:pPr>
            <w:r w:rsidRPr="00881D8A">
              <w:rPr>
                <w:rFonts w:ascii="Verdana" w:eastAsia="Times New Roman" w:hAnsi="Verdana" w:cs="Aptos"/>
                <w:sz w:val="16"/>
                <w:szCs w:val="16"/>
                <w:lang w:eastAsia="es-CO"/>
              </w:rPr>
              <w:t xml:space="preserve">Juan David Cárdenas Cabeza </w:t>
            </w:r>
          </w:p>
          <w:p w14:paraId="64179DB5" w14:textId="77777777" w:rsidR="00881D8A" w:rsidRPr="00881D8A" w:rsidRDefault="00881D8A" w:rsidP="00881D8A">
            <w:pPr>
              <w:rPr>
                <w:rFonts w:ascii="Verdana" w:eastAsia="Arial" w:hAnsi="Verdana" w:cs="Arial"/>
                <w:sz w:val="16"/>
                <w:szCs w:val="16"/>
              </w:rPr>
            </w:pPr>
            <w:r w:rsidRPr="00881D8A">
              <w:rPr>
                <w:rFonts w:ascii="Verdana" w:eastAsia="Arial" w:hAnsi="Verdana" w:cs="Arial"/>
                <w:sz w:val="16"/>
                <w:szCs w:val="16"/>
              </w:rPr>
              <w:t>Contratista de la Subdirección de Gestión Contractual</w:t>
            </w:r>
          </w:p>
        </w:tc>
      </w:tr>
      <w:tr w:rsidR="00881D8A" w:rsidRPr="00881D8A" w14:paraId="37D2AE29" w14:textId="77777777" w:rsidTr="00D43B08">
        <w:trPr>
          <w:trHeight w:val="300"/>
        </w:trPr>
        <w:tc>
          <w:tcPr>
            <w:tcW w:w="893" w:type="dxa"/>
            <w:vAlign w:val="center"/>
          </w:tcPr>
          <w:p w14:paraId="12375A31" w14:textId="77777777" w:rsidR="00881D8A" w:rsidRPr="00881D8A" w:rsidRDefault="00881D8A" w:rsidP="00881D8A">
            <w:pPr>
              <w:rPr>
                <w:rFonts w:ascii="Verdana" w:eastAsia="Calibri" w:hAnsi="Verdana" w:cs="Arial"/>
                <w:sz w:val="16"/>
                <w:szCs w:val="16"/>
                <w:lang w:eastAsia="es-ES"/>
              </w:rPr>
            </w:pPr>
            <w:r w:rsidRPr="00881D8A">
              <w:rPr>
                <w:rFonts w:ascii="Verdana" w:eastAsia="Calibri" w:hAnsi="Verdana" w:cs="Arial"/>
                <w:sz w:val="16"/>
                <w:szCs w:val="16"/>
                <w:lang w:eastAsia="es-ES"/>
              </w:rPr>
              <w:t>Aprobó:</w:t>
            </w:r>
          </w:p>
        </w:tc>
        <w:tc>
          <w:tcPr>
            <w:tcW w:w="5628" w:type="dxa"/>
            <w:tcBorders>
              <w:top w:val="dotted" w:sz="4" w:space="0" w:color="7F7F7F"/>
              <w:left w:val="nil"/>
              <w:bottom w:val="dotted" w:sz="4" w:space="0" w:color="7F7F7F"/>
              <w:right w:val="nil"/>
            </w:tcBorders>
            <w:vAlign w:val="center"/>
          </w:tcPr>
          <w:p w14:paraId="708BCF68" w14:textId="77777777" w:rsidR="00881D8A" w:rsidRPr="00881D8A" w:rsidRDefault="00881D8A" w:rsidP="00881D8A">
            <w:pPr>
              <w:rPr>
                <w:rFonts w:ascii="Verdana" w:eastAsia="Calibri" w:hAnsi="Verdana" w:cs="Arial"/>
                <w:sz w:val="16"/>
                <w:szCs w:val="16"/>
                <w:lang w:eastAsia="es-ES"/>
              </w:rPr>
            </w:pPr>
            <w:r w:rsidRPr="00881D8A">
              <w:rPr>
                <w:rFonts w:ascii="Verdana" w:eastAsia="Calibri" w:hAnsi="Verdana" w:cs="Arial"/>
                <w:sz w:val="16"/>
                <w:szCs w:val="16"/>
                <w:lang w:eastAsia="es-ES"/>
              </w:rPr>
              <w:t xml:space="preserve">Carolina Quintero </w:t>
            </w:r>
            <w:proofErr w:type="spellStart"/>
            <w:r w:rsidRPr="00881D8A">
              <w:rPr>
                <w:rFonts w:ascii="Verdana" w:eastAsia="Calibri" w:hAnsi="Verdana" w:cs="Arial"/>
                <w:sz w:val="16"/>
                <w:szCs w:val="16"/>
                <w:lang w:eastAsia="es-ES"/>
              </w:rPr>
              <w:t>Gacharná</w:t>
            </w:r>
            <w:proofErr w:type="spellEnd"/>
          </w:p>
          <w:p w14:paraId="3EA0BF2B" w14:textId="77777777" w:rsidR="00881D8A" w:rsidRPr="00881D8A" w:rsidRDefault="00881D8A" w:rsidP="00881D8A">
            <w:pPr>
              <w:rPr>
                <w:rFonts w:ascii="Verdana" w:eastAsia="Calibri" w:hAnsi="Verdana" w:cs="Arial"/>
                <w:sz w:val="16"/>
                <w:szCs w:val="16"/>
                <w:lang w:eastAsia="es-ES"/>
              </w:rPr>
            </w:pPr>
            <w:r w:rsidRPr="00881D8A">
              <w:rPr>
                <w:rFonts w:ascii="Verdana" w:eastAsia="Calibri" w:hAnsi="Verdana" w:cs="Arial"/>
                <w:sz w:val="16"/>
                <w:szCs w:val="16"/>
                <w:lang w:eastAsia="es-ES"/>
              </w:rPr>
              <w:t>Subdirectora de Gestión Contractual ANCP – CCE</w:t>
            </w:r>
          </w:p>
        </w:tc>
      </w:tr>
    </w:tbl>
    <w:p w14:paraId="2870370F" w14:textId="77777777" w:rsidR="00881D8A" w:rsidRPr="00881D8A" w:rsidRDefault="00881D8A" w:rsidP="00881D8A">
      <w:pPr>
        <w:rPr>
          <w:rFonts w:ascii="Verdana" w:eastAsia="Calibri" w:hAnsi="Verdana" w:cs="Times New Roman"/>
        </w:rPr>
      </w:pPr>
    </w:p>
    <w:p w14:paraId="73FCFDF5" w14:textId="77777777" w:rsidR="00881D8A" w:rsidRPr="00881D8A" w:rsidRDefault="00881D8A" w:rsidP="00881D8A">
      <w:pPr>
        <w:rPr>
          <w:rFonts w:ascii="Verdana" w:eastAsia="Aptos" w:hAnsi="Verdana" w:cs="Times New Roman"/>
        </w:rPr>
      </w:pPr>
    </w:p>
    <w:p w14:paraId="0F293BF4" w14:textId="606F5580" w:rsidR="00127233" w:rsidRPr="00BF201D" w:rsidRDefault="00127233" w:rsidP="00BF201D"/>
    <w:sectPr w:rsidR="00127233" w:rsidRPr="00BF201D"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F0DDF8" w14:textId="77777777" w:rsidR="00FE041D" w:rsidRDefault="00FE041D" w:rsidP="004A1847">
      <w:pPr>
        <w:spacing w:after="0" w:line="240" w:lineRule="auto"/>
      </w:pPr>
      <w:r>
        <w:separator/>
      </w:r>
    </w:p>
  </w:endnote>
  <w:endnote w:type="continuationSeparator" w:id="0">
    <w:p w14:paraId="66565B85" w14:textId="77777777" w:rsidR="00FE041D" w:rsidRDefault="00FE041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Vrinda">
    <w:panose1 w:val="00000400000000000000"/>
    <w:charset w:val="00"/>
    <w:family w:val="swiss"/>
    <w:pitch w:val="variable"/>
    <w:sig w:usb0="00010003" w:usb1="00000000" w:usb2="00000000" w:usb3="00000000" w:csb0="00000001" w:csb1="00000000"/>
  </w:font>
  <w:font w:name="Arial MT">
    <w:altName w:val="Arial"/>
    <w:charset w:val="01"/>
    <w:family w:val="swiss"/>
    <w:pitch w:val="variable"/>
  </w:font>
  <w:font w:name="Helvetica">
    <w:panose1 w:val="020B0604020202020204"/>
    <w:charset w:val="00"/>
    <w:family w:val="auto"/>
    <w:pitch w:val="variable"/>
    <w:sig w:usb0="E00002FF" w:usb1="5000785B"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881D8A">
      <w:rPr>
        <w:rFonts w:ascii="Verdana" w:eastAsia="Times New Roman" w:hAnsi="Verdana" w:cs="Times New Roman"/>
        <w:b/>
        <w:bCs/>
        <w:sz w:val="16"/>
        <w:szCs w:val="16"/>
        <w:lang w:val="es-ES"/>
      </w:rPr>
      <w:t xml:space="preserve">pág. </w:t>
    </w:r>
    <w:r w:rsidRPr="00881D8A">
      <w:rPr>
        <w:rFonts w:ascii="Verdana" w:eastAsia="Times New Roman" w:hAnsi="Verdana"/>
        <w:b/>
        <w:bCs/>
        <w:sz w:val="16"/>
        <w:szCs w:val="16"/>
      </w:rPr>
      <w:fldChar w:fldCharType="begin"/>
    </w:r>
    <w:r w:rsidRPr="002E1330">
      <w:rPr>
        <w:rFonts w:ascii="Verdana" w:hAnsi="Verdana"/>
        <w:b/>
        <w:bCs/>
        <w:sz w:val="16"/>
        <w:szCs w:val="16"/>
      </w:rPr>
      <w:instrText>PAGE    \* MERGEFORMAT</w:instrText>
    </w:r>
    <w:r w:rsidRPr="00881D8A">
      <w:rPr>
        <w:rFonts w:ascii="Verdana" w:eastAsia="Times New Roman" w:hAnsi="Verdana"/>
        <w:b/>
        <w:bCs/>
        <w:sz w:val="16"/>
        <w:szCs w:val="16"/>
      </w:rPr>
      <w:fldChar w:fldCharType="separate"/>
    </w:r>
    <w:r w:rsidRPr="00881D8A">
      <w:rPr>
        <w:rFonts w:ascii="Verdana" w:eastAsia="Times New Roman" w:hAnsi="Verdana"/>
        <w:b/>
        <w:bCs/>
        <w:sz w:val="16"/>
        <w:szCs w:val="16"/>
      </w:rPr>
      <w:t>1</w:t>
    </w:r>
    <w:r w:rsidRPr="00881D8A">
      <w:rPr>
        <w:rFonts w:ascii="Verdana" w:eastAsia="Times New Roman" w:hAnsi="Verdana" w:cs="Times New Roman"/>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00881D8A">
      <w:rPr>
        <w:rFonts w:ascii="Century Gothic" w:eastAsia="Geo" w:hAnsi="Century Gothic" w:cs="Geo"/>
        <w:b/>
        <w:bCs/>
        <w:color w:val="000000"/>
        <w:sz w:val="16"/>
        <w:szCs w:val="16"/>
        <w:lang w:eastAsia="es-CO"/>
      </w:rPr>
      <w:t xml:space="preserve">Código: </w:t>
    </w:r>
    <w:r w:rsidRPr="00881D8A">
      <w:rPr>
        <w:rFonts w:ascii="Century Gothic" w:eastAsia="Geo" w:hAnsi="Century Gothic" w:cs="Geo"/>
        <w:color w:val="000000"/>
        <w:sz w:val="16"/>
        <w:szCs w:val="16"/>
        <w:lang w:eastAsia="es-CO"/>
      </w:rPr>
      <w:t xml:space="preserve">CCE-REC-FM-17 </w:t>
    </w:r>
    <w:r w:rsidRPr="00881D8A">
      <w:rPr>
        <w:rFonts w:ascii="Century Gothic" w:eastAsia="Geo" w:hAnsi="Century Gothic" w:cs="Geo"/>
        <w:b/>
        <w:bCs/>
        <w:color w:val="000000"/>
        <w:sz w:val="16"/>
        <w:szCs w:val="16"/>
        <w:lang w:eastAsia="es-CO"/>
      </w:rPr>
      <w:t>V</w:t>
    </w:r>
    <w:r w:rsidRPr="00881D8A">
      <w:rPr>
        <w:rFonts w:ascii="Century Gothic" w:eastAsia="Arial Nova" w:hAnsi="Century Gothic" w:cs="Arial Nova"/>
        <w:b/>
        <w:bCs/>
        <w:color w:val="000000"/>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54768D" w14:textId="77777777" w:rsidR="00FE041D" w:rsidRDefault="00FE041D" w:rsidP="004A1847">
      <w:pPr>
        <w:spacing w:after="0" w:line="240" w:lineRule="auto"/>
      </w:pPr>
      <w:r>
        <w:separator/>
      </w:r>
    </w:p>
  </w:footnote>
  <w:footnote w:type="continuationSeparator" w:id="0">
    <w:p w14:paraId="7878EEAF" w14:textId="77777777" w:rsidR="00FE041D" w:rsidRDefault="00FE041D" w:rsidP="004A1847">
      <w:pPr>
        <w:spacing w:after="0" w:line="240" w:lineRule="auto"/>
      </w:pPr>
      <w:r>
        <w:continuationSeparator/>
      </w:r>
    </w:p>
  </w:footnote>
  <w:footnote w:id="1">
    <w:p w14:paraId="2C21149F" w14:textId="77777777" w:rsidR="00881D8A" w:rsidRDefault="00881D8A" w:rsidP="00881D8A">
      <w:pPr>
        <w:pStyle w:val="Textonotapie"/>
        <w:ind w:firstLine="709"/>
        <w:rPr>
          <w:rFonts w:ascii="Verdana" w:hAnsi="Verdana"/>
          <w:sz w:val="14"/>
          <w:szCs w:val="14"/>
        </w:rPr>
      </w:pPr>
      <w:r w:rsidRPr="001C5517">
        <w:rPr>
          <w:rStyle w:val="Refdenotaalpie"/>
          <w:rFonts w:ascii="Verdana" w:hAnsi="Verdana"/>
          <w:sz w:val="14"/>
          <w:szCs w:val="14"/>
        </w:rPr>
        <w:footnoteRef/>
      </w:r>
      <w:r>
        <w:rPr>
          <w:rFonts w:ascii="Verdana" w:hAnsi="Verdana"/>
          <w:sz w:val="14"/>
          <w:szCs w:val="14"/>
        </w:rPr>
        <w:t xml:space="preserve"> </w:t>
      </w:r>
      <w:hyperlink r:id="rId1" w:history="1">
        <w:r w:rsidRPr="00761FAC">
          <w:rPr>
            <w:rStyle w:val="Hipervnculo"/>
            <w:rFonts w:ascii="Verdana" w:hAnsi="Verdana"/>
            <w:sz w:val="14"/>
            <w:szCs w:val="14"/>
          </w:rPr>
          <w:t>https://www.colombiacompra.gov.co/archivos/manual/manual-para-determinar-y-verificar-los-requisitos-habilitantes-en-los-procesos-de-contratacion</w:t>
        </w:r>
      </w:hyperlink>
    </w:p>
    <w:p w14:paraId="0C20F14E" w14:textId="77777777" w:rsidR="00881D8A" w:rsidRPr="001C5517" w:rsidRDefault="00881D8A" w:rsidP="00881D8A">
      <w:pPr>
        <w:pStyle w:val="Textonotapie"/>
        <w:ind w:firstLine="709"/>
        <w:rPr>
          <w:rFonts w:ascii="Verdana" w:hAnsi="Verdana"/>
          <w:sz w:val="14"/>
          <w:szCs w:val="14"/>
          <w:lang w:val="es-ES"/>
        </w:rPr>
      </w:pPr>
    </w:p>
  </w:footnote>
  <w:footnote w:id="2">
    <w:p w14:paraId="66D5F322" w14:textId="77777777" w:rsidR="00881D8A" w:rsidRPr="00F206C3" w:rsidRDefault="00881D8A" w:rsidP="00881D8A">
      <w:pPr>
        <w:pStyle w:val="Textonotapie"/>
        <w:ind w:firstLine="708"/>
        <w:jc w:val="both"/>
        <w:rPr>
          <w:rFonts w:ascii="Verdana" w:hAnsi="Verdana"/>
          <w:sz w:val="14"/>
          <w:szCs w:val="14"/>
          <w:lang w:val="es-CO"/>
        </w:rPr>
      </w:pPr>
      <w:r w:rsidRPr="00F206C3">
        <w:rPr>
          <w:rStyle w:val="Refdenotaalpie"/>
          <w:rFonts w:ascii="Verdana" w:hAnsi="Verdana"/>
          <w:sz w:val="14"/>
          <w:szCs w:val="14"/>
        </w:rPr>
        <w:footnoteRef/>
      </w:r>
      <w:r w:rsidRPr="00F206C3">
        <w:rPr>
          <w:rFonts w:ascii="Verdana" w:hAnsi="Verdana"/>
          <w:sz w:val="14"/>
          <w:szCs w:val="14"/>
        </w:rPr>
        <w:t xml:space="preserve"> Consejo de Estado. </w:t>
      </w:r>
      <w:r>
        <w:rPr>
          <w:rFonts w:ascii="Verdana" w:hAnsi="Verdana"/>
          <w:sz w:val="14"/>
          <w:szCs w:val="14"/>
        </w:rPr>
        <w:t xml:space="preserve">Sala de lo Contencioso Administrativo. </w:t>
      </w:r>
      <w:r w:rsidRPr="00F206C3">
        <w:rPr>
          <w:rFonts w:ascii="Verdana" w:hAnsi="Verdana"/>
          <w:sz w:val="14"/>
          <w:szCs w:val="14"/>
        </w:rPr>
        <w:t>Sección Tercera. Sentencia del 27 de abril de 2011. Exp. 18.293. C.P. Ruth Stella Correa Palacio.</w:t>
      </w:r>
    </w:p>
  </w:footnote>
  <w:footnote w:id="3">
    <w:p w14:paraId="38DD493A" w14:textId="77777777" w:rsidR="00881D8A" w:rsidRDefault="00881D8A" w:rsidP="00881D8A">
      <w:pPr>
        <w:pStyle w:val="Textonotapie"/>
        <w:ind w:firstLine="708"/>
        <w:jc w:val="both"/>
        <w:rPr>
          <w:rFonts w:ascii="Verdana" w:hAnsi="Verdana"/>
          <w:sz w:val="16"/>
          <w:szCs w:val="16"/>
        </w:rPr>
      </w:pPr>
    </w:p>
    <w:p w14:paraId="1C4F02CD" w14:textId="77777777" w:rsidR="00881D8A" w:rsidRPr="009E70B6" w:rsidRDefault="00881D8A" w:rsidP="00881D8A">
      <w:pPr>
        <w:pStyle w:val="Textonotapie"/>
        <w:ind w:firstLine="708"/>
        <w:jc w:val="both"/>
        <w:rPr>
          <w:rFonts w:ascii="Verdana" w:hAnsi="Verdana"/>
          <w:sz w:val="14"/>
          <w:szCs w:val="14"/>
        </w:rPr>
      </w:pPr>
      <w:r w:rsidRPr="009E70B6">
        <w:rPr>
          <w:rStyle w:val="Refdenotaalpie"/>
          <w:rFonts w:ascii="Verdana" w:hAnsi="Verdana"/>
          <w:sz w:val="14"/>
          <w:szCs w:val="14"/>
        </w:rPr>
        <w:footnoteRef/>
      </w:r>
      <w:r w:rsidRPr="009E70B6">
        <w:rPr>
          <w:rFonts w:ascii="Verdana" w:hAnsi="Verdana"/>
          <w:sz w:val="14"/>
          <w:szCs w:val="14"/>
        </w:rPr>
        <w:t xml:space="preserve"> Consejo de Estado. </w:t>
      </w:r>
      <w:r>
        <w:rPr>
          <w:rFonts w:ascii="Verdana" w:hAnsi="Verdana"/>
          <w:sz w:val="14"/>
          <w:szCs w:val="14"/>
        </w:rPr>
        <w:t xml:space="preserve">Sala de lo Contencioso Administrativo, </w:t>
      </w:r>
      <w:r w:rsidRPr="009E70B6">
        <w:rPr>
          <w:rFonts w:ascii="Verdana" w:hAnsi="Verdana"/>
          <w:sz w:val="14"/>
          <w:szCs w:val="14"/>
        </w:rPr>
        <w:t>Sección Tercera. Sentencia del 21 de noviembre de 2013 Exp. 25397. C.P. Carlos Alberto Zambrano Barrera.</w:t>
      </w:r>
    </w:p>
    <w:p w14:paraId="1E2B25F3" w14:textId="77777777" w:rsidR="00881D8A" w:rsidRPr="009E70B6" w:rsidRDefault="00881D8A" w:rsidP="00881D8A">
      <w:pPr>
        <w:pStyle w:val="Textonotapie"/>
        <w:ind w:firstLine="708"/>
        <w:jc w:val="both"/>
        <w:rPr>
          <w:rFonts w:ascii="Verdana" w:hAnsi="Verdana"/>
          <w:sz w:val="14"/>
          <w:szCs w:val="14"/>
          <w:lang w:val="es-CO"/>
        </w:rPr>
      </w:pPr>
    </w:p>
  </w:footnote>
  <w:footnote w:id="4">
    <w:p w14:paraId="785BACF2" w14:textId="77777777" w:rsidR="00881D8A" w:rsidRPr="005D75B6" w:rsidRDefault="00881D8A" w:rsidP="00881D8A">
      <w:pPr>
        <w:pStyle w:val="Textonotapie"/>
        <w:ind w:firstLine="708"/>
        <w:jc w:val="both"/>
        <w:rPr>
          <w:rFonts w:ascii="Arial" w:hAnsi="Arial" w:cs="Arial"/>
          <w:sz w:val="18"/>
          <w:szCs w:val="18"/>
        </w:rPr>
      </w:pPr>
      <w:r w:rsidRPr="005D75B6">
        <w:rPr>
          <w:rStyle w:val="Refdenotaalpie"/>
          <w:rFonts w:ascii="Arial" w:hAnsi="Arial" w:cs="Arial"/>
          <w:sz w:val="18"/>
          <w:szCs w:val="18"/>
        </w:rPr>
        <w:footnoteRef/>
      </w:r>
      <w:r w:rsidRPr="005D75B6">
        <w:rPr>
          <w:rFonts w:ascii="Arial" w:hAnsi="Arial" w:cs="Arial"/>
          <w:sz w:val="18"/>
          <w:szCs w:val="18"/>
        </w:rPr>
        <w:t xml:space="preserve"> Cfr. CONSEJO DE ESTADO. Sección Tercera. Subsección B. Sentencia del 5 de agosto de 2019, Rad. 45118. C.P. Alberto Montaña Plata. Asimismo, ha explicado que “[…] sería inadmisible sostener que la entidad estatal contratante tuviere el deber de adjudicar el procedimiento administrativo de selección a una determinada oferta a sabiendas de que, aunque en apariencia tendría las mejores condiciones, en realidad sería, por su contenido, total o parcialmente, una propuesta mentirosa, fraudulenta, engañosa o proveniente de un proponente que pretende sacar provecho o ventaja, frente a la entidad contratante y/o ante sus competidores, de la manipulación de información errónea, inexacta o falaz, tal como no resultaría válida, de ninguna manera, la adjudicación que se quisiera hacer recaer en un oferente que se encuentre incurso en una causal de inhabilidad o de incompatibilidad, por lo cual resulta plausible que en estos casos la entidad decida rechazar o excluir esa clase de ofertas, independientemente de que así lo haya previsto, o no, el correspondiente pliego de condiciones, decisión que, de todos modos, la entidad estatal contratante está en el deber de motivar de manera clara, precisa, completa y detallada. sí pues, cuando la entidad estatal contratante advierte la ocurrencia de falencias, inconsistencias, inexactitudes o contradicciones en las ofertas, le corresponde efectuar un ejercicio de interpretación para determinar si se trata de errores excusables, configurados en el marco de la Buena Fe, que no impiden la evaluación y comparación de tales propuestas, o si, por el contrario, se trata de errores inaceptables, inadmisibles, incompatibles con la ley y/o los postulados de la Buena Fe” (Subsección A. Sentencia del 3 de diciembre de 2007. Rad. 24059. C.P. Mauricio Fajardo Gómez).</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7F1CDD"/>
    <w:multiLevelType w:val="hybridMultilevel"/>
    <w:tmpl w:val="2CFAEF16"/>
    <w:lvl w:ilvl="0" w:tplc="EFFE7B22">
      <w:start w:val="1"/>
      <w:numFmt w:val="decimal"/>
      <w:lvlText w:val="%1."/>
      <w:lvlJc w:val="left"/>
      <w:pPr>
        <w:ind w:left="1429" w:hanging="360"/>
      </w:pPr>
      <w:rPr>
        <w:rFonts w:hint="default"/>
      </w:rPr>
    </w:lvl>
    <w:lvl w:ilvl="1" w:tplc="240A0019" w:tentative="1">
      <w:start w:val="1"/>
      <w:numFmt w:val="lowerLetter"/>
      <w:lvlText w:val="%2."/>
      <w:lvlJc w:val="left"/>
      <w:pPr>
        <w:ind w:left="2149" w:hanging="360"/>
      </w:pPr>
    </w:lvl>
    <w:lvl w:ilvl="2" w:tplc="240A001B" w:tentative="1">
      <w:start w:val="1"/>
      <w:numFmt w:val="lowerRoman"/>
      <w:lvlText w:val="%3."/>
      <w:lvlJc w:val="right"/>
      <w:pPr>
        <w:ind w:left="2869" w:hanging="180"/>
      </w:pPr>
    </w:lvl>
    <w:lvl w:ilvl="3" w:tplc="240A000F" w:tentative="1">
      <w:start w:val="1"/>
      <w:numFmt w:val="decimal"/>
      <w:lvlText w:val="%4."/>
      <w:lvlJc w:val="left"/>
      <w:pPr>
        <w:ind w:left="3589" w:hanging="360"/>
      </w:pPr>
    </w:lvl>
    <w:lvl w:ilvl="4" w:tplc="240A0019" w:tentative="1">
      <w:start w:val="1"/>
      <w:numFmt w:val="lowerLetter"/>
      <w:lvlText w:val="%5."/>
      <w:lvlJc w:val="left"/>
      <w:pPr>
        <w:ind w:left="4309" w:hanging="360"/>
      </w:pPr>
    </w:lvl>
    <w:lvl w:ilvl="5" w:tplc="240A001B" w:tentative="1">
      <w:start w:val="1"/>
      <w:numFmt w:val="lowerRoman"/>
      <w:lvlText w:val="%6."/>
      <w:lvlJc w:val="right"/>
      <w:pPr>
        <w:ind w:left="5029" w:hanging="180"/>
      </w:pPr>
    </w:lvl>
    <w:lvl w:ilvl="6" w:tplc="240A000F" w:tentative="1">
      <w:start w:val="1"/>
      <w:numFmt w:val="decimal"/>
      <w:lvlText w:val="%7."/>
      <w:lvlJc w:val="left"/>
      <w:pPr>
        <w:ind w:left="5749" w:hanging="360"/>
      </w:pPr>
    </w:lvl>
    <w:lvl w:ilvl="7" w:tplc="240A0019" w:tentative="1">
      <w:start w:val="1"/>
      <w:numFmt w:val="lowerLetter"/>
      <w:lvlText w:val="%8."/>
      <w:lvlJc w:val="left"/>
      <w:pPr>
        <w:ind w:left="6469" w:hanging="360"/>
      </w:pPr>
    </w:lvl>
    <w:lvl w:ilvl="8" w:tplc="240A001B" w:tentative="1">
      <w:start w:val="1"/>
      <w:numFmt w:val="lowerRoman"/>
      <w:lvlText w:val="%9."/>
      <w:lvlJc w:val="right"/>
      <w:pPr>
        <w:ind w:left="7189" w:hanging="180"/>
      </w:pPr>
    </w:lvl>
  </w:abstractNum>
  <w:abstractNum w:abstractNumId="1" w15:restartNumberingAfterBreak="0">
    <w:nsid w:val="01C06310"/>
    <w:multiLevelType w:val="multilevel"/>
    <w:tmpl w:val="25FEEF8E"/>
    <w:lvl w:ilvl="0">
      <w:start w:val="1"/>
      <w:numFmt w:val="decimal"/>
      <w:lvlText w:val="%1."/>
      <w:lvlJc w:val="left"/>
      <w:pPr>
        <w:ind w:left="928" w:hanging="360"/>
      </w:pPr>
      <w:rPr>
        <w:b/>
        <w:color w:val="000000" w:themeColor="text1"/>
      </w:rPr>
    </w:lvl>
    <w:lvl w:ilvl="1">
      <w:start w:val="2"/>
      <w:numFmt w:val="decimal"/>
      <w:isLgl/>
      <w:lvlText w:val="%1.%2"/>
      <w:lvlJc w:val="left"/>
      <w:pPr>
        <w:ind w:left="568" w:hanging="360"/>
      </w:pPr>
    </w:lvl>
    <w:lvl w:ilvl="2">
      <w:start w:val="1"/>
      <w:numFmt w:val="decimal"/>
      <w:isLgl/>
      <w:lvlText w:val="%1.%2.%3"/>
      <w:lvlJc w:val="left"/>
      <w:pPr>
        <w:ind w:left="1288" w:hanging="720"/>
      </w:pPr>
    </w:lvl>
    <w:lvl w:ilvl="3">
      <w:start w:val="1"/>
      <w:numFmt w:val="decimal"/>
      <w:isLgl/>
      <w:lvlText w:val="%1.%2.%3.%4"/>
      <w:lvlJc w:val="left"/>
      <w:pPr>
        <w:ind w:left="1288" w:hanging="720"/>
      </w:pPr>
    </w:lvl>
    <w:lvl w:ilvl="4">
      <w:start w:val="1"/>
      <w:numFmt w:val="decimal"/>
      <w:isLgl/>
      <w:lvlText w:val="%1.%2.%3.%4.%5"/>
      <w:lvlJc w:val="left"/>
      <w:pPr>
        <w:ind w:left="1648" w:hanging="1080"/>
      </w:pPr>
    </w:lvl>
    <w:lvl w:ilvl="5">
      <w:start w:val="1"/>
      <w:numFmt w:val="decimal"/>
      <w:isLgl/>
      <w:lvlText w:val="%1.%2.%3.%4.%5.%6"/>
      <w:lvlJc w:val="left"/>
      <w:pPr>
        <w:ind w:left="1648" w:hanging="1080"/>
      </w:pPr>
    </w:lvl>
    <w:lvl w:ilvl="6">
      <w:start w:val="1"/>
      <w:numFmt w:val="decimal"/>
      <w:isLgl/>
      <w:lvlText w:val="%1.%2.%3.%4.%5.%6.%7"/>
      <w:lvlJc w:val="left"/>
      <w:pPr>
        <w:ind w:left="2008" w:hanging="1440"/>
      </w:pPr>
    </w:lvl>
    <w:lvl w:ilvl="7">
      <w:start w:val="1"/>
      <w:numFmt w:val="decimal"/>
      <w:isLgl/>
      <w:lvlText w:val="%1.%2.%3.%4.%5.%6.%7.%8"/>
      <w:lvlJc w:val="left"/>
      <w:pPr>
        <w:ind w:left="2008" w:hanging="1440"/>
      </w:pPr>
    </w:lvl>
    <w:lvl w:ilvl="8">
      <w:start w:val="1"/>
      <w:numFmt w:val="decimal"/>
      <w:isLgl/>
      <w:lvlText w:val="%1.%2.%3.%4.%5.%6.%7.%8.%9"/>
      <w:lvlJc w:val="left"/>
      <w:pPr>
        <w:ind w:left="2368" w:hanging="1800"/>
      </w:pPr>
    </w:lvl>
  </w:abstractNum>
  <w:abstractNum w:abstractNumId="2"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8613BFD"/>
    <w:multiLevelType w:val="hybridMultilevel"/>
    <w:tmpl w:val="47562414"/>
    <w:lvl w:ilvl="0" w:tplc="240A0015">
      <w:start w:val="8"/>
      <w:numFmt w:val="upperLetter"/>
      <w:lvlText w:val="%1."/>
      <w:lvlJc w:val="left"/>
      <w:pPr>
        <w:ind w:left="1070" w:hanging="360"/>
      </w:pPr>
      <w:rPr>
        <w:rFonts w:hint="default"/>
      </w:rPr>
    </w:lvl>
    <w:lvl w:ilvl="1" w:tplc="240A0019" w:tentative="1">
      <w:start w:val="1"/>
      <w:numFmt w:val="lowerLetter"/>
      <w:lvlText w:val="%2."/>
      <w:lvlJc w:val="left"/>
      <w:pPr>
        <w:ind w:left="1790" w:hanging="360"/>
      </w:pPr>
    </w:lvl>
    <w:lvl w:ilvl="2" w:tplc="240A001B" w:tentative="1">
      <w:start w:val="1"/>
      <w:numFmt w:val="lowerRoman"/>
      <w:lvlText w:val="%3."/>
      <w:lvlJc w:val="right"/>
      <w:pPr>
        <w:ind w:left="2510" w:hanging="180"/>
      </w:pPr>
    </w:lvl>
    <w:lvl w:ilvl="3" w:tplc="240A000F" w:tentative="1">
      <w:start w:val="1"/>
      <w:numFmt w:val="decimal"/>
      <w:lvlText w:val="%4."/>
      <w:lvlJc w:val="left"/>
      <w:pPr>
        <w:ind w:left="3230" w:hanging="360"/>
      </w:pPr>
    </w:lvl>
    <w:lvl w:ilvl="4" w:tplc="240A0019" w:tentative="1">
      <w:start w:val="1"/>
      <w:numFmt w:val="lowerLetter"/>
      <w:lvlText w:val="%5."/>
      <w:lvlJc w:val="left"/>
      <w:pPr>
        <w:ind w:left="3950" w:hanging="360"/>
      </w:pPr>
    </w:lvl>
    <w:lvl w:ilvl="5" w:tplc="240A001B" w:tentative="1">
      <w:start w:val="1"/>
      <w:numFmt w:val="lowerRoman"/>
      <w:lvlText w:val="%6."/>
      <w:lvlJc w:val="right"/>
      <w:pPr>
        <w:ind w:left="4670" w:hanging="180"/>
      </w:pPr>
    </w:lvl>
    <w:lvl w:ilvl="6" w:tplc="240A000F" w:tentative="1">
      <w:start w:val="1"/>
      <w:numFmt w:val="decimal"/>
      <w:lvlText w:val="%7."/>
      <w:lvlJc w:val="left"/>
      <w:pPr>
        <w:ind w:left="5390" w:hanging="360"/>
      </w:pPr>
    </w:lvl>
    <w:lvl w:ilvl="7" w:tplc="240A0019" w:tentative="1">
      <w:start w:val="1"/>
      <w:numFmt w:val="lowerLetter"/>
      <w:lvlText w:val="%8."/>
      <w:lvlJc w:val="left"/>
      <w:pPr>
        <w:ind w:left="6110" w:hanging="360"/>
      </w:pPr>
    </w:lvl>
    <w:lvl w:ilvl="8" w:tplc="240A001B" w:tentative="1">
      <w:start w:val="1"/>
      <w:numFmt w:val="lowerRoman"/>
      <w:lvlText w:val="%9."/>
      <w:lvlJc w:val="right"/>
      <w:pPr>
        <w:ind w:left="6830" w:hanging="18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2" w15:restartNumberingAfterBreak="0">
    <w:nsid w:val="4075157B"/>
    <w:multiLevelType w:val="hybridMultilevel"/>
    <w:tmpl w:val="141E3880"/>
    <w:lvl w:ilvl="0" w:tplc="B73E7620">
      <w:start w:val="24"/>
      <w:numFmt w:val="upperLetter"/>
      <w:lvlText w:val="%1."/>
      <w:lvlJc w:val="left"/>
      <w:pPr>
        <w:ind w:left="1070" w:hanging="360"/>
      </w:pPr>
      <w:rPr>
        <w:rFonts w:hint="default"/>
      </w:rPr>
    </w:lvl>
    <w:lvl w:ilvl="1" w:tplc="240A0019" w:tentative="1">
      <w:start w:val="1"/>
      <w:numFmt w:val="lowerLetter"/>
      <w:lvlText w:val="%2."/>
      <w:lvlJc w:val="left"/>
      <w:pPr>
        <w:ind w:left="1790" w:hanging="360"/>
      </w:pPr>
    </w:lvl>
    <w:lvl w:ilvl="2" w:tplc="240A001B" w:tentative="1">
      <w:start w:val="1"/>
      <w:numFmt w:val="lowerRoman"/>
      <w:lvlText w:val="%3."/>
      <w:lvlJc w:val="right"/>
      <w:pPr>
        <w:ind w:left="2510" w:hanging="180"/>
      </w:pPr>
    </w:lvl>
    <w:lvl w:ilvl="3" w:tplc="240A000F" w:tentative="1">
      <w:start w:val="1"/>
      <w:numFmt w:val="decimal"/>
      <w:lvlText w:val="%4."/>
      <w:lvlJc w:val="left"/>
      <w:pPr>
        <w:ind w:left="3230" w:hanging="360"/>
      </w:pPr>
    </w:lvl>
    <w:lvl w:ilvl="4" w:tplc="240A0019" w:tentative="1">
      <w:start w:val="1"/>
      <w:numFmt w:val="lowerLetter"/>
      <w:lvlText w:val="%5."/>
      <w:lvlJc w:val="left"/>
      <w:pPr>
        <w:ind w:left="3950" w:hanging="360"/>
      </w:pPr>
    </w:lvl>
    <w:lvl w:ilvl="5" w:tplc="240A001B" w:tentative="1">
      <w:start w:val="1"/>
      <w:numFmt w:val="lowerRoman"/>
      <w:lvlText w:val="%6."/>
      <w:lvlJc w:val="right"/>
      <w:pPr>
        <w:ind w:left="4670" w:hanging="180"/>
      </w:pPr>
    </w:lvl>
    <w:lvl w:ilvl="6" w:tplc="240A000F" w:tentative="1">
      <w:start w:val="1"/>
      <w:numFmt w:val="decimal"/>
      <w:lvlText w:val="%7."/>
      <w:lvlJc w:val="left"/>
      <w:pPr>
        <w:ind w:left="5390" w:hanging="360"/>
      </w:pPr>
    </w:lvl>
    <w:lvl w:ilvl="7" w:tplc="240A0019" w:tentative="1">
      <w:start w:val="1"/>
      <w:numFmt w:val="lowerLetter"/>
      <w:lvlText w:val="%8."/>
      <w:lvlJc w:val="left"/>
      <w:pPr>
        <w:ind w:left="6110" w:hanging="360"/>
      </w:pPr>
    </w:lvl>
    <w:lvl w:ilvl="8" w:tplc="240A001B" w:tentative="1">
      <w:start w:val="1"/>
      <w:numFmt w:val="lowerRoman"/>
      <w:lvlText w:val="%9."/>
      <w:lvlJc w:val="right"/>
      <w:pPr>
        <w:ind w:left="6830" w:hanging="180"/>
      </w:pPr>
    </w:lvl>
  </w:abstractNum>
  <w:abstractNum w:abstractNumId="1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FC6F58"/>
    <w:multiLevelType w:val="hybridMultilevel"/>
    <w:tmpl w:val="AD226C04"/>
    <w:lvl w:ilvl="0" w:tplc="44AE12E2">
      <w:start w:val="5"/>
      <w:numFmt w:val="upp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num w:numId="1" w16cid:durableId="948779781">
    <w:abstractNumId w:val="8"/>
  </w:num>
  <w:num w:numId="2" w16cid:durableId="19822139">
    <w:abstractNumId w:val="3"/>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3"/>
  </w:num>
  <w:num w:numId="6" w16cid:durableId="316692925">
    <w:abstractNumId w:val="16"/>
  </w:num>
  <w:num w:numId="7" w16cid:durableId="1946422806">
    <w:abstractNumId w:val="7"/>
  </w:num>
  <w:num w:numId="8" w16cid:durableId="152644682">
    <w:abstractNumId w:val="15"/>
  </w:num>
  <w:num w:numId="9" w16cid:durableId="1317221377">
    <w:abstractNumId w:val="9"/>
  </w:num>
  <w:num w:numId="10" w16cid:durableId="1471245386">
    <w:abstractNumId w:val="14"/>
  </w:num>
  <w:num w:numId="11" w16cid:durableId="289172385">
    <w:abstractNumId w:val="10"/>
  </w:num>
  <w:num w:numId="12" w16cid:durableId="1470781324">
    <w:abstractNumId w:val="2"/>
  </w:num>
  <w:num w:numId="13" w16cid:durableId="1512908409">
    <w:abstractNumId w:val="4"/>
  </w:num>
  <w:num w:numId="14" w16cid:durableId="895897244">
    <w:abstractNumId w:val="17"/>
  </w:num>
  <w:num w:numId="15" w16cid:durableId="390349800">
    <w:abstractNumId w:val="13"/>
  </w:num>
  <w:num w:numId="16" w16cid:durableId="341274352">
    <w:abstractNumId w:val="1"/>
  </w:num>
  <w:num w:numId="17" w16cid:durableId="827985604">
    <w:abstractNumId w:val="11"/>
  </w:num>
  <w:num w:numId="18" w16cid:durableId="355232768">
    <w:abstractNumId w:val="0"/>
  </w:num>
  <w:num w:numId="19" w16cid:durableId="1548419692">
    <w:abstractNumId w:val="18"/>
  </w:num>
  <w:num w:numId="20" w16cid:durableId="1443304022">
    <w:abstractNumId w:val="5"/>
  </w:num>
  <w:num w:numId="21" w16cid:durableId="50105106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145D"/>
    <w:rsid w:val="00016F78"/>
    <w:rsid w:val="00046945"/>
    <w:rsid w:val="00061B2A"/>
    <w:rsid w:val="00082362"/>
    <w:rsid w:val="000A683E"/>
    <w:rsid w:val="000B19B9"/>
    <w:rsid w:val="000D0334"/>
    <w:rsid w:val="000D5DA7"/>
    <w:rsid w:val="000F6486"/>
    <w:rsid w:val="00116940"/>
    <w:rsid w:val="00125105"/>
    <w:rsid w:val="00127233"/>
    <w:rsid w:val="0015699B"/>
    <w:rsid w:val="001613D9"/>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154A4"/>
    <w:rsid w:val="00322A85"/>
    <w:rsid w:val="00324168"/>
    <w:rsid w:val="00330834"/>
    <w:rsid w:val="00343947"/>
    <w:rsid w:val="003448F4"/>
    <w:rsid w:val="00366206"/>
    <w:rsid w:val="00374F5E"/>
    <w:rsid w:val="00377E3E"/>
    <w:rsid w:val="003A779E"/>
    <w:rsid w:val="003D0F4D"/>
    <w:rsid w:val="003D5B0D"/>
    <w:rsid w:val="003E01A8"/>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1D8A"/>
    <w:rsid w:val="008843B6"/>
    <w:rsid w:val="00891928"/>
    <w:rsid w:val="008A446D"/>
    <w:rsid w:val="008B25F1"/>
    <w:rsid w:val="008D180B"/>
    <w:rsid w:val="008F0EA7"/>
    <w:rsid w:val="00923EEF"/>
    <w:rsid w:val="009419F9"/>
    <w:rsid w:val="009430D5"/>
    <w:rsid w:val="00954773"/>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C3D36"/>
    <w:rsid w:val="00BD54A6"/>
    <w:rsid w:val="00BD7F72"/>
    <w:rsid w:val="00BF201D"/>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B4093"/>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01D51"/>
    <w:rsid w:val="00F23FEA"/>
    <w:rsid w:val="00F31EDC"/>
    <w:rsid w:val="00F462B3"/>
    <w:rsid w:val="00F5664F"/>
    <w:rsid w:val="00F666C4"/>
    <w:rsid w:val="00F76AFC"/>
    <w:rsid w:val="00FA47C0"/>
    <w:rsid w:val="00FB5DD1"/>
    <w:rsid w:val="00FC2B5D"/>
    <w:rsid w:val="00FE041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881D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881D8A"/>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archivos/manual/manual-para-determinar-y-verificar-los-requisitos-habilitantes-en-los-procesos-de-contratacion"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72F9BD3-91C8-43DF-B80D-E3787EDCD7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8</TotalTime>
  <Pages>19</Pages>
  <Words>6682</Words>
  <Characters>34485</Characters>
  <Application>Microsoft Office Word</Application>
  <DocSecurity>0</DocSecurity>
  <Lines>703</Lines>
  <Paragraphs>165</Paragraphs>
  <ScaleCrop>false</ScaleCrop>
  <Company/>
  <LinksUpToDate>false</LinksUpToDate>
  <CharactersWithSpaces>41002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2023-01-10T21:18:00Z</cp:lastPrinted>
  <dcterms:created xsi:type="dcterms:W3CDTF">2025-12-30T13:59:00Z</dcterms:created>
  <dcterms:modified xsi:type="dcterms:W3CDTF">2025-12-31T14:19:00Z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