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4FD36" w14:textId="77777777" w:rsidR="00A25C8F" w:rsidRPr="000239A6" w:rsidRDefault="00A25C8F" w:rsidP="00A25C8F">
      <w:pPr>
        <w:spacing w:after="0" w:line="240" w:lineRule="auto"/>
        <w:contextualSpacing/>
        <w:jc w:val="both"/>
        <w:rPr>
          <w:rFonts w:ascii="Verdana" w:eastAsia="Calibri" w:hAnsi="Verdana" w:cs="Arial"/>
          <w:b/>
          <w:bCs/>
          <w:sz w:val="20"/>
          <w:szCs w:val="20"/>
          <w:lang w:val="es-MX" w:eastAsia="es-ES_tradnl"/>
          <w14:ligatures w14:val="standardContextual"/>
        </w:rPr>
      </w:pPr>
    </w:p>
    <w:p w14:paraId="00E2E94C" w14:textId="77777777" w:rsidR="00A25C8F" w:rsidRPr="000239A6" w:rsidRDefault="00A25C8F" w:rsidP="00A25C8F">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DETERMINACIÓN DEL VALOR DEL CONTRATO – Etapa de planeación – Metodologías – Factores que inciden</w:t>
      </w:r>
    </w:p>
    <w:p w14:paraId="1C1CB2A6" w14:textId="77777777" w:rsidR="00A25C8F" w:rsidRPr="000239A6" w:rsidRDefault="00A25C8F" w:rsidP="00A25C8F">
      <w:pPr>
        <w:spacing w:after="0" w:line="240" w:lineRule="auto"/>
        <w:contextualSpacing/>
        <w:jc w:val="both"/>
        <w:rPr>
          <w:rFonts w:ascii="Verdana" w:eastAsia="Calibri" w:hAnsi="Verdana" w:cs="Arial"/>
          <w:b/>
          <w:bCs/>
          <w:sz w:val="20"/>
          <w:szCs w:val="20"/>
          <w:lang w:val="es-MX" w:eastAsia="es-ES_tradnl"/>
          <w14:ligatures w14:val="standardContextual"/>
        </w:rPr>
      </w:pPr>
    </w:p>
    <w:p w14:paraId="13FE39F7" w14:textId="77777777" w:rsidR="00A25C8F" w:rsidRPr="000239A6" w:rsidRDefault="00A25C8F" w:rsidP="00A25C8F">
      <w:pPr>
        <w:spacing w:after="0" w:line="240" w:lineRule="auto"/>
        <w:contextualSpacing/>
        <w:jc w:val="both"/>
        <w:rPr>
          <w:rFonts w:ascii="Verdana" w:eastAsia="Times New Roman" w:hAnsi="Verdana" w:cs="Arial"/>
          <w:noProof/>
          <w:sz w:val="20"/>
          <w:szCs w:val="20"/>
          <w:lang w:val="es-ES_tradnl" w:eastAsia="es-ES_tradnl"/>
          <w14:ligatures w14:val="standardContextual"/>
        </w:rPr>
      </w:pPr>
      <w:r w:rsidRPr="000239A6">
        <w:rPr>
          <w:rFonts w:ascii="Verdana" w:eastAsia="Times New Roman" w:hAnsi="Verdana" w:cs="Arial"/>
          <w:noProof/>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1B02656E" w14:textId="77777777" w:rsidR="00A25C8F" w:rsidRPr="000239A6" w:rsidRDefault="00A25C8F" w:rsidP="00A25C8F">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45F9DAA1" w14:textId="77777777" w:rsidR="00A25C8F" w:rsidRPr="000239A6" w:rsidRDefault="00A25C8F" w:rsidP="00A25C8F">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SISTEMA DE FACTOR MULTIPLICADOR – Noción – Costos directos – Imputables al contrato</w:t>
      </w:r>
    </w:p>
    <w:p w14:paraId="1D453462" w14:textId="77777777" w:rsidR="00A25C8F" w:rsidRPr="000239A6" w:rsidRDefault="00A25C8F" w:rsidP="00A25C8F">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02F76654" w14:textId="77777777" w:rsidR="00A25C8F" w:rsidRPr="000239A6" w:rsidRDefault="00A25C8F" w:rsidP="00A25C8F">
      <w:pPr>
        <w:spacing w:after="0" w:line="240" w:lineRule="auto"/>
        <w:jc w:val="both"/>
        <w:rPr>
          <w:rFonts w:ascii="Verdana" w:eastAsia="Geomanist Light" w:hAnsi="Verdana" w:cs="Arial"/>
          <w:sz w:val="20"/>
          <w:szCs w:val="20"/>
          <w:lang w:val="es-MX"/>
        </w:rPr>
      </w:pPr>
      <w:r w:rsidRPr="000239A6">
        <w:rPr>
          <w:rFonts w:ascii="Verdana" w:eastAsia="Times New Roman" w:hAnsi="Verdana" w:cs="Arial"/>
          <w:noProof/>
          <w:sz w:val="20"/>
          <w:szCs w:val="20"/>
          <w:lang w:val="es-ES_tradnl" w:eastAsia="es-ES_tradnl"/>
          <w14:ligatures w14:val="standardContextual"/>
        </w:rPr>
        <w:t>[…]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681D4602" w14:textId="77777777" w:rsidR="00A25C8F" w:rsidRPr="000239A6" w:rsidRDefault="00A25C8F" w:rsidP="00A25C8F">
      <w:pPr>
        <w:spacing w:after="0" w:line="240" w:lineRule="auto"/>
        <w:rPr>
          <w:rFonts w:ascii="Verdana" w:eastAsia="Geomanist Light" w:hAnsi="Verdana" w:cs="Arial"/>
          <w:sz w:val="20"/>
          <w:szCs w:val="20"/>
          <w:lang w:val="es-MX"/>
        </w:rPr>
      </w:pPr>
    </w:p>
    <w:p w14:paraId="46139BFC" w14:textId="77777777" w:rsidR="00A25C8F" w:rsidRPr="000239A6" w:rsidRDefault="00A25C8F" w:rsidP="00A25C8F">
      <w:pPr>
        <w:spacing w:after="0" w:line="240" w:lineRule="auto"/>
        <w:jc w:val="both"/>
        <w:rPr>
          <w:rFonts w:ascii="Verdana" w:eastAsia="Calibri" w:hAnsi="Verdana" w:cs="Arial"/>
          <w:b/>
          <w:bCs/>
          <w:lang w:val="es-ES" w:eastAsia="es-ES"/>
        </w:rPr>
      </w:pPr>
      <w:r w:rsidRPr="000239A6">
        <w:rPr>
          <w:rFonts w:ascii="Verdana" w:eastAsia="Calibri" w:hAnsi="Verdana" w:cs="Arial"/>
          <w:b/>
          <w:bCs/>
        </w:rPr>
        <w:t>FACTOR MULTIPLICADOR – Costos – Determinación</w:t>
      </w:r>
    </w:p>
    <w:p w14:paraId="7953FA8B" w14:textId="77777777" w:rsidR="00A25C8F" w:rsidRDefault="00A25C8F" w:rsidP="00A25C8F">
      <w:pPr>
        <w:spacing w:after="0" w:line="240" w:lineRule="auto"/>
        <w:jc w:val="both"/>
        <w:rPr>
          <w:rFonts w:ascii="Verdana" w:eastAsia="Geomanist Light" w:hAnsi="Verdana" w:cs="Arial"/>
          <w:sz w:val="20"/>
          <w:szCs w:val="20"/>
          <w:lang w:val="es-MX"/>
        </w:rPr>
      </w:pPr>
    </w:p>
    <w:p w14:paraId="25BFAB32" w14:textId="77777777" w:rsidR="00A25C8F" w:rsidRPr="000239A6" w:rsidRDefault="00A25C8F" w:rsidP="00A25C8F">
      <w:pPr>
        <w:spacing w:after="0" w:line="240" w:lineRule="auto"/>
        <w:jc w:val="both"/>
        <w:rPr>
          <w:rFonts w:ascii="Verdana" w:eastAsia="Geomanist Light" w:hAnsi="Verdana" w:cs="Arial"/>
          <w:sz w:val="20"/>
          <w:szCs w:val="20"/>
          <w:lang w:val="es-MX"/>
        </w:rPr>
      </w:pPr>
      <w:r>
        <w:rPr>
          <w:rFonts w:ascii="Verdana" w:eastAsia="Calibri" w:hAnsi="Verdana" w:cs="Arial"/>
          <w:color w:val="000000"/>
          <w:sz w:val="20"/>
          <w:szCs w:val="20"/>
          <w:lang w:val="es-MX"/>
        </w:rPr>
        <w:t>S</w:t>
      </w:r>
      <w:r w:rsidRPr="000239A6">
        <w:rPr>
          <w:rFonts w:ascii="Verdana" w:eastAsia="Calibri" w:hAnsi="Verdana" w:cs="Arial"/>
          <w:color w:val="000000"/>
          <w:sz w:val="20"/>
          <w:szCs w:val="20"/>
        </w:rPr>
        <w:t xml:space="preserve">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w:t>
      </w:r>
      <w:r w:rsidRPr="000239A6">
        <w:rPr>
          <w:rFonts w:ascii="Verdana" w:eastAsia="Calibri" w:hAnsi="Verdana" w:cs="Arial"/>
          <w:color w:val="000000"/>
          <w:sz w:val="20"/>
          <w:szCs w:val="20"/>
        </w:rPr>
        <w:lastRenderedPageBreak/>
        <w:t xml:space="preserve">el saldo no ejecutado debería liberarse y no ser facturado sin justificación. En conclusión, los valores facturados deben corresponder a costos reales soportados. </w:t>
      </w:r>
    </w:p>
    <w:p w14:paraId="45176B04" w14:textId="77777777" w:rsidR="00A25C8F" w:rsidRDefault="00A25C8F" w:rsidP="00A25C8F">
      <w:pPr>
        <w:spacing w:after="0" w:line="240" w:lineRule="auto"/>
        <w:rPr>
          <w:rFonts w:ascii="Verdana" w:eastAsia="Calibri" w:hAnsi="Verdana" w:cs="Arial"/>
          <w:color w:val="000000" w:themeColor="text1"/>
          <w:sz w:val="20"/>
          <w:szCs w:val="20"/>
        </w:rPr>
      </w:pPr>
    </w:p>
    <w:p w14:paraId="2E7147BB" w14:textId="77777777" w:rsidR="00A25C8F" w:rsidRDefault="00A25C8F" w:rsidP="00A25C8F">
      <w:pPr>
        <w:spacing w:after="0" w:line="240" w:lineRule="auto"/>
        <w:rPr>
          <w:rFonts w:ascii="Verdana" w:eastAsia="Calibri" w:hAnsi="Verdana" w:cs="Arial"/>
          <w:color w:val="000000" w:themeColor="text1"/>
          <w:sz w:val="20"/>
          <w:szCs w:val="20"/>
        </w:rPr>
      </w:pPr>
    </w:p>
    <w:p w14:paraId="6F79E2EF" w14:textId="77777777" w:rsidR="00A25C8F" w:rsidRDefault="00A25C8F" w:rsidP="00985A2A">
      <w:pPr>
        <w:spacing w:after="0" w:line="240" w:lineRule="auto"/>
        <w:rPr>
          <w:rFonts w:ascii="Verdana" w:eastAsia="Geomanist Light" w:hAnsi="Verdana" w:cs="Arial"/>
          <w:color w:val="000000" w:themeColor="text1"/>
        </w:rPr>
      </w:pPr>
    </w:p>
    <w:p w14:paraId="6DF962E4" w14:textId="77777777" w:rsidR="00A25C8F" w:rsidRDefault="00A25C8F" w:rsidP="00985A2A">
      <w:pPr>
        <w:spacing w:after="0" w:line="240" w:lineRule="auto"/>
        <w:rPr>
          <w:rFonts w:ascii="Verdana" w:eastAsia="Geomanist Light" w:hAnsi="Verdana" w:cs="Arial"/>
          <w:color w:val="000000" w:themeColor="text1"/>
        </w:rPr>
      </w:pPr>
    </w:p>
    <w:p w14:paraId="0F27FC2D" w14:textId="77777777" w:rsidR="00A25C8F" w:rsidRDefault="00A25C8F" w:rsidP="00985A2A">
      <w:pPr>
        <w:spacing w:after="0" w:line="240" w:lineRule="auto"/>
        <w:rPr>
          <w:rFonts w:ascii="Verdana" w:eastAsia="Geomanist Light" w:hAnsi="Verdana" w:cs="Arial"/>
          <w:color w:val="000000" w:themeColor="text1"/>
        </w:rPr>
      </w:pPr>
    </w:p>
    <w:p w14:paraId="46225A6A" w14:textId="77777777" w:rsidR="00A25C8F" w:rsidRDefault="00A25C8F" w:rsidP="00985A2A">
      <w:pPr>
        <w:spacing w:after="0" w:line="240" w:lineRule="auto"/>
        <w:rPr>
          <w:rFonts w:ascii="Verdana" w:eastAsia="Geomanist Light" w:hAnsi="Verdana" w:cs="Arial"/>
          <w:color w:val="000000" w:themeColor="text1"/>
        </w:rPr>
      </w:pPr>
    </w:p>
    <w:p w14:paraId="4DABE92F" w14:textId="77777777" w:rsidR="00A25C8F" w:rsidRDefault="00A25C8F" w:rsidP="00985A2A">
      <w:pPr>
        <w:spacing w:after="0" w:line="240" w:lineRule="auto"/>
        <w:rPr>
          <w:rFonts w:ascii="Verdana" w:eastAsia="Geomanist Light" w:hAnsi="Verdana" w:cs="Arial"/>
          <w:color w:val="000000" w:themeColor="text1"/>
        </w:rPr>
      </w:pPr>
    </w:p>
    <w:p w14:paraId="217D5BFC" w14:textId="77777777" w:rsidR="00A25C8F" w:rsidRDefault="00A25C8F" w:rsidP="00985A2A">
      <w:pPr>
        <w:spacing w:after="0" w:line="240" w:lineRule="auto"/>
        <w:rPr>
          <w:rFonts w:ascii="Verdana" w:eastAsia="Geomanist Light" w:hAnsi="Verdana" w:cs="Arial"/>
          <w:color w:val="000000" w:themeColor="text1"/>
        </w:rPr>
      </w:pPr>
    </w:p>
    <w:p w14:paraId="3B908D56" w14:textId="77777777" w:rsidR="00A25C8F" w:rsidRDefault="00A25C8F" w:rsidP="00985A2A">
      <w:pPr>
        <w:spacing w:after="0" w:line="240" w:lineRule="auto"/>
        <w:rPr>
          <w:rFonts w:ascii="Verdana" w:eastAsia="Geomanist Light" w:hAnsi="Verdana" w:cs="Arial"/>
          <w:color w:val="000000" w:themeColor="text1"/>
        </w:rPr>
      </w:pPr>
    </w:p>
    <w:p w14:paraId="75517253" w14:textId="77777777" w:rsidR="00A25C8F" w:rsidRDefault="00A25C8F" w:rsidP="00985A2A">
      <w:pPr>
        <w:spacing w:after="0" w:line="240" w:lineRule="auto"/>
        <w:rPr>
          <w:rFonts w:ascii="Verdana" w:eastAsia="Geomanist Light" w:hAnsi="Verdana" w:cs="Arial"/>
          <w:color w:val="000000" w:themeColor="text1"/>
        </w:rPr>
      </w:pPr>
    </w:p>
    <w:p w14:paraId="034EA6AE" w14:textId="77777777" w:rsidR="00A25C8F" w:rsidRDefault="00A25C8F" w:rsidP="00985A2A">
      <w:pPr>
        <w:spacing w:after="0" w:line="240" w:lineRule="auto"/>
        <w:rPr>
          <w:rFonts w:ascii="Verdana" w:eastAsia="Geomanist Light" w:hAnsi="Verdana" w:cs="Arial"/>
          <w:color w:val="000000" w:themeColor="text1"/>
        </w:rPr>
      </w:pPr>
    </w:p>
    <w:p w14:paraId="3A2F354C" w14:textId="77777777" w:rsidR="00A25C8F" w:rsidRDefault="00A25C8F" w:rsidP="00985A2A">
      <w:pPr>
        <w:spacing w:after="0" w:line="240" w:lineRule="auto"/>
        <w:rPr>
          <w:rFonts w:ascii="Verdana" w:eastAsia="Geomanist Light" w:hAnsi="Verdana" w:cs="Arial"/>
          <w:color w:val="000000" w:themeColor="text1"/>
        </w:rPr>
      </w:pPr>
    </w:p>
    <w:p w14:paraId="1FA1D9A9" w14:textId="77777777" w:rsidR="00A25C8F" w:rsidRDefault="00A25C8F" w:rsidP="00985A2A">
      <w:pPr>
        <w:spacing w:after="0" w:line="240" w:lineRule="auto"/>
        <w:rPr>
          <w:rFonts w:ascii="Verdana" w:eastAsia="Geomanist Light" w:hAnsi="Verdana" w:cs="Arial"/>
          <w:color w:val="000000" w:themeColor="text1"/>
        </w:rPr>
      </w:pPr>
    </w:p>
    <w:p w14:paraId="57FF821D" w14:textId="77777777" w:rsidR="00A25C8F" w:rsidRDefault="00A25C8F" w:rsidP="00985A2A">
      <w:pPr>
        <w:spacing w:after="0" w:line="240" w:lineRule="auto"/>
        <w:rPr>
          <w:rFonts w:ascii="Verdana" w:eastAsia="Geomanist Light" w:hAnsi="Verdana" w:cs="Arial"/>
          <w:color w:val="000000" w:themeColor="text1"/>
        </w:rPr>
      </w:pPr>
    </w:p>
    <w:p w14:paraId="3696EDF6" w14:textId="77777777" w:rsidR="00A25C8F" w:rsidRDefault="00A25C8F" w:rsidP="00985A2A">
      <w:pPr>
        <w:spacing w:after="0" w:line="240" w:lineRule="auto"/>
        <w:rPr>
          <w:rFonts w:ascii="Verdana" w:eastAsia="Geomanist Light" w:hAnsi="Verdana" w:cs="Arial"/>
          <w:color w:val="000000" w:themeColor="text1"/>
        </w:rPr>
      </w:pPr>
    </w:p>
    <w:p w14:paraId="78DBABEA" w14:textId="77777777" w:rsidR="00A25C8F" w:rsidRDefault="00A25C8F" w:rsidP="00985A2A">
      <w:pPr>
        <w:spacing w:after="0" w:line="240" w:lineRule="auto"/>
        <w:rPr>
          <w:rFonts w:ascii="Verdana" w:eastAsia="Geomanist Light" w:hAnsi="Verdana" w:cs="Arial"/>
          <w:color w:val="000000" w:themeColor="text1"/>
        </w:rPr>
      </w:pPr>
    </w:p>
    <w:p w14:paraId="42E66F17" w14:textId="77777777" w:rsidR="00A25C8F" w:rsidRDefault="00A25C8F" w:rsidP="00985A2A">
      <w:pPr>
        <w:spacing w:after="0" w:line="240" w:lineRule="auto"/>
        <w:rPr>
          <w:rFonts w:ascii="Verdana" w:eastAsia="Geomanist Light" w:hAnsi="Verdana" w:cs="Arial"/>
          <w:color w:val="000000" w:themeColor="text1"/>
        </w:rPr>
      </w:pPr>
    </w:p>
    <w:p w14:paraId="5467247B" w14:textId="77777777" w:rsidR="00A25C8F" w:rsidRDefault="00A25C8F" w:rsidP="00985A2A">
      <w:pPr>
        <w:spacing w:after="0" w:line="240" w:lineRule="auto"/>
        <w:rPr>
          <w:rFonts w:ascii="Verdana" w:eastAsia="Geomanist Light" w:hAnsi="Verdana" w:cs="Arial"/>
          <w:color w:val="000000" w:themeColor="text1"/>
        </w:rPr>
      </w:pPr>
    </w:p>
    <w:p w14:paraId="611C2E15" w14:textId="77777777" w:rsidR="00A25C8F" w:rsidRDefault="00A25C8F" w:rsidP="00985A2A">
      <w:pPr>
        <w:spacing w:after="0" w:line="240" w:lineRule="auto"/>
        <w:rPr>
          <w:rFonts w:ascii="Verdana" w:eastAsia="Geomanist Light" w:hAnsi="Verdana" w:cs="Arial"/>
          <w:color w:val="000000" w:themeColor="text1"/>
        </w:rPr>
      </w:pPr>
    </w:p>
    <w:p w14:paraId="316B10E9" w14:textId="77777777" w:rsidR="00A25C8F" w:rsidRDefault="00A25C8F" w:rsidP="00985A2A">
      <w:pPr>
        <w:spacing w:after="0" w:line="240" w:lineRule="auto"/>
        <w:rPr>
          <w:rFonts w:ascii="Verdana" w:eastAsia="Geomanist Light" w:hAnsi="Verdana" w:cs="Arial"/>
          <w:color w:val="000000" w:themeColor="text1"/>
        </w:rPr>
      </w:pPr>
    </w:p>
    <w:p w14:paraId="5829A4F9" w14:textId="77777777" w:rsidR="00A25C8F" w:rsidRDefault="00A25C8F" w:rsidP="00985A2A">
      <w:pPr>
        <w:spacing w:after="0" w:line="240" w:lineRule="auto"/>
        <w:rPr>
          <w:rFonts w:ascii="Verdana" w:eastAsia="Geomanist Light" w:hAnsi="Verdana" w:cs="Arial"/>
          <w:color w:val="000000" w:themeColor="text1"/>
        </w:rPr>
      </w:pPr>
    </w:p>
    <w:p w14:paraId="402848BB" w14:textId="77777777" w:rsidR="00A25C8F" w:rsidRDefault="00A25C8F" w:rsidP="00985A2A">
      <w:pPr>
        <w:spacing w:after="0" w:line="240" w:lineRule="auto"/>
        <w:rPr>
          <w:rFonts w:ascii="Verdana" w:eastAsia="Geomanist Light" w:hAnsi="Verdana" w:cs="Arial"/>
          <w:color w:val="000000" w:themeColor="text1"/>
        </w:rPr>
      </w:pPr>
    </w:p>
    <w:p w14:paraId="5FD1BDFF" w14:textId="77777777" w:rsidR="00A25C8F" w:rsidRDefault="00A25C8F" w:rsidP="00985A2A">
      <w:pPr>
        <w:spacing w:after="0" w:line="240" w:lineRule="auto"/>
        <w:rPr>
          <w:rFonts w:ascii="Verdana" w:eastAsia="Geomanist Light" w:hAnsi="Verdana" w:cs="Arial"/>
          <w:color w:val="000000" w:themeColor="text1"/>
        </w:rPr>
      </w:pPr>
    </w:p>
    <w:p w14:paraId="294AC319" w14:textId="77777777" w:rsidR="00A25C8F" w:rsidRDefault="00A25C8F" w:rsidP="00985A2A">
      <w:pPr>
        <w:spacing w:after="0" w:line="240" w:lineRule="auto"/>
        <w:rPr>
          <w:rFonts w:ascii="Verdana" w:eastAsia="Geomanist Light" w:hAnsi="Verdana" w:cs="Arial"/>
          <w:color w:val="000000" w:themeColor="text1"/>
        </w:rPr>
      </w:pPr>
    </w:p>
    <w:p w14:paraId="7C4CFDA2" w14:textId="77777777" w:rsidR="00A25C8F" w:rsidRDefault="00A25C8F" w:rsidP="00985A2A">
      <w:pPr>
        <w:spacing w:after="0" w:line="240" w:lineRule="auto"/>
        <w:rPr>
          <w:rFonts w:ascii="Verdana" w:eastAsia="Geomanist Light" w:hAnsi="Verdana" w:cs="Arial"/>
          <w:color w:val="000000" w:themeColor="text1"/>
        </w:rPr>
      </w:pPr>
    </w:p>
    <w:p w14:paraId="33734E6B" w14:textId="77777777" w:rsidR="00A25C8F" w:rsidRDefault="00A25C8F" w:rsidP="00985A2A">
      <w:pPr>
        <w:spacing w:after="0" w:line="240" w:lineRule="auto"/>
        <w:rPr>
          <w:rFonts w:ascii="Verdana" w:eastAsia="Geomanist Light" w:hAnsi="Verdana" w:cs="Arial"/>
          <w:color w:val="000000" w:themeColor="text1"/>
        </w:rPr>
      </w:pPr>
    </w:p>
    <w:p w14:paraId="757E993A" w14:textId="77777777" w:rsidR="00A25C8F" w:rsidRDefault="00A25C8F" w:rsidP="00985A2A">
      <w:pPr>
        <w:spacing w:after="0" w:line="240" w:lineRule="auto"/>
        <w:rPr>
          <w:rFonts w:ascii="Verdana" w:eastAsia="Geomanist Light" w:hAnsi="Verdana" w:cs="Arial"/>
          <w:color w:val="000000" w:themeColor="text1"/>
        </w:rPr>
      </w:pPr>
    </w:p>
    <w:p w14:paraId="079FA85B" w14:textId="77777777" w:rsidR="00A25C8F" w:rsidRDefault="00A25C8F" w:rsidP="00985A2A">
      <w:pPr>
        <w:spacing w:after="0" w:line="240" w:lineRule="auto"/>
        <w:rPr>
          <w:rFonts w:ascii="Verdana" w:eastAsia="Geomanist Light" w:hAnsi="Verdana" w:cs="Arial"/>
          <w:color w:val="000000" w:themeColor="text1"/>
        </w:rPr>
      </w:pPr>
    </w:p>
    <w:p w14:paraId="11C50954" w14:textId="77777777" w:rsidR="00A25C8F" w:rsidRDefault="00A25C8F" w:rsidP="00985A2A">
      <w:pPr>
        <w:spacing w:after="0" w:line="240" w:lineRule="auto"/>
        <w:rPr>
          <w:rFonts w:ascii="Verdana" w:eastAsia="Geomanist Light" w:hAnsi="Verdana" w:cs="Arial"/>
          <w:color w:val="000000" w:themeColor="text1"/>
        </w:rPr>
      </w:pPr>
    </w:p>
    <w:p w14:paraId="5A20AEF3" w14:textId="77777777" w:rsidR="00A25C8F" w:rsidRDefault="00A25C8F" w:rsidP="00985A2A">
      <w:pPr>
        <w:spacing w:after="0" w:line="240" w:lineRule="auto"/>
        <w:rPr>
          <w:rFonts w:ascii="Verdana" w:eastAsia="Geomanist Light" w:hAnsi="Verdana" w:cs="Arial"/>
          <w:color w:val="000000" w:themeColor="text1"/>
        </w:rPr>
      </w:pPr>
    </w:p>
    <w:p w14:paraId="01CEC6D8" w14:textId="77777777" w:rsidR="00A25C8F" w:rsidRDefault="00A25C8F" w:rsidP="00985A2A">
      <w:pPr>
        <w:spacing w:after="0" w:line="240" w:lineRule="auto"/>
        <w:rPr>
          <w:rFonts w:ascii="Verdana" w:eastAsia="Geomanist Light" w:hAnsi="Verdana" w:cs="Arial"/>
          <w:color w:val="000000" w:themeColor="text1"/>
        </w:rPr>
      </w:pPr>
    </w:p>
    <w:p w14:paraId="75EEB77F" w14:textId="77777777" w:rsidR="00A25C8F" w:rsidRDefault="00A25C8F" w:rsidP="00985A2A">
      <w:pPr>
        <w:spacing w:after="0" w:line="240" w:lineRule="auto"/>
        <w:rPr>
          <w:rFonts w:ascii="Verdana" w:eastAsia="Geomanist Light" w:hAnsi="Verdana" w:cs="Arial"/>
          <w:color w:val="000000" w:themeColor="text1"/>
        </w:rPr>
      </w:pPr>
    </w:p>
    <w:p w14:paraId="1136E33E" w14:textId="77777777" w:rsidR="00A25C8F" w:rsidRDefault="00A25C8F" w:rsidP="00985A2A">
      <w:pPr>
        <w:spacing w:after="0" w:line="240" w:lineRule="auto"/>
        <w:rPr>
          <w:rFonts w:ascii="Verdana" w:eastAsia="Geomanist Light" w:hAnsi="Verdana" w:cs="Arial"/>
          <w:color w:val="000000" w:themeColor="text1"/>
        </w:rPr>
      </w:pPr>
    </w:p>
    <w:p w14:paraId="1B22C18C" w14:textId="77777777" w:rsidR="00A25C8F" w:rsidRDefault="00A25C8F" w:rsidP="00985A2A">
      <w:pPr>
        <w:spacing w:after="0" w:line="240" w:lineRule="auto"/>
        <w:rPr>
          <w:rFonts w:ascii="Verdana" w:eastAsia="Geomanist Light" w:hAnsi="Verdana" w:cs="Arial"/>
          <w:color w:val="000000" w:themeColor="text1"/>
        </w:rPr>
      </w:pPr>
    </w:p>
    <w:p w14:paraId="6DE79448" w14:textId="77777777" w:rsidR="00A25C8F" w:rsidRDefault="00A25C8F" w:rsidP="00985A2A">
      <w:pPr>
        <w:spacing w:after="0" w:line="240" w:lineRule="auto"/>
        <w:rPr>
          <w:rFonts w:ascii="Verdana" w:eastAsia="Geomanist Light" w:hAnsi="Verdana" w:cs="Arial"/>
          <w:color w:val="000000" w:themeColor="text1"/>
        </w:rPr>
      </w:pPr>
    </w:p>
    <w:p w14:paraId="298D3446" w14:textId="77777777" w:rsidR="00A25C8F" w:rsidRDefault="00A25C8F" w:rsidP="00985A2A">
      <w:pPr>
        <w:spacing w:after="0" w:line="240" w:lineRule="auto"/>
        <w:rPr>
          <w:rFonts w:ascii="Verdana" w:eastAsia="Geomanist Light" w:hAnsi="Verdana" w:cs="Arial"/>
          <w:color w:val="000000" w:themeColor="text1"/>
        </w:rPr>
      </w:pPr>
    </w:p>
    <w:p w14:paraId="134AC86D" w14:textId="77777777" w:rsidR="00A25C8F" w:rsidRDefault="00A25C8F" w:rsidP="00985A2A">
      <w:pPr>
        <w:spacing w:after="0" w:line="240" w:lineRule="auto"/>
        <w:rPr>
          <w:rFonts w:ascii="Verdana" w:eastAsia="Geomanist Light" w:hAnsi="Verdana" w:cs="Arial"/>
          <w:color w:val="000000" w:themeColor="text1"/>
        </w:rPr>
      </w:pPr>
    </w:p>
    <w:p w14:paraId="566DE1CA" w14:textId="77777777" w:rsidR="00A25C8F" w:rsidRPr="00A25C8F" w:rsidRDefault="00A25C8F" w:rsidP="00985A2A">
      <w:pPr>
        <w:spacing w:after="0" w:line="240" w:lineRule="auto"/>
        <w:rPr>
          <w:rFonts w:ascii="Verdana" w:eastAsia="Geomanist Light" w:hAnsi="Verdana" w:cs="Arial"/>
          <w:color w:val="000000" w:themeColor="text1"/>
        </w:rPr>
      </w:pPr>
    </w:p>
    <w:p w14:paraId="58D57A50" w14:textId="77777777" w:rsidR="00A25C8F" w:rsidRDefault="00A25C8F" w:rsidP="00985A2A">
      <w:pPr>
        <w:spacing w:after="0" w:line="240" w:lineRule="auto"/>
        <w:rPr>
          <w:rFonts w:ascii="Verdana" w:eastAsia="Geomanist Light" w:hAnsi="Verdana" w:cs="Arial"/>
          <w:color w:val="000000" w:themeColor="text1"/>
          <w:lang w:val="es-MX"/>
        </w:rPr>
      </w:pPr>
    </w:p>
    <w:p w14:paraId="714215DD" w14:textId="77777777" w:rsidR="00755493" w:rsidRDefault="00755493" w:rsidP="00985A2A">
      <w:pPr>
        <w:spacing w:after="0" w:line="240" w:lineRule="auto"/>
        <w:rPr>
          <w:rFonts w:ascii="Verdana" w:eastAsia="Geomanist Light" w:hAnsi="Verdana" w:cs="Arial"/>
          <w:color w:val="000000" w:themeColor="text1"/>
          <w:lang w:val="es-MX"/>
        </w:rPr>
      </w:pPr>
    </w:p>
    <w:p w14:paraId="2BFE6E52" w14:textId="53F82220" w:rsidR="00985A2A" w:rsidRPr="00593A5F" w:rsidRDefault="00985A2A" w:rsidP="00985A2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8624C" w:rsidRPr="00B8624C">
        <w:rPr>
          <w:rFonts w:ascii="Verdana" w:eastAsia="Geomanist Light" w:hAnsi="Verdana" w:cs="Arial"/>
          <w:color w:val="000000" w:themeColor="text1"/>
          <w:lang w:val="es-MX"/>
        </w:rPr>
        <w:t>16 de Diciembre de 2025</w:t>
      </w:r>
    </w:p>
    <w:p w14:paraId="5ADB09E4" w14:textId="77777777" w:rsidR="00985A2A" w:rsidRDefault="00985A2A" w:rsidP="00985A2A">
      <w:pPr>
        <w:spacing w:after="0" w:line="240" w:lineRule="auto"/>
        <w:jc w:val="both"/>
        <w:rPr>
          <w:rFonts w:ascii="Verdana" w:eastAsia="Calibri" w:hAnsi="Verdana" w:cs="Arial"/>
          <w:color w:val="000000"/>
          <w:lang w:val="es-ES"/>
        </w:rPr>
      </w:pPr>
    </w:p>
    <w:p w14:paraId="1016C47A" w14:textId="018E30DB" w:rsidR="00B8624C" w:rsidRDefault="00B8624C" w:rsidP="00B8624C">
      <w:pPr>
        <w:spacing w:after="0" w:line="240" w:lineRule="auto"/>
        <w:jc w:val="right"/>
        <w:rPr>
          <w:rFonts w:ascii="Verdana" w:eastAsia="Calibri" w:hAnsi="Verdana" w:cs="Arial"/>
          <w:color w:val="000000"/>
          <w:lang w:val="es-ES"/>
        </w:rPr>
      </w:pPr>
      <w:r w:rsidRPr="00B8624C">
        <w:rPr>
          <w:rFonts w:ascii="Verdana" w:eastAsia="Calibri" w:hAnsi="Verdana" w:cs="Arial"/>
          <w:noProof/>
          <w:color w:val="000000"/>
          <w:lang w:val="es-ES"/>
        </w:rPr>
        <w:drawing>
          <wp:inline distT="0" distB="0" distL="0" distR="0" wp14:anchorId="46F4EB4B" wp14:editId="3CF37CC1">
            <wp:extent cx="3238500" cy="901700"/>
            <wp:effectExtent l="0" t="0" r="0" b="0"/>
            <wp:docPr id="18294684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68441" name=""/>
                    <pic:cNvPicPr/>
                  </pic:nvPicPr>
                  <pic:blipFill>
                    <a:blip r:embed="rId10"/>
                    <a:stretch>
                      <a:fillRect/>
                    </a:stretch>
                  </pic:blipFill>
                  <pic:spPr>
                    <a:xfrm>
                      <a:off x="0" y="0"/>
                      <a:ext cx="3238500" cy="901700"/>
                    </a:xfrm>
                    <a:prstGeom prst="rect">
                      <a:avLst/>
                    </a:prstGeom>
                  </pic:spPr>
                </pic:pic>
              </a:graphicData>
            </a:graphic>
          </wp:inline>
        </w:drawing>
      </w:r>
    </w:p>
    <w:p w14:paraId="20176252" w14:textId="77777777" w:rsidR="00985A2A" w:rsidRPr="00593A5F" w:rsidRDefault="00985A2A" w:rsidP="00985A2A">
      <w:pPr>
        <w:spacing w:after="0" w:line="240" w:lineRule="auto"/>
        <w:jc w:val="both"/>
        <w:rPr>
          <w:rFonts w:ascii="Verdana" w:eastAsia="Calibri" w:hAnsi="Verdana" w:cs="Arial"/>
          <w:color w:val="000000"/>
          <w:lang w:val="es-ES"/>
        </w:rPr>
      </w:pPr>
    </w:p>
    <w:p w14:paraId="3C23AC3F" w14:textId="77777777" w:rsidR="00985A2A" w:rsidRPr="00B96799" w:rsidRDefault="00985A2A" w:rsidP="00985A2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3F93B92A" w14:textId="77777777" w:rsidR="00985A2A" w:rsidRPr="0085423D" w:rsidRDefault="00985A2A" w:rsidP="00985A2A">
      <w:pPr>
        <w:spacing w:after="0" w:line="240" w:lineRule="auto"/>
        <w:rPr>
          <w:rFonts w:ascii="Verdana" w:eastAsia="Calibri" w:hAnsi="Verdana" w:cs="Arial"/>
          <w:b/>
          <w:lang w:val="es-ES_tradnl" w:eastAsia="es-ES_tradnl"/>
        </w:rPr>
      </w:pPr>
      <w:r w:rsidRPr="0096613A">
        <w:rPr>
          <w:rFonts w:ascii="Verdana" w:eastAsia="Calibri" w:hAnsi="Verdana" w:cs="Arial"/>
          <w:b/>
          <w:lang w:val="es-ES_tradnl" w:eastAsia="es-ES_tradnl"/>
        </w:rPr>
        <w:t>Fernando José Gutiérrez Ibáñez</w:t>
      </w:r>
      <w:r>
        <w:rPr>
          <w:rFonts w:ascii="Verdana" w:eastAsia="Calibri" w:hAnsi="Verdana" w:cs="Arial"/>
          <w:b/>
          <w:lang w:val="es-ES_tradnl" w:eastAsia="es-ES_tradnl"/>
        </w:rPr>
        <w:t xml:space="preserve"> </w:t>
      </w:r>
    </w:p>
    <w:p w14:paraId="213356A7" w14:textId="77777777" w:rsidR="00985A2A" w:rsidRPr="00DB1DAC" w:rsidRDefault="00985A2A" w:rsidP="00985A2A">
      <w:pPr>
        <w:spacing w:after="0" w:line="240" w:lineRule="auto"/>
        <w:rPr>
          <w:rFonts w:ascii="Verdana" w:eastAsia="Calibri" w:hAnsi="Verdana" w:cs="Arial"/>
          <w:lang w:val="es-ES" w:eastAsia="es-ES"/>
        </w:rPr>
      </w:pPr>
      <w:hyperlink r:id="rId11" w:history="1">
        <w:r w:rsidRPr="00C907A2">
          <w:rPr>
            <w:rStyle w:val="Hipervnculo"/>
            <w:rFonts w:ascii="Verdana" w:hAnsi="Verdana"/>
          </w:rPr>
          <w:t>fernandog213@hotmail.com</w:t>
        </w:r>
      </w:hyperlink>
      <w:r>
        <w:rPr>
          <w:rFonts w:ascii="Verdana" w:hAnsi="Verdana"/>
        </w:rPr>
        <w:t xml:space="preserve"> </w:t>
      </w:r>
      <w:r w:rsidRPr="00DB1DAC">
        <w:rPr>
          <w:rFonts w:ascii="Verdana" w:hAnsi="Verdana"/>
        </w:rPr>
        <w:t xml:space="preserve">             </w:t>
      </w:r>
      <w:r w:rsidRPr="00DB1DAC">
        <w:rPr>
          <w:rFonts w:ascii="Verdana" w:eastAsia="Calibri" w:hAnsi="Verdana" w:cs="Arial"/>
          <w:lang w:val="es-ES" w:eastAsia="es-ES"/>
        </w:rPr>
        <w:t xml:space="preserve">    </w:t>
      </w:r>
    </w:p>
    <w:p w14:paraId="499008B4" w14:textId="77777777" w:rsidR="00985A2A" w:rsidRDefault="00985A2A" w:rsidP="00985A2A">
      <w:pPr>
        <w:spacing w:after="0" w:line="240" w:lineRule="auto"/>
        <w:rPr>
          <w:rFonts w:ascii="Verdana" w:eastAsia="Calibri" w:hAnsi="Verdana" w:cs="Arial"/>
          <w:lang w:val="es-ES" w:eastAsia="es-ES"/>
        </w:rPr>
      </w:pPr>
      <w:r w:rsidRPr="00DB1DAC">
        <w:rPr>
          <w:rFonts w:ascii="Verdana" w:eastAsia="Calibri" w:hAnsi="Verdana" w:cs="Arial"/>
          <w:lang w:val="es-ES" w:eastAsia="es-ES"/>
        </w:rPr>
        <w:t>Valledupar</w:t>
      </w:r>
      <w:r>
        <w:rPr>
          <w:rFonts w:ascii="Verdana" w:eastAsia="Calibri" w:hAnsi="Verdana" w:cs="Arial"/>
          <w:lang w:val="es-ES" w:eastAsia="es-ES"/>
        </w:rPr>
        <w:t xml:space="preserve">, Cesar </w:t>
      </w:r>
    </w:p>
    <w:p w14:paraId="35AAB888" w14:textId="77777777" w:rsidR="00985A2A" w:rsidRPr="00593A5F" w:rsidRDefault="00985A2A" w:rsidP="00985A2A">
      <w:pPr>
        <w:spacing w:after="0" w:line="240" w:lineRule="auto"/>
        <w:rPr>
          <w:rFonts w:ascii="Verdana" w:eastAsia="Calibri" w:hAnsi="Verdana" w:cs="Arial"/>
          <w:b/>
          <w:bCs/>
          <w:color w:val="000000"/>
          <w:lang w:val="es-ES_tradnl" w:eastAsia="es-ES_tradnl"/>
        </w:rPr>
      </w:pPr>
    </w:p>
    <w:p w14:paraId="71761CC2" w14:textId="77777777" w:rsidR="00985A2A" w:rsidRPr="00593A5F" w:rsidRDefault="00985A2A" w:rsidP="00985A2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85A2A" w:rsidRPr="00593A5F" w14:paraId="40507D74" w14:textId="77777777" w:rsidTr="00C400BF">
        <w:trPr>
          <w:trHeight w:val="884"/>
        </w:trPr>
        <w:tc>
          <w:tcPr>
            <w:tcW w:w="2689" w:type="dxa"/>
          </w:tcPr>
          <w:p w14:paraId="5B3A3922" w14:textId="77777777" w:rsidR="00985A2A" w:rsidRPr="00C00976" w:rsidRDefault="00985A2A" w:rsidP="00C400BF">
            <w:pPr>
              <w:jc w:val="both"/>
              <w:rPr>
                <w:rFonts w:ascii="Verdana" w:eastAsia="Calibri" w:hAnsi="Verdana" w:cs="Arial"/>
                <w:b/>
                <w:bCs/>
                <w:color w:val="7030A0"/>
                <w:lang w:val="es-ES_tradnl" w:eastAsia="es-ES_tradnl"/>
              </w:rPr>
            </w:pPr>
          </w:p>
        </w:tc>
        <w:tc>
          <w:tcPr>
            <w:tcW w:w="6100" w:type="dxa"/>
          </w:tcPr>
          <w:p w14:paraId="63AEB487" w14:textId="17FF4803" w:rsidR="00985A2A" w:rsidRPr="00C00976" w:rsidRDefault="00985A2A" w:rsidP="00C400B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01189D">
              <w:rPr>
                <w:rFonts w:ascii="Verdana" w:eastAsia="Calibri" w:hAnsi="Verdana" w:cs="Arial"/>
                <w:b/>
                <w:bCs/>
                <w:lang w:val="es-ES" w:eastAsia="es-ES"/>
              </w:rPr>
              <w:t>1797</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985A2A" w:rsidRPr="00593A5F" w14:paraId="543D3EB7" w14:textId="77777777" w:rsidTr="00C400BF">
        <w:trPr>
          <w:trHeight w:val="884"/>
        </w:trPr>
        <w:tc>
          <w:tcPr>
            <w:tcW w:w="2689" w:type="dxa"/>
          </w:tcPr>
          <w:p w14:paraId="6AE99FE2" w14:textId="77777777" w:rsidR="00985A2A" w:rsidRPr="00593A5F" w:rsidRDefault="00985A2A" w:rsidP="00C400B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FA78BA7" w14:textId="77777777" w:rsidR="00985A2A" w:rsidRPr="00A11406" w:rsidRDefault="00985A2A" w:rsidP="00C400BF">
            <w:pPr>
              <w:spacing w:line="276" w:lineRule="auto"/>
              <w:jc w:val="both"/>
              <w:rPr>
                <w:rFonts w:ascii="Verdana" w:eastAsia="Calibri" w:hAnsi="Verdana" w:cs="Arial"/>
                <w:lang w:val="es-ES" w:eastAsia="es-ES"/>
              </w:rPr>
            </w:pPr>
            <w:r w:rsidRPr="000239A6">
              <w:rPr>
                <w:rFonts w:ascii="Verdana" w:eastAsia="Calibri" w:hAnsi="Verdana" w:cs="Arial"/>
                <w:lang w:val="es-ES" w:eastAsia="es-ES"/>
              </w:rPr>
              <w:t>DETERMINACIÓN DEL VALOR DEL CONTRATO – Etapa de planeación – Metodologías – Factores que inciden</w:t>
            </w:r>
            <w:r>
              <w:rPr>
                <w:rFonts w:ascii="Verdana" w:eastAsia="Calibri" w:hAnsi="Verdana" w:cs="Arial"/>
                <w:lang w:val="es-ES" w:eastAsia="es-ES"/>
              </w:rPr>
              <w:t xml:space="preserve"> / </w:t>
            </w:r>
            <w:r w:rsidRPr="000239A6">
              <w:rPr>
                <w:rFonts w:ascii="Verdana" w:eastAsia="Calibri" w:hAnsi="Verdana" w:cs="Arial"/>
                <w:lang w:val="es-ES" w:eastAsia="es-ES"/>
              </w:rPr>
              <w:t>SISTEMA DE FACTOR MULTIPLICADOR – Noción – Costos directos – Imputables al contrato</w:t>
            </w:r>
            <w:r>
              <w:rPr>
                <w:rFonts w:ascii="Verdana" w:eastAsia="Calibri" w:hAnsi="Verdana" w:cs="Arial"/>
                <w:lang w:val="es-ES" w:eastAsia="es-ES"/>
              </w:rPr>
              <w:t xml:space="preserve"> / </w:t>
            </w:r>
            <w:r w:rsidRPr="000239A6">
              <w:rPr>
                <w:rFonts w:ascii="Verdana" w:eastAsia="Calibri" w:hAnsi="Verdana" w:cs="Arial"/>
                <w:lang w:val="es-ES" w:eastAsia="es-ES"/>
              </w:rPr>
              <w:t>FACTOR MULTIPLICADOR – Costos – Determinación</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9A54461" w14:textId="77777777" w:rsidR="00985A2A" w:rsidRPr="00593A5F" w:rsidRDefault="00985A2A" w:rsidP="00C400B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85A2A" w:rsidRPr="008E6AD9" w14:paraId="7B940A40" w14:textId="77777777" w:rsidTr="00C400BF">
        <w:tc>
          <w:tcPr>
            <w:tcW w:w="2689" w:type="dxa"/>
          </w:tcPr>
          <w:p w14:paraId="4C9BC786" w14:textId="77777777" w:rsidR="00985A2A" w:rsidRPr="008E6AD9" w:rsidRDefault="00985A2A" w:rsidP="00C400B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F423FBE" w14:textId="77777777" w:rsidR="00985A2A" w:rsidRPr="00B92340" w:rsidRDefault="00985A2A" w:rsidP="00C400B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DB1DAC">
              <w:rPr>
                <w:rFonts w:ascii="Verdana" w:eastAsia="Calibri" w:hAnsi="Verdana" w:cs="Arial"/>
                <w:lang w:val="es-ES_tradnl" w:eastAsia="es-ES_tradnl"/>
              </w:rPr>
              <w:t xml:space="preserve">1_2025_12_08_013757 </w:t>
            </w:r>
            <w:r>
              <w:rPr>
                <w:rFonts w:ascii="Verdana" w:eastAsia="Calibri" w:hAnsi="Verdana" w:cs="Arial"/>
                <w:lang w:val="es-ES_tradnl" w:eastAsia="es-ES_tradnl"/>
              </w:rPr>
              <w:t xml:space="preserve">y </w:t>
            </w:r>
            <w:r w:rsidRPr="00DB1DAC">
              <w:rPr>
                <w:rFonts w:ascii="Verdana" w:eastAsia="Calibri" w:hAnsi="Verdana" w:cs="Arial"/>
                <w:lang w:val="es-ES_tradnl" w:eastAsia="es-ES_tradnl"/>
              </w:rPr>
              <w:t>1_2025_12_08_013758</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–Acumulados–                                   </w:t>
            </w:r>
          </w:p>
        </w:tc>
      </w:tr>
    </w:tbl>
    <w:p w14:paraId="795A3C39" w14:textId="77777777" w:rsidR="00985A2A" w:rsidRPr="00593A5F" w:rsidRDefault="00985A2A" w:rsidP="00985A2A">
      <w:pPr>
        <w:spacing w:after="0" w:line="240" w:lineRule="auto"/>
        <w:jc w:val="both"/>
        <w:rPr>
          <w:rFonts w:ascii="Verdana" w:eastAsia="Calibri" w:hAnsi="Verdana" w:cs="Arial"/>
          <w:color w:val="000000"/>
          <w:lang w:val="es-ES_tradnl" w:eastAsia="es-ES_tradnl"/>
        </w:rPr>
      </w:pPr>
    </w:p>
    <w:p w14:paraId="15C54408" w14:textId="77777777" w:rsidR="00985A2A" w:rsidRPr="00593A5F" w:rsidRDefault="00985A2A" w:rsidP="00985A2A">
      <w:pPr>
        <w:spacing w:after="0" w:line="240" w:lineRule="auto"/>
        <w:jc w:val="both"/>
        <w:rPr>
          <w:rFonts w:ascii="Verdana" w:eastAsia="Calibri" w:hAnsi="Verdana" w:cs="Arial"/>
          <w:color w:val="000000"/>
          <w:lang w:val="es-ES_tradnl" w:eastAsia="es-ES_tradnl"/>
        </w:rPr>
      </w:pPr>
    </w:p>
    <w:p w14:paraId="4BCF9AFB" w14:textId="77777777" w:rsidR="00985A2A" w:rsidRPr="008E6AD9" w:rsidRDefault="00985A2A" w:rsidP="00985A2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DB1DAC">
        <w:rPr>
          <w:rFonts w:ascii="Verdana" w:eastAsia="Calibri" w:hAnsi="Verdana" w:cs="Arial"/>
          <w:lang w:val="es-ES" w:eastAsia="es-ES"/>
        </w:rPr>
        <w:t>Gutiérrez Ibáñez</w:t>
      </w:r>
      <w:r w:rsidRPr="008E6AD9">
        <w:rPr>
          <w:rFonts w:ascii="Verdana" w:eastAsia="Calibri" w:hAnsi="Verdana" w:cs="Arial"/>
          <w:lang w:val="es-ES" w:eastAsia="es-ES"/>
        </w:rPr>
        <w:t xml:space="preserve">: </w:t>
      </w:r>
    </w:p>
    <w:p w14:paraId="7679723C" w14:textId="77777777" w:rsidR="00985A2A" w:rsidRDefault="00985A2A" w:rsidP="00985A2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C206CF2" w14:textId="77777777" w:rsidR="00985A2A" w:rsidRPr="00593A5F" w:rsidRDefault="00985A2A" w:rsidP="00985A2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8 de diciembre de 2025, donde pregunta lo siguiente</w:t>
      </w:r>
      <w:r w:rsidRPr="008E6AD9">
        <w:rPr>
          <w:rFonts w:ascii="Verdana" w:eastAsia="Calibri" w:hAnsi="Verdana" w:cs="Arial"/>
          <w:lang w:val="es-ES" w:eastAsia="es-ES"/>
        </w:rPr>
        <w:t xml:space="preserve">: </w:t>
      </w:r>
    </w:p>
    <w:p w14:paraId="73005135" w14:textId="77777777" w:rsidR="00985A2A" w:rsidRPr="00272A7B" w:rsidRDefault="00985A2A" w:rsidP="00985A2A">
      <w:pPr>
        <w:pStyle w:val="Prrafodelista"/>
        <w:tabs>
          <w:tab w:val="left" w:pos="142"/>
          <w:tab w:val="left" w:pos="284"/>
        </w:tabs>
        <w:spacing w:after="0" w:line="276" w:lineRule="auto"/>
        <w:ind w:left="0"/>
        <w:jc w:val="both"/>
        <w:rPr>
          <w:rFonts w:ascii="Verdana" w:eastAsia="Century Gothic" w:hAnsi="Verdana" w:cs="Century Gothic"/>
          <w:b/>
          <w:bCs/>
        </w:rPr>
      </w:pPr>
    </w:p>
    <w:p w14:paraId="6E386187" w14:textId="77777777" w:rsidR="00985A2A" w:rsidRPr="00562811" w:rsidRDefault="00985A2A" w:rsidP="00985A2A">
      <w:pPr>
        <w:spacing w:after="120" w:line="240" w:lineRule="auto"/>
        <w:ind w:left="709" w:right="709"/>
        <w:jc w:val="both"/>
        <w:rPr>
          <w:rFonts w:ascii="Verdana" w:eastAsia="Century Gothic" w:hAnsi="Verdana" w:cs="Century Gothic"/>
          <w:sz w:val="20"/>
          <w:szCs w:val="20"/>
          <w:lang w:val="es-ES"/>
        </w:rPr>
      </w:pPr>
      <w:bookmarkStart w:id="0" w:name="_Hlk95313578"/>
      <w:r>
        <w:rPr>
          <w:rFonts w:ascii="Verdana" w:eastAsia="Century Gothic" w:hAnsi="Verdana" w:cs="Century Gothic"/>
          <w:sz w:val="20"/>
          <w:szCs w:val="20"/>
          <w:lang w:val="es-ES"/>
        </w:rPr>
        <w:t xml:space="preserve">1. </w:t>
      </w:r>
      <w:r w:rsidRPr="001904AF">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E</w:t>
      </w:r>
      <w:r w:rsidRPr="005A38DC">
        <w:rPr>
          <w:rFonts w:ascii="Verdana" w:eastAsia="Century Gothic" w:hAnsi="Verdana" w:cs="Century Gothic"/>
          <w:sz w:val="20"/>
          <w:szCs w:val="20"/>
          <w:lang w:val="es-ES"/>
        </w:rPr>
        <w:t>n los contratos de obra y de interventoría dentro de sus presupuesto</w:t>
      </w:r>
      <w:r>
        <w:rPr>
          <w:rFonts w:ascii="Verdana" w:eastAsia="Century Gothic" w:hAnsi="Verdana" w:cs="Century Gothic"/>
          <w:sz w:val="20"/>
          <w:szCs w:val="20"/>
          <w:lang w:val="es-ES"/>
        </w:rPr>
        <w:t>s</w:t>
      </w:r>
      <w:r w:rsidRPr="005A38DC">
        <w:rPr>
          <w:rFonts w:ascii="Verdana" w:eastAsia="Century Gothic" w:hAnsi="Verdana" w:cs="Century Gothic"/>
          <w:sz w:val="20"/>
          <w:szCs w:val="20"/>
          <w:lang w:val="es-ES"/>
        </w:rPr>
        <w:t xml:space="preserve"> en el caso de</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obra la administración y de la inter el factor multiplicador, se encuentra un personal</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 xml:space="preserve">establecido como es el caso de director, </w:t>
      </w:r>
      <w:r w:rsidRPr="005A38DC">
        <w:rPr>
          <w:rFonts w:ascii="Verdana" w:eastAsia="Century Gothic" w:hAnsi="Verdana" w:cs="Century Gothic"/>
          <w:sz w:val="20"/>
          <w:szCs w:val="20"/>
          <w:lang w:val="es-ES"/>
        </w:rPr>
        <w:lastRenderedPageBreak/>
        <w:t>residente, siso y demás, los cuales se</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encuentran dentro del presupuesto con un tiempo de dedicación del 50% o 100%,</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para efectos de soportar cual es el tipo de vinculación deben tener en los contratos,</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si mediante prestación de servicios o laboral, si deben estar dentro de la planilla del</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consorcio o puede soportar mediante contrato de prestación de servicio por el valor</w:t>
      </w:r>
      <w:r>
        <w:rPr>
          <w:rFonts w:ascii="Verdana" w:eastAsia="Century Gothic" w:hAnsi="Verdana" w:cs="Century Gothic"/>
          <w:sz w:val="20"/>
          <w:szCs w:val="20"/>
          <w:lang w:val="es-ES"/>
        </w:rPr>
        <w:t xml:space="preserve"> </w:t>
      </w:r>
      <w:r w:rsidRPr="005A38DC">
        <w:rPr>
          <w:rFonts w:ascii="Verdana" w:eastAsia="Century Gothic" w:hAnsi="Verdana" w:cs="Century Gothic"/>
          <w:sz w:val="20"/>
          <w:szCs w:val="20"/>
          <w:lang w:val="es-ES"/>
        </w:rPr>
        <w:t>que se encuentra en el presupuesto del contrato</w:t>
      </w:r>
      <w:r>
        <w:rPr>
          <w:rFonts w:ascii="Verdana" w:eastAsia="Century Gothic" w:hAnsi="Verdana" w:cs="Century Gothic"/>
          <w:sz w:val="20"/>
          <w:szCs w:val="20"/>
          <w:lang w:val="es-ES"/>
        </w:rPr>
        <w:t>”.</w:t>
      </w:r>
      <w:r w:rsidRPr="00562811">
        <w:rPr>
          <w:rFonts w:ascii="Verdana" w:eastAsia="Century Gothic" w:hAnsi="Verdana" w:cs="Century Gothic"/>
          <w:sz w:val="20"/>
          <w:szCs w:val="20"/>
          <w:lang w:val="es-ES"/>
        </w:rPr>
        <w:t xml:space="preserve"> </w:t>
      </w:r>
    </w:p>
    <w:p w14:paraId="04025AE1" w14:textId="77777777" w:rsidR="00985A2A" w:rsidRPr="001904AF" w:rsidRDefault="00985A2A" w:rsidP="00985A2A">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2. “L</w:t>
      </w:r>
      <w:r w:rsidRPr="005A38DC">
        <w:rPr>
          <w:rFonts w:ascii="Verdana" w:eastAsia="Century Gothic" w:hAnsi="Verdana" w:cs="Century Gothic"/>
          <w:sz w:val="20"/>
          <w:szCs w:val="20"/>
          <w:lang w:val="es-ES"/>
        </w:rPr>
        <w:t>os contratos de interventoría su estructura presupuestal es mensualizada y basada en el factor multiplicador el personal se puede soportar mediante contrato de prestación de servicios o se debe vincular a la planilla del contrato, es de anotar que dentro de esos presupuestos algunos se encuentran con una dedicación de 50% o menos</w:t>
      </w:r>
      <w:r w:rsidRPr="001904AF">
        <w:rPr>
          <w:rFonts w:ascii="Verdana" w:eastAsia="Century Gothic" w:hAnsi="Verdana" w:cs="Century Gothic"/>
          <w:sz w:val="20"/>
          <w:szCs w:val="20"/>
          <w:lang w:val="es-ES"/>
        </w:rPr>
        <w:t>”.</w:t>
      </w:r>
    </w:p>
    <w:p w14:paraId="69650D54" w14:textId="77777777" w:rsidR="00985A2A" w:rsidRPr="008E6AD9" w:rsidRDefault="00985A2A" w:rsidP="00985A2A">
      <w:pPr>
        <w:pStyle w:val="Prrafodelista"/>
        <w:tabs>
          <w:tab w:val="left" w:pos="142"/>
          <w:tab w:val="left" w:pos="284"/>
        </w:tabs>
        <w:spacing w:after="0" w:line="276" w:lineRule="auto"/>
        <w:ind w:left="0"/>
        <w:jc w:val="both"/>
        <w:rPr>
          <w:rFonts w:ascii="Verdana" w:eastAsia="Century Gothic" w:hAnsi="Verdana" w:cs="Century Gothic"/>
          <w:b/>
          <w:bCs/>
        </w:rPr>
      </w:pPr>
    </w:p>
    <w:p w14:paraId="64BD3411" w14:textId="77777777" w:rsidR="00985A2A" w:rsidRPr="00A652FF" w:rsidRDefault="00985A2A" w:rsidP="00985A2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983673D" w14:textId="77777777" w:rsidR="00985A2A" w:rsidRDefault="00985A2A" w:rsidP="00985A2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11C5AB0" w14:textId="77777777" w:rsidR="00985A2A" w:rsidRPr="00593A5F" w:rsidRDefault="00985A2A" w:rsidP="00985A2A">
      <w:pPr>
        <w:spacing w:after="0" w:line="276" w:lineRule="auto"/>
        <w:ind w:firstLine="709"/>
        <w:jc w:val="both"/>
        <w:rPr>
          <w:rFonts w:ascii="Verdana" w:eastAsia="Calibri" w:hAnsi="Verdana" w:cs="Arial"/>
          <w:color w:val="000000"/>
          <w:lang w:val="es-ES" w:eastAsia="es-ES"/>
        </w:rPr>
      </w:pPr>
    </w:p>
    <w:p w14:paraId="47CFEF5F" w14:textId="77777777" w:rsidR="00985A2A" w:rsidRPr="00593A5F" w:rsidRDefault="00985A2A" w:rsidP="00985A2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F1EFCC3" w14:textId="77777777" w:rsidR="00985A2A" w:rsidRPr="00593A5F" w:rsidRDefault="00985A2A" w:rsidP="00985A2A">
      <w:pPr>
        <w:tabs>
          <w:tab w:val="left" w:pos="426"/>
        </w:tabs>
        <w:spacing w:after="0" w:line="276" w:lineRule="auto"/>
        <w:jc w:val="both"/>
        <w:rPr>
          <w:rFonts w:ascii="Verdana" w:eastAsia="Century Gothic" w:hAnsi="Verdana" w:cs="Century Gothic"/>
          <w:lang w:val="es-ES"/>
        </w:rPr>
      </w:pPr>
    </w:p>
    <w:p w14:paraId="32D371DF" w14:textId="77777777" w:rsidR="00985A2A" w:rsidRPr="00593A5F" w:rsidRDefault="00985A2A" w:rsidP="00985A2A">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D85592">
        <w:rPr>
          <w:rFonts w:ascii="Verdana" w:eastAsia="Century Gothic" w:hAnsi="Verdana" w:cs="Century Gothic"/>
        </w:rPr>
        <w:t xml:space="preserve">¿cuál es el marco normativo </w:t>
      </w:r>
      <w:r>
        <w:rPr>
          <w:rFonts w:ascii="Verdana" w:eastAsia="Century Gothic" w:hAnsi="Verdana" w:cs="Century Gothic"/>
        </w:rPr>
        <w:t>y el alcance del factor multiplicador en el sistema de compras públicas</w:t>
      </w:r>
      <w:r w:rsidRPr="00D85592">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4C45837" w14:textId="77777777" w:rsidR="00985A2A" w:rsidRPr="004B140F" w:rsidRDefault="00985A2A" w:rsidP="00985A2A">
      <w:pPr>
        <w:spacing w:after="0" w:line="276" w:lineRule="auto"/>
        <w:jc w:val="both"/>
        <w:rPr>
          <w:rFonts w:ascii="Verdana" w:eastAsia="Calibri" w:hAnsi="Verdana" w:cs="Arial"/>
          <w:color w:val="7030A0"/>
        </w:rPr>
      </w:pPr>
    </w:p>
    <w:p w14:paraId="2B793EE0" w14:textId="77777777" w:rsidR="00985A2A" w:rsidRPr="00593A5F" w:rsidRDefault="00985A2A" w:rsidP="00985A2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56DEBD1" w14:textId="77777777" w:rsidR="00985A2A" w:rsidRPr="00593A5F" w:rsidRDefault="00985A2A" w:rsidP="00985A2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85A2A" w:rsidRPr="00593A5F" w14:paraId="0EE7D7AA" w14:textId="77777777">
        <w:trPr>
          <w:jc w:val="center"/>
        </w:trPr>
        <w:tc>
          <w:tcPr>
            <w:tcW w:w="8828" w:type="dxa"/>
          </w:tcPr>
          <w:p w14:paraId="44FCA5F7" w14:textId="77777777" w:rsidR="00985A2A" w:rsidRDefault="00985A2A" w:rsidP="00C400BF">
            <w:pPr>
              <w:spacing w:after="120" w:line="276" w:lineRule="auto"/>
              <w:jc w:val="both"/>
              <w:rPr>
                <w:rFonts w:ascii="Verdana" w:hAnsi="Verdana" w:cs="Arial"/>
              </w:rPr>
            </w:pPr>
            <w:bookmarkStart w:id="1" w:name="_Hlk171694685"/>
            <w:r w:rsidRPr="000955E3">
              <w:rPr>
                <w:rFonts w:ascii="Verdana" w:eastAsia="Calibri" w:hAnsi="Verdana" w:cs="Arial"/>
                <w:bCs/>
                <w:color w:val="000000" w:themeColor="text1"/>
              </w:rPr>
              <w:lastRenderedPageBreak/>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Pr>
                <w:rFonts w:ascii="Verdana" w:hAnsi="Verdana" w:cs="Arial"/>
                <w:lang w:val="es-ES_tradnl"/>
              </w:rPr>
              <w:t>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w:t>
            </w:r>
            <w:r>
              <w:rPr>
                <w:rFonts w:ascii="Verdana" w:hAnsi="Verdana" w:cs="Arial"/>
              </w:rPr>
              <w:t>.</w:t>
            </w:r>
            <w:r w:rsidRPr="00167C84">
              <w:rPr>
                <w:rFonts w:ascii="Verdana" w:hAnsi="Verdana" w:cs="Arial"/>
              </w:rPr>
              <w:t xml:space="preserve">, cuya discriminación se exige de manera separada de los costos de personal, para ser sumados al valor resultante la aplicación del factor multiplicador. </w:t>
            </w:r>
          </w:p>
          <w:p w14:paraId="2B77C3EE" w14:textId="77777777" w:rsidR="00985A2A" w:rsidRDefault="00985A2A" w:rsidP="00C400BF">
            <w:pPr>
              <w:spacing w:after="120" w:line="276" w:lineRule="auto"/>
              <w:ind w:firstLine="737"/>
              <w:jc w:val="both"/>
              <w:rPr>
                <w:rFonts w:ascii="Verdana" w:eastAsia="Arial" w:hAnsi="Verdana" w:cs="Arial"/>
                <w:lang w:val="es-MX" w:eastAsia="es-ES" w:bidi="es-ES"/>
              </w:rPr>
            </w:pPr>
            <w:r>
              <w:rPr>
                <w:rFonts w:ascii="Verdana" w:hAnsi="Verdana" w:cs="Arial"/>
                <w:lang w:val="es-ES_tradnl"/>
              </w:rPr>
              <w:t>E</w:t>
            </w:r>
            <w:r w:rsidRPr="00143443">
              <w:rPr>
                <w:rFonts w:ascii="Verdana" w:hAnsi="Verdana" w:cs="Arial"/>
                <w:lang w:val="es-ES_tradnl"/>
              </w:rPr>
              <w:t xml:space="preserve">l principal sustento para que las Entidades Estatales sujetas al EGCAP, como las excluidas de este, aplique la referida metodología, es la autonomía de la que gozan para la estructuración de las condiciones del negocio jurídico, determinando el sistema más apropiado para satisfacer los fines de la contratación, respetando los límites previstos en el ordenamiento. </w:t>
            </w:r>
            <w:r w:rsidRPr="000D4C3B">
              <w:rPr>
                <w:rFonts w:ascii="Verdana" w:hAnsi="Verdana" w:cs="Arial"/>
                <w:bCs/>
                <w:lang w:val="es-ES_tradnl"/>
              </w:rPr>
              <w:t>Para las entidades que se rigen por el Estatuto General de Contratación de la Administración Pública, tal autonomía está reconocida en los artículos 13, 32 y 40 de la Ley 80 de 1993.</w:t>
            </w:r>
            <w:r>
              <w:rPr>
                <w:rFonts w:ascii="Verdana" w:hAnsi="Verdana" w:cs="Arial"/>
                <w:bCs/>
                <w:lang w:val="es-ES_tradnl"/>
              </w:rPr>
              <w:t xml:space="preserve"> </w:t>
            </w:r>
            <w:r w:rsidRPr="00143443">
              <w:rPr>
                <w:rFonts w:ascii="Verdana" w:hAnsi="Verdana" w:cs="Arial"/>
                <w:lang w:val="es-ES_tradnl"/>
              </w:rPr>
              <w:t>De ahí que, las entidades cuenten con la discrecionalidad para disponer en los documentos del proceso, la aplicación de metodología explicada, siempre que resulte adecuada y proporcional al objeto del contrato.</w:t>
            </w:r>
            <w:r w:rsidRPr="000955E3">
              <w:rPr>
                <w:rFonts w:ascii="Verdana" w:eastAsia="Arial" w:hAnsi="Verdana" w:cs="Arial"/>
                <w:lang w:val="es-MX" w:eastAsia="es-ES" w:bidi="es-ES"/>
              </w:rPr>
              <w:t xml:space="preserve"> </w:t>
            </w:r>
          </w:p>
          <w:p w14:paraId="2CA45B14" w14:textId="77777777" w:rsidR="00985A2A" w:rsidRPr="000C0EFB" w:rsidRDefault="00985A2A" w:rsidP="00C400BF">
            <w:pPr>
              <w:spacing w:after="120" w:line="276" w:lineRule="auto"/>
              <w:ind w:firstLine="737"/>
              <w:jc w:val="both"/>
              <w:rPr>
                <w:rFonts w:ascii="Verdana" w:eastAsia="Times New Roman" w:hAnsi="Verdana" w:cs="Arial"/>
                <w:lang w:eastAsia="es-CO"/>
              </w:rPr>
            </w:pPr>
            <w:r w:rsidRPr="00143443">
              <w:rPr>
                <w:rFonts w:ascii="Verdana" w:hAnsi="Verdana" w:cs="Arial"/>
                <w:lang w:val="es-ES"/>
              </w:rPr>
              <w:t xml:space="preserve">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w:t>
            </w:r>
            <w:r w:rsidRPr="00143443">
              <w:rPr>
                <w:rFonts w:ascii="Verdana" w:hAnsi="Verdana" w:cs="Arial"/>
                <w:lang w:val="es-ES"/>
              </w:rPr>
              <w:lastRenderedPageBreak/>
              <w:t>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w:t>
            </w:r>
            <w:r>
              <w:rPr>
                <w:rFonts w:ascii="Verdana" w:hAnsi="Verdana" w:cs="Arial"/>
                <w:lang w:val="es-ES"/>
              </w:rPr>
              <w:t xml:space="preserve"> </w:t>
            </w:r>
            <w:r w:rsidRPr="00143443">
              <w:rPr>
                <w:rFonts w:ascii="Verdana" w:hAnsi="Verdana" w:cs="Arial"/>
                <w:lang w:val="es-ES"/>
              </w:rPr>
              <w:t>–ya sea laboral o por prestación de servicios–, se incorporen al precio del contrato, por la vía del factor multiplicador aplicado para hacer la oferta económica.</w:t>
            </w:r>
          </w:p>
          <w:p w14:paraId="3846CB09" w14:textId="77777777" w:rsidR="00985A2A" w:rsidRPr="001941FD" w:rsidRDefault="00985A2A" w:rsidP="00C400BF">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F493B7E" w14:textId="77777777" w:rsidR="00985A2A" w:rsidRPr="00593A5F" w:rsidRDefault="00985A2A" w:rsidP="00985A2A">
      <w:pPr>
        <w:tabs>
          <w:tab w:val="left" w:pos="142"/>
          <w:tab w:val="left" w:pos="284"/>
        </w:tabs>
        <w:spacing w:after="0" w:line="276" w:lineRule="auto"/>
        <w:jc w:val="both"/>
        <w:rPr>
          <w:rFonts w:ascii="Verdana" w:eastAsia="Century Gothic" w:hAnsi="Verdana" w:cs="Century Gothic"/>
          <w:b/>
          <w:bCs/>
          <w:lang w:val="es-ES"/>
        </w:rPr>
      </w:pPr>
    </w:p>
    <w:bookmarkEnd w:id="1"/>
    <w:p w14:paraId="677C4D74" w14:textId="77777777" w:rsidR="00985A2A" w:rsidRPr="00593A5F" w:rsidRDefault="00985A2A" w:rsidP="00985A2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6B43E93" w14:textId="77777777" w:rsidR="00985A2A" w:rsidRPr="00593A5F" w:rsidRDefault="00985A2A" w:rsidP="00985A2A">
      <w:pPr>
        <w:spacing w:after="0" w:line="276" w:lineRule="auto"/>
        <w:jc w:val="both"/>
        <w:rPr>
          <w:rFonts w:ascii="Verdana" w:eastAsia="Calibri" w:hAnsi="Verdana" w:cs="Arial"/>
          <w:color w:val="7030A0"/>
          <w:lang w:val="es-ES"/>
        </w:rPr>
      </w:pPr>
    </w:p>
    <w:p w14:paraId="6BD1424D" w14:textId="77777777" w:rsidR="00985A2A" w:rsidRDefault="00985A2A" w:rsidP="00985A2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5E966F4" w14:textId="77777777" w:rsidR="00985A2A" w:rsidRPr="00415608" w:rsidRDefault="00985A2A" w:rsidP="00985A2A">
      <w:pPr>
        <w:spacing w:after="0" w:line="276" w:lineRule="auto"/>
        <w:jc w:val="both"/>
        <w:rPr>
          <w:rFonts w:ascii="Verdana" w:eastAsia="Calibri" w:hAnsi="Verdana" w:cs="Arial"/>
          <w:lang w:val="es-ES"/>
        </w:rPr>
      </w:pPr>
    </w:p>
    <w:p w14:paraId="761F7687" w14:textId="77777777" w:rsidR="00985A2A" w:rsidRPr="000D4C3B" w:rsidRDefault="00985A2A" w:rsidP="00985A2A">
      <w:pPr>
        <w:spacing w:after="120" w:line="276" w:lineRule="auto"/>
        <w:jc w:val="both"/>
        <w:rPr>
          <w:rFonts w:ascii="Verdana" w:hAnsi="Verdana" w:cs="Arial"/>
          <w:bCs/>
          <w:lang w:val="es-ES_tradnl"/>
        </w:rPr>
      </w:pPr>
      <w:r w:rsidRPr="000D4C3B">
        <w:rPr>
          <w:rFonts w:ascii="Verdana" w:hAnsi="Verdana" w:cs="Arial"/>
          <w:bCs/>
          <w:lang w:val="es-ES_tradnl"/>
        </w:rPr>
        <w:t xml:space="preserve">Como es sabido, uno de los elementos más comunes en los contratos estatales es el </w:t>
      </w:r>
      <w:r w:rsidRPr="000D4C3B">
        <w:rPr>
          <w:rFonts w:ascii="Verdana" w:hAnsi="Verdana" w:cs="Arial"/>
          <w:bCs/>
          <w:i/>
          <w:iCs/>
          <w:lang w:val="es-ES_tradnl"/>
        </w:rPr>
        <w:t>precio</w:t>
      </w:r>
      <w:r w:rsidRPr="000D4C3B">
        <w:rPr>
          <w:rFonts w:ascii="Verdana" w:hAnsi="Verdana" w:cs="Arial"/>
          <w:bCs/>
          <w:lang w:val="es-ES_tradnl"/>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30131BB8" w14:textId="77777777" w:rsidR="00985A2A" w:rsidRPr="000D4C3B" w:rsidRDefault="00985A2A" w:rsidP="00985A2A">
      <w:pPr>
        <w:spacing w:before="120" w:after="120" w:line="276" w:lineRule="auto"/>
        <w:ind w:firstLine="709"/>
        <w:jc w:val="both"/>
        <w:rPr>
          <w:rFonts w:ascii="Verdana" w:hAnsi="Verdana" w:cs="Arial"/>
          <w:bCs/>
          <w:lang w:val="es-ES_tradnl"/>
        </w:rPr>
      </w:pPr>
      <w:r w:rsidRPr="000D4C3B">
        <w:rPr>
          <w:rFonts w:ascii="Verdana" w:hAnsi="Verdana" w:cs="Arial"/>
          <w:bCs/>
          <w:lang w:val="es-ES_tradn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w:t>
      </w:r>
      <w:r w:rsidRPr="000D4C3B">
        <w:rPr>
          <w:rFonts w:ascii="Verdana" w:hAnsi="Verdana" w:cs="Arial"/>
          <w:bCs/>
          <w:lang w:val="es-ES_tradnl"/>
        </w:rPr>
        <w:lastRenderedPageBreak/>
        <w:t>pues hay algunas modalidades más comunes en los de obra pública; otras más utilizadas en los de prestación de servicios y otras más indicadas para los de concesión, por mencionar algunos ejemplos</w:t>
      </w:r>
      <w:r w:rsidRPr="000D4C3B">
        <w:rPr>
          <w:rStyle w:val="Refdenotaalpie"/>
          <w:rFonts w:ascii="Verdana" w:hAnsi="Verdana" w:cs="Arial"/>
          <w:bCs/>
          <w:lang w:val="es-ES_tradnl"/>
        </w:rPr>
        <w:footnoteReference w:id="2"/>
      </w:r>
      <w:r w:rsidRPr="000D4C3B">
        <w:rPr>
          <w:rFonts w:ascii="Verdana" w:hAnsi="Verdana" w:cs="Arial"/>
          <w:bCs/>
          <w:lang w:val="es-ES_tradnl"/>
        </w:rPr>
        <w:t>.</w:t>
      </w:r>
    </w:p>
    <w:p w14:paraId="681B334A" w14:textId="77777777" w:rsidR="00985A2A" w:rsidRPr="000D4C3B" w:rsidRDefault="00985A2A" w:rsidP="00985A2A">
      <w:pPr>
        <w:spacing w:before="120" w:after="120" w:line="276" w:lineRule="auto"/>
        <w:ind w:firstLine="709"/>
        <w:jc w:val="both"/>
        <w:rPr>
          <w:rFonts w:ascii="Verdana" w:hAnsi="Verdana" w:cs="Arial"/>
          <w:lang w:val="es-ES"/>
        </w:rPr>
      </w:pPr>
      <w:r w:rsidRPr="33C8B6A3">
        <w:rPr>
          <w:rFonts w:ascii="Verdana" w:hAnsi="Verdana" w:cs="Arial"/>
          <w:lang w:val="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33C8B6A3">
        <w:rPr>
          <w:rFonts w:ascii="Verdana" w:hAnsi="Verdana" w:cs="Arial"/>
          <w:lang w:val="es-ES"/>
        </w:rPr>
        <w:t>ii</w:t>
      </w:r>
      <w:proofErr w:type="spellEnd"/>
      <w:r w:rsidRPr="33C8B6A3">
        <w:rPr>
          <w:rFonts w:ascii="Verdana" w:hAnsi="Verdana" w:cs="Arial"/>
          <w:lang w:val="es-ES"/>
        </w:rPr>
        <w:t xml:space="preserve">) el precio global –que equivale al monto total, sin discriminar unidades–, y </w:t>
      </w:r>
      <w:proofErr w:type="spellStart"/>
      <w:r w:rsidRPr="33C8B6A3">
        <w:rPr>
          <w:rFonts w:ascii="Verdana" w:hAnsi="Verdana" w:cs="Arial"/>
          <w:lang w:val="es-ES"/>
        </w:rPr>
        <w:t>iii</w:t>
      </w:r>
      <w:proofErr w:type="spellEnd"/>
      <w:r w:rsidRPr="33C8B6A3">
        <w:rPr>
          <w:rFonts w:ascii="Verdana" w:hAnsi="Verdana" w:cs="Arial"/>
          <w:lang w:val="es-ES"/>
        </w:rPr>
        <w:t>) la administración delegada de recursos –en la que se distinguen los costos de inversión de los honorarios del administrador–.</w:t>
      </w:r>
    </w:p>
    <w:p w14:paraId="768B88BA" w14:textId="77777777" w:rsidR="00985A2A" w:rsidRDefault="00985A2A" w:rsidP="00985A2A">
      <w:pPr>
        <w:spacing w:line="276" w:lineRule="auto"/>
        <w:ind w:firstLine="709"/>
        <w:jc w:val="both"/>
        <w:rPr>
          <w:rFonts w:ascii="Verdana" w:hAnsi="Verdana" w:cs="Arial"/>
          <w:sz w:val="21"/>
          <w:szCs w:val="21"/>
          <w:lang w:val="es-ES_tradnl"/>
        </w:rPr>
      </w:pPr>
      <w:r w:rsidRPr="000D4C3B">
        <w:rPr>
          <w:rFonts w:ascii="Verdana" w:hAnsi="Verdana" w:cs="Arial"/>
          <w:bCs/>
          <w:lang w:val="es-ES_tradnl"/>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w:t>
      </w:r>
      <w:r w:rsidRPr="000D4C3B">
        <w:rPr>
          <w:rFonts w:ascii="Verdana" w:hAnsi="Verdana" w:cs="Arial"/>
          <w:bCs/>
          <w:lang w:val="es-ES_tradnl"/>
        </w:rPr>
        <w:lastRenderedPageBreak/>
        <w:t xml:space="preserve">valores de los </w:t>
      </w:r>
      <w:r w:rsidRPr="000D4C3B">
        <w:rPr>
          <w:rFonts w:ascii="Verdana" w:hAnsi="Verdana" w:cs="Arial"/>
          <w:bCs/>
          <w:i/>
          <w:iCs/>
          <w:lang w:val="es-ES_tradnl"/>
        </w:rPr>
        <w:t>ítems</w:t>
      </w:r>
      <w:r w:rsidRPr="000D4C3B">
        <w:rPr>
          <w:rFonts w:ascii="Verdana"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w:t>
      </w:r>
      <w:r w:rsidRPr="000D4C3B">
        <w:rPr>
          <w:rStyle w:val="Refdenotaalpie"/>
          <w:rFonts w:ascii="Verdana" w:hAnsi="Verdana" w:cs="Arial"/>
          <w:sz w:val="21"/>
          <w:szCs w:val="21"/>
          <w:lang w:val="es-ES_tradnl"/>
        </w:rPr>
        <w:footnoteReference w:id="3"/>
      </w:r>
      <w:r w:rsidRPr="000D4C3B">
        <w:rPr>
          <w:rFonts w:ascii="Verdana" w:hAnsi="Verdana" w:cs="Arial"/>
          <w:sz w:val="21"/>
          <w:szCs w:val="21"/>
          <w:lang w:val="es-ES_tradnl"/>
        </w:rPr>
        <w:t>.</w:t>
      </w:r>
    </w:p>
    <w:p w14:paraId="62094885" w14:textId="77777777" w:rsidR="00985A2A" w:rsidRDefault="00985A2A" w:rsidP="00985A2A">
      <w:pPr>
        <w:spacing w:after="120" w:line="276" w:lineRule="auto"/>
        <w:ind w:firstLine="709"/>
        <w:jc w:val="both"/>
        <w:rPr>
          <w:rFonts w:ascii="Verdana" w:hAnsi="Verdana" w:cs="Arial"/>
        </w:rPr>
      </w:pPr>
      <w:r>
        <w:rPr>
          <w:rFonts w:ascii="Verdana" w:hAnsi="Verdana" w:cs="Arial"/>
          <w:lang w:val="es-ES_tradnl"/>
        </w:rPr>
        <w:t>De igual forma, 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w:t>
      </w:r>
      <w:r w:rsidRPr="00167C84">
        <w:rPr>
          <w:rStyle w:val="Refdenotaalpie"/>
          <w:rFonts w:ascii="Verdana" w:hAnsi="Verdana" w:cs="Arial"/>
        </w:rPr>
        <w:footnoteReference w:id="4"/>
      </w:r>
      <w:r w:rsidRPr="00167C84">
        <w:rPr>
          <w:rFonts w:ascii="Verdana" w:hAnsi="Verdana" w:cs="Arial"/>
        </w:rPr>
        <w:t>.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w:t>
      </w:r>
      <w:r>
        <w:rPr>
          <w:rFonts w:ascii="Verdana" w:hAnsi="Verdana" w:cs="Arial"/>
        </w:rPr>
        <w:t>.</w:t>
      </w:r>
      <w:r w:rsidRPr="00167C84">
        <w:rPr>
          <w:rFonts w:ascii="Verdana" w:hAnsi="Verdana" w:cs="Arial"/>
        </w:rPr>
        <w:t xml:space="preserve">, cuya discriminación se exige de manera separada de los costos de personal, para ser sumados al valor resultante la aplicación del factor multiplicador. </w:t>
      </w:r>
    </w:p>
    <w:p w14:paraId="19300763" w14:textId="77777777" w:rsidR="00985A2A" w:rsidRPr="00DF05AC" w:rsidRDefault="00985A2A" w:rsidP="00985A2A">
      <w:pPr>
        <w:spacing w:after="120" w:line="276" w:lineRule="auto"/>
        <w:ind w:firstLine="709"/>
        <w:jc w:val="both"/>
        <w:textAlignment w:val="baseline"/>
        <w:rPr>
          <w:rFonts w:ascii="Verdana" w:eastAsia="Times New Roman" w:hAnsi="Verdana" w:cs="Arial"/>
          <w:bCs/>
          <w:lang w:val="es-ES_tradnl" w:eastAsia="es-CO"/>
        </w:rPr>
      </w:pPr>
      <w:r w:rsidRPr="00DF05AC">
        <w:rPr>
          <w:rFonts w:ascii="Verdana" w:eastAsia="Times New Roman" w:hAnsi="Verdana" w:cs="Arial"/>
          <w:lang w:eastAsia="es-CO"/>
        </w:rPr>
        <w:t xml:space="preserve">En ese contexto, las metodologías señaladas están asociadas, por un lado, a la estimación del valor del contrato por parte de la Entidad Estatal en el marco de lo requerido por la planeación correspondiente, y por otro lado, a la determinación del precio del contrato en el marco del proceso de selección, en la medida en que se tornan relevantes para la presentación de la oferta económica. Sin embargo, debe advertirse que ni en el sistema de precios unitario ni el factor multiplicador son asuntos expresamente regulados en el conjunto de las disposiciones legales y reglamentarias que integran la normativa contractual del Estado. La justificación de estas formas de establecer o cotizar el precio procede, incluso, de la formación universitaria que reciben los ingenieros, a quienes se les enseña esta metodología para elaborar las ofertas. En ese sentido, estas metodologías para la configuración del precio del contrato, determinantes </w:t>
      </w:r>
      <w:r w:rsidRPr="00DF05AC">
        <w:rPr>
          <w:rFonts w:ascii="Verdana" w:eastAsia="Times New Roman" w:hAnsi="Verdana" w:cs="Arial"/>
          <w:lang w:eastAsia="es-CO"/>
        </w:rPr>
        <w:lastRenderedPageBreak/>
        <w:t>para la elaboración de la propuesta económica, no proceden de la ley ni del reglamento, sino de la costumbre</w:t>
      </w:r>
      <w:r w:rsidRPr="00DF05AC">
        <w:rPr>
          <w:rFonts w:ascii="Verdana" w:eastAsia="Times New Roman" w:hAnsi="Verdana" w:cs="Arial"/>
          <w:vertAlign w:val="superscript"/>
          <w:lang w:val="es-ES_tradnl" w:eastAsia="es-CO"/>
        </w:rPr>
        <w:footnoteReference w:id="5"/>
      </w:r>
      <w:r w:rsidRPr="00DF05AC">
        <w:rPr>
          <w:rFonts w:ascii="Verdana" w:eastAsia="Times New Roman" w:hAnsi="Verdana" w:cs="Arial"/>
          <w:bCs/>
          <w:lang w:val="es-ES_tradnl" w:eastAsia="es-CO"/>
        </w:rPr>
        <w:t>.</w:t>
      </w:r>
    </w:p>
    <w:p w14:paraId="6298181C" w14:textId="77777777" w:rsidR="00985A2A" w:rsidRDefault="00985A2A" w:rsidP="00985A2A">
      <w:pPr>
        <w:spacing w:after="120" w:line="276" w:lineRule="auto"/>
        <w:ind w:firstLine="709"/>
        <w:jc w:val="both"/>
        <w:rPr>
          <w:rFonts w:ascii="Verdana" w:hAnsi="Verdana" w:cs="Arial"/>
          <w:lang w:val="es-ES_tradnl"/>
        </w:rPr>
      </w:pPr>
      <w:r w:rsidRPr="006E75FD">
        <w:rPr>
          <w:rFonts w:ascii="Verdana" w:hAnsi="Verdana" w:cs="Arial"/>
          <w:lang w:val="es-ES_tradnl"/>
        </w:rPr>
        <w:t>Pese a que el Estatuto General de Contratación de la Administración Pública, en adelante EGCAP, no establece una regulación integral o detallada conforme a la cual se 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w14:paraId="7FE1DE62" w14:textId="77777777" w:rsidR="00985A2A" w:rsidRPr="00DF05AC" w:rsidRDefault="00985A2A" w:rsidP="00985A2A">
      <w:pPr>
        <w:spacing w:after="120" w:line="276" w:lineRule="auto"/>
        <w:ind w:firstLine="709"/>
        <w:jc w:val="both"/>
        <w:rPr>
          <w:rFonts w:ascii="Verdana" w:hAnsi="Verdana" w:cs="Arial"/>
          <w:lang w:val="es-ES_tradnl"/>
        </w:rPr>
      </w:pPr>
      <w:r>
        <w:rPr>
          <w:rFonts w:ascii="Verdana" w:hAnsi="Verdana" w:cs="Arial"/>
          <w:lang w:val="es-ES_tradnl"/>
        </w:rPr>
        <w:t>E</w:t>
      </w:r>
      <w:r w:rsidRPr="00143443">
        <w:rPr>
          <w:rFonts w:ascii="Verdana" w:hAnsi="Verdana" w:cs="Arial"/>
          <w:lang w:val="es-ES_tradnl"/>
        </w:rPr>
        <w:t xml:space="preserve">l principal sustento para que las Entidades Estatales sujetas al EGCAP, como las excluidas de este, aplique las referidas metodologías, es la autonomía de la que gozan para la estructuración de las condiciones del negocio jurídico, determinando el sistema más apropiado para satisfacer los fines de la contratación, respetando los límites previstos en el ordenamiento. </w:t>
      </w:r>
      <w:r w:rsidRPr="000D4C3B">
        <w:rPr>
          <w:rFonts w:ascii="Verdana" w:hAnsi="Verdana" w:cs="Arial"/>
          <w:bCs/>
          <w:lang w:val="es-ES_tradnl"/>
        </w:rPr>
        <w:t>Para las entidades que se rigen por el Estatuto General de Contratación de la Administración Pública, tal autonomía está reconocida en los artículos 13, 32 y 40 de la Ley 80 de 1993.</w:t>
      </w:r>
      <w:r>
        <w:rPr>
          <w:rFonts w:ascii="Verdana" w:hAnsi="Verdana" w:cs="Arial"/>
          <w:bCs/>
          <w:lang w:val="es-ES_tradnl"/>
        </w:rPr>
        <w:t xml:space="preserve"> </w:t>
      </w:r>
      <w:r w:rsidRPr="00143443">
        <w:rPr>
          <w:rFonts w:ascii="Verdana" w:hAnsi="Verdana" w:cs="Arial"/>
          <w:lang w:val="es-ES_tradnl"/>
        </w:rPr>
        <w:t>De ahí que, las entidades cuenten con la discrecionalidad para disponer en los documentos del proceso, la aplicación de metodologías como las explicadas, siempre que resulten adecuadas y proporcionales al objeto del contrato.</w:t>
      </w:r>
    </w:p>
    <w:p w14:paraId="171D4B3E" w14:textId="77777777" w:rsidR="00985A2A" w:rsidRDefault="00985A2A" w:rsidP="00985A2A">
      <w:pPr>
        <w:spacing w:after="120" w:line="276" w:lineRule="auto"/>
        <w:ind w:firstLine="709"/>
        <w:jc w:val="both"/>
        <w:rPr>
          <w:rFonts w:ascii="Verdana" w:hAnsi="Verdana" w:cs="Arial"/>
        </w:rPr>
      </w:pPr>
      <w:r w:rsidRPr="00143443">
        <w:rPr>
          <w:rFonts w:ascii="Verdana" w:hAnsi="Verdana" w:cs="Arial"/>
        </w:rPr>
        <w:t>En es</w:t>
      </w:r>
      <w:r>
        <w:rPr>
          <w:rFonts w:ascii="Verdana" w:hAnsi="Verdana" w:cs="Arial"/>
        </w:rPr>
        <w:t>te</w:t>
      </w:r>
      <w:r w:rsidRPr="00143443">
        <w:rPr>
          <w:rFonts w:ascii="Verdana" w:hAnsi="Verdana" w:cs="Arial"/>
        </w:rPr>
        <w:t xml:space="preserve"> orden</w:t>
      </w:r>
      <w:r>
        <w:rPr>
          <w:rFonts w:ascii="Verdana" w:hAnsi="Verdana" w:cs="Arial"/>
        </w:rPr>
        <w:t xml:space="preserve"> de ideas</w:t>
      </w:r>
      <w:r w:rsidRPr="00143443">
        <w:rPr>
          <w:rFonts w:ascii="Verdana" w:hAnsi="Verdana" w:cs="Arial"/>
        </w:rPr>
        <w:t xml:space="preserve">, ante la ausencia de un marco normativo particularmente aplicable a las referidas metodologías, corresponderá a las Entidades Estatales establecer las reglas para su aplicación, con el propósito de dar a conocer los aspectos que deben tenerse en cuenta a la hora de configurar las ofertas. A partir de tales reglas, la entidad podrá exigir el desglose de </w:t>
      </w:r>
      <w:r w:rsidRPr="00143443">
        <w:rPr>
          <w:rFonts w:ascii="Verdana" w:hAnsi="Verdana" w:cs="Arial"/>
        </w:rPr>
        <w:lastRenderedPageBreak/>
        <w:t>determinados factores imputables a costos directos de cierta forma, realizar una tasación del AIU o el factor multiplicador, y en general, establecer parámetros que garanticen el desarrollo de principios de la función administrativa y de la gestión fiscal, dentro de los cuales se encuentra el principio de economía, postulado este, que exige la optimización de los recursos públicos.</w:t>
      </w:r>
    </w:p>
    <w:p w14:paraId="59DC43BE" w14:textId="77777777" w:rsidR="00985A2A" w:rsidRPr="00143443" w:rsidRDefault="00985A2A" w:rsidP="00985A2A">
      <w:pPr>
        <w:spacing w:after="120" w:line="276" w:lineRule="auto"/>
        <w:ind w:firstLine="709"/>
        <w:jc w:val="both"/>
        <w:rPr>
          <w:rFonts w:ascii="Verdana" w:hAnsi="Verdana" w:cs="Arial"/>
          <w:lang w:val="es-ES"/>
        </w:rPr>
      </w:pPr>
      <w:r w:rsidRPr="33C8B6A3">
        <w:rPr>
          <w:rFonts w:ascii="Verdana" w:hAnsi="Verdana" w:cs="Arial"/>
          <w:lang w:val="es-ES"/>
        </w:rPr>
        <w:t>Bajo esta órbita, se aclara que los proponentes al momento de estructurar sus ofertas tienen la obligación, respecto del proceso de selección, de conocer las normas que lo rigen, sus características, condiciones de ejecución del contrato y riesgos previsibles. Esto, en razón a que, mediante la presentación de la oferta se pone en contexto a la entidad contratante frente a una serie de documentos que en conjunto conforman un acervo probatorio, de los requisitos que se pretenden hacer valer y que permiten determinar, entre varias ofertas, la que represente la mejor condición de elegibilidad.</w:t>
      </w:r>
    </w:p>
    <w:p w14:paraId="721FAF08" w14:textId="77777777" w:rsidR="00985A2A" w:rsidRPr="00143443" w:rsidRDefault="00985A2A" w:rsidP="00985A2A">
      <w:pPr>
        <w:spacing w:after="120" w:line="276" w:lineRule="auto"/>
        <w:ind w:firstLine="709"/>
        <w:jc w:val="both"/>
        <w:rPr>
          <w:rFonts w:ascii="Verdana" w:hAnsi="Verdana" w:cs="Arial"/>
          <w:lang w:val="es-ES"/>
        </w:rPr>
      </w:pPr>
      <w:r w:rsidRPr="33C8B6A3">
        <w:rPr>
          <w:rFonts w:ascii="Verdana" w:hAnsi="Verdana" w:cs="Arial"/>
          <w:lang w:val="es-ES"/>
        </w:rPr>
        <w:t xml:space="preserve">Los requisitos de los proponentes, que se hacen valer por medio de la oferta en su integridad, pueden ser entendidos en tres cales: i) </w:t>
      </w:r>
      <w:r w:rsidRPr="33C8B6A3">
        <w:rPr>
          <w:rFonts w:ascii="Verdana" w:hAnsi="Verdana" w:cs="Arial"/>
          <w:i/>
          <w:lang w:val="es-ES"/>
        </w:rPr>
        <w:t xml:space="preserve">subjetivos, </w:t>
      </w:r>
      <w:r w:rsidRPr="33C8B6A3">
        <w:rPr>
          <w:rFonts w:ascii="Verdana" w:hAnsi="Verdana" w:cs="Arial"/>
          <w:lang w:val="es-ES"/>
        </w:rPr>
        <w:t xml:space="preserve">que atienden a las calidades, capacidades, idoneidad y condiciones de los oferentes; </w:t>
      </w:r>
      <w:proofErr w:type="spellStart"/>
      <w:r w:rsidRPr="33C8B6A3">
        <w:rPr>
          <w:rFonts w:ascii="Verdana" w:hAnsi="Verdana" w:cs="Arial"/>
          <w:lang w:val="es-ES"/>
        </w:rPr>
        <w:t>ii</w:t>
      </w:r>
      <w:proofErr w:type="spellEnd"/>
      <w:r w:rsidRPr="33C8B6A3">
        <w:rPr>
          <w:rFonts w:ascii="Verdana" w:hAnsi="Verdana" w:cs="Arial"/>
          <w:lang w:val="es-ES"/>
        </w:rPr>
        <w:t xml:space="preserve">) </w:t>
      </w:r>
      <w:r w:rsidRPr="33C8B6A3">
        <w:rPr>
          <w:rFonts w:ascii="Verdana" w:hAnsi="Verdana" w:cs="Arial"/>
          <w:i/>
          <w:lang w:val="es-ES"/>
        </w:rPr>
        <w:t xml:space="preserve">objetivos </w:t>
      </w:r>
      <w:r w:rsidRPr="33C8B6A3">
        <w:rPr>
          <w:rFonts w:ascii="Verdana" w:hAnsi="Verdana" w:cs="Arial"/>
          <w:lang w:val="es-ES"/>
        </w:rPr>
        <w:t xml:space="preserve">que se refieren a aspectos técnicos, económicos, presupuestales, etc., que permiten ponderar las ofertas en su real y efectiva dimensión; y </w:t>
      </w:r>
      <w:proofErr w:type="spellStart"/>
      <w:r w:rsidRPr="33C8B6A3">
        <w:rPr>
          <w:rFonts w:ascii="Verdana" w:hAnsi="Verdana" w:cs="Arial"/>
          <w:lang w:val="es-ES"/>
        </w:rPr>
        <w:t>iii</w:t>
      </w:r>
      <w:proofErr w:type="spellEnd"/>
      <w:r w:rsidRPr="33C8B6A3">
        <w:rPr>
          <w:rFonts w:ascii="Verdana" w:hAnsi="Verdana" w:cs="Arial"/>
          <w:lang w:val="es-ES"/>
        </w:rPr>
        <w:t xml:space="preserve">) </w:t>
      </w:r>
      <w:r w:rsidRPr="33C8B6A3">
        <w:rPr>
          <w:rFonts w:ascii="Verdana" w:hAnsi="Verdana" w:cs="Arial"/>
          <w:i/>
          <w:lang w:val="es-ES"/>
        </w:rPr>
        <w:t xml:space="preserve">formales </w:t>
      </w:r>
      <w:r w:rsidRPr="33C8B6A3">
        <w:rPr>
          <w:rFonts w:ascii="Verdana" w:hAnsi="Verdana" w:cs="Arial"/>
          <w:lang w:val="es-ES"/>
        </w:rPr>
        <w:t xml:space="preserve">que se atienden a la instrumentalización y protocolización de los actos jurídicos, tanto de la propuesta como del contrato estatal. </w:t>
      </w:r>
    </w:p>
    <w:p w14:paraId="448AAC09" w14:textId="77777777" w:rsidR="00985A2A" w:rsidRDefault="00985A2A" w:rsidP="00985A2A">
      <w:pPr>
        <w:spacing w:after="120" w:line="276" w:lineRule="auto"/>
        <w:ind w:firstLine="709"/>
        <w:jc w:val="both"/>
        <w:rPr>
          <w:rFonts w:ascii="Verdana" w:hAnsi="Verdana" w:cs="Arial"/>
          <w:lang w:val="es-ES"/>
        </w:rPr>
      </w:pPr>
      <w:r w:rsidRPr="00143443">
        <w:rPr>
          <w:rFonts w:ascii="Verdana" w:hAnsi="Verdana" w:cs="Arial"/>
          <w:lang w:val="es-ES"/>
        </w:rPr>
        <w:t>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w:t>
      </w:r>
      <w:r>
        <w:rPr>
          <w:rFonts w:ascii="Verdana" w:hAnsi="Verdana" w:cs="Arial"/>
          <w:lang w:val="es-ES"/>
        </w:rPr>
        <w:t xml:space="preserve"> </w:t>
      </w:r>
      <w:r w:rsidRPr="00143443">
        <w:rPr>
          <w:rFonts w:ascii="Verdana" w:hAnsi="Verdana" w:cs="Arial"/>
          <w:lang w:val="es-ES"/>
        </w:rPr>
        <w:t xml:space="preserve">–ya sea laboral o por prestación de servicios–, </w:t>
      </w:r>
      <w:r w:rsidRPr="00143443">
        <w:rPr>
          <w:rFonts w:ascii="Verdana" w:hAnsi="Verdana" w:cs="Arial"/>
          <w:lang w:val="es-ES"/>
        </w:rPr>
        <w:lastRenderedPageBreak/>
        <w:t xml:space="preserve">se incorporen al precio del contrato, por la vía del factor multiplicador aplicado para hacer la oferta económica. </w:t>
      </w:r>
    </w:p>
    <w:p w14:paraId="16F69EED" w14:textId="77777777" w:rsidR="00985A2A" w:rsidRPr="00143443" w:rsidRDefault="00985A2A" w:rsidP="00985A2A">
      <w:pPr>
        <w:spacing w:after="120" w:line="276" w:lineRule="auto"/>
        <w:ind w:firstLine="709"/>
        <w:jc w:val="both"/>
        <w:rPr>
          <w:rFonts w:ascii="Verdana" w:hAnsi="Verdana" w:cs="Arial"/>
          <w:lang w:val="es-ES"/>
        </w:rPr>
      </w:pPr>
      <w:r>
        <w:rPr>
          <w:rFonts w:ascii="Verdana" w:hAnsi="Verdana" w:cs="Arial"/>
          <w:lang w:val="es-ES"/>
        </w:rPr>
        <w:t>S</w:t>
      </w:r>
      <w:r w:rsidRPr="00A76060">
        <w:rPr>
          <w:rFonts w:ascii="Verdana" w:hAnsi="Verdana" w:cs="Arial"/>
          <w:lang w:val="es-ES"/>
        </w:rPr>
        <w:t>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 En conclusión, los valores facturados deben corresponder a costos reales soportados.</w:t>
      </w:r>
    </w:p>
    <w:p w14:paraId="0E3BB2C8" w14:textId="77777777" w:rsidR="00985A2A" w:rsidRPr="000239A6" w:rsidRDefault="00985A2A" w:rsidP="00985A2A">
      <w:pPr>
        <w:spacing w:after="120" w:line="276" w:lineRule="auto"/>
        <w:ind w:firstLine="709"/>
        <w:jc w:val="both"/>
        <w:rPr>
          <w:rFonts w:ascii="Verdana" w:hAnsi="Verdana" w:cs="Arial"/>
        </w:rPr>
      </w:pPr>
      <w:r>
        <w:rPr>
          <w:rFonts w:ascii="Verdana" w:hAnsi="Verdana" w:cs="Arial"/>
          <w:bCs/>
          <w:lang w:val="es-ES_tradnl"/>
        </w:rPr>
        <w:t>De esta manera</w:t>
      </w:r>
      <w:r w:rsidRPr="00143443">
        <w:rPr>
          <w:rFonts w:ascii="Verdana" w:hAnsi="Verdana" w:cs="Arial"/>
          <w:bCs/>
          <w:lang w:val="es-ES_tradnl"/>
        </w:rPr>
        <w:t>, cuando la Entidad Estatal haga uso del factor multiplicador, debe asegurarse de ejercer una buena vigilancia de la ejecución contractual, con el fin de poder realizar adecuadamente la auditoría de los costos del contrato para apagar sólo aquello que se hayan causado efectivamente. Por tanto, podrán verificarse los soportes contables, administrativos y financieros de la ejecución, ya que la Entidad Estatal sólo debe pagar aquellos costos que hubieran sido pagados por el contratista so pena de que se configure un enriquecimiento sin causa de su parte.</w:t>
      </w:r>
    </w:p>
    <w:p w14:paraId="23465D7A" w14:textId="77777777" w:rsidR="00985A2A" w:rsidRPr="003A380F" w:rsidRDefault="00985A2A" w:rsidP="00985A2A">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D7CDB59" w14:textId="77777777" w:rsidR="00985A2A" w:rsidRPr="00185EE9" w:rsidRDefault="00985A2A" w:rsidP="00985A2A">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3A380F">
        <w:rPr>
          <w:rFonts w:ascii="Verdana" w:eastAsia="Calibri" w:hAnsi="Verdana" w:cs="Arial"/>
          <w:bCs/>
          <w:color w:val="000000" w:themeColor="text1"/>
        </w:rPr>
        <w:lastRenderedPageBreak/>
        <w:t>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9F7D0DB" w14:textId="77777777" w:rsidR="00985A2A" w:rsidRPr="00182C89" w:rsidRDefault="00985A2A" w:rsidP="00985A2A">
      <w:pPr>
        <w:tabs>
          <w:tab w:val="left" w:pos="709"/>
        </w:tabs>
        <w:spacing w:after="0" w:line="276" w:lineRule="auto"/>
        <w:jc w:val="both"/>
        <w:rPr>
          <w:rFonts w:ascii="Verdana" w:eastAsia="Calibri" w:hAnsi="Verdana" w:cs="Arial"/>
          <w:color w:val="000000" w:themeColor="text1"/>
        </w:rPr>
      </w:pPr>
    </w:p>
    <w:p w14:paraId="53142E22" w14:textId="77777777" w:rsidR="00985A2A" w:rsidRPr="00593A5F" w:rsidRDefault="00985A2A" w:rsidP="00985A2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83AC09E" w14:textId="77777777" w:rsidR="00985A2A" w:rsidRPr="00593A5F" w:rsidRDefault="00985A2A" w:rsidP="00985A2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85A2A" w:rsidRPr="002407CE" w14:paraId="3249EEA9" w14:textId="77777777" w:rsidTr="00C400BF">
        <w:trPr>
          <w:trHeight w:val="870"/>
          <w:jc w:val="center"/>
        </w:trPr>
        <w:tc>
          <w:tcPr>
            <w:tcW w:w="8647" w:type="dxa"/>
          </w:tcPr>
          <w:p w14:paraId="10FC4751" w14:textId="77777777" w:rsidR="00985A2A" w:rsidRPr="00D85592" w:rsidRDefault="00985A2A" w:rsidP="00C400B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5592">
              <w:rPr>
                <w:rFonts w:ascii="Verdana" w:hAnsi="Verdana" w:cs="Arial"/>
              </w:rPr>
              <w:t xml:space="preserve">Ley 80 de 1993, artículos </w:t>
            </w:r>
            <w:r>
              <w:rPr>
                <w:rFonts w:ascii="Verdana" w:hAnsi="Verdana" w:cs="Arial"/>
              </w:rPr>
              <w:t>13, 32 y 40</w:t>
            </w:r>
            <w:r w:rsidRPr="00D85592">
              <w:rPr>
                <w:rFonts w:ascii="Verdana" w:hAnsi="Verdana" w:cs="Arial"/>
              </w:rPr>
              <w:t>.</w:t>
            </w:r>
          </w:p>
          <w:p w14:paraId="3948A0B4" w14:textId="15384423" w:rsidR="00985A2A" w:rsidRPr="00F803DB" w:rsidRDefault="00985A2A" w:rsidP="00C400B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D85592">
              <w:rPr>
                <w:rFonts w:ascii="Verdana" w:hAnsi="Verdana" w:cs="Arial"/>
                <w:color w:val="000000" w:themeColor="text1"/>
                <w:lang w:val="es-ES_tradnl"/>
              </w:rPr>
              <w:t>Decreto 1082 de 2015</w:t>
            </w:r>
            <w:r w:rsidR="00947D3E">
              <w:rPr>
                <w:rFonts w:ascii="Verdana" w:hAnsi="Verdana" w:cs="Arial"/>
                <w:color w:val="000000" w:themeColor="text1"/>
                <w:lang w:val="es-ES_tradnl"/>
              </w:rPr>
              <w:t>,</w:t>
            </w:r>
            <w:r w:rsidRPr="00D85592">
              <w:rPr>
                <w:rFonts w:ascii="Verdana" w:hAnsi="Verdana" w:cs="Arial"/>
                <w:color w:val="000000" w:themeColor="text1"/>
                <w:lang w:val="es-ES_tradnl"/>
              </w:rPr>
              <w:t xml:space="preserve"> artículo 2.2.1.1.2.1.1</w:t>
            </w:r>
            <w:r>
              <w:rPr>
                <w:rFonts w:ascii="Verdana" w:hAnsi="Verdana" w:cs="Arial"/>
                <w:color w:val="000000" w:themeColor="text1"/>
                <w:lang w:val="es-ES_tradnl"/>
              </w:rPr>
              <w:t>.</w:t>
            </w:r>
          </w:p>
        </w:tc>
      </w:tr>
    </w:tbl>
    <w:p w14:paraId="595597FE" w14:textId="77777777" w:rsidR="00985A2A" w:rsidRPr="002407CE" w:rsidRDefault="00985A2A" w:rsidP="00985A2A">
      <w:pPr>
        <w:widowControl w:val="0"/>
        <w:autoSpaceDE w:val="0"/>
        <w:autoSpaceDN w:val="0"/>
        <w:spacing w:after="0" w:line="276" w:lineRule="auto"/>
        <w:jc w:val="both"/>
        <w:rPr>
          <w:rFonts w:ascii="Verdana" w:hAnsi="Verdana" w:cs="Arial"/>
        </w:rPr>
      </w:pPr>
    </w:p>
    <w:p w14:paraId="43B4D9DE" w14:textId="77777777" w:rsidR="00985A2A" w:rsidRPr="00593A5F" w:rsidRDefault="00985A2A" w:rsidP="00985A2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C16F763" w14:textId="77777777" w:rsidR="00985A2A" w:rsidRPr="00593A5F" w:rsidRDefault="00985A2A" w:rsidP="00985A2A">
      <w:pPr>
        <w:widowControl w:val="0"/>
        <w:autoSpaceDE w:val="0"/>
        <w:autoSpaceDN w:val="0"/>
        <w:spacing w:after="0" w:line="276" w:lineRule="auto"/>
        <w:jc w:val="both"/>
        <w:rPr>
          <w:rFonts w:ascii="Verdana" w:hAnsi="Verdana" w:cs="Arial"/>
        </w:rPr>
      </w:pPr>
    </w:p>
    <w:p w14:paraId="681D4D5B" w14:textId="77777777" w:rsidR="00985A2A" w:rsidRPr="00ED0098" w:rsidRDefault="00985A2A" w:rsidP="00985A2A">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Esta Subdirección</w:t>
      </w:r>
      <w:r w:rsidRPr="00D85592">
        <w:rPr>
          <w:rFonts w:ascii="Verdana" w:hAnsi="Verdana" w:cs="Arial"/>
          <w:shd w:val="clear" w:color="auto" w:fill="FFFFFF"/>
        </w:rPr>
        <w:t xml:space="preserve"> se ha pronunciado en varias ocasiones sobre </w:t>
      </w:r>
      <w:r>
        <w:rPr>
          <w:rFonts w:ascii="Verdana" w:hAnsi="Verdana" w:cs="Arial"/>
          <w:shd w:val="clear" w:color="auto" w:fill="FFFFFF"/>
        </w:rPr>
        <w:t>la determinación del precio en los contratos estatales</w:t>
      </w:r>
      <w:r w:rsidRPr="00D85592">
        <w:rPr>
          <w:rFonts w:ascii="Verdana" w:hAnsi="Verdana" w:cs="Arial"/>
          <w:shd w:val="clear" w:color="auto" w:fill="FFFFFF"/>
        </w:rPr>
        <w:t xml:space="preserve">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w:t>
      </w:r>
      <w:r>
        <w:rPr>
          <w:rFonts w:ascii="Verdana" w:hAnsi="Verdana" w:cs="Arial"/>
          <w:shd w:val="clear" w:color="auto" w:fill="FFFFFF"/>
        </w:rPr>
        <w:t>C-</w:t>
      </w:r>
      <w:r w:rsidRPr="00D85592">
        <w:rPr>
          <w:rFonts w:ascii="Verdana" w:hAnsi="Verdana" w:cs="Arial"/>
          <w:shd w:val="clear" w:color="auto" w:fill="FFFFFF"/>
        </w:rPr>
        <w:t>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y C-455 del 18 de septiembre de 2024, C-248 del 3 de abril de 2025 y C-460 del 18 de junio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72D8555" w14:textId="77777777" w:rsidR="00985A2A" w:rsidRPr="00096788" w:rsidRDefault="00985A2A" w:rsidP="00985A2A">
      <w:pPr>
        <w:widowControl w:val="0"/>
        <w:autoSpaceDE w:val="0"/>
        <w:autoSpaceDN w:val="0"/>
        <w:spacing w:after="0" w:line="276" w:lineRule="auto"/>
        <w:jc w:val="both"/>
        <w:rPr>
          <w:rFonts w:ascii="Verdana" w:hAnsi="Verdana" w:cs="Arial"/>
          <w:color w:val="000000" w:themeColor="text1"/>
          <w:shd w:val="clear" w:color="auto" w:fill="FFFFFF"/>
        </w:rPr>
      </w:pPr>
    </w:p>
    <w:p w14:paraId="3860EF96" w14:textId="77777777" w:rsidR="00985A2A" w:rsidRPr="00E440FD" w:rsidRDefault="00985A2A" w:rsidP="00985A2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w:t>
      </w:r>
      <w:r w:rsidRPr="00032009">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79D421EF" w14:textId="77777777" w:rsidR="00985A2A" w:rsidRDefault="00985A2A" w:rsidP="00985A2A">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5A26C2DC" w14:textId="77777777" w:rsidR="00985A2A" w:rsidRPr="00116940" w:rsidRDefault="00985A2A" w:rsidP="00985A2A">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C0E677D" w14:textId="77777777" w:rsidR="00985A2A" w:rsidRPr="00116940" w:rsidRDefault="00985A2A" w:rsidP="00985A2A">
      <w:pPr>
        <w:spacing w:after="0"/>
        <w:jc w:val="both"/>
        <w:rPr>
          <w:rFonts w:ascii="Verdana" w:hAnsi="Verdana"/>
        </w:rPr>
      </w:pPr>
    </w:p>
    <w:p w14:paraId="6FA4D9A9" w14:textId="77777777" w:rsidR="00985A2A" w:rsidRPr="00116940" w:rsidRDefault="00985A2A" w:rsidP="00985A2A">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23F0B87" w14:textId="77777777" w:rsidR="00985A2A" w:rsidRPr="00116940" w:rsidRDefault="00985A2A" w:rsidP="00985A2A">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7A9F981" w14:textId="77777777" w:rsidR="00985A2A" w:rsidRPr="00116940" w:rsidRDefault="00985A2A" w:rsidP="00985A2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7ED5C44B" w14:textId="77777777" w:rsidR="00985A2A" w:rsidRPr="00116940" w:rsidRDefault="00985A2A" w:rsidP="00985A2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69D869CE" w14:textId="77777777" w:rsidR="00985A2A" w:rsidRPr="00116940" w:rsidRDefault="00985A2A" w:rsidP="00985A2A">
      <w:pPr>
        <w:spacing w:after="0" w:line="240" w:lineRule="auto"/>
        <w:ind w:left="720"/>
        <w:jc w:val="both"/>
        <w:rPr>
          <w:rFonts w:ascii="Verdana" w:hAnsi="Verdana"/>
        </w:rPr>
      </w:pPr>
    </w:p>
    <w:p w14:paraId="2E5FE7B7" w14:textId="77777777" w:rsidR="00985A2A" w:rsidRPr="00116940" w:rsidRDefault="00985A2A" w:rsidP="00985A2A">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0493631" w14:textId="77777777" w:rsidR="00985A2A" w:rsidRPr="00116940" w:rsidRDefault="00985A2A" w:rsidP="00985A2A">
      <w:pPr>
        <w:spacing w:after="0" w:line="240" w:lineRule="auto"/>
        <w:rPr>
          <w:rFonts w:ascii="Verdana" w:hAnsi="Verdana"/>
        </w:rPr>
      </w:pPr>
    </w:p>
    <w:p w14:paraId="03B0C00F" w14:textId="77777777" w:rsidR="00985A2A" w:rsidRPr="00116940" w:rsidRDefault="00985A2A" w:rsidP="00985A2A">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EC4B327" w14:textId="77777777" w:rsidR="00985A2A" w:rsidRPr="00116940" w:rsidRDefault="00985A2A" w:rsidP="00985A2A">
      <w:pPr>
        <w:spacing w:after="0" w:line="240" w:lineRule="auto"/>
        <w:jc w:val="both"/>
        <w:rPr>
          <w:rFonts w:ascii="Verdana" w:hAnsi="Verdana"/>
        </w:rPr>
      </w:pPr>
    </w:p>
    <w:p w14:paraId="4B199F62" w14:textId="77777777" w:rsidR="00985A2A" w:rsidRPr="00116940" w:rsidRDefault="00985A2A" w:rsidP="00985A2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1043FA1" w14:textId="77777777" w:rsidR="00985A2A" w:rsidRPr="00116940" w:rsidRDefault="00985A2A" w:rsidP="00985A2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B09D2D7" w14:textId="77777777" w:rsidR="00985A2A" w:rsidRPr="00116940" w:rsidRDefault="00985A2A" w:rsidP="00985A2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2EA434C" w14:textId="77777777" w:rsidR="00985A2A" w:rsidRPr="009C4035" w:rsidRDefault="00985A2A" w:rsidP="00985A2A">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0246F22" w14:textId="77777777" w:rsidR="00985A2A" w:rsidRPr="00593A5F" w:rsidRDefault="00985A2A" w:rsidP="00985A2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expresiones aquí utilizadas con mayúscula inicial deben ser entendidas con el </w:t>
      </w:r>
      <w:r w:rsidRPr="00593A5F">
        <w:rPr>
          <w:rFonts w:ascii="Verdana" w:hAnsi="Verdana" w:cs="Arial"/>
          <w:lang w:val="es-ES_tradnl"/>
        </w:rPr>
        <w:lastRenderedPageBreak/>
        <w:t>significado que les otorga el artículo 2.2.1.1.1.3.1. del Decreto 1082 de 2015.</w:t>
      </w:r>
    </w:p>
    <w:p w14:paraId="50C851DA" w14:textId="77777777" w:rsidR="00985A2A" w:rsidRPr="00593A5F" w:rsidRDefault="00985A2A" w:rsidP="00985A2A">
      <w:pPr>
        <w:widowControl w:val="0"/>
        <w:autoSpaceDE w:val="0"/>
        <w:autoSpaceDN w:val="0"/>
        <w:spacing w:after="0" w:line="276" w:lineRule="auto"/>
        <w:jc w:val="both"/>
        <w:rPr>
          <w:rFonts w:ascii="Verdana" w:hAnsi="Verdana" w:cs="Arial"/>
        </w:rPr>
      </w:pPr>
    </w:p>
    <w:p w14:paraId="2FF9049E" w14:textId="77777777" w:rsidR="00985A2A" w:rsidRPr="00593A5F" w:rsidRDefault="00985A2A" w:rsidP="00985A2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F32F4DD" w14:textId="1DE20EC6" w:rsidR="00985A2A" w:rsidRPr="00593A5F" w:rsidRDefault="00C20067" w:rsidP="00985A2A">
      <w:pPr>
        <w:spacing w:line="276" w:lineRule="auto"/>
        <w:jc w:val="center"/>
        <w:rPr>
          <w:rFonts w:ascii="Verdana" w:hAnsi="Verdana" w:cs="Arial"/>
          <w:color w:val="000000"/>
          <w:lang w:val="es-ES_tradnl" w:eastAsia="es-CO"/>
        </w:rPr>
      </w:pPr>
      <w:r>
        <w:rPr>
          <w:noProof/>
        </w:rPr>
        <w:drawing>
          <wp:inline distT="0" distB="0" distL="0" distR="0" wp14:anchorId="045D7A5B" wp14:editId="112B9FE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85A2A" w:rsidRPr="00593A5F" w14:paraId="7507DE06" w14:textId="77777777" w:rsidTr="00C400BF">
        <w:trPr>
          <w:trHeight w:val="315"/>
        </w:trPr>
        <w:tc>
          <w:tcPr>
            <w:tcW w:w="893" w:type="dxa"/>
            <w:vAlign w:val="center"/>
            <w:hideMark/>
          </w:tcPr>
          <w:p w14:paraId="60E8CFD3" w14:textId="77777777" w:rsidR="00985A2A" w:rsidRPr="003751C7" w:rsidRDefault="00985A2A" w:rsidP="00C400B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79B023" w14:textId="77777777" w:rsidR="00985A2A" w:rsidRPr="00254A7A" w:rsidRDefault="00985A2A" w:rsidP="00C400B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D670A6C" w14:textId="77777777" w:rsidR="00985A2A" w:rsidRPr="00254A7A" w:rsidRDefault="00985A2A" w:rsidP="00C400B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85A2A" w:rsidRPr="00593A5F" w14:paraId="021A6B39" w14:textId="77777777" w:rsidTr="00C400BF">
        <w:trPr>
          <w:trHeight w:val="330"/>
        </w:trPr>
        <w:tc>
          <w:tcPr>
            <w:tcW w:w="893" w:type="dxa"/>
            <w:vAlign w:val="center"/>
            <w:hideMark/>
          </w:tcPr>
          <w:p w14:paraId="49DD71B5" w14:textId="77777777" w:rsidR="00985A2A" w:rsidRPr="003751C7" w:rsidRDefault="00985A2A" w:rsidP="00C400B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600B63" w14:textId="77777777" w:rsidR="00985A2A" w:rsidRPr="00FE00BE" w:rsidRDefault="00985A2A" w:rsidP="00C400BF">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32A1BE9D" w14:textId="77777777" w:rsidR="00985A2A" w:rsidRPr="00FE00BE" w:rsidRDefault="00985A2A" w:rsidP="00C400BF">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985A2A" w:rsidRPr="00593A5F" w14:paraId="4729AF45" w14:textId="77777777" w:rsidTr="00C400BF">
        <w:trPr>
          <w:trHeight w:val="300"/>
        </w:trPr>
        <w:tc>
          <w:tcPr>
            <w:tcW w:w="893" w:type="dxa"/>
            <w:vAlign w:val="center"/>
          </w:tcPr>
          <w:p w14:paraId="4A90298C" w14:textId="77777777" w:rsidR="00985A2A" w:rsidRPr="003751C7" w:rsidRDefault="00985A2A" w:rsidP="00C400B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96B06A" w14:textId="77777777" w:rsidR="00985A2A" w:rsidRPr="00FE00BE" w:rsidRDefault="00985A2A" w:rsidP="00C400BF">
            <w:pPr>
              <w:contextualSpacing/>
              <w:rPr>
                <w:rFonts w:ascii="Verdana" w:eastAsia="Calibri" w:hAnsi="Verdana" w:cs="Arial"/>
                <w:sz w:val="16"/>
                <w:szCs w:val="16"/>
                <w:lang w:val="es-ES" w:eastAsia="es-ES"/>
              </w:rPr>
            </w:pPr>
            <w:r w:rsidRPr="33C8B6A3">
              <w:rPr>
                <w:rFonts w:ascii="Verdana" w:eastAsia="Calibri" w:hAnsi="Verdana" w:cs="Arial"/>
                <w:sz w:val="16"/>
                <w:szCs w:val="16"/>
                <w:lang w:val="es-ES" w:eastAsia="es-ES"/>
              </w:rPr>
              <w:t xml:space="preserve">Carolina Quintero </w:t>
            </w:r>
            <w:proofErr w:type="spellStart"/>
            <w:r w:rsidRPr="33C8B6A3">
              <w:rPr>
                <w:rFonts w:ascii="Verdana" w:eastAsia="Calibri" w:hAnsi="Verdana" w:cs="Arial"/>
                <w:sz w:val="16"/>
                <w:szCs w:val="16"/>
                <w:lang w:val="es-ES" w:eastAsia="es-ES"/>
              </w:rPr>
              <w:t>Gacharná</w:t>
            </w:r>
            <w:proofErr w:type="spellEnd"/>
          </w:p>
          <w:p w14:paraId="0AFA80BE" w14:textId="77777777" w:rsidR="00985A2A" w:rsidRPr="00FE00BE" w:rsidRDefault="00985A2A" w:rsidP="00C400BF">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2535D764" w14:textId="77777777" w:rsidR="00985A2A" w:rsidRPr="00543BFE" w:rsidRDefault="00985A2A" w:rsidP="00985A2A"/>
    <w:p w14:paraId="0F293BF4" w14:textId="51BD67F7" w:rsidR="00127233" w:rsidRPr="003765AE" w:rsidRDefault="00127233" w:rsidP="003765AE"/>
    <w:p w14:paraId="65CE6679" w14:textId="77777777" w:rsidR="00B22DCA" w:rsidRPr="003765AE" w:rsidRDefault="00B22DCA"/>
    <w:sectPr w:rsidR="00B22DCA" w:rsidRPr="003765A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3EEF2" w14:textId="77777777" w:rsidR="00152E95" w:rsidRDefault="00152E95" w:rsidP="004A1847">
      <w:pPr>
        <w:spacing w:after="0" w:line="240" w:lineRule="auto"/>
      </w:pPr>
      <w:r>
        <w:separator/>
      </w:r>
    </w:p>
  </w:endnote>
  <w:endnote w:type="continuationSeparator" w:id="0">
    <w:p w14:paraId="074CA014" w14:textId="77777777" w:rsidR="00152E95" w:rsidRDefault="00152E95" w:rsidP="004A1847">
      <w:pPr>
        <w:spacing w:after="0" w:line="240" w:lineRule="auto"/>
      </w:pPr>
      <w:r>
        <w:continuationSeparator/>
      </w:r>
    </w:p>
  </w:endnote>
  <w:endnote w:type="continuationNotice" w:id="1">
    <w:p w14:paraId="6F98AB74" w14:textId="77777777" w:rsidR="00152E95" w:rsidRDefault="00152E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55858" w14:textId="77777777" w:rsidR="00152E95" w:rsidRDefault="00152E95" w:rsidP="004A1847">
      <w:pPr>
        <w:spacing w:after="0" w:line="240" w:lineRule="auto"/>
      </w:pPr>
      <w:r>
        <w:separator/>
      </w:r>
    </w:p>
  </w:footnote>
  <w:footnote w:type="continuationSeparator" w:id="0">
    <w:p w14:paraId="33116FF0" w14:textId="77777777" w:rsidR="00152E95" w:rsidRDefault="00152E95" w:rsidP="004A1847">
      <w:pPr>
        <w:spacing w:after="0" w:line="240" w:lineRule="auto"/>
      </w:pPr>
      <w:r>
        <w:continuationSeparator/>
      </w:r>
    </w:p>
  </w:footnote>
  <w:footnote w:type="continuationNotice" w:id="1">
    <w:p w14:paraId="7F6B00A4" w14:textId="77777777" w:rsidR="00152E95" w:rsidRDefault="00152E95">
      <w:pPr>
        <w:spacing w:after="0" w:line="240" w:lineRule="auto"/>
      </w:pPr>
    </w:p>
  </w:footnote>
  <w:footnote w:id="2">
    <w:p w14:paraId="4300C3DA" w14:textId="77777777" w:rsidR="00985A2A" w:rsidRPr="00DF05AC" w:rsidRDefault="00985A2A" w:rsidP="00985A2A">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F66530C" w14:textId="77777777" w:rsidR="00985A2A" w:rsidRPr="00DF05AC" w:rsidRDefault="00985A2A" w:rsidP="00985A2A">
      <w:pPr>
        <w:pStyle w:val="Textonotapie"/>
        <w:ind w:firstLine="709"/>
        <w:jc w:val="both"/>
        <w:rPr>
          <w:rFonts w:ascii="Verdana" w:hAnsi="Verdana" w:cs="Arial"/>
          <w:sz w:val="16"/>
          <w:szCs w:val="16"/>
          <w:lang w:val="es-ES"/>
        </w:rPr>
      </w:pPr>
      <w:r w:rsidRPr="00DF05AC">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DF05AC">
        <w:rPr>
          <w:rFonts w:ascii="Verdana" w:hAnsi="Verdana" w:cs="Arial"/>
          <w:i/>
          <w:iCs/>
          <w:sz w:val="16"/>
          <w:szCs w:val="16"/>
          <w:lang w:val="es-ES"/>
        </w:rPr>
        <w:t>costos directos</w:t>
      </w:r>
      <w:r w:rsidRPr="00DF05AC">
        <w:rPr>
          <w:rFonts w:ascii="Verdana" w:hAnsi="Verdana" w:cs="Arial"/>
          <w:sz w:val="16"/>
          <w:szCs w:val="16"/>
          <w:lang w:val="es-ES"/>
        </w:rPr>
        <w:t xml:space="preserve"> y los</w:t>
      </w:r>
      <w:r w:rsidRPr="00DF05AC">
        <w:rPr>
          <w:rFonts w:ascii="Verdana" w:hAnsi="Verdana" w:cs="Arial"/>
          <w:i/>
          <w:iCs/>
          <w:sz w:val="16"/>
          <w:szCs w:val="16"/>
          <w:lang w:val="es-ES"/>
        </w:rPr>
        <w:t xml:space="preserve"> costos indirectos</w:t>
      </w:r>
      <w:r w:rsidRPr="00DF05AC">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DF05AC">
        <w:rPr>
          <w:rFonts w:ascii="Verdana" w:hAnsi="Verdana" w:cs="Arial"/>
          <w:i/>
          <w:iCs/>
          <w:sz w:val="16"/>
          <w:szCs w:val="16"/>
          <w:lang w:val="es-ES"/>
        </w:rPr>
        <w:t>ítems</w:t>
      </w:r>
      <w:r w:rsidRPr="00DF05AC">
        <w:rPr>
          <w:rFonts w:ascii="Verdana" w:hAnsi="Verdana" w:cs="Arial"/>
          <w:sz w:val="16"/>
          <w:szCs w:val="16"/>
          <w:lang w:val="es-ES"/>
        </w:rPr>
        <w:t xml:space="preserve"> que componen el contrato–. Los costos </w:t>
      </w:r>
      <w:r w:rsidRPr="00DF05AC">
        <w:rPr>
          <w:rFonts w:ascii="Verdana" w:hAnsi="Verdana" w:cs="Arial"/>
          <w:i/>
          <w:iCs/>
          <w:sz w:val="16"/>
          <w:szCs w:val="16"/>
          <w:lang w:val="es-ES"/>
        </w:rPr>
        <w:t>indirectos</w:t>
      </w:r>
      <w:r w:rsidRPr="00DF05AC">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638CA675" w14:textId="77777777" w:rsidR="00985A2A" w:rsidRPr="00DF05AC" w:rsidRDefault="00985A2A" w:rsidP="00985A2A">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Consejo de Estado. Sección Tercera. Subsección B. Sentencia del 14 de octubre de 2011. Exp. 20811, C.P. Ruth Stella Correa Palacio.</w:t>
      </w:r>
    </w:p>
  </w:footnote>
  <w:footnote w:id="4">
    <w:p w14:paraId="25DAD210" w14:textId="77777777" w:rsidR="00985A2A" w:rsidRPr="00DF05AC" w:rsidRDefault="00985A2A" w:rsidP="00985A2A">
      <w:pPr>
        <w:pStyle w:val="Textonotapie"/>
        <w:ind w:firstLine="708"/>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Frente a ello, esta Agencia en respuesta a consulta del 27 de septiembre de 2017, indicó, </w:t>
      </w:r>
      <w:r w:rsidRPr="00DF05AC">
        <w:rPr>
          <w:rFonts w:ascii="Verdana" w:eastAsia="Calibri" w:hAnsi="Verdana" w:cs="Arial"/>
          <w:sz w:val="16"/>
          <w:szCs w:val="16"/>
        </w:rPr>
        <w:t>“</w:t>
      </w:r>
      <w:r w:rsidRPr="00DF05AC">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DF05AC">
        <w:rPr>
          <w:rFonts w:ascii="Verdana" w:eastAsia="Calibri" w:hAnsi="Verdana" w:cs="Arial"/>
          <w:sz w:val="16"/>
          <w:szCs w:val="16"/>
        </w:rPr>
        <w:t>”</w:t>
      </w:r>
      <w:r w:rsidRPr="00DF05AC">
        <w:rPr>
          <w:rFonts w:ascii="Verdana" w:hAnsi="Verdana" w:cs="Arial"/>
          <w:sz w:val="16"/>
          <w:szCs w:val="16"/>
        </w:rPr>
        <w:t xml:space="preserve"> </w:t>
      </w:r>
      <w:r w:rsidRPr="00DF05AC">
        <w:rPr>
          <w:rFonts w:ascii="Verdana" w:hAnsi="Verdana" w:cs="Arial"/>
          <w:sz w:val="16"/>
          <w:szCs w:val="16"/>
          <w:lang w:val="es-ES"/>
        </w:rPr>
        <w:t>Radicación: Respuesta a consulta #4201714000006240 Temas: Contrato de consultoría Tipo de asunto consultado: Cómo se aplica y evalúa el factor multiplicador.</w:t>
      </w:r>
    </w:p>
  </w:footnote>
  <w:footnote w:id="5">
    <w:p w14:paraId="56B97771" w14:textId="77777777" w:rsidR="00985A2A" w:rsidRPr="00DF05AC" w:rsidRDefault="00985A2A" w:rsidP="00985A2A">
      <w:pPr>
        <w:pStyle w:val="Textonotapie"/>
        <w:ind w:firstLine="708"/>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MARÍN</w:t>
      </w:r>
      <w:r>
        <w:rPr>
          <w:rFonts w:ascii="Verdana" w:hAnsi="Verdana" w:cs="Arial"/>
          <w:sz w:val="16"/>
          <w:szCs w:val="16"/>
          <w:lang w:val="es-ES"/>
        </w:rPr>
        <w:t xml:space="preserve"> </w:t>
      </w:r>
      <w:r w:rsidRPr="00C37D4D">
        <w:rPr>
          <w:rFonts w:ascii="Verdana" w:hAnsi="Verdana" w:cs="Arial"/>
          <w:sz w:val="16"/>
          <w:szCs w:val="16"/>
          <w:lang w:val="es-ES"/>
        </w:rPr>
        <w:t>CORTÉS</w:t>
      </w:r>
      <w:r w:rsidRPr="00DF05AC">
        <w:rPr>
          <w:rFonts w:ascii="Verdana" w:hAnsi="Verdana" w:cs="Arial"/>
          <w:sz w:val="16"/>
          <w:szCs w:val="16"/>
          <w:lang w:val="es-ES"/>
        </w:rPr>
        <w:t>, Op. Cit., pp. 64-65.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2.25pt;height:12.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89D"/>
    <w:rsid w:val="00016F78"/>
    <w:rsid w:val="00046945"/>
    <w:rsid w:val="00061B2A"/>
    <w:rsid w:val="00082362"/>
    <w:rsid w:val="000A683E"/>
    <w:rsid w:val="000B19B9"/>
    <w:rsid w:val="000D0334"/>
    <w:rsid w:val="000D5DA7"/>
    <w:rsid w:val="000F6486"/>
    <w:rsid w:val="00116940"/>
    <w:rsid w:val="00124539"/>
    <w:rsid w:val="00125105"/>
    <w:rsid w:val="00127233"/>
    <w:rsid w:val="00152E95"/>
    <w:rsid w:val="0015699B"/>
    <w:rsid w:val="00156F23"/>
    <w:rsid w:val="001A33BF"/>
    <w:rsid w:val="001E4177"/>
    <w:rsid w:val="001F0B24"/>
    <w:rsid w:val="001F7DC6"/>
    <w:rsid w:val="0022400B"/>
    <w:rsid w:val="002421BB"/>
    <w:rsid w:val="0025796E"/>
    <w:rsid w:val="002707A2"/>
    <w:rsid w:val="002951A0"/>
    <w:rsid w:val="002962BC"/>
    <w:rsid w:val="002A093D"/>
    <w:rsid w:val="002A0DD0"/>
    <w:rsid w:val="002A1F11"/>
    <w:rsid w:val="002A49AC"/>
    <w:rsid w:val="002A64FD"/>
    <w:rsid w:val="002C7A84"/>
    <w:rsid w:val="002E2BF8"/>
    <w:rsid w:val="002E4FD9"/>
    <w:rsid w:val="0030657A"/>
    <w:rsid w:val="00322A85"/>
    <w:rsid w:val="00324168"/>
    <w:rsid w:val="00330834"/>
    <w:rsid w:val="003448F4"/>
    <w:rsid w:val="00374F5E"/>
    <w:rsid w:val="003765AE"/>
    <w:rsid w:val="00377E3E"/>
    <w:rsid w:val="003A779E"/>
    <w:rsid w:val="003D0F4D"/>
    <w:rsid w:val="003D5B0D"/>
    <w:rsid w:val="003E0499"/>
    <w:rsid w:val="003E4F80"/>
    <w:rsid w:val="003E6439"/>
    <w:rsid w:val="003F3941"/>
    <w:rsid w:val="00406575"/>
    <w:rsid w:val="00414C74"/>
    <w:rsid w:val="0042722E"/>
    <w:rsid w:val="0044528D"/>
    <w:rsid w:val="00466E39"/>
    <w:rsid w:val="00471335"/>
    <w:rsid w:val="00481F06"/>
    <w:rsid w:val="004A1847"/>
    <w:rsid w:val="004A305D"/>
    <w:rsid w:val="004F21C4"/>
    <w:rsid w:val="004F685F"/>
    <w:rsid w:val="005566E8"/>
    <w:rsid w:val="00574867"/>
    <w:rsid w:val="00591460"/>
    <w:rsid w:val="005A65E0"/>
    <w:rsid w:val="005C090E"/>
    <w:rsid w:val="005C3777"/>
    <w:rsid w:val="005C5CDC"/>
    <w:rsid w:val="005D476C"/>
    <w:rsid w:val="00611CE6"/>
    <w:rsid w:val="006200BF"/>
    <w:rsid w:val="006219F8"/>
    <w:rsid w:val="006302F7"/>
    <w:rsid w:val="00646B9F"/>
    <w:rsid w:val="00665D70"/>
    <w:rsid w:val="006900D9"/>
    <w:rsid w:val="00706C16"/>
    <w:rsid w:val="007340C3"/>
    <w:rsid w:val="0075235A"/>
    <w:rsid w:val="00755493"/>
    <w:rsid w:val="00756841"/>
    <w:rsid w:val="00760DFF"/>
    <w:rsid w:val="007649AB"/>
    <w:rsid w:val="00771D0C"/>
    <w:rsid w:val="007833AC"/>
    <w:rsid w:val="007A0422"/>
    <w:rsid w:val="007B268C"/>
    <w:rsid w:val="007B7171"/>
    <w:rsid w:val="007C0C0F"/>
    <w:rsid w:val="007C3DC2"/>
    <w:rsid w:val="007E5497"/>
    <w:rsid w:val="007F69E4"/>
    <w:rsid w:val="00806F5F"/>
    <w:rsid w:val="00820278"/>
    <w:rsid w:val="008258C9"/>
    <w:rsid w:val="00844AE9"/>
    <w:rsid w:val="00867F95"/>
    <w:rsid w:val="008843B6"/>
    <w:rsid w:val="00891928"/>
    <w:rsid w:val="008A446D"/>
    <w:rsid w:val="008B1183"/>
    <w:rsid w:val="008B25F1"/>
    <w:rsid w:val="008D180B"/>
    <w:rsid w:val="008F0EA7"/>
    <w:rsid w:val="00923EEF"/>
    <w:rsid w:val="009419F9"/>
    <w:rsid w:val="009442B1"/>
    <w:rsid w:val="00947D3E"/>
    <w:rsid w:val="0095685E"/>
    <w:rsid w:val="00961B09"/>
    <w:rsid w:val="00965334"/>
    <w:rsid w:val="0097093E"/>
    <w:rsid w:val="00985A2A"/>
    <w:rsid w:val="009A0DFA"/>
    <w:rsid w:val="009A1C6F"/>
    <w:rsid w:val="009B2D26"/>
    <w:rsid w:val="009C50B2"/>
    <w:rsid w:val="009C71FA"/>
    <w:rsid w:val="009C72E7"/>
    <w:rsid w:val="009C7F7E"/>
    <w:rsid w:val="009D3058"/>
    <w:rsid w:val="009F3A13"/>
    <w:rsid w:val="00A122D3"/>
    <w:rsid w:val="00A14468"/>
    <w:rsid w:val="00A17F13"/>
    <w:rsid w:val="00A201C5"/>
    <w:rsid w:val="00A20739"/>
    <w:rsid w:val="00A23AF9"/>
    <w:rsid w:val="00A25C8F"/>
    <w:rsid w:val="00A33C78"/>
    <w:rsid w:val="00AB0ADB"/>
    <w:rsid w:val="00AC0A8F"/>
    <w:rsid w:val="00B00C0E"/>
    <w:rsid w:val="00B01B1A"/>
    <w:rsid w:val="00B0381D"/>
    <w:rsid w:val="00B22DCA"/>
    <w:rsid w:val="00B44A47"/>
    <w:rsid w:val="00B72CD3"/>
    <w:rsid w:val="00B72FFF"/>
    <w:rsid w:val="00B73160"/>
    <w:rsid w:val="00B8624C"/>
    <w:rsid w:val="00BC3D36"/>
    <w:rsid w:val="00BD54A6"/>
    <w:rsid w:val="00BD7F72"/>
    <w:rsid w:val="00BF7425"/>
    <w:rsid w:val="00C04FB3"/>
    <w:rsid w:val="00C11D8B"/>
    <w:rsid w:val="00C15139"/>
    <w:rsid w:val="00C20067"/>
    <w:rsid w:val="00C330EB"/>
    <w:rsid w:val="00C33F36"/>
    <w:rsid w:val="00C474DA"/>
    <w:rsid w:val="00C50D69"/>
    <w:rsid w:val="00C5365C"/>
    <w:rsid w:val="00C754BE"/>
    <w:rsid w:val="00C76B1C"/>
    <w:rsid w:val="00C925AC"/>
    <w:rsid w:val="00CB6357"/>
    <w:rsid w:val="00CC1B26"/>
    <w:rsid w:val="00CF03C6"/>
    <w:rsid w:val="00D35657"/>
    <w:rsid w:val="00D361FD"/>
    <w:rsid w:val="00D423A2"/>
    <w:rsid w:val="00D44E26"/>
    <w:rsid w:val="00D520D8"/>
    <w:rsid w:val="00D63069"/>
    <w:rsid w:val="00D63AC2"/>
    <w:rsid w:val="00D7383B"/>
    <w:rsid w:val="00D7788A"/>
    <w:rsid w:val="00DA231B"/>
    <w:rsid w:val="00DC39FC"/>
    <w:rsid w:val="00DD0079"/>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0D2C"/>
    <w:rsid w:val="00F462B3"/>
    <w:rsid w:val="00F5664F"/>
    <w:rsid w:val="00F666C4"/>
    <w:rsid w:val="00F76AFC"/>
    <w:rsid w:val="00FA47C0"/>
    <w:rsid w:val="00FB5DD1"/>
    <w:rsid w:val="00FC2B5D"/>
    <w:rsid w:val="00FE0A96"/>
    <w:rsid w:val="00FF1449"/>
    <w:rsid w:val="00FF7963"/>
    <w:rsid w:val="071B8F93"/>
    <w:rsid w:val="09908A09"/>
    <w:rsid w:val="0FF4CCA8"/>
    <w:rsid w:val="13CFC91B"/>
    <w:rsid w:val="19A2EC2C"/>
    <w:rsid w:val="2859CA1B"/>
    <w:rsid w:val="32A4F9CF"/>
    <w:rsid w:val="33C8B6A3"/>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5A2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85A2A"/>
    <w:rPr>
      <w:rFonts w:ascii="Geomanist Light" w:hAnsi="Geomanist Light"/>
      <w:lang w:val="es-ES"/>
    </w:rPr>
  </w:style>
  <w:style w:type="character" w:customStyle="1" w:styleId="s15">
    <w:name w:val="s15"/>
    <w:basedOn w:val="Fuentedeprrafopredeter"/>
    <w:rsid w:val="00985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F39B0B1-C040-4300-8246-B5EB9DCD9E7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14</Pages>
  <Words>4384</Words>
  <Characters>24117</Characters>
  <Application>Microsoft Office Word</Application>
  <DocSecurity>0</DocSecurity>
  <Lines>200</Lines>
  <Paragraphs>56</Paragraphs>
  <ScaleCrop>false</ScaleCrop>
  <Company/>
  <LinksUpToDate>false</LinksUpToDate>
  <CharactersWithSpaces>28445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2025-12-16T06:00:00Z</dcterms:created>
  <dcterms:modified xsi:type="dcterms:W3CDTF">2025-12-16T13:24:00Z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