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9D3DCB" w14:textId="77777777" w:rsidR="000E0938" w:rsidRPr="00DE2AC7" w:rsidRDefault="000E0938" w:rsidP="000E0938">
      <w:pPr>
        <w:spacing w:after="0" w:line="240" w:lineRule="auto"/>
        <w:rPr>
          <w:rFonts w:ascii="Verdana" w:eastAsia="Calibri" w:hAnsi="Verdana" w:cs="Arial"/>
          <w:b/>
          <w:sz w:val="20"/>
          <w:szCs w:val="20"/>
          <w:lang w:val="es-ES_tradnl" w:eastAsia="es-ES_tradnl"/>
        </w:rPr>
      </w:pPr>
    </w:p>
    <w:p w14:paraId="2A583C76" w14:textId="77777777" w:rsidR="000E0938" w:rsidRPr="00682C93" w:rsidRDefault="000E0938" w:rsidP="000E0938">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161438B0" w14:textId="77777777" w:rsidR="000E0938" w:rsidRDefault="000E0938" w:rsidP="000E0938">
      <w:pPr>
        <w:spacing w:after="0" w:line="240" w:lineRule="auto"/>
        <w:jc w:val="both"/>
        <w:rPr>
          <w:rFonts w:ascii="Verdana" w:hAnsi="Verdana" w:cs="Arial"/>
          <w:b/>
          <w:lang w:val="es-MX" w:eastAsia="es-ES_tradnl"/>
        </w:rPr>
      </w:pPr>
    </w:p>
    <w:p w14:paraId="20CF65CC" w14:textId="77777777" w:rsidR="000E0938" w:rsidRDefault="000E0938" w:rsidP="000E0938">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4F80FCE1" w14:textId="77777777" w:rsidR="000E0938" w:rsidRPr="00682C93" w:rsidRDefault="000E0938" w:rsidP="000E0938">
      <w:pPr>
        <w:spacing w:after="0" w:line="240" w:lineRule="auto"/>
        <w:jc w:val="both"/>
        <w:rPr>
          <w:rFonts w:ascii="Verdana" w:hAnsi="Verdana" w:cs="Arial"/>
          <w:b/>
          <w:sz w:val="20"/>
          <w:lang w:val="es-MX" w:eastAsia="es-ES_tradnl"/>
        </w:rPr>
      </w:pPr>
    </w:p>
    <w:p w14:paraId="22721F4E" w14:textId="77777777" w:rsidR="000E0938" w:rsidRPr="00682C93" w:rsidRDefault="000E0938" w:rsidP="000E0938">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0F27A577" w14:textId="77777777" w:rsidR="000E0938" w:rsidRDefault="000E0938" w:rsidP="000E0938">
      <w:pPr>
        <w:spacing w:after="0" w:line="240" w:lineRule="auto"/>
        <w:jc w:val="both"/>
        <w:rPr>
          <w:rFonts w:ascii="Verdana" w:hAnsi="Verdana" w:cs="Arial"/>
          <w:b/>
          <w:lang w:val="es-MX" w:eastAsia="es-ES_tradnl"/>
        </w:rPr>
      </w:pPr>
    </w:p>
    <w:p w14:paraId="7F038D8F" w14:textId="77777777" w:rsidR="000E0938" w:rsidRPr="00E41F23" w:rsidRDefault="000E0938" w:rsidP="000E0938">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65AA428" w14:textId="77777777" w:rsidR="000E0938" w:rsidRPr="00E41F23" w:rsidRDefault="000E0938" w:rsidP="000E0938">
      <w:pPr>
        <w:spacing w:after="0" w:line="240" w:lineRule="auto"/>
        <w:jc w:val="both"/>
        <w:rPr>
          <w:rFonts w:ascii="Verdana" w:eastAsia="Calibri" w:hAnsi="Verdana" w:cs="Arial"/>
          <w:sz w:val="20"/>
        </w:rPr>
      </w:pPr>
    </w:p>
    <w:p w14:paraId="1E585A17" w14:textId="77777777" w:rsidR="000E0938" w:rsidRDefault="000E0938" w:rsidP="000E0938">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3E84E9BD" w14:textId="77777777" w:rsidR="000E0938" w:rsidRPr="00E41F23" w:rsidRDefault="000E0938" w:rsidP="000E0938">
      <w:pPr>
        <w:widowControl w:val="0"/>
        <w:autoSpaceDE w:val="0"/>
        <w:autoSpaceDN w:val="0"/>
        <w:spacing w:after="0" w:line="240" w:lineRule="auto"/>
        <w:ind w:right="113"/>
        <w:jc w:val="both"/>
        <w:rPr>
          <w:rFonts w:ascii="Verdana" w:eastAsia="Arial" w:hAnsi="Verdana" w:cs="Arial"/>
          <w:sz w:val="20"/>
          <w:lang w:val="es-ES" w:eastAsia="es-ES" w:bidi="es-ES"/>
        </w:rPr>
      </w:pPr>
    </w:p>
    <w:p w14:paraId="0C07D925" w14:textId="77777777" w:rsidR="000E0938" w:rsidRPr="00E41F23" w:rsidRDefault="000E0938" w:rsidP="000E0938">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E41F23">
        <w:rPr>
          <w:rFonts w:ascii="Verdana" w:eastAsia="Times New Roman" w:hAnsi="Verdana" w:cs="Arial"/>
          <w:bCs/>
          <w:i/>
          <w:sz w:val="20"/>
          <w:lang w:val="es-ES" w:eastAsia="es-CO"/>
        </w:rPr>
        <w:t>ibídem</w:t>
      </w:r>
      <w:proofErr w:type="spellEnd"/>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24221FFC" w14:textId="77777777" w:rsidR="000E0938" w:rsidRPr="00682C93" w:rsidRDefault="000E0938" w:rsidP="000E0938">
      <w:pPr>
        <w:spacing w:after="0" w:line="240" w:lineRule="auto"/>
        <w:jc w:val="both"/>
        <w:rPr>
          <w:rFonts w:ascii="Verdana" w:hAnsi="Verdana" w:cs="Arial"/>
          <w:b/>
          <w:lang w:val="es-ES" w:eastAsia="es-ES_tradnl"/>
        </w:rPr>
      </w:pPr>
    </w:p>
    <w:p w14:paraId="4C31BB39" w14:textId="77777777" w:rsidR="000E0938" w:rsidRPr="00682C93" w:rsidRDefault="000E0938" w:rsidP="000E0938">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Contratos y convenios interadministrativos – Criterio orgánico </w:t>
      </w:r>
    </w:p>
    <w:p w14:paraId="2AE847C9" w14:textId="77777777" w:rsidR="000E0938" w:rsidRDefault="000E0938" w:rsidP="000E0938">
      <w:pPr>
        <w:spacing w:after="0" w:line="240" w:lineRule="auto"/>
        <w:jc w:val="both"/>
        <w:rPr>
          <w:rFonts w:ascii="Verdana" w:hAnsi="Verdana" w:cs="Arial"/>
          <w:b/>
          <w:lang w:val="es-MX" w:eastAsia="es-ES_tradnl"/>
        </w:rPr>
      </w:pPr>
    </w:p>
    <w:p w14:paraId="2C16A7D6" w14:textId="77777777" w:rsidR="000E0938" w:rsidRPr="00E41F23" w:rsidRDefault="000E0938" w:rsidP="000E0938">
      <w:pPr>
        <w:spacing w:after="0" w:line="240" w:lineRule="auto"/>
        <w:jc w:val="both"/>
        <w:rPr>
          <w:rFonts w:ascii="Verdana" w:eastAsia="Calibri" w:hAnsi="Verdana" w:cs="Arial"/>
          <w:sz w:val="20"/>
          <w:lang w:bidi="es-ES"/>
        </w:rPr>
      </w:pPr>
      <w:r w:rsidRPr="00E41F23">
        <w:rPr>
          <w:rFonts w:ascii="Verdana" w:eastAsia="Times New Roman" w:hAnsi="Verdana" w:cs="Arial"/>
          <w:sz w:val="20"/>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E41F23">
        <w:rPr>
          <w:rFonts w:ascii="Verdana" w:eastAsia="Arial" w:hAnsi="Verdana" w:cs="Arial"/>
          <w:sz w:val="20"/>
          <w:lang w:val="es-ES" w:eastAsia="es-ES" w:bidi="es-ES"/>
        </w:rPr>
        <w:t>e</w:t>
      </w:r>
      <w:r w:rsidRPr="00E41F23">
        <w:rPr>
          <w:rFonts w:ascii="Verdana" w:eastAsia="Calibri" w:hAnsi="Verdana" w:cs="Arial"/>
          <w:sz w:val="20"/>
        </w:rPr>
        <w:t xml:space="preserve">l parágrafo del artículo 38 cobija tanto a los convenios como a los contratos interadministrativos. Esta tesis se fundamenta en que </w:t>
      </w:r>
      <w:r w:rsidRPr="00E41F23">
        <w:rPr>
          <w:rFonts w:ascii="Verdana" w:eastAsia="Calibri" w:hAnsi="Verdana" w:cs="Arial"/>
          <w:sz w:val="20"/>
          <w:lang w:bidi="es-ES"/>
        </w:rPr>
        <w:t xml:space="preserve">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7C3190F5" w14:textId="77777777" w:rsidR="000E0938" w:rsidRPr="00682C93" w:rsidRDefault="000E0938" w:rsidP="000E0938">
      <w:pPr>
        <w:spacing w:after="0" w:line="240" w:lineRule="auto"/>
        <w:jc w:val="both"/>
        <w:rPr>
          <w:rFonts w:ascii="Verdana" w:hAnsi="Verdana" w:cs="Arial"/>
          <w:b/>
          <w:lang w:val="es-MX" w:eastAsia="es-ES_tradnl"/>
        </w:rPr>
      </w:pPr>
    </w:p>
    <w:p w14:paraId="14930D81" w14:textId="77777777" w:rsidR="000E0938" w:rsidRDefault="000E0938" w:rsidP="000E0938">
      <w:pPr>
        <w:spacing w:after="0" w:line="240" w:lineRule="auto"/>
        <w:jc w:val="both"/>
        <w:rPr>
          <w:rFonts w:ascii="Verdana" w:hAnsi="Verdana" w:cs="Arial"/>
          <w:b/>
          <w:lang w:val="es-MX" w:eastAsia="es-ES_tradnl"/>
        </w:rPr>
      </w:pPr>
      <w:r w:rsidRPr="00682C93">
        <w:rPr>
          <w:rFonts w:ascii="Verdana" w:hAnsi="Verdana" w:cs="Arial"/>
          <w:b/>
          <w:lang w:val="es-MX" w:eastAsia="es-ES_tradnl"/>
        </w:rPr>
        <w:t>CONTRATOS Y CONVENIOS INTERADMINISTRATIVOS – Definición – Criterio org</w:t>
      </w:r>
      <w:r>
        <w:rPr>
          <w:rFonts w:ascii="Verdana" w:hAnsi="Verdana" w:cs="Arial"/>
          <w:b/>
          <w:lang w:val="es-MX" w:eastAsia="es-ES_tradnl"/>
        </w:rPr>
        <w:t>ánico</w:t>
      </w:r>
    </w:p>
    <w:p w14:paraId="6879C323" w14:textId="77777777" w:rsidR="000E0938" w:rsidRDefault="000E0938" w:rsidP="000E0938">
      <w:pPr>
        <w:spacing w:after="0" w:line="240" w:lineRule="auto"/>
        <w:jc w:val="both"/>
        <w:rPr>
          <w:rFonts w:ascii="Verdana" w:hAnsi="Verdana" w:cs="Arial"/>
          <w:b/>
          <w:lang w:val="es-MX" w:eastAsia="es-ES_tradnl"/>
        </w:rPr>
      </w:pPr>
    </w:p>
    <w:p w14:paraId="223FF52D" w14:textId="77777777" w:rsidR="000E0938" w:rsidRPr="003F2A9C" w:rsidRDefault="000E0938" w:rsidP="000E0938">
      <w:pPr>
        <w:spacing w:after="0" w:line="240" w:lineRule="auto"/>
        <w:jc w:val="both"/>
        <w:rPr>
          <w:rFonts w:ascii="Verdana" w:hAnsi="Verdana" w:cs="Arial"/>
          <w:b/>
          <w:lang w:val="es-MX" w:eastAsia="es-ES_tradnl"/>
        </w:rPr>
      </w:pPr>
      <w:r w:rsidRPr="003F2A9C">
        <w:rPr>
          <w:rFonts w:ascii="Verdana" w:eastAsia="Calibri" w:hAnsi="Verdana" w:cs="Arial"/>
          <w:sz w:val="20"/>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3F2A9C">
        <w:rPr>
          <w:rFonts w:ascii="Verdana" w:eastAsia="Arial" w:hAnsi="Verdana" w:cs="Arial"/>
          <w:sz w:val="20"/>
          <w:lang w:val="es-ES" w:eastAsia="es-ES"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w:t>
      </w:r>
      <w:r>
        <w:rPr>
          <w:rFonts w:ascii="Verdana" w:eastAsia="Arial" w:hAnsi="Verdana" w:cs="Arial"/>
          <w:sz w:val="20"/>
          <w:lang w:val="es-ES" w:eastAsia="es-ES" w:bidi="es-ES"/>
        </w:rPr>
        <w:t>eradministrativos</w:t>
      </w:r>
      <w:r w:rsidRPr="003F2A9C">
        <w:rPr>
          <w:rFonts w:ascii="Verdana" w:eastAsia="Arial" w:hAnsi="Verdana" w:cs="Arial"/>
          <w:sz w:val="20"/>
          <w:lang w:val="es-ES" w:eastAsia="es-ES" w:bidi="es-ES"/>
        </w:rPr>
        <w:t>.</w:t>
      </w:r>
    </w:p>
    <w:p w14:paraId="0AAD8290" w14:textId="77777777" w:rsidR="000E0938" w:rsidRPr="003F2A9C" w:rsidRDefault="000E0938" w:rsidP="000E0938">
      <w:pPr>
        <w:spacing w:after="0" w:line="240" w:lineRule="auto"/>
        <w:jc w:val="both"/>
        <w:rPr>
          <w:rFonts w:ascii="Verdana" w:eastAsia="Calibri" w:hAnsi="Verdana" w:cs="Arial"/>
          <w:sz w:val="20"/>
          <w:lang w:bidi="es-ES"/>
        </w:rPr>
      </w:pPr>
    </w:p>
    <w:p w14:paraId="3D767F2B" w14:textId="77777777" w:rsidR="000E0938" w:rsidRDefault="000E0938" w:rsidP="000E0938">
      <w:pPr>
        <w:spacing w:after="0" w:line="240" w:lineRule="auto"/>
        <w:jc w:val="both"/>
        <w:rPr>
          <w:rFonts w:ascii="Verdana" w:eastAsia="Arial" w:hAnsi="Verdana" w:cs="Arial"/>
          <w:sz w:val="20"/>
          <w:lang w:val="es-ES" w:eastAsia="es-ES" w:bidi="es-ES"/>
        </w:rPr>
      </w:pPr>
      <w:r w:rsidRPr="003F2A9C">
        <w:rPr>
          <w:rFonts w:ascii="Verdana" w:eastAsia="Calibri" w:hAnsi="Verdana" w:cs="Arial"/>
          <w:sz w:val="20"/>
          <w:lang w:val="es-ES" w:bidi="es-ES"/>
        </w:rPr>
        <w:t>De este modo, en la Circular Externa</w:t>
      </w:r>
      <w:r w:rsidRPr="003F2A9C">
        <w:rPr>
          <w:rFonts w:ascii="Verdana" w:eastAsia="Arial" w:hAnsi="Verdana" w:cs="Arial"/>
          <w:sz w:val="20"/>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w:t>
      </w:r>
      <w:r>
        <w:rPr>
          <w:rFonts w:ascii="Verdana" w:eastAsia="Arial" w:hAnsi="Verdana" w:cs="Arial"/>
          <w:sz w:val="20"/>
          <w:lang w:val="es-ES" w:eastAsia="es-ES" w:bidi="es-ES"/>
        </w:rPr>
        <w:t>.</w:t>
      </w:r>
    </w:p>
    <w:p w14:paraId="05F95896" w14:textId="77777777" w:rsidR="000E0938" w:rsidRPr="00D83C22" w:rsidRDefault="000E0938" w:rsidP="000E0938">
      <w:pPr>
        <w:tabs>
          <w:tab w:val="left" w:pos="709"/>
        </w:tabs>
        <w:spacing w:after="0" w:line="240" w:lineRule="auto"/>
        <w:jc w:val="both"/>
        <w:rPr>
          <w:rFonts w:ascii="Verdana" w:eastAsia="Calibri" w:hAnsi="Verdana" w:cs="Arial"/>
          <w:color w:val="000000" w:themeColor="text1"/>
          <w:sz w:val="20"/>
          <w:szCs w:val="20"/>
          <w:lang w:val="es-ES_tradnl"/>
        </w:rPr>
      </w:pPr>
    </w:p>
    <w:p w14:paraId="49C81C4D" w14:textId="77777777" w:rsidR="000E0938" w:rsidRPr="00DE2AC7" w:rsidRDefault="000E0938" w:rsidP="000E0938">
      <w:pPr>
        <w:spacing w:after="0" w:line="240" w:lineRule="auto"/>
        <w:rPr>
          <w:rFonts w:ascii="Verdana" w:eastAsia="Geomanist Light" w:hAnsi="Verdana" w:cs="Arial"/>
          <w:color w:val="000000" w:themeColor="text1"/>
        </w:rPr>
      </w:pPr>
    </w:p>
    <w:p w14:paraId="1CF29D73" w14:textId="77777777" w:rsidR="000E0938" w:rsidRDefault="000E0938" w:rsidP="000E0938">
      <w:pPr>
        <w:spacing w:after="0" w:line="240" w:lineRule="auto"/>
        <w:rPr>
          <w:rFonts w:ascii="Verdana" w:eastAsia="Geomanist Light" w:hAnsi="Verdana" w:cs="Arial"/>
          <w:color w:val="000000" w:themeColor="text1"/>
        </w:rPr>
      </w:pPr>
    </w:p>
    <w:p w14:paraId="228F18B3" w14:textId="77777777" w:rsidR="000E0938" w:rsidRDefault="000E0938" w:rsidP="000E0938">
      <w:pPr>
        <w:spacing w:after="0" w:line="240" w:lineRule="auto"/>
        <w:rPr>
          <w:rFonts w:ascii="Verdana" w:eastAsia="Geomanist Light" w:hAnsi="Verdana" w:cs="Arial"/>
          <w:color w:val="000000" w:themeColor="text1"/>
          <w:lang w:val="es-MX"/>
        </w:rPr>
      </w:pPr>
    </w:p>
    <w:p w14:paraId="66B34F49" w14:textId="77777777" w:rsidR="000E0938" w:rsidRDefault="000E0938" w:rsidP="000E0938">
      <w:pPr>
        <w:spacing w:after="0" w:line="240" w:lineRule="auto"/>
        <w:rPr>
          <w:rFonts w:ascii="Verdana" w:eastAsia="Geomanist Light" w:hAnsi="Verdana" w:cs="Arial"/>
          <w:color w:val="000000" w:themeColor="text1"/>
          <w:lang w:val="es-MX"/>
        </w:rPr>
      </w:pPr>
    </w:p>
    <w:p w14:paraId="07F58F92" w14:textId="77777777" w:rsidR="000E0938" w:rsidRDefault="000E0938" w:rsidP="000E0938">
      <w:pPr>
        <w:spacing w:after="0" w:line="240" w:lineRule="auto"/>
        <w:rPr>
          <w:rFonts w:ascii="Verdana" w:eastAsia="Geomanist Light" w:hAnsi="Verdana" w:cs="Arial"/>
          <w:color w:val="000000" w:themeColor="text1"/>
          <w:lang w:val="es-MX"/>
        </w:rPr>
      </w:pPr>
    </w:p>
    <w:p w14:paraId="729184AA" w14:textId="77777777" w:rsidR="000E0938" w:rsidRDefault="000E0938" w:rsidP="000E0938">
      <w:pPr>
        <w:spacing w:after="0" w:line="240" w:lineRule="auto"/>
        <w:rPr>
          <w:rFonts w:ascii="Verdana" w:eastAsia="Geomanist Light" w:hAnsi="Verdana" w:cs="Arial"/>
          <w:color w:val="000000" w:themeColor="text1"/>
          <w:lang w:val="es-MX"/>
        </w:rPr>
      </w:pPr>
    </w:p>
    <w:p w14:paraId="539B698A" w14:textId="77777777" w:rsidR="000E0938" w:rsidRDefault="000E0938" w:rsidP="000E0938">
      <w:pPr>
        <w:spacing w:after="0" w:line="240" w:lineRule="auto"/>
        <w:rPr>
          <w:rFonts w:ascii="Verdana" w:eastAsia="Geomanist Light" w:hAnsi="Verdana" w:cs="Arial"/>
          <w:color w:val="000000" w:themeColor="text1"/>
          <w:lang w:val="es-MX"/>
        </w:rPr>
      </w:pPr>
    </w:p>
    <w:p w14:paraId="0C2CAFAC" w14:textId="77777777" w:rsidR="000E0938" w:rsidRDefault="000E0938" w:rsidP="000E0938">
      <w:pPr>
        <w:spacing w:after="0" w:line="240" w:lineRule="auto"/>
        <w:rPr>
          <w:rFonts w:ascii="Verdana" w:eastAsia="Geomanist Light" w:hAnsi="Verdana" w:cs="Arial"/>
          <w:color w:val="000000" w:themeColor="text1"/>
          <w:lang w:val="es-MX"/>
        </w:rPr>
      </w:pPr>
    </w:p>
    <w:p w14:paraId="3E2310C4" w14:textId="77777777" w:rsidR="000E0938" w:rsidRDefault="000E0938" w:rsidP="00024D9C">
      <w:pPr>
        <w:spacing w:after="0" w:line="240" w:lineRule="auto"/>
        <w:rPr>
          <w:rFonts w:ascii="Verdana" w:eastAsia="Geomanist Light" w:hAnsi="Verdana" w:cs="Arial"/>
          <w:color w:val="000000" w:themeColor="text1"/>
          <w:lang w:val="es-MX"/>
        </w:rPr>
      </w:pPr>
    </w:p>
    <w:p w14:paraId="03C05D14" w14:textId="7593B210" w:rsidR="00024D9C" w:rsidRPr="00593A5F" w:rsidRDefault="00024D9C" w:rsidP="00024D9C">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B53E7C" w:rsidRPr="00B53E7C">
        <w:rPr>
          <w:rFonts w:ascii="Verdana" w:eastAsia="Geomanist Light" w:hAnsi="Verdana" w:cs="Arial"/>
          <w:color w:val="000000" w:themeColor="text1"/>
          <w:lang w:val="es-MX"/>
        </w:rPr>
        <w:t>15 de Diciembre de 2025</w:t>
      </w:r>
    </w:p>
    <w:p w14:paraId="05BF7766" w14:textId="77777777" w:rsidR="00024D9C" w:rsidRDefault="00024D9C" w:rsidP="00024D9C">
      <w:pPr>
        <w:spacing w:after="0" w:line="240" w:lineRule="auto"/>
        <w:jc w:val="both"/>
        <w:rPr>
          <w:rFonts w:ascii="Verdana" w:eastAsia="Calibri" w:hAnsi="Verdana" w:cs="Arial"/>
          <w:color w:val="000000"/>
          <w:lang w:val="es-ES"/>
        </w:rPr>
      </w:pPr>
    </w:p>
    <w:p w14:paraId="1D544133" w14:textId="3D96C18B" w:rsidR="00024D9C" w:rsidRDefault="00B53E7C" w:rsidP="00B53E7C">
      <w:pPr>
        <w:spacing w:after="0" w:line="240" w:lineRule="auto"/>
        <w:jc w:val="right"/>
        <w:rPr>
          <w:rFonts w:ascii="Verdana" w:eastAsia="Calibri" w:hAnsi="Verdana" w:cs="Arial"/>
          <w:color w:val="000000"/>
          <w:lang w:val="es-ES"/>
        </w:rPr>
      </w:pPr>
      <w:r w:rsidRPr="00B53E7C">
        <w:rPr>
          <w:rFonts w:ascii="Verdana" w:eastAsia="Calibri" w:hAnsi="Verdana" w:cs="Arial"/>
          <w:color w:val="000000"/>
          <w:lang w:val="es-ES"/>
        </w:rPr>
        <w:drawing>
          <wp:inline distT="0" distB="0" distL="0" distR="0" wp14:anchorId="5B8BD992" wp14:editId="1F269B58">
            <wp:extent cx="3238500" cy="901700"/>
            <wp:effectExtent l="0" t="0" r="0" b="0"/>
            <wp:docPr id="14548125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812565" name=""/>
                    <pic:cNvPicPr/>
                  </pic:nvPicPr>
                  <pic:blipFill>
                    <a:blip r:embed="rId10"/>
                    <a:stretch>
                      <a:fillRect/>
                    </a:stretch>
                  </pic:blipFill>
                  <pic:spPr>
                    <a:xfrm>
                      <a:off x="0" y="0"/>
                      <a:ext cx="3238500" cy="901700"/>
                    </a:xfrm>
                    <a:prstGeom prst="rect">
                      <a:avLst/>
                    </a:prstGeom>
                  </pic:spPr>
                </pic:pic>
              </a:graphicData>
            </a:graphic>
          </wp:inline>
        </w:drawing>
      </w:r>
    </w:p>
    <w:p w14:paraId="07AADBCD" w14:textId="77777777" w:rsidR="00B53E7C" w:rsidRPr="00593A5F" w:rsidRDefault="00B53E7C" w:rsidP="00024D9C">
      <w:pPr>
        <w:spacing w:after="0" w:line="240" w:lineRule="auto"/>
        <w:jc w:val="both"/>
        <w:rPr>
          <w:rFonts w:ascii="Verdana" w:eastAsia="Calibri" w:hAnsi="Verdana" w:cs="Arial"/>
          <w:color w:val="000000"/>
          <w:lang w:val="es-ES"/>
        </w:rPr>
      </w:pPr>
    </w:p>
    <w:p w14:paraId="4455FD65" w14:textId="77777777" w:rsidR="00024D9C" w:rsidRPr="00B96799" w:rsidRDefault="00024D9C" w:rsidP="00024D9C">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31E6EA8D" w14:textId="77777777" w:rsidR="00024D9C" w:rsidRPr="0085423D" w:rsidRDefault="00024D9C" w:rsidP="00024D9C">
      <w:pPr>
        <w:spacing w:after="0" w:line="240" w:lineRule="auto"/>
        <w:rPr>
          <w:rFonts w:ascii="Verdana" w:eastAsia="Calibri" w:hAnsi="Verdana" w:cs="Arial"/>
          <w:b/>
          <w:lang w:val="es-ES_tradnl" w:eastAsia="es-ES_tradnl"/>
        </w:rPr>
      </w:pPr>
      <w:r w:rsidRPr="00BC3688">
        <w:rPr>
          <w:rFonts w:ascii="Verdana" w:eastAsia="Calibri" w:hAnsi="Verdana" w:cs="Arial"/>
          <w:b/>
          <w:lang w:val="es-ES_tradnl" w:eastAsia="es-ES_tradnl"/>
        </w:rPr>
        <w:t>Ciro Antonio Piñeros Huérfano</w:t>
      </w:r>
      <w:r>
        <w:rPr>
          <w:rFonts w:ascii="Verdana" w:eastAsia="Calibri" w:hAnsi="Verdana" w:cs="Arial"/>
          <w:b/>
          <w:lang w:val="es-ES_tradnl" w:eastAsia="es-ES_tradnl"/>
        </w:rPr>
        <w:t xml:space="preserve"> </w:t>
      </w:r>
    </w:p>
    <w:p w14:paraId="02C0FB6B" w14:textId="77777777" w:rsidR="00024D9C" w:rsidRPr="00E7122F" w:rsidRDefault="00024D9C" w:rsidP="00024D9C">
      <w:pPr>
        <w:spacing w:after="0" w:line="240" w:lineRule="auto"/>
        <w:rPr>
          <w:rFonts w:ascii="Verdana" w:eastAsia="Calibri" w:hAnsi="Verdana" w:cs="Arial"/>
          <w:lang w:val="es-ES" w:eastAsia="es-ES"/>
        </w:rPr>
      </w:pPr>
      <w:hyperlink r:id="rId11" w:history="1">
        <w:r w:rsidRPr="00BC624C">
          <w:rPr>
            <w:rStyle w:val="Hipervnculo"/>
            <w:rFonts w:ascii="Verdana" w:hAnsi="Verdana"/>
          </w:rPr>
          <w:t>info@asomaroquia.gov.co</w:t>
        </w:r>
      </w:hyperlink>
      <w:r>
        <w:rPr>
          <w:rFonts w:ascii="Verdana" w:hAnsi="Verdana"/>
        </w:rPr>
        <w:t xml:space="preserve"> </w:t>
      </w:r>
      <w:r w:rsidRPr="00E7122F">
        <w:rPr>
          <w:rFonts w:ascii="Verdana" w:hAnsi="Verdana"/>
        </w:rPr>
        <w:t xml:space="preserve">            </w:t>
      </w:r>
      <w:r w:rsidRPr="00E7122F">
        <w:rPr>
          <w:rFonts w:ascii="Verdana" w:eastAsia="Calibri" w:hAnsi="Verdana" w:cs="Arial"/>
          <w:lang w:val="es-ES" w:eastAsia="es-ES"/>
        </w:rPr>
        <w:t xml:space="preserve">    </w:t>
      </w:r>
    </w:p>
    <w:p w14:paraId="4079E354" w14:textId="77777777" w:rsidR="00024D9C" w:rsidRDefault="00024D9C" w:rsidP="00024D9C">
      <w:pPr>
        <w:spacing w:after="0" w:line="240" w:lineRule="auto"/>
        <w:rPr>
          <w:rFonts w:ascii="Verdana" w:eastAsia="Calibri" w:hAnsi="Verdana" w:cs="Arial"/>
          <w:lang w:val="es-ES" w:eastAsia="es-ES"/>
        </w:rPr>
      </w:pPr>
      <w:r w:rsidRPr="006E20D8">
        <w:rPr>
          <w:rFonts w:ascii="Verdana" w:eastAsia="Calibri" w:hAnsi="Verdana" w:cs="Arial"/>
          <w:lang w:val="es-ES" w:eastAsia="es-ES"/>
        </w:rPr>
        <w:t>Villavicencio</w:t>
      </w:r>
      <w:r>
        <w:rPr>
          <w:rFonts w:ascii="Verdana" w:eastAsia="Calibri" w:hAnsi="Verdana" w:cs="Arial"/>
          <w:lang w:val="es-ES" w:eastAsia="es-ES"/>
        </w:rPr>
        <w:t xml:space="preserve">, Meta </w:t>
      </w:r>
    </w:p>
    <w:p w14:paraId="1F12F4D9" w14:textId="77777777" w:rsidR="00024D9C" w:rsidRPr="00593A5F" w:rsidRDefault="00024D9C" w:rsidP="00024D9C">
      <w:pPr>
        <w:spacing w:after="0" w:line="240" w:lineRule="auto"/>
        <w:rPr>
          <w:rFonts w:ascii="Verdana" w:eastAsia="Calibri" w:hAnsi="Verdana" w:cs="Arial"/>
          <w:b/>
          <w:bCs/>
          <w:color w:val="000000"/>
          <w:lang w:val="es-ES_tradnl" w:eastAsia="es-ES_tradnl"/>
        </w:rPr>
      </w:pPr>
    </w:p>
    <w:p w14:paraId="3547DF75" w14:textId="77777777" w:rsidR="00024D9C" w:rsidRPr="00593A5F" w:rsidRDefault="00024D9C" w:rsidP="00024D9C">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24D9C" w:rsidRPr="00593A5F" w14:paraId="585469A8" w14:textId="77777777" w:rsidTr="00A05B86">
        <w:trPr>
          <w:trHeight w:val="884"/>
        </w:trPr>
        <w:tc>
          <w:tcPr>
            <w:tcW w:w="2689" w:type="dxa"/>
          </w:tcPr>
          <w:p w14:paraId="21544EF1" w14:textId="77777777" w:rsidR="00024D9C" w:rsidRPr="00C00976" w:rsidRDefault="00024D9C" w:rsidP="00A05B86">
            <w:pPr>
              <w:jc w:val="both"/>
              <w:rPr>
                <w:rFonts w:ascii="Verdana" w:eastAsia="Calibri" w:hAnsi="Verdana" w:cs="Arial"/>
                <w:b/>
                <w:bCs/>
                <w:color w:val="7030A0"/>
                <w:lang w:val="es-ES_tradnl" w:eastAsia="es-ES_tradnl"/>
              </w:rPr>
            </w:pPr>
          </w:p>
        </w:tc>
        <w:tc>
          <w:tcPr>
            <w:tcW w:w="6100" w:type="dxa"/>
          </w:tcPr>
          <w:p w14:paraId="3A65394F" w14:textId="77777777" w:rsidR="00024D9C" w:rsidRPr="00C00976" w:rsidRDefault="00024D9C" w:rsidP="00A05B86">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1801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024D9C" w:rsidRPr="00593A5F" w14:paraId="04E3FFA9" w14:textId="77777777" w:rsidTr="00A05B86">
        <w:trPr>
          <w:trHeight w:val="884"/>
        </w:trPr>
        <w:tc>
          <w:tcPr>
            <w:tcW w:w="2689" w:type="dxa"/>
          </w:tcPr>
          <w:p w14:paraId="396649B1" w14:textId="77777777" w:rsidR="00024D9C" w:rsidRPr="00593A5F" w:rsidRDefault="00024D9C" w:rsidP="00A05B8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425E837" w14:textId="77777777" w:rsidR="00024D9C" w:rsidRPr="00A11406" w:rsidRDefault="00024D9C" w:rsidP="00A05B86">
            <w:pPr>
              <w:spacing w:line="276" w:lineRule="auto"/>
              <w:jc w:val="both"/>
              <w:rPr>
                <w:rFonts w:ascii="Verdana" w:eastAsia="Calibri" w:hAnsi="Verdana" w:cs="Arial"/>
                <w:lang w:val="es-ES" w:eastAsia="es-ES"/>
              </w:rPr>
            </w:pPr>
            <w:r w:rsidRPr="00585B8F">
              <w:rPr>
                <w:rFonts w:ascii="Verdana" w:eastAsia="Calibri" w:hAnsi="Verdana" w:cs="Arial"/>
                <w:lang w:val="es-ES" w:eastAsia="es-ES"/>
              </w:rPr>
              <w:t>LEY DE GARANTÍAS ELECTORALES ‒ Finalidad / LEY DE GARANTÍAS ELECTORALES ‒ Tipos de restricciones ‒ Ámbito temporal – celebración</w:t>
            </w:r>
            <w:r>
              <w:rPr>
                <w:rFonts w:ascii="Verdana" w:eastAsia="Calibri" w:hAnsi="Verdana" w:cs="Arial"/>
                <w:lang w:val="es-ES" w:eastAsia="es-ES"/>
              </w:rPr>
              <w:t xml:space="preserve"> –</w:t>
            </w:r>
            <w:r w:rsidRPr="00585B8F">
              <w:rPr>
                <w:rFonts w:ascii="Verdana" w:eastAsia="Calibri" w:hAnsi="Verdana" w:cs="Arial"/>
                <w:lang w:val="es-ES" w:eastAsia="es-ES"/>
              </w:rPr>
              <w:t xml:space="preserve"> límite / LEY DE GARANTÍAS ELECTORALES – Contratos y convenios interadministrativos – Criterio orgánico / CONTRATOS Y CONVENIOS INTERADMINISTRATIVOS – Definición – Criterio orgánico</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5D4A4272" w14:textId="77777777" w:rsidR="00024D9C" w:rsidRPr="00593A5F" w:rsidRDefault="00024D9C" w:rsidP="00A05B86">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024D9C" w:rsidRPr="008E6AD9" w14:paraId="23903E80" w14:textId="77777777" w:rsidTr="00A05B86">
        <w:tc>
          <w:tcPr>
            <w:tcW w:w="2689" w:type="dxa"/>
          </w:tcPr>
          <w:p w14:paraId="39D3AD9E" w14:textId="77777777" w:rsidR="00024D9C" w:rsidRPr="008E6AD9" w:rsidRDefault="00024D9C" w:rsidP="00A05B86">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8B85B39" w14:textId="77777777" w:rsidR="00024D9C" w:rsidRPr="00B92340" w:rsidRDefault="00024D9C" w:rsidP="00A05B86">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C9169D">
              <w:rPr>
                <w:rFonts w:ascii="Verdana" w:eastAsia="Calibri" w:hAnsi="Verdana" w:cs="Arial"/>
                <w:lang w:val="es-ES_tradnl" w:eastAsia="es-ES_tradnl"/>
              </w:rPr>
              <w:t>1_2025_12_05_013739</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6FBA6F17" w14:textId="77777777" w:rsidR="00024D9C" w:rsidRPr="00593A5F" w:rsidRDefault="00024D9C" w:rsidP="00024D9C">
      <w:pPr>
        <w:spacing w:after="0" w:line="240" w:lineRule="auto"/>
        <w:jc w:val="both"/>
        <w:rPr>
          <w:rFonts w:ascii="Verdana" w:eastAsia="Calibri" w:hAnsi="Verdana" w:cs="Arial"/>
          <w:color w:val="000000"/>
          <w:lang w:val="es-ES_tradnl" w:eastAsia="es-ES_tradnl"/>
        </w:rPr>
      </w:pPr>
    </w:p>
    <w:p w14:paraId="5E44C734" w14:textId="77777777" w:rsidR="00024D9C" w:rsidRPr="00593A5F" w:rsidRDefault="00024D9C" w:rsidP="00024D9C">
      <w:pPr>
        <w:spacing w:after="0" w:line="240" w:lineRule="auto"/>
        <w:jc w:val="both"/>
        <w:rPr>
          <w:rFonts w:ascii="Verdana" w:eastAsia="Calibri" w:hAnsi="Verdana" w:cs="Arial"/>
          <w:color w:val="000000"/>
          <w:lang w:val="es-ES_tradnl" w:eastAsia="es-ES_tradnl"/>
        </w:rPr>
      </w:pPr>
    </w:p>
    <w:p w14:paraId="0F9B0DDB" w14:textId="77777777" w:rsidR="00024D9C" w:rsidRPr="008E6AD9" w:rsidRDefault="00024D9C" w:rsidP="00024D9C">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A80B9D">
        <w:rPr>
          <w:rFonts w:ascii="Verdana" w:eastAsia="Calibri" w:hAnsi="Verdana" w:cs="Arial"/>
          <w:lang w:val="es-ES" w:eastAsia="es-ES"/>
        </w:rPr>
        <w:t>Piñeros Huérfano</w:t>
      </w:r>
      <w:r w:rsidRPr="008E6AD9">
        <w:rPr>
          <w:rFonts w:ascii="Verdana" w:eastAsia="Calibri" w:hAnsi="Verdana" w:cs="Arial"/>
          <w:lang w:val="es-ES" w:eastAsia="es-ES"/>
        </w:rPr>
        <w:t xml:space="preserve">: </w:t>
      </w:r>
    </w:p>
    <w:p w14:paraId="4A6F369E" w14:textId="77777777" w:rsidR="00024D9C" w:rsidRDefault="00024D9C" w:rsidP="00024D9C">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78F1DBF" w14:textId="77777777" w:rsidR="00024D9C" w:rsidRPr="00593A5F" w:rsidRDefault="00024D9C" w:rsidP="00024D9C">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20 de octubre de 2025 al Departamento Administrativo de la Función Pública</w:t>
      </w:r>
      <w:r w:rsidRPr="008E6AD9">
        <w:rPr>
          <w:rFonts w:ascii="Verdana" w:eastAsia="Calibri" w:hAnsi="Verdana" w:cs="Arial"/>
          <w:lang w:val="es-ES" w:eastAsia="es-ES"/>
        </w:rPr>
        <w:t>,</w:t>
      </w:r>
      <w:r>
        <w:rPr>
          <w:rFonts w:ascii="Verdana" w:eastAsia="Calibri" w:hAnsi="Verdana" w:cs="Arial"/>
          <w:lang w:val="es-ES" w:eastAsia="es-ES"/>
        </w:rPr>
        <w:t xml:space="preserve"> la cual –conforme al artículo 21 de la Ley 1437 de 2011– fue </w:t>
      </w:r>
      <w:r>
        <w:rPr>
          <w:rFonts w:ascii="Verdana" w:eastAsia="Calibri" w:hAnsi="Verdana" w:cs="Arial"/>
          <w:lang w:val="es-ES" w:eastAsia="es-ES"/>
        </w:rPr>
        <w:lastRenderedPageBreak/>
        <w:t>remitida por competencia a esta entidad mediante correo electrónico del 5 de diciembre de 2025, donde pregunta lo siguiente</w:t>
      </w:r>
      <w:r w:rsidRPr="008E6AD9">
        <w:rPr>
          <w:rFonts w:ascii="Verdana" w:eastAsia="Calibri" w:hAnsi="Verdana" w:cs="Arial"/>
          <w:lang w:val="es-ES" w:eastAsia="es-ES"/>
        </w:rPr>
        <w:t xml:space="preserve">: </w:t>
      </w:r>
    </w:p>
    <w:p w14:paraId="3874F3C4" w14:textId="77777777" w:rsidR="00024D9C" w:rsidRPr="00272A7B" w:rsidRDefault="00024D9C" w:rsidP="00024D9C">
      <w:pPr>
        <w:pStyle w:val="Prrafodelista"/>
        <w:tabs>
          <w:tab w:val="left" w:pos="142"/>
          <w:tab w:val="left" w:pos="284"/>
        </w:tabs>
        <w:spacing w:after="0" w:line="276" w:lineRule="auto"/>
        <w:ind w:left="0"/>
        <w:jc w:val="both"/>
        <w:rPr>
          <w:rFonts w:ascii="Verdana" w:eastAsia="Century Gothic" w:hAnsi="Verdana" w:cs="Century Gothic"/>
          <w:b/>
          <w:bCs/>
        </w:rPr>
      </w:pPr>
    </w:p>
    <w:p w14:paraId="79B875B3" w14:textId="77777777" w:rsidR="00024D9C" w:rsidRPr="00ED6245" w:rsidRDefault="00024D9C" w:rsidP="00024D9C">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ED6245">
        <w:rPr>
          <w:rFonts w:ascii="Verdana" w:eastAsia="Century Gothic" w:hAnsi="Verdana" w:cs="Century Gothic"/>
          <w:sz w:val="20"/>
          <w:szCs w:val="20"/>
          <w:lang w:val="es-ES"/>
        </w:rPr>
        <w:t xml:space="preserve">1. ¿Cuál es el criterio jurisprudencial que debe aplicarse para determinar si un contrato o convenio se encuentra dentro de las excepciones de la Ley de Garantías, en especial en lo referente a las emergencias educativas, sanitarias y desastres, entre otras? </w:t>
      </w:r>
    </w:p>
    <w:p w14:paraId="34884984" w14:textId="77777777" w:rsidR="00024D9C" w:rsidRPr="00ED6245" w:rsidRDefault="00024D9C" w:rsidP="00024D9C">
      <w:pPr>
        <w:spacing w:after="120" w:line="240" w:lineRule="auto"/>
        <w:ind w:left="709" w:right="709"/>
        <w:jc w:val="both"/>
        <w:rPr>
          <w:rFonts w:ascii="Verdana" w:eastAsia="Century Gothic" w:hAnsi="Verdana" w:cs="Century Gothic"/>
          <w:sz w:val="20"/>
          <w:szCs w:val="20"/>
          <w:lang w:val="es-ES"/>
        </w:rPr>
      </w:pPr>
      <w:r w:rsidRPr="00ED6245">
        <w:rPr>
          <w:rFonts w:ascii="Verdana" w:eastAsia="Century Gothic" w:hAnsi="Verdana" w:cs="Century Gothic"/>
          <w:sz w:val="20"/>
          <w:szCs w:val="20"/>
          <w:lang w:val="es-ES"/>
        </w:rPr>
        <w:t xml:space="preserve">2. ¿Los Esquemas Asociativos Territoriales -EAT-, en tanto que son la unión de entidades estatales, pueden acogerse a las excepciones establecidas en la Ley de Garantías Electorales para la suscripción de convenios interadministrativos? </w:t>
      </w:r>
    </w:p>
    <w:p w14:paraId="6B791F99" w14:textId="77777777" w:rsidR="00024D9C" w:rsidRDefault="00024D9C" w:rsidP="00024D9C">
      <w:pPr>
        <w:spacing w:after="120" w:line="240" w:lineRule="auto"/>
        <w:ind w:left="709" w:right="709"/>
        <w:jc w:val="both"/>
        <w:rPr>
          <w:rFonts w:ascii="Verdana" w:eastAsia="Century Gothic" w:hAnsi="Verdana" w:cs="Century Gothic"/>
          <w:sz w:val="20"/>
          <w:szCs w:val="20"/>
          <w:lang w:val="es-ES"/>
        </w:rPr>
      </w:pPr>
      <w:r w:rsidRPr="00ED6245">
        <w:rPr>
          <w:rFonts w:ascii="Verdana" w:eastAsia="Century Gothic" w:hAnsi="Verdana" w:cs="Century Gothic"/>
          <w:sz w:val="20"/>
          <w:szCs w:val="20"/>
          <w:lang w:val="es-ES"/>
        </w:rPr>
        <w:t>3. ¿Qué límites debe observar los EAT al celebrar convenios interadministrativos que incluyan cláusulas sobre las excepciones de la Ley de Garantías, con el objetivo de no desvirtuar el propósito de la norma y asegurar la imparcialidad en el proceso electoral?</w:t>
      </w:r>
    </w:p>
    <w:p w14:paraId="20BE17D6" w14:textId="77777777" w:rsidR="00024D9C" w:rsidRPr="00562811" w:rsidRDefault="00024D9C" w:rsidP="00024D9C">
      <w:pPr>
        <w:spacing w:after="120" w:line="240" w:lineRule="auto"/>
        <w:ind w:left="709" w:right="709"/>
        <w:jc w:val="both"/>
        <w:rPr>
          <w:rFonts w:ascii="Verdana" w:eastAsia="Century Gothic" w:hAnsi="Verdana" w:cs="Century Gothic"/>
          <w:sz w:val="20"/>
          <w:szCs w:val="20"/>
          <w:lang w:val="es-ES"/>
        </w:rPr>
      </w:pPr>
      <w:r w:rsidRPr="00562811">
        <w:rPr>
          <w:rFonts w:ascii="Verdana" w:eastAsia="Century Gothic" w:hAnsi="Verdana" w:cs="Century Gothic"/>
          <w:sz w:val="20"/>
          <w:szCs w:val="20"/>
          <w:lang w:val="es-ES"/>
        </w:rPr>
        <w:t xml:space="preserve">4. ¿Qué criterios deben considerar los EAT para justificar que un convenio interadministrativo se enmarca en una de las excepciones de la Ley de Garantías y así evitar la suspensión de proyectos necesarios durante los periodos electorales?  </w:t>
      </w:r>
    </w:p>
    <w:p w14:paraId="37A52BC2" w14:textId="77777777" w:rsidR="00024D9C" w:rsidRPr="00562811" w:rsidRDefault="00024D9C" w:rsidP="00024D9C">
      <w:pPr>
        <w:spacing w:after="120" w:line="240" w:lineRule="auto"/>
        <w:ind w:left="709" w:right="709"/>
        <w:jc w:val="both"/>
        <w:rPr>
          <w:rFonts w:ascii="Verdana" w:eastAsia="Century Gothic" w:hAnsi="Verdana" w:cs="Century Gothic"/>
          <w:sz w:val="20"/>
          <w:szCs w:val="20"/>
          <w:lang w:val="es-ES"/>
        </w:rPr>
      </w:pPr>
      <w:r w:rsidRPr="00562811">
        <w:rPr>
          <w:rFonts w:ascii="Verdana" w:eastAsia="Century Gothic" w:hAnsi="Verdana" w:cs="Century Gothic"/>
          <w:sz w:val="20"/>
          <w:szCs w:val="20"/>
          <w:lang w:val="es-ES"/>
        </w:rPr>
        <w:t xml:space="preserve">5. ¿Cuál es el alcance de las excepciones, especialmente en lo relativo a las "emergencias educativas, sanitarias y desastres", para efectos de la suscripción de convenios interadministrativos por parte de los EAT? </w:t>
      </w:r>
    </w:p>
    <w:p w14:paraId="568C8219" w14:textId="77777777" w:rsidR="00024D9C" w:rsidRPr="00562811" w:rsidRDefault="00024D9C" w:rsidP="00024D9C">
      <w:pPr>
        <w:spacing w:after="120" w:line="240" w:lineRule="auto"/>
        <w:ind w:left="709" w:right="709"/>
        <w:jc w:val="both"/>
        <w:rPr>
          <w:rFonts w:ascii="Verdana" w:eastAsia="Century Gothic" w:hAnsi="Verdana" w:cs="Century Gothic"/>
          <w:sz w:val="20"/>
          <w:szCs w:val="20"/>
          <w:lang w:val="es-ES"/>
        </w:rPr>
      </w:pPr>
      <w:r w:rsidRPr="00562811">
        <w:rPr>
          <w:rFonts w:ascii="Verdana" w:eastAsia="Century Gothic" w:hAnsi="Verdana" w:cs="Century Gothic"/>
          <w:sz w:val="20"/>
          <w:szCs w:val="20"/>
          <w:lang w:val="es-ES"/>
        </w:rPr>
        <w:t xml:space="preserve">6. ¿Cuáles entidades públicas o Fondos Públicos descentralizados del orden nacional no aplicarían la ley de garantías electorales a partir del próximo 8 de noviembre de 2025?, solamente empezaría a aplicar para las elecciones presidenciales a partir del 31 de enero de 2026? </w:t>
      </w:r>
    </w:p>
    <w:p w14:paraId="6767E401" w14:textId="77777777" w:rsidR="00024D9C" w:rsidRPr="00562811" w:rsidRDefault="00024D9C" w:rsidP="00024D9C">
      <w:pPr>
        <w:spacing w:after="120" w:line="240" w:lineRule="auto"/>
        <w:ind w:left="709" w:right="709"/>
        <w:jc w:val="both"/>
        <w:rPr>
          <w:rFonts w:ascii="Verdana" w:eastAsia="Century Gothic" w:hAnsi="Verdana" w:cs="Century Gothic"/>
          <w:sz w:val="20"/>
          <w:szCs w:val="20"/>
          <w:lang w:val="es-ES"/>
        </w:rPr>
      </w:pPr>
      <w:r w:rsidRPr="00562811">
        <w:rPr>
          <w:rFonts w:ascii="Verdana" w:eastAsia="Century Gothic" w:hAnsi="Verdana" w:cs="Century Gothic"/>
          <w:sz w:val="20"/>
          <w:szCs w:val="20"/>
          <w:lang w:val="es-ES"/>
        </w:rPr>
        <w:t xml:space="preserve">7. ¿Cómo deben las entidades estatales justificar la necesidad de aplicar una excepción a la Ley de Garantías para un caso específico, de tal manera que dicha justificación sea suficiente para evitar posibles investigaciones por parte de los organismos de control? </w:t>
      </w:r>
    </w:p>
    <w:p w14:paraId="17A2DBEC" w14:textId="77777777" w:rsidR="00024D9C" w:rsidRPr="001904AF" w:rsidRDefault="00024D9C" w:rsidP="00024D9C">
      <w:pPr>
        <w:spacing w:after="0" w:line="240" w:lineRule="auto"/>
        <w:ind w:left="709" w:right="709"/>
        <w:jc w:val="both"/>
        <w:rPr>
          <w:rFonts w:ascii="Verdana" w:eastAsia="Century Gothic" w:hAnsi="Verdana" w:cs="Century Gothic"/>
          <w:sz w:val="20"/>
          <w:szCs w:val="20"/>
          <w:lang w:val="es-ES"/>
        </w:rPr>
      </w:pPr>
      <w:r w:rsidRPr="00562811">
        <w:rPr>
          <w:rFonts w:ascii="Verdana" w:eastAsia="Century Gothic" w:hAnsi="Verdana" w:cs="Century Gothic"/>
          <w:sz w:val="20"/>
          <w:szCs w:val="20"/>
          <w:lang w:val="es-ES"/>
        </w:rPr>
        <w:t>8. Los proyectos aprobados por la Instancia de Decisión de Pueblos y Comunidades Indígenas (IDPCI) se financian con recursos del Sistema General de Regalías (SGR), principalmente de la Asignación para la Inversión Local y las Asignaciones Directas. ¿Podrán los EAT suscribir convenios interadministrativos durante el periodo electoral, sin restricción de la ley de garantías para ejecutar este tipo de proyectos del IDPCI?</w:t>
      </w:r>
      <w:r w:rsidRPr="001904AF">
        <w:rPr>
          <w:rFonts w:ascii="Verdana" w:eastAsia="Century Gothic" w:hAnsi="Verdana" w:cs="Century Gothic"/>
          <w:sz w:val="20"/>
          <w:szCs w:val="20"/>
          <w:lang w:val="es-ES"/>
        </w:rPr>
        <w:t>”.</w:t>
      </w:r>
    </w:p>
    <w:p w14:paraId="5DDBB33E" w14:textId="77777777" w:rsidR="00024D9C" w:rsidRPr="008E6AD9" w:rsidRDefault="00024D9C" w:rsidP="00024D9C">
      <w:pPr>
        <w:pStyle w:val="Prrafodelista"/>
        <w:tabs>
          <w:tab w:val="left" w:pos="142"/>
          <w:tab w:val="left" w:pos="284"/>
        </w:tabs>
        <w:spacing w:after="0" w:line="276" w:lineRule="auto"/>
        <w:ind w:left="0"/>
        <w:jc w:val="both"/>
        <w:rPr>
          <w:rFonts w:ascii="Verdana" w:eastAsia="Century Gothic" w:hAnsi="Verdana" w:cs="Century Gothic"/>
          <w:b/>
          <w:bCs/>
        </w:rPr>
      </w:pPr>
    </w:p>
    <w:p w14:paraId="50782871" w14:textId="77777777" w:rsidR="00024D9C" w:rsidRPr="00A652FF" w:rsidRDefault="00024D9C" w:rsidP="00024D9C">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w:t>
      </w:r>
      <w:r w:rsidRPr="00593A5F">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CB44581" w14:textId="77777777" w:rsidR="00024D9C" w:rsidRDefault="00024D9C" w:rsidP="00024D9C">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1ADB2029" w14:textId="77777777" w:rsidR="00024D9C" w:rsidRPr="00593A5F" w:rsidRDefault="00024D9C" w:rsidP="00024D9C">
      <w:pPr>
        <w:spacing w:after="0" w:line="276" w:lineRule="auto"/>
        <w:ind w:firstLine="709"/>
        <w:jc w:val="both"/>
        <w:rPr>
          <w:rFonts w:ascii="Verdana" w:eastAsia="Calibri" w:hAnsi="Verdana" w:cs="Arial"/>
          <w:color w:val="000000"/>
          <w:lang w:val="es-ES" w:eastAsia="es-ES"/>
        </w:rPr>
      </w:pPr>
    </w:p>
    <w:p w14:paraId="636D8482" w14:textId="77777777" w:rsidR="00024D9C" w:rsidRPr="00593A5F" w:rsidRDefault="00024D9C" w:rsidP="00024D9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B81513B" w14:textId="77777777" w:rsidR="00024D9C" w:rsidRPr="00593A5F" w:rsidRDefault="00024D9C" w:rsidP="00024D9C">
      <w:pPr>
        <w:tabs>
          <w:tab w:val="left" w:pos="426"/>
        </w:tabs>
        <w:spacing w:after="0" w:line="276" w:lineRule="auto"/>
        <w:jc w:val="both"/>
        <w:rPr>
          <w:rFonts w:ascii="Verdana" w:eastAsia="Century Gothic" w:hAnsi="Verdana" w:cs="Century Gothic"/>
          <w:lang w:val="es-ES"/>
        </w:rPr>
      </w:pPr>
    </w:p>
    <w:p w14:paraId="2B1634C1" w14:textId="77777777" w:rsidR="00024D9C" w:rsidRPr="00593A5F" w:rsidRDefault="00024D9C" w:rsidP="00024D9C">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 es el marco normativo para interpretación general de las restricciones previstas en los artículos 33 y 38 de la Ley 996 de 2005?</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0DF28E62" w14:textId="77777777" w:rsidR="00024D9C" w:rsidRPr="004B140F" w:rsidRDefault="00024D9C" w:rsidP="00024D9C">
      <w:pPr>
        <w:spacing w:after="0" w:line="276" w:lineRule="auto"/>
        <w:jc w:val="both"/>
        <w:rPr>
          <w:rFonts w:ascii="Verdana" w:eastAsia="Calibri" w:hAnsi="Verdana" w:cs="Arial"/>
          <w:color w:val="7030A0"/>
        </w:rPr>
      </w:pPr>
    </w:p>
    <w:p w14:paraId="2D4CF6E8" w14:textId="77777777" w:rsidR="00024D9C" w:rsidRPr="00593A5F" w:rsidRDefault="00024D9C" w:rsidP="00024D9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CA8E9AF" w14:textId="77777777" w:rsidR="00024D9C" w:rsidRPr="00593A5F" w:rsidRDefault="00024D9C" w:rsidP="00024D9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24D9C" w:rsidRPr="00593A5F" w14:paraId="25AB24C6" w14:textId="77777777" w:rsidTr="00A05B86">
        <w:trPr>
          <w:jc w:val="center"/>
        </w:trPr>
        <w:tc>
          <w:tcPr>
            <w:tcW w:w="8828" w:type="dxa"/>
            <w:shd w:val="clear" w:color="auto" w:fill="auto"/>
          </w:tcPr>
          <w:p w14:paraId="7719E2BF" w14:textId="77777777" w:rsidR="00024D9C" w:rsidRDefault="00024D9C" w:rsidP="00A05B86">
            <w:pPr>
              <w:spacing w:line="276" w:lineRule="auto"/>
              <w:jc w:val="both"/>
              <w:rPr>
                <w:rFonts w:ascii="Verdana" w:eastAsia="Arial" w:hAnsi="Verdana" w:cs="Arial"/>
                <w:lang w:val="es-MX" w:eastAsia="es-ES" w:bidi="es-ES"/>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 xml:space="preserve">, </w:t>
            </w:r>
            <w:r w:rsidRPr="009526D1">
              <w:rPr>
                <w:rFonts w:ascii="Verdana" w:eastAsia="Arial" w:hAnsi="Verdana" w:cs="Arial"/>
                <w:lang w:val="es-MX" w:eastAsia="es-ES" w:bidi="es-ES"/>
              </w:rPr>
              <w:t>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Arial" w:hAnsi="Verdana" w:cs="Arial"/>
                <w:lang w:val="es-MX" w:eastAsia="es-ES" w:bidi="es-ES"/>
              </w:rPr>
              <w:t>.</w:t>
            </w:r>
          </w:p>
          <w:p w14:paraId="371CA31D" w14:textId="77777777" w:rsidR="00024D9C" w:rsidRDefault="00024D9C" w:rsidP="00A05B86">
            <w:pPr>
              <w:spacing w:before="120" w:line="276" w:lineRule="auto"/>
              <w:jc w:val="both"/>
              <w:rPr>
                <w:rFonts w:ascii="Verdana" w:eastAsia="Arial" w:hAnsi="Verdana" w:cs="Arial"/>
                <w:lang w:val="es-MX" w:eastAsia="es-ES" w:bidi="es-ES"/>
              </w:rPr>
            </w:pPr>
            <w:r>
              <w:rPr>
                <w:rFonts w:ascii="Verdana" w:eastAsia="Arial" w:hAnsi="Verdana" w:cs="Arial"/>
                <w:lang w:val="es-MX" w:eastAsia="es-ES" w:bidi="es-ES"/>
              </w:rPr>
              <w:tab/>
              <w:t>E</w:t>
            </w:r>
            <w:r w:rsidRPr="009526D1">
              <w:rPr>
                <w:rFonts w:ascii="Verdana" w:eastAsia="Arial" w:hAnsi="Verdana" w:cs="Arial"/>
                <w:lang w:val="es-MX" w:eastAsia="es-ES" w:bidi="es-ES"/>
              </w:rPr>
              <w:t xml:space="preserve">l artículo 33 de la Ley 996 de 2005 señala expresamente a los destinatarios de la prohibición, en el sentido de que son “todos los entes del </w:t>
            </w:r>
            <w:r w:rsidRPr="009526D1">
              <w:rPr>
                <w:rFonts w:ascii="Verdana" w:eastAsia="Arial" w:hAnsi="Verdana" w:cs="Arial"/>
                <w:lang w:val="es-MX" w:eastAsia="es-ES" w:bidi="es-ES"/>
              </w:rPr>
              <w:lastRenderedPageBreak/>
              <w:t>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60AA4E66" w14:textId="77777777" w:rsidR="00024D9C" w:rsidRPr="000955E3" w:rsidRDefault="00024D9C" w:rsidP="00A05B86">
            <w:pPr>
              <w:spacing w:before="120" w:line="276" w:lineRule="auto"/>
              <w:ind w:firstLine="708"/>
              <w:jc w:val="both"/>
              <w:rPr>
                <w:rFonts w:ascii="Verdana" w:eastAsia="Times New Roman" w:hAnsi="Verdana" w:cs="Arial"/>
                <w:lang w:val="es-MX" w:eastAsia="es-CO"/>
              </w:rPr>
            </w:pPr>
            <w:r>
              <w:rPr>
                <w:rFonts w:ascii="Verdana" w:eastAsia="Times New Roman" w:hAnsi="Verdana" w:cs="Arial"/>
                <w:lang w:val="es-MX" w:eastAsia="es-CO"/>
              </w:rPr>
              <w:t xml:space="preserve">Por su parte, </w:t>
            </w:r>
            <w:r w:rsidRPr="000955E3">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0955E3">
              <w:rPr>
                <w:rFonts w:ascii="Verdana" w:eastAsia="Times New Roman" w:hAnsi="Verdana" w:cs="Arial"/>
                <w:i/>
                <w:iCs/>
                <w:lang w:val="es-MX" w:eastAsia="es-CO"/>
              </w:rPr>
              <w:t>convenios interadministrativos</w:t>
            </w:r>
            <w:r w:rsidRPr="000955E3">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0955E3">
              <w:rPr>
                <w:rFonts w:ascii="Verdana" w:eastAsia="Times New Roman" w:hAnsi="Verdana" w:cs="Arial"/>
                <w:i/>
                <w:lang w:val="es-MX" w:eastAsia="es-CO"/>
              </w:rPr>
              <w:t>ibidem</w:t>
            </w:r>
            <w:r w:rsidRPr="000955E3">
              <w:rPr>
                <w:rFonts w:ascii="Verdana" w:eastAsia="Times New Roman" w:hAnsi="Verdana" w:cs="Arial"/>
                <w:lang w:val="es-MX" w:eastAsia="es-CO"/>
              </w:rPr>
              <w:t xml:space="preserve">, no podrá celebrar tales </w:t>
            </w:r>
            <w:r w:rsidRPr="000955E3">
              <w:rPr>
                <w:rFonts w:ascii="Verdana" w:eastAsia="Times New Roman" w:hAnsi="Verdana" w:cs="Arial"/>
                <w:i/>
                <w:iCs/>
                <w:lang w:val="es-MX" w:eastAsia="es-CO"/>
              </w:rPr>
              <w:t>convenios</w:t>
            </w:r>
            <w:r w:rsidRPr="000955E3">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008E881C" w14:textId="77777777" w:rsidR="00024D9C" w:rsidRDefault="00024D9C" w:rsidP="00A05B86">
            <w:pPr>
              <w:spacing w:before="120" w:line="276" w:lineRule="auto"/>
              <w:ind w:firstLine="708"/>
              <w:jc w:val="both"/>
              <w:rPr>
                <w:rFonts w:ascii="Verdana" w:eastAsia="Times New Roman" w:hAnsi="Verdana" w:cs="Arial"/>
                <w:lang w:eastAsia="es-CO"/>
              </w:rPr>
            </w:pPr>
            <w:r w:rsidRPr="000955E3">
              <w:rPr>
                <w:rFonts w:ascii="Verdana" w:eastAsia="Times New Roman" w:hAnsi="Verdana" w:cs="Arial"/>
                <w:lang w:val="es-MX" w:eastAsia="es-CO"/>
              </w:rPr>
              <w:t>Respecto del alcance de esta prohibición la Circular Externa No. 006 de 2025 expedida por la ANCP-CCE, en los literales ii) y iv) del numeral 2</w:t>
            </w:r>
            <w:r w:rsidRPr="000955E3">
              <w:rPr>
                <w:rFonts w:ascii="Verdana" w:eastAsia="Times New Roman" w:hAnsi="Verdana" w:cs="Arial"/>
                <w:lang w:eastAsia="es-CO"/>
              </w:rPr>
              <w:t>,</w:t>
            </w:r>
            <w:r w:rsidRPr="000955E3">
              <w:rPr>
                <w:rFonts w:ascii="Verdana" w:eastAsia="Times New Roman" w:hAnsi="Verdana" w:cs="Arial"/>
                <w:lang w:val="es-MX" w:eastAsia="es-CO"/>
              </w:rPr>
              <w:t xml:space="preserve"> indica que el </w:t>
            </w:r>
            <w:r w:rsidRPr="000955E3">
              <w:rPr>
                <w:rFonts w:ascii="Verdana" w:eastAsia="Times New Roman" w:hAnsi="Verdana" w:cs="Arial"/>
                <w:lang w:eastAsia="es-CO"/>
              </w:rPr>
              <w:t xml:space="preserve">parágrafo del artículo 38 de la Ley 996 de 2005 cobija expresamente a los </w:t>
            </w:r>
            <w:r w:rsidRPr="000955E3">
              <w:rPr>
                <w:rFonts w:ascii="Verdana" w:eastAsia="Times New Roman" w:hAnsi="Verdana" w:cs="Arial"/>
                <w:i/>
                <w:iCs/>
                <w:lang w:eastAsia="es-CO"/>
              </w:rPr>
              <w:t>convenios interadministrativos</w:t>
            </w:r>
            <w:r w:rsidRPr="000955E3">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0955E3">
              <w:rPr>
                <w:rFonts w:ascii="Verdana" w:eastAsia="Times New Roman" w:hAnsi="Verdana" w:cs="Arial"/>
                <w:i/>
                <w:iCs/>
                <w:lang w:eastAsia="es-CO"/>
              </w:rPr>
              <w:t>“aunque se configure alguno de los supuestos de excepción que señaló el inciso final del artículo 33”.</w:t>
            </w:r>
            <w:r w:rsidRPr="000955E3">
              <w:rPr>
                <w:rFonts w:ascii="Verdana" w:eastAsia="Times New Roman" w:hAnsi="Verdana" w:cs="Arial"/>
                <w:lang w:eastAsia="es-CO"/>
              </w:rPr>
              <w:t xml:space="preserve"> </w:t>
            </w:r>
            <w:r w:rsidRPr="00DC206C">
              <w:rPr>
                <w:rFonts w:ascii="Verdana" w:eastAsia="Times New Roman" w:hAnsi="Verdana" w:cs="Arial"/>
                <w:lang w:eastAsia="es-CO"/>
              </w:rPr>
              <w:t>Es decir, no aplica</w:t>
            </w:r>
            <w:r>
              <w:rPr>
                <w:rFonts w:ascii="Verdana" w:eastAsia="Times New Roman" w:hAnsi="Verdana" w:cs="Arial"/>
                <w:lang w:eastAsia="es-CO"/>
              </w:rPr>
              <w:t xml:space="preserve"> a</w:t>
            </w:r>
            <w:r w:rsidRPr="00DC206C">
              <w:rPr>
                <w:rFonts w:ascii="Verdana" w:eastAsia="Times New Roman" w:hAnsi="Verdana" w:cs="Arial"/>
                <w:lang w:eastAsia="es-CO"/>
              </w:rPr>
              <w:t xml:space="preserve"> “[…] los requeridos para cubrir las emergencias educativas, sanitarias y desastres […]”</w:t>
            </w:r>
            <w:r>
              <w:rPr>
                <w:rFonts w:ascii="Verdana" w:eastAsia="Times New Roman" w:hAnsi="Verdana" w:cs="Arial"/>
                <w:lang w:eastAsia="es-CO"/>
              </w:rPr>
              <w:t>, expresiones cuyo alcance se determina a partir de las 1523 de 2012 y 1753 de 2015, así como la</w:t>
            </w:r>
            <w:r w:rsidRPr="00DC206C">
              <w:rPr>
                <w:rFonts w:ascii="Verdana" w:eastAsia="Times New Roman" w:hAnsi="Verdana" w:cs="Arial"/>
                <w:lang w:eastAsia="es-CO"/>
              </w:rPr>
              <w:t xml:space="preserve"> Resolución del Ministerio de Educación Nacional 6519 del 1˚ de abril de 2025</w:t>
            </w:r>
            <w:r>
              <w:rPr>
                <w:rFonts w:ascii="Verdana" w:eastAsia="Times New Roman" w:hAnsi="Verdana" w:cs="Arial"/>
                <w:lang w:eastAsia="es-CO"/>
              </w:rPr>
              <w:t xml:space="preserve">. </w:t>
            </w:r>
            <w:r w:rsidRPr="000955E3">
              <w:rPr>
                <w:rFonts w:ascii="Verdana" w:eastAsia="Times New Roman" w:hAnsi="Verdana" w:cs="Arial"/>
                <w:lang w:eastAsia="es-CO"/>
              </w:rPr>
              <w:t>Por lo demás, la norma tampoco contempla excepciones respecto a la contratación con esquemas asociativos territoriales, además de que la restricción rige al margen del contenido de los proyectos que se pretendan ejecutar. Como las excepciones son de reserva legal, tampoco son disponibles por las partes al suscribir el negocio jurídico</w:t>
            </w:r>
            <w:r>
              <w:rPr>
                <w:rFonts w:ascii="Verdana" w:eastAsia="Times New Roman" w:hAnsi="Verdana" w:cs="Arial"/>
                <w:lang w:eastAsia="es-CO"/>
              </w:rPr>
              <w:t>,</w:t>
            </w:r>
            <w:r w:rsidRPr="00DC206C">
              <w:rPr>
                <w:rFonts w:ascii="Verdana" w:eastAsia="Times New Roman" w:hAnsi="Verdana" w:cs="Arial"/>
                <w:lang w:eastAsia="es-CO"/>
              </w:rPr>
              <w:t xml:space="preserve"> por lo que no existe justificación alguna para desconocer la prohibición</w:t>
            </w:r>
            <w:r w:rsidRPr="000955E3">
              <w:rPr>
                <w:rFonts w:ascii="Verdana" w:eastAsia="Times New Roman" w:hAnsi="Verdana" w:cs="Arial"/>
                <w:lang w:eastAsia="es-CO"/>
              </w:rPr>
              <w:t>.</w:t>
            </w:r>
          </w:p>
          <w:p w14:paraId="7708409B" w14:textId="77777777" w:rsidR="00024D9C" w:rsidRPr="000C0EFB" w:rsidRDefault="00024D9C" w:rsidP="00A05B86">
            <w:pPr>
              <w:spacing w:before="120" w:after="120" w:line="276" w:lineRule="auto"/>
              <w:ind w:firstLine="709"/>
              <w:jc w:val="both"/>
              <w:rPr>
                <w:rFonts w:ascii="Verdana" w:eastAsia="Times New Roman" w:hAnsi="Verdana" w:cs="Arial"/>
                <w:lang w:eastAsia="es-CO"/>
              </w:rPr>
            </w:pPr>
            <w:r>
              <w:rPr>
                <w:rFonts w:ascii="Verdana" w:eastAsia="Times New Roman" w:hAnsi="Verdana" w:cs="Arial"/>
                <w:lang w:eastAsia="es-CO"/>
              </w:rPr>
              <w:lastRenderedPageBreak/>
              <w:t>Dichas prohibiciones</w:t>
            </w:r>
            <w:r w:rsidRPr="0082263C">
              <w:rPr>
                <w:rFonts w:ascii="Verdana" w:eastAsia="Times New Roman" w:hAnsi="Verdana" w:cs="Arial"/>
                <w:lang w:eastAsia="es-CO"/>
              </w:rPr>
              <w:t xml:space="preserve"> coinciden parcialmente. </w:t>
            </w:r>
            <w:r w:rsidRPr="0082263C">
              <w:rPr>
                <w:rFonts w:ascii="Verdana" w:eastAsia="Times New Roman" w:hAnsi="Verdana" w:cs="Arial"/>
                <w:i/>
                <w:iCs/>
                <w:lang w:eastAsia="es-CO"/>
              </w:rPr>
              <w:t>En primer lugar</w:t>
            </w:r>
            <w:r w:rsidRPr="0082263C">
              <w:rPr>
                <w:rFonts w:ascii="Verdana" w:eastAsia="Times New Roman" w:hAnsi="Verdana" w:cs="Arial"/>
                <w:lang w:eastAsia="es-CO"/>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82263C">
              <w:rPr>
                <w:rFonts w:ascii="Verdana" w:eastAsia="Times New Roman" w:hAnsi="Verdana" w:cs="Arial"/>
                <w:i/>
                <w:iCs/>
                <w:lang w:eastAsia="es-CO"/>
              </w:rPr>
              <w:t>En segundo lugar</w:t>
            </w:r>
            <w:r w:rsidRPr="0082263C">
              <w:rPr>
                <w:rFonts w:ascii="Verdana" w:eastAsia="Times New Roman" w:hAnsi="Verdana" w:cs="Arial"/>
                <w:lang w:eastAsia="es-CO"/>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2A3817C" w14:textId="77777777" w:rsidR="00024D9C" w:rsidRPr="001941FD" w:rsidRDefault="00024D9C" w:rsidP="00A05B86">
            <w:pPr>
              <w:spacing w:line="276" w:lineRule="auto"/>
              <w:ind w:right="51" w:firstLine="737"/>
              <w:jc w:val="both"/>
              <w:rPr>
                <w:rFonts w:ascii="Verdana" w:eastAsia="Calibri" w:hAnsi="Verdana" w:cs="Arial"/>
                <w:bCs/>
                <w:color w:val="000000" w:themeColor="text1"/>
              </w:rPr>
            </w:pPr>
            <w:r w:rsidRPr="00007D0A">
              <w:rPr>
                <w:rStyle w:val="s15"/>
                <w:rFonts w:ascii="Verdana" w:hAnsi="Verdana"/>
                <w:color w:val="000000"/>
              </w:rPr>
              <w:t xml:space="preserve">Al margen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31AE98A5" w14:textId="77777777" w:rsidR="00024D9C" w:rsidRPr="00593A5F" w:rsidRDefault="00024D9C" w:rsidP="00024D9C">
      <w:pPr>
        <w:tabs>
          <w:tab w:val="left" w:pos="142"/>
          <w:tab w:val="left" w:pos="284"/>
        </w:tabs>
        <w:spacing w:after="0" w:line="276" w:lineRule="auto"/>
        <w:jc w:val="both"/>
        <w:rPr>
          <w:rFonts w:ascii="Verdana" w:eastAsia="Century Gothic" w:hAnsi="Verdana" w:cs="Century Gothic"/>
          <w:b/>
          <w:bCs/>
          <w:lang w:val="es-ES"/>
        </w:rPr>
      </w:pPr>
    </w:p>
    <w:bookmarkEnd w:id="1"/>
    <w:p w14:paraId="1222CE2E" w14:textId="77777777" w:rsidR="00024D9C" w:rsidRPr="00593A5F" w:rsidRDefault="00024D9C" w:rsidP="00024D9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C4C8530" w14:textId="77777777" w:rsidR="00024D9C" w:rsidRPr="00593A5F" w:rsidRDefault="00024D9C" w:rsidP="00024D9C">
      <w:pPr>
        <w:spacing w:after="0" w:line="276" w:lineRule="auto"/>
        <w:jc w:val="both"/>
        <w:rPr>
          <w:rFonts w:ascii="Verdana" w:eastAsia="Calibri" w:hAnsi="Verdana" w:cs="Arial"/>
          <w:color w:val="7030A0"/>
          <w:lang w:val="es-ES"/>
        </w:rPr>
      </w:pPr>
    </w:p>
    <w:p w14:paraId="7E9E7167" w14:textId="77777777" w:rsidR="00024D9C" w:rsidRDefault="00024D9C" w:rsidP="00024D9C">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1F717CFF" w14:textId="77777777" w:rsidR="00024D9C" w:rsidRPr="00415608" w:rsidRDefault="00024D9C" w:rsidP="00024D9C">
      <w:pPr>
        <w:spacing w:after="0" w:line="276" w:lineRule="auto"/>
        <w:jc w:val="both"/>
        <w:rPr>
          <w:rFonts w:ascii="Verdana" w:eastAsia="Calibri" w:hAnsi="Verdana" w:cs="Arial"/>
          <w:lang w:val="es-ES"/>
        </w:rPr>
      </w:pPr>
    </w:p>
    <w:p w14:paraId="5FD510C9" w14:textId="77777777" w:rsidR="00024D9C" w:rsidRPr="009E105D" w:rsidRDefault="00024D9C" w:rsidP="00024D9C">
      <w:pPr>
        <w:tabs>
          <w:tab w:val="left" w:pos="426"/>
        </w:tabs>
        <w:spacing w:after="120" w:line="276" w:lineRule="auto"/>
        <w:jc w:val="both"/>
        <w:rPr>
          <w:rFonts w:ascii="Verdana" w:eastAsia="Times New Roman" w:hAnsi="Verdana" w:cs="Arial"/>
          <w:lang w:eastAsia="es-CO"/>
        </w:rPr>
      </w:pPr>
      <w:r>
        <w:rPr>
          <w:rFonts w:ascii="Verdana" w:eastAsia="Calibri" w:hAnsi="Verdana" w:cs="Arial"/>
          <w:color w:val="000000" w:themeColor="text1"/>
        </w:rPr>
        <w:t xml:space="preserve">i. </w:t>
      </w:r>
      <w:r w:rsidRPr="009E105D">
        <w:rPr>
          <w:rFonts w:ascii="Verdana" w:eastAsia="Calibri" w:hAnsi="Verdana" w:cs="Arial"/>
        </w:rPr>
        <w:t>El ordenamiento jurídico colombiano contempla previsiones claras para evitar la obtención de beneficios personales en asuntos propios de la administración pública</w:t>
      </w:r>
      <w:r w:rsidRPr="009E105D">
        <w:rPr>
          <w:rFonts w:ascii="Verdana" w:eastAsia="Calibri" w:hAnsi="Verdana" w:cs="Arial"/>
          <w:i/>
        </w:rPr>
        <w:t xml:space="preserve">. </w:t>
      </w:r>
      <w:r w:rsidRPr="009E105D">
        <w:rPr>
          <w:rFonts w:ascii="Verdana" w:eastAsia="Calibri" w:hAnsi="Verdana" w:cs="Arial"/>
        </w:rPr>
        <w:t xml:space="preserve">Por ejemplo, el artículo 127 de la Constitución Política establece una prohibición contractual a los servidores públicos y en cuanto a aspectos políticos </w:t>
      </w:r>
      <w:r w:rsidRPr="009E105D">
        <w:rPr>
          <w:rFonts w:ascii="Verdana" w:eastAsia="Calibri" w:hAnsi="Verdana" w:cs="Arial"/>
        </w:rPr>
        <w:lastRenderedPageBreak/>
        <w:t>consagra restricciones a ciertos empleados del Estado, incluso en época no electoral</w:t>
      </w:r>
      <w:r w:rsidRPr="009E105D">
        <w:rPr>
          <w:rFonts w:ascii="Verdana" w:eastAsia="Calibri" w:hAnsi="Verdana" w:cs="Arial"/>
          <w:vertAlign w:val="superscript"/>
        </w:rPr>
        <w:footnoteReference w:id="2"/>
      </w:r>
      <w:r w:rsidRPr="009E105D">
        <w:rPr>
          <w:rFonts w:ascii="Verdana" w:eastAsia="Calibri" w:hAnsi="Verdana" w:cs="Arial"/>
        </w:rPr>
        <w:t xml:space="preserve">. </w:t>
      </w:r>
    </w:p>
    <w:p w14:paraId="0BF1DA2C" w14:textId="77777777" w:rsidR="00024D9C" w:rsidRPr="009E105D" w:rsidRDefault="00024D9C" w:rsidP="00024D9C">
      <w:pPr>
        <w:tabs>
          <w:tab w:val="left" w:pos="426"/>
        </w:tabs>
        <w:spacing w:after="0" w:line="276" w:lineRule="auto"/>
        <w:ind w:firstLine="709"/>
        <w:jc w:val="both"/>
        <w:rPr>
          <w:rFonts w:ascii="Verdana" w:eastAsia="Times New Roman" w:hAnsi="Verdana" w:cs="Arial"/>
          <w:lang w:val="es-MX" w:eastAsia="es-CO"/>
        </w:rPr>
      </w:pPr>
      <w:r w:rsidRPr="009E105D">
        <w:rPr>
          <w:rFonts w:ascii="Verdana" w:eastAsia="Times New Roman" w:hAnsi="Verdana" w:cs="Arial"/>
          <w:lang w:eastAsia="es-CO"/>
        </w:rPr>
        <w:t>En el mismo sentido</w:t>
      </w:r>
      <w:r w:rsidRPr="009E105D">
        <w:rPr>
          <w:rFonts w:ascii="Verdana" w:eastAsia="Times New Roman" w:hAnsi="Verdana" w:cs="Arial"/>
          <w:lang w:val="es-MX" w:eastAsia="es-CO"/>
        </w:rPr>
        <w:t xml:space="preserve">, </w:t>
      </w:r>
      <w:bookmarkStart w:id="2" w:name="_Hlk99576829"/>
      <w:r w:rsidRPr="009E105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9E105D">
        <w:rPr>
          <w:rFonts w:ascii="Verdana" w:eastAsia="Times New Roman" w:hAnsi="Verdana" w:cs="Arial"/>
          <w:vertAlign w:val="superscript"/>
          <w:lang w:val="es-MX" w:eastAsia="es-CO"/>
        </w:rPr>
        <w:footnoteReference w:id="3"/>
      </w:r>
      <w:r w:rsidRPr="009E105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9E105D">
        <w:rPr>
          <w:rFonts w:ascii="Verdana" w:eastAsia="Calibri" w:hAnsi="Verdana" w:cs="Arial"/>
          <w:lang w:val="es-ES_tradnl"/>
        </w:rPr>
        <w:t xml:space="preserve"> </w:t>
      </w:r>
      <w:bookmarkEnd w:id="2"/>
      <w:r w:rsidRPr="009E105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84B73B8" w14:textId="77777777" w:rsidR="00024D9C" w:rsidRPr="009E105D" w:rsidRDefault="00024D9C" w:rsidP="00024D9C">
      <w:pPr>
        <w:spacing w:after="0" w:line="276" w:lineRule="auto"/>
        <w:ind w:right="709"/>
        <w:contextualSpacing/>
        <w:jc w:val="both"/>
        <w:rPr>
          <w:rFonts w:ascii="Verdana" w:eastAsia="Times New Roman" w:hAnsi="Verdana" w:cs="Arial"/>
          <w:sz w:val="21"/>
          <w:szCs w:val="21"/>
          <w:lang w:val="es-ES" w:eastAsia="es-CO"/>
        </w:rPr>
      </w:pPr>
    </w:p>
    <w:p w14:paraId="61A33A5A" w14:textId="77777777" w:rsidR="00024D9C" w:rsidRPr="00E066AC" w:rsidRDefault="00024D9C" w:rsidP="00024D9C">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ES" w:eastAsia="es-CO"/>
        </w:rPr>
        <w:t xml:space="preserve">“[…] </w:t>
      </w:r>
      <w:r w:rsidRPr="00E066AC">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E0266BC" w14:textId="77777777" w:rsidR="00024D9C" w:rsidRDefault="00024D9C" w:rsidP="00024D9C">
      <w:pPr>
        <w:spacing w:after="12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 </w:t>
      </w:r>
    </w:p>
    <w:p w14:paraId="4D2C248B" w14:textId="77777777" w:rsidR="00024D9C" w:rsidRPr="00E066AC" w:rsidRDefault="00024D9C" w:rsidP="00024D9C">
      <w:pPr>
        <w:spacing w:after="120" w:line="240" w:lineRule="auto"/>
        <w:ind w:left="709" w:right="709"/>
        <w:contextualSpacing/>
        <w:jc w:val="both"/>
        <w:rPr>
          <w:rFonts w:ascii="Verdana" w:eastAsia="Times New Roman" w:hAnsi="Verdana" w:cs="Arial"/>
          <w:sz w:val="12"/>
          <w:szCs w:val="12"/>
          <w:lang w:val="es-MX" w:eastAsia="es-CO"/>
        </w:rPr>
      </w:pPr>
    </w:p>
    <w:p w14:paraId="3182D811" w14:textId="77777777" w:rsidR="00024D9C" w:rsidRPr="00E066AC" w:rsidRDefault="00024D9C" w:rsidP="00024D9C">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066AC">
        <w:rPr>
          <w:rFonts w:ascii="Verdana" w:eastAsia="Calibri" w:hAnsi="Verdana" w:cs="Arial"/>
          <w:sz w:val="20"/>
          <w:szCs w:val="20"/>
          <w:vertAlign w:val="superscript"/>
          <w:lang w:val="es-MX"/>
        </w:rPr>
        <w:footnoteReference w:id="4"/>
      </w:r>
      <w:r w:rsidRPr="00E066AC">
        <w:rPr>
          <w:rFonts w:ascii="Verdana" w:eastAsia="Times New Roman" w:hAnsi="Verdana" w:cs="Arial"/>
          <w:sz w:val="20"/>
          <w:szCs w:val="20"/>
          <w:lang w:val="es-MX" w:eastAsia="es-CO"/>
        </w:rPr>
        <w:t>.</w:t>
      </w:r>
    </w:p>
    <w:p w14:paraId="03A7C96A" w14:textId="77777777" w:rsidR="00024D9C" w:rsidRPr="009E105D" w:rsidRDefault="00024D9C" w:rsidP="00024D9C">
      <w:pPr>
        <w:spacing w:after="0" w:line="276" w:lineRule="auto"/>
        <w:ind w:left="709" w:right="709"/>
        <w:contextualSpacing/>
        <w:jc w:val="both"/>
        <w:rPr>
          <w:rFonts w:ascii="Verdana" w:eastAsia="Times New Roman" w:hAnsi="Verdana" w:cs="Arial"/>
          <w:sz w:val="21"/>
          <w:szCs w:val="21"/>
          <w:lang w:val="es-MX" w:eastAsia="es-CO"/>
        </w:rPr>
      </w:pPr>
    </w:p>
    <w:p w14:paraId="56E694B0" w14:textId="77777777" w:rsidR="00024D9C" w:rsidRPr="009E105D" w:rsidRDefault="00024D9C" w:rsidP="00024D9C">
      <w:pPr>
        <w:spacing w:after="0" w:line="276" w:lineRule="auto"/>
        <w:ind w:firstLine="709"/>
        <w:jc w:val="both"/>
        <w:rPr>
          <w:rFonts w:ascii="Verdana" w:eastAsia="Times New Roman" w:hAnsi="Verdana" w:cs="Arial"/>
          <w:lang w:val="es-MX" w:eastAsia="es-CO"/>
        </w:rPr>
      </w:pPr>
      <w:bookmarkStart w:id="3" w:name="_Hlk78818186"/>
      <w:r w:rsidRPr="009E105D">
        <w:rPr>
          <w:rFonts w:ascii="Verdana" w:eastAsia="Times New Roman" w:hAnsi="Verdana" w:cs="Arial"/>
          <w:lang w:val="es-MX" w:eastAsia="es-CO"/>
        </w:rPr>
        <w:lastRenderedPageBreak/>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9E105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66E31214" w14:textId="77777777" w:rsidR="00024D9C" w:rsidRPr="009E105D" w:rsidRDefault="00024D9C" w:rsidP="00024D9C">
      <w:pPr>
        <w:spacing w:after="0" w:line="276" w:lineRule="auto"/>
        <w:ind w:firstLine="709"/>
        <w:contextualSpacing/>
        <w:jc w:val="both"/>
        <w:rPr>
          <w:rFonts w:ascii="Verdana" w:eastAsia="Times New Roman" w:hAnsi="Verdana" w:cs="Arial"/>
          <w:lang w:val="es-MX" w:eastAsia="es-CO"/>
        </w:rPr>
      </w:pPr>
    </w:p>
    <w:p w14:paraId="303989EB" w14:textId="77777777" w:rsidR="00024D9C" w:rsidRPr="00E066AC" w:rsidRDefault="00024D9C" w:rsidP="00024D9C">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A6CD17E" w14:textId="77777777" w:rsidR="00024D9C" w:rsidRPr="00E066AC" w:rsidRDefault="00024D9C" w:rsidP="00024D9C">
      <w:pPr>
        <w:spacing w:after="0" w:line="240" w:lineRule="auto"/>
        <w:ind w:right="709"/>
        <w:contextualSpacing/>
        <w:jc w:val="both"/>
        <w:rPr>
          <w:rFonts w:ascii="Verdana" w:eastAsia="Times New Roman" w:hAnsi="Verdana" w:cs="Arial"/>
          <w:sz w:val="12"/>
          <w:szCs w:val="12"/>
          <w:lang w:val="es-MX" w:eastAsia="es-CO"/>
        </w:rPr>
      </w:pPr>
    </w:p>
    <w:p w14:paraId="2BAD8F70" w14:textId="77777777" w:rsidR="00024D9C" w:rsidRPr="00E066AC" w:rsidRDefault="00024D9C" w:rsidP="00024D9C">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La jurisprudencia de la Corte Constitucional</w:t>
      </w:r>
      <w:r w:rsidRPr="00E066AC">
        <w:rPr>
          <w:rFonts w:ascii="Verdana" w:eastAsia="Times New Roman" w:hAnsi="Verdana" w:cs="Arial"/>
          <w:sz w:val="20"/>
          <w:szCs w:val="20"/>
          <w:vertAlign w:val="superscript"/>
          <w:lang w:val="es-MX" w:eastAsia="es-CO"/>
        </w:rPr>
        <w:footnoteReference w:id="5"/>
      </w:r>
      <w:r w:rsidRPr="00E066AC">
        <w:rPr>
          <w:rFonts w:ascii="Verdana" w:eastAsia="Times New Roman" w:hAnsi="Verdana" w:cs="Arial"/>
          <w:sz w:val="20"/>
          <w:szCs w:val="20"/>
          <w:lang w:val="es-MX" w:eastAsia="es-CO"/>
        </w:rPr>
        <w:t> y del Consejo de Estado</w:t>
      </w:r>
      <w:r w:rsidRPr="00E066AC">
        <w:rPr>
          <w:rFonts w:ascii="Verdana" w:eastAsia="Times New Roman" w:hAnsi="Verdana" w:cs="Arial"/>
          <w:sz w:val="20"/>
          <w:szCs w:val="20"/>
          <w:vertAlign w:val="superscript"/>
          <w:lang w:val="es-MX" w:eastAsia="es-CO"/>
        </w:rPr>
        <w:footnoteReference w:id="6"/>
      </w:r>
      <w:r w:rsidRPr="00E066AC">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066AC">
        <w:rPr>
          <w:rFonts w:ascii="Verdana" w:eastAsia="Times New Roman" w:hAnsi="Verdana" w:cs="Arial"/>
          <w:sz w:val="20"/>
          <w:szCs w:val="20"/>
          <w:vertAlign w:val="superscript"/>
          <w:lang w:val="es-MX" w:eastAsia="es-CO"/>
        </w:rPr>
        <w:footnoteReference w:id="7"/>
      </w:r>
      <w:r w:rsidRPr="00E066AC">
        <w:rPr>
          <w:rFonts w:ascii="Verdana" w:eastAsia="Times New Roman" w:hAnsi="Verdana" w:cs="Arial"/>
          <w:sz w:val="20"/>
          <w:szCs w:val="20"/>
          <w:lang w:val="es-MX" w:eastAsia="es-CO"/>
        </w:rPr>
        <w:t>.</w:t>
      </w:r>
    </w:p>
    <w:p w14:paraId="3C648C29" w14:textId="77777777" w:rsidR="00024D9C" w:rsidRPr="009E105D" w:rsidRDefault="00024D9C" w:rsidP="00024D9C">
      <w:pPr>
        <w:spacing w:after="0" w:line="276" w:lineRule="auto"/>
        <w:ind w:right="709"/>
        <w:contextualSpacing/>
        <w:jc w:val="both"/>
        <w:rPr>
          <w:rFonts w:ascii="Verdana" w:eastAsia="Times New Roman" w:hAnsi="Verdana" w:cs="Arial"/>
          <w:sz w:val="21"/>
          <w:szCs w:val="21"/>
          <w:lang w:val="es-MX" w:eastAsia="es-CO"/>
        </w:rPr>
      </w:pPr>
    </w:p>
    <w:p w14:paraId="7861DDE1" w14:textId="77777777" w:rsidR="00024D9C" w:rsidRPr="009E105D" w:rsidRDefault="00024D9C" w:rsidP="00024D9C">
      <w:pPr>
        <w:spacing w:after="120" w:line="276" w:lineRule="auto"/>
        <w:jc w:val="both"/>
        <w:rPr>
          <w:rFonts w:ascii="Verdana" w:eastAsia="Arial" w:hAnsi="Verdana" w:cs="Arial"/>
          <w:lang w:val="es-ES" w:eastAsia="es-ES" w:bidi="es-ES"/>
        </w:rPr>
      </w:pPr>
      <w:r w:rsidRPr="009E105D">
        <w:rPr>
          <w:rFonts w:ascii="Verdana" w:eastAsia="Times New Roman" w:hAnsi="Verdana" w:cs="Arial"/>
          <w:lang w:val="es-MX" w:eastAsia="es-CO"/>
        </w:rPr>
        <w:tab/>
        <w:t>De</w:t>
      </w:r>
      <w:r w:rsidRPr="009E105D">
        <w:rPr>
          <w:rFonts w:ascii="Verdana" w:eastAsia="Arial" w:hAnsi="Verdana" w:cs="Arial"/>
          <w:lang w:val="es-ES" w:eastAsia="es-ES" w:bidi="es-ES"/>
        </w:rPr>
        <w:t xml:space="preserve"> conformidad con lo anterior, </w:t>
      </w:r>
      <w:bookmarkStart w:id="4" w:name="_Hlk77236098"/>
      <w:bookmarkStart w:id="5" w:name="_Hlk100679383"/>
      <w:r w:rsidRPr="009E105D">
        <w:rPr>
          <w:rFonts w:ascii="Verdana" w:eastAsia="Arial" w:hAnsi="Verdana" w:cs="Arial"/>
          <w:lang w:val="es-ES" w:eastAsia="es-ES" w:bidi="es-ES"/>
        </w:rPr>
        <w:t xml:space="preserve">la Ley de Garantías Electorales fijó una serie de regulaciones y prohibiciones dirigidas a los servidores públicos. Con la </w:t>
      </w:r>
      <w:r w:rsidRPr="009E105D">
        <w:rPr>
          <w:rFonts w:ascii="Verdana" w:eastAsia="Arial" w:hAnsi="Verdana" w:cs="Arial"/>
          <w:lang w:val="es-ES" w:eastAsia="es-ES" w:bidi="es-ES"/>
        </w:rPr>
        <w:lastRenderedPageBreak/>
        <w:t>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5D89EA89" w14:textId="77777777" w:rsidR="00024D9C" w:rsidRPr="009E105D" w:rsidRDefault="00024D9C" w:rsidP="00024D9C">
      <w:pPr>
        <w:spacing w:after="120" w:line="276" w:lineRule="auto"/>
        <w:ind w:firstLine="708"/>
        <w:jc w:val="both"/>
        <w:rPr>
          <w:rFonts w:ascii="Verdana" w:eastAsia="Calibri" w:hAnsi="Verdana" w:cs="Arial"/>
        </w:rPr>
      </w:pPr>
      <w:r w:rsidRPr="00C50FB4">
        <w:rPr>
          <w:rFonts w:ascii="Verdana" w:eastAsia="Calibri" w:hAnsi="Verdana" w:cs="Arial"/>
          <w:i/>
          <w:iCs/>
        </w:rPr>
        <w:t>Por un lado</w:t>
      </w:r>
      <w:r w:rsidRPr="009E105D">
        <w:rPr>
          <w:rFonts w:ascii="Verdana" w:eastAsia="Calibri" w:hAnsi="Verdana" w:cs="Arial"/>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9E105D">
        <w:rPr>
          <w:rFonts w:ascii="Verdana" w:eastAsia="Calibri" w:hAnsi="Verdana" w:cs="Arial"/>
          <w:vertAlign w:val="superscript"/>
        </w:rPr>
        <w:footnoteReference w:id="8"/>
      </w:r>
      <w:r w:rsidRPr="009E105D">
        <w:rPr>
          <w:rFonts w:ascii="Verdana" w:eastAsia="Calibri" w:hAnsi="Verdana" w:cs="Arial"/>
        </w:rPr>
        <w:t>.</w:t>
      </w:r>
    </w:p>
    <w:p w14:paraId="0EF775E5" w14:textId="77777777" w:rsidR="00024D9C" w:rsidRPr="009E105D" w:rsidRDefault="00024D9C" w:rsidP="00024D9C">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0FB4">
        <w:rPr>
          <w:rFonts w:ascii="Verdana" w:eastAsia="Calibri" w:hAnsi="Verdana" w:cs="Arial"/>
          <w:i/>
          <w:iCs/>
        </w:rPr>
        <w:t>Por otro</w:t>
      </w:r>
      <w:r w:rsidRPr="009E105D">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9E105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E105D">
        <w:rPr>
          <w:rFonts w:ascii="Verdana" w:eastAsia="Calibri" w:hAnsi="Verdana" w:cs="Arial"/>
          <w:sz w:val="19"/>
          <w:szCs w:val="19"/>
        </w:rPr>
        <w:t>”</w:t>
      </w:r>
      <w:bookmarkEnd w:id="5"/>
      <w:r w:rsidRPr="009E105D">
        <w:rPr>
          <w:rFonts w:ascii="Verdana" w:eastAsia="Calibri" w:hAnsi="Verdana" w:cs="Arial"/>
          <w:sz w:val="19"/>
          <w:szCs w:val="19"/>
          <w:vertAlign w:val="superscript"/>
        </w:rPr>
        <w:footnoteReference w:id="9"/>
      </w:r>
      <w:r w:rsidRPr="009E105D">
        <w:rPr>
          <w:rFonts w:ascii="Verdana" w:eastAsia="Calibri" w:hAnsi="Verdana" w:cs="Arial"/>
          <w:lang w:val="es-MX"/>
        </w:rPr>
        <w:t>.</w:t>
      </w:r>
      <w:r w:rsidRPr="009E105D">
        <w:rPr>
          <w:rFonts w:ascii="Verdana" w:eastAsia="Arial" w:hAnsi="Verdana" w:cs="Arial"/>
          <w:lang w:val="es-ES" w:eastAsia="es-ES" w:bidi="es-ES"/>
        </w:rPr>
        <w:t xml:space="preserve"> La Sala de Consulta y Servicio Civil del Consejo de Estado ha </w:t>
      </w:r>
      <w:r w:rsidRPr="009E105D">
        <w:rPr>
          <w:rFonts w:ascii="Verdana" w:eastAsia="Arial" w:hAnsi="Verdana" w:cs="Arial"/>
          <w:lang w:val="es-ES" w:eastAsia="es-ES" w:bidi="es-ES"/>
        </w:rPr>
        <w:lastRenderedPageBreak/>
        <w:t>aclarado la distinción en la aplicación de las prohibiciones de la Ley 996 de 2005, dependiendo del tipo de elección que se trate. Al respecto, considera que:</w:t>
      </w:r>
    </w:p>
    <w:p w14:paraId="467289CA" w14:textId="77777777" w:rsidR="00024D9C" w:rsidRPr="009E105D" w:rsidRDefault="00024D9C" w:rsidP="00024D9C">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331CDBAE" w14:textId="77777777" w:rsidR="00024D9C" w:rsidRPr="00E066AC" w:rsidRDefault="00024D9C" w:rsidP="00024D9C">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E066AC">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066AC">
        <w:rPr>
          <w:rFonts w:ascii="Verdana" w:eastAsia="Arial" w:hAnsi="Verdana" w:cs="Arial"/>
          <w:sz w:val="20"/>
          <w:szCs w:val="20"/>
          <w:lang w:val="es-ES" w:eastAsia="es-ES" w:bidi="es-ES"/>
        </w:rPr>
        <w:t>se integran parcialmente</w:t>
      </w:r>
      <w:bookmarkEnd w:id="8"/>
      <w:r w:rsidRPr="00E066AC">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066AC">
        <w:rPr>
          <w:rFonts w:ascii="Verdana" w:eastAsia="Arial" w:hAnsi="Verdana" w:cs="Arial"/>
          <w:sz w:val="20"/>
          <w:szCs w:val="20"/>
          <w:lang w:val="es-ES" w:eastAsia="es-ES" w:bidi="es-ES"/>
        </w:rPr>
        <w:t>Presidente</w:t>
      </w:r>
      <w:proofErr w:type="gramEnd"/>
      <w:r w:rsidRPr="00E066AC">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E066AC">
        <w:rPr>
          <w:rFonts w:ascii="Verdana" w:eastAsia="Arial" w:hAnsi="Verdana" w:cs="Arial"/>
          <w:sz w:val="20"/>
          <w:szCs w:val="20"/>
          <w:vertAlign w:val="superscript"/>
          <w:lang w:val="es-ES" w:eastAsia="es-ES" w:bidi="es-ES"/>
        </w:rPr>
        <w:footnoteReference w:id="10"/>
      </w:r>
      <w:r w:rsidRPr="00E066AC">
        <w:rPr>
          <w:rFonts w:ascii="Verdana" w:eastAsia="Arial" w:hAnsi="Verdana" w:cs="Arial"/>
          <w:sz w:val="20"/>
          <w:szCs w:val="20"/>
          <w:lang w:val="es-ES" w:eastAsia="es-ES" w:bidi="es-ES"/>
        </w:rPr>
        <w:t>.</w:t>
      </w:r>
    </w:p>
    <w:p w14:paraId="75247F1E" w14:textId="77777777" w:rsidR="00024D9C" w:rsidRPr="009E105D" w:rsidRDefault="00024D9C" w:rsidP="00024D9C">
      <w:pPr>
        <w:widowControl w:val="0"/>
        <w:autoSpaceDE w:val="0"/>
        <w:autoSpaceDN w:val="0"/>
        <w:spacing w:after="0" w:line="276" w:lineRule="auto"/>
        <w:contextualSpacing/>
        <w:rPr>
          <w:rFonts w:ascii="Verdana" w:eastAsia="Arial" w:hAnsi="Verdana" w:cs="Arial"/>
          <w:lang w:val="es-ES" w:eastAsia="es-ES" w:bidi="es-ES"/>
        </w:rPr>
      </w:pPr>
    </w:p>
    <w:p w14:paraId="142DAB18" w14:textId="77777777" w:rsidR="00024D9C" w:rsidRPr="009E105D" w:rsidRDefault="00024D9C" w:rsidP="00024D9C">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9E105D">
        <w:rPr>
          <w:rFonts w:ascii="Verdana" w:eastAsia="Arial" w:hAnsi="Verdana" w:cs="Arial"/>
          <w:lang w:val="es-ES" w:eastAsia="es-ES" w:bidi="es-ES"/>
        </w:rPr>
        <w:t xml:space="preserve">la Ley 996 de 2005 establece dos (2) tipos de restricciones en materia de contratación, las cuales coinciden parcialmente. </w:t>
      </w:r>
      <w:r w:rsidRPr="009E105D">
        <w:rPr>
          <w:rFonts w:ascii="Verdana" w:eastAsia="Arial" w:hAnsi="Verdana" w:cs="Arial"/>
          <w:i/>
          <w:lang w:val="es-ES" w:eastAsia="es-ES" w:bidi="es-ES"/>
        </w:rPr>
        <w:t>En primer lugar</w:t>
      </w:r>
      <w:r w:rsidRPr="009E105D">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E105D">
        <w:rPr>
          <w:rFonts w:ascii="Verdana" w:eastAsia="Arial" w:hAnsi="Verdana" w:cs="Arial"/>
          <w:i/>
          <w:lang w:val="es-ES" w:eastAsia="es-ES" w:bidi="es-ES"/>
        </w:rPr>
        <w:t>En segundo lugar</w:t>
      </w:r>
      <w:r w:rsidRPr="009E105D">
        <w:rPr>
          <w:rFonts w:ascii="Verdana" w:eastAsia="Arial" w:hAnsi="Verdana" w:cs="Arial"/>
          <w:lang w:val="es-ES" w:eastAsia="es-ES" w:bidi="es-ES"/>
        </w:rPr>
        <w:t xml:space="preserve">, también se encuentra la prohibición del parágrafo del artículo 38, el cual debe aplicarse respecto de cualquier tipo de </w:t>
      </w:r>
      <w:r w:rsidRPr="009E105D">
        <w:rPr>
          <w:rFonts w:ascii="Verdana" w:eastAsia="Arial" w:hAnsi="Verdana" w:cs="Arial"/>
          <w:lang w:val="es-ES" w:eastAsia="es-ES" w:bidi="es-ES"/>
        </w:rPr>
        <w:lastRenderedPageBreak/>
        <w:t>contienda electoral, y que prohíbe la celebración de convenios interadministrativos que impliquen la ejecución de recursos públicos dentro de los cuatro (4) meses anteriores a la respectiva jornada de votaciones.</w:t>
      </w:r>
      <w:bookmarkEnd w:id="9"/>
    </w:p>
    <w:bookmarkEnd w:id="10"/>
    <w:p w14:paraId="370981AD" w14:textId="77777777" w:rsidR="00024D9C" w:rsidRPr="009E105D" w:rsidRDefault="00024D9C" w:rsidP="00024D9C">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02C0880B" w14:textId="77777777" w:rsidR="00024D9C" w:rsidRDefault="00024D9C" w:rsidP="00024D9C">
      <w:pPr>
        <w:spacing w:after="0" w:line="276" w:lineRule="auto"/>
        <w:ind w:firstLine="708"/>
        <w:jc w:val="both"/>
        <w:rPr>
          <w:rFonts w:ascii="Verdana" w:eastAsia="Arial" w:hAnsi="Verdana" w:cs="Arial"/>
          <w:lang w:val="es-ES" w:eastAsia="es-ES" w:bidi="es-ES"/>
        </w:rPr>
      </w:pPr>
      <w:r w:rsidRPr="009E105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2F2FB855" w14:textId="77777777" w:rsidR="00024D9C" w:rsidRDefault="00024D9C" w:rsidP="00024D9C">
      <w:pPr>
        <w:spacing w:after="0" w:line="276" w:lineRule="auto"/>
        <w:jc w:val="both"/>
        <w:rPr>
          <w:rFonts w:ascii="Verdana" w:eastAsia="Arial" w:hAnsi="Verdana" w:cs="Arial"/>
          <w:lang w:val="es-ES" w:eastAsia="es-ES" w:bidi="es-ES"/>
        </w:rPr>
      </w:pPr>
    </w:p>
    <w:p w14:paraId="54BF6068" w14:textId="77777777" w:rsidR="00024D9C" w:rsidRPr="00F8199A" w:rsidRDefault="00024D9C" w:rsidP="00024D9C">
      <w:pPr>
        <w:spacing w:after="0" w:line="276" w:lineRule="auto"/>
        <w:jc w:val="both"/>
        <w:rPr>
          <w:rFonts w:ascii="Verdana" w:hAnsi="Verdana" w:cs="Arial"/>
          <w:bCs/>
          <w:lang w:val="es-MX" w:eastAsia="es-CO"/>
        </w:rPr>
      </w:pPr>
      <w:proofErr w:type="spellStart"/>
      <w:r w:rsidRPr="00F8199A">
        <w:rPr>
          <w:rFonts w:ascii="Verdana" w:eastAsia="Arial" w:hAnsi="Verdana" w:cs="Arial"/>
          <w:lang w:val="es-ES" w:eastAsia="es-ES" w:bidi="es-ES"/>
        </w:rPr>
        <w:t>ii</w:t>
      </w:r>
      <w:proofErr w:type="spellEnd"/>
      <w:r w:rsidRPr="00F8199A">
        <w:rPr>
          <w:rFonts w:ascii="Verdana" w:eastAsia="Arial" w:hAnsi="Verdana" w:cs="Arial"/>
          <w:lang w:val="es-ES" w:eastAsia="es-ES" w:bidi="es-ES"/>
        </w:rPr>
        <w:t xml:space="preserve">. </w:t>
      </w:r>
      <w:r w:rsidRPr="00F8199A">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F8199A">
        <w:rPr>
          <w:rFonts w:ascii="Verdana" w:hAnsi="Verdana" w:cs="Arial"/>
          <w:bCs/>
          <w:lang w:val="es-MX" w:eastAsia="x-none"/>
        </w:rPr>
        <w:t>queda prohibida la contratación directa</w:t>
      </w:r>
      <w:r>
        <w:rPr>
          <w:rFonts w:ascii="Verdana" w:hAnsi="Verdana" w:cs="Arial"/>
          <w:sz w:val="20"/>
          <w:szCs w:val="20"/>
          <w:lang w:val="es-MX"/>
        </w:rPr>
        <w:t>”</w:t>
      </w:r>
      <w:r w:rsidRPr="00F8199A">
        <w:rPr>
          <w:rFonts w:ascii="Verdana" w:hAnsi="Verdana" w:cs="Arial"/>
          <w:bCs/>
          <w:lang w:val="es-MX" w:eastAsia="x-none"/>
        </w:rPr>
        <w:t xml:space="preserve">. </w:t>
      </w:r>
      <w:r w:rsidRPr="00F8199A">
        <w:rPr>
          <w:rFonts w:ascii="Verdana" w:hAnsi="Verdana" w:cs="Arial"/>
          <w:lang w:val="es-MX" w:eastAsia="es-CO"/>
        </w:rPr>
        <w:t xml:space="preserve"> A propósito de </w:t>
      </w:r>
      <w:r w:rsidRPr="00F8199A">
        <w:rPr>
          <w:rFonts w:ascii="Verdana" w:hAnsi="Verdana" w:cs="Arial"/>
          <w:lang w:eastAsia="es-CO"/>
        </w:rPr>
        <w:t>esta restricción de la Ley de Garantías Electorales, la Sala de Consulta y Servicio Civil del Consejo de Estado ha considerado que:</w:t>
      </w:r>
    </w:p>
    <w:p w14:paraId="4CE26A38" w14:textId="77777777" w:rsidR="00024D9C" w:rsidRPr="00F8199A" w:rsidRDefault="00024D9C" w:rsidP="00024D9C">
      <w:pPr>
        <w:spacing w:after="0" w:line="276" w:lineRule="auto"/>
        <w:ind w:left="708" w:right="709"/>
        <w:jc w:val="both"/>
        <w:rPr>
          <w:rFonts w:ascii="Verdana" w:hAnsi="Verdana" w:cs="Arial"/>
          <w:lang w:val="es-MX"/>
        </w:rPr>
      </w:pPr>
    </w:p>
    <w:p w14:paraId="2511CA86" w14:textId="77777777" w:rsidR="00024D9C" w:rsidRPr="00F8199A" w:rsidRDefault="00024D9C" w:rsidP="00024D9C">
      <w:pPr>
        <w:spacing w:after="120"/>
        <w:ind w:left="709" w:right="709"/>
        <w:jc w:val="both"/>
        <w:rPr>
          <w:rFonts w:ascii="Verdana" w:hAnsi="Verdana" w:cs="Arial"/>
          <w:sz w:val="20"/>
          <w:szCs w:val="20"/>
          <w:lang w:val="es-MX"/>
        </w:rPr>
      </w:pPr>
      <w:r>
        <w:rPr>
          <w:rFonts w:ascii="Verdana" w:hAnsi="Verdana" w:cs="Arial"/>
          <w:sz w:val="18"/>
          <w:szCs w:val="18"/>
          <w:lang w:val="es-MX"/>
        </w:rPr>
        <w:t>“</w:t>
      </w:r>
      <w:r w:rsidRPr="00F8199A">
        <w:rPr>
          <w:rFonts w:ascii="Verdana" w:hAnsi="Verdana" w:cs="Arial"/>
          <w:sz w:val="20"/>
          <w:szCs w:val="20"/>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w:t>
      </w:r>
      <w:r w:rsidRPr="00F8199A">
        <w:rPr>
          <w:rFonts w:ascii="Verdana" w:hAnsi="Verdana" w:cs="Arial"/>
          <w:sz w:val="20"/>
          <w:szCs w:val="20"/>
          <w:lang w:val="es-MX"/>
        </w:rPr>
        <w:lastRenderedPageBreak/>
        <w:t>2, ley 1150 de 2007), y cumpliendo siempre los principios que rigen la contratación pública</w:t>
      </w:r>
      <w:r w:rsidRPr="00F8199A">
        <w:rPr>
          <w:rFonts w:ascii="Verdana" w:hAnsi="Verdana" w:cs="Arial"/>
          <w:sz w:val="20"/>
          <w:szCs w:val="20"/>
          <w:vertAlign w:val="superscript"/>
          <w:lang w:eastAsia="es-CO"/>
        </w:rPr>
        <w:footnoteReference w:id="11"/>
      </w:r>
      <w:r w:rsidRPr="00F8199A">
        <w:rPr>
          <w:rFonts w:ascii="Verdana" w:hAnsi="Verdana" w:cs="Arial"/>
          <w:sz w:val="20"/>
          <w:szCs w:val="20"/>
          <w:lang w:val="es-MX"/>
        </w:rPr>
        <w:t>.</w:t>
      </w:r>
    </w:p>
    <w:p w14:paraId="36934AE6" w14:textId="77777777" w:rsidR="00024D9C" w:rsidRPr="00F8199A" w:rsidRDefault="00024D9C" w:rsidP="00024D9C">
      <w:pPr>
        <w:spacing w:after="0"/>
        <w:ind w:left="708" w:right="709"/>
        <w:jc w:val="both"/>
        <w:rPr>
          <w:rFonts w:ascii="Verdana" w:hAnsi="Verdana" w:cs="Arial"/>
          <w:sz w:val="20"/>
          <w:szCs w:val="20"/>
          <w:lang w:val="es-MX"/>
        </w:rPr>
      </w:pPr>
      <w:r w:rsidRPr="00F8199A">
        <w:rPr>
          <w:rFonts w:ascii="Verdana" w:hAnsi="Verdana" w:cs="Arial"/>
          <w:sz w:val="20"/>
          <w:szCs w:val="20"/>
          <w:lang w:val="es-MX"/>
        </w:rPr>
        <w:t xml:space="preserve">Esta Sala ha entendido que para los efectos de la ley de garantías, y dada su finalidad, el enunciado </w:t>
      </w:r>
      <w:r>
        <w:rPr>
          <w:rFonts w:ascii="Verdana" w:hAnsi="Verdana" w:cs="Arial"/>
          <w:sz w:val="20"/>
          <w:szCs w:val="20"/>
          <w:lang w:val="es-MX"/>
        </w:rPr>
        <w:t>‘</w:t>
      </w:r>
      <w:r w:rsidRPr="00F8199A">
        <w:rPr>
          <w:rFonts w:ascii="Verdana" w:hAnsi="Verdana" w:cs="Arial"/>
          <w:sz w:val="20"/>
          <w:szCs w:val="20"/>
          <w:lang w:val="es-MX"/>
        </w:rPr>
        <w:t>contratación direct</w:t>
      </w:r>
      <w:r>
        <w:rPr>
          <w:rFonts w:ascii="Verdana" w:hAnsi="Verdana" w:cs="Arial"/>
          <w:sz w:val="20"/>
          <w:szCs w:val="20"/>
          <w:lang w:val="es-MX"/>
        </w:rPr>
        <w:t>a’</w:t>
      </w:r>
      <w:r w:rsidRPr="00F8199A">
        <w:rPr>
          <w:rFonts w:ascii="Verdana" w:hAnsi="Verdana" w:cs="Arial"/>
          <w:sz w:val="20"/>
          <w:szCs w:val="20"/>
          <w:lang w:val="es-MX"/>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8199A">
        <w:rPr>
          <w:rFonts w:ascii="Verdana" w:hAnsi="Verdana" w:cs="Arial"/>
          <w:sz w:val="20"/>
          <w:szCs w:val="20"/>
          <w:vertAlign w:val="superscript"/>
          <w:lang w:val="es-MX"/>
        </w:rPr>
        <w:footnoteReference w:id="12"/>
      </w:r>
      <w:r w:rsidRPr="00F8199A">
        <w:rPr>
          <w:rFonts w:ascii="Verdana" w:hAnsi="Verdana" w:cs="Arial"/>
          <w:sz w:val="20"/>
          <w:szCs w:val="20"/>
          <w:vertAlign w:val="superscript"/>
          <w:lang w:val="es-MX"/>
        </w:rPr>
        <w:t>.</w:t>
      </w:r>
      <w:r w:rsidRPr="00F8199A">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hAnsi="Verdana" w:cs="Arial"/>
          <w:sz w:val="20"/>
          <w:szCs w:val="20"/>
          <w:lang w:val="es-MX"/>
        </w:rPr>
        <w:t xml:space="preserve"> </w:t>
      </w:r>
      <w:r w:rsidRPr="00F8199A">
        <w:rPr>
          <w:rFonts w:ascii="Verdana" w:hAnsi="Verdana" w:cs="Arial"/>
          <w:sz w:val="20"/>
          <w:szCs w:val="20"/>
          <w:lang w:val="es-MX"/>
        </w:rPr>
        <w:t>[...]</w:t>
      </w:r>
      <w:r>
        <w:rPr>
          <w:rFonts w:ascii="Verdana" w:hAnsi="Verdana" w:cs="Arial"/>
          <w:sz w:val="20"/>
          <w:szCs w:val="20"/>
          <w:lang w:val="es-MX"/>
        </w:rPr>
        <w:t>”</w:t>
      </w:r>
      <w:r w:rsidRPr="00F8199A">
        <w:rPr>
          <w:rFonts w:ascii="Verdana" w:hAnsi="Verdana" w:cs="Arial"/>
          <w:sz w:val="20"/>
          <w:szCs w:val="20"/>
          <w:vertAlign w:val="superscript"/>
          <w:lang w:eastAsia="es-CO"/>
        </w:rPr>
        <w:footnoteReference w:id="13"/>
      </w:r>
      <w:r w:rsidRPr="00F8199A">
        <w:rPr>
          <w:rFonts w:ascii="Verdana" w:hAnsi="Verdana" w:cs="Arial"/>
          <w:sz w:val="20"/>
          <w:szCs w:val="20"/>
          <w:lang w:val="es-MX"/>
        </w:rPr>
        <w:t>.</w:t>
      </w:r>
    </w:p>
    <w:p w14:paraId="4BAD39B0" w14:textId="77777777" w:rsidR="00024D9C" w:rsidRPr="00F8199A" w:rsidRDefault="00024D9C" w:rsidP="00024D9C">
      <w:pPr>
        <w:shd w:val="clear" w:color="auto" w:fill="FFFFFF"/>
        <w:spacing w:after="0" w:line="276" w:lineRule="auto"/>
        <w:ind w:firstLine="709"/>
        <w:jc w:val="both"/>
        <w:rPr>
          <w:rFonts w:ascii="Verdana" w:hAnsi="Verdana" w:cs="Arial"/>
          <w:lang w:eastAsia="x-none"/>
        </w:rPr>
      </w:pPr>
    </w:p>
    <w:p w14:paraId="4F8AF080" w14:textId="77777777" w:rsidR="00024D9C" w:rsidRPr="00F8199A" w:rsidRDefault="00024D9C" w:rsidP="00024D9C">
      <w:pPr>
        <w:spacing w:after="120" w:line="276" w:lineRule="auto"/>
        <w:ind w:firstLine="708"/>
        <w:jc w:val="both"/>
        <w:rPr>
          <w:rFonts w:ascii="Verdana" w:hAnsi="Verdana" w:cs="Arial"/>
          <w:bCs/>
          <w:lang w:eastAsia="x-none"/>
        </w:rPr>
      </w:pPr>
      <w:r w:rsidRPr="00F8199A">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F8199A">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F8199A">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F8199A">
        <w:rPr>
          <w:rFonts w:ascii="Verdana" w:hAnsi="Verdana" w:cs="Arial"/>
          <w:vertAlign w:val="superscript"/>
          <w:lang w:val="en-GB" w:eastAsia="x-none"/>
        </w:rPr>
        <w:footnoteReference w:id="14"/>
      </w:r>
      <w:r w:rsidRPr="00F8199A">
        <w:rPr>
          <w:rFonts w:ascii="Verdana" w:hAnsi="Verdana" w:cs="Arial"/>
          <w:lang w:eastAsia="x-none"/>
        </w:rPr>
        <w:t xml:space="preserve"> y sistematizó las causales de contratación directa</w:t>
      </w:r>
      <w:r w:rsidRPr="00F8199A">
        <w:rPr>
          <w:rFonts w:ascii="Verdana" w:hAnsi="Verdana" w:cs="Arial"/>
          <w:vertAlign w:val="superscript"/>
          <w:lang w:val="en-GB" w:eastAsia="x-none"/>
        </w:rPr>
        <w:footnoteReference w:id="15"/>
      </w:r>
      <w:r w:rsidRPr="00F8199A">
        <w:rPr>
          <w:rFonts w:ascii="Verdana" w:hAnsi="Verdana" w:cs="Arial"/>
          <w:lang w:eastAsia="x-none"/>
        </w:rPr>
        <w:t xml:space="preserve">. </w:t>
      </w:r>
    </w:p>
    <w:p w14:paraId="203936FE" w14:textId="77777777" w:rsidR="00024D9C" w:rsidRPr="00F8199A" w:rsidRDefault="00024D9C" w:rsidP="00024D9C">
      <w:pPr>
        <w:spacing w:after="120" w:line="276" w:lineRule="auto"/>
        <w:ind w:firstLine="708"/>
        <w:jc w:val="both"/>
        <w:rPr>
          <w:rFonts w:ascii="Verdana" w:hAnsi="Verdana" w:cs="Arial"/>
          <w:lang w:val="es-MX" w:eastAsia="x-none"/>
        </w:rPr>
      </w:pPr>
      <w:r w:rsidRPr="00F8199A">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sidRPr="00F8199A">
        <w:rPr>
          <w:rFonts w:ascii="Verdana" w:hAnsi="Verdana" w:cs="Arial"/>
          <w:lang w:eastAsia="x-none"/>
        </w:rPr>
        <w:t>contratación directa</w:t>
      </w:r>
      <w:r>
        <w:rPr>
          <w:rFonts w:ascii="Verdana" w:hAnsi="Verdana" w:cs="Arial"/>
          <w:lang w:eastAsia="en-GB"/>
        </w:rPr>
        <w:t>”</w:t>
      </w:r>
      <w:r w:rsidRPr="00F8199A">
        <w:rPr>
          <w:rFonts w:ascii="Verdana" w:hAnsi="Verdana" w:cs="Arial"/>
          <w:lang w:eastAsia="x-none"/>
        </w:rPr>
        <w:t xml:space="preserve">, precisando el Consejo de Estado –en el concepto citado– que, </w:t>
      </w:r>
      <w:r>
        <w:rPr>
          <w:rFonts w:ascii="Verdana" w:hAnsi="Verdana" w:cs="Arial"/>
          <w:lang w:eastAsia="x-none"/>
        </w:rPr>
        <w:t>“</w:t>
      </w:r>
      <w:r w:rsidRPr="00F8199A">
        <w:rPr>
          <w:rFonts w:ascii="Verdana" w:hAnsi="Verdana" w:cs="Arial"/>
          <w:lang w:eastAsia="x-none"/>
        </w:rPr>
        <w:t xml:space="preserve">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w:t>
      </w:r>
      <w:r w:rsidRPr="00F8199A">
        <w:rPr>
          <w:rFonts w:ascii="Verdana" w:hAnsi="Verdana" w:cs="Arial"/>
          <w:lang w:eastAsia="x-none"/>
        </w:rPr>
        <w:lastRenderedPageBreak/>
        <w:t>especiales e, incluso, en el derecho privado</w:t>
      </w:r>
      <w:r w:rsidRPr="00F8199A">
        <w:rPr>
          <w:rFonts w:ascii="Verdana" w:hAnsi="Verdana" w:cs="Arial"/>
          <w:vertAlign w:val="superscript"/>
          <w:lang w:val="en-GB" w:eastAsia="x-none"/>
        </w:rPr>
        <w:footnoteReference w:id="16"/>
      </w:r>
      <w:r w:rsidRPr="00F8199A">
        <w:rPr>
          <w:rFonts w:ascii="Verdana" w:hAnsi="Verdana" w:cs="Arial"/>
          <w:lang w:eastAsia="x-none"/>
        </w:rPr>
        <w:t>, han establecido sistemas de contratación que implican convocatoria pública y participación de varios oferentes</w:t>
      </w:r>
      <w:r>
        <w:rPr>
          <w:rFonts w:ascii="Verdana" w:hAnsi="Verdana" w:cs="Arial"/>
          <w:lang w:eastAsia="en-GB"/>
        </w:rPr>
        <w:t>”</w:t>
      </w:r>
      <w:r w:rsidRPr="00F8199A">
        <w:rPr>
          <w:rFonts w:ascii="Verdana" w:hAnsi="Verdana" w:cs="Arial"/>
          <w:lang w:eastAsia="x-none"/>
        </w:rPr>
        <w:t xml:space="preserve">. </w:t>
      </w:r>
    </w:p>
    <w:p w14:paraId="4DFF759B" w14:textId="77777777" w:rsidR="00024D9C" w:rsidRPr="00F8199A" w:rsidRDefault="00024D9C" w:rsidP="00024D9C">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E</w:t>
      </w:r>
      <w:r w:rsidRPr="00F8199A">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hAnsi="Verdana" w:cs="Arial"/>
          <w:lang w:eastAsia="x-none"/>
        </w:rPr>
        <w:t>“</w:t>
      </w:r>
      <w:r w:rsidRPr="00F8199A">
        <w:rPr>
          <w:rFonts w:ascii="Verdana" w:hAnsi="Verdana" w:cs="Arial"/>
          <w:lang w:eastAsia="x-none"/>
        </w:rPr>
        <w:t>contratación directa</w:t>
      </w:r>
      <w:r>
        <w:rPr>
          <w:rFonts w:ascii="Verdana" w:hAnsi="Verdana" w:cs="Arial"/>
          <w:lang w:eastAsia="x-none"/>
        </w:rPr>
        <w:t>”</w:t>
      </w:r>
      <w:r w:rsidRPr="00F8199A">
        <w:rPr>
          <w:rFonts w:ascii="Verdana" w:hAnsi="Verdana" w:cs="Arial"/>
          <w:lang w:eastAsia="x-none"/>
        </w:rPr>
        <w:t>, es que la convocatoria para inscribirse en forma previa se haga de manera pública, y que se permita la participación de una pluralidad de oferentes</w:t>
      </w:r>
      <w:r w:rsidRPr="00F8199A">
        <w:rPr>
          <w:rFonts w:ascii="Verdana" w:hAnsi="Verdana" w:cs="Arial"/>
          <w:vertAlign w:val="superscript"/>
          <w:lang w:eastAsia="x-none"/>
        </w:rPr>
        <w:footnoteReference w:id="17"/>
      </w:r>
      <w:r w:rsidRPr="00F8199A">
        <w:rPr>
          <w:rFonts w:ascii="Verdana" w:hAnsi="Verdana" w:cs="Arial"/>
          <w:lang w:eastAsia="x-none"/>
        </w:rPr>
        <w:t xml:space="preserve">. </w:t>
      </w:r>
    </w:p>
    <w:p w14:paraId="5C4F9226" w14:textId="77777777" w:rsidR="00024D9C" w:rsidRPr="00F8199A" w:rsidRDefault="00024D9C" w:rsidP="00024D9C">
      <w:pPr>
        <w:spacing w:after="120" w:line="276" w:lineRule="auto"/>
        <w:ind w:firstLine="708"/>
        <w:jc w:val="both"/>
        <w:rPr>
          <w:rFonts w:ascii="Verdana" w:hAnsi="Verdana" w:cs="Arial"/>
          <w:bCs/>
          <w:lang w:val="es-MX" w:eastAsia="es-CO"/>
        </w:rPr>
      </w:pPr>
      <w:r w:rsidRPr="00F8199A">
        <w:rPr>
          <w:rFonts w:ascii="Verdana"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hAnsi="Verdana" w:cs="Arial"/>
          <w:bCs/>
          <w:lang w:val="es-MX" w:eastAsia="es-CO"/>
        </w:rPr>
        <w:t>“</w:t>
      </w:r>
      <w:r w:rsidRPr="00F8199A">
        <w:rPr>
          <w:rFonts w:ascii="Verdana" w:hAnsi="Verdana" w:cs="Arial"/>
          <w:bCs/>
          <w:lang w:val="es-MX" w:eastAsia="es-CO"/>
        </w:rPr>
        <w:t>contratación directa</w:t>
      </w:r>
      <w:r>
        <w:rPr>
          <w:rFonts w:ascii="Verdana" w:hAnsi="Verdana" w:cs="Arial"/>
          <w:bCs/>
          <w:lang w:val="es-MX" w:eastAsia="es-CO"/>
        </w:rPr>
        <w:t>”</w:t>
      </w:r>
      <w:r w:rsidRPr="00F8199A">
        <w:rPr>
          <w:rFonts w:ascii="Verdana" w:hAnsi="Verdana" w:cs="Arial"/>
          <w:bCs/>
          <w:lang w:val="es-MX" w:eastAsia="es-CO"/>
        </w:rPr>
        <w:t>.</w:t>
      </w:r>
    </w:p>
    <w:p w14:paraId="73A6A9A6" w14:textId="77777777" w:rsidR="00024D9C" w:rsidRPr="00F8199A" w:rsidRDefault="00024D9C" w:rsidP="00024D9C">
      <w:pPr>
        <w:spacing w:after="12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w:t>
      </w:r>
      <w:r>
        <w:rPr>
          <w:rFonts w:ascii="Verdana" w:hAnsi="Verdana" w:cs="Arial"/>
          <w:bCs/>
          <w:lang w:val="es-MX" w:eastAsia="x-none"/>
        </w:rPr>
        <w:t>“</w:t>
      </w:r>
      <w:r w:rsidRPr="00F8199A">
        <w:rPr>
          <w:rFonts w:ascii="Verdana" w:hAnsi="Verdana" w:cs="Arial"/>
          <w:bCs/>
          <w:lang w:val="es-MX" w:eastAsia="x-none"/>
        </w:rPr>
        <w:t>contratación directa</w:t>
      </w:r>
      <w:r>
        <w:rPr>
          <w:rFonts w:ascii="Verdana" w:hAnsi="Verdana" w:cs="Arial"/>
          <w:bCs/>
          <w:lang w:val="es-MX" w:eastAsia="x-none"/>
        </w:rPr>
        <w:t>”</w:t>
      </w:r>
      <w:r w:rsidRPr="00F8199A">
        <w:rPr>
          <w:rFonts w:ascii="Verdana"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8199A">
        <w:rPr>
          <w:rFonts w:ascii="Verdana" w:hAnsi="Verdana" w:cs="Arial"/>
          <w:vertAlign w:val="superscript"/>
          <w:lang w:eastAsia="x-none"/>
        </w:rPr>
        <w:footnoteReference w:id="18"/>
      </w:r>
      <w:r w:rsidRPr="00F8199A">
        <w:rPr>
          <w:rFonts w:ascii="Verdana" w:hAnsi="Verdana" w:cs="Arial"/>
          <w:bCs/>
          <w:lang w:val="es-MX" w:eastAsia="x-none"/>
        </w:rPr>
        <w:t>.</w:t>
      </w:r>
      <w:r w:rsidRPr="00F8199A">
        <w:rPr>
          <w:rFonts w:ascii="Verdana" w:hAnsi="Verdana" w:cs="Arial"/>
          <w:vertAlign w:val="superscript"/>
          <w:lang w:eastAsia="x-none"/>
        </w:rPr>
        <w:t xml:space="preserve"> </w:t>
      </w:r>
    </w:p>
    <w:p w14:paraId="5BC72A15" w14:textId="77777777" w:rsidR="00024D9C" w:rsidRPr="00F8199A" w:rsidRDefault="00024D9C" w:rsidP="00024D9C">
      <w:pPr>
        <w:spacing w:after="120" w:line="276" w:lineRule="auto"/>
        <w:ind w:firstLine="708"/>
        <w:jc w:val="both"/>
        <w:rPr>
          <w:rFonts w:ascii="Verdana" w:hAnsi="Verdana" w:cs="Arial"/>
          <w:lang w:eastAsia="x-none"/>
        </w:rPr>
      </w:pPr>
      <w:r w:rsidRPr="00F8199A">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8199A">
        <w:rPr>
          <w:rFonts w:ascii="Verdana" w:hAnsi="Verdana" w:cs="Arial"/>
          <w:lang w:eastAsia="x-none"/>
        </w:rPr>
        <w:t xml:space="preserve"> Por tanto, no son materia de la prohibición las demás modalidades de selección previstas </w:t>
      </w:r>
      <w:r w:rsidRPr="00F8199A">
        <w:rPr>
          <w:rFonts w:ascii="Verdana" w:hAnsi="Verdana" w:cs="Arial"/>
          <w:lang w:eastAsia="x-none"/>
        </w:rPr>
        <w:lastRenderedPageBreak/>
        <w:t>en la Ley 1150 de 2007, es decir, la licitación pública, el concurso de méritos y la selección abreviada, razón por la cual en ese período preelectoral de que trata la disposición pueden las entidades públicas seguir contratando bajo estos sistemas.</w:t>
      </w:r>
    </w:p>
    <w:p w14:paraId="02A64D50" w14:textId="77777777" w:rsidR="00024D9C" w:rsidRPr="00F8199A" w:rsidRDefault="00024D9C" w:rsidP="00024D9C">
      <w:pPr>
        <w:spacing w:after="120" w:line="276" w:lineRule="auto"/>
        <w:ind w:firstLine="708"/>
        <w:jc w:val="both"/>
        <w:rPr>
          <w:rFonts w:ascii="Verdana" w:hAnsi="Verdana" w:cs="Arial"/>
          <w:bCs/>
          <w:lang w:val="es-MX" w:eastAsia="x-none"/>
        </w:rPr>
      </w:pPr>
      <w:bookmarkStart w:id="12" w:name="_Hlk77237094"/>
      <w:r w:rsidRPr="00F8199A">
        <w:rPr>
          <w:rFonts w:ascii="Verdana"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12"/>
    </w:p>
    <w:p w14:paraId="40F095D5" w14:textId="77777777" w:rsidR="00024D9C" w:rsidRPr="00F8199A" w:rsidRDefault="00024D9C" w:rsidP="00024D9C">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8199A">
        <w:rPr>
          <w:rFonts w:ascii="Verdana" w:hAnsi="Verdana" w:cs="Arial"/>
          <w:bCs/>
          <w:lang w:val="es-MX" w:eastAsia="es-CO"/>
        </w:rPr>
        <w:t xml:space="preserve"> </w:t>
      </w:r>
      <w:r>
        <w:rPr>
          <w:rFonts w:ascii="Verdana" w:hAnsi="Verdana" w:cs="Arial"/>
          <w:bCs/>
          <w:lang w:val="es-MX" w:eastAsia="es-CO"/>
        </w:rPr>
        <w:t xml:space="preserve">Es </w:t>
      </w:r>
      <w:r w:rsidRPr="00F8199A">
        <w:rPr>
          <w:rFonts w:ascii="Verdana" w:hAnsi="Verdana" w:cs="Arial"/>
          <w:bCs/>
          <w:lang w:val="es-MX" w:eastAsia="es-CO"/>
        </w:rPr>
        <w:t>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8B0E6D1" w14:textId="77777777" w:rsidR="00024D9C" w:rsidRDefault="00024D9C" w:rsidP="00024D9C">
      <w:pPr>
        <w:spacing w:after="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3" w:name="_Hlk74309042"/>
      <w:r w:rsidRPr="00F8199A">
        <w:rPr>
          <w:rFonts w:ascii="Verdana" w:hAnsi="Verdana" w:cs="Arial"/>
          <w:bCs/>
          <w:lang w:val="es-MX" w:eastAsia="x-none"/>
        </w:rPr>
        <w:t xml:space="preserve">que </w:t>
      </w:r>
      <w:r>
        <w:rPr>
          <w:rFonts w:ascii="Verdana" w:hAnsi="Verdana" w:cs="Arial"/>
          <w:bCs/>
          <w:lang w:val="es-MX" w:eastAsia="x-none"/>
        </w:rPr>
        <w:t>“</w:t>
      </w:r>
      <w:bookmarkEnd w:id="13"/>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4"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19"/>
      </w:r>
      <w:r w:rsidRPr="00F8199A">
        <w:rPr>
          <w:rFonts w:ascii="Verdana" w:hAnsi="Verdana" w:cs="Arial"/>
          <w:bCs/>
          <w:lang w:val="es-MX" w:eastAsia="x-none"/>
        </w:rPr>
        <w:t xml:space="preserve">. De ahí que la Corte haya señalado que las excepciones a la restricción protegen diversos tipos de </w:t>
      </w:r>
      <w:r w:rsidRPr="00F8199A">
        <w:rPr>
          <w:rFonts w:ascii="Verdana" w:hAnsi="Verdana" w:cs="Arial"/>
          <w:bCs/>
          <w:lang w:val="es-MX" w:eastAsia="x-none"/>
        </w:rPr>
        <w:lastRenderedPageBreak/>
        <w:t>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4"/>
    </w:p>
    <w:p w14:paraId="6593D9FB" w14:textId="77777777" w:rsidR="00024D9C" w:rsidRPr="00F8199A" w:rsidRDefault="00024D9C" w:rsidP="00024D9C">
      <w:pPr>
        <w:spacing w:after="0" w:line="276" w:lineRule="auto"/>
        <w:ind w:firstLine="708"/>
        <w:jc w:val="both"/>
        <w:rPr>
          <w:rFonts w:ascii="Verdana" w:hAnsi="Verdana" w:cs="Arial"/>
          <w:bCs/>
          <w:lang w:val="es-MX" w:eastAsia="x-none"/>
        </w:rPr>
      </w:pPr>
    </w:p>
    <w:p w14:paraId="741E6E43" w14:textId="77777777" w:rsidR="00024D9C" w:rsidRPr="00A45D99" w:rsidRDefault="00024D9C" w:rsidP="00024D9C">
      <w:pPr>
        <w:spacing w:after="0" w:line="276" w:lineRule="auto"/>
        <w:jc w:val="both"/>
        <w:rPr>
          <w:rFonts w:ascii="Verdana" w:hAnsi="Verdana" w:cs="Arial"/>
          <w:bCs/>
          <w:lang w:val="es-MX" w:eastAsia="x-none"/>
        </w:rPr>
      </w:pPr>
      <w:r w:rsidRPr="00A45D99">
        <w:rPr>
          <w:rFonts w:ascii="Verdana" w:eastAsia="Arial" w:hAnsi="Verdana" w:cs="Arial"/>
          <w:lang w:val="es-MX" w:eastAsia="es-ES" w:bidi="es-ES"/>
        </w:rPr>
        <w:t xml:space="preserve">iii. </w:t>
      </w:r>
      <w:r w:rsidRPr="00A45D99">
        <w:rPr>
          <w:rFonts w:ascii="Verdana" w:hAnsi="Verdana" w:cs="Arial"/>
          <w:bCs/>
          <w:lang w:val="es-MX" w:eastAsia="x-none"/>
        </w:rPr>
        <w:t xml:space="preserve">El artículo 33 de la Ley 996 de 2005 señala expresamente a los destinatarios de la prohibición, en el sentido de que son </w:t>
      </w:r>
      <w:r>
        <w:rPr>
          <w:rFonts w:ascii="Verdana" w:hAnsi="Verdana" w:cs="Arial"/>
          <w:bCs/>
          <w:lang w:val="es-MX" w:eastAsia="x-none"/>
        </w:rPr>
        <w:t>“</w:t>
      </w:r>
      <w:r w:rsidRPr="00A45D99">
        <w:rPr>
          <w:rFonts w:ascii="Verdana" w:hAnsi="Verdana" w:cs="Arial"/>
          <w:bCs/>
          <w:lang w:val="es-MX" w:eastAsia="x-none"/>
        </w:rPr>
        <w:t>todos los entes del Estado</w:t>
      </w:r>
      <w:r>
        <w:rPr>
          <w:rFonts w:ascii="Verdana" w:hAnsi="Verdana" w:cs="Arial"/>
          <w:bCs/>
          <w:lang w:val="es-MX" w:eastAsia="x-none"/>
        </w:rPr>
        <w:t>”</w:t>
      </w:r>
      <w:r w:rsidRPr="00A45D99">
        <w:rPr>
          <w:rFonts w:ascii="Verdana" w:hAnsi="Verdana" w:cs="Arial"/>
          <w:bCs/>
          <w:lang w:val="es-MX" w:eastAsia="x-none"/>
        </w:rPr>
        <w:t>, expresión que contempla a los diferentes organismos o entidades autorizadas por la ley para suscribir contratos.</w:t>
      </w:r>
      <w:r w:rsidRPr="00A45D99">
        <w:rPr>
          <w:rFonts w:ascii="Verdana" w:hAnsi="Verdana" w:cs="Arial"/>
          <w:lang w:val="es-MX"/>
        </w:rPr>
        <w:t xml:space="preserve"> </w:t>
      </w:r>
      <w:r w:rsidRPr="00A45D99">
        <w:rPr>
          <w:rFonts w:ascii="Verdana" w:hAnsi="Verdana" w:cs="Arial"/>
          <w:bCs/>
          <w:lang w:val="es-MX" w:eastAsia="x-none"/>
        </w:rPr>
        <w:t xml:space="preserve">En efecto, tal como lo ha sostenido el Consejo de Estado, el vocablo </w:t>
      </w:r>
      <w:r>
        <w:rPr>
          <w:rFonts w:ascii="Verdana" w:hAnsi="Verdana" w:cs="Arial"/>
          <w:bCs/>
          <w:lang w:val="es-MX" w:eastAsia="x-none"/>
        </w:rPr>
        <w:t>“</w:t>
      </w:r>
      <w:r w:rsidRPr="00A45D99">
        <w:rPr>
          <w:rFonts w:ascii="Verdana" w:hAnsi="Verdana" w:cs="Arial"/>
          <w:bCs/>
          <w:lang w:val="es-MX" w:eastAsia="x-none"/>
        </w:rPr>
        <w:t>todos</w:t>
      </w:r>
      <w:r>
        <w:rPr>
          <w:rFonts w:ascii="Verdana" w:hAnsi="Verdana" w:cs="Arial"/>
          <w:bCs/>
          <w:lang w:val="es-MX" w:eastAsia="x-none"/>
        </w:rPr>
        <w:t>”</w:t>
      </w:r>
      <w:r w:rsidRPr="00A45D99">
        <w:rPr>
          <w:rFonts w:ascii="Verdana" w:hAnsi="Verdana" w:cs="Arial"/>
          <w:bCs/>
          <w:lang w:val="es-MX" w:eastAsia="x-none"/>
        </w:rPr>
        <w:t xml:space="preserve"> utilizado por el legislador comprende</w:t>
      </w:r>
      <w:r w:rsidRPr="00A45D99">
        <w:rPr>
          <w:rFonts w:ascii="Verdana" w:hAnsi="Verdana" w:cs="Arial"/>
          <w:lang w:val="es-MX"/>
        </w:rPr>
        <w:t xml:space="preserve"> </w:t>
      </w:r>
      <w:r w:rsidRPr="00A45D99">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4E78F8C0" w14:textId="77777777" w:rsidR="00024D9C" w:rsidRPr="00A45D99" w:rsidRDefault="00024D9C" w:rsidP="00024D9C">
      <w:pPr>
        <w:spacing w:after="0" w:line="276" w:lineRule="auto"/>
        <w:ind w:firstLine="708"/>
        <w:jc w:val="both"/>
        <w:rPr>
          <w:rFonts w:ascii="Verdana" w:hAnsi="Verdana" w:cs="Arial"/>
          <w:bCs/>
          <w:lang w:val="es-MX" w:eastAsia="x-none"/>
        </w:rPr>
      </w:pPr>
    </w:p>
    <w:p w14:paraId="11EBB3B2" w14:textId="77777777" w:rsidR="00024D9C" w:rsidRPr="00A45D99" w:rsidRDefault="00024D9C" w:rsidP="00024D9C">
      <w:pPr>
        <w:spacing w:after="0" w:line="240" w:lineRule="auto"/>
        <w:ind w:left="708" w:right="709"/>
        <w:jc w:val="both"/>
        <w:rPr>
          <w:rFonts w:ascii="Verdana" w:hAnsi="Verdana" w:cs="Arial"/>
          <w:bCs/>
          <w:sz w:val="20"/>
          <w:szCs w:val="20"/>
          <w:lang w:val="es-MX" w:eastAsia="es-CO"/>
        </w:rPr>
      </w:pPr>
      <w:r w:rsidRPr="00A45D99">
        <w:rPr>
          <w:rFonts w:ascii="Verdana" w:hAnsi="Verdana" w:cs="Arial"/>
          <w:bCs/>
          <w:sz w:val="20"/>
          <w:szCs w:val="20"/>
          <w:lang w:val="es-MX" w:eastAsia="x-none"/>
        </w:rPr>
        <w:t xml:space="preserve">“El artículo 33 de la ley 996 de 2005, </w:t>
      </w:r>
      <w:bookmarkStart w:id="15" w:name="_Hlk75787147"/>
      <w:r w:rsidRPr="00A45D99">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A45D99">
        <w:rPr>
          <w:rFonts w:ascii="Verdana" w:hAnsi="Verdana" w:cs="Arial"/>
          <w:bCs/>
          <w:sz w:val="20"/>
          <w:szCs w:val="20"/>
          <w:vertAlign w:val="superscript"/>
          <w:lang w:val="es-MX" w:eastAsia="x-none"/>
        </w:rPr>
        <w:footnoteReference w:id="20"/>
      </w:r>
      <w:r w:rsidRPr="00A45D99">
        <w:rPr>
          <w:rFonts w:ascii="Verdana" w:hAnsi="Verdana" w:cs="Arial"/>
          <w:bCs/>
          <w:sz w:val="20"/>
          <w:szCs w:val="20"/>
          <w:lang w:val="es-MX" w:eastAsia="x-none"/>
        </w:rPr>
        <w:t>.</w:t>
      </w:r>
      <w:r w:rsidRPr="00A45D99">
        <w:rPr>
          <w:rFonts w:ascii="Verdana" w:hAnsi="Verdana" w:cs="Arial"/>
          <w:bCs/>
          <w:sz w:val="20"/>
          <w:szCs w:val="20"/>
          <w:lang w:val="es-MX" w:eastAsia="es-CO"/>
        </w:rPr>
        <w:t xml:space="preserve"> </w:t>
      </w:r>
    </w:p>
    <w:p w14:paraId="1A597441" w14:textId="77777777" w:rsidR="00024D9C" w:rsidRPr="00A45D99" w:rsidRDefault="00024D9C" w:rsidP="00024D9C">
      <w:pPr>
        <w:spacing w:after="0" w:line="276" w:lineRule="auto"/>
        <w:ind w:firstLine="708"/>
        <w:jc w:val="both"/>
        <w:rPr>
          <w:rFonts w:ascii="Verdana" w:hAnsi="Verdana" w:cs="Arial"/>
          <w:bCs/>
          <w:lang w:val="es-MX" w:eastAsia="es-CO"/>
        </w:rPr>
      </w:pPr>
    </w:p>
    <w:p w14:paraId="74CDAB1D" w14:textId="77777777" w:rsidR="00024D9C" w:rsidRPr="00A45D99" w:rsidRDefault="00024D9C" w:rsidP="00024D9C">
      <w:pPr>
        <w:spacing w:after="0" w:line="276" w:lineRule="auto"/>
        <w:ind w:firstLine="708"/>
        <w:jc w:val="both"/>
        <w:rPr>
          <w:rFonts w:ascii="Verdana" w:hAnsi="Verdana" w:cs="Arial"/>
          <w:lang w:val="es-MX"/>
        </w:rPr>
      </w:pPr>
      <w:r w:rsidRPr="00A45D99">
        <w:rPr>
          <w:rFonts w:ascii="Verdana" w:hAnsi="Verdana" w:cs="Arial"/>
          <w:bCs/>
          <w:lang w:val="es-MX" w:eastAsia="x-none"/>
        </w:rPr>
        <w:t xml:space="preserve">De igual forma, en Concepto con radicado 1738 de 6 de abril de 2006, esa misma Corporación manifestó que </w:t>
      </w:r>
      <w:r>
        <w:rPr>
          <w:rFonts w:ascii="Verdana" w:hAnsi="Verdana" w:cs="Arial"/>
          <w:bCs/>
          <w:lang w:val="es-MX" w:eastAsia="x-none"/>
        </w:rPr>
        <w:t>“</w:t>
      </w:r>
      <w:r w:rsidRPr="00A45D99">
        <w:rPr>
          <w:rFonts w:ascii="Verdana"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w:t>
      </w:r>
      <w:r w:rsidRPr="00A45D99">
        <w:rPr>
          <w:rFonts w:ascii="Verdana" w:hAnsi="Verdana" w:cs="Arial"/>
          <w:bCs/>
          <w:lang w:val="es-MX" w:eastAsia="x-none"/>
        </w:rPr>
        <w:lastRenderedPageBreak/>
        <w:t>interadministrativo sea ordenada, para ambas partes, por el Legislador</w:t>
      </w:r>
      <w:r>
        <w:rPr>
          <w:rFonts w:ascii="Verdana" w:hAnsi="Verdana" w:cs="Arial"/>
          <w:bCs/>
          <w:lang w:val="es-MX" w:eastAsia="x-none"/>
        </w:rPr>
        <w:t>”</w:t>
      </w:r>
      <w:bookmarkStart w:id="16" w:name="_Hlk75758868"/>
      <w:bookmarkStart w:id="17" w:name="_Hlk75741220"/>
      <w:r w:rsidRPr="00A45D99">
        <w:rPr>
          <w:rFonts w:ascii="Verdana" w:hAnsi="Verdana" w:cs="Arial"/>
          <w:vertAlign w:val="superscript"/>
          <w:lang w:val="es-MX"/>
        </w:rPr>
        <w:footnoteReference w:id="21"/>
      </w:r>
      <w:bookmarkEnd w:id="16"/>
      <w:bookmarkEnd w:id="17"/>
      <w:r w:rsidRPr="00A45D99">
        <w:rPr>
          <w:rFonts w:ascii="Verdana" w:hAnsi="Verdana" w:cs="Arial"/>
          <w:bCs/>
          <w:lang w:val="es-MX" w:eastAsia="x-none"/>
        </w:rPr>
        <w:t>.</w:t>
      </w:r>
      <w:r w:rsidRPr="00A45D99">
        <w:rPr>
          <w:rFonts w:ascii="Verdana" w:hAnsi="Verdana" w:cs="Arial"/>
          <w:lang w:val="es-MX"/>
        </w:rPr>
        <w:t xml:space="preserve"> Sin embargo, debe precisarse el siguiente aspecto que distinguió la Sala de Consulta y Servicio Civil:</w:t>
      </w:r>
    </w:p>
    <w:p w14:paraId="112A7F02" w14:textId="77777777" w:rsidR="00024D9C" w:rsidRPr="00A45D99" w:rsidRDefault="00024D9C" w:rsidP="00024D9C">
      <w:pPr>
        <w:spacing w:after="0" w:line="276" w:lineRule="auto"/>
        <w:jc w:val="both"/>
        <w:rPr>
          <w:rFonts w:ascii="Verdana" w:hAnsi="Verdana" w:cs="Arial"/>
          <w:lang w:val="es-MX"/>
        </w:rPr>
      </w:pPr>
    </w:p>
    <w:p w14:paraId="265732CA" w14:textId="77777777" w:rsidR="00024D9C" w:rsidRPr="00A45D99" w:rsidRDefault="00024D9C" w:rsidP="00024D9C">
      <w:pPr>
        <w:spacing w:after="0" w:line="240" w:lineRule="auto"/>
        <w:ind w:left="708" w:right="709"/>
        <w:jc w:val="both"/>
        <w:rPr>
          <w:rFonts w:ascii="Verdana" w:hAnsi="Verdana" w:cs="Arial"/>
          <w:sz w:val="20"/>
          <w:szCs w:val="20"/>
          <w:lang w:val="es-MX"/>
        </w:rPr>
      </w:pPr>
      <w:bookmarkStart w:id="19" w:name="_Hlk75811446"/>
      <w:r w:rsidRPr="00A45D99">
        <w:rPr>
          <w:rFonts w:ascii="Verdana"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9"/>
      <w:r w:rsidRPr="00A45D99">
        <w:rPr>
          <w:rFonts w:ascii="Verdana" w:hAnsi="Verdana" w:cs="Arial"/>
          <w:sz w:val="20"/>
          <w:szCs w:val="20"/>
          <w:lang w:val="es-MX"/>
        </w:rPr>
        <w:t>”</w:t>
      </w:r>
      <w:r w:rsidRPr="00A45D99">
        <w:rPr>
          <w:rFonts w:ascii="Verdana" w:hAnsi="Verdana" w:cs="Arial"/>
          <w:sz w:val="20"/>
          <w:szCs w:val="20"/>
          <w:vertAlign w:val="superscript"/>
          <w:lang w:val="es-MX"/>
        </w:rPr>
        <w:footnoteReference w:id="22"/>
      </w:r>
      <w:r w:rsidRPr="00A45D99">
        <w:rPr>
          <w:rFonts w:ascii="Verdana" w:hAnsi="Verdana" w:cs="Arial"/>
          <w:bCs/>
          <w:sz w:val="20"/>
          <w:szCs w:val="20"/>
          <w:lang w:val="es-MX" w:eastAsia="x-none"/>
        </w:rPr>
        <w:t>.</w:t>
      </w:r>
    </w:p>
    <w:p w14:paraId="7A4438A9" w14:textId="77777777" w:rsidR="00024D9C" w:rsidRPr="00A45D99" w:rsidRDefault="00024D9C" w:rsidP="00024D9C">
      <w:pPr>
        <w:spacing w:after="0" w:line="276" w:lineRule="auto"/>
        <w:jc w:val="both"/>
        <w:rPr>
          <w:rFonts w:ascii="Verdana" w:hAnsi="Verdana" w:cs="Arial"/>
          <w:lang w:val="es-MX"/>
        </w:rPr>
      </w:pPr>
    </w:p>
    <w:p w14:paraId="263E9DF6" w14:textId="77777777" w:rsidR="00024D9C" w:rsidRPr="00A45D99" w:rsidRDefault="00024D9C" w:rsidP="00024D9C">
      <w:pPr>
        <w:spacing w:after="120" w:line="276" w:lineRule="auto"/>
        <w:ind w:firstLine="709"/>
        <w:jc w:val="both"/>
        <w:rPr>
          <w:rFonts w:ascii="Verdana" w:hAnsi="Verdana" w:cs="Arial"/>
          <w:bCs/>
          <w:lang w:val="es-MX" w:eastAsia="x-none"/>
        </w:rPr>
      </w:pPr>
      <w:r w:rsidRPr="00A45D99">
        <w:rPr>
          <w:rFonts w:ascii="Verdana" w:hAnsi="Verdana" w:cs="Arial"/>
          <w:lang w:val="es-MX"/>
        </w:rPr>
        <w:t>Aplicando este razonamiento,</w:t>
      </w:r>
      <w:bookmarkStart w:id="20" w:name="_Hlk75811096"/>
      <w:r w:rsidRPr="00A45D99">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w:t>
      </w:r>
      <w:r>
        <w:rPr>
          <w:rFonts w:ascii="Verdana" w:hAnsi="Verdana" w:cs="Arial"/>
          <w:lang w:val="es-MX"/>
        </w:rPr>
        <w:t>“</w:t>
      </w:r>
      <w:r w:rsidRPr="00A45D99">
        <w:rPr>
          <w:rFonts w:ascii="Verdana" w:hAnsi="Verdana" w:cs="Arial"/>
          <w:lang w:val="es-MX"/>
        </w:rPr>
        <w:t>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20"/>
      <w:r>
        <w:rPr>
          <w:rFonts w:ascii="Verdana" w:hAnsi="Verdana" w:cs="Arial"/>
          <w:lang w:val="es-MX"/>
        </w:rPr>
        <w:t>”</w:t>
      </w:r>
      <w:r w:rsidRPr="00A45D99">
        <w:rPr>
          <w:rFonts w:ascii="Verdana" w:hAnsi="Verdana" w:cs="Arial"/>
          <w:vertAlign w:val="superscript"/>
          <w:lang w:val="es-MX"/>
        </w:rPr>
        <w:t xml:space="preserve"> </w:t>
      </w:r>
      <w:r w:rsidRPr="00A45D99">
        <w:rPr>
          <w:rFonts w:ascii="Verdana" w:hAnsi="Verdana" w:cs="Arial"/>
          <w:vertAlign w:val="superscript"/>
          <w:lang w:val="es-MX"/>
        </w:rPr>
        <w:footnoteReference w:id="23"/>
      </w:r>
      <w:r w:rsidRPr="00A45D99">
        <w:rPr>
          <w:rFonts w:ascii="Verdana" w:hAnsi="Verdana" w:cs="Arial"/>
          <w:lang w:val="es-MX"/>
        </w:rPr>
        <w:t>.</w:t>
      </w:r>
    </w:p>
    <w:p w14:paraId="4B3EB5DE" w14:textId="77777777" w:rsidR="00024D9C" w:rsidRDefault="00024D9C" w:rsidP="00024D9C">
      <w:pPr>
        <w:spacing w:after="0" w:line="276" w:lineRule="auto"/>
        <w:ind w:firstLine="708"/>
        <w:jc w:val="both"/>
        <w:rPr>
          <w:rFonts w:ascii="Verdana" w:hAnsi="Verdana" w:cs="Arial"/>
          <w:bCs/>
          <w:lang w:val="es-MX" w:eastAsia="x-none"/>
        </w:rPr>
      </w:pPr>
      <w:bookmarkStart w:id="21" w:name="_Hlk77237229"/>
      <w:bookmarkEnd w:id="15"/>
      <w:r w:rsidRPr="00A45D99">
        <w:rPr>
          <w:rFonts w:ascii="Verdana" w:hAnsi="Verdana" w:cs="Arial"/>
          <w:lang w:val="es-MX"/>
        </w:rPr>
        <w:t>Por lo tanto, la restricción prevista en la Ley 996 de 200</w:t>
      </w:r>
      <w:bookmarkStart w:id="22" w:name="_Hlk75741539"/>
      <w:r w:rsidRPr="00A45D99">
        <w:rPr>
          <w:rFonts w:ascii="Verdana" w:hAnsi="Verdana" w:cs="Arial"/>
          <w:lang w:val="es-MX"/>
        </w:rPr>
        <w:t xml:space="preserve">5, </w:t>
      </w:r>
      <w:r w:rsidRPr="00A45D99">
        <w:rPr>
          <w:rFonts w:ascii="Verdana" w:hAnsi="Verdana" w:cs="Arial"/>
          <w:bCs/>
          <w:lang w:val="es-MX" w:eastAsia="x-none"/>
        </w:rPr>
        <w:t xml:space="preserve">teniendo en cuenta la finalidad de la ley de garantías electorales, cobija a cualquier ente </w:t>
      </w:r>
      <w:r w:rsidRPr="00A45D99">
        <w:rPr>
          <w:rFonts w:ascii="Verdana" w:hAnsi="Verdana" w:cs="Arial"/>
          <w:bCs/>
          <w:lang w:val="es-MX" w:eastAsia="x-none"/>
        </w:rPr>
        <w:lastRenderedPageBreak/>
        <w:t>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3FD3D4C6" w14:textId="77777777" w:rsidR="00024D9C" w:rsidRDefault="00024D9C" w:rsidP="00024D9C">
      <w:pPr>
        <w:spacing w:after="0" w:line="276" w:lineRule="auto"/>
        <w:ind w:firstLine="708"/>
        <w:jc w:val="both"/>
        <w:rPr>
          <w:rFonts w:ascii="Verdana" w:hAnsi="Verdana" w:cs="Arial"/>
          <w:bCs/>
          <w:lang w:val="es-MX" w:eastAsia="x-none"/>
        </w:rPr>
      </w:pPr>
    </w:p>
    <w:p w14:paraId="3C968293" w14:textId="77777777" w:rsidR="00024D9C" w:rsidRPr="0004207F" w:rsidRDefault="00024D9C" w:rsidP="00024D9C">
      <w:pPr>
        <w:spacing w:line="276" w:lineRule="auto"/>
        <w:jc w:val="both"/>
        <w:rPr>
          <w:rFonts w:ascii="Verdana" w:hAnsi="Verdana" w:cs="Arial"/>
          <w:bCs/>
          <w:lang w:val="es-MX" w:eastAsia="x-none"/>
        </w:rPr>
      </w:pPr>
      <w:r w:rsidRPr="0004207F">
        <w:rPr>
          <w:rFonts w:ascii="Verdana" w:hAnsi="Verdana" w:cs="Arial"/>
          <w:bCs/>
          <w:lang w:val="es-MX" w:eastAsia="x-none"/>
        </w:rPr>
        <w:t>iv. 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04207F">
        <w:rPr>
          <w:rStyle w:val="Refdenotaalpie"/>
          <w:rFonts w:ascii="Verdana" w:hAnsi="Verdana" w:cs="Arial"/>
          <w:lang w:val="es-ES_tradnl" w:eastAsia="es-CO"/>
        </w:rPr>
        <w:footnoteReference w:id="24"/>
      </w:r>
      <w:r w:rsidRPr="0004207F">
        <w:rPr>
          <w:rFonts w:ascii="Verdana" w:hAnsi="Verdana" w:cs="Arial"/>
          <w:bCs/>
          <w:lang w:val="es-MX" w:eastAsia="x-none"/>
        </w:rPr>
        <w:t>.</w:t>
      </w:r>
    </w:p>
    <w:p w14:paraId="751C28A7" w14:textId="77777777" w:rsidR="00024D9C" w:rsidRPr="0004207F" w:rsidRDefault="00024D9C" w:rsidP="62118079">
      <w:pPr>
        <w:shd w:val="clear" w:color="auto" w:fill="FFFFFF" w:themeFill="background1"/>
        <w:spacing w:line="276" w:lineRule="auto"/>
        <w:ind w:firstLine="709"/>
        <w:jc w:val="both"/>
        <w:rPr>
          <w:rFonts w:ascii="Verdana" w:hAnsi="Verdana" w:cs="Arial"/>
          <w:lang w:val="es-ES" w:eastAsia="es-CO"/>
        </w:rPr>
      </w:pPr>
      <w:r w:rsidRPr="62118079">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62118079">
        <w:rPr>
          <w:rFonts w:ascii="Verdana" w:hAnsi="Verdana" w:cs="Arial"/>
          <w:lang w:val="es-ES" w:eastAsia="es-CO"/>
        </w:rPr>
        <w:t>exequibilidad</w:t>
      </w:r>
      <w:proofErr w:type="spellEnd"/>
      <w:r w:rsidRPr="62118079">
        <w:rPr>
          <w:rFonts w:ascii="Verdana" w:hAnsi="Verdana" w:cs="Arial"/>
          <w:lang w:val="es-ES" w:eastAsia="es-CO"/>
        </w:rPr>
        <w:t>.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62118079">
        <w:rPr>
          <w:rStyle w:val="Refdenotaalpie"/>
          <w:rFonts w:ascii="Verdana" w:hAnsi="Verdana" w:cs="Arial"/>
          <w:lang w:val="es-ES" w:eastAsia="es-CO"/>
        </w:rPr>
        <w:footnoteReference w:id="25"/>
      </w:r>
      <w:r w:rsidRPr="62118079">
        <w:rPr>
          <w:rFonts w:ascii="Verdana" w:hAnsi="Verdana" w:cs="Arial"/>
          <w:lang w:val="es-ES" w:eastAsia="es-CO"/>
        </w:rPr>
        <w:t xml:space="preserve">. </w:t>
      </w:r>
    </w:p>
    <w:p w14:paraId="5450740C" w14:textId="77777777" w:rsidR="00024D9C" w:rsidRPr="0004207F" w:rsidRDefault="00024D9C" w:rsidP="00024D9C">
      <w:pPr>
        <w:shd w:val="clear" w:color="auto" w:fill="FFFFFF"/>
        <w:spacing w:line="276" w:lineRule="auto"/>
        <w:ind w:firstLine="709"/>
        <w:jc w:val="both"/>
        <w:rPr>
          <w:rFonts w:ascii="Verdana" w:hAnsi="Verdana" w:cs="Arial"/>
          <w:lang w:val="es-ES_tradnl" w:eastAsia="es-CO"/>
        </w:rPr>
      </w:pPr>
      <w:r w:rsidRPr="0004207F">
        <w:rPr>
          <w:rFonts w:ascii="Verdana" w:hAnsi="Verdana" w:cs="Arial"/>
          <w:bCs/>
          <w:lang w:val="es-ES_tradnl"/>
        </w:rPr>
        <w:t xml:space="preserve">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w:t>
      </w:r>
      <w:r w:rsidRPr="0004207F">
        <w:rPr>
          <w:rFonts w:ascii="Verdana" w:hAnsi="Verdana" w:cs="Arial"/>
          <w:bCs/>
          <w:lang w:val="es-ES_tradnl"/>
        </w:rPr>
        <w:lastRenderedPageBreak/>
        <w:t>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2D80C10F" w14:textId="77777777" w:rsidR="00024D9C" w:rsidRPr="0004207F" w:rsidRDefault="00024D9C" w:rsidP="00024D9C">
      <w:pPr>
        <w:spacing w:line="276" w:lineRule="auto"/>
        <w:ind w:firstLine="708"/>
        <w:jc w:val="both"/>
        <w:rPr>
          <w:rFonts w:ascii="Verdana" w:eastAsia="Calibri" w:hAnsi="Verdana" w:cs="Arial"/>
        </w:rPr>
      </w:pPr>
      <w:r w:rsidRPr="0004207F">
        <w:rPr>
          <w:rFonts w:ascii="Verdana" w:hAnsi="Verdana" w:cs="Arial"/>
          <w:bCs/>
          <w:lang w:val="es-MX" w:eastAsia="x-none"/>
        </w:rPr>
        <w:t>Entre las excepciones del artículo en comento se encuentran “[…] l</w:t>
      </w:r>
      <w:r w:rsidRPr="0004207F">
        <w:rPr>
          <w:rFonts w:ascii="Verdana" w:hAnsi="Verdana" w:cs="Arial"/>
          <w:bCs/>
          <w:lang w:eastAsia="x-none"/>
        </w:rPr>
        <w:t>os requeridos para cubrir las emergencias educativas, sanitarias y desastres […]</w:t>
      </w:r>
      <w:r w:rsidRPr="0004207F">
        <w:rPr>
          <w:rFonts w:ascii="Verdana" w:hAnsi="Verdana" w:cs="Arial"/>
          <w:bCs/>
          <w:lang w:val="es-MX" w:eastAsia="x-none"/>
        </w:rPr>
        <w:t>”</w:t>
      </w:r>
      <w:r w:rsidRPr="0004207F">
        <w:rPr>
          <w:rFonts w:ascii="Verdana" w:eastAsia="Calibri" w:hAnsi="Verdana" w:cs="Arial"/>
        </w:rPr>
        <w:t xml:space="preserve">. Sobre el alcance de estas excepciones, es necesario tener en cuenta que el </w:t>
      </w:r>
      <w:r w:rsidRPr="0004207F">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04207F">
        <w:rPr>
          <w:rFonts w:ascii="Verdana" w:eastAsia="Calibri" w:hAnsi="Verdana" w:cs="Arial"/>
          <w:bCs/>
          <w:i/>
          <w:iCs/>
          <w:color w:val="000000" w:themeColor="text1"/>
        </w:rPr>
        <w:t>ibidem</w:t>
      </w:r>
      <w:r w:rsidRPr="0004207F">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04207F">
        <w:rPr>
          <w:rStyle w:val="Refdenotaalpie"/>
          <w:rFonts w:ascii="Verdana" w:eastAsia="Calibri" w:hAnsi="Verdana" w:cs="Arial"/>
          <w:bCs/>
          <w:color w:val="000000" w:themeColor="text1"/>
        </w:rPr>
        <w:footnoteReference w:id="26"/>
      </w:r>
      <w:r w:rsidRPr="0004207F">
        <w:rPr>
          <w:rFonts w:ascii="Verdana" w:eastAsia="Calibri" w:hAnsi="Verdana" w:cs="Arial"/>
          <w:bCs/>
          <w:color w:val="000000" w:themeColor="text1"/>
        </w:rPr>
        <w:t>.</w:t>
      </w:r>
    </w:p>
    <w:p w14:paraId="3F7B27FA" w14:textId="77777777" w:rsidR="00024D9C" w:rsidRPr="0004207F" w:rsidRDefault="00024D9C" w:rsidP="00024D9C">
      <w:pPr>
        <w:spacing w:line="276" w:lineRule="auto"/>
        <w:jc w:val="both"/>
        <w:rPr>
          <w:rFonts w:ascii="Verdana" w:eastAsia="Calibri" w:hAnsi="Verdana" w:cs="Arial"/>
          <w:bCs/>
          <w:color w:val="000000" w:themeColor="text1"/>
        </w:rPr>
      </w:pPr>
      <w:r w:rsidRPr="0004207F">
        <w:rPr>
          <w:rFonts w:ascii="Verdana" w:eastAsia="Calibri" w:hAnsi="Verdana" w:cs="Arial"/>
          <w:bCs/>
          <w:color w:val="000000" w:themeColor="text1"/>
        </w:rPr>
        <w:tab/>
        <w:t xml:space="preserve">Dentro de este marco, el inciso primero del artículo 69 de la Ley 1753 de 2015 dispone que “El Ministerio de Salud y Protección Social (MSPS) podrá declarar la emergencia sanitaria y/o eventos catastróficos, cuando se presenten situaciones por riesgo de epidemia, epidemia declarada, insuficiencia o desabastecimiento de bienes o servicios de salud o eventos catastróficos que afecten la salud colectiva, u otros cuya magnitud supere la capacidad de adaptación de la comunidad en la que aquel se produce y que la afecten en forma masiva e indiscriminada generando la necesidad de ayuda externa”. </w:t>
      </w:r>
    </w:p>
    <w:p w14:paraId="72B97F41" w14:textId="77777777" w:rsidR="00024D9C" w:rsidRPr="00D93A6C" w:rsidRDefault="00024D9C" w:rsidP="00024D9C">
      <w:pPr>
        <w:spacing w:after="120" w:line="276" w:lineRule="auto"/>
        <w:jc w:val="both"/>
        <w:rPr>
          <w:rFonts w:ascii="Verdana" w:eastAsia="Calibri" w:hAnsi="Verdana" w:cs="Arial"/>
          <w:lang w:val="es-ES"/>
        </w:rPr>
      </w:pPr>
      <w:r w:rsidRPr="0004207F">
        <w:rPr>
          <w:rFonts w:ascii="Verdana" w:eastAsia="Calibri" w:hAnsi="Verdana" w:cs="Arial"/>
          <w:bCs/>
          <w:color w:val="000000" w:themeColor="text1"/>
        </w:rPr>
        <w:lastRenderedPageBreak/>
        <w:tab/>
        <w:t xml:space="preserve">Asimismo, </w:t>
      </w:r>
      <w:r>
        <w:rPr>
          <w:rFonts w:ascii="Verdana" w:eastAsia="Calibri" w:hAnsi="Verdana" w:cs="Arial"/>
          <w:lang w:val="es-ES"/>
        </w:rPr>
        <w:t>e</w:t>
      </w:r>
      <w:r w:rsidRPr="3683B926">
        <w:rPr>
          <w:rFonts w:ascii="Verdana" w:eastAsia="Calibri" w:hAnsi="Verdana" w:cs="Arial"/>
          <w:lang w:val="es-ES"/>
        </w:rPr>
        <w:t>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w:t>
      </w:r>
      <w:r>
        <w:rPr>
          <w:rFonts w:ascii="Verdana" w:eastAsia="Calibri" w:hAnsi="Verdana" w:cs="Arial"/>
          <w:lang w:val="es-ES"/>
        </w:rPr>
        <w:t xml:space="preserve"> E</w:t>
      </w:r>
      <w:r w:rsidRPr="3683B926">
        <w:rPr>
          <w:rFonts w:ascii="Verdana" w:eastAsia="Calibri" w:hAnsi="Verdana" w:cs="Arial"/>
          <w:lang w:val="es-ES"/>
        </w:rPr>
        <w:t xml:space="preserve">n la medida en que la norma utiliza la conjunción “o”, en principio asimilaría la </w:t>
      </w:r>
      <w:r w:rsidRPr="3683B926">
        <w:rPr>
          <w:rFonts w:ascii="Verdana" w:eastAsia="Calibri" w:hAnsi="Verdana" w:cs="Arial"/>
          <w:i/>
          <w:lang w:val="es-ES"/>
        </w:rPr>
        <w:t>calamidad</w:t>
      </w:r>
      <w:r w:rsidRPr="3683B926">
        <w:rPr>
          <w:rFonts w:ascii="Verdana" w:eastAsia="Calibri" w:hAnsi="Verdana" w:cs="Arial"/>
          <w:lang w:val="es-ES"/>
        </w:rPr>
        <w:t xml:space="preserve"> y el </w:t>
      </w:r>
      <w:r w:rsidRPr="3683B926">
        <w:rPr>
          <w:rFonts w:ascii="Verdana" w:eastAsia="Calibri" w:hAnsi="Verdana" w:cs="Arial"/>
          <w:i/>
          <w:lang w:val="es-ES"/>
        </w:rPr>
        <w:t xml:space="preserve">desastre </w:t>
      </w:r>
      <w:r w:rsidRPr="3683B926">
        <w:rPr>
          <w:rFonts w:ascii="Verdana" w:eastAsia="Calibri" w:hAnsi="Verdana" w:cs="Arial"/>
          <w:lang w:val="es-ES"/>
        </w:rPr>
        <w:t xml:space="preserve">con la </w:t>
      </w:r>
      <w:r w:rsidRPr="3683B926">
        <w:rPr>
          <w:rFonts w:ascii="Verdana" w:eastAsia="Calibri" w:hAnsi="Verdana" w:cs="Arial"/>
          <w:i/>
          <w:lang w:val="es-ES"/>
        </w:rPr>
        <w:t>fuerza mayor</w:t>
      </w:r>
      <w:r w:rsidRPr="3683B926">
        <w:rPr>
          <w:rFonts w:ascii="Verdana" w:eastAsia="Calibri" w:hAnsi="Verdana" w:cs="Arial"/>
          <w:lang w:val="es-ES"/>
        </w:rPr>
        <w:t xml:space="preserve"> o el </w:t>
      </w:r>
      <w:r w:rsidRPr="3683B926">
        <w:rPr>
          <w:rFonts w:ascii="Verdana" w:eastAsia="Calibri" w:hAnsi="Verdana" w:cs="Arial"/>
          <w:i/>
          <w:lang w:val="es-ES"/>
        </w:rPr>
        <w:t>caso fortuito</w:t>
      </w:r>
      <w:r w:rsidRPr="3683B926">
        <w:rPr>
          <w:rFonts w:ascii="Verdana" w:eastAsia="Calibri" w:hAnsi="Verdana" w:cs="Arial"/>
          <w:lang w:val="es-ES"/>
        </w:rPr>
        <w:t xml:space="preserve">. </w:t>
      </w:r>
    </w:p>
    <w:p w14:paraId="5153CDDC" w14:textId="77777777" w:rsidR="00024D9C" w:rsidRPr="00D93A6C" w:rsidRDefault="00024D9C" w:rsidP="00024D9C">
      <w:pPr>
        <w:spacing w:after="0" w:line="276" w:lineRule="auto"/>
        <w:ind w:firstLine="708"/>
        <w:jc w:val="both"/>
        <w:rPr>
          <w:rFonts w:ascii="Verdana" w:eastAsia="Calibri" w:hAnsi="Verdana" w:cs="Arial"/>
          <w:lang w:val="es-ES_tradnl"/>
        </w:rPr>
      </w:pPr>
      <w:r w:rsidRPr="00D93A6C">
        <w:rPr>
          <w:rFonts w:ascii="Verdana" w:eastAsia="Calibri" w:hAnsi="Verdana" w:cs="Arial"/>
          <w:lang w:val="es-ES_tradnl"/>
        </w:rPr>
        <w:t xml:space="preserve">Al respecto, el artículo 64 del Código Civil define como tal “[…] el imprevisto o que no es posible resistir, como un naufragio, un terremoto, </w:t>
      </w:r>
      <w:bookmarkStart w:id="23" w:name="_Hlk35871146"/>
      <w:r w:rsidRPr="00D93A6C">
        <w:rPr>
          <w:rFonts w:ascii="Verdana" w:eastAsia="Calibri" w:hAnsi="Verdana" w:cs="Arial"/>
          <w:lang w:val="es-ES_tradnl"/>
        </w:rPr>
        <w:t>el apresamiento de enemigos, los actos de autoridad ejercidos por un funcionario público</w:t>
      </w:r>
      <w:bookmarkEnd w:id="23"/>
      <w:r w:rsidRPr="00D93A6C">
        <w:rPr>
          <w:rFonts w:ascii="Verdana" w:eastAsia="Calibri" w:hAnsi="Verdana" w:cs="Arial"/>
          <w:lang w:val="es-ES_tradnl"/>
        </w:rPr>
        <w:t>, etc.”</w:t>
      </w:r>
      <w:r w:rsidRPr="00D93A6C">
        <w:rPr>
          <w:rFonts w:ascii="Verdana" w:eastAsia="Calibri" w:hAnsi="Verdana" w:cs="Arial"/>
          <w:sz w:val="21"/>
          <w:szCs w:val="21"/>
          <w:vertAlign w:val="superscript"/>
          <w:lang w:val="es-ES_tradnl"/>
        </w:rPr>
        <w:footnoteReference w:id="27"/>
      </w:r>
      <w:r w:rsidRPr="00D93A6C">
        <w:rPr>
          <w:rFonts w:ascii="Verdana" w:eastAsia="Calibri" w:hAnsi="Verdana" w:cs="Arial"/>
          <w:sz w:val="21"/>
          <w:szCs w:val="21"/>
          <w:lang w:val="es-ES_tradnl"/>
        </w:rPr>
        <w:t>.</w:t>
      </w:r>
      <w:r w:rsidRPr="00D93A6C">
        <w:rPr>
          <w:rFonts w:ascii="Verdana" w:eastAsia="Calibri" w:hAnsi="Verdana" w:cs="Arial"/>
          <w:lang w:val="es-ES_tradnl"/>
        </w:rPr>
        <w:t xml:space="preserve"> Cuando provienen de fenómenos de la naturaleza estas 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w:t>
      </w:r>
      <w:r w:rsidRPr="00D93A6C">
        <w:rPr>
          <w:rFonts w:ascii="Verdana" w:eastAsia="Calibri" w:hAnsi="Verdana" w:cs="Arial"/>
          <w:lang w:val="es-ES_tradnl"/>
        </w:rPr>
        <w:lastRenderedPageBreak/>
        <w:t xml:space="preserve">estos dos conceptos también los definió </w:t>
      </w:r>
      <w:bookmarkStart w:id="24" w:name="_Hlk35879271"/>
      <w:r w:rsidRPr="00D93A6C">
        <w:rPr>
          <w:rFonts w:ascii="Verdana" w:eastAsia="Calibri" w:hAnsi="Verdana" w:cs="Arial"/>
          <w:lang w:val="es-ES_tradnl"/>
        </w:rPr>
        <w:t>el artículo 4, numerales 5 y 8, de la Ley 1523 de 2012</w:t>
      </w:r>
      <w:bookmarkEnd w:id="24"/>
      <w:r w:rsidRPr="00D93A6C">
        <w:rPr>
          <w:rFonts w:ascii="Verdana" w:eastAsia="Calibri" w:hAnsi="Verdana" w:cs="Arial"/>
          <w:lang w:val="es-ES_tradnl"/>
        </w:rPr>
        <w:t>:</w:t>
      </w:r>
    </w:p>
    <w:p w14:paraId="170D4452" w14:textId="77777777" w:rsidR="00024D9C" w:rsidRPr="00D93A6C" w:rsidRDefault="00024D9C" w:rsidP="00024D9C">
      <w:pPr>
        <w:spacing w:after="0" w:line="276" w:lineRule="auto"/>
        <w:ind w:firstLine="708"/>
        <w:jc w:val="both"/>
        <w:rPr>
          <w:rFonts w:ascii="Verdana" w:eastAsia="Calibri" w:hAnsi="Verdana" w:cs="Arial"/>
          <w:lang w:val="es-ES_tradnl"/>
        </w:rPr>
      </w:pPr>
    </w:p>
    <w:p w14:paraId="7302B7A2" w14:textId="77777777" w:rsidR="00024D9C" w:rsidRPr="00DB5641" w:rsidRDefault="00024D9C" w:rsidP="00024D9C">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“Art. 4. Para efectos de la presente ley se entenderá por:</w:t>
      </w:r>
    </w:p>
    <w:p w14:paraId="4A4BA462" w14:textId="77777777" w:rsidR="00024D9C" w:rsidRPr="00DB5641" w:rsidRDefault="00024D9C" w:rsidP="00024D9C">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w:t>
      </w:r>
    </w:p>
    <w:p w14:paraId="52EE180B" w14:textId="77777777" w:rsidR="00024D9C" w:rsidRPr="00DB5641" w:rsidRDefault="00024D9C" w:rsidP="00024D9C">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5. Calamidad pública: Es </w:t>
      </w:r>
      <w:bookmarkStart w:id="25" w:name="_Hlk35879333"/>
      <w:r w:rsidRPr="00DB5641">
        <w:rPr>
          <w:rFonts w:ascii="Verdana" w:eastAsia="Calibri" w:hAnsi="Verdana" w:cs="Arial"/>
          <w:sz w:val="20"/>
          <w:szCs w:val="20"/>
          <w:lang w:val="es-ES_tradnl"/>
        </w:rPr>
        <w:t xml:space="preserve">el resultado que se desencadena de la manifestación de uno o varios eventos naturales </w:t>
      </w:r>
      <w:bookmarkStart w:id="26" w:name="_Hlk35870820"/>
      <w:r w:rsidRPr="00DB5641">
        <w:rPr>
          <w:rFonts w:ascii="Verdana" w:eastAsia="Calibri" w:hAnsi="Verdana" w:cs="Arial"/>
          <w:sz w:val="20"/>
          <w:szCs w:val="20"/>
          <w:lang w:val="es-ES_tradnl"/>
        </w:rPr>
        <w:t xml:space="preserve">o antropogénicos no intencionales </w:t>
      </w:r>
      <w:bookmarkEnd w:id="26"/>
      <w:r w:rsidRPr="00DB5641">
        <w:rPr>
          <w:rFonts w:ascii="Verdana" w:eastAsia="Calibri" w:hAnsi="Verdana" w:cs="Arial"/>
          <w:sz w:val="20"/>
          <w:szCs w:val="20"/>
          <w:lang w:val="es-ES_tradnl"/>
        </w:rPr>
        <w:t xml:space="preserve">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w:t>
      </w:r>
      <w:bookmarkEnd w:id="25"/>
      <w:r w:rsidRPr="00DB5641">
        <w:rPr>
          <w:rFonts w:ascii="Verdana" w:eastAsia="Calibri" w:hAnsi="Verdana" w:cs="Arial"/>
          <w:sz w:val="20"/>
          <w:szCs w:val="20"/>
          <w:lang w:val="es-ES_tradnl"/>
        </w:rPr>
        <w:t>de la población, en el respectivo territorio, que exige al municipio, distrito o departamento ejecutar acciones de respuesta a la emergencia, rehabilitación y reconstrucción.</w:t>
      </w:r>
    </w:p>
    <w:p w14:paraId="131D530A" w14:textId="77777777" w:rsidR="00024D9C" w:rsidRPr="00DB5641" w:rsidRDefault="00024D9C" w:rsidP="00024D9C">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 </w:t>
      </w:r>
    </w:p>
    <w:p w14:paraId="67074F77" w14:textId="77777777" w:rsidR="00024D9C" w:rsidRPr="00D93A6C" w:rsidRDefault="00024D9C" w:rsidP="00024D9C">
      <w:pPr>
        <w:spacing w:after="0" w:line="240" w:lineRule="auto"/>
        <w:ind w:left="709" w:right="709"/>
        <w:jc w:val="both"/>
        <w:rPr>
          <w:rFonts w:ascii="Verdana" w:eastAsia="Calibri" w:hAnsi="Verdana" w:cs="Arial"/>
          <w:lang w:val="es-ES_tradnl"/>
        </w:rPr>
      </w:pPr>
      <w:r w:rsidRPr="00DB5641">
        <w:rPr>
          <w:rFonts w:ascii="Verdana" w:eastAsia="Calibri" w:hAnsi="Verdana" w:cs="Arial"/>
          <w:sz w:val="20"/>
          <w:szCs w:val="20"/>
          <w:lang w:val="es-ES_tradnl"/>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1E808836" w14:textId="77777777" w:rsidR="00024D9C" w:rsidRPr="00D93A6C" w:rsidRDefault="00024D9C" w:rsidP="00024D9C">
      <w:pPr>
        <w:spacing w:after="0" w:line="276" w:lineRule="auto"/>
        <w:ind w:left="709" w:right="709"/>
        <w:jc w:val="both"/>
        <w:rPr>
          <w:rFonts w:ascii="Verdana" w:eastAsia="Calibri" w:hAnsi="Verdana" w:cs="Arial"/>
          <w:lang w:val="es-ES_tradnl"/>
        </w:rPr>
      </w:pPr>
    </w:p>
    <w:p w14:paraId="43F63C62" w14:textId="77777777" w:rsidR="00024D9C" w:rsidRDefault="00024D9C" w:rsidP="00024D9C">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Esta norma debe armonizarse con los artículos 56 y 57 </w:t>
      </w:r>
      <w:r w:rsidRPr="3683B926">
        <w:rPr>
          <w:rFonts w:ascii="Verdana" w:eastAsia="Calibri" w:hAnsi="Verdana" w:cs="Arial"/>
          <w:i/>
          <w:lang w:val="es-ES"/>
        </w:rPr>
        <w:t>ibidem</w:t>
      </w:r>
      <w:r w:rsidRPr="3683B926">
        <w:rPr>
          <w:rFonts w:ascii="Verdana" w:eastAsia="Calibri" w:hAnsi="Verdana" w:cs="Arial"/>
          <w:lang w:val="es-ES"/>
        </w:rPr>
        <w:t xml:space="preserve">, que asignan la competencia para declarar la ocurrencia de una situación de </w:t>
      </w:r>
      <w:r w:rsidRPr="3683B926">
        <w:rPr>
          <w:rFonts w:ascii="Verdana" w:eastAsia="Calibri" w:hAnsi="Verdana" w:cs="Arial"/>
          <w:i/>
          <w:lang w:val="es-ES"/>
        </w:rPr>
        <w:t>desastre</w:t>
      </w:r>
      <w:r w:rsidRPr="3683B926">
        <w:rPr>
          <w:rFonts w:ascii="Verdana" w:eastAsia="Calibri" w:hAnsi="Verdana" w:cs="Arial"/>
          <w:lang w:val="es-ES"/>
        </w:rPr>
        <w:t xml:space="preserve"> o una situación de </w:t>
      </w:r>
      <w:r w:rsidRPr="3683B926">
        <w:rPr>
          <w:rFonts w:ascii="Verdana" w:eastAsia="Calibri" w:hAnsi="Verdana" w:cs="Arial"/>
          <w:i/>
          <w:lang w:val="es-ES"/>
        </w:rPr>
        <w:t>calamidad pública</w:t>
      </w:r>
      <w:r w:rsidRPr="3683B926">
        <w:rPr>
          <w:rFonts w:ascii="Verdana" w:eastAsia="Calibri" w:hAnsi="Verdana" w:cs="Arial"/>
          <w:lang w:val="es-ES"/>
        </w:rPr>
        <w:t xml:space="preserve">. Particularmente, disponen que al </w:t>
      </w:r>
      <w:proofErr w:type="gramStart"/>
      <w:r w:rsidRPr="3683B926">
        <w:rPr>
          <w:rFonts w:ascii="Verdana" w:eastAsia="Calibri" w:hAnsi="Verdana" w:cs="Arial"/>
          <w:lang w:val="es-ES"/>
        </w:rPr>
        <w:t>Presidente</w:t>
      </w:r>
      <w:proofErr w:type="gramEnd"/>
      <w:r w:rsidRPr="3683B926">
        <w:rPr>
          <w:rFonts w:ascii="Verdana" w:eastAsia="Calibri" w:hAnsi="Verdana" w:cs="Arial"/>
          <w:lang w:val="es-ES"/>
        </w:rPr>
        <w:t xml:space="preserve"> de la República le corresponde declarar la situación de </w:t>
      </w:r>
      <w:r w:rsidRPr="3683B926">
        <w:rPr>
          <w:rFonts w:ascii="Verdana" w:eastAsia="Calibri" w:hAnsi="Verdana" w:cs="Arial"/>
          <w:i/>
          <w:lang w:val="es-ES"/>
        </w:rPr>
        <w:t>desastre</w:t>
      </w:r>
      <w:r w:rsidRPr="3683B926">
        <w:rPr>
          <w:rFonts w:ascii="Verdana" w:eastAsia="Calibri" w:hAnsi="Verdana" w:cs="Arial"/>
          <w:lang w:val="es-ES"/>
        </w:rPr>
        <w:t>, tanto en el orden nacional, departamental, como en el municipal y distrital</w:t>
      </w:r>
      <w:r w:rsidRPr="3683B926">
        <w:rPr>
          <w:rStyle w:val="Refdenotaalpie"/>
          <w:rFonts w:ascii="Verdana" w:eastAsia="Calibri" w:hAnsi="Verdana" w:cs="Arial"/>
          <w:lang w:val="es-ES"/>
        </w:rPr>
        <w:footnoteReference w:id="28"/>
      </w:r>
      <w:r w:rsidRPr="3683B926">
        <w:rPr>
          <w:rFonts w:ascii="Verdana" w:eastAsia="Calibri" w:hAnsi="Verdana" w:cs="Arial"/>
          <w:lang w:val="es-ES"/>
        </w:rPr>
        <w:t xml:space="preserve">, facultad </w:t>
      </w:r>
      <w:r w:rsidRPr="3683B926">
        <w:rPr>
          <w:rFonts w:ascii="Verdana" w:eastAsia="Calibri" w:hAnsi="Verdana" w:cs="Arial"/>
          <w:lang w:val="es-ES"/>
        </w:rPr>
        <w:lastRenderedPageBreak/>
        <w:t xml:space="preserve">que no pueden ejercer los gobernadores y alcaldes, porque la norma no les asignó esta competencia. No obstante, a los gobernadores y alcaldes sí les corresponde declarar la </w:t>
      </w:r>
      <w:r w:rsidRPr="3683B926">
        <w:rPr>
          <w:rFonts w:ascii="Verdana" w:eastAsia="Calibri" w:hAnsi="Verdana" w:cs="Arial"/>
          <w:i/>
          <w:lang w:val="es-ES"/>
        </w:rPr>
        <w:t>situación de calamidad pública</w:t>
      </w:r>
      <w:r w:rsidRPr="3683B926">
        <w:rPr>
          <w:rFonts w:ascii="Verdana" w:eastAsia="Calibri" w:hAnsi="Verdana" w:cs="Arial"/>
          <w:lang w:val="es-ES"/>
        </w:rPr>
        <w:t>, en los respectivos ámbitos, facultad que, en cambio, no puede ejercer el presidente de la república</w:t>
      </w:r>
      <w:r w:rsidRPr="3683B926">
        <w:rPr>
          <w:rStyle w:val="Refdenotaalpie"/>
          <w:rFonts w:ascii="Verdana" w:eastAsia="Calibri" w:hAnsi="Verdana" w:cs="Arial"/>
          <w:lang w:val="es-ES"/>
        </w:rPr>
        <w:footnoteReference w:id="29"/>
      </w:r>
      <w:r w:rsidRPr="3683B926">
        <w:rPr>
          <w:rFonts w:ascii="Verdana" w:eastAsia="Calibri" w:hAnsi="Verdana" w:cs="Arial"/>
          <w:lang w:val="es-ES"/>
        </w:rPr>
        <w:t xml:space="preserve">. </w:t>
      </w:r>
    </w:p>
    <w:p w14:paraId="5877615A" w14:textId="77777777" w:rsidR="00024D9C" w:rsidRDefault="00024D9C" w:rsidP="00024D9C">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Finalmente, el artículo 2 de la Resolución del Ministerio de Educación Nacional 6519 del 1˚ de abril de 2025 dispone que </w:t>
      </w:r>
      <w:r w:rsidRPr="00626A30">
        <w:rPr>
          <w:rFonts w:ascii="Verdana" w:eastAsia="Calibri" w:hAnsi="Verdana" w:cs="Arial"/>
          <w:lang w:val="es-ES"/>
        </w:rPr>
        <w:t>la</w:t>
      </w:r>
      <w:r>
        <w:rPr>
          <w:rFonts w:ascii="Verdana" w:eastAsia="Calibri" w:hAnsi="Verdana" w:cs="Arial"/>
          <w:lang w:val="es-ES"/>
        </w:rPr>
        <w:t xml:space="preserve"> </w:t>
      </w:r>
      <w:r w:rsidRPr="00626A30">
        <w:rPr>
          <w:rFonts w:ascii="Verdana" w:eastAsia="Calibri" w:hAnsi="Verdana" w:cs="Arial"/>
          <w:lang w:val="es-ES"/>
        </w:rPr>
        <w:t>Política Pública de Gestión Integral del Riesgo Escolar y Educación en Emergencias</w:t>
      </w:r>
      <w:r>
        <w:rPr>
          <w:rFonts w:ascii="Verdana" w:eastAsia="Calibri" w:hAnsi="Verdana" w:cs="Arial"/>
          <w:lang w:val="es-ES"/>
        </w:rPr>
        <w:t xml:space="preserve"> tiene como objetivo “[…] </w:t>
      </w:r>
      <w:r w:rsidRPr="00626A30">
        <w:rPr>
          <w:rFonts w:ascii="Verdana" w:eastAsia="Calibri" w:hAnsi="Verdana" w:cs="Arial"/>
          <w:lang w:val="es-ES"/>
        </w:rPr>
        <w:t>es proteger, durante</w:t>
      </w:r>
      <w:r>
        <w:rPr>
          <w:rFonts w:ascii="Verdana" w:eastAsia="Calibri" w:hAnsi="Verdana" w:cs="Arial"/>
          <w:lang w:val="es-ES"/>
        </w:rPr>
        <w:t xml:space="preserve"> </w:t>
      </w:r>
      <w:r w:rsidRPr="00626A30">
        <w:rPr>
          <w:rFonts w:ascii="Verdana" w:eastAsia="Calibri" w:hAnsi="Verdana" w:cs="Arial"/>
          <w:lang w:val="es-ES"/>
        </w:rPr>
        <w:t>toda la trayectoria educativa, el derecho a la educación de niños, niñas, adolescentes, jóvenes</w:t>
      </w:r>
      <w:r>
        <w:rPr>
          <w:rFonts w:ascii="Verdana" w:eastAsia="Calibri" w:hAnsi="Verdana" w:cs="Arial"/>
          <w:lang w:val="es-ES"/>
        </w:rPr>
        <w:t xml:space="preserve"> </w:t>
      </w:r>
      <w:r w:rsidRPr="00626A30">
        <w:rPr>
          <w:rFonts w:ascii="Verdana" w:eastAsia="Calibri" w:hAnsi="Verdana" w:cs="Arial"/>
          <w:lang w:val="es-ES"/>
        </w:rPr>
        <w:t>y adultos y salvaguardar su vida e integridad, junto con la de los docentes, directivos docentes</w:t>
      </w:r>
      <w:r>
        <w:rPr>
          <w:rFonts w:ascii="Verdana" w:eastAsia="Calibri" w:hAnsi="Verdana" w:cs="Arial"/>
          <w:lang w:val="es-ES"/>
        </w:rPr>
        <w:t xml:space="preserve"> </w:t>
      </w:r>
      <w:r w:rsidRPr="00626A30">
        <w:rPr>
          <w:rFonts w:ascii="Verdana" w:eastAsia="Calibri" w:hAnsi="Verdana" w:cs="Arial"/>
          <w:lang w:val="es-ES"/>
        </w:rPr>
        <w:t>y personal administrativo, frente a los riesgos derivados de los fenómenos amenazantes de</w:t>
      </w:r>
      <w:r>
        <w:rPr>
          <w:rFonts w:ascii="Verdana" w:eastAsia="Calibri" w:hAnsi="Verdana" w:cs="Arial"/>
          <w:lang w:val="es-ES"/>
        </w:rPr>
        <w:t xml:space="preserve"> </w:t>
      </w:r>
      <w:r w:rsidRPr="00626A30">
        <w:rPr>
          <w:rFonts w:ascii="Verdana" w:eastAsia="Calibri" w:hAnsi="Verdana" w:cs="Arial"/>
          <w:lang w:val="es-ES"/>
        </w:rPr>
        <w:t>origen natural, socio natural y antrópico no intencionado así como también de aquellos que</w:t>
      </w:r>
      <w:r>
        <w:rPr>
          <w:rFonts w:ascii="Verdana" w:eastAsia="Calibri" w:hAnsi="Verdana" w:cs="Arial"/>
          <w:lang w:val="es-ES"/>
        </w:rPr>
        <w:t xml:space="preserve"> </w:t>
      </w:r>
      <w:r w:rsidRPr="00626A30">
        <w:rPr>
          <w:rFonts w:ascii="Verdana" w:eastAsia="Calibri" w:hAnsi="Verdana" w:cs="Arial"/>
          <w:lang w:val="es-ES"/>
        </w:rPr>
        <w:t>son resultado de los fenómenos sociales, en particular aquellos que se encuentran asociados</w:t>
      </w:r>
      <w:r>
        <w:rPr>
          <w:rFonts w:ascii="Verdana" w:eastAsia="Calibri" w:hAnsi="Verdana" w:cs="Arial"/>
          <w:lang w:val="es-ES"/>
        </w:rPr>
        <w:t xml:space="preserve"> </w:t>
      </w:r>
      <w:r w:rsidRPr="00626A30">
        <w:rPr>
          <w:rFonts w:ascii="Verdana" w:eastAsia="Calibri" w:hAnsi="Verdana" w:cs="Arial"/>
          <w:lang w:val="es-ES"/>
        </w:rPr>
        <w:t>con conflicto armado interno, fortaleciendo el conocimiento, la reducción del riesgo, así como</w:t>
      </w:r>
      <w:r>
        <w:rPr>
          <w:rFonts w:ascii="Verdana" w:eastAsia="Calibri" w:hAnsi="Verdana" w:cs="Arial"/>
          <w:lang w:val="es-ES"/>
        </w:rPr>
        <w:t xml:space="preserve"> </w:t>
      </w:r>
      <w:r w:rsidRPr="00626A30">
        <w:rPr>
          <w:rFonts w:ascii="Verdana" w:eastAsia="Calibri" w:hAnsi="Verdana" w:cs="Arial"/>
          <w:lang w:val="es-ES"/>
        </w:rPr>
        <w:t>el manejo de desastres y la vulneración de derechos en entornos escolares</w:t>
      </w:r>
      <w:r>
        <w:rPr>
          <w:rFonts w:ascii="Verdana" w:eastAsia="Calibri" w:hAnsi="Verdana" w:cs="Arial"/>
          <w:lang w:val="es-ES"/>
        </w:rPr>
        <w:t>”</w:t>
      </w:r>
      <w:r w:rsidRPr="00626A30">
        <w:rPr>
          <w:rFonts w:ascii="Verdana" w:eastAsia="Calibri" w:hAnsi="Verdana" w:cs="Arial"/>
          <w:lang w:val="es-ES"/>
        </w:rPr>
        <w:t>.</w:t>
      </w:r>
      <w:r>
        <w:rPr>
          <w:rFonts w:ascii="Verdana" w:eastAsia="Calibri" w:hAnsi="Verdana" w:cs="Arial"/>
          <w:lang w:val="es-ES"/>
        </w:rPr>
        <w:t xml:space="preserve"> </w:t>
      </w:r>
    </w:p>
    <w:p w14:paraId="76DEAD28" w14:textId="77777777" w:rsidR="00024D9C" w:rsidRPr="00D93A6C" w:rsidRDefault="00024D9C" w:rsidP="00024D9C">
      <w:pPr>
        <w:spacing w:after="0" w:line="276" w:lineRule="auto"/>
        <w:ind w:firstLine="709"/>
        <w:jc w:val="both"/>
        <w:rPr>
          <w:rFonts w:ascii="Verdana" w:eastAsia="Calibri" w:hAnsi="Verdana" w:cs="Arial"/>
          <w:lang w:val="es-ES"/>
        </w:rPr>
      </w:pPr>
      <w:r>
        <w:rPr>
          <w:rFonts w:ascii="Verdana" w:eastAsia="Calibri" w:hAnsi="Verdana" w:cs="Arial"/>
          <w:lang w:val="es-ES"/>
        </w:rPr>
        <w:t xml:space="preserve">De acuerdo con el documento que se integra a dicho acto administrativo conforme al artículo 4 </w:t>
      </w:r>
      <w:r w:rsidRPr="00626A30">
        <w:rPr>
          <w:rFonts w:ascii="Verdana" w:eastAsia="Calibri" w:hAnsi="Verdana" w:cs="Arial"/>
          <w:i/>
          <w:iCs/>
          <w:lang w:val="es-ES"/>
        </w:rPr>
        <w:t>ibidem</w:t>
      </w:r>
      <w:r>
        <w:rPr>
          <w:rFonts w:ascii="Verdana" w:eastAsia="Calibri" w:hAnsi="Verdana" w:cs="Arial"/>
          <w:lang w:val="es-ES"/>
        </w:rPr>
        <w:t>, “</w:t>
      </w:r>
      <w:r w:rsidRPr="001A33C1">
        <w:rPr>
          <w:rFonts w:ascii="Verdana" w:eastAsia="Calibri" w:hAnsi="Verdana" w:cs="Arial"/>
          <w:lang w:val="es-ES"/>
        </w:rPr>
        <w:t>Para llevar a cabo la definición y organización de los objetivos específicos, ejes y líneas de</w:t>
      </w:r>
      <w:r>
        <w:rPr>
          <w:rFonts w:ascii="Verdana" w:eastAsia="Calibri" w:hAnsi="Verdana" w:cs="Arial"/>
          <w:lang w:val="es-ES"/>
        </w:rPr>
        <w:t xml:space="preserve"> </w:t>
      </w:r>
      <w:r w:rsidRPr="001A33C1">
        <w:rPr>
          <w:rFonts w:ascii="Verdana" w:eastAsia="Calibri" w:hAnsi="Verdana" w:cs="Arial"/>
          <w:lang w:val="es-ES"/>
        </w:rPr>
        <w:t>acción de la Política Pública GIRE se tomó como referencia lo planteado desde el marco de</w:t>
      </w:r>
      <w:r>
        <w:rPr>
          <w:rFonts w:ascii="Verdana" w:eastAsia="Calibri" w:hAnsi="Verdana" w:cs="Arial"/>
          <w:lang w:val="es-ES"/>
        </w:rPr>
        <w:t xml:space="preserve"> </w:t>
      </w:r>
      <w:r w:rsidRPr="001A33C1">
        <w:rPr>
          <w:rFonts w:ascii="Verdana" w:eastAsia="Calibri" w:hAnsi="Verdana" w:cs="Arial"/>
          <w:lang w:val="es-ES"/>
        </w:rPr>
        <w:t>Sendai y la Ley 1523 de 2012 con relación a los procesos para la gestión del riesgo:</w:t>
      </w:r>
      <w:r>
        <w:rPr>
          <w:rFonts w:ascii="Verdana" w:eastAsia="Calibri" w:hAnsi="Verdana" w:cs="Arial"/>
          <w:lang w:val="es-ES"/>
        </w:rPr>
        <w:t xml:space="preserve"> </w:t>
      </w:r>
      <w:r w:rsidRPr="001A33C1">
        <w:rPr>
          <w:rFonts w:ascii="Verdana" w:eastAsia="Calibri" w:hAnsi="Verdana" w:cs="Arial"/>
          <w:lang w:val="es-ES"/>
        </w:rPr>
        <w:t>conocimiento, reducción y manejo del desastre</w:t>
      </w:r>
      <w:r>
        <w:rPr>
          <w:rFonts w:ascii="Verdana" w:eastAsia="Calibri" w:hAnsi="Verdana" w:cs="Arial"/>
          <w:lang w:val="es-ES"/>
        </w:rPr>
        <w:t xml:space="preserve">. </w:t>
      </w:r>
      <w:r w:rsidRPr="00CD73B5">
        <w:rPr>
          <w:rFonts w:ascii="Verdana" w:eastAsia="Calibri" w:hAnsi="Verdana" w:cs="Arial"/>
          <w:lang w:val="es-ES"/>
        </w:rPr>
        <w:t>En cada uno de los procesos, el sector</w:t>
      </w:r>
      <w:r>
        <w:rPr>
          <w:rFonts w:ascii="Verdana" w:eastAsia="Calibri" w:hAnsi="Verdana" w:cs="Arial"/>
          <w:lang w:val="es-ES"/>
        </w:rPr>
        <w:t xml:space="preserve"> </w:t>
      </w:r>
      <w:r w:rsidRPr="00CD73B5">
        <w:rPr>
          <w:rFonts w:ascii="Verdana" w:eastAsia="Calibri" w:hAnsi="Verdana" w:cs="Arial"/>
          <w:lang w:val="es-ES"/>
        </w:rPr>
        <w:lastRenderedPageBreak/>
        <w:t>educación incluye la vulneración de derechos de los niños, niños, adolescentes, jóvenes y</w:t>
      </w:r>
      <w:r>
        <w:rPr>
          <w:rFonts w:ascii="Verdana" w:eastAsia="Calibri" w:hAnsi="Verdana" w:cs="Arial"/>
          <w:lang w:val="es-ES"/>
        </w:rPr>
        <w:t xml:space="preserve"> </w:t>
      </w:r>
      <w:r w:rsidRPr="00CD73B5">
        <w:rPr>
          <w:rFonts w:ascii="Verdana" w:eastAsia="Calibri" w:hAnsi="Verdana" w:cs="Arial"/>
          <w:lang w:val="es-ES"/>
        </w:rPr>
        <w:t>adultos por parte de actores armados</w:t>
      </w:r>
      <w:r>
        <w:rPr>
          <w:rFonts w:ascii="Verdana" w:eastAsia="Calibri" w:hAnsi="Verdana" w:cs="Arial"/>
          <w:lang w:val="es-ES"/>
        </w:rPr>
        <w:t xml:space="preserve">”. Esto significa que, </w:t>
      </w:r>
      <w:r w:rsidRPr="00CD73B5">
        <w:rPr>
          <w:rFonts w:ascii="Verdana" w:eastAsia="Calibri" w:hAnsi="Verdana" w:cs="Arial"/>
          <w:i/>
          <w:iCs/>
          <w:lang w:val="es-ES"/>
        </w:rPr>
        <w:t>para efectos de las emergencias educativas</w:t>
      </w:r>
      <w:r>
        <w:rPr>
          <w:rFonts w:ascii="Verdana" w:eastAsia="Calibri" w:hAnsi="Verdana" w:cs="Arial"/>
          <w:lang w:val="es-ES"/>
        </w:rPr>
        <w:t xml:space="preserve">, debe tomarse como referencia el marco normativo por el cual el Congreso de la República </w:t>
      </w:r>
      <w:r w:rsidRPr="00CD73B5">
        <w:rPr>
          <w:rFonts w:ascii="Verdana" w:eastAsia="Calibri" w:hAnsi="Verdana" w:cs="Arial"/>
          <w:lang w:val="es-ES"/>
        </w:rPr>
        <w:t>adopt</w:t>
      </w:r>
      <w:r>
        <w:rPr>
          <w:rFonts w:ascii="Verdana" w:eastAsia="Calibri" w:hAnsi="Verdana" w:cs="Arial"/>
          <w:lang w:val="es-ES"/>
        </w:rPr>
        <w:t>ó</w:t>
      </w:r>
      <w:r w:rsidRPr="00CD73B5">
        <w:rPr>
          <w:rFonts w:ascii="Verdana" w:eastAsia="Calibri" w:hAnsi="Verdana" w:cs="Arial"/>
          <w:lang w:val="es-ES"/>
        </w:rPr>
        <w:t xml:space="preserve"> la política nacional de gestión del riesgo de desastres y se establece el Sistema Nacional de Gestión del Riesgo de Desastres</w:t>
      </w:r>
      <w:r>
        <w:rPr>
          <w:rFonts w:ascii="Verdana" w:eastAsia="Calibri" w:hAnsi="Verdana" w:cs="Arial"/>
          <w:lang w:val="es-ES"/>
        </w:rPr>
        <w:t xml:space="preserve">. </w:t>
      </w:r>
    </w:p>
    <w:p w14:paraId="57A5D436" w14:textId="77777777" w:rsidR="00024D9C" w:rsidRPr="00037111" w:rsidRDefault="00024D9C" w:rsidP="00024D9C">
      <w:pPr>
        <w:spacing w:after="0" w:line="276" w:lineRule="auto"/>
        <w:jc w:val="both"/>
        <w:rPr>
          <w:rFonts w:ascii="Verdana" w:eastAsia="Arial" w:hAnsi="Verdana" w:cs="Arial"/>
          <w:bCs/>
        </w:rPr>
      </w:pPr>
    </w:p>
    <w:p w14:paraId="0FCAFF0D" w14:textId="77777777" w:rsidR="00024D9C" w:rsidRPr="00667CD6" w:rsidRDefault="00024D9C" w:rsidP="00024D9C">
      <w:pPr>
        <w:spacing w:after="120" w:line="276" w:lineRule="auto"/>
        <w:jc w:val="both"/>
        <w:rPr>
          <w:rFonts w:ascii="Verdana" w:hAnsi="Verdana" w:cs="Arial"/>
          <w:lang w:val="es-ES"/>
        </w:rPr>
      </w:pPr>
      <w:r>
        <w:rPr>
          <w:rFonts w:ascii="Verdana" w:eastAsia="Calibri" w:hAnsi="Verdana" w:cs="Arial"/>
        </w:rPr>
        <w:t xml:space="preserve">v. </w:t>
      </w:r>
      <w:bookmarkEnd w:id="21"/>
      <w:bookmarkEnd w:id="22"/>
      <w:r w:rsidRPr="00667CD6">
        <w:rPr>
          <w:rFonts w:ascii="Verdana" w:hAnsi="Verdana" w:cs="Arial"/>
          <w:lang w:val="es-ES"/>
        </w:rPr>
        <w:t xml:space="preserve">Ahora bien, respecto del alcance del parágrafo </w:t>
      </w:r>
      <w:r w:rsidRPr="00667CD6">
        <w:rPr>
          <w:rFonts w:ascii="Verdana" w:hAnsi="Verdana" w:cs="Arial"/>
        </w:rPr>
        <w:t>del artículo 38 de la Ley 996 de 2005, esta prohibición dispone que “</w:t>
      </w:r>
      <w:r>
        <w:rPr>
          <w:rFonts w:ascii="Verdana" w:hAnsi="Verdana" w:cs="Arial"/>
        </w:rPr>
        <w:t>L</w:t>
      </w:r>
      <w:r w:rsidRPr="00667CD6">
        <w:rPr>
          <w:rFonts w:ascii="Verdana" w:hAnsi="Verdana" w:cs="Arial"/>
        </w:rPr>
        <w:t xml:space="preserve">os Gobernadores, </w:t>
      </w:r>
      <w:proofErr w:type="gramStart"/>
      <w:r w:rsidRPr="00667CD6">
        <w:rPr>
          <w:rFonts w:ascii="Verdana" w:hAnsi="Verdana" w:cs="Arial"/>
        </w:rPr>
        <w:t>Alcaldes</w:t>
      </w:r>
      <w:proofErr w:type="gramEnd"/>
      <w:r w:rsidRPr="00667CD6">
        <w:rPr>
          <w:rFonts w:ascii="Verdana" w:hAnsi="Verdana" w:cs="Arial"/>
        </w:rPr>
        <w:t xml:space="preserve"> Municipales y/o Distritales, Secretarios, Gerentes y directores de Entidades Descentralizadas del orden Municipal, Departamental o Distrital, dentro de los cuatro (4) meses anteriores a las elecciones, no podrán celebrar </w:t>
      </w:r>
      <w:r w:rsidRPr="00DC2873">
        <w:rPr>
          <w:rFonts w:ascii="Verdana" w:hAnsi="Verdana" w:cs="Arial"/>
        </w:rPr>
        <w:t>convenios interadministrativos para la ejecución de recursos públicos</w:t>
      </w:r>
      <w:r w:rsidRPr="00667CD6">
        <w:rPr>
          <w:rFonts w:ascii="Verdana" w:hAnsi="Verdana" w:cs="Arial"/>
        </w:rPr>
        <w:t>”.</w:t>
      </w:r>
      <w:r w:rsidRPr="00667CD6">
        <w:rPr>
          <w:rFonts w:ascii="Verdana" w:eastAsia="Times New Roman" w:hAnsi="Verdana" w:cs="Arial"/>
          <w:lang w:val="es-MX" w:eastAsia="x-none"/>
        </w:rPr>
        <w:t xml:space="preserve"> </w:t>
      </w:r>
    </w:p>
    <w:p w14:paraId="79A74A9E" w14:textId="77777777" w:rsidR="00024D9C" w:rsidRPr="00667CD6" w:rsidRDefault="00024D9C" w:rsidP="00024D9C">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30"/>
      </w:r>
      <w:r w:rsidRPr="00667CD6">
        <w:rPr>
          <w:rFonts w:ascii="Verdana" w:hAnsi="Verdana" w:cs="Arial"/>
          <w:lang w:eastAsia="es-ES"/>
        </w:rPr>
        <w:t>.</w:t>
      </w:r>
    </w:p>
    <w:p w14:paraId="21E698BF" w14:textId="77777777" w:rsidR="00024D9C" w:rsidRPr="00667CD6" w:rsidRDefault="00024D9C" w:rsidP="00024D9C">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267E88EB" w14:textId="77777777" w:rsidR="00024D9C" w:rsidRPr="00667CD6" w:rsidRDefault="00024D9C" w:rsidP="00024D9C">
      <w:pPr>
        <w:spacing w:before="120" w:after="0" w:line="276" w:lineRule="auto"/>
        <w:ind w:firstLine="708"/>
        <w:jc w:val="both"/>
        <w:rPr>
          <w:rFonts w:ascii="Verdana" w:hAnsi="Verdana" w:cs="Arial"/>
          <w:lang w:val="es-ES_tradnl"/>
        </w:rPr>
      </w:pPr>
      <w:r w:rsidRPr="2035D652">
        <w:rPr>
          <w:rFonts w:ascii="Verdana" w:hAnsi="Verdana" w:cs="Arial"/>
          <w:lang w:val="es-ES"/>
        </w:rPr>
        <w:t xml:space="preserve">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w:t>
      </w:r>
      <w:r w:rsidRPr="2035D652">
        <w:rPr>
          <w:rFonts w:ascii="Verdana" w:hAnsi="Verdana" w:cs="Arial"/>
          <w:lang w:val="es-ES"/>
        </w:rPr>
        <w:lastRenderedPageBreak/>
        <w:t>oferentes</w:t>
      </w:r>
      <w:r w:rsidRPr="2035D652">
        <w:rPr>
          <w:rFonts w:ascii="Verdana" w:hAnsi="Verdana" w:cs="Arial"/>
          <w:vertAlign w:val="superscript"/>
          <w:lang w:val="es-ES"/>
        </w:rPr>
        <w:footnoteReference w:id="31"/>
      </w:r>
      <w:r w:rsidRPr="2035D652">
        <w:rPr>
          <w:rFonts w:ascii="Verdana" w:hAnsi="Verdana" w:cs="Arial"/>
          <w:lang w:val="es-ES"/>
        </w:rPr>
        <w:t>. Nótese que, en este caso, lo que cambia es la modalidad de selección y no la naturaleza de contrato interadministrativo.</w:t>
      </w:r>
    </w:p>
    <w:p w14:paraId="5F575551" w14:textId="77777777" w:rsidR="00024D9C" w:rsidRPr="00667CD6" w:rsidRDefault="00024D9C" w:rsidP="00024D9C">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32"/>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3470FC3D" w14:textId="77777777" w:rsidR="00024D9C" w:rsidRPr="00667CD6" w:rsidRDefault="00024D9C" w:rsidP="00024D9C">
      <w:pPr>
        <w:spacing w:before="120" w:after="0" w:line="276" w:lineRule="auto"/>
        <w:ind w:firstLine="708"/>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3"/>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6D8974A4" w14:textId="77777777" w:rsidR="00024D9C" w:rsidRPr="00667CD6" w:rsidRDefault="00024D9C" w:rsidP="00024D9C">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w:t>
      </w:r>
      <w:r w:rsidRPr="00667CD6">
        <w:rPr>
          <w:rFonts w:ascii="Verdana" w:eastAsia="Times New Roman" w:hAnsi="Verdana" w:cs="Arial"/>
          <w:lang w:val="es-MX" w:eastAsia="es-CO"/>
        </w:rPr>
        <w:lastRenderedPageBreak/>
        <w:t xml:space="preserve">disposición hace referencia a dicha tipología contractual sin que el legislador hubiere contemplado un efecto extensivo a otra tipología. </w:t>
      </w:r>
    </w:p>
    <w:p w14:paraId="4D4CB887" w14:textId="77777777" w:rsidR="00024D9C" w:rsidRDefault="00024D9C" w:rsidP="00024D9C">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w:t>
      </w:r>
      <w:r>
        <w:rPr>
          <w:rFonts w:ascii="Verdana" w:eastAsia="Times New Roman" w:hAnsi="Verdana" w:cs="Arial"/>
          <w:lang w:val="es-MX" w:eastAsia="es-CO"/>
        </w:rPr>
        <w:t>-</w:t>
      </w:r>
      <w:r w:rsidRPr="00667CD6">
        <w:rPr>
          <w:rFonts w:ascii="Verdana" w:eastAsia="Times New Roman" w:hAnsi="Verdana" w:cs="Arial"/>
          <w:lang w:val="es-MX" w:eastAsia="es-CO"/>
        </w:rPr>
        <w:t>CCE, en los literales ii) y iv)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5163A3">
        <w:rPr>
          <w:rFonts w:ascii="Verdana" w:eastAsia="Times New Roman" w:hAnsi="Verdana" w:cs="Arial"/>
          <w:lang w:eastAsia="es-CO"/>
        </w:rPr>
        <w:t>”</w:t>
      </w:r>
      <w:r>
        <w:rPr>
          <w:rFonts w:ascii="Verdana" w:eastAsia="Times New Roman" w:hAnsi="Verdana" w:cs="Arial"/>
          <w:lang w:eastAsia="es-CO"/>
        </w:rPr>
        <w:t xml:space="preserve">. Es decir, no aplica a </w:t>
      </w:r>
      <w:r w:rsidRPr="0004207F">
        <w:rPr>
          <w:rFonts w:ascii="Verdana" w:hAnsi="Verdana" w:cs="Arial"/>
          <w:bCs/>
          <w:lang w:val="es-MX" w:eastAsia="x-none"/>
        </w:rPr>
        <w:t>“[…] l</w:t>
      </w:r>
      <w:r w:rsidRPr="0004207F">
        <w:rPr>
          <w:rFonts w:ascii="Verdana" w:hAnsi="Verdana" w:cs="Arial"/>
          <w:bCs/>
          <w:lang w:eastAsia="x-none"/>
        </w:rPr>
        <w:t>os requeridos para cubrir las emergencias educativas, sanitarias y desastres […]</w:t>
      </w:r>
      <w:r>
        <w:rPr>
          <w:rFonts w:ascii="Verdana" w:hAnsi="Verdana" w:cs="Arial"/>
          <w:bCs/>
          <w:lang w:eastAsia="x-none"/>
        </w:rPr>
        <w:t>”</w:t>
      </w:r>
      <w:r>
        <w:rPr>
          <w:rFonts w:ascii="Verdana" w:hAnsi="Verdana" w:cs="Arial"/>
          <w:bCs/>
          <w:lang w:val="es-MX" w:eastAsia="x-none"/>
        </w:rPr>
        <w:t>.</w:t>
      </w:r>
      <w:r w:rsidRPr="00667CD6">
        <w:rPr>
          <w:rFonts w:ascii="Verdana" w:eastAsia="Times New Roman" w:hAnsi="Verdana" w:cs="Arial"/>
          <w:lang w:eastAsia="es-CO"/>
        </w:rPr>
        <w:t xml:space="preserve"> </w:t>
      </w:r>
      <w:r>
        <w:rPr>
          <w:rFonts w:ascii="Verdana" w:eastAsia="Times New Roman" w:hAnsi="Verdana" w:cs="Arial"/>
          <w:lang w:eastAsia="es-CO"/>
        </w:rPr>
        <w:t>Por lo demás, la norma tampoco contempla excepciones respecto a la contratación con esquemas asociativos territoriales, además de que la restricción rige al margen del contenido de los proyectos que se pretendan ejecutar. Como las excepciones son de reserva legal, tampoco son disponibles por las partes al suscribir el negocio jurídico, por lo que no existe justificación alguna para desconocer la prohibición.</w:t>
      </w:r>
    </w:p>
    <w:p w14:paraId="1350041D" w14:textId="77777777" w:rsidR="00024D9C" w:rsidRPr="00667CD6" w:rsidRDefault="00024D9C" w:rsidP="00024D9C">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34"/>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w:t>
      </w:r>
      <w:r>
        <w:rPr>
          <w:rFonts w:ascii="Verdana" w:eastAsia="Times New Roman" w:hAnsi="Verdana" w:cs="Arial"/>
          <w:lang w:eastAsia="es-CO"/>
        </w:rPr>
        <w:lastRenderedPageBreak/>
        <w:t xml:space="preserve">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7FBA83AE" w14:textId="77777777" w:rsidR="00024D9C" w:rsidRPr="00667CD6" w:rsidRDefault="00024D9C" w:rsidP="00024D9C">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315A9E6D" w14:textId="77777777" w:rsidR="00024D9C" w:rsidRPr="00667CD6" w:rsidRDefault="00024D9C" w:rsidP="00024D9C">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que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5"/>
      </w:r>
      <w:r w:rsidRPr="00667CD6">
        <w:rPr>
          <w:rFonts w:ascii="Verdana" w:hAnsi="Verdana" w:cs="Arial"/>
        </w:rPr>
        <w:t xml:space="preserve">: </w:t>
      </w:r>
    </w:p>
    <w:p w14:paraId="7C7C8AF1" w14:textId="77777777" w:rsidR="00024D9C" w:rsidRPr="00667CD6" w:rsidRDefault="00024D9C" w:rsidP="00024D9C">
      <w:pPr>
        <w:spacing w:after="0" w:line="276" w:lineRule="auto"/>
        <w:ind w:firstLine="709"/>
        <w:jc w:val="both"/>
        <w:rPr>
          <w:rFonts w:ascii="Verdana" w:hAnsi="Verdana" w:cs="Arial"/>
        </w:rPr>
      </w:pPr>
    </w:p>
    <w:p w14:paraId="50EB4D77" w14:textId="77777777" w:rsidR="00024D9C" w:rsidRPr="00667CD6" w:rsidRDefault="00024D9C" w:rsidP="00024D9C">
      <w:pPr>
        <w:spacing w:after="12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w:t>
      </w:r>
      <w:r w:rsidRPr="00667CD6">
        <w:rPr>
          <w:rFonts w:ascii="Verdana" w:hAnsi="Verdana" w:cs="Arial"/>
          <w:sz w:val="20"/>
          <w:szCs w:val="20"/>
        </w:rPr>
        <w:lastRenderedPageBreak/>
        <w:t>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6E07A91E" w14:textId="77777777" w:rsidR="00024D9C" w:rsidRPr="00667CD6" w:rsidRDefault="00024D9C" w:rsidP="00024D9C">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36EFCA67" w14:textId="77777777" w:rsidR="00024D9C" w:rsidRPr="00667CD6" w:rsidRDefault="00024D9C" w:rsidP="00024D9C">
      <w:pPr>
        <w:spacing w:after="0" w:line="276" w:lineRule="auto"/>
        <w:ind w:left="709" w:right="709"/>
        <w:jc w:val="both"/>
        <w:rPr>
          <w:rFonts w:ascii="Verdana" w:hAnsi="Verdana" w:cs="Arial"/>
        </w:rPr>
      </w:pPr>
    </w:p>
    <w:p w14:paraId="2834977A" w14:textId="77777777" w:rsidR="00024D9C" w:rsidRPr="00667CD6" w:rsidRDefault="00024D9C" w:rsidP="00024D9C">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04A3F6CB" w14:textId="77777777" w:rsidR="00024D9C" w:rsidRPr="00667CD6" w:rsidRDefault="00024D9C" w:rsidP="00024D9C">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36"/>
      </w:r>
      <w:r w:rsidRPr="00667CD6">
        <w:rPr>
          <w:rFonts w:ascii="Verdana" w:eastAsia="Arial" w:hAnsi="Verdana" w:cs="Arial"/>
          <w:lang w:eastAsia="es-ES" w:bidi="es-ES"/>
        </w:rPr>
        <w:t xml:space="preserve">. Para tales </w:t>
      </w:r>
      <w:r w:rsidRPr="00667CD6">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213F8A90" w14:textId="77777777" w:rsidR="00024D9C" w:rsidRDefault="00024D9C" w:rsidP="00024D9C">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1DB36E5C" w14:textId="77777777" w:rsidR="00024D9C" w:rsidRDefault="00024D9C" w:rsidP="00024D9C">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7"/>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w:t>
      </w:r>
      <w:r w:rsidRPr="2035D652">
        <w:rPr>
          <w:rFonts w:ascii="Verdana" w:eastAsia="Times New Roman" w:hAnsi="Verdana" w:cs="Times New Roman"/>
          <w:lang w:eastAsia="es-ES"/>
        </w:rPr>
        <w:lastRenderedPageBreak/>
        <w:t xml:space="preserve">en cooperación sin ánimo económico. Por ello, la restricción legal no podía aplicarse extensivamente a los contratos. </w:t>
      </w:r>
    </w:p>
    <w:p w14:paraId="079D942B" w14:textId="77777777" w:rsidR="00024D9C" w:rsidRDefault="00024D9C" w:rsidP="00024D9C">
      <w:pPr>
        <w:spacing w:after="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8"/>
      </w:r>
      <w:r>
        <w:rPr>
          <w:rFonts w:ascii="Verdana" w:eastAsia="Times New Roman" w:hAnsi="Verdana" w:cs="Arial"/>
          <w:lang w:eastAsia="es-CO"/>
        </w:rPr>
        <w:t>.</w:t>
      </w:r>
    </w:p>
    <w:p w14:paraId="4349F9CE" w14:textId="77777777" w:rsidR="00024D9C" w:rsidRDefault="00024D9C" w:rsidP="00024D9C">
      <w:pPr>
        <w:spacing w:after="0" w:line="276" w:lineRule="auto"/>
        <w:jc w:val="both"/>
        <w:rPr>
          <w:rFonts w:ascii="Verdana" w:eastAsia="Arial" w:hAnsi="Verdana" w:cs="Arial"/>
          <w:lang w:val="es-ES" w:eastAsia="es-ES" w:bidi="es-ES"/>
        </w:rPr>
      </w:pPr>
    </w:p>
    <w:p w14:paraId="080138EB" w14:textId="77777777" w:rsidR="00024D9C" w:rsidRPr="003A380F" w:rsidRDefault="00024D9C" w:rsidP="00024D9C">
      <w:pPr>
        <w:spacing w:after="120" w:line="276" w:lineRule="auto"/>
        <w:jc w:val="both"/>
        <w:rPr>
          <w:rFonts w:ascii="Verdana" w:eastAsia="Calibri" w:hAnsi="Verdana" w:cs="Arial"/>
          <w:bCs/>
          <w:color w:val="000000" w:themeColor="text1"/>
        </w:rPr>
      </w:pPr>
      <w:r w:rsidRPr="003A380F">
        <w:rPr>
          <w:rFonts w:ascii="Verdana" w:eastAsia="Calibri" w:hAnsi="Verdana" w:cs="Arial"/>
          <w:bCs/>
          <w:color w:val="000000" w:themeColor="text1"/>
        </w:rPr>
        <w:t>vi. 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1F1441F" w14:textId="77777777" w:rsidR="00024D9C" w:rsidRPr="00185EE9" w:rsidRDefault="00024D9C" w:rsidP="00024D9C">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3A380F">
        <w:rPr>
          <w:rFonts w:ascii="Verdana" w:eastAsia="Calibri" w:hAnsi="Verdana" w:cs="Arial"/>
          <w:bCs/>
          <w:color w:val="000000" w:themeColor="text1"/>
        </w:rPr>
        <w:lastRenderedPageBreak/>
        <w:t>gestión contractual, sin que sea atribución de Colombia Compra Eficiente validar sus actuaciones.</w:t>
      </w:r>
      <w:r w:rsidRPr="00185EE9">
        <w:rPr>
          <w:rFonts w:ascii="Verdana" w:eastAsia="Calibri" w:hAnsi="Verdana" w:cs="Arial"/>
          <w:bCs/>
          <w:color w:val="000000" w:themeColor="text1"/>
        </w:rPr>
        <w:t xml:space="preserve"> </w:t>
      </w:r>
    </w:p>
    <w:p w14:paraId="0FCF2E4F" w14:textId="77777777" w:rsidR="00024D9C" w:rsidRPr="00182C89" w:rsidRDefault="00024D9C" w:rsidP="00024D9C">
      <w:pPr>
        <w:tabs>
          <w:tab w:val="left" w:pos="709"/>
        </w:tabs>
        <w:spacing w:after="0" w:line="276" w:lineRule="auto"/>
        <w:jc w:val="both"/>
        <w:rPr>
          <w:rFonts w:ascii="Verdana" w:eastAsia="Calibri" w:hAnsi="Verdana" w:cs="Arial"/>
          <w:color w:val="000000" w:themeColor="text1"/>
        </w:rPr>
      </w:pPr>
    </w:p>
    <w:p w14:paraId="1A304666" w14:textId="77777777" w:rsidR="00024D9C" w:rsidRPr="00593A5F" w:rsidRDefault="00024D9C" w:rsidP="00024D9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9096549" w14:textId="77777777" w:rsidR="00024D9C" w:rsidRPr="00593A5F" w:rsidRDefault="00024D9C" w:rsidP="00024D9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24D9C" w:rsidRPr="002407CE" w14:paraId="62B62FCD" w14:textId="77777777" w:rsidTr="00A05B86">
        <w:trPr>
          <w:trHeight w:val="870"/>
          <w:jc w:val="center"/>
        </w:trPr>
        <w:tc>
          <w:tcPr>
            <w:tcW w:w="8647" w:type="dxa"/>
          </w:tcPr>
          <w:p w14:paraId="087F7E22" w14:textId="77777777" w:rsidR="00024D9C" w:rsidRDefault="00024D9C" w:rsidP="00A05B8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Colombia, artículos 6, 127, 190 y 197.</w:t>
            </w:r>
          </w:p>
          <w:p w14:paraId="1E16A550" w14:textId="77777777" w:rsidR="00024D9C" w:rsidRDefault="00024D9C" w:rsidP="00A05B8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 y 42.</w:t>
            </w:r>
          </w:p>
          <w:p w14:paraId="65D0A210" w14:textId="77777777" w:rsidR="00024D9C" w:rsidRDefault="00024D9C" w:rsidP="00A05B8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artículos 9, 33 y 38.</w:t>
            </w:r>
          </w:p>
          <w:p w14:paraId="0FE61BE7" w14:textId="77777777" w:rsidR="00024D9C" w:rsidRDefault="00024D9C" w:rsidP="00A05B8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09C92977" w14:textId="77777777" w:rsidR="00024D9C" w:rsidRDefault="00024D9C" w:rsidP="00A05B8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1523 de 2012, artículos 4, 56 y 57.</w:t>
            </w:r>
          </w:p>
          <w:p w14:paraId="054864B8" w14:textId="77777777" w:rsidR="00024D9C" w:rsidRPr="00185EE9" w:rsidRDefault="00024D9C" w:rsidP="00A05B8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1753 de 2015, artículo 69.</w:t>
            </w:r>
          </w:p>
          <w:p w14:paraId="454C99F2" w14:textId="77777777" w:rsidR="00024D9C" w:rsidRPr="00FF0C2E" w:rsidRDefault="00024D9C" w:rsidP="00A05B8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185EE9">
              <w:rPr>
                <w:rFonts w:ascii="Verdana" w:hAnsi="Verdana" w:cs="Arial"/>
              </w:rPr>
              <w:t xml:space="preserve">Código Civil, artículos </w:t>
            </w:r>
            <w:r>
              <w:rPr>
                <w:rFonts w:ascii="Verdana" w:hAnsi="Verdana" w:cs="Arial"/>
              </w:rPr>
              <w:t>28, 29, 31 y 64</w:t>
            </w:r>
            <w:r w:rsidRPr="00185EE9">
              <w:rPr>
                <w:rFonts w:ascii="Verdana" w:hAnsi="Verdana" w:cs="Arial"/>
              </w:rPr>
              <w:t>.</w:t>
            </w:r>
          </w:p>
          <w:p w14:paraId="26BAAE1C" w14:textId="77777777" w:rsidR="00024D9C" w:rsidRPr="00F803DB" w:rsidRDefault="00024D9C" w:rsidP="00A05B86">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sidRPr="00FF0C2E">
              <w:rPr>
                <w:rFonts w:ascii="Verdana" w:hAnsi="Verdana" w:cs="Arial"/>
                <w:color w:val="000000" w:themeColor="text1"/>
                <w:lang w:val="es-ES_tradnl"/>
              </w:rPr>
              <w:t>Resolución del Ministerio de Educación Nacional 6519 de 2025</w:t>
            </w:r>
            <w:r>
              <w:rPr>
                <w:rFonts w:ascii="Verdana" w:hAnsi="Verdana" w:cs="Arial"/>
                <w:color w:val="000000" w:themeColor="text1"/>
                <w:lang w:val="es-ES_tradnl"/>
              </w:rPr>
              <w:t>, artículos 2 y 4.</w:t>
            </w:r>
          </w:p>
        </w:tc>
      </w:tr>
    </w:tbl>
    <w:p w14:paraId="0254BE31" w14:textId="77777777" w:rsidR="00024D9C" w:rsidRPr="002407CE" w:rsidRDefault="00024D9C" w:rsidP="00024D9C">
      <w:pPr>
        <w:widowControl w:val="0"/>
        <w:autoSpaceDE w:val="0"/>
        <w:autoSpaceDN w:val="0"/>
        <w:spacing w:after="0" w:line="276" w:lineRule="auto"/>
        <w:jc w:val="both"/>
        <w:rPr>
          <w:rFonts w:ascii="Verdana" w:hAnsi="Verdana" w:cs="Arial"/>
        </w:rPr>
      </w:pPr>
    </w:p>
    <w:p w14:paraId="081114CD" w14:textId="77777777" w:rsidR="00024D9C" w:rsidRPr="00593A5F" w:rsidRDefault="00024D9C" w:rsidP="00024D9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257BC64" w14:textId="77777777" w:rsidR="00024D9C" w:rsidRPr="00593A5F" w:rsidRDefault="00024D9C" w:rsidP="00024D9C">
      <w:pPr>
        <w:widowControl w:val="0"/>
        <w:autoSpaceDE w:val="0"/>
        <w:autoSpaceDN w:val="0"/>
        <w:spacing w:after="0" w:line="276" w:lineRule="auto"/>
        <w:jc w:val="both"/>
        <w:rPr>
          <w:rFonts w:ascii="Verdana" w:hAnsi="Verdana" w:cs="Arial"/>
        </w:rPr>
      </w:pPr>
    </w:p>
    <w:p w14:paraId="4AE31079" w14:textId="77777777" w:rsidR="00024D9C" w:rsidRPr="00ED0098" w:rsidRDefault="00024D9C" w:rsidP="00024D9C">
      <w:pPr>
        <w:widowControl w:val="0"/>
        <w:autoSpaceDE w:val="0"/>
        <w:autoSpaceDN w:val="0"/>
        <w:spacing w:after="0" w:line="276" w:lineRule="auto"/>
        <w:jc w:val="both"/>
        <w:rPr>
          <w:rStyle w:val="normaltextrun"/>
          <w:rFonts w:ascii="Verdana" w:hAnsi="Verdana" w:cs="Arial"/>
          <w:shd w:val="clear" w:color="auto" w:fill="FFFFFF"/>
        </w:rPr>
      </w:pPr>
      <w:r w:rsidRPr="00BC7FC8">
        <w:rPr>
          <w:rFonts w:ascii="Verdana" w:hAnsi="Verdana" w:cs="Arial"/>
          <w:shd w:val="clear" w:color="auto" w:fill="FFFFFF"/>
        </w:rPr>
        <w:t xml:space="preserve">Esta Subdirección se ha pronunciado sobre la finalidad y propósito de la Ley de Garantías Electorales en los </w:t>
      </w:r>
      <w:r>
        <w:rPr>
          <w:rFonts w:ascii="Verdana" w:hAnsi="Verdana" w:cs="Arial"/>
          <w:shd w:val="clear" w:color="auto" w:fill="FFFFFF"/>
        </w:rPr>
        <w:t>C</w:t>
      </w:r>
      <w:r w:rsidRPr="00BC7FC8">
        <w:rPr>
          <w:rFonts w:ascii="Verdana" w:hAnsi="Verdana" w:cs="Arial"/>
          <w:shd w:val="clear" w:color="auto" w:fill="FFFFFF"/>
        </w:rPr>
        <w:t>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w:t>
      </w:r>
      <w:r>
        <w:rPr>
          <w:rFonts w:ascii="Verdana" w:hAnsi="Verdana" w:cs="Arial"/>
          <w:shd w:val="clear" w:color="auto" w:fill="FFFFFF"/>
        </w:rPr>
        <w:t>, C-1186 del 17 de septiembre de 2025 y C-1350 del 1˚ de octubre de 2025</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3FBDFD8" w14:textId="77777777" w:rsidR="00024D9C" w:rsidRPr="00096788" w:rsidRDefault="00024D9C" w:rsidP="00024D9C">
      <w:pPr>
        <w:widowControl w:val="0"/>
        <w:autoSpaceDE w:val="0"/>
        <w:autoSpaceDN w:val="0"/>
        <w:spacing w:after="0" w:line="276" w:lineRule="auto"/>
        <w:jc w:val="both"/>
        <w:rPr>
          <w:rFonts w:ascii="Verdana" w:hAnsi="Verdana" w:cs="Arial"/>
          <w:color w:val="000000" w:themeColor="text1"/>
          <w:shd w:val="clear" w:color="auto" w:fill="FFFFFF"/>
        </w:rPr>
      </w:pPr>
    </w:p>
    <w:p w14:paraId="70C71039" w14:textId="77777777" w:rsidR="00024D9C" w:rsidRPr="00E440FD" w:rsidRDefault="00024D9C" w:rsidP="00024D9C">
      <w:pPr>
        <w:shd w:val="clear" w:color="auto" w:fill="FFFFFF"/>
        <w:spacing w:after="0" w:line="276" w:lineRule="auto"/>
        <w:jc w:val="both"/>
        <w:rPr>
          <w:rFonts w:ascii="Verdana" w:hAnsi="Verdana"/>
          <w:color w:val="467886"/>
          <w:u w:val="single"/>
        </w:rPr>
      </w:pPr>
      <w:r w:rsidRPr="00B83C56">
        <w:rPr>
          <w:rFonts w:ascii="Verdana" w:hAnsi="Verdana"/>
          <w:color w:val="000000"/>
        </w:rPr>
        <w:lastRenderedPageBreak/>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1FC641BC" w14:textId="77777777" w:rsidR="00024D9C" w:rsidRDefault="00024D9C" w:rsidP="00024D9C">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13D499D9" w14:textId="77777777" w:rsidR="00024D9C" w:rsidRPr="00116940" w:rsidRDefault="00024D9C" w:rsidP="00024D9C">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5E1ED76C" w14:textId="77777777" w:rsidR="00024D9C" w:rsidRPr="00116940" w:rsidRDefault="00024D9C" w:rsidP="00024D9C">
      <w:pPr>
        <w:spacing w:after="0"/>
        <w:jc w:val="both"/>
        <w:rPr>
          <w:rFonts w:ascii="Verdana" w:hAnsi="Verdana"/>
        </w:rPr>
      </w:pPr>
    </w:p>
    <w:p w14:paraId="603B2FE9" w14:textId="77777777" w:rsidR="00024D9C" w:rsidRPr="00116940" w:rsidRDefault="00024D9C" w:rsidP="00024D9C">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9A9EA24" w14:textId="77777777" w:rsidR="00024D9C" w:rsidRPr="00116940" w:rsidRDefault="00024D9C" w:rsidP="00024D9C">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66884184" w14:textId="77777777" w:rsidR="00024D9C" w:rsidRPr="00116940" w:rsidRDefault="00024D9C" w:rsidP="00024D9C">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14464803" w14:textId="77777777" w:rsidR="00024D9C" w:rsidRPr="00116940" w:rsidRDefault="00024D9C" w:rsidP="00024D9C">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67455382" w14:textId="77777777" w:rsidR="00024D9C" w:rsidRPr="00116940" w:rsidRDefault="00024D9C" w:rsidP="00024D9C">
      <w:pPr>
        <w:spacing w:after="0" w:line="240" w:lineRule="auto"/>
        <w:ind w:left="720"/>
        <w:jc w:val="both"/>
        <w:rPr>
          <w:rFonts w:ascii="Verdana" w:hAnsi="Verdana"/>
        </w:rPr>
      </w:pPr>
    </w:p>
    <w:p w14:paraId="69A199CF" w14:textId="77777777" w:rsidR="00024D9C" w:rsidRPr="00116940" w:rsidRDefault="00024D9C" w:rsidP="00024D9C">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77969681" w14:textId="77777777" w:rsidR="00024D9C" w:rsidRPr="00116940" w:rsidRDefault="00024D9C" w:rsidP="00024D9C">
      <w:pPr>
        <w:spacing w:after="0" w:line="240" w:lineRule="auto"/>
        <w:rPr>
          <w:rFonts w:ascii="Verdana" w:hAnsi="Verdana"/>
        </w:rPr>
      </w:pPr>
    </w:p>
    <w:p w14:paraId="6718B9D0" w14:textId="77777777" w:rsidR="00024D9C" w:rsidRPr="00116940" w:rsidRDefault="00024D9C" w:rsidP="00024D9C">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A9D506E" w14:textId="77777777" w:rsidR="00024D9C" w:rsidRPr="00116940" w:rsidRDefault="00024D9C" w:rsidP="00024D9C">
      <w:pPr>
        <w:spacing w:after="0" w:line="240" w:lineRule="auto"/>
        <w:jc w:val="both"/>
        <w:rPr>
          <w:rFonts w:ascii="Verdana" w:hAnsi="Verdana"/>
        </w:rPr>
      </w:pPr>
    </w:p>
    <w:p w14:paraId="40236D11" w14:textId="77777777" w:rsidR="00024D9C" w:rsidRPr="00116940" w:rsidRDefault="00024D9C" w:rsidP="00024D9C">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A1C0E9A" w14:textId="77777777" w:rsidR="00024D9C" w:rsidRPr="00116940" w:rsidRDefault="00024D9C" w:rsidP="00024D9C">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168F33A" w14:textId="77777777" w:rsidR="00024D9C" w:rsidRPr="00116940" w:rsidRDefault="00024D9C" w:rsidP="00024D9C">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247C447" w14:textId="77777777" w:rsidR="00024D9C" w:rsidRPr="009C4035" w:rsidRDefault="00024D9C" w:rsidP="00024D9C">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164180DB" w14:textId="77777777" w:rsidR="00024D9C" w:rsidRPr="00593A5F" w:rsidRDefault="00024D9C" w:rsidP="00024D9C">
      <w:pPr>
        <w:widowControl w:val="0"/>
        <w:autoSpaceDE w:val="0"/>
        <w:autoSpaceDN w:val="0"/>
        <w:spacing w:after="0" w:line="276" w:lineRule="auto"/>
        <w:jc w:val="both"/>
        <w:rPr>
          <w:rFonts w:ascii="Verdana" w:hAnsi="Verdana" w:cs="Arial"/>
          <w:lang w:val="es-ES_tradnl"/>
        </w:rPr>
      </w:pPr>
      <w:r w:rsidRPr="00593A5F">
        <w:rPr>
          <w:rFonts w:ascii="Verdana" w:hAnsi="Verdana" w:cs="Arial"/>
        </w:rPr>
        <w:lastRenderedPageBreak/>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9F919B7" w14:textId="77777777" w:rsidR="00024D9C" w:rsidRPr="00593A5F" w:rsidRDefault="00024D9C" w:rsidP="00024D9C">
      <w:pPr>
        <w:widowControl w:val="0"/>
        <w:autoSpaceDE w:val="0"/>
        <w:autoSpaceDN w:val="0"/>
        <w:spacing w:after="0" w:line="276" w:lineRule="auto"/>
        <w:jc w:val="both"/>
        <w:rPr>
          <w:rFonts w:ascii="Verdana" w:hAnsi="Verdana" w:cs="Arial"/>
        </w:rPr>
      </w:pPr>
    </w:p>
    <w:p w14:paraId="145C6F41" w14:textId="77777777" w:rsidR="00024D9C" w:rsidRPr="00593A5F" w:rsidRDefault="00024D9C" w:rsidP="00024D9C">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924C810" w14:textId="58C74A38" w:rsidR="00024D9C" w:rsidRPr="00593A5F" w:rsidRDefault="00F64083" w:rsidP="00024D9C">
      <w:pPr>
        <w:spacing w:line="276" w:lineRule="auto"/>
        <w:jc w:val="center"/>
        <w:rPr>
          <w:rFonts w:ascii="Verdana" w:hAnsi="Verdana" w:cs="Arial"/>
          <w:color w:val="000000"/>
          <w:lang w:val="es-ES_tradnl" w:eastAsia="es-CO"/>
        </w:rPr>
      </w:pPr>
      <w:r>
        <w:rPr>
          <w:noProof/>
        </w:rPr>
        <w:drawing>
          <wp:inline distT="0" distB="0" distL="0" distR="0" wp14:anchorId="70773935" wp14:editId="28DA918E">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24D9C" w:rsidRPr="00593A5F" w14:paraId="27EA3D1C" w14:textId="77777777" w:rsidTr="00A05B86">
        <w:trPr>
          <w:trHeight w:val="315"/>
        </w:trPr>
        <w:tc>
          <w:tcPr>
            <w:tcW w:w="893" w:type="dxa"/>
            <w:vAlign w:val="center"/>
            <w:hideMark/>
          </w:tcPr>
          <w:p w14:paraId="531BD12C" w14:textId="77777777" w:rsidR="00024D9C" w:rsidRPr="003751C7" w:rsidRDefault="00024D9C" w:rsidP="00A05B8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D346A23" w14:textId="77777777" w:rsidR="00024D9C" w:rsidRPr="00254A7A" w:rsidRDefault="00024D9C" w:rsidP="00A05B86">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0ED8A2CD" w14:textId="77777777" w:rsidR="00024D9C" w:rsidRPr="00254A7A" w:rsidRDefault="00024D9C" w:rsidP="00A05B86">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024D9C" w:rsidRPr="00593A5F" w14:paraId="6A78E98A" w14:textId="77777777" w:rsidTr="00A05B86">
        <w:trPr>
          <w:trHeight w:val="330"/>
        </w:trPr>
        <w:tc>
          <w:tcPr>
            <w:tcW w:w="893" w:type="dxa"/>
            <w:vAlign w:val="center"/>
            <w:hideMark/>
          </w:tcPr>
          <w:p w14:paraId="60371C35" w14:textId="77777777" w:rsidR="00024D9C" w:rsidRPr="003751C7" w:rsidRDefault="00024D9C" w:rsidP="00A05B8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D421092" w14:textId="77777777" w:rsidR="00024D9C" w:rsidRPr="00FE00BE" w:rsidRDefault="00024D9C" w:rsidP="00A05B86">
            <w:pPr>
              <w:pStyle w:val="paragraph"/>
              <w:spacing w:after="0"/>
              <w:contextualSpacing/>
              <w:textAlignment w:val="baseline"/>
              <w:rPr>
                <w:rStyle w:val="normaltextrun"/>
                <w:rFonts w:ascii="Verdana" w:hAnsi="Verdana" w:cs="Arial"/>
                <w:sz w:val="16"/>
                <w:szCs w:val="16"/>
                <w:lang w:val="es-ES_tradnl"/>
              </w:rPr>
            </w:pPr>
            <w:r w:rsidRPr="00FE00BE">
              <w:rPr>
                <w:rStyle w:val="normaltextrun"/>
                <w:rFonts w:ascii="Verdana" w:hAnsi="Verdana" w:cs="Arial"/>
                <w:sz w:val="16"/>
                <w:szCs w:val="16"/>
                <w:lang w:val="es-ES_tradnl"/>
              </w:rPr>
              <w:t>Alejandro Sarmiento Cantillo</w:t>
            </w:r>
          </w:p>
          <w:p w14:paraId="2A82796C" w14:textId="77777777" w:rsidR="00024D9C" w:rsidRPr="00FE00BE" w:rsidRDefault="00024D9C" w:rsidP="00A05B86">
            <w:pPr>
              <w:pStyle w:val="paragraph"/>
              <w:spacing w:before="0" w:beforeAutospacing="0" w:after="0" w:afterAutospacing="0"/>
              <w:contextualSpacing/>
              <w:textAlignment w:val="baseline"/>
              <w:rPr>
                <w:rFonts w:ascii="Verdana" w:hAnsi="Verdana" w:cs="Segoe UI"/>
                <w:sz w:val="16"/>
                <w:szCs w:val="16"/>
                <w:lang w:val="es-ES_tradnl"/>
              </w:rPr>
            </w:pPr>
            <w:r w:rsidRPr="00FE00BE">
              <w:rPr>
                <w:rStyle w:val="normaltextrun"/>
                <w:rFonts w:ascii="Verdana" w:hAnsi="Verdana" w:cs="Arial"/>
                <w:sz w:val="16"/>
                <w:szCs w:val="16"/>
                <w:lang w:val="es-ES_tradnl"/>
              </w:rPr>
              <w:t>Gestor T1 ‒ 15 de la Subdirección de Gestión Contractual</w:t>
            </w:r>
          </w:p>
        </w:tc>
      </w:tr>
      <w:tr w:rsidR="00024D9C" w:rsidRPr="00593A5F" w14:paraId="370EDE1B" w14:textId="77777777" w:rsidTr="00A05B86">
        <w:trPr>
          <w:trHeight w:val="300"/>
        </w:trPr>
        <w:tc>
          <w:tcPr>
            <w:tcW w:w="893" w:type="dxa"/>
            <w:vAlign w:val="center"/>
          </w:tcPr>
          <w:p w14:paraId="3BA45403" w14:textId="77777777" w:rsidR="00024D9C" w:rsidRPr="003751C7" w:rsidRDefault="00024D9C" w:rsidP="00A05B86">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A37BAC0" w14:textId="77777777" w:rsidR="00024D9C" w:rsidRPr="00FE00BE" w:rsidRDefault="00024D9C" w:rsidP="00A05B86">
            <w:pPr>
              <w:contextualSpacing/>
              <w:rPr>
                <w:rFonts w:ascii="Verdana" w:eastAsia="Calibri" w:hAnsi="Verdana" w:cs="Arial"/>
                <w:sz w:val="16"/>
                <w:szCs w:val="16"/>
                <w:lang w:val="es-ES" w:eastAsia="es-ES"/>
              </w:rPr>
            </w:pPr>
            <w:r w:rsidRPr="62118079">
              <w:rPr>
                <w:rFonts w:ascii="Verdana" w:eastAsia="Calibri" w:hAnsi="Verdana" w:cs="Arial"/>
                <w:sz w:val="16"/>
                <w:szCs w:val="16"/>
                <w:lang w:val="es-ES" w:eastAsia="es-ES"/>
              </w:rPr>
              <w:t xml:space="preserve">Carolina Quintero </w:t>
            </w:r>
            <w:proofErr w:type="spellStart"/>
            <w:r w:rsidRPr="62118079">
              <w:rPr>
                <w:rFonts w:ascii="Verdana" w:eastAsia="Calibri" w:hAnsi="Verdana" w:cs="Arial"/>
                <w:sz w:val="16"/>
                <w:szCs w:val="16"/>
                <w:lang w:val="es-ES" w:eastAsia="es-ES"/>
              </w:rPr>
              <w:t>Gacharná</w:t>
            </w:r>
            <w:proofErr w:type="spellEnd"/>
          </w:p>
          <w:p w14:paraId="3704326A" w14:textId="77777777" w:rsidR="00024D9C" w:rsidRPr="00FE00BE" w:rsidRDefault="00024D9C" w:rsidP="00A05B86">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506B843B" w14:textId="77777777" w:rsidR="00024D9C" w:rsidRPr="00543BFE" w:rsidRDefault="00024D9C" w:rsidP="00024D9C"/>
    <w:p w14:paraId="0F293BF4" w14:textId="5C8FA6D6" w:rsidR="00127233" w:rsidRPr="001F539F" w:rsidRDefault="00127233" w:rsidP="001F539F"/>
    <w:sectPr w:rsidR="00127233" w:rsidRPr="001F539F"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631A24" w14:textId="77777777" w:rsidR="0030037F" w:rsidRDefault="0030037F" w:rsidP="004A1847">
      <w:pPr>
        <w:spacing w:after="0" w:line="240" w:lineRule="auto"/>
      </w:pPr>
      <w:r>
        <w:separator/>
      </w:r>
    </w:p>
  </w:endnote>
  <w:endnote w:type="continuationSeparator" w:id="0">
    <w:p w14:paraId="1DD6204E" w14:textId="77777777" w:rsidR="0030037F" w:rsidRDefault="0030037F" w:rsidP="004A1847">
      <w:pPr>
        <w:spacing w:after="0" w:line="240" w:lineRule="auto"/>
      </w:pPr>
      <w:r>
        <w:continuationSeparator/>
      </w:r>
    </w:p>
  </w:endnote>
  <w:endnote w:type="continuationNotice" w:id="1">
    <w:p w14:paraId="757EA876" w14:textId="77777777" w:rsidR="0030037F" w:rsidRDefault="003003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E1D646" w14:textId="77777777" w:rsidR="0030037F" w:rsidRDefault="0030037F" w:rsidP="004A1847">
      <w:pPr>
        <w:spacing w:after="0" w:line="240" w:lineRule="auto"/>
      </w:pPr>
      <w:r>
        <w:separator/>
      </w:r>
    </w:p>
  </w:footnote>
  <w:footnote w:type="continuationSeparator" w:id="0">
    <w:p w14:paraId="64CD5296" w14:textId="77777777" w:rsidR="0030037F" w:rsidRDefault="0030037F" w:rsidP="004A1847">
      <w:pPr>
        <w:spacing w:after="0" w:line="240" w:lineRule="auto"/>
      </w:pPr>
      <w:r>
        <w:continuationSeparator/>
      </w:r>
    </w:p>
  </w:footnote>
  <w:footnote w:type="continuationNotice" w:id="1">
    <w:p w14:paraId="2284A23F" w14:textId="77777777" w:rsidR="0030037F" w:rsidRDefault="0030037F">
      <w:pPr>
        <w:spacing w:after="0" w:line="240" w:lineRule="auto"/>
      </w:pPr>
    </w:p>
  </w:footnote>
  <w:footnote w:id="2">
    <w:p w14:paraId="08AFA1C6" w14:textId="77777777" w:rsidR="00024D9C" w:rsidRPr="006C7BAC" w:rsidRDefault="00024D9C" w:rsidP="00024D9C">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4DDD1B1" w14:textId="77777777" w:rsidR="00024D9C" w:rsidRPr="006C7BAC" w:rsidRDefault="00024D9C" w:rsidP="00024D9C">
      <w:pPr>
        <w:pStyle w:val="Textonotapie"/>
        <w:ind w:firstLine="709"/>
        <w:contextualSpacing/>
        <w:jc w:val="both"/>
        <w:rPr>
          <w:rFonts w:ascii="Verdana" w:hAnsi="Verdana" w:cs="Arial"/>
          <w:sz w:val="16"/>
          <w:szCs w:val="16"/>
        </w:rPr>
      </w:pPr>
      <w:r w:rsidRPr="006C7BA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5CC245F2" w14:textId="77777777" w:rsidR="00024D9C" w:rsidRPr="006C7BAC" w:rsidRDefault="00024D9C" w:rsidP="00024D9C">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Gaceta del Congreso de la República No. 71 del 2005.</w:t>
      </w:r>
    </w:p>
  </w:footnote>
  <w:footnote w:id="4">
    <w:p w14:paraId="24023C2B" w14:textId="77777777" w:rsidR="00024D9C" w:rsidRPr="006C7BAC" w:rsidRDefault="00024D9C" w:rsidP="00024D9C">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Corte Constitucional, Sentencia C- 1153 de 2005, M.P. Marco Gerardo Monroy Cabra.</w:t>
      </w:r>
    </w:p>
  </w:footnote>
  <w:footnote w:id="5">
    <w:p w14:paraId="04CAFCA4" w14:textId="77777777" w:rsidR="00024D9C" w:rsidRPr="006C7BAC" w:rsidRDefault="00024D9C" w:rsidP="00024D9C">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7A4AC9D6" w14:textId="77777777" w:rsidR="00024D9C" w:rsidRPr="006C7BAC" w:rsidRDefault="00024D9C" w:rsidP="00024D9C">
      <w:pPr>
        <w:pStyle w:val="Textonotapie"/>
        <w:ind w:firstLine="709"/>
        <w:contextualSpacing/>
        <w:jc w:val="both"/>
        <w:rPr>
          <w:rFonts w:ascii="Verdana" w:hAnsi="Verdana" w:cs="Arial"/>
          <w:sz w:val="16"/>
          <w:szCs w:val="16"/>
          <w:lang w:val="es-CO"/>
        </w:rPr>
      </w:pPr>
      <w:r w:rsidRPr="006C7BAC">
        <w:rPr>
          <w:rStyle w:val="Refdenotaalpie"/>
          <w:rFonts w:ascii="Verdana" w:hAnsi="Verdana" w:cs="Arial"/>
          <w:sz w:val="16"/>
          <w:szCs w:val="16"/>
        </w:rPr>
        <w:footnoteRef/>
      </w:r>
      <w:r w:rsidRPr="006C7BA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222E01AB" w14:textId="77777777" w:rsidR="00024D9C" w:rsidRPr="006C7BAC" w:rsidRDefault="00024D9C" w:rsidP="00024D9C">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de fecha 24 de julio de 2013, radicado 2166, Consejero Ponente: Álvaro Namén Vargas.  </w:t>
      </w:r>
    </w:p>
  </w:footnote>
  <w:footnote w:id="8">
    <w:p w14:paraId="5A02B863" w14:textId="77777777" w:rsidR="00024D9C" w:rsidRPr="006C7BAC" w:rsidRDefault="00024D9C" w:rsidP="00024D9C">
      <w:pPr>
        <w:spacing w:after="0" w:line="240" w:lineRule="auto"/>
        <w:ind w:firstLine="709"/>
        <w:contextualSpacing/>
        <w:jc w:val="both"/>
        <w:rPr>
          <w:rFonts w:ascii="Verdana" w:eastAsia="Times New Roman"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bookmarkStart w:id="6" w:name="33"/>
      <w:r w:rsidRPr="006C7BAC">
        <w:rPr>
          <w:rFonts w:ascii="Verdana" w:eastAsia="Calibri" w:hAnsi="Verdana" w:cs="Arial"/>
          <w:color w:val="000000"/>
          <w:sz w:val="16"/>
          <w:szCs w:val="16"/>
        </w:rPr>
        <w:t>“</w:t>
      </w:r>
      <w:r w:rsidRPr="006C7BAC">
        <w:rPr>
          <w:rFonts w:ascii="Verdana" w:eastAsia="Times New Roman" w:hAnsi="Verdana" w:cs="Arial"/>
          <w:sz w:val="16"/>
          <w:szCs w:val="16"/>
        </w:rPr>
        <w:t>Artículo 33. Restricciones a la contratación pública.</w:t>
      </w:r>
      <w:bookmarkEnd w:id="6"/>
      <w:r w:rsidRPr="006C7BAC">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3568A1CE" w14:textId="77777777" w:rsidR="00024D9C" w:rsidRPr="006C7BAC" w:rsidRDefault="00024D9C" w:rsidP="00024D9C">
      <w:pPr>
        <w:spacing w:after="0" w:line="240" w:lineRule="auto"/>
        <w:ind w:firstLine="709"/>
        <w:contextualSpacing/>
        <w:jc w:val="both"/>
        <w:rPr>
          <w:rFonts w:ascii="Verdana" w:eastAsia="Times New Roman" w:hAnsi="Verdana" w:cs="Arial"/>
          <w:sz w:val="16"/>
          <w:szCs w:val="16"/>
        </w:rPr>
      </w:pPr>
      <w:r w:rsidRPr="006C7BA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C7BAC">
        <w:rPr>
          <w:rFonts w:ascii="Verdana" w:eastAsia="Calibri" w:hAnsi="Verdana" w:cs="Arial"/>
          <w:color w:val="000000"/>
          <w:sz w:val="16"/>
          <w:szCs w:val="16"/>
        </w:rPr>
        <w:t>”</w:t>
      </w:r>
      <w:r w:rsidRPr="006C7BAC">
        <w:rPr>
          <w:rFonts w:ascii="Verdana" w:eastAsia="Times New Roman" w:hAnsi="Verdana" w:cs="Arial"/>
          <w:sz w:val="16"/>
          <w:szCs w:val="16"/>
        </w:rPr>
        <w:t>.</w:t>
      </w:r>
    </w:p>
  </w:footnote>
  <w:footnote w:id="9">
    <w:p w14:paraId="0A142EA3" w14:textId="77777777" w:rsidR="00024D9C" w:rsidRPr="006C7BAC" w:rsidRDefault="00024D9C" w:rsidP="00024D9C">
      <w:pPr>
        <w:pStyle w:val="NormalWeb"/>
        <w:spacing w:before="0" w:beforeAutospacing="0" w:after="0" w:afterAutospacing="0"/>
        <w:ind w:firstLine="709"/>
        <w:contextualSpacing/>
        <w:jc w:val="both"/>
        <w:rPr>
          <w:rFonts w:ascii="Verdana" w:hAnsi="Verdana" w:cs="Arial"/>
          <w:sz w:val="16"/>
          <w:szCs w:val="16"/>
          <w:lang w:val="es-MX"/>
        </w:rPr>
      </w:pPr>
      <w:r w:rsidRPr="006C7BAC">
        <w:rPr>
          <w:rStyle w:val="Refdenotaalpie"/>
          <w:rFonts w:ascii="Verdana" w:hAnsi="Verdana" w:cs="Arial"/>
          <w:sz w:val="16"/>
          <w:szCs w:val="16"/>
        </w:rPr>
        <w:footnoteRef/>
      </w:r>
      <w:r w:rsidRPr="006C7BAC">
        <w:rPr>
          <w:rFonts w:ascii="Verdana" w:hAnsi="Verdana" w:cs="Arial"/>
          <w:sz w:val="16"/>
          <w:szCs w:val="16"/>
        </w:rPr>
        <w:t xml:space="preserve"> </w:t>
      </w:r>
      <w:bookmarkStart w:id="7" w:name="38"/>
      <w:r w:rsidRPr="006C7BAC">
        <w:rPr>
          <w:rFonts w:ascii="Verdana" w:eastAsia="Calibri" w:hAnsi="Verdana" w:cs="Arial"/>
          <w:color w:val="000000"/>
          <w:sz w:val="16"/>
          <w:szCs w:val="16"/>
        </w:rPr>
        <w:t>“</w:t>
      </w:r>
      <w:r w:rsidRPr="006C7BAC">
        <w:rPr>
          <w:rFonts w:ascii="Verdana" w:hAnsi="Verdana" w:cs="Arial"/>
          <w:sz w:val="16"/>
          <w:szCs w:val="16"/>
          <w:lang w:val="es-MX"/>
        </w:rPr>
        <w:t>Artículo 38. Prohibiciones para los servidores públicos. A los empleados del Estado les está prohibido:</w:t>
      </w:r>
      <w:bookmarkEnd w:id="7"/>
    </w:p>
    <w:p w14:paraId="434DCBAD" w14:textId="77777777" w:rsidR="00024D9C" w:rsidRPr="006C7BAC" w:rsidRDefault="00024D9C" w:rsidP="00024D9C">
      <w:pPr>
        <w:pStyle w:val="NormalWeb"/>
        <w:spacing w:before="0" w:beforeAutospacing="0" w:after="0" w:afterAutospacing="0"/>
        <w:ind w:firstLine="709"/>
        <w:contextualSpacing/>
        <w:jc w:val="both"/>
        <w:rPr>
          <w:rFonts w:ascii="Verdana" w:hAnsi="Verdana" w:cs="Arial"/>
          <w:sz w:val="16"/>
          <w:szCs w:val="16"/>
          <w:lang w:val="es-MX"/>
        </w:rPr>
      </w:pPr>
      <w:r w:rsidRPr="006C7BAC">
        <w:rPr>
          <w:rFonts w:ascii="Verdana" w:hAnsi="Verdana" w:cs="Arial"/>
          <w:sz w:val="16"/>
          <w:szCs w:val="16"/>
          <w:lang w:val="es-MX"/>
        </w:rPr>
        <w:t>[…]</w:t>
      </w:r>
    </w:p>
    <w:p w14:paraId="1A8B88FC" w14:textId="77777777" w:rsidR="00024D9C" w:rsidRPr="006C7BAC" w:rsidRDefault="00024D9C" w:rsidP="00024D9C">
      <w:pPr>
        <w:pStyle w:val="NormalWeb"/>
        <w:spacing w:before="0" w:beforeAutospacing="0" w:after="0" w:afterAutospacing="0"/>
        <w:ind w:firstLine="709"/>
        <w:contextualSpacing/>
        <w:jc w:val="both"/>
        <w:rPr>
          <w:rFonts w:ascii="Verdana" w:hAnsi="Verdana" w:cs="Arial"/>
          <w:sz w:val="16"/>
          <w:szCs w:val="16"/>
          <w:lang w:val="es-MX"/>
        </w:rPr>
      </w:pPr>
      <w:r w:rsidRPr="006C7BAC">
        <w:rPr>
          <w:rStyle w:val="baj"/>
          <w:rFonts w:ascii="Verdana" w:eastAsiaTheme="minorEastAsia" w:hAnsi="Verdana" w:cs="Arial"/>
          <w:sz w:val="16"/>
          <w:szCs w:val="16"/>
          <w:lang w:val="es-MX"/>
        </w:rPr>
        <w:t>Parágrafo.</w:t>
      </w:r>
      <w:r w:rsidRPr="006C7BA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C7BAC">
        <w:rPr>
          <w:rFonts w:ascii="Verdana" w:eastAsia="Calibri" w:hAnsi="Verdana" w:cs="Arial"/>
          <w:color w:val="000000"/>
          <w:sz w:val="16"/>
          <w:szCs w:val="16"/>
        </w:rPr>
        <w:t>”</w:t>
      </w:r>
      <w:r w:rsidRPr="006C7BAC">
        <w:rPr>
          <w:rFonts w:ascii="Verdana" w:hAnsi="Verdana" w:cs="Arial"/>
          <w:sz w:val="16"/>
          <w:szCs w:val="16"/>
          <w:lang w:val="es-MX"/>
        </w:rPr>
        <w:t>.</w:t>
      </w:r>
    </w:p>
  </w:footnote>
  <w:footnote w:id="10">
    <w:p w14:paraId="7612FCEB" w14:textId="77777777" w:rsidR="00024D9C" w:rsidRPr="006C7BAC" w:rsidRDefault="00024D9C" w:rsidP="00024D9C">
      <w:pPr>
        <w:spacing w:after="0" w:line="240" w:lineRule="auto"/>
        <w:ind w:left="100" w:right="244" w:firstLine="709"/>
        <w:contextualSpacing/>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517DA740" w14:textId="77777777" w:rsidR="00024D9C" w:rsidRPr="006C7BAC" w:rsidRDefault="00024D9C" w:rsidP="00024D9C">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[25] </w:t>
      </w:r>
      <w:r w:rsidRPr="006C7BAC">
        <w:rPr>
          <w:rFonts w:ascii="Verdana" w:hAnsi="Verdana" w:cs="Arial"/>
          <w:sz w:val="16"/>
          <w:szCs w:val="16"/>
        </w:rPr>
        <w:t>Cfr. Consejo de Estado. Sección Tercera. Sentencia de 3 de diciembre de 2007. Radicados: 24.715, 25.206, 25.409, 24.524, 27.834, 25.410, 26.105, 28.244, 31.447 -acumulados-”.</w:t>
      </w:r>
    </w:p>
  </w:footnote>
  <w:footnote w:id="12">
    <w:p w14:paraId="5C862108" w14:textId="77777777" w:rsidR="00024D9C" w:rsidRPr="006C7BAC" w:rsidRDefault="00024D9C" w:rsidP="00024D9C">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[26] </w:t>
      </w:r>
      <w:r w:rsidRPr="006C7BAC">
        <w:rPr>
          <w:rFonts w:ascii="Verdana" w:hAnsi="Verdana" w:cs="Arial"/>
          <w:sz w:val="16"/>
          <w:szCs w:val="16"/>
        </w:rPr>
        <w:t>Al respecto ver el concepto 1712 de 2 de febrero de 2006. Consejo de Estado Sala de Consulta y Servicio Civil”.</w:t>
      </w:r>
    </w:p>
  </w:footnote>
  <w:footnote w:id="13">
    <w:p w14:paraId="20AE277E" w14:textId="77777777" w:rsidR="00024D9C" w:rsidRPr="006C7BAC" w:rsidRDefault="00024D9C" w:rsidP="00024D9C">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542DE2B7" w14:textId="77777777" w:rsidR="00024D9C" w:rsidRPr="006C7BAC" w:rsidRDefault="00024D9C" w:rsidP="00024D9C">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Artículo 2. </w:t>
      </w:r>
    </w:p>
  </w:footnote>
  <w:footnote w:id="15">
    <w:p w14:paraId="7F5F6D6E" w14:textId="77777777" w:rsidR="00024D9C" w:rsidRPr="006C7BAC" w:rsidRDefault="00024D9C" w:rsidP="00024D9C">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i/>
          <w:sz w:val="16"/>
          <w:szCs w:val="16"/>
          <w:lang w:val="es-ES"/>
        </w:rPr>
        <w:t>Ibidem</w:t>
      </w:r>
      <w:r w:rsidRPr="006C7BAC">
        <w:rPr>
          <w:rFonts w:ascii="Verdana" w:hAnsi="Verdana" w:cs="Arial"/>
          <w:sz w:val="16"/>
          <w:szCs w:val="16"/>
          <w:lang w:val="es-ES"/>
        </w:rPr>
        <w:t>.</w:t>
      </w:r>
    </w:p>
  </w:footnote>
  <w:footnote w:id="16">
    <w:p w14:paraId="0AF604D5" w14:textId="77777777" w:rsidR="00024D9C" w:rsidRPr="006C7BAC" w:rsidRDefault="00024D9C" w:rsidP="00024D9C">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Style w:val="Refdenotaalpie"/>
          <w:rFonts w:ascii="Verdana" w:hAnsi="Verdana" w:cs="Arial"/>
          <w:sz w:val="16"/>
          <w:szCs w:val="16"/>
        </w:rPr>
        <w:t xml:space="preserve"> </w:t>
      </w:r>
      <w:r w:rsidRPr="006C7BAC">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1B241A33" w14:textId="77777777" w:rsidR="00024D9C" w:rsidRPr="006C7BAC" w:rsidRDefault="00024D9C" w:rsidP="00024D9C">
      <w:pPr>
        <w:shd w:val="clear" w:color="auto" w:fill="FFFFFF"/>
        <w:spacing w:after="0"/>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Style w:val="Refdenotaalpie"/>
          <w:rFonts w:ascii="Verdana" w:hAnsi="Verdana" w:cs="Arial"/>
          <w:sz w:val="16"/>
          <w:szCs w:val="16"/>
        </w:rPr>
        <w:t xml:space="preserve"> </w:t>
      </w:r>
      <w:r w:rsidRPr="006C7BAC">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8">
    <w:p w14:paraId="530DE08E" w14:textId="77777777" w:rsidR="00024D9C" w:rsidRPr="006C7BAC" w:rsidRDefault="00024D9C" w:rsidP="00024D9C">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08 de mayo de 2018. Exp. 2.382. C.P. Álvaro Namén Vargas.</w:t>
      </w:r>
    </w:p>
  </w:footnote>
  <w:footnote w:id="19">
    <w:p w14:paraId="566C931B" w14:textId="77777777" w:rsidR="00024D9C" w:rsidRPr="006C7BAC" w:rsidRDefault="00024D9C" w:rsidP="00024D9C">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0">
    <w:p w14:paraId="1E5465C0" w14:textId="77777777" w:rsidR="00024D9C" w:rsidRPr="006C7BAC" w:rsidRDefault="00024D9C" w:rsidP="00024D9C">
      <w:pPr>
        <w:spacing w:after="0"/>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26D042A7" w14:textId="77777777" w:rsidR="00024D9C" w:rsidRPr="006C7BAC" w:rsidRDefault="00024D9C" w:rsidP="00024D9C">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bookmarkStart w:id="18" w:name="_Hlk75633115"/>
      <w:r w:rsidRPr="006C7BAC">
        <w:rPr>
          <w:rFonts w:ascii="Verdana" w:hAnsi="Verdana" w:cs="Arial"/>
          <w:sz w:val="16"/>
          <w:szCs w:val="16"/>
        </w:rPr>
        <w:t xml:space="preserve">Consejo de Estado. Sala de Consulta y Servicio Civil. Concepto </w:t>
      </w:r>
      <w:bookmarkEnd w:id="18"/>
      <w:r w:rsidRPr="006C7BAC">
        <w:rPr>
          <w:rFonts w:ascii="Verdana" w:hAnsi="Verdana" w:cs="Arial"/>
          <w:sz w:val="16"/>
          <w:szCs w:val="16"/>
        </w:rPr>
        <w:t>de 6 de abril de 2006. Radicación Número: 11001-03-06-000-2006-00038-00(1738). Consejero Ponente: Enrique José Arboleda Perdomo:</w:t>
      </w:r>
      <w:r w:rsidRPr="006C7BAC">
        <w:rPr>
          <w:rFonts w:ascii="Verdana" w:eastAsia="Times New Roman" w:hAnsi="Verdana" w:cs="Arial"/>
          <w:bCs/>
          <w:sz w:val="16"/>
          <w:szCs w:val="16"/>
          <w:lang w:eastAsia="x-none"/>
        </w:rPr>
        <w:t xml:space="preserve"> “</w:t>
      </w:r>
      <w:r w:rsidRPr="006C7BAC">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6C7BAC">
        <w:rPr>
          <w:rFonts w:ascii="Verdana" w:eastAsia="Times New Roman" w:hAnsi="Verdana" w:cs="Arial"/>
          <w:bCs/>
          <w:sz w:val="16"/>
          <w:szCs w:val="16"/>
          <w:lang w:eastAsia="x-none"/>
        </w:rPr>
        <w:t>”.</w:t>
      </w:r>
    </w:p>
  </w:footnote>
  <w:footnote w:id="22">
    <w:p w14:paraId="1E99DA96" w14:textId="77777777" w:rsidR="00024D9C" w:rsidRPr="006C7BAC" w:rsidRDefault="00024D9C" w:rsidP="00024D9C">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3">
    <w:p w14:paraId="0F635EC6" w14:textId="77777777" w:rsidR="00024D9C" w:rsidRPr="006C7BAC" w:rsidRDefault="00024D9C" w:rsidP="00024D9C">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w:t>
      </w:r>
      <w:r w:rsidRPr="006C7BAC">
        <w:rPr>
          <w:rFonts w:ascii="Verdana" w:hAnsi="Verdana" w:cs="Arial"/>
          <w:i/>
          <w:iCs/>
          <w:sz w:val="16"/>
          <w:szCs w:val="16"/>
        </w:rPr>
        <w:t>ibidem</w:t>
      </w:r>
      <w:r w:rsidRPr="006C7BAC">
        <w:rPr>
          <w:rFonts w:ascii="Verdana" w:hAnsi="Verdana" w:cs="Arial"/>
          <w:sz w:val="16"/>
          <w:szCs w:val="16"/>
        </w:rPr>
        <w:t>.</w:t>
      </w:r>
    </w:p>
  </w:footnote>
  <w:footnote w:id="24">
    <w:p w14:paraId="723780D5" w14:textId="77777777" w:rsidR="00024D9C" w:rsidRPr="006C7BAC" w:rsidRDefault="00024D9C" w:rsidP="00024D9C">
      <w:pPr>
        <w:pStyle w:val="Textonotapie"/>
        <w:ind w:firstLine="708"/>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18 de febrero 2010. Rad. 11001-03-06-000-2010-00006-00 (1985). C.P. Enrique José Arboleda Perdomo.</w:t>
      </w:r>
    </w:p>
  </w:footnote>
  <w:footnote w:id="25">
    <w:p w14:paraId="56566057" w14:textId="77777777" w:rsidR="00024D9C" w:rsidRPr="006C7BAC" w:rsidRDefault="00024D9C" w:rsidP="00024D9C">
      <w:pPr>
        <w:pStyle w:val="Textonotapie"/>
        <w:ind w:firstLine="708"/>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Corte Constitucional. Sentencia C-1153 de 2005 M.P. Marco Gerardo Monroy Cabra. </w:t>
      </w:r>
    </w:p>
  </w:footnote>
  <w:footnote w:id="26">
    <w:p w14:paraId="4ABAD846" w14:textId="77777777" w:rsidR="00024D9C" w:rsidRPr="006C7BAC" w:rsidRDefault="00024D9C" w:rsidP="00024D9C">
      <w:pPr>
        <w:pStyle w:val="Textonotapie"/>
        <w:ind w:firstLine="708"/>
        <w:jc w:val="both"/>
        <w:rPr>
          <w:rFonts w:ascii="Verdana" w:hAnsi="Verdana"/>
          <w:sz w:val="16"/>
          <w:szCs w:val="16"/>
          <w:lang w:val="es-CO"/>
        </w:rPr>
      </w:pPr>
      <w:r w:rsidRPr="006C7BAC">
        <w:rPr>
          <w:rStyle w:val="Refdenotaalpie"/>
          <w:rFonts w:ascii="Verdana" w:hAnsi="Verdana"/>
          <w:sz w:val="16"/>
          <w:szCs w:val="16"/>
        </w:rPr>
        <w:footnoteRef/>
      </w:r>
      <w:r w:rsidRPr="006C7BAC">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6C7BAC">
        <w:rPr>
          <w:rFonts w:ascii="Verdana" w:hAnsi="Verdana"/>
          <w:i/>
          <w:iCs/>
          <w:sz w:val="16"/>
          <w:szCs w:val="16"/>
        </w:rPr>
        <w:t>las palabras de la ley se entenderán en su sentido natural y obvio, según el uso general de las mismas palabras</w:t>
      </w:r>
      <w:r w:rsidRPr="006C7BAC">
        <w:rPr>
          <w:rFonts w:ascii="Verdana" w:hAnsi="Verdana"/>
          <w:sz w:val="16"/>
          <w:szCs w:val="16"/>
        </w:rPr>
        <w:t>’, es decir, el uso de la gente educada. El Diccionario de la Lengua publicado por la Real Academia Española goza a este respecto de gran autoridad. ‘</w:t>
      </w:r>
      <w:r w:rsidRPr="006C7BAC">
        <w:rPr>
          <w:rFonts w:ascii="Verdana" w:hAnsi="Verdana"/>
          <w:i/>
          <w:iCs/>
          <w:sz w:val="16"/>
          <w:szCs w:val="16"/>
        </w:rPr>
        <w:t>Pero cuando el legislador</w:t>
      </w:r>
      <w:r w:rsidRPr="006C7BAC">
        <w:rPr>
          <w:rFonts w:ascii="Verdana" w:hAnsi="Verdana"/>
          <w:sz w:val="16"/>
          <w:szCs w:val="16"/>
        </w:rPr>
        <w:t xml:space="preserve">, agrega el artículo 20, </w:t>
      </w:r>
      <w:r w:rsidRPr="006C7BAC">
        <w:rPr>
          <w:rFonts w:ascii="Verdana" w:hAnsi="Verdana"/>
          <w:i/>
          <w:iCs/>
          <w:sz w:val="16"/>
          <w:szCs w:val="16"/>
        </w:rPr>
        <w:t>las haya definido expresamente para ciertas materias se les dará en éstas su significado legal</w:t>
      </w:r>
      <w:r w:rsidRPr="006C7BAC">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27">
    <w:p w14:paraId="7D07DA21" w14:textId="77777777" w:rsidR="00024D9C" w:rsidRPr="00817BE8" w:rsidRDefault="00024D9C" w:rsidP="00024D9C">
      <w:pPr>
        <w:spacing w:after="0" w:line="240" w:lineRule="auto"/>
        <w:ind w:firstLine="708"/>
        <w:jc w:val="both"/>
        <w:rPr>
          <w:rFonts w:ascii="Verdana" w:eastAsia="Calibri" w:hAnsi="Verdana" w:cs="Arial"/>
          <w:sz w:val="16"/>
          <w:szCs w:val="16"/>
          <w:lang w:val="es-ES_tradnl"/>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_tradnl"/>
        </w:rPr>
        <w:t>La jurisprudencia delimita su sentido y alcance de la siguiente manera –</w:t>
      </w:r>
      <w:r w:rsidRPr="00817BE8">
        <w:rPr>
          <w:rFonts w:ascii="Verdana" w:hAnsi="Verdana" w:cs="Arial"/>
          <w:sz w:val="16"/>
          <w:szCs w:val="16"/>
          <w:lang w:val="es-ES"/>
        </w:rPr>
        <w:t>CORTE SUPREMA DE JUSTICIA. Sala de Casación Civil. Sentencia 20 de noviembre de 1989. MP. Alberto Ospina Botero. Publicada en la Gaceta Judicial. Tomo CXCVI. N° 2435. p. 93</w:t>
      </w:r>
      <w:r w:rsidRPr="00817BE8">
        <w:rPr>
          <w:rFonts w:ascii="Verdana" w:hAnsi="Verdana" w:cs="Arial"/>
          <w:sz w:val="16"/>
          <w:szCs w:val="16"/>
          <w:lang w:val="es-ES_tradnl"/>
        </w:rPr>
        <w:t>–:</w:t>
      </w:r>
    </w:p>
    <w:p w14:paraId="314828FD" w14:textId="77777777" w:rsidR="00024D9C" w:rsidRPr="00817BE8" w:rsidRDefault="00024D9C" w:rsidP="00024D9C">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“6. […] la fuerza mayor o caso fortuito se configura por la concurrencia de dos factores:</w:t>
      </w:r>
    </w:p>
    <w:p w14:paraId="38593546" w14:textId="77777777" w:rsidR="00024D9C" w:rsidRPr="00817BE8" w:rsidRDefault="00024D9C" w:rsidP="00024D9C">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515D7D38" w14:textId="77777777" w:rsidR="00024D9C" w:rsidRPr="00817BE8" w:rsidRDefault="00024D9C" w:rsidP="00024D9C">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b) Que el hecho sea irresistible, o sea, que el agente no pueda evitar su acaecimiento ni superar sus consecuencias.</w:t>
      </w:r>
    </w:p>
    <w:p w14:paraId="0A99AF6E" w14:textId="77777777" w:rsidR="00024D9C" w:rsidRPr="00817BE8" w:rsidRDefault="00024D9C" w:rsidP="00024D9C">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44EBB985" w14:textId="77777777" w:rsidR="00024D9C" w:rsidRPr="00817BE8" w:rsidRDefault="00024D9C" w:rsidP="00024D9C">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223903C0" w14:textId="77777777" w:rsidR="00024D9C" w:rsidRPr="00817BE8" w:rsidRDefault="00024D9C" w:rsidP="00024D9C">
      <w:pPr>
        <w:spacing w:after="0" w:line="240" w:lineRule="auto"/>
        <w:ind w:right="49"/>
        <w:jc w:val="both"/>
        <w:rPr>
          <w:rFonts w:ascii="Verdana" w:eastAsia="Calibri" w:hAnsi="Verdana" w:cs="Arial"/>
          <w:sz w:val="16"/>
          <w:szCs w:val="16"/>
          <w:lang w:val="es-ES_tradnl"/>
        </w:rPr>
      </w:pPr>
      <w:r w:rsidRPr="00817BE8">
        <w:rPr>
          <w:rFonts w:ascii="Verdana" w:eastAsia="Calibri" w:hAnsi="Verdana" w:cs="Arial"/>
          <w:sz w:val="16"/>
          <w:szCs w:val="16"/>
          <w:lang w:val="es-ES_tradnl"/>
        </w:rPr>
        <w:t>[…]</w:t>
      </w:r>
    </w:p>
    <w:p w14:paraId="0051ADD4" w14:textId="77777777" w:rsidR="00024D9C" w:rsidRPr="00817BE8" w:rsidRDefault="00024D9C" w:rsidP="00024D9C">
      <w:pPr>
        <w:pStyle w:val="Textonotapie"/>
        <w:ind w:right="49" w:firstLine="708"/>
        <w:jc w:val="both"/>
        <w:rPr>
          <w:rFonts w:ascii="Verdana" w:hAnsi="Verdana" w:cs="Arial"/>
          <w:sz w:val="16"/>
          <w:szCs w:val="16"/>
          <w:lang w:val="es-CO"/>
        </w:rPr>
      </w:pPr>
      <w:r w:rsidRPr="00817BE8">
        <w:rPr>
          <w:rFonts w:ascii="Verdana" w:eastAsia="Calibri" w:hAnsi="Verdana" w:cs="Arial"/>
          <w:sz w:val="16"/>
          <w:szCs w:val="16"/>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28">
    <w:p w14:paraId="58863FA8" w14:textId="77777777" w:rsidR="00024D9C" w:rsidRPr="00817BE8" w:rsidRDefault="00024D9C" w:rsidP="00024D9C">
      <w:pPr>
        <w:pStyle w:val="Textonotapie"/>
        <w:ind w:firstLine="708"/>
        <w:jc w:val="both"/>
        <w:rPr>
          <w:rFonts w:ascii="Verdana" w:hAnsi="Verdana" w:cs="Arial"/>
          <w:sz w:val="16"/>
          <w:szCs w:val="16"/>
          <w:lang w:val="es-ES"/>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3144FF3A" w14:textId="77777777" w:rsidR="00024D9C" w:rsidRPr="00817BE8" w:rsidRDefault="00024D9C" w:rsidP="00024D9C">
      <w:pPr>
        <w:pStyle w:val="Textonotapie"/>
        <w:ind w:firstLine="708"/>
        <w:jc w:val="both"/>
        <w:rPr>
          <w:rFonts w:ascii="Verdana" w:hAnsi="Verdana" w:cs="Arial"/>
          <w:sz w:val="16"/>
          <w:szCs w:val="16"/>
          <w:lang w:val="es-ES"/>
        </w:rPr>
      </w:pPr>
      <w:r w:rsidRPr="00817BE8">
        <w:rPr>
          <w:rFonts w:ascii="Verdana" w:hAnsi="Verdana" w:cs="Arial"/>
          <w:sz w:val="16"/>
          <w:szCs w:val="16"/>
          <w:lang w:val="es-ES"/>
        </w:rPr>
        <w:t>1. Nacional. Existirá una situación de desastre nacional:</w:t>
      </w:r>
    </w:p>
    <w:p w14:paraId="3F002B36" w14:textId="77777777" w:rsidR="00024D9C" w:rsidRPr="00817BE8" w:rsidRDefault="00024D9C" w:rsidP="00024D9C">
      <w:pPr>
        <w:pStyle w:val="Textonotapie"/>
        <w:ind w:firstLine="708"/>
        <w:jc w:val="both"/>
        <w:rPr>
          <w:rFonts w:ascii="Verdana" w:hAnsi="Verdana" w:cs="Arial"/>
          <w:sz w:val="16"/>
          <w:szCs w:val="16"/>
          <w:lang w:val="es-ES"/>
        </w:rPr>
      </w:pPr>
      <w:r w:rsidRPr="00817BE8">
        <w:rPr>
          <w:rFonts w:ascii="Verdana" w:hAnsi="Verdana" w:cs="Arial"/>
          <w:sz w:val="16"/>
          <w:szCs w:val="16"/>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048699FA" w14:textId="77777777" w:rsidR="00024D9C" w:rsidRPr="00817BE8" w:rsidRDefault="00024D9C" w:rsidP="00024D9C">
      <w:pPr>
        <w:pStyle w:val="Textonotapie"/>
        <w:ind w:firstLine="708"/>
        <w:jc w:val="both"/>
        <w:rPr>
          <w:rFonts w:ascii="Verdana" w:hAnsi="Verdana" w:cs="Arial"/>
          <w:sz w:val="16"/>
          <w:szCs w:val="16"/>
          <w:lang w:val="es-ES"/>
        </w:rPr>
      </w:pPr>
      <w:r w:rsidRPr="00817BE8">
        <w:rPr>
          <w:rFonts w:ascii="Verdana" w:hAnsi="Verdana" w:cs="Arial"/>
          <w:sz w:val="16"/>
          <w:szCs w:val="16"/>
          <w:lang w:val="es-ES"/>
        </w:rPr>
        <w:t>b). Cuando se hayan producido efectos adversos en uno (1) o más departamentos y su impacto rebase la capacidad técnica y los recursos de las administraciones departamentales y municipales involucradas.</w:t>
      </w:r>
    </w:p>
    <w:p w14:paraId="3ACDB9C1" w14:textId="77777777" w:rsidR="00024D9C" w:rsidRPr="00817BE8" w:rsidRDefault="00024D9C" w:rsidP="00024D9C">
      <w:pPr>
        <w:pStyle w:val="Textonotapie"/>
        <w:ind w:firstLine="708"/>
        <w:jc w:val="both"/>
        <w:rPr>
          <w:rFonts w:ascii="Verdana" w:hAnsi="Verdana" w:cs="Arial"/>
          <w:sz w:val="16"/>
          <w:szCs w:val="16"/>
          <w:lang w:val="es-ES"/>
        </w:rPr>
      </w:pPr>
      <w:r w:rsidRPr="00817BE8">
        <w:rPr>
          <w:rFonts w:ascii="Verdana" w:hAnsi="Verdana" w:cs="Arial"/>
          <w:sz w:val="16"/>
          <w:szCs w:val="16"/>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015BE1DB" w14:textId="77777777" w:rsidR="00024D9C" w:rsidRPr="00817BE8" w:rsidRDefault="00024D9C" w:rsidP="00024D9C">
      <w:pPr>
        <w:pStyle w:val="Textonotapie"/>
        <w:ind w:firstLine="708"/>
        <w:jc w:val="both"/>
        <w:rPr>
          <w:rFonts w:ascii="Verdana" w:hAnsi="Verdana" w:cs="Arial"/>
          <w:sz w:val="16"/>
          <w:szCs w:val="16"/>
          <w:lang w:val="es-ES"/>
        </w:rPr>
      </w:pPr>
      <w:r w:rsidRPr="00817BE8">
        <w:rPr>
          <w:rFonts w:ascii="Verdana" w:hAnsi="Verdana" w:cs="Arial"/>
          <w:sz w:val="16"/>
          <w:szCs w:val="16"/>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3CF43FA3" w14:textId="77777777" w:rsidR="00024D9C" w:rsidRPr="00817BE8" w:rsidRDefault="00024D9C" w:rsidP="00024D9C">
      <w:pPr>
        <w:pStyle w:val="Textonotapie"/>
        <w:ind w:firstLine="708"/>
        <w:jc w:val="both"/>
        <w:rPr>
          <w:rFonts w:ascii="Verdana" w:hAnsi="Verdana" w:cs="Arial"/>
          <w:sz w:val="16"/>
          <w:szCs w:val="16"/>
          <w:lang w:val="es-ES"/>
        </w:rPr>
      </w:pPr>
      <w:r w:rsidRPr="00817BE8">
        <w:rPr>
          <w:rFonts w:ascii="Verdana" w:hAnsi="Verdana" w:cs="Arial"/>
          <w:sz w:val="16"/>
          <w:szCs w:val="16"/>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29">
    <w:p w14:paraId="013A2916" w14:textId="77777777" w:rsidR="00024D9C" w:rsidRPr="00817BE8" w:rsidRDefault="00024D9C" w:rsidP="00024D9C">
      <w:pPr>
        <w:pStyle w:val="Textonotapie"/>
        <w:ind w:firstLine="708"/>
        <w:jc w:val="both"/>
        <w:rPr>
          <w:rFonts w:ascii="Verdana" w:hAnsi="Verdana" w:cs="Arial"/>
          <w:sz w:val="16"/>
          <w:szCs w:val="16"/>
          <w:lang w:val="es-CO"/>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 xml:space="preserve">Artículo 57. Declaratoria de situación de calamidad pública. </w:t>
      </w:r>
      <w:bookmarkStart w:id="27" w:name="_Hlk132729568"/>
      <w:r w:rsidRPr="00817BE8">
        <w:rPr>
          <w:rFonts w:ascii="Verdana" w:hAnsi="Verdana" w:cs="Arial"/>
          <w:sz w:val="16"/>
          <w:szCs w:val="16"/>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27"/>
      <w:r w:rsidRPr="00817BE8">
        <w:rPr>
          <w:rFonts w:ascii="Verdana" w:hAnsi="Verdana" w:cs="Arial"/>
          <w:sz w:val="16"/>
          <w:szCs w:val="16"/>
          <w:lang w:val="es-ES"/>
        </w:rPr>
        <w:t>”.</w:t>
      </w:r>
    </w:p>
  </w:footnote>
  <w:footnote w:id="30">
    <w:p w14:paraId="2F46D9E8" w14:textId="77777777" w:rsidR="00024D9C" w:rsidRPr="00C9050C" w:rsidRDefault="00024D9C" w:rsidP="00024D9C">
      <w:pPr>
        <w:pStyle w:val="Textonotapie"/>
        <w:ind w:firstLine="709"/>
        <w:contextualSpacing/>
        <w:jc w:val="both"/>
        <w:rPr>
          <w:rFonts w:ascii="Verdana" w:hAnsi="Verdana" w:cs="Arial"/>
          <w:sz w:val="16"/>
          <w:szCs w:val="16"/>
        </w:rPr>
      </w:pPr>
      <w:r w:rsidRPr="00C9050C">
        <w:rPr>
          <w:rStyle w:val="Refdenotaalpie"/>
          <w:rFonts w:ascii="Verdana" w:hAnsi="Verdana"/>
          <w:sz w:val="16"/>
          <w:szCs w:val="16"/>
        </w:rPr>
        <w:footnoteRef/>
      </w:r>
      <w:r w:rsidRPr="00C9050C">
        <w:rPr>
          <w:rFonts w:ascii="Verdana" w:hAnsi="Verdana"/>
          <w:sz w:val="16"/>
          <w:szCs w:val="16"/>
        </w:rPr>
        <w:t xml:space="preserve"> </w:t>
      </w:r>
      <w:r w:rsidRPr="00C9050C">
        <w:rPr>
          <w:rFonts w:ascii="Verdana" w:hAnsi="Verdana" w:cs="Arial"/>
          <w:sz w:val="16"/>
          <w:szCs w:val="16"/>
        </w:rPr>
        <w:t>Consejo de Estado -Sección Tercera-. Sentencia del 21 de febrero de 2025. Radicación Número: 68.280. CP: José Roberto Sáchica Méndez.</w:t>
      </w:r>
    </w:p>
  </w:footnote>
  <w:footnote w:id="31">
    <w:p w14:paraId="4C225380" w14:textId="77777777" w:rsidR="00024D9C" w:rsidRPr="00C9050C" w:rsidRDefault="00024D9C" w:rsidP="00024D9C">
      <w:pPr>
        <w:pStyle w:val="Textonotapie"/>
        <w:ind w:firstLine="709"/>
        <w:contextualSpacing/>
        <w:jc w:val="both"/>
        <w:rPr>
          <w:rFonts w:ascii="Verdana" w:hAnsi="Verdana" w:cs="Arial"/>
          <w:sz w:val="16"/>
          <w:szCs w:val="16"/>
        </w:rPr>
      </w:pPr>
      <w:r w:rsidRPr="00C9050C">
        <w:rPr>
          <w:rFonts w:ascii="Verdana" w:hAnsi="Verdana"/>
          <w:sz w:val="16"/>
          <w:szCs w:val="16"/>
          <w:vertAlign w:val="superscript"/>
        </w:rPr>
        <w:footnoteRef/>
      </w:r>
      <w:r w:rsidRPr="00C9050C">
        <w:rPr>
          <w:rFonts w:ascii="Verdana" w:hAnsi="Verdana"/>
          <w:sz w:val="16"/>
          <w:szCs w:val="16"/>
          <w:vertAlign w:val="superscript"/>
        </w:rPr>
        <w:t xml:space="preserve"> </w:t>
      </w:r>
      <w:r w:rsidRPr="00C9050C">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32">
    <w:p w14:paraId="5BEA4002" w14:textId="77777777" w:rsidR="00024D9C" w:rsidRPr="00C9050C" w:rsidRDefault="00024D9C" w:rsidP="00024D9C">
      <w:pPr>
        <w:pStyle w:val="Textonotapie"/>
        <w:ind w:firstLine="709"/>
        <w:contextualSpacing/>
        <w:jc w:val="both"/>
        <w:rPr>
          <w:rFonts w:ascii="Verdana" w:hAnsi="Verdana" w:cs="Arial"/>
          <w:sz w:val="16"/>
          <w:szCs w:val="16"/>
        </w:rPr>
      </w:pPr>
      <w:r w:rsidRPr="00C9050C">
        <w:rPr>
          <w:rFonts w:ascii="Verdana" w:hAnsi="Verdana"/>
          <w:sz w:val="16"/>
          <w:szCs w:val="16"/>
          <w:vertAlign w:val="superscript"/>
        </w:rPr>
        <w:footnoteRef/>
      </w:r>
      <w:r w:rsidRPr="00C9050C">
        <w:rPr>
          <w:rFonts w:ascii="Verdana" w:hAnsi="Verdana" w:cs="Arial"/>
          <w:sz w:val="16"/>
          <w:szCs w:val="16"/>
          <w:vertAlign w:val="superscript"/>
        </w:rPr>
        <w:t xml:space="preserve"> </w:t>
      </w:r>
      <w:r w:rsidRPr="00C9050C">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44A6818A" w14:textId="77777777" w:rsidR="00024D9C" w:rsidRPr="00C9050C" w:rsidRDefault="00024D9C" w:rsidP="00024D9C">
      <w:pPr>
        <w:pStyle w:val="Textonotapie"/>
        <w:ind w:firstLine="709"/>
        <w:contextualSpacing/>
        <w:jc w:val="both"/>
        <w:rPr>
          <w:rFonts w:ascii="Verdana" w:hAnsi="Verdana" w:cs="Arial"/>
          <w:sz w:val="16"/>
          <w:szCs w:val="16"/>
        </w:rPr>
      </w:pPr>
      <w:r w:rsidRPr="00C9050C">
        <w:rPr>
          <w:rFonts w:ascii="Verdana" w:hAnsi="Verdana" w:cs="Arial"/>
          <w:sz w:val="16"/>
          <w:szCs w:val="16"/>
        </w:rPr>
        <w:t>[…]”.</w:t>
      </w:r>
    </w:p>
  </w:footnote>
  <w:footnote w:id="33">
    <w:p w14:paraId="42C46BCA" w14:textId="77777777" w:rsidR="00024D9C" w:rsidRPr="00C9050C" w:rsidRDefault="00024D9C" w:rsidP="00024D9C">
      <w:pPr>
        <w:pStyle w:val="Textonotapie"/>
        <w:ind w:firstLine="709"/>
        <w:contextualSpacing/>
        <w:jc w:val="both"/>
        <w:rPr>
          <w:rFonts w:ascii="Verdana" w:hAnsi="Verdana" w:cs="Arial"/>
          <w:sz w:val="16"/>
          <w:szCs w:val="16"/>
        </w:rPr>
      </w:pPr>
      <w:r w:rsidRPr="00C9050C">
        <w:rPr>
          <w:rFonts w:ascii="Verdana" w:hAnsi="Verdana"/>
          <w:sz w:val="16"/>
          <w:szCs w:val="16"/>
          <w:vertAlign w:val="superscript"/>
        </w:rPr>
        <w:footnoteRef/>
      </w:r>
      <w:r w:rsidRPr="00C9050C">
        <w:rPr>
          <w:rFonts w:ascii="Verdana" w:hAnsi="Verdana" w:cs="Arial"/>
          <w:sz w:val="16"/>
          <w:szCs w:val="16"/>
          <w:vertAlign w:val="superscript"/>
        </w:rPr>
        <w:t xml:space="preserve"> </w:t>
      </w:r>
      <w:r w:rsidRPr="00C9050C">
        <w:rPr>
          <w:rFonts w:ascii="Verdana" w:hAnsi="Verdana" w:cs="Arial"/>
          <w:sz w:val="16"/>
          <w:szCs w:val="16"/>
        </w:rPr>
        <w:t>Código Civil: “Artículo 27. Cuando el sentido de la ley sea claro, no se desatenderá su tenor a pretexto de consultar su espíritu”.</w:t>
      </w:r>
    </w:p>
  </w:footnote>
  <w:footnote w:id="34">
    <w:p w14:paraId="04680A5D" w14:textId="77777777" w:rsidR="00024D9C" w:rsidRPr="00C9667E" w:rsidRDefault="00024D9C" w:rsidP="00024D9C">
      <w:pPr>
        <w:pStyle w:val="Textonotapie"/>
        <w:ind w:firstLine="708"/>
        <w:jc w:val="both"/>
        <w:rPr>
          <w:rFonts w:ascii="Verdana" w:hAnsi="Verdana"/>
          <w:sz w:val="16"/>
          <w:szCs w:val="16"/>
          <w:lang w:val="es-ES"/>
        </w:rPr>
      </w:pPr>
      <w:r w:rsidRPr="00C9667E">
        <w:rPr>
          <w:rStyle w:val="Refdenotaalpie"/>
          <w:rFonts w:ascii="Verdana" w:hAnsi="Verdana"/>
          <w:sz w:val="16"/>
          <w:szCs w:val="16"/>
        </w:rPr>
        <w:footnoteRef/>
      </w:r>
      <w:r w:rsidRPr="00C9667E">
        <w:rPr>
          <w:rFonts w:ascii="Verdana" w:hAnsi="Verdana"/>
          <w:sz w:val="16"/>
          <w:szCs w:val="16"/>
        </w:rPr>
        <w:t xml:space="preserve"> </w:t>
      </w:r>
      <w:r w:rsidRPr="00C9667E">
        <w:rPr>
          <w:rFonts w:ascii="Verdana" w:hAnsi="Verdana"/>
          <w:sz w:val="16"/>
          <w:szCs w:val="16"/>
          <w:lang w:val="es-ES"/>
        </w:rPr>
        <w:t>La doctrina chilena ilustra su aplicación en los siguientes términos:</w:t>
      </w:r>
      <w:r>
        <w:rPr>
          <w:rFonts w:ascii="Verdana" w:hAnsi="Verdana"/>
          <w:sz w:val="16"/>
          <w:szCs w:val="16"/>
          <w:lang w:val="es-ES"/>
        </w:rPr>
        <w:t xml:space="preserve"> </w:t>
      </w:r>
      <w:r w:rsidRPr="00C9667E">
        <w:rPr>
          <w:rFonts w:ascii="Verdana" w:hAnsi="Verdana"/>
          <w:sz w:val="16"/>
          <w:szCs w:val="16"/>
          <w:lang w:val="es-ES"/>
        </w:rPr>
        <w:t xml:space="preserve">“La ley se ha de entender general e indistintamente. Cuando la ley no hace excepción alguna, pudiendo haberla hecho, no podemos separarnos de su disposición general por medio de una distinción que ella no ha formulado. </w:t>
      </w:r>
      <w:r w:rsidRPr="00C9667E">
        <w:rPr>
          <w:rFonts w:ascii="Verdana" w:hAnsi="Verdana"/>
          <w:i/>
          <w:iCs/>
          <w:sz w:val="16"/>
          <w:szCs w:val="16"/>
          <w:lang w:val="es-ES"/>
        </w:rPr>
        <w:t>Ubi lex non distinguit nec nos distinguere debemus</w:t>
      </w:r>
      <w:r w:rsidRPr="00C9667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26624D6E" w14:textId="77777777" w:rsidR="00024D9C" w:rsidRPr="00C9667E" w:rsidRDefault="00024D9C" w:rsidP="00024D9C">
      <w:pPr>
        <w:pStyle w:val="Textonotapie"/>
        <w:ind w:firstLine="708"/>
        <w:jc w:val="both"/>
        <w:rPr>
          <w:rFonts w:ascii="Verdana" w:hAnsi="Verdana"/>
          <w:sz w:val="16"/>
          <w:szCs w:val="16"/>
          <w:lang w:val="es-CO"/>
        </w:rPr>
      </w:pPr>
      <w:r w:rsidRPr="00C9667E">
        <w:rPr>
          <w:rFonts w:ascii="Verdana" w:hAnsi="Verdana"/>
          <w:sz w:val="16"/>
          <w:szCs w:val="16"/>
          <w:lang w:val="es-ES"/>
        </w:rPr>
        <w:t xml:space="preserve">En el derecho antiguo y en el derecho canónico se distinguían las leyes en favorables y odiosas, para ampliar o restringir su interpretación. </w:t>
      </w:r>
      <w:r w:rsidRPr="00C9667E">
        <w:rPr>
          <w:rFonts w:ascii="Verdana" w:hAnsi="Verdana"/>
          <w:i/>
          <w:iCs/>
          <w:sz w:val="16"/>
          <w:szCs w:val="16"/>
          <w:lang w:val="es-ES"/>
        </w:rPr>
        <w:t>Odia restringí et favores convenit ampliari</w:t>
      </w:r>
      <w:r w:rsidRPr="00C9667E">
        <w:rPr>
          <w:rFonts w:ascii="Verdana" w:hAnsi="Verdana"/>
          <w:sz w:val="16"/>
          <w:szCs w:val="16"/>
          <w:lang w:val="es-ES"/>
        </w:rPr>
        <w:t>.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w:t>
      </w:r>
      <w:r>
        <w:rPr>
          <w:rFonts w:ascii="Verdana" w:hAnsi="Verdana"/>
          <w:sz w:val="16"/>
          <w:szCs w:val="16"/>
          <w:lang w:val="es-ES"/>
        </w:rPr>
        <w:t xml:space="preserve"> (Cfr. </w:t>
      </w:r>
      <w:r w:rsidRPr="008A44AC">
        <w:rPr>
          <w:rFonts w:ascii="Verdana" w:hAnsi="Verdana"/>
          <w:sz w:val="16"/>
          <w:szCs w:val="16"/>
        </w:rPr>
        <w:t>CLARO SOLAR, Luis. Explicaciones de derecho civil chileno y comparado. Volumen I. Tomo I. Santiago: Editorial Jurídica de Chile, 2013. p. 11</w:t>
      </w:r>
      <w:r>
        <w:rPr>
          <w:rFonts w:ascii="Verdana" w:hAnsi="Verdana"/>
          <w:sz w:val="16"/>
          <w:szCs w:val="16"/>
        </w:rPr>
        <w:t>9</w:t>
      </w:r>
      <w:r w:rsidRPr="008A44AC">
        <w:rPr>
          <w:rFonts w:ascii="Verdana" w:hAnsi="Verdana"/>
          <w:sz w:val="16"/>
          <w:szCs w:val="16"/>
        </w:rPr>
        <w:t>. Énfasis dentro del texto</w:t>
      </w:r>
      <w:r>
        <w:rPr>
          <w:rFonts w:ascii="Verdana" w:hAnsi="Verdana"/>
          <w:sz w:val="16"/>
          <w:szCs w:val="16"/>
        </w:rPr>
        <w:t>).</w:t>
      </w:r>
    </w:p>
  </w:footnote>
  <w:footnote w:id="35">
    <w:p w14:paraId="24413EEB" w14:textId="77777777" w:rsidR="00024D9C" w:rsidRPr="00C9050C" w:rsidRDefault="00024D9C" w:rsidP="00024D9C">
      <w:pPr>
        <w:pStyle w:val="Textonotapie"/>
        <w:ind w:firstLine="709"/>
        <w:contextualSpacing/>
        <w:jc w:val="both"/>
        <w:rPr>
          <w:rFonts w:ascii="Verdana" w:hAnsi="Verdana"/>
          <w:sz w:val="16"/>
          <w:szCs w:val="16"/>
          <w:lang w:val="es-CO"/>
        </w:rPr>
      </w:pPr>
      <w:r w:rsidRPr="00C9050C">
        <w:rPr>
          <w:rStyle w:val="Refdenotaalpie"/>
          <w:rFonts w:ascii="Verdana" w:hAnsi="Verdana"/>
          <w:sz w:val="16"/>
          <w:szCs w:val="16"/>
        </w:rPr>
        <w:footnoteRef/>
      </w:r>
      <w:r w:rsidRPr="00C9050C">
        <w:rPr>
          <w:rFonts w:ascii="Verdana" w:hAnsi="Verdana"/>
          <w:sz w:val="16"/>
          <w:szCs w:val="16"/>
          <w:lang w:val="es-CO"/>
        </w:rPr>
        <w:t xml:space="preserve"> Consejo de Estado, Sección Tercera. Auto del 4 de octubre de 2024. Exp. 70.313. C.P: Fredy Ibarra Martínez.</w:t>
      </w:r>
    </w:p>
  </w:footnote>
  <w:footnote w:id="36">
    <w:p w14:paraId="76177B8F" w14:textId="77777777" w:rsidR="00024D9C" w:rsidRPr="00C9050C" w:rsidRDefault="00024D9C" w:rsidP="00024D9C">
      <w:pPr>
        <w:pStyle w:val="Textonotapie"/>
        <w:ind w:firstLine="709"/>
        <w:contextualSpacing/>
        <w:jc w:val="both"/>
        <w:rPr>
          <w:rFonts w:ascii="Verdana" w:hAnsi="Verdana"/>
          <w:sz w:val="16"/>
          <w:szCs w:val="16"/>
          <w:lang w:val="es-CO"/>
        </w:rPr>
      </w:pPr>
      <w:r w:rsidRPr="00C9050C">
        <w:rPr>
          <w:rStyle w:val="Refdenotaalpie"/>
          <w:rFonts w:ascii="Verdana" w:hAnsi="Verdana"/>
          <w:sz w:val="16"/>
          <w:szCs w:val="16"/>
        </w:rPr>
        <w:footnoteRef/>
      </w:r>
      <w:r w:rsidRPr="00C9050C">
        <w:rPr>
          <w:rFonts w:ascii="Verdana" w:hAnsi="Verdana"/>
          <w:sz w:val="16"/>
          <w:szCs w:val="16"/>
        </w:rPr>
        <w:t xml:space="preserve"> La parte resolutiva del auto dispone lo siguiente; “</w:t>
      </w:r>
      <w:r w:rsidRPr="00C9050C">
        <w:rPr>
          <w:rFonts w:ascii="Verdana" w:hAnsi="Verdana"/>
          <w:b/>
          <w:sz w:val="16"/>
          <w:szCs w:val="16"/>
          <w:lang w:val="es-CO"/>
        </w:rPr>
        <w:t xml:space="preserve">PRIMERO: DECRETAR </w:t>
      </w:r>
      <w:r w:rsidRPr="00C9050C">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C9050C">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C9050C">
        <w:rPr>
          <w:rFonts w:ascii="Verdana" w:hAnsi="Verdana"/>
          <w:sz w:val="16"/>
          <w:szCs w:val="16"/>
          <w:lang w:val="es-CO"/>
        </w:rPr>
        <w:t xml:space="preserve">, por las razones expuestas en precedencia. </w:t>
      </w:r>
    </w:p>
    <w:p w14:paraId="7DEC1402" w14:textId="77777777" w:rsidR="00024D9C" w:rsidRPr="00C9050C" w:rsidRDefault="00024D9C" w:rsidP="00024D9C">
      <w:pPr>
        <w:pStyle w:val="Textonotapie"/>
        <w:ind w:firstLine="709"/>
        <w:contextualSpacing/>
        <w:jc w:val="both"/>
        <w:rPr>
          <w:rFonts w:ascii="Verdana" w:hAnsi="Verdana"/>
          <w:sz w:val="16"/>
          <w:szCs w:val="16"/>
          <w:lang w:val="es-CO"/>
        </w:rPr>
      </w:pPr>
      <w:r w:rsidRPr="00C9050C">
        <w:rPr>
          <w:rFonts w:ascii="Verdana" w:hAnsi="Verdana"/>
          <w:b/>
          <w:sz w:val="16"/>
          <w:szCs w:val="16"/>
          <w:lang w:val="es-CO"/>
        </w:rPr>
        <w:t xml:space="preserve">SEGUNDO: DECRETAR </w:t>
      </w:r>
      <w:r w:rsidRPr="00C9050C">
        <w:rPr>
          <w:rFonts w:ascii="Verdana" w:hAnsi="Verdana"/>
          <w:sz w:val="16"/>
          <w:szCs w:val="16"/>
          <w:lang w:val="es-CO"/>
        </w:rPr>
        <w:t>la suspensión provisional de la expresión “</w:t>
      </w:r>
      <w:r w:rsidRPr="00C9050C">
        <w:rPr>
          <w:rFonts w:ascii="Verdana" w:hAnsi="Verdana"/>
          <w:i/>
          <w:sz w:val="16"/>
          <w:szCs w:val="16"/>
          <w:lang w:val="es-CO"/>
        </w:rPr>
        <w:t>contratos</w:t>
      </w:r>
      <w:r w:rsidRPr="00C9050C">
        <w:rPr>
          <w:rFonts w:ascii="Verdana" w:hAnsi="Verdana"/>
          <w:sz w:val="16"/>
          <w:szCs w:val="16"/>
          <w:lang w:val="es-CO"/>
        </w:rPr>
        <w:t xml:space="preserve">” y del párrafo </w:t>
      </w:r>
      <w:r w:rsidRPr="00C9050C">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C9050C">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37">
    <w:p w14:paraId="64C882B1" w14:textId="77777777" w:rsidR="00024D9C" w:rsidRPr="00C9050C" w:rsidRDefault="00024D9C" w:rsidP="00024D9C">
      <w:pPr>
        <w:spacing w:after="0" w:line="240" w:lineRule="auto"/>
        <w:ind w:firstLine="709"/>
        <w:contextualSpacing/>
        <w:jc w:val="both"/>
        <w:rPr>
          <w:rFonts w:ascii="Verdana" w:eastAsia="Times New Roman" w:hAnsi="Verdana" w:cs="Times New Roman"/>
          <w:sz w:val="16"/>
          <w:szCs w:val="16"/>
          <w:lang w:eastAsia="es-ES"/>
        </w:rPr>
      </w:pPr>
      <w:r w:rsidRPr="00C9050C">
        <w:rPr>
          <w:rStyle w:val="Refdenotaalpie"/>
          <w:rFonts w:ascii="Verdana" w:hAnsi="Verdana"/>
          <w:sz w:val="16"/>
          <w:szCs w:val="16"/>
        </w:rPr>
        <w:footnoteRef/>
      </w:r>
      <w:r w:rsidRPr="00C9050C">
        <w:rPr>
          <w:rFonts w:ascii="Verdana" w:hAnsi="Verdana"/>
          <w:sz w:val="16"/>
          <w:szCs w:val="16"/>
        </w:rPr>
        <w:t xml:space="preserve"> </w:t>
      </w:r>
      <w:r w:rsidRPr="00C9050C">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C9050C">
        <w:rPr>
          <w:rFonts w:ascii="Verdana" w:hAnsi="Verdana"/>
          <w:sz w:val="16"/>
          <w:szCs w:val="16"/>
        </w:rPr>
        <w:t xml:space="preserve">La parte de la providencia señala: </w:t>
      </w:r>
      <w:r w:rsidRPr="00C9050C">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8">
    <w:p w14:paraId="7B4AA4C7" w14:textId="77777777" w:rsidR="00024D9C" w:rsidRPr="00C9050C" w:rsidRDefault="00024D9C" w:rsidP="00024D9C">
      <w:pPr>
        <w:pStyle w:val="Textonotapie"/>
        <w:ind w:firstLine="709"/>
        <w:rPr>
          <w:rFonts w:ascii="Verdana" w:hAnsi="Verdana"/>
          <w:sz w:val="16"/>
          <w:szCs w:val="16"/>
          <w:lang w:val="es-CO"/>
        </w:rPr>
      </w:pPr>
      <w:r w:rsidRPr="00C9050C">
        <w:rPr>
          <w:rStyle w:val="Refdenotaalpie"/>
          <w:rFonts w:ascii="Verdana" w:hAnsi="Verdana"/>
          <w:sz w:val="16"/>
          <w:szCs w:val="16"/>
        </w:rPr>
        <w:footnoteRef/>
      </w:r>
      <w:r w:rsidRPr="00C9050C">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D9C"/>
    <w:rsid w:val="00046945"/>
    <w:rsid w:val="00061B2A"/>
    <w:rsid w:val="00082362"/>
    <w:rsid w:val="000A683E"/>
    <w:rsid w:val="000B19B9"/>
    <w:rsid w:val="000D0334"/>
    <w:rsid w:val="000D5DA7"/>
    <w:rsid w:val="000E0938"/>
    <w:rsid w:val="000F6486"/>
    <w:rsid w:val="00116940"/>
    <w:rsid w:val="00125105"/>
    <w:rsid w:val="00127233"/>
    <w:rsid w:val="00153593"/>
    <w:rsid w:val="0015699B"/>
    <w:rsid w:val="001A33BF"/>
    <w:rsid w:val="001E4177"/>
    <w:rsid w:val="001F0B24"/>
    <w:rsid w:val="001F539F"/>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037F"/>
    <w:rsid w:val="0030657A"/>
    <w:rsid w:val="003168B1"/>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B22FA"/>
    <w:rsid w:val="004F21C4"/>
    <w:rsid w:val="004F685F"/>
    <w:rsid w:val="005566E8"/>
    <w:rsid w:val="0056205B"/>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540DC"/>
    <w:rsid w:val="00867F95"/>
    <w:rsid w:val="008843B6"/>
    <w:rsid w:val="00891928"/>
    <w:rsid w:val="008A446D"/>
    <w:rsid w:val="008B25F1"/>
    <w:rsid w:val="008D180B"/>
    <w:rsid w:val="008E5F6E"/>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A08FD"/>
    <w:rsid w:val="00AB0ADB"/>
    <w:rsid w:val="00B00C0E"/>
    <w:rsid w:val="00B01B1A"/>
    <w:rsid w:val="00B0381D"/>
    <w:rsid w:val="00B06817"/>
    <w:rsid w:val="00B44A47"/>
    <w:rsid w:val="00B53E7C"/>
    <w:rsid w:val="00B72CD3"/>
    <w:rsid w:val="00B72FFF"/>
    <w:rsid w:val="00BC3D36"/>
    <w:rsid w:val="00BD54A6"/>
    <w:rsid w:val="00BD7F72"/>
    <w:rsid w:val="00BF7425"/>
    <w:rsid w:val="00C04FB3"/>
    <w:rsid w:val="00C11D8B"/>
    <w:rsid w:val="00C15139"/>
    <w:rsid w:val="00C330EB"/>
    <w:rsid w:val="00C44A8E"/>
    <w:rsid w:val="00C50D69"/>
    <w:rsid w:val="00C5365C"/>
    <w:rsid w:val="00C754BE"/>
    <w:rsid w:val="00C76B1C"/>
    <w:rsid w:val="00C925AC"/>
    <w:rsid w:val="00CA4576"/>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1913"/>
    <w:rsid w:val="00E50AFE"/>
    <w:rsid w:val="00E75C92"/>
    <w:rsid w:val="00E771DC"/>
    <w:rsid w:val="00E8772A"/>
    <w:rsid w:val="00E90F6B"/>
    <w:rsid w:val="00E92C27"/>
    <w:rsid w:val="00EA0E3D"/>
    <w:rsid w:val="00EB0CC5"/>
    <w:rsid w:val="00EC38A7"/>
    <w:rsid w:val="00EE1AA8"/>
    <w:rsid w:val="00F23FEA"/>
    <w:rsid w:val="00F31EDC"/>
    <w:rsid w:val="00F462B3"/>
    <w:rsid w:val="00F5664F"/>
    <w:rsid w:val="00F64083"/>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2118079"/>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24D9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24D9C"/>
    <w:rPr>
      <w:rFonts w:ascii="Geomanist Light" w:hAnsi="Geomanist Light"/>
      <w:lang w:val="es-ES"/>
    </w:rPr>
  </w:style>
  <w:style w:type="character" w:customStyle="1" w:styleId="s15">
    <w:name w:val="s15"/>
    <w:basedOn w:val="Fuentedeprrafopredeter"/>
    <w:rsid w:val="00024D9C"/>
  </w:style>
  <w:style w:type="character" w:customStyle="1" w:styleId="NormalWebCar">
    <w:name w:val="Normal (Web) Car"/>
    <w:link w:val="NormalWeb"/>
    <w:uiPriority w:val="99"/>
    <w:rsid w:val="00024D9C"/>
    <w:rPr>
      <w:rFonts w:ascii="Times New Roman" w:eastAsia="Times New Roman" w:hAnsi="Times New Roman" w:cs="Times New Roman"/>
      <w:sz w:val="24"/>
      <w:szCs w:val="24"/>
      <w:lang w:eastAsia="es-CO"/>
    </w:rPr>
  </w:style>
  <w:style w:type="character" w:customStyle="1" w:styleId="baj">
    <w:name w:val="b_aj"/>
    <w:basedOn w:val="Fuentedeprrafopredeter"/>
    <w:rsid w:val="00024D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asomaroquia.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2D98A5F0-DFCF-41B7-8B64-2252C6034AE8}"/>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32</Pages>
  <Words>10175</Words>
  <Characters>55967</Characters>
  <Application>Microsoft Office Word</Application>
  <DocSecurity>0</DocSecurity>
  <Lines>466</Lines>
  <Paragraphs>132</Paragraphs>
  <ScaleCrop>false</ScaleCrop>
  <Company/>
  <LinksUpToDate>false</LinksUpToDate>
  <CharactersWithSpaces>66010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5</cp:revision>
  <cp:lastPrinted>2023-01-10T21:18:00Z</cp:lastPrinted>
  <dcterms:created xsi:type="dcterms:W3CDTF">2025-12-15T17:40:00Z</dcterms:created>
  <dcterms:modified xsi:type="dcterms:W3CDTF">2025-12-15T19:52:00Z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