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38DC21" w14:textId="77777777" w:rsidR="00AE444D" w:rsidRPr="00AE444D" w:rsidRDefault="00AE444D" w:rsidP="00AE444D">
      <w:pPr>
        <w:spacing w:after="0" w:line="240" w:lineRule="auto"/>
        <w:jc w:val="both"/>
        <w:rPr>
          <w:rFonts w:ascii="Verdana" w:hAnsi="Verdana" w:cs="Arial"/>
          <w:b/>
          <w:lang w:eastAsia="es-ES"/>
        </w:rPr>
      </w:pPr>
      <w:bookmarkStart w:id="0" w:name="_Hlk143780582"/>
      <w:r w:rsidRPr="00AE444D">
        <w:rPr>
          <w:rFonts w:ascii="Verdana" w:hAnsi="Verdana" w:cs="Arial"/>
          <w:b/>
          <w:lang w:eastAsia="es-ES"/>
        </w:rPr>
        <w:t xml:space="preserve">ARTÍCULO 355 DE LA CONSTITUCIÓN POLÍTICA – Formas de colaboración o cooperación – Estado y particulares </w:t>
      </w:r>
    </w:p>
    <w:p w14:paraId="14619224" w14:textId="77777777" w:rsidR="00AE444D" w:rsidRPr="00AE444D" w:rsidRDefault="00AE444D" w:rsidP="00AE444D">
      <w:pPr>
        <w:spacing w:after="0" w:line="240" w:lineRule="auto"/>
        <w:jc w:val="both"/>
        <w:rPr>
          <w:rFonts w:ascii="Verdana" w:hAnsi="Verdana" w:cs="Arial"/>
          <w:b/>
          <w:lang w:eastAsia="es-ES"/>
        </w:rPr>
      </w:pPr>
    </w:p>
    <w:p w14:paraId="7E3032BC" w14:textId="77777777" w:rsidR="00AE444D" w:rsidRPr="00AE444D" w:rsidRDefault="00AE444D" w:rsidP="00AE444D">
      <w:pPr>
        <w:spacing w:after="0" w:line="240" w:lineRule="auto"/>
        <w:jc w:val="both"/>
        <w:rPr>
          <w:rFonts w:ascii="Verdana" w:hAnsi="Verdana" w:cs="Arial"/>
          <w:sz w:val="20"/>
          <w:lang w:val="es-MX" w:eastAsia="es-ES"/>
        </w:rPr>
      </w:pPr>
      <w:r w:rsidRPr="00AE444D">
        <w:rPr>
          <w:rFonts w:ascii="Verdana" w:hAnsi="Verdana" w:cs="Arial"/>
          <w:sz w:val="20"/>
          <w:lang w:val="es-MX" w:eastAsia="es-ES"/>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 con el fin de impulsar programas y actividades de interés público acordes con el plan nacional y los planes seccionales de desarrollo.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1A175753" w14:textId="77777777" w:rsidR="00AE444D" w:rsidRPr="00AE444D" w:rsidRDefault="00AE444D" w:rsidP="00AE444D">
      <w:pPr>
        <w:spacing w:after="0" w:line="240" w:lineRule="auto"/>
        <w:jc w:val="both"/>
        <w:rPr>
          <w:rFonts w:ascii="Verdana" w:hAnsi="Verdana" w:cs="Arial"/>
          <w:b/>
          <w:lang w:val="es-MX" w:eastAsia="es-ES"/>
        </w:rPr>
      </w:pPr>
    </w:p>
    <w:p w14:paraId="0C7DDCE7" w14:textId="77777777" w:rsidR="00AE444D" w:rsidRPr="00AE444D" w:rsidRDefault="00AE444D" w:rsidP="00AE444D">
      <w:pPr>
        <w:spacing w:after="0" w:line="240" w:lineRule="auto"/>
        <w:jc w:val="both"/>
        <w:rPr>
          <w:rFonts w:ascii="Verdana" w:hAnsi="Verdana" w:cs="Arial"/>
          <w:b/>
          <w:lang w:eastAsia="es-ES"/>
        </w:rPr>
      </w:pPr>
      <w:r w:rsidRPr="00AE444D">
        <w:rPr>
          <w:rFonts w:ascii="Verdana" w:hAnsi="Verdana" w:cs="Arial"/>
          <w:b/>
          <w:lang w:eastAsia="es-ES"/>
        </w:rPr>
        <w:t xml:space="preserve">DECRETO 092 DE 2017 – Convenios de interés público – Convenios de asociación </w:t>
      </w:r>
    </w:p>
    <w:p w14:paraId="539043E9" w14:textId="77777777" w:rsidR="00AE444D" w:rsidRPr="00AE444D" w:rsidRDefault="00AE444D" w:rsidP="00AE444D">
      <w:pPr>
        <w:spacing w:after="0" w:line="240" w:lineRule="auto"/>
        <w:jc w:val="both"/>
        <w:rPr>
          <w:rFonts w:ascii="Verdana" w:hAnsi="Verdana" w:cs="Arial"/>
          <w:b/>
          <w:lang w:eastAsia="es-ES"/>
        </w:rPr>
      </w:pPr>
    </w:p>
    <w:p w14:paraId="608A321C" w14:textId="77777777" w:rsidR="00AE444D" w:rsidRPr="00AE444D" w:rsidRDefault="00AE444D" w:rsidP="00AE444D">
      <w:pPr>
        <w:spacing w:after="0" w:line="240" w:lineRule="auto"/>
        <w:jc w:val="both"/>
        <w:rPr>
          <w:rFonts w:ascii="Verdana" w:hAnsi="Verdana" w:cs="Arial"/>
          <w:sz w:val="20"/>
          <w:lang w:val="es-MX" w:eastAsia="es-ES"/>
        </w:rPr>
      </w:pPr>
      <w:r w:rsidRPr="00AE444D">
        <w:rPr>
          <w:rFonts w:ascii="Verdana" w:hAnsi="Verdana" w:cs="Arial"/>
          <w:sz w:val="20"/>
          <w:lang w:val="es-MX" w:eastAsia="es-ES"/>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AE444D">
        <w:rPr>
          <w:rFonts w:ascii="Verdana" w:hAnsi="Verdana" w:cs="Arial"/>
          <w:i/>
          <w:iCs/>
          <w:sz w:val="20"/>
          <w:lang w:val="es-MX" w:eastAsia="es-ES"/>
        </w:rPr>
        <w:t>contratos de colaboración</w:t>
      </w:r>
      <w:r w:rsidRPr="00AE444D">
        <w:rPr>
          <w:rFonts w:ascii="Verdana" w:hAnsi="Verdana" w:cs="Arial"/>
          <w:sz w:val="20"/>
          <w:lang w:val="es-MX" w:eastAsia="es-ES"/>
        </w:rPr>
        <w:t xml:space="preserve"> o de interés público, con el fin impulsar programas y actividades de interés público de acuerdo con el Plan Nacional o los planes seccionales de desarrollo, en los términos del artículo 355 de la Constitución Política; y ii) los </w:t>
      </w:r>
      <w:r w:rsidRPr="00AE444D">
        <w:rPr>
          <w:rFonts w:ascii="Verdana" w:hAnsi="Verdana" w:cs="Arial"/>
          <w:i/>
          <w:iCs/>
          <w:sz w:val="20"/>
          <w:lang w:val="es-MX" w:eastAsia="es-ES"/>
        </w:rPr>
        <w:t>convenios de asociación</w:t>
      </w:r>
      <w:r w:rsidRPr="00AE444D">
        <w:rPr>
          <w:rFonts w:ascii="Verdana" w:hAnsi="Verdana" w:cs="Arial"/>
          <w:sz w:val="20"/>
          <w:lang w:val="es-MX" w:eastAsia="es-ES"/>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AE444D">
        <w:rPr>
          <w:rFonts w:ascii="Verdana" w:hAnsi="Verdana" w:cs="Arial"/>
          <w:i/>
          <w:iCs/>
          <w:sz w:val="20"/>
          <w:lang w:val="es-MX" w:eastAsia="es-ES"/>
        </w:rPr>
        <w:t>ibidem</w:t>
      </w:r>
      <w:r w:rsidRPr="00AE444D">
        <w:rPr>
          <w:rFonts w:ascii="Verdana" w:hAnsi="Verdana" w:cs="Arial"/>
          <w:sz w:val="20"/>
          <w:lang w:val="es-MX" w:eastAsia="es-ES"/>
        </w:rPr>
        <w:t xml:space="preserve">. Es posible diferenciar, pues, los </w:t>
      </w:r>
      <w:r w:rsidRPr="00AE444D">
        <w:rPr>
          <w:rFonts w:ascii="Verdana" w:hAnsi="Verdana" w:cs="Arial"/>
          <w:i/>
          <w:iCs/>
          <w:sz w:val="20"/>
          <w:lang w:val="es-MX" w:eastAsia="es-ES"/>
        </w:rPr>
        <w:t>convenios de asociación</w:t>
      </w:r>
      <w:r w:rsidRPr="00AE444D">
        <w:rPr>
          <w:rFonts w:ascii="Verdana" w:hAnsi="Verdana" w:cs="Arial"/>
          <w:sz w:val="20"/>
          <w:lang w:val="es-MX" w:eastAsia="es-ES"/>
        </w:rPr>
        <w:t xml:space="preserve">, regulados en el artículo 5, de los </w:t>
      </w:r>
      <w:r w:rsidRPr="00AE444D">
        <w:rPr>
          <w:rFonts w:ascii="Verdana" w:hAnsi="Verdana" w:cs="Arial"/>
          <w:i/>
          <w:iCs/>
          <w:sz w:val="20"/>
          <w:lang w:val="es-MX" w:eastAsia="es-ES"/>
        </w:rPr>
        <w:t>contratos de colaboración</w:t>
      </w:r>
      <w:r w:rsidRPr="00AE444D">
        <w:rPr>
          <w:rFonts w:ascii="Verdana" w:hAnsi="Verdana" w:cs="Arial"/>
          <w:sz w:val="20"/>
          <w:lang w:val="es-MX" w:eastAsia="es-ES"/>
        </w:rPr>
        <w:t>, establecidos en el artículo 2 del Decreto 092 de 2017.</w:t>
      </w:r>
    </w:p>
    <w:p w14:paraId="30B14EAA" w14:textId="77777777" w:rsidR="00AE444D" w:rsidRPr="00AE444D" w:rsidRDefault="00AE444D" w:rsidP="00AE444D">
      <w:pPr>
        <w:spacing w:after="0" w:line="240" w:lineRule="auto"/>
        <w:jc w:val="both"/>
        <w:rPr>
          <w:rFonts w:ascii="Verdana" w:hAnsi="Verdana" w:cs="Arial"/>
          <w:lang w:eastAsia="es-ES"/>
        </w:rPr>
      </w:pPr>
    </w:p>
    <w:p w14:paraId="1D239837" w14:textId="77777777" w:rsidR="00AE444D" w:rsidRPr="00AE444D" w:rsidRDefault="00AE444D" w:rsidP="00AE444D">
      <w:pPr>
        <w:spacing w:after="0" w:line="240" w:lineRule="auto"/>
        <w:jc w:val="both"/>
        <w:rPr>
          <w:rFonts w:ascii="Verdana" w:hAnsi="Verdana" w:cs="Arial"/>
          <w:b/>
          <w:lang w:val="es-ES" w:eastAsia="es-ES"/>
        </w:rPr>
      </w:pPr>
      <w:r w:rsidRPr="00AE444D">
        <w:rPr>
          <w:rFonts w:ascii="Verdana" w:hAnsi="Verdana" w:cs="Arial"/>
          <w:b/>
          <w:lang w:eastAsia="es-ES"/>
        </w:rPr>
        <w:t xml:space="preserve"> CONVENIOS DE ASOCIACIÓN – Artículo 5 del Decreto 092 de 2017 – Artículo 96 de la Ley 489 de 1998 – Requisitos </w:t>
      </w:r>
    </w:p>
    <w:p w14:paraId="79934241" w14:textId="77777777" w:rsidR="00AE444D" w:rsidRPr="00AE444D" w:rsidRDefault="00AE444D" w:rsidP="00AE444D">
      <w:pPr>
        <w:spacing w:after="0" w:line="240" w:lineRule="auto"/>
        <w:jc w:val="both"/>
        <w:rPr>
          <w:rFonts w:ascii="Verdana" w:hAnsi="Verdana" w:cs="Arial"/>
          <w:b/>
          <w:lang w:val="es-ES" w:eastAsia="es-ES"/>
        </w:rPr>
      </w:pPr>
    </w:p>
    <w:p w14:paraId="2161B45F" w14:textId="77777777" w:rsidR="00AE444D" w:rsidRPr="00AE444D" w:rsidRDefault="00AE444D" w:rsidP="00AE444D">
      <w:pPr>
        <w:spacing w:after="0" w:line="240" w:lineRule="auto"/>
        <w:jc w:val="both"/>
        <w:rPr>
          <w:rFonts w:ascii="Verdana" w:hAnsi="Verdana" w:cs="Arial"/>
          <w:sz w:val="20"/>
          <w:lang w:val="es-MX" w:eastAsia="es-ES"/>
        </w:rPr>
      </w:pPr>
      <w:r w:rsidRPr="00AE444D">
        <w:rPr>
          <w:rFonts w:ascii="Verdana" w:hAnsi="Verdana" w:cs="Arial"/>
          <w:sz w:val="20"/>
          <w:lang w:val="es-MX" w:eastAsia="es-ES"/>
        </w:rPr>
        <w:t xml:space="preserve">Los </w:t>
      </w:r>
      <w:r w:rsidRPr="00AE444D">
        <w:rPr>
          <w:rFonts w:ascii="Verdana" w:hAnsi="Verdana" w:cs="Arial"/>
          <w:i/>
          <w:iCs/>
          <w:sz w:val="20"/>
          <w:lang w:val="es-MX" w:eastAsia="es-ES"/>
        </w:rPr>
        <w:t>convenios de asociación</w:t>
      </w:r>
      <w:r w:rsidRPr="00AE444D">
        <w:rPr>
          <w:rFonts w:ascii="Verdana" w:hAnsi="Verdana" w:cs="Arial"/>
          <w:sz w:val="20"/>
          <w:lang w:val="es-MX" w:eastAsia="es-ES"/>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 Autónomo. </w:t>
      </w:r>
    </w:p>
    <w:p w14:paraId="3C51649F" w14:textId="77777777" w:rsidR="00AE444D" w:rsidRPr="00AE444D" w:rsidRDefault="00AE444D" w:rsidP="00AE444D">
      <w:pPr>
        <w:spacing w:after="0" w:line="240" w:lineRule="auto"/>
        <w:jc w:val="both"/>
        <w:rPr>
          <w:rFonts w:ascii="Verdana" w:hAnsi="Verdana" w:cs="Arial"/>
          <w:sz w:val="20"/>
          <w:lang w:val="es-MX" w:eastAsia="es-ES"/>
        </w:rPr>
      </w:pPr>
    </w:p>
    <w:p w14:paraId="198E05E0" w14:textId="77777777" w:rsidR="00AE444D" w:rsidRPr="00AE444D" w:rsidRDefault="00AE444D" w:rsidP="00AE444D">
      <w:pPr>
        <w:spacing w:after="0" w:line="240" w:lineRule="auto"/>
        <w:jc w:val="both"/>
        <w:rPr>
          <w:rFonts w:ascii="Verdana" w:hAnsi="Verdana" w:cs="Arial"/>
          <w:sz w:val="20"/>
          <w:lang w:val="es-MX" w:eastAsia="es-ES"/>
        </w:rPr>
      </w:pPr>
      <w:r w:rsidRPr="00AE444D">
        <w:rPr>
          <w:rFonts w:ascii="Verdana" w:hAnsi="Verdana" w:cs="Arial"/>
          <w:sz w:val="20"/>
          <w:lang w:val="es-MX" w:eastAsia="es-ES"/>
        </w:rPr>
        <w:t xml:space="preserve">En estos convenios no existe contraprestación o pago, sino aportes, los cuales están dirigidos, exclusivamente, a lograr la ejecución del convenio y no a remunerar la </w:t>
      </w:r>
      <w:r w:rsidRPr="00AE444D">
        <w:rPr>
          <w:rFonts w:ascii="Verdana" w:hAnsi="Verdana" w:cs="Arial"/>
          <w:sz w:val="20"/>
          <w:lang w:val="es-MX" w:eastAsia="es-ES"/>
        </w:rPr>
        <w:lastRenderedPageBreak/>
        <w:t xml:space="preserve">actividad o actuaciones del asociado. De todos modos, la entidad debe adelantar un proceso competitivo, salvo cuando la ESAL comprometa recursos en dinero para la ejecución de estas actividades, en una proporción no inferior al 30% del valor total del convenio. </w:t>
      </w:r>
    </w:p>
    <w:p w14:paraId="78841B3E" w14:textId="77777777" w:rsidR="00AE444D" w:rsidRPr="00AE444D" w:rsidRDefault="00AE444D" w:rsidP="00AE444D">
      <w:pPr>
        <w:spacing w:after="0" w:line="240" w:lineRule="auto"/>
        <w:jc w:val="both"/>
        <w:rPr>
          <w:rFonts w:ascii="Verdana" w:hAnsi="Verdana" w:cs="Arial"/>
          <w:sz w:val="20"/>
          <w:lang w:val="es-MX" w:eastAsia="es-ES"/>
        </w:rPr>
      </w:pPr>
    </w:p>
    <w:p w14:paraId="7F16148D" w14:textId="77777777" w:rsidR="00AE444D" w:rsidRPr="00AE444D" w:rsidRDefault="00AE444D" w:rsidP="00AE444D">
      <w:pPr>
        <w:spacing w:after="0" w:line="240" w:lineRule="auto"/>
        <w:jc w:val="both"/>
        <w:rPr>
          <w:rFonts w:ascii="Verdana" w:hAnsi="Verdana" w:cs="Arial"/>
          <w:sz w:val="20"/>
          <w:lang w:val="es-MX" w:eastAsia="es-ES"/>
        </w:rPr>
      </w:pPr>
      <w:r w:rsidRPr="00AE444D">
        <w:rPr>
          <w:rFonts w:ascii="Verdana" w:hAnsi="Verdana" w:cs="Arial"/>
          <w:sz w:val="20"/>
          <w:lang w:val="es-MX" w:eastAsia="es-ES"/>
        </w:rPr>
        <w:t xml:space="preserve">De conformidad con el inciso segundo del artículo 96 de la Ley 489 de 1998, en estos convenios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30%, o en especie, los cuales deben servir al desarrollo de los objetivos comunes de la asociación. </w:t>
      </w:r>
    </w:p>
    <w:p w14:paraId="0D1F6F52" w14:textId="77777777" w:rsidR="00AE444D" w:rsidRPr="00AE444D" w:rsidRDefault="00AE444D" w:rsidP="00AE444D">
      <w:pPr>
        <w:spacing w:after="0" w:line="240" w:lineRule="auto"/>
        <w:jc w:val="both"/>
        <w:rPr>
          <w:rFonts w:ascii="Verdana" w:hAnsi="Verdana" w:cs="Arial"/>
          <w:b/>
          <w:lang w:val="es-MX" w:eastAsia="es-ES"/>
        </w:rPr>
      </w:pPr>
    </w:p>
    <w:p w14:paraId="09FE4747" w14:textId="77777777" w:rsidR="00AE444D" w:rsidRPr="00AE444D" w:rsidRDefault="00AE444D" w:rsidP="00AE444D">
      <w:pPr>
        <w:spacing w:after="0" w:line="240" w:lineRule="auto"/>
        <w:jc w:val="both"/>
        <w:rPr>
          <w:rFonts w:ascii="Verdana" w:hAnsi="Verdana" w:cs="Arial"/>
          <w:b/>
          <w:lang w:val="es-ES" w:eastAsia="es-ES"/>
        </w:rPr>
      </w:pPr>
      <w:r w:rsidRPr="00AE444D">
        <w:rPr>
          <w:rFonts w:ascii="Verdana" w:hAnsi="Verdana" w:cs="Arial"/>
          <w:b/>
          <w:lang w:val="es-ES" w:eastAsia="es-ES"/>
        </w:rPr>
        <w:t xml:space="preserve">CONVENIOS DE ASOCIACIÓN – Requisitos – Nueva Guía para la contratación con Entidades Sin Ánimo de Lucro y reconocida idoneidad </w:t>
      </w:r>
    </w:p>
    <w:p w14:paraId="7B0121E4" w14:textId="77777777" w:rsidR="00AE444D" w:rsidRPr="00AE444D" w:rsidRDefault="00AE444D" w:rsidP="00AE444D">
      <w:pPr>
        <w:spacing w:after="0" w:line="240" w:lineRule="auto"/>
        <w:jc w:val="both"/>
        <w:rPr>
          <w:rFonts w:ascii="Verdana" w:hAnsi="Verdana" w:cs="Arial"/>
          <w:b/>
          <w:lang w:val="es-ES" w:eastAsia="es-ES"/>
        </w:rPr>
      </w:pPr>
    </w:p>
    <w:p w14:paraId="757E2362" w14:textId="77777777" w:rsidR="00AE444D" w:rsidRPr="00AE444D" w:rsidRDefault="00AE444D" w:rsidP="00AE444D">
      <w:pPr>
        <w:spacing w:after="0" w:line="240" w:lineRule="auto"/>
        <w:jc w:val="both"/>
        <w:rPr>
          <w:rFonts w:ascii="Verdana" w:hAnsi="Verdana" w:cs="Arial"/>
          <w:sz w:val="20"/>
          <w:lang w:eastAsia="es-ES"/>
        </w:rPr>
      </w:pPr>
      <w:r w:rsidRPr="00AE444D">
        <w:rPr>
          <w:rFonts w:ascii="Verdana" w:hAnsi="Verdana" w:cs="Arial"/>
          <w:sz w:val="20"/>
          <w:lang w:val="es-MX" w:eastAsia="es-ES"/>
        </w:rPr>
        <w:t xml:space="preserve">A partir de lo expuesto, se encuentra que en la Nueva </w:t>
      </w:r>
      <w:r w:rsidRPr="00AE444D">
        <w:rPr>
          <w:rFonts w:ascii="Verdana" w:hAnsi="Verdana" w:cs="Arial"/>
          <w:bCs/>
          <w:sz w:val="20"/>
          <w:lang w:eastAsia="es-ES"/>
        </w:rPr>
        <w:t>“</w:t>
      </w:r>
      <w:r w:rsidRPr="00AE444D">
        <w:rPr>
          <w:rFonts w:ascii="Verdana" w:hAnsi="Verdana" w:cs="Arial"/>
          <w:bCs/>
          <w:i/>
          <w:iCs/>
          <w:sz w:val="20"/>
          <w:lang w:eastAsia="es-ES"/>
        </w:rPr>
        <w:t xml:space="preserve">Guía para la contratación con entidades privadas sin ánimo de lucro y de reconocida idoneidad” </w:t>
      </w:r>
      <w:r w:rsidRPr="00AE444D">
        <w:rPr>
          <w:rFonts w:ascii="Verdana" w:hAnsi="Verdana" w:cs="Arial"/>
          <w:sz w:val="20"/>
          <w:lang w:val="es-MX" w:eastAsia="es-ES"/>
        </w:rPr>
        <w:t>se establece tres condiciones para contratar mediante convenios de asociación: en primer lugar, e</w:t>
      </w:r>
      <w:r w:rsidRPr="00AE444D">
        <w:rPr>
          <w:rFonts w:ascii="Verdana" w:hAnsi="Verdana" w:cs="Arial"/>
          <w:sz w:val="20"/>
          <w:lang w:eastAsia="es-ES"/>
        </w:rPr>
        <w:t>l convenio de asociación debe suscribirse mediante un proceso competitivo con Entidades Privadas Sin Ánimo de Lucro de reconocida idoneidad, con la condición de que el aporte de la Entidad Privada Sin Ánimo de Lucro sea inferior al 30% en dinero propio o de cooperación internacional. En segundo lugar, la suscripción del convenio de asociación del convenio de asociación no está sujeto a un proceso competitivo cuando la Entidad Privada Sin Ánimo de Lucro comprometa recursos en dinero propio o de cooperación internacional para la ejecución de las actividades en un porcentaje no inferior al 30% del valor total del convenio. Por último, si más de una Entidad Privada Sin Ánimo de Lucro promete recursos en dinero para el desarrollo de las actividades del convenio de asociación en un porcentaje no inferior al 30% del valor total del convenio, la Entidad debe seleccionar de forma objetiva y con justificación las razones para dicha selección.</w:t>
      </w:r>
    </w:p>
    <w:p w14:paraId="55C59229" w14:textId="38360AA7" w:rsidR="00AE444D" w:rsidRPr="00AE444D" w:rsidRDefault="00AE444D" w:rsidP="00AE444D">
      <w:pPr>
        <w:spacing w:after="0" w:line="240" w:lineRule="auto"/>
        <w:jc w:val="both"/>
        <w:rPr>
          <w:rFonts w:ascii="Verdana" w:hAnsi="Verdana"/>
          <w:b/>
        </w:rPr>
      </w:pPr>
    </w:p>
    <w:p w14:paraId="2249E889" w14:textId="77777777" w:rsidR="00AE444D" w:rsidRPr="00AE444D" w:rsidRDefault="00AE444D" w:rsidP="00AE444D">
      <w:pPr>
        <w:spacing w:after="0" w:line="240" w:lineRule="auto"/>
        <w:jc w:val="both"/>
        <w:rPr>
          <w:rFonts w:ascii="Verdana" w:hAnsi="Verdana" w:cs="Arial"/>
          <w:b/>
          <w:bCs/>
          <w:lang w:val="es-ES" w:eastAsia="es-ES"/>
        </w:rPr>
      </w:pPr>
      <w:r w:rsidRPr="00AE444D">
        <w:rPr>
          <w:rFonts w:ascii="Verdana" w:hAnsi="Verdana" w:cs="Arial"/>
          <w:b/>
          <w:bCs/>
          <w:lang w:val="es-ES" w:eastAsia="es-ES"/>
        </w:rPr>
        <w:t>INTEGRACIÓN NORMATIVA – Convenios de asociación – Reglas – – inaplicabilidad del anticipo y pago anticipado</w:t>
      </w:r>
      <w:r w:rsidRPr="00AE444D">
        <w:rPr>
          <w:rFonts w:ascii="Verdana" w:hAnsi="Verdana" w:cs="Arial"/>
          <w:b/>
          <w:bCs/>
          <w:lang w:val="es-ES" w:eastAsia="es-ES"/>
        </w:rPr>
        <w:t xml:space="preserve"> </w:t>
      </w:r>
    </w:p>
    <w:p w14:paraId="7545E676" w14:textId="57A042CD" w:rsidR="00AE444D" w:rsidRDefault="00AE444D" w:rsidP="00AE444D">
      <w:pPr>
        <w:spacing w:after="0" w:line="240" w:lineRule="auto"/>
        <w:jc w:val="both"/>
        <w:rPr>
          <w:rFonts w:ascii="Verdana" w:hAnsi="Verdana" w:cs="Arial"/>
          <w:b/>
          <w:bCs/>
          <w:lang w:val="es-ES" w:eastAsia="es-ES"/>
        </w:rPr>
      </w:pPr>
    </w:p>
    <w:p w14:paraId="508640BF" w14:textId="77777777" w:rsidR="00AE444D" w:rsidRPr="00AE444D" w:rsidRDefault="00AE444D" w:rsidP="00AE444D">
      <w:pPr>
        <w:spacing w:after="0" w:line="240" w:lineRule="auto"/>
        <w:jc w:val="both"/>
        <w:rPr>
          <w:rFonts w:ascii="Verdana" w:hAnsi="Verdana" w:cs="Arial"/>
          <w:bCs/>
          <w:sz w:val="20"/>
          <w:lang w:val="es-ES" w:eastAsia="es-ES"/>
        </w:rPr>
      </w:pPr>
      <w:r w:rsidRPr="00AE444D">
        <w:rPr>
          <w:rFonts w:ascii="Verdana" w:hAnsi="Verdana" w:cs="Arial"/>
          <w:bCs/>
          <w:sz w:val="20"/>
          <w:lang w:val="es-ES" w:eastAsia="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Al respecto, el Concepto C-557 de 2025 precisó que el anticipo y el pago anticipado son instituciones propias de contratos conmutativos donde existe contraprestación económica, por lo que no aplican de manera integral en convenios de asociación, contratos de colaboración o de interés público y convenios solidarios, caracterizados por su naturaleza no onerosa. Sin embargo, aclaró que ello no impide que las partes incluyan cláusulas que permitan el desembolso temprano de recursos, garantizando que las entidades sin ánimo de lucro </w:t>
      </w:r>
      <w:r w:rsidRPr="00AE444D">
        <w:rPr>
          <w:rFonts w:ascii="Verdana" w:hAnsi="Verdana" w:cs="Arial"/>
          <w:bCs/>
          <w:sz w:val="20"/>
          <w:lang w:val="es-ES" w:eastAsia="es-ES"/>
        </w:rPr>
        <w:lastRenderedPageBreak/>
        <w:t>ejecutoras cuenten con fondos iniciales para poner en marcha los proyectos. En este sentido, se recomienda que los giros se vinculen a las fases y cronograma de ejecución, a partir de condiciones administrativas claras que faciliten la gestión entre las partes, como lo ejemplifica el documento tipo para convenios solidarios que, en su “Cláusula 7 Giro de los recursos”, ofrece tres alternativas para que la entidad estatal seleccione el mecanismo más adecuado a las características de cada convenio.</w:t>
      </w:r>
    </w:p>
    <w:p w14:paraId="3A2F9381" w14:textId="77777777" w:rsidR="00AE444D" w:rsidRPr="00AE444D" w:rsidRDefault="00AE444D" w:rsidP="00AE444D">
      <w:pPr>
        <w:spacing w:after="0" w:line="240" w:lineRule="auto"/>
        <w:jc w:val="both"/>
        <w:rPr>
          <w:rFonts w:ascii="Verdana" w:hAnsi="Verdana" w:cs="Arial"/>
          <w:b/>
          <w:bCs/>
          <w:lang w:val="es-ES" w:eastAsia="es-ES"/>
        </w:rPr>
      </w:pPr>
    </w:p>
    <w:p w14:paraId="0DC08300" w14:textId="77777777" w:rsidR="00AE444D" w:rsidRPr="00AE444D" w:rsidRDefault="00AE444D" w:rsidP="00AE444D">
      <w:pPr>
        <w:spacing w:after="0" w:line="240" w:lineRule="auto"/>
        <w:jc w:val="both"/>
        <w:rPr>
          <w:rFonts w:ascii="Verdana" w:hAnsi="Verdana" w:cs="Arial"/>
          <w:b/>
          <w:bCs/>
          <w:lang w:val="es-ES_tradnl" w:eastAsia="es-ES"/>
        </w:rPr>
      </w:pPr>
      <w:r w:rsidRPr="00AE444D">
        <w:rPr>
          <w:rFonts w:ascii="Verdana" w:hAnsi="Verdana" w:cs="Arial"/>
          <w:b/>
          <w:bCs/>
          <w:lang w:val="es-ES" w:eastAsia="es-ES"/>
        </w:rPr>
        <w:t xml:space="preserve">INTEGRACIÓN NORMATIVA - </w:t>
      </w:r>
      <w:r w:rsidRPr="00AE444D">
        <w:rPr>
          <w:rFonts w:ascii="Verdana" w:hAnsi="Verdana" w:cs="Arial"/>
          <w:b/>
          <w:bCs/>
          <w:lang w:val="es-ES_tradnl" w:eastAsia="es-ES"/>
        </w:rPr>
        <w:t>Garantías – Finalidad</w:t>
      </w:r>
      <w:r w:rsidRPr="00AE444D">
        <w:rPr>
          <w:rFonts w:ascii="Verdana" w:hAnsi="Verdana" w:cs="Arial"/>
          <w:b/>
          <w:bCs/>
          <w:lang w:val="es-ES_tradnl" w:eastAsia="es-ES"/>
        </w:rPr>
        <w:t xml:space="preserve"> </w:t>
      </w:r>
    </w:p>
    <w:p w14:paraId="589E2D81" w14:textId="0E633C28" w:rsidR="00AE444D" w:rsidRDefault="00AE444D" w:rsidP="00AE444D">
      <w:pPr>
        <w:spacing w:after="0" w:line="240" w:lineRule="auto"/>
        <w:jc w:val="both"/>
        <w:rPr>
          <w:rFonts w:ascii="Verdana" w:hAnsi="Verdana" w:cs="Arial"/>
          <w:b/>
          <w:bCs/>
          <w:lang w:val="es-ES_tradnl" w:eastAsia="es-ES"/>
        </w:rPr>
      </w:pPr>
    </w:p>
    <w:p w14:paraId="100772FF" w14:textId="28967467" w:rsidR="00AE444D" w:rsidRPr="00AE444D" w:rsidRDefault="00AE444D" w:rsidP="00AE444D">
      <w:pPr>
        <w:spacing w:after="0" w:line="240" w:lineRule="auto"/>
        <w:jc w:val="both"/>
        <w:rPr>
          <w:rFonts w:ascii="Verdana" w:hAnsi="Verdana" w:cs="Arial"/>
          <w:bCs/>
          <w:sz w:val="20"/>
          <w:lang w:val="es-ES_tradnl" w:eastAsia="es-ES"/>
        </w:rPr>
      </w:pPr>
      <w:r w:rsidRPr="00AE444D">
        <w:rPr>
          <w:rFonts w:ascii="Verdana" w:hAnsi="Verdana" w:cs="Arial"/>
          <w:bCs/>
          <w:sz w:val="20"/>
          <w:lang w:val="es-ES_tradnl" w:eastAsia="es-ES"/>
        </w:rPr>
        <w:t xml:space="preserve">El Estatuto General de Contratación de la Administración Pública exige, por regla general, en los procesos de contratación pública </w:t>
      </w:r>
      <w:r w:rsidRPr="00AE444D">
        <w:rPr>
          <w:rFonts w:ascii="Verdana" w:hAnsi="Verdana" w:cs="Arial"/>
          <w:bCs/>
          <w:sz w:val="20"/>
          <w:lang w:val="es-ES" w:eastAsia="es-ES"/>
        </w:rPr>
        <w:t>la constitución de garantías, ya sea en la etapa precontractual, contractual o postcontractual, con el fin de evitar o mitigar posibles riesgos</w:t>
      </w:r>
      <w:r w:rsidRPr="00AE444D">
        <w:rPr>
          <w:rFonts w:ascii="Verdana" w:hAnsi="Verdana" w:cs="Arial"/>
          <w:bCs/>
          <w:sz w:val="20"/>
          <w:lang w:val="es-ES_tradnl" w:eastAsia="es-ES"/>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2EFC605F" w14:textId="77777777" w:rsidR="00AE444D" w:rsidRPr="00AE444D" w:rsidRDefault="00AE444D" w:rsidP="00AE444D">
      <w:pPr>
        <w:spacing w:after="0" w:line="240" w:lineRule="auto"/>
        <w:jc w:val="both"/>
        <w:rPr>
          <w:rFonts w:ascii="Verdana" w:hAnsi="Verdana" w:cs="Arial"/>
          <w:b/>
          <w:bCs/>
          <w:lang w:val="es-ES_tradnl" w:eastAsia="es-ES"/>
        </w:rPr>
      </w:pPr>
    </w:p>
    <w:p w14:paraId="0C4369EF" w14:textId="4986EF7B" w:rsidR="00AE444D" w:rsidRPr="00AE444D" w:rsidRDefault="00AE444D" w:rsidP="00AE444D">
      <w:pPr>
        <w:spacing w:after="0" w:line="240" w:lineRule="auto"/>
        <w:jc w:val="both"/>
        <w:rPr>
          <w:rFonts w:ascii="Verdana" w:hAnsi="Verdana"/>
          <w:b/>
        </w:rPr>
      </w:pPr>
      <w:r w:rsidRPr="00AE444D">
        <w:rPr>
          <w:rFonts w:ascii="Verdana" w:hAnsi="Verdana" w:cs="Arial"/>
          <w:b/>
          <w:bCs/>
          <w:lang w:val="es-ES_tradnl" w:eastAsia="es-ES"/>
        </w:rPr>
        <w:t>GARANTÍAS – Convenios de Asociación – Procedencia – Amparo de Cumplimiento – Mecanismos de Cobertura de Riesgos.</w:t>
      </w:r>
    </w:p>
    <w:p w14:paraId="5DE5C80E" w14:textId="77777777" w:rsidR="00AE444D" w:rsidRDefault="00AE444D" w:rsidP="003878CE">
      <w:pPr>
        <w:spacing w:after="0"/>
        <w:rPr>
          <w:rFonts w:ascii="Verdana" w:hAnsi="Verdana"/>
        </w:rPr>
      </w:pPr>
    </w:p>
    <w:p w14:paraId="131A5DF3" w14:textId="66B71EF7" w:rsidR="00AE444D" w:rsidRDefault="00AE444D" w:rsidP="00AE444D">
      <w:pPr>
        <w:spacing w:after="0"/>
        <w:jc w:val="both"/>
        <w:rPr>
          <w:rFonts w:ascii="Verdana" w:hAnsi="Verdana"/>
          <w:sz w:val="20"/>
          <w:lang w:val="es-ES"/>
        </w:rPr>
      </w:pPr>
      <w:r w:rsidRPr="00AE444D">
        <w:rPr>
          <w:rFonts w:ascii="Verdana" w:hAnsi="Verdana"/>
          <w:sz w:val="20"/>
          <w:lang w:val="es-ES"/>
        </w:rPr>
        <w:t xml:space="preserve">Teniendo en cuenta esta explicación, es pertinente precisar que como se señaló previamente el buen manejo y correcta inversión del anticipo y la devolución del pago anticipado no son exigibles en los convenios de asociación. No obstante, frente a desembolsos tempranos estipulados en estos convenios, es posible exigir como forma o mecanismo para mitigar riesgos, el amparo de cumplimiento, la cual protege a la entidad de los perjuicios que puedan ocasionarse con el incumplimiento total o parcial del contrato, el cumplimiento tardío o defectuoso, los daños por entregas parciales, cuando el contrato no prevé entregas parciales, y el valor de las multas y de la cláusula penal pecuniaria. En tal sentido, el </w:t>
      </w:r>
      <w:r w:rsidRPr="00AE444D">
        <w:rPr>
          <w:rFonts w:ascii="Verdana" w:hAnsi="Verdana"/>
          <w:i/>
          <w:iCs/>
          <w:sz w:val="20"/>
          <w:lang w:val="es-ES"/>
        </w:rPr>
        <w:t>amparo de cumplimiento</w:t>
      </w:r>
      <w:r w:rsidRPr="00AE444D">
        <w:rPr>
          <w:rFonts w:ascii="Verdana" w:hAnsi="Verdana"/>
          <w:sz w:val="20"/>
          <w:lang w:val="es-ES"/>
        </w:rPr>
        <w:t xml:space="preserve"> tiene como objeto proteger a la entidad de los riesgos que puedan concretarse durante la etapa de ejecución del convenio de asociación, en especial, de aquellos derivados de incumplimientos o conductas imputables del asociado de la entidad pública. De esta manera, el propósito fundamental del amparo de cumplimiento es blindar a la entidad durante la fase de ejecución del convenio, especialmente frente a conductas atribuibles al asociado que puedan comprometer el éxito del proyecto. Este mecanismo no solo mitiga los riesgos inherentes a la gestión contractual, sino que también fomenta la disciplina y el compromiso del asociado, incentivando el cumplimiento oportuno y adecuado de las obligaciones pactadas.</w:t>
      </w:r>
    </w:p>
    <w:p w14:paraId="1A2BCA51" w14:textId="77777777" w:rsidR="00AE444D" w:rsidRPr="00AE444D" w:rsidRDefault="00AE444D" w:rsidP="00AE444D">
      <w:pPr>
        <w:spacing w:after="0"/>
        <w:jc w:val="both"/>
        <w:rPr>
          <w:rFonts w:ascii="Verdana" w:hAnsi="Verdana"/>
          <w:sz w:val="20"/>
          <w:lang w:val="es-ES"/>
        </w:rPr>
      </w:pPr>
    </w:p>
    <w:p w14:paraId="1E49C732" w14:textId="04D0DFC6" w:rsidR="00AE444D" w:rsidRDefault="00AE444D" w:rsidP="00AE444D">
      <w:pPr>
        <w:spacing w:after="0"/>
        <w:jc w:val="both"/>
        <w:rPr>
          <w:rFonts w:ascii="Verdana" w:hAnsi="Verdana"/>
          <w:sz w:val="20"/>
        </w:rPr>
      </w:pPr>
      <w:r w:rsidRPr="00AE444D">
        <w:rPr>
          <w:rFonts w:ascii="Verdana" w:hAnsi="Verdana"/>
          <w:sz w:val="20"/>
        </w:rPr>
        <w:t xml:space="preserve">De igual modo, es posible establecer como mecanismo de cobertura de riesgos a los desembolsos tempranos, las cuentas conjuntas bajo la modalidad de convenios y contratos, que son instrumentos financieros creados para administrar de forma </w:t>
      </w:r>
      <w:r w:rsidRPr="00AE444D">
        <w:rPr>
          <w:rFonts w:ascii="Verdana" w:hAnsi="Verdana"/>
          <w:sz w:val="20"/>
        </w:rPr>
        <w:lastRenderedPageBreak/>
        <w:t xml:space="preserve">transparente y ordenada los recursos destinados a proyectos interinstitucionales o acuerdos con terceros. Su principal propósito es garantizar que los fondos se manejen con corresponsabilidad entre las partes, evitando confusiones sobre la titularidad y asegurando que cada movimiento esté respaldado por documentos válidos. </w:t>
      </w:r>
    </w:p>
    <w:p w14:paraId="5C255990" w14:textId="77777777" w:rsidR="00AE444D" w:rsidRPr="00AE444D" w:rsidRDefault="00AE444D" w:rsidP="00AE444D">
      <w:pPr>
        <w:spacing w:after="0"/>
        <w:jc w:val="both"/>
        <w:rPr>
          <w:rFonts w:ascii="Verdana" w:hAnsi="Verdana"/>
          <w:sz w:val="20"/>
        </w:rPr>
      </w:pPr>
    </w:p>
    <w:p w14:paraId="0F6B931F" w14:textId="77777777" w:rsidR="00AE444D" w:rsidRPr="00AE444D" w:rsidRDefault="00AE444D" w:rsidP="00AE444D">
      <w:pPr>
        <w:spacing w:after="0"/>
        <w:jc w:val="both"/>
        <w:rPr>
          <w:rFonts w:ascii="Verdana" w:hAnsi="Verdana"/>
          <w:sz w:val="20"/>
        </w:rPr>
      </w:pPr>
      <w:r w:rsidRPr="00AE444D">
        <w:rPr>
          <w:rFonts w:ascii="Verdana" w:hAnsi="Verdana"/>
          <w:sz w:val="20"/>
        </w:rPr>
        <w:t xml:space="preserve">La administración y gestión adecuada de estas cuentas implica reglas claras sobre ingresos, egresos y conciliaciones periódicas, además de informes financieros que permitan verificar el uso correcto de los recursos. Al finalizar el convenio o contrato, debe realizarse un cierre formal con acta y reporte del saldo final, asegurando que cualquier recurso no ejecutado tenga un destino definido. En todo caso, la entidad pública deberá revisar mecanismos de cobertura de riesgos que garanticen una administración y mitigación de riesgos ante desembolsos tempranos.  </w:t>
      </w:r>
    </w:p>
    <w:p w14:paraId="2BC0EEBF" w14:textId="4B3AA17B" w:rsidR="00AE444D" w:rsidRDefault="00AE444D" w:rsidP="003878CE">
      <w:pPr>
        <w:spacing w:after="0"/>
        <w:rPr>
          <w:rFonts w:ascii="Verdana" w:hAnsi="Verdana"/>
        </w:rPr>
      </w:pPr>
    </w:p>
    <w:p w14:paraId="2351B8A3" w14:textId="1C1B5695" w:rsidR="00AE444D" w:rsidRDefault="00AE444D" w:rsidP="003878CE">
      <w:pPr>
        <w:spacing w:after="0"/>
        <w:rPr>
          <w:rFonts w:ascii="Verdana" w:hAnsi="Verdana"/>
        </w:rPr>
      </w:pPr>
    </w:p>
    <w:p w14:paraId="5FD55CAE" w14:textId="55761A09" w:rsidR="00AE444D" w:rsidRDefault="00AE444D" w:rsidP="003878CE">
      <w:pPr>
        <w:spacing w:after="0"/>
        <w:rPr>
          <w:rFonts w:ascii="Verdana" w:hAnsi="Verdana"/>
        </w:rPr>
      </w:pPr>
    </w:p>
    <w:p w14:paraId="2ED1A88E" w14:textId="58E5F3B4" w:rsidR="00AE444D" w:rsidRDefault="00AE444D" w:rsidP="003878CE">
      <w:pPr>
        <w:spacing w:after="0"/>
        <w:rPr>
          <w:rFonts w:ascii="Verdana" w:hAnsi="Verdana"/>
        </w:rPr>
      </w:pPr>
    </w:p>
    <w:p w14:paraId="08C32313" w14:textId="46BD5333" w:rsidR="00AE444D" w:rsidRDefault="00AE444D" w:rsidP="003878CE">
      <w:pPr>
        <w:spacing w:after="0"/>
        <w:rPr>
          <w:rFonts w:ascii="Verdana" w:hAnsi="Verdana"/>
        </w:rPr>
      </w:pPr>
    </w:p>
    <w:p w14:paraId="682DAF8E" w14:textId="5FB5D1CB" w:rsidR="00AE444D" w:rsidRDefault="00AE444D" w:rsidP="003878CE">
      <w:pPr>
        <w:spacing w:after="0"/>
        <w:rPr>
          <w:rFonts w:ascii="Verdana" w:hAnsi="Verdana"/>
        </w:rPr>
      </w:pPr>
    </w:p>
    <w:p w14:paraId="5D3E3A14" w14:textId="69643C48" w:rsidR="00AE444D" w:rsidRDefault="00AE444D" w:rsidP="003878CE">
      <w:pPr>
        <w:spacing w:after="0"/>
        <w:rPr>
          <w:rFonts w:ascii="Verdana" w:hAnsi="Verdana"/>
        </w:rPr>
      </w:pPr>
    </w:p>
    <w:p w14:paraId="456987BF" w14:textId="1E559195" w:rsidR="00AE444D" w:rsidRDefault="00AE444D" w:rsidP="003878CE">
      <w:pPr>
        <w:spacing w:after="0"/>
        <w:rPr>
          <w:rFonts w:ascii="Verdana" w:hAnsi="Verdana"/>
        </w:rPr>
      </w:pPr>
    </w:p>
    <w:p w14:paraId="53BEC6D0" w14:textId="44632D6B" w:rsidR="00AE444D" w:rsidRDefault="00AE444D" w:rsidP="003878CE">
      <w:pPr>
        <w:spacing w:after="0"/>
        <w:rPr>
          <w:rFonts w:ascii="Verdana" w:hAnsi="Verdana"/>
        </w:rPr>
      </w:pPr>
    </w:p>
    <w:p w14:paraId="2BD22E39" w14:textId="57BE1C51" w:rsidR="00AE444D" w:rsidRDefault="00AE444D" w:rsidP="003878CE">
      <w:pPr>
        <w:spacing w:after="0"/>
        <w:rPr>
          <w:rFonts w:ascii="Verdana" w:hAnsi="Verdana"/>
        </w:rPr>
      </w:pPr>
    </w:p>
    <w:p w14:paraId="33514105" w14:textId="6C4A79BD" w:rsidR="00AE444D" w:rsidRDefault="00AE444D" w:rsidP="003878CE">
      <w:pPr>
        <w:spacing w:after="0"/>
        <w:rPr>
          <w:rFonts w:ascii="Verdana" w:hAnsi="Verdana"/>
        </w:rPr>
      </w:pPr>
    </w:p>
    <w:p w14:paraId="002D2D1E" w14:textId="2C31A46C" w:rsidR="00AE444D" w:rsidRDefault="00AE444D" w:rsidP="003878CE">
      <w:pPr>
        <w:spacing w:after="0"/>
        <w:rPr>
          <w:rFonts w:ascii="Verdana" w:hAnsi="Verdana"/>
        </w:rPr>
      </w:pPr>
    </w:p>
    <w:p w14:paraId="077D8686" w14:textId="545ED884" w:rsidR="00AE444D" w:rsidRDefault="00AE444D" w:rsidP="003878CE">
      <w:pPr>
        <w:spacing w:after="0"/>
        <w:rPr>
          <w:rFonts w:ascii="Verdana" w:hAnsi="Verdana"/>
        </w:rPr>
      </w:pPr>
    </w:p>
    <w:p w14:paraId="55A51765" w14:textId="0075521D" w:rsidR="00AE444D" w:rsidRDefault="00AE444D" w:rsidP="003878CE">
      <w:pPr>
        <w:spacing w:after="0"/>
        <w:rPr>
          <w:rFonts w:ascii="Verdana" w:hAnsi="Verdana"/>
        </w:rPr>
      </w:pPr>
    </w:p>
    <w:p w14:paraId="2FDBC754" w14:textId="45D7A21D" w:rsidR="00AE444D" w:rsidRDefault="00AE444D" w:rsidP="003878CE">
      <w:pPr>
        <w:spacing w:after="0"/>
        <w:rPr>
          <w:rFonts w:ascii="Verdana" w:hAnsi="Verdana"/>
        </w:rPr>
      </w:pPr>
    </w:p>
    <w:p w14:paraId="7C7301F5" w14:textId="2C3A87EF" w:rsidR="00AE444D" w:rsidRDefault="00AE444D" w:rsidP="003878CE">
      <w:pPr>
        <w:spacing w:after="0"/>
        <w:rPr>
          <w:rFonts w:ascii="Verdana" w:hAnsi="Verdana"/>
        </w:rPr>
      </w:pPr>
    </w:p>
    <w:p w14:paraId="5C7D9EBC" w14:textId="6893E987" w:rsidR="00AE444D" w:rsidRDefault="00AE444D" w:rsidP="003878CE">
      <w:pPr>
        <w:spacing w:after="0"/>
        <w:rPr>
          <w:rFonts w:ascii="Verdana" w:hAnsi="Verdana"/>
        </w:rPr>
      </w:pPr>
    </w:p>
    <w:p w14:paraId="0D72C7BF" w14:textId="05DF0345" w:rsidR="00AE444D" w:rsidRDefault="00AE444D" w:rsidP="003878CE">
      <w:pPr>
        <w:spacing w:after="0"/>
        <w:rPr>
          <w:rFonts w:ascii="Verdana" w:hAnsi="Verdana"/>
        </w:rPr>
      </w:pPr>
    </w:p>
    <w:p w14:paraId="578D1CBF" w14:textId="2F0EDFD1" w:rsidR="00AE444D" w:rsidRDefault="00AE444D" w:rsidP="003878CE">
      <w:pPr>
        <w:spacing w:after="0"/>
        <w:rPr>
          <w:rFonts w:ascii="Verdana" w:hAnsi="Verdana"/>
        </w:rPr>
      </w:pPr>
    </w:p>
    <w:p w14:paraId="68AD148A" w14:textId="6AAEF25B" w:rsidR="00AE444D" w:rsidRDefault="00AE444D" w:rsidP="003878CE">
      <w:pPr>
        <w:spacing w:after="0"/>
        <w:rPr>
          <w:rFonts w:ascii="Verdana" w:hAnsi="Verdana"/>
        </w:rPr>
      </w:pPr>
    </w:p>
    <w:p w14:paraId="54948E62" w14:textId="2BFCA191" w:rsidR="00AE444D" w:rsidRDefault="00AE444D" w:rsidP="003878CE">
      <w:pPr>
        <w:spacing w:after="0"/>
        <w:rPr>
          <w:rFonts w:ascii="Verdana" w:hAnsi="Verdana"/>
        </w:rPr>
      </w:pPr>
    </w:p>
    <w:p w14:paraId="15CEF3FF" w14:textId="5708C991" w:rsidR="00AE444D" w:rsidRDefault="00AE444D" w:rsidP="003878CE">
      <w:pPr>
        <w:spacing w:after="0"/>
        <w:rPr>
          <w:rFonts w:ascii="Verdana" w:hAnsi="Verdana"/>
        </w:rPr>
      </w:pPr>
    </w:p>
    <w:p w14:paraId="0729953F" w14:textId="147DE8A9" w:rsidR="00AE444D" w:rsidRDefault="00AE444D" w:rsidP="003878CE">
      <w:pPr>
        <w:spacing w:after="0"/>
        <w:rPr>
          <w:rFonts w:ascii="Verdana" w:hAnsi="Verdana"/>
        </w:rPr>
      </w:pPr>
    </w:p>
    <w:p w14:paraId="3D5355D7" w14:textId="3B73C0B1" w:rsidR="00AE444D" w:rsidRDefault="00AE444D" w:rsidP="003878CE">
      <w:pPr>
        <w:spacing w:after="0"/>
        <w:rPr>
          <w:rFonts w:ascii="Verdana" w:hAnsi="Verdana"/>
        </w:rPr>
      </w:pPr>
    </w:p>
    <w:p w14:paraId="62B40CF5" w14:textId="6AF52437" w:rsidR="00AE444D" w:rsidRDefault="00AE444D" w:rsidP="003878CE">
      <w:pPr>
        <w:spacing w:after="0"/>
        <w:rPr>
          <w:rFonts w:ascii="Verdana" w:hAnsi="Verdana"/>
        </w:rPr>
      </w:pPr>
    </w:p>
    <w:p w14:paraId="597B455E" w14:textId="799B2103" w:rsidR="00AE444D" w:rsidRDefault="00AE444D" w:rsidP="003878CE">
      <w:pPr>
        <w:spacing w:after="0"/>
        <w:rPr>
          <w:rFonts w:ascii="Verdana" w:hAnsi="Verdana"/>
        </w:rPr>
      </w:pPr>
    </w:p>
    <w:p w14:paraId="4F4E60EE" w14:textId="10CD743B" w:rsidR="00AE444D" w:rsidRDefault="00AE444D" w:rsidP="003878CE">
      <w:pPr>
        <w:spacing w:after="0"/>
        <w:rPr>
          <w:rFonts w:ascii="Verdana" w:hAnsi="Verdana"/>
        </w:rPr>
      </w:pPr>
    </w:p>
    <w:p w14:paraId="3AA2E08C" w14:textId="39BF9085" w:rsidR="00AE444D" w:rsidRDefault="00AE444D" w:rsidP="003878CE">
      <w:pPr>
        <w:spacing w:after="0"/>
        <w:rPr>
          <w:rFonts w:ascii="Verdana" w:hAnsi="Verdana"/>
        </w:rPr>
      </w:pPr>
    </w:p>
    <w:p w14:paraId="544EB2FC" w14:textId="4B4B8883" w:rsidR="003878CE" w:rsidRPr="009C1EC5" w:rsidRDefault="00AE444D" w:rsidP="003878CE">
      <w:pPr>
        <w:spacing w:after="0"/>
        <w:rPr>
          <w:rFonts w:ascii="Verdana" w:hAnsi="Verdana"/>
        </w:rPr>
      </w:pPr>
      <w:r w:rsidRPr="00AE444D">
        <w:rPr>
          <w:rFonts w:ascii="Verdana" w:hAnsi="Verdana"/>
          <w:noProof/>
          <w:lang w:val="en-US"/>
        </w:rPr>
        <w:lastRenderedPageBreak/>
        <w:drawing>
          <wp:anchor distT="0" distB="0" distL="114300" distR="114300" simplePos="0" relativeHeight="251658240" behindDoc="0" locked="0" layoutInCell="1" allowOverlap="1" wp14:anchorId="3B8ABB84" wp14:editId="078A80D1">
            <wp:simplePos x="0" y="0"/>
            <wp:positionH relativeFrom="margin">
              <wp:posOffset>2685935</wp:posOffset>
            </wp:positionH>
            <wp:positionV relativeFrom="paragraph">
              <wp:posOffset>194541</wp:posOffset>
            </wp:positionV>
            <wp:extent cx="2861945" cy="789940"/>
            <wp:effectExtent l="0" t="0" r="0"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1945" cy="7899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878CE" w:rsidRPr="0024624F">
        <w:rPr>
          <w:rFonts w:ascii="Verdana" w:hAnsi="Verdana"/>
        </w:rPr>
        <w:t xml:space="preserve">Bogotá D.C., </w:t>
      </w:r>
      <w:r>
        <w:rPr>
          <w:rFonts w:ascii="Verdana" w:hAnsi="Verdana"/>
        </w:rPr>
        <w:t>22 de diciembre de 2025</w:t>
      </w:r>
      <w:r w:rsidR="003878CE" w:rsidRPr="000E2B93">
        <w:rPr>
          <w:rFonts w:ascii="Verdana" w:hAnsi="Verdana"/>
        </w:rPr>
        <w:tab/>
      </w:r>
      <w:r w:rsidR="003878CE" w:rsidRPr="000E2B93">
        <w:rPr>
          <w:rFonts w:ascii="Verdana" w:hAnsi="Verdana"/>
        </w:rPr>
        <w:tab/>
      </w:r>
      <w:r w:rsidR="003878CE" w:rsidRPr="000E2B93">
        <w:rPr>
          <w:rFonts w:ascii="Verdana" w:hAnsi="Verdana"/>
        </w:rPr>
        <w:br/>
      </w:r>
    </w:p>
    <w:p w14:paraId="6A35419D" w14:textId="1CE6C148" w:rsidR="003878CE" w:rsidRPr="009C1EC5" w:rsidRDefault="003878CE" w:rsidP="003878CE">
      <w:pPr>
        <w:spacing w:after="0" w:line="240" w:lineRule="auto"/>
        <w:rPr>
          <w:rFonts w:ascii="Verdana" w:hAnsi="Verdana"/>
        </w:rPr>
      </w:pPr>
    </w:p>
    <w:p w14:paraId="18231C99" w14:textId="77777777" w:rsidR="003878CE" w:rsidRPr="00926D8E" w:rsidRDefault="003878CE" w:rsidP="003878CE">
      <w:pPr>
        <w:spacing w:after="0" w:line="240" w:lineRule="auto"/>
        <w:rPr>
          <w:rFonts w:ascii="Verdana" w:eastAsia="Calibri" w:hAnsi="Verdana" w:cs="Times New Roman"/>
          <w:lang w:val="es-MX"/>
        </w:rPr>
      </w:pPr>
      <w:r w:rsidRPr="00926D8E">
        <w:rPr>
          <w:rFonts w:ascii="Verdana" w:eastAsia="Calibri" w:hAnsi="Verdana" w:cs="Times New Roman"/>
          <w:lang w:val="es-MX"/>
        </w:rPr>
        <w:t>Señor</w:t>
      </w:r>
    </w:p>
    <w:p w14:paraId="160CD707" w14:textId="77777777" w:rsidR="003878CE" w:rsidRPr="00926D8E" w:rsidRDefault="003878CE" w:rsidP="003878CE">
      <w:pPr>
        <w:spacing w:after="0" w:line="240" w:lineRule="auto"/>
        <w:rPr>
          <w:rFonts w:ascii="Verdana" w:eastAsia="Calibri" w:hAnsi="Verdana" w:cs="Times New Roman"/>
          <w:b/>
        </w:rPr>
      </w:pPr>
      <w:r w:rsidRPr="00926D8E">
        <w:rPr>
          <w:rFonts w:ascii="Verdana" w:eastAsia="Calibri" w:hAnsi="Verdana" w:cs="Times New Roman"/>
          <w:b/>
        </w:rPr>
        <w:t>Fernando José Gutiérrez Ibáñez</w:t>
      </w:r>
    </w:p>
    <w:p w14:paraId="05A1D8ED" w14:textId="77777777" w:rsidR="003878CE" w:rsidRPr="00926D8E" w:rsidRDefault="00CD3186" w:rsidP="003878CE">
      <w:pPr>
        <w:spacing w:after="0" w:line="240" w:lineRule="auto"/>
        <w:rPr>
          <w:rFonts w:ascii="Verdana" w:hAnsi="Verdana"/>
        </w:rPr>
      </w:pPr>
      <w:hyperlink r:id="rId12" w:history="1">
        <w:r w:rsidR="003878CE" w:rsidRPr="00926D8E">
          <w:rPr>
            <w:rStyle w:val="Hipervnculo"/>
            <w:rFonts w:ascii="Verdana" w:hAnsi="Verdana"/>
          </w:rPr>
          <w:t>fernandog213@hotmail.com</w:t>
        </w:r>
      </w:hyperlink>
      <w:r w:rsidR="003878CE" w:rsidRPr="00926D8E">
        <w:rPr>
          <w:rFonts w:ascii="Verdana" w:hAnsi="Verdana"/>
        </w:rPr>
        <w:t xml:space="preserve"> </w:t>
      </w:r>
    </w:p>
    <w:p w14:paraId="2D0BA41C" w14:textId="77777777" w:rsidR="003878CE" w:rsidRPr="00926D8E" w:rsidRDefault="003878CE" w:rsidP="003878CE">
      <w:pPr>
        <w:spacing w:after="0" w:line="240" w:lineRule="auto"/>
        <w:rPr>
          <w:rFonts w:ascii="Verdana" w:eastAsia="Calibri" w:hAnsi="Verdana" w:cs="Times New Roman"/>
        </w:rPr>
      </w:pPr>
      <w:r w:rsidRPr="00926D8E">
        <w:rPr>
          <w:rFonts w:ascii="Verdana" w:eastAsia="Calibri" w:hAnsi="Verdana" w:cs="Times New Roman"/>
        </w:rPr>
        <w:t>Bogotá D.C.</w:t>
      </w:r>
    </w:p>
    <w:p w14:paraId="32A39FDD" w14:textId="77777777" w:rsidR="003878CE" w:rsidRPr="00926D8E" w:rsidRDefault="003878CE" w:rsidP="003878CE">
      <w:pPr>
        <w:spacing w:after="0" w:line="240" w:lineRule="auto"/>
        <w:rPr>
          <w:rFonts w:ascii="Verdana" w:eastAsia="Calibri" w:hAnsi="Verdana" w:cs="Times New Roman"/>
        </w:rPr>
      </w:pPr>
    </w:p>
    <w:p w14:paraId="4A38A505" w14:textId="77777777" w:rsidR="003878CE" w:rsidRPr="00926D8E" w:rsidRDefault="003878CE" w:rsidP="003878CE">
      <w:pPr>
        <w:spacing w:after="0" w:line="240" w:lineRule="auto"/>
        <w:rPr>
          <w:rFonts w:ascii="Verdana" w:eastAsia="Calibri" w:hAnsi="Verdana" w:cs="Times New Roman"/>
        </w:rPr>
      </w:pPr>
    </w:p>
    <w:p w14:paraId="7A1F9272" w14:textId="77777777" w:rsidR="003878CE" w:rsidRPr="00926D8E" w:rsidRDefault="003878CE" w:rsidP="003878CE">
      <w:pPr>
        <w:spacing w:after="0" w:line="256" w:lineRule="auto"/>
        <w:rPr>
          <w:rFonts w:ascii="Verdana" w:eastAsia="Calibri" w:hAnsi="Verdana" w:cs="Times New Roman"/>
          <w:b/>
          <w:bCs/>
          <w:lang w:val="es-ES"/>
        </w:rPr>
      </w:pPr>
      <w:r w:rsidRPr="00926D8E">
        <w:rPr>
          <w:rFonts w:ascii="Verdana" w:eastAsia="Calibri" w:hAnsi="Verdana" w:cs="Times New Roman"/>
          <w:b/>
          <w:bCs/>
          <w:lang w:val="es-ES"/>
        </w:rPr>
        <w:t xml:space="preserve">                                    Concepto C–1802 de 2025</w:t>
      </w:r>
    </w:p>
    <w:p w14:paraId="28421341" w14:textId="77777777" w:rsidR="003878CE" w:rsidRPr="00926D8E" w:rsidRDefault="003878CE" w:rsidP="003878C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878CE" w:rsidRPr="00926D8E" w14:paraId="657B2B13" w14:textId="77777777" w:rsidTr="003878CE">
        <w:trPr>
          <w:trHeight w:val="645"/>
        </w:trPr>
        <w:tc>
          <w:tcPr>
            <w:tcW w:w="2685" w:type="dxa"/>
            <w:hideMark/>
          </w:tcPr>
          <w:p w14:paraId="09E97790" w14:textId="77777777" w:rsidR="003878CE" w:rsidRPr="00926D8E" w:rsidRDefault="003878CE" w:rsidP="003878CE">
            <w:pPr>
              <w:spacing w:line="256" w:lineRule="auto"/>
              <w:rPr>
                <w:rFonts w:ascii="Verdana" w:hAnsi="Verdana"/>
                <w:b/>
                <w:bCs/>
                <w:lang w:val="es-ES_tradnl"/>
              </w:rPr>
            </w:pPr>
            <w:r w:rsidRPr="00926D8E">
              <w:rPr>
                <w:rFonts w:ascii="Verdana" w:hAnsi="Verdana"/>
                <w:b/>
                <w:bCs/>
                <w:lang w:val="es-ES_tradnl"/>
              </w:rPr>
              <w:t xml:space="preserve">Temas:                   </w:t>
            </w:r>
          </w:p>
        </w:tc>
        <w:tc>
          <w:tcPr>
            <w:tcW w:w="6241" w:type="dxa"/>
            <w:hideMark/>
          </w:tcPr>
          <w:p w14:paraId="5C9C85B6" w14:textId="77777777" w:rsidR="003878CE" w:rsidRDefault="003878CE" w:rsidP="003878CE">
            <w:pPr>
              <w:spacing w:line="276" w:lineRule="auto"/>
              <w:jc w:val="both"/>
              <w:rPr>
                <w:rFonts w:ascii="Verdana" w:hAnsi="Verdana" w:cs="Arial"/>
                <w:bCs/>
                <w:lang w:val="es-ES_tradnl" w:eastAsia="es-ES"/>
              </w:rPr>
            </w:pPr>
            <w:r w:rsidRPr="0076755F">
              <w:rPr>
                <w:rFonts w:ascii="Verdana" w:hAnsi="Verdana" w:cs="Arial"/>
                <w:bCs/>
                <w:lang w:eastAsia="es-ES"/>
              </w:rPr>
              <w:t xml:space="preserve">ARTÍCULO 355 DE LA CONSTITUCIÓN POLÍTICA – Formas de colaboración o cooperación – Estado y particulares / DECRETO 092 DE 2017 – Convenios de interés público – Convenios de asociación / CONVENIOS DE ASOCIACIÓN – Artículo 5 del Decreto 092 de 2017 – Artículo 96 de la Ley 489 de 1998 – Requisitos </w:t>
            </w:r>
            <w:r w:rsidRPr="0076755F">
              <w:rPr>
                <w:rFonts w:ascii="Verdana" w:hAnsi="Verdana" w:cs="Arial"/>
                <w:bCs/>
                <w:lang w:val="es-ES" w:eastAsia="es-ES"/>
              </w:rPr>
              <w:t>/ CONVENIOS DE ASOCIACIÓN – Requisitos – Nueva Guía para la contratación con Entidades Sin Ánimo de Lucro y reconocida idoneidad / IN</w:t>
            </w:r>
            <w:bookmarkStart w:id="1" w:name="_GoBack"/>
            <w:bookmarkEnd w:id="1"/>
            <w:r w:rsidRPr="0076755F">
              <w:rPr>
                <w:rFonts w:ascii="Verdana" w:hAnsi="Verdana" w:cs="Arial"/>
                <w:bCs/>
                <w:lang w:val="es-ES" w:eastAsia="es-ES"/>
              </w:rPr>
              <w:t>TEGRACIÓN NORMATIVA – Convenios de asociación – Reglas –</w:t>
            </w:r>
            <w:r>
              <w:rPr>
                <w:rFonts w:ascii="Verdana" w:hAnsi="Verdana" w:cs="Arial"/>
                <w:bCs/>
                <w:lang w:val="es-ES" w:eastAsia="es-ES"/>
              </w:rPr>
              <w:t xml:space="preserve"> </w:t>
            </w:r>
            <w:r w:rsidRPr="0076755F">
              <w:rPr>
                <w:rFonts w:ascii="Verdana" w:hAnsi="Verdana" w:cs="Arial"/>
                <w:bCs/>
                <w:lang w:val="es-ES" w:eastAsia="es-ES"/>
              </w:rPr>
              <w:t>– inaplicabilidad del anticipo y pago anticipado</w:t>
            </w:r>
            <w:r>
              <w:rPr>
                <w:rFonts w:ascii="Verdana" w:hAnsi="Verdana" w:cs="Arial"/>
                <w:bCs/>
                <w:lang w:val="es-ES" w:eastAsia="es-ES"/>
              </w:rPr>
              <w:t xml:space="preserve"> / INTEGRACIÓN NORMATIVA - </w:t>
            </w:r>
            <w:r>
              <w:rPr>
                <w:rFonts w:ascii="Verdana" w:hAnsi="Verdana" w:cs="Arial"/>
                <w:bCs/>
                <w:lang w:val="es-ES_tradnl" w:eastAsia="es-ES"/>
              </w:rPr>
              <w:t>Garantías</w:t>
            </w:r>
            <w:r w:rsidRPr="0076755F">
              <w:rPr>
                <w:rFonts w:ascii="Verdana" w:hAnsi="Verdana" w:cs="Arial"/>
                <w:bCs/>
                <w:lang w:val="es-ES_tradnl" w:eastAsia="es-ES"/>
              </w:rPr>
              <w:t xml:space="preserve"> – Finalidad</w:t>
            </w:r>
            <w:r>
              <w:rPr>
                <w:rFonts w:ascii="Verdana" w:hAnsi="Verdana" w:cs="Arial"/>
                <w:bCs/>
                <w:lang w:val="es-ES_tradnl" w:eastAsia="es-ES"/>
              </w:rPr>
              <w:t xml:space="preserve"> / GARANTÍAS – Convenios de Asociación – Procedencia – Amparo de Cumplimiento – Mecanismos de Cobertura de Riesgos. </w:t>
            </w:r>
          </w:p>
          <w:p w14:paraId="7BC26C02" w14:textId="77777777" w:rsidR="003878CE" w:rsidRPr="00926D8E" w:rsidRDefault="003878CE" w:rsidP="003878CE">
            <w:pPr>
              <w:spacing w:line="276" w:lineRule="auto"/>
              <w:jc w:val="both"/>
              <w:rPr>
                <w:rFonts w:ascii="Verdana" w:hAnsi="Verdana" w:cs="Arial"/>
                <w:bCs/>
                <w:lang w:val="es-ES" w:eastAsia="es-ES"/>
              </w:rPr>
            </w:pPr>
          </w:p>
          <w:p w14:paraId="6CB68135" w14:textId="77777777" w:rsidR="003878CE" w:rsidRPr="00926D8E" w:rsidRDefault="003878CE" w:rsidP="003878CE">
            <w:pPr>
              <w:spacing w:line="276" w:lineRule="auto"/>
              <w:jc w:val="both"/>
              <w:rPr>
                <w:rFonts w:ascii="Verdana" w:hAnsi="Verdana" w:cs="Arial"/>
                <w:lang w:eastAsia="es-ES"/>
              </w:rPr>
            </w:pPr>
          </w:p>
        </w:tc>
        <w:tc>
          <w:tcPr>
            <w:tcW w:w="6237" w:type="dxa"/>
          </w:tcPr>
          <w:p w14:paraId="3087D174" w14:textId="77777777" w:rsidR="003878CE" w:rsidRPr="00926D8E" w:rsidRDefault="003878CE" w:rsidP="003878CE">
            <w:pPr>
              <w:spacing w:line="256" w:lineRule="auto"/>
              <w:rPr>
                <w:rFonts w:ascii="Verdana" w:hAnsi="Verdana"/>
              </w:rPr>
            </w:pPr>
          </w:p>
        </w:tc>
      </w:tr>
      <w:tr w:rsidR="003878CE" w:rsidRPr="00926D8E" w14:paraId="6AD4DCF3" w14:textId="77777777" w:rsidTr="003878CE">
        <w:tc>
          <w:tcPr>
            <w:tcW w:w="2685" w:type="dxa"/>
          </w:tcPr>
          <w:p w14:paraId="4130733C" w14:textId="77777777" w:rsidR="003878CE" w:rsidRPr="00926D8E" w:rsidRDefault="003878CE" w:rsidP="003878CE">
            <w:pPr>
              <w:spacing w:line="256" w:lineRule="auto"/>
              <w:rPr>
                <w:rFonts w:ascii="Verdana" w:hAnsi="Verdana"/>
                <w:b/>
                <w:bCs/>
                <w:lang w:val="es-ES_tradnl"/>
              </w:rPr>
            </w:pPr>
            <w:r w:rsidRPr="00926D8E">
              <w:rPr>
                <w:rFonts w:ascii="Verdana" w:hAnsi="Verdana"/>
                <w:b/>
                <w:bCs/>
                <w:lang w:val="es-ES_tradnl"/>
              </w:rPr>
              <w:t xml:space="preserve">Radicación:               </w:t>
            </w:r>
          </w:p>
        </w:tc>
        <w:tc>
          <w:tcPr>
            <w:tcW w:w="6241" w:type="dxa"/>
          </w:tcPr>
          <w:p w14:paraId="7AC19DE2" w14:textId="77777777" w:rsidR="003878CE" w:rsidRPr="00926D8E" w:rsidRDefault="003878CE" w:rsidP="003878CE">
            <w:pPr>
              <w:spacing w:line="257" w:lineRule="auto"/>
              <w:jc w:val="both"/>
              <w:rPr>
                <w:rFonts w:ascii="Verdana" w:hAnsi="Verdana"/>
                <w:lang w:val="es-ES_tradnl"/>
              </w:rPr>
            </w:pPr>
            <w:r w:rsidRPr="00926D8E">
              <w:rPr>
                <w:rFonts w:ascii="Verdana" w:hAnsi="Verdana"/>
                <w:lang w:val="es-ES_tradnl"/>
              </w:rPr>
              <w:t>Respuesta a consulta con radicado No.</w:t>
            </w:r>
            <w:r w:rsidRPr="00926D8E">
              <w:rPr>
                <w:rFonts w:ascii="Verdana" w:eastAsiaTheme="minorHAnsi" w:hAnsi="Verdana" w:cs="Segoe UI"/>
                <w:shd w:val="clear" w:color="auto" w:fill="FFFFFF"/>
              </w:rPr>
              <w:t xml:space="preserve"> 1_2025_12_08_013759</w:t>
            </w:r>
          </w:p>
          <w:p w14:paraId="70D2E62D" w14:textId="77777777" w:rsidR="003878CE" w:rsidRPr="00926D8E" w:rsidRDefault="003878CE" w:rsidP="003878CE">
            <w:pPr>
              <w:spacing w:line="257" w:lineRule="auto"/>
              <w:jc w:val="both"/>
              <w:rPr>
                <w:rFonts w:ascii="Verdana" w:hAnsi="Verdana"/>
                <w:lang w:val="es-ES_tradnl"/>
              </w:rPr>
            </w:pPr>
          </w:p>
          <w:p w14:paraId="65D54EF2" w14:textId="77777777" w:rsidR="003878CE" w:rsidRPr="00926D8E" w:rsidRDefault="003878CE" w:rsidP="003878CE">
            <w:pPr>
              <w:spacing w:line="257" w:lineRule="auto"/>
              <w:jc w:val="both"/>
              <w:rPr>
                <w:rFonts w:ascii="Verdana" w:hAnsi="Verdana"/>
                <w:lang w:val="es-ES_tradnl"/>
              </w:rPr>
            </w:pPr>
          </w:p>
        </w:tc>
        <w:tc>
          <w:tcPr>
            <w:tcW w:w="6237" w:type="dxa"/>
          </w:tcPr>
          <w:p w14:paraId="43428AD5" w14:textId="77777777" w:rsidR="003878CE" w:rsidRPr="00926D8E" w:rsidRDefault="003878CE" w:rsidP="003878CE">
            <w:pPr>
              <w:spacing w:line="256" w:lineRule="auto"/>
              <w:rPr>
                <w:rFonts w:ascii="Verdana" w:hAnsi="Verdana"/>
                <w:lang w:val="es-ES_tradnl"/>
              </w:rPr>
            </w:pPr>
          </w:p>
        </w:tc>
      </w:tr>
    </w:tbl>
    <w:p w14:paraId="032D52BD" w14:textId="77777777" w:rsidR="003878CE" w:rsidRPr="00926D8E" w:rsidRDefault="003878CE" w:rsidP="003878CE">
      <w:pPr>
        <w:spacing w:after="0" w:line="256" w:lineRule="auto"/>
        <w:rPr>
          <w:rFonts w:ascii="Verdana" w:eastAsia="Calibri" w:hAnsi="Verdana" w:cs="Times New Roman"/>
          <w:lang w:val="es-ES"/>
        </w:rPr>
      </w:pPr>
      <w:r w:rsidRPr="00926D8E">
        <w:rPr>
          <w:rFonts w:ascii="Verdana" w:eastAsia="Calibri" w:hAnsi="Verdana" w:cs="Times New Roman"/>
          <w:lang w:val="es-ES"/>
        </w:rPr>
        <w:t xml:space="preserve">Estimado Señor Gutiérrez: </w:t>
      </w:r>
    </w:p>
    <w:p w14:paraId="7CCBC4E5" w14:textId="77777777" w:rsidR="003878CE" w:rsidRPr="00926D8E" w:rsidRDefault="003878CE" w:rsidP="003878CE">
      <w:pPr>
        <w:spacing w:after="0" w:line="256" w:lineRule="auto"/>
        <w:rPr>
          <w:rFonts w:ascii="Verdana" w:eastAsia="Calibri" w:hAnsi="Verdana" w:cs="Times New Roman"/>
          <w:lang w:val="es-ES"/>
        </w:rPr>
      </w:pPr>
    </w:p>
    <w:p w14:paraId="304D73CA" w14:textId="77777777" w:rsidR="003878CE" w:rsidRPr="00926D8E" w:rsidRDefault="003878CE" w:rsidP="003878CE">
      <w:pPr>
        <w:spacing w:after="120" w:line="276" w:lineRule="auto"/>
        <w:jc w:val="both"/>
        <w:rPr>
          <w:rFonts w:ascii="Verdana" w:eastAsia="Calibri" w:hAnsi="Verdana" w:cs="Times New Roman"/>
          <w:bCs/>
          <w:lang w:bidi="es-ES"/>
        </w:rPr>
      </w:pPr>
      <w:r w:rsidRPr="00926D8E">
        <w:rPr>
          <w:rFonts w:ascii="Verdana" w:eastAsia="Calibri" w:hAnsi="Verdana" w:cs="Times New Roman"/>
          <w:bCs/>
          <w:lang w:val="es-ES" w:bidi="es-ES"/>
        </w:rPr>
        <w:t xml:space="preserve">En ejercicio de la competencia otorgada por los artículos 3, numeral 5º, y 11, numeral 8º, del Decreto Ley 4170 de 2011, </w:t>
      </w:r>
      <w:r w:rsidRPr="00926D8E">
        <w:rPr>
          <w:rFonts w:ascii="Verdana" w:eastAsia="Calibri" w:hAnsi="Verdana" w:cs="Times New Roman"/>
          <w:bCs/>
        </w:rPr>
        <w:t xml:space="preserve">así como lo establecido por la Resolución 469 de 2025 expedida por esta Entidad, </w:t>
      </w:r>
      <w:r w:rsidRPr="00926D8E">
        <w:rPr>
          <w:rFonts w:ascii="Verdana" w:eastAsia="Calibri" w:hAnsi="Verdana" w:cs="Times New Roman"/>
          <w:bCs/>
          <w:lang w:val="es-ES" w:bidi="es-ES"/>
        </w:rPr>
        <w:t xml:space="preserve">la Agencia Nacional de Contratación Pública – Colombia Compra Eficiente– responde la solicitud de consulta 8 de diciembre del de 2025, en la cual manifiesta: </w:t>
      </w:r>
      <w:r>
        <w:rPr>
          <w:rFonts w:ascii="Verdana" w:eastAsia="Calibri" w:hAnsi="Verdana" w:cs="Times New Roman"/>
          <w:bCs/>
          <w:lang w:val="es-ES" w:bidi="es-ES"/>
        </w:rPr>
        <w:t>“</w:t>
      </w:r>
      <w:r w:rsidRPr="00470754">
        <w:rPr>
          <w:rFonts w:ascii="Verdana" w:eastAsia="Calibri" w:hAnsi="Verdana" w:cs="Times New Roman"/>
          <w:bCs/>
          <w:lang w:val="es-ES" w:bidi="es-ES"/>
        </w:rPr>
        <w:t>[….]</w:t>
      </w:r>
      <w:r>
        <w:rPr>
          <w:rFonts w:ascii="Verdana" w:eastAsia="Calibri" w:hAnsi="Verdana" w:cs="Times New Roman"/>
          <w:bCs/>
          <w:i/>
          <w:iCs/>
          <w:lang w:val="es-ES" w:bidi="es-ES"/>
        </w:rPr>
        <w:t xml:space="preserve"> </w:t>
      </w:r>
      <w:r w:rsidRPr="00635BB9">
        <w:rPr>
          <w:rFonts w:ascii="Verdana" w:eastAsia="Calibri" w:hAnsi="Verdana" w:cs="Times New Roman"/>
          <w:bCs/>
          <w:i/>
          <w:iCs/>
          <w:lang w:bidi="es-ES"/>
        </w:rPr>
        <w:t xml:space="preserve">a la luz del </w:t>
      </w:r>
      <w:r w:rsidRPr="00635BB9">
        <w:rPr>
          <w:rFonts w:ascii="Verdana" w:eastAsia="Calibri" w:hAnsi="Verdana" w:cs="Times New Roman"/>
          <w:bCs/>
          <w:i/>
          <w:iCs/>
          <w:lang w:bidi="es-ES"/>
        </w:rPr>
        <w:lastRenderedPageBreak/>
        <w:t>concepto 557 de 2025 en los convenios en caso de optar por un primer desembolso o desembolso temprano al no poderse según concepto incluir amparo de anticipo que garantía se debe colocar en el convenio para que ampare ese desembolso”.</w:t>
      </w:r>
    </w:p>
    <w:p w14:paraId="265FDAD6" w14:textId="77777777" w:rsidR="003878CE" w:rsidRPr="00926D8E" w:rsidRDefault="003878CE" w:rsidP="003878CE">
      <w:pPr>
        <w:spacing w:after="120" w:line="276" w:lineRule="auto"/>
        <w:ind w:firstLine="709"/>
        <w:jc w:val="both"/>
        <w:rPr>
          <w:rFonts w:ascii="Verdana" w:eastAsia="Calibri" w:hAnsi="Verdana" w:cs="Times New Roman"/>
          <w:lang w:val="es-ES"/>
        </w:rPr>
      </w:pPr>
      <w:r w:rsidRPr="00926D8E">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65AFE09" w14:textId="77777777" w:rsidR="003878CE" w:rsidRPr="00926D8E" w:rsidRDefault="003878CE" w:rsidP="003878CE">
      <w:pPr>
        <w:spacing w:after="0" w:line="276" w:lineRule="auto"/>
        <w:ind w:firstLine="709"/>
        <w:jc w:val="both"/>
        <w:rPr>
          <w:rFonts w:ascii="Verdana" w:eastAsia="Calibri" w:hAnsi="Verdana" w:cs="Times New Roman"/>
          <w:lang w:val="es-ES"/>
        </w:rPr>
      </w:pPr>
      <w:r w:rsidRPr="00926D8E">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objeto de consulta.</w:t>
      </w:r>
    </w:p>
    <w:p w14:paraId="2BD08540" w14:textId="77777777" w:rsidR="003878CE" w:rsidRPr="00B57A1B" w:rsidRDefault="003878CE" w:rsidP="003878CE">
      <w:pPr>
        <w:spacing w:after="0" w:line="256" w:lineRule="auto"/>
        <w:rPr>
          <w:rFonts w:ascii="Verdana" w:eastAsia="Calibri" w:hAnsi="Verdana" w:cs="Times New Roman"/>
          <w:lang w:val="es-ES"/>
        </w:rPr>
      </w:pPr>
    </w:p>
    <w:p w14:paraId="7994A3E4" w14:textId="77777777" w:rsidR="003878CE" w:rsidRPr="00B57A1B" w:rsidRDefault="003878CE" w:rsidP="003878C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Problema planteado:</w:t>
      </w:r>
    </w:p>
    <w:p w14:paraId="56605225" w14:textId="77777777" w:rsidR="003878CE" w:rsidRPr="00B57A1B" w:rsidRDefault="003878CE" w:rsidP="003878CE">
      <w:pPr>
        <w:spacing w:after="0" w:line="256" w:lineRule="auto"/>
        <w:rPr>
          <w:rFonts w:ascii="Verdana" w:eastAsia="Calibri" w:hAnsi="Verdana" w:cs="Times New Roman"/>
        </w:rPr>
      </w:pPr>
    </w:p>
    <w:p w14:paraId="483C3A12" w14:textId="77777777" w:rsidR="003878CE" w:rsidRPr="000846BF" w:rsidRDefault="003878CE" w:rsidP="003878CE">
      <w:pPr>
        <w:spacing w:after="0" w:line="276" w:lineRule="auto"/>
        <w:jc w:val="both"/>
        <w:rPr>
          <w:rFonts w:ascii="Verdana" w:eastAsia="Calibri" w:hAnsi="Verdana" w:cs="Times New Roman"/>
          <w:bCs/>
          <w:iCs/>
        </w:rPr>
      </w:pPr>
      <w:r w:rsidRPr="00B57A1B">
        <w:rPr>
          <w:rFonts w:ascii="Verdana" w:eastAsia="Calibri" w:hAnsi="Verdana" w:cs="Times New Roman"/>
        </w:rPr>
        <w:t xml:space="preserve">De acuerdo </w:t>
      </w:r>
      <w:r>
        <w:rPr>
          <w:rFonts w:ascii="Verdana" w:eastAsia="Calibri" w:hAnsi="Verdana" w:cs="Times New Roman"/>
        </w:rPr>
        <w:t>con el contenido de sus solicitudes</w:t>
      </w:r>
      <w:r w:rsidRPr="00B57A1B">
        <w:rPr>
          <w:rFonts w:ascii="Verdana" w:eastAsia="Calibri" w:hAnsi="Verdana" w:cs="Times New Roman"/>
        </w:rPr>
        <w:t>, es</w:t>
      </w:r>
      <w:r>
        <w:rPr>
          <w:rFonts w:ascii="Verdana" w:eastAsia="Calibri" w:hAnsi="Verdana" w:cs="Times New Roman"/>
        </w:rPr>
        <w:t>ta Agencia procede a resolver el siguiente problema jurídico: ¿Qué garantía debe estipularse en un convenio de asociación</w:t>
      </w:r>
      <w:r w:rsidRPr="004444AC">
        <w:rPr>
          <w:rFonts w:ascii="Verdana" w:eastAsia="Calibri" w:hAnsi="Verdana" w:cs="Times New Roman"/>
        </w:rPr>
        <w:t xml:space="preserve"> para respaldar un desembolso temprano, si </w:t>
      </w:r>
      <w:r>
        <w:rPr>
          <w:rFonts w:ascii="Verdana" w:eastAsia="Calibri" w:hAnsi="Verdana" w:cs="Times New Roman"/>
        </w:rPr>
        <w:t xml:space="preserve">no se puede pactar los amparos de buen manejo y correcta inversión del anticipo y la devolución de pago anticipado? </w:t>
      </w:r>
    </w:p>
    <w:p w14:paraId="498C9C34" w14:textId="77777777" w:rsidR="003878CE" w:rsidRPr="000846BF" w:rsidRDefault="003878CE" w:rsidP="003878CE">
      <w:pPr>
        <w:spacing w:after="0" w:line="276" w:lineRule="auto"/>
        <w:jc w:val="both"/>
        <w:rPr>
          <w:rFonts w:ascii="Verdana" w:eastAsia="Calibri" w:hAnsi="Verdana" w:cs="Times New Roman"/>
          <w:i/>
          <w:iCs/>
        </w:rPr>
      </w:pPr>
    </w:p>
    <w:p w14:paraId="325164A9" w14:textId="77777777" w:rsidR="003878CE" w:rsidRPr="00B57A1B" w:rsidRDefault="003878CE" w:rsidP="003878CE">
      <w:pPr>
        <w:numPr>
          <w:ilvl w:val="0"/>
          <w:numId w:val="16"/>
        </w:numPr>
        <w:spacing w:after="0" w:line="256" w:lineRule="auto"/>
        <w:contextualSpacing/>
        <w:rPr>
          <w:rFonts w:ascii="Verdana" w:eastAsia="Calibri" w:hAnsi="Verdana" w:cs="Times New Roman"/>
          <w:b/>
          <w:bCs/>
          <w:lang w:val="es-ES"/>
        </w:rPr>
      </w:pPr>
      <w:r w:rsidRPr="00B57A1B">
        <w:rPr>
          <w:rFonts w:ascii="Verdana" w:eastAsia="Calibri" w:hAnsi="Verdana" w:cs="Times New Roman"/>
          <w:b/>
          <w:bCs/>
          <w:lang w:val="es-ES"/>
        </w:rPr>
        <w:t>Respuesta:</w:t>
      </w:r>
    </w:p>
    <w:p w14:paraId="778F8534" w14:textId="77777777" w:rsidR="003878CE" w:rsidRPr="00B57A1B" w:rsidRDefault="003878CE" w:rsidP="003878CE">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878CE" w:rsidRPr="00B57A1B" w14:paraId="035ED3CD" w14:textId="77777777" w:rsidTr="003878CE">
        <w:trPr>
          <w:trHeight w:val="345"/>
          <w:jc w:val="center"/>
        </w:trPr>
        <w:tc>
          <w:tcPr>
            <w:tcW w:w="8784" w:type="dxa"/>
            <w:tcBorders>
              <w:bottom w:val="single" w:sz="4" w:space="0" w:color="auto"/>
            </w:tcBorders>
          </w:tcPr>
          <w:p w14:paraId="57F6059D" w14:textId="77777777" w:rsidR="003878CE" w:rsidRPr="00033F02" w:rsidRDefault="003878CE" w:rsidP="003878CE">
            <w:pPr>
              <w:spacing w:after="120" w:line="276" w:lineRule="auto"/>
              <w:jc w:val="both"/>
              <w:rPr>
                <w:rFonts w:ascii="Verdana" w:eastAsia="Times New Roman" w:hAnsi="Verdana" w:cs="Arial"/>
                <w:color w:val="000000" w:themeColor="text1"/>
                <w:lang w:val="es-ES" w:eastAsia="es-CO"/>
              </w:rPr>
            </w:pPr>
            <w:r>
              <w:rPr>
                <w:rFonts w:ascii="Verdana" w:eastAsia="Times New Roman" w:hAnsi="Verdana" w:cs="Arial"/>
                <w:color w:val="000000" w:themeColor="text1"/>
                <w:lang w:val="es-ES" w:eastAsia="es-CO"/>
              </w:rPr>
              <w:lastRenderedPageBreak/>
              <w:t xml:space="preserve">En torno al problema jurídico, objeto de consulta, se precisa que como se expresó en el concepto C-557 de 2025 no son procedentes los anticipos y pagos anticipados, los cuales son conceptos vinculados a la contraprestación que suelen recibir contratistas en el marco de relaciones conmutativas. No obstante, frente a desembolsos tempranos en los convenios de asociación es posible mitigar los riesgos con la exigencia del amparo de cumplimiento, la cual </w:t>
            </w:r>
            <w:r>
              <w:rPr>
                <w:rFonts w:ascii="Verdana" w:eastAsia="Calibri" w:hAnsi="Verdana" w:cs="Arial"/>
                <w:color w:val="000000" w:themeColor="text1"/>
                <w:lang w:val="es-ES"/>
              </w:rPr>
              <w:t>protege</w:t>
            </w:r>
            <w:r w:rsidRPr="009037F6">
              <w:rPr>
                <w:rFonts w:ascii="Verdana" w:eastAsia="Calibri" w:hAnsi="Verdana" w:cs="Arial"/>
                <w:color w:val="000000" w:themeColor="text1"/>
                <w:lang w:val="es-ES"/>
              </w:rPr>
              <w:t xml:space="preserve"> a la entidad de los perjuicios que puedan ocasionarse con el incumplimiento total o parcial del contrato, el cumplimiento tardío o defectuoso, los daños p</w:t>
            </w:r>
            <w:r>
              <w:rPr>
                <w:rFonts w:ascii="Verdana" w:eastAsia="Calibri" w:hAnsi="Verdana" w:cs="Arial"/>
                <w:color w:val="000000" w:themeColor="text1"/>
                <w:lang w:val="es-ES"/>
              </w:rPr>
              <w:t>or entregas parciales</w:t>
            </w:r>
            <w:r w:rsidRPr="009037F6">
              <w:rPr>
                <w:rFonts w:ascii="Verdana" w:eastAsia="Calibri" w:hAnsi="Verdana" w:cs="Arial"/>
                <w:color w:val="000000" w:themeColor="text1"/>
                <w:lang w:val="es-ES"/>
              </w:rPr>
              <w:t xml:space="preserve">, cuando el contrato no prevé entregas parciales, y el valor de las multas y de la cláusula penal pecuniaria. </w:t>
            </w:r>
            <w:r>
              <w:rPr>
                <w:rFonts w:ascii="Verdana" w:eastAsia="Calibri" w:hAnsi="Verdana" w:cs="Arial"/>
                <w:color w:val="000000" w:themeColor="text1"/>
                <w:lang w:val="es-ES"/>
              </w:rPr>
              <w:t xml:space="preserve">En tal sentido, </w:t>
            </w:r>
            <w:r w:rsidRPr="009037F6">
              <w:rPr>
                <w:rFonts w:ascii="Verdana" w:eastAsia="Calibri" w:hAnsi="Verdana" w:cs="Arial"/>
                <w:color w:val="000000" w:themeColor="text1"/>
                <w:lang w:val="es-ES"/>
              </w:rPr>
              <w:t xml:space="preserve">el </w:t>
            </w:r>
            <w:r w:rsidRPr="009037F6">
              <w:rPr>
                <w:rFonts w:ascii="Verdana" w:eastAsia="Calibri" w:hAnsi="Verdana" w:cs="Arial"/>
                <w:i/>
                <w:iCs/>
                <w:color w:val="000000" w:themeColor="text1"/>
                <w:lang w:val="es-ES"/>
              </w:rPr>
              <w:t>amparo de cumplimiento</w:t>
            </w:r>
            <w:r w:rsidRPr="009037F6">
              <w:rPr>
                <w:rFonts w:ascii="Verdana" w:eastAsia="Calibri" w:hAnsi="Verdana" w:cs="Arial"/>
                <w:color w:val="000000" w:themeColor="text1"/>
                <w:lang w:val="es-ES"/>
              </w:rPr>
              <w:t xml:space="preserve"> tiene como objeto proteger a la entidad de los riesgos que puedan concretarse durant</w:t>
            </w:r>
            <w:r>
              <w:rPr>
                <w:rFonts w:ascii="Verdana" w:eastAsia="Calibri" w:hAnsi="Verdana" w:cs="Arial"/>
                <w:color w:val="000000" w:themeColor="text1"/>
                <w:lang w:val="es-ES"/>
              </w:rPr>
              <w:t>e la etapa de ejecución del convenio de asociación, en especial,</w:t>
            </w:r>
            <w:r w:rsidRPr="009037F6">
              <w:rPr>
                <w:rFonts w:ascii="Verdana" w:eastAsia="Calibri" w:hAnsi="Verdana" w:cs="Arial"/>
                <w:color w:val="000000" w:themeColor="text1"/>
                <w:lang w:val="es-ES"/>
              </w:rPr>
              <w:t xml:space="preserve"> de aquellos derivados de incumplimientos o conductas imputables </w:t>
            </w:r>
            <w:r>
              <w:rPr>
                <w:rFonts w:ascii="Verdana" w:eastAsia="Calibri" w:hAnsi="Verdana" w:cs="Arial"/>
                <w:color w:val="000000" w:themeColor="text1"/>
                <w:lang w:val="es-ES"/>
              </w:rPr>
              <w:t>del asociado de la entidad pública. De esta manera, e</w:t>
            </w:r>
            <w:r w:rsidRPr="008306C4">
              <w:rPr>
                <w:rFonts w:ascii="Verdana" w:eastAsia="Calibri" w:hAnsi="Verdana" w:cs="Arial"/>
                <w:color w:val="000000" w:themeColor="text1"/>
                <w:lang w:val="es-ES"/>
              </w:rPr>
              <w:t xml:space="preserve">l propósito fundamental del amparo de cumplimiento es blindar a la entidad durante la fase de ejecución del convenio, especialmente frente a conductas atribuibles al asociado que puedan comprometer el éxito del proyecto. </w:t>
            </w:r>
          </w:p>
          <w:p w14:paraId="14423D44" w14:textId="77777777" w:rsidR="003878CE" w:rsidRDefault="003878CE" w:rsidP="003878C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t xml:space="preserve">En torno al amparo de cumplimiento se establece </w:t>
            </w:r>
            <w:r w:rsidRPr="00E960A7">
              <w:rPr>
                <w:rFonts w:ascii="Verdana" w:eastAsia="Calibri" w:hAnsi="Verdana" w:cs="Arial"/>
                <w:color w:val="000000" w:themeColor="text1"/>
              </w:rPr>
              <w:t>el artículo 2.2.1.2.3.1</w:t>
            </w:r>
            <w:r>
              <w:rPr>
                <w:rFonts w:ascii="Verdana" w:eastAsia="Calibri" w:hAnsi="Verdana" w:cs="Arial"/>
                <w:color w:val="000000" w:themeColor="text1"/>
              </w:rPr>
              <w:t>.12 del Decreto 1082 de 2015, que se</w:t>
            </w:r>
            <w:r w:rsidRPr="00E960A7">
              <w:rPr>
                <w:rFonts w:ascii="Verdana" w:eastAsia="Calibri" w:hAnsi="Verdana" w:cs="Arial"/>
                <w:color w:val="000000" w:themeColor="text1"/>
              </w:rPr>
              <w:t xml:space="preserve"> asemeja a lo dispuesto en el Decreto 1510, </w:t>
            </w:r>
            <w:r>
              <w:rPr>
                <w:rFonts w:ascii="Verdana" w:eastAsia="Calibri" w:hAnsi="Verdana" w:cs="Arial"/>
                <w:color w:val="000000" w:themeColor="text1"/>
              </w:rPr>
              <w:t xml:space="preserve">que prescribe </w:t>
            </w:r>
            <w:r w:rsidRPr="00E960A7">
              <w:rPr>
                <w:rFonts w:ascii="Verdana" w:eastAsia="Calibri" w:hAnsi="Verdana" w:cs="Arial"/>
                <w:color w:val="000000" w:themeColor="text1"/>
              </w:rPr>
              <w:t xml:space="preserve">que el valor de </w:t>
            </w:r>
            <w:r>
              <w:rPr>
                <w:rFonts w:ascii="Verdana" w:eastAsia="Calibri" w:hAnsi="Verdana" w:cs="Arial"/>
                <w:color w:val="000000" w:themeColor="text1"/>
              </w:rPr>
              <w:t xml:space="preserve">esta </w:t>
            </w:r>
            <w:r w:rsidRPr="00E960A7">
              <w:rPr>
                <w:rFonts w:ascii="Verdana" w:eastAsia="Calibri" w:hAnsi="Verdana" w:cs="Arial"/>
                <w:color w:val="000000" w:themeColor="text1"/>
              </w:rPr>
              <w:t>debe ser por lo menos del 10% del valor del contrato, salvo que el valor de este sea superior a un millón de SMMLV, evento en el cual debe aplicar unas reglas dispuestas en este reglamento</w:t>
            </w:r>
            <w:r>
              <w:rPr>
                <w:rFonts w:ascii="Verdana" w:eastAsia="Calibri" w:hAnsi="Verdana" w:cs="Arial"/>
                <w:color w:val="000000" w:themeColor="text1"/>
              </w:rPr>
              <w:t>. Frente</w:t>
            </w:r>
            <w:r w:rsidRPr="00E960A7">
              <w:rPr>
                <w:rFonts w:ascii="Verdana" w:eastAsia="Calibri" w:hAnsi="Verdana" w:cs="Arial"/>
                <w:color w:val="000000" w:themeColor="text1"/>
              </w:rPr>
              <w:t xml:space="preserve"> a la vigencia, el último artículo citado establece que debe cubri</w:t>
            </w:r>
            <w:r>
              <w:rPr>
                <w:rFonts w:ascii="Verdana" w:eastAsia="Calibri" w:hAnsi="Verdana" w:cs="Arial"/>
                <w:color w:val="000000" w:themeColor="text1"/>
              </w:rPr>
              <w:t>r la ejecución del contrato y “hasta la liquidación”</w:t>
            </w:r>
            <w:r w:rsidRPr="00E960A7">
              <w:rPr>
                <w:rFonts w:ascii="Verdana" w:eastAsia="Calibri" w:hAnsi="Verdana" w:cs="Arial"/>
                <w:color w:val="000000" w:themeColor="text1"/>
              </w:rPr>
              <w:t xml:space="preserve">. </w:t>
            </w:r>
          </w:p>
          <w:p w14:paraId="4C351C64" w14:textId="77777777" w:rsidR="003878CE" w:rsidRPr="009C57DE" w:rsidRDefault="003878CE" w:rsidP="003878C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De igual modo, es posible establecer como mecanismo de cobertura de riesgos a los desembolsos tempranos en convenios de asociación, las</w:t>
            </w:r>
            <w:r w:rsidRPr="009C57DE">
              <w:rPr>
                <w:rFonts w:ascii="Verdana" w:eastAsia="Calibri" w:hAnsi="Verdana" w:cs="Arial"/>
                <w:color w:val="000000" w:themeColor="text1"/>
              </w:rPr>
              <w:t xml:space="preserve"> cuentas conjuntas bajo la modalidad de convenios y con</w:t>
            </w:r>
            <w:r>
              <w:rPr>
                <w:rFonts w:ascii="Verdana" w:eastAsia="Calibri" w:hAnsi="Verdana" w:cs="Arial"/>
                <w:color w:val="000000" w:themeColor="text1"/>
              </w:rPr>
              <w:t xml:space="preserve">tratos, que son </w:t>
            </w:r>
            <w:r w:rsidRPr="009C57DE">
              <w:rPr>
                <w:rFonts w:ascii="Verdana" w:eastAsia="Calibri" w:hAnsi="Verdana" w:cs="Arial"/>
                <w:color w:val="000000" w:themeColor="text1"/>
              </w:rPr>
              <w:t>instrumentos financieros cre</w:t>
            </w:r>
            <w:r>
              <w:rPr>
                <w:rFonts w:ascii="Verdana" w:eastAsia="Calibri" w:hAnsi="Verdana" w:cs="Arial"/>
                <w:color w:val="000000" w:themeColor="text1"/>
              </w:rPr>
              <w:t xml:space="preserve">ados para administrar de forma </w:t>
            </w:r>
            <w:r w:rsidRPr="009C57DE">
              <w:rPr>
                <w:rFonts w:ascii="Verdana" w:eastAsia="Calibri" w:hAnsi="Verdana" w:cs="Arial"/>
                <w:color w:val="000000" w:themeColor="text1"/>
              </w:rPr>
              <w:t xml:space="preserve">transparente y ordenada los recursos destinados a proyectos interinstitucionales o acuerdos con terceros. Su principal </w:t>
            </w:r>
            <w:r>
              <w:rPr>
                <w:rFonts w:ascii="Verdana" w:eastAsia="Calibri" w:hAnsi="Verdana" w:cs="Arial"/>
                <w:color w:val="000000" w:themeColor="text1"/>
              </w:rPr>
              <w:t xml:space="preserve">propósito </w:t>
            </w:r>
            <w:r w:rsidRPr="009C57DE">
              <w:rPr>
                <w:rFonts w:ascii="Verdana" w:eastAsia="Calibri" w:hAnsi="Verdana" w:cs="Arial"/>
                <w:color w:val="000000" w:themeColor="text1"/>
              </w:rPr>
              <w:t xml:space="preserve">es garantizar que los fondos se manejen con corresponsabilidad entre las partes, evitando confusiones sobre la titularidad y asegurando que cada movimiento esté respaldado por documentos válidos. </w:t>
            </w:r>
          </w:p>
          <w:p w14:paraId="2C8EF522" w14:textId="77777777" w:rsidR="003878CE" w:rsidRPr="009C57DE" w:rsidRDefault="003878CE" w:rsidP="003878C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La administración y gestión adecuada </w:t>
            </w:r>
            <w:r w:rsidRPr="009C57DE">
              <w:rPr>
                <w:rFonts w:ascii="Verdana" w:eastAsia="Calibri" w:hAnsi="Verdana" w:cs="Arial"/>
                <w:color w:val="000000" w:themeColor="text1"/>
              </w:rPr>
              <w:t xml:space="preserve">de estas cuentas implica reglas claras sobre ingresos, egresos y conciliaciones periódicas, además de informes </w:t>
            </w:r>
            <w:r w:rsidRPr="009C57DE">
              <w:rPr>
                <w:rFonts w:ascii="Verdana" w:eastAsia="Calibri" w:hAnsi="Verdana" w:cs="Arial"/>
                <w:color w:val="000000" w:themeColor="text1"/>
              </w:rPr>
              <w:lastRenderedPageBreak/>
              <w:t>financieros que permitan verificar el uso correcto de los recursos. Al final</w:t>
            </w:r>
            <w:r>
              <w:rPr>
                <w:rFonts w:ascii="Verdana" w:eastAsia="Calibri" w:hAnsi="Verdana" w:cs="Arial"/>
                <w:color w:val="000000" w:themeColor="text1"/>
              </w:rPr>
              <w:t xml:space="preserve">izar el convenio o contrato, debe realizarse </w:t>
            </w:r>
            <w:r w:rsidRPr="009C57DE">
              <w:rPr>
                <w:rFonts w:ascii="Verdana" w:eastAsia="Calibri" w:hAnsi="Verdana" w:cs="Arial"/>
                <w:color w:val="000000" w:themeColor="text1"/>
              </w:rPr>
              <w:t xml:space="preserve">un cierre formal con acta y reporte del saldo final, asegurando que cualquier recurso no ejecutado tenga un destino definido. En todo caso, la entidad pública deberá revisar mecanismos de cobertura de riesgos que garanticen una administración y mitigación de riesgos ante desembolsos tempranos.  </w:t>
            </w:r>
          </w:p>
        </w:tc>
      </w:tr>
    </w:tbl>
    <w:p w14:paraId="67F006A8" w14:textId="77777777" w:rsidR="003878CE" w:rsidRPr="00B57A1B" w:rsidRDefault="003878CE" w:rsidP="003878CE">
      <w:pPr>
        <w:spacing w:after="0" w:line="276" w:lineRule="auto"/>
        <w:jc w:val="both"/>
        <w:rPr>
          <w:rFonts w:ascii="Verdana" w:eastAsia="Calibri" w:hAnsi="Verdana" w:cs="Arial"/>
          <w:bCs/>
          <w:color w:val="000000" w:themeColor="text1"/>
        </w:rPr>
      </w:pPr>
    </w:p>
    <w:p w14:paraId="7E3C5B28" w14:textId="77777777" w:rsidR="003878CE" w:rsidRPr="00B57A1B" w:rsidRDefault="003878CE" w:rsidP="003878CE">
      <w:pPr>
        <w:numPr>
          <w:ilvl w:val="0"/>
          <w:numId w:val="16"/>
        </w:numPr>
        <w:tabs>
          <w:tab w:val="left" w:pos="2268"/>
        </w:tabs>
        <w:spacing w:after="0" w:line="25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6C81FE98" w14:textId="77777777" w:rsidR="003878CE" w:rsidRPr="00B57A1B" w:rsidRDefault="003878CE" w:rsidP="003878CE">
      <w:pPr>
        <w:spacing w:after="0" w:line="256" w:lineRule="auto"/>
        <w:rPr>
          <w:rFonts w:ascii="Verdana" w:eastAsia="Calibri" w:hAnsi="Verdana" w:cs="Times New Roman"/>
          <w:b/>
          <w:bCs/>
          <w:lang w:val="es-ES"/>
        </w:rPr>
      </w:pPr>
    </w:p>
    <w:p w14:paraId="5211112B" w14:textId="77777777" w:rsidR="003878CE" w:rsidRPr="00E9090B" w:rsidRDefault="003878CE" w:rsidP="003878CE">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73CC7383" w14:textId="77777777" w:rsidR="003878CE" w:rsidRPr="00E9090B" w:rsidRDefault="003878CE" w:rsidP="003878CE">
      <w:pPr>
        <w:spacing w:after="0" w:line="276" w:lineRule="auto"/>
        <w:jc w:val="both"/>
        <w:rPr>
          <w:rFonts w:ascii="Verdana" w:hAnsi="Verdana" w:cs="Arial"/>
          <w:bCs/>
          <w:lang w:val="es-ES" w:eastAsia="es-ES" w:bidi="es-ES"/>
        </w:rPr>
      </w:pPr>
    </w:p>
    <w:p w14:paraId="05786114" w14:textId="77777777" w:rsidR="003878CE" w:rsidRPr="00F17EB6" w:rsidRDefault="003878CE" w:rsidP="003878CE">
      <w:pPr>
        <w:spacing w:after="120" w:line="276" w:lineRule="auto"/>
        <w:jc w:val="both"/>
        <w:rPr>
          <w:rFonts w:ascii="Verdana" w:eastAsia="Calibri" w:hAnsi="Verdana" w:cs="Arial"/>
          <w:color w:val="000000"/>
          <w:lang w:val="es-MX"/>
        </w:rPr>
      </w:pPr>
      <w:r>
        <w:rPr>
          <w:rFonts w:ascii="Verdana" w:eastAsia="Calibri" w:hAnsi="Verdana" w:cs="Arial"/>
          <w:bCs/>
          <w:lang w:val="es-ES_tradnl"/>
        </w:rPr>
        <w:t>i.</w:t>
      </w:r>
      <w:r>
        <w:rPr>
          <w:rFonts w:ascii="Verdana" w:eastAsia="Calibri" w:hAnsi="Verdana" w:cs="Arial"/>
          <w:color w:val="000000"/>
          <w:lang w:val="es-MX"/>
        </w:rPr>
        <w:t xml:space="preserve"> </w:t>
      </w:r>
      <w:r w:rsidRPr="00F17EB6">
        <w:rPr>
          <w:rFonts w:ascii="Verdana" w:eastAsia="Calibri" w:hAnsi="Verdana" w:cs="Arial"/>
          <w:color w:val="000000"/>
          <w:lang w:val="es-MX"/>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ESAL</w:t>
      </w:r>
      <w:r>
        <w:rPr>
          <w:rFonts w:ascii="Verdana" w:eastAsia="Calibri" w:hAnsi="Verdana" w:cs="Arial"/>
          <w:color w:val="000000"/>
          <w:lang w:val="es-MX"/>
        </w:rPr>
        <w:t>,</w:t>
      </w:r>
      <w:r w:rsidRPr="00F17EB6">
        <w:rPr>
          <w:rFonts w:ascii="Verdana" w:eastAsia="Calibri" w:hAnsi="Verdana" w:cs="Arial"/>
          <w:color w:val="000000"/>
          <w:lang w:val="es-MX"/>
        </w:rPr>
        <w:t xml:space="preserve"> con el fin de impulsar programas y actividades de interés público acordes con el plan nacional y los planes seccionales de desarrollo</w:t>
      </w:r>
      <w:r w:rsidRPr="00F17EB6">
        <w:rPr>
          <w:rFonts w:ascii="Verdana" w:eastAsia="Calibri" w:hAnsi="Verdana" w:cs="Arial"/>
          <w:color w:val="000000"/>
          <w:vertAlign w:val="superscript"/>
          <w:lang w:val="es-MX"/>
        </w:rPr>
        <w:footnoteReference w:id="1"/>
      </w:r>
      <w:r w:rsidRPr="00F17EB6">
        <w:rPr>
          <w:rFonts w:ascii="Verdana" w:eastAsia="Calibri" w:hAnsi="Verdana" w:cs="Arial"/>
          <w:color w:val="000000"/>
          <w:lang w:val="es-MX"/>
        </w:rPr>
        <w:t>. Por otra parte, la Ley 489 de 1998, en el artículo 96, permite a las entidades públicas en general, es decir, cualquiera sea su naturaleza y orden administrativo, asociarse con personas jurídicas particulares, mediante la celebración de convenios de asociación o la creación de personas jurídicas</w:t>
      </w:r>
      <w:r w:rsidRPr="00F17EB6">
        <w:rPr>
          <w:rFonts w:ascii="Verdana" w:eastAsia="Calibri" w:hAnsi="Verdana" w:cs="Arial"/>
          <w:color w:val="000000"/>
          <w:vertAlign w:val="superscript"/>
          <w:lang w:val="es-MX"/>
        </w:rPr>
        <w:footnoteReference w:id="2"/>
      </w:r>
      <w:r w:rsidRPr="00F17EB6">
        <w:rPr>
          <w:rFonts w:ascii="Verdana" w:eastAsia="Calibri" w:hAnsi="Verdana" w:cs="Arial"/>
          <w:color w:val="000000"/>
          <w:lang w:val="es-MX"/>
        </w:rPr>
        <w:t>. Ambas figuras tienen como fin desarrollar conjuntamente actividades relacionadas con los cometidos y funciones legales asignadas a la entidad.</w:t>
      </w:r>
    </w:p>
    <w:p w14:paraId="7630F2BC" w14:textId="77777777" w:rsidR="003878CE" w:rsidRPr="00D91C0D" w:rsidRDefault="003878CE" w:rsidP="003878CE">
      <w:pPr>
        <w:spacing w:after="120" w:line="276" w:lineRule="auto"/>
        <w:ind w:firstLine="709"/>
        <w:jc w:val="both"/>
        <w:rPr>
          <w:rFonts w:ascii="Verdana" w:eastAsia="Calibri" w:hAnsi="Verdana" w:cs="Arial"/>
          <w:color w:val="000000"/>
          <w:lang w:val="es-MX"/>
        </w:rPr>
      </w:pPr>
      <w:r w:rsidRPr="00F17EB6">
        <w:rPr>
          <w:rFonts w:ascii="Verdana" w:eastAsia="Calibri" w:hAnsi="Verdana" w:cs="Arial"/>
          <w:color w:val="000000"/>
          <w:lang w:val="es-MX"/>
        </w:rPr>
        <w:t xml:space="preserve">En desarrollo del artículo 355 de la Constitución, el Gobierno Nacional expidió el Decreto 92 de 2017, que dispone las reglas para las contrataciones que realicen las entidades estatales con las ESAL. El Decreto regula dos eventos: i)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xml:space="preserve"> o de interés público, con el fin impulsar programas y actividades de interés público de acuerdo con el Plan Nacional o los planes seccionales de desarrollo, en los términos del artículo 355 de la </w:t>
      </w:r>
      <w:r w:rsidRPr="00F17EB6">
        <w:rPr>
          <w:rFonts w:ascii="Verdana" w:eastAsia="Calibri" w:hAnsi="Verdana" w:cs="Arial"/>
          <w:color w:val="000000"/>
          <w:lang w:val="es-MX"/>
        </w:rPr>
        <w:lastRenderedPageBreak/>
        <w:t xml:space="preserve">Constitución Política; y ii)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para el desarrollo conjunto de actividades relacionadas con las funciones de las entidades estatales, en desarrollo del artículo 96 de la Ley 489 de 1998. Los primeros están regulados en el artículo 2 del Decreto 92 de 2017, mientras que los segundos en los artículos 5, 6, 7 y 8 </w:t>
      </w:r>
      <w:r w:rsidRPr="00F17EB6">
        <w:rPr>
          <w:rFonts w:ascii="Verdana" w:eastAsia="Calibri" w:hAnsi="Verdana" w:cs="Arial"/>
          <w:i/>
          <w:iCs/>
          <w:color w:val="000000"/>
          <w:lang w:val="es-MX"/>
        </w:rPr>
        <w:t>ibidem</w:t>
      </w:r>
      <w:r w:rsidRPr="00F17EB6">
        <w:rPr>
          <w:rFonts w:ascii="Verdana" w:eastAsia="Calibri" w:hAnsi="Verdana" w:cs="Arial"/>
          <w:color w:val="000000"/>
          <w:lang w:val="es-MX"/>
        </w:rPr>
        <w:t xml:space="preserve">. Es posible diferenciar, pues, los </w:t>
      </w:r>
      <w:r w:rsidRPr="00F17EB6">
        <w:rPr>
          <w:rFonts w:ascii="Verdana" w:eastAsia="Calibri" w:hAnsi="Verdana" w:cs="Arial"/>
          <w:i/>
          <w:iCs/>
          <w:color w:val="000000"/>
          <w:lang w:val="es-MX"/>
        </w:rPr>
        <w:t>convenios de asociación</w:t>
      </w:r>
      <w:r w:rsidRPr="00F17EB6">
        <w:rPr>
          <w:rFonts w:ascii="Verdana" w:eastAsia="Calibri" w:hAnsi="Verdana" w:cs="Arial"/>
          <w:color w:val="000000"/>
          <w:lang w:val="es-MX"/>
        </w:rPr>
        <w:t xml:space="preserve">, regulados en el artículo 5, de los </w:t>
      </w:r>
      <w:r w:rsidRPr="00F17EB6">
        <w:rPr>
          <w:rFonts w:ascii="Verdana" w:eastAsia="Calibri" w:hAnsi="Verdana" w:cs="Arial"/>
          <w:i/>
          <w:iCs/>
          <w:color w:val="000000"/>
          <w:lang w:val="es-MX"/>
        </w:rPr>
        <w:t>contratos de colaboración</w:t>
      </w:r>
      <w:r w:rsidRPr="00F17EB6">
        <w:rPr>
          <w:rFonts w:ascii="Verdana" w:eastAsia="Calibri" w:hAnsi="Verdana" w:cs="Arial"/>
          <w:color w:val="000000"/>
          <w:lang w:val="es-MX"/>
        </w:rPr>
        <w:t>, establecidos en el artículo 2 del Decreto 092 de 2017</w:t>
      </w:r>
      <w:r w:rsidRPr="00F17EB6">
        <w:rPr>
          <w:rFonts w:ascii="Verdana" w:eastAsia="Calibri" w:hAnsi="Verdana" w:cs="Arial"/>
          <w:color w:val="000000"/>
          <w:vertAlign w:val="superscript"/>
          <w:lang w:val="es-MX"/>
        </w:rPr>
        <w:footnoteReference w:id="3"/>
      </w:r>
      <w:r w:rsidRPr="00F17EB6">
        <w:rPr>
          <w:rFonts w:ascii="Verdana" w:eastAsia="Calibri" w:hAnsi="Verdana" w:cs="Arial"/>
          <w:color w:val="000000"/>
          <w:lang w:val="es-MX"/>
        </w:rPr>
        <w:t xml:space="preserve">. </w:t>
      </w:r>
      <w:r w:rsidRPr="00A745FA">
        <w:rPr>
          <w:rFonts w:ascii="Verdana" w:eastAsia="Calibri" w:hAnsi="Verdana" w:cs="Arial"/>
          <w:color w:val="000000"/>
        </w:rPr>
        <w:t xml:space="preserve">Al respecto, La Sala de Consulta y Servicio Civil del Consejo de Estado haciendo un análisis del Decreto 777 de 1992 y asimilándolo en el Decreto 092 de 2017, estableció diferencias entre los contratos de apoyo y los convenios de asociación, expresando: </w:t>
      </w:r>
    </w:p>
    <w:p w14:paraId="4EDD1886" w14:textId="77777777" w:rsidR="003878CE" w:rsidRPr="00A745FA" w:rsidRDefault="003878CE" w:rsidP="003878CE">
      <w:pPr>
        <w:spacing w:after="0" w:line="276" w:lineRule="auto"/>
        <w:ind w:firstLine="708"/>
        <w:jc w:val="both"/>
        <w:rPr>
          <w:rFonts w:ascii="Verdana" w:eastAsia="Calibri" w:hAnsi="Verdana"/>
          <w:bCs/>
          <w:iCs/>
          <w:color w:val="000000"/>
        </w:rPr>
      </w:pPr>
    </w:p>
    <w:p w14:paraId="13029AD5" w14:textId="77777777" w:rsidR="003878CE" w:rsidRPr="008C1758" w:rsidRDefault="003878CE" w:rsidP="003878CE">
      <w:pPr>
        <w:spacing w:after="0" w:line="240" w:lineRule="auto"/>
        <w:ind w:left="709" w:right="709"/>
        <w:jc w:val="both"/>
        <w:rPr>
          <w:rFonts w:ascii="Verdana" w:eastAsia="Calibri" w:hAnsi="Verdana"/>
          <w:bCs/>
          <w:iCs/>
          <w:color w:val="000000"/>
          <w:sz w:val="20"/>
          <w:szCs w:val="20"/>
        </w:rPr>
      </w:pPr>
      <w:r>
        <w:rPr>
          <w:rFonts w:ascii="Verdana" w:eastAsia="Calibri" w:hAnsi="Verdana"/>
          <w:color w:val="000000"/>
          <w:sz w:val="20"/>
          <w:szCs w:val="20"/>
          <w:lang w:val="es-ES"/>
        </w:rPr>
        <w:t>“</w:t>
      </w:r>
      <w:r w:rsidRPr="008C1758">
        <w:rPr>
          <w:rFonts w:ascii="Verdana" w:eastAsia="Calibri" w:hAnsi="Verdana"/>
          <w:bCs/>
          <w:iCs/>
          <w:color w:val="000000"/>
          <w:sz w:val="20"/>
          <w:szCs w:val="20"/>
        </w:rPr>
        <w:t>1ª) Los contratos de apoyo se celebran con personas jurídicas privadas sin ánimo de lucro. Los contratos de asociación se celebran con personas jurídicas privadas con o sin ánimo de lucro.</w:t>
      </w:r>
    </w:p>
    <w:p w14:paraId="65FAA229" w14:textId="77777777" w:rsidR="003878CE" w:rsidRPr="008C1758" w:rsidRDefault="003878CE" w:rsidP="003878CE">
      <w:pPr>
        <w:spacing w:after="0" w:line="240" w:lineRule="auto"/>
        <w:ind w:left="709" w:right="709"/>
        <w:jc w:val="both"/>
        <w:rPr>
          <w:rFonts w:ascii="Verdana" w:eastAsia="Calibri" w:hAnsi="Verdana"/>
          <w:bCs/>
          <w:iCs/>
          <w:color w:val="000000"/>
          <w:sz w:val="20"/>
          <w:szCs w:val="20"/>
        </w:rPr>
      </w:pPr>
    </w:p>
    <w:p w14:paraId="5B2BF55B" w14:textId="77777777" w:rsidR="003878CE" w:rsidRPr="008C1758" w:rsidRDefault="003878CE" w:rsidP="003878CE">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bCs/>
          <w:iCs/>
          <w:color w:val="000000"/>
          <w:sz w:val="20"/>
          <w:szCs w:val="20"/>
        </w:rPr>
        <w:t>2ª) Los contratos de apoyo se celebran para impulsar programas y actividades de interés público acordes con los planes de desarrollo. Los contratos de asociación se pueden celebrar con esa finalidad, pero también para el desarrollo conjunto de actividades en relación con los cometidos y funciones asignadas legalmente a las entidades estatales.</w:t>
      </w:r>
    </w:p>
    <w:p w14:paraId="40708491" w14:textId="77777777" w:rsidR="003878CE" w:rsidRPr="008C1758" w:rsidRDefault="003878CE" w:rsidP="003878CE">
      <w:pPr>
        <w:spacing w:after="0" w:line="240" w:lineRule="auto"/>
        <w:ind w:left="709" w:right="709"/>
        <w:jc w:val="both"/>
        <w:rPr>
          <w:rFonts w:ascii="Verdana" w:eastAsia="Calibri" w:hAnsi="Verdana"/>
          <w:bCs/>
          <w:iCs/>
          <w:color w:val="000000"/>
          <w:sz w:val="20"/>
          <w:szCs w:val="20"/>
        </w:rPr>
      </w:pPr>
    </w:p>
    <w:p w14:paraId="379A86B8" w14:textId="77777777" w:rsidR="003878CE" w:rsidRPr="008C1758" w:rsidRDefault="003878CE" w:rsidP="003878CE">
      <w:pPr>
        <w:spacing w:after="0" w:line="240" w:lineRule="auto"/>
        <w:ind w:left="709" w:right="709"/>
        <w:jc w:val="both"/>
        <w:rPr>
          <w:rFonts w:ascii="Verdana" w:eastAsia="Calibri" w:hAnsi="Verdana"/>
          <w:bCs/>
          <w:iCs/>
          <w:color w:val="000000"/>
          <w:sz w:val="20"/>
          <w:szCs w:val="20"/>
        </w:rPr>
      </w:pPr>
      <w:r w:rsidRPr="008C1758">
        <w:rPr>
          <w:rFonts w:ascii="Verdana" w:eastAsia="Calibri" w:hAnsi="Verdana" w:cs="Arial"/>
          <w:bCs/>
          <w:iCs/>
          <w:color w:val="000000"/>
          <w:sz w:val="20"/>
          <w:szCs w:val="20"/>
        </w:rPr>
        <w:t xml:space="preserve">3ª) Los contratos de apoyo se celebran con cargo al respectivo presupuesto de la entidad pública. En los contratos de asociación se deben determinar, como señala el inciso segundo del citado artículo </w:t>
      </w:r>
      <w:r w:rsidRPr="004608D1">
        <w:rPr>
          <w:rFonts w:ascii="Verdana" w:eastAsia="Calibri" w:hAnsi="Verdana" w:cs="Arial"/>
          <w:bCs/>
          <w:iCs/>
          <w:color w:val="000000"/>
          <w:sz w:val="20"/>
          <w:szCs w:val="20"/>
        </w:rPr>
        <w:t>96, los</w:t>
      </w:r>
      <w:r w:rsidRPr="008C1758">
        <w:rPr>
          <w:rFonts w:ascii="Verdana" w:eastAsia="Calibri" w:hAnsi="Verdana" w:cs="Arial"/>
          <w:bCs/>
          <w:iCs/>
          <w:color w:val="000000"/>
          <w:sz w:val="20"/>
          <w:szCs w:val="20"/>
        </w:rPr>
        <w:t xml:space="preserve"> </w:t>
      </w:r>
      <w:r w:rsidRPr="008C1758">
        <w:rPr>
          <w:rFonts w:ascii="Verdana" w:eastAsia="Calibri" w:hAnsi="Verdana" w:cs="Arial"/>
          <w:bCs/>
          <w:i/>
          <w:iCs/>
          <w:color w:val="000000"/>
          <w:sz w:val="20"/>
          <w:szCs w:val="20"/>
        </w:rPr>
        <w:t>“aportes”</w:t>
      </w:r>
      <w:r w:rsidRPr="008C1758">
        <w:rPr>
          <w:rFonts w:ascii="Verdana" w:eastAsia="Calibri" w:hAnsi="Verdana" w:cs="Arial"/>
          <w:bCs/>
          <w:iCs/>
          <w:color w:val="000000"/>
          <w:sz w:val="20"/>
          <w:szCs w:val="20"/>
        </w:rPr>
        <w:t xml:space="preserve"> tanto de la entidad pública como de la persona jurídica particular</w:t>
      </w:r>
      <w:r>
        <w:rPr>
          <w:rFonts w:ascii="Verdana" w:eastAsia="Calibri" w:hAnsi="Verdana" w:cs="Arial"/>
          <w:color w:val="000000"/>
          <w:sz w:val="20"/>
          <w:szCs w:val="20"/>
        </w:rPr>
        <w:t>”</w:t>
      </w:r>
      <w:r w:rsidRPr="008C1758">
        <w:rPr>
          <w:rFonts w:ascii="Verdana" w:eastAsia="Calibri" w:hAnsi="Verdana" w:cs="Arial"/>
          <w:bCs/>
          <w:iCs/>
          <w:color w:val="000000"/>
          <w:sz w:val="20"/>
          <w:szCs w:val="20"/>
          <w:vertAlign w:val="superscript"/>
        </w:rPr>
        <w:footnoteReference w:id="4"/>
      </w:r>
      <w:r w:rsidRPr="008C1758">
        <w:rPr>
          <w:rFonts w:ascii="Verdana" w:eastAsia="Calibri" w:hAnsi="Verdana" w:cs="Arial"/>
          <w:bCs/>
          <w:iCs/>
          <w:color w:val="000000"/>
          <w:sz w:val="20"/>
          <w:szCs w:val="20"/>
        </w:rPr>
        <w:t>.</w:t>
      </w:r>
    </w:p>
    <w:p w14:paraId="3E2F04BB" w14:textId="77777777" w:rsidR="003878CE" w:rsidRPr="00A745FA" w:rsidRDefault="003878CE" w:rsidP="003878CE">
      <w:pPr>
        <w:spacing w:after="0" w:line="276" w:lineRule="auto"/>
        <w:ind w:firstLine="708"/>
        <w:jc w:val="both"/>
        <w:rPr>
          <w:rFonts w:ascii="Verdana" w:eastAsia="Calibri" w:hAnsi="Verdana" w:cs="Arial"/>
          <w:color w:val="000000"/>
          <w:lang w:val="es-MX"/>
        </w:rPr>
      </w:pPr>
    </w:p>
    <w:p w14:paraId="2CD54324" w14:textId="77777777" w:rsidR="003878CE" w:rsidRDefault="003878CE" w:rsidP="003878CE">
      <w:pPr>
        <w:spacing w:after="120" w:line="276" w:lineRule="auto"/>
        <w:ind w:firstLine="708"/>
        <w:jc w:val="both"/>
        <w:rPr>
          <w:rFonts w:ascii="Verdana" w:eastAsia="Calibri" w:hAnsi="Verdana" w:cs="Arial"/>
          <w:color w:val="000000"/>
          <w:lang w:val="es-MX"/>
        </w:rPr>
      </w:pPr>
      <w:r w:rsidRPr="00F17EB6">
        <w:rPr>
          <w:rFonts w:ascii="Verdana" w:eastAsia="Calibri" w:hAnsi="Verdana" w:cs="Arial"/>
          <w:color w:val="000000"/>
          <w:lang w:val="es-MX"/>
        </w:rPr>
        <w:t xml:space="preserve">Los </w:t>
      </w:r>
      <w:r w:rsidRPr="00F17EB6">
        <w:rPr>
          <w:rFonts w:ascii="Verdana" w:eastAsia="Calibri" w:hAnsi="Verdana" w:cs="Arial"/>
          <w:i/>
          <w:iCs/>
          <w:color w:val="000000"/>
          <w:lang w:val="es-MX"/>
        </w:rPr>
        <w:t>contratos</w:t>
      </w:r>
      <w:r>
        <w:rPr>
          <w:rFonts w:ascii="Verdana" w:eastAsia="Calibri" w:hAnsi="Verdana" w:cs="Arial"/>
          <w:i/>
          <w:iCs/>
          <w:color w:val="000000"/>
          <w:lang w:val="es-MX"/>
        </w:rPr>
        <w:t xml:space="preserve"> o convenios</w:t>
      </w:r>
      <w:r w:rsidRPr="00F17EB6">
        <w:rPr>
          <w:rFonts w:ascii="Verdana" w:eastAsia="Calibri" w:hAnsi="Verdana" w:cs="Arial"/>
          <w:i/>
          <w:iCs/>
          <w:color w:val="000000"/>
          <w:lang w:val="es-MX"/>
        </w:rPr>
        <w:t xml:space="preserve"> de colaboración </w:t>
      </w:r>
      <w:r w:rsidRPr="00F17EB6">
        <w:rPr>
          <w:rFonts w:ascii="Verdana" w:eastAsia="Calibri" w:hAnsi="Verdana" w:cs="Arial"/>
          <w:color w:val="000000"/>
          <w:lang w:val="es-MX"/>
        </w:rPr>
        <w:t xml:space="preserve">tienen como objeto promover acciones de fomento social en beneficio de los sectores más desprotegidos de la población, previstas en los planes de desarrollo, motivo por el cual no dan lugar a una contraprestación directa a favor de la entidad y tampoco a una relación conmutativa entre esta y la ESAL, toda vez que el beneficio real y directo lo reciben, en últimas, los terceros beneficiarios de este tipo de acciones de fomento. </w:t>
      </w:r>
    </w:p>
    <w:p w14:paraId="0C7D8151" w14:textId="77777777" w:rsidR="003878CE" w:rsidRDefault="003878CE" w:rsidP="003878CE">
      <w:pPr>
        <w:shd w:val="clear" w:color="auto" w:fill="FFFFFF"/>
        <w:spacing w:after="120" w:line="276" w:lineRule="auto"/>
        <w:ind w:firstLine="708"/>
        <w:jc w:val="both"/>
        <w:textAlignment w:val="baseline"/>
        <w:rPr>
          <w:rFonts w:ascii="Verdana" w:eastAsia="Calibri" w:hAnsi="Verdana" w:cs="Arial"/>
          <w:color w:val="000000" w:themeColor="text1"/>
        </w:rPr>
      </w:pPr>
      <w:r w:rsidRPr="00D44070">
        <w:rPr>
          <w:rFonts w:ascii="Verdana" w:eastAsia="Calibri" w:hAnsi="Verdana" w:cs="Arial"/>
          <w:color w:val="000000" w:themeColor="text1"/>
        </w:rPr>
        <w:lastRenderedPageBreak/>
        <w:t xml:space="preserve">De otro lado, los </w:t>
      </w:r>
      <w:r w:rsidRPr="00D44070">
        <w:rPr>
          <w:rFonts w:ascii="Verdana" w:eastAsia="Calibri" w:hAnsi="Verdana" w:cs="Arial"/>
          <w:i/>
          <w:iCs/>
          <w:color w:val="000000" w:themeColor="text1"/>
        </w:rPr>
        <w:t xml:space="preserve">convenios de asociación </w:t>
      </w:r>
      <w:r w:rsidRPr="00D44070">
        <w:rPr>
          <w:rFonts w:ascii="Verdana" w:eastAsia="Calibri" w:hAnsi="Verdana" w:cs="Arial"/>
          <w:color w:val="000000" w:themeColor="text1"/>
        </w:rPr>
        <w:t>– a los cuales hace referencia en su consulta – “[…] [t]ienen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E277D4">
        <w:rPr>
          <w:rFonts w:ascii="Verdana" w:hAnsi="Verdana"/>
          <w:vertAlign w:val="superscript"/>
        </w:rPr>
        <w:footnoteReference w:id="5"/>
      </w:r>
      <w:r w:rsidRPr="00D44070">
        <w:rPr>
          <w:rFonts w:ascii="Verdana" w:eastAsia="Calibri" w:hAnsi="Verdana" w:cs="Arial"/>
          <w:color w:val="000000" w:themeColor="text1"/>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r>
        <w:rPr>
          <w:rFonts w:ascii="Verdana" w:eastAsia="Calibri" w:hAnsi="Verdana" w:cs="Arial"/>
          <w:color w:val="000000" w:themeColor="text1"/>
        </w:rPr>
        <w:t xml:space="preserve">Para analizar un poco sobre este tipo de convenios se desarrollará el siguiente apartado. </w:t>
      </w:r>
    </w:p>
    <w:p w14:paraId="45D6AD9C" w14:textId="77777777" w:rsidR="003878CE" w:rsidRDefault="003878CE" w:rsidP="003878CE">
      <w:pPr>
        <w:shd w:val="clear" w:color="auto" w:fill="FFFFFF"/>
        <w:spacing w:after="120" w:line="276" w:lineRule="auto"/>
        <w:jc w:val="both"/>
        <w:textAlignment w:val="baseline"/>
        <w:rPr>
          <w:rFonts w:ascii="Verdana" w:eastAsia="Calibri" w:hAnsi="Verdana" w:cs="Arial"/>
          <w:color w:val="000000" w:themeColor="text1"/>
        </w:rPr>
      </w:pPr>
    </w:p>
    <w:p w14:paraId="57CF0174" w14:textId="77777777" w:rsidR="003878CE" w:rsidRDefault="003878CE" w:rsidP="003878CE">
      <w:pPr>
        <w:spacing w:after="120" w:line="276" w:lineRule="auto"/>
        <w:jc w:val="both"/>
        <w:rPr>
          <w:rFonts w:ascii="Verdana" w:eastAsia="Calibri" w:hAnsi="Verdana" w:cs="Arial"/>
          <w:lang w:val="es-MX"/>
        </w:rPr>
      </w:pPr>
      <w:r>
        <w:rPr>
          <w:rFonts w:ascii="Verdana" w:eastAsia="Calibri" w:hAnsi="Verdana" w:cs="Arial"/>
          <w:bCs/>
          <w:color w:val="000000"/>
        </w:rPr>
        <w:t xml:space="preserve">ii. </w:t>
      </w:r>
      <w:r w:rsidRPr="00E9090B">
        <w:rPr>
          <w:rFonts w:ascii="Verdana" w:eastAsia="Calibri" w:hAnsi="Verdana" w:cs="Arial"/>
          <w:lang w:val="es-MX"/>
        </w:rPr>
        <w:t xml:space="preserve">Los </w:t>
      </w:r>
      <w:r w:rsidRPr="00E9090B">
        <w:rPr>
          <w:rFonts w:ascii="Verdana" w:eastAsia="Calibri" w:hAnsi="Verdana" w:cs="Arial"/>
          <w:i/>
          <w:iCs/>
          <w:lang w:val="es-MX"/>
        </w:rPr>
        <w:t>convenios de asociación</w:t>
      </w:r>
      <w:r w:rsidRPr="00E9090B">
        <w:rPr>
          <w:rFonts w:ascii="Verdana" w:eastAsia="Calibri" w:hAnsi="Verdana" w:cs="Arial"/>
          <w:lang w:val="es-MX"/>
        </w:rPr>
        <w:t xml:space="preserve"> tienen como fin que la entidad estatal, cualquiera que sea su naturaleza y orden administrativo como es el caso de las entidades territoriales –distritos, municipios, departamentos, entre otros- se asocien con personas jurídicas particulares para el desarrollo conjunto de actividades relacionadas con los cometidos y funciones asignadas a aquellas conforme a la Constitución y a la Ley. Los convenios de asociación están regulados en el artículo 5° del Decreto 092 de 2017 y el artículo 96 de la Ley 489 de 1998, sin dejar de lado los artículos 6,7, 8, 9, 10 y 11 del precitado Decreto</w:t>
      </w:r>
      <w:r>
        <w:rPr>
          <w:rFonts w:ascii="Verdana" w:eastAsia="Calibri" w:hAnsi="Verdana" w:cs="Arial"/>
          <w:lang w:val="es-MX"/>
        </w:rPr>
        <w:t xml:space="preserve"> Autónomo</w:t>
      </w:r>
      <w:r w:rsidRPr="00E9090B">
        <w:rPr>
          <w:rFonts w:ascii="Verdana" w:eastAsia="Calibri" w:hAnsi="Verdana" w:cs="Arial"/>
          <w:lang w:val="es-MX"/>
        </w:rPr>
        <w:t xml:space="preserve">. </w:t>
      </w:r>
    </w:p>
    <w:p w14:paraId="3B77996E" w14:textId="77777777" w:rsidR="003878CE" w:rsidRPr="00E9090B" w:rsidRDefault="003878CE" w:rsidP="003878CE">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En estos convenios no existe contraprestación o pago, sino aportes, los cuales están dirigidos, exclusivamente, a lograr la ejecución del convenio y no a remunerar la actividad o actuaciones del asociado. De todos modos, la entidad debe adelantar un proceso competitivo, salvo cuando la ESAL comprometa recursos en dinero para la ejecución de estas actividades, en una proporción no inferior al 30% del valor total del convenio. </w:t>
      </w:r>
    </w:p>
    <w:p w14:paraId="7645E614" w14:textId="77777777" w:rsidR="003878CE" w:rsidRPr="00E9090B" w:rsidRDefault="003878CE" w:rsidP="003878CE">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De conformidad con el inciso segundo del artículo 96 de la Ley 489 de 1998, en est</w:t>
      </w:r>
      <w:r>
        <w:rPr>
          <w:rFonts w:ascii="Verdana" w:eastAsia="Calibri" w:hAnsi="Verdana" w:cs="Arial"/>
          <w:lang w:val="es-MX"/>
        </w:rPr>
        <w:t>os convenios debe determinarse “</w:t>
      </w:r>
      <w:r w:rsidRPr="00E9090B">
        <w:rPr>
          <w:rFonts w:ascii="Verdana" w:eastAsia="Calibri" w:hAnsi="Verdana" w:cs="Arial"/>
          <w:lang w:val="es-MX"/>
        </w:rPr>
        <w:t>con precisión su objeto, término, obligaciones de las partes, aportes, coordinación y todos aquellos aspecto</w:t>
      </w:r>
      <w:r>
        <w:rPr>
          <w:rFonts w:ascii="Verdana" w:eastAsia="Calibri" w:hAnsi="Verdana" w:cs="Arial"/>
          <w:lang w:val="es-MX"/>
        </w:rPr>
        <w:t>s que se consideren pertinentes”</w:t>
      </w:r>
      <w:r w:rsidRPr="00E9090B">
        <w:rPr>
          <w:rFonts w:ascii="Verdana" w:eastAsia="Calibri" w:hAnsi="Verdana" w:cs="Arial"/>
          <w:lang w:val="es-MX"/>
        </w:rPr>
        <w:t xml:space="preserve">, elementos dentro de los que resalta la exigencia de aportes, que debe interpretarse en el sentido de que las ESAL deben realizar aportes a los convenios que suscriban, los cuales pueden ser en dinero, en </w:t>
      </w:r>
      <w:r w:rsidRPr="00E9090B">
        <w:rPr>
          <w:rFonts w:ascii="Verdana" w:eastAsia="Calibri" w:hAnsi="Verdana" w:cs="Arial"/>
          <w:lang w:val="es-MX"/>
        </w:rPr>
        <w:lastRenderedPageBreak/>
        <w:t xml:space="preserve">porcentajes inferiores o superiores al 30%, o en especie, los cuales deben servir al desarrollo de los objetivos comunes de la asociación. </w:t>
      </w:r>
    </w:p>
    <w:p w14:paraId="7298744A" w14:textId="77777777" w:rsidR="003878CE" w:rsidRPr="00E9090B" w:rsidRDefault="003878CE" w:rsidP="003878CE">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normativa vigente no impide que varias entidades suscriban conjuntamente el convenio de asociación ni tampoco que dos o más ESAL pueden hacerlo a través de las figuras asociativas autorizadas por la ley, por ejemplo, la unión temporal o el consorcio. Sin embargo, comoquiera que el artículo 96 de la Ley 489 de 1998 determina que el convenio debe buscar el desarrollo conjunto de actividades relacionadas con los cometidos y funciones que la ley les asigna a las entidades estatales involucradas, es necesario que las funciones legales de las entidades estatales que suscriben conjuntamente el convenio coincidan de alguna de tal manera que, los cometidos funcionales de una y otra entidad se relacionen con el objeto del convenio.  </w:t>
      </w:r>
    </w:p>
    <w:p w14:paraId="5DB231CB" w14:textId="77777777" w:rsidR="003878CE" w:rsidRPr="00E9090B" w:rsidRDefault="003878CE" w:rsidP="003878CE">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Igualmente, considerando que los convenios de asociación “no estarán sujetos a competencia cuando la entidad sin ánimo de lucro comprometa recursos en dinero para la ejecución de esas actividades en una proporción no inferior al 30% del valor total del convenio”, las entidades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“asegurarse que no haya otras ESAL que ofrezcan su compromiso de recursos en dinero en una proporción no inferior al 30% del valor total del convenio. En caso de que la entidad encuentre que más de una ESAL le ofrece al menos el 30% de recursos en dinero para el convenio de asociación, debe seleccionar objetivamente con cual asociarse”</w:t>
      </w:r>
      <w:r w:rsidRPr="00E9090B">
        <w:rPr>
          <w:rFonts w:ascii="Verdana" w:eastAsia="Calibri" w:hAnsi="Verdana" w:cs="Arial"/>
          <w:vertAlign w:val="superscript"/>
          <w:lang w:val="es-MX"/>
        </w:rPr>
        <w:footnoteReference w:id="6"/>
      </w:r>
      <w:r w:rsidRPr="00E9090B">
        <w:rPr>
          <w:rFonts w:ascii="Verdana" w:eastAsia="Calibri" w:hAnsi="Verdana" w:cs="Arial"/>
          <w:lang w:val="es-MX"/>
        </w:rPr>
        <w:t>.</w:t>
      </w:r>
    </w:p>
    <w:p w14:paraId="182D1CC7" w14:textId="77777777" w:rsidR="003878CE" w:rsidRPr="00E9090B" w:rsidRDefault="003878CE" w:rsidP="003878CE">
      <w:pPr>
        <w:spacing w:after="120" w:line="276" w:lineRule="auto"/>
        <w:ind w:firstLine="708"/>
        <w:jc w:val="both"/>
        <w:rPr>
          <w:rFonts w:ascii="Verdana" w:eastAsia="Calibri" w:hAnsi="Verdana" w:cs="Arial"/>
          <w:lang w:val="es-MX"/>
        </w:rPr>
      </w:pPr>
      <w:r w:rsidRPr="00E9090B">
        <w:rPr>
          <w:rFonts w:ascii="Verdana" w:eastAsia="Calibri" w:hAnsi="Verdana" w:cs="Arial"/>
          <w:lang w:val="es-MX"/>
        </w:rPr>
        <w:t xml:space="preserve">La noción “seleccionar de forma objetiva”, contenida en la disposición </w:t>
      </w:r>
      <w:r w:rsidRPr="00E9090B">
        <w:rPr>
          <w:rFonts w:ascii="Verdana" w:eastAsia="Calibri" w:hAnsi="Verdana" w:cs="Arial"/>
          <w:i/>
          <w:iCs/>
          <w:lang w:val="es-MX"/>
        </w:rPr>
        <w:t xml:space="preserve">sub examine </w:t>
      </w:r>
      <w:r w:rsidRPr="00E9090B">
        <w:rPr>
          <w:rFonts w:ascii="Verdana" w:eastAsia="Calibri" w:hAnsi="Verdana" w:cs="Arial"/>
          <w:lang w:val="es-MX"/>
        </w:rPr>
        <w:t xml:space="preserve">no puede ser entendida como una remisión total a las Leyes 80 de 1993 y 1150 de 2007. A lo que se refiere la norma es a que la entidad estatal debe diseñar herramientas que permitan una comparación objetiva de las entidades sin ánimo de lucro para seleccionar objetivamente a aquella que tenga las mejores condiciones para alcanzar el resultado esperado con el proyecto de cooperación, por lo que los criterios que permitan una selección objetiva deben definirse en términos de la obtención de los objetivos del convenio de asociación. </w:t>
      </w:r>
      <w:r w:rsidRPr="00E9090B">
        <w:rPr>
          <w:rFonts w:ascii="Verdana" w:eastAsia="Calibri" w:hAnsi="Verdana" w:cs="Arial"/>
          <w:lang w:val="es-MX"/>
        </w:rPr>
        <w:lastRenderedPageBreak/>
        <w:t>Sin perjuicio de lo anterior, la entidad puede decidir acudir a los procesos de selección de contratistas que establece el EGCAP o, incluso, al trámite que regula el inciso 2 del artículo 2 del Decreto 92 de 2017.</w:t>
      </w:r>
    </w:p>
    <w:p w14:paraId="15B5C494" w14:textId="77777777" w:rsidR="003878CE" w:rsidRDefault="003878CE" w:rsidP="003878CE">
      <w:pPr>
        <w:spacing w:after="120" w:line="276" w:lineRule="auto"/>
        <w:ind w:firstLine="708"/>
        <w:jc w:val="both"/>
        <w:textAlignment w:val="baseline"/>
        <w:rPr>
          <w:rFonts w:ascii="Verdana" w:eastAsia="Calibri" w:hAnsi="Verdana" w:cs="Arial"/>
          <w:lang w:val="es-MX"/>
        </w:rPr>
      </w:pPr>
      <w:r w:rsidRPr="00E9090B">
        <w:rPr>
          <w:rFonts w:ascii="Verdana" w:eastAsia="Arial" w:hAnsi="Verdana" w:cs="Arial"/>
          <w:lang w:val="es-ES"/>
        </w:rPr>
        <w:t>En suma, las entidades estatales son autónomas en la configuración del proceso competitivo en desarrollo del artículo 5 del Decreto 092 de 2017. En todo caso, el proceso competitivo que definan las entidades estatales para sus convenios de asociación debe garantizar que esté relacionado con las funciones de la entidad, la libre concurrencia y la pluralidad de interesados y la comparación objetiva de las ofertas. Este procedimiento puede ser análogo a otros donde existe competencia, como la licitación pública</w:t>
      </w:r>
      <w:r>
        <w:rPr>
          <w:rFonts w:ascii="Verdana" w:eastAsia="Calibri" w:hAnsi="Verdana" w:cs="Arial"/>
          <w:lang w:val="es-MX"/>
        </w:rPr>
        <w:t>.</w:t>
      </w:r>
    </w:p>
    <w:p w14:paraId="794323C6" w14:textId="77777777" w:rsidR="003878CE" w:rsidRPr="003356E7" w:rsidRDefault="003878CE" w:rsidP="003878CE">
      <w:pPr>
        <w:spacing w:after="120" w:line="276" w:lineRule="auto"/>
        <w:ind w:firstLine="708"/>
        <w:jc w:val="both"/>
        <w:textAlignment w:val="baseline"/>
        <w:rPr>
          <w:rFonts w:ascii="Verdana" w:eastAsia="Calibri" w:hAnsi="Verdana" w:cs="Arial"/>
        </w:rPr>
      </w:pPr>
      <w:r>
        <w:rPr>
          <w:rFonts w:ascii="Verdana" w:eastAsia="Calibri" w:hAnsi="Verdana" w:cs="Arial"/>
          <w:lang w:val="es-MX"/>
        </w:rPr>
        <w:t xml:space="preserve">A partir de lo expuesto, se encuentra que en la Nueva </w:t>
      </w:r>
      <w:r w:rsidRPr="00886DAE">
        <w:rPr>
          <w:rFonts w:ascii="Verdana" w:eastAsia="Calibri" w:hAnsi="Verdana" w:cs="Arial"/>
          <w:bCs/>
        </w:rPr>
        <w:t>“</w:t>
      </w:r>
      <w:r w:rsidRPr="00886DAE">
        <w:rPr>
          <w:rFonts w:ascii="Verdana" w:eastAsia="Calibri" w:hAnsi="Verdana" w:cs="Arial"/>
          <w:bCs/>
          <w:i/>
          <w:iCs/>
        </w:rPr>
        <w:t>Guía para la contratación con entidades privadas sin ánimo de lucro y de reconocida idoneidad”</w:t>
      </w:r>
      <w:r>
        <w:rPr>
          <w:rFonts w:ascii="Verdana" w:eastAsia="Calibri" w:hAnsi="Verdana" w:cs="Arial"/>
          <w:bCs/>
          <w:i/>
          <w:iCs/>
        </w:rPr>
        <w:t xml:space="preserve"> </w:t>
      </w:r>
      <w:r>
        <w:rPr>
          <w:rFonts w:ascii="Verdana" w:eastAsia="Calibri" w:hAnsi="Verdana" w:cs="Arial"/>
          <w:lang w:val="es-MX"/>
        </w:rPr>
        <w:t>se establece tres condiciones para contratar mediante convenios de asociación: en primer lugar, e</w:t>
      </w:r>
      <w:r w:rsidRPr="0033599C">
        <w:rPr>
          <w:rFonts w:ascii="Verdana" w:eastAsia="Calibri" w:hAnsi="Verdana" w:cs="Arial"/>
        </w:rPr>
        <w:t xml:space="preserve">l </w:t>
      </w:r>
      <w:r>
        <w:rPr>
          <w:rFonts w:ascii="Verdana" w:eastAsia="Calibri" w:hAnsi="Verdana" w:cs="Arial"/>
        </w:rPr>
        <w:t xml:space="preserve">convenio de asociación debe suscribirse mediante un proceso competitivo </w:t>
      </w:r>
      <w:r w:rsidRPr="0033599C">
        <w:rPr>
          <w:rFonts w:ascii="Verdana" w:eastAsia="Calibri" w:hAnsi="Verdana" w:cs="Arial"/>
        </w:rPr>
        <w:t>con</w:t>
      </w:r>
      <w:r>
        <w:rPr>
          <w:rFonts w:ascii="Verdana" w:eastAsia="Calibri" w:hAnsi="Verdana" w:cs="Arial"/>
        </w:rPr>
        <w:t xml:space="preserve"> </w:t>
      </w:r>
      <w:r w:rsidRPr="0033599C">
        <w:rPr>
          <w:rFonts w:ascii="Verdana" w:eastAsia="Calibri" w:hAnsi="Verdana" w:cs="Arial"/>
        </w:rPr>
        <w:t>Entidades Privadas Sin Ánimo de Lucro de</w:t>
      </w:r>
      <w:r>
        <w:rPr>
          <w:rFonts w:ascii="Verdana" w:eastAsia="Calibri" w:hAnsi="Verdana" w:cs="Arial"/>
        </w:rPr>
        <w:t xml:space="preserve"> </w:t>
      </w:r>
      <w:r w:rsidRPr="0033599C">
        <w:rPr>
          <w:rFonts w:ascii="Verdana" w:eastAsia="Calibri" w:hAnsi="Verdana" w:cs="Arial"/>
        </w:rPr>
        <w:t xml:space="preserve">reconocida idoneidad, </w:t>
      </w:r>
      <w:r>
        <w:rPr>
          <w:rFonts w:ascii="Verdana" w:eastAsia="Calibri" w:hAnsi="Verdana" w:cs="Arial"/>
        </w:rPr>
        <w:t xml:space="preserve">con la condición de que el </w:t>
      </w:r>
      <w:r w:rsidRPr="0033599C">
        <w:rPr>
          <w:rFonts w:ascii="Verdana" w:eastAsia="Calibri" w:hAnsi="Verdana" w:cs="Arial"/>
        </w:rPr>
        <w:t>aporte de la Entidad Privada Sin Ánimo de</w:t>
      </w:r>
      <w:r>
        <w:rPr>
          <w:rFonts w:ascii="Verdana" w:eastAsia="Calibri" w:hAnsi="Verdana" w:cs="Arial"/>
        </w:rPr>
        <w:t xml:space="preserve"> </w:t>
      </w:r>
      <w:r w:rsidRPr="0033599C">
        <w:rPr>
          <w:rFonts w:ascii="Verdana" w:eastAsia="Calibri" w:hAnsi="Verdana" w:cs="Arial"/>
        </w:rPr>
        <w:t>Lucro sea inferior al 30% en dinero propio o</w:t>
      </w:r>
      <w:r>
        <w:rPr>
          <w:rFonts w:ascii="Verdana" w:eastAsia="Calibri" w:hAnsi="Verdana" w:cs="Arial"/>
        </w:rPr>
        <w:t xml:space="preserve"> </w:t>
      </w:r>
      <w:r w:rsidRPr="0033599C">
        <w:rPr>
          <w:rFonts w:ascii="Verdana" w:eastAsia="Calibri" w:hAnsi="Verdana" w:cs="Arial"/>
        </w:rPr>
        <w:t>de cooperación internacional.</w:t>
      </w:r>
      <w:r>
        <w:rPr>
          <w:rFonts w:ascii="Verdana" w:eastAsia="Calibri" w:hAnsi="Verdana" w:cs="Arial"/>
        </w:rPr>
        <w:t xml:space="preserve"> En segundo lugar, la suscripción del convenio de asociación d</w:t>
      </w:r>
      <w:r w:rsidRPr="0033599C">
        <w:rPr>
          <w:rFonts w:ascii="Verdana" w:eastAsia="Calibri" w:hAnsi="Verdana" w:cs="Arial"/>
        </w:rPr>
        <w:t>el convenio de asociación</w:t>
      </w:r>
      <w:r>
        <w:rPr>
          <w:rFonts w:ascii="Verdana" w:eastAsia="Calibri" w:hAnsi="Verdana" w:cs="Arial"/>
        </w:rPr>
        <w:t xml:space="preserve"> no está </w:t>
      </w:r>
      <w:r w:rsidRPr="0033599C">
        <w:rPr>
          <w:rFonts w:ascii="Verdana" w:eastAsia="Calibri" w:hAnsi="Verdana" w:cs="Arial"/>
        </w:rPr>
        <w:t>sujeto a un proceso competitivo</w:t>
      </w:r>
      <w:r>
        <w:rPr>
          <w:rFonts w:ascii="Verdana" w:eastAsia="Calibri" w:hAnsi="Verdana" w:cs="Arial"/>
        </w:rPr>
        <w:t xml:space="preserve"> </w:t>
      </w:r>
      <w:r w:rsidRPr="0033599C">
        <w:rPr>
          <w:rFonts w:ascii="Verdana" w:eastAsia="Calibri" w:hAnsi="Verdana" w:cs="Arial"/>
        </w:rPr>
        <w:t>cuando la Entidad Privada Sin Ánimo de Lucro</w:t>
      </w:r>
      <w:r>
        <w:rPr>
          <w:rFonts w:ascii="Verdana" w:eastAsia="Calibri" w:hAnsi="Verdana" w:cs="Arial"/>
        </w:rPr>
        <w:t xml:space="preserve"> </w:t>
      </w:r>
      <w:r w:rsidRPr="0033599C">
        <w:rPr>
          <w:rFonts w:ascii="Verdana" w:eastAsia="Calibri" w:hAnsi="Verdana" w:cs="Arial"/>
        </w:rPr>
        <w:t>comprometa recursos en dinero propio o de</w:t>
      </w:r>
      <w:r>
        <w:rPr>
          <w:rFonts w:ascii="Verdana" w:eastAsia="Calibri" w:hAnsi="Verdana" w:cs="Arial"/>
        </w:rPr>
        <w:t xml:space="preserve"> </w:t>
      </w:r>
      <w:r w:rsidRPr="0033599C">
        <w:rPr>
          <w:rFonts w:ascii="Verdana" w:eastAsia="Calibri" w:hAnsi="Verdana" w:cs="Arial"/>
        </w:rPr>
        <w:t>cooperación internacional para la ejecución</w:t>
      </w:r>
      <w:r>
        <w:rPr>
          <w:rFonts w:ascii="Verdana" w:eastAsia="Calibri" w:hAnsi="Verdana" w:cs="Arial"/>
        </w:rPr>
        <w:t xml:space="preserve"> </w:t>
      </w:r>
      <w:r w:rsidRPr="0033599C">
        <w:rPr>
          <w:rFonts w:ascii="Verdana" w:eastAsia="Calibri" w:hAnsi="Verdana" w:cs="Arial"/>
        </w:rPr>
        <w:t>de las actividades en un porcentaje no inferior</w:t>
      </w:r>
      <w:r>
        <w:rPr>
          <w:rFonts w:ascii="Verdana" w:eastAsia="Calibri" w:hAnsi="Verdana" w:cs="Arial"/>
        </w:rPr>
        <w:t xml:space="preserve"> </w:t>
      </w:r>
      <w:r w:rsidRPr="0033599C">
        <w:rPr>
          <w:rFonts w:ascii="Verdana" w:eastAsia="Calibri" w:hAnsi="Verdana" w:cs="Arial"/>
        </w:rPr>
        <w:t>al 3</w:t>
      </w:r>
      <w:r>
        <w:rPr>
          <w:rFonts w:ascii="Verdana" w:eastAsia="Calibri" w:hAnsi="Verdana" w:cs="Arial"/>
        </w:rPr>
        <w:t>0% del valor total del convenio. Por último, s</w:t>
      </w:r>
      <w:r w:rsidRPr="0033599C">
        <w:rPr>
          <w:rFonts w:ascii="Verdana" w:eastAsia="Calibri" w:hAnsi="Verdana" w:cs="Arial"/>
        </w:rPr>
        <w:t>i más de una Entidad Privada Sin Ánimo</w:t>
      </w:r>
      <w:r>
        <w:rPr>
          <w:rFonts w:ascii="Verdana" w:eastAsia="Calibri" w:hAnsi="Verdana" w:cs="Arial"/>
        </w:rPr>
        <w:t xml:space="preserve"> </w:t>
      </w:r>
      <w:r w:rsidRPr="0033599C">
        <w:rPr>
          <w:rFonts w:ascii="Verdana" w:eastAsia="Calibri" w:hAnsi="Verdana" w:cs="Arial"/>
        </w:rPr>
        <w:t>de Lucro promete recursos en dinero para el</w:t>
      </w:r>
      <w:r>
        <w:rPr>
          <w:rFonts w:ascii="Verdana" w:eastAsia="Calibri" w:hAnsi="Verdana" w:cs="Arial"/>
        </w:rPr>
        <w:t xml:space="preserve"> </w:t>
      </w:r>
      <w:r w:rsidRPr="0033599C">
        <w:rPr>
          <w:rFonts w:ascii="Verdana" w:eastAsia="Calibri" w:hAnsi="Verdana" w:cs="Arial"/>
        </w:rPr>
        <w:t>desarrollo de las actividades del convenio de</w:t>
      </w:r>
      <w:r>
        <w:rPr>
          <w:rFonts w:ascii="Verdana" w:eastAsia="Calibri" w:hAnsi="Verdana" w:cs="Arial"/>
        </w:rPr>
        <w:t xml:space="preserve"> </w:t>
      </w:r>
      <w:r w:rsidRPr="0033599C">
        <w:rPr>
          <w:rFonts w:ascii="Verdana" w:eastAsia="Calibri" w:hAnsi="Verdana" w:cs="Arial"/>
        </w:rPr>
        <w:t>asociación en un porcentaje no inferior al 30%</w:t>
      </w:r>
      <w:r>
        <w:rPr>
          <w:rFonts w:ascii="Verdana" w:eastAsia="Calibri" w:hAnsi="Verdana" w:cs="Arial"/>
        </w:rPr>
        <w:t xml:space="preserve"> </w:t>
      </w:r>
      <w:r w:rsidRPr="0033599C">
        <w:rPr>
          <w:rFonts w:ascii="Verdana" w:eastAsia="Calibri" w:hAnsi="Verdana" w:cs="Arial"/>
        </w:rPr>
        <w:t xml:space="preserve">del valor total del convenio, la Entidad </w:t>
      </w:r>
      <w:r>
        <w:rPr>
          <w:rFonts w:ascii="Verdana" w:eastAsia="Calibri" w:hAnsi="Verdana" w:cs="Arial"/>
        </w:rPr>
        <w:t>debe</w:t>
      </w:r>
      <w:r w:rsidRPr="0033599C">
        <w:rPr>
          <w:rFonts w:ascii="Verdana" w:eastAsia="Calibri" w:hAnsi="Verdana" w:cs="Arial"/>
        </w:rPr>
        <w:t xml:space="preserve"> seleccionar </w:t>
      </w:r>
      <w:r>
        <w:rPr>
          <w:rFonts w:ascii="Verdana" w:eastAsia="Calibri" w:hAnsi="Verdana" w:cs="Arial"/>
        </w:rPr>
        <w:t xml:space="preserve">de forma objetiva y con justificación las razones </w:t>
      </w:r>
      <w:r w:rsidRPr="0033599C">
        <w:rPr>
          <w:rFonts w:ascii="Verdana" w:eastAsia="Calibri" w:hAnsi="Verdana" w:cs="Arial"/>
        </w:rPr>
        <w:t>para dicha</w:t>
      </w:r>
      <w:r>
        <w:rPr>
          <w:rFonts w:ascii="Verdana" w:eastAsia="Calibri" w:hAnsi="Verdana" w:cs="Arial"/>
        </w:rPr>
        <w:t xml:space="preserve"> </w:t>
      </w:r>
      <w:r w:rsidRPr="003356E7">
        <w:rPr>
          <w:rFonts w:ascii="Verdana" w:eastAsia="Calibri" w:hAnsi="Verdana" w:cs="Arial"/>
        </w:rPr>
        <w:t>selección</w:t>
      </w:r>
      <w:r w:rsidRPr="003356E7">
        <w:rPr>
          <w:rFonts w:ascii="Verdana" w:eastAsia="Calibri" w:hAnsi="Verdana" w:cs="Arial"/>
          <w:bCs/>
          <w:i/>
          <w:iCs/>
          <w:vertAlign w:val="superscript"/>
        </w:rPr>
        <w:footnoteReference w:id="7"/>
      </w:r>
      <w:r w:rsidRPr="003356E7">
        <w:rPr>
          <w:rFonts w:ascii="Verdana" w:eastAsia="Calibri" w:hAnsi="Verdana" w:cs="Arial"/>
        </w:rPr>
        <w:t>.</w:t>
      </w:r>
    </w:p>
    <w:p w14:paraId="1FC0641C" w14:textId="77777777" w:rsidR="003878CE" w:rsidRPr="00E9090B" w:rsidRDefault="003878CE" w:rsidP="003878CE">
      <w:pPr>
        <w:spacing w:after="120" w:line="276" w:lineRule="auto"/>
        <w:ind w:firstLine="709"/>
        <w:jc w:val="both"/>
        <w:rPr>
          <w:rFonts w:ascii="Verdana" w:eastAsia="Calibri" w:hAnsi="Verdana" w:cs="Arial"/>
          <w:lang w:val="es-MX"/>
        </w:rPr>
      </w:pPr>
      <w:r w:rsidRPr="00E9090B">
        <w:rPr>
          <w:rFonts w:ascii="Verdana" w:eastAsia="Calibri" w:hAnsi="Verdana" w:cs="Arial"/>
          <w:lang w:val="es-MX"/>
        </w:rPr>
        <w:t>Ahora bien, el Consejo de Estado, en el Auto del 6 de agosto de 2019 de la Sección Tercera, Subsección A –Exp. 62.003–, estudió la solicitud de suspensión provisional</w:t>
      </w:r>
      <w:r w:rsidRPr="00E9090B">
        <w:rPr>
          <w:rFonts w:ascii="Verdana" w:eastAsia="Calibri" w:hAnsi="Verdana" w:cs="Arial"/>
          <w:vertAlign w:val="superscript"/>
          <w:lang w:val="es-MX"/>
        </w:rPr>
        <w:footnoteReference w:id="8"/>
      </w:r>
      <w:r w:rsidRPr="00E9090B">
        <w:rPr>
          <w:rFonts w:ascii="Verdana" w:eastAsia="Calibri" w:hAnsi="Verdana" w:cs="Arial"/>
          <w:lang w:val="es-MX"/>
        </w:rPr>
        <w:t xml:space="preserve"> del inciso 2 del artículo 1, literales a y c del artículo 2, inciso 5 del artículo 2, inciso 2 del artículo 3, inciso final del artículo 4 y artículo </w:t>
      </w:r>
      <w:r w:rsidRPr="00E9090B">
        <w:rPr>
          <w:rFonts w:ascii="Verdana" w:eastAsia="Calibri" w:hAnsi="Verdana" w:cs="Arial"/>
          <w:lang w:val="es-MX"/>
        </w:rPr>
        <w:lastRenderedPageBreak/>
        <w:t xml:space="preserve">5 del Decreto 092 de 2017. No obstante, sobre esta última norma concluyó que el análisis de esta disposición debe realizarse a profundidad para establecer si efectivamente existe una contradicción normativa que implique que se afectó la competencia del legislador. En consecuencia, negó la solicitud de suspensión provisional frente a la última disposición relacionada con los convenios de asociación, reservando el análisis sobre la legalidad de dicho artículo a la sentencia de fondo. Por tanto, si se pretende realizar un </w:t>
      </w:r>
      <w:r w:rsidRPr="00E9090B">
        <w:rPr>
          <w:rFonts w:ascii="Verdana" w:eastAsia="Calibri" w:hAnsi="Verdana" w:cs="Arial"/>
          <w:i/>
          <w:iCs/>
          <w:lang w:val="es-MX"/>
        </w:rPr>
        <w:t>convenio de asociación</w:t>
      </w:r>
      <w:r w:rsidRPr="00E9090B">
        <w:rPr>
          <w:rFonts w:ascii="Verdana" w:eastAsia="Calibri" w:hAnsi="Verdana" w:cs="Arial"/>
          <w:lang w:val="es-MX"/>
        </w:rPr>
        <w:t xml:space="preserve"> con ESAL de reconocida idoneidad para el cumplimiento de las funciones que la ley les asigna a las entidades públicas, debe aplicarse lo dispuesto en el artículo 5 del Decreto 092 de 2017. </w:t>
      </w:r>
      <w:r w:rsidRPr="00E9090B">
        <w:rPr>
          <w:rFonts w:ascii="Verdana" w:eastAsia="Calibri" w:hAnsi="Verdana" w:cs="Arial"/>
          <w:lang w:val="es-ES_tradnl"/>
        </w:rPr>
        <w:t>En todo caso, conviene precisar que mediante Auto del 15 de marzo de 2022</w:t>
      </w:r>
      <w:r w:rsidRPr="00E9090B">
        <w:rPr>
          <w:rFonts w:ascii="Verdana" w:eastAsia="Calibri" w:hAnsi="Verdana" w:cs="Arial"/>
          <w:vertAlign w:val="superscript"/>
          <w:lang w:val="es-ES_tradnl"/>
        </w:rPr>
        <w:footnoteReference w:id="9"/>
      </w:r>
      <w:r w:rsidRPr="00E9090B">
        <w:rPr>
          <w:rFonts w:ascii="Verdana" w:eastAsia="Calibri" w:hAnsi="Verdana" w:cs="Arial"/>
          <w:lang w:val="es-ES_tradnl"/>
        </w:rPr>
        <w:t>, el Consejo de Estado levantó la medida cautelar de suspensión provisional respecto del inciso 2 del artículo 1 y el inciso 2 del artículo 3, del Decreto 092 de 2007, por lo que surten en la actualidad efectos jurídicos</w:t>
      </w:r>
      <w:r w:rsidRPr="00E9090B">
        <w:rPr>
          <w:rFonts w:ascii="Verdana" w:eastAsia="Calibri" w:hAnsi="Verdana" w:cs="Arial"/>
          <w:vertAlign w:val="superscript"/>
          <w:lang w:val="es-ES_tradnl"/>
        </w:rPr>
        <w:footnoteReference w:id="10"/>
      </w:r>
      <w:r w:rsidRPr="00E9090B">
        <w:rPr>
          <w:rFonts w:ascii="Verdana" w:eastAsia="Calibri" w:hAnsi="Verdana" w:cs="Arial"/>
          <w:lang w:val="es-ES_tradnl"/>
        </w:rPr>
        <w:t>.</w:t>
      </w:r>
    </w:p>
    <w:p w14:paraId="32CD3F58" w14:textId="77777777" w:rsidR="003878CE" w:rsidRPr="00E9090B" w:rsidRDefault="003878CE" w:rsidP="003878CE">
      <w:pPr>
        <w:spacing w:before="120" w:after="0" w:line="276" w:lineRule="auto"/>
        <w:ind w:firstLine="708"/>
        <w:jc w:val="both"/>
        <w:textAlignment w:val="baseline"/>
        <w:rPr>
          <w:rFonts w:ascii="Verdana" w:eastAsia="Calibri" w:hAnsi="Verdana" w:cs="Arial"/>
          <w:lang w:val="es-ES_tradnl" w:eastAsia="es-ES_tradnl"/>
        </w:rPr>
      </w:pPr>
      <w:r w:rsidRPr="00E9090B">
        <w:rPr>
          <w:rFonts w:ascii="Verdana" w:eastAsia="Calibri" w:hAnsi="Verdana" w:cs="Arial"/>
          <w:lang w:val="es-MX"/>
        </w:rPr>
        <w:t xml:space="preserve">Como se explicó, en relación con los convenios de asociación, el artículo 5 del citado Decreto establece que el proceso para la selección de la ESAL, por regla general, debe estar sujeto a competencia; salvo en aquellos casos en que </w:t>
      </w:r>
      <w:r w:rsidRPr="00E9090B">
        <w:rPr>
          <w:rFonts w:ascii="Verdana" w:eastAsia="Calibri" w:hAnsi="Verdana" w:cs="Arial"/>
          <w:i/>
          <w:iCs/>
          <w:lang w:val="es-MX"/>
        </w:rPr>
        <w:t>una</w:t>
      </w:r>
      <w:r w:rsidRPr="00E9090B">
        <w:rPr>
          <w:rFonts w:ascii="Verdana" w:eastAsia="Calibri" w:hAnsi="Verdana" w:cs="Arial"/>
          <w:lang w:val="es-MX"/>
        </w:rPr>
        <w:t xml:space="preserve"> entidad sin ánimo de lucro comprometa recursos en dinero por un valor igual o superior al 30% del valor total del convenio</w:t>
      </w:r>
      <w:r w:rsidRPr="00E9090B">
        <w:rPr>
          <w:rFonts w:ascii="Verdana" w:eastAsia="Calibri" w:hAnsi="Verdana" w:cs="Arial"/>
          <w:vertAlign w:val="superscript"/>
          <w:lang w:val="es-MX"/>
        </w:rPr>
        <w:footnoteReference w:id="11"/>
      </w:r>
      <w:r w:rsidRPr="00E9090B">
        <w:rPr>
          <w:rFonts w:ascii="Verdana" w:eastAsia="Calibri" w:hAnsi="Verdana" w:cs="Arial"/>
          <w:lang w:val="es-MX"/>
        </w:rPr>
        <w:t xml:space="preserve">, y siempre que la entidad estatal verifique previamente que no existe ninguna otra entidad sin ánimo de lucro que ofrezca aportes en dinero iguales o superiores al 30%, ya que en este último evento también deberá adelantar un proceso competitivo. De hecho, en </w:t>
      </w:r>
      <w:r w:rsidRPr="00E9090B">
        <w:rPr>
          <w:rFonts w:ascii="Verdana" w:eastAsia="Calibri" w:hAnsi="Verdana" w:cs="Arial"/>
          <w:lang w:val="es-MX"/>
        </w:rPr>
        <w:lastRenderedPageBreak/>
        <w:t>relación con la naturaleza y cuantía de los convenios, la norma anteriormente citada no prohíbe la celebración de convenios en que la ESAL aporte menos del 30% o cuando aporten recursos en especie. En efecto, solo indica que en esos casos la entidad estatal debe acudir al proceso competitivo para seleccionar a la entidad sin ánimo de lucro con la cual celebrará el respectivo convenio.</w:t>
      </w:r>
    </w:p>
    <w:p w14:paraId="0703DD27" w14:textId="77777777" w:rsidR="003878CE" w:rsidRPr="00E9090B" w:rsidRDefault="003878CE" w:rsidP="003878CE">
      <w:pPr>
        <w:spacing w:before="120" w:after="120" w:line="276" w:lineRule="auto"/>
        <w:ind w:firstLine="709"/>
        <w:jc w:val="both"/>
        <w:rPr>
          <w:rFonts w:ascii="Verdana" w:eastAsia="Calibri" w:hAnsi="Verdana" w:cs="Arial"/>
          <w:lang w:val="es-ES_tradnl"/>
        </w:rPr>
      </w:pPr>
      <w:r w:rsidRPr="00E9090B">
        <w:rPr>
          <w:rFonts w:ascii="Verdana" w:eastAsia="Calibri" w:hAnsi="Verdana" w:cs="Arial"/>
          <w:lang w:val="es-ES_tradnl" w:eastAsia="es-ES_tradnl"/>
        </w:rPr>
        <w:t xml:space="preserve">Finalmente, sintetizando lo expresado en relación con los </w:t>
      </w:r>
      <w:r w:rsidRPr="00E9090B">
        <w:rPr>
          <w:rFonts w:ascii="Verdana" w:eastAsia="Calibri" w:hAnsi="Verdana" w:cs="Arial"/>
          <w:i/>
          <w:iCs/>
          <w:lang w:val="es-ES_tradnl" w:eastAsia="es-ES_tradnl"/>
        </w:rPr>
        <w:t xml:space="preserve">convenios de </w:t>
      </w:r>
      <w:r w:rsidRPr="00E9090B">
        <w:rPr>
          <w:rFonts w:ascii="Verdana" w:eastAsia="Calibri" w:hAnsi="Verdana" w:cs="Arial"/>
          <w:lang w:val="es-ES_tradnl" w:eastAsia="es-ES_tradnl"/>
        </w:rPr>
        <w:t xml:space="preserve">asociación, la finalidad de los aportes está dirigido concretamente a lograr la ejecución del convenio. De todos modos, la entidad deberá adelantar un proceso competitivo, salvo cuando la ESAL comprometa recursos en dinero para la ejecución de estas actividades, en una proporción no inferior al 30% del valor total del convenio. Así, </w:t>
      </w:r>
      <w:r w:rsidRPr="00E9090B">
        <w:rPr>
          <w:rFonts w:ascii="Verdana" w:eastAsia="Calibri" w:hAnsi="Verdana" w:cs="Arial"/>
          <w:lang w:val="es-ES_tradnl"/>
        </w:rPr>
        <w:t xml:space="preserve">si se pretende suscribir un </w:t>
      </w:r>
      <w:r w:rsidRPr="00E9090B">
        <w:rPr>
          <w:rFonts w:ascii="Verdana" w:eastAsia="Calibri" w:hAnsi="Verdana" w:cs="Arial"/>
          <w:i/>
          <w:iCs/>
          <w:lang w:val="es-ES_tradnl"/>
        </w:rPr>
        <w:t>convenio de asociación</w:t>
      </w:r>
      <w:r w:rsidRPr="00E9090B">
        <w:rPr>
          <w:rFonts w:ascii="Verdana" w:eastAsia="Calibri" w:hAnsi="Verdana" w:cs="Arial"/>
          <w:lang w:val="es-ES_tradnl"/>
        </w:rPr>
        <w:t xml:space="preserve"> con una ESAL de reconocida idoneidad para el cumplimiento de las funciones que la ley les asigna a las entidades públicas, deben aplicar lo dispuesto en el artículo 5 del Decreto 92 de 2017. Como se estableció </w:t>
      </w:r>
      <w:r w:rsidRPr="00E9090B">
        <w:rPr>
          <w:rFonts w:ascii="Verdana" w:eastAsia="Calibri" w:hAnsi="Verdana" w:cs="Arial"/>
          <w:i/>
          <w:iCs/>
          <w:lang w:val="es-ES_tradnl"/>
        </w:rPr>
        <w:t>supra</w:t>
      </w:r>
      <w:r w:rsidRPr="00E9090B">
        <w:rPr>
          <w:rFonts w:ascii="Verdana" w:eastAsia="Calibri" w:hAnsi="Verdana" w:cs="Arial"/>
          <w:lang w:val="es-ES_tradnl"/>
        </w:rPr>
        <w:t xml:space="preserve">, este artículo dispone que el proceso para la escogencia de la ESAL, por regla general, debe estar sujeto a competencia. </w:t>
      </w:r>
    </w:p>
    <w:p w14:paraId="3A47CDE7" w14:textId="77777777" w:rsidR="003878CE" w:rsidRPr="00E9090B" w:rsidRDefault="003878CE" w:rsidP="003878CE">
      <w:pPr>
        <w:spacing w:before="120" w:after="120" w:line="276" w:lineRule="auto"/>
        <w:ind w:firstLine="709"/>
        <w:jc w:val="both"/>
        <w:rPr>
          <w:rFonts w:ascii="Verdana" w:eastAsia="Calibri" w:hAnsi="Verdana" w:cs="Arial"/>
          <w:lang w:val="es-ES"/>
        </w:rPr>
      </w:pPr>
      <w:r w:rsidRPr="00E9090B">
        <w:rPr>
          <w:rFonts w:ascii="Verdana" w:eastAsia="Calibri" w:hAnsi="Verdana" w:cs="Arial"/>
          <w:lang w:val="es-ES"/>
        </w:rPr>
        <w:t xml:space="preserve">Esto, salvo en aquellos casos en los que una ESAL manifieste su compromiso de aportar recursos en dinero por un valor igual o superior al 30% del valor total del convenio, con la condición de que no existan otras ESAL que ofrezca aportes en monto igual o superior a dicho porcentaje, pues en este evento también se tendría que realizar un proceso competitivo. Finalmente, dada la regla concreta y específica establecida en la norma, si los aportes no son en dinero, sino únicamente en especie, esto es, bienes diferentes o no equivalente al dinero, no se dará aplicación a dicha regla y el proceso de selección será competitivo. </w:t>
      </w:r>
    </w:p>
    <w:p w14:paraId="6FB2DB40" w14:textId="77777777" w:rsidR="003878CE" w:rsidRPr="003356E7" w:rsidRDefault="003878CE" w:rsidP="003878CE">
      <w:pPr>
        <w:spacing w:after="0" w:line="276" w:lineRule="auto"/>
        <w:ind w:firstLine="709"/>
        <w:jc w:val="both"/>
        <w:textAlignment w:val="baseline"/>
        <w:rPr>
          <w:rFonts w:ascii="Verdana" w:eastAsia="Calibri" w:hAnsi="Verdana" w:cs="Arial"/>
          <w:lang w:val="es-ES"/>
        </w:rPr>
      </w:pPr>
      <w:r w:rsidRPr="00E9090B">
        <w:rPr>
          <w:rFonts w:ascii="Verdana" w:eastAsia="Calibri" w:hAnsi="Verdana" w:cs="Arial"/>
          <w:lang w:val="es-ES"/>
        </w:rPr>
        <w:t xml:space="preserve">En ese contexto, cuando el aporte de la ESAL al convenio de asociación, que se realizará con una entidad estatal bajo los términos del artículo 5 del Decreto 092 de 2017, no sea en dinero, sino en especie, esto es, con bienes tangibles e intangibles distintos al dinero o que no sean equivalentes a este, en los términos indicados en el párrafo anterior, </w:t>
      </w:r>
      <w:r w:rsidRPr="00E9090B">
        <w:rPr>
          <w:rFonts w:ascii="Verdana" w:eastAsia="Calibri" w:hAnsi="Verdana" w:cs="Arial"/>
          <w:i/>
          <w:iCs/>
          <w:lang w:val="es-ES"/>
        </w:rPr>
        <w:t>no</w:t>
      </w:r>
      <w:r w:rsidRPr="00E9090B">
        <w:rPr>
          <w:rFonts w:ascii="Verdana" w:eastAsia="Calibri" w:hAnsi="Verdana" w:cs="Arial"/>
          <w:lang w:val="es-ES"/>
        </w:rPr>
        <w:t xml:space="preserve"> se aplicará la regla que determina que si el aporte de recursos en dinero es igual o superior a un 30% del valor del convenio, este se podrá celebrar de forma directa, por lo que deberá adelantarse un proceso competitivo. No obstante, se precisa que no significa que no puedan hacerse aportes en especie, sino que como mínimo debe realizarse un aporte en dinero del 30% del valor del convenio de asociación para que pueda </w:t>
      </w:r>
      <w:r w:rsidRPr="00E9090B">
        <w:rPr>
          <w:rFonts w:ascii="Verdana" w:eastAsia="Calibri" w:hAnsi="Verdana" w:cs="Arial"/>
          <w:lang w:val="es-ES"/>
        </w:rPr>
        <w:lastRenderedPageBreak/>
        <w:t>aplicar la selección directa de la ESAL, siempre que no haya otra entidad privada sin ánimo de lucro que realice el mismo ofrecimiento.</w:t>
      </w:r>
      <w:r>
        <w:rPr>
          <w:rFonts w:ascii="Verdana" w:eastAsia="Calibri" w:hAnsi="Verdana" w:cs="Arial"/>
          <w:lang w:val="es-ES"/>
        </w:rPr>
        <w:t xml:space="preserve"> </w:t>
      </w:r>
      <w:r w:rsidRPr="00E9090B">
        <w:rPr>
          <w:rFonts w:ascii="Verdana" w:eastAsia="Calibri" w:hAnsi="Verdana" w:cs="Arial"/>
          <w:bCs/>
          <w:lang w:val="es-MX"/>
        </w:rPr>
        <w:t xml:space="preserve">Ahora bien, </w:t>
      </w:r>
      <w:r w:rsidRPr="00E9090B">
        <w:rPr>
          <w:rFonts w:ascii="Verdana" w:eastAsia="Calibri" w:hAnsi="Verdana" w:cs="Arial"/>
          <w:bCs/>
          <w:lang w:val="es-ES_tradnl"/>
        </w:rPr>
        <w:t>frente a la regulación sumaria de los contratos del artículo 355 de la Constitución y los convenios de asociación, los artículos 6, 7 y 8 del Decreto 092 de 2017 disponen:</w:t>
      </w:r>
    </w:p>
    <w:p w14:paraId="3B921944" w14:textId="77777777" w:rsidR="003878CE" w:rsidRPr="003356E7" w:rsidRDefault="003878CE" w:rsidP="003878CE">
      <w:pPr>
        <w:spacing w:after="0" w:line="276" w:lineRule="auto"/>
        <w:ind w:firstLine="709"/>
        <w:jc w:val="both"/>
        <w:rPr>
          <w:rFonts w:ascii="Verdana" w:eastAsia="Calibri" w:hAnsi="Verdana" w:cs="Arial"/>
          <w:bCs/>
          <w:lang w:val="es-ES"/>
        </w:rPr>
      </w:pPr>
    </w:p>
    <w:p w14:paraId="6EE018A5" w14:textId="77777777" w:rsidR="003878CE" w:rsidRPr="00E9090B" w:rsidRDefault="003878CE" w:rsidP="003878CE">
      <w:pPr>
        <w:spacing w:after="0" w:line="240" w:lineRule="auto"/>
        <w:ind w:left="709" w:right="709"/>
        <w:jc w:val="both"/>
        <w:rPr>
          <w:rFonts w:ascii="Verdana" w:eastAsia="Calibri" w:hAnsi="Verdana" w:cs="Arial"/>
          <w:sz w:val="21"/>
          <w:szCs w:val="21"/>
          <w:lang w:val="es-ES_tradnl"/>
        </w:rPr>
      </w:pPr>
      <w:r w:rsidRPr="00E9090B">
        <w:rPr>
          <w:rFonts w:ascii="Verdana" w:eastAsia="Calibri" w:hAnsi="Verdana" w:cs="Arial"/>
          <w:sz w:val="21"/>
          <w:szCs w:val="21"/>
          <w:lang w:val="es-ES_tradnl"/>
        </w:rPr>
        <w:t>“Artículo 6°. Prohibiciones, inhabilidades e incompatibilidades. Las prohibiciones, inhabilidades e incompatibilidades establecidas en la Constitución y en las Leyes 80 de 1993, 1150 de 2007 y 1474 de 2011, y en las normas que las modifiquen, aclaren, adicionen o sustituyan, o en cualquier otra norma especial, son aplicables a la contratación a la que hace referencia el presente decreto.</w:t>
      </w:r>
    </w:p>
    <w:p w14:paraId="261E7511" w14:textId="77777777" w:rsidR="003878CE" w:rsidRPr="00E9090B" w:rsidRDefault="003878CE" w:rsidP="003878CE">
      <w:pPr>
        <w:spacing w:after="0" w:line="240" w:lineRule="auto"/>
        <w:ind w:left="709" w:right="709"/>
        <w:jc w:val="both"/>
        <w:rPr>
          <w:rFonts w:ascii="Verdana" w:eastAsia="Calibri" w:hAnsi="Verdana" w:cs="Arial"/>
          <w:sz w:val="21"/>
          <w:szCs w:val="21"/>
          <w:lang w:val="es-ES_tradnl"/>
        </w:rPr>
      </w:pPr>
    </w:p>
    <w:p w14:paraId="797DE237" w14:textId="77777777" w:rsidR="003878CE" w:rsidRPr="00E9090B" w:rsidRDefault="003878CE" w:rsidP="003878CE">
      <w:pPr>
        <w:spacing w:after="0" w:line="240" w:lineRule="auto"/>
        <w:ind w:left="709" w:right="709"/>
        <w:jc w:val="both"/>
        <w:rPr>
          <w:rFonts w:ascii="Verdana" w:eastAsia="Calibri" w:hAnsi="Verdana" w:cs="Arial"/>
          <w:sz w:val="21"/>
          <w:szCs w:val="21"/>
          <w:lang w:val="es-ES_tradnl"/>
        </w:rPr>
      </w:pPr>
      <w:r w:rsidRPr="00E9090B">
        <w:rPr>
          <w:rFonts w:ascii="Verdana" w:eastAsia="Calibri" w:hAnsi="Verdana" w:cs="Arial"/>
          <w:sz w:val="21"/>
          <w:szCs w:val="21"/>
          <w:lang w:val="es-ES_tradnl"/>
        </w:rPr>
        <w:t>Artículo 7°. Aplicación de los principios de la contratación estatal. La contratación a la que hace referencia el presente decreto está sujeta a los principios de la contratación estatal y a las normas presupuestales aplicables […]</w:t>
      </w:r>
    </w:p>
    <w:p w14:paraId="6D5C5E66" w14:textId="77777777" w:rsidR="003878CE" w:rsidRPr="00E9090B" w:rsidRDefault="003878CE" w:rsidP="003878CE">
      <w:pPr>
        <w:spacing w:after="0" w:line="240" w:lineRule="auto"/>
        <w:ind w:left="709" w:right="709"/>
        <w:jc w:val="both"/>
        <w:rPr>
          <w:rFonts w:ascii="Verdana" w:eastAsia="Calibri" w:hAnsi="Verdana" w:cs="Arial"/>
          <w:sz w:val="21"/>
          <w:szCs w:val="21"/>
          <w:lang w:val="es-ES_tradnl"/>
        </w:rPr>
      </w:pPr>
    </w:p>
    <w:p w14:paraId="0B9E6A2A" w14:textId="77777777" w:rsidR="003878CE" w:rsidRPr="00E9090B" w:rsidRDefault="003878CE" w:rsidP="003878CE">
      <w:pPr>
        <w:spacing w:after="0" w:line="240" w:lineRule="auto"/>
        <w:ind w:left="709" w:right="709"/>
        <w:jc w:val="both"/>
        <w:rPr>
          <w:rFonts w:ascii="Verdana" w:eastAsia="Calibri" w:hAnsi="Verdana" w:cs="Arial"/>
          <w:sz w:val="21"/>
          <w:szCs w:val="21"/>
          <w:lang w:val="es-ES_tradnl"/>
        </w:rPr>
      </w:pPr>
      <w:r w:rsidRPr="00E9090B">
        <w:rPr>
          <w:rFonts w:ascii="Verdana" w:eastAsia="Calibri" w:hAnsi="Verdana" w:cs="Arial"/>
          <w:sz w:val="21"/>
          <w:szCs w:val="21"/>
          <w:lang w:val="es-ES_tradnl"/>
        </w:rPr>
        <w:t xml:space="preserve">Artículo 8°. Aplicación de normas generales del sistema de contratación pública. La contratación a la que hace referencia el presente decreto está sujeta a las normas generales aplicables a la contratación pública excepto en lo reglamentado en el presente decreto”. </w:t>
      </w:r>
    </w:p>
    <w:p w14:paraId="575B9184" w14:textId="77777777" w:rsidR="003878CE" w:rsidRPr="00E9090B" w:rsidRDefault="003878CE" w:rsidP="003878CE">
      <w:pPr>
        <w:spacing w:after="0" w:line="276" w:lineRule="auto"/>
        <w:ind w:firstLine="709"/>
        <w:jc w:val="both"/>
        <w:rPr>
          <w:rFonts w:ascii="Arial" w:eastAsia="Calibri" w:hAnsi="Arial" w:cs="Arial"/>
          <w:bCs/>
          <w:lang w:val="es-MX"/>
        </w:rPr>
      </w:pPr>
    </w:p>
    <w:p w14:paraId="6EEA60FF" w14:textId="77777777" w:rsidR="003878CE" w:rsidRPr="00E9090B" w:rsidRDefault="003878CE" w:rsidP="003878CE">
      <w:pPr>
        <w:spacing w:after="120" w:line="276" w:lineRule="auto"/>
        <w:ind w:firstLine="709"/>
        <w:jc w:val="both"/>
        <w:rPr>
          <w:rFonts w:ascii="Verdana" w:eastAsia="Calibri" w:hAnsi="Verdana" w:cs="Arial"/>
          <w:bCs/>
        </w:rPr>
      </w:pPr>
      <w:r w:rsidRPr="00E9090B">
        <w:rPr>
          <w:rFonts w:ascii="Verdana" w:eastAsia="Calibri" w:hAnsi="Verdana" w:cs="Arial"/>
          <w:bCs/>
        </w:rPr>
        <w:t xml:space="preserve">Estas normas integran las lagunas o vacíos normativos del reglamento autónomo, y se aplican a todo lo que no esté expresamente regulado en él. Por ello no es posible aplicar ninguna de las disposiciones anteriormente citadas en temas como la competencia para celebrar los contratos del artículo 355 de la Constitución y la indelegabilidad de la autorización –art. 2–, la idoneidad de las ESAL –art. 3–, su registro en el SECOP –art. 9– y la inaplicación del registro único de proponentes –art. 10–. </w:t>
      </w:r>
    </w:p>
    <w:p w14:paraId="309813FE" w14:textId="77777777" w:rsidR="003878CE" w:rsidRPr="00E9090B" w:rsidRDefault="003878CE" w:rsidP="003878CE">
      <w:pPr>
        <w:spacing w:before="120" w:after="120" w:line="276" w:lineRule="auto"/>
        <w:ind w:firstLine="708"/>
        <w:jc w:val="both"/>
        <w:rPr>
          <w:rFonts w:ascii="Verdana" w:eastAsia="Calibri" w:hAnsi="Verdana" w:cs="Arial"/>
        </w:rPr>
      </w:pPr>
      <w:r w:rsidRPr="00E9090B">
        <w:rPr>
          <w:rFonts w:ascii="Verdana" w:eastAsia="Rockwell" w:hAnsi="Verdana" w:cs="Arial"/>
          <w:lang w:eastAsia="es-CO"/>
        </w:rPr>
        <w:t xml:space="preserve">Sobre la interpretación de estos artículos del </w:t>
      </w:r>
      <w:r w:rsidRPr="00E9090B">
        <w:rPr>
          <w:rFonts w:ascii="Verdana" w:eastAsia="Calibri" w:hAnsi="Verdana" w:cs="Arial"/>
        </w:rPr>
        <w:t xml:space="preserve">Decreto 092 de 2017, </w:t>
      </w:r>
      <w:r w:rsidRPr="00E9090B">
        <w:rPr>
          <w:rFonts w:ascii="Verdana" w:eastAsia="Rockwell" w:hAnsi="Verdana" w:cs="Arial"/>
          <w:lang w:eastAsia="es-CO"/>
        </w:rPr>
        <w:t>esta Agencia en el</w:t>
      </w:r>
      <w:r w:rsidRPr="00E9090B">
        <w:rPr>
          <w:rFonts w:ascii="Verdana" w:eastAsia="Calibri" w:hAnsi="Verdana" w:cs="Arial"/>
        </w:rPr>
        <w:t xml:space="preserve"> Concepto C-223 del 29 de abril de 2020 señaló que cuando el artículo 8 menciona a las “[…] normas generales aplicables a la contratación pública […]”, bien podrían referirse a las disposiciones comunes del Estatuto General –</w:t>
      </w:r>
      <w:r w:rsidRPr="00E9090B">
        <w:rPr>
          <w:rFonts w:ascii="Verdana" w:eastAsia="Calibri" w:hAnsi="Verdana" w:cs="Arial"/>
          <w:i/>
          <w:iCs/>
        </w:rPr>
        <w:t>remisión parcial latu sensu</w:t>
      </w:r>
      <w:r w:rsidRPr="00E9090B">
        <w:rPr>
          <w:rFonts w:ascii="Verdana" w:eastAsia="Calibri" w:hAnsi="Verdana" w:cs="Arial"/>
        </w:rPr>
        <w:t>– o a la totalidad de la Ley 80 de 1993 –</w:t>
      </w:r>
      <w:r w:rsidRPr="00E9090B">
        <w:rPr>
          <w:rFonts w:ascii="Verdana" w:eastAsia="Calibri" w:hAnsi="Verdana" w:cs="Arial"/>
          <w:i/>
          <w:iCs/>
        </w:rPr>
        <w:t>remisión integral</w:t>
      </w:r>
      <w:r w:rsidRPr="00E9090B">
        <w:rPr>
          <w:rFonts w:ascii="Verdana" w:eastAsia="Calibri" w:hAnsi="Verdana" w:cs="Arial"/>
        </w:rPr>
        <w:t xml:space="preserve">–. En esta medida, determinar el alcance de la remisión del artículo 8 del Decreto 092 requiere considerar que no hay lugar a distinguir entre normas de carácter general o especial dentro del Estatuto de Contratación de la Administración Pública, ya que de la competencia dispuesta en el inciso final del </w:t>
      </w:r>
      <w:r w:rsidRPr="00E9090B">
        <w:rPr>
          <w:rFonts w:ascii="Verdana" w:eastAsia="Calibri" w:hAnsi="Verdana" w:cs="Arial"/>
        </w:rPr>
        <w:lastRenderedPageBreak/>
        <w:t xml:space="preserve">artículo 150 de la Constitución Política se desprende que todas estas disposiciones regulan con el mismo grado de generalidad la actividad contractual del Estado.     </w:t>
      </w:r>
    </w:p>
    <w:p w14:paraId="5543CCC4" w14:textId="77777777" w:rsidR="003878CE" w:rsidRDefault="003878CE" w:rsidP="003878CE">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Por ello, considerando que la Ley 80 de 1993 tiene el mismo grado de generalidad, se concluyó que el artículo 8 del Decreto 092 de 2017 remite integralmente al Estatuto de Contratación. Esta remisión alcanza tanto el régimen de inhabilidades e incompatibilidades como los principios aplicables a la contratación estatal. Por tanto, los artículos 6, 7 y 8 del reglamento autónomo deben interpretarse en bloque, es decir, aplicando la Ley 80 de 1993 a todo supuesto que no esté expresamente regulado en el Decreto 092 de 2017.  </w:t>
      </w:r>
    </w:p>
    <w:p w14:paraId="25135EB6" w14:textId="77777777" w:rsidR="003878CE" w:rsidRPr="00CB5721" w:rsidRDefault="003878CE" w:rsidP="003878CE">
      <w:pPr>
        <w:spacing w:before="120" w:after="120" w:line="276" w:lineRule="auto"/>
        <w:ind w:firstLine="708"/>
        <w:jc w:val="both"/>
        <w:rPr>
          <w:rFonts w:ascii="Verdana" w:eastAsia="Calibri" w:hAnsi="Verdana" w:cs="Arial"/>
          <w:lang w:val="es-ES"/>
        </w:rPr>
      </w:pPr>
      <w:r w:rsidRPr="00E9090B">
        <w:rPr>
          <w:rFonts w:ascii="Verdana" w:eastAsia="Calibri" w:hAnsi="Verdana" w:cs="Arial"/>
          <w:lang w:val="es-ES"/>
        </w:rPr>
        <w:t xml:space="preserve">Ahora bien, esta remisión del artículo 8 del Decreto 092 de 2017 no puede integrarse de plano con las normas del Estatuto General de Contratación de la Administración Pública, sin tener en cuenta las características y condiciones especiales de los diferentes tipos de convenios que se suscribe bajo el amparo del artículo 355 de la Constitución Política y cuya reglamentación está dispuesta en el Decreto 092 de 2017. </w:t>
      </w:r>
      <w:r>
        <w:rPr>
          <w:rFonts w:ascii="Verdana" w:eastAsia="Calibri" w:hAnsi="Verdana" w:cs="Arial"/>
          <w:lang w:val="es-ES"/>
        </w:rPr>
        <w:t>Al respecto, e</w:t>
      </w:r>
      <w:r w:rsidRPr="00CB5721">
        <w:rPr>
          <w:rFonts w:ascii="Verdana" w:eastAsia="Calibri" w:hAnsi="Verdana" w:cs="Arial"/>
          <w:lang w:val="es-ES"/>
        </w:rPr>
        <w:t>l Concepto C-557 de 2025 precisó que el anti</w:t>
      </w:r>
      <w:r>
        <w:rPr>
          <w:rFonts w:ascii="Verdana" w:eastAsia="Calibri" w:hAnsi="Verdana" w:cs="Arial"/>
          <w:lang w:val="es-ES"/>
        </w:rPr>
        <w:t>cipo y el pago anticipado son instituciones</w:t>
      </w:r>
      <w:r w:rsidRPr="00CB5721">
        <w:rPr>
          <w:rFonts w:ascii="Verdana" w:eastAsia="Calibri" w:hAnsi="Verdana" w:cs="Arial"/>
          <w:lang w:val="es-ES"/>
        </w:rPr>
        <w:t xml:space="preserve"> propias de contratos conmutativos donde existe contraprestación económica, por lo que no aplican de manera integral en convenios de asociación, contratos de colaboración o de interés público y convenios solidarios, caracterizados por su naturaleza no onerosa. Sin embargo, aclaró que ello no impide que las partes incluyan cláusulas que permitan el desembolso temprano de recursos, garantizando que las entidades sin ánimo de lucro ejecutoras cuenten con fondos iniciales para poner en marcha los proyectos. En este sentido, se recomienda que los giros se vinculen a las fase</w:t>
      </w:r>
      <w:r>
        <w:rPr>
          <w:rFonts w:ascii="Verdana" w:eastAsia="Calibri" w:hAnsi="Verdana" w:cs="Arial"/>
          <w:lang w:val="es-ES"/>
        </w:rPr>
        <w:t>s y cronograma de ejecución, a partir de</w:t>
      </w:r>
      <w:r w:rsidRPr="00CB5721">
        <w:rPr>
          <w:rFonts w:ascii="Verdana" w:eastAsia="Calibri" w:hAnsi="Verdana" w:cs="Arial"/>
          <w:lang w:val="es-ES"/>
        </w:rPr>
        <w:t xml:space="preserve"> condiciones administrativas claras que faciliten la gestión entre las partes, como lo ejemplifica el documento tipo para convenios solidarios que, en su “Cláusula 7 Giro de los recursos”, ofrece tres alternativas para que la entidad estatal seleccione el mecanismo más adecuado a las características de cada convenio.</w:t>
      </w:r>
    </w:p>
    <w:p w14:paraId="732527FB" w14:textId="77777777" w:rsidR="003878CE" w:rsidRDefault="003878CE" w:rsidP="003878CE">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Por tanto, e</w:t>
      </w:r>
      <w:r w:rsidRPr="00CB5721">
        <w:rPr>
          <w:rFonts w:ascii="Verdana" w:eastAsia="Arial" w:hAnsi="Verdana" w:cs="Arial"/>
          <w:lang w:val="es-ES" w:eastAsia="es-ES" w:bidi="es-ES"/>
        </w:rPr>
        <w:t>n los convenios de asociación no procede exigir amparos de buen manejo ni de devolución de anticipos, pues las estipulaciones no constituyen contraprestación ni remuneración a la ESAL o entidad pública.</w:t>
      </w:r>
      <w:r>
        <w:rPr>
          <w:rFonts w:ascii="Verdana" w:eastAsia="Arial" w:hAnsi="Verdana" w:cs="Arial"/>
          <w:lang w:val="es-ES" w:eastAsia="es-ES" w:bidi="es-ES"/>
        </w:rPr>
        <w:t xml:space="preserve"> </w:t>
      </w:r>
      <w:r w:rsidRPr="00E9090B">
        <w:rPr>
          <w:rFonts w:ascii="Verdana" w:eastAsia="Arial" w:hAnsi="Verdana" w:cs="Arial"/>
          <w:lang w:val="es-ES" w:eastAsia="es-ES" w:bidi="es-ES"/>
        </w:rPr>
        <w:t xml:space="preserve">Sin embargo, esta precisión no implica que la entidad no exija en el respectivo convenio amparos que cubran los diferentes riesgos que se presenten por </w:t>
      </w:r>
      <w:r w:rsidRPr="00E9090B">
        <w:rPr>
          <w:rFonts w:ascii="Verdana" w:eastAsia="Arial" w:hAnsi="Verdana" w:cs="Arial"/>
          <w:lang w:val="es-ES" w:eastAsia="es-ES" w:bidi="es-ES"/>
        </w:rPr>
        <w:lastRenderedPageBreak/>
        <w:t xml:space="preserve">incumplimiento de las obligaciones, el pago de salarios y prestaciones sociales, entre otros. </w:t>
      </w:r>
    </w:p>
    <w:p w14:paraId="737BCD67" w14:textId="77777777" w:rsidR="003878CE" w:rsidRPr="00E9090B" w:rsidRDefault="003878CE" w:rsidP="003878CE">
      <w:pPr>
        <w:spacing w:after="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 xml:space="preserve">En este aspecto que es propio del objeto, motivo de consulta, es importante tener en cuenta que tipo de amparos pueden aplicarse cuando se presentan desembolsos temprano de recursos. Para ello, hay que tener en cuenta la remisión al Estatuto General de Contratación, en especial, sobre la aplicación del régimen de garantías establecidas en esta, lo cual se explica a continuación. </w:t>
      </w:r>
    </w:p>
    <w:p w14:paraId="6F83E71E" w14:textId="77777777" w:rsidR="003878CE" w:rsidRPr="00D11085" w:rsidRDefault="003878CE" w:rsidP="003878CE">
      <w:pPr>
        <w:spacing w:after="120" w:line="276" w:lineRule="auto"/>
        <w:jc w:val="both"/>
        <w:rPr>
          <w:rFonts w:ascii="Verdana" w:eastAsia="Calibri" w:hAnsi="Verdana" w:cs="Arial"/>
          <w:lang w:val="es-ES"/>
        </w:rPr>
      </w:pPr>
    </w:p>
    <w:p w14:paraId="32467019" w14:textId="77777777" w:rsidR="003878CE" w:rsidRPr="009037F6" w:rsidRDefault="003878CE" w:rsidP="003878CE">
      <w:pPr>
        <w:spacing w:after="120" w:line="276" w:lineRule="auto"/>
        <w:jc w:val="both"/>
        <w:rPr>
          <w:rFonts w:ascii="Verdana" w:eastAsia="Calibri" w:hAnsi="Verdana" w:cs="Arial"/>
          <w:lang w:val="es-ES_tradnl"/>
        </w:rPr>
      </w:pPr>
      <w:r>
        <w:rPr>
          <w:rFonts w:ascii="Verdana" w:eastAsia="Calibri" w:hAnsi="Verdana" w:cs="Arial"/>
          <w:color w:val="000000" w:themeColor="text1"/>
          <w:lang w:val="es-ES"/>
        </w:rPr>
        <w:t xml:space="preserve">iii. </w:t>
      </w:r>
      <w:bookmarkStart w:id="2" w:name="_Hlk35876968"/>
      <w:r w:rsidRPr="009037F6">
        <w:rPr>
          <w:rFonts w:ascii="Verdana" w:eastAsia="Calibri" w:hAnsi="Verdana" w:cs="Arial"/>
          <w:lang w:val="es-ES_tradnl"/>
        </w:rPr>
        <w:t xml:space="preserve">El Estatuto General de Contratación de la Administración Pública exige, por regla general, en los procesos de contratación pública </w:t>
      </w:r>
      <w:r w:rsidRPr="009037F6">
        <w:rPr>
          <w:rFonts w:ascii="Verdana" w:eastAsia="Calibri" w:hAnsi="Verdana" w:cs="Arial"/>
          <w:lang w:val="es-ES"/>
        </w:rPr>
        <w:t>la constitución de garantías, ya sea en la etapa precontractual, contractual o postcontractual, con el fin de evitar o mitigar posibles riesgos</w:t>
      </w:r>
      <w:r w:rsidRPr="009037F6">
        <w:rPr>
          <w:rFonts w:ascii="Verdana" w:eastAsia="Calibri" w:hAnsi="Verdana" w:cs="Arial"/>
          <w:lang w:val="es-ES_tradnl"/>
        </w:rPr>
        <w:t>. En esa orientación, el artículo 7 de la Ley 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 La precitada norma dispone:</w:t>
      </w:r>
    </w:p>
    <w:p w14:paraId="53472ED8"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p>
    <w:p w14:paraId="6CDD0469"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 xml:space="preserve">Los contratistas prestarán garantía única para el cumplimiento de las obligaciones surgidas del contrato. Los proponentes prestarán garantía de seriedad de los ofrecimientos hechos. </w:t>
      </w:r>
    </w:p>
    <w:p w14:paraId="75FF1838"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p>
    <w:p w14:paraId="565101B8"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 xml:space="preserve">Las garantías consistirán en pólizas expedidas por compañías de seguros legalmente autorizadas para funcionar en Colombia, en garantías bancarias y en general, en los demás mecanismos de cobertura del riesgo autorizados por el reglamento para el efecto. Tratándose de pólizas, las mismas no expirarán por falta de pago de la prima o por revocatoria unilateral. El Gobierno Nacional señalará las condiciones generales que deberán ser incluidas en las pólizas de cumplimiento de los contratos estatales. </w:t>
      </w:r>
    </w:p>
    <w:p w14:paraId="7CBBE6E7"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p>
    <w:p w14:paraId="4F961DCF" w14:textId="77777777" w:rsidR="003878CE" w:rsidRPr="009037F6" w:rsidRDefault="003878CE" w:rsidP="003878CE">
      <w:pPr>
        <w:spacing w:after="0" w:line="240" w:lineRule="auto"/>
        <w:ind w:left="709" w:right="709"/>
        <w:jc w:val="both"/>
        <w:rPr>
          <w:rFonts w:ascii="Verdana" w:eastAsia="Calibri" w:hAnsi="Verdana" w:cs="Arial"/>
          <w:sz w:val="20"/>
          <w:szCs w:val="20"/>
          <w:lang w:val="es-ES"/>
        </w:rPr>
      </w:pPr>
      <w:r w:rsidRPr="009037F6">
        <w:rPr>
          <w:rFonts w:ascii="Verdana" w:eastAsia="Calibri" w:hAnsi="Verdana" w:cs="Arial"/>
          <w:sz w:val="20"/>
          <w:szCs w:val="20"/>
          <w:lang w:val="es-ES"/>
        </w:rPr>
        <w:t xml:space="preserve">El Gobierno Nacional señalará los criterios que seguirán las entidades para la exigencia de garantías, las clases y niveles de amparo de los riesgos de los contratos, así como los casos en que por las características y complejidad del contrato a celebrar, la garantía pueda ser dividida teniendo en cuenta las etapas o riesgos relativos a la ejecución del respectivo contrato. </w:t>
      </w:r>
    </w:p>
    <w:p w14:paraId="4D026BA2"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p>
    <w:p w14:paraId="70E81318"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lastRenderedPageBreak/>
        <w:t>El acaecimiento del siniestro que amparan las garantías será comunicado por la entidad pública al respectivo asegurador mediante la notificación del acto administrativo que así lo declare.</w:t>
      </w:r>
    </w:p>
    <w:p w14:paraId="1231797B"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 xml:space="preserve"> </w:t>
      </w:r>
    </w:p>
    <w:p w14:paraId="0F0E1D9B"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r w:rsidRPr="009037F6">
        <w:rPr>
          <w:rFonts w:ascii="Verdana" w:eastAsia="Calibri" w:hAnsi="Verdana" w:cs="Arial"/>
          <w:sz w:val="20"/>
          <w:szCs w:val="20"/>
          <w:lang w:val="es-ES_tradnl"/>
        </w:rPr>
        <w:t>Las garantías no serán obligatorias en los contratos de empréstito, en los interadministrativos, en los de seguro y en los contratos cuyo valor sea inferior al 10% de la menor cuantía a que se refiere esta ley, caso en el cual corresponderá a la entidad determinar la necesidad de exigirla, atendiendo a la naturaleza del objeto del contrato y a la forma de pago, así como en los demás que señale el reglamento.</w:t>
      </w:r>
      <w:bookmarkEnd w:id="2"/>
    </w:p>
    <w:p w14:paraId="2B928672" w14:textId="77777777" w:rsidR="003878CE" w:rsidRPr="009037F6" w:rsidRDefault="003878CE" w:rsidP="003878CE">
      <w:pPr>
        <w:spacing w:after="0" w:line="240" w:lineRule="auto"/>
        <w:ind w:left="709" w:right="709"/>
        <w:jc w:val="both"/>
        <w:rPr>
          <w:rFonts w:ascii="Verdana" w:eastAsia="Calibri" w:hAnsi="Verdana" w:cs="Arial"/>
          <w:sz w:val="20"/>
          <w:szCs w:val="20"/>
          <w:lang w:val="es-ES_tradnl"/>
        </w:rPr>
      </w:pPr>
    </w:p>
    <w:p w14:paraId="2F3C93AA" w14:textId="77777777" w:rsidR="003878CE" w:rsidRPr="009037F6" w:rsidRDefault="003878CE" w:rsidP="003878CE">
      <w:pPr>
        <w:spacing w:after="120" w:line="276" w:lineRule="auto"/>
        <w:ind w:firstLine="709"/>
        <w:jc w:val="both"/>
        <w:rPr>
          <w:rFonts w:ascii="Verdana" w:eastAsia="Calibri" w:hAnsi="Verdana" w:cs="Arial"/>
          <w:color w:val="000000" w:themeColor="text1"/>
          <w:lang w:val="es-ES_tradnl"/>
        </w:rPr>
      </w:pPr>
      <w:r w:rsidRPr="009037F6">
        <w:rPr>
          <w:rFonts w:ascii="Verdana" w:eastAsia="Calibri" w:hAnsi="Verdana" w:cs="Arial"/>
          <w:color w:val="000000" w:themeColor="text1"/>
          <w:lang w:val="es-ES_tradnl"/>
        </w:rPr>
        <w:t xml:space="preserve">Las condiciones para el cumplimiento de estas obligaciones fueron reglamentadas por el Decreto 1082 de 2015, el cual prescribe en los artículos 2.2.1.2.3.1.1. a 2.2.1.2.3.1.19 las clases de garantías permitidas; la indivisibilidad, por regla general, de las mismas; los riesgos objeto de cobertura; la vigencia y valores mínimos, entre otros aspectos que deben cumplir las garantías constituidas, ya sea mediante pólizas de seguro, garantías bancarias o patrimonios autónomos. Este último tipo de garantía fue establecida por el reglamento, previa autorización del artículo 7° de la Ley 1150 de 2007. </w:t>
      </w:r>
    </w:p>
    <w:p w14:paraId="41F9A8D7" w14:textId="77777777" w:rsidR="003878CE" w:rsidRPr="009037F6" w:rsidRDefault="003878CE" w:rsidP="003878CE">
      <w:pPr>
        <w:spacing w:after="120" w:line="276" w:lineRule="auto"/>
        <w:ind w:firstLine="709"/>
        <w:jc w:val="both"/>
        <w:rPr>
          <w:rFonts w:ascii="Verdana" w:hAnsi="Verdana" w:cs="Arial"/>
          <w:color w:val="000000" w:themeColor="text1"/>
        </w:rPr>
      </w:pPr>
      <w:r w:rsidRPr="009037F6">
        <w:rPr>
          <w:rFonts w:ascii="Verdana" w:eastAsia="Calibri" w:hAnsi="Verdana" w:cs="Arial"/>
          <w:color w:val="000000" w:themeColor="text1"/>
          <w:lang w:val="es-ES_tradnl"/>
        </w:rPr>
        <w:t>De acuerdo a lo expresado anteriormente, l</w:t>
      </w:r>
      <w:r w:rsidRPr="009037F6">
        <w:rPr>
          <w:rFonts w:ascii="Verdana" w:hAnsi="Verdana" w:cs="Arial"/>
          <w:color w:val="000000" w:themeColor="text1"/>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9037F6">
        <w:rPr>
          <w:rFonts w:ascii="Verdana" w:eastAsia="Calibri" w:hAnsi="Verdana" w:cs="Arial"/>
          <w:color w:val="000000" w:themeColor="text1"/>
        </w:rPr>
        <w:t xml:space="preserve">para amparar los riesgos contractuales; </w:t>
      </w:r>
      <w:r w:rsidRPr="009037F6">
        <w:rPr>
          <w:rFonts w:ascii="Verdana" w:hAnsi="Verdana" w:cs="Arial"/>
          <w:color w:val="000000" w:themeColor="text1"/>
        </w:rPr>
        <w:t>ii)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37F6">
        <w:rPr>
          <w:rFonts w:ascii="Verdana" w:hAnsi="Verdana" w:cs="Arial"/>
          <w:color w:val="000000" w:themeColor="text1"/>
          <w:vertAlign w:val="superscript"/>
        </w:rPr>
        <w:footnoteReference w:id="12"/>
      </w:r>
      <w:r w:rsidRPr="009037F6">
        <w:rPr>
          <w:rFonts w:ascii="Verdana" w:hAnsi="Verdana" w:cs="Arial"/>
          <w:color w:val="000000" w:themeColor="text1"/>
        </w:rPr>
        <w:t xml:space="preserve">;  iii) garantías bancarias o cartas de crédito </w:t>
      </w:r>
      <w:r w:rsidRPr="009037F6">
        <w:rPr>
          <w:rFonts w:ascii="Verdana" w:hAnsi="Verdana" w:cs="Arial"/>
          <w:i/>
          <w:iCs/>
          <w:color w:val="000000" w:themeColor="text1"/>
        </w:rPr>
        <w:t>stand</w:t>
      </w:r>
      <w:r w:rsidRPr="009037F6">
        <w:rPr>
          <w:rFonts w:ascii="Verdana" w:hAnsi="Verdana" w:cs="Arial"/>
          <w:color w:val="000000" w:themeColor="text1"/>
        </w:rPr>
        <w:t xml:space="preserve"> </w:t>
      </w:r>
      <w:r w:rsidRPr="009037F6">
        <w:rPr>
          <w:rFonts w:ascii="Verdana" w:hAnsi="Verdana" w:cs="Arial"/>
          <w:i/>
          <w:iCs/>
          <w:color w:val="000000" w:themeColor="text1"/>
        </w:rPr>
        <w:t>by</w:t>
      </w:r>
      <w:r w:rsidRPr="009037F6">
        <w:rPr>
          <w:rFonts w:ascii="Verdana" w:hAnsi="Verdana" w:cs="Arial"/>
          <w:color w:val="000000" w:themeColor="text1"/>
        </w:rPr>
        <w:t>, que consisten en compromisos irrevocables o incondicionales asumidos por una entidad financiera de pagar una suma determinada de dinero</w:t>
      </w:r>
      <w:r w:rsidRPr="009037F6">
        <w:rPr>
          <w:rFonts w:ascii="Verdana" w:hAnsi="Verdana" w:cs="Arial"/>
          <w:color w:val="000000" w:themeColor="text1"/>
          <w:vertAlign w:val="superscript"/>
        </w:rPr>
        <w:footnoteReference w:id="13"/>
      </w:r>
      <w:r w:rsidRPr="009037F6">
        <w:rPr>
          <w:rFonts w:ascii="Verdana" w:hAnsi="Verdana" w:cs="Arial"/>
          <w:color w:val="000000" w:themeColor="text1"/>
        </w:rPr>
        <w:t xml:space="preserve">. La suficiencia y </w:t>
      </w:r>
      <w:r w:rsidRPr="009037F6">
        <w:rPr>
          <w:rFonts w:ascii="Verdana" w:hAnsi="Verdana" w:cs="Arial"/>
          <w:color w:val="000000" w:themeColor="text1"/>
        </w:rPr>
        <w:lastRenderedPageBreak/>
        <w:t xml:space="preserve">la vigencia de las garantías deben ser las reguladas en los artículos 2.2.1.2.3.1.9 a 2.2.1.2.3.1.16 del Decreto 1082 de 2015. </w:t>
      </w:r>
    </w:p>
    <w:p w14:paraId="21CF0FE8" w14:textId="77777777" w:rsidR="003878CE" w:rsidRPr="009037F6" w:rsidRDefault="003878CE" w:rsidP="003878CE">
      <w:pPr>
        <w:spacing w:after="120" w:line="276" w:lineRule="auto"/>
        <w:ind w:firstLine="708"/>
        <w:jc w:val="both"/>
        <w:rPr>
          <w:rFonts w:ascii="Verdana" w:eastAsia="Times New Roman" w:hAnsi="Verdana" w:cs="Arial"/>
          <w:color w:val="000000" w:themeColor="text1"/>
          <w:lang w:val="es-ES"/>
        </w:rPr>
      </w:pPr>
      <w:r w:rsidRPr="009037F6">
        <w:rPr>
          <w:rFonts w:ascii="Verdana" w:eastAsia="Times New Roman" w:hAnsi="Verdana" w:cs="Arial"/>
          <w:color w:val="000000" w:themeColor="text1"/>
          <w:lang w:val="es-ES"/>
        </w:rPr>
        <w:t xml:space="preserve">En particular, mediante </w:t>
      </w:r>
      <w:r w:rsidRPr="009037F6">
        <w:rPr>
          <w:rFonts w:ascii="Verdana" w:eastAsia="Calibri" w:hAnsi="Verdana" w:cs="Arial"/>
          <w:color w:val="000000" w:themeColor="text1"/>
          <w:lang w:val="es-ES"/>
        </w:rPr>
        <w:t xml:space="preserve">la </w:t>
      </w:r>
      <w:r w:rsidRPr="009037F6">
        <w:rPr>
          <w:rFonts w:ascii="Verdana" w:eastAsia="Calibri" w:hAnsi="Verdana" w:cs="Arial"/>
          <w:i/>
          <w:iCs/>
          <w:color w:val="000000" w:themeColor="text1"/>
          <w:lang w:val="es-ES"/>
        </w:rPr>
        <w:t>garantía única de cumplimiento</w:t>
      </w:r>
      <w:r w:rsidRPr="009037F6">
        <w:rPr>
          <w:rFonts w:ascii="Verdana" w:eastAsia="Calibri" w:hAnsi="Verdana" w:cs="Arial"/>
          <w:color w:val="000000" w:themeColor="text1"/>
          <w:lang w:val="es-ES"/>
        </w:rPr>
        <w:t>, el contratista debe amparar los perjuicios que le pueda generar a la entidad el incumplimiento de las obligaciones derivadas del contrato por conductas que le sean atribuibles</w:t>
      </w:r>
      <w:r w:rsidRPr="009037F6">
        <w:rPr>
          <w:rFonts w:ascii="Verdana" w:eastAsia="Calibri" w:hAnsi="Verdana" w:cs="Arial"/>
          <w:color w:val="000000" w:themeColor="text1"/>
          <w:vertAlign w:val="superscript"/>
          <w:lang w:val="es-ES"/>
        </w:rPr>
        <w:footnoteReference w:id="14"/>
      </w:r>
      <w:r w:rsidRPr="009037F6">
        <w:rPr>
          <w:rFonts w:ascii="Verdana" w:eastAsia="Calibri" w:hAnsi="Verdana" w:cs="Arial"/>
          <w:color w:val="000000" w:themeColor="text1"/>
          <w:lang w:val="es-ES"/>
        </w:rPr>
        <w:t xml:space="preserve">. </w:t>
      </w:r>
      <w:r w:rsidRPr="009037F6">
        <w:rPr>
          <w:rFonts w:ascii="Verdana" w:eastAsia="Times New Roman"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9037F6">
        <w:rPr>
          <w:rFonts w:ascii="Verdana" w:eastAsia="Times New Roman" w:hAnsi="Verdana" w:cs="Arial"/>
          <w:color w:val="000000" w:themeColor="text1"/>
          <w:vertAlign w:val="superscript"/>
          <w:lang w:val="es-ES"/>
        </w:rPr>
        <w:footnoteReference w:id="15"/>
      </w:r>
      <w:r w:rsidRPr="009037F6">
        <w:rPr>
          <w:rFonts w:ascii="Verdana" w:eastAsia="Times New Roman" w:hAnsi="Verdana" w:cs="Arial"/>
          <w:color w:val="000000" w:themeColor="text1"/>
          <w:lang w:val="es-ES"/>
        </w:rPr>
        <w:t xml:space="preserve">.    </w:t>
      </w:r>
    </w:p>
    <w:p w14:paraId="1FA1FBEB" w14:textId="77777777" w:rsidR="003878CE" w:rsidRDefault="003878CE" w:rsidP="003878CE">
      <w:pPr>
        <w:spacing w:after="120" w:line="276" w:lineRule="auto"/>
        <w:ind w:firstLine="708"/>
        <w:jc w:val="both"/>
        <w:rPr>
          <w:rFonts w:ascii="Verdana" w:eastAsia="Times New Roman" w:hAnsi="Verdana" w:cs="Arial"/>
          <w:color w:val="000000" w:themeColor="text1"/>
          <w:lang w:val="es-ES" w:eastAsia="es-CO"/>
        </w:rPr>
      </w:pPr>
      <w:r w:rsidRPr="009037F6">
        <w:rPr>
          <w:rFonts w:ascii="Verdana" w:eastAsia="Times New Roman" w:hAnsi="Verdana" w:cs="Arial"/>
          <w:color w:val="000000" w:themeColor="text1"/>
          <w:lang w:val="es-ES"/>
        </w:rPr>
        <w:t>El artículo 2.2.1.</w:t>
      </w:r>
      <w:r>
        <w:rPr>
          <w:rFonts w:ascii="Verdana" w:eastAsia="Times New Roman" w:hAnsi="Verdana" w:cs="Arial"/>
          <w:color w:val="000000" w:themeColor="text1"/>
          <w:lang w:val="es-ES"/>
        </w:rPr>
        <w:t>2.</w:t>
      </w:r>
      <w:r w:rsidRPr="009037F6">
        <w:rPr>
          <w:rFonts w:ascii="Verdana" w:eastAsia="Times New Roman" w:hAnsi="Verdana" w:cs="Arial"/>
          <w:color w:val="000000" w:themeColor="text1"/>
          <w:lang w:val="es-ES"/>
        </w:rPr>
        <w:t xml:space="preserve">3.1.7 del Decreto 1082 de 2015 señala que </w:t>
      </w:r>
      <w:r w:rsidRPr="009037F6">
        <w:rPr>
          <w:rFonts w:ascii="Verdana" w:eastAsia="Times New Roman" w:hAnsi="Verdana" w:cs="Arial"/>
          <w:i/>
          <w:iCs/>
          <w:color w:val="000000" w:themeColor="text1"/>
          <w:lang w:val="es-ES"/>
        </w:rPr>
        <w:t>la garantía de cumplimiento</w:t>
      </w:r>
      <w:r w:rsidRPr="009037F6">
        <w:rPr>
          <w:rFonts w:ascii="Verdana" w:eastAsia="Times New Roman" w:hAnsi="Verdana" w:cs="Arial"/>
          <w:color w:val="000000" w:themeColor="text1"/>
          <w:lang w:val="es-ES"/>
        </w:rPr>
        <w:t xml:space="preserve"> </w:t>
      </w:r>
      <w:r w:rsidRPr="009037F6">
        <w:rPr>
          <w:rFonts w:ascii="Verdana" w:eastAsia="Calibri" w:hAnsi="Verdana" w:cs="Arial"/>
          <w:bCs/>
          <w:color w:val="000000" w:themeColor="text1"/>
          <w:lang w:val="es-ES"/>
        </w:rPr>
        <w:t xml:space="preserve">cuenta con varios </w:t>
      </w:r>
      <w:r w:rsidRPr="009037F6">
        <w:rPr>
          <w:rFonts w:ascii="Verdana" w:eastAsia="Calibri" w:hAnsi="Verdana" w:cs="Arial"/>
          <w:bCs/>
          <w:i/>
          <w:iCs/>
          <w:color w:val="000000" w:themeColor="text1"/>
          <w:lang w:val="es-ES"/>
        </w:rPr>
        <w:t>amparos</w:t>
      </w:r>
      <w:r w:rsidRPr="009037F6">
        <w:rPr>
          <w:rFonts w:ascii="Verdana" w:eastAsia="Calibri" w:hAnsi="Verdana" w:cs="Arial"/>
          <w:bCs/>
          <w:color w:val="000000" w:themeColor="text1"/>
          <w:lang w:val="es-ES"/>
        </w:rPr>
        <w:t xml:space="preserve"> que cubren: el buen manejo y correcta inversión del anticipo; la devolución del pago anticipado; el amparo de cumplimiento del contrato; la garantía de pago de salarios, prestaciones sociales legales e indemnizaciones laborales; la estabilidad y calidad de la obra, y </w:t>
      </w:r>
      <w:r w:rsidRPr="009037F6">
        <w:rPr>
          <w:rFonts w:ascii="Verdana" w:eastAsia="Times New Roman" w:hAnsi="Verdana" w:cs="Arial"/>
          <w:color w:val="000000" w:themeColor="text1"/>
          <w:lang w:val="es-ES" w:eastAsia="es-CO"/>
        </w:rPr>
        <w:t>los demás incumplimientos de las obligaciones que la Entidad Estatal considere deben ser amparados. Esto, además de la póliza de responsabilidad civil extracontractual que es procedente en los contratos de obra, así como en aquellos en que por su objeto o naturaleza se considere necesario con ocasión de los riesgos previstos en el negocio, de acuerdo con el artículo 2.2.1.2.3.1.8</w:t>
      </w:r>
      <w:r w:rsidRPr="009037F6">
        <w:rPr>
          <w:rFonts w:ascii="Verdana" w:eastAsia="Times New Roman" w:hAnsi="Verdana" w:cs="Arial"/>
          <w:i/>
          <w:iCs/>
          <w:color w:val="000000" w:themeColor="text1"/>
          <w:lang w:val="es-ES" w:eastAsia="es-CO"/>
        </w:rPr>
        <w:t xml:space="preserve"> </w:t>
      </w:r>
      <w:r w:rsidRPr="009037F6">
        <w:rPr>
          <w:rFonts w:ascii="Verdana" w:eastAsia="Times New Roman" w:hAnsi="Verdana" w:cs="Arial"/>
          <w:color w:val="000000" w:themeColor="text1"/>
          <w:lang w:val="es-ES" w:eastAsia="es-CO"/>
        </w:rPr>
        <w:t>del Decreto 1082 de 2015.</w:t>
      </w:r>
    </w:p>
    <w:p w14:paraId="244A2889" w14:textId="77777777" w:rsidR="003878CE" w:rsidRPr="008306C4" w:rsidRDefault="003878CE" w:rsidP="003878CE">
      <w:pPr>
        <w:spacing w:after="120" w:line="276" w:lineRule="auto"/>
        <w:ind w:firstLine="708"/>
        <w:jc w:val="both"/>
        <w:rPr>
          <w:rFonts w:ascii="Verdana" w:eastAsia="Calibri" w:hAnsi="Verdana" w:cs="Arial"/>
          <w:color w:val="000000" w:themeColor="text1"/>
          <w:lang w:val="es-ES"/>
        </w:rPr>
      </w:pPr>
      <w:r>
        <w:rPr>
          <w:rFonts w:ascii="Verdana" w:eastAsia="Times New Roman" w:hAnsi="Verdana" w:cs="Arial"/>
          <w:color w:val="000000" w:themeColor="text1"/>
          <w:lang w:val="es-ES" w:eastAsia="es-CO"/>
        </w:rPr>
        <w:t xml:space="preserve">Teniendo en cuenta esta explicación, es pertinente precisar que como se señaló previamente el buen manejo y correcta inversión del anticipo y la devolución del pago anticipado no son exigibles en los convenios de asociación. No obstante, frente a desembolsos tempranos estipulados en estos convenios, es posible exigir como forma o mecanismo para mitigar riesgos, el amparo de cumplimiento, la cual </w:t>
      </w:r>
      <w:r>
        <w:rPr>
          <w:rFonts w:ascii="Verdana" w:eastAsia="Calibri" w:hAnsi="Verdana" w:cs="Arial"/>
          <w:color w:val="000000" w:themeColor="text1"/>
          <w:lang w:val="es-ES"/>
        </w:rPr>
        <w:t>protege</w:t>
      </w:r>
      <w:r w:rsidRPr="009037F6">
        <w:rPr>
          <w:rFonts w:ascii="Verdana" w:eastAsia="Calibri" w:hAnsi="Verdana" w:cs="Arial"/>
          <w:color w:val="000000" w:themeColor="text1"/>
          <w:lang w:val="es-ES"/>
        </w:rPr>
        <w:t xml:space="preserve"> a la entidad de los perjuicios que puedan ocasionarse con el incumplimiento total o parcial del contrato, el cumplimiento tardío o defectuoso, los daños p</w:t>
      </w:r>
      <w:r>
        <w:rPr>
          <w:rFonts w:ascii="Verdana" w:eastAsia="Calibri" w:hAnsi="Verdana" w:cs="Arial"/>
          <w:color w:val="000000" w:themeColor="text1"/>
          <w:lang w:val="es-ES"/>
        </w:rPr>
        <w:t>or entregas parciales</w:t>
      </w:r>
      <w:r w:rsidRPr="009037F6">
        <w:rPr>
          <w:rFonts w:ascii="Verdana" w:eastAsia="Calibri" w:hAnsi="Verdana" w:cs="Arial"/>
          <w:color w:val="000000" w:themeColor="text1"/>
          <w:lang w:val="es-ES"/>
        </w:rPr>
        <w:t xml:space="preserve">, cuando el contrato no prevé entregas parciales, y el valor de las multas y de la cláusula penal </w:t>
      </w:r>
      <w:r w:rsidRPr="009037F6">
        <w:rPr>
          <w:rFonts w:ascii="Verdana" w:eastAsia="Calibri" w:hAnsi="Verdana" w:cs="Arial"/>
          <w:color w:val="000000" w:themeColor="text1"/>
          <w:lang w:val="es-ES"/>
        </w:rPr>
        <w:lastRenderedPageBreak/>
        <w:t>pecuniaria</w:t>
      </w:r>
      <w:r>
        <w:rPr>
          <w:rStyle w:val="Refdenotaalpie"/>
          <w:rFonts w:ascii="Verdana" w:eastAsia="Calibri" w:hAnsi="Verdana" w:cs="Arial"/>
          <w:color w:val="000000" w:themeColor="text1"/>
          <w:lang w:val="es-ES"/>
        </w:rPr>
        <w:footnoteReference w:id="16"/>
      </w:r>
      <w:r w:rsidRPr="009037F6">
        <w:rPr>
          <w:rFonts w:ascii="Verdana" w:eastAsia="Calibri" w:hAnsi="Verdana" w:cs="Arial"/>
          <w:color w:val="000000" w:themeColor="text1"/>
          <w:lang w:val="es-ES"/>
        </w:rPr>
        <w:t xml:space="preserve">. </w:t>
      </w:r>
      <w:r>
        <w:rPr>
          <w:rFonts w:ascii="Verdana" w:eastAsia="Calibri" w:hAnsi="Verdana" w:cs="Arial"/>
          <w:color w:val="000000" w:themeColor="text1"/>
          <w:lang w:val="es-ES"/>
        </w:rPr>
        <w:t xml:space="preserve">En tal sentido, </w:t>
      </w:r>
      <w:r w:rsidRPr="009037F6">
        <w:rPr>
          <w:rFonts w:ascii="Verdana" w:eastAsia="Calibri" w:hAnsi="Verdana" w:cs="Arial"/>
          <w:color w:val="000000" w:themeColor="text1"/>
          <w:lang w:val="es-ES"/>
        </w:rPr>
        <w:t xml:space="preserve">el </w:t>
      </w:r>
      <w:r w:rsidRPr="009037F6">
        <w:rPr>
          <w:rFonts w:ascii="Verdana" w:eastAsia="Calibri" w:hAnsi="Verdana" w:cs="Arial"/>
          <w:i/>
          <w:iCs/>
          <w:color w:val="000000" w:themeColor="text1"/>
          <w:lang w:val="es-ES"/>
        </w:rPr>
        <w:t>amparo de cumplimiento</w:t>
      </w:r>
      <w:r w:rsidRPr="009037F6">
        <w:rPr>
          <w:rFonts w:ascii="Verdana" w:eastAsia="Calibri" w:hAnsi="Verdana" w:cs="Arial"/>
          <w:color w:val="000000" w:themeColor="text1"/>
          <w:lang w:val="es-ES"/>
        </w:rPr>
        <w:t xml:space="preserve"> tiene como objeto proteger a la entidad de los riesgos que puedan concretarse durant</w:t>
      </w:r>
      <w:r>
        <w:rPr>
          <w:rFonts w:ascii="Verdana" w:eastAsia="Calibri" w:hAnsi="Verdana" w:cs="Arial"/>
          <w:color w:val="000000" w:themeColor="text1"/>
          <w:lang w:val="es-ES"/>
        </w:rPr>
        <w:t>e la etapa de ejecución del convenio de asociación, en especial,</w:t>
      </w:r>
      <w:r w:rsidRPr="009037F6">
        <w:rPr>
          <w:rFonts w:ascii="Verdana" w:eastAsia="Calibri" w:hAnsi="Verdana" w:cs="Arial"/>
          <w:color w:val="000000" w:themeColor="text1"/>
          <w:lang w:val="es-ES"/>
        </w:rPr>
        <w:t xml:space="preserve"> de aquellos derivados de incumplimientos o conductas imputables </w:t>
      </w:r>
      <w:r>
        <w:rPr>
          <w:rFonts w:ascii="Verdana" w:eastAsia="Calibri" w:hAnsi="Verdana" w:cs="Arial"/>
          <w:color w:val="000000" w:themeColor="text1"/>
          <w:lang w:val="es-ES"/>
        </w:rPr>
        <w:t>del asociado de la entidad pública. De esta manera, e</w:t>
      </w:r>
      <w:r w:rsidRPr="008306C4">
        <w:rPr>
          <w:rFonts w:ascii="Verdana" w:eastAsia="Calibri" w:hAnsi="Verdana" w:cs="Arial"/>
          <w:color w:val="000000" w:themeColor="text1"/>
          <w:lang w:val="es-ES"/>
        </w:rPr>
        <w:t>l propósito fundamental del amparo de cumplimiento es blindar a la entidad durante la fase de ejecución del convenio, especialmente frente a conductas atribuibles al asociado que puedan comprometer el éxito del proyecto. Este mecanismo no solo mitiga los riesgos inherentes a la gestión contractual, sino que también fomenta la disciplina y el compromiso del asociado, incentivando el cumplimiento oportuno y adecuado de las obligaciones pactadas.</w:t>
      </w:r>
    </w:p>
    <w:p w14:paraId="4C01D228" w14:textId="77777777" w:rsidR="003878CE" w:rsidRDefault="003878CE" w:rsidP="003878C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t xml:space="preserve">En torno al amparo de cumplimiento se establece </w:t>
      </w:r>
      <w:r w:rsidRPr="00E960A7">
        <w:rPr>
          <w:rFonts w:ascii="Verdana" w:eastAsia="Calibri" w:hAnsi="Verdana" w:cs="Arial"/>
          <w:color w:val="000000" w:themeColor="text1"/>
        </w:rPr>
        <w:t>el artículo 2.2.1.2.3.1</w:t>
      </w:r>
      <w:r>
        <w:rPr>
          <w:rFonts w:ascii="Verdana" w:eastAsia="Calibri" w:hAnsi="Verdana" w:cs="Arial"/>
          <w:color w:val="000000" w:themeColor="text1"/>
        </w:rPr>
        <w:t>.12 del Decreto 1082 de 2015, que se</w:t>
      </w:r>
      <w:r w:rsidRPr="00E960A7">
        <w:rPr>
          <w:rFonts w:ascii="Verdana" w:eastAsia="Calibri" w:hAnsi="Verdana" w:cs="Arial"/>
          <w:color w:val="000000" w:themeColor="text1"/>
        </w:rPr>
        <w:t xml:space="preserve"> asemeja a lo dispuesto en el Decreto 1510, </w:t>
      </w:r>
      <w:r>
        <w:rPr>
          <w:rFonts w:ascii="Verdana" w:eastAsia="Calibri" w:hAnsi="Verdana" w:cs="Arial"/>
          <w:color w:val="000000" w:themeColor="text1"/>
        </w:rPr>
        <w:t xml:space="preserve">que prescribe </w:t>
      </w:r>
      <w:r w:rsidRPr="00E960A7">
        <w:rPr>
          <w:rFonts w:ascii="Verdana" w:eastAsia="Calibri" w:hAnsi="Verdana" w:cs="Arial"/>
          <w:color w:val="000000" w:themeColor="text1"/>
        </w:rPr>
        <w:t xml:space="preserve">que el valor de </w:t>
      </w:r>
      <w:r>
        <w:rPr>
          <w:rFonts w:ascii="Verdana" w:eastAsia="Calibri" w:hAnsi="Verdana" w:cs="Arial"/>
          <w:color w:val="000000" w:themeColor="text1"/>
        </w:rPr>
        <w:t xml:space="preserve">esta </w:t>
      </w:r>
      <w:r w:rsidRPr="00E960A7">
        <w:rPr>
          <w:rFonts w:ascii="Verdana" w:eastAsia="Calibri" w:hAnsi="Verdana" w:cs="Arial"/>
          <w:color w:val="000000" w:themeColor="text1"/>
        </w:rPr>
        <w:t>debe ser por lo menos del 10% del valor del contrato, salvo que el valor de este sea superior a un millón de SMMLV, evento en el cual debe aplicar unas reglas dispuestas en este reglamento</w:t>
      </w:r>
      <w:r w:rsidRPr="00E960A7">
        <w:rPr>
          <w:rFonts w:ascii="Verdana" w:eastAsia="Calibri" w:hAnsi="Verdana" w:cs="Arial"/>
          <w:color w:val="000000" w:themeColor="text1"/>
          <w:vertAlign w:val="superscript"/>
        </w:rPr>
        <w:footnoteReference w:id="17"/>
      </w:r>
      <w:r>
        <w:rPr>
          <w:rFonts w:ascii="Verdana" w:eastAsia="Calibri" w:hAnsi="Verdana" w:cs="Arial"/>
          <w:color w:val="000000" w:themeColor="text1"/>
        </w:rPr>
        <w:t>. Frente</w:t>
      </w:r>
      <w:r w:rsidRPr="00E960A7">
        <w:rPr>
          <w:rFonts w:ascii="Verdana" w:eastAsia="Calibri" w:hAnsi="Verdana" w:cs="Arial"/>
          <w:color w:val="000000" w:themeColor="text1"/>
        </w:rPr>
        <w:t xml:space="preserve"> a la vigencia, el último artículo citado establece que debe cubri</w:t>
      </w:r>
      <w:r>
        <w:rPr>
          <w:rFonts w:ascii="Verdana" w:eastAsia="Calibri" w:hAnsi="Verdana" w:cs="Arial"/>
          <w:color w:val="000000" w:themeColor="text1"/>
        </w:rPr>
        <w:t>r la ejecución del contrato y “hasta la liquidación”</w:t>
      </w:r>
      <w:r w:rsidRPr="00E960A7">
        <w:rPr>
          <w:rFonts w:ascii="Verdana" w:eastAsia="Calibri" w:hAnsi="Verdana" w:cs="Arial"/>
          <w:color w:val="000000" w:themeColor="text1"/>
        </w:rPr>
        <w:t xml:space="preserve">. </w:t>
      </w:r>
    </w:p>
    <w:p w14:paraId="7CE81FD2" w14:textId="77777777" w:rsidR="003878CE" w:rsidRPr="009C57DE" w:rsidRDefault="003878CE" w:rsidP="003878C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De igual modo, es posible establecer como mecanismo de cobertura de riesgos a los desembolsos tempranos, las</w:t>
      </w:r>
      <w:r w:rsidRPr="009C57DE">
        <w:rPr>
          <w:rFonts w:ascii="Verdana" w:eastAsia="Calibri" w:hAnsi="Verdana" w:cs="Arial"/>
          <w:color w:val="000000" w:themeColor="text1"/>
        </w:rPr>
        <w:t xml:space="preserve"> cuentas conjuntas bajo la modalidad de convenios y con</w:t>
      </w:r>
      <w:r>
        <w:rPr>
          <w:rFonts w:ascii="Verdana" w:eastAsia="Calibri" w:hAnsi="Verdana" w:cs="Arial"/>
          <w:color w:val="000000" w:themeColor="text1"/>
        </w:rPr>
        <w:t xml:space="preserve">tratos, que son </w:t>
      </w:r>
      <w:r w:rsidRPr="009C57DE">
        <w:rPr>
          <w:rFonts w:ascii="Verdana" w:eastAsia="Calibri" w:hAnsi="Verdana" w:cs="Arial"/>
          <w:color w:val="000000" w:themeColor="text1"/>
        </w:rPr>
        <w:t>instrumentos financieros cre</w:t>
      </w:r>
      <w:r>
        <w:rPr>
          <w:rFonts w:ascii="Verdana" w:eastAsia="Calibri" w:hAnsi="Verdana" w:cs="Arial"/>
          <w:color w:val="000000" w:themeColor="text1"/>
        </w:rPr>
        <w:t xml:space="preserve">ados para administrar de forma </w:t>
      </w:r>
      <w:r w:rsidRPr="009C57DE">
        <w:rPr>
          <w:rFonts w:ascii="Verdana" w:eastAsia="Calibri" w:hAnsi="Verdana" w:cs="Arial"/>
          <w:color w:val="000000" w:themeColor="text1"/>
        </w:rPr>
        <w:t xml:space="preserve">transparente y ordenada los recursos destinados a proyectos interinstitucionales o acuerdos con terceros. Su principal </w:t>
      </w:r>
      <w:r>
        <w:rPr>
          <w:rFonts w:ascii="Verdana" w:eastAsia="Calibri" w:hAnsi="Verdana" w:cs="Arial"/>
          <w:color w:val="000000" w:themeColor="text1"/>
        </w:rPr>
        <w:t xml:space="preserve">propósito </w:t>
      </w:r>
      <w:r w:rsidRPr="009C57DE">
        <w:rPr>
          <w:rFonts w:ascii="Verdana" w:eastAsia="Calibri" w:hAnsi="Verdana" w:cs="Arial"/>
          <w:color w:val="000000" w:themeColor="text1"/>
        </w:rPr>
        <w:t xml:space="preserve">es </w:t>
      </w:r>
      <w:r w:rsidRPr="009C57DE">
        <w:rPr>
          <w:rFonts w:ascii="Verdana" w:eastAsia="Calibri" w:hAnsi="Verdana" w:cs="Arial"/>
          <w:color w:val="000000" w:themeColor="text1"/>
        </w:rPr>
        <w:lastRenderedPageBreak/>
        <w:t xml:space="preserve">garantizar que los fondos se manejen con corresponsabilidad entre las partes, evitando confusiones sobre la titularidad y asegurando que cada movimiento esté respaldado por documentos válidos. </w:t>
      </w:r>
    </w:p>
    <w:p w14:paraId="7019AC94" w14:textId="77777777" w:rsidR="003878CE" w:rsidRPr="004A1912" w:rsidRDefault="003878CE" w:rsidP="003878CE">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rPr>
        <w:t xml:space="preserve">La administración y gestión adecuada </w:t>
      </w:r>
      <w:r w:rsidRPr="009C57DE">
        <w:rPr>
          <w:rFonts w:ascii="Verdana" w:eastAsia="Calibri" w:hAnsi="Verdana" w:cs="Arial"/>
          <w:color w:val="000000" w:themeColor="text1"/>
        </w:rPr>
        <w:t>de estas cuentas implica reglas claras sobre ingresos, egresos y conciliaciones periódicas, además de informes financieros que permitan verificar el uso correcto de los recursos. Al final</w:t>
      </w:r>
      <w:r>
        <w:rPr>
          <w:rFonts w:ascii="Verdana" w:eastAsia="Calibri" w:hAnsi="Verdana" w:cs="Arial"/>
          <w:color w:val="000000" w:themeColor="text1"/>
        </w:rPr>
        <w:t xml:space="preserve">izar el convenio o contrato, debe realizarse </w:t>
      </w:r>
      <w:r w:rsidRPr="009C57DE">
        <w:rPr>
          <w:rFonts w:ascii="Verdana" w:eastAsia="Calibri" w:hAnsi="Verdana" w:cs="Arial"/>
          <w:color w:val="000000" w:themeColor="text1"/>
        </w:rPr>
        <w:t>un cierre formal con acta y reporte del saldo final, asegurando que cualquier recurso no ejecutado tenga un destino definido.</w:t>
      </w:r>
      <w:r>
        <w:rPr>
          <w:rFonts w:ascii="Verdana" w:eastAsia="Calibri" w:hAnsi="Verdana" w:cs="Arial"/>
          <w:color w:val="000000" w:themeColor="text1"/>
        </w:rPr>
        <w:t xml:space="preserve"> En todo caso, la entidad pública deberá revisar mecanismos de cobertura de riesgos que garanticen una administración y mitigación de riesgos ante desembolsos tempranos. </w:t>
      </w:r>
      <w:r w:rsidRPr="009C57DE">
        <w:rPr>
          <w:rFonts w:ascii="Verdana" w:eastAsia="Calibri" w:hAnsi="Verdana" w:cs="Arial"/>
          <w:color w:val="000000" w:themeColor="text1"/>
        </w:rPr>
        <w:t xml:space="preserve"> </w:t>
      </w:r>
    </w:p>
    <w:p w14:paraId="23FE9C2F" w14:textId="77777777" w:rsidR="003878CE" w:rsidRPr="00B17041" w:rsidRDefault="003878CE" w:rsidP="003878CE">
      <w:pPr>
        <w:spacing w:after="0" w:line="276" w:lineRule="auto"/>
        <w:ind w:firstLine="709"/>
        <w:jc w:val="both"/>
        <w:rPr>
          <w:rFonts w:ascii="Verdana" w:hAnsi="Verdana" w:cs="Arial"/>
          <w:lang w:val="es-ES" w:eastAsia="es-ES"/>
        </w:rPr>
      </w:pPr>
      <w:r w:rsidRPr="00B17041">
        <w:rPr>
          <w:rFonts w:ascii="Verdana" w:hAnsi="Verdana" w:cs="Arial"/>
          <w:lang w:val="es-ES" w:eastAsia="es-ES"/>
        </w:rPr>
        <w:t xml:space="preserve">Dentro de este marco, la entidad </w:t>
      </w:r>
      <w:r w:rsidRPr="00485C44">
        <w:rPr>
          <w:rFonts w:ascii="Verdana" w:hAnsi="Verdana" w:cs="Arial"/>
          <w:lang w:val="es-ES" w:eastAsia="es-ES"/>
        </w:rPr>
        <w:t xml:space="preserve">pública </w:t>
      </w:r>
      <w:r>
        <w:rPr>
          <w:rFonts w:ascii="Verdana" w:hAnsi="Verdana" w:cs="Arial"/>
          <w:lang w:val="es-ES" w:eastAsia="es-ES"/>
        </w:rPr>
        <w:t>definirá</w:t>
      </w:r>
      <w:r w:rsidRPr="00B17041">
        <w:rPr>
          <w:rFonts w:ascii="Verdana" w:hAnsi="Verdana" w:cs="Arial"/>
          <w:lang w:val="es-ES" w:eastAsia="es-ES"/>
        </w:rPr>
        <w:t xml:space="preserve">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79BA78A2" w14:textId="77777777" w:rsidR="003878CE" w:rsidRPr="00AD6B46" w:rsidRDefault="003878CE" w:rsidP="003878CE">
      <w:pPr>
        <w:spacing w:after="0" w:line="276" w:lineRule="auto"/>
        <w:jc w:val="both"/>
        <w:rPr>
          <w:rFonts w:ascii="Verdana" w:eastAsia="Calibri" w:hAnsi="Verdana" w:cs="Arial"/>
          <w:lang w:eastAsia="es-ES_tradnl"/>
        </w:rPr>
      </w:pPr>
    </w:p>
    <w:p w14:paraId="01B2DC96" w14:textId="77777777" w:rsidR="003878CE" w:rsidRPr="00AD6B46" w:rsidRDefault="003878CE" w:rsidP="003878CE">
      <w:pPr>
        <w:numPr>
          <w:ilvl w:val="0"/>
          <w:numId w:val="16"/>
        </w:numPr>
        <w:spacing w:after="0" w:line="256" w:lineRule="auto"/>
        <w:rPr>
          <w:rFonts w:ascii="Verdana" w:eastAsia="Calibri" w:hAnsi="Verdana" w:cs="Times New Roman"/>
          <w:b/>
          <w:bCs/>
          <w:lang w:val="es-ES"/>
        </w:rPr>
      </w:pPr>
      <w:r>
        <w:rPr>
          <w:rFonts w:ascii="Verdana" w:eastAsia="Calibri" w:hAnsi="Verdana" w:cs="Times New Roman"/>
          <w:b/>
          <w:bCs/>
          <w:lang w:val="es-ES"/>
        </w:rPr>
        <w:t>Referencias normativas</w:t>
      </w:r>
    </w:p>
    <w:p w14:paraId="45C5122D" w14:textId="77777777" w:rsidR="003878CE" w:rsidRPr="003C5A95" w:rsidRDefault="003878CE" w:rsidP="003878CE">
      <w:pPr>
        <w:widowControl w:val="0"/>
        <w:autoSpaceDE w:val="0"/>
        <w:autoSpaceDN w:val="0"/>
        <w:spacing w:after="0" w:line="276" w:lineRule="auto"/>
        <w:jc w:val="both"/>
        <w:rPr>
          <w:rFonts w:ascii="Verdana" w:hAnsi="Verdana" w:cs="Arial"/>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878CE" w:rsidRPr="00AD6B46" w14:paraId="0C3CE100" w14:textId="77777777" w:rsidTr="003878CE">
        <w:trPr>
          <w:trHeight w:val="870"/>
          <w:jc w:val="center"/>
        </w:trPr>
        <w:tc>
          <w:tcPr>
            <w:tcW w:w="8647" w:type="dxa"/>
          </w:tcPr>
          <w:p w14:paraId="34571E38" w14:textId="77777777" w:rsidR="003878CE" w:rsidRPr="00AD6B46" w:rsidRDefault="003878CE" w:rsidP="003878CE">
            <w:pPr>
              <w:ind w:left="720"/>
              <w:contextualSpacing/>
              <w:rPr>
                <w:rFonts w:ascii="Verdana" w:hAnsi="Verdana" w:cs="Arial"/>
                <w:lang w:val="es-ES"/>
              </w:rPr>
            </w:pPr>
          </w:p>
          <w:p w14:paraId="0D2F1AF8" w14:textId="77777777" w:rsidR="003878CE" w:rsidRPr="002B53CE" w:rsidRDefault="003878CE" w:rsidP="003878CE">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B53CE">
              <w:rPr>
                <w:rFonts w:ascii="Verdana" w:hAnsi="Verdana" w:cs="Arial"/>
                <w:lang w:val="es-ES_tradnl"/>
              </w:rPr>
              <w:t>C</w:t>
            </w:r>
            <w:r>
              <w:rPr>
                <w:rFonts w:ascii="Verdana" w:hAnsi="Verdana" w:cs="Arial"/>
                <w:lang w:val="es-ES_tradnl"/>
              </w:rPr>
              <w:t>onstitución Política, artículo</w:t>
            </w:r>
            <w:r w:rsidRPr="002B53CE">
              <w:rPr>
                <w:rFonts w:ascii="Verdana" w:hAnsi="Verdana" w:cs="Arial"/>
                <w:lang w:val="es-ES_tradnl"/>
              </w:rPr>
              <w:t xml:space="preserve"> 355. </w:t>
            </w:r>
          </w:p>
          <w:p w14:paraId="632A60A7" w14:textId="77777777" w:rsidR="003878CE" w:rsidRPr="002B53CE" w:rsidRDefault="003878CE" w:rsidP="003878CE">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B53CE">
              <w:rPr>
                <w:rFonts w:ascii="Verdana" w:hAnsi="Verdana" w:cs="Arial"/>
                <w:lang w:val="es-ES_tradnl"/>
              </w:rPr>
              <w:t xml:space="preserve">Ley 489 de 1998, artículo 96. </w:t>
            </w:r>
          </w:p>
          <w:p w14:paraId="6BCAC839" w14:textId="77777777" w:rsidR="003878CE" w:rsidRDefault="003878CE" w:rsidP="003878CE">
            <w:pPr>
              <w:widowControl w:val="0"/>
              <w:numPr>
                <w:ilvl w:val="0"/>
                <w:numId w:val="17"/>
              </w:numPr>
              <w:autoSpaceDE w:val="0"/>
              <w:autoSpaceDN w:val="0"/>
              <w:spacing w:after="120" w:line="276" w:lineRule="auto"/>
              <w:ind w:left="714" w:hanging="357"/>
              <w:jc w:val="both"/>
              <w:rPr>
                <w:rFonts w:ascii="Verdana" w:hAnsi="Verdana" w:cs="Arial"/>
                <w:lang w:val="es-ES_tradnl"/>
              </w:rPr>
            </w:pPr>
            <w:r>
              <w:rPr>
                <w:rFonts w:ascii="Verdana" w:hAnsi="Verdana" w:cs="Arial"/>
                <w:lang w:val="es-ES_tradnl"/>
              </w:rPr>
              <w:t>Ley 1150 de 2007, artículo 7.</w:t>
            </w:r>
          </w:p>
          <w:p w14:paraId="5D701F94" w14:textId="77777777" w:rsidR="003878CE" w:rsidRDefault="003878CE" w:rsidP="003878CE">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B53CE">
              <w:rPr>
                <w:rFonts w:ascii="Verdana" w:hAnsi="Verdana" w:cs="Arial"/>
                <w:lang w:val="es-ES_tradnl"/>
              </w:rPr>
              <w:t xml:space="preserve">Decreto 092 de 2017. </w:t>
            </w:r>
          </w:p>
          <w:p w14:paraId="317847C2" w14:textId="77777777" w:rsidR="003878CE" w:rsidRPr="002B53CE" w:rsidRDefault="003878CE" w:rsidP="003878CE">
            <w:pPr>
              <w:pStyle w:val="Prrafodelista"/>
              <w:numPr>
                <w:ilvl w:val="0"/>
                <w:numId w:val="17"/>
              </w:numPr>
              <w:spacing w:after="120" w:line="276" w:lineRule="auto"/>
              <w:ind w:left="714" w:hanging="357"/>
              <w:contextualSpacing w:val="0"/>
              <w:rPr>
                <w:rFonts w:ascii="Verdana" w:hAnsi="Verdana" w:cs="Arial"/>
                <w:lang w:val="es-ES_tradnl"/>
              </w:rPr>
            </w:pPr>
            <w:r w:rsidRPr="002B53CE">
              <w:rPr>
                <w:rFonts w:ascii="Verdana" w:hAnsi="Verdana" w:cs="Arial"/>
                <w:lang w:val="es-ES_tradnl"/>
              </w:rPr>
              <w:t xml:space="preserve">Decreto 1082 de 2015, artículos 2.2.1.2.3.1.1 a 2.2.1.2.3.1.19.  </w:t>
            </w:r>
          </w:p>
          <w:p w14:paraId="6E65B2E4" w14:textId="77777777" w:rsidR="003878CE" w:rsidRDefault="003878CE" w:rsidP="003878CE">
            <w:pPr>
              <w:widowControl w:val="0"/>
              <w:numPr>
                <w:ilvl w:val="0"/>
                <w:numId w:val="17"/>
              </w:numPr>
              <w:autoSpaceDE w:val="0"/>
              <w:autoSpaceDN w:val="0"/>
              <w:spacing w:after="120" w:line="276" w:lineRule="auto"/>
              <w:ind w:left="714" w:hanging="357"/>
              <w:jc w:val="both"/>
              <w:rPr>
                <w:rFonts w:ascii="Verdana" w:hAnsi="Verdana" w:cs="Arial"/>
                <w:lang w:val="es-ES_tradnl"/>
              </w:rPr>
            </w:pPr>
            <w:r w:rsidRPr="002B53CE">
              <w:rPr>
                <w:rFonts w:ascii="Verdana" w:hAnsi="Verdana" w:cs="Arial"/>
                <w:lang w:val="es-ES_tradnl"/>
              </w:rPr>
              <w:t xml:space="preserve">Agencia Nacional de Contratación Pública –Colombia Compra Eficiente. Guía para la contratación con entidades privadas sin ánimo de lucro y de reconocida idoneidad, 2025. Disponible en línea: </w:t>
            </w:r>
            <w:hyperlink r:id="rId13" w:history="1">
              <w:r w:rsidRPr="00851633">
                <w:rPr>
                  <w:rStyle w:val="Hipervnculo"/>
                  <w:rFonts w:ascii="Verdana" w:hAnsi="Verdana" w:cs="Arial"/>
                  <w:lang w:val="es-ES_tradnl"/>
                </w:rPr>
                <w:t>https://www.colombiacompra.gov.co/archivos/manual/guia-para-la-</w:t>
              </w:r>
              <w:r w:rsidRPr="00851633">
                <w:rPr>
                  <w:rStyle w:val="Hipervnculo"/>
                  <w:rFonts w:ascii="Verdana" w:hAnsi="Verdana" w:cs="Arial"/>
                  <w:lang w:val="es-ES_tradnl"/>
                </w:rPr>
                <w:lastRenderedPageBreak/>
                <w:t>contratacion-con-entidades-sin-animo-de-lucro-y-de-reconocida-idoneidad</w:t>
              </w:r>
            </w:hyperlink>
            <w:r>
              <w:rPr>
                <w:rFonts w:ascii="Verdana" w:hAnsi="Verdana" w:cs="Arial"/>
                <w:lang w:val="es-ES_tradnl"/>
              </w:rPr>
              <w:t xml:space="preserve"> </w:t>
            </w:r>
          </w:p>
          <w:p w14:paraId="4E8CD7BA" w14:textId="77777777" w:rsidR="003878CE" w:rsidRPr="008F7373" w:rsidRDefault="003878CE" w:rsidP="003878CE">
            <w:pPr>
              <w:widowControl w:val="0"/>
              <w:numPr>
                <w:ilvl w:val="0"/>
                <w:numId w:val="17"/>
              </w:numPr>
              <w:autoSpaceDE w:val="0"/>
              <w:autoSpaceDN w:val="0"/>
              <w:spacing w:after="120" w:line="276" w:lineRule="auto"/>
              <w:jc w:val="both"/>
              <w:rPr>
                <w:rFonts w:ascii="Verdana" w:hAnsi="Verdana" w:cs="Arial"/>
                <w:lang w:val="es-ES_tradnl"/>
              </w:rPr>
            </w:pPr>
            <w:r w:rsidRPr="002B53CE">
              <w:rPr>
                <w:rFonts w:ascii="Verdana" w:hAnsi="Verdana" w:cs="Arial"/>
                <w:lang w:val="es-ES_tradnl"/>
              </w:rPr>
              <w:t>COLOMBIA COMPRA EFICIENTE. Guía de garantías en</w:t>
            </w:r>
            <w:r>
              <w:rPr>
                <w:rFonts w:ascii="Verdana" w:hAnsi="Verdana" w:cs="Arial"/>
                <w:lang w:val="es-ES_tradnl"/>
              </w:rPr>
              <w:t xml:space="preserve"> procesos de contratación</w:t>
            </w:r>
            <w:r w:rsidRPr="002B53CE">
              <w:rPr>
                <w:rFonts w:ascii="Verdana" w:hAnsi="Verdana" w:cs="Arial"/>
                <w:lang w:val="es-ES_tradnl"/>
              </w:rPr>
              <w:t xml:space="preserve">. Disponible en: </w:t>
            </w:r>
            <w:hyperlink r:id="rId14" w:history="1">
              <w:r w:rsidRPr="00851633">
                <w:rPr>
                  <w:rStyle w:val="Hipervnculo"/>
                  <w:rFonts w:ascii="Verdana" w:hAnsi="Verdana" w:cs="Arial"/>
                  <w:lang w:val="es-ES_tradnl"/>
                </w:rPr>
                <w:t>https://www.colombiacompra.gov.co/manuales-guias-y-pliegos-tipo/manuales-y-guias</w:t>
              </w:r>
            </w:hyperlink>
            <w:r w:rsidRPr="002B53CE">
              <w:rPr>
                <w:rFonts w:ascii="Verdana" w:hAnsi="Verdana" w:cs="Arial"/>
                <w:lang w:val="es-ES_tradnl"/>
              </w:rPr>
              <w:t>.</w:t>
            </w:r>
            <w:r>
              <w:rPr>
                <w:rFonts w:ascii="Verdana" w:hAnsi="Verdana" w:cs="Arial"/>
                <w:lang w:val="es-ES_tradnl"/>
              </w:rPr>
              <w:t xml:space="preserve"> </w:t>
            </w:r>
          </w:p>
        </w:tc>
      </w:tr>
    </w:tbl>
    <w:p w14:paraId="16907C18" w14:textId="77777777" w:rsidR="003878CE" w:rsidRPr="00B57A1B" w:rsidRDefault="003878CE" w:rsidP="003878CE">
      <w:pPr>
        <w:widowControl w:val="0"/>
        <w:autoSpaceDE w:val="0"/>
        <w:autoSpaceDN w:val="0"/>
        <w:spacing w:after="0" w:line="276" w:lineRule="auto"/>
        <w:jc w:val="both"/>
        <w:rPr>
          <w:rFonts w:ascii="Verdana" w:hAnsi="Verdana" w:cs="Arial"/>
        </w:rPr>
      </w:pPr>
    </w:p>
    <w:p w14:paraId="3FF555F2" w14:textId="77777777" w:rsidR="003878CE" w:rsidRPr="00B57A1B" w:rsidRDefault="003878CE" w:rsidP="003878CE">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B57A1B">
        <w:rPr>
          <w:rFonts w:ascii="Verdana" w:eastAsia="Century Gothic" w:hAnsi="Verdana" w:cs="Century Gothic"/>
          <w:b/>
          <w:bCs/>
          <w:lang w:val="es-ES"/>
        </w:rPr>
        <w:t>Doctrina de la Agencia Nacional de Contratación Pública:</w:t>
      </w:r>
    </w:p>
    <w:p w14:paraId="41EF0BB7" w14:textId="77777777" w:rsidR="003878CE" w:rsidRPr="00B57A1B" w:rsidRDefault="003878CE" w:rsidP="003878CE">
      <w:pPr>
        <w:widowControl w:val="0"/>
        <w:autoSpaceDE w:val="0"/>
        <w:autoSpaceDN w:val="0"/>
        <w:spacing w:after="0" w:line="276" w:lineRule="auto"/>
        <w:jc w:val="both"/>
        <w:rPr>
          <w:rFonts w:ascii="Verdana" w:hAnsi="Verdana" w:cs="Arial"/>
        </w:rPr>
      </w:pPr>
    </w:p>
    <w:p w14:paraId="0AA14D6A" w14:textId="77777777" w:rsidR="003878CE" w:rsidRPr="006745D3" w:rsidRDefault="003878CE" w:rsidP="003878CE">
      <w:pPr>
        <w:widowControl w:val="0"/>
        <w:autoSpaceDE w:val="0"/>
        <w:autoSpaceDN w:val="0"/>
        <w:spacing w:after="0" w:line="276" w:lineRule="auto"/>
        <w:jc w:val="both"/>
        <w:rPr>
          <w:rFonts w:ascii="Verdana" w:eastAsia="Calibri" w:hAnsi="Verdana" w:cs="Arial"/>
          <w:b/>
          <w:bCs/>
          <w:lang w:val="es-ES" w:eastAsia="es-ES"/>
        </w:rPr>
      </w:pPr>
      <w:r w:rsidRPr="00B57A1B">
        <w:rPr>
          <w:rFonts w:ascii="Verdana" w:hAnsi="Verdana" w:cs="Arial"/>
          <w:shd w:val="clear" w:color="auto" w:fill="FFFFFF"/>
        </w:rPr>
        <w:t>Esta Subdirección se ha pronunciado sobre</w:t>
      </w:r>
      <w:r>
        <w:rPr>
          <w:rFonts w:ascii="Verdana" w:hAnsi="Verdana" w:cs="Arial"/>
          <w:shd w:val="clear" w:color="auto" w:fill="FFFFFF"/>
        </w:rPr>
        <w:t xml:space="preserve"> el </w:t>
      </w:r>
      <w:r w:rsidRPr="0017378C">
        <w:rPr>
          <w:rFonts w:ascii="Verdana" w:hAnsi="Verdana" w:cs="Arial"/>
          <w:shd w:val="clear" w:color="auto" w:fill="FFFFFF"/>
          <w:lang w:val="es-ES"/>
        </w:rPr>
        <w:t>régimen contractual de las ESAL con fundamento en el Decreto 092 de 2017 en los conceptos 4201912000008310 del 26 de diciembre de 2019, 4201912000007899 del 27 de diciembre de 2019, 4201912000007901 del 27 de diciembre de 2019, C-070 04 de marzo de 2020, C-094 del 04 de marzo de 2020, C-086 del 16 de marzo de 2020, C-594 del 7 de septiembre de 2020, C-670 del 22 de noviembre de 2020, C-689 del 1 de diciembre de 2020, C-724 de 14 de diciembre de 2020, C-364 de 26 de julio de 2021, C-379 de 20 de julio de 2021, C-537 del 27 de septiembre de 2021,  C-021 del 22 de febrero de 2022, C-236 del 27 de abril de 2022, C-273 del 6 de mayo de 2022, C-274 del 6 de mayo de 2022, C-291 del 18 de mayo de 2022, C-550 del 31 de agosto de 2022, C-560 del 7 de septiembre de 2022, C-853 del 9 de diciembre de 2022, C-351 del 6 de octubre de 2023, , C-064 del 24 de abril de 2024, C-080 del 7 de mayo de 2024, C-281 del 29 de octubre de 2024, C-957 del 17 de diciembre de 2024,</w:t>
      </w:r>
      <w:r w:rsidRPr="0017378C">
        <w:rPr>
          <w:rFonts w:ascii="Verdana" w:eastAsia="Calibri" w:hAnsi="Verdana" w:cs="Arial"/>
          <w:b/>
          <w:bCs/>
          <w:lang w:val="es-ES" w:eastAsia="es-ES"/>
        </w:rPr>
        <w:t xml:space="preserve"> </w:t>
      </w:r>
      <w:r>
        <w:rPr>
          <w:rFonts w:ascii="Verdana" w:eastAsia="Calibri" w:hAnsi="Verdana" w:cs="Arial"/>
          <w:lang w:val="es-ES" w:eastAsia="es-ES"/>
        </w:rPr>
        <w:t>C-875 del 13 de agosto de 2025, C-138 del 14 de marzo de 2025, C-373 del 6 de mayo de 2025,</w:t>
      </w:r>
      <w:r w:rsidRPr="0017378C">
        <w:rPr>
          <w:rFonts w:ascii="Verdana" w:eastAsia="Calibri" w:hAnsi="Verdana" w:cs="Arial"/>
          <w:b/>
          <w:bCs/>
          <w:lang w:val="es-ES" w:eastAsia="es-ES"/>
        </w:rPr>
        <w:t xml:space="preserve"> </w:t>
      </w:r>
      <w:r w:rsidRPr="0017378C">
        <w:rPr>
          <w:rFonts w:ascii="Verdana" w:hAnsi="Verdana" w:cs="Arial"/>
          <w:shd w:val="clear" w:color="auto" w:fill="FFFFFF"/>
          <w:lang w:val="es-ES"/>
        </w:rPr>
        <w:t>C</w:t>
      </w:r>
      <w:r>
        <w:rPr>
          <w:rFonts w:ascii="Verdana" w:hAnsi="Verdana" w:cs="Arial"/>
          <w:shd w:val="clear" w:color="auto" w:fill="FFFFFF"/>
          <w:lang w:val="es-ES"/>
        </w:rPr>
        <w:t>-557 del 17 de junio de 2025, C</w:t>
      </w:r>
      <w:r w:rsidRPr="0017378C">
        <w:rPr>
          <w:rFonts w:ascii="Verdana" w:hAnsi="Verdana" w:cs="Arial"/>
          <w:shd w:val="clear" w:color="auto" w:fill="FFFFFF"/>
          <w:lang w:val="es-ES"/>
        </w:rPr>
        <w:t xml:space="preserve">-1384 del 5 de noviembre de 2025, </w:t>
      </w:r>
      <w:r>
        <w:rPr>
          <w:rFonts w:ascii="Verdana" w:hAnsi="Verdana" w:cs="Arial"/>
          <w:shd w:val="clear" w:color="auto" w:fill="FFFFFF"/>
          <w:lang w:val="es-ES"/>
        </w:rPr>
        <w:t>C-1498 del 26 de noviembre de 2025, entre</w:t>
      </w:r>
      <w:r w:rsidRPr="0017378C">
        <w:rPr>
          <w:rFonts w:ascii="Verdana" w:hAnsi="Verdana" w:cs="Arial"/>
          <w:shd w:val="clear" w:color="auto" w:fill="FFFFFF"/>
          <w:lang w:val="es-ES"/>
        </w:rPr>
        <w:t xml:space="preserve"> otros</w:t>
      </w:r>
      <w:r>
        <w:rPr>
          <w:rFonts w:ascii="Verdana" w:hAnsi="Verdana" w:cs="Arial"/>
          <w:shd w:val="clear" w:color="auto" w:fill="FFFFFF"/>
        </w:rPr>
        <w:t>.</w:t>
      </w:r>
      <w:r>
        <w:rPr>
          <w:rFonts w:ascii="Verdana" w:hAnsi="Verdana" w:cs="Arial"/>
          <w:bCs/>
          <w:shd w:val="clear" w:color="auto" w:fill="FFFFFF"/>
          <w:lang w:val="es-ES"/>
        </w:rPr>
        <w:t xml:space="preserve"> </w:t>
      </w:r>
      <w:r w:rsidRPr="00185EE9">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69239E7E" w14:textId="77777777" w:rsidR="003878CE" w:rsidRPr="00185EE9" w:rsidRDefault="00CD3186" w:rsidP="003878CE">
      <w:pPr>
        <w:spacing w:after="0" w:line="256" w:lineRule="auto"/>
        <w:jc w:val="both"/>
        <w:rPr>
          <w:rFonts w:ascii="Verdana" w:eastAsia="Calibri" w:hAnsi="Verdana" w:cs="Times New Roman"/>
        </w:rPr>
      </w:pPr>
      <w:hyperlink r:id="rId15" w:history="1">
        <w:r w:rsidR="003878CE" w:rsidRPr="00F14AAD">
          <w:rPr>
            <w:rStyle w:val="Hipervnculo"/>
            <w:rFonts w:ascii="Verdana" w:eastAsia="Calibri" w:hAnsi="Verdana" w:cs="Times New Roman"/>
            <w:lang w:val="es-ES"/>
          </w:rPr>
          <w:t>https://relatoria.colombiacompra.gov.co/busqueda/conceptos</w:t>
        </w:r>
      </w:hyperlink>
      <w:r w:rsidR="003878CE" w:rsidRPr="00185EE9">
        <w:rPr>
          <w:rFonts w:ascii="Verdana" w:eastAsia="Calibri" w:hAnsi="Verdana" w:cs="Times New Roman"/>
        </w:rPr>
        <w:t xml:space="preserve">. </w:t>
      </w:r>
    </w:p>
    <w:p w14:paraId="16843073" w14:textId="77777777" w:rsidR="003878CE" w:rsidRDefault="003878CE" w:rsidP="003878CE">
      <w:pPr>
        <w:spacing w:after="0" w:line="256" w:lineRule="auto"/>
        <w:jc w:val="both"/>
        <w:rPr>
          <w:rFonts w:ascii="Verdana" w:hAnsi="Verdana" w:cs="Arial"/>
          <w:bCs/>
          <w:shd w:val="clear" w:color="auto" w:fill="FFFFFF"/>
        </w:rPr>
      </w:pPr>
    </w:p>
    <w:p w14:paraId="68437C19" w14:textId="77777777" w:rsidR="003878CE" w:rsidRPr="00B57A1B" w:rsidRDefault="003878CE" w:rsidP="003878CE">
      <w:pPr>
        <w:spacing w:after="0" w:line="256" w:lineRule="auto"/>
        <w:jc w:val="both"/>
        <w:rPr>
          <w:rFonts w:ascii="Verdana" w:eastAsia="Calibri" w:hAnsi="Verdana" w:cs="Times New Roman"/>
        </w:rPr>
      </w:pPr>
      <w:r w:rsidRPr="00B57A1B">
        <w:rPr>
          <w:rFonts w:ascii="Verdana" w:eastAsia="Calibri" w:hAnsi="Verdana" w:cs="Times New Roman"/>
        </w:rPr>
        <w:t xml:space="preserve">Te informamos que ya se encuentra disponible la </w:t>
      </w:r>
      <w:r w:rsidRPr="00B57A1B">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B57A1B">
        <w:rPr>
          <w:rFonts w:ascii="Verdana" w:eastAsia="Calibri" w:hAnsi="Verdana" w:cs="Times New Roman"/>
        </w:rPr>
        <w:t xml:space="preserve">Esta Guía se expedide en el marco del cumplimiento de la orden proferida por la Honorable </w:t>
      </w:r>
      <w:r w:rsidRPr="00B57A1B">
        <w:rPr>
          <w:rFonts w:ascii="Verdana" w:eastAsia="Calibri" w:hAnsi="Verdana" w:cs="Times New Roman"/>
        </w:rPr>
        <w:lastRenderedPageBreak/>
        <w:t xml:space="preserve">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7FFCC07E" w14:textId="77777777" w:rsidR="003878CE" w:rsidRPr="00B57A1B" w:rsidRDefault="003878CE" w:rsidP="003878CE">
      <w:pPr>
        <w:spacing w:after="0" w:line="240" w:lineRule="auto"/>
        <w:jc w:val="both"/>
        <w:rPr>
          <w:rFonts w:ascii="Verdana" w:hAnsi="Verdana"/>
        </w:rPr>
      </w:pPr>
    </w:p>
    <w:p w14:paraId="1E7193D1" w14:textId="77777777" w:rsidR="003878CE" w:rsidRPr="00B57A1B" w:rsidRDefault="003878CE" w:rsidP="003878CE">
      <w:pPr>
        <w:spacing w:after="0" w:line="256" w:lineRule="auto"/>
        <w:jc w:val="both"/>
        <w:rPr>
          <w:rFonts w:ascii="Verdana" w:eastAsia="Calibri" w:hAnsi="Verdana" w:cs="Times New Roman"/>
          <w:bCs/>
          <w:lang w:val="es-ES_tradnl"/>
        </w:rPr>
      </w:pPr>
      <w:r w:rsidRPr="00B57A1B">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6407E17" w14:textId="77777777" w:rsidR="003878CE" w:rsidRPr="00B57A1B" w:rsidRDefault="003878CE" w:rsidP="003878CE">
      <w:pPr>
        <w:spacing w:after="0" w:line="256" w:lineRule="auto"/>
        <w:jc w:val="both"/>
        <w:rPr>
          <w:rFonts w:ascii="Verdana" w:eastAsia="Calibri" w:hAnsi="Verdana" w:cs="Times New Roman"/>
        </w:rPr>
      </w:pPr>
    </w:p>
    <w:p w14:paraId="7331DE91" w14:textId="77777777" w:rsidR="003878CE" w:rsidRDefault="003878CE" w:rsidP="003878CE">
      <w:pPr>
        <w:spacing w:after="0" w:line="256" w:lineRule="auto"/>
        <w:jc w:val="both"/>
        <w:rPr>
          <w:rFonts w:ascii="Verdana" w:eastAsia="Calibri" w:hAnsi="Verdana" w:cs="Times New Roman"/>
        </w:rPr>
      </w:pPr>
      <w:r w:rsidRPr="00B57A1B">
        <w:rPr>
          <w:rFonts w:ascii="Verdana" w:eastAsia="Calibri" w:hAnsi="Verdana" w:cs="Times New Roman"/>
        </w:rPr>
        <w:t>Atentamente,</w:t>
      </w:r>
    </w:p>
    <w:p w14:paraId="5B3452F1" w14:textId="77777777" w:rsidR="003878CE" w:rsidRPr="00B57A1B" w:rsidRDefault="003878CE" w:rsidP="003878CE">
      <w:pPr>
        <w:spacing w:after="0" w:line="256" w:lineRule="auto"/>
        <w:jc w:val="both"/>
        <w:rPr>
          <w:rFonts w:ascii="Verdana" w:eastAsia="Calibri" w:hAnsi="Verdana" w:cs="Times New Roman"/>
        </w:rPr>
      </w:pPr>
    </w:p>
    <w:p w14:paraId="015EC18B" w14:textId="5EE02794" w:rsidR="003878CE" w:rsidRDefault="00AE444D" w:rsidP="003878CE">
      <w:pPr>
        <w:spacing w:after="0" w:line="256" w:lineRule="auto"/>
        <w:jc w:val="center"/>
        <w:rPr>
          <w:noProof/>
          <w:lang w:val="en-US"/>
        </w:rPr>
      </w:pPr>
      <w:r w:rsidRPr="002C3AD6">
        <w:rPr>
          <w:rFonts w:ascii="Century Gothic" w:hAnsi="Century Gothic"/>
          <w:noProof/>
          <w:lang w:val="en-US"/>
        </w:rPr>
        <w:drawing>
          <wp:inline distT="0" distB="0" distL="0" distR="0" wp14:anchorId="585B3D65" wp14:editId="3F4F235C">
            <wp:extent cx="3279697" cy="1217463"/>
            <wp:effectExtent l="0" t="0" r="0" b="1905"/>
            <wp:docPr id="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312722" cy="1229722"/>
                    </a:xfrm>
                    <a:prstGeom prst="rect">
                      <a:avLst/>
                    </a:prstGeom>
                  </pic:spPr>
                </pic:pic>
              </a:graphicData>
            </a:graphic>
          </wp:inline>
        </w:drawing>
      </w:r>
    </w:p>
    <w:p w14:paraId="2B33AABE" w14:textId="77777777" w:rsidR="003878CE" w:rsidRPr="00881D12" w:rsidRDefault="003878CE" w:rsidP="003878CE">
      <w:pPr>
        <w:spacing w:after="0" w:line="256" w:lineRule="auto"/>
        <w:jc w:val="center"/>
        <w:rPr>
          <w:rFonts w:ascii="Verdana" w:eastAsia="Times New Roman" w:hAnsi="Verdana" w:cs="Arial"/>
          <w:noProof/>
          <w:sz w:val="16"/>
          <w:szCs w:val="16"/>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3878CE" w:rsidRPr="00B57A1B" w14:paraId="3E18E28D" w14:textId="77777777" w:rsidTr="003878CE">
        <w:trPr>
          <w:trHeight w:val="409"/>
        </w:trPr>
        <w:tc>
          <w:tcPr>
            <w:tcW w:w="817" w:type="dxa"/>
            <w:tcBorders>
              <w:top w:val="nil"/>
              <w:left w:val="nil"/>
              <w:bottom w:val="nil"/>
              <w:right w:val="nil"/>
            </w:tcBorders>
            <w:vAlign w:val="center"/>
            <w:hideMark/>
          </w:tcPr>
          <w:p w14:paraId="782A0C2B"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0021CE77"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José Luis Sánchez Cardona</w:t>
            </w:r>
          </w:p>
          <w:p w14:paraId="2BFA5844"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Contratista de la Subdirección de Gestión Contractual</w:t>
            </w:r>
          </w:p>
        </w:tc>
      </w:tr>
      <w:tr w:rsidR="003878CE" w:rsidRPr="00B57A1B" w14:paraId="6C9A3B8C" w14:textId="77777777" w:rsidTr="003878CE">
        <w:trPr>
          <w:trHeight w:val="409"/>
        </w:trPr>
        <w:tc>
          <w:tcPr>
            <w:tcW w:w="817" w:type="dxa"/>
            <w:tcBorders>
              <w:top w:val="nil"/>
              <w:left w:val="nil"/>
              <w:bottom w:val="nil"/>
              <w:right w:val="nil"/>
            </w:tcBorders>
            <w:vAlign w:val="center"/>
            <w:hideMark/>
          </w:tcPr>
          <w:p w14:paraId="5BB805C6"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3DC272DE"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Alejandro Sarmiento Cantillo</w:t>
            </w:r>
          </w:p>
          <w:p w14:paraId="67BD84BD"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Gestor T1-15 de la Subdirección de Gestión Contractual </w:t>
            </w:r>
          </w:p>
        </w:tc>
      </w:tr>
      <w:tr w:rsidR="003878CE" w:rsidRPr="00B57A1B" w14:paraId="6455552A" w14:textId="77777777" w:rsidTr="003878CE">
        <w:trPr>
          <w:trHeight w:val="389"/>
        </w:trPr>
        <w:tc>
          <w:tcPr>
            <w:tcW w:w="817" w:type="dxa"/>
            <w:tcBorders>
              <w:top w:val="nil"/>
              <w:left w:val="nil"/>
              <w:bottom w:val="nil"/>
              <w:right w:val="nil"/>
            </w:tcBorders>
            <w:vAlign w:val="center"/>
            <w:hideMark/>
          </w:tcPr>
          <w:p w14:paraId="73EB517B"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25A1E3FB"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Carolina Quintero Gacharná</w:t>
            </w:r>
          </w:p>
          <w:p w14:paraId="4EB3D73E" w14:textId="77777777" w:rsidR="003878CE" w:rsidRPr="00B57A1B" w:rsidRDefault="003878CE" w:rsidP="003878CE">
            <w:pPr>
              <w:spacing w:after="0" w:line="256" w:lineRule="auto"/>
              <w:rPr>
                <w:rFonts w:ascii="Verdana" w:eastAsia="Calibri" w:hAnsi="Verdana" w:cs="Times New Roman"/>
                <w:sz w:val="16"/>
                <w:szCs w:val="16"/>
              </w:rPr>
            </w:pPr>
            <w:r w:rsidRPr="00B57A1B">
              <w:rPr>
                <w:rFonts w:ascii="Verdana" w:eastAsia="Calibri" w:hAnsi="Verdana" w:cs="Times New Roman"/>
                <w:sz w:val="16"/>
                <w:szCs w:val="16"/>
              </w:rPr>
              <w:t>Subdirectora de Gestión Contractual ANCP – CCE</w:t>
            </w:r>
          </w:p>
        </w:tc>
      </w:tr>
    </w:tbl>
    <w:p w14:paraId="38B11ED3" w14:textId="77777777" w:rsidR="003878CE" w:rsidRPr="0024624F" w:rsidRDefault="003878CE" w:rsidP="003878CE">
      <w:pPr>
        <w:spacing w:after="0"/>
        <w:rPr>
          <w:rFonts w:ascii="Verdana" w:hAnsi="Verdana"/>
        </w:rPr>
      </w:pPr>
    </w:p>
    <w:p w14:paraId="7DF85413" w14:textId="77777777" w:rsidR="003878CE" w:rsidRPr="0024624F" w:rsidRDefault="003878CE" w:rsidP="003878CE">
      <w:pPr>
        <w:spacing w:after="0"/>
        <w:rPr>
          <w:rFonts w:ascii="Verdana" w:hAnsi="Verdana"/>
        </w:rPr>
      </w:pPr>
    </w:p>
    <w:p w14:paraId="3ABE4B6C" w14:textId="77777777" w:rsidR="003878CE" w:rsidRPr="004C3055" w:rsidRDefault="003878CE" w:rsidP="003878CE"/>
    <w:bookmarkEnd w:id="0"/>
    <w:p w14:paraId="31604514" w14:textId="77777777" w:rsidR="003878CE" w:rsidRPr="0024624F" w:rsidRDefault="003878CE" w:rsidP="003878CE">
      <w:pPr>
        <w:spacing w:after="0"/>
        <w:rPr>
          <w:rFonts w:ascii="Verdana" w:hAnsi="Verdana"/>
        </w:rPr>
      </w:pPr>
    </w:p>
    <w:p w14:paraId="5D64733D" w14:textId="66F39D7E" w:rsidR="007A1830" w:rsidRPr="003878CE" w:rsidRDefault="007A1830" w:rsidP="003878CE"/>
    <w:sectPr w:rsidR="007A1830" w:rsidRPr="003878CE"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5AE9735" w14:textId="77777777" w:rsidR="00CD3186" w:rsidRDefault="00CD3186" w:rsidP="004A1847">
      <w:pPr>
        <w:spacing w:after="0" w:line="240" w:lineRule="auto"/>
      </w:pPr>
      <w:r>
        <w:separator/>
      </w:r>
    </w:p>
  </w:endnote>
  <w:endnote w:type="continuationSeparator" w:id="0">
    <w:p w14:paraId="5BA06047" w14:textId="77777777" w:rsidR="00CD3186" w:rsidRDefault="00CD3186"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altName w:val="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Rockwell">
    <w:panose1 w:val="02060603020205020403"/>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Geomanist Bold">
    <w:altName w:val="Arial"/>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911A32" w14:textId="6CE791A4" w:rsidR="003878CE" w:rsidRDefault="003878CE">
    <w:pPr>
      <w:pStyle w:val="Piedepgina"/>
    </w:pPr>
  </w:p>
  <w:p w14:paraId="594D6D9F" w14:textId="22AABE51" w:rsidR="003878CE" w:rsidRPr="00174B77" w:rsidRDefault="003878C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E444D" w:rsidRPr="00AE444D">
      <w:rPr>
        <w:rFonts w:ascii="Verdana" w:eastAsiaTheme="minorEastAsia" w:hAnsi="Verdana"/>
        <w:b/>
        <w:bCs/>
        <w:noProof/>
        <w:sz w:val="16"/>
        <w:szCs w:val="16"/>
      </w:rPr>
      <w:t>5</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878CE" w:rsidRDefault="003878C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878CE" w:rsidRPr="00E41027" w:rsidRDefault="003878CE"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878CE" w:rsidRDefault="003878CE"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0FDD08C" w14:textId="77777777" w:rsidR="00CD3186" w:rsidRDefault="00CD3186" w:rsidP="004A1847">
      <w:pPr>
        <w:spacing w:after="0" w:line="240" w:lineRule="auto"/>
      </w:pPr>
      <w:r>
        <w:separator/>
      </w:r>
    </w:p>
  </w:footnote>
  <w:footnote w:type="continuationSeparator" w:id="0">
    <w:p w14:paraId="03C52F98" w14:textId="77777777" w:rsidR="00CD3186" w:rsidRDefault="00CD3186" w:rsidP="004A1847">
      <w:pPr>
        <w:spacing w:after="0" w:line="240" w:lineRule="auto"/>
      </w:pPr>
      <w:r>
        <w:continuationSeparator/>
      </w:r>
    </w:p>
  </w:footnote>
  <w:footnote w:id="1">
    <w:p w14:paraId="4D19F3DC" w14:textId="77777777" w:rsidR="003878CE" w:rsidRPr="00237249" w:rsidRDefault="003878CE" w:rsidP="003878CE">
      <w:pPr>
        <w:pStyle w:val="Textonotapie"/>
        <w:ind w:firstLine="708"/>
        <w:jc w:val="both"/>
        <w:rPr>
          <w:rFonts w:ascii="Verdana" w:hAnsi="Verdana" w:cs="Arial"/>
          <w:color w:val="000000"/>
          <w:sz w:val="14"/>
          <w:szCs w:val="14"/>
        </w:rPr>
      </w:pPr>
      <w:r w:rsidRPr="00237249">
        <w:rPr>
          <w:rStyle w:val="Refdenotaalpie"/>
          <w:rFonts w:ascii="Verdana" w:hAnsi="Verdana" w:cs="Arial"/>
          <w:color w:val="000000"/>
          <w:sz w:val="14"/>
          <w:szCs w:val="14"/>
        </w:rPr>
        <w:footnoteRef/>
      </w:r>
      <w:r w:rsidRPr="00237249">
        <w:rPr>
          <w:rFonts w:ascii="Verdana" w:hAnsi="Verdana" w:cs="Arial"/>
          <w:color w:val="000000"/>
          <w:sz w:val="14"/>
          <w:szCs w:val="14"/>
        </w:rPr>
        <w:t xml:space="preserve"> Sobre esta norma consultar los conceptos del 8 de octubre de 2019, con radicado 2201913000007532, y del 20 de diciembre de 2019, cuyo radicado es el No. 4201913000008240.</w:t>
      </w:r>
    </w:p>
  </w:footnote>
  <w:footnote w:id="2">
    <w:p w14:paraId="77AD2472" w14:textId="77777777" w:rsidR="003878CE" w:rsidRPr="00237249" w:rsidRDefault="003878CE" w:rsidP="003878CE">
      <w:pPr>
        <w:pStyle w:val="Textonotapie"/>
        <w:ind w:firstLine="708"/>
        <w:jc w:val="both"/>
        <w:rPr>
          <w:rFonts w:ascii="Verdana" w:hAnsi="Verdana" w:cs="Arial"/>
          <w:color w:val="000000"/>
          <w:sz w:val="14"/>
          <w:szCs w:val="14"/>
        </w:rPr>
      </w:pPr>
      <w:r w:rsidRPr="00237249">
        <w:rPr>
          <w:rStyle w:val="Refdenotaalpie"/>
          <w:rFonts w:ascii="Verdana" w:hAnsi="Verdana" w:cs="Arial"/>
          <w:color w:val="000000"/>
          <w:sz w:val="14"/>
          <w:szCs w:val="14"/>
        </w:rPr>
        <w:footnoteRef/>
      </w:r>
      <w:r w:rsidRPr="00237249">
        <w:rPr>
          <w:rFonts w:ascii="Verdana" w:hAnsi="Verdana" w:cs="Arial"/>
          <w:color w:val="000000"/>
          <w:sz w:val="14"/>
          <w:szCs w:val="14"/>
        </w:rPr>
        <w:t xml:space="preserve"> Articulo 96. Constitución de asociaciones y fundaciones para el cumplimiento de las actividades propias de las entidades públicas con participación de particulares.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85C2E56" w14:textId="77777777" w:rsidR="003878CE" w:rsidRPr="00237249" w:rsidRDefault="003878CE" w:rsidP="003878CE">
      <w:pPr>
        <w:pStyle w:val="Textonotapie"/>
        <w:ind w:firstLine="708"/>
        <w:jc w:val="both"/>
        <w:rPr>
          <w:rFonts w:ascii="Verdana" w:hAnsi="Verdana" w:cs="Arial"/>
          <w:color w:val="000000"/>
          <w:sz w:val="14"/>
          <w:szCs w:val="14"/>
        </w:rPr>
      </w:pPr>
      <w:r w:rsidRPr="00237249">
        <w:rPr>
          <w:rFonts w:ascii="Verdana" w:hAnsi="Verdana" w:cs="Arial"/>
          <w:color w:val="000000"/>
          <w:sz w:val="14"/>
          <w:szCs w:val="14"/>
        </w:rPr>
        <w:t>Los convenios de asociación a que se refiere el presente artículo se celebrarán de conformidad con lo dispuesto en el artículo 355 de la Constitución Política, en ellos se determinará con precisión su objeto, término, obligaciones de las partes, aportes, coordinación y todos aquellos aspectos que se consideren pertinentes.</w:t>
      </w:r>
    </w:p>
  </w:footnote>
  <w:footnote w:id="3">
    <w:p w14:paraId="136A7C13" w14:textId="77777777" w:rsidR="003878CE" w:rsidRPr="00237249" w:rsidRDefault="003878CE" w:rsidP="003878CE">
      <w:pPr>
        <w:pStyle w:val="Textonotapie"/>
        <w:ind w:firstLine="708"/>
        <w:jc w:val="both"/>
        <w:rPr>
          <w:rFonts w:ascii="Verdana" w:hAnsi="Verdana" w:cs="Arial"/>
          <w:color w:val="000000"/>
          <w:sz w:val="14"/>
          <w:szCs w:val="14"/>
        </w:rPr>
      </w:pPr>
      <w:r w:rsidRPr="00237249">
        <w:rPr>
          <w:rStyle w:val="Refdenotaalpie"/>
          <w:rFonts w:ascii="Verdana" w:hAnsi="Verdana" w:cs="Arial"/>
          <w:color w:val="000000"/>
          <w:sz w:val="14"/>
          <w:szCs w:val="14"/>
        </w:rPr>
        <w:footnoteRef/>
      </w:r>
      <w:r w:rsidRPr="00237249">
        <w:rPr>
          <w:rFonts w:ascii="Verdana" w:hAnsi="Verdana" w:cs="Arial"/>
          <w:color w:val="000000"/>
          <w:sz w:val="14"/>
          <w:szCs w:val="14"/>
        </w:rPr>
        <w:t xml:space="preserve"> En el concepto emitido el 5 de febrero de 2019, dentro del radicado No. 2201913000000663, se dijo: «[l]os convenios de asociación del artículo 5 son distintos a los contratos de colaboración del artículo 2 del Decreto 092 de 2017».</w:t>
      </w:r>
    </w:p>
  </w:footnote>
  <w:footnote w:id="4">
    <w:p w14:paraId="7726AEC7" w14:textId="77777777" w:rsidR="003878CE" w:rsidRPr="00237249" w:rsidRDefault="003878CE" w:rsidP="003878CE">
      <w:pPr>
        <w:pStyle w:val="Textonotapie"/>
        <w:ind w:firstLine="708"/>
        <w:jc w:val="both"/>
        <w:rPr>
          <w:rFonts w:ascii="Verdana" w:hAnsi="Verdana"/>
          <w:sz w:val="14"/>
          <w:szCs w:val="14"/>
        </w:rPr>
      </w:pPr>
      <w:r w:rsidRPr="00237249">
        <w:rPr>
          <w:rStyle w:val="Refdenotaalpie"/>
          <w:rFonts w:ascii="Verdana" w:hAnsi="Verdana"/>
          <w:sz w:val="14"/>
          <w:szCs w:val="14"/>
        </w:rPr>
        <w:footnoteRef/>
      </w:r>
      <w:r w:rsidRPr="00237249">
        <w:rPr>
          <w:rFonts w:ascii="Verdana" w:hAnsi="Verdana"/>
          <w:sz w:val="14"/>
          <w:szCs w:val="14"/>
        </w:rPr>
        <w:t xml:space="preserve"> Consejo De Estado. Sala de Consulta y Servicio Civil. Concepto del 30 de mayo de 2017. C.P. Edgar González López. Rad. 2.319. </w:t>
      </w:r>
    </w:p>
  </w:footnote>
  <w:footnote w:id="5">
    <w:p w14:paraId="220C0C3E" w14:textId="77777777" w:rsidR="003878CE" w:rsidRPr="00237249" w:rsidRDefault="003878CE" w:rsidP="003878CE">
      <w:pPr>
        <w:pStyle w:val="Textonotapie"/>
        <w:ind w:firstLine="709"/>
        <w:jc w:val="both"/>
        <w:rPr>
          <w:rFonts w:ascii="Verdana" w:hAnsi="Verdana" w:cs="Arial"/>
          <w:color w:val="000000" w:themeColor="text1"/>
          <w:sz w:val="14"/>
          <w:szCs w:val="14"/>
        </w:rPr>
      </w:pPr>
      <w:r w:rsidRPr="00237249">
        <w:rPr>
          <w:rStyle w:val="Refdenotaalpie"/>
          <w:rFonts w:ascii="Verdana" w:hAnsi="Verdana" w:cs="Arial"/>
          <w:color w:val="000000" w:themeColor="text1"/>
          <w:sz w:val="14"/>
          <w:szCs w:val="14"/>
        </w:rPr>
        <w:footnoteRef/>
      </w:r>
      <w:r w:rsidRPr="00237249">
        <w:rPr>
          <w:rFonts w:ascii="Verdana" w:hAnsi="Verdana" w:cs="Arial"/>
          <w:color w:val="000000" w:themeColor="text1"/>
          <w:sz w:val="14"/>
          <w:szCs w:val="14"/>
        </w:rPr>
        <w:t xml:space="preserve"> Agencia Nacional de Contratación Pública – Colombia Compra Eficiente. Concepto del 3 de septiembre de 2019, con radicado No. 2201913000006512.</w:t>
      </w:r>
    </w:p>
    <w:p w14:paraId="433E7B6B" w14:textId="77777777" w:rsidR="003878CE" w:rsidRPr="00237249" w:rsidRDefault="003878CE" w:rsidP="003878CE">
      <w:pPr>
        <w:pStyle w:val="Textonotapie"/>
        <w:ind w:firstLine="709"/>
        <w:jc w:val="both"/>
        <w:rPr>
          <w:rFonts w:ascii="Verdana" w:hAnsi="Verdana" w:cs="Arial"/>
          <w:color w:val="000000" w:themeColor="text1"/>
          <w:sz w:val="14"/>
          <w:szCs w:val="14"/>
        </w:rPr>
      </w:pPr>
    </w:p>
  </w:footnote>
  <w:footnote w:id="6">
    <w:p w14:paraId="4F1189FE" w14:textId="77777777" w:rsidR="003878CE" w:rsidRPr="00237249" w:rsidRDefault="003878CE" w:rsidP="003878CE">
      <w:pPr>
        <w:pStyle w:val="Textonotapie"/>
        <w:ind w:firstLine="708"/>
        <w:jc w:val="both"/>
        <w:rPr>
          <w:rFonts w:ascii="Verdana" w:hAnsi="Verdana" w:cs="Arial"/>
          <w:color w:val="000000"/>
          <w:sz w:val="14"/>
          <w:szCs w:val="14"/>
          <w:lang w:val="es-ES"/>
        </w:rPr>
      </w:pPr>
      <w:r w:rsidRPr="00237249">
        <w:rPr>
          <w:rStyle w:val="Refdenotaalpie"/>
          <w:rFonts w:ascii="Verdana" w:hAnsi="Verdana" w:cs="Arial"/>
          <w:color w:val="000000"/>
          <w:sz w:val="14"/>
          <w:szCs w:val="14"/>
        </w:rPr>
        <w:footnoteRef/>
      </w:r>
      <w:r w:rsidRPr="00237249">
        <w:rPr>
          <w:rFonts w:ascii="Verdana" w:hAnsi="Verdana" w:cs="Arial"/>
          <w:color w:val="000000"/>
          <w:sz w:val="14"/>
          <w:szCs w:val="14"/>
        </w:rPr>
        <w:t xml:space="preserve"> Concepto del 19 de noviembre de 2019, emitido en el radicado No. 2201913000008611.</w:t>
      </w:r>
    </w:p>
  </w:footnote>
  <w:footnote w:id="7">
    <w:p w14:paraId="6EE7B21B" w14:textId="77777777" w:rsidR="003878CE" w:rsidRPr="00237249" w:rsidRDefault="003878CE" w:rsidP="003878CE">
      <w:pPr>
        <w:pStyle w:val="Textonotapie"/>
        <w:ind w:firstLine="708"/>
        <w:rPr>
          <w:rFonts w:ascii="Verdana" w:hAnsi="Verdana"/>
          <w:sz w:val="14"/>
          <w:szCs w:val="14"/>
          <w:lang w:val="es-ES"/>
        </w:rPr>
      </w:pPr>
      <w:r w:rsidRPr="00237249">
        <w:rPr>
          <w:rStyle w:val="Refdenotaalpie"/>
          <w:rFonts w:ascii="Verdana" w:hAnsi="Verdana"/>
          <w:sz w:val="14"/>
          <w:szCs w:val="14"/>
        </w:rPr>
        <w:footnoteRef/>
      </w:r>
      <w:r w:rsidRPr="00237249">
        <w:rPr>
          <w:rFonts w:ascii="Verdana" w:hAnsi="Verdana"/>
          <w:sz w:val="14"/>
          <w:szCs w:val="14"/>
        </w:rPr>
        <w:t xml:space="preserve"> Agencia Nacional de Contratación Pública –Colombia Compra Eficiente. </w:t>
      </w:r>
      <w:r w:rsidRPr="00237249">
        <w:rPr>
          <w:rFonts w:ascii="Verdana" w:hAnsi="Verdana"/>
          <w:bCs/>
          <w:iCs/>
          <w:sz w:val="14"/>
          <w:szCs w:val="14"/>
          <w:lang w:val="es-CO"/>
        </w:rPr>
        <w:t>Guía para la contratación con entidades privadas sin ánimo de lucro y de reconocida idoneidad, 2025. p. 14.</w:t>
      </w:r>
      <w:r w:rsidRPr="00237249">
        <w:rPr>
          <w:rFonts w:ascii="Verdana" w:hAnsi="Verdana"/>
          <w:bCs/>
          <w:i/>
          <w:iCs/>
          <w:sz w:val="14"/>
          <w:szCs w:val="14"/>
          <w:lang w:val="es-CO"/>
        </w:rPr>
        <w:t xml:space="preserve"> </w:t>
      </w:r>
    </w:p>
  </w:footnote>
  <w:footnote w:id="8">
    <w:p w14:paraId="49A8B809" w14:textId="77777777" w:rsidR="003878CE" w:rsidRPr="00237249" w:rsidRDefault="003878CE" w:rsidP="003878CE">
      <w:pPr>
        <w:pStyle w:val="Textonotapie"/>
        <w:ind w:firstLine="708"/>
        <w:jc w:val="both"/>
        <w:rPr>
          <w:rFonts w:ascii="Verdana" w:hAnsi="Verdana" w:cs="Arial"/>
          <w:color w:val="000000"/>
          <w:sz w:val="14"/>
          <w:szCs w:val="14"/>
        </w:rPr>
      </w:pPr>
      <w:r w:rsidRPr="00237249">
        <w:rPr>
          <w:rStyle w:val="Refdenotaalpie"/>
          <w:rFonts w:ascii="Verdana" w:hAnsi="Verdana" w:cs="Arial"/>
          <w:color w:val="000000"/>
          <w:sz w:val="14"/>
          <w:szCs w:val="14"/>
        </w:rPr>
        <w:footnoteRef/>
      </w:r>
      <w:r w:rsidRPr="00237249">
        <w:rPr>
          <w:rFonts w:ascii="Verdana" w:hAnsi="Verdana" w:cs="Arial"/>
          <w:color w:val="000000"/>
          <w:sz w:val="14"/>
          <w:szCs w:val="14"/>
        </w:rPr>
        <w:t xml:space="preserve"> Se precisa que la suspensión provisional, de acuerdo con el artículo 231 de la Ley 1437 de 2011, es una medida cautelar que busca proteger y garantizar, de forma provisional, que la norma demandada no genere actos contrarios al ordenamiento jurídico, razón por la cual, para decretarla es necesario que la transgresión de las normas superiores invocadas surja de la comparación entre estas y los actos acusados o del estudio de las pruebas aportadas con la solicitud.</w:t>
      </w:r>
    </w:p>
    <w:p w14:paraId="68A8FF6B" w14:textId="77777777" w:rsidR="003878CE" w:rsidRPr="00237249" w:rsidRDefault="003878CE" w:rsidP="003878CE">
      <w:pPr>
        <w:pStyle w:val="Textonotapie"/>
        <w:ind w:firstLine="708"/>
        <w:jc w:val="both"/>
        <w:rPr>
          <w:rFonts w:ascii="Verdana" w:hAnsi="Verdana" w:cs="Arial"/>
          <w:color w:val="000000"/>
          <w:sz w:val="14"/>
          <w:szCs w:val="14"/>
        </w:rPr>
      </w:pPr>
    </w:p>
  </w:footnote>
  <w:footnote w:id="9">
    <w:p w14:paraId="365B9705" w14:textId="77777777" w:rsidR="003878CE" w:rsidRPr="00237249" w:rsidRDefault="003878CE" w:rsidP="003878CE">
      <w:pPr>
        <w:pStyle w:val="Textonotapie"/>
        <w:ind w:firstLine="708"/>
        <w:jc w:val="both"/>
        <w:rPr>
          <w:rFonts w:ascii="Verdana" w:hAnsi="Verdana" w:cs="Arial"/>
          <w:sz w:val="14"/>
          <w:szCs w:val="14"/>
          <w:lang w:val="es-ES"/>
        </w:rPr>
      </w:pPr>
      <w:r w:rsidRPr="00237249">
        <w:rPr>
          <w:rStyle w:val="Refdenotaalpie"/>
          <w:rFonts w:ascii="Verdana" w:hAnsi="Verdana" w:cs="Arial"/>
          <w:sz w:val="14"/>
          <w:szCs w:val="14"/>
        </w:rPr>
        <w:footnoteRef/>
      </w:r>
      <w:r w:rsidRPr="00237249">
        <w:rPr>
          <w:rFonts w:ascii="Verdana" w:hAnsi="Verdana" w:cs="Arial"/>
          <w:sz w:val="14"/>
          <w:szCs w:val="14"/>
        </w:rPr>
        <w:t xml:space="preserve"> </w:t>
      </w:r>
      <w:r w:rsidRPr="00237249">
        <w:rPr>
          <w:rFonts w:ascii="Verdana" w:hAnsi="Verdana" w:cs="Arial"/>
          <w:sz w:val="14"/>
          <w:szCs w:val="14"/>
          <w:lang w:val="es-ES"/>
        </w:rPr>
        <w:t>Consejo de Estado. Sala Plena. Auto del 15 de marzo de 2022. Consejera Ponente: Rocío Araujo Oñate. Expediente: 62.003. En esta decisión, en efecto, se decidió: “REVOCAR los numerales primero y tercero de la parte resolutiva del auto proferido el 6 de agosto de 2019, que suspendieron de manera provisional los efectos del inciso segundo del artículo 1 y del inciso segundo del artículo 3 del Decreto 92 de 2017, respectivamente, y en su lugar NEGAR la medida cautelar”, y “CONFIRMAR LA SUSPENSIÓN PROVISIONAL de los literales a) y c) del artículo segundo y el inciso quinto de la misma norma, así como del inciso final del artículo 4 del Decreto 92 de 2017, por las razones expuestas”.</w:t>
      </w:r>
    </w:p>
    <w:p w14:paraId="72BD6AE9" w14:textId="77777777" w:rsidR="003878CE" w:rsidRPr="00237249" w:rsidRDefault="003878CE" w:rsidP="003878CE">
      <w:pPr>
        <w:pStyle w:val="Textonotapie"/>
        <w:ind w:firstLine="708"/>
        <w:jc w:val="both"/>
        <w:rPr>
          <w:rFonts w:ascii="Verdana" w:hAnsi="Verdana" w:cs="Arial"/>
          <w:sz w:val="14"/>
          <w:szCs w:val="14"/>
          <w:lang w:val="es-ES"/>
        </w:rPr>
      </w:pPr>
    </w:p>
  </w:footnote>
  <w:footnote w:id="10">
    <w:p w14:paraId="67BB7383" w14:textId="77777777" w:rsidR="003878CE" w:rsidRPr="00237249" w:rsidRDefault="003878CE" w:rsidP="003878CE">
      <w:pPr>
        <w:spacing w:after="0" w:line="240" w:lineRule="auto"/>
        <w:ind w:firstLine="708"/>
        <w:jc w:val="both"/>
        <w:textAlignment w:val="baseline"/>
        <w:rPr>
          <w:rFonts w:ascii="Verdana" w:hAnsi="Verdana" w:cs="Arial"/>
          <w:sz w:val="14"/>
          <w:szCs w:val="14"/>
        </w:rPr>
      </w:pPr>
      <w:r w:rsidRPr="00237249">
        <w:rPr>
          <w:rStyle w:val="Refdenotaalpie"/>
          <w:rFonts w:ascii="Verdana" w:hAnsi="Verdana" w:cs="Arial"/>
          <w:sz w:val="14"/>
          <w:szCs w:val="14"/>
        </w:rPr>
        <w:footnoteRef/>
      </w:r>
      <w:r w:rsidRPr="00237249">
        <w:rPr>
          <w:rFonts w:ascii="Verdana" w:hAnsi="Verdana" w:cs="Arial"/>
          <w:sz w:val="14"/>
          <w:szCs w:val="14"/>
        </w:rPr>
        <w:t xml:space="preserve"> </w:t>
      </w:r>
      <w:r w:rsidRPr="00237249">
        <w:rPr>
          <w:rFonts w:ascii="Verdana" w:eastAsia="Calibri" w:hAnsi="Verdana" w:cs="Arial"/>
          <w:color w:val="000000"/>
          <w:sz w:val="14"/>
          <w:szCs w:val="14"/>
          <w:lang w:val="es-MX"/>
        </w:rPr>
        <w:t>E</w:t>
      </w:r>
      <w:r w:rsidRPr="00237249">
        <w:rPr>
          <w:rFonts w:ascii="Verdana" w:eastAsia="Calibri" w:hAnsi="Verdana" w:cs="Arial"/>
          <w:sz w:val="14"/>
          <w:szCs w:val="14"/>
          <w:lang w:val="es-ES_tradnl" w:eastAsia="es-ES_tradnl"/>
        </w:rPr>
        <w:t xml:space="preserve">n armonía con lo anterior, las siguientes son las conclusiones que dedujo esta Agencia en relación con los </w:t>
      </w:r>
      <w:r w:rsidRPr="00237249">
        <w:rPr>
          <w:rFonts w:ascii="Verdana" w:eastAsia="Calibri" w:hAnsi="Verdana" w:cs="Arial"/>
          <w:i/>
          <w:iCs/>
          <w:sz w:val="14"/>
          <w:szCs w:val="14"/>
          <w:lang w:val="es-ES_tradnl" w:eastAsia="es-ES_tradnl"/>
        </w:rPr>
        <w:t>contratos de colaboración</w:t>
      </w:r>
      <w:r w:rsidRPr="00237249">
        <w:rPr>
          <w:rFonts w:ascii="Verdana" w:eastAsia="Calibri" w:hAnsi="Verdana" w:cs="Arial"/>
          <w:sz w:val="14"/>
          <w:szCs w:val="14"/>
          <w:lang w:val="es-ES_tradnl" w:eastAsia="es-ES_tradnl"/>
        </w:rPr>
        <w:t>, tal como se expresa, por ejemplo, en el concepto C-529 del 11 de agosto de 2020: “</w:t>
      </w:r>
      <w:r w:rsidRPr="00237249">
        <w:rPr>
          <w:rFonts w:ascii="Verdana" w:eastAsia="Calibri" w:hAnsi="Verdana" w:cs="Arial"/>
          <w:color w:val="000000"/>
          <w:sz w:val="14"/>
          <w:szCs w:val="14"/>
          <w:lang w:val="es-MX"/>
        </w:rPr>
        <w:t>En este orden de ideas, la contratación con entidades sin ánimo de lucro se sigue rigiendo por el Decreto 092 de 2017, salvo lo que fue objeto de suspensión provisional. Por lo tanto, las entidades públicas que desean celebrar contratos de interés público, en los términos del artículo 355 de la Constitución Política, deben contratar con ESAL de reconocida idoneidad, como ya se dijo, realizando un proceso competitivo, y teniendo en cuenta, se insiste, las siguientes características: i) no se debe condicionar el proceso de contratación a la inexistencia de oferta en el mercado de bienes y servicios; ii) tampoco se debe condicionar a que la contratación con las ESAL garantice la optimización de los recursos públicos en términos de eficiencia, eficacia, economía y manejo del riesgo; iii) el objeto del contrato debe estar acorde con el plan nacional o seccional de desarrollo; iv) no se puede condicionar únicamente que las actividades o programas correspondan exclusivamente a promover los derechos de personas en situación de debilidad manifiesta o indefensión, los derechos de las minorías, el derecho a la educación, el derecho a la paz, las manifestaciones artísticas, culturales, deportivas y de promoción de la diversidad étnica colombiana, por lo que basta con cumplir el anterior numeral iii); y v) el contrato no establezca una relación conmutativa en el cual haya una contraprestación directa a favor de la entidad, ni instrucciones precisas dadas por esta al contratista para cumplir con el objeto del contrato”.</w:t>
      </w:r>
    </w:p>
  </w:footnote>
  <w:footnote w:id="11">
    <w:p w14:paraId="1D4B66FF" w14:textId="77777777" w:rsidR="003878CE" w:rsidRPr="00237249" w:rsidRDefault="003878CE" w:rsidP="003878CE">
      <w:pPr>
        <w:pStyle w:val="Textonotapie"/>
        <w:ind w:firstLine="708"/>
        <w:jc w:val="both"/>
        <w:rPr>
          <w:rFonts w:ascii="Verdana" w:hAnsi="Verdana" w:cs="Arial"/>
          <w:color w:val="000000"/>
          <w:sz w:val="14"/>
          <w:szCs w:val="14"/>
        </w:rPr>
      </w:pPr>
      <w:r w:rsidRPr="00237249">
        <w:rPr>
          <w:rStyle w:val="Refdenotaalpie"/>
          <w:rFonts w:ascii="Verdana" w:hAnsi="Verdana" w:cs="Arial"/>
          <w:color w:val="000000"/>
          <w:sz w:val="14"/>
          <w:szCs w:val="14"/>
        </w:rPr>
        <w:footnoteRef/>
      </w:r>
      <w:r w:rsidRPr="00237249">
        <w:rPr>
          <w:rFonts w:ascii="Verdana" w:hAnsi="Verdana" w:cs="Arial"/>
          <w:color w:val="000000"/>
          <w:sz w:val="14"/>
          <w:szCs w:val="14"/>
        </w:rPr>
        <w:t xml:space="preserve"> Decreto 092, artículo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footnote>
  <w:footnote w:id="12">
    <w:p w14:paraId="70BB0885" w14:textId="77777777" w:rsidR="003878CE" w:rsidRPr="00237249" w:rsidRDefault="003878CE" w:rsidP="003878CE">
      <w:pPr>
        <w:pStyle w:val="Textonotapie"/>
        <w:ind w:firstLine="708"/>
        <w:rPr>
          <w:rFonts w:ascii="Verdana" w:hAnsi="Verdana" w:cs="Arial"/>
          <w:sz w:val="14"/>
          <w:szCs w:val="14"/>
        </w:rPr>
      </w:pPr>
      <w:r w:rsidRPr="00237249">
        <w:rPr>
          <w:rStyle w:val="Refdenotaalpie"/>
          <w:rFonts w:ascii="Verdana" w:hAnsi="Verdana" w:cs="Arial"/>
          <w:sz w:val="14"/>
          <w:szCs w:val="14"/>
        </w:rPr>
        <w:footnoteRef/>
      </w:r>
      <w:r w:rsidRPr="00237249">
        <w:rPr>
          <w:rFonts w:ascii="Verdana" w:hAnsi="Verdana" w:cs="Arial"/>
          <w:sz w:val="14"/>
          <w:szCs w:val="14"/>
        </w:rPr>
        <w:t xml:space="preserve"> COLOMBIA COMPRA EFICIENTE. Guía de garantías en procesos de contratación. p. 12. Disponible en: </w:t>
      </w:r>
      <w:hyperlink r:id="rId1" w:history="1">
        <w:r w:rsidRPr="00237249">
          <w:rPr>
            <w:rStyle w:val="Hipervnculo"/>
            <w:rFonts w:ascii="Verdana" w:hAnsi="Verdana" w:cs="Arial"/>
            <w:sz w:val="14"/>
            <w:szCs w:val="14"/>
          </w:rPr>
          <w:t>https://www.colombiacompra.gov.co/manuales-guias-y-pliegos-tipo/manuales-y-guias</w:t>
        </w:r>
      </w:hyperlink>
      <w:r w:rsidRPr="00237249">
        <w:rPr>
          <w:rFonts w:ascii="Verdana" w:hAnsi="Verdana" w:cs="Arial"/>
          <w:sz w:val="14"/>
          <w:szCs w:val="14"/>
        </w:rPr>
        <w:t xml:space="preserve">. </w:t>
      </w:r>
    </w:p>
    <w:p w14:paraId="5242C5E2" w14:textId="77777777" w:rsidR="003878CE" w:rsidRPr="00237249" w:rsidRDefault="003878CE" w:rsidP="003878CE">
      <w:pPr>
        <w:pStyle w:val="Textonotapie"/>
        <w:ind w:firstLine="708"/>
        <w:rPr>
          <w:rFonts w:ascii="Verdana" w:hAnsi="Verdana" w:cs="Arial"/>
          <w:sz w:val="14"/>
          <w:szCs w:val="14"/>
          <w:lang w:val="es-CO"/>
        </w:rPr>
      </w:pPr>
    </w:p>
  </w:footnote>
  <w:footnote w:id="13">
    <w:p w14:paraId="66AE5AC5" w14:textId="77777777" w:rsidR="003878CE" w:rsidRPr="00237249" w:rsidRDefault="003878CE" w:rsidP="003878CE">
      <w:pPr>
        <w:pStyle w:val="Textonotapie"/>
        <w:ind w:firstLine="708"/>
        <w:jc w:val="both"/>
        <w:rPr>
          <w:rFonts w:ascii="Verdana" w:hAnsi="Verdana" w:cs="Arial"/>
          <w:sz w:val="14"/>
          <w:szCs w:val="14"/>
        </w:rPr>
      </w:pPr>
      <w:r w:rsidRPr="00237249">
        <w:rPr>
          <w:rStyle w:val="Refdenotaalpie"/>
          <w:rFonts w:ascii="Verdana" w:hAnsi="Verdana" w:cs="Arial"/>
          <w:sz w:val="14"/>
          <w:szCs w:val="14"/>
        </w:rPr>
        <w:footnoteRef/>
      </w:r>
      <w:r w:rsidRPr="00237249">
        <w:rPr>
          <w:rFonts w:ascii="Verdana" w:hAnsi="Verdana" w:cs="Arial"/>
          <w:sz w:val="14"/>
          <w:szCs w:val="14"/>
        </w:rPr>
        <w:t xml:space="preserve"> Ibídem., p. 17. La guía además señala en relación con las garantías bancarias y cartas de crédito stand 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 w:id="14">
    <w:p w14:paraId="49DD3871" w14:textId="77777777" w:rsidR="003878CE" w:rsidRPr="00237249" w:rsidRDefault="003878CE" w:rsidP="003878CE">
      <w:pPr>
        <w:pStyle w:val="Textonotapie"/>
        <w:snapToGrid w:val="0"/>
        <w:ind w:firstLine="708"/>
        <w:contextualSpacing/>
        <w:jc w:val="both"/>
        <w:rPr>
          <w:rFonts w:ascii="Verdana" w:hAnsi="Verdana" w:cs="Arial"/>
          <w:sz w:val="14"/>
          <w:szCs w:val="14"/>
        </w:rPr>
      </w:pPr>
      <w:r w:rsidRPr="00237249">
        <w:rPr>
          <w:rStyle w:val="Refdenotaalpie"/>
          <w:rFonts w:ascii="Verdana" w:hAnsi="Verdana" w:cs="Arial"/>
          <w:sz w:val="14"/>
          <w:szCs w:val="14"/>
        </w:rPr>
        <w:footnoteRef/>
      </w:r>
      <w:r w:rsidRPr="00237249">
        <w:rPr>
          <w:rFonts w:ascii="Verdana" w:hAnsi="Verdana" w:cs="Arial"/>
          <w:sz w:val="14"/>
          <w:szCs w:val="14"/>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p w14:paraId="46CB3113" w14:textId="77777777" w:rsidR="003878CE" w:rsidRPr="00237249" w:rsidRDefault="003878CE" w:rsidP="003878CE">
      <w:pPr>
        <w:pStyle w:val="Textonotapie"/>
        <w:snapToGrid w:val="0"/>
        <w:ind w:firstLine="708"/>
        <w:contextualSpacing/>
        <w:jc w:val="both"/>
        <w:rPr>
          <w:rFonts w:ascii="Verdana" w:hAnsi="Verdana" w:cs="Arial"/>
          <w:sz w:val="14"/>
          <w:szCs w:val="14"/>
        </w:rPr>
      </w:pPr>
    </w:p>
  </w:footnote>
  <w:footnote w:id="15">
    <w:p w14:paraId="7C268090" w14:textId="77777777" w:rsidR="003878CE" w:rsidRPr="00237249" w:rsidRDefault="003878CE" w:rsidP="003878CE">
      <w:pPr>
        <w:pStyle w:val="Textonotapie"/>
        <w:snapToGrid w:val="0"/>
        <w:ind w:firstLine="709"/>
        <w:contextualSpacing/>
        <w:jc w:val="both"/>
        <w:rPr>
          <w:rFonts w:ascii="Verdana" w:hAnsi="Verdana" w:cs="Arial"/>
          <w:color w:val="000000" w:themeColor="text1"/>
          <w:sz w:val="14"/>
          <w:szCs w:val="14"/>
        </w:rPr>
      </w:pPr>
      <w:r w:rsidRPr="00237249">
        <w:rPr>
          <w:rStyle w:val="Refdenotaalpie"/>
          <w:rFonts w:ascii="Verdana" w:hAnsi="Verdana" w:cs="Arial"/>
          <w:color w:val="000000" w:themeColor="text1"/>
          <w:sz w:val="14"/>
          <w:szCs w:val="14"/>
        </w:rPr>
        <w:footnoteRef/>
      </w:r>
      <w:r w:rsidRPr="00237249">
        <w:rPr>
          <w:rFonts w:ascii="Verdana" w:hAnsi="Verdana" w:cs="Arial"/>
          <w:color w:val="000000" w:themeColor="text1"/>
          <w:sz w:val="14"/>
          <w:szCs w:val="14"/>
        </w:rPr>
        <w:t xml:space="preserve"> ORDÓÑEZ ORDÓÑEZ, Andrés E. Seguro de cumplimiento de los contratos estatales en Colombia. Bogotá: Universidad Externado de Colombia, 2011. p. 44.</w:t>
      </w:r>
    </w:p>
  </w:footnote>
  <w:footnote w:id="16">
    <w:p w14:paraId="6C1F0C45" w14:textId="77777777" w:rsidR="003878CE" w:rsidRPr="00237249" w:rsidRDefault="003878CE" w:rsidP="003878CE">
      <w:pPr>
        <w:pStyle w:val="Textonotapie"/>
        <w:ind w:firstLine="708"/>
        <w:jc w:val="both"/>
        <w:rPr>
          <w:rFonts w:ascii="Verdana" w:hAnsi="Verdana"/>
          <w:sz w:val="14"/>
          <w:szCs w:val="14"/>
          <w:lang w:val="es-CO"/>
        </w:rPr>
      </w:pPr>
      <w:r w:rsidRPr="00237249">
        <w:rPr>
          <w:rStyle w:val="Refdenotaalpie"/>
          <w:rFonts w:ascii="Verdana" w:hAnsi="Verdana"/>
          <w:sz w:val="14"/>
          <w:szCs w:val="14"/>
        </w:rPr>
        <w:footnoteRef/>
      </w:r>
      <w:r w:rsidRPr="00237249">
        <w:rPr>
          <w:rFonts w:ascii="Verdana" w:hAnsi="Verdana"/>
          <w:sz w:val="14"/>
          <w:szCs w:val="14"/>
        </w:rPr>
        <w:t xml:space="preserve"> “</w:t>
      </w:r>
      <w:r w:rsidRPr="00237249">
        <w:rPr>
          <w:rFonts w:ascii="Verdana" w:hAnsi="Verdana"/>
          <w:bCs/>
          <w:sz w:val="14"/>
          <w:szCs w:val="14"/>
          <w:lang w:val="es-CO"/>
        </w:rPr>
        <w:t>Artículo 2.2.1.2.3.1.7. </w:t>
      </w:r>
      <w:r w:rsidRPr="00237249">
        <w:rPr>
          <w:rFonts w:ascii="Verdana" w:hAnsi="Verdana"/>
          <w:bCs/>
          <w:i/>
          <w:iCs/>
          <w:sz w:val="14"/>
          <w:szCs w:val="14"/>
          <w:lang w:val="es-CO"/>
        </w:rPr>
        <w:t>Garantía de cumplimiento.</w:t>
      </w:r>
      <w:r w:rsidRPr="00237249">
        <w:rPr>
          <w:rFonts w:ascii="Verdana" w:hAnsi="Verdana"/>
          <w:i/>
          <w:iCs/>
          <w:sz w:val="14"/>
          <w:szCs w:val="14"/>
          <w:lang w:val="es-CO"/>
        </w:rPr>
        <w:t> </w:t>
      </w:r>
      <w:r w:rsidRPr="00237249">
        <w:rPr>
          <w:rFonts w:ascii="Verdana" w:hAnsi="Verdana"/>
          <w:sz w:val="14"/>
          <w:szCs w:val="14"/>
          <w:lang w:val="es-CO"/>
        </w:rPr>
        <w:t>La garantía de cumplimiento del contrato debe cubrir:</w:t>
      </w:r>
    </w:p>
    <w:p w14:paraId="7E26ABEC" w14:textId="77777777" w:rsidR="003878CE" w:rsidRPr="00237249" w:rsidRDefault="003878CE" w:rsidP="003878CE">
      <w:pPr>
        <w:pStyle w:val="Textonotapie"/>
        <w:ind w:firstLine="708"/>
        <w:jc w:val="both"/>
        <w:rPr>
          <w:rFonts w:ascii="Verdana" w:hAnsi="Verdana"/>
          <w:sz w:val="14"/>
          <w:szCs w:val="14"/>
          <w:lang w:val="es-CO"/>
        </w:rPr>
      </w:pPr>
      <w:r w:rsidRPr="00237249">
        <w:rPr>
          <w:rFonts w:ascii="Verdana" w:hAnsi="Verdana"/>
          <w:sz w:val="14"/>
          <w:szCs w:val="14"/>
          <w:lang w:val="es-CO"/>
        </w:rPr>
        <w:t>[...]</w:t>
      </w:r>
    </w:p>
    <w:p w14:paraId="2C9E7C7D" w14:textId="77777777" w:rsidR="003878CE" w:rsidRPr="00237249" w:rsidRDefault="003878CE" w:rsidP="003878CE">
      <w:pPr>
        <w:pStyle w:val="Textonotapie"/>
        <w:ind w:firstLine="708"/>
        <w:jc w:val="both"/>
        <w:rPr>
          <w:rFonts w:ascii="Verdana" w:hAnsi="Verdana"/>
          <w:sz w:val="14"/>
          <w:szCs w:val="14"/>
          <w:lang w:val="es-CO"/>
        </w:rPr>
      </w:pPr>
      <w:r w:rsidRPr="00237249">
        <w:rPr>
          <w:rFonts w:ascii="Verdana" w:hAnsi="Verdana"/>
          <w:sz w:val="14"/>
          <w:szCs w:val="14"/>
          <w:lang w:val="es-CO"/>
        </w:rPr>
        <w:t>3.    Cumplimiento del contrato. Este amparo cubre a la Entidad Estatal de los perjuicios derivados de:</w:t>
      </w:r>
    </w:p>
    <w:p w14:paraId="571A95B6" w14:textId="77777777" w:rsidR="003878CE" w:rsidRPr="00237249" w:rsidRDefault="003878CE" w:rsidP="003878CE">
      <w:pPr>
        <w:pStyle w:val="Textonotapie"/>
        <w:ind w:firstLine="708"/>
        <w:jc w:val="both"/>
        <w:rPr>
          <w:rFonts w:ascii="Verdana" w:hAnsi="Verdana"/>
          <w:sz w:val="14"/>
          <w:szCs w:val="14"/>
          <w:lang w:val="es-CO"/>
        </w:rPr>
      </w:pPr>
      <w:r w:rsidRPr="00237249">
        <w:rPr>
          <w:rFonts w:ascii="Verdana" w:hAnsi="Verdana"/>
          <w:sz w:val="14"/>
          <w:szCs w:val="14"/>
          <w:lang w:val="es-CO"/>
        </w:rPr>
        <w:t>3.1.   El incumplimiento total o parcial del contrato, cuando el incumplimiento es imputable al contratista;</w:t>
      </w:r>
    </w:p>
    <w:p w14:paraId="31EE39D7" w14:textId="77777777" w:rsidR="003878CE" w:rsidRPr="00237249" w:rsidRDefault="003878CE" w:rsidP="003878CE">
      <w:pPr>
        <w:pStyle w:val="Textonotapie"/>
        <w:ind w:firstLine="708"/>
        <w:jc w:val="both"/>
        <w:rPr>
          <w:rFonts w:ascii="Verdana" w:hAnsi="Verdana"/>
          <w:sz w:val="14"/>
          <w:szCs w:val="14"/>
          <w:lang w:val="es-CO"/>
        </w:rPr>
      </w:pPr>
      <w:r w:rsidRPr="00237249">
        <w:rPr>
          <w:rFonts w:ascii="Verdana" w:hAnsi="Verdana"/>
          <w:sz w:val="14"/>
          <w:szCs w:val="14"/>
          <w:lang w:val="es-CO"/>
        </w:rPr>
        <w:t>3.2.   El cumplimiento tardío o defectuoso del contrato, cuando el incumplimiento es imputable al contratista;</w:t>
      </w:r>
    </w:p>
    <w:p w14:paraId="1B2DB4F7" w14:textId="77777777" w:rsidR="003878CE" w:rsidRPr="00237249" w:rsidRDefault="003878CE" w:rsidP="003878CE">
      <w:pPr>
        <w:pStyle w:val="Textonotapie"/>
        <w:ind w:firstLine="708"/>
        <w:jc w:val="both"/>
        <w:rPr>
          <w:rFonts w:ascii="Verdana" w:hAnsi="Verdana"/>
          <w:sz w:val="14"/>
          <w:szCs w:val="14"/>
          <w:lang w:val="es-CO"/>
        </w:rPr>
      </w:pPr>
      <w:r w:rsidRPr="00237249">
        <w:rPr>
          <w:rFonts w:ascii="Verdana" w:hAnsi="Verdana"/>
          <w:sz w:val="14"/>
          <w:szCs w:val="14"/>
          <w:lang w:val="es-CO"/>
        </w:rPr>
        <w:t>3.3.   Los daños imputables al contratista por entregas parciales de la obra, cuando el contrato no prevé entregas parciales; y</w:t>
      </w:r>
    </w:p>
    <w:p w14:paraId="438422A0" w14:textId="77777777" w:rsidR="003878CE" w:rsidRPr="00237249" w:rsidRDefault="003878CE" w:rsidP="003878CE">
      <w:pPr>
        <w:pStyle w:val="Textonotapie"/>
        <w:ind w:firstLine="708"/>
        <w:jc w:val="both"/>
        <w:rPr>
          <w:rFonts w:ascii="Verdana" w:hAnsi="Verdana"/>
          <w:sz w:val="14"/>
          <w:szCs w:val="14"/>
          <w:lang w:val="es-CO"/>
        </w:rPr>
      </w:pPr>
      <w:r w:rsidRPr="00237249">
        <w:rPr>
          <w:rFonts w:ascii="Verdana" w:hAnsi="Verdana"/>
          <w:sz w:val="14"/>
          <w:szCs w:val="14"/>
          <w:lang w:val="es-CO"/>
        </w:rPr>
        <w:t>3.4.   El pago del valor de las multas y de la cláusula penal pecuniaria […]”.</w:t>
      </w:r>
    </w:p>
    <w:p w14:paraId="3F31251F" w14:textId="77777777" w:rsidR="003878CE" w:rsidRPr="00237249" w:rsidRDefault="003878CE" w:rsidP="003878CE">
      <w:pPr>
        <w:pStyle w:val="Textonotapie"/>
        <w:ind w:firstLine="708"/>
        <w:jc w:val="both"/>
        <w:rPr>
          <w:sz w:val="14"/>
          <w:szCs w:val="14"/>
          <w:lang w:val="es-CO"/>
        </w:rPr>
      </w:pPr>
    </w:p>
  </w:footnote>
  <w:footnote w:id="17">
    <w:p w14:paraId="5B69FDA9" w14:textId="77777777" w:rsidR="003878CE" w:rsidRPr="00237249" w:rsidRDefault="003878CE" w:rsidP="003878CE">
      <w:pPr>
        <w:pStyle w:val="Textonotapie"/>
        <w:ind w:firstLine="708"/>
        <w:jc w:val="both"/>
        <w:rPr>
          <w:rFonts w:ascii="Verdana" w:hAnsi="Verdana"/>
          <w:sz w:val="14"/>
          <w:szCs w:val="14"/>
        </w:rPr>
      </w:pPr>
      <w:r w:rsidRPr="00237249">
        <w:rPr>
          <w:rFonts w:ascii="Verdana" w:hAnsi="Verdana"/>
          <w:sz w:val="14"/>
          <w:szCs w:val="14"/>
          <w:vertAlign w:val="superscript"/>
        </w:rPr>
        <w:footnoteRef/>
      </w:r>
      <w:r w:rsidRPr="00237249">
        <w:rPr>
          <w:rFonts w:ascii="Verdana" w:hAnsi="Verdana"/>
          <w:sz w:val="14"/>
          <w:szCs w:val="14"/>
        </w:rPr>
        <w:t xml:space="preserve"> “</w:t>
      </w:r>
      <w:r w:rsidRPr="00237249">
        <w:rPr>
          <w:rFonts w:ascii="Verdana" w:hAnsi="Verdana"/>
          <w:bCs/>
          <w:sz w:val="14"/>
          <w:szCs w:val="14"/>
        </w:rPr>
        <w:t>Artículo. 2.2.1.2.3.1.12.</w:t>
      </w:r>
      <w:r w:rsidRPr="00237249">
        <w:rPr>
          <w:rFonts w:ascii="Verdana" w:hAnsi="Verdana"/>
          <w:b/>
          <w:bCs/>
          <w:sz w:val="14"/>
          <w:szCs w:val="14"/>
        </w:rPr>
        <w:t> </w:t>
      </w:r>
      <w:r w:rsidRPr="00237249">
        <w:rPr>
          <w:rFonts w:ascii="Verdana" w:hAnsi="Verdana"/>
          <w:i/>
          <w:iCs/>
          <w:sz w:val="14"/>
          <w:szCs w:val="14"/>
        </w:rPr>
        <w:t>Suficiencia de la garantía de cumplimiento. </w:t>
      </w:r>
      <w:r w:rsidRPr="00237249">
        <w:rPr>
          <w:rFonts w:ascii="Verdana" w:hAnsi="Verdana"/>
          <w:sz w:val="14"/>
          <w:szCs w:val="14"/>
        </w:rPr>
        <w:t>La garantía de cumplimiento del contrato debe tener una vigencia mínima hasta la liquidación del contrato. El valor de esta garantía debe ser de por lo menos el diez por ciento (10%) del valor del contrato a menos que el valor del contrato sea superior a un millón (1.000.000) de SMMLV, caso en el cual la Entidad Estatal aplicará las siguientes reglas:</w:t>
      </w:r>
    </w:p>
    <w:p w14:paraId="0C352FB6" w14:textId="77777777" w:rsidR="003878CE" w:rsidRPr="00237249" w:rsidRDefault="003878CE" w:rsidP="003878CE">
      <w:pPr>
        <w:pStyle w:val="Textonotapie"/>
        <w:ind w:firstLine="708"/>
        <w:jc w:val="both"/>
        <w:rPr>
          <w:rFonts w:ascii="Verdana" w:hAnsi="Verdana"/>
          <w:sz w:val="14"/>
          <w:szCs w:val="14"/>
        </w:rPr>
      </w:pPr>
      <w:r w:rsidRPr="00237249">
        <w:rPr>
          <w:rFonts w:ascii="Verdana" w:hAnsi="Verdana"/>
          <w:sz w:val="14"/>
          <w:szCs w:val="14"/>
        </w:rPr>
        <w:t>1. Si el valor del contrato es superior a un millón (1.000.000) de SMMLV y hasta cinco millones (5.000.000) de SMMLV, la Entidad Estatal puede aceptar garantías que cubran al menos el dos punto cinco por ciento (2,5%) del valor del contrato.</w:t>
      </w:r>
    </w:p>
    <w:p w14:paraId="6F74217F" w14:textId="77777777" w:rsidR="003878CE" w:rsidRPr="00237249" w:rsidRDefault="003878CE" w:rsidP="003878CE">
      <w:pPr>
        <w:pStyle w:val="Textonotapie"/>
        <w:ind w:firstLine="708"/>
        <w:jc w:val="both"/>
        <w:rPr>
          <w:rFonts w:ascii="Verdana" w:hAnsi="Verdana"/>
          <w:sz w:val="14"/>
          <w:szCs w:val="14"/>
        </w:rPr>
      </w:pPr>
      <w:r w:rsidRPr="00237249">
        <w:rPr>
          <w:rFonts w:ascii="Verdana" w:hAnsi="Verdana"/>
          <w:sz w:val="14"/>
          <w:szCs w:val="14"/>
        </w:rPr>
        <w:t>2. Si el valor del contrato es superior a cinco millones (5.000.000) de SMMLV y hasta diez millones (10.000.000) de SMMLV, la Entidad Estatal puede aceptar garantías que cubran al menos el uno por ciento (1%) del valor del contrato.</w:t>
      </w:r>
    </w:p>
    <w:p w14:paraId="5535F0CF" w14:textId="77777777" w:rsidR="003878CE" w:rsidRPr="00237249" w:rsidRDefault="003878CE" w:rsidP="003878CE">
      <w:pPr>
        <w:pStyle w:val="Textonotapie"/>
        <w:ind w:firstLine="708"/>
        <w:jc w:val="both"/>
        <w:rPr>
          <w:rFonts w:ascii="Verdana" w:hAnsi="Verdana"/>
          <w:sz w:val="14"/>
          <w:szCs w:val="14"/>
        </w:rPr>
      </w:pPr>
      <w:r w:rsidRPr="00237249">
        <w:rPr>
          <w:rFonts w:ascii="Verdana" w:hAnsi="Verdana"/>
          <w:sz w:val="14"/>
          <w:szCs w:val="14"/>
        </w:rPr>
        <w:t>3. Si el valor del contrato es superior a diez millones (10.000.000) de SMMLV, la Entidad Estatal puede aceptar garantías que cubran al menos el cero punto cinco por ciento (0,5%) del valor del contrato.</w:t>
      </w:r>
    </w:p>
    <w:p w14:paraId="11640FCA" w14:textId="77777777" w:rsidR="003878CE" w:rsidRPr="00237249" w:rsidRDefault="003878CE" w:rsidP="003878CE">
      <w:pPr>
        <w:pStyle w:val="Textonotapie"/>
        <w:ind w:firstLine="708"/>
        <w:jc w:val="both"/>
        <w:rPr>
          <w:rFonts w:ascii="Bookman Old Style" w:hAnsi="Bookman Old Style"/>
          <w:sz w:val="14"/>
          <w:szCs w:val="14"/>
        </w:rPr>
      </w:pPr>
      <w:r w:rsidRPr="00237249">
        <w:rPr>
          <w:rFonts w:ascii="Verdana" w:hAnsi="Verdana"/>
          <w:sz w:val="14"/>
          <w:szCs w:val="14"/>
        </w:rPr>
        <w:t>4. Colombia Compra Eficiente debe determinar el valor de la garantía única de cum</w:t>
      </w:r>
      <w:r w:rsidRPr="00237249">
        <w:rPr>
          <w:rFonts w:ascii="Verdana" w:hAnsi="Verdana"/>
          <w:sz w:val="14"/>
          <w:szCs w:val="14"/>
        </w:rPr>
        <w:softHyphen/>
        <w:t>plimiento del Acuerdo Marco de Precios de acuerdo con el objeto, el valor, la naturaleza y las obligaciones contenidas en este”.</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5F4D03" w14:textId="0903BF04" w:rsidR="003878CE" w:rsidRDefault="003878CE"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878CE" w:rsidRDefault="003878CE">
    <w:pPr>
      <w:pStyle w:val="Encabezado"/>
    </w:pPr>
  </w:p>
  <w:p w14:paraId="5E18350A" w14:textId="705F7B76" w:rsidR="003878CE" w:rsidRPr="004A305D" w:rsidRDefault="003878CE" w:rsidP="00B01B1A">
    <w:pPr>
      <w:spacing w:after="0" w:line="120" w:lineRule="auto"/>
      <w:rPr>
        <w:rFonts w:ascii="Century Gothic" w:eastAsia="Geo" w:hAnsi="Century Gothic" w:cs="Geo"/>
        <w:sz w:val="16"/>
        <w:szCs w:val="16"/>
        <w:lang w:eastAsia="es-CO"/>
      </w:rPr>
    </w:pPr>
  </w:p>
  <w:p w14:paraId="211B7F5D" w14:textId="77777777" w:rsidR="003878CE" w:rsidRDefault="003878CE" w:rsidP="00844AE9">
    <w:pPr>
      <w:spacing w:after="0" w:line="240" w:lineRule="auto"/>
      <w:rPr>
        <w:rFonts w:ascii="Verdana" w:hAnsi="Verdana"/>
        <w:sz w:val="24"/>
        <w:szCs w:val="24"/>
      </w:rPr>
    </w:pPr>
  </w:p>
  <w:p w14:paraId="5A0054B1" w14:textId="77777777" w:rsidR="003878CE" w:rsidRPr="00C925AC" w:rsidRDefault="003878CE" w:rsidP="00844AE9">
    <w:pPr>
      <w:spacing w:after="0" w:line="240" w:lineRule="auto"/>
      <w:rPr>
        <w:rFonts w:ascii="Verdana" w:hAnsi="Verdana"/>
        <w:sz w:val="24"/>
        <w:szCs w:val="24"/>
      </w:rPr>
    </w:pPr>
  </w:p>
  <w:p w14:paraId="1FD1C243" w14:textId="37C5500A" w:rsidR="003878CE" w:rsidRPr="00C925AC" w:rsidRDefault="003878C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9" type="#_x0000_t75" style="width:11.45pt;height:11.4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48471E70"/>
    <w:multiLevelType w:val="multilevel"/>
    <w:tmpl w:val="5A4A1C2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11866AC"/>
    <w:multiLevelType w:val="hybridMultilevel"/>
    <w:tmpl w:val="3E5CC990"/>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756A231F"/>
    <w:multiLevelType w:val="hybridMultilevel"/>
    <w:tmpl w:val="42E84C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14"/>
  </w:num>
  <w:num w:numId="7">
    <w:abstractNumId w:val="5"/>
  </w:num>
  <w:num w:numId="8">
    <w:abstractNumId w:val="13"/>
  </w:num>
  <w:num w:numId="9">
    <w:abstractNumId w:val="7"/>
  </w:num>
  <w:num w:numId="10">
    <w:abstractNumId w:val="12"/>
  </w:num>
  <w:num w:numId="11">
    <w:abstractNumId w:val="8"/>
  </w:num>
  <w:num w:numId="12">
    <w:abstractNumId w:val="0"/>
  </w:num>
  <w:num w:numId="13">
    <w:abstractNumId w:val="2"/>
  </w:num>
  <w:num w:numId="14">
    <w:abstractNumId w:val="15"/>
  </w:num>
  <w:num w:numId="15">
    <w:abstractNumId w:val="11"/>
  </w:num>
  <w:num w:numId="16">
    <w:abstractNumId w:val="3"/>
  </w:num>
  <w:num w:numId="17">
    <w:abstractNumId w:val="9"/>
  </w:num>
  <w:num w:numId="18">
    <w:abstractNumId w:val="16"/>
  </w:num>
  <w:num w:numId="19">
    <w:abstractNumId w:val="17"/>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1847"/>
    <w:rsid w:val="00003830"/>
    <w:rsid w:val="00016F78"/>
    <w:rsid w:val="00035DF5"/>
    <w:rsid w:val="00037B78"/>
    <w:rsid w:val="00046945"/>
    <w:rsid w:val="00047EC5"/>
    <w:rsid w:val="00061B2A"/>
    <w:rsid w:val="00082362"/>
    <w:rsid w:val="000846BF"/>
    <w:rsid w:val="00097627"/>
    <w:rsid w:val="000A683E"/>
    <w:rsid w:val="000B19B9"/>
    <w:rsid w:val="000B2F1D"/>
    <w:rsid w:val="000D0334"/>
    <w:rsid w:val="000D5DA7"/>
    <w:rsid w:val="000F6486"/>
    <w:rsid w:val="00103798"/>
    <w:rsid w:val="00116940"/>
    <w:rsid w:val="00117544"/>
    <w:rsid w:val="00125105"/>
    <w:rsid w:val="00126B92"/>
    <w:rsid w:val="00127233"/>
    <w:rsid w:val="001357B2"/>
    <w:rsid w:val="00136941"/>
    <w:rsid w:val="0015699B"/>
    <w:rsid w:val="001A33BF"/>
    <w:rsid w:val="001A61AD"/>
    <w:rsid w:val="001B3403"/>
    <w:rsid w:val="001E4177"/>
    <w:rsid w:val="001F0B24"/>
    <w:rsid w:val="001F7DC6"/>
    <w:rsid w:val="002044A3"/>
    <w:rsid w:val="00204A1B"/>
    <w:rsid w:val="0022400B"/>
    <w:rsid w:val="002421BB"/>
    <w:rsid w:val="00256675"/>
    <w:rsid w:val="0025796E"/>
    <w:rsid w:val="002707A2"/>
    <w:rsid w:val="002761D4"/>
    <w:rsid w:val="00281AB8"/>
    <w:rsid w:val="0029054D"/>
    <w:rsid w:val="00294040"/>
    <w:rsid w:val="002951A0"/>
    <w:rsid w:val="002962BC"/>
    <w:rsid w:val="002A093D"/>
    <w:rsid w:val="002A0DD0"/>
    <w:rsid w:val="002A49AC"/>
    <w:rsid w:val="002A64FD"/>
    <w:rsid w:val="002B0A65"/>
    <w:rsid w:val="002B1EF4"/>
    <w:rsid w:val="002B53CE"/>
    <w:rsid w:val="002B72B5"/>
    <w:rsid w:val="002B730F"/>
    <w:rsid w:val="002C7A84"/>
    <w:rsid w:val="002C7CFC"/>
    <w:rsid w:val="002E2BF8"/>
    <w:rsid w:val="002E4FD9"/>
    <w:rsid w:val="002E6104"/>
    <w:rsid w:val="002F4390"/>
    <w:rsid w:val="002F4750"/>
    <w:rsid w:val="002F6044"/>
    <w:rsid w:val="0030657A"/>
    <w:rsid w:val="00322A85"/>
    <w:rsid w:val="00324168"/>
    <w:rsid w:val="00330834"/>
    <w:rsid w:val="00331E14"/>
    <w:rsid w:val="00334489"/>
    <w:rsid w:val="003448F4"/>
    <w:rsid w:val="003504CF"/>
    <w:rsid w:val="0037015E"/>
    <w:rsid w:val="00374F5E"/>
    <w:rsid w:val="00377E3E"/>
    <w:rsid w:val="003878CE"/>
    <w:rsid w:val="00397E8F"/>
    <w:rsid w:val="003A779E"/>
    <w:rsid w:val="003C5A95"/>
    <w:rsid w:val="003D0F4D"/>
    <w:rsid w:val="003D33D6"/>
    <w:rsid w:val="003D5B0D"/>
    <w:rsid w:val="003E0499"/>
    <w:rsid w:val="003E1AFE"/>
    <w:rsid w:val="003E348A"/>
    <w:rsid w:val="003E4F80"/>
    <w:rsid w:val="003E6439"/>
    <w:rsid w:val="003F3941"/>
    <w:rsid w:val="00406575"/>
    <w:rsid w:val="0041465D"/>
    <w:rsid w:val="00414C74"/>
    <w:rsid w:val="0042722E"/>
    <w:rsid w:val="00441434"/>
    <w:rsid w:val="004427A2"/>
    <w:rsid w:val="004444AC"/>
    <w:rsid w:val="0044528D"/>
    <w:rsid w:val="00445530"/>
    <w:rsid w:val="00457DB0"/>
    <w:rsid w:val="00466E39"/>
    <w:rsid w:val="00482B83"/>
    <w:rsid w:val="004874D3"/>
    <w:rsid w:val="004A1847"/>
    <w:rsid w:val="004A305D"/>
    <w:rsid w:val="004B4E88"/>
    <w:rsid w:val="004C3055"/>
    <w:rsid w:val="004C33E4"/>
    <w:rsid w:val="004D62C6"/>
    <w:rsid w:val="004F21C4"/>
    <w:rsid w:val="004F5C2E"/>
    <w:rsid w:val="004F685F"/>
    <w:rsid w:val="00500525"/>
    <w:rsid w:val="00503FCD"/>
    <w:rsid w:val="00525E40"/>
    <w:rsid w:val="00530A1F"/>
    <w:rsid w:val="005566E8"/>
    <w:rsid w:val="005637FA"/>
    <w:rsid w:val="00574867"/>
    <w:rsid w:val="005773C9"/>
    <w:rsid w:val="00591460"/>
    <w:rsid w:val="005A65E0"/>
    <w:rsid w:val="005B7638"/>
    <w:rsid w:val="005C14A7"/>
    <w:rsid w:val="005C3777"/>
    <w:rsid w:val="005C5CDC"/>
    <w:rsid w:val="005D476C"/>
    <w:rsid w:val="006200BF"/>
    <w:rsid w:val="006219F8"/>
    <w:rsid w:val="006302F7"/>
    <w:rsid w:val="0063475B"/>
    <w:rsid w:val="006420BD"/>
    <w:rsid w:val="00646B9F"/>
    <w:rsid w:val="00651163"/>
    <w:rsid w:val="00665D70"/>
    <w:rsid w:val="006745D3"/>
    <w:rsid w:val="006827DE"/>
    <w:rsid w:val="00683566"/>
    <w:rsid w:val="006900D9"/>
    <w:rsid w:val="0069331C"/>
    <w:rsid w:val="00694B36"/>
    <w:rsid w:val="006C75BB"/>
    <w:rsid w:val="00704572"/>
    <w:rsid w:val="00706C16"/>
    <w:rsid w:val="00731BB1"/>
    <w:rsid w:val="007340C3"/>
    <w:rsid w:val="0075235A"/>
    <w:rsid w:val="0075262A"/>
    <w:rsid w:val="00756841"/>
    <w:rsid w:val="0076175D"/>
    <w:rsid w:val="007649AB"/>
    <w:rsid w:val="0076755F"/>
    <w:rsid w:val="00771D0C"/>
    <w:rsid w:val="007833AC"/>
    <w:rsid w:val="00783C9E"/>
    <w:rsid w:val="007A1830"/>
    <w:rsid w:val="007A788B"/>
    <w:rsid w:val="007B268C"/>
    <w:rsid w:val="007B2B9E"/>
    <w:rsid w:val="007B7171"/>
    <w:rsid w:val="007C0C0F"/>
    <w:rsid w:val="007C3DC2"/>
    <w:rsid w:val="007D5B3F"/>
    <w:rsid w:val="007D61DB"/>
    <w:rsid w:val="007E5497"/>
    <w:rsid w:val="007F2B3F"/>
    <w:rsid w:val="00804BDA"/>
    <w:rsid w:val="00806F5F"/>
    <w:rsid w:val="0081503F"/>
    <w:rsid w:val="00820278"/>
    <w:rsid w:val="008258C9"/>
    <w:rsid w:val="008306C4"/>
    <w:rsid w:val="0083378B"/>
    <w:rsid w:val="00844AE9"/>
    <w:rsid w:val="008452AE"/>
    <w:rsid w:val="00867F95"/>
    <w:rsid w:val="00881D12"/>
    <w:rsid w:val="008843B6"/>
    <w:rsid w:val="00891928"/>
    <w:rsid w:val="008A446D"/>
    <w:rsid w:val="008B1BD7"/>
    <w:rsid w:val="008B25F1"/>
    <w:rsid w:val="008B76C7"/>
    <w:rsid w:val="008C087B"/>
    <w:rsid w:val="008D180B"/>
    <w:rsid w:val="008D25F6"/>
    <w:rsid w:val="008F0EA7"/>
    <w:rsid w:val="008F1B4A"/>
    <w:rsid w:val="008F3DCB"/>
    <w:rsid w:val="008F7373"/>
    <w:rsid w:val="00915BD4"/>
    <w:rsid w:val="00922031"/>
    <w:rsid w:val="00923EEF"/>
    <w:rsid w:val="00926D8E"/>
    <w:rsid w:val="009419F9"/>
    <w:rsid w:val="00943080"/>
    <w:rsid w:val="0095685E"/>
    <w:rsid w:val="00957C34"/>
    <w:rsid w:val="00961B09"/>
    <w:rsid w:val="00965334"/>
    <w:rsid w:val="0097093E"/>
    <w:rsid w:val="009721AA"/>
    <w:rsid w:val="0098174A"/>
    <w:rsid w:val="009877B5"/>
    <w:rsid w:val="009A0DFA"/>
    <w:rsid w:val="009A3571"/>
    <w:rsid w:val="009A74B4"/>
    <w:rsid w:val="009B2D26"/>
    <w:rsid w:val="009B4089"/>
    <w:rsid w:val="009C1EC5"/>
    <w:rsid w:val="009C5155"/>
    <w:rsid w:val="009C60F2"/>
    <w:rsid w:val="009C6AE3"/>
    <w:rsid w:val="009C71FA"/>
    <w:rsid w:val="009C72E7"/>
    <w:rsid w:val="009C7F7E"/>
    <w:rsid w:val="009D3058"/>
    <w:rsid w:val="009F3A13"/>
    <w:rsid w:val="00A122D3"/>
    <w:rsid w:val="00A14468"/>
    <w:rsid w:val="00A17F13"/>
    <w:rsid w:val="00A20739"/>
    <w:rsid w:val="00A23AF9"/>
    <w:rsid w:val="00A33C78"/>
    <w:rsid w:val="00A52377"/>
    <w:rsid w:val="00A77865"/>
    <w:rsid w:val="00AB0ADB"/>
    <w:rsid w:val="00AC04AA"/>
    <w:rsid w:val="00AC78D9"/>
    <w:rsid w:val="00AE444D"/>
    <w:rsid w:val="00B00C0E"/>
    <w:rsid w:val="00B01B1A"/>
    <w:rsid w:val="00B06FEE"/>
    <w:rsid w:val="00B16B6B"/>
    <w:rsid w:val="00B3286D"/>
    <w:rsid w:val="00B417F6"/>
    <w:rsid w:val="00B44A47"/>
    <w:rsid w:val="00B63408"/>
    <w:rsid w:val="00B66451"/>
    <w:rsid w:val="00B66EBC"/>
    <w:rsid w:val="00B72CD3"/>
    <w:rsid w:val="00B72FFF"/>
    <w:rsid w:val="00B90BEF"/>
    <w:rsid w:val="00BC3D36"/>
    <w:rsid w:val="00BD54A6"/>
    <w:rsid w:val="00BD7F72"/>
    <w:rsid w:val="00BF535D"/>
    <w:rsid w:val="00BF6E49"/>
    <w:rsid w:val="00BF7425"/>
    <w:rsid w:val="00C04FB3"/>
    <w:rsid w:val="00C11D8B"/>
    <w:rsid w:val="00C167F4"/>
    <w:rsid w:val="00C330EB"/>
    <w:rsid w:val="00C50D69"/>
    <w:rsid w:val="00C5365C"/>
    <w:rsid w:val="00C754BE"/>
    <w:rsid w:val="00C76B1C"/>
    <w:rsid w:val="00C925AC"/>
    <w:rsid w:val="00CB5721"/>
    <w:rsid w:val="00CB6357"/>
    <w:rsid w:val="00CC1B26"/>
    <w:rsid w:val="00CD3186"/>
    <w:rsid w:val="00D11085"/>
    <w:rsid w:val="00D361FD"/>
    <w:rsid w:val="00D423A2"/>
    <w:rsid w:val="00D44E26"/>
    <w:rsid w:val="00D51245"/>
    <w:rsid w:val="00D520D8"/>
    <w:rsid w:val="00D532F2"/>
    <w:rsid w:val="00D55855"/>
    <w:rsid w:val="00D56C02"/>
    <w:rsid w:val="00D57A0A"/>
    <w:rsid w:val="00D62B39"/>
    <w:rsid w:val="00D63AC2"/>
    <w:rsid w:val="00D7383B"/>
    <w:rsid w:val="00D7788A"/>
    <w:rsid w:val="00D77ED5"/>
    <w:rsid w:val="00D85536"/>
    <w:rsid w:val="00DA231B"/>
    <w:rsid w:val="00DB442D"/>
    <w:rsid w:val="00DC39FC"/>
    <w:rsid w:val="00DE2682"/>
    <w:rsid w:val="00DF2A39"/>
    <w:rsid w:val="00DF5254"/>
    <w:rsid w:val="00E02524"/>
    <w:rsid w:val="00E16408"/>
    <w:rsid w:val="00E20894"/>
    <w:rsid w:val="00E245AB"/>
    <w:rsid w:val="00E2764C"/>
    <w:rsid w:val="00E27F2E"/>
    <w:rsid w:val="00E50AFE"/>
    <w:rsid w:val="00E65959"/>
    <w:rsid w:val="00E70502"/>
    <w:rsid w:val="00E75C92"/>
    <w:rsid w:val="00E771DC"/>
    <w:rsid w:val="00E8505A"/>
    <w:rsid w:val="00E8772A"/>
    <w:rsid w:val="00E90F6B"/>
    <w:rsid w:val="00E92C27"/>
    <w:rsid w:val="00E960A7"/>
    <w:rsid w:val="00EA0E3D"/>
    <w:rsid w:val="00EA2550"/>
    <w:rsid w:val="00EB6668"/>
    <w:rsid w:val="00EC195D"/>
    <w:rsid w:val="00EC38A7"/>
    <w:rsid w:val="00EC680E"/>
    <w:rsid w:val="00EE1AA8"/>
    <w:rsid w:val="00EE7B18"/>
    <w:rsid w:val="00F000D3"/>
    <w:rsid w:val="00F11799"/>
    <w:rsid w:val="00F23FEA"/>
    <w:rsid w:val="00F27984"/>
    <w:rsid w:val="00F27B7B"/>
    <w:rsid w:val="00F31EDC"/>
    <w:rsid w:val="00F462B3"/>
    <w:rsid w:val="00F54E0C"/>
    <w:rsid w:val="00F5664F"/>
    <w:rsid w:val="00F666C4"/>
    <w:rsid w:val="00F76AFC"/>
    <w:rsid w:val="00F8569A"/>
    <w:rsid w:val="00F93BFD"/>
    <w:rsid w:val="00FA47C0"/>
    <w:rsid w:val="00FB0B6D"/>
    <w:rsid w:val="00FB5DD1"/>
    <w:rsid w:val="00FC1576"/>
    <w:rsid w:val="00FC2B5D"/>
    <w:rsid w:val="00FC67AA"/>
    <w:rsid w:val="00FD0452"/>
    <w:rsid w:val="00FE6088"/>
    <w:rsid w:val="00FF1449"/>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878CE"/>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UnresolvedMention">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504CF"/>
    <w:rPr>
      <w:rFonts w:ascii="Geomanist Light" w:hAnsi="Geomanist Light"/>
      <w:lang w:val="es-ES"/>
    </w:rPr>
  </w:style>
  <w:style w:type="character" w:styleId="Textoennegrita">
    <w:name w:val="Strong"/>
    <w:basedOn w:val="Fuentedeprrafopredeter"/>
    <w:uiPriority w:val="22"/>
    <w:qFormat/>
    <w:rsid w:val="003E348A"/>
    <w:rPr>
      <w:b/>
      <w:bCs/>
    </w:rPr>
  </w:style>
  <w:style w:type="character" w:customStyle="1" w:styleId="NormalWebCar">
    <w:name w:val="Normal (Web) Car"/>
    <w:link w:val="NormalWeb"/>
    <w:uiPriority w:val="99"/>
    <w:locked/>
    <w:rsid w:val="003E348A"/>
    <w:rPr>
      <w:rFonts w:ascii="Times New Roman" w:eastAsia="Times New Roman" w:hAnsi="Times New Roman" w:cs="Times New Roman"/>
      <w:sz w:val="24"/>
      <w:szCs w:val="24"/>
      <w:lang w:eastAsia="es-CO"/>
    </w:rPr>
  </w:style>
  <w:style w:type="paragraph" w:styleId="Textoindependiente">
    <w:name w:val="Body Text"/>
    <w:basedOn w:val="Normal"/>
    <w:link w:val="TextoindependienteCar"/>
    <w:uiPriority w:val="99"/>
    <w:semiHidden/>
    <w:unhideWhenUsed/>
    <w:rsid w:val="0083378B"/>
    <w:pPr>
      <w:spacing w:after="120"/>
    </w:pPr>
  </w:style>
  <w:style w:type="character" w:customStyle="1" w:styleId="TextoindependienteCar">
    <w:name w:val="Texto independiente Car"/>
    <w:basedOn w:val="Fuentedeprrafopredeter"/>
    <w:link w:val="Textoindependiente"/>
    <w:uiPriority w:val="99"/>
    <w:semiHidden/>
    <w:rsid w:val="0083378B"/>
  </w:style>
  <w:style w:type="paragraph" w:styleId="Sinespaciado">
    <w:name w:val="No Spacing"/>
    <w:uiPriority w:val="1"/>
    <w:qFormat/>
    <w:rsid w:val="004F5C2E"/>
    <w:pPr>
      <w:spacing w:after="0" w:line="240" w:lineRule="auto"/>
    </w:pPr>
  </w:style>
  <w:style w:type="character" w:styleId="Refdecomentario">
    <w:name w:val="annotation reference"/>
    <w:basedOn w:val="Fuentedeprrafopredeter"/>
    <w:qFormat/>
    <w:rsid w:val="00E960A7"/>
    <w:rPr>
      <w:rFonts w:ascii="Verdana" w:hAnsi="Verdana"/>
      <w:sz w:val="16"/>
      <w:szCs w:val="16"/>
    </w:rPr>
  </w:style>
  <w:style w:type="paragraph" w:styleId="Textocomentario">
    <w:name w:val="annotation text"/>
    <w:basedOn w:val="Normal"/>
    <w:link w:val="TextocomentarioCar"/>
    <w:rsid w:val="00E960A7"/>
    <w:pPr>
      <w:spacing w:after="0" w:line="240" w:lineRule="auto"/>
    </w:pPr>
    <w:rPr>
      <w:rFonts w:ascii="Times New Roman" w:eastAsia="Times New Roman" w:hAnsi="Times New Roman" w:cs="Times New Roman"/>
      <w:sz w:val="20"/>
      <w:szCs w:val="20"/>
      <w:lang w:eastAsia="es-ES"/>
    </w:rPr>
  </w:style>
  <w:style w:type="character" w:customStyle="1" w:styleId="TextocomentarioCar">
    <w:name w:val="Texto comentario Car"/>
    <w:basedOn w:val="Fuentedeprrafopredeter"/>
    <w:link w:val="Textocomentario"/>
    <w:rsid w:val="00E960A7"/>
    <w:rPr>
      <w:rFonts w:ascii="Times New Roman" w:eastAsia="Times New Roman" w:hAnsi="Times New Roman" w:cs="Times New Roman"/>
      <w:sz w:val="20"/>
      <w:szCs w:val="20"/>
      <w:lang w:eastAsia="es-ES"/>
    </w:rPr>
  </w:style>
  <w:style w:type="paragraph" w:styleId="Textodeglobo">
    <w:name w:val="Balloon Text"/>
    <w:basedOn w:val="Normal"/>
    <w:link w:val="TextodegloboCar"/>
    <w:uiPriority w:val="99"/>
    <w:semiHidden/>
    <w:unhideWhenUsed/>
    <w:rsid w:val="00E960A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960A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75626709">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archivos/manual/guia-para-la-contratacion-con-entidades-sin-animo-de-lucro-y-de-reconocida-idoneidad"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fernandog213@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olombiacompra.gov.co/manuales-guias-y-pliegos-tipo/manuales-y-guia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63988146-F2A0-4C58-AA49-CB90CF87E950}"/>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f802891c-ec6d-4a7d-9065-8c7796b72d37"/>
    <ds:schemaRef ds:uri="43a3329e-f091-4e15-9abe-66bee8419108"/>
  </ds:schemaRefs>
</ds:datastoreItem>
</file>

<file path=customXml/itemProps4.xml><?xml version="1.0" encoding="utf-8"?>
<ds:datastoreItem xmlns:ds="http://schemas.openxmlformats.org/officeDocument/2006/customXml" ds:itemID="{28E16D8D-271D-4D25-8DF7-62EB98AF30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23</Pages>
  <Words>7447</Words>
  <Characters>42450</Characters>
  <Application>Microsoft Office Word</Application>
  <DocSecurity>0</DocSecurity>
  <Lines>353</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José Luis S</cp:lastModifiedBy>
  <cp:revision>3</cp:revision>
  <cp:lastPrinted>2023-01-10T21:18:00Z</cp:lastPrinted>
  <dcterms:created xsi:type="dcterms:W3CDTF">2025-12-22T17:09:00Z</dcterms:created>
  <dcterms:modified xsi:type="dcterms:W3CDTF">2025-12-23T03:12:00Z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