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E5653" w14:textId="77777777" w:rsidR="00E2559B" w:rsidRPr="00923468" w:rsidRDefault="00E2559B" w:rsidP="00E2559B">
      <w:pPr>
        <w:spacing w:after="0" w:line="240" w:lineRule="auto"/>
        <w:jc w:val="both"/>
        <w:rPr>
          <w:rFonts w:ascii="Verdana" w:hAnsi="Verdana"/>
          <w:sz w:val="20"/>
          <w:szCs w:val="20"/>
          <w:lang w:val="es-MX"/>
        </w:rPr>
      </w:pPr>
      <w:bookmarkStart w:id="0" w:name="_Hlk143780582"/>
    </w:p>
    <w:p w14:paraId="0B326A40" w14:textId="77777777" w:rsidR="00E2559B" w:rsidRPr="00923468" w:rsidRDefault="00E2559B" w:rsidP="00E2559B">
      <w:pPr>
        <w:spacing w:after="0" w:line="240" w:lineRule="auto"/>
        <w:jc w:val="both"/>
        <w:rPr>
          <w:rFonts w:ascii="Verdana" w:eastAsia="Calibri" w:hAnsi="Verdana" w:cs="Arial"/>
          <w:b/>
          <w:bCs/>
          <w:sz w:val="20"/>
          <w:szCs w:val="20"/>
          <w:lang w:val="es-MX" w:eastAsia="es-ES_tradnl"/>
        </w:rPr>
      </w:pPr>
      <w:r w:rsidRPr="00923468">
        <w:rPr>
          <w:rFonts w:ascii="Verdana" w:eastAsia="Calibri" w:hAnsi="Verdana" w:cs="Arial"/>
          <w:b/>
          <w:bCs/>
          <w:sz w:val="20"/>
          <w:szCs w:val="20"/>
          <w:lang w:val="es-MX" w:eastAsia="es-ES_tradnl"/>
        </w:rPr>
        <w:t>PUEBLOS TRIBALES -</w:t>
      </w:r>
      <w:r w:rsidRPr="00923468">
        <w:rPr>
          <w:rFonts w:ascii="Verdana" w:eastAsia="Calibri" w:hAnsi="Verdana" w:cs="Arial"/>
          <w:b/>
          <w:bCs/>
          <w:sz w:val="20"/>
          <w:szCs w:val="20"/>
          <w:lang w:val="es-ES" w:eastAsia="es-ES_tradnl"/>
        </w:rPr>
        <w:t xml:space="preserve"> Convenio No. 169 de la OIT – Compromisos – Derechos / </w:t>
      </w:r>
      <w:r w:rsidRPr="00923468">
        <w:rPr>
          <w:rFonts w:ascii="Verdana" w:eastAsia="Calibri" w:hAnsi="Verdana" w:cs="Arial"/>
          <w:b/>
          <w:bCs/>
          <w:sz w:val="20"/>
          <w:szCs w:val="20"/>
          <w:lang w:val="es-MX" w:eastAsia="es-ES_tradnl"/>
        </w:rPr>
        <w:t>COMUNIDADES NEGRAS, AFRODESCENDIENTES, RAIZALES Y PALENQUERAS – Naturaleza jurídica – Capacidad contractual</w:t>
      </w:r>
    </w:p>
    <w:p w14:paraId="2822C04A" w14:textId="77777777" w:rsidR="00E2559B" w:rsidRPr="00923468" w:rsidRDefault="00E2559B" w:rsidP="00E2559B">
      <w:pPr>
        <w:spacing w:after="0" w:line="240" w:lineRule="auto"/>
        <w:jc w:val="both"/>
        <w:rPr>
          <w:rFonts w:ascii="Verdana" w:eastAsia="Calibri" w:hAnsi="Verdana" w:cs="Arial"/>
          <w:b/>
          <w:bCs/>
          <w:sz w:val="20"/>
          <w:szCs w:val="20"/>
          <w:lang w:val="es-MX" w:eastAsia="es-ES_tradnl"/>
        </w:rPr>
      </w:pPr>
    </w:p>
    <w:p w14:paraId="5837A2B6" w14:textId="77777777" w:rsidR="00E2559B" w:rsidRPr="00923468" w:rsidRDefault="00E2559B" w:rsidP="00E2559B">
      <w:pPr>
        <w:spacing w:after="0" w:line="240" w:lineRule="auto"/>
        <w:jc w:val="both"/>
        <w:rPr>
          <w:rFonts w:ascii="Verdana" w:eastAsia="Calibri" w:hAnsi="Verdana" w:cs="Arial"/>
          <w:sz w:val="20"/>
          <w:szCs w:val="20"/>
          <w:lang w:val="es-ES_tradnl"/>
        </w:rPr>
      </w:pPr>
      <w:r w:rsidRPr="00923468">
        <w:rPr>
          <w:rFonts w:ascii="Verdana" w:eastAsia="Calibri" w:hAnsi="Verdana" w:cs="Arial"/>
          <w:sz w:val="20"/>
          <w:szCs w:val="20"/>
          <w:lang w:val="es-ES_tradnl"/>
        </w:rPr>
        <w:t xml:space="preserve">Con la suscripción del Convenio No. 169 de 1989 “Sobre pueblos indígenas y tribales en países independientes” de la Organización Internacional del Trabajo – OIT, incorporado al bloque de constitucionalidad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y tribales con acciones concretas dirigidas al reconocimiento de sus derechos y el respeto de su integridad, entre otros compromisos adquiridos. </w:t>
      </w:r>
    </w:p>
    <w:p w14:paraId="6969F310" w14:textId="77777777" w:rsidR="00E2559B" w:rsidRPr="00923468" w:rsidRDefault="00E2559B" w:rsidP="00E2559B">
      <w:pPr>
        <w:spacing w:after="0" w:line="240" w:lineRule="auto"/>
        <w:jc w:val="both"/>
        <w:rPr>
          <w:rFonts w:ascii="Verdana" w:eastAsia="Calibri" w:hAnsi="Verdana" w:cs="Arial"/>
          <w:sz w:val="20"/>
          <w:szCs w:val="20"/>
          <w:lang w:val="es-ES_tradnl"/>
        </w:rPr>
      </w:pPr>
    </w:p>
    <w:p w14:paraId="209E8993" w14:textId="77777777" w:rsidR="00E2559B" w:rsidRPr="00923468" w:rsidRDefault="00E2559B" w:rsidP="00E2559B">
      <w:pPr>
        <w:spacing w:after="0" w:line="240" w:lineRule="auto"/>
        <w:jc w:val="both"/>
        <w:rPr>
          <w:rFonts w:ascii="Verdana" w:hAnsi="Verdana" w:cs="Arial"/>
          <w:bCs/>
          <w:sz w:val="20"/>
          <w:szCs w:val="20"/>
          <w:lang w:val="es-ES_tradnl" w:eastAsia="es-ES"/>
        </w:rPr>
      </w:pPr>
      <w:r w:rsidRPr="00923468">
        <w:rPr>
          <w:rFonts w:ascii="Verdana" w:eastAsia="Calibri" w:hAnsi="Verdana" w:cs="Arial"/>
          <w:sz w:val="20"/>
          <w:szCs w:val="20"/>
          <w:lang w:val="es-ES_tradnl"/>
        </w:rPr>
        <w:t>[…]</w:t>
      </w:r>
    </w:p>
    <w:p w14:paraId="7D10A14B" w14:textId="77777777" w:rsidR="00E2559B" w:rsidRPr="00923468" w:rsidRDefault="00E2559B" w:rsidP="00E2559B">
      <w:pPr>
        <w:spacing w:after="0" w:line="240" w:lineRule="auto"/>
        <w:jc w:val="both"/>
        <w:rPr>
          <w:rFonts w:ascii="Verdana" w:hAnsi="Verdana" w:cs="Arial"/>
          <w:bCs/>
          <w:sz w:val="20"/>
          <w:szCs w:val="20"/>
          <w:lang w:val="es-ES_tradnl" w:eastAsia="es-ES"/>
        </w:rPr>
      </w:pPr>
    </w:p>
    <w:p w14:paraId="0208B2BC" w14:textId="77777777" w:rsidR="00E2559B" w:rsidRPr="00923468" w:rsidRDefault="00E2559B" w:rsidP="00E2559B">
      <w:pPr>
        <w:spacing w:after="0" w:line="240" w:lineRule="auto"/>
        <w:jc w:val="both"/>
        <w:rPr>
          <w:rFonts w:ascii="Verdana" w:hAnsi="Verdana" w:cs="Arial"/>
          <w:bCs/>
          <w:sz w:val="20"/>
          <w:szCs w:val="20"/>
          <w:lang w:val="es-ES_tradnl" w:eastAsia="es-ES"/>
        </w:rPr>
      </w:pPr>
      <w:r w:rsidRPr="00923468">
        <w:rPr>
          <w:rFonts w:ascii="Verdana" w:hAnsi="Verdana" w:cs="Arial"/>
          <w:bCs/>
          <w:sz w:val="20"/>
          <w:szCs w:val="20"/>
          <w:lang w:val="es-ES" w:eastAsia="es-ES"/>
        </w:rPr>
        <w:t>En lo que respecta a la expresión “</w:t>
      </w:r>
      <w:r w:rsidRPr="00923468">
        <w:rPr>
          <w:rFonts w:ascii="Verdana" w:hAnsi="Verdana" w:cs="Arial"/>
          <w:bCs/>
          <w:i/>
          <w:sz w:val="20"/>
          <w:szCs w:val="20"/>
          <w:lang w:val="es-ES" w:eastAsia="es-ES"/>
        </w:rPr>
        <w:t>pueblos indígenas y tribales</w:t>
      </w:r>
      <w:r w:rsidRPr="00923468">
        <w:rPr>
          <w:rFonts w:ascii="Verdana" w:hAnsi="Verdana" w:cs="Arial"/>
          <w:bCs/>
          <w:sz w:val="20"/>
          <w:szCs w:val="20"/>
          <w:lang w:val="es-ES" w:eastAsia="es-ES"/>
        </w:rPr>
        <w:t xml:space="preserve">”, ha de precisarse que abarca a todos los pueblos y/o comunidades que conservan total o parcialmente sus tradiciones o costumbres, instituciones y organización social, ello quiere decir, que no solo los pueblos indígenas son titulares de los preceptos establecidos en el convenio 169 aprobado por la Ley 21 de 1991, sino que otros grupos étnicos diferenciados, como es el caso de las </w:t>
      </w:r>
      <w:r w:rsidRPr="00923468">
        <w:rPr>
          <w:rFonts w:ascii="Verdana" w:hAnsi="Verdana" w:cs="Arial"/>
          <w:bCs/>
          <w:sz w:val="20"/>
          <w:szCs w:val="20"/>
          <w:lang w:val="es-ES_tradnl" w:eastAsia="es-ES"/>
        </w:rPr>
        <w:t xml:space="preserve">Comunidades Negras, Afrodescendientes, Raizales y Palenqueras, quienes también son titulares de los derechos ligados a la autonomía, diversidad cultural, defensa de los territorios, participación, entre otros.  </w:t>
      </w:r>
    </w:p>
    <w:p w14:paraId="22BD8CC6" w14:textId="77777777" w:rsidR="00E2559B" w:rsidRPr="00923468" w:rsidRDefault="00E2559B" w:rsidP="00E2559B">
      <w:pPr>
        <w:spacing w:after="0" w:line="240" w:lineRule="auto"/>
        <w:jc w:val="both"/>
        <w:rPr>
          <w:rFonts w:ascii="Verdana" w:eastAsia="Calibri" w:hAnsi="Verdana" w:cs="Arial"/>
          <w:bCs/>
          <w:sz w:val="20"/>
          <w:szCs w:val="20"/>
          <w:lang w:val="es-ES_tradnl"/>
        </w:rPr>
      </w:pPr>
    </w:p>
    <w:p w14:paraId="5CCE3D6E" w14:textId="77777777" w:rsidR="00E2559B" w:rsidRPr="00923468" w:rsidRDefault="00E2559B" w:rsidP="00E2559B">
      <w:pPr>
        <w:spacing w:after="0" w:line="240" w:lineRule="auto"/>
        <w:jc w:val="both"/>
        <w:rPr>
          <w:rFonts w:ascii="Verdana" w:eastAsia="Calibri" w:hAnsi="Verdana" w:cs="Arial"/>
          <w:bCs/>
          <w:sz w:val="20"/>
          <w:szCs w:val="20"/>
          <w:lang w:val="es-ES_tradnl"/>
        </w:rPr>
      </w:pPr>
      <w:r w:rsidRPr="00923468">
        <w:rPr>
          <w:rFonts w:ascii="Verdana" w:eastAsia="Calibri" w:hAnsi="Verdana" w:cs="Arial"/>
          <w:bCs/>
          <w:sz w:val="20"/>
          <w:szCs w:val="20"/>
          <w:lang w:val="es-ES_tradnl"/>
        </w:rPr>
        <w:t>[…]</w:t>
      </w:r>
    </w:p>
    <w:p w14:paraId="6F1789F6" w14:textId="77777777" w:rsidR="00E2559B" w:rsidRPr="00923468" w:rsidRDefault="00E2559B" w:rsidP="00E2559B">
      <w:pPr>
        <w:spacing w:after="0" w:line="240" w:lineRule="auto"/>
        <w:jc w:val="both"/>
        <w:rPr>
          <w:rFonts w:ascii="Verdana" w:hAnsi="Verdana"/>
          <w:b/>
          <w:bCs/>
          <w:sz w:val="20"/>
          <w:szCs w:val="20"/>
        </w:rPr>
      </w:pPr>
    </w:p>
    <w:p w14:paraId="75149CDF" w14:textId="77777777" w:rsidR="00E2559B" w:rsidRPr="00923468" w:rsidRDefault="00E2559B" w:rsidP="00E2559B">
      <w:pPr>
        <w:spacing w:after="0" w:line="240" w:lineRule="auto"/>
        <w:jc w:val="both"/>
        <w:rPr>
          <w:rFonts w:ascii="Verdana" w:hAnsi="Verdana"/>
          <w:sz w:val="20"/>
          <w:szCs w:val="20"/>
        </w:rPr>
      </w:pPr>
      <w:r w:rsidRPr="00923468">
        <w:rPr>
          <w:rFonts w:ascii="Verdana" w:hAnsi="Verdana"/>
          <w:sz w:val="20"/>
          <w:szCs w:val="20"/>
          <w:lang w:val="es-ES"/>
        </w:rPr>
        <w:t xml:space="preserve">Dentro del marco jurídico aplicable a los contratos estatales existen disposiciones que regulan la celebración de contratos que involucran como cocontratantes de las Entidades Estatales a diferentes instancias de representación de las </w:t>
      </w:r>
      <w:r w:rsidRPr="00923468">
        <w:rPr>
          <w:rFonts w:ascii="Verdana" w:hAnsi="Verdana"/>
          <w:sz w:val="20"/>
          <w:szCs w:val="20"/>
          <w:lang w:val="es-ES_tradnl"/>
        </w:rPr>
        <w:t xml:space="preserve">comunidades negras, afrodescendientes, raizales y palenqueras. </w:t>
      </w:r>
      <w:r w:rsidRPr="00923468">
        <w:rPr>
          <w:rFonts w:ascii="Verdana" w:hAnsi="Verdana"/>
          <w:sz w:val="20"/>
          <w:szCs w:val="20"/>
          <w:lang w:val="es-ES"/>
        </w:rPr>
        <w:t>A través de estas disposiciones el legislador ha atribuido capacidad jurídica y contractual a diversas formas organizativas, estableciendo unos supuestos de hecho y requisitos con sujeción a los cuales procede la celebración de acuerdos de naturaleza contractual con dichos agentes.</w:t>
      </w:r>
    </w:p>
    <w:p w14:paraId="32D3169E" w14:textId="77777777" w:rsidR="00E2559B" w:rsidRPr="00923468" w:rsidRDefault="00E2559B" w:rsidP="00E2559B">
      <w:pPr>
        <w:spacing w:after="0" w:line="240" w:lineRule="auto"/>
        <w:jc w:val="both"/>
        <w:rPr>
          <w:rFonts w:ascii="Verdana" w:hAnsi="Verdana"/>
          <w:b/>
          <w:bCs/>
          <w:sz w:val="20"/>
          <w:szCs w:val="20"/>
        </w:rPr>
      </w:pPr>
    </w:p>
    <w:p w14:paraId="67176BC3" w14:textId="77777777" w:rsidR="00E2559B" w:rsidRPr="00923468" w:rsidRDefault="00E2559B" w:rsidP="00E2559B">
      <w:pPr>
        <w:spacing w:after="0"/>
        <w:jc w:val="both"/>
        <w:rPr>
          <w:rFonts w:ascii="Verdana" w:hAnsi="Verdana"/>
          <w:b/>
          <w:sz w:val="20"/>
          <w:szCs w:val="20"/>
          <w:lang w:val="es-MX"/>
        </w:rPr>
      </w:pPr>
      <w:r w:rsidRPr="00923468">
        <w:rPr>
          <w:rFonts w:ascii="Verdana" w:hAnsi="Verdana"/>
          <w:b/>
          <w:sz w:val="20"/>
          <w:szCs w:val="20"/>
          <w:lang w:val="es-MX"/>
        </w:rPr>
        <w:t xml:space="preserve">CAPACIDAD PARA CONTRATAR – Consejos comunitarios de las comunidades negras Organizaciones de Base – Formas o expresiones organizativas </w:t>
      </w:r>
    </w:p>
    <w:p w14:paraId="088DF2CE" w14:textId="77777777" w:rsidR="00E2559B" w:rsidRPr="00923468" w:rsidRDefault="00E2559B" w:rsidP="00E2559B">
      <w:pPr>
        <w:spacing w:after="0"/>
        <w:jc w:val="both"/>
        <w:rPr>
          <w:rFonts w:ascii="Verdana" w:hAnsi="Verdana"/>
          <w:b/>
          <w:sz w:val="20"/>
          <w:szCs w:val="20"/>
          <w:lang w:val="es-MX"/>
        </w:rPr>
      </w:pPr>
    </w:p>
    <w:p w14:paraId="48A88FF1" w14:textId="77777777" w:rsidR="00E2559B" w:rsidRPr="00923468" w:rsidRDefault="00E2559B" w:rsidP="00E2559B">
      <w:pPr>
        <w:spacing w:after="0"/>
        <w:jc w:val="both"/>
        <w:rPr>
          <w:rFonts w:ascii="Verdana" w:eastAsia="Calibri" w:hAnsi="Verdana" w:cs="Arial"/>
          <w:sz w:val="20"/>
          <w:szCs w:val="20"/>
          <w:lang w:val="es-ES"/>
        </w:rPr>
      </w:pPr>
      <w:r w:rsidRPr="00923468">
        <w:rPr>
          <w:rFonts w:ascii="Verdana" w:eastAsia="Calibri" w:hAnsi="Verdana" w:cs="Arial"/>
          <w:sz w:val="20"/>
          <w:szCs w:val="20"/>
          <w:lang w:val="es-ES_tradnl"/>
        </w:rPr>
        <w:t>La Ley 2160 del 2021 “</w:t>
      </w:r>
      <w:r w:rsidRPr="00923468">
        <w:rPr>
          <w:rFonts w:ascii="Verdana" w:eastAsia="Calibri" w:hAnsi="Verdana" w:cs="Arial"/>
          <w:i/>
          <w:iCs/>
          <w:sz w:val="20"/>
          <w:szCs w:val="20"/>
          <w:lang w:val="es-ES"/>
        </w:rPr>
        <w:t>por medio del cual se modifica la ley 80 de 1993 y la ley 1150 de 2007</w:t>
      </w:r>
      <w:r w:rsidRPr="00923468">
        <w:rPr>
          <w:rFonts w:ascii="Verdana" w:eastAsia="Calibri" w:hAnsi="Verdana" w:cs="Arial"/>
          <w:sz w:val="20"/>
          <w:szCs w:val="20"/>
          <w:lang w:val="es-ES_tradnl"/>
        </w:rPr>
        <w:t xml:space="preserve">”, confirió de manera expresa capacidad jurídica a las </w:t>
      </w:r>
      <w:r w:rsidRPr="00923468">
        <w:rPr>
          <w:rFonts w:ascii="Verdana" w:eastAsia="Calibri" w:hAnsi="Verdana" w:cs="Arial"/>
          <w:sz w:val="20"/>
          <w:szCs w:val="20"/>
          <w:lang w:val="es-ES"/>
        </w:rPr>
        <w:t xml:space="preserve">organizaciones de base de comunidades negras, afrocolombianas, raizales y palenqueras para celebrar contratos con Entidades Estatales. Esto en atención a la necesidad de incluir dentro del Estatuto General de Contratación de la Administración Pública disposiciones que facilitaran la celebración de contratos estatales con objetos dirigidos a proteger los elementos propios </w:t>
      </w:r>
      <w:r w:rsidRPr="00923468">
        <w:rPr>
          <w:rFonts w:ascii="Verdana" w:eastAsia="Calibri" w:hAnsi="Verdana" w:cs="Arial"/>
          <w:sz w:val="20"/>
          <w:szCs w:val="20"/>
          <w:lang w:val="es-ES"/>
        </w:rPr>
        <w:lastRenderedPageBreak/>
        <w:t xml:space="preserve">de la identidad y los derechos de estas comunidades, integrando de manera directa a sus formas organizativas dentro del ciclo de la contratación. </w:t>
      </w:r>
    </w:p>
    <w:p w14:paraId="05A6F8DB" w14:textId="77777777" w:rsidR="00E2559B" w:rsidRPr="00923468" w:rsidRDefault="00E2559B" w:rsidP="00E2559B">
      <w:pPr>
        <w:spacing w:after="0"/>
        <w:jc w:val="both"/>
        <w:rPr>
          <w:rFonts w:ascii="Verdana" w:eastAsia="Calibri" w:hAnsi="Verdana" w:cs="Arial"/>
          <w:sz w:val="20"/>
          <w:szCs w:val="20"/>
          <w:lang w:val="es-ES"/>
        </w:rPr>
      </w:pPr>
    </w:p>
    <w:p w14:paraId="71A5970A" w14:textId="77777777" w:rsidR="00E2559B" w:rsidRPr="00923468" w:rsidRDefault="00E2559B" w:rsidP="00E2559B">
      <w:pPr>
        <w:spacing w:after="0" w:line="240" w:lineRule="auto"/>
        <w:jc w:val="both"/>
        <w:rPr>
          <w:rFonts w:ascii="Verdana" w:eastAsia="Calibri" w:hAnsi="Verdana" w:cs="Arial"/>
          <w:bCs/>
          <w:sz w:val="20"/>
          <w:szCs w:val="20"/>
          <w:lang w:val="es-ES_tradnl"/>
        </w:rPr>
      </w:pPr>
      <w:r w:rsidRPr="00923468">
        <w:rPr>
          <w:rFonts w:ascii="Verdana" w:eastAsia="Calibri" w:hAnsi="Verdana" w:cs="Arial"/>
          <w:bCs/>
          <w:sz w:val="20"/>
          <w:szCs w:val="20"/>
          <w:lang w:val="es-ES_tradnl"/>
        </w:rPr>
        <w:t>[…]</w:t>
      </w:r>
    </w:p>
    <w:p w14:paraId="78A03E49" w14:textId="77777777" w:rsidR="00E2559B" w:rsidRPr="00923468" w:rsidRDefault="00E2559B" w:rsidP="00E2559B">
      <w:pPr>
        <w:spacing w:after="0"/>
        <w:jc w:val="both"/>
        <w:rPr>
          <w:rFonts w:ascii="Verdana" w:eastAsia="Calibri" w:hAnsi="Verdana" w:cs="Arial"/>
          <w:sz w:val="20"/>
          <w:szCs w:val="20"/>
          <w:lang w:val="es-ES"/>
        </w:rPr>
      </w:pPr>
    </w:p>
    <w:p w14:paraId="368266D7" w14:textId="77777777" w:rsidR="00E2559B" w:rsidRPr="00923468" w:rsidRDefault="00E2559B" w:rsidP="00E2559B">
      <w:pPr>
        <w:spacing w:after="0"/>
        <w:jc w:val="both"/>
        <w:rPr>
          <w:rFonts w:ascii="Verdana" w:hAnsi="Verdana"/>
          <w:bCs/>
          <w:sz w:val="20"/>
          <w:szCs w:val="20"/>
          <w:lang w:val="es-MX"/>
        </w:rPr>
      </w:pPr>
      <w:r w:rsidRPr="00923468">
        <w:rPr>
          <w:rFonts w:ascii="Verdana" w:hAnsi="Verdana"/>
          <w:bCs/>
          <w:sz w:val="20"/>
          <w:szCs w:val="20"/>
        </w:rPr>
        <w:t>El artículo 3 de la Ley 2160 de 2021 modificó el artículo 7 de la Ley 80 de 1993, norma que hasta entonces se limitaba a regular las nociones de consorcio y unión temporal en el marco del EGCAP. La modificación efectuada consistió en la incorporación de definiciones de los sujetos a los que alude el artículo 6 de la Ley 80 de 1993, en atención a la modificación realizada por el artículo 1 de la Ley 2160 de 2021.  Entre las definiciones incluidas se destacan las de Organizaciones de Segundo nivel, Consejo comunitario de las comunidades negras, formas o expresiones organizativas, organizaciones de base de comunidades negras, afrocolombianas, raizales y palenqueras.</w:t>
      </w:r>
    </w:p>
    <w:p w14:paraId="43B0045F" w14:textId="77777777" w:rsidR="00E2559B" w:rsidRPr="00923468" w:rsidRDefault="00E2559B" w:rsidP="00E2559B">
      <w:pPr>
        <w:spacing w:after="0"/>
        <w:jc w:val="both"/>
        <w:rPr>
          <w:rFonts w:ascii="Verdana" w:hAnsi="Verdana"/>
          <w:b/>
          <w:sz w:val="20"/>
          <w:szCs w:val="20"/>
        </w:rPr>
      </w:pPr>
    </w:p>
    <w:p w14:paraId="52A4882D" w14:textId="77777777" w:rsidR="00E2559B" w:rsidRPr="00923468" w:rsidRDefault="00E2559B" w:rsidP="00E2559B">
      <w:pPr>
        <w:spacing w:after="0"/>
        <w:jc w:val="both"/>
        <w:rPr>
          <w:rFonts w:ascii="Verdana" w:hAnsi="Verdana"/>
          <w:b/>
          <w:sz w:val="20"/>
          <w:szCs w:val="20"/>
        </w:rPr>
      </w:pPr>
      <w:r w:rsidRPr="00923468">
        <w:rPr>
          <w:rFonts w:ascii="Verdana" w:hAnsi="Verdana"/>
          <w:b/>
          <w:sz w:val="20"/>
          <w:szCs w:val="20"/>
          <w:lang w:val="es-MX"/>
        </w:rPr>
        <w:t>CONTRATACIÓN DIRECTA – Aplicación restrictiva – Literales M y N, numeral 4, artículo 2 de la Ley 1150 de 2007</w:t>
      </w:r>
    </w:p>
    <w:p w14:paraId="0D09141F" w14:textId="77777777" w:rsidR="00E2559B" w:rsidRPr="00923468" w:rsidRDefault="00E2559B" w:rsidP="00E2559B">
      <w:pPr>
        <w:spacing w:after="0"/>
        <w:jc w:val="both"/>
        <w:rPr>
          <w:rFonts w:ascii="Verdana" w:hAnsi="Verdana"/>
          <w:b/>
          <w:sz w:val="20"/>
          <w:szCs w:val="20"/>
        </w:rPr>
      </w:pPr>
    </w:p>
    <w:p w14:paraId="3055A0B6" w14:textId="77777777" w:rsidR="00E2559B" w:rsidRPr="00923468" w:rsidRDefault="00E2559B" w:rsidP="00E2559B">
      <w:pPr>
        <w:spacing w:after="0"/>
        <w:jc w:val="both"/>
        <w:rPr>
          <w:rFonts w:ascii="Verdana" w:hAnsi="Verdana" w:cs="Arial"/>
          <w:sz w:val="20"/>
          <w:szCs w:val="20"/>
          <w:lang w:val="es-ES_tradnl"/>
        </w:rPr>
      </w:pPr>
      <w:r w:rsidRPr="00923468">
        <w:rPr>
          <w:rFonts w:ascii="Verdana" w:eastAsia="Calibri" w:hAnsi="Verdana" w:cs="Arial"/>
          <w:sz w:val="20"/>
          <w:szCs w:val="20"/>
          <w:lang w:val="es-ES"/>
        </w:rPr>
        <w:t>Ley 2160 de 2021 también introdujo modificaciones en la Ley 1150 de 2007, específicamente en el artículo 2</w:t>
      </w:r>
      <w:r w:rsidRPr="00923468">
        <w:rPr>
          <w:rFonts w:ascii="Verdana" w:hAnsi="Verdana" w:cs="Arial"/>
          <w:sz w:val="20"/>
          <w:szCs w:val="20"/>
          <w:lang w:val="es-ES_tradnl"/>
        </w:rPr>
        <w:t>, adicionando los literales M y N al numeral 4, creando unas causales de contratación directa aplicables de manera exclusiva a los entes organizativos a los que les atribuyen capacidad contractual los artículos 6 y 7 de la Ley 80 de 1993, por cuenta de las modificaciones aquí explicadas.</w:t>
      </w:r>
      <w:r w:rsidRPr="00923468">
        <w:rPr>
          <w:rFonts w:ascii="Verdana" w:eastAsia="Calibri" w:hAnsi="Verdana" w:cs="Arial"/>
          <w:sz w:val="20"/>
          <w:szCs w:val="20"/>
          <w:lang w:val="es-ES"/>
        </w:rPr>
        <w:t xml:space="preserve"> Estas causales enfocan la colaboración entre la Entidades Estatales y los entes organizativos de</w:t>
      </w:r>
      <w:r w:rsidRPr="00923468">
        <w:rPr>
          <w:rFonts w:ascii="Verdana" w:hAnsi="Verdana" w:cs="Arial"/>
          <w:sz w:val="20"/>
          <w:szCs w:val="20"/>
          <w:lang w:val="es-ES_tradnl"/>
        </w:rPr>
        <w:t xml:space="preserve"> la población negra, afrodescendiente, raizal y palenquera a objetos que busquen unas finalidades específicas.</w:t>
      </w:r>
    </w:p>
    <w:p w14:paraId="6003297A" w14:textId="77777777" w:rsidR="00E2559B" w:rsidRPr="00923468" w:rsidRDefault="00E2559B" w:rsidP="00E2559B">
      <w:pPr>
        <w:spacing w:after="0"/>
        <w:jc w:val="both"/>
        <w:rPr>
          <w:rFonts w:ascii="Verdana" w:hAnsi="Verdana" w:cs="Arial"/>
          <w:sz w:val="20"/>
          <w:szCs w:val="20"/>
          <w:lang w:val="es-ES_tradnl"/>
        </w:rPr>
      </w:pPr>
    </w:p>
    <w:p w14:paraId="745B1278" w14:textId="77777777" w:rsidR="00E2559B" w:rsidRPr="00923468" w:rsidRDefault="00E2559B" w:rsidP="00E2559B">
      <w:pPr>
        <w:spacing w:after="0" w:line="240" w:lineRule="auto"/>
        <w:jc w:val="both"/>
        <w:rPr>
          <w:rFonts w:ascii="Verdana" w:eastAsia="Calibri" w:hAnsi="Verdana" w:cs="Arial"/>
          <w:bCs/>
          <w:sz w:val="20"/>
          <w:szCs w:val="20"/>
          <w:lang w:val="es-ES_tradnl"/>
        </w:rPr>
      </w:pPr>
      <w:r w:rsidRPr="00923468">
        <w:rPr>
          <w:rFonts w:ascii="Verdana" w:eastAsia="Calibri" w:hAnsi="Verdana" w:cs="Arial"/>
          <w:bCs/>
          <w:sz w:val="20"/>
          <w:szCs w:val="20"/>
          <w:lang w:val="es-ES_tradnl"/>
        </w:rPr>
        <w:t>[…]</w:t>
      </w:r>
    </w:p>
    <w:p w14:paraId="64E08E09" w14:textId="77777777" w:rsidR="00E2559B" w:rsidRPr="00923468" w:rsidRDefault="00E2559B" w:rsidP="00E2559B">
      <w:pPr>
        <w:spacing w:after="0"/>
        <w:jc w:val="both"/>
        <w:rPr>
          <w:rFonts w:ascii="Verdana" w:hAnsi="Verdana" w:cs="Arial"/>
          <w:sz w:val="20"/>
          <w:szCs w:val="20"/>
          <w:lang w:val="es-ES_tradnl"/>
        </w:rPr>
      </w:pPr>
    </w:p>
    <w:p w14:paraId="15B5E6A2" w14:textId="77777777" w:rsidR="00E2559B" w:rsidRPr="00923468" w:rsidRDefault="00E2559B" w:rsidP="00E2559B">
      <w:pPr>
        <w:spacing w:after="0"/>
        <w:jc w:val="both"/>
        <w:rPr>
          <w:rFonts w:ascii="Verdana" w:hAnsi="Verdana"/>
          <w:bCs/>
          <w:sz w:val="20"/>
          <w:szCs w:val="20"/>
        </w:rPr>
      </w:pPr>
      <w:r w:rsidRPr="00923468">
        <w:rPr>
          <w:rFonts w:ascii="Verdana" w:hAnsi="Verdana"/>
          <w:bCs/>
          <w:sz w:val="20"/>
          <w:szCs w:val="20"/>
          <w:lang w:val="es-ES"/>
        </w:rPr>
        <w:t xml:space="preserve">Los literales M) y N) del artículo 2, numeral 4 de la Ley 1150 de 2007 consagran disposiciones que autorizan a las Entidades Estatales a contratar de manera directa con los </w:t>
      </w:r>
      <w:r w:rsidRPr="00923468">
        <w:rPr>
          <w:rFonts w:ascii="Verdana" w:hAnsi="Verdana"/>
          <w:bCs/>
          <w:sz w:val="20"/>
          <w:szCs w:val="20"/>
        </w:rPr>
        <w:t>consejos comunitarios de las comunidades negras y organizaciones de base de personas pertenecientes a comunidades afrocolombianas, raizales y palenqueras o con otras formas y expresiones organizativas. En ese sentido, al igual que las otras causales de contratación directa previstas en el numeral 4 del artículo 2 de la Ley 1150 de 2007, estas suponen una excepción a la regla general que impone la selección del contratista a través del adelantamiento de proceso competitivo, estableciendo unas condiciones en atención a las cuales es permitido contratar de manera directa.</w:t>
      </w:r>
    </w:p>
    <w:p w14:paraId="245FDE30" w14:textId="77777777" w:rsidR="00E2559B" w:rsidRPr="00923468" w:rsidRDefault="00E2559B" w:rsidP="00C15139">
      <w:pPr>
        <w:spacing w:after="0"/>
        <w:rPr>
          <w:rFonts w:ascii="Verdana" w:hAnsi="Verdana"/>
          <w:b/>
          <w:sz w:val="20"/>
          <w:szCs w:val="20"/>
        </w:rPr>
      </w:pPr>
    </w:p>
    <w:p w14:paraId="102D1122" w14:textId="77777777" w:rsidR="00411D06" w:rsidRPr="00923468" w:rsidRDefault="00411D06" w:rsidP="00C15139">
      <w:pPr>
        <w:spacing w:after="0"/>
        <w:rPr>
          <w:rFonts w:ascii="Verdana" w:hAnsi="Verdana"/>
        </w:rPr>
      </w:pPr>
    </w:p>
    <w:p w14:paraId="3AE514C7" w14:textId="77777777" w:rsidR="00E2559B" w:rsidRPr="00923468" w:rsidRDefault="00E2559B" w:rsidP="00C15139">
      <w:pPr>
        <w:spacing w:after="0"/>
        <w:rPr>
          <w:rFonts w:ascii="Verdana" w:hAnsi="Verdana"/>
        </w:rPr>
      </w:pPr>
    </w:p>
    <w:p w14:paraId="09D021D3" w14:textId="77777777" w:rsidR="00E2559B" w:rsidRDefault="00E2559B" w:rsidP="00C15139">
      <w:pPr>
        <w:spacing w:after="0"/>
        <w:rPr>
          <w:rFonts w:ascii="Verdana" w:hAnsi="Verdana"/>
        </w:rPr>
      </w:pPr>
    </w:p>
    <w:p w14:paraId="61461440" w14:textId="77777777" w:rsidR="00CB7775" w:rsidRPr="00923468" w:rsidRDefault="00CB7775" w:rsidP="00C15139">
      <w:pPr>
        <w:spacing w:after="0"/>
        <w:rPr>
          <w:rFonts w:ascii="Verdana" w:hAnsi="Verdana"/>
        </w:rPr>
      </w:pPr>
    </w:p>
    <w:p w14:paraId="1468C46D" w14:textId="0F307F94" w:rsidR="00C15139" w:rsidRPr="00923468" w:rsidRDefault="00C15139" w:rsidP="00C15139">
      <w:pPr>
        <w:spacing w:after="0"/>
        <w:rPr>
          <w:rFonts w:ascii="Verdana" w:hAnsi="Verdana"/>
        </w:rPr>
      </w:pPr>
      <w:r w:rsidRPr="00923468">
        <w:rPr>
          <w:rFonts w:ascii="Verdana" w:hAnsi="Verdana"/>
        </w:rPr>
        <w:lastRenderedPageBreak/>
        <w:t xml:space="preserve">Bogotá D.C., </w:t>
      </w:r>
      <w:r w:rsidR="00CB7775">
        <w:rPr>
          <w:rFonts w:ascii="Verdana" w:hAnsi="Verdana"/>
        </w:rPr>
        <w:t>19 de diciembre del 2025</w:t>
      </w:r>
      <w:r w:rsidRPr="00923468">
        <w:rPr>
          <w:rFonts w:ascii="Verdana" w:hAnsi="Verdana"/>
        </w:rPr>
        <w:tab/>
      </w:r>
    </w:p>
    <w:p w14:paraId="12443EE0" w14:textId="77777777" w:rsidR="00C15139" w:rsidRDefault="00C15139" w:rsidP="00C15139">
      <w:pPr>
        <w:spacing w:after="0"/>
        <w:rPr>
          <w:rFonts w:ascii="Verdana" w:hAnsi="Verdana"/>
        </w:rPr>
      </w:pPr>
    </w:p>
    <w:p w14:paraId="37401443" w14:textId="7B48202B" w:rsidR="00CB7775" w:rsidRPr="00923468" w:rsidRDefault="00CB7775" w:rsidP="00CB7775">
      <w:pPr>
        <w:spacing w:after="0"/>
        <w:jc w:val="right"/>
        <w:rPr>
          <w:rFonts w:ascii="Verdana" w:hAnsi="Verdana"/>
        </w:rPr>
      </w:pPr>
      <w:r w:rsidRPr="00CB7775">
        <w:rPr>
          <w:rFonts w:ascii="Verdana" w:hAnsi="Verdana"/>
        </w:rPr>
        <w:drawing>
          <wp:inline distT="0" distB="0" distL="0" distR="0" wp14:anchorId="1D254F5D" wp14:editId="57A228F6">
            <wp:extent cx="2943225" cy="933450"/>
            <wp:effectExtent l="0" t="0" r="9525" b="0"/>
            <wp:docPr id="43772789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727895" name="Imagen 1" descr="Texto&#10;&#10;El contenido generado por IA puede ser incorrecto."/>
                    <pic:cNvPicPr/>
                  </pic:nvPicPr>
                  <pic:blipFill>
                    <a:blip r:embed="rId10"/>
                    <a:stretch>
                      <a:fillRect/>
                    </a:stretch>
                  </pic:blipFill>
                  <pic:spPr>
                    <a:xfrm>
                      <a:off x="0" y="0"/>
                      <a:ext cx="2943635" cy="933580"/>
                    </a:xfrm>
                    <a:prstGeom prst="rect">
                      <a:avLst/>
                    </a:prstGeom>
                  </pic:spPr>
                </pic:pic>
              </a:graphicData>
            </a:graphic>
          </wp:inline>
        </w:drawing>
      </w:r>
    </w:p>
    <w:bookmarkEnd w:id="0"/>
    <w:p w14:paraId="16FD647F" w14:textId="3D1F53CB" w:rsidR="00D46419" w:rsidRPr="00923468" w:rsidRDefault="002A6AEF" w:rsidP="00D46419">
      <w:pPr>
        <w:spacing w:after="0" w:line="240" w:lineRule="auto"/>
        <w:jc w:val="both"/>
        <w:rPr>
          <w:rFonts w:ascii="Verdana" w:eastAsia="Calibri" w:hAnsi="Verdana" w:cs="Arial"/>
          <w:color w:val="000000" w:themeColor="text1"/>
          <w:lang w:val="es-ES" w:eastAsia="es-ES"/>
        </w:rPr>
      </w:pPr>
      <w:r w:rsidRPr="00923468">
        <w:rPr>
          <w:rFonts w:ascii="Verdana" w:eastAsia="Calibri" w:hAnsi="Verdana" w:cs="Arial"/>
          <w:color w:val="000000" w:themeColor="text1"/>
          <w:lang w:val="es-ES" w:eastAsia="es-ES"/>
        </w:rPr>
        <w:t>Doctora</w:t>
      </w:r>
      <w:r w:rsidR="00D46419" w:rsidRPr="00923468">
        <w:rPr>
          <w:rFonts w:ascii="Verdana" w:eastAsia="Calibri" w:hAnsi="Verdana" w:cs="Arial"/>
          <w:color w:val="000000" w:themeColor="text1"/>
          <w:lang w:val="es-ES" w:eastAsia="es-ES"/>
        </w:rPr>
        <w:t>:</w:t>
      </w:r>
    </w:p>
    <w:p w14:paraId="12051C5A" w14:textId="530070FD" w:rsidR="00D46419" w:rsidRPr="00923468" w:rsidRDefault="002A6AEF" w:rsidP="00D46419">
      <w:pPr>
        <w:spacing w:after="0" w:line="240" w:lineRule="auto"/>
        <w:jc w:val="both"/>
        <w:rPr>
          <w:rFonts w:ascii="Verdana" w:eastAsia="Calibri" w:hAnsi="Verdana" w:cs="Arial"/>
          <w:b/>
          <w:bCs/>
          <w:color w:val="000000" w:themeColor="text1"/>
          <w:lang w:eastAsia="es-ES"/>
        </w:rPr>
      </w:pPr>
      <w:r w:rsidRPr="00923468">
        <w:rPr>
          <w:rFonts w:ascii="Verdana" w:eastAsia="Calibri" w:hAnsi="Verdana" w:cs="Arial"/>
          <w:b/>
          <w:bCs/>
          <w:color w:val="000000" w:themeColor="text1"/>
          <w:lang w:eastAsia="es-ES"/>
        </w:rPr>
        <w:t>Ana María Mesa Betancur</w:t>
      </w:r>
    </w:p>
    <w:p w14:paraId="310ECC0A" w14:textId="047018E3" w:rsidR="00695B82" w:rsidRPr="00923468" w:rsidRDefault="00695B82" w:rsidP="00D46419">
      <w:pPr>
        <w:spacing w:after="0" w:line="240" w:lineRule="auto"/>
        <w:rPr>
          <w:rFonts w:ascii="Verdana" w:hAnsi="Verdana"/>
        </w:rPr>
      </w:pPr>
      <w:hyperlink r:id="rId11" w:history="1">
        <w:r w:rsidRPr="00923468">
          <w:rPr>
            <w:rStyle w:val="Hipervnculo"/>
            <w:rFonts w:ascii="Verdana" w:hAnsi="Verdana"/>
          </w:rPr>
          <w:t>yeni.gutierrez@envigado.gov.co</w:t>
        </w:r>
      </w:hyperlink>
      <w:r w:rsidRPr="00923468">
        <w:rPr>
          <w:rFonts w:ascii="Verdana" w:hAnsi="Verdana"/>
        </w:rPr>
        <w:t xml:space="preserve"> </w:t>
      </w:r>
    </w:p>
    <w:p w14:paraId="2A3A098F" w14:textId="3AB057F2" w:rsidR="00D46419" w:rsidRPr="00923468" w:rsidRDefault="00AC17DB" w:rsidP="00D46419">
      <w:pPr>
        <w:spacing w:after="0" w:line="240" w:lineRule="auto"/>
        <w:rPr>
          <w:rFonts w:ascii="Verdana" w:eastAsia="Calibri" w:hAnsi="Verdana" w:cs="Arial"/>
          <w:b/>
          <w:bCs/>
          <w:color w:val="000000" w:themeColor="text1"/>
          <w:lang w:val="es-ES_tradnl" w:eastAsia="es-ES"/>
        </w:rPr>
      </w:pPr>
      <w:r w:rsidRPr="00923468">
        <w:rPr>
          <w:rFonts w:ascii="Verdana" w:eastAsia="Calibri" w:hAnsi="Verdana" w:cs="Arial"/>
          <w:color w:val="000000" w:themeColor="text1"/>
          <w:lang w:val="es-ES_tradnl" w:eastAsia="es-ES"/>
        </w:rPr>
        <w:t xml:space="preserve">Envigado, Antioquia </w:t>
      </w:r>
    </w:p>
    <w:p w14:paraId="0F8D7424" w14:textId="77777777" w:rsidR="00D46419" w:rsidRPr="00923468" w:rsidRDefault="00D46419" w:rsidP="00D46419">
      <w:pPr>
        <w:spacing w:after="0" w:line="240" w:lineRule="auto"/>
        <w:rPr>
          <w:rFonts w:ascii="Verdana" w:eastAsia="Calibri" w:hAnsi="Verdana" w:cs="Arial"/>
          <w:b/>
          <w:bCs/>
          <w:color w:val="000000" w:themeColor="text1"/>
          <w:lang w:val="es-ES_tradnl" w:eastAsia="es-ES_tradnl"/>
        </w:rPr>
      </w:pPr>
    </w:p>
    <w:p w14:paraId="40AD3D9A" w14:textId="77777777" w:rsidR="00D46419" w:rsidRPr="00923468" w:rsidRDefault="00D46419" w:rsidP="00D46419">
      <w:pPr>
        <w:spacing w:after="0" w:line="240" w:lineRule="auto"/>
        <w:rPr>
          <w:rFonts w:ascii="Verdana" w:eastAsia="Calibri" w:hAnsi="Verdana" w:cs="Arial"/>
          <w:b/>
          <w:bCs/>
          <w:color w:val="000000" w:themeColor="text1"/>
          <w:lang w:val="es-ES_tradnl" w:eastAsia="es-ES_tradnl"/>
        </w:rPr>
      </w:pPr>
    </w:p>
    <w:p w14:paraId="51212372" w14:textId="622AD188" w:rsidR="00D46419" w:rsidRPr="00923468" w:rsidRDefault="00D46419" w:rsidP="00D46419">
      <w:pPr>
        <w:spacing w:after="0" w:line="240" w:lineRule="auto"/>
        <w:rPr>
          <w:rFonts w:ascii="Verdana" w:eastAsia="Calibri" w:hAnsi="Verdana" w:cs="Arial"/>
          <w:b/>
          <w:bCs/>
          <w:color w:val="000000" w:themeColor="text1"/>
          <w:lang w:val="es-ES_tradnl" w:eastAsia="es-ES_tradnl"/>
        </w:rPr>
      </w:pPr>
      <w:r w:rsidRPr="00923468">
        <w:rPr>
          <w:rFonts w:ascii="Verdana" w:eastAsia="Calibri" w:hAnsi="Verdana" w:cs="Arial"/>
          <w:b/>
          <w:bCs/>
          <w:color w:val="000000" w:themeColor="text1"/>
          <w:lang w:val="es-ES_tradnl" w:eastAsia="es-ES_tradnl"/>
        </w:rPr>
        <w:t xml:space="preserve">                                   Concepto </w:t>
      </w:r>
      <w:r w:rsidR="00587E39" w:rsidRPr="00923468">
        <w:rPr>
          <w:rFonts w:ascii="Verdana" w:eastAsia="Calibri" w:hAnsi="Verdana" w:cs="Arial"/>
          <w:b/>
          <w:bCs/>
          <w:color w:val="000000" w:themeColor="text1"/>
          <w:lang w:val="es-ES_tradnl" w:eastAsia="es-ES_tradnl"/>
        </w:rPr>
        <w:t xml:space="preserve">C-1814 </w:t>
      </w:r>
      <w:r w:rsidRPr="00923468">
        <w:rPr>
          <w:rFonts w:ascii="Verdana" w:eastAsia="Calibri" w:hAnsi="Verdana" w:cs="Arial"/>
          <w:b/>
          <w:bCs/>
          <w:color w:val="000000" w:themeColor="text1"/>
          <w:lang w:val="es-ES_tradnl" w:eastAsia="es-ES_tradnl"/>
        </w:rPr>
        <w:t>del 2025</w:t>
      </w:r>
    </w:p>
    <w:p w14:paraId="7F59B8D5" w14:textId="77777777" w:rsidR="00D46419" w:rsidRPr="00923468" w:rsidRDefault="00D46419" w:rsidP="00D46419">
      <w:pPr>
        <w:spacing w:after="0" w:line="240" w:lineRule="auto"/>
        <w:rPr>
          <w:rFonts w:ascii="Verdana" w:eastAsia="Calibri" w:hAnsi="Verdana" w:cs="Arial"/>
          <w:b/>
          <w:bCs/>
          <w:color w:val="000000" w:themeColor="text1"/>
          <w:lang w:val="es-ES_tradnl" w:eastAsia="es-ES_tradnl"/>
        </w:rPr>
      </w:pPr>
    </w:p>
    <w:p w14:paraId="3014BD37" w14:textId="77777777" w:rsidR="00D46419" w:rsidRPr="00923468" w:rsidRDefault="00D46419" w:rsidP="00D46419">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46419" w:rsidRPr="00923468" w14:paraId="444A0C62" w14:textId="77777777" w:rsidTr="005351A0">
        <w:trPr>
          <w:trHeight w:val="884"/>
        </w:trPr>
        <w:tc>
          <w:tcPr>
            <w:tcW w:w="2689" w:type="dxa"/>
          </w:tcPr>
          <w:p w14:paraId="26ABA7F2" w14:textId="77777777" w:rsidR="00D46419" w:rsidRPr="00923468" w:rsidRDefault="00D46419" w:rsidP="005351A0">
            <w:pPr>
              <w:jc w:val="both"/>
              <w:rPr>
                <w:rFonts w:ascii="Verdana" w:eastAsia="Calibri" w:hAnsi="Verdana" w:cs="Arial"/>
                <w:color w:val="000000" w:themeColor="text1"/>
                <w:lang w:val="es-ES_tradnl" w:eastAsia="es-ES_tradnl"/>
              </w:rPr>
            </w:pPr>
            <w:r w:rsidRPr="00923468">
              <w:rPr>
                <w:rFonts w:ascii="Verdana" w:eastAsia="Calibri" w:hAnsi="Verdana" w:cs="Arial"/>
                <w:b/>
                <w:color w:val="000000" w:themeColor="text1"/>
                <w:lang w:val="es-ES_tradnl" w:eastAsia="es-ES_tradnl"/>
              </w:rPr>
              <w:t>Temas:</w:t>
            </w:r>
            <w:r w:rsidRPr="00923468">
              <w:rPr>
                <w:rFonts w:ascii="Verdana" w:eastAsia="Calibri" w:hAnsi="Verdana" w:cs="Arial"/>
                <w:color w:val="000000" w:themeColor="text1"/>
                <w:lang w:val="es-ES_tradnl" w:eastAsia="es-ES_tradnl"/>
              </w:rPr>
              <w:t xml:space="preserve">                   </w:t>
            </w:r>
          </w:p>
        </w:tc>
        <w:tc>
          <w:tcPr>
            <w:tcW w:w="6100" w:type="dxa"/>
          </w:tcPr>
          <w:p w14:paraId="554B765F" w14:textId="2BF6FADA" w:rsidR="00D46419" w:rsidRPr="00923468" w:rsidRDefault="00EF2844" w:rsidP="005351A0">
            <w:pPr>
              <w:spacing w:line="276" w:lineRule="auto"/>
              <w:jc w:val="both"/>
              <w:rPr>
                <w:rFonts w:ascii="Verdana" w:hAnsi="Verdana" w:cs="Arial"/>
                <w:color w:val="000000"/>
                <w:kern w:val="2"/>
                <w14:ligatures w14:val="standardContextual"/>
              </w:rPr>
            </w:pPr>
            <w:r w:rsidRPr="00923468">
              <w:rPr>
                <w:rFonts w:ascii="Verdana" w:hAnsi="Verdana" w:cs="Arial"/>
                <w:color w:val="000000"/>
                <w:kern w:val="2"/>
                <w14:ligatures w14:val="standardContextual"/>
              </w:rPr>
              <w:t xml:space="preserve">PUEBLOS TRIBALES - Convenio No. 169 de la OIT – Compromisos – Derechos / COMUNIDADES NEGRAS, AFRODESCENDIENTES, RAIZALES Y PALENQUERAS – Naturaleza jurídica – Capacidad contractual / CAPACIDAD PARA CONTRATAR – Consejos comunitarios de las comunidades negras Organizaciones de Base – Formas o expresiones organizativas / CONTRATACIÓN DIRECTA – Aplicación restrictiva – Literales M y N, numeral 4, artículo 2 de la Ley 1150 de 2007 </w:t>
            </w:r>
          </w:p>
          <w:p w14:paraId="7366A80E" w14:textId="22F9C0DD" w:rsidR="00EF2844" w:rsidRPr="00923468" w:rsidRDefault="00EF2844" w:rsidP="005351A0">
            <w:pPr>
              <w:spacing w:line="276" w:lineRule="auto"/>
              <w:jc w:val="both"/>
              <w:rPr>
                <w:rFonts w:ascii="Verdana" w:hAnsi="Verdana" w:cs="Arial"/>
                <w:bCs/>
                <w:color w:val="000000" w:themeColor="text1"/>
              </w:rPr>
            </w:pPr>
          </w:p>
        </w:tc>
      </w:tr>
      <w:tr w:rsidR="00D46419" w:rsidRPr="00923468" w14:paraId="65744979" w14:textId="77777777" w:rsidTr="005351A0">
        <w:tc>
          <w:tcPr>
            <w:tcW w:w="2689" w:type="dxa"/>
          </w:tcPr>
          <w:p w14:paraId="67C9E9A2" w14:textId="77777777" w:rsidR="00D46419" w:rsidRPr="00923468" w:rsidRDefault="00D46419" w:rsidP="005351A0">
            <w:pPr>
              <w:jc w:val="both"/>
              <w:rPr>
                <w:rFonts w:ascii="Verdana" w:eastAsia="Calibri" w:hAnsi="Verdana" w:cs="Arial"/>
                <w:b/>
                <w:color w:val="000000" w:themeColor="text1"/>
                <w:lang w:val="es-ES_tradnl" w:eastAsia="es-ES_tradnl"/>
              </w:rPr>
            </w:pPr>
            <w:r w:rsidRPr="00923468">
              <w:rPr>
                <w:rFonts w:ascii="Verdana" w:eastAsia="Calibri" w:hAnsi="Verdana" w:cs="Arial"/>
                <w:b/>
                <w:color w:val="000000" w:themeColor="text1"/>
                <w:lang w:val="es-ES_tradnl" w:eastAsia="es-ES_tradnl"/>
              </w:rPr>
              <w:t>Radicación:</w:t>
            </w:r>
            <w:r w:rsidRPr="00923468">
              <w:rPr>
                <w:rFonts w:ascii="Verdana" w:eastAsia="Calibri" w:hAnsi="Verdana" w:cs="Arial"/>
                <w:color w:val="000000" w:themeColor="text1"/>
                <w:lang w:val="es-ES_tradnl" w:eastAsia="es-ES_tradnl"/>
              </w:rPr>
              <w:t xml:space="preserve">               </w:t>
            </w:r>
          </w:p>
        </w:tc>
        <w:tc>
          <w:tcPr>
            <w:tcW w:w="6100" w:type="dxa"/>
          </w:tcPr>
          <w:p w14:paraId="4814EA7B" w14:textId="330B3FA5" w:rsidR="00D46419" w:rsidRPr="00923468" w:rsidRDefault="00D46419" w:rsidP="005351A0">
            <w:pPr>
              <w:jc w:val="both"/>
              <w:rPr>
                <w:rFonts w:ascii="Verdana" w:hAnsi="Verdana" w:cs="Arial"/>
              </w:rPr>
            </w:pPr>
            <w:r w:rsidRPr="00923468">
              <w:rPr>
                <w:rFonts w:ascii="Verdana" w:eastAsia="Calibri" w:hAnsi="Verdana" w:cs="Arial"/>
                <w:color w:val="000000" w:themeColor="text1"/>
                <w:lang w:val="es-ES_tradnl" w:eastAsia="es-ES_tradnl"/>
              </w:rPr>
              <w:t xml:space="preserve">Respuesta a consulta con radicado No. </w:t>
            </w:r>
            <w:r w:rsidR="00B45F23" w:rsidRPr="00923468">
              <w:rPr>
                <w:rFonts w:ascii="Verdana" w:eastAsia="Calibri" w:hAnsi="Verdana" w:cs="Arial"/>
                <w:color w:val="000000" w:themeColor="text1"/>
                <w:lang w:eastAsia="es-ES_tradnl"/>
              </w:rPr>
              <w:t>1_2025_12_11_013901</w:t>
            </w:r>
          </w:p>
        </w:tc>
      </w:tr>
    </w:tbl>
    <w:p w14:paraId="39338A2A" w14:textId="77777777" w:rsidR="00D46419" w:rsidRPr="00923468" w:rsidRDefault="00D46419" w:rsidP="00D46419">
      <w:pPr>
        <w:spacing w:after="0" w:line="240" w:lineRule="auto"/>
        <w:jc w:val="both"/>
        <w:rPr>
          <w:rFonts w:ascii="Verdana" w:eastAsia="Calibri" w:hAnsi="Verdana" w:cs="Arial"/>
          <w:color w:val="000000" w:themeColor="text1"/>
          <w:lang w:val="es-ES_tradnl" w:eastAsia="es-ES_tradnl"/>
        </w:rPr>
      </w:pPr>
    </w:p>
    <w:p w14:paraId="0948339F" w14:textId="77777777" w:rsidR="00D46419" w:rsidRPr="00923468" w:rsidRDefault="00D46419" w:rsidP="00D46419">
      <w:pPr>
        <w:spacing w:after="0" w:line="240" w:lineRule="auto"/>
        <w:jc w:val="both"/>
        <w:rPr>
          <w:rFonts w:ascii="Verdana" w:eastAsia="Calibri" w:hAnsi="Verdana" w:cs="Arial"/>
          <w:color w:val="000000" w:themeColor="text1"/>
          <w:lang w:val="es-ES_tradnl" w:eastAsia="es-ES_tradnl"/>
        </w:rPr>
      </w:pPr>
    </w:p>
    <w:p w14:paraId="31F0FD61" w14:textId="011F5003" w:rsidR="00D46419" w:rsidRPr="00923468" w:rsidRDefault="00D46419" w:rsidP="00D46419">
      <w:pPr>
        <w:spacing w:after="0" w:line="276" w:lineRule="auto"/>
        <w:jc w:val="both"/>
        <w:rPr>
          <w:rFonts w:ascii="Verdana" w:eastAsia="Calibri" w:hAnsi="Verdana" w:cs="Arial"/>
          <w:color w:val="000000" w:themeColor="text1"/>
          <w:lang w:val="es-ES" w:eastAsia="es-ES"/>
        </w:rPr>
      </w:pPr>
      <w:r w:rsidRPr="00923468">
        <w:rPr>
          <w:rFonts w:ascii="Verdana" w:eastAsia="Calibri" w:hAnsi="Verdana" w:cs="Arial"/>
          <w:color w:val="000000" w:themeColor="text1"/>
          <w:lang w:val="es-ES" w:eastAsia="es-ES"/>
        </w:rPr>
        <w:t>Estima</w:t>
      </w:r>
      <w:r w:rsidR="0072704B" w:rsidRPr="00923468">
        <w:rPr>
          <w:rFonts w:ascii="Verdana" w:eastAsia="Calibri" w:hAnsi="Verdana" w:cs="Arial"/>
          <w:color w:val="000000" w:themeColor="text1"/>
          <w:lang w:val="es-ES" w:eastAsia="es-ES"/>
        </w:rPr>
        <w:t>da</w:t>
      </w:r>
      <w:r w:rsidRPr="00923468">
        <w:rPr>
          <w:rFonts w:ascii="Verdana" w:eastAsia="Calibri" w:hAnsi="Verdana" w:cs="Arial"/>
          <w:color w:val="000000" w:themeColor="text1"/>
          <w:lang w:val="es-ES" w:eastAsia="es-ES"/>
        </w:rPr>
        <w:t xml:space="preserve"> </w:t>
      </w:r>
      <w:r w:rsidR="0072704B" w:rsidRPr="00923468">
        <w:rPr>
          <w:rFonts w:ascii="Verdana" w:eastAsia="Calibri" w:hAnsi="Verdana" w:cs="Arial"/>
          <w:color w:val="000000" w:themeColor="text1"/>
          <w:lang w:val="es-ES" w:eastAsia="es-ES"/>
        </w:rPr>
        <w:t>Doctora</w:t>
      </w:r>
      <w:r w:rsidRPr="00923468">
        <w:rPr>
          <w:rFonts w:ascii="Verdana" w:eastAsia="Calibri" w:hAnsi="Verdana" w:cs="Arial"/>
          <w:color w:val="000000" w:themeColor="text1"/>
          <w:lang w:val="es-ES" w:eastAsia="es-ES"/>
        </w:rPr>
        <w:t xml:space="preserve"> </w:t>
      </w:r>
      <w:r w:rsidR="0072704B" w:rsidRPr="00923468">
        <w:rPr>
          <w:rFonts w:ascii="Verdana" w:eastAsia="Calibri" w:hAnsi="Verdana" w:cs="Arial"/>
          <w:color w:val="000000" w:themeColor="text1"/>
          <w:lang w:eastAsia="es-ES"/>
        </w:rPr>
        <w:t>Mesa</w:t>
      </w:r>
      <w:r w:rsidRPr="00923468">
        <w:rPr>
          <w:rFonts w:ascii="Verdana" w:eastAsia="Calibri" w:hAnsi="Verdana" w:cs="Arial"/>
          <w:color w:val="000000" w:themeColor="text1"/>
          <w:lang w:val="es-ES" w:eastAsia="es-ES"/>
        </w:rPr>
        <w:t xml:space="preserve">: </w:t>
      </w:r>
    </w:p>
    <w:p w14:paraId="053548EF" w14:textId="77777777" w:rsidR="00D46419" w:rsidRPr="00923468" w:rsidRDefault="00D46419" w:rsidP="00D46419">
      <w:pPr>
        <w:spacing w:after="0"/>
        <w:jc w:val="both"/>
        <w:rPr>
          <w:rStyle w:val="Hipervnculo"/>
          <w:rFonts w:ascii="Verdana" w:hAnsi="Verdana"/>
        </w:rPr>
      </w:pPr>
    </w:p>
    <w:p w14:paraId="683BB25E" w14:textId="3840D1B4" w:rsidR="00D46419" w:rsidRPr="00923468" w:rsidRDefault="00D46419" w:rsidP="00D46419">
      <w:pPr>
        <w:spacing w:after="0" w:line="276" w:lineRule="auto"/>
        <w:jc w:val="both"/>
        <w:rPr>
          <w:rFonts w:ascii="Verdana" w:eastAsia="Calibri" w:hAnsi="Verdana" w:cs="Arial"/>
          <w:color w:val="000000" w:themeColor="text1"/>
          <w:lang w:val="es-ES" w:eastAsia="es-ES"/>
        </w:rPr>
      </w:pPr>
      <w:r w:rsidRPr="00923468">
        <w:rPr>
          <w:rFonts w:ascii="Verdana" w:eastAsia="Calibri" w:hAnsi="Verdana" w:cs="Arial"/>
          <w:color w:val="000000" w:themeColor="text1"/>
          <w:lang w:val="es-ES" w:eastAsia="es-ES"/>
        </w:rPr>
        <w:t>En ejercicio de la competencia otorgada por los artículos 3, numeral 5º, y 11, numeral 8º, del Decreto Ley 4170 de 2011,</w:t>
      </w:r>
      <w:r w:rsidRPr="00923468">
        <w:rPr>
          <w:rFonts w:ascii="Verdana" w:eastAsia="Arial MT" w:hAnsi="Verdana" w:cs="Arial MT"/>
          <w:color w:val="000000" w:themeColor="text1"/>
          <w:lang w:val="es-ES" w:eastAsia="es-ES"/>
        </w:rPr>
        <w:t xml:space="preserve"> </w:t>
      </w:r>
      <w:r w:rsidRPr="00923468">
        <w:rPr>
          <w:rFonts w:ascii="Verdana" w:hAnsi="Verdana" w:cs="Arial"/>
          <w:color w:val="000000" w:themeColor="text1"/>
        </w:rPr>
        <w:t xml:space="preserve">así como lo establecido en el artículo 4 de la Resolución 1707 de 2018 expedida por esta Entidad, </w:t>
      </w:r>
      <w:r w:rsidRPr="00923468">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F170DB" w:rsidRPr="00923468">
        <w:rPr>
          <w:rFonts w:ascii="Verdana" w:eastAsia="Calibri" w:hAnsi="Verdana" w:cs="Arial"/>
          <w:color w:val="000000" w:themeColor="text1"/>
          <w:lang w:val="es-ES" w:eastAsia="es-ES"/>
        </w:rPr>
        <w:t>11 de diciembre del 2025</w:t>
      </w:r>
      <w:r w:rsidRPr="00923468">
        <w:rPr>
          <w:rFonts w:ascii="Verdana" w:eastAsia="Calibri" w:hAnsi="Verdana" w:cs="Arial"/>
          <w:color w:val="000000" w:themeColor="text1"/>
          <w:lang w:val="es-ES" w:eastAsia="es-ES"/>
        </w:rPr>
        <w:t xml:space="preserve">, en la cual manifiesta lo siguiente: </w:t>
      </w:r>
    </w:p>
    <w:p w14:paraId="5536AD2B" w14:textId="77777777" w:rsidR="00D46419" w:rsidRPr="00923468" w:rsidRDefault="00D46419" w:rsidP="00D46419">
      <w:pPr>
        <w:spacing w:after="0" w:line="276" w:lineRule="auto"/>
        <w:jc w:val="both"/>
        <w:rPr>
          <w:rFonts w:ascii="Verdana" w:eastAsia="Calibri" w:hAnsi="Verdana" w:cs="Arial"/>
          <w:color w:val="000000" w:themeColor="text1"/>
          <w:lang w:val="es-ES" w:eastAsia="es-ES"/>
        </w:rPr>
      </w:pPr>
    </w:p>
    <w:p w14:paraId="304E966D" w14:textId="77777777" w:rsidR="00F945F4" w:rsidRPr="00923468" w:rsidRDefault="00D46419" w:rsidP="00D46419">
      <w:pPr>
        <w:spacing w:after="0" w:line="240" w:lineRule="auto"/>
        <w:ind w:left="709" w:right="709"/>
        <w:jc w:val="both"/>
        <w:rPr>
          <w:rFonts w:ascii="Verdana" w:eastAsia="Century Gothic" w:hAnsi="Verdana" w:cs="Century Gothic"/>
          <w:i/>
          <w:iCs/>
          <w:color w:val="000000" w:themeColor="text1"/>
          <w:sz w:val="20"/>
          <w:szCs w:val="20"/>
        </w:rPr>
      </w:pPr>
      <w:r w:rsidRPr="00923468">
        <w:rPr>
          <w:rFonts w:ascii="Verdana" w:eastAsia="Calibri" w:hAnsi="Verdana" w:cs="Arial"/>
          <w:sz w:val="20"/>
          <w:szCs w:val="20"/>
          <w:lang w:val="es-ES"/>
        </w:rPr>
        <w:lastRenderedPageBreak/>
        <w:t xml:space="preserve">“[...] </w:t>
      </w:r>
      <w:r w:rsidR="00477F00" w:rsidRPr="00923468">
        <w:rPr>
          <w:rFonts w:ascii="Verdana" w:eastAsia="Calibri" w:hAnsi="Verdana" w:cs="Arial"/>
          <w:sz w:val="20"/>
          <w:szCs w:val="20"/>
          <w:lang w:val="es-ES"/>
        </w:rPr>
        <w:t xml:space="preserve">1. </w:t>
      </w:r>
      <w:r w:rsidR="00477F00" w:rsidRPr="00923468">
        <w:rPr>
          <w:rFonts w:ascii="Verdana" w:eastAsia="Century Gothic" w:hAnsi="Verdana" w:cs="Century Gothic"/>
          <w:i/>
          <w:iCs/>
          <w:color w:val="000000" w:themeColor="text1"/>
          <w:sz w:val="20"/>
          <w:szCs w:val="20"/>
        </w:rPr>
        <w:t>¿Es el requisito de contar con "diez (10) años o más de haber sido incorporados" una condición sine qua non e insubsanable para que una organización de base NARP pueda ser contratada directamente por una</w:t>
      </w:r>
      <w:r w:rsidR="00F945F4" w:rsidRPr="00923468">
        <w:rPr>
          <w:rFonts w:ascii="Verdana" w:eastAsia="Century Gothic" w:hAnsi="Verdana" w:cs="Century Gothic"/>
          <w:i/>
          <w:iCs/>
          <w:color w:val="000000" w:themeColor="text1"/>
          <w:sz w:val="20"/>
          <w:szCs w:val="20"/>
        </w:rPr>
        <w:t xml:space="preserve"> entidad estatal bajo la causal del literal n) del numeral 4 del artículo 2 de la Ley 1150 de 2007?</w:t>
      </w:r>
    </w:p>
    <w:p w14:paraId="2617F3E1" w14:textId="77777777" w:rsidR="00F945F4" w:rsidRPr="00923468" w:rsidRDefault="00F945F4" w:rsidP="00D46419">
      <w:pPr>
        <w:spacing w:after="0" w:line="240" w:lineRule="auto"/>
        <w:ind w:left="709" w:right="709"/>
        <w:jc w:val="both"/>
        <w:rPr>
          <w:rFonts w:ascii="Verdana" w:eastAsia="Century Gothic" w:hAnsi="Verdana" w:cs="Century Gothic"/>
          <w:i/>
          <w:iCs/>
          <w:color w:val="000000" w:themeColor="text1"/>
          <w:sz w:val="20"/>
          <w:szCs w:val="20"/>
          <w:lang w:val="es-ES"/>
        </w:rPr>
      </w:pPr>
    </w:p>
    <w:p w14:paraId="271643C9" w14:textId="77777777" w:rsidR="00F945F4" w:rsidRPr="00923468" w:rsidRDefault="00F945F4" w:rsidP="00D46419">
      <w:pPr>
        <w:spacing w:after="0" w:line="240" w:lineRule="auto"/>
        <w:ind w:left="709" w:right="709"/>
        <w:jc w:val="both"/>
        <w:rPr>
          <w:rFonts w:ascii="Verdana" w:eastAsia="Century Gothic" w:hAnsi="Verdana" w:cs="Century Gothic"/>
          <w:i/>
          <w:iCs/>
          <w:color w:val="000000" w:themeColor="text1"/>
          <w:sz w:val="20"/>
          <w:szCs w:val="20"/>
        </w:rPr>
      </w:pPr>
      <w:r w:rsidRPr="00923468">
        <w:rPr>
          <w:rFonts w:ascii="Verdana" w:eastAsia="Century Gothic" w:hAnsi="Verdana" w:cs="Century Gothic"/>
          <w:i/>
          <w:iCs/>
          <w:color w:val="000000" w:themeColor="text1"/>
          <w:sz w:val="20"/>
          <w:szCs w:val="20"/>
          <w:lang w:val="es-ES"/>
        </w:rPr>
        <w:t xml:space="preserve">2 </w:t>
      </w:r>
      <w:r w:rsidRPr="00923468">
        <w:rPr>
          <w:rFonts w:ascii="Verdana" w:eastAsia="Century Gothic" w:hAnsi="Verdana" w:cs="Century Gothic"/>
          <w:i/>
          <w:iCs/>
          <w:color w:val="000000" w:themeColor="text1"/>
          <w:sz w:val="20"/>
          <w:szCs w:val="20"/>
        </w:rPr>
        <w:t>¿Se ratifica la postura de esta Agencia en que los requisitos de antigüedad y actualización son concurrentes, es decir, que la ausencia de uno de ellos (en este caso, la antigüedad) imposibilita la aplicación de dicha modalidad de selección?</w:t>
      </w:r>
    </w:p>
    <w:p w14:paraId="7646AB34" w14:textId="77777777" w:rsidR="00F945F4" w:rsidRPr="00923468" w:rsidRDefault="00F945F4" w:rsidP="00D46419">
      <w:pPr>
        <w:spacing w:after="0" w:line="240" w:lineRule="auto"/>
        <w:ind w:left="709" w:right="709"/>
        <w:jc w:val="both"/>
        <w:rPr>
          <w:rFonts w:ascii="Verdana" w:eastAsia="Century Gothic" w:hAnsi="Verdana" w:cs="Century Gothic"/>
          <w:i/>
          <w:iCs/>
          <w:color w:val="000000" w:themeColor="text1"/>
          <w:sz w:val="20"/>
          <w:szCs w:val="20"/>
        </w:rPr>
      </w:pPr>
    </w:p>
    <w:p w14:paraId="2D9E2F7A" w14:textId="67D21FBC" w:rsidR="00D46419" w:rsidRPr="00923468" w:rsidRDefault="00F945F4" w:rsidP="00D46419">
      <w:pPr>
        <w:spacing w:after="0" w:line="240" w:lineRule="auto"/>
        <w:ind w:left="709" w:right="709"/>
        <w:jc w:val="both"/>
        <w:rPr>
          <w:rFonts w:ascii="Verdana" w:eastAsia="Century Gothic" w:hAnsi="Verdana" w:cs="Century Gothic"/>
          <w:i/>
          <w:iCs/>
          <w:color w:val="000000" w:themeColor="text1"/>
          <w:sz w:val="20"/>
          <w:szCs w:val="20"/>
        </w:rPr>
      </w:pPr>
      <w:r w:rsidRPr="00923468">
        <w:rPr>
          <w:rFonts w:ascii="Verdana" w:eastAsia="Century Gothic" w:hAnsi="Verdana" w:cs="Century Gothic"/>
          <w:i/>
          <w:iCs/>
          <w:color w:val="000000" w:themeColor="text1"/>
          <w:sz w:val="20"/>
          <w:szCs w:val="20"/>
        </w:rPr>
        <w:t>3</w:t>
      </w:r>
      <w:r w:rsidRPr="00923468">
        <w:rPr>
          <w:rFonts w:ascii="Verdana" w:hAnsi="Verdana"/>
        </w:rPr>
        <w:t xml:space="preserve"> </w:t>
      </w:r>
      <w:r w:rsidRPr="00923468">
        <w:rPr>
          <w:rFonts w:ascii="Verdana" w:eastAsia="Century Gothic" w:hAnsi="Verdana" w:cs="Century Gothic"/>
          <w:i/>
          <w:iCs/>
          <w:color w:val="000000" w:themeColor="text1"/>
          <w:sz w:val="20"/>
          <w:szCs w:val="20"/>
        </w:rPr>
        <w:t>En caso de que una entidad estatal suscriba un contrato directo con una organización que no acredita la antigüedad de diez (10) años, ¿cuáles serían las posibles consecuencias jurídicas, disciplinarias o fiscales para la entidad y sus funcionarios, considerando que la interpretación de las causales de contratación directa es de carácter restrictivo?</w:t>
      </w:r>
      <w:r w:rsidR="00477F00" w:rsidRPr="00923468">
        <w:rPr>
          <w:rFonts w:ascii="Verdana" w:eastAsia="Century Gothic" w:hAnsi="Verdana" w:cs="Century Gothic"/>
          <w:i/>
          <w:iCs/>
          <w:color w:val="000000" w:themeColor="text1"/>
          <w:sz w:val="20"/>
          <w:szCs w:val="20"/>
          <w:lang w:val="es-ES"/>
        </w:rPr>
        <w:t xml:space="preserve"> </w:t>
      </w:r>
      <w:r w:rsidR="00D46419" w:rsidRPr="00923468">
        <w:rPr>
          <w:rFonts w:ascii="Verdana" w:eastAsia="Calibri" w:hAnsi="Verdana" w:cs="Arial"/>
          <w:sz w:val="20"/>
          <w:szCs w:val="20"/>
          <w:lang w:val="es-ES"/>
        </w:rPr>
        <w:t>[...]”</w:t>
      </w:r>
    </w:p>
    <w:p w14:paraId="28902188" w14:textId="77777777" w:rsidR="00D46419" w:rsidRPr="00923468" w:rsidRDefault="00D46419" w:rsidP="00D46419">
      <w:pPr>
        <w:spacing w:after="0" w:line="240" w:lineRule="auto"/>
        <w:ind w:left="709" w:right="709"/>
        <w:jc w:val="both"/>
        <w:rPr>
          <w:rFonts w:ascii="Verdana" w:eastAsia="Century Gothic" w:hAnsi="Verdana" w:cs="Century Gothic"/>
          <w:i/>
          <w:iCs/>
          <w:color w:val="000000" w:themeColor="text1"/>
          <w:sz w:val="20"/>
          <w:szCs w:val="20"/>
        </w:rPr>
      </w:pPr>
      <w:r w:rsidRPr="00923468">
        <w:rPr>
          <w:rFonts w:ascii="Verdana" w:eastAsia="Century Gothic" w:hAnsi="Verdana" w:cs="Century Gothic"/>
          <w:i/>
          <w:iCs/>
          <w:color w:val="000000" w:themeColor="text1"/>
          <w:sz w:val="20"/>
          <w:szCs w:val="20"/>
        </w:rPr>
        <w:t> </w:t>
      </w:r>
    </w:p>
    <w:p w14:paraId="3C631973" w14:textId="77777777" w:rsidR="00D46419" w:rsidRPr="00923468" w:rsidRDefault="00D46419" w:rsidP="00D46419">
      <w:pPr>
        <w:spacing w:after="120" w:line="276" w:lineRule="auto"/>
        <w:ind w:firstLine="709"/>
        <w:jc w:val="both"/>
        <w:rPr>
          <w:rFonts w:ascii="Verdana" w:eastAsia="Calibri" w:hAnsi="Verdana" w:cs="Arial"/>
          <w:color w:val="000000" w:themeColor="text1"/>
          <w:szCs w:val="24"/>
          <w:lang w:val="es-ES_tradnl" w:eastAsia="es-ES_tradnl"/>
        </w:rPr>
      </w:pPr>
      <w:r w:rsidRPr="00923468">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23468">
        <w:rPr>
          <w:rFonts w:ascii="Verdana" w:eastAsia="Calibri" w:hAnsi="Verdana" w:cs="Arial"/>
          <w:color w:val="000000" w:themeColor="text1"/>
          <w:szCs w:val="24"/>
          <w:lang w:val="es-ES_tradnl" w:eastAsia="es-ES_tradnl"/>
        </w:rPr>
        <w:tab/>
      </w:r>
    </w:p>
    <w:p w14:paraId="40D42FB6" w14:textId="77777777" w:rsidR="00D46419" w:rsidRPr="00923468" w:rsidRDefault="00D46419" w:rsidP="00D46419">
      <w:pPr>
        <w:spacing w:after="0" w:line="276" w:lineRule="auto"/>
        <w:ind w:firstLine="709"/>
        <w:jc w:val="both"/>
        <w:rPr>
          <w:rFonts w:ascii="Verdana" w:eastAsia="Calibri" w:hAnsi="Verdana" w:cs="Arial"/>
          <w:color w:val="000000" w:themeColor="text1"/>
          <w:lang w:val="es-ES" w:eastAsia="es-ES"/>
        </w:rPr>
      </w:pPr>
      <w:r w:rsidRPr="00923468">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objeto de su consulta. </w:t>
      </w:r>
    </w:p>
    <w:p w14:paraId="27373847" w14:textId="77777777" w:rsidR="00D46419" w:rsidRPr="00923468" w:rsidRDefault="00D46419" w:rsidP="00D46419">
      <w:pPr>
        <w:spacing w:after="0" w:line="276" w:lineRule="auto"/>
        <w:ind w:firstLine="709"/>
        <w:jc w:val="both"/>
        <w:rPr>
          <w:rFonts w:ascii="Verdana" w:eastAsia="Calibri" w:hAnsi="Verdana" w:cs="Arial"/>
          <w:color w:val="000000" w:themeColor="text1"/>
          <w:lang w:val="es-ES" w:eastAsia="es-ES"/>
        </w:rPr>
      </w:pPr>
    </w:p>
    <w:p w14:paraId="441CCE79" w14:textId="006E118C" w:rsidR="00D46419" w:rsidRPr="00923468" w:rsidRDefault="00D46419" w:rsidP="00D4641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923468">
        <w:rPr>
          <w:rFonts w:ascii="Verdana" w:eastAsia="Century Gothic" w:hAnsi="Verdana" w:cs="Century Gothic"/>
          <w:b/>
          <w:bCs/>
          <w:color w:val="000000" w:themeColor="text1"/>
        </w:rPr>
        <w:t>Problema planteado:</w:t>
      </w:r>
    </w:p>
    <w:p w14:paraId="3B1D06B4" w14:textId="77777777" w:rsidR="00F24D87" w:rsidRPr="00923468" w:rsidRDefault="00F24D87" w:rsidP="00F24D87">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p w14:paraId="2029E0C9" w14:textId="426A6622" w:rsidR="00D46419" w:rsidRPr="00923468" w:rsidRDefault="00D46419" w:rsidP="00D46419">
      <w:pPr>
        <w:spacing w:after="0" w:line="276" w:lineRule="auto"/>
        <w:jc w:val="both"/>
        <w:rPr>
          <w:rFonts w:ascii="Verdana" w:hAnsi="Verdana" w:cs="Arial"/>
        </w:rPr>
      </w:pPr>
      <w:r w:rsidRPr="00923468">
        <w:rPr>
          <w:rFonts w:ascii="Verdana" w:eastAsia="Century Gothic" w:hAnsi="Verdana" w:cs="Century Gothic"/>
          <w:color w:val="000000" w:themeColor="text1"/>
        </w:rPr>
        <w:lastRenderedPageBreak/>
        <w:t>De acuerdo con el contenido de su solicitud, esta Agencia resolverá el siguiente problema jurídico: ¿</w:t>
      </w:r>
      <w:r w:rsidR="00A455EF" w:rsidRPr="00923468">
        <w:rPr>
          <w:rFonts w:ascii="Verdana" w:eastAsia="Century Gothic" w:hAnsi="Verdana" w:cs="Century Gothic"/>
          <w:color w:val="000000" w:themeColor="text1"/>
        </w:rPr>
        <w:t>En atención a</w:t>
      </w:r>
      <w:r w:rsidR="00DC6156" w:rsidRPr="00923468">
        <w:rPr>
          <w:rFonts w:ascii="Verdana" w:eastAsia="Century Gothic" w:hAnsi="Verdana" w:cs="Century Gothic"/>
          <w:color w:val="000000" w:themeColor="text1"/>
        </w:rPr>
        <w:t xml:space="preserve"> lo establecido en el literal N) del artículo 2, numeral 4 de la ley 1150 del 2007</w:t>
      </w:r>
      <w:r w:rsidR="00645839">
        <w:rPr>
          <w:rFonts w:ascii="Verdana" w:eastAsia="Century Gothic" w:hAnsi="Verdana" w:cs="Century Gothic"/>
          <w:color w:val="000000" w:themeColor="text1"/>
        </w:rPr>
        <w:t xml:space="preserve"> </w:t>
      </w:r>
      <w:r w:rsidR="00A62B4A" w:rsidRPr="00923468">
        <w:rPr>
          <w:rFonts w:ascii="Verdana" w:eastAsia="Century Gothic" w:hAnsi="Verdana" w:cs="Century Gothic"/>
          <w:color w:val="000000" w:themeColor="text1"/>
        </w:rPr>
        <w:t>las Entidades Estatales pueden</w:t>
      </w:r>
      <w:r w:rsidR="000867E1" w:rsidRPr="00923468">
        <w:rPr>
          <w:rFonts w:ascii="Verdana" w:eastAsia="Century Gothic" w:hAnsi="Verdana" w:cs="Century Gothic"/>
          <w:color w:val="000000" w:themeColor="text1"/>
        </w:rPr>
        <w:t xml:space="preserve"> </w:t>
      </w:r>
      <w:r w:rsidR="00A62B4A" w:rsidRPr="00923468">
        <w:rPr>
          <w:rFonts w:ascii="Verdana" w:eastAsia="Century Gothic" w:hAnsi="Verdana" w:cs="Century Gothic"/>
          <w:color w:val="000000" w:themeColor="text1"/>
        </w:rPr>
        <w:t>contratar</w:t>
      </w:r>
      <w:r w:rsidR="000867E1" w:rsidRPr="00923468">
        <w:rPr>
          <w:rFonts w:ascii="Verdana" w:eastAsia="Century Gothic" w:hAnsi="Verdana" w:cs="Century Gothic"/>
          <w:color w:val="000000" w:themeColor="text1"/>
        </w:rPr>
        <w:t xml:space="preserve"> de </w:t>
      </w:r>
      <w:r w:rsidR="000B7E85" w:rsidRPr="00923468">
        <w:rPr>
          <w:rFonts w:ascii="Verdana" w:eastAsia="Century Gothic" w:hAnsi="Verdana" w:cs="Century Gothic"/>
          <w:color w:val="000000" w:themeColor="text1"/>
        </w:rPr>
        <w:t>manera</w:t>
      </w:r>
      <w:r w:rsidR="000867E1" w:rsidRPr="00923468">
        <w:rPr>
          <w:rFonts w:ascii="Verdana" w:eastAsia="Century Gothic" w:hAnsi="Verdana" w:cs="Century Gothic"/>
          <w:color w:val="000000" w:themeColor="text1"/>
        </w:rPr>
        <w:t xml:space="preserve"> directa con </w:t>
      </w:r>
      <w:r w:rsidR="000B7E85" w:rsidRPr="00923468">
        <w:rPr>
          <w:rFonts w:ascii="Verdana" w:hAnsi="Verdana" w:cs="Arial"/>
        </w:rPr>
        <w:t>organizaciones de base de personas pertenecientes a comunidades afrocolombianas, raizales y palenqueras o con otras formas y expresiones organizativas</w:t>
      </w:r>
      <w:r w:rsidR="00A62B4A" w:rsidRPr="00923468">
        <w:rPr>
          <w:rFonts w:ascii="Verdana" w:hAnsi="Verdana" w:cs="Arial"/>
        </w:rPr>
        <w:t xml:space="preserve"> sin </w:t>
      </w:r>
      <w:r w:rsidR="00185BEA" w:rsidRPr="00923468">
        <w:rPr>
          <w:rFonts w:ascii="Verdana" w:hAnsi="Verdana" w:cs="Arial"/>
        </w:rPr>
        <w:t>acreditar</w:t>
      </w:r>
      <w:r w:rsidR="001B37E4" w:rsidRPr="00923468">
        <w:rPr>
          <w:rFonts w:ascii="Verdana" w:hAnsi="Verdana" w:cs="Arial"/>
        </w:rPr>
        <w:t xml:space="preserve"> la antigüedad de por lo </w:t>
      </w:r>
      <w:r w:rsidR="00185BEA" w:rsidRPr="00923468">
        <w:rPr>
          <w:rFonts w:ascii="Verdana" w:hAnsi="Verdana" w:cs="Arial"/>
        </w:rPr>
        <w:t>menos diez (10) años</w:t>
      </w:r>
      <w:r w:rsidR="005B6A58" w:rsidRPr="00923468">
        <w:rPr>
          <w:rFonts w:ascii="Verdana" w:hAnsi="Verdana" w:cs="Arial"/>
        </w:rPr>
        <w:t xml:space="preserve"> en el Registro Público Único Nacional</w:t>
      </w:r>
      <w:r w:rsidRPr="00923468">
        <w:rPr>
          <w:rFonts w:ascii="Verdana" w:eastAsia="Century Gothic" w:hAnsi="Verdana" w:cs="Century Gothic"/>
          <w:color w:val="000000" w:themeColor="text1"/>
        </w:rPr>
        <w:t>?</w:t>
      </w:r>
    </w:p>
    <w:p w14:paraId="01A136EC" w14:textId="77777777" w:rsidR="00D46419" w:rsidRPr="00923468" w:rsidRDefault="00D46419" w:rsidP="00D46419">
      <w:pPr>
        <w:spacing w:after="0"/>
        <w:jc w:val="both"/>
        <w:rPr>
          <w:rStyle w:val="Hipervnculo"/>
          <w:rFonts w:ascii="Verdana" w:hAnsi="Verdana"/>
        </w:rPr>
      </w:pPr>
    </w:p>
    <w:p w14:paraId="20C49C2E" w14:textId="77777777" w:rsidR="00D46419" w:rsidRPr="00923468" w:rsidRDefault="00D46419" w:rsidP="00D4641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23468">
        <w:rPr>
          <w:rFonts w:ascii="Verdana" w:eastAsia="Century Gothic" w:hAnsi="Verdana" w:cs="Century Gothic"/>
          <w:b/>
          <w:bCs/>
        </w:rPr>
        <w:t>Respuesta:</w:t>
      </w:r>
    </w:p>
    <w:p w14:paraId="4627CFEC" w14:textId="77777777" w:rsidR="00101B20" w:rsidRPr="00923468" w:rsidRDefault="00101B20" w:rsidP="00101B2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01B20" w:rsidRPr="00923468" w14:paraId="21686566" w14:textId="77777777" w:rsidTr="005351A0">
        <w:trPr>
          <w:trHeight w:val="487"/>
        </w:trPr>
        <w:tc>
          <w:tcPr>
            <w:tcW w:w="8828" w:type="dxa"/>
          </w:tcPr>
          <w:p w14:paraId="4F918292" w14:textId="562305DA" w:rsidR="00F96639" w:rsidRPr="00923468" w:rsidRDefault="00F96639" w:rsidP="00F96639">
            <w:pPr>
              <w:spacing w:before="120" w:after="120" w:line="276" w:lineRule="auto"/>
              <w:jc w:val="both"/>
              <w:rPr>
                <w:rFonts w:ascii="Verdana" w:hAnsi="Verdana" w:cs="Arial"/>
                <w:color w:val="000000" w:themeColor="text1"/>
              </w:rPr>
            </w:pPr>
            <w:bookmarkStart w:id="1" w:name="_Hlk204899760"/>
            <w:r w:rsidRPr="00923468">
              <w:rPr>
                <w:rFonts w:ascii="Verdana" w:hAnsi="Verdana" w:cs="Arial"/>
                <w:color w:val="000000" w:themeColor="text1"/>
              </w:rPr>
              <w:t xml:space="preserve">En respuesta a </w:t>
            </w:r>
            <w:r w:rsidR="002B47E4" w:rsidRPr="00923468">
              <w:rPr>
                <w:rFonts w:ascii="Verdana" w:hAnsi="Verdana" w:cs="Arial"/>
                <w:color w:val="000000" w:themeColor="text1"/>
              </w:rPr>
              <w:t>al</w:t>
            </w:r>
            <w:r w:rsidRPr="00923468">
              <w:rPr>
                <w:rFonts w:ascii="Verdana" w:hAnsi="Verdana" w:cs="Arial"/>
                <w:color w:val="000000" w:themeColor="text1"/>
              </w:rPr>
              <w:t xml:space="preserve"> problema antes planteado esta Subdirección manifiesta lo siguiente:</w:t>
            </w:r>
          </w:p>
          <w:p w14:paraId="7886E69E" w14:textId="77777777" w:rsidR="005C08DE" w:rsidRPr="00923468" w:rsidRDefault="00456EBC" w:rsidP="005C08DE">
            <w:pPr>
              <w:shd w:val="clear" w:color="auto" w:fill="FFFFFF"/>
              <w:spacing w:after="120" w:line="276" w:lineRule="auto"/>
              <w:ind w:firstLine="709"/>
              <w:jc w:val="both"/>
              <w:rPr>
                <w:rFonts w:ascii="Verdana" w:hAnsi="Verdana" w:cs="Arial"/>
              </w:rPr>
            </w:pPr>
            <w:r w:rsidRPr="00923468">
              <w:rPr>
                <w:rFonts w:ascii="Verdana" w:hAnsi="Verdana" w:cs="Arial"/>
              </w:rPr>
              <w:t>De</w:t>
            </w:r>
            <w:r w:rsidR="00F96639" w:rsidRPr="00923468">
              <w:rPr>
                <w:rFonts w:ascii="Verdana" w:hAnsi="Verdana" w:cs="Arial"/>
              </w:rPr>
              <w:t xml:space="preserve"> acuerdo </w:t>
            </w:r>
            <w:r w:rsidR="00BF104F" w:rsidRPr="00923468">
              <w:rPr>
                <w:rFonts w:ascii="Verdana" w:hAnsi="Verdana" w:cs="Arial"/>
              </w:rPr>
              <w:t xml:space="preserve">lo dispuesto en </w:t>
            </w:r>
            <w:r w:rsidR="00EB6347" w:rsidRPr="00923468">
              <w:rPr>
                <w:rFonts w:ascii="Verdana" w:hAnsi="Verdana" w:cs="Arial"/>
              </w:rPr>
              <w:t>el literal</w:t>
            </w:r>
            <w:r w:rsidR="00BF104F" w:rsidRPr="00923468">
              <w:rPr>
                <w:rFonts w:ascii="Verdana" w:eastAsia="Century Gothic" w:hAnsi="Verdana" w:cs="Century Gothic"/>
                <w:color w:val="000000" w:themeColor="text1"/>
              </w:rPr>
              <w:t xml:space="preserve"> N) del artículo 2, numeral 4 de la ley 1150 del 2007</w:t>
            </w:r>
            <w:r w:rsidR="00421514" w:rsidRPr="00923468">
              <w:rPr>
                <w:rFonts w:ascii="Verdana" w:eastAsia="Century Gothic" w:hAnsi="Verdana" w:cs="Century Gothic"/>
                <w:color w:val="000000" w:themeColor="text1"/>
              </w:rPr>
              <w:t xml:space="preserve"> las Entidades Estatales </w:t>
            </w:r>
            <w:r w:rsidR="00996C36" w:rsidRPr="00923468">
              <w:rPr>
                <w:rFonts w:ascii="Verdana" w:eastAsia="Century Gothic" w:hAnsi="Verdana" w:cs="Century Gothic"/>
                <w:color w:val="000000" w:themeColor="text1"/>
              </w:rPr>
              <w:t xml:space="preserve">se encuentran autorizadas para </w:t>
            </w:r>
            <w:r w:rsidR="004A794B" w:rsidRPr="00923468">
              <w:rPr>
                <w:rFonts w:ascii="Verdana" w:hAnsi="Verdana" w:cs="Arial"/>
              </w:rPr>
              <w:t>contratar de manera directa con</w:t>
            </w:r>
            <w:r w:rsidR="00D05AE5" w:rsidRPr="00923468">
              <w:rPr>
                <w:rFonts w:ascii="Verdana" w:hAnsi="Verdana" w:cs="Arial"/>
              </w:rPr>
              <w:t xml:space="preserve"> las </w:t>
            </w:r>
            <w:r w:rsidR="00BB5206" w:rsidRPr="00923468">
              <w:rPr>
                <w:rFonts w:ascii="Verdana" w:hAnsi="Verdana" w:cs="Arial"/>
              </w:rPr>
              <w:t xml:space="preserve">organizaciones de base de personas pertenecientes a comunidades afrocolombianas, raizales y palenqueras o con otras formas y expresiones organizativas. En ese sentido, al igual que las otras causales de contratación directa previstas en el numeral 4 del artículo 2 de la Ley 1150 de 2007, estas suponen una excepción a la regla general que impone la selección del contratista a través del adelantamiento de proceso competitivo, estableciendo unas condiciones en atención a las cuales es permitido contratar de manera directa. </w:t>
            </w:r>
            <w:r w:rsidR="005761DE" w:rsidRPr="00923468">
              <w:rPr>
                <w:rFonts w:ascii="Verdana" w:hAnsi="Verdana" w:cs="Arial"/>
              </w:rPr>
              <w:t>Esto implica que,</w:t>
            </w:r>
            <w:r w:rsidR="005C08DE" w:rsidRPr="00923468">
              <w:rPr>
                <w:rFonts w:ascii="Verdana" w:hAnsi="Verdana" w:cs="Arial"/>
              </w:rPr>
              <w:t xml:space="preserve"> estas son disposiciones de aplicación </w:t>
            </w:r>
            <w:r w:rsidR="005C08DE" w:rsidRPr="00923468">
              <w:rPr>
                <w:rFonts w:ascii="Verdana" w:hAnsi="Verdana" w:cs="Arial"/>
                <w:i/>
                <w:iCs/>
              </w:rPr>
              <w:t>restrictiva</w:t>
            </w:r>
            <w:r w:rsidR="005C08DE" w:rsidRPr="00923468">
              <w:rPr>
                <w:rFonts w:ascii="Verdana" w:hAnsi="Verdana" w:cs="Arial"/>
              </w:rPr>
              <w:t xml:space="preserve"> que permiten que la Entidad Estatal desarrolle una relación contractual producto de un proceso no competitivo, con estricta sujeción a las condiciones o requisitos que estipula la causal.    </w:t>
            </w:r>
          </w:p>
          <w:p w14:paraId="47B37D76" w14:textId="77777777" w:rsidR="00101B20" w:rsidRPr="00923468" w:rsidRDefault="00DE5342" w:rsidP="00614CC3">
            <w:pPr>
              <w:spacing w:before="120" w:after="120" w:line="276" w:lineRule="auto"/>
              <w:ind w:firstLine="709"/>
              <w:jc w:val="both"/>
              <w:rPr>
                <w:rFonts w:ascii="Verdana" w:hAnsi="Verdana" w:cs="Arial"/>
              </w:rPr>
            </w:pPr>
            <w:r w:rsidRPr="00923468">
              <w:rPr>
                <w:rFonts w:ascii="Verdana" w:hAnsi="Verdana" w:cs="Arial"/>
              </w:rPr>
              <w:t xml:space="preserve">Como requisito subjetivo, esta causal establece los sujetos específicos respectos de los cuales procede su aplicación, lo que </w:t>
            </w:r>
            <w:r w:rsidR="001042AA" w:rsidRPr="00923468">
              <w:rPr>
                <w:rFonts w:ascii="Verdana" w:hAnsi="Verdana" w:cs="Arial"/>
              </w:rPr>
              <w:t>significa que estas causales solo pueden ser aplicadas en relaciones contractuales que involucren de a los sujetos establecidos en la causal.</w:t>
            </w:r>
            <w:r w:rsidR="00614CC3" w:rsidRPr="00923468">
              <w:rPr>
                <w:rFonts w:ascii="Verdana" w:hAnsi="Verdana" w:cs="Arial"/>
              </w:rPr>
              <w:t xml:space="preserve"> </w:t>
            </w:r>
            <w:r w:rsidR="008607AA" w:rsidRPr="00923468">
              <w:rPr>
                <w:rFonts w:ascii="Verdana" w:hAnsi="Verdana" w:cs="Arial"/>
              </w:rPr>
              <w:t>Así, para</w:t>
            </w:r>
            <w:r w:rsidR="00614CC3" w:rsidRPr="00923468">
              <w:rPr>
                <w:rFonts w:ascii="Verdana" w:hAnsi="Verdana" w:cs="Arial"/>
              </w:rPr>
              <w:t xml:space="preserve"> el caso del literal N) el elemento subjetivo viene dado por el hecho de que la norma contempla su aplicación respecto de las organizaciones de base de personas pertenecientes a comunidades afrocolombianas, raizales y palenqueras –definidas en el numeral 4 del artículo 7 de la Ley 80 de 1993– o con las demás formas y expresiones organizativas –según lo dispuesto en numeral 3 del artículo 7 </w:t>
            </w:r>
            <w:proofErr w:type="spellStart"/>
            <w:r w:rsidR="00614CC3" w:rsidRPr="00923468">
              <w:rPr>
                <w:rFonts w:ascii="Verdana" w:hAnsi="Verdana" w:cs="Arial"/>
                <w:i/>
                <w:iCs/>
              </w:rPr>
              <w:t>ibídem</w:t>
            </w:r>
            <w:proofErr w:type="spellEnd"/>
            <w:r w:rsidR="00614CC3" w:rsidRPr="00923468">
              <w:rPr>
                <w:rFonts w:ascii="Verdana" w:hAnsi="Verdana" w:cs="Arial"/>
              </w:rPr>
              <w:t>–. Respecto de estas organizaciones,</w:t>
            </w:r>
            <w:r w:rsidR="00A6182F" w:rsidRPr="00923468">
              <w:rPr>
                <w:rFonts w:ascii="Verdana" w:hAnsi="Verdana" w:cs="Arial"/>
              </w:rPr>
              <w:t xml:space="preserve"> </w:t>
            </w:r>
            <w:r w:rsidR="00614CC3" w:rsidRPr="00923468">
              <w:rPr>
                <w:rFonts w:ascii="Verdana" w:hAnsi="Verdana" w:cs="Arial"/>
              </w:rPr>
              <w:t xml:space="preserve">se exige que hayan sido </w:t>
            </w:r>
            <w:r w:rsidR="00614CC3" w:rsidRPr="00923468">
              <w:rPr>
                <w:rFonts w:ascii="Verdana" w:hAnsi="Verdana" w:cs="Arial"/>
              </w:rPr>
              <w:lastRenderedPageBreak/>
              <w:t xml:space="preserve">incorporadas en Registro Público Único Nacional y que hayan cumplido con el deber de actualización, pero además se exige una antigüedad. Esto implica que, para la aplicación de la causal no basta con que la organización de base o forma organizativa se haya inscrito y actualizado el registro, sino que además debe acreditar que se ha registrado hace por lo menos diez (10) años, que es el plazo estipulado en la norma. </w:t>
            </w:r>
          </w:p>
          <w:p w14:paraId="0C728BC3" w14:textId="2ECAC87A" w:rsidR="004F51E0" w:rsidRPr="00923468" w:rsidRDefault="00887D76" w:rsidP="004F51E0">
            <w:pPr>
              <w:shd w:val="clear" w:color="auto" w:fill="FFFFFF"/>
              <w:spacing w:after="120" w:line="276" w:lineRule="auto"/>
              <w:ind w:firstLine="709"/>
              <w:jc w:val="both"/>
              <w:rPr>
                <w:rFonts w:ascii="Verdana" w:eastAsia="Calibri" w:hAnsi="Verdana" w:cs="Arial"/>
              </w:rPr>
            </w:pPr>
            <w:r w:rsidRPr="00923468">
              <w:rPr>
                <w:rFonts w:ascii="Verdana" w:eastAsia="Arial" w:hAnsi="Verdana" w:cs="Arial"/>
                <w:bCs/>
                <w:lang w:val="es-ES_tradnl" w:eastAsia="es-ES" w:bidi="es-ES"/>
              </w:rPr>
              <w:t>En todo caso</w:t>
            </w:r>
            <w:r w:rsidRPr="00923468">
              <w:rPr>
                <w:rFonts w:ascii="Verdana" w:eastAsia="Arial" w:hAnsi="Verdana" w:cs="Arial"/>
                <w:lang w:eastAsia="es-ES" w:bidi="es-ES"/>
              </w:rPr>
              <w:t>, las Entidades Estatales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que sea acorde con el principio de juridicidad, sin que sea atribución de esta Agencia validarla.</w:t>
            </w:r>
          </w:p>
        </w:tc>
      </w:tr>
      <w:bookmarkEnd w:id="1"/>
    </w:tbl>
    <w:p w14:paraId="3D06CCB1" w14:textId="77777777" w:rsidR="00101B20" w:rsidRPr="00923468" w:rsidRDefault="00101B20" w:rsidP="00101B20">
      <w:pPr>
        <w:tabs>
          <w:tab w:val="left" w:pos="142"/>
          <w:tab w:val="left" w:pos="284"/>
        </w:tabs>
        <w:spacing w:after="0" w:line="276" w:lineRule="auto"/>
        <w:jc w:val="both"/>
        <w:rPr>
          <w:rFonts w:ascii="Verdana" w:eastAsia="Century Gothic" w:hAnsi="Verdana" w:cs="Century Gothic"/>
          <w:b/>
          <w:bCs/>
        </w:rPr>
      </w:pPr>
    </w:p>
    <w:p w14:paraId="48E77A4E" w14:textId="77777777" w:rsidR="00101B20" w:rsidRPr="00923468" w:rsidRDefault="00101B20" w:rsidP="00101B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23468">
        <w:rPr>
          <w:rFonts w:ascii="Verdana" w:eastAsia="Century Gothic" w:hAnsi="Verdana" w:cs="Century Gothic"/>
          <w:b/>
          <w:bCs/>
        </w:rPr>
        <w:t>Razones de la respuesta:</w:t>
      </w:r>
    </w:p>
    <w:p w14:paraId="734BD5F4" w14:textId="77777777" w:rsidR="00101B20" w:rsidRPr="00923468" w:rsidRDefault="00101B20" w:rsidP="00101B2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F5BE6C1" w14:textId="77777777" w:rsidR="00101B20" w:rsidRPr="00923468" w:rsidRDefault="00101B20" w:rsidP="00101B20">
      <w:pPr>
        <w:spacing w:after="0" w:line="276" w:lineRule="auto"/>
        <w:jc w:val="both"/>
        <w:rPr>
          <w:rFonts w:ascii="Verdana" w:eastAsia="Calibri" w:hAnsi="Verdana" w:cs="Arial"/>
          <w:lang w:val="es-ES"/>
        </w:rPr>
      </w:pPr>
      <w:r w:rsidRPr="00923468">
        <w:rPr>
          <w:rFonts w:ascii="Verdana" w:eastAsia="Calibri" w:hAnsi="Verdana" w:cs="Arial"/>
          <w:lang w:val="es-ES"/>
        </w:rPr>
        <w:t>Lo anterior se sustenta en las siguientes consideraciones:</w:t>
      </w:r>
    </w:p>
    <w:p w14:paraId="5F6BD06D" w14:textId="77777777" w:rsidR="00101B20" w:rsidRPr="00923468" w:rsidRDefault="00101B20" w:rsidP="00D46419">
      <w:pPr>
        <w:spacing w:after="0"/>
        <w:rPr>
          <w:rFonts w:ascii="Verdana" w:eastAsia="Times New Roman" w:hAnsi="Verdana" w:cs="Segoe UI"/>
          <w:lang w:val="es-ES" w:eastAsia="es-CO"/>
        </w:rPr>
      </w:pPr>
    </w:p>
    <w:p w14:paraId="2D96E258" w14:textId="77777777" w:rsidR="00FD3291" w:rsidRPr="00923468" w:rsidRDefault="00FD3291" w:rsidP="00FD3291">
      <w:pPr>
        <w:spacing w:after="120" w:line="276" w:lineRule="auto"/>
        <w:jc w:val="both"/>
        <w:rPr>
          <w:rFonts w:ascii="Verdana" w:eastAsia="Calibri" w:hAnsi="Verdana" w:cs="Arial"/>
        </w:rPr>
      </w:pPr>
      <w:r w:rsidRPr="00923468">
        <w:rPr>
          <w:rFonts w:ascii="Verdana" w:eastAsia="Calibri" w:hAnsi="Verdana" w:cs="Arial"/>
        </w:rPr>
        <w:t>Con la suscripción del Convenio No. 169 de 1989, “Sobre pueblos indígenas y tribales en países independientes” de la Organización Internacional del Trabajo – OIT, incorporado al bloque de constitucionalidad</w:t>
      </w:r>
      <w:r w:rsidRPr="00923468">
        <w:rPr>
          <w:rFonts w:ascii="Verdana" w:hAnsi="Verdana"/>
          <w:vertAlign w:val="superscript"/>
        </w:rPr>
        <w:footnoteReference w:id="1"/>
      </w:r>
      <w:r w:rsidRPr="00923468">
        <w:rPr>
          <w:rFonts w:ascii="Verdana" w:eastAsia="Calibri" w:hAnsi="Verdana" w:cs="Arial"/>
        </w:rPr>
        <w:t xml:space="preserve">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y tribales con acciones concretas dirigidas al reconocimiento de sus derechos y el respeto de su integridad, entre otros compromisos adquiridos.</w:t>
      </w:r>
    </w:p>
    <w:p w14:paraId="1076029E" w14:textId="77777777" w:rsidR="00FD3291" w:rsidRPr="00923468" w:rsidRDefault="00FD3291" w:rsidP="00FD3291">
      <w:pPr>
        <w:spacing w:after="120" w:line="276" w:lineRule="auto"/>
        <w:ind w:firstLine="709"/>
        <w:jc w:val="both"/>
        <w:rPr>
          <w:rFonts w:ascii="Verdana" w:eastAsia="Calibri" w:hAnsi="Verdana" w:cs="Arial"/>
        </w:rPr>
      </w:pPr>
      <w:r w:rsidRPr="00923468">
        <w:rPr>
          <w:rFonts w:ascii="Verdana" w:eastAsia="Calibri" w:hAnsi="Verdana" w:cs="Arial"/>
        </w:rPr>
        <w:t xml:space="preserve">En lo que respecta a la expresión “pueblos indígenas y tribales”, ha de precisarse que abarca a todos los pueblos y/o comunidades que conservan total o parcialmente sus tradiciones o costumbres, instituciones y organización social, </w:t>
      </w:r>
      <w:r w:rsidRPr="00923468">
        <w:rPr>
          <w:rFonts w:ascii="Verdana" w:eastAsia="Calibri" w:hAnsi="Verdana" w:cs="Arial"/>
        </w:rPr>
        <w:lastRenderedPageBreak/>
        <w:t xml:space="preserve">ello quiere decir, que no solo los pueblos indígenas son titulares de los preceptos establecidos en el convenio 169 aprobado por la Ley 21 de 1991, sino que otros grupos étnicos diferenciados, como es el caso de las Comunidades Negras, Afrodescendientes, Raizales y Palenqueras, quienes también son titulares de los derechos ligados a la autonomía, diversidad cultural, defensa de los territorios, participación, entre otros.  </w:t>
      </w:r>
    </w:p>
    <w:p w14:paraId="1A4F272A" w14:textId="77777777" w:rsidR="00FD3291" w:rsidRPr="00923468" w:rsidRDefault="00FD3291" w:rsidP="00FD3291">
      <w:pPr>
        <w:spacing w:after="120" w:line="276" w:lineRule="auto"/>
        <w:ind w:firstLine="709"/>
        <w:jc w:val="both"/>
        <w:rPr>
          <w:rFonts w:ascii="Verdana" w:eastAsia="Calibri" w:hAnsi="Verdana" w:cs="Arial"/>
        </w:rPr>
      </w:pPr>
      <w:r w:rsidRPr="00923468">
        <w:rPr>
          <w:rFonts w:ascii="Verdana" w:eastAsia="Calibri" w:hAnsi="Verdana" w:cs="Arial"/>
        </w:rPr>
        <w:t>Así, en virtud de lo dispuesto en el artículo 2 de la Ley 21 de 1991, el Estado colombiano se comprometió a implementar las acciones necesarias para garantizar que los pueblos indígenas y tribales, fueran respetados en igualdad de condiciones, promover sus derechos, respetar su identidad, sus costumbres y tradiciones, de modo que se eliminen las diferencias existentes entre sus miembros y los demás grupos sociales.</w:t>
      </w:r>
    </w:p>
    <w:p w14:paraId="699E3FD6" w14:textId="77777777" w:rsidR="00FD3291" w:rsidRPr="00923468" w:rsidRDefault="00FD3291" w:rsidP="00FD3291">
      <w:pPr>
        <w:spacing w:after="120" w:line="276" w:lineRule="auto"/>
        <w:ind w:firstLine="709"/>
        <w:jc w:val="both"/>
        <w:rPr>
          <w:rFonts w:ascii="Verdana" w:eastAsia="Calibri" w:hAnsi="Verdana" w:cs="Arial"/>
        </w:rPr>
      </w:pPr>
      <w:r w:rsidRPr="00923468">
        <w:rPr>
          <w:rFonts w:ascii="Verdana" w:eastAsia="Calibri" w:hAnsi="Verdana" w:cs="Arial"/>
        </w:rPr>
        <w:t xml:space="preserve">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y comunidades étnicas. Dentro de los ámbitos en los que han incidido estas disposiciones se encuentra el de la contratación pública, en la medida en que las actuaciones orientadas a la satisfacción de derechos de los grupos étnicos diferenciados en situaciones concretas requieren de la concertación entre estos y las Entidades Estatales, lo que ha suscitado la necesidad de un tratamiento jurídico particular para tales acuerdos.  </w:t>
      </w:r>
    </w:p>
    <w:p w14:paraId="7703DCD1" w14:textId="77777777" w:rsidR="00FD3291" w:rsidRPr="00923468" w:rsidRDefault="00FD3291" w:rsidP="00FD3291">
      <w:pPr>
        <w:spacing w:after="120" w:line="276" w:lineRule="auto"/>
        <w:ind w:firstLine="709"/>
        <w:jc w:val="both"/>
        <w:rPr>
          <w:rFonts w:ascii="Verdana" w:eastAsia="Calibri" w:hAnsi="Verdana" w:cs="Arial"/>
        </w:rPr>
      </w:pPr>
      <w:r w:rsidRPr="00923468">
        <w:rPr>
          <w:rFonts w:ascii="Verdana" w:eastAsia="Calibri" w:hAnsi="Verdana" w:cs="Arial"/>
        </w:rPr>
        <w:t xml:space="preserve">Hoy día, dentro del marco jurídico aplicable a los contratos estatales existen disposiciones que regulan la celebración de contratos que involucran como cocontratantes de las Entidades Estatales a diferentes instancias de representación de las comunidades negras, afrodescendientes, raizales y palenqueras. A través de estas disposiciones el legislador ha atribuido capacidad jurídica y contractual a diversas formas organizativas, estableciendo unos supuestos de hecho y requisitos con sujeción a los cuales procede la celebración de acuerdos de naturaleza contractual con dichos agentes. Esto con el fin de garantizar la igualdad material, procurar la satisfacción de derechos sociales, económicos y culturales, así como la preservación de la identidad social y cultural de las comunidades negras, afrodescendientes, raizales y palenqueras, se han </w:t>
      </w:r>
      <w:r w:rsidRPr="00923468">
        <w:rPr>
          <w:rFonts w:ascii="Verdana" w:eastAsia="Calibri" w:hAnsi="Verdana" w:cs="Arial"/>
        </w:rPr>
        <w:lastRenderedPageBreak/>
        <w:t>regulado algunos aspectos contractuales en relación con sus órganos representativos.</w:t>
      </w:r>
    </w:p>
    <w:p w14:paraId="129413B2" w14:textId="77777777" w:rsidR="00BB12FA" w:rsidRPr="00923468" w:rsidRDefault="00FD3291" w:rsidP="00FD3291">
      <w:pPr>
        <w:spacing w:after="120" w:line="276" w:lineRule="auto"/>
        <w:ind w:firstLine="709"/>
        <w:jc w:val="both"/>
        <w:rPr>
          <w:rFonts w:ascii="Verdana" w:hAnsi="Verdana"/>
        </w:rPr>
      </w:pPr>
      <w:r w:rsidRPr="00923468">
        <w:rPr>
          <w:rFonts w:ascii="Verdana" w:eastAsia="Calibri" w:hAnsi="Verdana" w:cs="Arial"/>
        </w:rPr>
        <w:t xml:space="preserve">Es por esto por lo que, </w:t>
      </w:r>
      <w:r w:rsidRPr="00923468">
        <w:rPr>
          <w:rFonts w:ascii="Verdana" w:eastAsia="Calibri" w:hAnsi="Verdana" w:cs="Arial"/>
          <w:lang w:val="es-ES_tradnl"/>
        </w:rPr>
        <w:t>la Ley 2160 del 2021 “</w:t>
      </w:r>
      <w:r w:rsidRPr="00923468">
        <w:rPr>
          <w:rFonts w:ascii="Verdana" w:eastAsia="Calibri" w:hAnsi="Verdana" w:cs="Arial"/>
          <w:i/>
          <w:iCs/>
        </w:rPr>
        <w:t>por medio del cual se modifica la ley 80 de 1993 y la ley 1150 de 2007</w:t>
      </w:r>
      <w:r w:rsidRPr="00923468">
        <w:rPr>
          <w:rFonts w:ascii="Verdana" w:eastAsia="Calibri" w:hAnsi="Verdana" w:cs="Arial"/>
          <w:lang w:val="es-ES_tradnl"/>
        </w:rPr>
        <w:t xml:space="preserve">”, confirió de manera expresa capacidad jurídica a las </w:t>
      </w:r>
      <w:r w:rsidRPr="00923468">
        <w:rPr>
          <w:rFonts w:ascii="Verdana" w:eastAsia="Calibri" w:hAnsi="Verdana" w:cs="Arial"/>
        </w:rPr>
        <w:t>organizaciones de base de comunidades negras, afrocolombianas, raizales y palenqueras para celebrar contratos con Entidades Estatales. Esto en atención a la necesidad de incluir dentro del Estatuto General de Contratación de la Administración Pública disposiciones que facilitaran la celebración de contratos estatales con objetos dirigidos a proteger los elementos propios de la identidad y los derechos de estas comunidades, integrando de manera directa a sus formas organizativas dentro del ciclo de la contratación</w:t>
      </w:r>
      <w:r w:rsidRPr="00923468">
        <w:rPr>
          <w:rFonts w:ascii="Verdana" w:hAnsi="Verdana"/>
          <w:vertAlign w:val="superscript"/>
        </w:rPr>
        <w:footnoteReference w:id="2"/>
      </w:r>
      <w:r w:rsidRPr="00923468">
        <w:rPr>
          <w:rFonts w:ascii="Verdana" w:eastAsia="Calibri" w:hAnsi="Verdana" w:cs="Arial"/>
        </w:rPr>
        <w:t>.</w:t>
      </w:r>
    </w:p>
    <w:p w14:paraId="6A3B233A" w14:textId="7AF1353B" w:rsidR="00FD3291" w:rsidRPr="00923468" w:rsidRDefault="00FD3291" w:rsidP="00FD3291">
      <w:pPr>
        <w:spacing w:after="120" w:line="276" w:lineRule="auto"/>
        <w:ind w:firstLine="709"/>
        <w:jc w:val="both"/>
        <w:rPr>
          <w:rFonts w:ascii="Verdana" w:eastAsia="Calibri" w:hAnsi="Verdana" w:cs="Arial"/>
        </w:rPr>
      </w:pPr>
      <w:r w:rsidRPr="00923468">
        <w:rPr>
          <w:rFonts w:ascii="Verdana" w:eastAsia="Calibri" w:hAnsi="Verdana" w:cs="Arial"/>
        </w:rPr>
        <w:t xml:space="preserve">Con este propósito se dispuso la modificación del artículo 6 de la Ley 80 de 1993, el cual confiere capacidad jurídica para contratar con Entidades Estatales a los consejos comunitarios de las comunidades negras regulados por la ley 70 de 1993 y a las organizaciones de base de comunidades negras, </w:t>
      </w:r>
      <w:r w:rsidRPr="00923468">
        <w:rPr>
          <w:rFonts w:ascii="Verdana" w:eastAsia="Calibri" w:hAnsi="Verdana" w:cs="Arial"/>
        </w:rPr>
        <w:lastRenderedPageBreak/>
        <w:t>afrocolombianas, raizales y palenqueras y las demás formas y expresiones organizativas.</w:t>
      </w:r>
    </w:p>
    <w:p w14:paraId="79C35816" w14:textId="77777777" w:rsidR="00FD3291" w:rsidRPr="00923468" w:rsidRDefault="00FD3291" w:rsidP="00FD3291">
      <w:pPr>
        <w:spacing w:after="120" w:line="276" w:lineRule="auto"/>
        <w:ind w:firstLine="709"/>
        <w:jc w:val="both"/>
        <w:rPr>
          <w:rFonts w:ascii="Verdana" w:eastAsia="Calibri" w:hAnsi="Verdana" w:cs="Arial"/>
        </w:rPr>
      </w:pPr>
      <w:r w:rsidRPr="00923468">
        <w:rPr>
          <w:rFonts w:ascii="Verdana" w:eastAsia="Calibri" w:hAnsi="Verdana" w:cs="Arial"/>
        </w:rPr>
        <w:t>En concordancia con lo anterior, el artículo 3 de la Ley 2160 de 2021 modificó el artículo 7 de la Ley 80 de 1993, norma que hasta entonces se limitaba a regular las nociones de consorcio y unión temporal en el marco del EGCAP. La modificación efectuada consistió en la incorporación de definiciones de los sujetos a los que alude el artículo 6 de la Ley 80 de 1993, en atención a la modificación realizada por el artículo 1 de la Ley 2160 de 2021. Entre las definiciones incluidas se destacan las de Organizaciones de Segundo nivel, Consejo comunitario de las comunidades negras, formas o expresiones organizativas, organizaciones de base de comunidades negras, afrocolombianas, raizales y palenqueras.</w:t>
      </w:r>
    </w:p>
    <w:p w14:paraId="56173309" w14:textId="77777777" w:rsidR="00FD3291" w:rsidRPr="00923468" w:rsidRDefault="00FD3291" w:rsidP="00FD3291">
      <w:pPr>
        <w:spacing w:after="120" w:line="276" w:lineRule="auto"/>
        <w:ind w:firstLine="709"/>
        <w:jc w:val="both"/>
        <w:rPr>
          <w:rFonts w:ascii="Verdana" w:eastAsia="Calibri" w:hAnsi="Verdana" w:cs="Arial"/>
        </w:rPr>
      </w:pPr>
      <w:r w:rsidRPr="00923468">
        <w:rPr>
          <w:rFonts w:ascii="Verdana" w:eastAsia="Calibri" w:hAnsi="Verdana" w:cs="Arial"/>
        </w:rPr>
        <w:t>Con estas disposiciones no solo se atribuye capacidad jurídica a los mencionados entes representativos y asociativos de la comunidad negra, afrodescendiente, raizal y palenquera, sino que además se les da el tratamiento de “</w:t>
      </w:r>
      <w:r w:rsidRPr="00923468">
        <w:rPr>
          <w:rFonts w:ascii="Verdana" w:eastAsia="Calibri" w:hAnsi="Verdana" w:cs="Arial"/>
          <w:i/>
          <w:iCs/>
        </w:rPr>
        <w:t>entidades a contratar</w:t>
      </w:r>
      <w:r w:rsidRPr="00923468">
        <w:rPr>
          <w:rFonts w:ascii="Verdana" w:eastAsia="Calibri" w:hAnsi="Verdana" w:cs="Arial"/>
        </w:rPr>
        <w:t>”, de acuerdo con las condiciones incorporadas en las anotadas definiciones, que la Ley 2160 de 2021 incorporó en el Estatuto General de Contratación de la Administración Pública. Con estas disposiciones se adecua entonces el marco normativo que se requiere para que los Consejos Comunitarios y las Organizaciones de Base de comunidades negras, afrodescendientes, raizales y palenqueras funjan con colaboradores de la Administración, participando de la ejecución de los contratos estatales dirigidos.</w:t>
      </w:r>
    </w:p>
    <w:p w14:paraId="530DC19A" w14:textId="77777777" w:rsidR="00FD3291" w:rsidRPr="00923468" w:rsidRDefault="00FD3291" w:rsidP="00FD3291">
      <w:pPr>
        <w:spacing w:after="120" w:line="276" w:lineRule="auto"/>
        <w:ind w:firstLine="709"/>
        <w:jc w:val="both"/>
        <w:rPr>
          <w:rFonts w:ascii="Verdana" w:eastAsia="Calibri" w:hAnsi="Verdana" w:cs="Arial"/>
        </w:rPr>
      </w:pPr>
      <w:r w:rsidRPr="00923468">
        <w:rPr>
          <w:rFonts w:ascii="Verdana" w:eastAsia="Calibri" w:hAnsi="Verdana" w:cs="Arial"/>
        </w:rPr>
        <w:t>Fuera de las disposiciones arriba transcritas, la Ley 2160 de 2021 también introdujo modificaciones en la Ley 1150 de 2007, específicamente en el artículo 2</w:t>
      </w:r>
      <w:r w:rsidRPr="00923468">
        <w:rPr>
          <w:rFonts w:ascii="Verdana" w:hAnsi="Verdana" w:cs="Arial"/>
          <w:lang w:val="es-ES_tradnl"/>
        </w:rPr>
        <w:t>, adicionando los literales M y N al numeral 4, creando unas causales de contratación directa aplicables de manera exclusiva a los entes organizativos a los que les atribuyen capacidad contractual los artículos 6 y 7 de la Ley 80 de 1993, por cuenta de las modificaciones aquí explicadas.</w:t>
      </w:r>
      <w:r w:rsidRPr="00923468">
        <w:rPr>
          <w:rFonts w:ascii="Verdana" w:eastAsia="Calibri" w:hAnsi="Verdana" w:cs="Arial"/>
        </w:rPr>
        <w:t xml:space="preserve"> Estas causales enfocan la colaboración entre la Entidades Estatales y los entes organizativos de</w:t>
      </w:r>
      <w:r w:rsidRPr="00923468">
        <w:rPr>
          <w:rFonts w:ascii="Verdana" w:hAnsi="Verdana" w:cs="Arial"/>
          <w:lang w:val="es-ES_tradnl"/>
        </w:rPr>
        <w:t xml:space="preserve"> la comunidad negra, afrodescendiente, raizal y palenquera a objetos que busquen unas finalidades específicas.</w:t>
      </w:r>
    </w:p>
    <w:p w14:paraId="51C908E9" w14:textId="77777777" w:rsidR="00FD3291" w:rsidRPr="00923468" w:rsidRDefault="00FD3291" w:rsidP="00FD3291">
      <w:pPr>
        <w:shd w:val="clear" w:color="auto" w:fill="FFFFFF"/>
        <w:spacing w:after="120" w:line="276" w:lineRule="auto"/>
        <w:ind w:firstLine="709"/>
        <w:jc w:val="both"/>
        <w:rPr>
          <w:rFonts w:ascii="Verdana" w:hAnsi="Verdana" w:cs="Arial"/>
        </w:rPr>
      </w:pPr>
      <w:r w:rsidRPr="00923468">
        <w:rPr>
          <w:rFonts w:ascii="Verdana" w:hAnsi="Verdana" w:cs="Arial"/>
        </w:rPr>
        <w:t xml:space="preserve">En ese orden de ideas, los literales M) y N) del artículo 2, numeral 4 de la Ley 1150 de 2007 consagran disposiciones que autorizan a las Entidades Estatales a contratar de manera directa con los consejos comunitarios de las comunidades negras y organizaciones de base de personas pertenecientes a </w:t>
      </w:r>
      <w:r w:rsidRPr="00923468">
        <w:rPr>
          <w:rFonts w:ascii="Verdana" w:hAnsi="Verdana" w:cs="Arial"/>
        </w:rPr>
        <w:lastRenderedPageBreak/>
        <w:t>comunidades afrocolombianas, raizales y palenqueras o con otras formas y expresiones organizativas. En ese sentido, al igual que las otras causales de contratación directa previstas en el numeral 4 del artículo 2 de la Ley 1150 de 2007, estas suponen una excepción a la regla general que impone la selección del contratista a través del adelantamiento de proceso competitivo, estableciendo unas condiciones en atención a las cuales es permitido contratar de manera directa. Esto implica que, conforme ha explicado la jurisprudencia</w:t>
      </w:r>
      <w:r w:rsidRPr="00923468">
        <w:rPr>
          <w:rStyle w:val="Refdenotaalpie"/>
          <w:rFonts w:ascii="Verdana" w:hAnsi="Verdana" w:cs="Arial"/>
        </w:rPr>
        <w:footnoteReference w:id="3"/>
      </w:r>
      <w:r w:rsidRPr="00923468">
        <w:rPr>
          <w:rFonts w:ascii="Verdana" w:hAnsi="Verdana" w:cs="Arial"/>
        </w:rPr>
        <w:t xml:space="preserve"> y la doctrina nacional</w:t>
      </w:r>
      <w:r w:rsidRPr="00923468">
        <w:rPr>
          <w:rStyle w:val="Refdenotaalpie"/>
          <w:rFonts w:ascii="Verdana" w:hAnsi="Verdana" w:cs="Arial"/>
        </w:rPr>
        <w:footnoteReference w:id="4"/>
      </w:r>
      <w:r w:rsidRPr="00923468">
        <w:rPr>
          <w:rFonts w:ascii="Verdana" w:hAnsi="Verdana" w:cs="Arial"/>
        </w:rPr>
        <w:t xml:space="preserve">, estas son disposiciones de aplicación </w:t>
      </w:r>
      <w:r w:rsidRPr="00923468">
        <w:rPr>
          <w:rFonts w:ascii="Verdana" w:hAnsi="Verdana" w:cs="Arial"/>
          <w:i/>
          <w:iCs/>
        </w:rPr>
        <w:t>restrictiva</w:t>
      </w:r>
      <w:r w:rsidRPr="00923468">
        <w:rPr>
          <w:rFonts w:ascii="Verdana" w:hAnsi="Verdana" w:cs="Arial"/>
        </w:rPr>
        <w:t xml:space="preserve"> que permiten que la Entidad Estatal desarrolle una relación contractual producto de un proceso no competitivo, con estricta sujeción a las condiciones o requisitos que estipula la causal.    </w:t>
      </w:r>
    </w:p>
    <w:p w14:paraId="2867B5ED" w14:textId="77777777" w:rsidR="00FD3291" w:rsidRPr="00923468" w:rsidRDefault="00FD3291" w:rsidP="00FD3291">
      <w:pPr>
        <w:shd w:val="clear" w:color="auto" w:fill="FFFFFF"/>
        <w:spacing w:after="120" w:line="276" w:lineRule="auto"/>
        <w:ind w:firstLine="709"/>
        <w:jc w:val="both"/>
        <w:rPr>
          <w:rFonts w:ascii="Verdana" w:hAnsi="Verdana" w:cs="Arial"/>
        </w:rPr>
      </w:pPr>
      <w:r w:rsidRPr="00923468">
        <w:rPr>
          <w:rFonts w:ascii="Verdana" w:hAnsi="Verdana" w:cs="Arial"/>
        </w:rPr>
        <w:t xml:space="preserve">Como requisitos subjetivos, ambas causales establecen unos sujetos específicos respecto de los que procede su aplicación, lo que significa que estas causales solo pueden ser aplicadas en relaciones contractuales que involucren de a los sujetos establecidos en la causal. En el caso del literal M) son los Consejos Comunitarios regulados por la Ley 70 de 1993 los beneficiarios exclusivos de la causal. Sin perjuicio de la definición incorporada en el numeral 2 del artículo 7 de la Ley 80 de 1993, para dar aplicación a esta disposición se requiere que el </w:t>
      </w:r>
      <w:r w:rsidRPr="00923468">
        <w:rPr>
          <w:rFonts w:ascii="Verdana" w:eastAsia="Times New Roman" w:hAnsi="Verdana" w:cs="Arial"/>
          <w:lang w:eastAsia="es-CO"/>
        </w:rPr>
        <w:t xml:space="preserve">consejo comunitario con el que se contrata haya sido incorporado por el Ministerio del Interior en el correspondiente Registro Público Único Nacional y que haya cumplido con el deber de actualización de información en el mismo registro, de conformidad con lo previsto en el Capítulo 5, del Título 1, de la Parte 5, del Libro 2 del Decreto 1066 de 2015, sustituido y adicionado por </w:t>
      </w:r>
      <w:r w:rsidRPr="00923468">
        <w:rPr>
          <w:rFonts w:ascii="Verdana" w:eastAsia="Times New Roman" w:hAnsi="Verdana" w:cs="Arial"/>
          <w:lang w:eastAsia="es-CO"/>
        </w:rPr>
        <w:lastRenderedPageBreak/>
        <w:t>el Decreto 1640 de 2020. En ese sentido, para contratar de manera directa al amparo de esta causal no basta con que el con el Consejo Comunitario haya cumplido con el deber de inscripción, sino que es necesario constatar que haya cumplido con el deber de actualización de la información contenida en el mencionado registro establecido en el artículo 2.5.1.5.6 del Decreto 1066 de 2015</w:t>
      </w:r>
      <w:r w:rsidRPr="00923468">
        <w:rPr>
          <w:rStyle w:val="Refdenotaalpie"/>
          <w:rFonts w:ascii="Verdana" w:eastAsia="Times New Roman" w:hAnsi="Verdana" w:cs="Arial"/>
          <w:lang w:eastAsia="es-CO"/>
        </w:rPr>
        <w:footnoteReference w:id="5"/>
      </w:r>
      <w:r w:rsidRPr="00923468">
        <w:rPr>
          <w:rFonts w:ascii="Verdana" w:eastAsia="Times New Roman" w:hAnsi="Verdana" w:cs="Arial"/>
          <w:lang w:eastAsia="es-CO"/>
        </w:rPr>
        <w:t xml:space="preserve">. </w:t>
      </w:r>
    </w:p>
    <w:p w14:paraId="2DBB126D" w14:textId="77777777" w:rsidR="00FD3291" w:rsidRPr="00923468" w:rsidRDefault="00FD3291" w:rsidP="00FD3291">
      <w:pPr>
        <w:shd w:val="clear" w:color="auto" w:fill="FFFFFF"/>
        <w:spacing w:after="120" w:line="276" w:lineRule="auto"/>
        <w:ind w:firstLine="709"/>
        <w:jc w:val="both"/>
        <w:rPr>
          <w:rFonts w:ascii="Verdana" w:hAnsi="Verdana" w:cs="Arial"/>
        </w:rPr>
      </w:pPr>
      <w:r w:rsidRPr="00923468">
        <w:rPr>
          <w:rFonts w:ascii="Verdana" w:hAnsi="Verdana" w:cs="Arial"/>
        </w:rPr>
        <w:t xml:space="preserve">En el literal N) el elemento subjetivo viene dado por el hecho de que la norma contempla su aplicación respecto de las organizaciones de base de personas pertenecientes a comunidades afrocolombianas, raizales y palenqueras –definidas en el numeral 4 del artículo 7 de la Ley 80 de 1993– o con las demás formas y expresiones organizativas –según lo dispuesto en numeral 3 del artículo 7 </w:t>
      </w:r>
      <w:proofErr w:type="spellStart"/>
      <w:r w:rsidRPr="00923468">
        <w:rPr>
          <w:rFonts w:ascii="Verdana" w:hAnsi="Verdana" w:cs="Arial"/>
          <w:i/>
          <w:iCs/>
        </w:rPr>
        <w:t>ibídem</w:t>
      </w:r>
      <w:proofErr w:type="spellEnd"/>
      <w:r w:rsidRPr="00923468">
        <w:rPr>
          <w:rFonts w:ascii="Verdana" w:hAnsi="Verdana" w:cs="Arial"/>
        </w:rPr>
        <w:t xml:space="preserve">–. Respecto de estas organizaciones, de manera similar a lo explicado en el párrafo anterior, también se exige que hayan sido incorporadas en Registro Público Único Nacional y que hayan cumplido con el deber de actualización, pero además se exige una antigüedad. Esto implica que, para la aplicación de la causal no basta con que la organización de base o forma organizativa se haya inscrito y actualizado el registro, sino que además debe acreditar que se ha registrado hace por lo menos diez (10) años, que es el plazo estipulado en la norma. </w:t>
      </w:r>
    </w:p>
    <w:p w14:paraId="7CBEA474" w14:textId="77777777" w:rsidR="00FD3291" w:rsidRPr="00923468" w:rsidRDefault="00FD3291" w:rsidP="00FD3291">
      <w:pPr>
        <w:shd w:val="clear" w:color="auto" w:fill="FFFFFF"/>
        <w:spacing w:after="120" w:line="276" w:lineRule="auto"/>
        <w:ind w:firstLine="709"/>
        <w:jc w:val="both"/>
        <w:rPr>
          <w:rFonts w:ascii="Verdana" w:hAnsi="Verdana" w:cs="Arial"/>
        </w:rPr>
      </w:pPr>
      <w:r w:rsidRPr="00923468">
        <w:rPr>
          <w:rFonts w:ascii="Verdana" w:hAnsi="Verdana" w:cs="Arial"/>
        </w:rPr>
        <w:t xml:space="preserve">Por otra parte, en cuanto al elemento objetivo, la causal del literal M) exige que el objeto contractual </w:t>
      </w:r>
      <w:r w:rsidRPr="00923468">
        <w:rPr>
          <w:rFonts w:ascii="Verdana" w:hAnsi="Verdana" w:cs="Arial"/>
          <w:color w:val="000000" w:themeColor="text1"/>
        </w:rPr>
        <w:t xml:space="preserve"> esté relacionado con el </w:t>
      </w:r>
      <w:r w:rsidRPr="00923468">
        <w:rPr>
          <w:rFonts w:ascii="Verdana" w:hAnsi="Verdana" w:cs="Arial"/>
          <w:i/>
          <w:iCs/>
          <w:color w:val="000000" w:themeColor="text1"/>
        </w:rPr>
        <w:t>fortalecimiento del gobierno propio</w:t>
      </w:r>
      <w:r w:rsidRPr="00923468">
        <w:rPr>
          <w:rFonts w:ascii="Verdana" w:hAnsi="Verdana" w:cs="Arial"/>
          <w:color w:val="000000" w:themeColor="text1"/>
        </w:rPr>
        <w:t xml:space="preserve">, la </w:t>
      </w:r>
      <w:r w:rsidRPr="00923468">
        <w:rPr>
          <w:rFonts w:ascii="Verdana" w:hAnsi="Verdana" w:cs="Arial"/>
          <w:i/>
          <w:iCs/>
          <w:color w:val="000000" w:themeColor="text1"/>
        </w:rPr>
        <w:t>identidad étnica y cultural</w:t>
      </w:r>
      <w:r w:rsidRPr="00923468">
        <w:rPr>
          <w:rFonts w:ascii="Verdana" w:hAnsi="Verdana" w:cs="Arial"/>
          <w:color w:val="000000" w:themeColor="text1"/>
        </w:rPr>
        <w:t xml:space="preserve">, el ejercicio de la autonomía, y/o la garantía </w:t>
      </w:r>
      <w:r w:rsidRPr="00923468">
        <w:rPr>
          <w:rFonts w:ascii="Verdana" w:hAnsi="Verdana" w:cs="Arial"/>
          <w:i/>
          <w:iCs/>
          <w:color w:val="000000" w:themeColor="text1"/>
        </w:rPr>
        <w:t>de los derechos de los pueblos de las mismas comunidades</w:t>
      </w:r>
      <w:r w:rsidRPr="00923468">
        <w:rPr>
          <w:rFonts w:ascii="Verdana" w:hAnsi="Verdana" w:cs="Arial"/>
          <w:color w:val="000000" w:themeColor="text1"/>
        </w:rPr>
        <w:t xml:space="preserve">, mientras que el literal N) requiere que el objeto  esté asociado al </w:t>
      </w:r>
      <w:r w:rsidRPr="00923468">
        <w:rPr>
          <w:rFonts w:ascii="Verdana" w:hAnsi="Verdana" w:cs="Arial"/>
          <w:i/>
          <w:iCs/>
          <w:color w:val="000000" w:themeColor="text1"/>
        </w:rPr>
        <w:t xml:space="preserve">fortalecimiento de sus </w:t>
      </w:r>
      <w:r w:rsidRPr="00923468">
        <w:rPr>
          <w:rFonts w:ascii="Verdana" w:hAnsi="Verdana" w:cs="Arial"/>
          <w:i/>
          <w:iCs/>
          <w:color w:val="000000" w:themeColor="text1"/>
        </w:rPr>
        <w:lastRenderedPageBreak/>
        <w:t>organizaciones</w:t>
      </w:r>
      <w:r w:rsidRPr="00923468">
        <w:rPr>
          <w:rFonts w:ascii="Verdana" w:hAnsi="Verdana" w:cs="Arial"/>
          <w:color w:val="000000" w:themeColor="text1"/>
        </w:rPr>
        <w:t xml:space="preserve">, la </w:t>
      </w:r>
      <w:r w:rsidRPr="00923468">
        <w:rPr>
          <w:rFonts w:ascii="Verdana" w:hAnsi="Verdana" w:cs="Arial"/>
          <w:i/>
          <w:iCs/>
          <w:color w:val="000000" w:themeColor="text1"/>
        </w:rPr>
        <w:t>identidad étnica y cultural</w:t>
      </w:r>
      <w:r w:rsidRPr="00923468">
        <w:rPr>
          <w:rFonts w:ascii="Verdana" w:hAnsi="Verdana" w:cs="Arial"/>
          <w:color w:val="000000" w:themeColor="text1"/>
        </w:rPr>
        <w:t xml:space="preserve">, y/o la </w:t>
      </w:r>
      <w:r w:rsidRPr="00923468">
        <w:rPr>
          <w:rFonts w:ascii="Verdana" w:hAnsi="Verdana" w:cs="Arial"/>
          <w:i/>
          <w:iCs/>
          <w:color w:val="000000" w:themeColor="text1"/>
        </w:rPr>
        <w:t>garantía de los derechos de las poblaciones de las mismas organizaciones</w:t>
      </w:r>
      <w:r w:rsidRPr="00923468">
        <w:rPr>
          <w:rFonts w:ascii="Verdana" w:hAnsi="Verdana" w:cs="Arial"/>
          <w:color w:val="000000" w:themeColor="text1"/>
        </w:rPr>
        <w:t xml:space="preserve">. En ese sentido, ambas causales coinciden en las finalidades que persiguen en cuanto al fortalecimiento de los entes representativos, la protección de la identidad étnica cultural y la garantía de los derechos de las personas pertenecientes a comunidades negras, afrodescendientes, raizales o palenqueras. Al incluir estas finalidades en esta disposición normativa, el legislador acotó el ámbito de las causales restringiendo su aplicación a aquellos que tengan una relación con determinados elementos culturales y prestacionales que encuentran su fundamento dentro de la protección jurídica particular de la que son objeto los pueblos étnicos.     </w:t>
      </w:r>
    </w:p>
    <w:p w14:paraId="16941B61" w14:textId="77777777" w:rsidR="00E03E40" w:rsidRPr="00923468" w:rsidRDefault="00FD3291" w:rsidP="00E03E40">
      <w:pPr>
        <w:shd w:val="clear" w:color="auto" w:fill="FFFFFF"/>
        <w:spacing w:after="120" w:line="276" w:lineRule="auto"/>
        <w:ind w:firstLine="709"/>
        <w:jc w:val="both"/>
        <w:rPr>
          <w:rFonts w:ascii="Verdana" w:eastAsia="Calibri" w:hAnsi="Verdana" w:cs="Arial"/>
        </w:rPr>
      </w:pPr>
      <w:r w:rsidRPr="00923468">
        <w:rPr>
          <w:rFonts w:ascii="Verdana" w:eastAsia="Calibri" w:hAnsi="Verdana" w:cs="Arial"/>
        </w:rPr>
        <w:t xml:space="preserve">Conforme a lo anterior, la implementación de las causales M) y N) del artículo 2, numeral 4 de la Ley 1150 de 2007 está determinada por los requisitos que aquí se han precisado. </w:t>
      </w:r>
      <w:bookmarkStart w:id="2" w:name="_Hlk159334155"/>
      <w:r w:rsidRPr="00923468">
        <w:rPr>
          <w:rFonts w:ascii="Verdana" w:eastAsia="Calibri" w:hAnsi="Verdana" w:cs="Arial"/>
        </w:rPr>
        <w:t>De esta manera, la aplicación adecuada de la primera causal exige que el eventual contratista acredite la calidad de Consejo Comunitario, así como las actuaciones tendientes a su inscripción y actualización en el Registro Único de la Dirección de Asuntos para Comunidades Negras, Afrocolombianas, Raizales y Palenqueras del Ministerio del Interior.  Del mismo modo, para acreditar que el requisito subjetivo de la otra causal se requiere que la Organización de Base o Forma Organizativa, demuestre haberse inscrito hace por lo menos diez (10) años en aludido registro, habiendo cumplido con el deber de actualización. Cumplidos estos requisitos, para validar la correcta aplicación de las causales las Entidades Estatales deberán cerciorarse de que, el objeto contractual está relacionado con el fortalecimiento del gobierno propio–u organizativo–, la identidad étnica y cultural, la autonomía o los derechos de las personas pertenecientes a las comunidades y/</w:t>
      </w:r>
      <w:proofErr w:type="spellStart"/>
      <w:r w:rsidRPr="00923468">
        <w:rPr>
          <w:rFonts w:ascii="Verdana" w:eastAsia="Calibri" w:hAnsi="Verdana" w:cs="Arial"/>
        </w:rPr>
        <w:t>o</w:t>
      </w:r>
      <w:proofErr w:type="spellEnd"/>
      <w:r w:rsidRPr="00923468">
        <w:rPr>
          <w:rFonts w:ascii="Verdana" w:eastAsia="Calibri" w:hAnsi="Verdana" w:cs="Arial"/>
        </w:rPr>
        <w:t xml:space="preserve"> organizaciones de la comunidad negra, afrodescendiente, raizal y/o palenquera.    </w:t>
      </w:r>
      <w:bookmarkEnd w:id="2"/>
    </w:p>
    <w:p w14:paraId="05EFB1A3" w14:textId="7EAB18A0" w:rsidR="00E03E40" w:rsidRPr="00923468" w:rsidRDefault="00E03E40" w:rsidP="00E03E40">
      <w:pPr>
        <w:shd w:val="clear" w:color="auto" w:fill="FFFFFF"/>
        <w:spacing w:after="120" w:line="276" w:lineRule="auto"/>
        <w:ind w:firstLine="709"/>
        <w:jc w:val="both"/>
        <w:rPr>
          <w:rFonts w:ascii="Verdana" w:eastAsia="Calibri" w:hAnsi="Verdana" w:cs="Arial"/>
        </w:rPr>
      </w:pPr>
      <w:r w:rsidRPr="00923468">
        <w:rPr>
          <w:rFonts w:ascii="Verdana" w:hAnsi="Verdana"/>
          <w:color w:val="2D2D2D"/>
          <w:shd w:val="clear" w:color="auto" w:fill="FFFFFF"/>
        </w:rPr>
        <w:t>En complemento con lo expuesto, es importante aclarar que, los acuerdo</w:t>
      </w:r>
      <w:r w:rsidR="00654B93" w:rsidRPr="00923468">
        <w:rPr>
          <w:rFonts w:ascii="Verdana" w:hAnsi="Verdana"/>
          <w:color w:val="2D2D2D"/>
          <w:shd w:val="clear" w:color="auto" w:fill="FFFFFF"/>
        </w:rPr>
        <w:t>s</w:t>
      </w:r>
      <w:r w:rsidRPr="00923468">
        <w:rPr>
          <w:rFonts w:ascii="Verdana" w:hAnsi="Verdana"/>
          <w:color w:val="2D2D2D"/>
          <w:shd w:val="clear" w:color="auto" w:fill="FFFFFF"/>
        </w:rPr>
        <w:t xml:space="preserve"> que celebren las Entidades Estatales a las que se refiere la Ley 80 de 1993 en aplicación de las causales bajo estudio, tienen la naturaleza de contratos estatales sometidos al Estatuto General de Contratación de la Administración Pública. Esto no solo implica la aplicación de las disposiciones legales de normas como la Leyes 80 de 1993, 1150 de 2007 y 1474 de 2011, sino también de las disposiciones reglamentarias de esta normativa, especialmente las referidas a la contratación directa. </w:t>
      </w:r>
    </w:p>
    <w:p w14:paraId="24A358AD" w14:textId="23276F58" w:rsidR="00D8190F" w:rsidRPr="00923468" w:rsidRDefault="00FD3291" w:rsidP="00C51ACF">
      <w:pPr>
        <w:shd w:val="clear" w:color="auto" w:fill="FFFFFF"/>
        <w:spacing w:after="120" w:line="276" w:lineRule="auto"/>
        <w:ind w:firstLine="709"/>
        <w:jc w:val="both"/>
        <w:rPr>
          <w:rFonts w:ascii="Verdana" w:eastAsia="Calibri" w:hAnsi="Verdana" w:cs="Arial"/>
        </w:rPr>
      </w:pPr>
      <w:r w:rsidRPr="00923468">
        <w:rPr>
          <w:rFonts w:ascii="Verdana" w:eastAsia="Calibri" w:hAnsi="Verdana" w:cs="Arial"/>
        </w:rPr>
        <w:lastRenderedPageBreak/>
        <w:t>En ese orden, el cumplimiento de los requisitos estudiados en el presente concepto, deber ser validado a través del procedimiento e instrumentos reglados por el Decreto 1082 de 2015. Es por esto por lo que, el contenido del acto administrativo de justificación la contratación directa, el análisis del sector, los estudios y documentos previos, deben contener información inequívoca sobre el cumplimiento de los requisitos establecidos por los literales M) y N) del artículo 2, numeral 4 de la Ley 1150 de 2007, teniendo en cuenta que su aplicación restrictiva. Esto significa que tales documentos deben abordar y explicar de manera clara como el objeto del contrato se relaciona con el fortalecimiento del gobierno propio, la identidad cultural, el ejercicio de la autonomía, y/o la garantía de los derechos de las comunidades, lo cual suponen una especial carga justificativa que debe asumir la Entidad Estatal contratante</w:t>
      </w:r>
      <w:r w:rsidR="00985F79" w:rsidRPr="00923468">
        <w:rPr>
          <w:rFonts w:ascii="Verdana" w:eastAsia="Calibri" w:hAnsi="Verdana" w:cs="Arial"/>
        </w:rPr>
        <w:t>.</w:t>
      </w:r>
    </w:p>
    <w:p w14:paraId="1026A48D" w14:textId="35836BA0" w:rsidR="00C64467" w:rsidRPr="00923468" w:rsidRDefault="00C64467" w:rsidP="00C51ACF">
      <w:pPr>
        <w:shd w:val="clear" w:color="auto" w:fill="FFFFFF"/>
        <w:spacing w:after="120" w:line="276" w:lineRule="auto"/>
        <w:ind w:firstLine="709"/>
        <w:jc w:val="both"/>
        <w:rPr>
          <w:rStyle w:val="Hipervnculo"/>
          <w:rFonts w:ascii="Verdana" w:eastAsia="Calibri" w:hAnsi="Verdana" w:cs="Arial"/>
          <w:color w:val="auto"/>
          <w:u w:val="none"/>
        </w:rPr>
      </w:pPr>
      <w:r w:rsidRPr="00923468">
        <w:rPr>
          <w:rFonts w:ascii="Verdana" w:hAnsi="Verdana"/>
        </w:rPr>
        <w:t>Finalmente, debe advertirse que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98D9A6C" w14:textId="77777777" w:rsidR="00D8190F" w:rsidRPr="00923468" w:rsidRDefault="00D8190F" w:rsidP="00D819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23468">
        <w:rPr>
          <w:rFonts w:ascii="Verdana" w:eastAsia="Century Gothic" w:hAnsi="Verdana" w:cs="Century Gothic"/>
          <w:b/>
          <w:bCs/>
        </w:rPr>
        <w:t>Referencias normativas, jurisprudenciales y otras fuentes:</w:t>
      </w:r>
    </w:p>
    <w:p w14:paraId="3869F634" w14:textId="77777777" w:rsidR="00D8190F" w:rsidRPr="00923468" w:rsidRDefault="00D8190F" w:rsidP="00D8190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190F" w:rsidRPr="00923468" w14:paraId="6C7B61D7" w14:textId="77777777" w:rsidTr="005351A0">
        <w:trPr>
          <w:trHeight w:val="870"/>
        </w:trPr>
        <w:tc>
          <w:tcPr>
            <w:tcW w:w="8647" w:type="dxa"/>
          </w:tcPr>
          <w:p w14:paraId="541701FB" w14:textId="77777777" w:rsidR="00D8190F" w:rsidRPr="00923468" w:rsidRDefault="00D8190F" w:rsidP="005351A0">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923468">
              <w:rPr>
                <w:rFonts w:ascii="Verdana" w:hAnsi="Verdana" w:cs="Arial"/>
              </w:rPr>
              <w:t xml:space="preserve">Convenio No. 169 de 1989 de la OIT. </w:t>
            </w:r>
          </w:p>
          <w:p w14:paraId="11B3D2E7" w14:textId="77777777" w:rsidR="00D8190F" w:rsidRPr="00923468" w:rsidRDefault="00D8190F" w:rsidP="005351A0">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923468">
              <w:rPr>
                <w:rFonts w:ascii="Verdana" w:eastAsia="Calibri" w:hAnsi="Verdana" w:cs="Arial"/>
              </w:rPr>
              <w:t>Ley 21 de 1991, Artículo 2.</w:t>
            </w:r>
          </w:p>
          <w:p w14:paraId="3AAE9DCB" w14:textId="77777777" w:rsidR="00D8190F" w:rsidRPr="00923468" w:rsidRDefault="00D8190F" w:rsidP="005351A0">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923468">
              <w:rPr>
                <w:rFonts w:ascii="Verdana" w:hAnsi="Verdana" w:cs="Arial"/>
              </w:rPr>
              <w:t>Ley 2160 de 2021, Artículos 1, 3.</w:t>
            </w:r>
          </w:p>
          <w:p w14:paraId="57E83F39" w14:textId="77777777" w:rsidR="00D8190F" w:rsidRPr="00923468" w:rsidRDefault="00D8190F" w:rsidP="005351A0">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923468">
              <w:rPr>
                <w:rFonts w:ascii="Verdana" w:hAnsi="Verdana" w:cs="Arial"/>
              </w:rPr>
              <w:t>Ley 80 de 1993, Artículo 6, 7.</w:t>
            </w:r>
          </w:p>
          <w:p w14:paraId="03CE5CAE" w14:textId="77777777" w:rsidR="00D8190F" w:rsidRPr="00923468" w:rsidRDefault="00D8190F" w:rsidP="005351A0">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923468">
              <w:rPr>
                <w:rFonts w:ascii="Verdana" w:hAnsi="Verdana" w:cs="Arial"/>
              </w:rPr>
              <w:t>Ley 70 de 1993.</w:t>
            </w:r>
          </w:p>
          <w:p w14:paraId="0925069D" w14:textId="3ECD12A6" w:rsidR="00D8190F" w:rsidRPr="00923468" w:rsidRDefault="00D8190F" w:rsidP="00B52C02">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923468">
              <w:rPr>
                <w:rFonts w:ascii="Verdana" w:hAnsi="Verdana" w:cs="Arial"/>
              </w:rPr>
              <w:t>Ley 1150 de 2007. Literales M) y N) del artículo 2, numeral 4.</w:t>
            </w:r>
          </w:p>
        </w:tc>
      </w:tr>
    </w:tbl>
    <w:p w14:paraId="546566C5" w14:textId="77777777" w:rsidR="00D8190F" w:rsidRPr="00923468" w:rsidRDefault="00D8190F" w:rsidP="00D8190F">
      <w:pPr>
        <w:widowControl w:val="0"/>
        <w:autoSpaceDE w:val="0"/>
        <w:autoSpaceDN w:val="0"/>
        <w:spacing w:after="0" w:line="276" w:lineRule="auto"/>
        <w:jc w:val="both"/>
        <w:rPr>
          <w:rFonts w:ascii="Verdana" w:hAnsi="Verdana" w:cs="Arial"/>
        </w:rPr>
      </w:pPr>
    </w:p>
    <w:p w14:paraId="51248289" w14:textId="77777777" w:rsidR="00D8190F" w:rsidRPr="00923468" w:rsidRDefault="00D8190F" w:rsidP="00D819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23468">
        <w:rPr>
          <w:rFonts w:ascii="Verdana" w:eastAsia="Century Gothic" w:hAnsi="Verdana" w:cs="Century Gothic"/>
          <w:b/>
          <w:bCs/>
        </w:rPr>
        <w:t>Doctrina de la Agencia Nacional de Contratación Pública:</w:t>
      </w:r>
    </w:p>
    <w:p w14:paraId="00B09BFD" w14:textId="77777777" w:rsidR="00D8190F" w:rsidRPr="00923468" w:rsidRDefault="00D8190F" w:rsidP="00D8190F">
      <w:pPr>
        <w:widowControl w:val="0"/>
        <w:autoSpaceDE w:val="0"/>
        <w:autoSpaceDN w:val="0"/>
        <w:spacing w:after="0" w:line="276" w:lineRule="auto"/>
        <w:jc w:val="both"/>
        <w:rPr>
          <w:rFonts w:ascii="Verdana" w:hAnsi="Verdana" w:cs="Arial"/>
        </w:rPr>
      </w:pPr>
    </w:p>
    <w:p w14:paraId="125CE0B3" w14:textId="614BB692" w:rsidR="00D8190F" w:rsidRPr="00923468" w:rsidRDefault="00D8190F" w:rsidP="00D8190F">
      <w:pPr>
        <w:widowControl w:val="0"/>
        <w:autoSpaceDE w:val="0"/>
        <w:autoSpaceDN w:val="0"/>
        <w:spacing w:after="0" w:line="276" w:lineRule="auto"/>
        <w:jc w:val="both"/>
        <w:rPr>
          <w:rFonts w:ascii="Verdana" w:hAnsi="Verdana" w:cs="Arial"/>
          <w:shd w:val="clear" w:color="auto" w:fill="FFFFFF"/>
          <w:lang w:val="es-ES"/>
        </w:rPr>
      </w:pPr>
      <w:r w:rsidRPr="00923468">
        <w:rPr>
          <w:rStyle w:val="normaltextrun"/>
          <w:rFonts w:ascii="Verdana" w:hAnsi="Verdana" w:cs="Arial"/>
          <w:shd w:val="clear" w:color="auto" w:fill="FFFFFF"/>
          <w:lang w:val="es-ES"/>
        </w:rPr>
        <w:t xml:space="preserve">Sobre el marco jurídico de la contratación con comunidades negras, </w:t>
      </w:r>
      <w:r w:rsidRPr="00923468">
        <w:rPr>
          <w:rStyle w:val="normaltextrun"/>
          <w:rFonts w:ascii="Verdana" w:hAnsi="Verdana" w:cs="Arial"/>
          <w:shd w:val="clear" w:color="auto" w:fill="FFFFFF"/>
          <w:lang w:val="es-ES"/>
        </w:rPr>
        <w:lastRenderedPageBreak/>
        <w:t>afrodescendientes, raizales y palenqueras, esta subdirección se ha pronunciado en los conceptos Nro. C-731 del 26 de enero del 2022, C- 052 del 21 de abril del 2023, C-025 del 21 de febrero del 2024 y</w:t>
      </w:r>
      <w:r w:rsidR="007F130B" w:rsidRPr="00923468">
        <w:rPr>
          <w:rStyle w:val="normaltextrun"/>
          <w:rFonts w:ascii="Verdana" w:hAnsi="Verdana" w:cs="Arial"/>
          <w:shd w:val="clear" w:color="auto" w:fill="FFFFFF"/>
          <w:lang w:val="es-ES"/>
        </w:rPr>
        <w:t xml:space="preserve"> </w:t>
      </w:r>
      <w:r w:rsidRPr="00923468">
        <w:rPr>
          <w:rStyle w:val="normaltextrun"/>
          <w:rFonts w:ascii="Verdana" w:hAnsi="Verdana" w:cs="Arial"/>
          <w:shd w:val="clear" w:color="auto" w:fill="FFFFFF"/>
          <w:lang w:val="es-ES"/>
        </w:rPr>
        <w:t>C-</w:t>
      </w:r>
      <w:r w:rsidR="00C26B34" w:rsidRPr="00923468">
        <w:rPr>
          <w:rStyle w:val="normaltextrun"/>
          <w:rFonts w:ascii="Verdana" w:hAnsi="Verdana" w:cs="Arial"/>
          <w:shd w:val="clear" w:color="auto" w:fill="FFFFFF"/>
          <w:lang w:val="es-ES"/>
        </w:rPr>
        <w:t xml:space="preserve">1036 del </w:t>
      </w:r>
      <w:r w:rsidR="00A442B3" w:rsidRPr="00923468">
        <w:rPr>
          <w:rStyle w:val="normaltextrun"/>
          <w:rFonts w:ascii="Verdana" w:hAnsi="Verdana" w:cs="Arial"/>
          <w:shd w:val="clear" w:color="auto" w:fill="FFFFFF"/>
          <w:lang w:val="es-ES"/>
        </w:rPr>
        <w:t>03 de septiembre del 2025</w:t>
      </w:r>
      <w:r w:rsidRPr="00923468">
        <w:rPr>
          <w:rStyle w:val="normaltextrun"/>
          <w:rFonts w:ascii="Verdana" w:hAnsi="Verdana" w:cs="Arial"/>
          <w:shd w:val="clear" w:color="auto" w:fill="FFFFFF"/>
          <w:lang w:val="es-ES"/>
        </w:rPr>
        <w:t xml:space="preserve">. </w:t>
      </w:r>
      <w:r w:rsidRPr="00923468">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923468">
          <w:rPr>
            <w:rStyle w:val="Hipervnculo"/>
            <w:rFonts w:ascii="Verdana" w:hAnsi="Verdana" w:cs="Arial"/>
            <w:shd w:val="clear" w:color="auto" w:fill="FFFFFF"/>
          </w:rPr>
          <w:t>https://relatoria.colombiacompra.gov.co/</w:t>
        </w:r>
      </w:hyperlink>
    </w:p>
    <w:p w14:paraId="1024F7D1" w14:textId="77777777" w:rsidR="00D8190F" w:rsidRPr="00923468" w:rsidRDefault="00D8190F" w:rsidP="00D8190F">
      <w:pPr>
        <w:widowControl w:val="0"/>
        <w:autoSpaceDE w:val="0"/>
        <w:autoSpaceDN w:val="0"/>
        <w:spacing w:after="0" w:line="276" w:lineRule="auto"/>
        <w:jc w:val="both"/>
        <w:rPr>
          <w:rFonts w:ascii="Verdana" w:hAnsi="Verdana" w:cs="Arial"/>
          <w:shd w:val="clear" w:color="auto" w:fill="FFFFFF"/>
        </w:rPr>
      </w:pPr>
    </w:p>
    <w:p w14:paraId="7543C229" w14:textId="77777777" w:rsidR="00D8190F" w:rsidRPr="00923468" w:rsidRDefault="00D8190F" w:rsidP="00D8190F">
      <w:pPr>
        <w:widowControl w:val="0"/>
        <w:autoSpaceDE w:val="0"/>
        <w:autoSpaceDN w:val="0"/>
        <w:spacing w:after="0" w:line="276" w:lineRule="auto"/>
        <w:jc w:val="both"/>
        <w:rPr>
          <w:rFonts w:ascii="Verdana" w:hAnsi="Verdana" w:cs="Arial"/>
          <w:shd w:val="clear" w:color="auto" w:fill="FFFFFF"/>
          <w:lang w:val="es-ES"/>
        </w:rPr>
      </w:pPr>
      <w:r w:rsidRPr="00923468">
        <w:rPr>
          <w:rFonts w:ascii="Verdana" w:hAnsi="Verdana" w:cs="Arial"/>
          <w:shd w:val="clear" w:color="auto" w:fill="FFFFFF"/>
        </w:rPr>
        <w:t>También le contamos que ya se encuentra disponible la </w:t>
      </w:r>
      <w:r w:rsidRPr="00923468">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923468">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23468">
        <w:rPr>
          <w:rFonts w:ascii="Verdana" w:hAnsi="Verdana" w:cs="Arial"/>
          <w:shd w:val="clear" w:color="auto" w:fill="FFFFFF"/>
        </w:rPr>
        <w:t>Wayúu</w:t>
      </w:r>
      <w:proofErr w:type="spellEnd"/>
      <w:r w:rsidRPr="00923468">
        <w:rPr>
          <w:rFonts w:ascii="Verdana"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923468">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923468">
        <w:rPr>
          <w:rFonts w:ascii="Verdana" w:hAnsi="Verdana" w:cs="Arial"/>
          <w:u w:val="single"/>
          <w:shd w:val="clear" w:color="auto" w:fill="FFFFFF"/>
        </w:rPr>
        <w:t>"</w:t>
      </w:r>
    </w:p>
    <w:p w14:paraId="437C8E0D" w14:textId="77777777" w:rsidR="00D8190F" w:rsidRPr="00923468" w:rsidRDefault="00D8190F" w:rsidP="00D8190F">
      <w:pPr>
        <w:spacing w:after="0" w:line="276" w:lineRule="auto"/>
        <w:jc w:val="both"/>
        <w:rPr>
          <w:rFonts w:ascii="Verdana" w:hAnsi="Verdana"/>
        </w:rPr>
      </w:pPr>
      <w:r w:rsidRPr="00923468">
        <w:rPr>
          <w:rFonts w:ascii="Verdana" w:hAnsi="Verdana"/>
        </w:rPr>
        <w:t xml:space="preserve">Por último, lo invitamos a seguirnos en las redes sociales en las cuales se difunde información institucional: </w:t>
      </w:r>
    </w:p>
    <w:p w14:paraId="1C626137" w14:textId="77777777" w:rsidR="00D8190F" w:rsidRPr="00923468" w:rsidRDefault="00D8190F" w:rsidP="00D8190F">
      <w:pPr>
        <w:spacing w:after="0" w:line="276" w:lineRule="auto"/>
        <w:jc w:val="both"/>
        <w:rPr>
          <w:rFonts w:ascii="Verdana" w:hAnsi="Verdana"/>
        </w:rPr>
      </w:pPr>
    </w:p>
    <w:p w14:paraId="05384251" w14:textId="77777777" w:rsidR="00D8190F" w:rsidRPr="00923468" w:rsidRDefault="00D8190F" w:rsidP="00D8190F">
      <w:pPr>
        <w:spacing w:after="0" w:line="276" w:lineRule="auto"/>
        <w:jc w:val="both"/>
        <w:rPr>
          <w:rFonts w:ascii="Verdana" w:hAnsi="Verdana"/>
        </w:rPr>
      </w:pPr>
      <w:r w:rsidRPr="00923468">
        <w:rPr>
          <w:rFonts w:ascii="Verdana" w:hAnsi="Verdana"/>
        </w:rPr>
        <w:t xml:space="preserve">Twitter: </w:t>
      </w:r>
      <w:r w:rsidRPr="00923468">
        <w:rPr>
          <w:rStyle w:val="Hipervnculo"/>
          <w:rFonts w:ascii="Verdana" w:hAnsi="Verdana"/>
          <w:color w:val="4472C4" w:themeColor="accent1"/>
        </w:rPr>
        <w:t>@colombiacompra</w:t>
      </w:r>
      <w:r w:rsidRPr="00923468">
        <w:rPr>
          <w:rFonts w:ascii="Verdana" w:hAnsi="Verdana"/>
          <w:color w:val="4472C4" w:themeColor="accent1"/>
        </w:rPr>
        <w:t xml:space="preserve"> </w:t>
      </w:r>
    </w:p>
    <w:p w14:paraId="5A54CDE7" w14:textId="77777777" w:rsidR="00D8190F" w:rsidRPr="00923468" w:rsidRDefault="00D8190F" w:rsidP="00D8190F">
      <w:pPr>
        <w:spacing w:after="0" w:line="276" w:lineRule="auto"/>
        <w:jc w:val="both"/>
        <w:rPr>
          <w:rFonts w:ascii="Verdana" w:hAnsi="Verdana"/>
        </w:rPr>
      </w:pPr>
      <w:r w:rsidRPr="00923468">
        <w:rPr>
          <w:rFonts w:ascii="Verdana" w:hAnsi="Verdana"/>
        </w:rPr>
        <w:t xml:space="preserve">Facebook: </w:t>
      </w:r>
      <w:proofErr w:type="spellStart"/>
      <w:r w:rsidRPr="00923468">
        <w:rPr>
          <w:rStyle w:val="Hipervnculo"/>
          <w:rFonts w:ascii="Verdana" w:hAnsi="Verdana"/>
          <w:color w:val="4472C4" w:themeColor="accent1"/>
        </w:rPr>
        <w:t>ColombiaCompraEficiente</w:t>
      </w:r>
      <w:proofErr w:type="spellEnd"/>
    </w:p>
    <w:p w14:paraId="026C04C4" w14:textId="77777777" w:rsidR="00D8190F" w:rsidRPr="00923468" w:rsidRDefault="00D8190F" w:rsidP="00D8190F">
      <w:pPr>
        <w:spacing w:after="0" w:line="276" w:lineRule="auto"/>
        <w:jc w:val="both"/>
        <w:rPr>
          <w:rStyle w:val="Hipervnculo"/>
          <w:rFonts w:ascii="Verdana" w:hAnsi="Verdana"/>
          <w:color w:val="4472C4" w:themeColor="accent1"/>
        </w:rPr>
      </w:pPr>
      <w:r w:rsidRPr="00923468">
        <w:rPr>
          <w:rFonts w:ascii="Verdana" w:hAnsi="Verdana"/>
        </w:rPr>
        <w:t xml:space="preserve">LinkedIn: </w:t>
      </w:r>
      <w:r w:rsidRPr="00923468">
        <w:rPr>
          <w:rStyle w:val="Hipervnculo"/>
          <w:rFonts w:ascii="Verdana" w:hAnsi="Verdana"/>
          <w:color w:val="4472C4" w:themeColor="accent1"/>
        </w:rPr>
        <w:t>Agencia Nacional de Contratación Pública - Colombia Compra Eficiente</w:t>
      </w:r>
      <w:r w:rsidRPr="00923468">
        <w:rPr>
          <w:rFonts w:ascii="Verdana" w:hAnsi="Verdana"/>
          <w:color w:val="4472C4" w:themeColor="accent1"/>
        </w:rPr>
        <w:t xml:space="preserve"> </w:t>
      </w:r>
      <w:r w:rsidRPr="00923468">
        <w:rPr>
          <w:rFonts w:ascii="Verdana" w:hAnsi="Verdana"/>
        </w:rPr>
        <w:t xml:space="preserve">Instagram: </w:t>
      </w:r>
      <w:r w:rsidRPr="00923468">
        <w:rPr>
          <w:rStyle w:val="Hipervnculo"/>
          <w:rFonts w:ascii="Verdana" w:hAnsi="Verdana"/>
          <w:color w:val="4472C4" w:themeColor="accent1"/>
        </w:rPr>
        <w:t>@colombiacompraeficiente_cce</w:t>
      </w:r>
    </w:p>
    <w:p w14:paraId="04FF919F" w14:textId="77777777" w:rsidR="00D8190F" w:rsidRPr="00923468" w:rsidRDefault="00D8190F" w:rsidP="00D8190F">
      <w:pPr>
        <w:spacing w:after="0" w:line="276" w:lineRule="auto"/>
        <w:jc w:val="both"/>
        <w:rPr>
          <w:rStyle w:val="Hipervnculo"/>
          <w:rFonts w:ascii="Verdana" w:hAnsi="Verdana"/>
          <w:color w:val="4472C4" w:themeColor="accent1"/>
        </w:rPr>
      </w:pPr>
    </w:p>
    <w:p w14:paraId="5B824001" w14:textId="77777777" w:rsidR="00D8190F" w:rsidRPr="00923468" w:rsidRDefault="00D8190F" w:rsidP="00D8190F">
      <w:pPr>
        <w:widowControl w:val="0"/>
        <w:autoSpaceDE w:val="0"/>
        <w:autoSpaceDN w:val="0"/>
        <w:spacing w:after="0" w:line="276" w:lineRule="auto"/>
        <w:jc w:val="both"/>
        <w:rPr>
          <w:rFonts w:ascii="Verdana" w:hAnsi="Verdana" w:cs="Arial"/>
          <w:lang w:val="es-ES_tradnl"/>
        </w:rPr>
      </w:pPr>
      <w:r w:rsidRPr="00923468">
        <w:rPr>
          <w:rFonts w:ascii="Verdana" w:hAnsi="Verdana" w:cs="Arial"/>
        </w:rPr>
        <w:t xml:space="preserve">Este concepto tiene el alcance previsto en el artículo 28 del Código de Procedimiento Administrativo y de lo Contencioso Administrativo </w:t>
      </w:r>
      <w:r w:rsidRPr="00923468">
        <w:rPr>
          <w:rFonts w:ascii="Verdana" w:hAnsi="Verdana" w:cs="Arial"/>
          <w:lang w:val="es-ES_tradnl"/>
        </w:rPr>
        <w:t>y las expresiones aquí utilizadas con mayúscula inicial deben ser entendidas con el significado que les otorga el artículo 2.2.1.1.1.3.1. del Decreto 1082 de 2015.</w:t>
      </w:r>
    </w:p>
    <w:p w14:paraId="2EDE3C86" w14:textId="77777777" w:rsidR="00D8190F" w:rsidRPr="00923468" w:rsidRDefault="00D8190F" w:rsidP="00D8190F">
      <w:pPr>
        <w:widowControl w:val="0"/>
        <w:autoSpaceDE w:val="0"/>
        <w:autoSpaceDN w:val="0"/>
        <w:spacing w:after="0" w:line="276" w:lineRule="auto"/>
        <w:jc w:val="both"/>
        <w:rPr>
          <w:rFonts w:ascii="Verdana" w:hAnsi="Verdana" w:cs="Arial"/>
        </w:rPr>
      </w:pPr>
    </w:p>
    <w:p w14:paraId="1EC4A6E4" w14:textId="77777777" w:rsidR="00D8190F" w:rsidRPr="00923468" w:rsidRDefault="00D8190F" w:rsidP="00D8190F">
      <w:pPr>
        <w:spacing w:after="0" w:line="276" w:lineRule="auto"/>
        <w:rPr>
          <w:rFonts w:ascii="Verdana" w:hAnsi="Verdana" w:cs="Arial"/>
          <w:lang w:eastAsia="es-CO"/>
        </w:rPr>
      </w:pPr>
      <w:r w:rsidRPr="00923468">
        <w:rPr>
          <w:rFonts w:ascii="Verdana" w:eastAsia="Times New Roman" w:hAnsi="Verdana" w:cs="Arial"/>
          <w:lang w:eastAsia="es-CO"/>
        </w:rPr>
        <w:t>Atentamente,</w:t>
      </w:r>
      <w:r w:rsidRPr="00923468">
        <w:rPr>
          <w:rFonts w:ascii="Verdana" w:hAnsi="Verdana" w:cs="Arial"/>
          <w:lang w:eastAsia="es-CO"/>
        </w:rPr>
        <w:t xml:space="preserve"> </w:t>
      </w:r>
    </w:p>
    <w:p w14:paraId="794333DE" w14:textId="70B5D1C6" w:rsidR="00D8190F" w:rsidRPr="00923468" w:rsidRDefault="00CB7775" w:rsidP="00D8190F">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lastRenderedPageBreak/>
        <w:drawing>
          <wp:inline distT="0" distB="0" distL="0" distR="0" wp14:anchorId="0A3D92C4" wp14:editId="77342A2A">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8190F" w:rsidRPr="00923468" w14:paraId="337A3E8A" w14:textId="77777777" w:rsidTr="005351A0">
        <w:trPr>
          <w:trHeight w:val="315"/>
        </w:trPr>
        <w:tc>
          <w:tcPr>
            <w:tcW w:w="893" w:type="dxa"/>
            <w:vAlign w:val="center"/>
            <w:hideMark/>
          </w:tcPr>
          <w:p w14:paraId="2229D0F3" w14:textId="77777777" w:rsidR="00D8190F" w:rsidRPr="00923468" w:rsidRDefault="00D8190F" w:rsidP="005351A0">
            <w:pPr>
              <w:contextualSpacing/>
              <w:rPr>
                <w:rFonts w:ascii="Verdana" w:hAnsi="Verdana" w:cs="Arial"/>
                <w:sz w:val="16"/>
                <w:szCs w:val="16"/>
                <w:lang w:val="es-ES" w:eastAsia="es-ES"/>
              </w:rPr>
            </w:pPr>
            <w:r w:rsidRPr="0092346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941B326" w14:textId="77777777" w:rsidR="00D8190F" w:rsidRPr="00923468" w:rsidRDefault="00D8190F" w:rsidP="005351A0">
            <w:pPr>
              <w:contextualSpacing/>
              <w:rPr>
                <w:rFonts w:ascii="Verdana" w:eastAsia="Arial" w:hAnsi="Verdana" w:cs="Arial"/>
                <w:sz w:val="16"/>
                <w:szCs w:val="16"/>
              </w:rPr>
            </w:pPr>
            <w:r w:rsidRPr="00923468">
              <w:rPr>
                <w:rFonts w:ascii="Verdana" w:eastAsia="Arial" w:hAnsi="Verdana" w:cs="Arial"/>
                <w:sz w:val="16"/>
                <w:szCs w:val="16"/>
              </w:rPr>
              <w:t>Ana María Ortiz Ballesteros</w:t>
            </w:r>
          </w:p>
          <w:p w14:paraId="28828D7A" w14:textId="77777777" w:rsidR="00D8190F" w:rsidRPr="00923468" w:rsidRDefault="00D8190F" w:rsidP="005351A0">
            <w:pPr>
              <w:contextualSpacing/>
              <w:rPr>
                <w:rFonts w:ascii="Verdana" w:eastAsia="Arial" w:hAnsi="Verdana" w:cs="Arial"/>
                <w:sz w:val="16"/>
                <w:szCs w:val="16"/>
              </w:rPr>
            </w:pPr>
            <w:r w:rsidRPr="00923468">
              <w:rPr>
                <w:rStyle w:val="normaltextrun"/>
                <w:rFonts w:ascii="Verdana" w:eastAsia="Arial" w:hAnsi="Verdana" w:cs="Arial"/>
                <w:sz w:val="16"/>
                <w:szCs w:val="16"/>
              </w:rPr>
              <w:t>C</w:t>
            </w:r>
            <w:r w:rsidRPr="00923468">
              <w:rPr>
                <w:rStyle w:val="normaltextrun"/>
                <w:rFonts w:ascii="Verdana" w:hAnsi="Verdana"/>
                <w:sz w:val="16"/>
                <w:szCs w:val="16"/>
              </w:rPr>
              <w:t>ontratista</w:t>
            </w:r>
            <w:r w:rsidRPr="00923468">
              <w:rPr>
                <w:rStyle w:val="normaltextrun"/>
                <w:rFonts w:ascii="Verdana" w:eastAsia="Arial" w:hAnsi="Verdana" w:cs="Arial"/>
                <w:sz w:val="16"/>
                <w:szCs w:val="16"/>
              </w:rPr>
              <w:t xml:space="preserve"> de la Subdirección de Gestión Contractual</w:t>
            </w:r>
          </w:p>
        </w:tc>
      </w:tr>
      <w:tr w:rsidR="00D8190F" w:rsidRPr="00923468" w14:paraId="4F87BB16" w14:textId="77777777" w:rsidTr="005351A0">
        <w:trPr>
          <w:trHeight w:val="330"/>
        </w:trPr>
        <w:tc>
          <w:tcPr>
            <w:tcW w:w="893" w:type="dxa"/>
            <w:vAlign w:val="center"/>
            <w:hideMark/>
          </w:tcPr>
          <w:p w14:paraId="73BDF6F7" w14:textId="77777777" w:rsidR="00D8190F" w:rsidRPr="00923468" w:rsidRDefault="00D8190F" w:rsidP="005351A0">
            <w:pPr>
              <w:contextualSpacing/>
              <w:rPr>
                <w:rFonts w:ascii="Verdana" w:hAnsi="Verdana" w:cs="Arial"/>
                <w:sz w:val="16"/>
                <w:szCs w:val="16"/>
                <w:lang w:val="es-ES" w:eastAsia="es-ES"/>
              </w:rPr>
            </w:pPr>
            <w:r w:rsidRPr="0092346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B862D5" w14:textId="77777777" w:rsidR="00D8190F" w:rsidRPr="00923468" w:rsidRDefault="00D8190F" w:rsidP="005351A0">
            <w:pPr>
              <w:pStyle w:val="paragraph"/>
              <w:spacing w:before="0" w:beforeAutospacing="0" w:after="0" w:afterAutospacing="0"/>
              <w:contextualSpacing/>
              <w:textAlignment w:val="baseline"/>
              <w:rPr>
                <w:rFonts w:ascii="Verdana" w:hAnsi="Verdana" w:cs="Arial"/>
                <w:sz w:val="16"/>
                <w:szCs w:val="16"/>
              </w:rPr>
            </w:pPr>
            <w:r w:rsidRPr="00923468">
              <w:rPr>
                <w:rFonts w:ascii="Verdana" w:hAnsi="Verdana" w:cs="Arial"/>
                <w:sz w:val="16"/>
                <w:szCs w:val="16"/>
              </w:rPr>
              <w:t xml:space="preserve">Alejandro Sarmiento Cantillo </w:t>
            </w:r>
          </w:p>
          <w:p w14:paraId="11B45E06" w14:textId="77777777" w:rsidR="00D8190F" w:rsidRPr="00923468" w:rsidRDefault="00D8190F" w:rsidP="005351A0">
            <w:pPr>
              <w:pStyle w:val="paragraph"/>
              <w:spacing w:before="0" w:beforeAutospacing="0" w:after="0" w:afterAutospacing="0"/>
              <w:contextualSpacing/>
              <w:textAlignment w:val="baseline"/>
              <w:rPr>
                <w:rFonts w:ascii="Verdana" w:hAnsi="Verdana" w:cs="Arial"/>
                <w:sz w:val="16"/>
                <w:szCs w:val="16"/>
              </w:rPr>
            </w:pPr>
            <w:r w:rsidRPr="00923468">
              <w:rPr>
                <w:rFonts w:ascii="Verdana" w:hAnsi="Verdana" w:cs="Arial"/>
                <w:sz w:val="16"/>
                <w:szCs w:val="16"/>
              </w:rPr>
              <w:t>Gestor T1-15 de la Subdirección de Gestión Contractual</w:t>
            </w:r>
          </w:p>
        </w:tc>
      </w:tr>
      <w:tr w:rsidR="00D8190F" w:rsidRPr="00923468" w14:paraId="20F10D6C" w14:textId="77777777" w:rsidTr="005351A0">
        <w:trPr>
          <w:trHeight w:val="300"/>
        </w:trPr>
        <w:tc>
          <w:tcPr>
            <w:tcW w:w="893" w:type="dxa"/>
            <w:vAlign w:val="center"/>
          </w:tcPr>
          <w:p w14:paraId="25210998" w14:textId="77777777" w:rsidR="00D8190F" w:rsidRPr="00923468" w:rsidRDefault="00D8190F" w:rsidP="005351A0">
            <w:pPr>
              <w:contextualSpacing/>
              <w:rPr>
                <w:rFonts w:ascii="Verdana" w:hAnsi="Verdana" w:cs="Arial"/>
                <w:sz w:val="16"/>
                <w:szCs w:val="16"/>
                <w:lang w:val="es-ES" w:eastAsia="es-ES"/>
              </w:rPr>
            </w:pPr>
            <w:r w:rsidRPr="0092346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79D472" w14:textId="77777777" w:rsidR="00D8190F" w:rsidRPr="00923468" w:rsidRDefault="00D8190F" w:rsidP="005351A0">
            <w:pPr>
              <w:contextualSpacing/>
              <w:rPr>
                <w:rFonts w:ascii="Verdana" w:eastAsia="Calibri" w:hAnsi="Verdana" w:cs="Arial"/>
                <w:sz w:val="16"/>
                <w:szCs w:val="16"/>
                <w:lang w:val="pt-BR" w:eastAsia="es-ES"/>
              </w:rPr>
            </w:pPr>
            <w:r w:rsidRPr="00923468">
              <w:rPr>
                <w:rFonts w:ascii="Verdana" w:eastAsia="Calibri" w:hAnsi="Verdana" w:cs="Arial"/>
                <w:sz w:val="16"/>
                <w:szCs w:val="16"/>
                <w:lang w:val="pt-BR" w:eastAsia="es-ES"/>
              </w:rPr>
              <w:t xml:space="preserve">Carolina Quintero </w:t>
            </w:r>
            <w:proofErr w:type="spellStart"/>
            <w:r w:rsidRPr="00923468">
              <w:rPr>
                <w:rFonts w:ascii="Verdana" w:eastAsia="Calibri" w:hAnsi="Verdana" w:cs="Arial"/>
                <w:sz w:val="16"/>
                <w:szCs w:val="16"/>
                <w:lang w:val="pt-BR" w:eastAsia="es-ES"/>
              </w:rPr>
              <w:t>Gacharná</w:t>
            </w:r>
            <w:proofErr w:type="spellEnd"/>
          </w:p>
          <w:p w14:paraId="7FD81D82" w14:textId="77777777" w:rsidR="00D8190F" w:rsidRPr="00923468" w:rsidRDefault="00D8190F" w:rsidP="005351A0">
            <w:pPr>
              <w:contextualSpacing/>
              <w:rPr>
                <w:rFonts w:ascii="Verdana" w:eastAsia="Calibri" w:hAnsi="Verdana" w:cs="Arial"/>
                <w:sz w:val="16"/>
                <w:szCs w:val="16"/>
                <w:lang w:val="pt-BR" w:eastAsia="es-ES"/>
              </w:rPr>
            </w:pPr>
            <w:r w:rsidRPr="00923468">
              <w:rPr>
                <w:rFonts w:ascii="Verdana" w:eastAsia="Calibri" w:hAnsi="Verdana" w:cs="Arial"/>
                <w:sz w:val="16"/>
                <w:szCs w:val="16"/>
                <w:lang w:eastAsia="es-ES"/>
              </w:rPr>
              <w:t>Subdirectora</w:t>
            </w:r>
            <w:r w:rsidRPr="00923468">
              <w:rPr>
                <w:rFonts w:ascii="Verdana" w:eastAsia="Calibri" w:hAnsi="Verdana" w:cs="Arial"/>
                <w:sz w:val="16"/>
                <w:szCs w:val="16"/>
                <w:lang w:val="pt-BR" w:eastAsia="es-ES"/>
              </w:rPr>
              <w:t xml:space="preserve"> de Gestión Contractual ANCP – CCE </w:t>
            </w:r>
          </w:p>
        </w:tc>
      </w:tr>
    </w:tbl>
    <w:p w14:paraId="722C32BC" w14:textId="77777777" w:rsidR="00D8190F" w:rsidRPr="00923468" w:rsidRDefault="00D8190F" w:rsidP="00D46419">
      <w:pPr>
        <w:spacing w:after="0"/>
        <w:rPr>
          <w:rFonts w:ascii="Verdana" w:eastAsia="Times New Roman" w:hAnsi="Verdana" w:cs="Segoe UI"/>
          <w:lang w:eastAsia="es-CO"/>
        </w:rPr>
      </w:pPr>
    </w:p>
    <w:sectPr w:rsidR="00D8190F" w:rsidRPr="0092346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53902" w14:textId="77777777" w:rsidR="009A1C6F" w:rsidRDefault="009A1C6F" w:rsidP="004A1847">
      <w:pPr>
        <w:spacing w:after="0" w:line="240" w:lineRule="auto"/>
      </w:pPr>
      <w:r>
        <w:separator/>
      </w:r>
    </w:p>
  </w:endnote>
  <w:endnote w:type="continuationSeparator" w:id="0">
    <w:p w14:paraId="54F87D08"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F2C0D" w14:textId="77777777" w:rsidR="009A1C6F" w:rsidRDefault="009A1C6F" w:rsidP="004A1847">
      <w:pPr>
        <w:spacing w:after="0" w:line="240" w:lineRule="auto"/>
      </w:pPr>
      <w:r>
        <w:separator/>
      </w:r>
    </w:p>
  </w:footnote>
  <w:footnote w:type="continuationSeparator" w:id="0">
    <w:p w14:paraId="1F0F40BD" w14:textId="77777777" w:rsidR="009A1C6F" w:rsidRDefault="009A1C6F" w:rsidP="004A1847">
      <w:pPr>
        <w:spacing w:after="0" w:line="240" w:lineRule="auto"/>
      </w:pPr>
      <w:r>
        <w:continuationSeparator/>
      </w:r>
    </w:p>
  </w:footnote>
  <w:footnote w:id="1">
    <w:p w14:paraId="42A461C1" w14:textId="77777777" w:rsidR="00FD3291" w:rsidRPr="00725334" w:rsidRDefault="00FD3291" w:rsidP="00FD3291">
      <w:pPr>
        <w:pStyle w:val="Textonotapie"/>
        <w:ind w:firstLine="708"/>
        <w:jc w:val="both"/>
        <w:rPr>
          <w:rFonts w:ascii="Verdana" w:eastAsia="Calibri" w:hAnsi="Verdana" w:cs="Arial"/>
          <w:sz w:val="18"/>
          <w:szCs w:val="18"/>
        </w:rPr>
      </w:pPr>
      <w:r w:rsidRPr="00725334">
        <w:rPr>
          <w:rStyle w:val="Refdenotaalpie"/>
          <w:rFonts w:ascii="Verdana" w:hAnsi="Verdana" w:cs="Arial"/>
          <w:sz w:val="18"/>
          <w:szCs w:val="18"/>
        </w:rPr>
        <w:footnoteRef/>
      </w:r>
      <w:r w:rsidRPr="00725334">
        <w:rPr>
          <w:rFonts w:ascii="Verdana" w:hAnsi="Verdana" w:cs="Arial"/>
          <w:sz w:val="18"/>
          <w:szCs w:val="18"/>
        </w:rPr>
        <w:t xml:space="preserve"> </w:t>
      </w:r>
      <w:r w:rsidRPr="00725334">
        <w:rPr>
          <w:rFonts w:ascii="Verdana" w:eastAsia="Calibri" w:hAnsi="Verdana" w:cs="Arial"/>
          <w:sz w:val="18"/>
          <w:szCs w:val="18"/>
        </w:rPr>
        <w:t>Constitución Política: “Artículo 93. Los tratados y convenios internacionales ratificados por el Congreso, que reconocen los derechos humanos y que prohíben su limitación en los estados de excepción, prevalecen en el orden interno.</w:t>
      </w:r>
    </w:p>
    <w:p w14:paraId="37470799" w14:textId="77777777" w:rsidR="00FD3291" w:rsidRPr="00725334" w:rsidRDefault="00FD3291" w:rsidP="00FD3291">
      <w:pPr>
        <w:spacing w:after="0" w:line="240" w:lineRule="auto"/>
        <w:ind w:firstLine="708"/>
        <w:jc w:val="both"/>
        <w:rPr>
          <w:rFonts w:ascii="Verdana" w:hAnsi="Verdana" w:cs="Arial"/>
          <w:sz w:val="18"/>
          <w:szCs w:val="18"/>
        </w:rPr>
      </w:pPr>
      <w:r w:rsidRPr="00725334">
        <w:rPr>
          <w:rFonts w:ascii="Verdana" w:eastAsia="Calibri" w:hAnsi="Verdana" w:cs="Arial"/>
          <w:sz w:val="18"/>
          <w:szCs w:val="18"/>
        </w:rPr>
        <w:t>“Los derechos y deberes consagrados en esta Carta se interpretarán de conformidad con los tratados internacionales sobre derechos humanos ratificados por Colombia [...]”.</w:t>
      </w:r>
    </w:p>
  </w:footnote>
  <w:footnote w:id="2">
    <w:p w14:paraId="3AFB544B" w14:textId="77777777" w:rsidR="00FD3291" w:rsidRPr="00725334" w:rsidRDefault="00FD3291" w:rsidP="00FD3291">
      <w:pPr>
        <w:spacing w:after="0" w:line="240" w:lineRule="auto"/>
        <w:ind w:firstLine="709"/>
        <w:jc w:val="both"/>
        <w:rPr>
          <w:rFonts w:ascii="Verdana" w:hAnsi="Verdana" w:cs="Arial"/>
          <w:sz w:val="18"/>
          <w:szCs w:val="18"/>
        </w:rPr>
      </w:pPr>
      <w:r w:rsidRPr="00725334">
        <w:rPr>
          <w:rStyle w:val="Refdenotaalpie"/>
          <w:rFonts w:ascii="Verdana" w:hAnsi="Verdana" w:cs="Arial"/>
          <w:sz w:val="18"/>
          <w:szCs w:val="18"/>
        </w:rPr>
        <w:footnoteRef/>
      </w:r>
      <w:r w:rsidRPr="00725334">
        <w:rPr>
          <w:rFonts w:ascii="Verdana" w:hAnsi="Verdana" w:cs="Arial"/>
          <w:sz w:val="18"/>
          <w:szCs w:val="18"/>
        </w:rPr>
        <w:t xml:space="preserve"> Sobre la necesidad de extender reconocer capacidad jurídica a estas organizaciones, en el marco del trámite legislativo se consideró lo siguiente: “[E]l Decreto 1640 de 2020 que sustituyó y adicionó el Decreto 1066 de 2015, prevé en el artículo 2.5.1.1.22, la existencia de organizaciones de base de las comunidades negras, afrocolombianas, raizales y palenqueras, así como de organizaciones de segundo nivel, entendidas como asociaciones de consejos comunitarios, formas y expresiones organizativas y/</w:t>
      </w:r>
      <w:proofErr w:type="spellStart"/>
      <w:r w:rsidRPr="00725334">
        <w:rPr>
          <w:rFonts w:ascii="Verdana" w:hAnsi="Verdana" w:cs="Arial"/>
          <w:sz w:val="18"/>
          <w:szCs w:val="18"/>
        </w:rPr>
        <w:t>o</w:t>
      </w:r>
      <w:proofErr w:type="spellEnd"/>
      <w:r w:rsidRPr="00725334">
        <w:rPr>
          <w:rFonts w:ascii="Verdana" w:hAnsi="Verdana" w:cs="Arial"/>
          <w:sz w:val="18"/>
          <w:szCs w:val="18"/>
        </w:rPr>
        <w:t xml:space="preserve"> organizaciones de base que agrupan a más de dos (2) organizaciones, inscritas en el Registro Único de la Dirección de Asuntos para Comunidades Negras, Afrocolombianas, Raizales y Palenqueras del Ministerio del Interior, siempre y cuando el área de influencia de dichas organizaciones corresponda a más de la tercera parte de los departamentos donde existan comisiones consultivas. </w:t>
      </w:r>
    </w:p>
    <w:p w14:paraId="56DDA7AC" w14:textId="77777777" w:rsidR="00FD3291" w:rsidRPr="00725334" w:rsidRDefault="00FD3291" w:rsidP="00FD3291">
      <w:pPr>
        <w:spacing w:after="0" w:line="240" w:lineRule="auto"/>
        <w:ind w:firstLine="709"/>
        <w:jc w:val="both"/>
        <w:rPr>
          <w:rFonts w:ascii="Verdana" w:hAnsi="Verdana" w:cs="Arial"/>
          <w:sz w:val="18"/>
          <w:szCs w:val="18"/>
        </w:rPr>
      </w:pPr>
    </w:p>
    <w:p w14:paraId="107656F1" w14:textId="77777777" w:rsidR="00FD3291" w:rsidRPr="00725334" w:rsidRDefault="00FD3291" w:rsidP="00FD3291">
      <w:pPr>
        <w:spacing w:after="0" w:line="240" w:lineRule="auto"/>
        <w:ind w:firstLine="709"/>
        <w:jc w:val="both"/>
        <w:rPr>
          <w:rFonts w:ascii="Verdana" w:hAnsi="Verdana" w:cs="Arial"/>
          <w:sz w:val="18"/>
          <w:szCs w:val="18"/>
        </w:rPr>
      </w:pPr>
      <w:r w:rsidRPr="00725334">
        <w:rPr>
          <w:rFonts w:ascii="Verdana" w:hAnsi="Verdana" w:cs="Arial"/>
          <w:sz w:val="18"/>
          <w:szCs w:val="18"/>
        </w:rPr>
        <w:t>“Aquellas razones hacen necesario aplicar la propuesta legislativa a los consejos comunitarios de las comunidades negras y las organizaciones de comunidades negras, afrocolombianas, raizales y palenqueras y sus asociaciones de segundo nivel el régimen general de contratación, por lo cual se busca precisar la capacidad de contratación y autorizar la aplicación de la contratación directa, prevista en las Leyes 80 de 1993 y 1150 de 2017, a los mencionados consejos y organizaciones […]</w:t>
      </w:r>
    </w:p>
    <w:p w14:paraId="26F20CC8" w14:textId="77777777" w:rsidR="00FD3291" w:rsidRPr="00725334" w:rsidRDefault="00FD3291" w:rsidP="00FD3291">
      <w:pPr>
        <w:spacing w:after="0" w:line="240" w:lineRule="auto"/>
        <w:ind w:firstLine="709"/>
        <w:jc w:val="both"/>
        <w:rPr>
          <w:rFonts w:ascii="Verdana" w:hAnsi="Verdana" w:cs="Arial"/>
          <w:sz w:val="18"/>
          <w:szCs w:val="18"/>
        </w:rPr>
      </w:pPr>
    </w:p>
    <w:p w14:paraId="2EE11519" w14:textId="77777777" w:rsidR="00FD3291" w:rsidRPr="00725334" w:rsidRDefault="00FD3291" w:rsidP="00FD3291">
      <w:pPr>
        <w:spacing w:after="0" w:line="240" w:lineRule="auto"/>
        <w:ind w:firstLine="708"/>
        <w:jc w:val="both"/>
        <w:rPr>
          <w:rFonts w:ascii="Verdana" w:hAnsi="Verdana" w:cs="Arial"/>
          <w:sz w:val="18"/>
          <w:szCs w:val="18"/>
        </w:rPr>
      </w:pPr>
      <w:r w:rsidRPr="00725334">
        <w:rPr>
          <w:rFonts w:ascii="Verdana" w:hAnsi="Verdana" w:cs="Arial"/>
          <w:sz w:val="18"/>
          <w:szCs w:val="18"/>
        </w:rPr>
        <w:t>“[R]</w:t>
      </w:r>
      <w:proofErr w:type="spellStart"/>
      <w:r w:rsidRPr="00725334">
        <w:rPr>
          <w:rFonts w:ascii="Verdana" w:hAnsi="Verdana" w:cs="Arial"/>
          <w:sz w:val="18"/>
          <w:szCs w:val="18"/>
        </w:rPr>
        <w:t>esulta</w:t>
      </w:r>
      <w:proofErr w:type="spellEnd"/>
      <w:r w:rsidRPr="00725334">
        <w:rPr>
          <w:rFonts w:ascii="Verdana" w:hAnsi="Verdana" w:cs="Arial"/>
          <w:sz w:val="18"/>
          <w:szCs w:val="18"/>
        </w:rPr>
        <w:t xml:space="preserve"> importante traer a colación el Acta de la Décimo Segunda Sesión Plenaria del Espacio Nacional de Consulta Previa de Medidas Legislativas y Administrativas de Amplio Alcance Susceptibles de Afectar a la Comunidades Negras, Afrocolombianas, Raizales y Palenqueras, donde se acordó que “El Ministerio del Interior, conformará una mesa entre el DNP y Colombia Compra Eficiente para revisar y ajustar de conformidad a la normatividad, los asuntos correspondientes a la capacidad jurídica y legal para la contratación con las formas organizativas de comunidades negras, afrocolombianas, raizales y palenqueras” Por tanto, en cumplimiento de este compromiso, el Ministerio del Interior efectuó los análisis respectivos con el Departamento Nacional de Planeación, DNP y con Colombia Compra Eficiente, y se concluyó que resultaba necesaria esta iniciativa legislativa que se somete”.</w:t>
      </w:r>
    </w:p>
  </w:footnote>
  <w:footnote w:id="3">
    <w:p w14:paraId="0BF31BA7" w14:textId="77777777" w:rsidR="00FD3291" w:rsidRPr="00725334" w:rsidRDefault="00FD3291" w:rsidP="00FD3291">
      <w:pPr>
        <w:pStyle w:val="Textonotapie"/>
        <w:ind w:firstLine="709"/>
        <w:jc w:val="both"/>
        <w:rPr>
          <w:rFonts w:ascii="Verdana" w:hAnsi="Verdana"/>
          <w:sz w:val="18"/>
          <w:szCs w:val="18"/>
        </w:rPr>
      </w:pPr>
      <w:r w:rsidRPr="00725334">
        <w:rPr>
          <w:rStyle w:val="Refdenotaalpie"/>
          <w:rFonts w:ascii="Verdana" w:hAnsi="Verdana"/>
          <w:sz w:val="18"/>
          <w:szCs w:val="18"/>
        </w:rPr>
        <w:footnoteRef/>
      </w:r>
      <w:r w:rsidRPr="00725334">
        <w:rPr>
          <w:rFonts w:ascii="Verdana" w:hAnsi="Verdana"/>
          <w:sz w:val="18"/>
          <w:szCs w:val="18"/>
        </w:rPr>
        <w:t xml:space="preserve"> Sobre la contratación directa el Consejo de Estado ha explicado que “[…] es atribución exclusiva del legislador señalar los mecanismos de selección de los contratos que celebren las entidades del Estado, porque el constituyente confirió al legislador la competencia para regular el tema de la contratación estatal, campo en el cual la función del ejecutivo se limita a reglamentar las normas expedidas por aquel en orden a su correcta ejecución”. Sección Tercera, Auto del 16 de marzo de 2006, </w:t>
      </w:r>
      <w:proofErr w:type="spellStart"/>
      <w:r w:rsidRPr="00725334">
        <w:rPr>
          <w:rFonts w:ascii="Verdana" w:hAnsi="Verdana"/>
          <w:sz w:val="18"/>
          <w:szCs w:val="18"/>
        </w:rPr>
        <w:t>Exp</w:t>
      </w:r>
      <w:proofErr w:type="spellEnd"/>
      <w:r w:rsidRPr="00725334">
        <w:rPr>
          <w:rFonts w:ascii="Verdana" w:hAnsi="Verdana"/>
          <w:sz w:val="18"/>
          <w:szCs w:val="18"/>
        </w:rPr>
        <w:t xml:space="preserve">. No. 29.393, C.P. Ruth Stella Correa Palacio. </w:t>
      </w:r>
    </w:p>
  </w:footnote>
  <w:footnote w:id="4">
    <w:p w14:paraId="087898A8" w14:textId="77777777" w:rsidR="00FD3291" w:rsidRPr="00725334" w:rsidRDefault="00FD3291" w:rsidP="00FD3291">
      <w:pPr>
        <w:pStyle w:val="Textonotapie"/>
        <w:ind w:firstLine="708"/>
        <w:jc w:val="both"/>
        <w:rPr>
          <w:rFonts w:ascii="Verdana" w:hAnsi="Verdana"/>
          <w:sz w:val="18"/>
          <w:szCs w:val="18"/>
        </w:rPr>
      </w:pPr>
    </w:p>
    <w:p w14:paraId="15852759" w14:textId="77777777" w:rsidR="00FD3291" w:rsidRPr="00725334" w:rsidRDefault="00FD3291" w:rsidP="00FD3291">
      <w:pPr>
        <w:pStyle w:val="Textonotapie"/>
        <w:ind w:firstLine="708"/>
        <w:jc w:val="both"/>
        <w:rPr>
          <w:rFonts w:ascii="Verdana" w:hAnsi="Verdana"/>
          <w:sz w:val="18"/>
          <w:szCs w:val="18"/>
        </w:rPr>
      </w:pPr>
      <w:r w:rsidRPr="00725334">
        <w:rPr>
          <w:rStyle w:val="Refdenotaalpie"/>
          <w:rFonts w:ascii="Verdana" w:hAnsi="Verdana"/>
          <w:sz w:val="18"/>
          <w:szCs w:val="18"/>
        </w:rPr>
        <w:footnoteRef/>
      </w:r>
      <w:r w:rsidRPr="00725334">
        <w:rPr>
          <w:rFonts w:ascii="Verdana" w:hAnsi="Verdana"/>
          <w:sz w:val="18"/>
          <w:szCs w:val="18"/>
        </w:rPr>
        <w:t xml:space="preserve"> Al respecto se asevera que: “La interpretación de estas causales es restrictiva y no admite la analogía. Significa lo anterior que cuando una determinada situación no encaja en alguno de los motivos excepcionales, no es dable buscar interpretaciones acomodadas en procura de evitar la licitación. También se afecta el principio, incluso en frente de causales excepcionales, cuando se emplea el procedimiento errado, en particular, cuando siendo el aplicable uno que se caracteriza por la pluralidad de oferentes como la selección abreviada o el concurso de méritos, se “tuerce el cuello de la ley” para usar la contratación directa”. DÁVILA VINUEZA, Luis Guillermo, Régimen jurídico de la contratación estatal, tercera edición, Legis, Bogotá, 2016, pp. -245 </w:t>
      </w:r>
    </w:p>
    <w:p w14:paraId="30432B4B" w14:textId="77777777" w:rsidR="00FD3291" w:rsidRPr="00725334" w:rsidRDefault="00FD3291" w:rsidP="00FD3291">
      <w:pPr>
        <w:pStyle w:val="Textonotapie"/>
        <w:ind w:firstLine="708"/>
        <w:jc w:val="both"/>
        <w:rPr>
          <w:rFonts w:ascii="Verdana" w:hAnsi="Verdana"/>
          <w:sz w:val="18"/>
          <w:szCs w:val="18"/>
        </w:rPr>
      </w:pPr>
    </w:p>
  </w:footnote>
  <w:footnote w:id="5">
    <w:p w14:paraId="1BE0AB4C" w14:textId="77777777" w:rsidR="00FD3291" w:rsidRPr="00725334" w:rsidRDefault="00FD3291" w:rsidP="00FD3291">
      <w:pPr>
        <w:pStyle w:val="Textonotapie"/>
        <w:ind w:firstLine="708"/>
        <w:jc w:val="both"/>
        <w:rPr>
          <w:rFonts w:ascii="Verdana" w:hAnsi="Verdana"/>
          <w:sz w:val="18"/>
          <w:szCs w:val="18"/>
        </w:rPr>
      </w:pPr>
      <w:r w:rsidRPr="00725334">
        <w:rPr>
          <w:rStyle w:val="Refdenotaalpie"/>
          <w:rFonts w:ascii="Verdana" w:hAnsi="Verdana"/>
          <w:sz w:val="18"/>
          <w:szCs w:val="18"/>
        </w:rPr>
        <w:footnoteRef/>
      </w:r>
      <w:r w:rsidRPr="00725334">
        <w:rPr>
          <w:rFonts w:ascii="Verdana" w:hAnsi="Verdana"/>
          <w:sz w:val="18"/>
          <w:szCs w:val="18"/>
        </w:rPr>
        <w:t xml:space="preserve"> Decreto 1066 de 2015: “Artículo 2.5.1.5.6. Actualización de la información en el Registro Público de Instituciones Representativas. Los Consejos Comunitarios, las formas y expresiones organizativas de las comunidades negras, afrocolombianas, raizales y palenqueras y las organizaciones de base a que se refiere el presente decreto, deberán actualizar la información inscrita en el registro público de instituciones representativas, a más tardar el último día hábil del mes de mayo de cada dos años, todos los años pares, de conformidad con el formulario que determine el Ministerio del Interior. </w:t>
      </w:r>
    </w:p>
    <w:p w14:paraId="15184E4A" w14:textId="77777777" w:rsidR="00FD3291" w:rsidRPr="00725334" w:rsidRDefault="00FD3291" w:rsidP="00FD3291">
      <w:pPr>
        <w:pStyle w:val="Textonotapie"/>
        <w:ind w:firstLine="708"/>
        <w:jc w:val="both"/>
        <w:rPr>
          <w:rFonts w:ascii="Verdana" w:hAnsi="Verdana"/>
          <w:sz w:val="18"/>
          <w:szCs w:val="18"/>
        </w:rPr>
      </w:pPr>
      <w:r w:rsidRPr="00725334">
        <w:rPr>
          <w:rFonts w:ascii="Verdana" w:hAnsi="Verdana"/>
          <w:sz w:val="18"/>
          <w:szCs w:val="18"/>
        </w:rPr>
        <w:t xml:space="preserve">En caso de que no actualice la información en el plazo antes indicado, en la certificación de inscripción se indicará que los datos inscritos no se encuentran actualizados. Así mismo, cuando se allegue la documentación para la actualización con fecha posterior, la Dirección de Asuntos para Comunidades Negras, Afrocolombianas, Raizales y Palenqueras del Ministerio del Interior, procederá a efectuar la respectiva actualización. </w:t>
      </w:r>
    </w:p>
    <w:p w14:paraId="608031E4" w14:textId="77777777" w:rsidR="00FD3291" w:rsidRPr="008D469C" w:rsidRDefault="00FD3291" w:rsidP="00FD3291">
      <w:pPr>
        <w:pStyle w:val="Textonotapie"/>
        <w:ind w:firstLine="708"/>
        <w:jc w:val="both"/>
        <w:rPr>
          <w:rFonts w:ascii="Verdana" w:hAnsi="Verdana"/>
          <w:sz w:val="16"/>
          <w:szCs w:val="16"/>
        </w:rPr>
      </w:pPr>
      <w:r w:rsidRPr="00725334">
        <w:rPr>
          <w:rFonts w:ascii="Verdana" w:hAnsi="Verdana"/>
          <w:sz w:val="18"/>
          <w:szCs w:val="18"/>
        </w:rPr>
        <w:t>Contra el acto administrativo de actualización proceden los recursos de reposición ante la Dirección de Asuntos para Comunidades Negras, Afrocolombianas, Raizales y Palenqueras y de apelación ante el viceministro para la Participación e Igualdad de Derechos”.</w:t>
      </w:r>
      <w:r w:rsidRPr="008D469C">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7333"/>
    <w:rsid w:val="00082362"/>
    <w:rsid w:val="000867E1"/>
    <w:rsid w:val="000A683E"/>
    <w:rsid w:val="000B19B9"/>
    <w:rsid w:val="000B7E85"/>
    <w:rsid w:val="000D0334"/>
    <w:rsid w:val="000D5DA7"/>
    <w:rsid w:val="000F6486"/>
    <w:rsid w:val="00101B20"/>
    <w:rsid w:val="001042AA"/>
    <w:rsid w:val="00110F4E"/>
    <w:rsid w:val="00116940"/>
    <w:rsid w:val="001176BD"/>
    <w:rsid w:val="00122013"/>
    <w:rsid w:val="00125105"/>
    <w:rsid w:val="00127233"/>
    <w:rsid w:val="001325B8"/>
    <w:rsid w:val="0015699B"/>
    <w:rsid w:val="00185BEA"/>
    <w:rsid w:val="001A33BF"/>
    <w:rsid w:val="001B37E4"/>
    <w:rsid w:val="001E4177"/>
    <w:rsid w:val="001F0B24"/>
    <w:rsid w:val="001F7DC6"/>
    <w:rsid w:val="00220391"/>
    <w:rsid w:val="0022400B"/>
    <w:rsid w:val="00235A1C"/>
    <w:rsid w:val="002421BB"/>
    <w:rsid w:val="0025796E"/>
    <w:rsid w:val="00261487"/>
    <w:rsid w:val="002707A2"/>
    <w:rsid w:val="002951A0"/>
    <w:rsid w:val="002962BC"/>
    <w:rsid w:val="002A093D"/>
    <w:rsid w:val="002A0DD0"/>
    <w:rsid w:val="002A49AC"/>
    <w:rsid w:val="002A64FD"/>
    <w:rsid w:val="002A6AEF"/>
    <w:rsid w:val="002B47E4"/>
    <w:rsid w:val="002C277F"/>
    <w:rsid w:val="002C7A84"/>
    <w:rsid w:val="002E2BF8"/>
    <w:rsid w:val="002E4FD9"/>
    <w:rsid w:val="0030657A"/>
    <w:rsid w:val="00317AC3"/>
    <w:rsid w:val="00322A85"/>
    <w:rsid w:val="00324168"/>
    <w:rsid w:val="00330834"/>
    <w:rsid w:val="00335530"/>
    <w:rsid w:val="003448F4"/>
    <w:rsid w:val="00355BDF"/>
    <w:rsid w:val="00364E6D"/>
    <w:rsid w:val="00373AD7"/>
    <w:rsid w:val="00374F5E"/>
    <w:rsid w:val="00377E3E"/>
    <w:rsid w:val="003A779E"/>
    <w:rsid w:val="003C4A89"/>
    <w:rsid w:val="003D0F4D"/>
    <w:rsid w:val="003D5B0D"/>
    <w:rsid w:val="003E0499"/>
    <w:rsid w:val="003E3B74"/>
    <w:rsid w:val="003E485C"/>
    <w:rsid w:val="003E4F80"/>
    <w:rsid w:val="003E6439"/>
    <w:rsid w:val="003F3941"/>
    <w:rsid w:val="00406575"/>
    <w:rsid w:val="00411D06"/>
    <w:rsid w:val="00414C74"/>
    <w:rsid w:val="00421514"/>
    <w:rsid w:val="0042722E"/>
    <w:rsid w:val="0044528D"/>
    <w:rsid w:val="00456EBC"/>
    <w:rsid w:val="00465F0D"/>
    <w:rsid w:val="00466E39"/>
    <w:rsid w:val="00477F00"/>
    <w:rsid w:val="004A1847"/>
    <w:rsid w:val="004A305D"/>
    <w:rsid w:val="004A794B"/>
    <w:rsid w:val="004F21C4"/>
    <w:rsid w:val="004F51E0"/>
    <w:rsid w:val="004F685F"/>
    <w:rsid w:val="005566E8"/>
    <w:rsid w:val="00571207"/>
    <w:rsid w:val="00574867"/>
    <w:rsid w:val="005761DE"/>
    <w:rsid w:val="00585F78"/>
    <w:rsid w:val="00587E39"/>
    <w:rsid w:val="00591460"/>
    <w:rsid w:val="005A65E0"/>
    <w:rsid w:val="005B1316"/>
    <w:rsid w:val="005B6A58"/>
    <w:rsid w:val="005C08DE"/>
    <w:rsid w:val="005C3777"/>
    <w:rsid w:val="005C5CDC"/>
    <w:rsid w:val="005D476C"/>
    <w:rsid w:val="00614CC3"/>
    <w:rsid w:val="006200BF"/>
    <w:rsid w:val="006219F8"/>
    <w:rsid w:val="006302F7"/>
    <w:rsid w:val="00645839"/>
    <w:rsid w:val="00646B9F"/>
    <w:rsid w:val="00654B93"/>
    <w:rsid w:val="00665D70"/>
    <w:rsid w:val="00671341"/>
    <w:rsid w:val="0068275A"/>
    <w:rsid w:val="006900D9"/>
    <w:rsid w:val="00695B82"/>
    <w:rsid w:val="00705FFD"/>
    <w:rsid w:val="00706C16"/>
    <w:rsid w:val="00716D20"/>
    <w:rsid w:val="00725334"/>
    <w:rsid w:val="0072704B"/>
    <w:rsid w:val="007340C3"/>
    <w:rsid w:val="0075235A"/>
    <w:rsid w:val="00756841"/>
    <w:rsid w:val="007649AB"/>
    <w:rsid w:val="00771D0C"/>
    <w:rsid w:val="00772813"/>
    <w:rsid w:val="007833AC"/>
    <w:rsid w:val="007B268C"/>
    <w:rsid w:val="007B4E0E"/>
    <w:rsid w:val="007B7171"/>
    <w:rsid w:val="007C0C0F"/>
    <w:rsid w:val="007C3DC2"/>
    <w:rsid w:val="007E5497"/>
    <w:rsid w:val="007F130B"/>
    <w:rsid w:val="00806F5F"/>
    <w:rsid w:val="00814A4E"/>
    <w:rsid w:val="00820278"/>
    <w:rsid w:val="008258C9"/>
    <w:rsid w:val="00827635"/>
    <w:rsid w:val="008332EF"/>
    <w:rsid w:val="00844AE9"/>
    <w:rsid w:val="008607AA"/>
    <w:rsid w:val="00867F95"/>
    <w:rsid w:val="008843B6"/>
    <w:rsid w:val="00887D76"/>
    <w:rsid w:val="00891928"/>
    <w:rsid w:val="008A446D"/>
    <w:rsid w:val="008B25F1"/>
    <w:rsid w:val="008D180B"/>
    <w:rsid w:val="008F0EA7"/>
    <w:rsid w:val="009133A7"/>
    <w:rsid w:val="00923468"/>
    <w:rsid w:val="00923EEF"/>
    <w:rsid w:val="009419F9"/>
    <w:rsid w:val="0095685E"/>
    <w:rsid w:val="00961B09"/>
    <w:rsid w:val="00965334"/>
    <w:rsid w:val="0097093E"/>
    <w:rsid w:val="00983389"/>
    <w:rsid w:val="00985F79"/>
    <w:rsid w:val="00996C36"/>
    <w:rsid w:val="009A0DFA"/>
    <w:rsid w:val="009A1C6F"/>
    <w:rsid w:val="009B2D26"/>
    <w:rsid w:val="009C71FA"/>
    <w:rsid w:val="009C72E7"/>
    <w:rsid w:val="009C7F7E"/>
    <w:rsid w:val="009D3058"/>
    <w:rsid w:val="009F3A13"/>
    <w:rsid w:val="009F59F6"/>
    <w:rsid w:val="00A122D3"/>
    <w:rsid w:val="00A14468"/>
    <w:rsid w:val="00A17F13"/>
    <w:rsid w:val="00A20739"/>
    <w:rsid w:val="00A23AF9"/>
    <w:rsid w:val="00A33C78"/>
    <w:rsid w:val="00A442B3"/>
    <w:rsid w:val="00A455EF"/>
    <w:rsid w:val="00A6182F"/>
    <w:rsid w:val="00A62B4A"/>
    <w:rsid w:val="00A91ABA"/>
    <w:rsid w:val="00AB0ADB"/>
    <w:rsid w:val="00AC17DB"/>
    <w:rsid w:val="00B00C0E"/>
    <w:rsid w:val="00B01B1A"/>
    <w:rsid w:val="00B0381D"/>
    <w:rsid w:val="00B44A47"/>
    <w:rsid w:val="00B45F23"/>
    <w:rsid w:val="00B52C02"/>
    <w:rsid w:val="00B6034F"/>
    <w:rsid w:val="00B70F35"/>
    <w:rsid w:val="00B72CD3"/>
    <w:rsid w:val="00B72FFF"/>
    <w:rsid w:val="00BB12FA"/>
    <w:rsid w:val="00BB5206"/>
    <w:rsid w:val="00BC2204"/>
    <w:rsid w:val="00BC3D36"/>
    <w:rsid w:val="00BD54A6"/>
    <w:rsid w:val="00BD7F72"/>
    <w:rsid w:val="00BF104F"/>
    <w:rsid w:val="00BF7425"/>
    <w:rsid w:val="00C04FB3"/>
    <w:rsid w:val="00C11D8B"/>
    <w:rsid w:val="00C15139"/>
    <w:rsid w:val="00C26B34"/>
    <w:rsid w:val="00C330EB"/>
    <w:rsid w:val="00C50D69"/>
    <w:rsid w:val="00C51ACF"/>
    <w:rsid w:val="00C5365C"/>
    <w:rsid w:val="00C64467"/>
    <w:rsid w:val="00C754BE"/>
    <w:rsid w:val="00C76B1C"/>
    <w:rsid w:val="00C925AC"/>
    <w:rsid w:val="00CB57E9"/>
    <w:rsid w:val="00CB6357"/>
    <w:rsid w:val="00CB7775"/>
    <w:rsid w:val="00CC1B26"/>
    <w:rsid w:val="00CD2BA0"/>
    <w:rsid w:val="00D05AE5"/>
    <w:rsid w:val="00D361FD"/>
    <w:rsid w:val="00D423A2"/>
    <w:rsid w:val="00D44E26"/>
    <w:rsid w:val="00D46419"/>
    <w:rsid w:val="00D520D8"/>
    <w:rsid w:val="00D63AC2"/>
    <w:rsid w:val="00D7383B"/>
    <w:rsid w:val="00D7788A"/>
    <w:rsid w:val="00D8190F"/>
    <w:rsid w:val="00DA231B"/>
    <w:rsid w:val="00DC39FC"/>
    <w:rsid w:val="00DC6156"/>
    <w:rsid w:val="00DD3C0C"/>
    <w:rsid w:val="00DE5342"/>
    <w:rsid w:val="00DF5254"/>
    <w:rsid w:val="00E02524"/>
    <w:rsid w:val="00E03E40"/>
    <w:rsid w:val="00E16408"/>
    <w:rsid w:val="00E20894"/>
    <w:rsid w:val="00E245AB"/>
    <w:rsid w:val="00E2559B"/>
    <w:rsid w:val="00E2764C"/>
    <w:rsid w:val="00E27F2E"/>
    <w:rsid w:val="00E44F0A"/>
    <w:rsid w:val="00E50AFE"/>
    <w:rsid w:val="00E60595"/>
    <w:rsid w:val="00E75C92"/>
    <w:rsid w:val="00E771DC"/>
    <w:rsid w:val="00E84F86"/>
    <w:rsid w:val="00E8772A"/>
    <w:rsid w:val="00E90F6B"/>
    <w:rsid w:val="00E92C27"/>
    <w:rsid w:val="00EA0E3D"/>
    <w:rsid w:val="00EB6347"/>
    <w:rsid w:val="00EC38A7"/>
    <w:rsid w:val="00EE1AA8"/>
    <w:rsid w:val="00EF2844"/>
    <w:rsid w:val="00F170DB"/>
    <w:rsid w:val="00F23FEA"/>
    <w:rsid w:val="00F24D87"/>
    <w:rsid w:val="00F31EDC"/>
    <w:rsid w:val="00F33085"/>
    <w:rsid w:val="00F462B3"/>
    <w:rsid w:val="00F462D7"/>
    <w:rsid w:val="00F54D78"/>
    <w:rsid w:val="00F5664F"/>
    <w:rsid w:val="00F666C4"/>
    <w:rsid w:val="00F76AFC"/>
    <w:rsid w:val="00F945F4"/>
    <w:rsid w:val="00F96639"/>
    <w:rsid w:val="00FA47C0"/>
    <w:rsid w:val="00FB5DD1"/>
    <w:rsid w:val="00FC2B5D"/>
    <w:rsid w:val="00FD3291"/>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6419"/>
    <w:rPr>
      <w:rFonts w:ascii="Geomanist Light" w:hAnsi="Geomanist Light"/>
      <w:lang w:val="es-ES"/>
    </w:rPr>
  </w:style>
  <w:style w:type="paragraph" w:customStyle="1" w:styleId="Appelnotedebasde">
    <w:name w:val="Appel note de bas de..."/>
    <w:basedOn w:val="Normal"/>
    <w:link w:val="Refdenotaalpie"/>
    <w:uiPriority w:val="99"/>
    <w:rsid w:val="00FD329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eni.gutierrez@envigado.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C74BBB-4BB6-421F-8B9C-0C593E8B5913}"/>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4673</Words>
  <Characters>25704</Characters>
  <Application>Microsoft Office Word</Application>
  <DocSecurity>0</DocSecurity>
  <Lines>214</Lines>
  <Paragraphs>60</Paragraphs>
  <ScaleCrop>false</ScaleCrop>
  <Company/>
  <LinksUpToDate>false</LinksUpToDate>
  <CharactersWithSpaces>30317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9</cp:revision>
  <cp:lastPrinted>2023-01-10T21:18:00Z</cp:lastPrinted>
  <dcterms:created xsi:type="dcterms:W3CDTF">2025-12-19T16:57:00Z</dcterms:created>
  <dcterms:modified xsi:type="dcterms:W3CDTF">2025-12-19T16:58:00Z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