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743FA" w14:textId="77777777" w:rsidR="00BE0711" w:rsidRPr="00DE3062" w:rsidRDefault="00BE0711" w:rsidP="00BE0711">
      <w:pPr>
        <w:snapToGrid w:val="0"/>
        <w:spacing w:after="0" w:line="276" w:lineRule="auto"/>
        <w:jc w:val="both"/>
        <w:rPr>
          <w:rFonts w:ascii="Verdana" w:eastAsia="Calibri" w:hAnsi="Verdana" w:cs="Times New Roman"/>
          <w:color w:val="000000" w:themeColor="text1"/>
        </w:rPr>
      </w:pPr>
      <w:bookmarkStart w:id="0" w:name="_Hlk143780582"/>
      <w:r>
        <w:rPr>
          <w:rFonts w:ascii="Verdana" w:eastAsia="Calibri" w:hAnsi="Verdana" w:cs="Times New Roman"/>
          <w:b/>
          <w:bCs/>
          <w:color w:val="000000" w:themeColor="text1"/>
        </w:rPr>
        <w:t>PROCESOS DE SELECCIÓN</w:t>
      </w:r>
      <w:r w:rsidRPr="00DE3062">
        <w:rPr>
          <w:rFonts w:ascii="Verdana" w:eastAsia="Calibri" w:hAnsi="Verdana" w:cs="Times New Roman"/>
          <w:b/>
          <w:bCs/>
          <w:color w:val="000000" w:themeColor="text1"/>
        </w:rPr>
        <w:t xml:space="preserve"> – </w:t>
      </w:r>
      <w:r>
        <w:rPr>
          <w:rFonts w:ascii="Verdana" w:eastAsia="Calibri" w:hAnsi="Verdana" w:cs="Times New Roman"/>
          <w:b/>
          <w:bCs/>
          <w:color w:val="000000" w:themeColor="text1"/>
        </w:rPr>
        <w:t xml:space="preserve">Modalidades de contratación - </w:t>
      </w:r>
      <w:r w:rsidRPr="00DE3062">
        <w:rPr>
          <w:rFonts w:ascii="Verdana" w:eastAsia="Calibri" w:hAnsi="Verdana" w:cs="Times New Roman"/>
          <w:b/>
          <w:bCs/>
          <w:color w:val="000000" w:themeColor="text1"/>
        </w:rPr>
        <w:t>Fundamento normativo</w:t>
      </w:r>
    </w:p>
    <w:p w14:paraId="6AF78B1C" w14:textId="77777777" w:rsidR="00BE0711" w:rsidRPr="0026329F" w:rsidRDefault="00BE0711" w:rsidP="00BE0711">
      <w:pPr>
        <w:spacing w:after="0" w:line="276" w:lineRule="auto"/>
        <w:rPr>
          <w:rFonts w:ascii="Verdana" w:eastAsia="Calibri" w:hAnsi="Verdana" w:cs="Arial"/>
          <w:b/>
          <w:color w:val="3399FF"/>
          <w:sz w:val="20"/>
          <w:szCs w:val="20"/>
          <w:lang w:eastAsia="es-ES_tradnl"/>
        </w:rPr>
      </w:pPr>
    </w:p>
    <w:p w14:paraId="35A0A157" w14:textId="77777777" w:rsidR="00BE0711" w:rsidRPr="0026329F" w:rsidRDefault="00BE0711" w:rsidP="00BE0711">
      <w:pPr>
        <w:spacing w:after="120" w:line="276" w:lineRule="auto"/>
        <w:jc w:val="both"/>
        <w:rPr>
          <w:rFonts w:ascii="Verdana" w:hAnsi="Verdana" w:cs="Arial"/>
          <w:bCs/>
          <w:color w:val="000000" w:themeColor="text1"/>
          <w:sz w:val="20"/>
          <w:szCs w:val="20"/>
          <w:lang w:val="es-ES_tradnl"/>
        </w:rPr>
      </w:pPr>
      <w:r w:rsidRPr="0026329F">
        <w:rPr>
          <w:rFonts w:ascii="Verdana" w:hAnsi="Verdana" w:cs="Arial"/>
          <w:bCs/>
          <w:color w:val="000000" w:themeColor="text1"/>
          <w:sz w:val="20"/>
          <w:szCs w:val="20"/>
          <w:lang w:val="es-ES_tradnl"/>
        </w:rPr>
        <w:t>En los procesos de contratación, las entidades deben adelantar procedimientos previamente definidos por la ley, en concordancia con las normas que los regulan, a fin de determinar lo modalidad en que deben desarrollarse. Teniendo en cuenta lo anterior, y de conformidad con lo dispuesto en el artículo 29 de la Constitución Política, los procesos de selección son una manifestación de la legalidad de las formas de cada proceso en sede administrativa.</w:t>
      </w:r>
    </w:p>
    <w:p w14:paraId="6E5A5D4C" w14:textId="77777777" w:rsidR="00BE0711" w:rsidRPr="0026329F" w:rsidRDefault="00BE0711" w:rsidP="00BE0711">
      <w:pPr>
        <w:spacing w:after="120" w:line="276" w:lineRule="auto"/>
        <w:jc w:val="both"/>
        <w:rPr>
          <w:rFonts w:ascii="Verdana" w:hAnsi="Verdana" w:cs="Arial"/>
          <w:bCs/>
          <w:color w:val="000000" w:themeColor="text1"/>
          <w:sz w:val="20"/>
          <w:szCs w:val="20"/>
        </w:rPr>
      </w:pPr>
      <w:r w:rsidRPr="0026329F">
        <w:rPr>
          <w:rFonts w:ascii="Verdana" w:hAnsi="Verdana" w:cs="Arial"/>
          <w:bCs/>
          <w:color w:val="000000" w:themeColor="text1"/>
          <w:sz w:val="20"/>
          <w:szCs w:val="20"/>
          <w:lang w:val="es-ES_tradnl"/>
        </w:rPr>
        <w:tab/>
        <w:t>El</w:t>
      </w:r>
      <w:r w:rsidRPr="0026329F">
        <w:rPr>
          <w:rFonts w:ascii="Verdana" w:hAnsi="Verdana" w:cs="Arial"/>
          <w:bCs/>
          <w:color w:val="000000" w:themeColor="text1"/>
          <w:sz w:val="20"/>
          <w:szCs w:val="20"/>
        </w:rPr>
        <w:t xml:space="preserve"> ordenamiento jurídico en materia de contratación estatal contempla las siguientes modalidades de selección: i) licitación pública, </w:t>
      </w:r>
      <w:proofErr w:type="spellStart"/>
      <w:r w:rsidRPr="0026329F">
        <w:rPr>
          <w:rFonts w:ascii="Verdana" w:hAnsi="Verdana" w:cs="Arial"/>
          <w:bCs/>
          <w:color w:val="000000" w:themeColor="text1"/>
          <w:sz w:val="20"/>
          <w:szCs w:val="20"/>
        </w:rPr>
        <w:t>ii</w:t>
      </w:r>
      <w:proofErr w:type="spellEnd"/>
      <w:r w:rsidRPr="0026329F">
        <w:rPr>
          <w:rFonts w:ascii="Verdana" w:hAnsi="Verdana" w:cs="Arial"/>
          <w:bCs/>
          <w:color w:val="000000" w:themeColor="text1"/>
          <w:sz w:val="20"/>
          <w:szCs w:val="20"/>
        </w:rPr>
        <w:t xml:space="preserve">) selección abreviada, </w:t>
      </w:r>
      <w:proofErr w:type="spellStart"/>
      <w:r w:rsidRPr="0026329F">
        <w:rPr>
          <w:rFonts w:ascii="Verdana" w:hAnsi="Verdana" w:cs="Arial"/>
          <w:bCs/>
          <w:color w:val="000000" w:themeColor="text1"/>
          <w:sz w:val="20"/>
          <w:szCs w:val="20"/>
        </w:rPr>
        <w:t>iii</w:t>
      </w:r>
      <w:proofErr w:type="spellEnd"/>
      <w:r w:rsidRPr="0026329F">
        <w:rPr>
          <w:rFonts w:ascii="Verdana" w:hAnsi="Verdana" w:cs="Arial"/>
          <w:bCs/>
          <w:color w:val="000000" w:themeColor="text1"/>
          <w:sz w:val="20"/>
          <w:szCs w:val="20"/>
        </w:rPr>
        <w:t xml:space="preserve">) concurso de méritos, </w:t>
      </w:r>
      <w:proofErr w:type="spellStart"/>
      <w:r w:rsidRPr="0026329F">
        <w:rPr>
          <w:rFonts w:ascii="Verdana" w:hAnsi="Verdana" w:cs="Arial"/>
          <w:bCs/>
          <w:color w:val="000000" w:themeColor="text1"/>
          <w:sz w:val="20"/>
          <w:szCs w:val="20"/>
        </w:rPr>
        <w:t>iv</w:t>
      </w:r>
      <w:proofErr w:type="spellEnd"/>
      <w:r w:rsidRPr="0026329F">
        <w:rPr>
          <w:rFonts w:ascii="Verdana" w:hAnsi="Verdana" w:cs="Arial"/>
          <w:bCs/>
          <w:color w:val="000000" w:themeColor="text1"/>
          <w:sz w:val="20"/>
          <w:szCs w:val="20"/>
        </w:rPr>
        <w:t>) mínima cuantía y v) contratación directa. Cada una de estas establece etapas específicas para la adquisición de obras, bienes y servicios, y su aplicación corresponde a las entidades estatales, quienes deben estructurar y adelantar los procesos de contratación de conformidad con las reglas propias de cada procedimiento y en estricto cumplimiento del principio de legalidad como se ha venido mencionando.</w:t>
      </w:r>
    </w:p>
    <w:p w14:paraId="1BBA0C85" w14:textId="77777777" w:rsidR="00BE0711" w:rsidRPr="0026329F" w:rsidRDefault="00BE0711" w:rsidP="00BE0711">
      <w:pPr>
        <w:spacing w:line="276" w:lineRule="auto"/>
        <w:jc w:val="both"/>
        <w:rPr>
          <w:rFonts w:ascii="Verdana" w:hAnsi="Verdana" w:cs="Arial"/>
          <w:bCs/>
          <w:color w:val="000000" w:themeColor="text1"/>
          <w:sz w:val="20"/>
          <w:szCs w:val="20"/>
          <w:lang w:val="es-ES"/>
        </w:rPr>
      </w:pPr>
      <w:r w:rsidRPr="0026329F">
        <w:rPr>
          <w:rFonts w:ascii="Verdana" w:hAnsi="Verdana" w:cs="Arial"/>
          <w:bCs/>
          <w:color w:val="000000" w:themeColor="text1"/>
          <w:sz w:val="20"/>
          <w:szCs w:val="20"/>
          <w:lang w:val="es-ES_tradnl"/>
        </w:rPr>
        <w:tab/>
        <w:t xml:space="preserve">En el artículo 2 de la Ley 1150 de 2007, se regularon los procesos de selección. </w:t>
      </w:r>
      <w:r w:rsidRPr="0026329F">
        <w:rPr>
          <w:rFonts w:ascii="Verdana" w:hAnsi="Verdana" w:cs="Arial"/>
          <w:bCs/>
          <w:color w:val="000000" w:themeColor="text1"/>
          <w:sz w:val="20"/>
          <w:szCs w:val="20"/>
          <w:lang w:val="es-ES"/>
        </w:rPr>
        <w:t xml:space="preserve">En dicha disposición, la licitación pública se configuró no solo como un procedimiento autónomo, diferenciado del concurso de méritos, sino que además se introdujo el procedimiento de selección abreviada. Posteriormente, con la reforma incorporada por la Ley 1474 de 2011, el régimen de contratación estatal quedó integrado por los siguientes procedimientos de selección: i) licitación pública, </w:t>
      </w:r>
      <w:proofErr w:type="spellStart"/>
      <w:r w:rsidRPr="0026329F">
        <w:rPr>
          <w:rFonts w:ascii="Verdana" w:hAnsi="Verdana" w:cs="Arial"/>
          <w:bCs/>
          <w:color w:val="000000" w:themeColor="text1"/>
          <w:sz w:val="20"/>
          <w:szCs w:val="20"/>
          <w:lang w:val="es-ES"/>
        </w:rPr>
        <w:t>ii</w:t>
      </w:r>
      <w:proofErr w:type="spellEnd"/>
      <w:r w:rsidRPr="0026329F">
        <w:rPr>
          <w:rFonts w:ascii="Verdana" w:hAnsi="Verdana" w:cs="Arial"/>
          <w:bCs/>
          <w:color w:val="000000" w:themeColor="text1"/>
          <w:sz w:val="20"/>
          <w:szCs w:val="20"/>
          <w:lang w:val="es-ES"/>
        </w:rPr>
        <w:t xml:space="preserve">) selección abreviada, </w:t>
      </w:r>
      <w:proofErr w:type="spellStart"/>
      <w:r w:rsidRPr="0026329F">
        <w:rPr>
          <w:rFonts w:ascii="Verdana" w:hAnsi="Verdana" w:cs="Arial"/>
          <w:bCs/>
          <w:color w:val="000000" w:themeColor="text1"/>
          <w:sz w:val="20"/>
          <w:szCs w:val="20"/>
          <w:lang w:val="es-ES"/>
        </w:rPr>
        <w:t>iii</w:t>
      </w:r>
      <w:proofErr w:type="spellEnd"/>
      <w:r w:rsidRPr="0026329F">
        <w:rPr>
          <w:rFonts w:ascii="Verdana" w:hAnsi="Verdana" w:cs="Arial"/>
          <w:bCs/>
          <w:color w:val="000000" w:themeColor="text1"/>
          <w:sz w:val="20"/>
          <w:szCs w:val="20"/>
          <w:lang w:val="es-ES"/>
        </w:rPr>
        <w:t xml:space="preserve">) concurso de méritos, </w:t>
      </w:r>
      <w:proofErr w:type="spellStart"/>
      <w:r w:rsidRPr="0026329F">
        <w:rPr>
          <w:rFonts w:ascii="Verdana" w:hAnsi="Verdana" w:cs="Arial"/>
          <w:bCs/>
          <w:color w:val="000000" w:themeColor="text1"/>
          <w:sz w:val="20"/>
          <w:szCs w:val="20"/>
          <w:lang w:val="es-ES"/>
        </w:rPr>
        <w:t>iv</w:t>
      </w:r>
      <w:proofErr w:type="spellEnd"/>
      <w:r w:rsidRPr="0026329F">
        <w:rPr>
          <w:rFonts w:ascii="Verdana" w:hAnsi="Verdana" w:cs="Arial"/>
          <w:bCs/>
          <w:color w:val="000000" w:themeColor="text1"/>
          <w:sz w:val="20"/>
          <w:szCs w:val="20"/>
          <w:lang w:val="es-ES"/>
        </w:rPr>
        <w:t>) mínima cuantía y v) contratación directa.</w:t>
      </w:r>
    </w:p>
    <w:p w14:paraId="64BB054F" w14:textId="10161D93" w:rsidR="00BE0711" w:rsidRPr="00DB4777" w:rsidRDefault="00BE0711" w:rsidP="00DB4777">
      <w:pPr>
        <w:spacing w:line="276" w:lineRule="auto"/>
        <w:jc w:val="both"/>
        <w:rPr>
          <w:rFonts w:ascii="Verdana" w:hAnsi="Verdana" w:cs="Arial"/>
          <w:bCs/>
          <w:color w:val="000000" w:themeColor="text1"/>
          <w:sz w:val="20"/>
          <w:szCs w:val="20"/>
        </w:rPr>
      </w:pPr>
      <w:r w:rsidRPr="0026329F">
        <w:rPr>
          <w:rFonts w:ascii="Verdana" w:hAnsi="Verdana" w:cs="Arial"/>
          <w:bCs/>
          <w:color w:val="000000" w:themeColor="text1"/>
          <w:sz w:val="20"/>
          <w:szCs w:val="20"/>
          <w:lang w:val="es-ES_tradnl"/>
        </w:rPr>
        <w:tab/>
      </w:r>
      <w:r w:rsidRPr="0026329F">
        <w:rPr>
          <w:rFonts w:ascii="Verdana" w:hAnsi="Verdana" w:cs="Arial"/>
          <w:bCs/>
          <w:color w:val="000000" w:themeColor="text1"/>
          <w:sz w:val="20"/>
          <w:szCs w:val="20"/>
        </w:rPr>
        <w:t>Cada uno de estos procedimientos contempla las etapas necesarias para la adquisición de obras, bienes y servicios, razón por la cual corresponde a cada entidad estatal estructurar sus procesos de contratación, en estricto respeto del principio de legalidad y de las disposiciones que regulan la materia.</w:t>
      </w:r>
    </w:p>
    <w:p w14:paraId="75C79444" w14:textId="77777777" w:rsidR="00BE0711" w:rsidRPr="00DE3062" w:rsidRDefault="00BE0711" w:rsidP="00BE0711">
      <w:pPr>
        <w:snapToGrid w:val="0"/>
        <w:spacing w:after="0" w:line="276" w:lineRule="auto"/>
        <w:jc w:val="both"/>
        <w:rPr>
          <w:rFonts w:ascii="Verdana" w:eastAsia="Calibri" w:hAnsi="Verdana" w:cs="Times New Roman"/>
          <w:color w:val="000000" w:themeColor="text1"/>
        </w:rPr>
      </w:pPr>
      <w:r w:rsidRPr="00DE3062">
        <w:rPr>
          <w:rFonts w:ascii="Verdana" w:eastAsia="Calibri" w:hAnsi="Verdana" w:cs="Times New Roman"/>
          <w:b/>
          <w:bCs/>
          <w:color w:val="000000" w:themeColor="text1"/>
        </w:rPr>
        <w:t xml:space="preserve">DOCUMENTOS TIPO – Fundamento normativo – Obligatoriedad </w:t>
      </w:r>
    </w:p>
    <w:p w14:paraId="048FFC7A" w14:textId="77777777" w:rsidR="00BE0711" w:rsidRPr="00DE3062" w:rsidRDefault="00BE0711" w:rsidP="00BE0711">
      <w:pPr>
        <w:snapToGrid w:val="0"/>
        <w:spacing w:after="0" w:line="276" w:lineRule="auto"/>
        <w:jc w:val="both"/>
        <w:rPr>
          <w:rFonts w:ascii="Verdana" w:eastAsia="Calibri" w:hAnsi="Verdana" w:cs="Arial"/>
          <w:b/>
          <w:bCs/>
          <w:color w:val="000000" w:themeColor="text1"/>
          <w:lang w:val="es-ES_tradnl"/>
        </w:rPr>
      </w:pPr>
    </w:p>
    <w:p w14:paraId="22D58CE5" w14:textId="77777777" w:rsidR="00BE0711" w:rsidRPr="00DE3062" w:rsidRDefault="00BE0711" w:rsidP="00BE0711">
      <w:pPr>
        <w:snapToGrid w:val="0"/>
        <w:spacing w:after="0" w:line="240" w:lineRule="auto"/>
        <w:jc w:val="both"/>
        <w:rPr>
          <w:rFonts w:ascii="Verdana" w:eastAsia="Calibri" w:hAnsi="Verdana" w:cs="Arial"/>
          <w:color w:val="000000" w:themeColor="text1"/>
          <w:sz w:val="20"/>
          <w:szCs w:val="20"/>
          <w:lang w:val="es-ES_tradnl"/>
        </w:rPr>
      </w:pPr>
      <w:r w:rsidRPr="00DE3062">
        <w:rPr>
          <w:rFonts w:ascii="Verdana" w:eastAsia="Calibri" w:hAnsi="Verdana" w:cs="Arial"/>
          <w:color w:val="000000" w:themeColor="text1"/>
          <w:sz w:val="20"/>
          <w:szCs w:val="20"/>
          <w:lang w:val="es-ES_tradnl"/>
        </w:rPr>
        <w:t>Los documentos tipo expedidos por la Agencia Nacional de Contratación Pública –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758AE5FC" w14:textId="77777777" w:rsidR="00BE0711" w:rsidRPr="00DE3062" w:rsidRDefault="00BE0711" w:rsidP="00BE0711">
      <w:pPr>
        <w:snapToGrid w:val="0"/>
        <w:spacing w:after="0" w:line="240" w:lineRule="auto"/>
        <w:jc w:val="both"/>
        <w:rPr>
          <w:rFonts w:ascii="Verdana" w:eastAsia="Calibri" w:hAnsi="Verdana" w:cs="Arial"/>
          <w:color w:val="3399FF"/>
          <w:sz w:val="20"/>
          <w:szCs w:val="20"/>
          <w:lang w:val="es-ES_tradnl"/>
        </w:rPr>
      </w:pPr>
    </w:p>
    <w:p w14:paraId="6CA5E89C" w14:textId="30BB7133" w:rsidR="00BE0711" w:rsidRPr="00DE3062" w:rsidRDefault="00BE0711" w:rsidP="00BE0711">
      <w:pPr>
        <w:shd w:val="clear" w:color="auto" w:fill="FFFFFF"/>
        <w:spacing w:after="0" w:line="276" w:lineRule="auto"/>
        <w:jc w:val="both"/>
        <w:rPr>
          <w:rFonts w:ascii="Verdana" w:eastAsia="Calibri" w:hAnsi="Verdana" w:cs="Arial"/>
          <w:b/>
          <w:color w:val="000000"/>
          <w:lang w:eastAsia="es-ES_tradnl"/>
        </w:rPr>
      </w:pPr>
      <w:r w:rsidRPr="00DE3062">
        <w:rPr>
          <w:rFonts w:ascii="Verdana" w:eastAsia="Calibri" w:hAnsi="Verdana" w:cs="Arial"/>
          <w:b/>
          <w:color w:val="000000"/>
          <w:lang w:eastAsia="es-ES_tradnl"/>
        </w:rPr>
        <w:lastRenderedPageBreak/>
        <w:t>DOCUMENTOS TIPO − Matriz 1 – Experiencia − Aplicación</w:t>
      </w:r>
    </w:p>
    <w:p w14:paraId="33D99073" w14:textId="77777777" w:rsidR="00BE0711" w:rsidRDefault="00BE0711" w:rsidP="00BE0711">
      <w:pPr>
        <w:snapToGrid w:val="0"/>
        <w:spacing w:after="0" w:line="240" w:lineRule="auto"/>
        <w:jc w:val="both"/>
        <w:rPr>
          <w:rFonts w:ascii="Verdana" w:eastAsia="Calibri" w:hAnsi="Verdana" w:cs="Arial"/>
          <w:color w:val="3399FF"/>
          <w:sz w:val="20"/>
          <w:szCs w:val="20"/>
          <w:lang w:val="es-ES_tradnl"/>
        </w:rPr>
      </w:pPr>
    </w:p>
    <w:p w14:paraId="3C875548" w14:textId="29B21072" w:rsidR="00BE0711" w:rsidRPr="0026329F" w:rsidRDefault="00BE0711" w:rsidP="00BE0711">
      <w:pPr>
        <w:snapToGrid w:val="0"/>
        <w:spacing w:after="0" w:line="240" w:lineRule="auto"/>
        <w:jc w:val="both"/>
        <w:rPr>
          <w:rFonts w:ascii="Verdana" w:eastAsia="Calibri" w:hAnsi="Verdana" w:cs="Arial"/>
          <w:color w:val="3399FF"/>
          <w:sz w:val="20"/>
          <w:szCs w:val="20"/>
          <w:lang w:val="es-ES"/>
        </w:rPr>
      </w:pPr>
      <w:r w:rsidRPr="32339CEB">
        <w:rPr>
          <w:rFonts w:ascii="Verdana" w:eastAsia="Times New Roman" w:hAnsi="Verdana" w:cs="Arial"/>
          <w:kern w:val="2"/>
          <w:sz w:val="20"/>
          <w:szCs w:val="20"/>
          <w:shd w:val="clear" w:color="auto" w:fill="FFFFFF"/>
          <w:lang w:val="es-ES" w:eastAsia="es-ES"/>
          <w14:ligatures w14:val="standardContextual"/>
        </w:rPr>
        <w:t>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2EDF8C44" w14:textId="77777777" w:rsidR="00BE0711" w:rsidRPr="0026329F" w:rsidRDefault="00BE0711" w:rsidP="00BE0711">
      <w:pPr>
        <w:snapToGrid w:val="0"/>
        <w:spacing w:after="0" w:line="240" w:lineRule="auto"/>
        <w:jc w:val="both"/>
        <w:rPr>
          <w:rFonts w:ascii="Verdana" w:eastAsia="Calibri" w:hAnsi="Verdana" w:cs="Arial"/>
          <w:color w:val="3399FF"/>
          <w:sz w:val="20"/>
          <w:szCs w:val="20"/>
          <w:lang w:val="es-ES_tradnl"/>
        </w:rPr>
      </w:pPr>
    </w:p>
    <w:p w14:paraId="5114CFC3" w14:textId="65AE146A" w:rsidR="00BE0711" w:rsidRPr="0026329F" w:rsidRDefault="00BE0711" w:rsidP="00BE0711">
      <w:pPr>
        <w:snapToGrid w:val="0"/>
        <w:spacing w:after="120" w:line="240" w:lineRule="auto"/>
        <w:jc w:val="both"/>
        <w:rPr>
          <w:rFonts w:ascii="Verdana" w:eastAsia="Times New Roman" w:hAnsi="Verdana" w:cs="Arial"/>
          <w:kern w:val="2"/>
          <w:sz w:val="20"/>
          <w:szCs w:val="20"/>
          <w:shd w:val="clear" w:color="auto" w:fill="FFFFFF"/>
          <w:lang w:val="es-ES" w:eastAsia="es-ES"/>
          <w14:ligatures w14:val="standardContextual"/>
        </w:rPr>
      </w:pPr>
      <w:r w:rsidRPr="0026329F">
        <w:rPr>
          <w:rFonts w:ascii="Verdana" w:eastAsia="Times New Roman" w:hAnsi="Verdana" w:cs="Arial"/>
          <w:kern w:val="2"/>
          <w:sz w:val="20"/>
          <w:szCs w:val="20"/>
          <w:shd w:val="clear" w:color="auto" w:fill="FFFFFF"/>
          <w:lang w:val="es-ES_tradnl" w:eastAsia="es-ES_tradnl"/>
          <w14:ligatures w14:val="standardContextual"/>
        </w:rPr>
        <w:t>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6735B7C" w14:textId="1646D280" w:rsidR="00BE0711" w:rsidRPr="0026329F" w:rsidRDefault="00BE0711" w:rsidP="00BE0711">
      <w:pPr>
        <w:snapToGrid w:val="0"/>
        <w:spacing w:after="120" w:line="240" w:lineRule="auto"/>
        <w:jc w:val="both"/>
        <w:rPr>
          <w:rFonts w:ascii="Verdana" w:eastAsia="Times New Roman" w:hAnsi="Verdana" w:cs="Arial"/>
          <w:kern w:val="2"/>
          <w:sz w:val="20"/>
          <w:szCs w:val="20"/>
          <w:shd w:val="clear" w:color="auto" w:fill="FFFFFF"/>
          <w:lang w:val="es-ES" w:eastAsia="es-ES"/>
          <w14:ligatures w14:val="standardContextual"/>
        </w:rPr>
      </w:pPr>
      <w:r w:rsidRPr="0026329F">
        <w:rPr>
          <w:rFonts w:ascii="Verdana" w:eastAsia="Times New Roman" w:hAnsi="Verdana" w:cs="Arial"/>
          <w:kern w:val="2"/>
          <w:sz w:val="20"/>
          <w:szCs w:val="20"/>
          <w:shd w:val="clear" w:color="auto" w:fill="FFFFFF"/>
          <w:lang w:val="es-ES_tradnl" w:eastAsia="es-ES_tradnl"/>
          <w14:ligatures w14:val="standardContextua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32897040" w14:textId="77777777" w:rsidR="00BE0711" w:rsidRPr="00957751" w:rsidRDefault="00BE0711" w:rsidP="00BE0711">
      <w:pPr>
        <w:snapToGrid w:val="0"/>
        <w:spacing w:after="0" w:line="240" w:lineRule="auto"/>
        <w:jc w:val="both"/>
        <w:rPr>
          <w:rFonts w:ascii="Verdana" w:eastAsia="Calibri" w:hAnsi="Verdana" w:cs="Arial"/>
          <w:color w:val="3399FF"/>
          <w:sz w:val="18"/>
          <w:szCs w:val="18"/>
          <w:lang w:val="es-ES_tradnl"/>
        </w:rPr>
      </w:pPr>
    </w:p>
    <w:p w14:paraId="5DA416AC" w14:textId="6967D549" w:rsidR="00BE0711" w:rsidRPr="00C60F4D" w:rsidRDefault="00BE0711" w:rsidP="00BE0711">
      <w:pPr>
        <w:snapToGrid w:val="0"/>
        <w:spacing w:after="0" w:line="276" w:lineRule="auto"/>
        <w:jc w:val="both"/>
        <w:rPr>
          <w:rFonts w:ascii="Verdana" w:eastAsia="Calibri" w:hAnsi="Verdana" w:cs="Arial"/>
          <w:color w:val="3399FF"/>
          <w:lang w:val="es-ES_tradnl"/>
        </w:rPr>
      </w:pPr>
    </w:p>
    <w:p w14:paraId="7B06B300" w14:textId="77777777" w:rsidR="00BE0711" w:rsidRDefault="00BE0711" w:rsidP="00BE0711">
      <w:pPr>
        <w:spacing w:after="0" w:line="276" w:lineRule="auto"/>
        <w:rPr>
          <w:rFonts w:ascii="Verdana" w:eastAsia="Calibri" w:hAnsi="Verdana" w:cs="Arial"/>
          <w:b/>
          <w:color w:val="3399FF"/>
          <w:lang w:eastAsia="es-ES_tradnl"/>
        </w:rPr>
      </w:pPr>
    </w:p>
    <w:p w14:paraId="318D2BF0" w14:textId="77777777" w:rsidR="00BE0711" w:rsidRDefault="00BE0711" w:rsidP="00BE0711">
      <w:pPr>
        <w:spacing w:after="0" w:line="276" w:lineRule="auto"/>
        <w:rPr>
          <w:rFonts w:ascii="Verdana" w:eastAsia="Calibri" w:hAnsi="Verdana" w:cs="Arial"/>
          <w:b/>
          <w:color w:val="3399FF"/>
          <w:lang w:eastAsia="es-ES_tradnl"/>
        </w:rPr>
      </w:pPr>
    </w:p>
    <w:p w14:paraId="6D8B6F10" w14:textId="77777777" w:rsidR="00BE0711" w:rsidRDefault="00BE0711" w:rsidP="00BE0711">
      <w:pPr>
        <w:spacing w:after="0" w:line="276" w:lineRule="auto"/>
        <w:rPr>
          <w:rFonts w:ascii="Verdana" w:eastAsia="Calibri" w:hAnsi="Verdana" w:cs="Arial"/>
          <w:b/>
          <w:color w:val="3399FF"/>
          <w:lang w:eastAsia="es-ES_tradnl"/>
        </w:rPr>
      </w:pPr>
    </w:p>
    <w:p w14:paraId="7909504E" w14:textId="77777777" w:rsidR="00BE0711" w:rsidRDefault="00BE0711" w:rsidP="00BE0711">
      <w:pPr>
        <w:spacing w:after="0" w:line="276" w:lineRule="auto"/>
        <w:rPr>
          <w:rFonts w:ascii="Verdana" w:eastAsia="Calibri" w:hAnsi="Verdana" w:cs="Arial"/>
          <w:b/>
          <w:color w:val="3399FF"/>
          <w:lang w:eastAsia="es-ES_tradnl"/>
        </w:rPr>
      </w:pPr>
    </w:p>
    <w:p w14:paraId="3659D74A" w14:textId="77777777" w:rsidR="00BE0711" w:rsidRDefault="00BE0711" w:rsidP="00BE0711">
      <w:pPr>
        <w:spacing w:after="0" w:line="276" w:lineRule="auto"/>
        <w:rPr>
          <w:rFonts w:ascii="Verdana" w:eastAsia="Calibri" w:hAnsi="Verdana" w:cs="Arial"/>
          <w:b/>
          <w:color w:val="3399FF"/>
          <w:lang w:eastAsia="es-ES_tradnl"/>
        </w:rPr>
      </w:pPr>
    </w:p>
    <w:p w14:paraId="6AA57F88" w14:textId="77777777" w:rsidR="00BE0711" w:rsidRDefault="00BE0711" w:rsidP="00BE0711">
      <w:pPr>
        <w:spacing w:after="0" w:line="276" w:lineRule="auto"/>
        <w:rPr>
          <w:rFonts w:ascii="Verdana" w:eastAsia="Calibri" w:hAnsi="Verdana" w:cs="Arial"/>
          <w:b/>
          <w:color w:val="3399FF"/>
          <w:lang w:eastAsia="es-ES_tradnl"/>
        </w:rPr>
      </w:pPr>
    </w:p>
    <w:p w14:paraId="12E30E70" w14:textId="77777777" w:rsidR="00BE0711" w:rsidRDefault="00BE0711" w:rsidP="00BE0711">
      <w:pPr>
        <w:spacing w:after="0" w:line="276" w:lineRule="auto"/>
        <w:rPr>
          <w:rFonts w:ascii="Verdana" w:eastAsia="Calibri" w:hAnsi="Verdana" w:cs="Arial"/>
          <w:b/>
          <w:color w:val="3399FF"/>
          <w:lang w:eastAsia="es-ES_tradnl"/>
        </w:rPr>
      </w:pPr>
    </w:p>
    <w:p w14:paraId="3E7693CA" w14:textId="77777777" w:rsidR="00BE0711" w:rsidRDefault="00BE0711" w:rsidP="00BE0711">
      <w:pPr>
        <w:spacing w:after="0" w:line="276" w:lineRule="auto"/>
        <w:rPr>
          <w:rFonts w:ascii="Verdana" w:eastAsia="Calibri" w:hAnsi="Verdana" w:cs="Arial"/>
          <w:b/>
          <w:color w:val="3399FF"/>
          <w:lang w:eastAsia="es-ES_tradnl"/>
        </w:rPr>
      </w:pPr>
    </w:p>
    <w:p w14:paraId="237E446F" w14:textId="77777777" w:rsidR="00BE0711" w:rsidRDefault="00BE0711" w:rsidP="00BE0711">
      <w:pPr>
        <w:spacing w:after="0" w:line="276" w:lineRule="auto"/>
        <w:rPr>
          <w:rFonts w:ascii="Verdana" w:eastAsia="Calibri" w:hAnsi="Verdana" w:cs="Arial"/>
          <w:b/>
          <w:color w:val="3399FF"/>
          <w:lang w:eastAsia="es-ES_tradnl"/>
        </w:rPr>
      </w:pPr>
    </w:p>
    <w:p w14:paraId="220DCC0B" w14:textId="77777777" w:rsidR="00BE0711" w:rsidRDefault="00BE0711" w:rsidP="00BE0711">
      <w:pPr>
        <w:spacing w:after="0" w:line="276" w:lineRule="auto"/>
        <w:rPr>
          <w:rFonts w:ascii="Verdana" w:eastAsia="Calibri" w:hAnsi="Verdana" w:cs="Arial"/>
          <w:b/>
          <w:color w:val="3399FF"/>
          <w:lang w:eastAsia="es-ES_tradnl"/>
        </w:rPr>
      </w:pPr>
    </w:p>
    <w:p w14:paraId="4B0E0421" w14:textId="28E59E8C" w:rsidR="00BE0711" w:rsidRDefault="00BE0711" w:rsidP="00BE0711">
      <w:pPr>
        <w:spacing w:after="0" w:line="276" w:lineRule="auto"/>
        <w:rPr>
          <w:rFonts w:ascii="Verdana" w:eastAsia="Calibri" w:hAnsi="Verdana" w:cs="Arial"/>
          <w:b/>
          <w:color w:val="3399FF"/>
          <w:lang w:eastAsia="es-ES_tradnl"/>
        </w:rPr>
      </w:pPr>
    </w:p>
    <w:p w14:paraId="16F108A1" w14:textId="0B88ACD8" w:rsidR="00B01A18" w:rsidRPr="00AB601C" w:rsidRDefault="00AB601C" w:rsidP="00C15139">
      <w:pPr>
        <w:spacing w:after="0"/>
        <w:rPr>
          <w:rFonts w:ascii="Verdana" w:hAnsi="Verdana"/>
        </w:rPr>
      </w:pPr>
      <w:r w:rsidRPr="00AB601C">
        <w:rPr>
          <w:rFonts w:ascii="Verdana" w:eastAsia="Calibri" w:hAnsi="Verdana" w:cs="Arial"/>
          <w:color w:val="000000" w:themeColor="text1"/>
          <w:lang w:eastAsia="es-ES"/>
        </w:rPr>
        <w:lastRenderedPageBreak/>
        <w:t>Bogotá D.C., 29</w:t>
      </w:r>
      <w:r>
        <w:rPr>
          <w:rFonts w:ascii="Verdana" w:eastAsia="Calibri" w:hAnsi="Verdana" w:cs="Arial"/>
          <w:color w:val="000000" w:themeColor="text1"/>
          <w:lang w:eastAsia="es-ES"/>
        </w:rPr>
        <w:t xml:space="preserve"> de</w:t>
      </w:r>
      <w:r w:rsidRPr="00AB601C">
        <w:rPr>
          <w:rFonts w:ascii="Verdana" w:eastAsia="Calibri" w:hAnsi="Verdana" w:cs="Arial"/>
          <w:color w:val="000000" w:themeColor="text1"/>
          <w:lang w:eastAsia="es-ES"/>
        </w:rPr>
        <w:t xml:space="preserve"> </w:t>
      </w:r>
      <w:proofErr w:type="gramStart"/>
      <w:r w:rsidRPr="00AB601C">
        <w:rPr>
          <w:rFonts w:ascii="Verdana" w:eastAsia="Calibri" w:hAnsi="Verdana" w:cs="Arial"/>
          <w:color w:val="000000" w:themeColor="text1"/>
          <w:lang w:eastAsia="es-ES"/>
        </w:rPr>
        <w:t>Diciembre</w:t>
      </w:r>
      <w:proofErr w:type="gramEnd"/>
      <w:r w:rsidRPr="00AB601C">
        <w:rPr>
          <w:rFonts w:ascii="Verdana" w:eastAsia="Calibri" w:hAnsi="Verdana" w:cs="Arial"/>
          <w:color w:val="000000" w:themeColor="text1"/>
          <w:lang w:eastAsia="es-ES"/>
        </w:rPr>
        <w:t xml:space="preserve"> </w:t>
      </w:r>
      <w:r>
        <w:rPr>
          <w:rFonts w:ascii="Verdana" w:eastAsia="Calibri" w:hAnsi="Verdana" w:cs="Arial"/>
          <w:color w:val="000000" w:themeColor="text1"/>
          <w:lang w:eastAsia="es-ES"/>
        </w:rPr>
        <w:t xml:space="preserve">de </w:t>
      </w:r>
      <w:r w:rsidRPr="00AB601C">
        <w:rPr>
          <w:rFonts w:ascii="Verdana" w:eastAsia="Calibri" w:hAnsi="Verdana" w:cs="Arial"/>
          <w:color w:val="000000" w:themeColor="text1"/>
          <w:lang w:eastAsia="es-ES"/>
        </w:rPr>
        <w:t>2025</w:t>
      </w:r>
      <w:r w:rsidR="00C15139" w:rsidRPr="00AB601C">
        <w:rPr>
          <w:rFonts w:ascii="Verdana" w:hAnsi="Verdana"/>
        </w:rPr>
        <w:tab/>
      </w:r>
      <w:r w:rsidR="00C15139" w:rsidRPr="00AB601C">
        <w:rPr>
          <w:rFonts w:ascii="Verdana" w:hAnsi="Verdana"/>
        </w:rPr>
        <w:br/>
      </w:r>
    </w:p>
    <w:p w14:paraId="1468C46D" w14:textId="155B8987" w:rsidR="00C15139" w:rsidRPr="00AB601C" w:rsidRDefault="00DB4777" w:rsidP="00C15139">
      <w:pPr>
        <w:spacing w:after="0"/>
        <w:rPr>
          <w:rFonts w:ascii="Verdana" w:hAnsi="Verdana"/>
        </w:rPr>
      </w:pPr>
      <w:r w:rsidRPr="00AB601C">
        <w:rPr>
          <w:rFonts w:ascii="Verdana" w:eastAsia="Calibri" w:hAnsi="Verdana" w:cs="Arial"/>
          <w:noProof/>
          <w:color w:val="000000" w:themeColor="text1"/>
          <w:lang w:val="es-ES" w:eastAsia="es-ES"/>
        </w:rPr>
        <w:drawing>
          <wp:anchor distT="0" distB="0" distL="114300" distR="114300" simplePos="0" relativeHeight="251660288" behindDoc="0" locked="0" layoutInCell="1" allowOverlap="1" wp14:anchorId="0EA8A25B" wp14:editId="1D186F55">
            <wp:simplePos x="0" y="0"/>
            <wp:positionH relativeFrom="margin">
              <wp:align>right</wp:align>
            </wp:positionH>
            <wp:positionV relativeFrom="margin">
              <wp:posOffset>374650</wp:posOffset>
            </wp:positionV>
            <wp:extent cx="2764790" cy="1062355"/>
            <wp:effectExtent l="0" t="0" r="0" b="4445"/>
            <wp:wrapSquare wrapText="bothSides"/>
            <wp:docPr id="723938064"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938064"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764790" cy="1062355"/>
                    </a:xfrm>
                    <a:prstGeom prst="rect">
                      <a:avLst/>
                    </a:prstGeom>
                  </pic:spPr>
                </pic:pic>
              </a:graphicData>
            </a:graphic>
            <wp14:sizeRelH relativeFrom="margin">
              <wp14:pctWidth>0</wp14:pctWidth>
            </wp14:sizeRelH>
            <wp14:sizeRelV relativeFrom="margin">
              <wp14:pctHeight>0</wp14:pctHeight>
            </wp14:sizeRelV>
          </wp:anchor>
        </w:drawing>
      </w:r>
      <w:r w:rsidR="00C15139" w:rsidRPr="00AB601C">
        <w:rPr>
          <w:rFonts w:ascii="Verdana" w:hAnsi="Verdana"/>
        </w:rPr>
        <w:tab/>
      </w:r>
    </w:p>
    <w:bookmarkEnd w:id="0"/>
    <w:p w14:paraId="04B8655D" w14:textId="77777777" w:rsidR="00A16F7D" w:rsidRPr="00AB601C" w:rsidRDefault="00430885" w:rsidP="00A16F7D">
      <w:pPr>
        <w:spacing w:after="0" w:line="276" w:lineRule="auto"/>
        <w:rPr>
          <w:rFonts w:ascii="Verdana" w:eastAsia="Calibri" w:hAnsi="Verdana" w:cs="Arial"/>
          <w:color w:val="000000" w:themeColor="text1"/>
          <w:lang w:val="es-ES" w:eastAsia="es-ES"/>
        </w:rPr>
      </w:pPr>
      <w:r w:rsidRPr="00AB601C">
        <w:rPr>
          <w:rFonts w:ascii="Verdana" w:eastAsia="Calibri" w:hAnsi="Verdana" w:cs="Arial"/>
          <w:color w:val="000000" w:themeColor="text1"/>
          <w:lang w:val="es-ES" w:eastAsia="es-ES"/>
        </w:rPr>
        <w:t>Señor</w:t>
      </w:r>
    </w:p>
    <w:p w14:paraId="778C523A" w14:textId="321B77AA" w:rsidR="00430885" w:rsidRPr="00DB4777" w:rsidRDefault="00430885" w:rsidP="00A16F7D">
      <w:pPr>
        <w:spacing w:after="0" w:line="276" w:lineRule="auto"/>
        <w:rPr>
          <w:rFonts w:ascii="Verdana" w:eastAsia="Calibri" w:hAnsi="Verdana" w:cs="Arial"/>
          <w:b/>
          <w:bCs/>
          <w:color w:val="000000" w:themeColor="text1"/>
          <w:lang w:val="es-ES" w:eastAsia="es-ES"/>
        </w:rPr>
      </w:pPr>
      <w:r w:rsidRPr="00DB4777">
        <w:rPr>
          <w:rFonts w:ascii="Verdana" w:eastAsia="Calibri" w:hAnsi="Verdana" w:cs="Arial"/>
          <w:b/>
          <w:bCs/>
          <w:color w:val="000000" w:themeColor="text1"/>
          <w:lang w:val="es-ES" w:eastAsia="es-ES"/>
        </w:rPr>
        <w:t>Roberto Saul Abdala Carrillo</w:t>
      </w:r>
    </w:p>
    <w:p w14:paraId="5D3B6D56" w14:textId="79D8B7B7" w:rsidR="00430885" w:rsidRPr="00AB601C" w:rsidRDefault="00430885" w:rsidP="00430885">
      <w:pPr>
        <w:spacing w:after="0" w:line="276" w:lineRule="auto"/>
        <w:rPr>
          <w:rFonts w:ascii="Verdana" w:eastAsia="Calibri" w:hAnsi="Verdana" w:cs="Arial"/>
          <w:color w:val="000000" w:themeColor="text1"/>
          <w:lang w:val="es-ES" w:eastAsia="es-ES"/>
        </w:rPr>
      </w:pPr>
      <w:r w:rsidRPr="00AB601C">
        <w:rPr>
          <w:rFonts w:ascii="Verdana" w:eastAsia="Calibri" w:hAnsi="Verdana" w:cs="Arial"/>
          <w:color w:val="000000" w:themeColor="text1"/>
          <w:lang w:val="es-ES" w:eastAsia="es-ES"/>
        </w:rPr>
        <w:t>alemanabdala@hotmail.com</w:t>
      </w:r>
    </w:p>
    <w:p w14:paraId="4BDE563B" w14:textId="77777777" w:rsidR="00430885" w:rsidRPr="00AB601C" w:rsidRDefault="00430885" w:rsidP="00430885">
      <w:pPr>
        <w:spacing w:after="0" w:line="276" w:lineRule="auto"/>
        <w:rPr>
          <w:rFonts w:ascii="Verdana" w:eastAsia="Calibri" w:hAnsi="Verdana" w:cs="Arial"/>
          <w:color w:val="000000" w:themeColor="text1"/>
          <w:lang w:val="es-ES" w:eastAsia="es-ES"/>
        </w:rPr>
      </w:pPr>
      <w:r w:rsidRPr="00AB601C">
        <w:rPr>
          <w:rFonts w:ascii="Verdana" w:eastAsia="Calibri" w:hAnsi="Verdana" w:cs="Arial"/>
          <w:color w:val="000000" w:themeColor="text1"/>
          <w:lang w:val="es-ES" w:eastAsia="es-ES"/>
        </w:rPr>
        <w:t>Bogotá, D.C.</w:t>
      </w:r>
    </w:p>
    <w:p w14:paraId="0C2B7826" w14:textId="27DF48C1" w:rsidR="00430885" w:rsidRPr="005D659F" w:rsidRDefault="00430885" w:rsidP="00430885">
      <w:pPr>
        <w:spacing w:after="0" w:line="276" w:lineRule="auto"/>
        <w:rPr>
          <w:rFonts w:ascii="Verdana" w:eastAsia="Calibri" w:hAnsi="Verdana" w:cs="Arial"/>
          <w:b/>
          <w:bCs/>
          <w:color w:val="000000" w:themeColor="text1"/>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61"/>
        <w:gridCol w:w="5972"/>
      </w:tblGrid>
      <w:tr w:rsidR="00430885" w:rsidRPr="005D659F" w14:paraId="497B9855" w14:textId="77777777" w:rsidTr="00DE72B2">
        <w:trPr>
          <w:trHeight w:val="999"/>
        </w:trPr>
        <w:tc>
          <w:tcPr>
            <w:tcW w:w="3261" w:type="dxa"/>
          </w:tcPr>
          <w:p w14:paraId="7AACF26A" w14:textId="77777777" w:rsidR="00430885" w:rsidRPr="005D659F" w:rsidRDefault="00430885" w:rsidP="00DE72B2">
            <w:pPr>
              <w:spacing w:line="276" w:lineRule="auto"/>
              <w:jc w:val="both"/>
              <w:rPr>
                <w:rFonts w:ascii="Verdana" w:eastAsia="Calibri" w:hAnsi="Verdana" w:cs="Arial"/>
                <w:b/>
                <w:bCs/>
                <w:color w:val="000000" w:themeColor="text1"/>
                <w:lang w:val="es-ES_tradnl" w:eastAsia="es-ES_tradnl"/>
              </w:rPr>
            </w:pPr>
          </w:p>
        </w:tc>
        <w:tc>
          <w:tcPr>
            <w:tcW w:w="5972" w:type="dxa"/>
            <w:hideMark/>
          </w:tcPr>
          <w:p w14:paraId="57DCB794" w14:textId="77777777" w:rsidR="00430885" w:rsidRPr="005D659F" w:rsidRDefault="00430885" w:rsidP="00DE72B2">
            <w:pPr>
              <w:spacing w:line="276" w:lineRule="auto"/>
              <w:jc w:val="both"/>
              <w:rPr>
                <w:rFonts w:ascii="Verdana" w:eastAsia="Calibri" w:hAnsi="Verdana" w:cs="Arial"/>
                <w:b/>
                <w:bCs/>
                <w:color w:val="000000" w:themeColor="text1"/>
                <w:lang w:val="es-ES" w:eastAsia="es-ES"/>
              </w:rPr>
            </w:pPr>
            <w:r w:rsidRPr="005D659F">
              <w:rPr>
                <w:rFonts w:ascii="Verdana" w:eastAsia="Calibri" w:hAnsi="Verdana" w:cs="Arial"/>
                <w:b/>
                <w:bCs/>
                <w:color w:val="000000" w:themeColor="text1"/>
                <w:lang w:val="es-ES" w:eastAsia="es-ES"/>
              </w:rPr>
              <w:t>Concepto C – 1815 de 2025</w:t>
            </w:r>
          </w:p>
        </w:tc>
      </w:tr>
      <w:tr w:rsidR="00430885" w:rsidRPr="005D659F" w14:paraId="7ACA453F" w14:textId="77777777" w:rsidTr="00DE72B2">
        <w:trPr>
          <w:trHeight w:val="999"/>
        </w:trPr>
        <w:tc>
          <w:tcPr>
            <w:tcW w:w="3261" w:type="dxa"/>
            <w:hideMark/>
          </w:tcPr>
          <w:p w14:paraId="258FE07A" w14:textId="77777777" w:rsidR="00430885" w:rsidRPr="005D659F" w:rsidRDefault="00430885" w:rsidP="00DE72B2">
            <w:pPr>
              <w:spacing w:line="276" w:lineRule="auto"/>
              <w:jc w:val="both"/>
              <w:rPr>
                <w:rFonts w:ascii="Verdana" w:eastAsia="Calibri" w:hAnsi="Verdana" w:cs="Arial"/>
                <w:color w:val="000000" w:themeColor="text1"/>
                <w:lang w:val="es-ES_tradnl" w:eastAsia="es-ES_tradnl"/>
              </w:rPr>
            </w:pPr>
            <w:r w:rsidRPr="005D659F">
              <w:rPr>
                <w:rFonts w:ascii="Verdana" w:eastAsia="Calibri" w:hAnsi="Verdana" w:cs="Arial"/>
                <w:b/>
                <w:color w:val="000000" w:themeColor="text1"/>
                <w:lang w:val="es-ES_tradnl" w:eastAsia="es-ES_tradnl"/>
              </w:rPr>
              <w:t>Temas:</w:t>
            </w:r>
            <w:r w:rsidRPr="005D659F">
              <w:rPr>
                <w:rFonts w:ascii="Verdana" w:eastAsia="Calibri" w:hAnsi="Verdana" w:cs="Arial"/>
                <w:color w:val="000000" w:themeColor="text1"/>
                <w:lang w:val="es-ES_tradnl" w:eastAsia="es-ES_tradnl"/>
              </w:rPr>
              <w:t xml:space="preserve">                   </w:t>
            </w:r>
          </w:p>
        </w:tc>
        <w:tc>
          <w:tcPr>
            <w:tcW w:w="5972" w:type="dxa"/>
          </w:tcPr>
          <w:p w14:paraId="1BA37BDE" w14:textId="77777777" w:rsidR="00430885" w:rsidRPr="00157773" w:rsidRDefault="00430885" w:rsidP="00DE72B2">
            <w:pPr>
              <w:snapToGrid w:val="0"/>
              <w:spacing w:line="276" w:lineRule="auto"/>
              <w:jc w:val="both"/>
              <w:rPr>
                <w:rFonts w:ascii="Verdana" w:eastAsia="Calibri" w:hAnsi="Verdana" w:cs="Times New Roman"/>
                <w:color w:val="000000" w:themeColor="text1"/>
              </w:rPr>
            </w:pPr>
            <w:r w:rsidRPr="00157773">
              <w:rPr>
                <w:rFonts w:ascii="Verdana" w:eastAsia="Calibri" w:hAnsi="Verdana" w:cs="Times New Roman"/>
                <w:color w:val="000000" w:themeColor="text1"/>
              </w:rPr>
              <w:t xml:space="preserve">PROCESOS DE SELECCIÓN – Modalidades de contratación - Fundamento normativo / DOCUMENTOS TIPO – Fundamento normativo – Obligatoriedad / </w:t>
            </w:r>
            <w:r w:rsidRPr="00157773">
              <w:rPr>
                <w:rFonts w:ascii="Verdana" w:eastAsia="Calibri" w:hAnsi="Verdana" w:cs="Arial"/>
                <w:color w:val="000000"/>
                <w:lang w:eastAsia="es-ES_tradnl"/>
              </w:rPr>
              <w:t>DOCUMENTOS TIPO − Matriz 1 – Experiencia − Aplicación</w:t>
            </w:r>
          </w:p>
          <w:p w14:paraId="69D3BB6D" w14:textId="77777777" w:rsidR="00430885" w:rsidRPr="005D659F" w:rsidRDefault="00430885" w:rsidP="00DE72B2">
            <w:pPr>
              <w:snapToGrid w:val="0"/>
              <w:spacing w:line="276" w:lineRule="auto"/>
              <w:jc w:val="both"/>
              <w:rPr>
                <w:rFonts w:ascii="Verdana" w:eastAsia="Times New Roman" w:hAnsi="Verdana" w:cs="Arial"/>
                <w:color w:val="000000" w:themeColor="text1"/>
                <w:highlight w:val="yellow"/>
              </w:rPr>
            </w:pPr>
          </w:p>
        </w:tc>
      </w:tr>
      <w:tr w:rsidR="00430885" w:rsidRPr="005D659F" w14:paraId="210A0147" w14:textId="77777777" w:rsidTr="00DE72B2">
        <w:trPr>
          <w:trHeight w:val="597"/>
        </w:trPr>
        <w:tc>
          <w:tcPr>
            <w:tcW w:w="3261" w:type="dxa"/>
            <w:hideMark/>
          </w:tcPr>
          <w:p w14:paraId="3CCF7D5E" w14:textId="77777777" w:rsidR="00430885" w:rsidRPr="005D659F" w:rsidRDefault="00430885" w:rsidP="00DE72B2">
            <w:pPr>
              <w:spacing w:line="276" w:lineRule="auto"/>
              <w:jc w:val="both"/>
              <w:rPr>
                <w:rFonts w:ascii="Verdana" w:eastAsia="Calibri" w:hAnsi="Verdana" w:cs="Arial"/>
                <w:b/>
                <w:color w:val="000000" w:themeColor="text1"/>
                <w:lang w:val="es-ES_tradnl" w:eastAsia="es-ES_tradnl"/>
              </w:rPr>
            </w:pPr>
            <w:r w:rsidRPr="005D659F">
              <w:rPr>
                <w:rFonts w:ascii="Verdana" w:eastAsia="Calibri" w:hAnsi="Verdana" w:cs="Arial"/>
                <w:b/>
                <w:color w:val="000000" w:themeColor="text1"/>
                <w:lang w:val="es-ES_tradnl" w:eastAsia="es-ES_tradnl"/>
              </w:rPr>
              <w:t>Radicación:</w:t>
            </w:r>
            <w:r w:rsidRPr="005D659F">
              <w:rPr>
                <w:rFonts w:ascii="Verdana" w:eastAsia="Calibri" w:hAnsi="Verdana" w:cs="Arial"/>
                <w:color w:val="000000" w:themeColor="text1"/>
                <w:lang w:val="es-ES_tradnl" w:eastAsia="es-ES_tradnl"/>
              </w:rPr>
              <w:t xml:space="preserve">               </w:t>
            </w:r>
          </w:p>
        </w:tc>
        <w:tc>
          <w:tcPr>
            <w:tcW w:w="5972" w:type="dxa"/>
          </w:tcPr>
          <w:p w14:paraId="7F09662C" w14:textId="77777777" w:rsidR="00430885" w:rsidRPr="005D659F" w:rsidRDefault="00430885" w:rsidP="00DE72B2">
            <w:pPr>
              <w:spacing w:line="276" w:lineRule="auto"/>
              <w:jc w:val="both"/>
              <w:rPr>
                <w:rFonts w:ascii="Verdana" w:eastAsia="Calibri" w:hAnsi="Verdana" w:cs="Arial"/>
                <w:color w:val="000000" w:themeColor="text1"/>
                <w:lang w:eastAsia="es-ES_tradnl"/>
              </w:rPr>
            </w:pPr>
            <w:r w:rsidRPr="005D659F">
              <w:rPr>
                <w:rFonts w:ascii="Verdana" w:eastAsia="Calibri" w:hAnsi="Verdana" w:cs="Arial"/>
                <w:color w:val="000000" w:themeColor="text1"/>
                <w:lang w:val="es-ES_tradnl" w:eastAsia="es-ES_tradnl"/>
              </w:rPr>
              <w:t xml:space="preserve">Respuesta a consulta con radicado </w:t>
            </w:r>
            <w:r w:rsidRPr="005D659F">
              <w:rPr>
                <w:rFonts w:ascii="Verdana" w:eastAsia="Calibri" w:hAnsi="Verdana" w:cs="Arial"/>
                <w:color w:val="000000" w:themeColor="text1"/>
                <w:lang w:eastAsia="es-ES_tradnl"/>
              </w:rPr>
              <w:t>No. 1_2025_12_11_013910</w:t>
            </w:r>
          </w:p>
          <w:p w14:paraId="26A19CD3" w14:textId="77777777" w:rsidR="00430885" w:rsidRPr="005D659F" w:rsidRDefault="00430885" w:rsidP="00DE72B2">
            <w:pPr>
              <w:spacing w:line="276" w:lineRule="auto"/>
              <w:jc w:val="both"/>
              <w:rPr>
                <w:rFonts w:ascii="Verdana" w:eastAsia="Calibri" w:hAnsi="Verdana" w:cs="Arial"/>
                <w:color w:val="000000" w:themeColor="text1"/>
                <w:lang w:val="es-ES_tradnl" w:eastAsia="es-ES_tradnl"/>
              </w:rPr>
            </w:pPr>
          </w:p>
        </w:tc>
      </w:tr>
    </w:tbl>
    <w:p w14:paraId="17DFC43B" w14:textId="3BD82106" w:rsidR="00430885" w:rsidRPr="005D659F" w:rsidRDefault="00430885" w:rsidP="00430885">
      <w:pPr>
        <w:spacing w:after="0" w:line="276" w:lineRule="auto"/>
        <w:jc w:val="both"/>
        <w:rPr>
          <w:rFonts w:ascii="Verdana" w:eastAsia="Calibri" w:hAnsi="Verdana" w:cs="Arial"/>
          <w:color w:val="000000" w:themeColor="text1"/>
          <w:lang w:val="es-ES_tradnl" w:eastAsia="es-ES_tradnl"/>
        </w:rPr>
      </w:pPr>
    </w:p>
    <w:p w14:paraId="7E77D130" w14:textId="412A7C2B" w:rsidR="00430885" w:rsidRPr="005D659F" w:rsidRDefault="00430885" w:rsidP="00430885">
      <w:pPr>
        <w:spacing w:after="0" w:line="276" w:lineRule="auto"/>
        <w:jc w:val="both"/>
        <w:rPr>
          <w:rFonts w:ascii="Verdana" w:eastAsia="Calibri" w:hAnsi="Verdana" w:cs="Arial"/>
          <w:color w:val="000000" w:themeColor="text1"/>
          <w:lang w:val="es-ES" w:eastAsia="es-ES"/>
        </w:rPr>
      </w:pPr>
      <w:r w:rsidRPr="005D659F">
        <w:rPr>
          <w:rFonts w:ascii="Verdana" w:eastAsia="Calibri" w:hAnsi="Verdana" w:cs="Arial"/>
          <w:color w:val="000000" w:themeColor="text1"/>
          <w:lang w:val="es-ES" w:eastAsia="es-ES"/>
        </w:rPr>
        <w:t xml:space="preserve">Estimado señor Abdala Carrillo:  </w:t>
      </w:r>
    </w:p>
    <w:p w14:paraId="55A122C3" w14:textId="77777777" w:rsidR="00430885" w:rsidRPr="005D659F" w:rsidRDefault="00430885" w:rsidP="00430885">
      <w:pPr>
        <w:tabs>
          <w:tab w:val="left" w:pos="3768"/>
        </w:tabs>
        <w:spacing w:after="0" w:line="276" w:lineRule="auto"/>
        <w:jc w:val="both"/>
        <w:rPr>
          <w:rFonts w:ascii="Verdana" w:eastAsia="Calibri" w:hAnsi="Verdana" w:cs="Arial"/>
          <w:color w:val="000000" w:themeColor="text1"/>
          <w:lang w:val="es-ES" w:eastAsia="es-ES"/>
        </w:rPr>
      </w:pPr>
      <w:r w:rsidRPr="005D659F">
        <w:rPr>
          <w:rFonts w:ascii="Verdana" w:eastAsia="Calibri" w:hAnsi="Verdana" w:cs="Arial"/>
          <w:color w:val="000000" w:themeColor="text1"/>
          <w:lang w:val="es-ES" w:eastAsia="es-ES"/>
        </w:rPr>
        <w:tab/>
      </w:r>
    </w:p>
    <w:p w14:paraId="21BF6424" w14:textId="2B345621" w:rsidR="00430885" w:rsidRPr="005D659F" w:rsidRDefault="00430885" w:rsidP="00430885">
      <w:pPr>
        <w:spacing w:after="0" w:line="276" w:lineRule="auto"/>
        <w:jc w:val="both"/>
        <w:rPr>
          <w:rFonts w:ascii="Verdana" w:eastAsia="Calibri" w:hAnsi="Verdana" w:cs="Arial"/>
          <w:color w:val="000000" w:themeColor="text1"/>
          <w:lang w:val="es-ES" w:eastAsia="es-ES"/>
        </w:rPr>
      </w:pPr>
      <w:r w:rsidRPr="005D659F">
        <w:rPr>
          <w:rFonts w:ascii="Verdana" w:eastAsia="Calibri" w:hAnsi="Verdana" w:cs="Arial"/>
          <w:color w:val="000000" w:themeColor="text1"/>
          <w:lang w:val="es-ES" w:eastAsia="es-ES"/>
        </w:rPr>
        <w:t>En ejercicio de la competencia otorgada por los artículos 3, numeral 5º, y 11, numeral 8º, del Decreto Ley 4170 de 2011,</w:t>
      </w:r>
      <w:r w:rsidRPr="005D659F">
        <w:rPr>
          <w:rFonts w:ascii="Verdana" w:eastAsia="Arial MT" w:hAnsi="Verdana" w:cs="Arial MT"/>
          <w:color w:val="000000" w:themeColor="text1"/>
          <w:lang w:val="es-ES" w:eastAsia="es-ES"/>
        </w:rPr>
        <w:t xml:space="preserve"> </w:t>
      </w:r>
      <w:r w:rsidRPr="005D659F">
        <w:rPr>
          <w:rFonts w:ascii="Verdana" w:eastAsia="Calibri" w:hAnsi="Verdana" w:cs="Arial"/>
          <w:color w:val="000000" w:themeColor="text1"/>
        </w:rPr>
        <w:t xml:space="preserve">así como lo establecido en el artículo 4 de la Resolución 1707 de 2018 expedida por esta Entidad, </w:t>
      </w:r>
      <w:r w:rsidRPr="005D659F">
        <w:rPr>
          <w:rFonts w:ascii="Verdana" w:eastAsia="Calibri" w:hAnsi="Verdana" w:cs="Arial"/>
          <w:color w:val="000000" w:themeColor="text1"/>
          <w:lang w:val="es-ES" w:eastAsia="es-ES"/>
        </w:rPr>
        <w:t xml:space="preserve">la Agencia Nacional de Contratación Pública –Colombia Compra Eficiente– responde su solicitud de consulta de fecha de 29 de abril de 2025, en la cual manifiesta lo siguiente: </w:t>
      </w:r>
      <w:bookmarkStart w:id="1" w:name="_Hlk95313578"/>
    </w:p>
    <w:p w14:paraId="46716FA0" w14:textId="77777777" w:rsidR="00430885" w:rsidRDefault="00430885" w:rsidP="00430885">
      <w:pPr>
        <w:spacing w:after="0" w:line="276" w:lineRule="auto"/>
        <w:jc w:val="both"/>
        <w:rPr>
          <w:rFonts w:ascii="Verdana" w:eastAsia="Calibri" w:hAnsi="Verdana" w:cs="Arial"/>
          <w:color w:val="000000" w:themeColor="text1"/>
          <w:sz w:val="21"/>
          <w:szCs w:val="21"/>
          <w:lang w:val="es-ES" w:eastAsia="es-ES"/>
        </w:rPr>
      </w:pPr>
    </w:p>
    <w:p w14:paraId="42A83B85" w14:textId="77777777" w:rsidR="00B01A18" w:rsidRPr="005D659F" w:rsidRDefault="00B01A18" w:rsidP="00430885">
      <w:pPr>
        <w:spacing w:after="0" w:line="276" w:lineRule="auto"/>
        <w:jc w:val="both"/>
        <w:rPr>
          <w:rFonts w:ascii="Verdana" w:eastAsia="Calibri" w:hAnsi="Verdana" w:cs="Arial"/>
          <w:color w:val="000000" w:themeColor="text1"/>
          <w:sz w:val="21"/>
          <w:szCs w:val="21"/>
          <w:lang w:val="es-ES" w:eastAsia="es-ES"/>
        </w:rPr>
      </w:pPr>
    </w:p>
    <w:bookmarkEnd w:id="1"/>
    <w:p w14:paraId="08D42FF6" w14:textId="77777777" w:rsidR="00430885" w:rsidRPr="007D0BAC" w:rsidRDefault="00430885" w:rsidP="00430885">
      <w:pPr>
        <w:spacing w:after="0" w:line="240" w:lineRule="auto"/>
        <w:ind w:left="709" w:right="709"/>
        <w:jc w:val="both"/>
        <w:rPr>
          <w:rFonts w:ascii="Verdana" w:eastAsia="Calibri" w:hAnsi="Verdana" w:cs="Arial"/>
          <w:i/>
          <w:iCs/>
          <w:color w:val="000000" w:themeColor="text1"/>
          <w:sz w:val="21"/>
          <w:szCs w:val="21"/>
          <w:lang w:eastAsia="es-ES"/>
        </w:rPr>
      </w:pPr>
      <w:r w:rsidRPr="007D0BAC">
        <w:rPr>
          <w:rFonts w:ascii="Verdana" w:eastAsia="Calibri" w:hAnsi="Verdana" w:cs="Arial"/>
          <w:i/>
          <w:iCs/>
          <w:color w:val="000000" w:themeColor="text1"/>
          <w:sz w:val="21"/>
          <w:szCs w:val="21"/>
          <w:lang w:val="es-ES" w:eastAsia="es-ES"/>
        </w:rPr>
        <w:t>“</w:t>
      </w:r>
      <w:r w:rsidRPr="007D0BAC">
        <w:rPr>
          <w:rFonts w:ascii="Verdana" w:eastAsia="Calibri" w:hAnsi="Verdana" w:cs="Arial"/>
          <w:i/>
          <w:iCs/>
          <w:color w:val="000000" w:themeColor="text1"/>
          <w:sz w:val="21"/>
          <w:szCs w:val="21"/>
          <w:lang w:eastAsia="es-ES"/>
        </w:rPr>
        <w:t xml:space="preserve">Un proceso de contratación de menor cuantía cuyo objeto contractual es: MANTENIMIENTO Y MEJORAMIENTO DE LAS VÍAS TERCIARIAS DE DIFÍCIL ACCESO DEL CORREGIMIENTO Y ZONAS APARTADAS, en cuyo presupuesto se describen los siguientes </w:t>
      </w:r>
      <w:proofErr w:type="spellStart"/>
      <w:r w:rsidRPr="007D0BAC">
        <w:rPr>
          <w:rFonts w:ascii="Verdana" w:eastAsia="Calibri" w:hAnsi="Verdana" w:cs="Arial"/>
          <w:i/>
          <w:iCs/>
          <w:color w:val="000000" w:themeColor="text1"/>
          <w:sz w:val="21"/>
          <w:szCs w:val="21"/>
          <w:lang w:eastAsia="es-ES"/>
        </w:rPr>
        <w:t>item</w:t>
      </w:r>
      <w:proofErr w:type="spellEnd"/>
      <w:r w:rsidRPr="007D0BAC">
        <w:rPr>
          <w:rFonts w:ascii="Verdana" w:eastAsia="Calibri" w:hAnsi="Verdana" w:cs="Arial"/>
          <w:i/>
          <w:iCs/>
          <w:color w:val="000000" w:themeColor="text1"/>
          <w:sz w:val="21"/>
          <w:szCs w:val="21"/>
          <w:lang w:eastAsia="es-ES"/>
        </w:rPr>
        <w:t>.</w:t>
      </w:r>
    </w:p>
    <w:p w14:paraId="4F4093E2" w14:textId="77777777" w:rsidR="00430885" w:rsidRPr="007D0BAC" w:rsidRDefault="00430885" w:rsidP="00430885">
      <w:pPr>
        <w:spacing w:after="0" w:line="240" w:lineRule="auto"/>
        <w:ind w:left="709" w:right="709"/>
        <w:jc w:val="both"/>
        <w:rPr>
          <w:rFonts w:ascii="Verdana" w:eastAsia="Calibri" w:hAnsi="Verdana" w:cs="Arial"/>
          <w:i/>
          <w:iCs/>
          <w:color w:val="000000" w:themeColor="text1"/>
          <w:sz w:val="21"/>
          <w:szCs w:val="21"/>
          <w:lang w:eastAsia="es-ES"/>
        </w:rPr>
      </w:pPr>
    </w:p>
    <w:p w14:paraId="7B7622AF" w14:textId="77777777" w:rsidR="00430885" w:rsidRPr="007D0BAC" w:rsidRDefault="00430885" w:rsidP="00D0475C">
      <w:pPr>
        <w:spacing w:after="0" w:line="240" w:lineRule="auto"/>
        <w:ind w:left="709" w:right="709"/>
        <w:jc w:val="center"/>
        <w:rPr>
          <w:rFonts w:ascii="Verdana" w:eastAsia="Calibri" w:hAnsi="Verdana" w:cs="Arial"/>
          <w:i/>
          <w:iCs/>
          <w:color w:val="000000" w:themeColor="text1"/>
          <w:sz w:val="21"/>
          <w:szCs w:val="21"/>
          <w:lang w:eastAsia="es-ES"/>
        </w:rPr>
      </w:pPr>
      <w:r w:rsidRPr="007D0BAC">
        <w:rPr>
          <w:rFonts w:ascii="Verdana" w:eastAsia="Calibri" w:hAnsi="Verdana" w:cs="Arial"/>
          <w:i/>
          <w:iCs/>
          <w:noProof/>
          <w:color w:val="000000" w:themeColor="text1"/>
          <w:sz w:val="21"/>
          <w:szCs w:val="21"/>
          <w:lang w:eastAsia="es-ES"/>
        </w:rPr>
        <w:lastRenderedPageBreak/>
        <w:drawing>
          <wp:inline distT="0" distB="0" distL="0" distR="0" wp14:anchorId="0EE490D6" wp14:editId="737B0ABA">
            <wp:extent cx="2970986" cy="1175570"/>
            <wp:effectExtent l="0" t="0" r="1270" b="5715"/>
            <wp:docPr id="515074177" name="Imagen 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074177" name="Imagen 1" descr="Imagen que contiene Texto&#10;&#10;El contenido generado por IA puede ser incorrecto."/>
                    <pic:cNvPicPr/>
                  </pic:nvPicPr>
                  <pic:blipFill>
                    <a:blip r:embed="rId11"/>
                    <a:stretch>
                      <a:fillRect/>
                    </a:stretch>
                  </pic:blipFill>
                  <pic:spPr>
                    <a:xfrm>
                      <a:off x="0" y="0"/>
                      <a:ext cx="3055774" cy="1209119"/>
                    </a:xfrm>
                    <a:prstGeom prst="rect">
                      <a:avLst/>
                    </a:prstGeom>
                  </pic:spPr>
                </pic:pic>
              </a:graphicData>
            </a:graphic>
          </wp:inline>
        </w:drawing>
      </w:r>
    </w:p>
    <w:p w14:paraId="7E1D8EC1" w14:textId="77777777" w:rsidR="00430885" w:rsidRPr="007D0BAC" w:rsidRDefault="00430885" w:rsidP="00430885">
      <w:pPr>
        <w:spacing w:after="0" w:line="240" w:lineRule="auto"/>
        <w:ind w:left="709" w:right="709"/>
        <w:jc w:val="both"/>
        <w:rPr>
          <w:rFonts w:ascii="Verdana" w:eastAsia="Calibri" w:hAnsi="Verdana" w:cs="Arial"/>
          <w:i/>
          <w:iCs/>
          <w:color w:val="000000" w:themeColor="text1"/>
          <w:sz w:val="21"/>
          <w:szCs w:val="21"/>
          <w:lang w:eastAsia="es-ES"/>
        </w:rPr>
      </w:pPr>
    </w:p>
    <w:p w14:paraId="4EFA73A1" w14:textId="77777777" w:rsidR="00430885" w:rsidRPr="007D0BAC" w:rsidRDefault="00430885" w:rsidP="00430885">
      <w:pPr>
        <w:spacing w:after="0" w:line="240" w:lineRule="auto"/>
        <w:ind w:left="709" w:right="709"/>
        <w:jc w:val="both"/>
        <w:rPr>
          <w:rFonts w:ascii="Verdana" w:eastAsia="Calibri" w:hAnsi="Verdana" w:cs="Arial"/>
          <w:i/>
          <w:iCs/>
          <w:color w:val="000000" w:themeColor="text1"/>
          <w:sz w:val="21"/>
          <w:szCs w:val="21"/>
          <w:lang w:eastAsia="es-ES"/>
        </w:rPr>
      </w:pPr>
      <w:r w:rsidRPr="007D0BAC">
        <w:rPr>
          <w:rFonts w:ascii="Verdana" w:eastAsia="Calibri" w:hAnsi="Verdana" w:cs="Arial"/>
          <w:i/>
          <w:iCs/>
          <w:color w:val="000000" w:themeColor="text1"/>
          <w:sz w:val="21"/>
          <w:szCs w:val="21"/>
          <w:lang w:eastAsia="es-ES"/>
        </w:rPr>
        <w:t>REMOCIÓN DE DERRUMBES, CONFORMACIÓN DE CALZADAS EXISTENTES, DESMONTE Y LIMPIEZA EN ZONAS NO BOSCOSAS, donde todas estos trabajos se realizaran con pago a horas maquinas, se puede publicar bajo el procedimiento de selección abreviada de menor cuantía de acuerdo a lo establecido en el decreto 1082 del 2015, bajo un pliego confeccionado por la entidad estatal o por el contrario de debe publicar con un documento tipo o pliego tipo de menor cuantía de infraestructura de trasporte de acuerdo a lo establecido en el resolución 044 del 2020..”</w:t>
      </w:r>
    </w:p>
    <w:p w14:paraId="7932C884" w14:textId="77777777" w:rsidR="00430885" w:rsidRPr="00F638C9" w:rsidRDefault="00430885" w:rsidP="00430885">
      <w:pPr>
        <w:spacing w:after="0" w:line="276" w:lineRule="auto"/>
        <w:ind w:left="709" w:right="709"/>
        <w:jc w:val="both"/>
        <w:rPr>
          <w:rFonts w:ascii="Verdana" w:eastAsia="Times New Roman" w:hAnsi="Verdana" w:cs="Times New Roman"/>
          <w:color w:val="000000" w:themeColor="text1"/>
          <w:lang w:eastAsia="es-CO"/>
        </w:rPr>
      </w:pPr>
    </w:p>
    <w:p w14:paraId="2C4378C6" w14:textId="77777777" w:rsidR="00430885" w:rsidRPr="00BC2FE9" w:rsidRDefault="00430885" w:rsidP="00430885">
      <w:pPr>
        <w:spacing w:after="120" w:line="276" w:lineRule="auto"/>
        <w:ind w:firstLine="709"/>
        <w:jc w:val="both"/>
        <w:rPr>
          <w:rFonts w:ascii="Verdana" w:eastAsia="Calibri" w:hAnsi="Verdana" w:cs="Arial"/>
          <w:color w:val="000000" w:themeColor="text1"/>
          <w:lang w:val="es-ES_tradnl" w:eastAsia="es-ES_tradnl"/>
        </w:rPr>
      </w:pPr>
      <w:r w:rsidRPr="00BC2FE9">
        <w:rPr>
          <w:rFonts w:ascii="Verdana" w:eastAsia="Calibri" w:hAnsi="Verdana" w:cs="Arial"/>
          <w:color w:val="000000" w:themeColor="text1"/>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2FE9">
        <w:rPr>
          <w:rFonts w:ascii="Verdana" w:eastAsia="Calibri" w:hAnsi="Verdana" w:cs="Arial"/>
          <w:color w:val="000000" w:themeColor="text1"/>
          <w:lang w:val="es-ES_tradnl" w:eastAsia="es-ES_tradnl"/>
        </w:rPr>
        <w:tab/>
      </w:r>
    </w:p>
    <w:p w14:paraId="337D1155" w14:textId="77777777" w:rsidR="00430885" w:rsidRPr="00BC2FE9" w:rsidRDefault="00430885" w:rsidP="00430885">
      <w:pPr>
        <w:spacing w:after="0" w:line="276" w:lineRule="auto"/>
        <w:ind w:firstLine="708"/>
        <w:jc w:val="both"/>
        <w:rPr>
          <w:rFonts w:ascii="Verdana" w:eastAsia="Calibri" w:hAnsi="Verdana" w:cs="Arial"/>
          <w:color w:val="000000" w:themeColor="text1"/>
          <w:lang w:val="es-ES" w:eastAsia="es-ES"/>
        </w:rPr>
      </w:pPr>
      <w:r w:rsidRPr="00BC2FE9">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600EB5B4" w14:textId="77777777" w:rsidR="00430885" w:rsidRPr="00C60F4D" w:rsidRDefault="00430885" w:rsidP="00430885">
      <w:pPr>
        <w:spacing w:after="0" w:line="276" w:lineRule="auto"/>
        <w:ind w:firstLine="709"/>
        <w:jc w:val="both"/>
        <w:rPr>
          <w:rFonts w:ascii="Verdana" w:eastAsia="Calibri" w:hAnsi="Verdana" w:cs="Arial"/>
          <w:color w:val="3399FF"/>
          <w:lang w:val="es-ES" w:eastAsia="es-ES"/>
        </w:rPr>
      </w:pPr>
    </w:p>
    <w:p w14:paraId="2F5DB3B3" w14:textId="77777777" w:rsidR="00430885" w:rsidRPr="00BC2FE9" w:rsidRDefault="00430885" w:rsidP="00430885">
      <w:pPr>
        <w:numPr>
          <w:ilvl w:val="0"/>
          <w:numId w:val="16"/>
        </w:num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r w:rsidRPr="00BC2FE9">
        <w:rPr>
          <w:rFonts w:ascii="Verdana" w:eastAsia="Century Gothic" w:hAnsi="Verdana" w:cs="Century Gothic"/>
          <w:b/>
          <w:bCs/>
          <w:color w:val="000000" w:themeColor="text1"/>
          <w:lang w:val="es-ES"/>
        </w:rPr>
        <w:t>Problema planteado:</w:t>
      </w:r>
    </w:p>
    <w:p w14:paraId="38C3B6CA" w14:textId="77777777" w:rsidR="00430885" w:rsidRPr="00BC2FE9" w:rsidRDefault="00430885" w:rsidP="00430885">
      <w:pPr>
        <w:tabs>
          <w:tab w:val="left" w:pos="426"/>
        </w:tabs>
        <w:spacing w:after="0" w:line="276" w:lineRule="auto"/>
        <w:jc w:val="both"/>
        <w:rPr>
          <w:rFonts w:ascii="Verdana" w:eastAsia="Century Gothic" w:hAnsi="Verdana" w:cs="Century Gothic"/>
          <w:color w:val="000000" w:themeColor="text1"/>
          <w:lang w:val="es-ES"/>
        </w:rPr>
      </w:pPr>
    </w:p>
    <w:p w14:paraId="47483847" w14:textId="77777777" w:rsidR="00430885" w:rsidRDefault="00430885" w:rsidP="00430885">
      <w:pPr>
        <w:spacing w:after="0" w:line="276" w:lineRule="auto"/>
        <w:jc w:val="both"/>
        <w:rPr>
          <w:rFonts w:ascii="Verdana" w:eastAsia="Century Gothic" w:hAnsi="Verdana" w:cs="Century Gothic"/>
          <w:color w:val="000000" w:themeColor="text1"/>
        </w:rPr>
      </w:pPr>
      <w:r w:rsidRPr="00BC2FE9">
        <w:rPr>
          <w:rFonts w:ascii="Verdana" w:eastAsia="Century Gothic" w:hAnsi="Verdana" w:cs="Century Gothic"/>
          <w:color w:val="000000" w:themeColor="text1"/>
        </w:rPr>
        <w:lastRenderedPageBreak/>
        <w:t xml:space="preserve">De acuerdo con el contenido de su solicitud, esta Agencia resolverá </w:t>
      </w:r>
      <w:r>
        <w:rPr>
          <w:rFonts w:ascii="Verdana" w:eastAsia="Century Gothic" w:hAnsi="Verdana" w:cs="Century Gothic"/>
          <w:color w:val="000000" w:themeColor="text1"/>
        </w:rPr>
        <w:t>el siguiente problema jurídico</w:t>
      </w:r>
      <w:r w:rsidRPr="00BC2FE9">
        <w:rPr>
          <w:rFonts w:ascii="Verdana" w:eastAsia="Century Gothic" w:hAnsi="Verdana" w:cs="Century Gothic"/>
          <w:color w:val="000000" w:themeColor="text1"/>
        </w:rPr>
        <w:t>:</w:t>
      </w:r>
      <w:r>
        <w:rPr>
          <w:rFonts w:ascii="Verdana" w:eastAsia="Century Gothic" w:hAnsi="Verdana" w:cs="Century Gothic"/>
          <w:color w:val="000000" w:themeColor="text1"/>
        </w:rPr>
        <w:t xml:space="preserve"> </w:t>
      </w:r>
    </w:p>
    <w:p w14:paraId="38A3CDEA" w14:textId="77777777" w:rsidR="00430885" w:rsidRDefault="00430885" w:rsidP="00430885">
      <w:pPr>
        <w:spacing w:after="0" w:line="276" w:lineRule="auto"/>
        <w:jc w:val="both"/>
        <w:rPr>
          <w:rFonts w:ascii="Verdana" w:eastAsia="Century Gothic" w:hAnsi="Verdana" w:cs="Century Gothic"/>
          <w:color w:val="000000" w:themeColor="text1"/>
        </w:rPr>
      </w:pPr>
    </w:p>
    <w:p w14:paraId="7F1F66D7" w14:textId="77777777" w:rsidR="00430885" w:rsidRPr="00862540" w:rsidRDefault="00430885" w:rsidP="00430885">
      <w:pPr>
        <w:pStyle w:val="Prrafodelista"/>
        <w:numPr>
          <w:ilvl w:val="0"/>
          <w:numId w:val="19"/>
        </w:numPr>
        <w:spacing w:after="0" w:line="276" w:lineRule="auto"/>
        <w:jc w:val="both"/>
        <w:rPr>
          <w:rFonts w:ascii="Verdana" w:eastAsia="Century Gothic" w:hAnsi="Verdana" w:cs="Century Gothic"/>
          <w:color w:val="000000" w:themeColor="text1"/>
        </w:rPr>
      </w:pPr>
      <w:r w:rsidRPr="00862540">
        <w:rPr>
          <w:rFonts w:ascii="Verdana" w:eastAsia="Century Gothic" w:hAnsi="Verdana" w:cs="Century Gothic"/>
          <w:color w:val="000000" w:themeColor="text1"/>
        </w:rPr>
        <w:t>¿Bajo qué criterios puede la entidad optar por un “pliego confeccionado por la entidad” o un documento tipo, en este caso documentos tipo de infraestructura de transporte conforme lo establecido en normas aplicables?</w:t>
      </w:r>
    </w:p>
    <w:p w14:paraId="72B94854" w14:textId="77777777" w:rsidR="00430885" w:rsidRPr="006431C2" w:rsidRDefault="00430885" w:rsidP="00430885">
      <w:pPr>
        <w:spacing w:after="0" w:line="276" w:lineRule="auto"/>
        <w:jc w:val="both"/>
        <w:rPr>
          <w:rFonts w:ascii="Verdana" w:eastAsia="Century Gothic" w:hAnsi="Verdana" w:cs="Century Gothic"/>
          <w:color w:val="000000" w:themeColor="text1"/>
        </w:rPr>
      </w:pPr>
    </w:p>
    <w:p w14:paraId="4918B2E1" w14:textId="77777777" w:rsidR="00430885" w:rsidRPr="006431C2" w:rsidRDefault="00430885" w:rsidP="00430885">
      <w:pPr>
        <w:numPr>
          <w:ilvl w:val="0"/>
          <w:numId w:val="16"/>
        </w:num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r w:rsidRPr="006431C2">
        <w:rPr>
          <w:rFonts w:ascii="Verdana" w:eastAsia="Century Gothic" w:hAnsi="Verdana" w:cs="Century Gothic"/>
          <w:b/>
          <w:bCs/>
          <w:color w:val="000000" w:themeColor="text1"/>
          <w:lang w:val="es-ES"/>
        </w:rPr>
        <w:t>Respuesta:</w:t>
      </w:r>
    </w:p>
    <w:p w14:paraId="53933F06" w14:textId="77777777" w:rsidR="00430885" w:rsidRPr="00C60F4D" w:rsidRDefault="00430885" w:rsidP="00430885">
      <w:pPr>
        <w:tabs>
          <w:tab w:val="left" w:pos="142"/>
          <w:tab w:val="left" w:pos="284"/>
        </w:tabs>
        <w:spacing w:line="276" w:lineRule="auto"/>
        <w:contextualSpacing/>
        <w:jc w:val="both"/>
        <w:rPr>
          <w:rFonts w:ascii="Verdana" w:eastAsia="Century Gothic" w:hAnsi="Verdana" w:cs="Century Gothic"/>
          <w:b/>
          <w:bCs/>
          <w:color w:val="3399FF"/>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30885" w:rsidRPr="00B15D41" w14:paraId="1F37CF16" w14:textId="77777777" w:rsidTr="00DE72B2">
        <w:trPr>
          <w:trHeight w:val="1057"/>
        </w:trPr>
        <w:tc>
          <w:tcPr>
            <w:tcW w:w="8828" w:type="dxa"/>
            <w:tcBorders>
              <w:top w:val="dotted" w:sz="4" w:space="0" w:color="auto"/>
              <w:left w:val="dotted" w:sz="4" w:space="0" w:color="auto"/>
              <w:bottom w:val="dotted" w:sz="4" w:space="0" w:color="auto"/>
              <w:right w:val="dotted" w:sz="4" w:space="0" w:color="auto"/>
            </w:tcBorders>
          </w:tcPr>
          <w:p w14:paraId="52E5A87D" w14:textId="77777777" w:rsidR="00430885" w:rsidRDefault="00430885" w:rsidP="00DE72B2">
            <w:pPr>
              <w:tabs>
                <w:tab w:val="left" w:pos="321"/>
                <w:tab w:val="left" w:pos="709"/>
              </w:tabs>
              <w:spacing w:after="120" w:line="276" w:lineRule="auto"/>
              <w:ind w:firstLine="888"/>
              <w:jc w:val="both"/>
              <w:rPr>
                <w:rFonts w:ascii="Verdana" w:eastAsia="Calibri" w:hAnsi="Verdana" w:cs="Arial"/>
                <w:color w:val="000000" w:themeColor="text1"/>
                <w:shd w:val="clear" w:color="auto" w:fill="FFFFFF"/>
              </w:rPr>
            </w:pPr>
            <w:r w:rsidRPr="0070431D">
              <w:rPr>
                <w:rFonts w:ascii="Verdana" w:eastAsia="Calibri" w:hAnsi="Verdana" w:cs="Arial"/>
                <w:color w:val="000000" w:themeColor="text1"/>
                <w:shd w:val="clear" w:color="auto" w:fill="FFFFFF"/>
              </w:rPr>
              <w:t xml:space="preserve">Es pertinente mencionar que uno de los factores relevantes para determinar la forma en que se adelantará un proceso de selección es la cuantía, toda vez que esta incide directamente en la modalidad de contratación aplicable y, en consecuencia, en las reglas procedimentales que deben observarse. En efecto, de acuerdo con el Estatuto General de Contratación de la Administración Pública y sus normas reglamentarias, la cuantía permite establecer </w:t>
            </w:r>
            <w:r>
              <w:rPr>
                <w:rFonts w:ascii="Verdana" w:eastAsia="Calibri" w:hAnsi="Verdana" w:cs="Arial"/>
                <w:color w:val="000000" w:themeColor="text1"/>
                <w:shd w:val="clear" w:color="auto" w:fill="FFFFFF"/>
              </w:rPr>
              <w:t>la modalidad de contratación que deberá adoptarse.</w:t>
            </w:r>
          </w:p>
          <w:p w14:paraId="4F7D9F0C" w14:textId="77777777" w:rsidR="00430885" w:rsidRDefault="00430885" w:rsidP="00DE72B2">
            <w:pPr>
              <w:tabs>
                <w:tab w:val="left" w:pos="321"/>
                <w:tab w:val="left" w:pos="709"/>
              </w:tabs>
              <w:spacing w:after="120" w:line="276" w:lineRule="auto"/>
              <w:ind w:firstLine="888"/>
              <w:jc w:val="both"/>
              <w:rPr>
                <w:rFonts w:ascii="Verdana" w:eastAsia="Calibri" w:hAnsi="Verdana" w:cs="Arial"/>
                <w:color w:val="000000" w:themeColor="text1"/>
                <w:shd w:val="clear" w:color="auto" w:fill="FFFFFF"/>
                <w:lang w:val="es-ES"/>
              </w:rPr>
            </w:pPr>
            <w:r>
              <w:rPr>
                <w:rFonts w:ascii="Verdana" w:eastAsia="Calibri" w:hAnsi="Verdana" w:cs="Arial"/>
                <w:color w:val="000000" w:themeColor="text1"/>
                <w:shd w:val="clear" w:color="auto" w:fill="FFFFFF"/>
                <w:lang w:val="es-ES"/>
              </w:rPr>
              <w:t>Ahora bien, la posibilidad</w:t>
            </w:r>
            <w:r w:rsidRPr="000A6DAC">
              <w:rPr>
                <w:rFonts w:ascii="Verdana" w:eastAsia="Calibri" w:hAnsi="Verdana" w:cs="Arial"/>
                <w:color w:val="000000" w:themeColor="text1"/>
                <w:shd w:val="clear" w:color="auto" w:fill="FFFFFF"/>
                <w:lang w:val="es-ES"/>
              </w:rPr>
              <w:t xml:space="preserve"> de que una entidad estatal opte entre un pliego de condiciones elaborado por la propia entidad y la utilización de documentos tipo</w:t>
            </w:r>
            <w:r w:rsidRPr="00B15D41">
              <w:rPr>
                <w:rFonts w:ascii="Verdana" w:eastAsia="Calibri" w:hAnsi="Verdana" w:cs="Arial"/>
                <w:color w:val="000000" w:themeColor="text1"/>
                <w:shd w:val="clear" w:color="auto" w:fill="FFFFFF"/>
                <w:lang w:val="es-ES"/>
              </w:rPr>
              <w:t xml:space="preserve"> </w:t>
            </w:r>
            <w:r w:rsidRPr="000A6DAC">
              <w:rPr>
                <w:rFonts w:ascii="Verdana" w:eastAsia="Calibri" w:hAnsi="Verdana" w:cs="Arial"/>
                <w:color w:val="000000" w:themeColor="text1"/>
                <w:shd w:val="clear" w:color="auto" w:fill="FFFFFF"/>
                <w:lang w:val="es-ES"/>
              </w:rPr>
              <w:t xml:space="preserve">se encuentra estrictamente delimitada por el marco normativo vigente. En primer lugar, debe señalarse que, conforme a la Ley 2022 de 2020 y a los actos administrativos expedidos por la Agencia Nacional de Contratación Pública –Colombia Compra Eficiente–, los documentos tipo tienen carácter obligatorio para las Entidades Estatales sometidas al Estatuto General de Contratación de la Administración Pública, en relación con los procesos, objetos y modalidades expresamente </w:t>
            </w:r>
            <w:r w:rsidRPr="00B15D41">
              <w:rPr>
                <w:rFonts w:ascii="Verdana" w:eastAsia="Calibri" w:hAnsi="Verdana" w:cs="Arial"/>
                <w:color w:val="000000" w:themeColor="text1"/>
                <w:shd w:val="clear" w:color="auto" w:fill="FFFFFF"/>
                <w:lang w:val="es-ES"/>
              </w:rPr>
              <w:t>contemplados en</w:t>
            </w:r>
            <w:r w:rsidRPr="000A6DAC">
              <w:rPr>
                <w:rFonts w:ascii="Verdana" w:eastAsia="Calibri" w:hAnsi="Verdana" w:cs="Arial"/>
                <w:color w:val="000000" w:themeColor="text1"/>
                <w:shd w:val="clear" w:color="auto" w:fill="FFFFFF"/>
                <w:lang w:val="es-ES"/>
              </w:rPr>
              <w:t xml:space="preserve"> dichos documentos, como ocurre con los documentos tipo para </w:t>
            </w:r>
            <w:r w:rsidRPr="00B15D41">
              <w:rPr>
                <w:rFonts w:ascii="Verdana" w:eastAsia="Calibri" w:hAnsi="Verdana" w:cs="Arial"/>
                <w:color w:val="000000" w:themeColor="text1"/>
                <w:shd w:val="clear" w:color="auto" w:fill="FFFFFF"/>
                <w:lang w:val="es-ES"/>
              </w:rPr>
              <w:t>obras</w:t>
            </w:r>
            <w:r w:rsidRPr="000A6DAC">
              <w:rPr>
                <w:rFonts w:ascii="Verdana" w:eastAsia="Calibri" w:hAnsi="Verdana" w:cs="Arial"/>
                <w:color w:val="000000" w:themeColor="text1"/>
                <w:shd w:val="clear" w:color="auto" w:fill="FFFFFF"/>
                <w:lang w:val="es-ES"/>
              </w:rPr>
              <w:t xml:space="preserve"> de infraestructura de transporte.</w:t>
            </w:r>
          </w:p>
          <w:p w14:paraId="214B6ED2" w14:textId="77777777" w:rsidR="00430885" w:rsidRDefault="00430885" w:rsidP="00DE72B2">
            <w:pPr>
              <w:tabs>
                <w:tab w:val="left" w:pos="321"/>
                <w:tab w:val="left" w:pos="709"/>
              </w:tabs>
              <w:spacing w:after="120" w:line="276" w:lineRule="auto"/>
              <w:ind w:firstLine="888"/>
              <w:jc w:val="both"/>
              <w:rPr>
                <w:rFonts w:ascii="Verdana" w:eastAsia="Calibri" w:hAnsi="Verdana" w:cs="Arial"/>
                <w:color w:val="000000" w:themeColor="text1"/>
                <w:shd w:val="clear" w:color="auto" w:fill="FFFFFF"/>
              </w:rPr>
            </w:pPr>
            <w:r w:rsidRPr="00B15D41">
              <w:rPr>
                <w:rFonts w:ascii="Verdana" w:eastAsia="Calibri" w:hAnsi="Verdana" w:cs="Arial"/>
                <w:color w:val="000000" w:themeColor="text1"/>
                <w:shd w:val="clear" w:color="auto" w:fill="FFFFFF"/>
              </w:rPr>
              <w:t>Por lo anterior, el criterio principal para optar por la aplicación de documentos tipo es la verificación de que las actividades particulares sobre las que recaen los procesos de contratación que se deben encontrar enunciadas en la Matriz 1 – Experiencia y definidas en el Anexo 3 – Glosario de los Documentos Tipo. Cuando esto ocurra la entidad está obligada a utilizarlos, sin que resulte procedente elaborar un pliego de condiciones propio.</w:t>
            </w:r>
          </w:p>
          <w:p w14:paraId="65E7317F" w14:textId="77777777" w:rsidR="00430885" w:rsidRDefault="00430885" w:rsidP="00DE72B2">
            <w:pPr>
              <w:tabs>
                <w:tab w:val="left" w:pos="321"/>
                <w:tab w:val="left" w:pos="709"/>
              </w:tabs>
              <w:spacing w:after="120" w:line="276" w:lineRule="auto"/>
              <w:ind w:firstLine="888"/>
              <w:jc w:val="both"/>
              <w:rPr>
                <w:rFonts w:ascii="Verdana" w:eastAsia="Calibri" w:hAnsi="Verdana" w:cs="Arial"/>
                <w:color w:val="000000" w:themeColor="text1"/>
                <w:shd w:val="clear" w:color="auto" w:fill="FFFFFF"/>
              </w:rPr>
            </w:pPr>
            <w:r w:rsidRPr="00B15D41">
              <w:rPr>
                <w:rFonts w:ascii="Verdana" w:eastAsia="Calibri" w:hAnsi="Verdana" w:cs="Arial"/>
                <w:color w:val="000000" w:themeColor="text1"/>
                <w:shd w:val="clear" w:color="auto" w:fill="FFFFFF"/>
              </w:rPr>
              <w:lastRenderedPageBreak/>
              <w:t>Excepcionalmente, las entidad sometidas al EGCP podrá elaborar un pliego de condiciones confeccionado por ella únicamente cuando el proceso de contratación no se encuentre cobijado por los documentos tipo obligatorios o cuando, conforme a la regulación vigente, se permita expresamente la adaptación o complementación de los documentos tipo, siempre que dicha actuación se encuentre debidamente justificada en los estudios previos y no implique la modificación de los requisitos habilitantes, los factores de evaluación ni las reglas esenciales de selección objetiva establecidas en los documentos tipo.</w:t>
            </w:r>
          </w:p>
          <w:p w14:paraId="7162D2B7" w14:textId="77777777" w:rsidR="00430885" w:rsidRDefault="00430885" w:rsidP="00DE72B2">
            <w:pPr>
              <w:tabs>
                <w:tab w:val="left" w:pos="321"/>
                <w:tab w:val="left" w:pos="709"/>
              </w:tabs>
              <w:spacing w:after="120" w:line="276" w:lineRule="auto"/>
              <w:ind w:firstLine="888"/>
              <w:jc w:val="both"/>
              <w:rPr>
                <w:rFonts w:ascii="Verdana" w:eastAsia="Calibri" w:hAnsi="Verdana" w:cs="Arial"/>
                <w:color w:val="000000" w:themeColor="text1"/>
                <w:shd w:val="clear" w:color="auto" w:fill="FFFFFF"/>
              </w:rPr>
            </w:pPr>
            <w:r>
              <w:rPr>
                <w:rFonts w:ascii="Verdana" w:eastAsia="Calibri" w:hAnsi="Verdana" w:cs="Arial"/>
                <w:color w:val="000000" w:themeColor="text1"/>
                <w:shd w:val="clear" w:color="auto" w:fill="FFFFFF"/>
              </w:rPr>
              <w:t>A</w:t>
            </w:r>
            <w:r w:rsidRPr="00B15D41">
              <w:rPr>
                <w:rFonts w:ascii="Verdana" w:eastAsia="Calibri" w:hAnsi="Verdana" w:cs="Arial"/>
                <w:color w:val="000000" w:themeColor="text1"/>
                <w:shd w:val="clear" w:color="auto" w:fill="FFFFFF"/>
              </w:rPr>
              <w:t>sí, los criterios que habilitan a la entidad para optar por uno u otro instrumento se fundamentan en: (i) la obligatoriedad normativa de los documentos tipo para determinados objetos y modalidades; (</w:t>
            </w:r>
            <w:proofErr w:type="spellStart"/>
            <w:r w:rsidRPr="00B15D41">
              <w:rPr>
                <w:rFonts w:ascii="Verdana" w:eastAsia="Calibri" w:hAnsi="Verdana" w:cs="Arial"/>
                <w:color w:val="000000" w:themeColor="text1"/>
                <w:shd w:val="clear" w:color="auto" w:fill="FFFFFF"/>
              </w:rPr>
              <w:t>ii</w:t>
            </w:r>
            <w:proofErr w:type="spellEnd"/>
            <w:r w:rsidRPr="00B15D41">
              <w:rPr>
                <w:rFonts w:ascii="Verdana" w:eastAsia="Calibri" w:hAnsi="Verdana" w:cs="Arial"/>
                <w:color w:val="000000" w:themeColor="text1"/>
                <w:shd w:val="clear" w:color="auto" w:fill="FFFFFF"/>
              </w:rPr>
              <w:t>) la correspondencia del proceso con el ámbito de aplicación de dichos documentos; y (</w:t>
            </w:r>
            <w:proofErr w:type="spellStart"/>
            <w:r w:rsidRPr="00B15D41">
              <w:rPr>
                <w:rFonts w:ascii="Verdana" w:eastAsia="Calibri" w:hAnsi="Verdana" w:cs="Arial"/>
                <w:color w:val="000000" w:themeColor="text1"/>
                <w:shd w:val="clear" w:color="auto" w:fill="FFFFFF"/>
              </w:rPr>
              <w:t>iii</w:t>
            </w:r>
            <w:proofErr w:type="spellEnd"/>
            <w:r w:rsidRPr="00B15D41">
              <w:rPr>
                <w:rFonts w:ascii="Verdana" w:eastAsia="Calibri" w:hAnsi="Verdana" w:cs="Arial"/>
                <w:color w:val="000000" w:themeColor="text1"/>
                <w:shd w:val="clear" w:color="auto" w:fill="FFFFFF"/>
              </w:rPr>
              <w:t xml:space="preserve">) la existencia de causales excepcionales y debidamente motivadas que autoricen la elaboración de un pliego propio, siempre </w:t>
            </w:r>
            <w:r>
              <w:rPr>
                <w:rFonts w:ascii="Verdana" w:eastAsia="Calibri" w:hAnsi="Verdana" w:cs="Arial"/>
                <w:color w:val="000000" w:themeColor="text1"/>
                <w:shd w:val="clear" w:color="auto" w:fill="FFFFFF"/>
              </w:rPr>
              <w:t xml:space="preserve">alineado con los </w:t>
            </w:r>
            <w:r w:rsidRPr="00B15D41">
              <w:rPr>
                <w:rFonts w:ascii="Verdana" w:eastAsia="Calibri" w:hAnsi="Verdana" w:cs="Arial"/>
                <w:color w:val="000000" w:themeColor="text1"/>
                <w:shd w:val="clear" w:color="auto" w:fill="FFFFFF"/>
              </w:rPr>
              <w:t>principios de legalidad, planeación, transparencia y selección objetiva.</w:t>
            </w:r>
          </w:p>
          <w:p w14:paraId="773AA0CD" w14:textId="77777777" w:rsidR="00430885" w:rsidRPr="000160DD" w:rsidRDefault="00430885" w:rsidP="00DE72B2">
            <w:pPr>
              <w:tabs>
                <w:tab w:val="left" w:pos="321"/>
                <w:tab w:val="left" w:pos="709"/>
              </w:tabs>
              <w:spacing w:after="120" w:line="276" w:lineRule="auto"/>
              <w:ind w:firstLine="888"/>
              <w:jc w:val="both"/>
              <w:rPr>
                <w:rFonts w:ascii="Verdana" w:eastAsia="Calibri" w:hAnsi="Verdana" w:cs="Arial"/>
                <w:color w:val="000000" w:themeColor="text1"/>
                <w:shd w:val="clear" w:color="auto" w:fill="FFFFFF"/>
              </w:rPr>
            </w:pPr>
            <w:r>
              <w:rPr>
                <w:rFonts w:ascii="Verdana" w:eastAsia="Calibri" w:hAnsi="Verdana" w:cs="Arial"/>
                <w:color w:val="000000" w:themeColor="text1"/>
                <w:shd w:val="clear" w:color="auto" w:fill="FFFFFF"/>
                <w:lang w:val="es-ES_tradnl"/>
              </w:rPr>
              <w:t>Finalmente, e</w:t>
            </w:r>
            <w:r w:rsidRPr="00B15D41">
              <w:rPr>
                <w:rFonts w:ascii="Verdana" w:eastAsia="Calibri" w:hAnsi="Verdana" w:cs="Arial"/>
                <w:color w:val="000000" w:themeColor="text1"/>
                <w:shd w:val="clear" w:color="auto" w:fill="FFFFFF"/>
                <w:lang w:val="es-ES_tradnl"/>
              </w:rPr>
              <w:t xml:space="preserve">s importante recordar también que las Entidades Estatales deben utilizar las versiones vigentes de los documentos tipo, así como los documentos que estas contengan, los cuales pueden ser descargados a través de la página web de Colombia Compra Eficiente, sin que puedan modificar los aspectos que los mismos documentos tipo no permitan de manera expresa. </w:t>
            </w:r>
            <w:r w:rsidRPr="00B15D41">
              <w:rPr>
                <w:rFonts w:ascii="Verdana" w:eastAsia="Calibri" w:hAnsi="Verdana" w:cs="Arial"/>
                <w:color w:val="3399FF"/>
                <w:lang w:val="es-ES" w:eastAsia="es-ES"/>
              </w:rPr>
              <w:t xml:space="preserve"> </w:t>
            </w:r>
          </w:p>
        </w:tc>
      </w:tr>
    </w:tbl>
    <w:p w14:paraId="3B104726" w14:textId="77777777" w:rsidR="00430885" w:rsidRPr="00C60F4D" w:rsidRDefault="00430885" w:rsidP="00430885">
      <w:pPr>
        <w:tabs>
          <w:tab w:val="left" w:pos="142"/>
          <w:tab w:val="left" w:pos="284"/>
        </w:tabs>
        <w:spacing w:after="0" w:line="276" w:lineRule="auto"/>
        <w:jc w:val="both"/>
        <w:rPr>
          <w:rFonts w:ascii="Verdana" w:eastAsia="Century Gothic" w:hAnsi="Verdana" w:cs="Century Gothic"/>
          <w:b/>
          <w:bCs/>
          <w:color w:val="3399FF"/>
          <w:lang w:val="es-ES"/>
        </w:rPr>
      </w:pPr>
    </w:p>
    <w:p w14:paraId="7A865392" w14:textId="77777777" w:rsidR="00430885" w:rsidRPr="00116A26" w:rsidRDefault="00430885" w:rsidP="00430885">
      <w:pPr>
        <w:numPr>
          <w:ilvl w:val="0"/>
          <w:numId w:val="16"/>
        </w:numPr>
        <w:tabs>
          <w:tab w:val="left" w:pos="142"/>
          <w:tab w:val="left" w:pos="284"/>
        </w:tabs>
        <w:spacing w:after="0" w:line="276" w:lineRule="auto"/>
        <w:contextualSpacing/>
        <w:jc w:val="both"/>
        <w:rPr>
          <w:rFonts w:ascii="Verdana" w:eastAsia="Century Gothic" w:hAnsi="Verdana" w:cs="Century Gothic"/>
          <w:b/>
          <w:bCs/>
          <w:color w:val="000000" w:themeColor="text1"/>
          <w:lang w:val="es-ES"/>
        </w:rPr>
      </w:pPr>
      <w:r w:rsidRPr="00116A26">
        <w:rPr>
          <w:rFonts w:ascii="Verdana" w:eastAsia="Century Gothic" w:hAnsi="Verdana" w:cs="Century Gothic"/>
          <w:b/>
          <w:bCs/>
          <w:color w:val="000000" w:themeColor="text1"/>
          <w:lang w:val="es-ES"/>
        </w:rPr>
        <w:t>Razones de la respuesta:</w:t>
      </w:r>
    </w:p>
    <w:p w14:paraId="0E40EEEB" w14:textId="77777777" w:rsidR="00430885" w:rsidRPr="00116A26" w:rsidRDefault="00430885" w:rsidP="00430885">
      <w:pPr>
        <w:spacing w:after="0" w:line="276" w:lineRule="auto"/>
        <w:jc w:val="both"/>
        <w:rPr>
          <w:rFonts w:ascii="Verdana" w:eastAsia="Calibri" w:hAnsi="Verdana" w:cs="Arial"/>
          <w:color w:val="000000" w:themeColor="text1"/>
          <w:lang w:val="es-ES"/>
        </w:rPr>
      </w:pPr>
    </w:p>
    <w:p w14:paraId="6C1A6FFB" w14:textId="77777777" w:rsidR="00430885" w:rsidRDefault="00430885" w:rsidP="00430885">
      <w:pPr>
        <w:spacing w:after="0" w:line="276" w:lineRule="auto"/>
        <w:jc w:val="both"/>
        <w:rPr>
          <w:rFonts w:ascii="Verdana" w:eastAsia="Calibri" w:hAnsi="Verdana" w:cs="Arial"/>
          <w:color w:val="000000" w:themeColor="text1"/>
          <w:lang w:val="es-ES"/>
        </w:rPr>
      </w:pPr>
      <w:r w:rsidRPr="00116A26">
        <w:rPr>
          <w:rFonts w:ascii="Verdana" w:eastAsia="Calibri" w:hAnsi="Verdana" w:cs="Arial"/>
          <w:color w:val="000000" w:themeColor="text1"/>
          <w:lang w:val="es-ES"/>
        </w:rPr>
        <w:t xml:space="preserve">Lo anterior se sustenta en las siguientes consideraciones: </w:t>
      </w:r>
    </w:p>
    <w:p w14:paraId="4D46DC61" w14:textId="77777777" w:rsidR="00430885" w:rsidRDefault="00430885" w:rsidP="00430885">
      <w:pPr>
        <w:spacing w:after="0" w:line="276" w:lineRule="auto"/>
        <w:jc w:val="both"/>
        <w:rPr>
          <w:rFonts w:ascii="Verdana" w:eastAsia="Calibri" w:hAnsi="Verdana" w:cs="Arial"/>
          <w:color w:val="000000" w:themeColor="text1"/>
          <w:lang w:val="es-ES"/>
        </w:rPr>
      </w:pPr>
    </w:p>
    <w:p w14:paraId="276CF0CD" w14:textId="51876C05" w:rsidR="00430885" w:rsidRPr="00DD1357" w:rsidRDefault="00430885" w:rsidP="00430885">
      <w:pPr>
        <w:spacing w:after="0" w:line="276" w:lineRule="auto"/>
        <w:jc w:val="both"/>
        <w:rPr>
          <w:rFonts w:ascii="Verdana" w:eastAsia="Calibri" w:hAnsi="Verdana" w:cs="Arial"/>
          <w:color w:val="000000" w:themeColor="text1"/>
        </w:rPr>
      </w:pPr>
      <w:r>
        <w:rPr>
          <w:rFonts w:ascii="Verdana" w:eastAsia="Calibri" w:hAnsi="Verdana" w:cs="Arial"/>
          <w:color w:val="000000" w:themeColor="text1"/>
        </w:rPr>
        <w:t>i.</w:t>
      </w:r>
      <w:r w:rsidRPr="009A32D9">
        <w:rPr>
          <w:rFonts w:ascii="Verdana" w:eastAsia="Calibri" w:hAnsi="Verdana" w:cs="Arial"/>
          <w:color w:val="000000" w:themeColor="text1"/>
        </w:rPr>
        <w:t>En primer lugar, es pertinente señalar que la Contratación pública, es el instrumento que permite la ejecución del gasto público, permitiendo a las entidades, con los recursos que le han sido asignados financiar la adquisición de bienes, obras y servicios; Todo ello se orienta al cumplimiento de las funciones a su cargo y de los fines esenciales del Estado, procurando en todo momento la protección del interés general y la efectiva realización de dichos fines.</w:t>
      </w:r>
    </w:p>
    <w:p w14:paraId="195E9F66" w14:textId="77777777" w:rsidR="00430885" w:rsidRPr="005C40D7" w:rsidRDefault="00430885" w:rsidP="00430885">
      <w:pPr>
        <w:spacing w:after="120" w:line="276" w:lineRule="auto"/>
        <w:jc w:val="both"/>
        <w:rPr>
          <w:rFonts w:ascii="Verdana" w:hAnsi="Verdana" w:cs="Arial"/>
          <w:bCs/>
          <w:color w:val="000000" w:themeColor="text1"/>
          <w:lang w:val="es-ES_tradnl"/>
        </w:rPr>
      </w:pPr>
      <w:r w:rsidRPr="00DD1357">
        <w:rPr>
          <w:rFonts w:ascii="Verdana" w:hAnsi="Verdana" w:cs="Arial"/>
          <w:bCs/>
          <w:color w:val="000000" w:themeColor="text1"/>
          <w:lang w:val="es-ES_tradnl"/>
        </w:rPr>
        <w:tab/>
        <w:t xml:space="preserve">En los procesos de contratación, las entidades </w:t>
      </w:r>
      <w:r>
        <w:rPr>
          <w:rFonts w:ascii="Verdana" w:hAnsi="Verdana" w:cs="Arial"/>
          <w:bCs/>
          <w:color w:val="000000" w:themeColor="text1"/>
          <w:lang w:val="es-ES_tradnl"/>
        </w:rPr>
        <w:t xml:space="preserve">deben adelantar </w:t>
      </w:r>
      <w:r w:rsidRPr="00DD1357">
        <w:rPr>
          <w:rFonts w:ascii="Verdana" w:hAnsi="Verdana" w:cs="Arial"/>
          <w:bCs/>
          <w:color w:val="000000" w:themeColor="text1"/>
          <w:lang w:val="es-ES_tradnl"/>
        </w:rPr>
        <w:t xml:space="preserve">procedimientos previamente definidos por la ley, en </w:t>
      </w:r>
      <w:r>
        <w:rPr>
          <w:rFonts w:ascii="Verdana" w:hAnsi="Verdana" w:cs="Arial"/>
          <w:bCs/>
          <w:color w:val="000000" w:themeColor="text1"/>
          <w:lang w:val="es-ES_tradnl"/>
        </w:rPr>
        <w:t>concordancia</w:t>
      </w:r>
      <w:r w:rsidRPr="00DD1357">
        <w:rPr>
          <w:rFonts w:ascii="Verdana" w:hAnsi="Verdana" w:cs="Arial"/>
          <w:bCs/>
          <w:color w:val="000000" w:themeColor="text1"/>
          <w:lang w:val="es-ES_tradnl"/>
        </w:rPr>
        <w:t xml:space="preserve"> con las </w:t>
      </w:r>
      <w:r w:rsidRPr="00DD1357">
        <w:rPr>
          <w:rFonts w:ascii="Verdana" w:hAnsi="Verdana" w:cs="Arial"/>
          <w:bCs/>
          <w:color w:val="000000" w:themeColor="text1"/>
          <w:lang w:val="es-ES_tradnl"/>
        </w:rPr>
        <w:lastRenderedPageBreak/>
        <w:t>normas que los r</w:t>
      </w:r>
      <w:r>
        <w:rPr>
          <w:rFonts w:ascii="Verdana" w:hAnsi="Verdana" w:cs="Arial"/>
          <w:bCs/>
          <w:color w:val="000000" w:themeColor="text1"/>
          <w:lang w:val="es-ES_tradnl"/>
        </w:rPr>
        <w:t xml:space="preserve">egulan, a fin de determinar lo modalidad en que deben desarrollarse. Teniendo en cuenta lo anterior, y de conformidad con lo dispuesto en el artículo 29 de la Constitución Política, </w:t>
      </w:r>
      <w:r w:rsidRPr="00DD1357">
        <w:rPr>
          <w:rFonts w:ascii="Verdana" w:hAnsi="Verdana" w:cs="Arial"/>
          <w:bCs/>
          <w:color w:val="000000" w:themeColor="text1"/>
          <w:lang w:val="es-ES_tradnl"/>
        </w:rPr>
        <w:t>los procesos de selección son una manifestación de la legalidad de las formas de cada proceso en sede administrativa</w:t>
      </w:r>
      <w:r w:rsidRPr="00DD1357">
        <w:rPr>
          <w:rStyle w:val="Refdenotaalpie"/>
          <w:rFonts w:ascii="Verdana" w:hAnsi="Verdana" w:cs="Arial"/>
          <w:bCs/>
          <w:color w:val="000000" w:themeColor="text1"/>
          <w:lang w:val="es-ES_tradnl"/>
        </w:rPr>
        <w:footnoteReference w:id="1"/>
      </w:r>
      <w:r>
        <w:rPr>
          <w:rFonts w:ascii="Verdana" w:hAnsi="Verdana" w:cs="Arial"/>
          <w:bCs/>
          <w:color w:val="000000" w:themeColor="text1"/>
          <w:lang w:val="es-ES_tradnl"/>
        </w:rPr>
        <w:t>.</w:t>
      </w:r>
    </w:p>
    <w:p w14:paraId="5E15C500" w14:textId="77777777" w:rsidR="00430885" w:rsidRPr="00FA4192" w:rsidRDefault="00430885" w:rsidP="00430885">
      <w:pPr>
        <w:spacing w:after="120" w:line="276" w:lineRule="auto"/>
        <w:jc w:val="both"/>
        <w:rPr>
          <w:rFonts w:ascii="Verdana" w:hAnsi="Verdana" w:cs="Arial"/>
          <w:bCs/>
          <w:color w:val="000000" w:themeColor="text1"/>
        </w:rPr>
      </w:pPr>
      <w:r w:rsidRPr="00DB7123">
        <w:rPr>
          <w:rFonts w:ascii="Verdana" w:hAnsi="Verdana" w:cs="Arial"/>
          <w:bCs/>
          <w:color w:val="000000" w:themeColor="text1"/>
          <w:lang w:val="es-ES_tradnl"/>
        </w:rPr>
        <w:tab/>
        <w:t>El</w:t>
      </w:r>
      <w:r w:rsidRPr="00DB7123">
        <w:rPr>
          <w:rFonts w:ascii="Verdana" w:hAnsi="Verdana" w:cs="Arial"/>
          <w:bCs/>
          <w:color w:val="000000" w:themeColor="text1"/>
        </w:rPr>
        <w:t xml:space="preserve"> ordenamiento jurídico en materia de contratación estatal contempla las siguientes modalidades de </w:t>
      </w:r>
      <w:proofErr w:type="spellStart"/>
      <w:r w:rsidRPr="00DB7123">
        <w:rPr>
          <w:rFonts w:ascii="Verdana" w:hAnsi="Verdana" w:cs="Arial"/>
          <w:bCs/>
          <w:color w:val="000000" w:themeColor="text1"/>
        </w:rPr>
        <w:t>de</w:t>
      </w:r>
      <w:proofErr w:type="spellEnd"/>
      <w:r w:rsidRPr="00DB7123">
        <w:rPr>
          <w:rFonts w:ascii="Verdana" w:hAnsi="Verdana" w:cs="Arial"/>
          <w:bCs/>
          <w:color w:val="000000" w:themeColor="text1"/>
        </w:rPr>
        <w:t xml:space="preserve"> selección: i) licitación pública, </w:t>
      </w:r>
      <w:proofErr w:type="spellStart"/>
      <w:r w:rsidRPr="00DB7123">
        <w:rPr>
          <w:rFonts w:ascii="Verdana" w:hAnsi="Verdana" w:cs="Arial"/>
          <w:bCs/>
          <w:color w:val="000000" w:themeColor="text1"/>
        </w:rPr>
        <w:t>ii</w:t>
      </w:r>
      <w:proofErr w:type="spellEnd"/>
      <w:r w:rsidRPr="00DB7123">
        <w:rPr>
          <w:rFonts w:ascii="Verdana" w:hAnsi="Verdana" w:cs="Arial"/>
          <w:bCs/>
          <w:color w:val="000000" w:themeColor="text1"/>
        </w:rPr>
        <w:t xml:space="preserve">) selección abreviada, </w:t>
      </w:r>
      <w:proofErr w:type="spellStart"/>
      <w:r w:rsidRPr="00DB7123">
        <w:rPr>
          <w:rFonts w:ascii="Verdana" w:hAnsi="Verdana" w:cs="Arial"/>
          <w:bCs/>
          <w:color w:val="000000" w:themeColor="text1"/>
        </w:rPr>
        <w:t>iii</w:t>
      </w:r>
      <w:proofErr w:type="spellEnd"/>
      <w:r w:rsidRPr="00DB7123">
        <w:rPr>
          <w:rFonts w:ascii="Verdana" w:hAnsi="Verdana" w:cs="Arial"/>
          <w:bCs/>
          <w:color w:val="000000" w:themeColor="text1"/>
        </w:rPr>
        <w:t xml:space="preserve">) concurso de méritos, </w:t>
      </w:r>
      <w:proofErr w:type="spellStart"/>
      <w:r w:rsidRPr="00DB7123">
        <w:rPr>
          <w:rFonts w:ascii="Verdana" w:hAnsi="Verdana" w:cs="Arial"/>
          <w:bCs/>
          <w:color w:val="000000" w:themeColor="text1"/>
        </w:rPr>
        <w:t>iv</w:t>
      </w:r>
      <w:proofErr w:type="spellEnd"/>
      <w:r w:rsidRPr="00DB7123">
        <w:rPr>
          <w:rFonts w:ascii="Verdana" w:hAnsi="Verdana" w:cs="Arial"/>
          <w:bCs/>
          <w:color w:val="000000" w:themeColor="text1"/>
        </w:rPr>
        <w:t>) mínima cuantía y v) contratación directa. Cada una de estas establece etapas específicas para la adquisición de obras, bienes y servicios, y su aplicación corresponde a las entidades estatales, quienes deben estructurar y adelantar los procesos de contratación de conformidad con las reglas propias de cada procedimiento y en estricto cumplimiento del principio de legalidad como se ha venido mencionando.</w:t>
      </w:r>
    </w:p>
    <w:p w14:paraId="4A492A29" w14:textId="714A5954" w:rsidR="00BD33C2" w:rsidRDefault="00430885" w:rsidP="00430885">
      <w:pPr>
        <w:spacing w:line="276" w:lineRule="auto"/>
        <w:jc w:val="both"/>
        <w:rPr>
          <w:rFonts w:ascii="Verdana" w:hAnsi="Verdana" w:cs="Arial"/>
          <w:bCs/>
          <w:color w:val="000000" w:themeColor="text1"/>
          <w:lang w:val="es-ES"/>
        </w:rPr>
      </w:pPr>
      <w:r w:rsidRPr="00F9055E">
        <w:rPr>
          <w:rFonts w:ascii="Verdana" w:hAnsi="Verdana" w:cs="Arial"/>
          <w:bCs/>
          <w:color w:val="000000" w:themeColor="text1"/>
          <w:lang w:val="es-ES_tradnl"/>
        </w:rPr>
        <w:tab/>
        <w:t xml:space="preserve">En el artículo 2 de la Ley 1150 de 2007, </w:t>
      </w:r>
      <w:r w:rsidRPr="00DB7123">
        <w:rPr>
          <w:rFonts w:ascii="Verdana" w:hAnsi="Verdana" w:cs="Arial"/>
          <w:bCs/>
          <w:color w:val="000000" w:themeColor="text1"/>
          <w:lang w:val="es-ES_tradnl"/>
        </w:rPr>
        <w:t xml:space="preserve">se regularon los procesos de selección. </w:t>
      </w:r>
      <w:r w:rsidRPr="00DB7123">
        <w:rPr>
          <w:rFonts w:ascii="Verdana" w:hAnsi="Verdana" w:cs="Arial"/>
          <w:bCs/>
          <w:color w:val="000000" w:themeColor="text1"/>
          <w:lang w:val="es-ES"/>
        </w:rPr>
        <w:t>En dicha disposición, la licitación pública se configuró no solo como un procedimiento autónomo, diferenciado del concurso de méritos, sino que además se introdujo el procedimiento de selección abreviada.</w:t>
      </w:r>
      <w:r>
        <w:rPr>
          <w:rFonts w:ascii="Verdana" w:hAnsi="Verdana" w:cs="Arial"/>
          <w:bCs/>
          <w:color w:val="000000" w:themeColor="text1"/>
          <w:lang w:val="es-ES"/>
        </w:rPr>
        <w:t xml:space="preserve"> En </w:t>
      </w:r>
      <w:proofErr w:type="spellStart"/>
      <w:r>
        <w:rPr>
          <w:rFonts w:ascii="Verdana" w:hAnsi="Verdana" w:cs="Arial"/>
          <w:bCs/>
          <w:color w:val="000000" w:themeColor="text1"/>
          <w:lang w:val="es-ES"/>
        </w:rPr>
        <w:t>lo</w:t>
      </w:r>
      <w:proofErr w:type="spellEnd"/>
      <w:r>
        <w:rPr>
          <w:rFonts w:ascii="Verdana" w:hAnsi="Verdana" w:cs="Arial"/>
          <w:bCs/>
          <w:color w:val="000000" w:themeColor="text1"/>
          <w:lang w:val="es-ES"/>
        </w:rPr>
        <w:t xml:space="preserve"> siguientes términos</w:t>
      </w:r>
      <w:r w:rsidR="00BD33C2">
        <w:rPr>
          <w:rFonts w:ascii="Verdana" w:hAnsi="Verdana" w:cs="Arial"/>
          <w:bCs/>
          <w:color w:val="000000" w:themeColor="text1"/>
          <w:lang w:val="es-ES"/>
        </w:rPr>
        <w:t>:</w:t>
      </w:r>
    </w:p>
    <w:p w14:paraId="43DB88AC" w14:textId="77777777" w:rsidR="00430885" w:rsidRDefault="00430885" w:rsidP="00430885">
      <w:pPr>
        <w:spacing w:after="120"/>
        <w:ind w:left="709" w:right="709"/>
        <w:jc w:val="both"/>
        <w:rPr>
          <w:rFonts w:ascii="Verdana" w:hAnsi="Verdana" w:cs="Arial"/>
          <w:lang w:val="es-ES"/>
        </w:rPr>
      </w:pPr>
      <w:r w:rsidRPr="00D1470B">
        <w:rPr>
          <w:rFonts w:ascii="Verdana" w:eastAsia="Calibri" w:hAnsi="Verdana" w:cs="Arial"/>
          <w:color w:val="000000" w:themeColor="text1"/>
        </w:rPr>
        <w:t>“</w:t>
      </w:r>
      <w:r w:rsidRPr="007537EC">
        <w:rPr>
          <w:rFonts w:ascii="Verdana" w:hAnsi="Verdana" w:cs="Arial"/>
          <w:lang w:val="es-ES"/>
        </w:rPr>
        <w:t>La escogencia del contratista se efectuará con arreglo a las modalidades de selección de licitación pública, selección abreviada, concurso de méritos y contratación directa, con base en las siguientes reglas:</w:t>
      </w:r>
    </w:p>
    <w:p w14:paraId="5817180F" w14:textId="77777777" w:rsidR="00430885" w:rsidRPr="007537EC" w:rsidRDefault="00430885" w:rsidP="00A06AB9">
      <w:pPr>
        <w:pStyle w:val="Prrafodelista"/>
        <w:numPr>
          <w:ilvl w:val="0"/>
          <w:numId w:val="20"/>
        </w:numPr>
        <w:spacing w:after="120"/>
        <w:ind w:left="709" w:right="709" w:firstLine="0"/>
        <w:jc w:val="both"/>
        <w:rPr>
          <w:rFonts w:ascii="Verdana" w:hAnsi="Verdana" w:cs="Arial"/>
        </w:rPr>
      </w:pPr>
      <w:r w:rsidRPr="007537EC">
        <w:rPr>
          <w:rFonts w:ascii="Verdana" w:hAnsi="Verdana" w:cs="Arial"/>
          <w:b/>
          <w:bCs/>
        </w:rPr>
        <w:t>Licitación pública</w:t>
      </w:r>
      <w:r w:rsidRPr="007537EC">
        <w:rPr>
          <w:rFonts w:ascii="Verdana" w:hAnsi="Verdana" w:cs="Arial"/>
        </w:rPr>
        <w:t>. La escogencia del contratista se efectuará por regla general a través de licitación pública, con las excepciones que se señalan en los numerales 2, 3 y 4 del presente artículo. </w:t>
      </w:r>
    </w:p>
    <w:p w14:paraId="6A519B25" w14:textId="77777777" w:rsidR="00A06AB9" w:rsidRDefault="00430885" w:rsidP="00A06AB9">
      <w:pPr>
        <w:pStyle w:val="Prrafodelista"/>
        <w:spacing w:after="120"/>
        <w:ind w:left="709" w:right="709"/>
        <w:jc w:val="both"/>
        <w:rPr>
          <w:rFonts w:ascii="Verdana" w:hAnsi="Verdana" w:cs="Arial"/>
        </w:rPr>
      </w:pPr>
      <w:r w:rsidRPr="007537EC">
        <w:rPr>
          <w:rFonts w:ascii="Verdana" w:hAnsi="Verdana" w:cs="Arial"/>
        </w:rPr>
        <w:t xml:space="preserve">Cuando la entidad estatal así lo determine, la oferta en un proceso de la licitación pública podrá ser presentada total o parcialmente de </w:t>
      </w:r>
      <w:r w:rsidRPr="007537EC">
        <w:rPr>
          <w:rFonts w:ascii="Verdana" w:hAnsi="Verdana" w:cs="Arial"/>
        </w:rPr>
        <w:lastRenderedPageBreak/>
        <w:t>manera dinámica mediante subasta inversa, en las condiciones que fije el reglamento.</w:t>
      </w:r>
    </w:p>
    <w:p w14:paraId="488F23F0" w14:textId="77777777" w:rsidR="00A06AB9" w:rsidRDefault="00A06AB9" w:rsidP="00A06AB9">
      <w:pPr>
        <w:pStyle w:val="Prrafodelista"/>
        <w:spacing w:after="120"/>
        <w:ind w:left="709" w:right="709"/>
        <w:jc w:val="both"/>
        <w:rPr>
          <w:rFonts w:ascii="Verdana" w:hAnsi="Verdana" w:cs="Arial"/>
        </w:rPr>
      </w:pPr>
    </w:p>
    <w:p w14:paraId="767BAC58" w14:textId="77777777" w:rsidR="00A06AB9" w:rsidRDefault="00A06AB9" w:rsidP="00A06AB9">
      <w:pPr>
        <w:pStyle w:val="Prrafodelista"/>
        <w:spacing w:after="120"/>
        <w:ind w:left="709" w:right="709"/>
        <w:jc w:val="both"/>
        <w:rPr>
          <w:rFonts w:ascii="Verdana" w:hAnsi="Verdana" w:cs="Arial"/>
        </w:rPr>
      </w:pPr>
      <w:r>
        <w:rPr>
          <w:rFonts w:ascii="Verdana" w:hAnsi="Verdana" w:cs="Arial"/>
        </w:rPr>
        <w:t>2.</w:t>
      </w:r>
      <w:r w:rsidR="00430885" w:rsidRPr="00A06AB9">
        <w:rPr>
          <w:rFonts w:ascii="Verdana" w:hAnsi="Verdana" w:cs="Arial"/>
          <w:b/>
          <w:bCs/>
        </w:rPr>
        <w:t> Selección abreviada</w:t>
      </w:r>
      <w:r w:rsidR="00430885" w:rsidRPr="00A06AB9">
        <w:rPr>
          <w:rFonts w:ascii="Verdana" w:hAnsi="Verdana" w:cs="Arial"/>
          <w:i/>
          <w:iCs/>
        </w:rPr>
        <w:t>. </w:t>
      </w:r>
      <w:r w:rsidR="00430885" w:rsidRPr="00A06AB9">
        <w:rPr>
          <w:rFonts w:ascii="Verdana" w:hAnsi="Verdana" w:cs="Arial"/>
        </w:rPr>
        <w:t xml:space="preserve">La Selección abreviada corresponde a la modalidad de selección objetiva prevista para aquellos casos en </w:t>
      </w:r>
      <w:proofErr w:type="gramStart"/>
      <w:r w:rsidR="00430885" w:rsidRPr="00A06AB9">
        <w:rPr>
          <w:rFonts w:ascii="Verdana" w:hAnsi="Verdana" w:cs="Arial"/>
        </w:rPr>
        <w:t>que</w:t>
      </w:r>
      <w:proofErr w:type="gramEnd"/>
      <w:r w:rsidR="00430885" w:rsidRPr="00A06AB9">
        <w:rPr>
          <w:rFonts w:ascii="Verdana" w:hAnsi="Verdana" w:cs="Arial"/>
        </w:rPr>
        <w:t xml:space="preserve"> por las características del objeto a contratar, las circunstancias de la contratación o la cuantía o destinación del bien, obra o </w:t>
      </w:r>
      <w:proofErr w:type="gramStart"/>
      <w:r w:rsidR="00430885" w:rsidRPr="00A06AB9">
        <w:rPr>
          <w:rFonts w:ascii="Verdana" w:hAnsi="Verdana" w:cs="Arial"/>
        </w:rPr>
        <w:t>servicio,</w:t>
      </w:r>
      <w:proofErr w:type="gramEnd"/>
      <w:r w:rsidR="00430885" w:rsidRPr="00A06AB9">
        <w:rPr>
          <w:rFonts w:ascii="Verdana" w:hAnsi="Verdana" w:cs="Arial"/>
        </w:rPr>
        <w:t xml:space="preserve"> puedan adelantarse procesos simplificados para garantizar la eficiencia de la gestión contractual. </w:t>
      </w:r>
    </w:p>
    <w:p w14:paraId="023FBADF" w14:textId="77777777" w:rsidR="00A06AB9" w:rsidRDefault="00A06AB9" w:rsidP="00A06AB9">
      <w:pPr>
        <w:pStyle w:val="Prrafodelista"/>
        <w:spacing w:after="120"/>
        <w:ind w:left="709" w:right="709"/>
        <w:jc w:val="both"/>
        <w:rPr>
          <w:rFonts w:ascii="Verdana" w:hAnsi="Verdana" w:cs="Arial"/>
        </w:rPr>
      </w:pPr>
    </w:p>
    <w:p w14:paraId="74188032" w14:textId="355468A8" w:rsidR="00430885" w:rsidRPr="00A06AB9" w:rsidRDefault="00430885" w:rsidP="00A06AB9">
      <w:pPr>
        <w:pStyle w:val="Prrafodelista"/>
        <w:spacing w:after="120"/>
        <w:ind w:left="709" w:right="709"/>
        <w:jc w:val="both"/>
        <w:rPr>
          <w:rFonts w:ascii="Verdana" w:hAnsi="Verdana" w:cs="Arial"/>
        </w:rPr>
      </w:pPr>
      <w:r w:rsidRPr="00A06AB9">
        <w:rPr>
          <w:rFonts w:ascii="Verdana" w:hAnsi="Verdana" w:cs="Arial"/>
        </w:rPr>
        <w:t>El Gobierno Nacional reglamentará la materia.</w:t>
      </w:r>
    </w:p>
    <w:p w14:paraId="6AFAFFCA" w14:textId="77777777" w:rsidR="00430885" w:rsidRDefault="00430885" w:rsidP="00A06AB9">
      <w:pPr>
        <w:pStyle w:val="Prrafodelista"/>
        <w:spacing w:after="120"/>
        <w:ind w:left="851" w:right="709"/>
        <w:jc w:val="both"/>
        <w:rPr>
          <w:rFonts w:ascii="Verdana" w:hAnsi="Verdana" w:cs="Arial"/>
        </w:rPr>
      </w:pPr>
    </w:p>
    <w:p w14:paraId="3A33CB5D" w14:textId="77777777" w:rsidR="00430885" w:rsidRPr="007537EC" w:rsidRDefault="00430885" w:rsidP="00A06AB9">
      <w:pPr>
        <w:pStyle w:val="Prrafodelista"/>
        <w:tabs>
          <w:tab w:val="left" w:pos="851"/>
        </w:tabs>
        <w:spacing w:after="120"/>
        <w:ind w:left="709" w:right="709"/>
        <w:jc w:val="both"/>
        <w:rPr>
          <w:rFonts w:ascii="Verdana" w:hAnsi="Verdana" w:cs="Arial"/>
        </w:rPr>
      </w:pPr>
      <w:r w:rsidRPr="007537EC">
        <w:rPr>
          <w:rFonts w:ascii="Verdana" w:hAnsi="Verdana" w:cs="Arial"/>
        </w:rPr>
        <w:t>Serán causales de selección abreviada las siguientes:</w:t>
      </w:r>
    </w:p>
    <w:p w14:paraId="51F47729" w14:textId="177FD196" w:rsidR="00430885" w:rsidRPr="007537EC" w:rsidRDefault="00430885" w:rsidP="00A06AB9">
      <w:pPr>
        <w:pStyle w:val="Textonotapie"/>
        <w:tabs>
          <w:tab w:val="left" w:pos="567"/>
          <w:tab w:val="left" w:pos="851"/>
        </w:tabs>
        <w:spacing w:before="240"/>
        <w:ind w:leftChars="322" w:left="708" w:rightChars="344" w:right="757" w:firstLine="1"/>
        <w:jc w:val="both"/>
        <w:rPr>
          <w:rFonts w:ascii="Verdana" w:hAnsi="Verdana" w:cs="Arial"/>
          <w:sz w:val="22"/>
          <w:szCs w:val="22"/>
          <w:lang w:val="es-ES"/>
        </w:rPr>
      </w:pPr>
      <w:r w:rsidRPr="007537EC">
        <w:rPr>
          <w:rFonts w:ascii="Verdana" w:hAnsi="Verdana" w:cs="Arial"/>
          <w:sz w:val="22"/>
          <w:szCs w:val="22"/>
          <w:lang w:val="es-ES"/>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2A8C3158" w14:textId="77777777" w:rsidR="00430885" w:rsidRPr="007537EC" w:rsidRDefault="00430885" w:rsidP="00A06AB9">
      <w:pPr>
        <w:pStyle w:val="Textonotapie"/>
        <w:tabs>
          <w:tab w:val="left" w:pos="567"/>
          <w:tab w:val="left" w:pos="851"/>
        </w:tabs>
        <w:spacing w:before="240"/>
        <w:ind w:leftChars="322" w:left="708" w:rightChars="344" w:right="757" w:firstLine="1"/>
        <w:jc w:val="both"/>
        <w:rPr>
          <w:rFonts w:ascii="Verdana" w:hAnsi="Verdana" w:cs="Arial"/>
          <w:sz w:val="22"/>
          <w:szCs w:val="22"/>
          <w:lang w:val="es-ES"/>
        </w:rPr>
      </w:pPr>
      <w:r w:rsidRPr="007537EC">
        <w:rPr>
          <w:rFonts w:ascii="Verdana" w:hAnsi="Verdana" w:cs="Arial"/>
          <w:sz w:val="22"/>
          <w:szCs w:val="22"/>
          <w:lang w:val="es-ES"/>
        </w:rPr>
        <w:t>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w:t>
      </w:r>
    </w:p>
    <w:p w14:paraId="5F4DC174" w14:textId="77777777" w:rsidR="00430885" w:rsidRPr="007537EC" w:rsidRDefault="00430885" w:rsidP="00A06AB9">
      <w:pPr>
        <w:pStyle w:val="Textonotapie"/>
        <w:tabs>
          <w:tab w:val="left" w:pos="567"/>
        </w:tabs>
        <w:spacing w:before="240"/>
        <w:ind w:leftChars="321" w:left="707" w:rightChars="344" w:right="757" w:hanging="1"/>
        <w:jc w:val="both"/>
        <w:rPr>
          <w:rFonts w:ascii="Verdana" w:hAnsi="Verdana" w:cs="Arial"/>
          <w:sz w:val="22"/>
          <w:szCs w:val="22"/>
          <w:lang w:val="es-ES"/>
        </w:rPr>
      </w:pPr>
      <w:r w:rsidRPr="007537EC">
        <w:rPr>
          <w:rFonts w:ascii="Verdana" w:hAnsi="Verdana" w:cs="Arial"/>
          <w:sz w:val="22"/>
          <w:szCs w:val="22"/>
          <w:lang w:val="es-ES"/>
        </w:rPr>
        <w:t>b) La contratación de menor cuantía. Se entenderá por menor cuantía los valores que a continuación se relacionan, determinados en función de los presupuestos anuales de las entidades públicas expresados en salarios mínimos legales mensuales.</w:t>
      </w:r>
    </w:p>
    <w:p w14:paraId="450359BB" w14:textId="77777777" w:rsidR="00430885" w:rsidRPr="007537EC" w:rsidRDefault="00430885" w:rsidP="00A06AB9">
      <w:pPr>
        <w:pStyle w:val="Textonotapie"/>
        <w:tabs>
          <w:tab w:val="left" w:pos="567"/>
        </w:tabs>
        <w:spacing w:before="240"/>
        <w:ind w:leftChars="321" w:left="707" w:rightChars="344" w:right="757" w:hanging="1"/>
        <w:jc w:val="both"/>
        <w:rPr>
          <w:rFonts w:ascii="Verdana" w:hAnsi="Verdana" w:cs="Arial"/>
          <w:sz w:val="22"/>
          <w:szCs w:val="22"/>
          <w:lang w:val="es-ES"/>
        </w:rPr>
      </w:pPr>
      <w:r w:rsidRPr="007537EC">
        <w:rPr>
          <w:rFonts w:ascii="Verdana" w:hAnsi="Verdana" w:cs="Arial"/>
          <w:sz w:val="22"/>
          <w:szCs w:val="22"/>
          <w:lang w:val="es-ES"/>
        </w:rPr>
        <w:t>Para las entidades que tengan un presupuesto anual superior o igual a 1.200.000 salarios mínimos legales mensuales, la menor cuantía será hasta 1.000 salarios mínimos legales mensuales.</w:t>
      </w:r>
    </w:p>
    <w:p w14:paraId="2C962590" w14:textId="77777777" w:rsidR="00430885" w:rsidRPr="007537EC" w:rsidRDefault="00430885" w:rsidP="00A06AB9">
      <w:pPr>
        <w:pStyle w:val="Textonotapie"/>
        <w:tabs>
          <w:tab w:val="left" w:pos="567"/>
        </w:tabs>
        <w:spacing w:before="240"/>
        <w:ind w:leftChars="321" w:left="707" w:rightChars="344" w:right="757" w:hanging="1"/>
        <w:jc w:val="both"/>
        <w:rPr>
          <w:rFonts w:ascii="Verdana" w:hAnsi="Verdana" w:cs="Arial"/>
          <w:sz w:val="22"/>
          <w:szCs w:val="22"/>
          <w:lang w:val="es-ES"/>
        </w:rPr>
      </w:pPr>
      <w:r w:rsidRPr="007537EC">
        <w:rPr>
          <w:rFonts w:ascii="Verdana" w:hAnsi="Verdana" w:cs="Arial"/>
          <w:sz w:val="22"/>
          <w:szCs w:val="22"/>
          <w:lang w:val="es-ES"/>
        </w:rPr>
        <w:t>Las que tengan un presupuesto anual superior o igual a 850.000 salarios mínimos legales mensuales e inferiores a 1.200.000 salarios mínimos legales mensuales, la menor cuantía será hasta 850 salarios mínimos legales mensuales.</w:t>
      </w:r>
    </w:p>
    <w:p w14:paraId="172BDBDC" w14:textId="77777777" w:rsidR="00430885" w:rsidRPr="007537EC" w:rsidRDefault="00430885" w:rsidP="00A06AB9">
      <w:pPr>
        <w:pStyle w:val="Textonotapie"/>
        <w:tabs>
          <w:tab w:val="left" w:pos="567"/>
        </w:tabs>
        <w:spacing w:before="240"/>
        <w:ind w:leftChars="321" w:left="707" w:rightChars="344" w:right="757" w:hanging="1"/>
        <w:jc w:val="both"/>
        <w:rPr>
          <w:rFonts w:ascii="Verdana" w:hAnsi="Verdana" w:cs="Arial"/>
          <w:sz w:val="22"/>
          <w:szCs w:val="22"/>
          <w:lang w:val="es-ES"/>
        </w:rPr>
      </w:pPr>
      <w:r w:rsidRPr="007537EC">
        <w:rPr>
          <w:rFonts w:ascii="Verdana" w:hAnsi="Verdana" w:cs="Arial"/>
          <w:sz w:val="22"/>
          <w:szCs w:val="22"/>
          <w:lang w:val="es-ES"/>
        </w:rPr>
        <w:lastRenderedPageBreak/>
        <w:t>Las que tengan un presupuesto anual superior o igual a 400.000 salarios mínimos legales mensuales e inferior a 850.000 salarios mínimos legales mensuales, la menor cuantía será hasta 650 salarios mínimos legales mensuales.</w:t>
      </w:r>
    </w:p>
    <w:p w14:paraId="089E3289" w14:textId="77777777" w:rsidR="00430885" w:rsidRPr="007537EC" w:rsidRDefault="00430885" w:rsidP="00A06AB9">
      <w:pPr>
        <w:pStyle w:val="Textonotapie"/>
        <w:tabs>
          <w:tab w:val="left" w:pos="567"/>
        </w:tabs>
        <w:spacing w:before="240"/>
        <w:ind w:leftChars="321" w:left="707" w:rightChars="344" w:right="757" w:hanging="1"/>
        <w:jc w:val="both"/>
        <w:rPr>
          <w:rFonts w:ascii="Verdana" w:hAnsi="Verdana" w:cs="Arial"/>
          <w:sz w:val="22"/>
          <w:szCs w:val="22"/>
          <w:lang w:val="es-ES"/>
        </w:rPr>
      </w:pPr>
      <w:r w:rsidRPr="007537EC">
        <w:rPr>
          <w:rFonts w:ascii="Verdana" w:hAnsi="Verdana" w:cs="Arial"/>
          <w:sz w:val="22"/>
          <w:szCs w:val="22"/>
          <w:lang w:val="es-ES"/>
        </w:rPr>
        <w:t>Las que tengan un presupuesto anual superior o igual a 120.000 salarios mínimos legales mensuales e inferior a 400.000 salarios mínimos legales mensuales, la menor cuantía será hasta 450 salarios mínimos legales mensuales.</w:t>
      </w:r>
    </w:p>
    <w:p w14:paraId="1877CF4E" w14:textId="77777777" w:rsidR="00A06AB9" w:rsidRDefault="00430885" w:rsidP="00A06AB9">
      <w:pPr>
        <w:pStyle w:val="Textonotapie"/>
        <w:tabs>
          <w:tab w:val="left" w:pos="567"/>
        </w:tabs>
        <w:spacing w:before="240"/>
        <w:ind w:leftChars="321" w:left="707" w:rightChars="344" w:right="757" w:hanging="1"/>
        <w:jc w:val="both"/>
        <w:rPr>
          <w:rFonts w:ascii="Verdana" w:hAnsi="Verdana" w:cs="Arial"/>
          <w:sz w:val="22"/>
          <w:szCs w:val="22"/>
          <w:lang w:val="es-ES"/>
        </w:rPr>
      </w:pPr>
      <w:r w:rsidRPr="007537EC">
        <w:rPr>
          <w:rFonts w:ascii="Verdana" w:hAnsi="Verdana" w:cs="Arial"/>
          <w:sz w:val="22"/>
          <w:szCs w:val="22"/>
          <w:lang w:val="es-ES"/>
        </w:rPr>
        <w:t>Las que tengan un presupuesto anual inferior a 120.000 salarios mínimos legales mensuales, la menor cuantía será hasta 280 salarios mínimos legales mensuales; </w:t>
      </w:r>
    </w:p>
    <w:p w14:paraId="15D9B22E" w14:textId="77777777" w:rsidR="00A06AB9" w:rsidRDefault="00430885" w:rsidP="00A06AB9">
      <w:pPr>
        <w:pStyle w:val="Textonotapie"/>
        <w:tabs>
          <w:tab w:val="left" w:pos="567"/>
        </w:tabs>
        <w:spacing w:before="240"/>
        <w:ind w:leftChars="321" w:left="707" w:rightChars="344" w:right="757" w:hanging="1"/>
        <w:jc w:val="both"/>
        <w:rPr>
          <w:rFonts w:ascii="Verdana" w:hAnsi="Verdana" w:cs="Arial"/>
          <w:sz w:val="22"/>
          <w:szCs w:val="22"/>
          <w:lang w:val="es-ES"/>
        </w:rPr>
      </w:pPr>
      <w:r w:rsidRPr="007537EC">
        <w:rPr>
          <w:rFonts w:ascii="Verdana" w:hAnsi="Verdana" w:cs="Arial"/>
          <w:sz w:val="22"/>
          <w:szCs w:val="22"/>
          <w:lang w:val="es-ES"/>
        </w:rPr>
        <w:t>c) Sin perjuicio de lo dispuesto en la Ley </w:t>
      </w:r>
      <w:hyperlink r:id="rId12" w:anchor="0" w:tooltip="vinculo" w:history="1">
        <w:r w:rsidRPr="007537EC">
          <w:rPr>
            <w:rStyle w:val="Hipervnculo"/>
            <w:rFonts w:ascii="Verdana" w:hAnsi="Verdana" w:cs="Arial"/>
            <w:sz w:val="22"/>
            <w:szCs w:val="22"/>
            <w:lang w:val="es-ES"/>
          </w:rPr>
          <w:t>100 </w:t>
        </w:r>
      </w:hyperlink>
      <w:r w:rsidRPr="007537EC">
        <w:rPr>
          <w:rFonts w:ascii="Verdana" w:hAnsi="Verdana" w:cs="Arial"/>
          <w:sz w:val="22"/>
          <w:szCs w:val="22"/>
          <w:lang w:val="es-ES"/>
        </w:rPr>
        <w:t>de 1993 y en la Ley </w:t>
      </w:r>
      <w:hyperlink r:id="rId13" w:anchor="0" w:tooltip="vinculo" w:history="1">
        <w:r w:rsidRPr="007537EC">
          <w:rPr>
            <w:rStyle w:val="Hipervnculo"/>
            <w:rFonts w:ascii="Verdana" w:hAnsi="Verdana" w:cs="Arial"/>
            <w:sz w:val="22"/>
            <w:szCs w:val="22"/>
            <w:lang w:val="es-ES"/>
          </w:rPr>
          <w:t>1122 </w:t>
        </w:r>
      </w:hyperlink>
      <w:r w:rsidRPr="007537EC">
        <w:rPr>
          <w:rFonts w:ascii="Verdana" w:hAnsi="Verdana" w:cs="Arial"/>
          <w:sz w:val="22"/>
          <w:szCs w:val="22"/>
          <w:lang w:val="es-ES"/>
        </w:rPr>
        <w:t>de 2007, la celebración de contratos para la prestación de servicios de salud. El reglamento interno correspondiente fijará las garantías a cargo de los contratistas. Los pagos correspondientes se podrán hacer mediante encargos fiduciarios; </w:t>
      </w:r>
    </w:p>
    <w:p w14:paraId="2EA92A4E" w14:textId="7B6CBE9E" w:rsidR="00430885" w:rsidRPr="007537EC" w:rsidRDefault="00430885" w:rsidP="00A06AB9">
      <w:pPr>
        <w:pStyle w:val="Textonotapie"/>
        <w:tabs>
          <w:tab w:val="left" w:pos="567"/>
        </w:tabs>
        <w:spacing w:before="240"/>
        <w:ind w:leftChars="321" w:left="707" w:rightChars="344" w:right="757" w:hanging="1"/>
        <w:jc w:val="both"/>
        <w:rPr>
          <w:rFonts w:ascii="Verdana" w:hAnsi="Verdana" w:cs="Arial"/>
          <w:sz w:val="22"/>
          <w:szCs w:val="22"/>
          <w:lang w:val="es-ES"/>
        </w:rPr>
      </w:pPr>
      <w:r w:rsidRPr="007537EC">
        <w:rPr>
          <w:rFonts w:ascii="Verdana" w:hAnsi="Verdana" w:cs="Arial"/>
          <w:sz w:val="22"/>
          <w:szCs w:val="22"/>
          <w:lang w:val="es-ES"/>
        </w:rPr>
        <w:t>d) La contratación cuyo proceso de licitación pública haya sido declarado desierto; en cuyo caso la entidad deberá iniciar la selección abreviada dentro de los cuatro meses siguientes a la declaración de desierta del proceso inicial; </w:t>
      </w:r>
    </w:p>
    <w:p w14:paraId="2AC8B03A" w14:textId="77777777"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sz w:val="22"/>
          <w:szCs w:val="22"/>
          <w:lang w:val="es-ES"/>
        </w:rPr>
        <w:t>e) La enajenación de bienes del Estado, con excepción de aquellos a que se refiere la Ley </w:t>
      </w:r>
      <w:hyperlink r:id="rId14" w:anchor="0" w:tooltip="vinculo" w:history="1">
        <w:r w:rsidRPr="007537EC">
          <w:rPr>
            <w:rStyle w:val="Hipervnculo"/>
            <w:rFonts w:ascii="Verdana" w:hAnsi="Verdana" w:cs="Arial"/>
            <w:sz w:val="22"/>
            <w:szCs w:val="22"/>
            <w:lang w:val="es-ES"/>
          </w:rPr>
          <w:t>226 </w:t>
        </w:r>
      </w:hyperlink>
      <w:r w:rsidRPr="007537EC">
        <w:rPr>
          <w:rFonts w:ascii="Verdana" w:hAnsi="Verdana" w:cs="Arial"/>
          <w:sz w:val="22"/>
          <w:szCs w:val="22"/>
          <w:lang w:val="es-ES"/>
        </w:rPr>
        <w:t>de 1995.</w:t>
      </w:r>
    </w:p>
    <w:p w14:paraId="701D7C41" w14:textId="77777777"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sz w:val="22"/>
          <w:szCs w:val="22"/>
          <w:lang w:val="es-ES"/>
        </w:rPr>
        <w:t>(…)  </w:t>
      </w:r>
    </w:p>
    <w:p w14:paraId="3634CBFD" w14:textId="77777777"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sz w:val="22"/>
          <w:szCs w:val="22"/>
          <w:lang w:val="es-ES"/>
        </w:rPr>
        <w:t>f) Productos de origen o destinación agropecuarios que se ofrezcan en las bolsas de productos legalmente constituidas; </w:t>
      </w:r>
    </w:p>
    <w:p w14:paraId="228284D9" w14:textId="77777777"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sz w:val="22"/>
          <w:szCs w:val="22"/>
          <w:lang w:val="es-ES"/>
        </w:rPr>
        <w:t>g) Los actos y contratos que tengan por objeto directo las actividades comerciales e industriales propias de las Empresas Industriales y Comerciales Estatales y de las Sociedades de Economía Mixta, con excepción de los contratos que a título enunciativo identifica el artículo </w:t>
      </w:r>
      <w:hyperlink r:id="rId15" w:anchor="32" w:tooltip="vinculo" w:history="1">
        <w:r w:rsidRPr="007537EC">
          <w:rPr>
            <w:rStyle w:val="Hipervnculo"/>
            <w:rFonts w:ascii="Verdana" w:hAnsi="Verdana" w:cs="Arial"/>
            <w:sz w:val="22"/>
            <w:szCs w:val="22"/>
            <w:lang w:val="es-ES"/>
          </w:rPr>
          <w:t>32</w:t>
        </w:r>
      </w:hyperlink>
      <w:r w:rsidRPr="007537EC">
        <w:rPr>
          <w:rFonts w:ascii="Verdana" w:hAnsi="Verdana" w:cs="Arial"/>
          <w:sz w:val="22"/>
          <w:szCs w:val="22"/>
          <w:lang w:val="es-ES"/>
        </w:rPr>
        <w:t> de la Ley 80 de 1993;</w:t>
      </w:r>
    </w:p>
    <w:p w14:paraId="042F4DCE" w14:textId="77777777"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sz w:val="22"/>
          <w:szCs w:val="22"/>
          <w:lang w:val="es-ES"/>
        </w:rPr>
        <w:t xml:space="preserve"> h) Los contratos de las entidades, a cuyo cargo se encuentre la ejecución de los programas de protección de personas amenazadas, programas de desmovilización y reincorporación a la </w:t>
      </w:r>
      <w:r w:rsidRPr="007537EC">
        <w:rPr>
          <w:rFonts w:ascii="Verdana" w:hAnsi="Verdana" w:cs="Arial"/>
          <w:sz w:val="22"/>
          <w:szCs w:val="22"/>
          <w:lang w:val="es-ES"/>
        </w:rPr>
        <w:lastRenderedPageBreak/>
        <w:t>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25C88A90" w14:textId="77777777"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sz w:val="22"/>
          <w:szCs w:val="22"/>
          <w:lang w:val="es-ES"/>
        </w:rPr>
        <w:t>i) La contratación de bienes y servicios que se requieran para la defensa y seguridad nacional.</w:t>
      </w:r>
    </w:p>
    <w:p w14:paraId="19788F08" w14:textId="77777777"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sz w:val="22"/>
          <w:szCs w:val="22"/>
          <w:lang w:val="es-ES"/>
        </w:rPr>
        <w:t>j) Los bienes y servicios no uniformes de común utilización por parte de las entidades públicas, para lo cual la Agencia Nacional de Contratación Pública - Colombia Compra Eficiente - 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w:t>
      </w:r>
      <w:hyperlink r:id="rId16" w:anchor="41" w:tooltip="vinculo" w:history="1">
        <w:r w:rsidRPr="007537EC">
          <w:rPr>
            <w:rStyle w:val="Hipervnculo"/>
            <w:rFonts w:ascii="Verdana" w:hAnsi="Verdana" w:cs="Arial"/>
            <w:sz w:val="22"/>
            <w:szCs w:val="22"/>
            <w:lang w:val="es-ES"/>
          </w:rPr>
          <w:t>41 </w:t>
        </w:r>
      </w:hyperlink>
      <w:r w:rsidRPr="007537EC">
        <w:rPr>
          <w:rFonts w:ascii="Verdana" w:hAnsi="Verdana" w:cs="Arial"/>
          <w:sz w:val="22"/>
          <w:szCs w:val="22"/>
          <w:lang w:val="es-ES"/>
        </w:rPr>
        <w:t>de la Ley 1955 de 2019. </w:t>
      </w:r>
    </w:p>
    <w:p w14:paraId="4113DBC8" w14:textId="77777777"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b/>
          <w:bCs/>
          <w:sz w:val="22"/>
          <w:szCs w:val="22"/>
          <w:lang w:val="es-ES"/>
        </w:rPr>
        <w:t>3. Concurso de méritos</w:t>
      </w:r>
      <w:r w:rsidRPr="007537EC">
        <w:rPr>
          <w:rFonts w:ascii="Verdana" w:hAnsi="Verdana" w:cs="Arial"/>
          <w:sz w:val="22"/>
          <w:szCs w:val="22"/>
          <w:lang w:val="es-ES"/>
        </w:rPr>
        <w:t xml:space="preserve">. Corresponde a </w:t>
      </w:r>
      <w:proofErr w:type="spellStart"/>
      <w:r w:rsidRPr="007537EC">
        <w:rPr>
          <w:rFonts w:ascii="Verdana" w:hAnsi="Verdana" w:cs="Arial"/>
          <w:sz w:val="22"/>
          <w:szCs w:val="22"/>
          <w:lang w:val="es-ES"/>
        </w:rPr>
        <w:t>Ia</w:t>
      </w:r>
      <w:proofErr w:type="spellEnd"/>
      <w:r w:rsidRPr="007537EC">
        <w:rPr>
          <w:rFonts w:ascii="Verdana" w:hAnsi="Verdana" w:cs="Arial"/>
          <w:sz w:val="22"/>
          <w:szCs w:val="22"/>
          <w:lang w:val="es-ES"/>
        </w:rPr>
        <w:t xml:space="preserve"> modalidad prevista para </w:t>
      </w:r>
      <w:proofErr w:type="spellStart"/>
      <w:r w:rsidRPr="007537EC">
        <w:rPr>
          <w:rFonts w:ascii="Verdana" w:hAnsi="Verdana" w:cs="Arial"/>
          <w:sz w:val="22"/>
          <w:szCs w:val="22"/>
          <w:lang w:val="es-ES"/>
        </w:rPr>
        <w:t>Ia</w:t>
      </w:r>
      <w:proofErr w:type="spellEnd"/>
      <w:r w:rsidRPr="007537EC">
        <w:rPr>
          <w:rFonts w:ascii="Verdana" w:hAnsi="Verdana" w:cs="Arial"/>
          <w:sz w:val="22"/>
          <w:szCs w:val="22"/>
          <w:lang w:val="es-ES"/>
        </w:rPr>
        <w:t xml:space="preserve"> selección de consultores o proyectos, en </w:t>
      </w:r>
      <w:proofErr w:type="spellStart"/>
      <w:r w:rsidRPr="007537EC">
        <w:rPr>
          <w:rFonts w:ascii="Verdana" w:hAnsi="Verdana" w:cs="Arial"/>
          <w:sz w:val="22"/>
          <w:szCs w:val="22"/>
          <w:lang w:val="es-ES"/>
        </w:rPr>
        <w:t>Ia</w:t>
      </w:r>
      <w:proofErr w:type="spellEnd"/>
      <w:r w:rsidRPr="007537EC">
        <w:rPr>
          <w:rFonts w:ascii="Verdana" w:hAnsi="Verdana" w:cs="Arial"/>
          <w:sz w:val="22"/>
          <w:szCs w:val="22"/>
          <w:lang w:val="es-ES"/>
        </w:rPr>
        <w:t xml:space="preserve"> que se podrán utilizar sistemas de concurso abierto o de precalificación. En este último caso, </w:t>
      </w:r>
      <w:proofErr w:type="spellStart"/>
      <w:r w:rsidRPr="007537EC">
        <w:rPr>
          <w:rFonts w:ascii="Verdana" w:hAnsi="Verdana" w:cs="Arial"/>
          <w:sz w:val="22"/>
          <w:szCs w:val="22"/>
          <w:lang w:val="es-ES"/>
        </w:rPr>
        <w:t>Ia</w:t>
      </w:r>
      <w:proofErr w:type="spellEnd"/>
      <w:r w:rsidRPr="007537EC">
        <w:rPr>
          <w:rFonts w:ascii="Verdana" w:hAnsi="Verdana" w:cs="Arial"/>
          <w:sz w:val="22"/>
          <w:szCs w:val="22"/>
          <w:lang w:val="es-ES"/>
        </w:rPr>
        <w:t xml:space="preserve"> conformación de </w:t>
      </w:r>
      <w:proofErr w:type="spellStart"/>
      <w:r w:rsidRPr="007537EC">
        <w:rPr>
          <w:rFonts w:ascii="Verdana" w:hAnsi="Verdana" w:cs="Arial"/>
          <w:sz w:val="22"/>
          <w:szCs w:val="22"/>
          <w:lang w:val="es-ES"/>
        </w:rPr>
        <w:t>Ia</w:t>
      </w:r>
      <w:proofErr w:type="spellEnd"/>
      <w:r w:rsidRPr="007537EC">
        <w:rPr>
          <w:rFonts w:ascii="Verdana" w:hAnsi="Verdana" w:cs="Arial"/>
          <w:sz w:val="22"/>
          <w:szCs w:val="22"/>
          <w:lang w:val="es-ES"/>
        </w:rPr>
        <w:t xml:space="preserve"> lista de precalificados se hará mediante convocatoria pública, permitiéndose establecer listas limitadas de oferentes mediante resolución motivada, que se entenderá notificada en estrados a los interesados, en </w:t>
      </w:r>
      <w:proofErr w:type="spellStart"/>
      <w:r w:rsidRPr="007537EC">
        <w:rPr>
          <w:rFonts w:ascii="Verdana" w:hAnsi="Verdana" w:cs="Arial"/>
          <w:sz w:val="22"/>
          <w:szCs w:val="22"/>
          <w:lang w:val="es-ES"/>
        </w:rPr>
        <w:t>Ia</w:t>
      </w:r>
      <w:proofErr w:type="spellEnd"/>
      <w:r w:rsidRPr="007537EC">
        <w:rPr>
          <w:rFonts w:ascii="Verdana" w:hAnsi="Verdana" w:cs="Arial"/>
          <w:sz w:val="22"/>
          <w:szCs w:val="22"/>
          <w:lang w:val="es-ES"/>
        </w:rPr>
        <w:t xml:space="preserve"> audiencia pública de conformación de </w:t>
      </w:r>
      <w:proofErr w:type="spellStart"/>
      <w:r w:rsidRPr="007537EC">
        <w:rPr>
          <w:rFonts w:ascii="Verdana" w:hAnsi="Verdana" w:cs="Arial"/>
          <w:sz w:val="22"/>
          <w:szCs w:val="22"/>
          <w:lang w:val="es-ES"/>
        </w:rPr>
        <w:t>Ia</w:t>
      </w:r>
      <w:proofErr w:type="spellEnd"/>
      <w:r w:rsidRPr="007537EC">
        <w:rPr>
          <w:rFonts w:ascii="Verdana" w:hAnsi="Verdana" w:cs="Arial"/>
          <w:sz w:val="22"/>
          <w:szCs w:val="22"/>
          <w:lang w:val="es-ES"/>
        </w:rPr>
        <w:t xml:space="preserve"> lista, utilizando para el efecto, entre otros, criterios de experiencia, capacidad intelectual y de organización de los proponentes, según sea el caso.</w:t>
      </w:r>
    </w:p>
    <w:p w14:paraId="78D2D151" w14:textId="6EF677F3" w:rsidR="00430885" w:rsidRPr="007537EC" w:rsidRDefault="00430885" w:rsidP="00A06AB9">
      <w:pPr>
        <w:pStyle w:val="Textonotapie"/>
        <w:tabs>
          <w:tab w:val="left" w:pos="567"/>
        </w:tabs>
        <w:spacing w:before="240"/>
        <w:ind w:leftChars="322" w:left="708" w:rightChars="344" w:right="757"/>
        <w:jc w:val="both"/>
        <w:rPr>
          <w:rFonts w:ascii="Verdana" w:hAnsi="Verdana" w:cs="Arial"/>
          <w:sz w:val="22"/>
          <w:szCs w:val="22"/>
          <w:lang w:val="es-ES"/>
        </w:rPr>
      </w:pPr>
      <w:r w:rsidRPr="007537EC">
        <w:rPr>
          <w:rFonts w:ascii="Verdana" w:hAnsi="Verdana" w:cs="Arial"/>
          <w:sz w:val="22"/>
          <w:szCs w:val="22"/>
          <w:lang w:val="es-ES"/>
        </w:rPr>
        <w:t> De conformidad con las condiciones que señale el reglamento, en desarrollo de estos procesos de selección, las propuestas técnicas o de proyectos podrán ser presentadas en forma anónima ante un jurado plural, impar deliberante y calificado</w:t>
      </w:r>
    </w:p>
    <w:p w14:paraId="4AB51101"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b/>
          <w:bCs/>
          <w:sz w:val="22"/>
          <w:szCs w:val="22"/>
          <w:lang w:val="es-ES"/>
        </w:rPr>
        <w:t>4. Contratación directa</w:t>
      </w:r>
      <w:r w:rsidRPr="007537EC">
        <w:rPr>
          <w:rFonts w:ascii="Verdana" w:hAnsi="Verdana" w:cs="Arial"/>
          <w:sz w:val="22"/>
          <w:szCs w:val="22"/>
          <w:lang w:val="es-ES"/>
        </w:rPr>
        <w:t xml:space="preserve">. La modalidad de selección de contratación </w:t>
      </w:r>
      <w:proofErr w:type="gramStart"/>
      <w:r w:rsidRPr="007537EC">
        <w:rPr>
          <w:rFonts w:ascii="Verdana" w:hAnsi="Verdana" w:cs="Arial"/>
          <w:sz w:val="22"/>
          <w:szCs w:val="22"/>
          <w:lang w:val="es-ES"/>
        </w:rPr>
        <w:t>directa,</w:t>
      </w:r>
      <w:proofErr w:type="gramEnd"/>
      <w:r w:rsidRPr="007537EC">
        <w:rPr>
          <w:rFonts w:ascii="Verdana" w:hAnsi="Verdana" w:cs="Arial"/>
          <w:sz w:val="22"/>
          <w:szCs w:val="22"/>
          <w:lang w:val="es-ES"/>
        </w:rPr>
        <w:t xml:space="preserve"> solamente procederá en los siguientes casos:</w:t>
      </w:r>
    </w:p>
    <w:p w14:paraId="1F5A2184"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lastRenderedPageBreak/>
        <w:t>a) Urgencia manifiesta;</w:t>
      </w:r>
    </w:p>
    <w:p w14:paraId="5FC489BC"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b) Contratación de empréstitos; </w:t>
      </w:r>
    </w:p>
    <w:p w14:paraId="11E4E7C3"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c) Contratos interadministrativos, siempre que las obligaciones derivadas del mismo tengan relación directa con el objeto de la entidad ejecutora señalado en la ley o en sus reglamentos.</w:t>
      </w:r>
    </w:p>
    <w:p w14:paraId="159BDDFD"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 </w:t>
      </w:r>
    </w:p>
    <w:p w14:paraId="179FE497"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En aquellos eventos en que el régimen aplicable a la contratación de la entidad ejecutora no sea el de la Ley </w:t>
      </w:r>
      <w:hyperlink r:id="rId17" w:anchor="0" w:tooltip="vinculo" w:history="1">
        <w:r w:rsidRPr="007537EC">
          <w:rPr>
            <w:rStyle w:val="Hipervnculo"/>
            <w:rFonts w:ascii="Verdana" w:hAnsi="Verdana" w:cs="Arial"/>
            <w:sz w:val="22"/>
            <w:szCs w:val="22"/>
            <w:lang w:val="es-ES"/>
          </w:rPr>
          <w:t>80 </w:t>
        </w:r>
      </w:hyperlink>
      <w:r w:rsidRPr="007537EC">
        <w:rPr>
          <w:rFonts w:ascii="Verdana" w:hAnsi="Verdana" w:cs="Arial"/>
          <w:sz w:val="22"/>
          <w:szCs w:val="22"/>
          <w:lang w:val="es-ES"/>
        </w:rPr>
        <w:t>de 1993, la ejecución de dichos contratos estará en todo caso sometida a esta ley, salvo que la entidad ejecutora desarrolle su actividad en competencia con el sector privado o cuando la ejecución del contrato interadministrativo tenga relación directa con el desarrollo de su actividad. </w:t>
      </w:r>
    </w:p>
    <w:p w14:paraId="6C1138BD"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En aquellos casos en que la entidad estatal ejecutora deba subcontratar algunas de las actividades derivadas del contrato principal, no podrá ni ella ni el subcontratista, contratar o vincular a las personas naturales o jurídicas que hayan participado en la elaboración de los estudios, diseños y proyectos que tengan relación directa con el objeto del contrato principal. </w:t>
      </w:r>
    </w:p>
    <w:p w14:paraId="6BBA9A3A"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Estarán exceptuados de la figura del contrato interadministrativo, los contratos de seguro de las entidades estatales;</w:t>
      </w:r>
    </w:p>
    <w:p w14:paraId="70BB8EBD"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 d) La contratación de bienes y servicios en el sector Defensa y en el Departamento Administrativo de Seguridad, DAS*, que necesiten reserva para su adquisición;</w:t>
      </w:r>
    </w:p>
    <w:p w14:paraId="665FE99C"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lastRenderedPageBreak/>
        <w:t>e) Los contratos para el desarrollo de actividades científicas y tecnológicas; </w:t>
      </w:r>
    </w:p>
    <w:p w14:paraId="0891F6BE"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f) Los contratos de encargo fiduciario que celebren las entidades territoriales cuando inician el Acuerdo de Reestructuración de Pasivos a que se refieren las Leyes </w:t>
      </w:r>
      <w:hyperlink r:id="rId18" w:anchor="0" w:tooltip="vinculo" w:history="1">
        <w:r w:rsidRPr="007537EC">
          <w:rPr>
            <w:rStyle w:val="Hipervnculo"/>
            <w:rFonts w:ascii="Verdana" w:hAnsi="Verdana" w:cs="Arial"/>
            <w:sz w:val="22"/>
            <w:szCs w:val="22"/>
            <w:lang w:val="es-ES"/>
          </w:rPr>
          <w:t>550 </w:t>
        </w:r>
      </w:hyperlink>
      <w:r w:rsidRPr="007537EC">
        <w:rPr>
          <w:rFonts w:ascii="Verdana" w:hAnsi="Verdana" w:cs="Arial"/>
          <w:sz w:val="22"/>
          <w:szCs w:val="22"/>
          <w:lang w:val="es-ES"/>
        </w:rPr>
        <w:t>de 1999, </w:t>
      </w:r>
      <w:hyperlink r:id="rId19" w:anchor="0" w:tooltip="vinculo" w:history="1">
        <w:r w:rsidRPr="007537EC">
          <w:rPr>
            <w:rStyle w:val="Hipervnculo"/>
            <w:rFonts w:ascii="Verdana" w:hAnsi="Verdana" w:cs="Arial"/>
            <w:sz w:val="22"/>
            <w:szCs w:val="22"/>
            <w:lang w:val="es-ES"/>
          </w:rPr>
          <w:t>617 </w:t>
        </w:r>
      </w:hyperlink>
      <w:r w:rsidRPr="007537EC">
        <w:rPr>
          <w:rFonts w:ascii="Verdana" w:hAnsi="Verdana" w:cs="Arial"/>
          <w:sz w:val="22"/>
          <w:szCs w:val="22"/>
          <w:lang w:val="es-ES"/>
        </w:rPr>
        <w:t>de 2000 y las normas que las modifiquen o adicionen, siempre y cuando los celebren con entidades financieras del sector público; </w:t>
      </w:r>
    </w:p>
    <w:p w14:paraId="62B38E2B"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g) Cuando no exista pluralidad de oferentes en el mercado; </w:t>
      </w:r>
    </w:p>
    <w:p w14:paraId="1D61FBD6"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h) Para la prestación de servicios profesionales y de apoyo a la gestión, o para la ejecución de trabajos artísticos que sólo puedan encomendarse a determinadas personas naturales; </w:t>
      </w:r>
    </w:p>
    <w:p w14:paraId="53071004"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i) El arrendamiento o adquisición de inmuebles. </w:t>
      </w:r>
    </w:p>
    <w:p w14:paraId="50FE4A09"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j) La contratación de bienes y servicios de la Dirección Nacional de Inteligencia (DNI), que requieran reserva para su adquisición. </w:t>
      </w:r>
    </w:p>
    <w:p w14:paraId="466B1A47"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k) La selección de peritos expertos o asesores técnicos para presentar o contradecir el dictamen pericial en procesos judiciales.</w:t>
      </w:r>
    </w:p>
    <w:p w14:paraId="15DBFBEC"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(Literal ADICIONADO por el Art. </w:t>
      </w:r>
      <w:hyperlink r:id="rId20" w:anchor="82" w:tooltip="vinculo" w:history="1">
        <w:r w:rsidRPr="007537EC">
          <w:rPr>
            <w:rStyle w:val="Hipervnculo"/>
            <w:rFonts w:ascii="Verdana" w:hAnsi="Verdana" w:cs="Arial"/>
            <w:sz w:val="22"/>
            <w:szCs w:val="22"/>
            <w:lang w:val="es-ES"/>
          </w:rPr>
          <w:t>82 </w:t>
        </w:r>
      </w:hyperlink>
      <w:r w:rsidRPr="007537EC">
        <w:rPr>
          <w:rFonts w:ascii="Verdana" w:hAnsi="Verdana" w:cs="Arial"/>
          <w:sz w:val="22"/>
          <w:szCs w:val="22"/>
          <w:lang w:val="es-ES"/>
        </w:rPr>
        <w:t>de la Ley 2080 de 2021) </w:t>
      </w:r>
    </w:p>
    <w:p w14:paraId="335C5651"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l) Los contratos o convenios que las entidades estatales suscriban con los Cabildos Indígenas, las asociaciones de Cabildos Indígenas y/o Autoridades Tradicionales Indígenas, Consejos Indígenas y Organizaciones Indígenas con capacidad para contratar cuyo objeto esté relacionado con la ejecución de programas, planes y proyectos del plan de desarrollo relacionados con el fortalecimiento del gobierno propio, la identidad cultural, el ejercicio de la autonomía, la garantía de los derechos, satisfacción de necesidades y/o servicios públicos de los pueblos y comunidades indígenas. En el marco de dichos objetos se contemplará la ejecución de obras públicas que impliquen actividades de mantenimiento y/o mejoramiento de infraestructura social y de transporte, así como suministrar bienes y/o servicios para los que se acredite idoneidad, la cual deberá ser valorada teniendo en cuenta un enfoque diferencial.</w:t>
      </w:r>
    </w:p>
    <w:p w14:paraId="78682323"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(Literal l), Modificado por el Art. </w:t>
      </w:r>
      <w:hyperlink r:id="rId21" w:anchor="353" w:tooltip="vinculo" w:history="1">
        <w:r w:rsidRPr="007537EC">
          <w:rPr>
            <w:rStyle w:val="Hipervnculo"/>
            <w:rFonts w:ascii="Verdana" w:hAnsi="Verdana" w:cs="Arial"/>
            <w:sz w:val="22"/>
            <w:szCs w:val="22"/>
            <w:lang w:val="es-ES"/>
          </w:rPr>
          <w:t>353 </w:t>
        </w:r>
      </w:hyperlink>
      <w:r w:rsidRPr="007537EC">
        <w:rPr>
          <w:rFonts w:ascii="Verdana" w:hAnsi="Verdana" w:cs="Arial"/>
          <w:sz w:val="22"/>
          <w:szCs w:val="22"/>
          <w:lang w:val="es-ES"/>
        </w:rPr>
        <w:t>de la Ley 2294 de 2023)</w:t>
      </w:r>
    </w:p>
    <w:p w14:paraId="4E18DB04"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lastRenderedPageBreak/>
        <w:t>m) Los contratos que las entidades estatales suscriban con los consejos comunitarios de las comunidades negras, regulados por la Ley 70 de 1993, que se encuentren incorporados por el Ministerio del Interior en el correspondiente Registro Público Único Nacional y que hayan cumplido con el deber de actualización de información en el mismo registro, cuyo objeto esté relacionado con el fortalecimiento del gobierno propio, la identidad étnica y cultural, el ejercicio de la autonomía, y/o la garantía de los derechos de los pueblos de las mismas comunidades.</w:t>
      </w:r>
    </w:p>
    <w:p w14:paraId="2A971879"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n) Los contratos que las entidades estatales suscriban con las organizaciones de base de personas pertenecientes a poblaciones afrocolombianas, raizales y palenqueras o con las demás formas y expresiones organizativas, que cuenten con diez (10) años o más de haber sido incorporados por el Ministerio del Interior en el correspondiente Registro Público Único Nacional y que hayan cumplido con el deber de actualización de información en el mismo registro, cuyo objeto esté relacionado con el fortalecimiento de sus organizaciones, la identidad étnica y cultural, y/o la garantía de los derechos de las poblaciones de las mismas organizaciones.</w:t>
      </w:r>
    </w:p>
    <w:p w14:paraId="0192A2A4"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o) En situaciones de emergencia y desastres y dentro de sus territorios las Entidades Estatales comprarán de manera preferencial y directa productos agropecuarios a los pueblos y comunidades indígenas y a las comunidades negras, afrocolombianas, raizales y palenqueras, organizaciones y asociaciones campesinas, los cuales podrán ser donados al Fondo Nacional de Gestión del Riesgo de Desastres.</w:t>
      </w:r>
    </w:p>
    <w:p w14:paraId="71762865" w14:textId="77777777"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sz w:val="22"/>
          <w:szCs w:val="22"/>
          <w:lang w:val="es-ES"/>
        </w:rPr>
        <w:t>(Literal o), Adicionado por el Art. </w:t>
      </w:r>
      <w:hyperlink r:id="rId22" w:anchor="353" w:tooltip="vinculo" w:history="1">
        <w:r w:rsidRPr="007537EC">
          <w:rPr>
            <w:rStyle w:val="Hipervnculo"/>
            <w:rFonts w:ascii="Verdana" w:hAnsi="Verdana" w:cs="Arial"/>
            <w:sz w:val="22"/>
            <w:szCs w:val="22"/>
            <w:lang w:val="es-ES"/>
          </w:rPr>
          <w:t>353 </w:t>
        </w:r>
      </w:hyperlink>
      <w:r w:rsidRPr="007537EC">
        <w:rPr>
          <w:rFonts w:ascii="Verdana" w:hAnsi="Verdana" w:cs="Arial"/>
          <w:sz w:val="22"/>
          <w:szCs w:val="22"/>
          <w:lang w:val="es-ES"/>
        </w:rPr>
        <w:t>de la Ley 2294 de 2023)</w:t>
      </w:r>
    </w:p>
    <w:p w14:paraId="48626BB1" w14:textId="6795E11F" w:rsidR="00430885" w:rsidRPr="007537EC" w:rsidRDefault="00430885" w:rsidP="00A06AB9">
      <w:pPr>
        <w:pStyle w:val="Textonotapie"/>
        <w:tabs>
          <w:tab w:val="left" w:pos="567"/>
        </w:tabs>
        <w:spacing w:before="240"/>
        <w:ind w:leftChars="322" w:left="708" w:rightChars="344" w:right="757" w:firstLine="2"/>
        <w:jc w:val="both"/>
        <w:rPr>
          <w:rFonts w:ascii="Verdana" w:hAnsi="Verdana" w:cs="Arial"/>
          <w:sz w:val="22"/>
          <w:szCs w:val="22"/>
          <w:lang w:val="es-ES"/>
        </w:rPr>
      </w:pPr>
      <w:r w:rsidRPr="007537EC">
        <w:rPr>
          <w:rFonts w:ascii="Verdana" w:hAnsi="Verdana" w:cs="Arial"/>
          <w:b/>
          <w:bCs/>
          <w:sz w:val="22"/>
          <w:szCs w:val="22"/>
          <w:lang w:val="es-ES"/>
        </w:rPr>
        <w:t>5. Contratación mínima cuantía</w:t>
      </w:r>
      <w:r w:rsidRPr="007537EC">
        <w:rPr>
          <w:rFonts w:ascii="Verdana" w:hAnsi="Verdana" w:cs="Arial"/>
          <w:sz w:val="22"/>
          <w:szCs w:val="22"/>
          <w:lang w:val="es-ES"/>
        </w:rPr>
        <w:t>. La contratación cuyo valor no excede del 10 por ciento de la menor cuantía de la entidad independientemente de su objeto, se efectuará de conformidad con las siguientes reglas:</w:t>
      </w:r>
      <w:r w:rsidR="00CC2A0F">
        <w:rPr>
          <w:rFonts w:ascii="Verdana" w:hAnsi="Verdana" w:cs="Arial"/>
          <w:sz w:val="22"/>
          <w:szCs w:val="22"/>
          <w:lang w:val="es-ES"/>
        </w:rPr>
        <w:t xml:space="preserve"> </w:t>
      </w:r>
      <w:r>
        <w:rPr>
          <w:rFonts w:ascii="Verdana" w:hAnsi="Verdana" w:cs="Arial"/>
          <w:sz w:val="22"/>
          <w:szCs w:val="22"/>
          <w:lang w:val="es-ES"/>
        </w:rPr>
        <w:t>[</w:t>
      </w:r>
      <w:r w:rsidRPr="007537EC">
        <w:rPr>
          <w:rFonts w:ascii="Verdana" w:hAnsi="Verdana" w:cs="Arial"/>
          <w:sz w:val="22"/>
          <w:szCs w:val="22"/>
          <w:lang w:val="es-ES"/>
        </w:rPr>
        <w:t>…</w:t>
      </w:r>
      <w:r>
        <w:rPr>
          <w:rFonts w:ascii="Verdana" w:hAnsi="Verdana" w:cs="Arial"/>
          <w:sz w:val="22"/>
          <w:szCs w:val="22"/>
          <w:lang w:val="es-ES"/>
        </w:rPr>
        <w:t>]</w:t>
      </w:r>
      <w:r w:rsidRPr="007537EC">
        <w:rPr>
          <w:rFonts w:ascii="Verdana" w:hAnsi="Verdana" w:cs="Arial"/>
          <w:sz w:val="22"/>
          <w:szCs w:val="22"/>
          <w:lang w:val="es-ES"/>
        </w:rPr>
        <w:t>”</w:t>
      </w:r>
    </w:p>
    <w:p w14:paraId="02CA30D5" w14:textId="77777777" w:rsidR="00430885" w:rsidRDefault="00430885" w:rsidP="00430885">
      <w:pPr>
        <w:spacing w:line="276" w:lineRule="auto"/>
        <w:jc w:val="both"/>
        <w:rPr>
          <w:rFonts w:ascii="Verdana" w:hAnsi="Verdana" w:cs="Arial"/>
          <w:bCs/>
          <w:color w:val="000000" w:themeColor="text1"/>
          <w:lang w:val="es-ES"/>
        </w:rPr>
      </w:pPr>
    </w:p>
    <w:p w14:paraId="21C01274" w14:textId="2461A70D" w:rsidR="00430885" w:rsidRDefault="00BD33C2" w:rsidP="00430885">
      <w:pPr>
        <w:spacing w:line="276" w:lineRule="auto"/>
        <w:jc w:val="both"/>
        <w:rPr>
          <w:rFonts w:ascii="Verdana" w:hAnsi="Verdana" w:cs="Arial"/>
          <w:bCs/>
          <w:color w:val="000000" w:themeColor="text1"/>
          <w:lang w:val="es-ES"/>
        </w:rPr>
      </w:pPr>
      <w:r w:rsidRPr="00F9055E">
        <w:rPr>
          <w:rFonts w:ascii="Verdana" w:hAnsi="Verdana" w:cs="Arial"/>
          <w:bCs/>
          <w:color w:val="000000" w:themeColor="text1"/>
          <w:lang w:val="es-ES_tradnl"/>
        </w:rPr>
        <w:tab/>
      </w:r>
      <w:r w:rsidR="00430885" w:rsidRPr="00DB7123">
        <w:rPr>
          <w:rFonts w:ascii="Verdana" w:hAnsi="Verdana" w:cs="Arial"/>
          <w:bCs/>
          <w:color w:val="000000" w:themeColor="text1"/>
          <w:lang w:val="es-ES"/>
        </w:rPr>
        <w:t xml:space="preserve">Posteriormente, con la reforma incorporada por la Ley 1474 de 2011, el régimen de contratación estatal quedó integrado por los siguientes procedimientos de selección: i) licitación pública, </w:t>
      </w:r>
      <w:proofErr w:type="spellStart"/>
      <w:r w:rsidR="00430885" w:rsidRPr="00DB7123">
        <w:rPr>
          <w:rFonts w:ascii="Verdana" w:hAnsi="Verdana" w:cs="Arial"/>
          <w:bCs/>
          <w:color w:val="000000" w:themeColor="text1"/>
          <w:lang w:val="es-ES"/>
        </w:rPr>
        <w:t>ii</w:t>
      </w:r>
      <w:proofErr w:type="spellEnd"/>
      <w:r w:rsidR="00430885" w:rsidRPr="00DB7123">
        <w:rPr>
          <w:rFonts w:ascii="Verdana" w:hAnsi="Verdana" w:cs="Arial"/>
          <w:bCs/>
          <w:color w:val="000000" w:themeColor="text1"/>
          <w:lang w:val="es-ES"/>
        </w:rPr>
        <w:t xml:space="preserve">) selección abreviada, </w:t>
      </w:r>
      <w:proofErr w:type="spellStart"/>
      <w:r w:rsidR="00430885" w:rsidRPr="00DB7123">
        <w:rPr>
          <w:rFonts w:ascii="Verdana" w:hAnsi="Verdana" w:cs="Arial"/>
          <w:bCs/>
          <w:color w:val="000000" w:themeColor="text1"/>
          <w:lang w:val="es-ES"/>
        </w:rPr>
        <w:t>iii</w:t>
      </w:r>
      <w:proofErr w:type="spellEnd"/>
      <w:r w:rsidR="00430885" w:rsidRPr="00DB7123">
        <w:rPr>
          <w:rFonts w:ascii="Verdana" w:hAnsi="Verdana" w:cs="Arial"/>
          <w:bCs/>
          <w:color w:val="000000" w:themeColor="text1"/>
          <w:lang w:val="es-ES"/>
        </w:rPr>
        <w:t xml:space="preserve">) concurso de méritos, </w:t>
      </w:r>
      <w:proofErr w:type="spellStart"/>
      <w:r w:rsidR="00430885" w:rsidRPr="00DB7123">
        <w:rPr>
          <w:rFonts w:ascii="Verdana" w:hAnsi="Verdana" w:cs="Arial"/>
          <w:bCs/>
          <w:color w:val="000000" w:themeColor="text1"/>
          <w:lang w:val="es-ES"/>
        </w:rPr>
        <w:t>iv</w:t>
      </w:r>
      <w:proofErr w:type="spellEnd"/>
      <w:r w:rsidR="00430885" w:rsidRPr="00DB7123">
        <w:rPr>
          <w:rFonts w:ascii="Verdana" w:hAnsi="Verdana" w:cs="Arial"/>
          <w:bCs/>
          <w:color w:val="000000" w:themeColor="text1"/>
          <w:lang w:val="es-ES"/>
        </w:rPr>
        <w:t>) mínima cuantía y v) contratación directa.</w:t>
      </w:r>
    </w:p>
    <w:p w14:paraId="6090B306" w14:textId="77777777" w:rsidR="00430885" w:rsidRPr="00F9055E" w:rsidRDefault="00430885" w:rsidP="00430885">
      <w:pPr>
        <w:spacing w:line="276" w:lineRule="auto"/>
        <w:jc w:val="both"/>
        <w:rPr>
          <w:rFonts w:ascii="Verdana" w:hAnsi="Verdana" w:cs="Arial"/>
          <w:bCs/>
          <w:color w:val="000000" w:themeColor="text1"/>
          <w:lang w:val="es-ES"/>
        </w:rPr>
      </w:pPr>
      <w:r w:rsidRPr="00F9055E">
        <w:rPr>
          <w:rFonts w:ascii="Verdana" w:hAnsi="Verdana" w:cs="Arial"/>
          <w:bCs/>
          <w:color w:val="000000" w:themeColor="text1"/>
          <w:lang w:val="es-ES_tradnl"/>
        </w:rPr>
        <w:lastRenderedPageBreak/>
        <w:tab/>
      </w:r>
      <w:r w:rsidRPr="00F9055E">
        <w:rPr>
          <w:rFonts w:ascii="Verdana" w:hAnsi="Verdana" w:cs="Arial"/>
          <w:bCs/>
          <w:color w:val="000000" w:themeColor="text1"/>
        </w:rPr>
        <w:t>Cada uno de estos procedimientos contempla las etapas necesarias para la adquisición de obras, bienes y servicios, razón por la cual corresponde a cada entidad estatal estructurar sus procesos de contratación, en estricto respeto del principio de legalidad y de las disposiciones que regulan la materia.</w:t>
      </w:r>
    </w:p>
    <w:p w14:paraId="2A30D794" w14:textId="083F195C" w:rsidR="00430885" w:rsidRDefault="00430885" w:rsidP="00430885">
      <w:pPr>
        <w:spacing w:line="276" w:lineRule="auto"/>
        <w:jc w:val="both"/>
        <w:rPr>
          <w:rFonts w:ascii="Verdana" w:eastAsia="Calibri" w:hAnsi="Verdana" w:cs="Arial"/>
          <w:color w:val="000000" w:themeColor="text1"/>
        </w:rPr>
      </w:pPr>
      <w:r w:rsidRPr="00F9055E">
        <w:rPr>
          <w:rFonts w:ascii="Verdana" w:hAnsi="Verdana" w:cs="Arial"/>
          <w:bCs/>
          <w:color w:val="000000" w:themeColor="text1"/>
          <w:lang w:val="es-ES_tradnl"/>
        </w:rPr>
        <w:tab/>
      </w:r>
      <w:r>
        <w:rPr>
          <w:rFonts w:ascii="Verdana" w:hAnsi="Verdana" w:cs="Arial"/>
          <w:bCs/>
          <w:color w:val="000000" w:themeColor="text1"/>
          <w:lang w:val="es-ES_tradnl"/>
        </w:rPr>
        <w:t xml:space="preserve">Ahora bien, en relación con </w:t>
      </w:r>
      <w:r w:rsidRPr="00F9055E">
        <w:rPr>
          <w:rFonts w:ascii="Verdana" w:eastAsia="Calibri" w:hAnsi="Verdana" w:cs="Arial"/>
          <w:color w:val="000000" w:themeColor="text1"/>
        </w:rPr>
        <w:t>la selección abreviada, el numeral 2 del artículo 2 de la Ley 1150 de 2007</w:t>
      </w:r>
      <w:r w:rsidR="00082304">
        <w:rPr>
          <w:rFonts w:ascii="Verdana" w:eastAsia="Calibri" w:hAnsi="Verdana" w:cs="Arial"/>
          <w:color w:val="000000" w:themeColor="text1"/>
        </w:rPr>
        <w:t xml:space="preserve"> </w:t>
      </w:r>
      <w:r w:rsidRPr="00F9055E">
        <w:rPr>
          <w:rStyle w:val="Refdenotaalpie"/>
          <w:rFonts w:ascii="Verdana" w:eastAsia="Calibri" w:hAnsi="Verdana" w:cs="Arial"/>
          <w:color w:val="000000" w:themeColor="text1"/>
        </w:rPr>
        <w:footnoteReference w:id="2"/>
      </w:r>
      <w:r w:rsidRPr="00F9055E">
        <w:rPr>
          <w:rFonts w:ascii="Verdana" w:eastAsia="Calibri" w:hAnsi="Verdana" w:cs="Arial"/>
          <w:color w:val="000000" w:themeColor="text1"/>
        </w:rPr>
        <w:t xml:space="preserve"> dispone que “[…] corresponde a la modalidad de selección objetiva prevista para aquellos casos en </w:t>
      </w:r>
      <w:proofErr w:type="gramStart"/>
      <w:r w:rsidRPr="00F9055E">
        <w:rPr>
          <w:rFonts w:ascii="Verdana" w:eastAsia="Calibri" w:hAnsi="Verdana" w:cs="Arial"/>
          <w:color w:val="000000" w:themeColor="text1"/>
        </w:rPr>
        <w:t>que</w:t>
      </w:r>
      <w:proofErr w:type="gramEnd"/>
      <w:r w:rsidRPr="00F9055E">
        <w:rPr>
          <w:rFonts w:ascii="Verdana" w:eastAsia="Calibri" w:hAnsi="Verdana" w:cs="Arial"/>
          <w:color w:val="000000" w:themeColor="text1"/>
        </w:rPr>
        <w:t xml:space="preserve"> por las características del objeto a contratar, las circunstancias de la contratación o la cuantía o destinación del bien, obra o </w:t>
      </w:r>
      <w:proofErr w:type="gramStart"/>
      <w:r w:rsidRPr="00F9055E">
        <w:rPr>
          <w:rFonts w:ascii="Verdana" w:eastAsia="Calibri" w:hAnsi="Verdana" w:cs="Arial"/>
          <w:color w:val="000000" w:themeColor="text1"/>
        </w:rPr>
        <w:t>servicio,</w:t>
      </w:r>
      <w:proofErr w:type="gramEnd"/>
      <w:r w:rsidRPr="00F9055E">
        <w:rPr>
          <w:rFonts w:ascii="Verdana" w:eastAsia="Calibri" w:hAnsi="Verdana" w:cs="Arial"/>
          <w:color w:val="000000" w:themeColor="text1"/>
        </w:rPr>
        <w:t xml:space="preserve"> puedan adelantarse procesos simplificados </w:t>
      </w:r>
      <w:r w:rsidRPr="00F9055E">
        <w:rPr>
          <w:rFonts w:ascii="Verdana" w:eastAsia="Calibri" w:hAnsi="Verdana" w:cs="Arial"/>
          <w:color w:val="000000" w:themeColor="text1"/>
        </w:rPr>
        <w:lastRenderedPageBreak/>
        <w:t>para garantizar la eficiencia de la gestión contractual”, regulando cada una de las c</w:t>
      </w:r>
      <w:r w:rsidR="002762BD">
        <w:rPr>
          <w:rFonts w:ascii="Verdana" w:eastAsia="Calibri" w:hAnsi="Verdana" w:cs="Arial"/>
          <w:color w:val="000000" w:themeColor="text1"/>
        </w:rPr>
        <w:t>a</w:t>
      </w:r>
      <w:r w:rsidRPr="00F9055E">
        <w:rPr>
          <w:rFonts w:ascii="Verdana" w:eastAsia="Calibri" w:hAnsi="Verdana" w:cs="Arial"/>
          <w:color w:val="000000" w:themeColor="text1"/>
        </w:rPr>
        <w:t>usales</w:t>
      </w:r>
      <w:r>
        <w:rPr>
          <w:rFonts w:ascii="Verdana" w:eastAsia="Calibri" w:hAnsi="Verdana" w:cs="Arial"/>
          <w:color w:val="000000" w:themeColor="text1"/>
        </w:rPr>
        <w:t>.</w:t>
      </w:r>
    </w:p>
    <w:p w14:paraId="71D9C409" w14:textId="36E5BAF3" w:rsidR="00B01A18" w:rsidRPr="00D1470B" w:rsidRDefault="00430885" w:rsidP="00CC2A0F">
      <w:pPr>
        <w:spacing w:line="276" w:lineRule="auto"/>
        <w:ind w:firstLine="708"/>
        <w:jc w:val="both"/>
        <w:rPr>
          <w:rFonts w:ascii="Verdana" w:eastAsia="Calibri" w:hAnsi="Verdana" w:cs="Arial"/>
          <w:color w:val="000000" w:themeColor="text1"/>
        </w:rPr>
      </w:pPr>
      <w:bookmarkStart w:id="2" w:name="_Hlk39174727"/>
      <w:r w:rsidRPr="00C56D57">
        <w:rPr>
          <w:rFonts w:ascii="Verdana" w:eastAsia="Calibri" w:hAnsi="Verdana" w:cs="Arial"/>
          <w:color w:val="000000" w:themeColor="text1"/>
        </w:rPr>
        <w:t xml:space="preserve">Este procedimiento, conforme a la reglamentación que adopte el Gobierno Nacional, tiene como finalidad facilitar y acelerar la contratación estatal en aquellos supuestos en los que no resulta </w:t>
      </w:r>
      <w:r>
        <w:rPr>
          <w:rFonts w:ascii="Verdana" w:eastAsia="Calibri" w:hAnsi="Verdana" w:cs="Arial"/>
          <w:color w:val="000000" w:themeColor="text1"/>
        </w:rPr>
        <w:t>necesario</w:t>
      </w:r>
      <w:r w:rsidRPr="00C56D57">
        <w:rPr>
          <w:rFonts w:ascii="Verdana" w:eastAsia="Calibri" w:hAnsi="Verdana" w:cs="Arial"/>
          <w:color w:val="000000" w:themeColor="text1"/>
        </w:rPr>
        <w:t xml:space="preserve"> acudir a la licitación pública, sin que ello implique restringir la libre concurrencia de los interesados, como sucede en la contratación directa. En tal sentido, se erige como un instrumento de selección objetiva que promueve una participación más amplia de proponentes, al tiempo que preserva los principios de eficacia y eficiencia que orientan el desarrollo del proceso contractual. En la exposición de motivos se indica lo siguiente</w:t>
      </w:r>
      <w:bookmarkEnd w:id="2"/>
      <w:r>
        <w:rPr>
          <w:rFonts w:ascii="Verdana" w:eastAsia="Calibri" w:hAnsi="Verdana" w:cs="Arial"/>
          <w:color w:val="000000" w:themeColor="text1"/>
        </w:rPr>
        <w:t>:</w:t>
      </w:r>
    </w:p>
    <w:p w14:paraId="4193EAA3" w14:textId="1B06A0B9" w:rsidR="00430885" w:rsidRPr="0000427C" w:rsidRDefault="00430885" w:rsidP="00430885">
      <w:pPr>
        <w:spacing w:after="120"/>
        <w:ind w:left="709" w:right="709"/>
        <w:jc w:val="both"/>
        <w:rPr>
          <w:rFonts w:ascii="Verdana" w:eastAsia="Calibri" w:hAnsi="Verdana" w:cs="Arial"/>
          <w:color w:val="000000" w:themeColor="text1"/>
          <w:sz w:val="21"/>
          <w:szCs w:val="21"/>
        </w:rPr>
      </w:pPr>
      <w:r w:rsidRPr="0000427C">
        <w:rPr>
          <w:rFonts w:ascii="Verdana" w:eastAsia="Calibri" w:hAnsi="Verdana" w:cs="Arial"/>
          <w:color w:val="000000" w:themeColor="text1"/>
          <w:sz w:val="21"/>
          <w:szCs w:val="21"/>
        </w:rPr>
        <w:t>“– Si bien la Licitación Pública sigue siendo la regla general, la misma pasa a reservarse para los procesos en los que la complejidad del objeto a contratar amerita la larga y cuidadosa ponderación de factores técnicos y económicos de las propuestas</w:t>
      </w:r>
      <w:r w:rsidR="0000427C" w:rsidRPr="0000427C">
        <w:rPr>
          <w:rFonts w:ascii="Verdana" w:eastAsia="Calibri" w:hAnsi="Verdana" w:cs="Arial"/>
          <w:color w:val="000000" w:themeColor="text1"/>
          <w:sz w:val="21"/>
          <w:szCs w:val="21"/>
        </w:rPr>
        <w:t xml:space="preserve"> </w:t>
      </w:r>
      <w:r w:rsidRPr="0000427C">
        <w:rPr>
          <w:rFonts w:ascii="Verdana" w:eastAsia="Calibri" w:hAnsi="Verdana" w:cs="Arial"/>
          <w:color w:val="000000" w:themeColor="text1"/>
          <w:sz w:val="21"/>
          <w:szCs w:val="21"/>
        </w:rPr>
        <w:t>[…].</w:t>
      </w:r>
    </w:p>
    <w:p w14:paraId="629D4382" w14:textId="704F4241" w:rsidR="00430885" w:rsidRPr="0000427C" w:rsidRDefault="00430885" w:rsidP="00430885">
      <w:pPr>
        <w:spacing w:after="120"/>
        <w:ind w:left="709" w:right="709"/>
        <w:jc w:val="both"/>
        <w:rPr>
          <w:rFonts w:ascii="Verdana" w:eastAsia="Calibri" w:hAnsi="Verdana" w:cs="Arial"/>
          <w:color w:val="000000" w:themeColor="text1"/>
          <w:sz w:val="21"/>
          <w:szCs w:val="21"/>
        </w:rPr>
      </w:pPr>
      <w:r w:rsidRPr="0000427C">
        <w:rPr>
          <w:rFonts w:ascii="Verdana" w:eastAsia="Calibri" w:hAnsi="Verdana" w:cs="Arial"/>
          <w:color w:val="000000" w:themeColor="text1"/>
          <w:sz w:val="21"/>
          <w:szCs w:val="21"/>
        </w:rPr>
        <w:t>– Se crea la llamada “selección abreviada”, para permitir la existencia de procedimientos de selección que, basados estrictamente en los principios cardinales de la contratación pública, permitan de manera ágil la adopción de decisiones de selección. En el sentido antedicho, las innovaciones del proceso de selección abreviada empiezan por una medida trascendental, para llevar a sólo horas los contratos referidos a la adquisición bienes de</w:t>
      </w:r>
      <w:r w:rsidR="001F59FE" w:rsidRPr="0000427C">
        <w:rPr>
          <w:rFonts w:ascii="Verdana" w:eastAsia="Calibri" w:hAnsi="Verdana" w:cs="Arial"/>
          <w:color w:val="000000" w:themeColor="text1"/>
          <w:sz w:val="21"/>
          <w:szCs w:val="21"/>
        </w:rPr>
        <w:t xml:space="preserve"> </w:t>
      </w:r>
      <w:r w:rsidRPr="0000427C">
        <w:rPr>
          <w:rFonts w:ascii="Verdana" w:eastAsia="Calibri" w:hAnsi="Verdana" w:cs="Arial"/>
          <w:color w:val="000000" w:themeColor="text1"/>
          <w:sz w:val="21"/>
          <w:szCs w:val="21"/>
        </w:rPr>
        <w:t>“características técnicas uniformes y de común utilización” […].</w:t>
      </w:r>
    </w:p>
    <w:p w14:paraId="454DCB13" w14:textId="4B9814CE" w:rsidR="00B01A18" w:rsidRPr="0000427C" w:rsidRDefault="00430885" w:rsidP="00CC2A0F">
      <w:pPr>
        <w:ind w:left="709" w:right="709"/>
        <w:jc w:val="both"/>
        <w:rPr>
          <w:rFonts w:ascii="Verdana" w:eastAsia="Calibri" w:hAnsi="Verdana" w:cs="Arial"/>
          <w:color w:val="000000" w:themeColor="text1"/>
          <w:sz w:val="21"/>
          <w:szCs w:val="21"/>
        </w:rPr>
      </w:pPr>
      <w:r w:rsidRPr="0000427C">
        <w:rPr>
          <w:rFonts w:ascii="Verdana" w:eastAsia="Calibri" w:hAnsi="Verdana" w:cs="Arial"/>
          <w:color w:val="000000" w:themeColor="text1"/>
          <w:sz w:val="21"/>
          <w:szCs w:val="21"/>
        </w:rPr>
        <w:t>– Adicionalmente en esta categoría se recoge la llamada “menor cuantía” (sólo aplicable en lo sucesivo a bienes o servicios diferentes de los anteriores), así como otros procesos que por su naturaleza o circunstancias deben ser objeto de tratamiento expedido, tales como la defensa y seguridad nacional, entre otras”</w:t>
      </w:r>
      <w:r w:rsidRPr="0000427C">
        <w:rPr>
          <w:rStyle w:val="Refdenotaalpie"/>
          <w:rFonts w:ascii="Verdana" w:eastAsia="Calibri" w:hAnsi="Verdana" w:cs="Arial"/>
          <w:color w:val="000000" w:themeColor="text1"/>
          <w:sz w:val="21"/>
          <w:szCs w:val="21"/>
        </w:rPr>
        <w:footnoteReference w:id="3"/>
      </w:r>
      <w:r w:rsidRPr="0000427C">
        <w:rPr>
          <w:rFonts w:ascii="Verdana" w:eastAsia="Calibri" w:hAnsi="Verdana" w:cs="Arial"/>
          <w:color w:val="000000" w:themeColor="text1"/>
          <w:sz w:val="21"/>
          <w:szCs w:val="21"/>
        </w:rPr>
        <w:t>.</w:t>
      </w:r>
    </w:p>
    <w:p w14:paraId="4959A2F5" w14:textId="77777777" w:rsidR="00430885" w:rsidRDefault="00430885" w:rsidP="00430885">
      <w:pPr>
        <w:spacing w:line="276" w:lineRule="auto"/>
        <w:ind w:firstLine="708"/>
        <w:jc w:val="both"/>
        <w:rPr>
          <w:rFonts w:ascii="Verdana" w:eastAsia="Calibri" w:hAnsi="Verdana" w:cs="Arial"/>
          <w:color w:val="000000" w:themeColor="text1"/>
        </w:rPr>
      </w:pPr>
      <w:r w:rsidRPr="000B0D79">
        <w:rPr>
          <w:rFonts w:ascii="Verdana" w:eastAsia="Calibri" w:hAnsi="Verdana" w:cs="Arial"/>
          <w:color w:val="000000" w:themeColor="text1"/>
        </w:rPr>
        <w:t xml:space="preserve">De esta manera, la selección abreviada se caracteriza por tener etapas un poco sencillas y términos relativamente más cortos que los de la licitación pública, lo cual se justifica por las circunstancias, la naturaleza y los objetos que se contratan a través de esta modalidad, los cuales requieren de procedimientos un poco más agiles, sencillos y eficientes. A continuación, el Decreto 1082 de </w:t>
      </w:r>
      <w:r w:rsidRPr="000B0D79">
        <w:rPr>
          <w:rFonts w:ascii="Verdana" w:eastAsia="Calibri" w:hAnsi="Verdana" w:cs="Arial"/>
          <w:color w:val="000000" w:themeColor="text1"/>
        </w:rPr>
        <w:lastRenderedPageBreak/>
        <w:t xml:space="preserve">2015 desarrolla las causales, regulando el pliego de condiciones, el procedimiento, las etapas, entre otros. Según el Consejo de Estado, el propósito </w:t>
      </w:r>
      <w:r w:rsidRPr="00B05B20">
        <w:rPr>
          <w:rFonts w:ascii="Verdana" w:eastAsia="Calibri" w:hAnsi="Verdana" w:cs="Arial"/>
          <w:color w:val="000000" w:themeColor="text1"/>
        </w:rPr>
        <w:t>del legislador es “[…] proveer de mayor agilidad y eficiencia la contratación de algunos bienes o servicios, en los que es deseable la concurrencia de oferentes, pero no en los términos y condiciones de una licitación pública, sino de manera abreviada o, en términos de la ley, simplificada”</w:t>
      </w:r>
      <w:r w:rsidRPr="00B05B20">
        <w:rPr>
          <w:rStyle w:val="Refdenotaalpie"/>
          <w:rFonts w:ascii="Verdana" w:eastAsia="Calibri" w:hAnsi="Verdana" w:cs="Arial"/>
          <w:color w:val="000000" w:themeColor="text1"/>
        </w:rPr>
        <w:footnoteReference w:id="4"/>
      </w:r>
      <w:r w:rsidRPr="00B05B20">
        <w:rPr>
          <w:rFonts w:ascii="Verdana" w:eastAsia="Calibri" w:hAnsi="Verdana" w:cs="Arial"/>
          <w:color w:val="000000" w:themeColor="text1"/>
        </w:rPr>
        <w:t xml:space="preserve">. </w:t>
      </w:r>
    </w:p>
    <w:p w14:paraId="0ECD69DF" w14:textId="77777777" w:rsidR="00430885" w:rsidRPr="00BA7D01" w:rsidRDefault="00430885" w:rsidP="00430885">
      <w:pPr>
        <w:spacing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En línea con lo anterior y con e</w:t>
      </w:r>
      <w:r w:rsidRPr="00F37DC5">
        <w:rPr>
          <w:rFonts w:ascii="Verdana" w:eastAsia="Calibri" w:hAnsi="Verdana" w:cs="Arial"/>
          <w:color w:val="000000" w:themeColor="text1"/>
        </w:rPr>
        <w:t>l fin de materializar dicha finalidad de uniformidad y eficiencia en los procesos de selección</w:t>
      </w:r>
      <w:r>
        <w:rPr>
          <w:rFonts w:ascii="Verdana" w:eastAsia="Calibri" w:hAnsi="Verdana" w:cs="Arial"/>
          <w:color w:val="000000" w:themeColor="text1"/>
        </w:rPr>
        <w:t xml:space="preserve">; </w:t>
      </w:r>
      <w:r w:rsidRPr="003B26EF">
        <w:rPr>
          <w:rFonts w:ascii="Verdana" w:eastAsia="Calibri" w:hAnsi="Verdana" w:cs="Arial"/>
          <w:color w:val="000000" w:themeColor="text1"/>
        </w:rPr>
        <w:t>el ordenamiento jurídico incorporó mecanismos dirigidos a estandarizar las reglas aplicables a determinados procedimientos de contratación.</w:t>
      </w:r>
    </w:p>
    <w:p w14:paraId="796353D2" w14:textId="77777777" w:rsidR="00430885" w:rsidRPr="009552C8" w:rsidRDefault="00430885" w:rsidP="00430885">
      <w:pPr>
        <w:snapToGrid w:val="0"/>
        <w:spacing w:after="120" w:line="276" w:lineRule="auto"/>
        <w:jc w:val="both"/>
        <w:rPr>
          <w:rFonts w:ascii="Verdana" w:eastAsia="Calibri" w:hAnsi="Verdana" w:cs="Arial"/>
          <w:lang w:val="es-ES_tradnl"/>
        </w:rPr>
      </w:pPr>
      <w:r w:rsidRPr="009552C8">
        <w:rPr>
          <w:rFonts w:ascii="Verdana" w:eastAsia="Calibri" w:hAnsi="Verdana" w:cs="Arial"/>
          <w:lang w:val="es-ES_tradnl"/>
        </w:rPr>
        <w:t xml:space="preserve">Los documentos tipo expedidos por la Agencia Nacional de Contratación Pública </w:t>
      </w:r>
      <w:r w:rsidRPr="009552C8">
        <w:rPr>
          <w:rFonts w:ascii="Symbol" w:eastAsia="Symbol" w:hAnsi="Symbol" w:cs="Symbol"/>
          <w:lang w:val="es-ES_tradnl"/>
        </w:rPr>
        <w:t>-</w:t>
      </w:r>
      <w:r w:rsidRPr="009552C8">
        <w:rPr>
          <w:rFonts w:ascii="Verdana" w:eastAsia="Calibri"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estos. </w:t>
      </w:r>
    </w:p>
    <w:p w14:paraId="729387E3" w14:textId="77777777" w:rsidR="00430885" w:rsidRPr="009552C8" w:rsidRDefault="00430885" w:rsidP="00430885">
      <w:pPr>
        <w:snapToGrid w:val="0"/>
        <w:spacing w:after="120" w:line="276" w:lineRule="auto"/>
        <w:ind w:firstLine="644"/>
        <w:jc w:val="both"/>
        <w:rPr>
          <w:rFonts w:ascii="Verdana" w:eastAsia="Calibri" w:hAnsi="Verdana" w:cs="Arial"/>
          <w:lang w:val="es-ES_tradnl"/>
        </w:rPr>
      </w:pPr>
      <w:r w:rsidRPr="009552C8">
        <w:rPr>
          <w:rFonts w:ascii="Verdana" w:eastAsia="Calibri" w:hAnsi="Verdana" w:cs="Times New Roman"/>
          <w:lang w:val="es-ES_tradnl"/>
        </w:rPr>
        <w:t>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9552C8">
        <w:rPr>
          <w:rFonts w:ascii="Verdana" w:eastAsia="Calibri" w:hAnsi="Verdana" w:cs="Times New Roman"/>
          <w:vertAlign w:val="superscript"/>
          <w:lang w:val="es-ES_tradnl"/>
        </w:rPr>
        <w:footnoteReference w:id="5"/>
      </w:r>
      <w:r w:rsidRPr="009552C8">
        <w:rPr>
          <w:rFonts w:ascii="Verdana" w:eastAsia="Calibri" w:hAnsi="Verdana" w:cs="Times New Roman"/>
          <w:lang w:val="es-ES_tradnl"/>
        </w:rPr>
        <w:t>.</w:t>
      </w:r>
    </w:p>
    <w:p w14:paraId="20D0FF2F" w14:textId="77777777" w:rsidR="00430885" w:rsidRDefault="00430885" w:rsidP="00430885">
      <w:pPr>
        <w:snapToGrid w:val="0"/>
        <w:spacing w:after="120" w:line="276" w:lineRule="auto"/>
        <w:ind w:firstLine="644"/>
        <w:jc w:val="both"/>
        <w:rPr>
          <w:rFonts w:ascii="Verdana" w:eastAsia="Calibri" w:hAnsi="Verdana" w:cs="Arial"/>
          <w:bCs/>
          <w:lang w:val="es-ES_tradnl"/>
        </w:rPr>
      </w:pPr>
      <w:r w:rsidRPr="009552C8">
        <w:rPr>
          <w:rFonts w:ascii="Verdana" w:eastAsia="Calibri" w:hAnsi="Verdana" w:cs="Arial"/>
          <w:bCs/>
          <w:lang w:val="es-ES_tradnl"/>
        </w:rPr>
        <w:t>En el sector de infraestructura de transporte, la Agencia Nacional de Contratación Pública – Colombia Compra Eficiente expidió documentos tipo</w:t>
      </w:r>
      <w:r w:rsidRPr="009552C8">
        <w:rPr>
          <w:rFonts w:ascii="Verdana" w:eastAsia="Calibri" w:hAnsi="Verdana" w:cs="Arial"/>
          <w:bCs/>
          <w:vertAlign w:val="superscript"/>
          <w:lang w:val="es-ES_tradnl"/>
        </w:rPr>
        <w:footnoteReference w:id="6"/>
      </w:r>
      <w:r w:rsidRPr="009552C8">
        <w:rPr>
          <w:rFonts w:ascii="Verdana" w:eastAsia="Calibri" w:hAnsi="Verdana" w:cs="Arial"/>
          <w:bCs/>
          <w:lang w:val="es-ES_tradnl"/>
        </w:rPr>
        <w:t xml:space="preserve"> para contratar obras públicas en ese sector, bajo las modalidades de selección de licitación pública, selección abreviada de menor cuantía y mínima cuantía. Así </w:t>
      </w:r>
      <w:r w:rsidRPr="009552C8">
        <w:rPr>
          <w:rFonts w:ascii="Verdana" w:eastAsia="Calibri" w:hAnsi="Verdana" w:cs="Arial"/>
          <w:bCs/>
          <w:lang w:val="es-ES_tradnl"/>
        </w:rPr>
        <w:lastRenderedPageBreak/>
        <w:t>mismo, esta Agencia adoptó documentos tipo de concurso de méritos para contratar la interventoría y la consultoría de estudios de ingeniería de infraestructura de transporte</w:t>
      </w:r>
      <w:r w:rsidRPr="009552C8">
        <w:rPr>
          <w:rFonts w:ascii="Verdana" w:eastAsia="Calibri" w:hAnsi="Verdana" w:cs="Arial"/>
          <w:bCs/>
          <w:vertAlign w:val="superscript"/>
          <w:lang w:val="es-ES_tradnl"/>
        </w:rPr>
        <w:footnoteReference w:id="7"/>
      </w:r>
      <w:r w:rsidRPr="009552C8">
        <w:rPr>
          <w:rFonts w:ascii="Verdana" w:eastAsia="Calibri" w:hAnsi="Verdana" w:cs="Arial"/>
          <w:bCs/>
          <w:lang w:val="es-ES_tradnl"/>
        </w:rPr>
        <w:t xml:space="preserve">. </w:t>
      </w:r>
    </w:p>
    <w:p w14:paraId="6BD0BD7B" w14:textId="77777777" w:rsidR="00C83F92" w:rsidRPr="009552C8" w:rsidRDefault="00C83F92" w:rsidP="00430885">
      <w:pPr>
        <w:snapToGrid w:val="0"/>
        <w:spacing w:after="120" w:line="276" w:lineRule="auto"/>
        <w:ind w:firstLine="644"/>
        <w:jc w:val="both"/>
        <w:rPr>
          <w:rFonts w:ascii="Verdana" w:eastAsia="Calibri" w:hAnsi="Verdana" w:cs="Arial"/>
          <w:lang w:val="es-ES_tradnl"/>
        </w:rPr>
      </w:pPr>
    </w:p>
    <w:p w14:paraId="0CDA8153" w14:textId="77777777" w:rsidR="00430885" w:rsidRPr="009552C8" w:rsidRDefault="00430885" w:rsidP="00430885">
      <w:pPr>
        <w:snapToGrid w:val="0"/>
        <w:spacing w:after="120" w:line="276" w:lineRule="auto"/>
        <w:ind w:firstLine="644"/>
        <w:jc w:val="both"/>
        <w:rPr>
          <w:rFonts w:ascii="Verdana" w:eastAsia="Times New Roman" w:hAnsi="Verdana" w:cs="Arial"/>
          <w:kern w:val="2"/>
          <w:shd w:val="clear" w:color="auto" w:fill="FFFFFF"/>
          <w:lang w:val="es-ES_tradnl" w:eastAsia="es-ES_tradnl"/>
          <w14:ligatures w14:val="standardContextual"/>
        </w:rPr>
      </w:pPr>
      <w:r w:rsidRPr="009552C8">
        <w:rPr>
          <w:rFonts w:ascii="Verdana" w:eastAsia="Times New Roman" w:hAnsi="Verdana" w:cs="Arial"/>
          <w:kern w:val="2"/>
          <w:shd w:val="clear" w:color="auto" w:fill="FFFFFF"/>
          <w:lang w:val="es-ES" w:eastAsia="es-ES"/>
          <w14:ligatures w14:val="standardContextual"/>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9552C8">
        <w:rPr>
          <w:rFonts w:ascii="Verdana" w:eastAsia="Times New Roman" w:hAnsi="Verdana" w:cs="Arial"/>
          <w:kern w:val="2"/>
          <w:highlight w:val="lightGray"/>
          <w:shd w:val="clear" w:color="auto" w:fill="FFFFFF"/>
          <w:lang w:val="es-ES" w:eastAsia="es-ES"/>
          <w14:ligatures w14:val="standardContextual"/>
        </w:rPr>
        <w:t>–[texto]–</w:t>
      </w:r>
      <w:r w:rsidRPr="009552C8">
        <w:rPr>
          <w:rFonts w:ascii="Verdana" w:eastAsia="Times New Roman" w:hAnsi="Verdana" w:cs="Arial"/>
          <w:kern w:val="2"/>
          <w:shd w:val="clear" w:color="auto" w:fill="FFFFFF"/>
          <w:lang w:val="es-ES" w:eastAsia="es-ES"/>
          <w14:ligatures w14:val="standardContextual"/>
        </w:rPr>
        <w:t xml:space="preserve">, para lo cual deberán observarse las instrucciones contenidas en los mismos para su diligenciamiento. </w:t>
      </w:r>
      <w:r w:rsidRPr="009552C8">
        <w:rPr>
          <w:rFonts w:ascii="Verdana" w:eastAsia="Times New Roman" w:hAnsi="Verdana" w:cs="Arial"/>
          <w:kern w:val="2"/>
          <w:shd w:val="clear" w:color="auto" w:fill="FFFFFF"/>
          <w:lang w:val="es-ES_tradnl" w:eastAsia="es-ES_tradnl"/>
          <w14:ligatures w14:val="standardContextual"/>
        </w:rPr>
        <w:t>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w:t>
      </w:r>
    </w:p>
    <w:p w14:paraId="359FF910" w14:textId="77777777" w:rsidR="00430885" w:rsidRPr="009552C8" w:rsidRDefault="00430885" w:rsidP="00430885">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9552C8">
        <w:rPr>
          <w:rFonts w:ascii="Verdana" w:eastAsia="Calibri" w:hAnsi="Verdana" w:cs="Arial"/>
          <w:bCs/>
          <w:lang w:val="es-ES"/>
        </w:rPr>
        <w:t xml:space="preserve">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w:t>
      </w:r>
      <w:r w:rsidRPr="009552C8">
        <w:rPr>
          <w:rFonts w:ascii="Verdana" w:eastAsia="Calibri" w:hAnsi="Verdana" w:cs="Arial"/>
          <w:bCs/>
          <w:lang w:val="es-ES"/>
        </w:rPr>
        <w:lastRenderedPageBreak/>
        <w:t>están dentro del ámbito de aplicación de las resoluciones expedidas por esta Agencia mediante las cuales se adoptan documentos tipo.</w:t>
      </w:r>
    </w:p>
    <w:p w14:paraId="55229F39" w14:textId="77777777" w:rsidR="00430885" w:rsidRPr="009552C8" w:rsidRDefault="00430885" w:rsidP="00430885">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9552C8">
        <w:rPr>
          <w:rFonts w:ascii="Verdana" w:eastAsia="Times New Roman" w:hAnsi="Verdana" w:cs="Arial"/>
          <w:kern w:val="2"/>
          <w:shd w:val="clear" w:color="auto" w:fill="FFFFFF"/>
          <w:lang w:val="es-ES_tradnl" w:eastAsia="es-ES_tradnl"/>
          <w14:ligatures w14:val="standardContextual"/>
        </w:rPr>
        <w:t>Uno de los elementos comunes a los diferentes documentos tipo es la “Matriz 1 – Experiencia” –en adelante Matriz 1–. Esta consta de unas celdas en las que se describe la experiencia requerida en relación con el objeto a contratar, definiendo además qué tipo de actividades relacionadas con cada sector deben acogerse a los pliegos tipo. Por otro lado, encontramos el “Anexo 3 – Glosario”, el cual contiene las definiciones de los términos usados en los documentos del proceso. Utilizando estos dos documentos, la entidad estatal puede definir si el objeto a contratarse debe emplear los documentos tipo adoptados por esta Agencia.</w:t>
      </w:r>
    </w:p>
    <w:p w14:paraId="2C432154" w14:textId="77777777" w:rsidR="00430885" w:rsidRPr="009552C8" w:rsidRDefault="00430885" w:rsidP="00430885">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9552C8">
        <w:rPr>
          <w:rFonts w:ascii="Verdana" w:eastAsia="Times New Roman" w:hAnsi="Verdana" w:cs="Arial"/>
          <w:kern w:val="2"/>
          <w:shd w:val="clear" w:color="auto" w:fill="FFFFFF"/>
          <w:lang w:val="es-ES_tradnl" w:eastAsia="es-ES_tradnl"/>
          <w14:ligatures w14:val="standardContextual"/>
        </w:rPr>
        <w:t>La Matriz 1,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26626244" w14:textId="77777777" w:rsidR="00430885" w:rsidRPr="009552C8" w:rsidRDefault="00430885" w:rsidP="00430885">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9552C8">
        <w:rPr>
          <w:rFonts w:ascii="Verdana" w:eastAsia="Times New Roman" w:hAnsi="Verdana" w:cs="Arial"/>
          <w:kern w:val="2"/>
          <w:shd w:val="clear" w:color="auto" w:fill="FFFFFF"/>
          <w:lang w:val="es-ES_tradnl" w:eastAsia="es-ES_tradnl"/>
          <w14:ligatures w14:val="standardContextual"/>
        </w:rPr>
        <w:t>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2760A0DF" w14:textId="77777777" w:rsidR="00430885" w:rsidRPr="009552C8" w:rsidRDefault="00430885" w:rsidP="00430885">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9552C8">
        <w:rPr>
          <w:rFonts w:ascii="Verdana" w:eastAsia="Times New Roman" w:hAnsi="Verdana" w:cs="Arial"/>
          <w:bCs/>
          <w:kern w:val="2"/>
          <w:shd w:val="clear" w:color="auto" w:fill="FFFFFF"/>
          <w:lang w:val="es-ES_tradnl" w:eastAsia="es-ES_tradnl"/>
          <w14:ligatures w14:val="standardContextual"/>
        </w:rPr>
        <w:t xml:space="preserve">Así las cosas, en la etapa de planeación, la entidad estatal debe identificar el tipo de obra y las actividades definidas en la “Matriz 1 – Experiencia”, atendiendo al alcance del objeto a contratar. De esta manera, la “experiencia general” y la “experiencia específica” se solicitarán de acuerdo con la actividad a contratar, con la cuantía del procedimiento y teniendo en cuenta las </w:t>
      </w:r>
      <w:r w:rsidRPr="009552C8">
        <w:rPr>
          <w:rFonts w:ascii="Verdana" w:eastAsia="Times New Roman" w:hAnsi="Verdana" w:cs="Arial"/>
          <w:bCs/>
          <w:kern w:val="2"/>
          <w:shd w:val="clear" w:color="auto" w:fill="FFFFFF"/>
          <w:lang w:val="es-ES_tradnl" w:eastAsia="es-ES_tradnl"/>
          <w14:ligatures w14:val="standardContextual"/>
        </w:rPr>
        <w:lastRenderedPageBreak/>
        <w:t>condiciones técnicas requeridas por la entidad, aspecto que deberá acreditarse de acuerdo con las instrucciones establecidas en dicha matriz para cada actividad.</w:t>
      </w:r>
    </w:p>
    <w:p w14:paraId="41086081" w14:textId="77777777" w:rsidR="00430885" w:rsidRPr="009552C8" w:rsidRDefault="00430885" w:rsidP="00430885">
      <w:pPr>
        <w:snapToGrid w:val="0"/>
        <w:spacing w:after="120" w:line="276" w:lineRule="auto"/>
        <w:ind w:firstLine="644"/>
        <w:jc w:val="both"/>
        <w:rPr>
          <w:rFonts w:ascii="Verdana" w:eastAsia="Times New Roman" w:hAnsi="Verdana" w:cs="Arial"/>
          <w:kern w:val="2"/>
          <w:shd w:val="clear" w:color="auto" w:fill="FFFFFF"/>
          <w:lang w:val="es-ES" w:eastAsia="es-ES"/>
          <w14:ligatures w14:val="standardContextual"/>
        </w:rPr>
      </w:pPr>
      <w:r w:rsidRPr="009552C8">
        <w:rPr>
          <w:rFonts w:ascii="Verdana" w:eastAsia="Aptos" w:hAnsi="Verdana" w:cs="Arial"/>
          <w:color w:val="000000"/>
          <w:kern w:val="2"/>
          <w14:ligatures w14:val="standardContextual"/>
        </w:rPr>
        <w:t xml:space="preserve">La Matriz 1 – Experiencia de los documentos tipo de obra pública de infraestructura de transporte, está constituida por nueve (9) tipos de obras de infraestructura de transporte, identificadas con un número y su descripción, las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de infraestructura de transporte, dado que comprenden todas aquellas actividades que constituyen obra pública de infraestructura de transporte y que han sido objeto de estandarización mediante las resoluciones señaladas que adoptan documentos tipo para este sector, en las modalidades de selección de licitación pública, selección abreviada de menor cuantía y mínima cuantía. </w:t>
      </w:r>
    </w:p>
    <w:p w14:paraId="796B185D" w14:textId="77777777" w:rsidR="00430885" w:rsidRPr="009552C8" w:rsidRDefault="00430885" w:rsidP="00430885">
      <w:pPr>
        <w:snapToGrid w:val="0"/>
        <w:spacing w:after="120" w:line="276" w:lineRule="auto"/>
        <w:ind w:firstLine="644"/>
        <w:jc w:val="both"/>
        <w:rPr>
          <w:rFonts w:ascii="Verdana" w:eastAsia="Aptos" w:hAnsi="Verdana" w:cs="Arial"/>
          <w:color w:val="000000"/>
          <w:kern w:val="2"/>
          <w14:ligatures w14:val="standardContextual"/>
        </w:rPr>
      </w:pPr>
      <w:r w:rsidRPr="009552C8">
        <w:rPr>
          <w:rFonts w:ascii="Verdana" w:eastAsia="Aptos" w:hAnsi="Verdana" w:cs="Arial"/>
          <w:color w:val="000000"/>
          <w:kern w:val="2"/>
          <w14:ligatures w14:val="standardContextual"/>
        </w:rPr>
        <w:t>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w:t>
      </w:r>
      <w:r w:rsidRPr="009552C8">
        <w:rPr>
          <w:rFonts w:ascii="Verdana" w:eastAsia="Aptos" w:hAnsi="Verdana" w:cs="Arial"/>
          <w:color w:val="000000"/>
          <w:kern w:val="2"/>
          <w:sz w:val="24"/>
          <w:szCs w:val="24"/>
          <w14:ligatures w14:val="standardContextual"/>
        </w:rPr>
        <w:t xml:space="preserve">. </w:t>
      </w:r>
    </w:p>
    <w:p w14:paraId="1C92B062"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9552C8">
        <w:rPr>
          <w:rFonts w:ascii="Verdana" w:eastAsia="Aptos" w:hAnsi="Verdana" w:cs="Arial"/>
          <w:color w:val="000000"/>
          <w:kern w:val="2"/>
          <w14:ligatures w14:val="standardContextual"/>
        </w:rPr>
        <w:t>En relación con su solicitud, debe indicarse que la Matriz 1 establece las siguientes actividades relacionadas con aquella por la que usted indaga, teniendo en cuenta que se presentan como obras complementarias o conexas a la ejecución de proyectos de infraestructura de transporte, y bajo las cuales podría enmarcarse la actividad a la que hace referencia</w:t>
      </w:r>
      <w:r>
        <w:rPr>
          <w:rFonts w:ascii="Verdana" w:eastAsia="Aptos" w:hAnsi="Verdana" w:cs="Arial"/>
          <w:color w:val="000000"/>
          <w:kern w:val="2"/>
          <w14:ligatures w14:val="standardContextual"/>
        </w:rPr>
        <w:t>:</w:t>
      </w:r>
    </w:p>
    <w:p w14:paraId="4285582C"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10946F26"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074DA5">
        <w:rPr>
          <w:rFonts w:ascii="Verdana" w:eastAsia="Aptos" w:hAnsi="Verdana" w:cs="Arial"/>
          <w:color w:val="000000"/>
          <w:kern w:val="2"/>
          <w14:ligatures w14:val="standardContextual"/>
        </w:rPr>
        <w:t>En consideración con lo anterior, hay que señalar que la matriz-1 Experiencia de Mínima cuantía, establece el capítulo “2. OBRAS EN VIAS TERCIARIAS” y en consideración con el objeto del proceso de selección que menciona el peticionario “MANTENIMIENTO Y MEJORAMIENTO DE LAS VÍAS TERCIARIAS DE DIFÍCIL ACCESO DEL CORREGIMIENTO Y ZONAS APARTADAS”, éste, se podría enmarcar en alguna de las siguientes actividades relacionadas en la Matriz-1:</w:t>
      </w:r>
    </w:p>
    <w:p w14:paraId="2978AC25"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1570C8C8"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D12478">
        <w:rPr>
          <w:rFonts w:ascii="Verdana" w:eastAsia="Aptos" w:hAnsi="Verdana" w:cs="Arial"/>
          <w:color w:val="000000"/>
          <w:kern w:val="2"/>
          <w14:ligatures w14:val="standardContextual"/>
        </w:rPr>
        <w:t>Actividad: “2.2 MEJORAMIENTO EN VÍAS TERCIARIAS.” para la cual se establece la siguiente Experiencia General y Especifica:</w:t>
      </w:r>
    </w:p>
    <w:p w14:paraId="22D3631F"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228E5429"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D12478">
        <w:rPr>
          <w:rFonts w:ascii="Verdana" w:eastAsia="Aptos" w:hAnsi="Verdana" w:cs="Arial"/>
          <w:color w:val="000000"/>
          <w:kern w:val="2"/>
          <w14:ligatures w14:val="standardContextual"/>
        </w:rPr>
        <w:t>General: “CONSTRUCCIÓN O RECONSTRUCCIÓN O MEJORAMIENTO EN PAVIMENTO ASFALTICO O CONCRETO HIDRÁULICO O PLACA HUELLA O ASFALTO NATURAL O ASFALTITA O  PAVIMENTO ARTICULADO O ADOQUINADO DE VÍAS PRIMARIAS O SECUNDARIAS O VÍAS TERCIARIAS O VIAS URBANAS O PISTAS DE AEROPUERTOS”</w:t>
      </w:r>
    </w:p>
    <w:p w14:paraId="493F6FB4"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074DA5">
        <w:rPr>
          <w:rFonts w:ascii="Verdana" w:eastAsia="Aptos" w:hAnsi="Verdana" w:cs="Arial"/>
          <w:color w:val="000000"/>
          <w:kern w:val="2"/>
          <w14:ligatures w14:val="standardContextual"/>
        </w:rPr>
        <w:t>Específica: “Por lo menos uno (1) de los contratos válidos aportados como experiencia general cuenta con una longitud Intervenida que corresponda al 50% de la longitud de vía a intervenir mediante el presente proceso de contratación.”</w:t>
      </w:r>
    </w:p>
    <w:p w14:paraId="21AD18D2"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089DEE42"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074DA5">
        <w:rPr>
          <w:rFonts w:ascii="Verdana" w:eastAsia="Aptos" w:hAnsi="Verdana" w:cs="Arial"/>
          <w:color w:val="000000"/>
          <w:kern w:val="2"/>
          <w14:ligatures w14:val="standardContextual"/>
        </w:rPr>
        <w:t>Actividad: “2.4 MANTENIMIENTO RUTINARIO O PERIÓDICO EN VÍAS TERCIARIAS ”, para la cual se establece la siguiente Experiencia General y Especifica:</w:t>
      </w:r>
    </w:p>
    <w:p w14:paraId="2DCA15C5"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3CB1FE75"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074DA5">
        <w:rPr>
          <w:rFonts w:ascii="Verdana" w:eastAsia="Aptos" w:hAnsi="Verdana" w:cs="Arial"/>
          <w:color w:val="000000"/>
          <w:kern w:val="2"/>
          <w14:ligatures w14:val="standardContextual"/>
        </w:rPr>
        <w:t>General: “CONSTRUCCIÓN O MEJORAMIENTO O MANTENIMIENTO RUTINARIO O MANTENIMIENTO PERIÓDICO O RECONSTRUCCIÓN O REHABILITACIÓN O REPAVIMENTACIÓN O PAVIMENTACIÓN O CONSERVACIÓN DE CARRETERAS PRIMARIAS O SECUNDARIAS O VÍAS TERCIARIAS O VIAS URBANAS O PISTAS DE AEROPUERTOS O PLACA HUELLAS O ASFALTO NATURAL O ASFALTITA O  PAVIMENTO ARTICULADO O ADOQUINADO EN VÍAS TERCIARIAS.”</w:t>
      </w:r>
    </w:p>
    <w:p w14:paraId="137BAAD2"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0A54E560"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074DA5">
        <w:rPr>
          <w:rFonts w:ascii="Verdana" w:eastAsia="Aptos" w:hAnsi="Verdana" w:cs="Arial"/>
          <w:color w:val="000000"/>
          <w:kern w:val="2"/>
          <w14:ligatures w14:val="standardContextual"/>
        </w:rPr>
        <w:t>Especifica: “[La Entidad analizará y justificará la inclusión del siguiente requisito de experiencia específica en sus estudios previos en relación con los proyectos de mantenimiento rutinario - rocería:</w:t>
      </w:r>
    </w:p>
    <w:p w14:paraId="75F0585B"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207A9C03"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074DA5">
        <w:rPr>
          <w:rFonts w:ascii="Verdana" w:eastAsia="Aptos" w:hAnsi="Verdana" w:cs="Arial"/>
          <w:color w:val="000000"/>
          <w:kern w:val="2"/>
          <w14:ligatures w14:val="standardContextual"/>
        </w:rPr>
        <w:t>Por lo menos uno (1) de los contratos válidos aportados como experiencia general debe acreditar que fueron realizados MANTENIMIENTOS RUTINARIOS tipo rocería o similares de acuerdo con las guías y manuales vigentes en la materia.”</w:t>
      </w:r>
    </w:p>
    <w:p w14:paraId="1ABFE9CC"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4F78EE42"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074DA5">
        <w:rPr>
          <w:rFonts w:ascii="Verdana" w:eastAsia="Aptos" w:hAnsi="Verdana" w:cs="Arial"/>
          <w:color w:val="000000"/>
          <w:kern w:val="2"/>
          <w14:ligatures w14:val="standardContextual"/>
        </w:rPr>
        <w:lastRenderedPageBreak/>
        <w:t>Ahora bien, respecto al alcance del proyecto a ejecutar y la forma pago de las actividades a ejecutar y que harán parte del objeto del proceso de selección, le corresponde a la Entidad que estructura el proceso de selección determinar estos aspectos, que igualmente deben estar considerados en los estudios previos y en la Invitación de Mínima cuantía “MÍNIMA CUANTÍA DE INFRAESTRUCTURA DE TRANSPORTE – VERSIÓN 2” .</w:t>
      </w:r>
    </w:p>
    <w:p w14:paraId="6D5927D3"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p>
    <w:p w14:paraId="1059BF4B" w14:textId="77777777" w:rsidR="00430885" w:rsidRDefault="00430885" w:rsidP="00430885">
      <w:pPr>
        <w:spacing w:after="0" w:line="278" w:lineRule="auto"/>
        <w:ind w:firstLine="644"/>
        <w:jc w:val="both"/>
        <w:rPr>
          <w:rFonts w:ascii="Verdana" w:eastAsia="Aptos" w:hAnsi="Verdana" w:cs="Arial"/>
          <w:color w:val="000000"/>
          <w:kern w:val="2"/>
          <w14:ligatures w14:val="standardContextual"/>
        </w:rPr>
      </w:pPr>
      <w:r w:rsidRPr="00074DA5">
        <w:rPr>
          <w:rFonts w:ascii="Verdana" w:eastAsia="Aptos" w:hAnsi="Verdana" w:cs="Arial"/>
          <w:color w:val="000000"/>
          <w:kern w:val="2"/>
          <w14:ligatures w14:val="standardContextual"/>
        </w:rPr>
        <w:t>En consecuencia de lo anterior, bajo este entendido, le corresponde a la Entidad revisar el alcance del proyecto a ejecutar dentro de sus estudios previos y establecer si dicho alcance se enmarca en alguna de las actividades señaladas con anterioridad, sobre lo que se determinará la obligatoriedad sobre el uso y/o aplicación de los documentos tipo. De esta forma, si el proceso de la solicitud, se enmarca en alguna de las actividades indicadas, la entidad tendrá la obligatoriedad de hacer uso de los documentos tipo del sector transporte.</w:t>
      </w:r>
    </w:p>
    <w:p w14:paraId="5E0C5A77" w14:textId="77777777" w:rsidR="00430885" w:rsidRPr="00EF54B1" w:rsidRDefault="00430885" w:rsidP="00430885">
      <w:pPr>
        <w:spacing w:after="0" w:line="278" w:lineRule="auto"/>
        <w:ind w:firstLine="644"/>
        <w:jc w:val="both"/>
        <w:rPr>
          <w:rFonts w:ascii="Verdana" w:eastAsia="Aptos" w:hAnsi="Verdana" w:cs="Arial"/>
          <w:color w:val="000000"/>
          <w:kern w:val="2"/>
          <w14:ligatures w14:val="standardContextual"/>
        </w:rPr>
      </w:pPr>
    </w:p>
    <w:p w14:paraId="1AF7663E" w14:textId="77777777" w:rsidR="00430885" w:rsidRPr="003C11CA" w:rsidRDefault="00430885" w:rsidP="00430885">
      <w:pPr>
        <w:spacing w:after="120" w:line="276" w:lineRule="auto"/>
        <w:ind w:firstLine="709"/>
        <w:jc w:val="both"/>
        <w:rPr>
          <w:rFonts w:ascii="Verdana" w:eastAsia="Calibri" w:hAnsi="Verdana" w:cs="Arial"/>
          <w:color w:val="000000" w:themeColor="text1"/>
          <w:kern w:val="2"/>
          <w:shd w:val="clear" w:color="auto" w:fill="FFFFFF"/>
          <w:lang w:val="es-ES_tradnl"/>
          <w14:ligatures w14:val="standardContextual"/>
        </w:rPr>
      </w:pPr>
      <w:r w:rsidRPr="003C11CA">
        <w:rPr>
          <w:rFonts w:ascii="Verdana" w:eastAsia="Calibri" w:hAnsi="Verdana" w:cs="Arial"/>
          <w:color w:val="000000" w:themeColor="text1"/>
          <w:kern w:val="2"/>
          <w:shd w:val="clear" w:color="auto" w:fill="FFFFFF"/>
          <w:lang w:val="es-ES_tradnl"/>
          <w14:ligatures w14:val="standardContextual"/>
        </w:rPr>
        <w:t xml:space="preserve">En todo caso, es importante recordar que las Entidades Estatales deben utilizar las versiones vigentes de los documentos tipo, así como los documentos que estas contengan, los cuales pueden ser descargados a través de la página web de Colombia Compra Eficiente, sin que puedan modificar los aspectos que los mismos documentos tipo no permitan de manera expresa. </w:t>
      </w:r>
    </w:p>
    <w:p w14:paraId="201A184A" w14:textId="77777777" w:rsidR="00430885" w:rsidRPr="00C60F4D" w:rsidRDefault="00430885" w:rsidP="00430885">
      <w:pPr>
        <w:snapToGrid w:val="0"/>
        <w:spacing w:after="0" w:line="276" w:lineRule="auto"/>
        <w:ind w:firstLine="709"/>
        <w:jc w:val="both"/>
        <w:rPr>
          <w:rFonts w:ascii="Verdana" w:eastAsia="Calibri" w:hAnsi="Verdana" w:cs="Arial"/>
          <w:color w:val="3399FF"/>
          <w:lang w:val="es-ES_tradnl" w:eastAsia="es-ES"/>
        </w:rPr>
      </w:pPr>
    </w:p>
    <w:p w14:paraId="24229877" w14:textId="77777777" w:rsidR="00430885" w:rsidRPr="00EF54B1" w:rsidRDefault="00430885" w:rsidP="00430885">
      <w:pPr>
        <w:numPr>
          <w:ilvl w:val="0"/>
          <w:numId w:val="18"/>
        </w:numPr>
        <w:tabs>
          <w:tab w:val="left" w:pos="142"/>
          <w:tab w:val="left" w:pos="284"/>
        </w:tabs>
        <w:snapToGrid w:val="0"/>
        <w:spacing w:after="0" w:line="276" w:lineRule="auto"/>
        <w:ind w:left="357" w:hanging="357"/>
        <w:jc w:val="both"/>
        <w:rPr>
          <w:rFonts w:ascii="Verdana" w:eastAsia="Century Gothic" w:hAnsi="Verdana" w:cs="Century Gothic"/>
          <w:b/>
          <w:bCs/>
          <w:color w:val="000000" w:themeColor="text1"/>
          <w:lang w:val="es-ES_tradnl"/>
        </w:rPr>
      </w:pPr>
      <w:r w:rsidRPr="00EF54B1">
        <w:rPr>
          <w:rFonts w:ascii="Verdana" w:eastAsia="Century Gothic" w:hAnsi="Verdana" w:cs="Century Gothic"/>
          <w:b/>
          <w:bCs/>
          <w:color w:val="000000" w:themeColor="text1"/>
          <w:lang w:val="es-ES_tradnl"/>
        </w:rPr>
        <w:t>Referencias normativas, jurisprudenciales y otras fuentes:</w:t>
      </w:r>
    </w:p>
    <w:p w14:paraId="5E3FCEF1" w14:textId="77777777" w:rsidR="00430885" w:rsidRPr="00EF54B1" w:rsidRDefault="00430885" w:rsidP="00430885">
      <w:pPr>
        <w:tabs>
          <w:tab w:val="left" w:pos="970"/>
        </w:tabs>
        <w:spacing w:after="0" w:line="276" w:lineRule="auto"/>
        <w:ind w:left="-15840"/>
        <w:jc w:val="both"/>
        <w:rPr>
          <w:rFonts w:ascii="Verdana" w:eastAsia="Calibri" w:hAnsi="Verdana" w:cs="Arial"/>
          <w:b/>
          <w:bCs/>
          <w:color w:val="000000" w:themeColor="text1"/>
        </w:rPr>
      </w:pPr>
      <w:r w:rsidRPr="00EF54B1">
        <w:rPr>
          <w:rFonts w:ascii="Verdana" w:eastAsia="Calibri" w:hAnsi="Verdana" w:cs="Arial"/>
          <w:b/>
          <w:bCs/>
          <w:color w:val="000000" w:themeColor="text1"/>
        </w:rPr>
        <w:t>4. Referencias normativas, jurisprudenciales y otras fuentes:</w:t>
      </w:r>
      <w:r w:rsidRPr="00EF54B1">
        <w:rPr>
          <w:rFonts w:ascii="Verdana" w:eastAsia="Calibri" w:hAnsi="Verdana" w:cs="Arial"/>
          <w:b/>
          <w:bCs/>
          <w:color w:val="000000" w:themeColor="text1"/>
        </w:rPr>
        <w:tab/>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430885" w:rsidRPr="00EF54B1" w14:paraId="4EC52EA4" w14:textId="77777777" w:rsidTr="00DE72B2">
        <w:trPr>
          <w:trHeight w:val="242"/>
        </w:trPr>
        <w:tc>
          <w:tcPr>
            <w:tcW w:w="8647" w:type="dxa"/>
            <w:tcBorders>
              <w:top w:val="dotted" w:sz="4" w:space="0" w:color="auto"/>
              <w:left w:val="dotted" w:sz="4" w:space="0" w:color="auto"/>
              <w:bottom w:val="dotted" w:sz="4" w:space="0" w:color="auto"/>
              <w:right w:val="dotted" w:sz="4" w:space="0" w:color="auto"/>
            </w:tcBorders>
          </w:tcPr>
          <w:p w14:paraId="50F2D8DA" w14:textId="77777777" w:rsidR="00430885" w:rsidRDefault="00430885" w:rsidP="00DE72B2">
            <w:pPr>
              <w:widowControl w:val="0"/>
              <w:autoSpaceDE w:val="0"/>
              <w:autoSpaceDN w:val="0"/>
              <w:snapToGrid w:val="0"/>
              <w:spacing w:after="120"/>
              <w:ind w:left="714"/>
              <w:jc w:val="both"/>
              <w:rPr>
                <w:rFonts w:ascii="Verdana" w:eastAsia="Calibri" w:hAnsi="Verdana" w:cs="Arial"/>
                <w:color w:val="000000" w:themeColor="text1"/>
                <w:lang w:val="es-ES_tradnl"/>
              </w:rPr>
            </w:pPr>
          </w:p>
          <w:p w14:paraId="0F761337" w14:textId="77777777" w:rsidR="00430885" w:rsidRPr="009552C8" w:rsidRDefault="00430885" w:rsidP="00DE72B2">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9552C8">
              <w:rPr>
                <w:rFonts w:ascii="Verdana" w:eastAsia="Calibri" w:hAnsi="Verdana" w:cs="Arial"/>
                <w:lang w:val="es-ES_tradnl"/>
              </w:rPr>
              <w:t xml:space="preserve">Ley 2022 de 2020, artículo 1. </w:t>
            </w:r>
          </w:p>
          <w:p w14:paraId="3FCBEDA9" w14:textId="77777777" w:rsidR="00430885" w:rsidRDefault="00430885" w:rsidP="00DE72B2">
            <w:pPr>
              <w:widowControl w:val="0"/>
              <w:numPr>
                <w:ilvl w:val="0"/>
                <w:numId w:val="17"/>
              </w:numPr>
              <w:autoSpaceDE w:val="0"/>
              <w:autoSpaceDN w:val="0"/>
              <w:spacing w:line="276" w:lineRule="auto"/>
              <w:jc w:val="both"/>
              <w:rPr>
                <w:rFonts w:ascii="Verdana" w:eastAsia="Calibri" w:hAnsi="Verdana" w:cs="Arial"/>
              </w:rPr>
            </w:pPr>
            <w:r w:rsidRPr="009552C8">
              <w:rPr>
                <w:rFonts w:ascii="Verdana" w:eastAsia="Calibri" w:hAnsi="Verdana" w:cs="Arial"/>
              </w:rPr>
              <w:t>Ley 1150 de 2007, artículo 2.</w:t>
            </w:r>
          </w:p>
          <w:p w14:paraId="0D694D94" w14:textId="77777777" w:rsidR="00430885" w:rsidRPr="009552C8" w:rsidRDefault="00430885" w:rsidP="00DE72B2">
            <w:pPr>
              <w:widowControl w:val="0"/>
              <w:numPr>
                <w:ilvl w:val="0"/>
                <w:numId w:val="17"/>
              </w:numPr>
              <w:autoSpaceDE w:val="0"/>
              <w:autoSpaceDN w:val="0"/>
              <w:spacing w:line="276" w:lineRule="auto"/>
              <w:jc w:val="both"/>
              <w:rPr>
                <w:rFonts w:ascii="Verdana" w:eastAsia="Calibri" w:hAnsi="Verdana" w:cs="Arial"/>
              </w:rPr>
            </w:pPr>
            <w:r w:rsidRPr="00BD0AC6">
              <w:rPr>
                <w:rFonts w:ascii="Verdana" w:eastAsia="Calibri" w:hAnsi="Verdana" w:cs="Arial"/>
              </w:rPr>
              <w:t xml:space="preserve">CONSEJO DE ESTADO. Sección Tercera. Subsección A. Sentencia del 23 de julio de 2015. </w:t>
            </w:r>
            <w:proofErr w:type="spellStart"/>
            <w:r w:rsidRPr="00BD0AC6">
              <w:rPr>
                <w:rFonts w:ascii="Verdana" w:eastAsia="Calibri" w:hAnsi="Verdana" w:cs="Arial"/>
              </w:rPr>
              <w:t>Exp</w:t>
            </w:r>
            <w:proofErr w:type="spellEnd"/>
            <w:r w:rsidRPr="00BD0AC6">
              <w:rPr>
                <w:rFonts w:ascii="Verdana" w:eastAsia="Calibri" w:hAnsi="Verdana" w:cs="Arial"/>
              </w:rPr>
              <w:t>. 36.805. C. P. Hernán Andrade Rincón.</w:t>
            </w:r>
          </w:p>
          <w:p w14:paraId="1BD1F0CC" w14:textId="77777777" w:rsidR="00430885" w:rsidRPr="00AA40E6" w:rsidRDefault="00430885" w:rsidP="00DE72B2">
            <w:pPr>
              <w:widowControl w:val="0"/>
              <w:numPr>
                <w:ilvl w:val="0"/>
                <w:numId w:val="17"/>
              </w:numPr>
              <w:autoSpaceDE w:val="0"/>
              <w:autoSpaceDN w:val="0"/>
              <w:snapToGrid w:val="0"/>
              <w:ind w:left="714" w:hanging="357"/>
              <w:jc w:val="both"/>
              <w:rPr>
                <w:rFonts w:ascii="Verdana" w:eastAsia="Calibri" w:hAnsi="Verdana" w:cs="Arial"/>
                <w:color w:val="000000" w:themeColor="text1"/>
                <w:lang w:val="es-ES"/>
              </w:rPr>
            </w:pPr>
            <w:r w:rsidRPr="009552C8">
              <w:rPr>
                <w:rFonts w:ascii="Verdana" w:eastAsia="Calibri" w:hAnsi="Verdana" w:cs="Arial"/>
                <w:lang w:val="es-ES_tradnl"/>
              </w:rPr>
              <w:t xml:space="preserve">Documentos Tipo. Disponibles en: </w:t>
            </w:r>
            <w:hyperlink r:id="rId23" w:history="1">
              <w:r w:rsidRPr="009552C8">
                <w:rPr>
                  <w:rFonts w:ascii="Verdana" w:eastAsia="Calibri" w:hAnsi="Verdana" w:cs="Arial"/>
                  <w:color w:val="0000FF"/>
                  <w:u w:val="single"/>
                  <w:lang w:val="es-ES_tradnl"/>
                </w:rPr>
                <w:t>https://www.colombiacompra.gov.co/documentos-tipo/documentos-tipo</w:t>
              </w:r>
            </w:hyperlink>
          </w:p>
          <w:p w14:paraId="600F8744" w14:textId="77777777" w:rsidR="00430885" w:rsidRPr="00EF54B1" w:rsidRDefault="00430885" w:rsidP="00DE72B2">
            <w:pPr>
              <w:widowControl w:val="0"/>
              <w:autoSpaceDE w:val="0"/>
              <w:autoSpaceDN w:val="0"/>
              <w:snapToGrid w:val="0"/>
              <w:ind w:left="714"/>
              <w:jc w:val="both"/>
              <w:rPr>
                <w:rFonts w:ascii="Verdana" w:eastAsia="Calibri" w:hAnsi="Verdana" w:cs="Arial"/>
                <w:color w:val="000000" w:themeColor="text1"/>
                <w:lang w:val="es-ES"/>
              </w:rPr>
            </w:pPr>
          </w:p>
        </w:tc>
      </w:tr>
    </w:tbl>
    <w:p w14:paraId="7D9B3BD7" w14:textId="77777777" w:rsidR="00430885" w:rsidRPr="00EF54B1" w:rsidRDefault="00430885" w:rsidP="00430885">
      <w:pPr>
        <w:tabs>
          <w:tab w:val="left" w:pos="142"/>
          <w:tab w:val="left" w:pos="284"/>
        </w:tabs>
        <w:spacing w:after="0" w:line="276" w:lineRule="auto"/>
        <w:jc w:val="both"/>
        <w:rPr>
          <w:rFonts w:ascii="Verdana" w:eastAsia="Calibri" w:hAnsi="Verdana" w:cs="Arial"/>
          <w:color w:val="000000" w:themeColor="text1"/>
        </w:rPr>
      </w:pPr>
    </w:p>
    <w:p w14:paraId="4753A762" w14:textId="77777777" w:rsidR="00430885" w:rsidRPr="00EF54B1" w:rsidRDefault="00430885" w:rsidP="00430885">
      <w:pPr>
        <w:tabs>
          <w:tab w:val="left" w:pos="142"/>
          <w:tab w:val="left" w:pos="284"/>
        </w:tabs>
        <w:spacing w:after="0" w:line="276" w:lineRule="auto"/>
        <w:jc w:val="both"/>
        <w:rPr>
          <w:rFonts w:ascii="Verdana" w:eastAsia="Century Gothic" w:hAnsi="Verdana" w:cs="Century Gothic"/>
          <w:b/>
          <w:bCs/>
          <w:color w:val="000000" w:themeColor="text1"/>
          <w:lang w:val="es-ES"/>
        </w:rPr>
      </w:pPr>
      <w:r w:rsidRPr="00EF54B1">
        <w:rPr>
          <w:rFonts w:ascii="Verdana" w:eastAsia="Calibri" w:hAnsi="Verdana" w:cs="Arial"/>
          <w:b/>
          <w:bCs/>
          <w:color w:val="000000" w:themeColor="text1"/>
        </w:rPr>
        <w:t>5</w:t>
      </w:r>
      <w:r w:rsidRPr="00EF54B1">
        <w:rPr>
          <w:rFonts w:ascii="Verdana" w:eastAsia="Calibri" w:hAnsi="Verdana" w:cs="Arial"/>
          <w:color w:val="000000" w:themeColor="text1"/>
        </w:rPr>
        <w:t>.</w:t>
      </w:r>
      <w:r w:rsidRPr="00EF54B1">
        <w:rPr>
          <w:rFonts w:ascii="Verdana" w:eastAsia="Century Gothic" w:hAnsi="Verdana" w:cs="Century Gothic"/>
          <w:b/>
          <w:bCs/>
          <w:color w:val="000000" w:themeColor="text1"/>
          <w:lang w:val="es-ES"/>
        </w:rPr>
        <w:t>Doctrina de la Agencia Nacional de Contratación Pública:</w:t>
      </w:r>
    </w:p>
    <w:p w14:paraId="6F49333D" w14:textId="77777777" w:rsidR="00430885" w:rsidRPr="00374710" w:rsidRDefault="00430885" w:rsidP="00430885">
      <w:pPr>
        <w:widowControl w:val="0"/>
        <w:autoSpaceDE w:val="0"/>
        <w:autoSpaceDN w:val="0"/>
        <w:spacing w:after="0" w:line="276" w:lineRule="auto"/>
        <w:jc w:val="both"/>
        <w:rPr>
          <w:rFonts w:ascii="Verdana" w:eastAsia="Calibri" w:hAnsi="Verdana" w:cs="Arial"/>
          <w:color w:val="000000" w:themeColor="text1"/>
        </w:rPr>
      </w:pPr>
    </w:p>
    <w:p w14:paraId="663FA6CA" w14:textId="77777777" w:rsidR="00430885" w:rsidRPr="00374710" w:rsidRDefault="00430885" w:rsidP="00430885">
      <w:pPr>
        <w:spacing w:after="0" w:line="276" w:lineRule="auto"/>
        <w:jc w:val="both"/>
        <w:rPr>
          <w:rFonts w:ascii="Verdana" w:eastAsia="Times New Roman" w:hAnsi="Verdana" w:cs="Arial"/>
          <w:color w:val="000000" w:themeColor="text1"/>
          <w:shd w:val="clear" w:color="auto" w:fill="FFFFFF"/>
          <w:lang w:val="es-ES"/>
        </w:rPr>
      </w:pPr>
      <w:r w:rsidRPr="00374710">
        <w:rPr>
          <w:rFonts w:ascii="Verdana" w:eastAsia="Calibri" w:hAnsi="Verdana" w:cs="Arial"/>
          <w:color w:val="000000" w:themeColor="text1"/>
          <w:shd w:val="clear" w:color="auto" w:fill="FFFFFF"/>
        </w:rPr>
        <w:lastRenderedPageBreak/>
        <w:t>L</w:t>
      </w:r>
      <w:r w:rsidRPr="00374710">
        <w:rPr>
          <w:rFonts w:ascii="Verdana" w:eastAsia="Calibri" w:hAnsi="Verdana" w:cs="Arial"/>
          <w:color w:val="000000" w:themeColor="text1"/>
          <w:shd w:val="clear" w:color="auto" w:fill="FFFFFF"/>
          <w:lang w:val="es-ES"/>
        </w:rPr>
        <w:t xml:space="preserve">a Agencia Nacional de Contratación Pública – Colombia Compra Eficiente se ha pronunciado sobre el fundamento normativo de los documentos tipo en los conceptos </w:t>
      </w:r>
      <w:r w:rsidRPr="00374710">
        <w:rPr>
          <w:rFonts w:ascii="Verdana" w:eastAsia="Times New Roman" w:hAnsi="Verdana" w:cs="Arial"/>
          <w:color w:val="000000" w:themeColor="text1"/>
          <w:shd w:val="clear" w:color="auto" w:fill="FFFFFF"/>
          <w:lang w:val="es-ES"/>
        </w:rPr>
        <w:t>C-653 del 9 de noviembre de 2020, C-665 del 11 de noviembre de 2020, C-698 del 19 de noviembre de 2020, C-716 del 30 de noviembre de 2020, C-775 de 2020 del 11 de diciembre de 2020, C-798 del 25 de enero de 2021, C-027 del 1 de marzo de 2021 y C-204 del 6 de mayo de 2021, C-215 del 12 de mayo de 2021, C-224 del 20 de mayo, C-264 del 2 de junio del 2021, C-268 del 3 de junio de 2021,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C- 272 del 22 de agosto de 2024, C- 516 del 07 de octubre de 2024, C- 481 del 09 de noviembre de 2024, C-692 del 19 de noviembre de 2024, C-753 del 4 de enero de 2024,  C-133 del 10 de marzo de 2025</w:t>
      </w:r>
      <w:r w:rsidRPr="00374710">
        <w:rPr>
          <w:rFonts w:ascii="Verdana" w:eastAsia="Geomanist Light" w:hAnsi="Verdana" w:cs="Arial"/>
          <w:lang w:val="es-MX"/>
        </w:rPr>
        <w:t xml:space="preserve">. </w:t>
      </w:r>
      <w:r w:rsidRPr="00374710">
        <w:rPr>
          <w:rFonts w:ascii="Verdana" w:eastAsia="Times New Roman" w:hAnsi="Verdana" w:cs="Arial"/>
          <w:color w:val="000000" w:themeColor="text1"/>
          <w:shd w:val="clear" w:color="auto" w:fill="FFFFFF"/>
          <w:lang w:val="es-ES"/>
        </w:rPr>
        <w:t>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24" w:tgtFrame="_blank" w:tooltip="Dirección URL original: https://relatoria.colombiacompra.gov.co/. Haga clic o pulse si confía en este vínculo." w:history="1">
        <w:r w:rsidRPr="00374710">
          <w:rPr>
            <w:rFonts w:ascii="Verdana" w:eastAsia="Times New Roman" w:hAnsi="Verdana" w:cs="Arial"/>
            <w:color w:val="000000" w:themeColor="text1"/>
            <w:shd w:val="clear" w:color="auto" w:fill="FFFFFF"/>
            <w:lang w:val="es-ES"/>
          </w:rPr>
          <w:t>https://relatoria.colombiacompra.gov.co/</w:t>
        </w:r>
      </w:hyperlink>
      <w:r w:rsidRPr="00374710">
        <w:rPr>
          <w:rFonts w:ascii="Verdana" w:eastAsia="Times New Roman" w:hAnsi="Verdana" w:cs="Arial"/>
          <w:color w:val="000000" w:themeColor="text1"/>
          <w:shd w:val="clear" w:color="auto" w:fill="FFFFFF"/>
          <w:lang w:val="es-ES"/>
        </w:rPr>
        <w:t>.</w:t>
      </w:r>
    </w:p>
    <w:p w14:paraId="32EE8859" w14:textId="77777777" w:rsidR="00430885" w:rsidRDefault="00430885" w:rsidP="00430885">
      <w:pPr>
        <w:spacing w:after="0" w:line="240" w:lineRule="auto"/>
        <w:jc w:val="both"/>
        <w:rPr>
          <w:rFonts w:ascii="Verdana" w:eastAsia="Times New Roman" w:hAnsi="Verdana" w:cs="Arial"/>
          <w:color w:val="000000" w:themeColor="text1"/>
          <w:shd w:val="clear" w:color="auto" w:fill="FFFFFF"/>
          <w:lang w:val="es-ES"/>
        </w:rPr>
      </w:pPr>
    </w:p>
    <w:p w14:paraId="03F18691" w14:textId="77777777" w:rsidR="00430885" w:rsidRPr="009552C8" w:rsidRDefault="00430885" w:rsidP="00430885">
      <w:pPr>
        <w:spacing w:after="0" w:line="278" w:lineRule="auto"/>
        <w:jc w:val="both"/>
        <w:rPr>
          <w:rFonts w:ascii="Verdana" w:eastAsia="Times New Roman" w:hAnsi="Verdana" w:cs="Arial"/>
          <w:shd w:val="clear" w:color="auto" w:fill="FFFFFF"/>
          <w:lang w:val="es-ES"/>
        </w:rPr>
      </w:pPr>
      <w:r w:rsidRPr="009552C8">
        <w:rPr>
          <w:rFonts w:ascii="Verdana" w:eastAsia="Times New Roman" w:hAnsi="Verdana" w:cs="Arial"/>
          <w:shd w:val="clear" w:color="auto" w:fill="FFFFFF"/>
          <w:lang w:val="es-ES"/>
        </w:rPr>
        <w:t>Así mismo, en los conceptos C-085 del 10 de abril de 2023, C-375 del 2 de noviembre de 2023, C-063 del 17 de mayo de 2024, C-120 del 11 de junio de 2024, C-092 del 14 de junio de 2024, C-127 del 28 de junio de 2024, C-276 del 5 de julio de 2024, C-153 del 12 de julio de 2024, C-147 del 17 de julio de 2024, C-229 del 09 de agosto de 2024, C-549 del 15 de octubre de 2024, C-400 del 18 de octubre de 2024, C-587 del 23 de octubre de 2024, C-753 del 4 de diciembre de 2024, C-753 del 4 de diciembre de 2024, C-213 del 6 de marzo de 2025</w:t>
      </w:r>
      <w:r>
        <w:rPr>
          <w:rFonts w:ascii="Verdana" w:eastAsia="Times New Roman" w:hAnsi="Verdana" w:cs="Arial"/>
          <w:shd w:val="clear" w:color="auto" w:fill="FFFFFF"/>
          <w:lang w:val="es-ES"/>
        </w:rPr>
        <w:t xml:space="preserve">, </w:t>
      </w:r>
      <w:r w:rsidRPr="009552C8">
        <w:rPr>
          <w:rFonts w:ascii="Verdana" w:eastAsia="Times New Roman" w:hAnsi="Verdana" w:cs="Arial"/>
          <w:shd w:val="clear" w:color="auto" w:fill="FFFFFF"/>
          <w:lang w:val="es-ES"/>
        </w:rPr>
        <w:t xml:space="preserve"> C-283 del 14 de abril de 2025</w:t>
      </w:r>
      <w:r>
        <w:rPr>
          <w:rFonts w:ascii="Verdana" w:eastAsia="Times New Roman" w:hAnsi="Verdana" w:cs="Arial"/>
          <w:shd w:val="clear" w:color="auto" w:fill="FFFFFF"/>
          <w:lang w:val="es-ES"/>
        </w:rPr>
        <w:t xml:space="preserve"> y </w:t>
      </w:r>
      <w:r>
        <w:rPr>
          <w:rFonts w:ascii="Verdana" w:eastAsia="Times New Roman" w:hAnsi="Verdana" w:cs="Arial"/>
          <w:color w:val="000000" w:themeColor="text1"/>
          <w:shd w:val="clear" w:color="auto" w:fill="FFFFFF"/>
          <w:lang w:val="es-ES"/>
        </w:rPr>
        <w:t xml:space="preserve">C-1068 del </w:t>
      </w:r>
      <w:r>
        <w:rPr>
          <w:rFonts w:ascii="Verdana" w:eastAsia="Geomanist Light" w:hAnsi="Verdana" w:cs="Arial"/>
          <w:kern w:val="2"/>
          <w:lang w:val="es-MX"/>
          <w14:ligatures w14:val="standardContextual"/>
        </w:rPr>
        <w:t>12 de septiembre de 2025</w:t>
      </w:r>
      <w:r w:rsidRPr="009552C8">
        <w:rPr>
          <w:rFonts w:ascii="Verdana" w:eastAsia="Times New Roman" w:hAnsi="Verdana" w:cs="Arial"/>
          <w:shd w:val="clear" w:color="auto" w:fill="FFFFFF"/>
          <w:lang w:val="es-ES"/>
        </w:rPr>
        <w:t xml:space="preserve">, esta Agencia se pronunció sobre la Matriz 1 – Experiencia de los documentos tipo de infraestructura de transporte. </w:t>
      </w:r>
    </w:p>
    <w:p w14:paraId="63C4200C" w14:textId="77777777" w:rsidR="00430885" w:rsidRPr="009552C8" w:rsidRDefault="00430885" w:rsidP="00430885">
      <w:pPr>
        <w:widowControl w:val="0"/>
        <w:autoSpaceDE w:val="0"/>
        <w:autoSpaceDN w:val="0"/>
        <w:spacing w:after="0" w:line="276" w:lineRule="auto"/>
        <w:jc w:val="both"/>
        <w:rPr>
          <w:rFonts w:ascii="Verdana" w:eastAsia="Times New Roman" w:hAnsi="Verdana" w:cs="Arial"/>
          <w:shd w:val="clear" w:color="auto" w:fill="FFFFFF"/>
          <w:lang w:val="es-ES"/>
        </w:rPr>
      </w:pPr>
    </w:p>
    <w:p w14:paraId="760E4F1D" w14:textId="77777777" w:rsidR="00430885" w:rsidRPr="00374710" w:rsidRDefault="00430885" w:rsidP="00430885">
      <w:pPr>
        <w:widowControl w:val="0"/>
        <w:autoSpaceDE w:val="0"/>
        <w:autoSpaceDN w:val="0"/>
        <w:spacing w:after="0" w:line="276" w:lineRule="auto"/>
        <w:jc w:val="both"/>
        <w:rPr>
          <w:rFonts w:ascii="Verdana" w:eastAsia="Times New Roman" w:hAnsi="Verdana" w:cs="Arial"/>
          <w:shd w:val="clear" w:color="auto" w:fill="FFFFFF"/>
          <w:lang w:val="es-ES"/>
        </w:rPr>
      </w:pPr>
      <w:r w:rsidRPr="009552C8">
        <w:rPr>
          <w:rFonts w:ascii="Verdana" w:eastAsia="Times New Roman" w:hAnsi="Verdana" w:cs="Arial"/>
          <w:shd w:val="clear" w:color="auto" w:fill="FFFFFF"/>
          <w:lang w:val="es-ES"/>
        </w:rPr>
        <w:lastRenderedPageBreak/>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25" w:tgtFrame="_blank" w:tooltip="Dirección URL original: https://relatoria.colombiacompra.gov.co/. Haga clic o pulse si confía en este vínculo." w:history="1">
        <w:r w:rsidRPr="009552C8">
          <w:rPr>
            <w:rFonts w:ascii="Verdana" w:eastAsia="Calibri" w:hAnsi="Verdana" w:cs="Arial"/>
            <w:color w:val="0000FF"/>
            <w:kern w:val="2"/>
            <w:u w:val="single"/>
            <w:shd w:val="clear" w:color="auto" w:fill="FFFFFF"/>
            <w14:ligatures w14:val="standardContextual"/>
          </w:rPr>
          <w:t>https://relatoria.colombiacompra.gov.co/</w:t>
        </w:r>
      </w:hyperlink>
      <w:r w:rsidRPr="009552C8">
        <w:rPr>
          <w:rFonts w:ascii="Verdana" w:eastAsia="Calibri" w:hAnsi="Verdana" w:cs="Arial"/>
          <w:color w:val="0000FF"/>
          <w:kern w:val="2"/>
          <w:u w:val="single"/>
          <w:shd w:val="clear" w:color="auto" w:fill="FFFFFF"/>
          <w14:ligatures w14:val="standardContextual"/>
        </w:rPr>
        <w:t> .</w:t>
      </w:r>
    </w:p>
    <w:p w14:paraId="1DFDF4D0" w14:textId="77777777" w:rsidR="00430885" w:rsidRPr="00EF54B1" w:rsidRDefault="00430885" w:rsidP="00430885">
      <w:pPr>
        <w:spacing w:after="0" w:line="240" w:lineRule="auto"/>
        <w:jc w:val="both"/>
        <w:rPr>
          <w:rFonts w:ascii="Verdana" w:eastAsia="Calibri" w:hAnsi="Verdana" w:cs="Arial"/>
          <w:color w:val="000000" w:themeColor="text1"/>
          <w:shd w:val="clear" w:color="auto" w:fill="FFFFFF"/>
        </w:rPr>
      </w:pPr>
    </w:p>
    <w:p w14:paraId="32A58AFB" w14:textId="77777777" w:rsidR="00430885" w:rsidRPr="00EF54B1" w:rsidRDefault="00430885" w:rsidP="00430885">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r w:rsidRPr="00EF54B1">
        <w:rPr>
          <w:rFonts w:ascii="Verdana" w:eastAsia="Calibri" w:hAnsi="Verdana" w:cs="Arial"/>
          <w:color w:val="000000" w:themeColor="text1"/>
          <w:kern w:val="2"/>
          <w:shd w:val="clear" w:color="auto" w:fill="FFFFFF"/>
          <w:lang w:val="es-ES_tradnl"/>
          <w14:ligatures w14:val="standardContextual"/>
        </w:rPr>
        <w:t>La</w:t>
      </w:r>
      <w:r w:rsidRPr="00EF54B1">
        <w:rPr>
          <w:rFonts w:ascii="Verdana" w:eastAsia="Calibri" w:hAnsi="Verdana" w:cs="Arial"/>
          <w:b/>
          <w:bCs/>
          <w:color w:val="000000" w:themeColor="text1"/>
          <w:kern w:val="2"/>
          <w:shd w:val="clear" w:color="auto" w:fill="FFFFFF"/>
          <w:lang w:val="es-ES_tradnl"/>
          <w14:ligatures w14:val="standardContextual"/>
        </w:rPr>
        <w:t xml:space="preserve"> Agencia Nacional de Contratación Pública - Colombia Compra Eficiente</w:t>
      </w:r>
      <w:r w:rsidRPr="00EF54B1">
        <w:rPr>
          <w:rFonts w:ascii="Verdana" w:eastAsia="Calibri" w:hAnsi="Verdana" w:cs="Arial"/>
          <w:color w:val="000000" w:themeColor="text1"/>
          <w:kern w:val="2"/>
          <w:shd w:val="clear" w:color="auto" w:fill="FFFFFF"/>
          <w:lang w:val="es-ES_tradnl"/>
          <w14:ligatures w14:val="standardContextual"/>
        </w:rPr>
        <w:t> recomienda a todas las entidades públicas, independientemente de su naturaleza, que gestionan recursos públicos, la aplicación de los </w:t>
      </w:r>
      <w:r w:rsidRPr="00EF54B1">
        <w:rPr>
          <w:rFonts w:ascii="Verdana" w:eastAsia="Calibri" w:hAnsi="Verdana" w:cs="Arial"/>
          <w:b/>
          <w:bCs/>
          <w:color w:val="000000" w:themeColor="text1"/>
          <w:kern w:val="2"/>
          <w:shd w:val="clear" w:color="auto" w:fill="FFFFFF"/>
          <w:lang w:val="es-ES_tradnl"/>
          <w14:ligatures w14:val="standardContextual"/>
        </w:rPr>
        <w:t>Documentos Tipo</w:t>
      </w:r>
      <w:r w:rsidRPr="00EF54B1">
        <w:rPr>
          <w:rFonts w:ascii="Verdana" w:eastAsia="Calibri" w:hAnsi="Verdana" w:cs="Arial"/>
          <w:color w:val="000000" w:themeColor="text1"/>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EF54B1">
        <w:rPr>
          <w:rFonts w:ascii="Verdana" w:eastAsia="Calibri" w:hAnsi="Verdana" w:cs="Arial"/>
          <w:b/>
          <w:bCs/>
          <w:color w:val="000000" w:themeColor="text1"/>
          <w:kern w:val="2"/>
          <w:shd w:val="clear" w:color="auto" w:fill="FFFFFF"/>
          <w:lang w:val="es-ES_tradnl"/>
          <w14:ligatures w14:val="standardContextual"/>
        </w:rPr>
        <w:t>transparencia</w:t>
      </w:r>
      <w:r w:rsidRPr="00EF54B1">
        <w:rPr>
          <w:rFonts w:ascii="Verdana" w:eastAsia="Calibri" w:hAnsi="Verdana" w:cs="Arial"/>
          <w:color w:val="000000" w:themeColor="text1"/>
          <w:kern w:val="2"/>
          <w:shd w:val="clear" w:color="auto" w:fill="FFFFFF"/>
          <w:lang w:val="es-ES_tradnl"/>
          <w14:ligatures w14:val="standardContextual"/>
        </w:rPr>
        <w:t> y promover un proceso de </w:t>
      </w:r>
      <w:r w:rsidRPr="00EF54B1">
        <w:rPr>
          <w:rFonts w:ascii="Verdana" w:eastAsia="Calibri" w:hAnsi="Verdana" w:cs="Arial"/>
          <w:b/>
          <w:bCs/>
          <w:color w:val="000000" w:themeColor="text1"/>
          <w:kern w:val="2"/>
          <w:shd w:val="clear" w:color="auto" w:fill="FFFFFF"/>
          <w:lang w:val="es-ES_tradnl"/>
          <w14:ligatures w14:val="standardContextual"/>
        </w:rPr>
        <w:t>selección objetiva</w:t>
      </w:r>
      <w:r w:rsidRPr="00EF54B1">
        <w:rPr>
          <w:rFonts w:ascii="Verdana" w:eastAsia="Calibri" w:hAnsi="Verdana" w:cs="Arial"/>
          <w:color w:val="000000" w:themeColor="text1"/>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13D19A99" w14:textId="77777777" w:rsidR="00430885" w:rsidRPr="00EF54B1" w:rsidRDefault="00430885" w:rsidP="00430885">
      <w:pPr>
        <w:widowControl w:val="0"/>
        <w:autoSpaceDE w:val="0"/>
        <w:autoSpaceDN w:val="0"/>
        <w:spacing w:after="0" w:line="276" w:lineRule="auto"/>
        <w:jc w:val="both"/>
        <w:rPr>
          <w:rFonts w:ascii="Verdana" w:eastAsia="Calibri" w:hAnsi="Verdana" w:cs="Arial"/>
          <w:color w:val="000000" w:themeColor="text1"/>
          <w:kern w:val="2"/>
          <w:shd w:val="clear" w:color="auto" w:fill="FFFFFF"/>
          <w:lang w:val="es-ES_tradnl"/>
          <w14:ligatures w14:val="standardContextual"/>
        </w:rPr>
      </w:pPr>
    </w:p>
    <w:p w14:paraId="6B24AA22" w14:textId="77777777" w:rsidR="00430885" w:rsidRPr="009552C8" w:rsidRDefault="00430885" w:rsidP="00430885">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789FD049" w14:textId="77777777" w:rsidR="00430885" w:rsidRPr="009552C8" w:rsidRDefault="00430885" w:rsidP="00430885">
      <w:pPr>
        <w:spacing w:after="0" w:line="240" w:lineRule="auto"/>
        <w:jc w:val="both"/>
        <w:rPr>
          <w:rFonts w:ascii="Verdana" w:eastAsia="Aptos" w:hAnsi="Verdana" w:cs="Times New Roman"/>
          <w:kern w:val="2"/>
          <w14:ligatures w14:val="standardContextual"/>
        </w:rPr>
      </w:pPr>
    </w:p>
    <w:p w14:paraId="26067CFA" w14:textId="77777777" w:rsidR="00430885" w:rsidRPr="009552C8" w:rsidRDefault="00430885" w:rsidP="0043088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9552C8">
        <w:rPr>
          <w:rFonts w:ascii="Verdana" w:eastAsia="Calibri" w:hAnsi="Verdana" w:cs="Times New Roman"/>
          <w:color w:val="156082"/>
          <w:kern w:val="2"/>
          <w:u w:val="single"/>
          <w14:ligatures w14:val="standardContextual"/>
        </w:rPr>
        <w:t>@colombiacompra</w:t>
      </w:r>
      <w:r w:rsidRPr="009552C8">
        <w:rPr>
          <w:rFonts w:ascii="Verdana" w:eastAsia="Calibri" w:hAnsi="Verdana" w:cs="Times New Roman"/>
          <w:color w:val="156082"/>
          <w:kern w:val="2"/>
          <w14:ligatures w14:val="standardContextual"/>
        </w:rPr>
        <w:t xml:space="preserve"> </w:t>
      </w:r>
    </w:p>
    <w:p w14:paraId="61F5516B" w14:textId="77777777" w:rsidR="00430885" w:rsidRPr="009552C8" w:rsidRDefault="00430885" w:rsidP="0043088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proofErr w:type="spellStart"/>
      <w:r w:rsidRPr="009552C8">
        <w:rPr>
          <w:rFonts w:ascii="Verdana" w:eastAsia="Calibri" w:hAnsi="Verdana" w:cs="Times New Roman"/>
          <w:color w:val="156082"/>
          <w:kern w:val="2"/>
          <w:u w:val="single"/>
          <w14:ligatures w14:val="standardContextual"/>
        </w:rPr>
        <w:t>ColombiaCompraEficiente</w:t>
      </w:r>
      <w:proofErr w:type="spellEnd"/>
    </w:p>
    <w:p w14:paraId="1B416478" w14:textId="77777777" w:rsidR="00430885" w:rsidRPr="009552C8" w:rsidRDefault="00430885" w:rsidP="00430885">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9552C8">
        <w:rPr>
          <w:rFonts w:ascii="Verdana" w:eastAsia="Calibri" w:hAnsi="Verdana" w:cs="Times New Roman"/>
          <w:color w:val="156082"/>
          <w:kern w:val="2"/>
          <w:u w:val="single"/>
          <w14:ligatures w14:val="standardContextual"/>
        </w:rPr>
        <w:t>Agencia Nacional de Contratación Pública - Colombia Compra Eficiente</w:t>
      </w:r>
      <w:r w:rsidRPr="009552C8">
        <w:rPr>
          <w:rFonts w:ascii="Verdana" w:eastAsia="Calibri" w:hAnsi="Verdana" w:cs="Times New Roman"/>
          <w:color w:val="156082"/>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9552C8">
        <w:rPr>
          <w:rFonts w:ascii="Verdana" w:eastAsia="Calibri" w:hAnsi="Verdana" w:cs="Times New Roman"/>
          <w:color w:val="156082"/>
          <w:kern w:val="2"/>
          <w:u w:val="single"/>
          <w14:ligatures w14:val="standardContextual"/>
        </w:rPr>
        <w:t>@colombiacompraeficiente_cce</w:t>
      </w:r>
    </w:p>
    <w:p w14:paraId="36B806F7" w14:textId="77777777" w:rsidR="00430885" w:rsidRPr="005D21BF" w:rsidRDefault="00430885" w:rsidP="00430885">
      <w:pPr>
        <w:widowControl w:val="0"/>
        <w:autoSpaceDE w:val="0"/>
        <w:autoSpaceDN w:val="0"/>
        <w:spacing w:after="0" w:line="276" w:lineRule="auto"/>
        <w:jc w:val="both"/>
        <w:rPr>
          <w:rFonts w:ascii="Verdana" w:eastAsia="Calibri" w:hAnsi="Verdana" w:cs="Arial"/>
          <w:color w:val="000000" w:themeColor="text1"/>
          <w:kern w:val="2"/>
          <w14:ligatures w14:val="standardContextual"/>
        </w:rPr>
      </w:pPr>
    </w:p>
    <w:p w14:paraId="4CF0147C" w14:textId="77777777" w:rsidR="00430885" w:rsidRDefault="00430885" w:rsidP="00430885">
      <w:pPr>
        <w:widowControl w:val="0"/>
        <w:autoSpaceDE w:val="0"/>
        <w:autoSpaceDN w:val="0"/>
        <w:spacing w:after="0" w:line="276" w:lineRule="auto"/>
        <w:jc w:val="both"/>
        <w:rPr>
          <w:rFonts w:ascii="Verdana" w:eastAsia="Calibri" w:hAnsi="Verdana" w:cs="Arial"/>
          <w:color w:val="000000" w:themeColor="text1"/>
          <w:kern w:val="2"/>
          <w:lang w:val="es-ES_tradnl"/>
          <w14:ligatures w14:val="standardContextual"/>
        </w:rPr>
      </w:pPr>
      <w:r w:rsidRPr="00EF54B1">
        <w:rPr>
          <w:rFonts w:ascii="Verdana" w:eastAsia="Calibri" w:hAnsi="Verdana" w:cs="Arial"/>
          <w:color w:val="000000" w:themeColor="text1"/>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14EC253" w14:textId="77777777" w:rsidR="00430885" w:rsidRPr="00EF54B1" w:rsidRDefault="00430885" w:rsidP="00430885">
      <w:pPr>
        <w:widowControl w:val="0"/>
        <w:autoSpaceDE w:val="0"/>
        <w:autoSpaceDN w:val="0"/>
        <w:spacing w:after="0" w:line="276" w:lineRule="auto"/>
        <w:jc w:val="both"/>
        <w:rPr>
          <w:rFonts w:ascii="Verdana" w:eastAsia="Calibri" w:hAnsi="Verdana" w:cs="Arial"/>
          <w:color w:val="000000" w:themeColor="text1"/>
        </w:rPr>
      </w:pPr>
    </w:p>
    <w:p w14:paraId="3581A57F" w14:textId="6D0034B9" w:rsidR="00430885" w:rsidRPr="00EF54B1" w:rsidRDefault="00430885" w:rsidP="00430885">
      <w:pPr>
        <w:spacing w:after="0" w:line="240" w:lineRule="auto"/>
        <w:rPr>
          <w:rFonts w:ascii="Verdana" w:eastAsia="Calibri" w:hAnsi="Verdana" w:cs="Arial"/>
          <w:color w:val="000000" w:themeColor="text1"/>
          <w:lang w:eastAsia="es-CO"/>
        </w:rPr>
      </w:pPr>
      <w:r w:rsidRPr="00EF54B1">
        <w:rPr>
          <w:rFonts w:ascii="Verdana" w:eastAsia="Times New Roman" w:hAnsi="Verdana" w:cs="Arial"/>
          <w:color w:val="000000" w:themeColor="text1"/>
          <w:lang w:eastAsia="es-CO"/>
        </w:rPr>
        <w:t>Atentamente,</w:t>
      </w:r>
      <w:r w:rsidRPr="00EF54B1">
        <w:rPr>
          <w:rFonts w:ascii="Verdana" w:eastAsia="Calibri" w:hAnsi="Verdana" w:cs="Arial"/>
          <w:color w:val="000000" w:themeColor="text1"/>
          <w:lang w:eastAsia="es-CO"/>
        </w:rPr>
        <w:t xml:space="preserve"> </w:t>
      </w:r>
    </w:p>
    <w:p w14:paraId="49B6CD95" w14:textId="3BF39278" w:rsidR="00430885" w:rsidRPr="00EF54B1" w:rsidRDefault="00947622" w:rsidP="00430885">
      <w:pPr>
        <w:tabs>
          <w:tab w:val="left" w:pos="1320"/>
        </w:tabs>
        <w:rPr>
          <w:rFonts w:ascii="Verdana" w:eastAsia="Calibri" w:hAnsi="Verdana" w:cs="Times New Roman"/>
          <w:color w:val="000000" w:themeColor="text1"/>
        </w:rPr>
      </w:pPr>
      <w:r>
        <w:rPr>
          <w:noProof/>
        </w:rPr>
        <w:drawing>
          <wp:anchor distT="0" distB="0" distL="114300" distR="114300" simplePos="0" relativeHeight="251664384" behindDoc="0" locked="0" layoutInCell="1" allowOverlap="1" wp14:anchorId="6F2C0264" wp14:editId="5D000C08">
            <wp:simplePos x="0" y="0"/>
            <wp:positionH relativeFrom="margin">
              <wp:posOffset>1270997</wp:posOffset>
            </wp:positionH>
            <wp:positionV relativeFrom="margin">
              <wp:posOffset>5639617</wp:posOffset>
            </wp:positionV>
            <wp:extent cx="3243943" cy="1215456"/>
            <wp:effectExtent l="0" t="0" r="0" b="3810"/>
            <wp:wrapSquare wrapText="bothSides"/>
            <wp:docPr id="106843779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Descripción generada automáticamente"/>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43943" cy="1215456"/>
                    </a:xfrm>
                    <a:prstGeom prst="rect">
                      <a:avLst/>
                    </a:prstGeom>
                    <a:noFill/>
                    <a:ln>
                      <a:noFill/>
                    </a:ln>
                  </pic:spPr>
                </pic:pic>
              </a:graphicData>
            </a:graphic>
          </wp:anchor>
        </w:drawing>
      </w:r>
    </w:p>
    <w:p w14:paraId="04F99BCF" w14:textId="10F023F7" w:rsidR="00430885" w:rsidRDefault="00430885" w:rsidP="00430885">
      <w:pPr>
        <w:tabs>
          <w:tab w:val="left" w:pos="1320"/>
        </w:tabs>
        <w:jc w:val="center"/>
        <w:rPr>
          <w:rFonts w:ascii="Verdana" w:hAnsi="Verdana"/>
          <w:noProof/>
        </w:rPr>
      </w:pPr>
    </w:p>
    <w:p w14:paraId="13B8A93F" w14:textId="77777777" w:rsidR="00AB601C" w:rsidRPr="007C3A11" w:rsidRDefault="00AB601C" w:rsidP="00430885">
      <w:pPr>
        <w:tabs>
          <w:tab w:val="left" w:pos="1320"/>
        </w:tabs>
        <w:jc w:val="center"/>
        <w:rPr>
          <w:rFonts w:ascii="Century Gothic" w:hAnsi="Century Gothic"/>
          <w:noProof/>
          <w:color w:val="3399FF"/>
        </w:rPr>
      </w:pPr>
    </w:p>
    <w:p w14:paraId="76DAFD08" w14:textId="77777777" w:rsidR="00430885" w:rsidRPr="00C60F4D" w:rsidRDefault="00430885" w:rsidP="00430885">
      <w:pPr>
        <w:tabs>
          <w:tab w:val="left" w:pos="1320"/>
        </w:tabs>
        <w:jc w:val="center"/>
        <w:rPr>
          <w:rFonts w:ascii="Century Gothic" w:eastAsia="Calibri" w:hAnsi="Century Gothic" w:cs="Times New Roman"/>
          <w:color w:val="3399F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30885" w:rsidRPr="008A018A" w14:paraId="1A144685" w14:textId="77777777" w:rsidTr="00DE72B2">
        <w:trPr>
          <w:trHeight w:val="315"/>
        </w:trPr>
        <w:tc>
          <w:tcPr>
            <w:tcW w:w="893" w:type="dxa"/>
            <w:vAlign w:val="center"/>
            <w:hideMark/>
          </w:tcPr>
          <w:p w14:paraId="4A2A1BE2" w14:textId="77777777" w:rsidR="00430885" w:rsidRPr="008A018A" w:rsidRDefault="00430885" w:rsidP="00DE72B2">
            <w:pPr>
              <w:rPr>
                <w:rFonts w:ascii="Verdana" w:eastAsia="Calibri" w:hAnsi="Verdana" w:cs="Arial"/>
                <w:color w:val="000000" w:themeColor="text1"/>
                <w:sz w:val="16"/>
                <w:szCs w:val="16"/>
                <w:lang w:val="es-ES_tradnl" w:eastAsia="es-ES"/>
              </w:rPr>
            </w:pPr>
            <w:r w:rsidRPr="008A018A">
              <w:rPr>
                <w:rFonts w:ascii="Verdana" w:eastAsia="Calibri" w:hAnsi="Verdana" w:cs="Arial"/>
                <w:color w:val="000000" w:themeColor="text1"/>
                <w:sz w:val="16"/>
                <w:szCs w:val="16"/>
                <w:lang w:val="es-ES_tradnl" w:eastAsia="es-ES"/>
              </w:rPr>
              <w:t>Elaboró:</w:t>
            </w:r>
          </w:p>
        </w:tc>
        <w:tc>
          <w:tcPr>
            <w:tcW w:w="5628" w:type="dxa"/>
            <w:tcBorders>
              <w:top w:val="nil"/>
              <w:left w:val="nil"/>
              <w:bottom w:val="dotted" w:sz="4" w:space="0" w:color="7F7F7F"/>
              <w:right w:val="nil"/>
            </w:tcBorders>
            <w:vAlign w:val="center"/>
            <w:hideMark/>
          </w:tcPr>
          <w:p w14:paraId="4C7C903B" w14:textId="77777777" w:rsidR="00430885" w:rsidRPr="008A018A" w:rsidRDefault="00430885" w:rsidP="00DE72B2">
            <w:pPr>
              <w:textAlignment w:val="baseline"/>
              <w:rPr>
                <w:rFonts w:ascii="Verdana" w:eastAsia="Times New Roman" w:hAnsi="Verdana" w:cs="Segoe UI"/>
                <w:color w:val="000000" w:themeColor="text1"/>
                <w:sz w:val="16"/>
                <w:szCs w:val="16"/>
                <w:lang w:eastAsia="es-ES_tradnl"/>
              </w:rPr>
            </w:pPr>
            <w:r w:rsidRPr="008A018A">
              <w:rPr>
                <w:rFonts w:ascii="Verdana" w:eastAsia="Arial" w:hAnsi="Verdana" w:cs="Arial"/>
                <w:color w:val="000000" w:themeColor="text1"/>
                <w:sz w:val="16"/>
                <w:szCs w:val="16"/>
                <w:lang w:val="es-ES"/>
              </w:rPr>
              <w:t>Denis Andrea Cárdenas Hernández</w:t>
            </w:r>
          </w:p>
          <w:p w14:paraId="61B60D2F" w14:textId="77777777" w:rsidR="00430885" w:rsidRPr="008A018A" w:rsidRDefault="00430885" w:rsidP="00DE72B2">
            <w:pPr>
              <w:rPr>
                <w:rFonts w:ascii="Verdana" w:eastAsia="Arial" w:hAnsi="Verdana" w:cs="Arial"/>
                <w:color w:val="000000" w:themeColor="text1"/>
                <w:sz w:val="16"/>
                <w:szCs w:val="16"/>
                <w:lang w:val="es-ES_tradnl"/>
              </w:rPr>
            </w:pPr>
            <w:r w:rsidRPr="008A018A">
              <w:rPr>
                <w:rFonts w:ascii="Verdana" w:eastAsia="Arial" w:hAnsi="Verdana" w:cs="Arial"/>
                <w:color w:val="000000" w:themeColor="text1"/>
                <w:sz w:val="16"/>
                <w:szCs w:val="16"/>
                <w:lang w:val="es-ES_tradnl"/>
              </w:rPr>
              <w:t>Analista T2-01 de la Subdirección de Gestión Contractual</w:t>
            </w:r>
          </w:p>
          <w:p w14:paraId="2024B78A" w14:textId="77777777" w:rsidR="00430885" w:rsidRPr="008A018A" w:rsidRDefault="00430885" w:rsidP="00DE72B2">
            <w:pPr>
              <w:jc w:val="both"/>
              <w:rPr>
                <w:rFonts w:ascii="Verdana" w:hAnsi="Verdana" w:cstheme="minorHAnsi"/>
                <w:sz w:val="16"/>
                <w:szCs w:val="16"/>
              </w:rPr>
            </w:pPr>
            <w:r w:rsidRPr="008A018A">
              <w:rPr>
                <w:rFonts w:ascii="Verdana" w:hAnsi="Verdana" w:cstheme="minorHAnsi"/>
                <w:sz w:val="16"/>
                <w:szCs w:val="16"/>
              </w:rPr>
              <w:lastRenderedPageBreak/>
              <w:t>Lida Milena Guanumen Pacheco</w:t>
            </w:r>
          </w:p>
          <w:p w14:paraId="3BA1FF73" w14:textId="77777777" w:rsidR="00430885" w:rsidRDefault="00430885" w:rsidP="00DE72B2">
            <w:pPr>
              <w:jc w:val="both"/>
              <w:rPr>
                <w:rFonts w:ascii="Verdana" w:hAnsi="Verdana" w:cstheme="minorHAnsi"/>
                <w:sz w:val="16"/>
                <w:szCs w:val="16"/>
              </w:rPr>
            </w:pPr>
            <w:proofErr w:type="gramStart"/>
            <w:r w:rsidRPr="008A018A">
              <w:rPr>
                <w:rFonts w:ascii="Verdana" w:hAnsi="Verdana" w:cstheme="minorHAnsi"/>
                <w:sz w:val="16"/>
                <w:szCs w:val="16"/>
              </w:rPr>
              <w:t>Contratista  de</w:t>
            </w:r>
            <w:proofErr w:type="gramEnd"/>
            <w:r w:rsidRPr="008A018A">
              <w:rPr>
                <w:rFonts w:ascii="Verdana" w:hAnsi="Verdana" w:cstheme="minorHAnsi"/>
                <w:sz w:val="16"/>
                <w:szCs w:val="16"/>
              </w:rPr>
              <w:t xml:space="preserve"> la Subdirección de Gestión Contractual</w:t>
            </w:r>
          </w:p>
          <w:p w14:paraId="7BB21AED" w14:textId="77777777" w:rsidR="00AB601C" w:rsidRPr="008A018A" w:rsidRDefault="00AB601C" w:rsidP="00DE72B2">
            <w:pPr>
              <w:jc w:val="both"/>
              <w:rPr>
                <w:rFonts w:ascii="Verdana" w:hAnsi="Verdana" w:cstheme="minorHAnsi"/>
                <w:sz w:val="16"/>
                <w:szCs w:val="16"/>
              </w:rPr>
            </w:pPr>
          </w:p>
          <w:p w14:paraId="50D1C235" w14:textId="77777777" w:rsidR="00430885" w:rsidRPr="008A018A" w:rsidRDefault="00430885" w:rsidP="00DE72B2">
            <w:pPr>
              <w:rPr>
                <w:rFonts w:ascii="Verdana" w:eastAsia="Arial" w:hAnsi="Verdana" w:cs="Arial"/>
                <w:color w:val="000000" w:themeColor="text1"/>
                <w:sz w:val="16"/>
                <w:szCs w:val="16"/>
                <w:lang w:val="es-ES_tradnl"/>
              </w:rPr>
            </w:pPr>
          </w:p>
        </w:tc>
      </w:tr>
      <w:tr w:rsidR="00430885" w:rsidRPr="008A018A" w14:paraId="7F9D5B60" w14:textId="77777777" w:rsidTr="00DE72B2">
        <w:trPr>
          <w:trHeight w:val="330"/>
        </w:trPr>
        <w:tc>
          <w:tcPr>
            <w:tcW w:w="893" w:type="dxa"/>
            <w:vAlign w:val="center"/>
            <w:hideMark/>
          </w:tcPr>
          <w:p w14:paraId="16E218F0" w14:textId="77777777" w:rsidR="00430885" w:rsidRPr="008A018A" w:rsidRDefault="00430885" w:rsidP="00DE72B2">
            <w:pPr>
              <w:rPr>
                <w:rFonts w:ascii="Verdana" w:eastAsia="Calibri" w:hAnsi="Verdana" w:cs="Arial"/>
                <w:color w:val="000000" w:themeColor="text1"/>
                <w:sz w:val="16"/>
                <w:szCs w:val="16"/>
                <w:lang w:val="es-ES_tradnl" w:eastAsia="es-ES"/>
              </w:rPr>
            </w:pPr>
            <w:r w:rsidRPr="008A018A">
              <w:rPr>
                <w:rFonts w:ascii="Verdana" w:eastAsia="Calibri" w:hAnsi="Verdana" w:cs="Arial"/>
                <w:color w:val="000000" w:themeColor="text1"/>
                <w:sz w:val="16"/>
                <w:szCs w:val="16"/>
                <w:lang w:val="es-ES_tradnl" w:eastAsia="es-ES"/>
              </w:rPr>
              <w:lastRenderedPageBreak/>
              <w:t>Revisó:</w:t>
            </w:r>
          </w:p>
        </w:tc>
        <w:tc>
          <w:tcPr>
            <w:tcW w:w="5628" w:type="dxa"/>
            <w:tcBorders>
              <w:top w:val="dotted" w:sz="4" w:space="0" w:color="7F7F7F"/>
              <w:left w:val="nil"/>
              <w:bottom w:val="dotted" w:sz="4" w:space="0" w:color="7F7F7F"/>
              <w:right w:val="nil"/>
            </w:tcBorders>
            <w:vAlign w:val="center"/>
            <w:hideMark/>
          </w:tcPr>
          <w:p w14:paraId="7AE360A3" w14:textId="77777777" w:rsidR="00430885" w:rsidRPr="008A018A" w:rsidRDefault="00430885" w:rsidP="00DE72B2">
            <w:pPr>
              <w:textAlignment w:val="baseline"/>
              <w:rPr>
                <w:rFonts w:ascii="Verdana" w:eastAsia="Times New Roman" w:hAnsi="Verdana" w:cs="Arial"/>
                <w:color w:val="000000" w:themeColor="text1"/>
                <w:sz w:val="16"/>
                <w:szCs w:val="16"/>
                <w:lang w:val="es-ES_tradnl" w:eastAsia="es-ES_tradnl"/>
              </w:rPr>
            </w:pPr>
            <w:r w:rsidRPr="008A018A">
              <w:rPr>
                <w:rFonts w:ascii="Verdana" w:eastAsia="Times New Roman" w:hAnsi="Verdana" w:cs="Arial"/>
                <w:color w:val="000000" w:themeColor="text1"/>
                <w:sz w:val="16"/>
                <w:szCs w:val="16"/>
                <w:lang w:val="es-ES_tradnl" w:eastAsia="es-ES_tradnl"/>
              </w:rPr>
              <w:t>Juan David Cárdenas Cabeza</w:t>
            </w:r>
          </w:p>
          <w:p w14:paraId="7FFF48EB" w14:textId="77777777" w:rsidR="00430885" w:rsidRPr="008A018A" w:rsidRDefault="00430885" w:rsidP="00DE72B2">
            <w:pPr>
              <w:textAlignment w:val="baseline"/>
              <w:rPr>
                <w:rFonts w:ascii="Verdana" w:eastAsia="Times New Roman" w:hAnsi="Verdana" w:cs="Segoe UI"/>
                <w:color w:val="000000" w:themeColor="text1"/>
                <w:sz w:val="16"/>
                <w:szCs w:val="16"/>
                <w:lang w:val="es-ES_tradnl" w:eastAsia="es-ES_tradnl"/>
              </w:rPr>
            </w:pPr>
            <w:r w:rsidRPr="008A018A">
              <w:rPr>
                <w:rFonts w:ascii="Verdana" w:eastAsia="Times New Roman" w:hAnsi="Verdana" w:cs="Arial"/>
                <w:color w:val="000000" w:themeColor="text1"/>
                <w:sz w:val="16"/>
                <w:szCs w:val="16"/>
                <w:lang w:val="es-ES_tradnl" w:eastAsia="es-ES_tradnl"/>
              </w:rPr>
              <w:t>Contratista de la Subdirección de Gestión Contractual</w:t>
            </w:r>
          </w:p>
        </w:tc>
      </w:tr>
      <w:tr w:rsidR="00430885" w:rsidRPr="008A018A" w14:paraId="23871824" w14:textId="77777777" w:rsidTr="00DE72B2">
        <w:trPr>
          <w:trHeight w:val="300"/>
        </w:trPr>
        <w:tc>
          <w:tcPr>
            <w:tcW w:w="893" w:type="dxa"/>
            <w:vAlign w:val="center"/>
          </w:tcPr>
          <w:p w14:paraId="52C76364" w14:textId="77777777" w:rsidR="00430885" w:rsidRPr="008A018A" w:rsidRDefault="00430885" w:rsidP="00DE72B2">
            <w:pPr>
              <w:rPr>
                <w:rFonts w:ascii="Verdana" w:eastAsia="Calibri" w:hAnsi="Verdana" w:cs="Arial"/>
                <w:color w:val="000000" w:themeColor="text1"/>
                <w:sz w:val="16"/>
                <w:szCs w:val="16"/>
                <w:lang w:val="es-ES_tradnl" w:eastAsia="es-ES"/>
              </w:rPr>
            </w:pPr>
            <w:r w:rsidRPr="008A018A">
              <w:rPr>
                <w:rFonts w:ascii="Verdana" w:eastAsia="Calibri" w:hAnsi="Verdana" w:cs="Arial"/>
                <w:color w:val="000000" w:themeColor="text1"/>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463CD45C" w14:textId="77777777" w:rsidR="00430885" w:rsidRPr="008A018A" w:rsidRDefault="00430885" w:rsidP="00DE72B2">
            <w:pPr>
              <w:rPr>
                <w:rFonts w:ascii="Verdana" w:eastAsia="Calibri" w:hAnsi="Verdana" w:cs="Arial"/>
                <w:color w:val="000000" w:themeColor="text1"/>
                <w:sz w:val="16"/>
                <w:szCs w:val="16"/>
                <w:lang w:val="es-ES" w:eastAsia="es-ES"/>
              </w:rPr>
            </w:pPr>
            <w:r w:rsidRPr="008A018A">
              <w:rPr>
                <w:rFonts w:ascii="Verdana" w:eastAsia="Calibri" w:hAnsi="Verdana" w:cs="Arial"/>
                <w:color w:val="000000" w:themeColor="text1"/>
                <w:sz w:val="16"/>
                <w:szCs w:val="16"/>
                <w:lang w:val="es-ES" w:eastAsia="es-ES"/>
              </w:rPr>
              <w:t>Carolina Quintero Gacharná</w:t>
            </w:r>
          </w:p>
          <w:p w14:paraId="26ABAFE1" w14:textId="77777777" w:rsidR="00430885" w:rsidRPr="008A018A" w:rsidRDefault="00430885" w:rsidP="00DE72B2">
            <w:pPr>
              <w:rPr>
                <w:rFonts w:ascii="Verdana" w:eastAsia="Calibri" w:hAnsi="Verdana" w:cs="Arial"/>
                <w:color w:val="000000" w:themeColor="text1"/>
                <w:sz w:val="16"/>
                <w:szCs w:val="16"/>
                <w:lang w:val="es-ES_tradnl" w:eastAsia="es-ES"/>
              </w:rPr>
            </w:pPr>
            <w:r w:rsidRPr="008A018A">
              <w:rPr>
                <w:rFonts w:ascii="Verdana" w:eastAsia="Calibri" w:hAnsi="Verdana" w:cs="Arial"/>
                <w:color w:val="000000" w:themeColor="text1"/>
                <w:sz w:val="16"/>
                <w:szCs w:val="16"/>
                <w:lang w:val="es-ES_tradnl" w:eastAsia="es-ES"/>
              </w:rPr>
              <w:t>Subdirectora de Gestión Contractual ANCP – CCE</w:t>
            </w:r>
          </w:p>
        </w:tc>
      </w:tr>
    </w:tbl>
    <w:p w14:paraId="10B5E8E9" w14:textId="77777777" w:rsidR="00430885" w:rsidRPr="00C60F4D" w:rsidRDefault="00430885" w:rsidP="00430885">
      <w:pPr>
        <w:spacing w:after="0" w:line="240" w:lineRule="auto"/>
        <w:rPr>
          <w:rFonts w:ascii="Aptos" w:eastAsia="Aptos" w:hAnsi="Aptos" w:cs="Times New Roman"/>
          <w:color w:val="3399FF"/>
          <w:kern w:val="2"/>
          <w:sz w:val="24"/>
          <w:szCs w:val="24"/>
          <w:lang w:val="es-ES_tradnl"/>
          <w14:ligatures w14:val="standardContextual"/>
        </w:rPr>
      </w:pPr>
    </w:p>
    <w:p w14:paraId="2DB4DF3A" w14:textId="77777777" w:rsidR="00430885" w:rsidRPr="0044528D" w:rsidRDefault="00430885" w:rsidP="00430885">
      <w:pPr>
        <w:spacing w:after="0"/>
        <w:rPr>
          <w:rFonts w:ascii="Verdana" w:hAnsi="Verdana"/>
        </w:rPr>
      </w:pPr>
    </w:p>
    <w:p w14:paraId="0F293BF4" w14:textId="1D35A4B2" w:rsidR="00127233" w:rsidRPr="0015699B" w:rsidRDefault="00127233" w:rsidP="00430885">
      <w:pPr>
        <w:spacing w:after="0"/>
        <w:rPr>
          <w:rFonts w:ascii="Verdana" w:eastAsia="Times New Roman" w:hAnsi="Verdana" w:cs="Segoe UI"/>
          <w:lang w:eastAsia="es-CO"/>
        </w:rPr>
      </w:pPr>
    </w:p>
    <w:sectPr w:rsidR="00127233" w:rsidRPr="0015699B" w:rsidSect="007C0C0F">
      <w:headerReference w:type="default" r:id="rId27"/>
      <w:footerReference w:type="default" r:id="rId2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05EB3" w14:textId="77777777" w:rsidR="00067C92" w:rsidRDefault="00067C92" w:rsidP="004A1847">
      <w:pPr>
        <w:spacing w:after="0" w:line="240" w:lineRule="auto"/>
      </w:pPr>
      <w:r>
        <w:separator/>
      </w:r>
    </w:p>
  </w:endnote>
  <w:endnote w:type="continuationSeparator" w:id="0">
    <w:p w14:paraId="72AA4250" w14:textId="77777777" w:rsidR="00067C92" w:rsidRDefault="00067C9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1745E8"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1745E8">
      <w:rPr>
        <w:rFonts w:ascii="Century Gothic" w:eastAsia="Geo" w:hAnsi="Century Gothic" w:cs="Geo"/>
        <w:b/>
        <w:bCs/>
        <w:color w:val="000000" w:themeColor="text1"/>
        <w:sz w:val="16"/>
        <w:szCs w:val="16"/>
        <w:lang w:val="pt-PT" w:eastAsia="es-CO"/>
      </w:rPr>
      <w:t xml:space="preserve">Código: </w:t>
    </w:r>
    <w:r w:rsidRPr="001745E8">
      <w:rPr>
        <w:rFonts w:ascii="Century Gothic" w:eastAsia="Geo" w:hAnsi="Century Gothic" w:cs="Geo"/>
        <w:color w:val="000000" w:themeColor="text1"/>
        <w:sz w:val="16"/>
        <w:szCs w:val="16"/>
        <w:lang w:val="pt-PT" w:eastAsia="es-CO"/>
      </w:rPr>
      <w:t xml:space="preserve">CCE-REC-FM-17 </w:t>
    </w:r>
    <w:r w:rsidRPr="001745E8">
      <w:rPr>
        <w:rFonts w:ascii="Century Gothic" w:eastAsia="Geo" w:hAnsi="Century Gothic" w:cs="Geo"/>
        <w:b/>
        <w:bCs/>
        <w:color w:val="000000" w:themeColor="text1"/>
        <w:sz w:val="16"/>
        <w:szCs w:val="16"/>
        <w:lang w:val="pt-PT" w:eastAsia="es-CO"/>
      </w:rPr>
      <w:t>V</w:t>
    </w:r>
    <w:r w:rsidRPr="001745E8">
      <w:rPr>
        <w:rFonts w:ascii="Century Gothic" w:eastAsia="Arial Nova" w:hAnsi="Century Gothic" w:cs="Arial Nova"/>
        <w:b/>
        <w:bCs/>
        <w:color w:val="000000" w:themeColor="text1"/>
        <w:sz w:val="16"/>
        <w:szCs w:val="16"/>
        <w:lang w:val="pt-PT" w:eastAsia="es-CO"/>
      </w:rPr>
      <w:t xml:space="preserve">: </w:t>
    </w:r>
    <w:r w:rsidRPr="001745E8">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9243A0" w14:textId="77777777" w:rsidR="00067C92" w:rsidRDefault="00067C92" w:rsidP="004A1847">
      <w:pPr>
        <w:spacing w:after="0" w:line="240" w:lineRule="auto"/>
      </w:pPr>
      <w:r>
        <w:separator/>
      </w:r>
    </w:p>
  </w:footnote>
  <w:footnote w:type="continuationSeparator" w:id="0">
    <w:p w14:paraId="3F518A78" w14:textId="77777777" w:rsidR="00067C92" w:rsidRDefault="00067C92" w:rsidP="004A1847">
      <w:pPr>
        <w:spacing w:after="0" w:line="240" w:lineRule="auto"/>
      </w:pPr>
      <w:r>
        <w:continuationSeparator/>
      </w:r>
    </w:p>
  </w:footnote>
  <w:footnote w:id="1">
    <w:p w14:paraId="4A25B863" w14:textId="77777777" w:rsidR="00430885" w:rsidRPr="00625E71" w:rsidRDefault="00430885" w:rsidP="00430885">
      <w:pPr>
        <w:pStyle w:val="Textonotapie"/>
        <w:ind w:firstLine="708"/>
        <w:jc w:val="both"/>
        <w:rPr>
          <w:rFonts w:ascii="Verdana" w:hAnsi="Verdana" w:cs="Arial"/>
          <w:sz w:val="16"/>
          <w:szCs w:val="16"/>
        </w:rPr>
      </w:pPr>
      <w:r w:rsidRPr="00625E71">
        <w:rPr>
          <w:rStyle w:val="Refdenotaalpie"/>
          <w:rFonts w:ascii="Verdana" w:hAnsi="Verdana" w:cs="Arial"/>
          <w:sz w:val="16"/>
          <w:szCs w:val="16"/>
        </w:rPr>
        <w:footnoteRef/>
      </w:r>
      <w:r w:rsidRPr="00625E71">
        <w:rPr>
          <w:rFonts w:ascii="Verdana" w:hAnsi="Verdana" w:cs="Arial"/>
          <w:sz w:val="16"/>
          <w:szCs w:val="16"/>
        </w:rPr>
        <w:t xml:space="preserve"> Al respecto,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2">
    <w:p w14:paraId="52AA60B9" w14:textId="77777777" w:rsidR="00430885" w:rsidRPr="00625E71" w:rsidRDefault="00430885" w:rsidP="00430885">
      <w:pPr>
        <w:pStyle w:val="Textonotapie"/>
        <w:ind w:firstLine="708"/>
        <w:jc w:val="both"/>
        <w:rPr>
          <w:rFonts w:ascii="Verdana" w:hAnsi="Verdana" w:cs="Arial"/>
          <w:sz w:val="16"/>
          <w:szCs w:val="16"/>
        </w:rPr>
      </w:pPr>
      <w:r w:rsidRPr="00625E71">
        <w:rPr>
          <w:rStyle w:val="Refdenotaalpie"/>
          <w:rFonts w:ascii="Verdana" w:hAnsi="Verdana" w:cs="Arial"/>
          <w:sz w:val="16"/>
          <w:szCs w:val="16"/>
        </w:rPr>
        <w:footnoteRef/>
      </w:r>
      <w:r w:rsidRPr="00625E71">
        <w:rPr>
          <w:rFonts w:ascii="Verdana" w:hAnsi="Verdana" w:cs="Arial"/>
          <w:sz w:val="16"/>
          <w:szCs w:val="16"/>
        </w:rPr>
        <w:t xml:space="preserve"> El numeral 2 del artículo 2 de la Ley 1150 de 2007 prescribe: “[…] Serán causales de selección abreviada las siguientes:</w:t>
      </w:r>
    </w:p>
    <w:p w14:paraId="6D4D7571"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a) La adquisición o suministro de bienes y servicios de características técnicas uniformes y de común utilización por parte de las entidades, que corresponden a aquellos que poseen las mismas especificaciones técnicas, con independencia de su diseño o de sus características descriptivas, y comparten patrones de desempeño y calidad objetivamente definidos.</w:t>
      </w:r>
    </w:p>
    <w:p w14:paraId="4F9F60E4"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 xml:space="preserve">Para la adquisición de estos bienes y servicios las entidades deberán, siempre que el reglamento así lo señale, hacer uso de procedimientos de subasta inversa o de instrumentos de compra por catálogo derivados de la celebración de acuerdos marco de precios o de procedimientos de adquisición en bolsas de productos; </w:t>
      </w:r>
    </w:p>
    <w:p w14:paraId="3054F9CC"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b) La contratación de menor cuantía. Se entenderá por menor cuantía los valores que a continuación se relacionan, determinados en función de los presupuestos anuales de las entidades públicas expresados en salarios mínimos legales mensuales.</w:t>
      </w:r>
    </w:p>
    <w:p w14:paraId="46FFE153"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w:t>
      </w:r>
    </w:p>
    <w:p w14:paraId="6173FB4D"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c) Sin perjuicio de lo dispuesto en la Ley 100 de 1993 y en la Ley 1122 de 2007, la celebración de contratos para la prestación de servicios de salud. El reglamento interno correspondiente fijará las garantías a cargo de los contratistas. Los pagos correspondientes se podrán hacer mediante encargos fiduciarios;</w:t>
      </w:r>
    </w:p>
    <w:p w14:paraId="397CA41F"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d) La contratación cuyo proceso de licitación pública haya sido declarado desierto; en cuyo caso la entidad deberá iniciar la selección abreviada dentro de los cuatro meses siguientes a la declaración de desierta del proceso inicial;</w:t>
      </w:r>
    </w:p>
    <w:p w14:paraId="7DB1095B"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e) La enajenación de bienes del Estado, con excepción de aquellos a que se refiere la Ley 226 de 1995.</w:t>
      </w:r>
    </w:p>
    <w:p w14:paraId="0BC0EEEF"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 xml:space="preserve">[…]; </w:t>
      </w:r>
    </w:p>
    <w:p w14:paraId="039AF881"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 xml:space="preserve">f) Productos de origen o destinación agropecuarios que se ofrezcan en las bolsas de productos legalmente constituidas; </w:t>
      </w:r>
    </w:p>
    <w:p w14:paraId="6B3C30BF"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 xml:space="preserve">g) Los actos y contratos que tengan por objeto directo las actividades comerciales e industriales propias de las Empresas Industriales y Comerciales Estatales y de las Sociedades de Economía Mixta, con excepción de los contratos que a título enunciativo identifica el artículo 32 de la Ley 80 de 1993; </w:t>
      </w:r>
    </w:p>
    <w:p w14:paraId="7F26FEF4"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h) Los contratos de las entidades, a cuyo cargo se encuentre la ejecución de los programas de protección de personas amenazadas, programas de desmovilización y reincorporación a la vida civil de personas y grupos al margen de la ley, incluida la atención de los respectivos grupos familiares, programas de atención a población desplazada por la violencia, programas de protección de derechos humanos de grupos de personas habitantes de la calle, niños y niñas o jóvenes involucrados en grupos juveniles que hayan incurrido en conductas contra el patrimonio económico y sostengan enfrentamientos violentos de diferente tipo, y población en alto grado de vulnerabilidad con reconocido estado de exclusión que requieran capacitación, resocialización y preparación para el trabajo, incluidos los contratos fiduciarios que demanden;</w:t>
      </w:r>
    </w:p>
    <w:p w14:paraId="160FC251" w14:textId="77777777" w:rsidR="00430885" w:rsidRPr="00625E71" w:rsidRDefault="00430885" w:rsidP="00430885">
      <w:pPr>
        <w:pStyle w:val="Textonotapie"/>
        <w:ind w:firstLine="708"/>
        <w:jc w:val="both"/>
        <w:rPr>
          <w:rFonts w:ascii="Verdana" w:hAnsi="Verdana" w:cs="Arial"/>
          <w:sz w:val="16"/>
          <w:szCs w:val="16"/>
        </w:rPr>
      </w:pPr>
      <w:r w:rsidRPr="00625E71">
        <w:rPr>
          <w:rFonts w:ascii="Verdana" w:hAnsi="Verdana" w:cs="Arial"/>
          <w:sz w:val="16"/>
          <w:szCs w:val="16"/>
        </w:rPr>
        <w:t>i) La contratación de bienes y servicios que se requieran para la defensa y seguridad nacional.</w:t>
      </w:r>
    </w:p>
    <w:p w14:paraId="759E51A6" w14:textId="77777777" w:rsidR="00430885" w:rsidRPr="002762BD" w:rsidRDefault="00430885" w:rsidP="00430885">
      <w:pPr>
        <w:pStyle w:val="Textonotapie"/>
        <w:ind w:firstLine="708"/>
        <w:jc w:val="both"/>
        <w:rPr>
          <w:rFonts w:ascii="Verdana" w:hAnsi="Verdana" w:cs="Arial"/>
          <w:sz w:val="13"/>
          <w:szCs w:val="13"/>
        </w:rPr>
      </w:pPr>
      <w:r w:rsidRPr="00625E71">
        <w:rPr>
          <w:rFonts w:ascii="Verdana" w:hAnsi="Verdana" w:cs="Arial"/>
          <w:sz w:val="16"/>
          <w:szCs w:val="16"/>
        </w:rPr>
        <w:t>j) Los bienes y servicios no uniformes de común utilización por parte de las entidades públicas, para lo cual la Agencia Nacional de Contratación Pública Colombia Compra Eficiente-podrá celebrar acuerdos marco de precios y demás instrumentos de agregación de demanda. Estos acuerdos marco de precios también serán de obligatorio uso de las entidades del Estado a las que se refiere el parágrafo 5° del artículo 2° de la presente ley, modificado por el artículo 41 de la ley 1955 de 2019”.</w:t>
      </w:r>
    </w:p>
  </w:footnote>
  <w:footnote w:id="3">
    <w:p w14:paraId="55AF3E4C" w14:textId="77777777" w:rsidR="00430885" w:rsidRPr="00625E71" w:rsidRDefault="00430885" w:rsidP="00430885">
      <w:pPr>
        <w:pStyle w:val="Textonotapie"/>
        <w:ind w:firstLine="708"/>
        <w:jc w:val="both"/>
        <w:rPr>
          <w:rFonts w:ascii="Verdana" w:hAnsi="Verdana" w:cs="Arial"/>
          <w:sz w:val="16"/>
          <w:szCs w:val="16"/>
        </w:rPr>
      </w:pPr>
      <w:r w:rsidRPr="00625E71">
        <w:rPr>
          <w:rStyle w:val="Refdenotaalpie"/>
          <w:rFonts w:ascii="Verdana" w:hAnsi="Verdana" w:cs="Arial"/>
          <w:sz w:val="16"/>
          <w:szCs w:val="16"/>
        </w:rPr>
        <w:footnoteRef/>
      </w:r>
      <w:r w:rsidRPr="00625E71">
        <w:rPr>
          <w:rFonts w:ascii="Verdana" w:hAnsi="Verdana" w:cs="Arial"/>
          <w:sz w:val="16"/>
          <w:szCs w:val="16"/>
        </w:rPr>
        <w:t xml:space="preserve"> CONGRESO DE LA REPÚBLICA. Exposición de motivos de la Ley 1150 de 2007. Gaceta del Congreso No. 458 del 1º de agosto de 2005. p. 8. </w:t>
      </w:r>
    </w:p>
  </w:footnote>
  <w:footnote w:id="4">
    <w:p w14:paraId="3EF5C027" w14:textId="77777777" w:rsidR="00430885" w:rsidRPr="00625E71" w:rsidRDefault="00430885" w:rsidP="00430885">
      <w:pPr>
        <w:pStyle w:val="Textonotapie"/>
        <w:ind w:firstLine="708"/>
        <w:jc w:val="both"/>
        <w:rPr>
          <w:rFonts w:ascii="Verdana" w:hAnsi="Verdana" w:cs="Arial"/>
          <w:sz w:val="16"/>
          <w:szCs w:val="16"/>
        </w:rPr>
      </w:pPr>
      <w:r w:rsidRPr="00625E71">
        <w:rPr>
          <w:rStyle w:val="Refdenotaalpie"/>
          <w:rFonts w:ascii="Verdana" w:hAnsi="Verdana" w:cs="Arial"/>
          <w:sz w:val="16"/>
          <w:szCs w:val="16"/>
        </w:rPr>
        <w:footnoteRef/>
      </w:r>
      <w:r w:rsidRPr="00625E71">
        <w:rPr>
          <w:rFonts w:ascii="Verdana" w:hAnsi="Verdana" w:cs="Arial"/>
          <w:sz w:val="16"/>
          <w:szCs w:val="16"/>
        </w:rPr>
        <w:t xml:space="preserve"> CONSEJO DE ESTADO. Sección Tercera. Subsección A. Sentencia del 23 de julio de 2015. Exp. 36.805. C. P. Hernán Andrade Rincón. </w:t>
      </w:r>
    </w:p>
    <w:p w14:paraId="74D96A23" w14:textId="77777777" w:rsidR="00430885" w:rsidRPr="00625E71" w:rsidRDefault="00430885" w:rsidP="00430885">
      <w:pPr>
        <w:pStyle w:val="Textonotapie"/>
        <w:ind w:firstLine="708"/>
        <w:jc w:val="both"/>
        <w:rPr>
          <w:rFonts w:ascii="Verdana" w:hAnsi="Verdana" w:cs="Arial"/>
          <w:sz w:val="16"/>
          <w:szCs w:val="16"/>
        </w:rPr>
      </w:pPr>
    </w:p>
  </w:footnote>
  <w:footnote w:id="5">
    <w:p w14:paraId="53C9B5FA" w14:textId="30161A9F" w:rsidR="00430885" w:rsidRPr="00625E71" w:rsidRDefault="00430885" w:rsidP="00430885">
      <w:pPr>
        <w:pStyle w:val="Textonotapie"/>
        <w:ind w:firstLine="708"/>
        <w:rPr>
          <w:rFonts w:ascii="Verdana" w:hAnsi="Verdana"/>
          <w:sz w:val="16"/>
          <w:szCs w:val="16"/>
        </w:rPr>
      </w:pPr>
      <w:r w:rsidRPr="00625E71">
        <w:rPr>
          <w:rStyle w:val="Refdenotaalpie"/>
          <w:rFonts w:ascii="Verdana" w:hAnsi="Verdana"/>
          <w:sz w:val="16"/>
          <w:szCs w:val="16"/>
        </w:rPr>
        <w:footnoteRef/>
      </w:r>
      <w:r w:rsidRPr="00625E71">
        <w:rPr>
          <w:rFonts w:ascii="Verdana" w:hAnsi="Verdana"/>
          <w:sz w:val="16"/>
          <w:szCs w:val="16"/>
        </w:rPr>
        <w:t xml:space="preserve"> Estos Documentos Tipo pueden ser consultados en la página web de Colombia Compra Eficiente, a través del siguiente enlace: </w:t>
      </w:r>
      <w:hyperlink r:id="rId1" w:history="1">
        <w:r w:rsidRPr="00625E71">
          <w:rPr>
            <w:rStyle w:val="Hipervnculo"/>
            <w:rFonts w:ascii="Verdana" w:hAnsi="Verdana"/>
            <w:sz w:val="16"/>
            <w:szCs w:val="16"/>
          </w:rPr>
          <w:t>https://www.colombiacompra.gov.co/documentos-tipo/documentos-tipo</w:t>
        </w:r>
      </w:hyperlink>
      <w:r w:rsidR="004A18AC" w:rsidRPr="00625E71">
        <w:rPr>
          <w:rFonts w:ascii="Verdana" w:hAnsi="Verdana"/>
          <w:sz w:val="16"/>
          <w:szCs w:val="16"/>
        </w:rPr>
        <w:t>.</w:t>
      </w:r>
    </w:p>
    <w:p w14:paraId="627D3F6F" w14:textId="77777777" w:rsidR="004A18AC" w:rsidRPr="00625E71" w:rsidRDefault="004A18AC" w:rsidP="00430885">
      <w:pPr>
        <w:pStyle w:val="Textonotapie"/>
        <w:ind w:firstLine="708"/>
        <w:rPr>
          <w:rFonts w:ascii="Verdana" w:hAnsi="Verdana"/>
          <w:sz w:val="16"/>
          <w:szCs w:val="16"/>
        </w:rPr>
      </w:pPr>
    </w:p>
    <w:p w14:paraId="7C571BFF" w14:textId="77777777" w:rsidR="00430885" w:rsidRPr="00625E71" w:rsidRDefault="00430885" w:rsidP="00430885">
      <w:pPr>
        <w:pStyle w:val="Textonotapie"/>
        <w:rPr>
          <w:rFonts w:ascii="Verdana" w:hAnsi="Verdana"/>
          <w:sz w:val="16"/>
          <w:szCs w:val="16"/>
        </w:rPr>
      </w:pPr>
    </w:p>
  </w:footnote>
  <w:footnote w:id="6">
    <w:p w14:paraId="5D54F324" w14:textId="77777777" w:rsidR="004A18AC" w:rsidRPr="00625E71" w:rsidRDefault="00430885" w:rsidP="00430885">
      <w:pPr>
        <w:pStyle w:val="Textonotapie"/>
        <w:ind w:firstLine="709"/>
        <w:jc w:val="both"/>
        <w:rPr>
          <w:rStyle w:val="Hipervnculo"/>
          <w:rFonts w:ascii="Verdana" w:hAnsi="Verdana"/>
          <w:sz w:val="16"/>
          <w:szCs w:val="16"/>
        </w:rPr>
      </w:pPr>
      <w:r w:rsidRPr="00625E71">
        <w:rPr>
          <w:rStyle w:val="Refdenotaalpie"/>
          <w:rFonts w:ascii="Verdana" w:hAnsi="Verdana"/>
          <w:sz w:val="16"/>
          <w:szCs w:val="16"/>
        </w:rPr>
        <w:footnoteRef/>
      </w:r>
      <w:r w:rsidRPr="00625E71">
        <w:rPr>
          <w:rFonts w:ascii="Verdana" w:hAnsi="Verdana"/>
          <w:sz w:val="16"/>
          <w:szCs w:val="16"/>
        </w:rPr>
        <w:t xml:space="preserve"> Estos Documentos Tipo pueden ser consultados en la página web de Colombia Compra Eficiente, a través del siguiente enlace: </w:t>
      </w:r>
      <w:hyperlink r:id="rId2" w:history="1">
        <w:r w:rsidRPr="00625E71">
          <w:rPr>
            <w:rStyle w:val="Hipervnculo"/>
            <w:rFonts w:ascii="Verdana" w:hAnsi="Verdana"/>
            <w:sz w:val="16"/>
            <w:szCs w:val="16"/>
          </w:rPr>
          <w:t>https://www.colombiacompra.gov.co/documentos-tipo/documentos-tipo</w:t>
        </w:r>
      </w:hyperlink>
      <w:r w:rsidR="004A18AC" w:rsidRPr="00625E71">
        <w:rPr>
          <w:rStyle w:val="Hipervnculo"/>
          <w:rFonts w:ascii="Verdana" w:hAnsi="Verdana"/>
          <w:sz w:val="16"/>
          <w:szCs w:val="16"/>
        </w:rPr>
        <w:t>.</w:t>
      </w:r>
    </w:p>
    <w:p w14:paraId="34DA0038" w14:textId="4421BCCE" w:rsidR="00430885" w:rsidRPr="00BD2567" w:rsidRDefault="00430885" w:rsidP="00430885">
      <w:pPr>
        <w:pStyle w:val="Textonotapie"/>
        <w:ind w:firstLine="709"/>
        <w:jc w:val="both"/>
        <w:rPr>
          <w:rFonts w:ascii="Verdana" w:hAnsi="Verdana"/>
          <w:sz w:val="14"/>
          <w:szCs w:val="14"/>
        </w:rPr>
      </w:pPr>
      <w:r w:rsidRPr="00BD2567">
        <w:rPr>
          <w:rFonts w:ascii="Verdana" w:hAnsi="Verdana"/>
          <w:sz w:val="14"/>
          <w:szCs w:val="14"/>
        </w:rPr>
        <w:t xml:space="preserve"> </w:t>
      </w:r>
    </w:p>
  </w:footnote>
  <w:footnote w:id="7">
    <w:p w14:paraId="2A47447A" w14:textId="241E6802" w:rsidR="00430885" w:rsidRPr="00625E71" w:rsidRDefault="00430885" w:rsidP="00430885">
      <w:pPr>
        <w:spacing w:after="0" w:line="276" w:lineRule="auto"/>
        <w:jc w:val="both"/>
        <w:rPr>
          <w:rFonts w:ascii="Verdana" w:hAnsi="Verdana"/>
          <w:sz w:val="16"/>
          <w:szCs w:val="16"/>
        </w:rPr>
      </w:pPr>
    </w:p>
    <w:p w14:paraId="1FD8D198" w14:textId="5DEF5839" w:rsidR="00430885" w:rsidRPr="00625E71" w:rsidRDefault="00430885" w:rsidP="004801C2">
      <w:pPr>
        <w:spacing w:after="0" w:line="276" w:lineRule="auto"/>
        <w:ind w:firstLine="708"/>
        <w:jc w:val="both"/>
        <w:rPr>
          <w:rFonts w:ascii="Verdana" w:eastAsia="Calibri" w:hAnsi="Verdana" w:cs="Arial"/>
          <w:bCs/>
          <w:sz w:val="16"/>
          <w:szCs w:val="16"/>
        </w:rPr>
      </w:pPr>
      <w:r w:rsidRPr="00625E71">
        <w:rPr>
          <w:rStyle w:val="Refdenotaalpie"/>
          <w:rFonts w:ascii="Verdana" w:hAnsi="Verdana"/>
          <w:sz w:val="16"/>
          <w:szCs w:val="16"/>
        </w:rPr>
        <w:footnoteRef/>
      </w:r>
      <w:r w:rsidRPr="00625E71">
        <w:rPr>
          <w:rFonts w:ascii="Verdana" w:hAnsi="Verdana"/>
          <w:sz w:val="16"/>
          <w:szCs w:val="16"/>
        </w:rPr>
        <w:t xml:space="preserve"> </w:t>
      </w:r>
      <w:r w:rsidRPr="00625E71">
        <w:rPr>
          <w:rFonts w:ascii="Verdana" w:eastAsia="Calibri" w:hAnsi="Verdana" w:cs="Arial"/>
          <w:bCs/>
          <w:sz w:val="16"/>
          <w:szCs w:val="16"/>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187107B0" w14:textId="77777777" w:rsidR="00720A38" w:rsidRPr="00625E71" w:rsidRDefault="00720A38" w:rsidP="004801C2">
      <w:pPr>
        <w:spacing w:after="0" w:line="276" w:lineRule="auto"/>
        <w:ind w:firstLine="708"/>
        <w:jc w:val="both"/>
        <w:rPr>
          <w:rFonts w:ascii="Verdana" w:eastAsia="Calibri" w:hAnsi="Verdana" w:cs="Arial"/>
          <w:bCs/>
          <w:sz w:val="16"/>
          <w:szCs w:val="16"/>
        </w:rPr>
      </w:pPr>
    </w:p>
    <w:p w14:paraId="40A9A711" w14:textId="3A5FC71A" w:rsidR="00430885" w:rsidRPr="00625E71" w:rsidRDefault="00430885" w:rsidP="004801C2">
      <w:pPr>
        <w:spacing w:after="0" w:line="276" w:lineRule="auto"/>
        <w:ind w:firstLine="708"/>
        <w:jc w:val="both"/>
        <w:rPr>
          <w:rFonts w:ascii="Verdana" w:eastAsia="Calibri" w:hAnsi="Verdana" w:cs="Arial"/>
          <w:bCs/>
          <w:sz w:val="16"/>
          <w:szCs w:val="16"/>
        </w:rPr>
      </w:pPr>
      <w:r w:rsidRPr="00625E71">
        <w:rPr>
          <w:rFonts w:ascii="Verdana" w:eastAsia="Calibri" w:hAnsi="Verdana" w:cs="Arial"/>
          <w:bCs/>
          <w:sz w:val="16"/>
          <w:szCs w:val="16"/>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24CA2EFD" w14:textId="77777777" w:rsidR="00720A38" w:rsidRPr="00625E71" w:rsidRDefault="00720A38" w:rsidP="004801C2">
      <w:pPr>
        <w:spacing w:after="0" w:line="276" w:lineRule="auto"/>
        <w:ind w:firstLine="708"/>
        <w:jc w:val="both"/>
        <w:rPr>
          <w:rFonts w:ascii="Verdana" w:eastAsia="Calibri" w:hAnsi="Verdana" w:cs="Arial"/>
          <w:bCs/>
          <w:sz w:val="16"/>
          <w:szCs w:val="16"/>
        </w:rPr>
      </w:pPr>
    </w:p>
    <w:p w14:paraId="548857CF" w14:textId="5AE7DDA0" w:rsidR="00430885" w:rsidRPr="00625E71" w:rsidRDefault="00430885" w:rsidP="004801C2">
      <w:pPr>
        <w:spacing w:after="0" w:line="276" w:lineRule="auto"/>
        <w:ind w:firstLine="708"/>
        <w:jc w:val="both"/>
        <w:rPr>
          <w:rFonts w:ascii="Verdana" w:eastAsia="Calibri" w:hAnsi="Verdana" w:cs="Arial"/>
          <w:bCs/>
          <w:sz w:val="16"/>
          <w:szCs w:val="16"/>
        </w:rPr>
      </w:pPr>
      <w:r w:rsidRPr="00625E71">
        <w:rPr>
          <w:rFonts w:ascii="Verdana" w:eastAsia="Calibri" w:hAnsi="Verdana" w:cs="Arial"/>
          <w:bCs/>
          <w:sz w:val="16"/>
          <w:szCs w:val="16"/>
        </w:rPr>
        <w:t>Resolución 456 del 10 de septiembre de 2024: “Por la cual se adopta la versión 4 de los documentos tipo para los procesos de selección de licitación de obra pública de infraestructura de transporte y se deroga la Resolución 240 de 2020”.</w:t>
      </w:r>
    </w:p>
    <w:p w14:paraId="7921C764" w14:textId="77777777" w:rsidR="00720A38" w:rsidRPr="00625E71" w:rsidRDefault="00720A38" w:rsidP="004801C2">
      <w:pPr>
        <w:spacing w:after="0" w:line="276" w:lineRule="auto"/>
        <w:ind w:firstLine="708"/>
        <w:jc w:val="both"/>
        <w:rPr>
          <w:rFonts w:ascii="Verdana" w:eastAsia="Calibri" w:hAnsi="Verdana" w:cs="Arial"/>
          <w:bCs/>
          <w:sz w:val="16"/>
          <w:szCs w:val="16"/>
        </w:rPr>
      </w:pPr>
    </w:p>
    <w:p w14:paraId="6F22EEFF" w14:textId="79AC74D9" w:rsidR="00430885" w:rsidRPr="00625E71" w:rsidRDefault="00430885" w:rsidP="004801C2">
      <w:pPr>
        <w:spacing w:after="0" w:line="276" w:lineRule="auto"/>
        <w:ind w:firstLine="708"/>
        <w:jc w:val="both"/>
        <w:rPr>
          <w:rFonts w:ascii="Verdana" w:eastAsia="Calibri" w:hAnsi="Verdana" w:cs="Arial"/>
          <w:bCs/>
          <w:sz w:val="16"/>
          <w:szCs w:val="16"/>
        </w:rPr>
      </w:pPr>
      <w:r w:rsidRPr="00625E71">
        <w:rPr>
          <w:rFonts w:ascii="Verdana" w:eastAsia="Calibri" w:hAnsi="Verdana" w:cs="Arial"/>
          <w:bCs/>
          <w:sz w:val="16"/>
          <w:szCs w:val="16"/>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E658CBF" w14:textId="77777777" w:rsidR="00DE7DB6" w:rsidRPr="00625E71" w:rsidRDefault="00DE7DB6" w:rsidP="004801C2">
      <w:pPr>
        <w:spacing w:after="0" w:line="276" w:lineRule="auto"/>
        <w:ind w:firstLine="708"/>
        <w:jc w:val="both"/>
        <w:rPr>
          <w:rFonts w:ascii="Verdana" w:eastAsia="Calibri" w:hAnsi="Verdana" w:cs="Arial"/>
          <w:bCs/>
          <w:sz w:val="16"/>
          <w:szCs w:val="16"/>
        </w:rPr>
      </w:pPr>
    </w:p>
    <w:p w14:paraId="35A39DA1" w14:textId="355C16B1" w:rsidR="00430885" w:rsidRPr="00720A38" w:rsidRDefault="00430885" w:rsidP="00720A38">
      <w:pPr>
        <w:spacing w:after="0" w:line="276" w:lineRule="auto"/>
        <w:ind w:firstLine="708"/>
        <w:jc w:val="both"/>
        <w:rPr>
          <w:rFonts w:ascii="Verdana" w:eastAsia="Calibri" w:hAnsi="Verdana" w:cs="Arial"/>
          <w:bCs/>
          <w:sz w:val="14"/>
          <w:szCs w:val="14"/>
        </w:rPr>
      </w:pPr>
      <w:r w:rsidRPr="00625E71">
        <w:rPr>
          <w:rFonts w:ascii="Verdana" w:eastAsia="Calibri" w:hAnsi="Verdana" w:cs="Arial"/>
          <w:bCs/>
          <w:sz w:val="16"/>
          <w:szCs w:val="16"/>
        </w:rPr>
        <w:t>Resolución 464 del 10 de septiembre de 2024: “Por la cual se actualizan los documentos tipo para los procesos de obra pública de infraestructura de transporte adelantados bajo la modalidad de mínima cuantía”.</w:t>
      </w:r>
      <w:r w:rsidRPr="00BD2567">
        <w:rPr>
          <w:rFonts w:ascii="Verdana" w:eastAsia="Calibri" w:hAnsi="Verdana" w:cs="Arial"/>
          <w:bCs/>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11B4B20"/>
    <w:multiLevelType w:val="hybridMultilevel"/>
    <w:tmpl w:val="8DBA90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59362999"/>
    <w:multiLevelType w:val="hybridMultilevel"/>
    <w:tmpl w:val="C57A718C"/>
    <w:lvl w:ilvl="0" w:tplc="E1704836">
      <w:start w:val="1"/>
      <w:numFmt w:val="decimal"/>
      <w:lvlText w:val="%1."/>
      <w:lvlJc w:val="left"/>
      <w:pPr>
        <w:ind w:left="1920" w:hanging="360"/>
      </w:pPr>
      <w:rPr>
        <w:rFonts w:hint="default"/>
      </w:rPr>
    </w:lvl>
    <w:lvl w:ilvl="1" w:tplc="040A0019" w:tentative="1">
      <w:start w:val="1"/>
      <w:numFmt w:val="lowerLetter"/>
      <w:lvlText w:val="%2."/>
      <w:lvlJc w:val="left"/>
      <w:pPr>
        <w:ind w:left="1789" w:hanging="360"/>
      </w:pPr>
    </w:lvl>
    <w:lvl w:ilvl="2" w:tplc="040A001B" w:tentative="1">
      <w:start w:val="1"/>
      <w:numFmt w:val="lowerRoman"/>
      <w:lvlText w:val="%3."/>
      <w:lvlJc w:val="right"/>
      <w:pPr>
        <w:ind w:left="2509" w:hanging="180"/>
      </w:pPr>
    </w:lvl>
    <w:lvl w:ilvl="3" w:tplc="040A000F" w:tentative="1">
      <w:start w:val="1"/>
      <w:numFmt w:val="decimal"/>
      <w:lvlText w:val="%4."/>
      <w:lvlJc w:val="left"/>
      <w:pPr>
        <w:ind w:left="3229" w:hanging="360"/>
      </w:pPr>
    </w:lvl>
    <w:lvl w:ilvl="4" w:tplc="040A0019" w:tentative="1">
      <w:start w:val="1"/>
      <w:numFmt w:val="lowerLetter"/>
      <w:lvlText w:val="%5."/>
      <w:lvlJc w:val="left"/>
      <w:pPr>
        <w:ind w:left="3949" w:hanging="360"/>
      </w:pPr>
    </w:lvl>
    <w:lvl w:ilvl="5" w:tplc="040A001B" w:tentative="1">
      <w:start w:val="1"/>
      <w:numFmt w:val="lowerRoman"/>
      <w:lvlText w:val="%6."/>
      <w:lvlJc w:val="right"/>
      <w:pPr>
        <w:ind w:left="4669" w:hanging="180"/>
      </w:pPr>
    </w:lvl>
    <w:lvl w:ilvl="6" w:tplc="040A000F" w:tentative="1">
      <w:start w:val="1"/>
      <w:numFmt w:val="decimal"/>
      <w:lvlText w:val="%7."/>
      <w:lvlJc w:val="left"/>
      <w:pPr>
        <w:ind w:left="5389" w:hanging="360"/>
      </w:pPr>
    </w:lvl>
    <w:lvl w:ilvl="7" w:tplc="040A0019" w:tentative="1">
      <w:start w:val="1"/>
      <w:numFmt w:val="lowerLetter"/>
      <w:lvlText w:val="%8."/>
      <w:lvlJc w:val="left"/>
      <w:pPr>
        <w:ind w:left="6109" w:hanging="360"/>
      </w:pPr>
    </w:lvl>
    <w:lvl w:ilvl="8" w:tplc="040A001B" w:tentative="1">
      <w:start w:val="1"/>
      <w:numFmt w:val="lowerRoman"/>
      <w:lvlText w:val="%9."/>
      <w:lvlJc w:val="right"/>
      <w:pPr>
        <w:ind w:left="6829"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5"/>
  </w:num>
  <w:num w:numId="8" w16cid:durableId="152644682">
    <w:abstractNumId w:val="14"/>
  </w:num>
  <w:num w:numId="9" w16cid:durableId="1317221377">
    <w:abstractNumId w:val="7"/>
  </w:num>
  <w:num w:numId="10" w16cid:durableId="1471245386">
    <w:abstractNumId w:val="13"/>
  </w:num>
  <w:num w:numId="11" w16cid:durableId="289172385">
    <w:abstractNumId w:val="8"/>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2110657435">
    <w:abstractNumId w:val="10"/>
  </w:num>
  <w:num w:numId="20" w16cid:durableId="88660276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27C"/>
    <w:rsid w:val="00016F78"/>
    <w:rsid w:val="00046945"/>
    <w:rsid w:val="00061B2A"/>
    <w:rsid w:val="00067C92"/>
    <w:rsid w:val="00082304"/>
    <w:rsid w:val="00082362"/>
    <w:rsid w:val="00084705"/>
    <w:rsid w:val="000A683E"/>
    <w:rsid w:val="000B19B9"/>
    <w:rsid w:val="000D0334"/>
    <w:rsid w:val="000D5DA7"/>
    <w:rsid w:val="000F6486"/>
    <w:rsid w:val="00116940"/>
    <w:rsid w:val="00120FC0"/>
    <w:rsid w:val="00125105"/>
    <w:rsid w:val="00127233"/>
    <w:rsid w:val="0015699B"/>
    <w:rsid w:val="001569B5"/>
    <w:rsid w:val="001745E8"/>
    <w:rsid w:val="001A33BF"/>
    <w:rsid w:val="001E4177"/>
    <w:rsid w:val="001E4A65"/>
    <w:rsid w:val="001E65B0"/>
    <w:rsid w:val="001F0B24"/>
    <w:rsid w:val="001F59FE"/>
    <w:rsid w:val="001F7DC6"/>
    <w:rsid w:val="0022400B"/>
    <w:rsid w:val="002421BB"/>
    <w:rsid w:val="0025796E"/>
    <w:rsid w:val="002707A2"/>
    <w:rsid w:val="002762BD"/>
    <w:rsid w:val="00276410"/>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575D9"/>
    <w:rsid w:val="00374F5E"/>
    <w:rsid w:val="00377E3E"/>
    <w:rsid w:val="00385F77"/>
    <w:rsid w:val="00396898"/>
    <w:rsid w:val="003A5DF9"/>
    <w:rsid w:val="003A779E"/>
    <w:rsid w:val="003C1B93"/>
    <w:rsid w:val="003D0F4D"/>
    <w:rsid w:val="003D5B0D"/>
    <w:rsid w:val="003E0499"/>
    <w:rsid w:val="003E4F80"/>
    <w:rsid w:val="003E6439"/>
    <w:rsid w:val="003F3941"/>
    <w:rsid w:val="00406575"/>
    <w:rsid w:val="00414C74"/>
    <w:rsid w:val="00417B9F"/>
    <w:rsid w:val="0042722E"/>
    <w:rsid w:val="00430885"/>
    <w:rsid w:val="0044528D"/>
    <w:rsid w:val="00465ED0"/>
    <w:rsid w:val="00466E39"/>
    <w:rsid w:val="004801C2"/>
    <w:rsid w:val="004A1847"/>
    <w:rsid w:val="004A18AC"/>
    <w:rsid w:val="004A305D"/>
    <w:rsid w:val="004F21C4"/>
    <w:rsid w:val="004F685F"/>
    <w:rsid w:val="00513181"/>
    <w:rsid w:val="005566E8"/>
    <w:rsid w:val="005650AC"/>
    <w:rsid w:val="00574867"/>
    <w:rsid w:val="00591460"/>
    <w:rsid w:val="005A65E0"/>
    <w:rsid w:val="005C3777"/>
    <w:rsid w:val="005C5CDC"/>
    <w:rsid w:val="005D476C"/>
    <w:rsid w:val="006200BF"/>
    <w:rsid w:val="006219F8"/>
    <w:rsid w:val="00625E71"/>
    <w:rsid w:val="006302F7"/>
    <w:rsid w:val="00646B9F"/>
    <w:rsid w:val="00665D70"/>
    <w:rsid w:val="006852A4"/>
    <w:rsid w:val="006900D9"/>
    <w:rsid w:val="00706C16"/>
    <w:rsid w:val="00720A38"/>
    <w:rsid w:val="007340C3"/>
    <w:rsid w:val="0075235A"/>
    <w:rsid w:val="00756841"/>
    <w:rsid w:val="007649AB"/>
    <w:rsid w:val="00771D0C"/>
    <w:rsid w:val="00777158"/>
    <w:rsid w:val="007833AC"/>
    <w:rsid w:val="007B268C"/>
    <w:rsid w:val="007B7171"/>
    <w:rsid w:val="007C0C0F"/>
    <w:rsid w:val="007C3DC2"/>
    <w:rsid w:val="007E5497"/>
    <w:rsid w:val="00806F5F"/>
    <w:rsid w:val="00820278"/>
    <w:rsid w:val="008258C9"/>
    <w:rsid w:val="00836252"/>
    <w:rsid w:val="00844AE9"/>
    <w:rsid w:val="00867F95"/>
    <w:rsid w:val="008843B6"/>
    <w:rsid w:val="00891928"/>
    <w:rsid w:val="008A446D"/>
    <w:rsid w:val="008B25F1"/>
    <w:rsid w:val="008C3E14"/>
    <w:rsid w:val="008D180B"/>
    <w:rsid w:val="008F0EA7"/>
    <w:rsid w:val="00923EEF"/>
    <w:rsid w:val="009248CB"/>
    <w:rsid w:val="009419F9"/>
    <w:rsid w:val="00947622"/>
    <w:rsid w:val="0095685E"/>
    <w:rsid w:val="00961B09"/>
    <w:rsid w:val="00965334"/>
    <w:rsid w:val="0097093E"/>
    <w:rsid w:val="009A0DFA"/>
    <w:rsid w:val="009A1C6F"/>
    <w:rsid w:val="009A37A3"/>
    <w:rsid w:val="009B2D26"/>
    <w:rsid w:val="009B45E8"/>
    <w:rsid w:val="009C71FA"/>
    <w:rsid w:val="009C72E7"/>
    <w:rsid w:val="009C7F7E"/>
    <w:rsid w:val="009D3058"/>
    <w:rsid w:val="009E70CE"/>
    <w:rsid w:val="009F3A13"/>
    <w:rsid w:val="00A05949"/>
    <w:rsid w:val="00A06AB9"/>
    <w:rsid w:val="00A122D3"/>
    <w:rsid w:val="00A14468"/>
    <w:rsid w:val="00A16F7D"/>
    <w:rsid w:val="00A17F13"/>
    <w:rsid w:val="00A20739"/>
    <w:rsid w:val="00A23AF9"/>
    <w:rsid w:val="00A33C78"/>
    <w:rsid w:val="00A34C42"/>
    <w:rsid w:val="00AB0ADB"/>
    <w:rsid w:val="00AB1AE5"/>
    <w:rsid w:val="00AB601C"/>
    <w:rsid w:val="00B00C0E"/>
    <w:rsid w:val="00B01A18"/>
    <w:rsid w:val="00B01B1A"/>
    <w:rsid w:val="00B0381D"/>
    <w:rsid w:val="00B151C7"/>
    <w:rsid w:val="00B44A47"/>
    <w:rsid w:val="00B663A6"/>
    <w:rsid w:val="00B72CD3"/>
    <w:rsid w:val="00B72FFF"/>
    <w:rsid w:val="00BA7F96"/>
    <w:rsid w:val="00BC3D36"/>
    <w:rsid w:val="00BD2567"/>
    <w:rsid w:val="00BD33C2"/>
    <w:rsid w:val="00BD54A6"/>
    <w:rsid w:val="00BD7F72"/>
    <w:rsid w:val="00BE0711"/>
    <w:rsid w:val="00BF7425"/>
    <w:rsid w:val="00C04FB3"/>
    <w:rsid w:val="00C11D8B"/>
    <w:rsid w:val="00C15139"/>
    <w:rsid w:val="00C330EB"/>
    <w:rsid w:val="00C50D69"/>
    <w:rsid w:val="00C50F84"/>
    <w:rsid w:val="00C5365C"/>
    <w:rsid w:val="00C754BE"/>
    <w:rsid w:val="00C76B1C"/>
    <w:rsid w:val="00C83F92"/>
    <w:rsid w:val="00C925AC"/>
    <w:rsid w:val="00CB0637"/>
    <w:rsid w:val="00CB6357"/>
    <w:rsid w:val="00CC1B26"/>
    <w:rsid w:val="00CC2A0F"/>
    <w:rsid w:val="00D0475C"/>
    <w:rsid w:val="00D361FD"/>
    <w:rsid w:val="00D423A2"/>
    <w:rsid w:val="00D44E26"/>
    <w:rsid w:val="00D520D8"/>
    <w:rsid w:val="00D63AC2"/>
    <w:rsid w:val="00D7383B"/>
    <w:rsid w:val="00D74B3D"/>
    <w:rsid w:val="00D7788A"/>
    <w:rsid w:val="00DA231B"/>
    <w:rsid w:val="00DA3811"/>
    <w:rsid w:val="00DB4777"/>
    <w:rsid w:val="00DB68EF"/>
    <w:rsid w:val="00DC39FC"/>
    <w:rsid w:val="00DE7DB6"/>
    <w:rsid w:val="00DF1530"/>
    <w:rsid w:val="00DF5254"/>
    <w:rsid w:val="00E02524"/>
    <w:rsid w:val="00E16408"/>
    <w:rsid w:val="00E20894"/>
    <w:rsid w:val="00E245AB"/>
    <w:rsid w:val="00E2764C"/>
    <w:rsid w:val="00E27B2B"/>
    <w:rsid w:val="00E27F2E"/>
    <w:rsid w:val="00E50AFE"/>
    <w:rsid w:val="00E75C92"/>
    <w:rsid w:val="00E771DC"/>
    <w:rsid w:val="00E8772A"/>
    <w:rsid w:val="00E90F6B"/>
    <w:rsid w:val="00E92C27"/>
    <w:rsid w:val="00EA0E3D"/>
    <w:rsid w:val="00EC38A7"/>
    <w:rsid w:val="00EE1AA8"/>
    <w:rsid w:val="00EE7482"/>
    <w:rsid w:val="00F23FEA"/>
    <w:rsid w:val="00F31EDC"/>
    <w:rsid w:val="00F462B3"/>
    <w:rsid w:val="00F5664F"/>
    <w:rsid w:val="00F666C4"/>
    <w:rsid w:val="00F76AFC"/>
    <w:rsid w:val="00FA47C0"/>
    <w:rsid w:val="00FB5DD1"/>
    <w:rsid w:val="00FC2B5D"/>
    <w:rsid w:val="00FE0C13"/>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30885"/>
    <w:pPr>
      <w:spacing w:line="240" w:lineRule="exact"/>
    </w:pPr>
    <w:rPr>
      <w:vertAlign w:val="superscript"/>
    </w:rPr>
  </w:style>
  <w:style w:type="table" w:customStyle="1" w:styleId="Tablaconcuadrcula1">
    <w:name w:val="Tabla con cuadrícula1"/>
    <w:basedOn w:val="Tablanormal"/>
    <w:next w:val="Tablaconcuadrcula"/>
    <w:uiPriority w:val="39"/>
    <w:qFormat/>
    <w:rsid w:val="004308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22600" TargetMode="External"/><Relationship Id="rId18" Type="http://schemas.openxmlformats.org/officeDocument/2006/relationships/hyperlink" Target="https://www.funcionpublica.gov.co/eva/gestornormativo/norma.php?i=6164" TargetMode="Externa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ww.funcionpublica.gov.co/eva/gestornormativo/norma.php?i=209510" TargetMode="External"/><Relationship Id="rId7" Type="http://schemas.openxmlformats.org/officeDocument/2006/relationships/webSettings" Target="webSettings.xml"/><Relationship Id="rId12" Type="http://schemas.openxmlformats.org/officeDocument/2006/relationships/hyperlink" Target="https://www.funcionpublica.gov.co/eva/gestornormativo/norma.php?i=5248" TargetMode="External"/><Relationship Id="rId17" Type="http://schemas.openxmlformats.org/officeDocument/2006/relationships/hyperlink" Target="https://www.funcionpublica.gov.co/eva/gestornormativo/norma.php?i=304" TargetMode="External"/><Relationship Id="rId25"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 Type="http://schemas.openxmlformats.org/officeDocument/2006/relationships/customXml" Target="../customXml/item2.xml"/><Relationship Id="rId16" Type="http://schemas.openxmlformats.org/officeDocument/2006/relationships/hyperlink" Target="https://www.funcionpublica.gov.co/eva/gestornormativo/norma.php?i=93970" TargetMode="External"/><Relationship Id="rId20" Type="http://schemas.openxmlformats.org/officeDocument/2006/relationships/hyperlink" Target="https://www.funcionpublica.gov.co/eva/gestornormativo/norma.php?i=156590"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2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5" Type="http://schemas.openxmlformats.org/officeDocument/2006/relationships/styles" Target="styles.xml"/><Relationship Id="rId15" Type="http://schemas.openxmlformats.org/officeDocument/2006/relationships/hyperlink" Target="https://www.funcionpublica.gov.co/eva/gestornormativo/norma.php?i=304" TargetMode="External"/><Relationship Id="rId23" Type="http://schemas.openxmlformats.org/officeDocument/2006/relationships/hyperlink" Target="https://www.colombiacompra.gov.co/documentos-tipo/documentos-tipo" TargetMode="External"/><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hyperlink" Target="https://www.funcionpublica.gov.co/eva/gestornormativo/norma.php?i=377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317" TargetMode="External"/><Relationship Id="rId22" Type="http://schemas.openxmlformats.org/officeDocument/2006/relationships/hyperlink" Target="https://www.funcionpublica.gov.co/eva/gestornormativo/norma.php?i=209510" TargetMode="External"/><Relationship Id="rId27" Type="http://schemas.openxmlformats.org/officeDocument/2006/relationships/header" Target="header1.xm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documentos-tipo/documentos-tipo"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68964A4-8056-4CFC-894B-6FE3A08DAA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24</Pages>
  <Words>7273</Words>
  <Characters>39931</Characters>
  <Application>Microsoft Office Word</Application>
  <DocSecurity>0</DocSecurity>
  <Lines>814</Lines>
  <Paragraphs>189</Paragraphs>
  <ScaleCrop>false</ScaleCrop>
  <Company/>
  <LinksUpToDate>false</LinksUpToDate>
  <CharactersWithSpaces>47015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2025-12-30T12:52:00Z</dcterms:created>
  <dcterms:modified xsi:type="dcterms:W3CDTF">2025-12-30T14:06:00Z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