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C94CA" w14:textId="77777777" w:rsidR="007821E6" w:rsidRPr="00C7633E" w:rsidRDefault="007821E6" w:rsidP="007821E6">
      <w:pPr>
        <w:spacing w:after="0" w:line="240" w:lineRule="auto"/>
        <w:jc w:val="both"/>
        <w:rPr>
          <w:rFonts w:ascii="Verdana" w:hAnsi="Verdana"/>
          <w:b/>
          <w:bCs/>
        </w:rPr>
      </w:pPr>
      <w:bookmarkStart w:id="0" w:name="_Hlk143780582"/>
      <w:r w:rsidRPr="00C7633E">
        <w:rPr>
          <w:rFonts w:ascii="Verdana" w:hAnsi="Verdana"/>
          <w:b/>
          <w:bCs/>
        </w:rPr>
        <w:t xml:space="preserve">REQUISITOS DE PERFECCIONAMIENTO DE LOS CONTRATOS ESTATALES – Celebración del contrato estatal – ELEMENTOS DEL CONTRATO – Elementos de la esencia – Elementos de la naturaleza –Elementos accidentales </w:t>
      </w:r>
    </w:p>
    <w:p w14:paraId="4015071D" w14:textId="77777777" w:rsidR="007821E6" w:rsidRPr="00C7633E" w:rsidRDefault="007821E6" w:rsidP="007821E6">
      <w:pPr>
        <w:spacing w:after="0" w:line="240" w:lineRule="auto"/>
        <w:rPr>
          <w:rFonts w:ascii="Verdana" w:hAnsi="Verdana"/>
        </w:rPr>
      </w:pPr>
    </w:p>
    <w:p w14:paraId="01BEB570" w14:textId="77777777" w:rsidR="007821E6" w:rsidRDefault="007821E6" w:rsidP="007821E6">
      <w:pPr>
        <w:spacing w:after="0" w:line="240" w:lineRule="auto"/>
        <w:jc w:val="both"/>
        <w:rPr>
          <w:rFonts w:ascii="Verdana" w:eastAsia="Calibri" w:hAnsi="Verdana" w:cs="Arial"/>
          <w:sz w:val="20"/>
          <w:szCs w:val="20"/>
          <w:lang w:val="es-ES"/>
        </w:rPr>
      </w:pPr>
      <w:r w:rsidRPr="1952E7C8">
        <w:rPr>
          <w:rFonts w:ascii="Verdana" w:eastAsia="Calibri" w:hAnsi="Verdana" w:cs="Arial"/>
          <w:sz w:val="20"/>
          <w:szCs w:val="20"/>
          <w:lang w:val="es-ES"/>
        </w:rPr>
        <w:t xml:space="preserve">Los </w:t>
      </w:r>
      <w:r w:rsidRPr="1952E7C8">
        <w:rPr>
          <w:rFonts w:ascii="Verdana" w:eastAsia="Calibri" w:hAnsi="Verdana" w:cs="Arial"/>
          <w:i/>
          <w:iCs/>
          <w:sz w:val="20"/>
          <w:szCs w:val="20"/>
          <w:lang w:val="es-ES"/>
        </w:rPr>
        <w:t>requisitos de perfeccionamiento</w:t>
      </w:r>
      <w:r w:rsidRPr="1952E7C8">
        <w:rPr>
          <w:rFonts w:ascii="Verdana" w:eastAsia="Calibri" w:hAnsi="Verdana" w:cs="Arial"/>
          <w:sz w:val="20"/>
          <w:szCs w:val="20"/>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0C432B42" w14:textId="77777777" w:rsidR="007821E6" w:rsidRPr="00C35401" w:rsidRDefault="007821E6" w:rsidP="007821E6">
      <w:pPr>
        <w:spacing w:after="0" w:line="240" w:lineRule="auto"/>
        <w:jc w:val="both"/>
        <w:rPr>
          <w:rFonts w:ascii="Verdana" w:eastAsia="Calibri" w:hAnsi="Verdana" w:cs="Arial"/>
          <w:sz w:val="20"/>
          <w:szCs w:val="20"/>
          <w:lang w:val="es-ES_tradnl"/>
        </w:rPr>
      </w:pPr>
    </w:p>
    <w:p w14:paraId="07DF44D8" w14:textId="77777777" w:rsidR="007821E6" w:rsidRDefault="007821E6" w:rsidP="007821E6">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de la </w:t>
      </w:r>
      <w:r w:rsidRPr="00C35401">
        <w:rPr>
          <w:rFonts w:ascii="Verdana" w:eastAsia="Calibri" w:hAnsi="Verdana" w:cs="Arial"/>
          <w:i/>
          <w:iCs/>
          <w:sz w:val="20"/>
          <w:szCs w:val="20"/>
          <w:lang w:val="es-ES_tradnl"/>
        </w:rPr>
        <w:t>esencia</w:t>
      </w:r>
      <w:r w:rsidRPr="00C35401">
        <w:rPr>
          <w:rFonts w:ascii="Verdana" w:eastAsia="Calibri" w:hAnsi="Verdana" w:cs="Arial"/>
          <w:sz w:val="20"/>
          <w:szCs w:val="20"/>
          <w:lang w:val="es-ES_tradnl"/>
        </w:rPr>
        <w:t xml:space="preserve"> son aquellos que, al cumplirse, marcan la existencia del contrato y le otorgan su identidad o tipología, permitiendo que no se confunda con otro contrato. Los de la </w:t>
      </w:r>
      <w:r w:rsidRPr="00C35401">
        <w:rPr>
          <w:rFonts w:ascii="Verdana" w:eastAsia="Calibri" w:hAnsi="Verdana" w:cs="Arial"/>
          <w:i/>
          <w:iCs/>
          <w:sz w:val="20"/>
          <w:szCs w:val="20"/>
          <w:lang w:val="es-ES_tradnl"/>
        </w:rPr>
        <w:t>naturaleza</w:t>
      </w:r>
      <w:r w:rsidRPr="00C35401">
        <w:rPr>
          <w:rFonts w:ascii="Verdana" w:eastAsia="Calibri" w:hAnsi="Verdana" w:cs="Arial"/>
          <w:sz w:val="20"/>
          <w:szCs w:val="20"/>
          <w:lang w:val="es-ES_tradnl"/>
        </w:rPr>
        <w:t xml:space="preserve"> son aquellos que, no siendo esenciales al contrato, se entienden incorporados por ministerio de la ley, aun ante el silencio de las partes. Y los </w:t>
      </w:r>
      <w:r w:rsidRPr="00C35401">
        <w:rPr>
          <w:rFonts w:ascii="Verdana" w:eastAsia="Calibri" w:hAnsi="Verdana" w:cs="Arial"/>
          <w:i/>
          <w:iCs/>
          <w:sz w:val="20"/>
          <w:szCs w:val="20"/>
          <w:lang w:val="es-ES_tradnl"/>
        </w:rPr>
        <w:t>accidentales</w:t>
      </w:r>
      <w:r w:rsidRPr="00C35401">
        <w:rPr>
          <w:rFonts w:ascii="Verdana" w:eastAsia="Calibri" w:hAnsi="Verdana" w:cs="Arial"/>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1B60CFFA" w14:textId="77777777" w:rsidR="007821E6" w:rsidRPr="00C35401" w:rsidRDefault="007821E6" w:rsidP="007821E6">
      <w:pPr>
        <w:spacing w:after="0" w:line="240" w:lineRule="auto"/>
        <w:jc w:val="both"/>
        <w:rPr>
          <w:rFonts w:ascii="Verdana" w:eastAsia="Calibri" w:hAnsi="Verdana" w:cs="Arial"/>
          <w:sz w:val="20"/>
          <w:szCs w:val="20"/>
          <w:lang w:val="es-ES_tradnl"/>
        </w:rPr>
      </w:pPr>
    </w:p>
    <w:p w14:paraId="6C177945" w14:textId="77777777" w:rsidR="007821E6" w:rsidRPr="00C7633E" w:rsidRDefault="007821E6" w:rsidP="007821E6">
      <w:pPr>
        <w:spacing w:after="0" w:line="240" w:lineRule="auto"/>
        <w:jc w:val="both"/>
        <w:rPr>
          <w:rFonts w:ascii="Verdana" w:eastAsia="Calibri" w:hAnsi="Verdana" w:cs="Arial"/>
          <w:b/>
          <w:bCs/>
          <w:lang w:val="es-ES_tradnl"/>
        </w:rPr>
      </w:pPr>
      <w:r w:rsidRPr="00C7633E">
        <w:rPr>
          <w:rFonts w:ascii="Verdana" w:eastAsia="Calibri" w:hAnsi="Verdana" w:cs="Arial"/>
          <w:b/>
          <w:bCs/>
          <w:lang w:val="es-ES_tradnl"/>
        </w:rPr>
        <w:t xml:space="preserve">CARACTERÍSTICAS DE LOS CONTRATOS ESTATALES – Contratos consensuales – Contratos reales – Contratos solemnes </w:t>
      </w:r>
    </w:p>
    <w:p w14:paraId="5B944201" w14:textId="77777777" w:rsidR="007821E6" w:rsidRPr="00C35401" w:rsidRDefault="007821E6" w:rsidP="007821E6">
      <w:pPr>
        <w:spacing w:after="0" w:line="240" w:lineRule="auto"/>
        <w:jc w:val="both"/>
        <w:rPr>
          <w:rFonts w:ascii="Verdana" w:eastAsia="Calibri" w:hAnsi="Verdana" w:cs="Arial"/>
          <w:b/>
          <w:bCs/>
          <w:sz w:val="20"/>
          <w:szCs w:val="20"/>
          <w:lang w:val="es-ES_tradnl"/>
        </w:rPr>
      </w:pPr>
    </w:p>
    <w:p w14:paraId="61B4F69B" w14:textId="77777777" w:rsidR="007821E6" w:rsidRPr="00C35401" w:rsidRDefault="007821E6" w:rsidP="007821E6">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Además, los contratos –en términos generales– pueden ser: consensuales, reales o solemnes. Son </w:t>
      </w:r>
      <w:r w:rsidRPr="00C35401">
        <w:rPr>
          <w:rFonts w:ascii="Verdana" w:eastAsia="Calibri" w:hAnsi="Verdana" w:cs="Arial"/>
          <w:i/>
          <w:iCs/>
          <w:sz w:val="20"/>
          <w:szCs w:val="20"/>
          <w:lang w:val="es-ES_tradnl"/>
        </w:rPr>
        <w:t>consensuales</w:t>
      </w:r>
      <w:r w:rsidRPr="00C35401">
        <w:rPr>
          <w:rFonts w:ascii="Verdana" w:eastAsia="Calibri" w:hAnsi="Verdana" w:cs="Arial"/>
          <w:sz w:val="20"/>
          <w:szCs w:val="20"/>
          <w:lang w:val="es-ES_tradnl"/>
        </w:rPr>
        <w:t xml:space="preserve"> los que se perfeccionan con el consentimiento informal, pues no requieren de formalidades especiales. Son </w:t>
      </w:r>
      <w:r w:rsidRPr="00C35401">
        <w:rPr>
          <w:rFonts w:ascii="Verdana" w:eastAsia="Calibri" w:hAnsi="Verdana" w:cs="Arial"/>
          <w:i/>
          <w:iCs/>
          <w:sz w:val="20"/>
          <w:szCs w:val="20"/>
          <w:lang w:val="es-ES_tradnl"/>
        </w:rPr>
        <w:t>reales</w:t>
      </w:r>
      <w:r w:rsidRPr="00C35401">
        <w:rPr>
          <w:rFonts w:ascii="Verdana" w:eastAsia="Calibri" w:hAnsi="Verdana" w:cs="Arial"/>
          <w:sz w:val="20"/>
          <w:szCs w:val="20"/>
          <w:lang w:val="es-ES_tradnl"/>
        </w:rPr>
        <w:t xml:space="preserve"> aquellos que existen solo con la tradición o entrega de una cosa. Por su parte, son </w:t>
      </w:r>
      <w:r w:rsidRPr="00C35401">
        <w:rPr>
          <w:rFonts w:ascii="Verdana" w:eastAsia="Calibri" w:hAnsi="Verdana" w:cs="Arial"/>
          <w:i/>
          <w:iCs/>
          <w:sz w:val="20"/>
          <w:szCs w:val="20"/>
          <w:lang w:val="es-ES_tradnl"/>
        </w:rPr>
        <w:t>solemnes</w:t>
      </w:r>
      <w:r w:rsidRPr="00C35401">
        <w:rPr>
          <w:rFonts w:ascii="Verdana" w:eastAsia="Calibri" w:hAnsi="Verdana" w:cs="Arial"/>
          <w:sz w:val="20"/>
          <w:szCs w:val="20"/>
          <w:lang w:val="es-ES_tradnl"/>
        </w:rPr>
        <w:t xml:space="preserve"> aquellos contratos cuyo perfeccionamiento está revestido del cumplimiento de exigencias formales o ritualidades específicas. Pues bien, los contratos estatales regulados por el EGCAP, por regla general, son solemnes, ya que solo se entienden celebrados si se cumplen ciertas formalidades. </w:t>
      </w:r>
    </w:p>
    <w:p w14:paraId="766574C4" w14:textId="77777777" w:rsidR="007821E6" w:rsidRDefault="007821E6" w:rsidP="007821E6">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En efecto, el primer inciso del artículo 41 de la Ley 80 de 1993 establece que “</w:t>
      </w:r>
      <w:r w:rsidRPr="00C35401">
        <w:rPr>
          <w:rFonts w:ascii="Verdana" w:eastAsia="Calibri" w:hAnsi="Verdana" w:cs="Arial"/>
          <w:i/>
          <w:iCs/>
          <w:sz w:val="20"/>
          <w:szCs w:val="20"/>
          <w:lang w:val="es-ES_tradnl"/>
        </w:rPr>
        <w:t>Los contratos del Estado se perfeccionan cuando se logre acuerdo sobre el objeto y la contraprestación y éste se eleve a escrito</w:t>
      </w:r>
      <w:r w:rsidRPr="00C35401">
        <w:rPr>
          <w:rFonts w:ascii="Verdana" w:eastAsia="Calibri" w:hAnsi="Verdana" w:cs="Arial"/>
          <w:sz w:val="20"/>
          <w:szCs w:val="20"/>
          <w:lang w:val="es-ES_tradnl"/>
        </w:rPr>
        <w:t xml:space="preserve">”. </w:t>
      </w:r>
    </w:p>
    <w:p w14:paraId="2D3D88F4" w14:textId="77777777" w:rsidR="007821E6" w:rsidRPr="00C35401" w:rsidRDefault="007821E6" w:rsidP="007821E6">
      <w:pPr>
        <w:spacing w:after="0" w:line="240" w:lineRule="auto"/>
        <w:jc w:val="both"/>
        <w:rPr>
          <w:rFonts w:ascii="Verdana" w:eastAsia="Calibri" w:hAnsi="Verdana" w:cs="Arial"/>
          <w:sz w:val="20"/>
          <w:szCs w:val="20"/>
          <w:lang w:val="es-ES_tradnl"/>
        </w:rPr>
      </w:pPr>
    </w:p>
    <w:p w14:paraId="2CBBB4F6" w14:textId="0CC98ABA" w:rsidR="007821E6" w:rsidRPr="00C7633E" w:rsidRDefault="007821E6" w:rsidP="0079739B">
      <w:pPr>
        <w:spacing w:after="0" w:line="240" w:lineRule="auto"/>
        <w:jc w:val="both"/>
        <w:rPr>
          <w:rFonts w:ascii="Verdana" w:eastAsia="Calibri" w:hAnsi="Verdana" w:cs="Arial"/>
          <w:b/>
          <w:bCs/>
          <w:lang w:val="es-ES_tradnl"/>
        </w:rPr>
      </w:pPr>
      <w:r w:rsidRPr="00C7633E">
        <w:rPr>
          <w:rFonts w:ascii="Verdana" w:eastAsia="Calibri" w:hAnsi="Verdana" w:cs="Arial"/>
          <w:b/>
          <w:bCs/>
          <w:lang w:val="es-ES_tradnl"/>
        </w:rPr>
        <w:t xml:space="preserve">REQUISITOS DE EJECUCIÓN DEL CONTRATO ESTATAL – </w:t>
      </w:r>
      <w:r w:rsidR="0079739B" w:rsidRPr="0079739B">
        <w:rPr>
          <w:rFonts w:ascii="Verdana" w:eastAsia="Calibri" w:hAnsi="Verdana" w:cs="Arial"/>
          <w:b/>
          <w:bCs/>
          <w:lang w:val="es-ES_tradnl"/>
        </w:rPr>
        <w:t>Diferencias entre requisitos de</w:t>
      </w:r>
      <w:r w:rsidR="0079739B">
        <w:rPr>
          <w:rFonts w:ascii="Verdana" w:eastAsia="Calibri" w:hAnsi="Verdana" w:cs="Arial"/>
          <w:b/>
          <w:bCs/>
          <w:lang w:val="es-ES_tradnl"/>
        </w:rPr>
        <w:t xml:space="preserve"> </w:t>
      </w:r>
      <w:r w:rsidR="0079739B" w:rsidRPr="0079739B">
        <w:rPr>
          <w:rFonts w:ascii="Verdana" w:eastAsia="Calibri" w:hAnsi="Verdana" w:cs="Arial"/>
          <w:b/>
          <w:bCs/>
          <w:lang w:val="es-ES_tradnl"/>
        </w:rPr>
        <w:t>perfeccionamiento y ejecución – Requisitos de</w:t>
      </w:r>
      <w:r w:rsidR="0079739B">
        <w:rPr>
          <w:rFonts w:ascii="Verdana" w:eastAsia="Calibri" w:hAnsi="Verdana" w:cs="Arial"/>
          <w:b/>
          <w:bCs/>
          <w:lang w:val="es-ES_tradnl"/>
        </w:rPr>
        <w:t xml:space="preserve"> </w:t>
      </w:r>
      <w:r w:rsidR="0079739B" w:rsidRPr="0079739B">
        <w:rPr>
          <w:rFonts w:ascii="Verdana" w:eastAsia="Calibri" w:hAnsi="Verdana" w:cs="Arial"/>
          <w:b/>
          <w:bCs/>
          <w:lang w:val="es-ES_tradnl"/>
        </w:rPr>
        <w:t>ejecución legales y convencionales</w:t>
      </w:r>
    </w:p>
    <w:p w14:paraId="3819FD50" w14:textId="77777777" w:rsidR="007821E6" w:rsidRPr="00C35401" w:rsidRDefault="007821E6" w:rsidP="007821E6">
      <w:pPr>
        <w:spacing w:after="0" w:line="240" w:lineRule="auto"/>
        <w:jc w:val="both"/>
        <w:rPr>
          <w:rFonts w:ascii="Verdana" w:eastAsia="Calibri" w:hAnsi="Verdana" w:cs="Arial"/>
          <w:sz w:val="20"/>
          <w:szCs w:val="20"/>
          <w:lang w:val="es-ES_tradnl"/>
        </w:rPr>
      </w:pPr>
    </w:p>
    <w:p w14:paraId="5817A587" w14:textId="77777777" w:rsidR="007821E6" w:rsidRPr="00C35401" w:rsidRDefault="007821E6" w:rsidP="007821E6">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Ahora bien, en relación con los </w:t>
      </w:r>
      <w:r w:rsidRPr="00C35401">
        <w:rPr>
          <w:rFonts w:ascii="Verdana" w:eastAsia="Calibri" w:hAnsi="Verdana" w:cs="Arial"/>
          <w:i/>
          <w:iCs/>
          <w:sz w:val="20"/>
          <w:szCs w:val="20"/>
          <w:lang w:val="es-ES_tradnl"/>
        </w:rPr>
        <w:t>requisitos de ejecución</w:t>
      </w:r>
      <w:r w:rsidRPr="00C35401">
        <w:rPr>
          <w:rFonts w:ascii="Verdana" w:eastAsia="Calibri" w:hAnsi="Verdana" w:cs="Arial"/>
          <w:sz w:val="20"/>
          <w:szCs w:val="20"/>
          <w:lang w:val="es-ES_tradnl"/>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 </w:t>
      </w:r>
    </w:p>
    <w:p w14:paraId="1E36001D" w14:textId="77777777" w:rsidR="007821E6" w:rsidRPr="00C35401" w:rsidRDefault="007821E6" w:rsidP="007821E6">
      <w:pPr>
        <w:spacing w:after="0" w:line="240" w:lineRule="auto"/>
        <w:ind w:left="708"/>
        <w:jc w:val="both"/>
        <w:rPr>
          <w:rFonts w:ascii="Verdana" w:eastAsia="Calibri" w:hAnsi="Verdana" w:cs="Arial"/>
          <w:sz w:val="20"/>
          <w:szCs w:val="20"/>
        </w:rPr>
      </w:pPr>
    </w:p>
    <w:p w14:paraId="18AF2ABC" w14:textId="77777777" w:rsidR="007821E6" w:rsidRDefault="007821E6" w:rsidP="007821E6">
      <w:pPr>
        <w:spacing w:after="0" w:line="240" w:lineRule="auto"/>
        <w:jc w:val="both"/>
        <w:rPr>
          <w:sz w:val="20"/>
          <w:szCs w:val="20"/>
        </w:rPr>
      </w:pPr>
      <w:r w:rsidRPr="00C35401">
        <w:rPr>
          <w:rFonts w:ascii="Verdana" w:eastAsia="Calibri" w:hAnsi="Verdana" w:cs="Arial"/>
          <w:sz w:val="20"/>
          <w:szCs w:val="20"/>
          <w:lang w:val="es-ES"/>
        </w:rPr>
        <w:lastRenderedPageBreak/>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elementos de la </w:t>
      </w:r>
      <w:r w:rsidRPr="00C35401">
        <w:rPr>
          <w:rFonts w:ascii="Verdana" w:eastAsia="Calibri" w:hAnsi="Verdana" w:cs="Arial"/>
          <w:i/>
          <w:iCs/>
          <w:sz w:val="20"/>
          <w:szCs w:val="20"/>
          <w:lang w:val="es-ES"/>
        </w:rPr>
        <w:t>naturaleza</w:t>
      </w:r>
      <w:r w:rsidRPr="00C35401">
        <w:rPr>
          <w:rFonts w:ascii="Verdana" w:eastAsia="Calibri" w:hAnsi="Verdana" w:cs="Arial"/>
          <w:sz w:val="20"/>
          <w:szCs w:val="20"/>
          <w:lang w:val="es-ES"/>
        </w:rPr>
        <w:t xml:space="preserve">, mientras que los requisitos </w:t>
      </w:r>
      <w:r w:rsidRPr="00C35401">
        <w:rPr>
          <w:rFonts w:ascii="Verdana" w:eastAsia="Calibri" w:hAnsi="Verdana" w:cs="Arial"/>
          <w:i/>
          <w:iCs/>
          <w:sz w:val="20"/>
          <w:szCs w:val="20"/>
          <w:lang w:val="es-ES"/>
        </w:rPr>
        <w:t>convencionales</w:t>
      </w:r>
      <w:r w:rsidRPr="00C35401">
        <w:rPr>
          <w:rFonts w:ascii="Verdana" w:eastAsia="Calibri" w:hAnsi="Verdana" w:cs="Arial"/>
          <w:sz w:val="20"/>
          <w:szCs w:val="20"/>
          <w:lang w:val="es-ES"/>
        </w:rPr>
        <w:t xml:space="preserve"> de ejecución son elementos </w:t>
      </w:r>
      <w:r w:rsidRPr="00C35401">
        <w:rPr>
          <w:rFonts w:ascii="Verdana" w:eastAsia="Calibri" w:hAnsi="Verdana" w:cs="Arial"/>
          <w:i/>
          <w:iCs/>
          <w:sz w:val="20"/>
          <w:szCs w:val="20"/>
          <w:lang w:val="es-ES"/>
        </w:rPr>
        <w:t>accidentales</w:t>
      </w:r>
      <w:r w:rsidRPr="00C35401">
        <w:rPr>
          <w:rFonts w:ascii="Verdana" w:eastAsia="Calibri" w:hAnsi="Verdana" w:cs="Arial"/>
          <w:sz w:val="20"/>
          <w:szCs w:val="20"/>
          <w:lang w:val="es-ES"/>
        </w:rPr>
        <w:t xml:space="preserve"> […]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(i) la aprobación de las garantías exigidas en el contrato, (ii) la existencia de la apropiación presupuestal correspondiente y (iii) la acreditación del cumplimiento de las obligaciones con el Sistema de Seguridad Social Integral. </w:t>
      </w:r>
      <w:r w:rsidRPr="00C35401">
        <w:rPr>
          <w:sz w:val="20"/>
          <w:szCs w:val="20"/>
        </w:rPr>
        <w:tab/>
      </w:r>
    </w:p>
    <w:p w14:paraId="13072BBE" w14:textId="77777777" w:rsidR="007821E6" w:rsidRPr="00C35401" w:rsidRDefault="007821E6" w:rsidP="007821E6">
      <w:pPr>
        <w:spacing w:after="0" w:line="240" w:lineRule="auto"/>
        <w:jc w:val="both"/>
        <w:rPr>
          <w:rFonts w:ascii="Verdana" w:eastAsia="Calibri" w:hAnsi="Verdana" w:cs="Arial"/>
          <w:sz w:val="20"/>
          <w:szCs w:val="20"/>
          <w:lang w:val="es-ES"/>
        </w:rPr>
      </w:pPr>
    </w:p>
    <w:p w14:paraId="1525C967" w14:textId="77777777" w:rsidR="007821E6" w:rsidRDefault="007821E6" w:rsidP="007821E6">
      <w:pPr>
        <w:spacing w:after="0" w:line="240" w:lineRule="auto"/>
        <w:jc w:val="both"/>
        <w:rPr>
          <w:rFonts w:ascii="Verdana" w:eastAsia="Calibri" w:hAnsi="Verdana" w:cs="Arial"/>
          <w:sz w:val="20"/>
          <w:szCs w:val="20"/>
          <w:lang w:val="es-ES"/>
        </w:rPr>
      </w:pPr>
      <w:r w:rsidRPr="00C35401">
        <w:rPr>
          <w:rFonts w:ascii="Verdana" w:eastAsia="Calibri" w:hAnsi="Verdana" w:cs="Arial"/>
          <w:sz w:val="20"/>
          <w:szCs w:val="20"/>
          <w:lang w:val="es-ES"/>
        </w:rPr>
        <w:t xml:space="preserve">Por su parte, serán requisitos </w:t>
      </w:r>
      <w:r w:rsidRPr="00C35401">
        <w:rPr>
          <w:rFonts w:ascii="Verdana" w:eastAsia="Calibri" w:hAnsi="Verdana" w:cs="Arial"/>
          <w:i/>
          <w:iCs/>
          <w:sz w:val="20"/>
          <w:szCs w:val="20"/>
          <w:lang w:val="es-ES"/>
        </w:rPr>
        <w:t xml:space="preserve">convencionales </w:t>
      </w:r>
      <w:r w:rsidRPr="00C35401">
        <w:rPr>
          <w:rFonts w:ascii="Verdana" w:eastAsia="Calibri" w:hAnsi="Verdana" w:cs="Arial"/>
          <w:sz w:val="20"/>
          <w:szCs w:val="20"/>
          <w:lang w:val="es-ES"/>
        </w:rPr>
        <w:t>aquellos que no se encuentran consagrados en la ley, sino que se pactan en la minuta del contrato o que el contratista acepta al momento de adherirse al clausulado del pliego de condiciones o documento equivalente.</w:t>
      </w:r>
    </w:p>
    <w:p w14:paraId="65AC42CA" w14:textId="77777777" w:rsidR="007821E6" w:rsidRPr="00C35401" w:rsidRDefault="007821E6" w:rsidP="007821E6">
      <w:pPr>
        <w:spacing w:after="0" w:line="240" w:lineRule="auto"/>
        <w:jc w:val="both"/>
        <w:rPr>
          <w:rFonts w:ascii="Verdana" w:eastAsia="Calibri" w:hAnsi="Verdana" w:cs="Arial"/>
          <w:sz w:val="20"/>
          <w:szCs w:val="20"/>
          <w:lang w:val="es-ES"/>
        </w:rPr>
      </w:pPr>
    </w:p>
    <w:p w14:paraId="1C8B3F70" w14:textId="4B724B60" w:rsidR="007821E6" w:rsidRPr="00C7633E" w:rsidRDefault="007821E6" w:rsidP="007821E6">
      <w:pPr>
        <w:widowControl w:val="0"/>
        <w:autoSpaceDE w:val="0"/>
        <w:autoSpaceDN w:val="0"/>
        <w:spacing w:after="0" w:line="240" w:lineRule="auto"/>
        <w:jc w:val="both"/>
        <w:rPr>
          <w:rFonts w:ascii="Verdana" w:eastAsia="Times New Roman" w:hAnsi="Verdana" w:cs="Arial"/>
          <w:b/>
          <w:bCs/>
          <w:color w:val="1A1A1A" w:themeColor="background1" w:themeShade="1A"/>
          <w:lang w:eastAsia="es-ES_tradnl"/>
        </w:rPr>
      </w:pPr>
      <w:r w:rsidRPr="00C7633E">
        <w:rPr>
          <w:rFonts w:ascii="Verdana" w:eastAsia="Times New Roman" w:hAnsi="Verdana" w:cs="Arial"/>
          <w:b/>
          <w:bCs/>
          <w:color w:val="1A1A1A" w:themeColor="background1" w:themeShade="1A"/>
          <w:lang w:eastAsia="es-ES_tradnl"/>
        </w:rPr>
        <w:t>APROBACIÓN DE GARANTIAS –</w:t>
      </w:r>
      <w:r w:rsidR="0095417D">
        <w:rPr>
          <w:rFonts w:ascii="Verdana" w:eastAsia="Times New Roman" w:hAnsi="Verdana" w:cs="Arial"/>
          <w:b/>
          <w:bCs/>
          <w:color w:val="1A1A1A" w:themeColor="background1" w:themeShade="1A"/>
          <w:lang w:eastAsia="es-ES_tradnl"/>
        </w:rPr>
        <w:t xml:space="preserve"> </w:t>
      </w:r>
      <w:r w:rsidRPr="00C7633E">
        <w:rPr>
          <w:rFonts w:ascii="Verdana" w:eastAsia="Calibri" w:hAnsi="Verdana" w:cs="Arial"/>
          <w:b/>
          <w:bCs/>
          <w:lang w:val="es-ES_tradnl"/>
        </w:rPr>
        <w:t>Requisito de ejecución legal</w:t>
      </w:r>
    </w:p>
    <w:p w14:paraId="250D6F6D" w14:textId="77777777" w:rsidR="007821E6" w:rsidRPr="00C35401" w:rsidRDefault="007821E6" w:rsidP="007821E6">
      <w:pPr>
        <w:widowControl w:val="0"/>
        <w:autoSpaceDE w:val="0"/>
        <w:autoSpaceDN w:val="0"/>
        <w:spacing w:after="0" w:line="240" w:lineRule="auto"/>
        <w:jc w:val="both"/>
        <w:rPr>
          <w:rFonts w:ascii="Verdana" w:eastAsia="Times New Roman" w:hAnsi="Verdana" w:cs="Arial"/>
          <w:b/>
          <w:bCs/>
          <w:color w:val="1A1A1A" w:themeColor="background1" w:themeShade="1A"/>
          <w:sz w:val="20"/>
          <w:szCs w:val="20"/>
          <w:lang w:eastAsia="es-ES_tradnl"/>
        </w:rPr>
      </w:pPr>
    </w:p>
    <w:p w14:paraId="0F7863DF" w14:textId="77777777" w:rsidR="007821E6" w:rsidRPr="00EE5A18" w:rsidRDefault="007821E6" w:rsidP="007821E6">
      <w:pPr>
        <w:spacing w:before="120" w:line="240" w:lineRule="auto"/>
        <w:jc w:val="both"/>
        <w:rPr>
          <w:rFonts w:ascii="Verdana" w:hAnsi="Verdana" w:cs="Arial"/>
          <w:color w:val="000000" w:themeColor="text1"/>
          <w:sz w:val="20"/>
          <w:szCs w:val="20"/>
          <w:lang w:eastAsia="es-CO"/>
        </w:rPr>
      </w:pPr>
      <w:r w:rsidRPr="00EE5A18">
        <w:rPr>
          <w:rFonts w:ascii="Verdana" w:eastAsia="Calibri" w:hAnsi="Verdana" w:cs="Arial"/>
          <w:sz w:val="20"/>
          <w:szCs w:val="20"/>
          <w:lang w:val="es-ES"/>
        </w:rPr>
        <w:t xml:space="preserve">Volviendo a los requisitos legales de ejecución en primer lugar se tiene como uno de ellos, la aprobación de las garantías exigidas en el contrato, </w:t>
      </w:r>
      <w:r w:rsidRPr="00EE5A18">
        <w:rPr>
          <w:rFonts w:ascii="Verdana" w:eastAsia="Calibri" w:hAnsi="Verdana" w:cs="Arial"/>
          <w:sz w:val="20"/>
          <w:szCs w:val="20"/>
          <w:lang w:val="es-ES_tradnl"/>
        </w:rPr>
        <w:t>el segundo inciso del artículo 41 de la Ley 80 de 1993</w:t>
      </w:r>
      <w:r w:rsidRPr="00EE5A18">
        <w:rPr>
          <w:rFonts w:ascii="Verdana" w:eastAsia="Calibri" w:hAnsi="Verdana" w:cs="Arial"/>
          <w:sz w:val="20"/>
          <w:szCs w:val="20"/>
        </w:rPr>
        <w:t>, modificado por el artículo 23 de la Ley 1150 de 2007</w:t>
      </w:r>
      <w:r w:rsidRPr="00EE5A18">
        <w:rPr>
          <w:rFonts w:ascii="Verdana" w:eastAsia="Calibri" w:hAnsi="Verdana" w:cs="Arial"/>
          <w:sz w:val="20"/>
          <w:szCs w:val="20"/>
          <w:lang w:val="es-ES_tradnl"/>
        </w:rPr>
        <w:t xml:space="preserve"> </w:t>
      </w:r>
      <w:r w:rsidRPr="00EE5A18">
        <w:rPr>
          <w:rFonts w:ascii="Verdana" w:hAnsi="Verdana" w:cs="Arial"/>
          <w:color w:val="000000" w:themeColor="text1"/>
          <w:sz w:val="20"/>
          <w:szCs w:val="20"/>
          <w:lang w:val="es-MX"/>
        </w:rPr>
        <w:t>establece que “P</w:t>
      </w:r>
      <w:r w:rsidRPr="00EE5A18">
        <w:rPr>
          <w:rFonts w:ascii="Verdana" w:hAnsi="Verdana" w:cs="Arial"/>
          <w:color w:val="000000" w:themeColor="text1"/>
          <w:sz w:val="20"/>
          <w:szCs w:val="20"/>
          <w:lang w:eastAsia="es-CO"/>
        </w:rPr>
        <w:t>ara la ejecución se requerirá de la aprobación de la garantía”, lo que se traduce en que, sin perjuicio del perfeccionamiento del contrato, no podrá ejecutarse sin que se hayan aprobado las garantías por parte de la entidad estatal contratante en caso que se hayan solicitado.</w:t>
      </w:r>
    </w:p>
    <w:p w14:paraId="189C0921" w14:textId="77777777" w:rsidR="007821E6" w:rsidRPr="00EE5A18" w:rsidRDefault="007821E6" w:rsidP="007821E6">
      <w:pPr>
        <w:spacing w:line="240" w:lineRule="auto"/>
        <w:jc w:val="both"/>
        <w:rPr>
          <w:rFonts w:ascii="Verdana" w:hAnsi="Verdana" w:cs="Arial"/>
          <w:color w:val="000000" w:themeColor="text1"/>
          <w:sz w:val="20"/>
          <w:szCs w:val="20"/>
          <w:lang w:eastAsia="es-CO"/>
        </w:rPr>
      </w:pPr>
      <w:r w:rsidRPr="00EE5A18">
        <w:rPr>
          <w:rFonts w:ascii="Verdana" w:hAnsi="Verdana" w:cs="Arial"/>
          <w:color w:val="000000" w:themeColor="text1"/>
          <w:sz w:val="20"/>
          <w:szCs w:val="20"/>
          <w:lang w:eastAsia="es-CO"/>
        </w:rPr>
        <w:t xml:space="preserve">De esta manera, para proceder con el inicio del contrato, el contratista debe cumplir con la obligación de constituir las garantías solicitadas,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EE5A18">
        <w:rPr>
          <w:rFonts w:ascii="Verdana" w:hAnsi="Verdana" w:cs="Arial"/>
          <w:color w:val="000000" w:themeColor="text1"/>
          <w:sz w:val="20"/>
          <w:szCs w:val="20"/>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EE5A18">
        <w:rPr>
          <w:rStyle w:val="Refdenotaalpie"/>
          <w:rFonts w:ascii="Verdana" w:hAnsi="Verdana" w:cs="Arial"/>
          <w:color w:val="000000" w:themeColor="text1"/>
          <w:sz w:val="20"/>
          <w:szCs w:val="20"/>
          <w:lang w:val="es-ES_tradnl" w:eastAsia="es-CO"/>
        </w:rPr>
        <w:footnoteReference w:id="1"/>
      </w:r>
      <w:r w:rsidRPr="00EE5A18">
        <w:rPr>
          <w:rFonts w:ascii="Verdana" w:hAnsi="Verdana" w:cs="Arial"/>
          <w:color w:val="000000" w:themeColor="text1"/>
          <w:sz w:val="20"/>
          <w:szCs w:val="20"/>
          <w:lang w:val="es-ES_tradnl" w:eastAsia="es-CO"/>
        </w:rPr>
        <w:t xml:space="preserve"> en caso de que se haya solicitado.</w:t>
      </w:r>
    </w:p>
    <w:p w14:paraId="3516E36C" w14:textId="2ADBC070" w:rsidR="007821E6" w:rsidRPr="00EE5A18" w:rsidRDefault="007821E6" w:rsidP="007821E6">
      <w:pPr>
        <w:spacing w:after="0" w:line="240" w:lineRule="auto"/>
        <w:jc w:val="both"/>
        <w:rPr>
          <w:rFonts w:ascii="Verdana" w:eastAsia="Calibri" w:hAnsi="Verdana" w:cs="Arial"/>
          <w:b/>
          <w:bCs/>
          <w:lang w:val="es-ES_tradnl"/>
        </w:rPr>
      </w:pPr>
      <w:r w:rsidRPr="00EE5A18">
        <w:rPr>
          <w:rFonts w:ascii="Verdana" w:eastAsia="Calibri" w:hAnsi="Verdana" w:cs="Arial"/>
          <w:b/>
          <w:bCs/>
          <w:lang w:val="es-ES_tradnl"/>
        </w:rPr>
        <w:t xml:space="preserve">REGISTRO PRESUPUESTAL – </w:t>
      </w:r>
      <w:r w:rsidR="00AB2835" w:rsidRPr="00AB2835">
        <w:rPr>
          <w:rFonts w:ascii="Verdana" w:eastAsia="Calibri" w:hAnsi="Verdana" w:cs="Arial"/>
          <w:b/>
          <w:bCs/>
          <w:lang w:val="es-ES_tradnl"/>
        </w:rPr>
        <w:t>Expedición – Oportunidad – Requisito de ejecución</w:t>
      </w:r>
    </w:p>
    <w:p w14:paraId="4A1F750F" w14:textId="77777777" w:rsidR="007821E6" w:rsidRPr="00C35401" w:rsidRDefault="007821E6" w:rsidP="007821E6">
      <w:pPr>
        <w:spacing w:after="0" w:line="240" w:lineRule="auto"/>
        <w:jc w:val="both"/>
        <w:rPr>
          <w:rFonts w:ascii="Verdana" w:eastAsia="Calibri" w:hAnsi="Verdana" w:cs="Arial"/>
          <w:b/>
          <w:bCs/>
          <w:sz w:val="20"/>
          <w:szCs w:val="20"/>
          <w:lang w:val="es-ES_tradnl"/>
        </w:rPr>
      </w:pPr>
    </w:p>
    <w:p w14:paraId="33DA9D96" w14:textId="77777777" w:rsidR="007821E6" w:rsidRDefault="007821E6" w:rsidP="007821E6">
      <w:pPr>
        <w:spacing w:after="0" w:line="240" w:lineRule="auto"/>
        <w:jc w:val="both"/>
        <w:rPr>
          <w:rFonts w:ascii="Verdana" w:eastAsia="Times New Roman" w:hAnsi="Verdana" w:cs="Arial"/>
          <w:color w:val="1A1A1A" w:themeColor="background1" w:themeShade="1A"/>
          <w:sz w:val="20"/>
          <w:szCs w:val="20"/>
          <w:lang w:eastAsia="es-ES_tradnl"/>
        </w:rPr>
      </w:pPr>
      <w:r w:rsidRPr="00C35401">
        <w:rPr>
          <w:rFonts w:ascii="Verdana" w:eastAsia="Calibri" w:hAnsi="Verdana" w:cs="Arial"/>
          <w:sz w:val="20"/>
          <w:szCs w:val="20"/>
          <w:lang w:val="es-ES_tradnl"/>
        </w:rPr>
        <w:t xml:space="preserve">Ahora bien, </w:t>
      </w:r>
      <w:r w:rsidRPr="00C35401">
        <w:rPr>
          <w:rFonts w:ascii="Verdana" w:eastAsia="Times New Roman" w:hAnsi="Verdana" w:cs="Arial"/>
          <w:color w:val="1A1A1A" w:themeColor="background1" w:themeShade="1A"/>
          <w:sz w:val="20"/>
          <w:szCs w:val="20"/>
          <w:lang w:eastAsia="es-ES_tradnl"/>
        </w:rPr>
        <w:t xml:space="preserve">conforme al artículo 41 de la Ley 80 de 1993, el Registro Presupuestal es necesario para iniciar la ejecución del contrato, una vez se tenga definido el valor y el plazo. En consecuencia, el Registro Presupuestal, al ser un requisito de ejecución del </w:t>
      </w:r>
      <w:r w:rsidRPr="00C35401">
        <w:rPr>
          <w:rFonts w:ascii="Verdana" w:eastAsia="Times New Roman" w:hAnsi="Verdana" w:cs="Arial"/>
          <w:color w:val="1A1A1A" w:themeColor="background1" w:themeShade="1A"/>
          <w:sz w:val="20"/>
          <w:szCs w:val="20"/>
          <w:lang w:eastAsia="es-ES_tradnl"/>
        </w:rPr>
        <w:lastRenderedPageBreak/>
        <w:t>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64DC54DD" w14:textId="77777777" w:rsidR="007821E6" w:rsidRPr="00C35401" w:rsidRDefault="007821E6" w:rsidP="007821E6">
      <w:pPr>
        <w:spacing w:after="0" w:line="240" w:lineRule="auto"/>
        <w:jc w:val="both"/>
        <w:rPr>
          <w:rFonts w:ascii="Verdana" w:eastAsia="Times New Roman" w:hAnsi="Verdana" w:cs="Arial"/>
          <w:color w:val="000000" w:themeColor="text1"/>
          <w:sz w:val="20"/>
          <w:szCs w:val="20"/>
          <w:lang w:eastAsia="es-ES_tradnl"/>
        </w:rPr>
      </w:pPr>
    </w:p>
    <w:p w14:paraId="73B08629" w14:textId="77777777" w:rsidR="007821E6" w:rsidRDefault="007821E6" w:rsidP="007821E6">
      <w:pPr>
        <w:spacing w:after="0"/>
        <w:rPr>
          <w:rFonts w:ascii="Verdana" w:hAnsi="Verdana"/>
        </w:rPr>
      </w:pPr>
    </w:p>
    <w:p w14:paraId="48E93B14" w14:textId="77777777" w:rsidR="007821E6" w:rsidRDefault="007821E6" w:rsidP="00C15139">
      <w:pPr>
        <w:spacing w:after="0"/>
        <w:rPr>
          <w:rFonts w:ascii="Verdana" w:hAnsi="Verdana"/>
        </w:rPr>
      </w:pPr>
    </w:p>
    <w:p w14:paraId="3F637DB9" w14:textId="77777777" w:rsidR="007821E6" w:rsidRDefault="007821E6" w:rsidP="00C15139">
      <w:pPr>
        <w:spacing w:after="0"/>
        <w:rPr>
          <w:rFonts w:ascii="Verdana" w:hAnsi="Verdana"/>
        </w:rPr>
      </w:pPr>
    </w:p>
    <w:p w14:paraId="7763884A" w14:textId="77777777" w:rsidR="007821E6" w:rsidRDefault="007821E6" w:rsidP="00C15139">
      <w:pPr>
        <w:spacing w:after="0"/>
        <w:rPr>
          <w:rFonts w:ascii="Verdana" w:hAnsi="Verdana"/>
        </w:rPr>
      </w:pPr>
    </w:p>
    <w:p w14:paraId="37803877" w14:textId="77777777" w:rsidR="007821E6" w:rsidRDefault="007821E6" w:rsidP="00C15139">
      <w:pPr>
        <w:spacing w:after="0"/>
        <w:rPr>
          <w:rFonts w:ascii="Verdana" w:hAnsi="Verdana"/>
        </w:rPr>
      </w:pPr>
    </w:p>
    <w:p w14:paraId="04255DE7" w14:textId="77777777" w:rsidR="007821E6" w:rsidRDefault="007821E6" w:rsidP="00C15139">
      <w:pPr>
        <w:spacing w:after="0"/>
        <w:rPr>
          <w:rFonts w:ascii="Verdana" w:hAnsi="Verdana"/>
        </w:rPr>
      </w:pPr>
    </w:p>
    <w:p w14:paraId="39FB55C1" w14:textId="77777777" w:rsidR="007821E6" w:rsidRDefault="007821E6" w:rsidP="00C15139">
      <w:pPr>
        <w:spacing w:after="0"/>
        <w:rPr>
          <w:rFonts w:ascii="Verdana" w:hAnsi="Verdana"/>
        </w:rPr>
      </w:pPr>
    </w:p>
    <w:p w14:paraId="2A625F72" w14:textId="77777777" w:rsidR="007821E6" w:rsidRDefault="007821E6" w:rsidP="00C15139">
      <w:pPr>
        <w:spacing w:after="0"/>
        <w:rPr>
          <w:rFonts w:ascii="Verdana" w:hAnsi="Verdana"/>
        </w:rPr>
      </w:pPr>
    </w:p>
    <w:p w14:paraId="2C465684" w14:textId="77777777" w:rsidR="007821E6" w:rsidRDefault="007821E6" w:rsidP="00C15139">
      <w:pPr>
        <w:spacing w:after="0"/>
        <w:rPr>
          <w:rFonts w:ascii="Verdana" w:hAnsi="Verdana"/>
        </w:rPr>
      </w:pPr>
    </w:p>
    <w:p w14:paraId="246A710C" w14:textId="77777777" w:rsidR="007821E6" w:rsidRDefault="007821E6" w:rsidP="00C15139">
      <w:pPr>
        <w:spacing w:after="0"/>
        <w:rPr>
          <w:rFonts w:ascii="Verdana" w:hAnsi="Verdana"/>
        </w:rPr>
      </w:pPr>
    </w:p>
    <w:p w14:paraId="14786654" w14:textId="77777777" w:rsidR="007821E6" w:rsidRDefault="007821E6" w:rsidP="00C15139">
      <w:pPr>
        <w:spacing w:after="0"/>
        <w:rPr>
          <w:rFonts w:ascii="Verdana" w:hAnsi="Verdana"/>
        </w:rPr>
      </w:pPr>
    </w:p>
    <w:p w14:paraId="44E8F31E" w14:textId="77777777" w:rsidR="007821E6" w:rsidRDefault="007821E6" w:rsidP="00C15139">
      <w:pPr>
        <w:spacing w:after="0"/>
        <w:rPr>
          <w:rFonts w:ascii="Verdana" w:hAnsi="Verdana"/>
        </w:rPr>
      </w:pPr>
    </w:p>
    <w:p w14:paraId="65D132F8" w14:textId="77777777" w:rsidR="007821E6" w:rsidRDefault="007821E6" w:rsidP="00C15139">
      <w:pPr>
        <w:spacing w:after="0"/>
        <w:rPr>
          <w:rFonts w:ascii="Verdana" w:hAnsi="Verdana"/>
        </w:rPr>
      </w:pPr>
    </w:p>
    <w:p w14:paraId="1DBDD00C" w14:textId="77777777" w:rsidR="007821E6" w:rsidRDefault="007821E6" w:rsidP="00C15139">
      <w:pPr>
        <w:spacing w:after="0"/>
        <w:rPr>
          <w:rFonts w:ascii="Verdana" w:hAnsi="Verdana"/>
        </w:rPr>
      </w:pPr>
    </w:p>
    <w:p w14:paraId="42481D66" w14:textId="77777777" w:rsidR="007821E6" w:rsidRDefault="007821E6" w:rsidP="00C15139">
      <w:pPr>
        <w:spacing w:after="0"/>
        <w:rPr>
          <w:rFonts w:ascii="Verdana" w:hAnsi="Verdana"/>
        </w:rPr>
      </w:pPr>
    </w:p>
    <w:p w14:paraId="0B44CFD5" w14:textId="77777777" w:rsidR="007821E6" w:rsidRDefault="007821E6" w:rsidP="00C15139">
      <w:pPr>
        <w:spacing w:after="0"/>
        <w:rPr>
          <w:rFonts w:ascii="Verdana" w:hAnsi="Verdana"/>
        </w:rPr>
      </w:pPr>
    </w:p>
    <w:p w14:paraId="3414A92D" w14:textId="77777777" w:rsidR="007821E6" w:rsidRDefault="007821E6" w:rsidP="00C15139">
      <w:pPr>
        <w:spacing w:after="0"/>
        <w:rPr>
          <w:rFonts w:ascii="Verdana" w:hAnsi="Verdana"/>
        </w:rPr>
      </w:pPr>
    </w:p>
    <w:p w14:paraId="13250A1E" w14:textId="77777777" w:rsidR="007821E6" w:rsidRDefault="007821E6" w:rsidP="00C15139">
      <w:pPr>
        <w:spacing w:after="0"/>
        <w:rPr>
          <w:rFonts w:ascii="Verdana" w:hAnsi="Verdana"/>
        </w:rPr>
      </w:pPr>
    </w:p>
    <w:p w14:paraId="53B8FE7F" w14:textId="77777777" w:rsidR="007821E6" w:rsidRDefault="007821E6" w:rsidP="00C15139">
      <w:pPr>
        <w:spacing w:after="0"/>
        <w:rPr>
          <w:rFonts w:ascii="Verdana" w:hAnsi="Verdana"/>
        </w:rPr>
      </w:pPr>
    </w:p>
    <w:p w14:paraId="028AF827" w14:textId="77777777" w:rsidR="007821E6" w:rsidRDefault="007821E6" w:rsidP="00C15139">
      <w:pPr>
        <w:spacing w:after="0"/>
        <w:rPr>
          <w:rFonts w:ascii="Verdana" w:hAnsi="Verdana"/>
        </w:rPr>
      </w:pPr>
    </w:p>
    <w:p w14:paraId="50E9CBED" w14:textId="77777777" w:rsidR="007821E6" w:rsidRDefault="007821E6" w:rsidP="00C15139">
      <w:pPr>
        <w:spacing w:after="0"/>
        <w:rPr>
          <w:rFonts w:ascii="Verdana" w:hAnsi="Verdana"/>
        </w:rPr>
      </w:pPr>
    </w:p>
    <w:p w14:paraId="42DA3F85" w14:textId="77777777" w:rsidR="007821E6" w:rsidRDefault="007821E6" w:rsidP="00C15139">
      <w:pPr>
        <w:spacing w:after="0"/>
        <w:rPr>
          <w:rFonts w:ascii="Verdana" w:hAnsi="Verdana"/>
        </w:rPr>
      </w:pPr>
    </w:p>
    <w:p w14:paraId="740DFDBE" w14:textId="77777777" w:rsidR="007821E6" w:rsidRDefault="007821E6" w:rsidP="00C15139">
      <w:pPr>
        <w:spacing w:after="0"/>
        <w:rPr>
          <w:rFonts w:ascii="Verdana" w:hAnsi="Verdana"/>
        </w:rPr>
      </w:pPr>
    </w:p>
    <w:p w14:paraId="53ED1EC1" w14:textId="77777777" w:rsidR="007821E6" w:rsidRDefault="007821E6" w:rsidP="00C15139">
      <w:pPr>
        <w:spacing w:after="0"/>
        <w:rPr>
          <w:rFonts w:ascii="Verdana" w:hAnsi="Verdana"/>
        </w:rPr>
      </w:pPr>
    </w:p>
    <w:p w14:paraId="04501169" w14:textId="77777777" w:rsidR="007821E6" w:rsidRDefault="007821E6" w:rsidP="00C15139">
      <w:pPr>
        <w:spacing w:after="0"/>
        <w:rPr>
          <w:rFonts w:ascii="Verdana" w:hAnsi="Verdana"/>
        </w:rPr>
      </w:pPr>
    </w:p>
    <w:p w14:paraId="5A12C04E" w14:textId="77777777" w:rsidR="007821E6" w:rsidRDefault="007821E6" w:rsidP="00C15139">
      <w:pPr>
        <w:spacing w:after="0"/>
        <w:rPr>
          <w:rFonts w:ascii="Verdana" w:hAnsi="Verdana"/>
        </w:rPr>
      </w:pPr>
    </w:p>
    <w:p w14:paraId="69E97B63" w14:textId="77777777" w:rsidR="007821E6" w:rsidRDefault="007821E6" w:rsidP="00C15139">
      <w:pPr>
        <w:spacing w:after="0"/>
        <w:rPr>
          <w:rFonts w:ascii="Verdana" w:hAnsi="Verdana"/>
        </w:rPr>
      </w:pPr>
    </w:p>
    <w:p w14:paraId="5E6BA9F6" w14:textId="77777777" w:rsidR="007821E6" w:rsidRDefault="007821E6" w:rsidP="00C15139">
      <w:pPr>
        <w:spacing w:after="0"/>
        <w:rPr>
          <w:rFonts w:ascii="Verdana" w:hAnsi="Verdana"/>
        </w:rPr>
      </w:pPr>
    </w:p>
    <w:p w14:paraId="15DF694B" w14:textId="77777777" w:rsidR="007821E6" w:rsidRDefault="007821E6" w:rsidP="00C15139">
      <w:pPr>
        <w:spacing w:after="0"/>
        <w:rPr>
          <w:rFonts w:ascii="Verdana" w:hAnsi="Verdana"/>
        </w:rPr>
      </w:pPr>
    </w:p>
    <w:p w14:paraId="78995BA3" w14:textId="77777777" w:rsidR="007821E6" w:rsidRDefault="007821E6" w:rsidP="00C15139">
      <w:pPr>
        <w:spacing w:after="0"/>
        <w:rPr>
          <w:rFonts w:ascii="Verdana" w:hAnsi="Verdana"/>
        </w:rPr>
      </w:pPr>
    </w:p>
    <w:p w14:paraId="53050BFF" w14:textId="77777777" w:rsidR="007821E6" w:rsidRDefault="007821E6" w:rsidP="00C15139">
      <w:pPr>
        <w:spacing w:after="0"/>
        <w:rPr>
          <w:rFonts w:ascii="Verdana" w:hAnsi="Verdana"/>
        </w:rPr>
      </w:pPr>
    </w:p>
    <w:p w14:paraId="1468C46D" w14:textId="2E5D7959" w:rsidR="00C15139" w:rsidRPr="0024624F" w:rsidRDefault="00C15139" w:rsidP="00C15139">
      <w:pPr>
        <w:spacing w:after="0"/>
        <w:rPr>
          <w:rFonts w:ascii="Verdana" w:hAnsi="Verdana"/>
        </w:rPr>
      </w:pPr>
      <w:r w:rsidRPr="0024624F">
        <w:rPr>
          <w:rFonts w:ascii="Verdana" w:hAnsi="Verdana"/>
        </w:rPr>
        <w:lastRenderedPageBreak/>
        <w:t xml:space="preserve">Bogotá D.C., </w:t>
      </w:r>
      <w:r w:rsidR="00A26861">
        <w:rPr>
          <w:rFonts w:ascii="Verdana" w:hAnsi="Verdana"/>
        </w:rPr>
        <w:t>23 de diciembre de 2025</w:t>
      </w:r>
      <w:r w:rsidRPr="000E2B93">
        <w:rPr>
          <w:rFonts w:ascii="Verdana" w:hAnsi="Verdana"/>
        </w:rPr>
        <w:tab/>
      </w:r>
      <w:r w:rsidRPr="000E2B93">
        <w:rPr>
          <w:rFonts w:ascii="Verdana" w:hAnsi="Verdana"/>
        </w:rPr>
        <w:br/>
      </w:r>
      <w:r w:rsidRPr="0024624F">
        <w:rPr>
          <w:rFonts w:ascii="Verdana" w:hAnsi="Verdana"/>
        </w:rPr>
        <w:tab/>
      </w:r>
    </w:p>
    <w:bookmarkEnd w:id="0"/>
    <w:p w14:paraId="53F49625" w14:textId="1486AA24" w:rsidR="00172458" w:rsidRDefault="00172458" w:rsidP="001D7FC9">
      <w:pPr>
        <w:spacing w:after="0"/>
        <w:rPr>
          <w:rFonts w:ascii="Verdana" w:hAnsi="Verdana"/>
        </w:rPr>
      </w:pPr>
    </w:p>
    <w:p w14:paraId="7823697A" w14:textId="34822DBF" w:rsidR="00A16901" w:rsidRDefault="00A16901" w:rsidP="001D7FC9">
      <w:pPr>
        <w:spacing w:after="0"/>
        <w:rPr>
          <w:rFonts w:ascii="Verdana" w:hAnsi="Verdana"/>
        </w:rPr>
      </w:pPr>
    </w:p>
    <w:p w14:paraId="788F57E3" w14:textId="0121C890" w:rsidR="001D7FC9" w:rsidRPr="00F33424" w:rsidRDefault="0095417D" w:rsidP="001D7FC9">
      <w:pPr>
        <w:spacing w:after="0" w:line="240" w:lineRule="auto"/>
        <w:jc w:val="both"/>
        <w:rPr>
          <w:rFonts w:ascii="Verdana" w:eastAsia="Calibri" w:hAnsi="Verdana" w:cs="Arial"/>
          <w:lang w:val="en-US" w:eastAsia="es-ES"/>
        </w:rPr>
      </w:pPr>
      <w:bookmarkStart w:id="1" w:name="_Hlk197462763"/>
      <w:bookmarkStart w:id="2" w:name="_Hlk197529996"/>
      <w:bookmarkStart w:id="3" w:name="_Hlk199345483"/>
      <w:r w:rsidRPr="0001565D">
        <w:rPr>
          <w:rFonts w:ascii="Verdana" w:hAnsi="Verdana"/>
          <w:noProof/>
        </w:rPr>
        <w:drawing>
          <wp:anchor distT="0" distB="0" distL="114300" distR="114300" simplePos="0" relativeHeight="251658240" behindDoc="1" locked="0" layoutInCell="1" allowOverlap="1" wp14:anchorId="70702B4A" wp14:editId="0817FD6E">
            <wp:simplePos x="0" y="0"/>
            <wp:positionH relativeFrom="margin">
              <wp:align>right</wp:align>
            </wp:positionH>
            <wp:positionV relativeFrom="paragraph">
              <wp:posOffset>6985</wp:posOffset>
            </wp:positionV>
            <wp:extent cx="2957830" cy="962025"/>
            <wp:effectExtent l="0" t="0" r="0" b="9525"/>
            <wp:wrapSquare wrapText="bothSides"/>
            <wp:docPr id="1828531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317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957830" cy="962025"/>
                    </a:xfrm>
                    <a:prstGeom prst="rect">
                      <a:avLst/>
                    </a:prstGeom>
                  </pic:spPr>
                </pic:pic>
              </a:graphicData>
            </a:graphic>
            <wp14:sizeRelH relativeFrom="margin">
              <wp14:pctWidth>0</wp14:pctWidth>
            </wp14:sizeRelH>
            <wp14:sizeRelV relativeFrom="margin">
              <wp14:pctHeight>0</wp14:pctHeight>
            </wp14:sizeRelV>
          </wp:anchor>
        </w:drawing>
      </w:r>
      <w:r w:rsidR="001D7FC9" w:rsidRPr="00F33424">
        <w:rPr>
          <w:rFonts w:ascii="Verdana" w:eastAsia="Calibri" w:hAnsi="Verdana" w:cs="Arial"/>
          <w:lang w:val="en-US" w:eastAsia="es-ES"/>
        </w:rPr>
        <w:t>Señora</w:t>
      </w:r>
    </w:p>
    <w:p w14:paraId="2E2B8FEF" w14:textId="77777777" w:rsidR="001D7FC9" w:rsidRPr="00F33424" w:rsidRDefault="001D7FC9" w:rsidP="001D7FC9">
      <w:pPr>
        <w:pStyle w:val="Sinespaciado"/>
        <w:rPr>
          <w:rFonts w:ascii="Verdana" w:hAnsi="Verdana"/>
          <w:b/>
          <w:lang w:val="en-US" w:eastAsia="es-ES_tradnl"/>
        </w:rPr>
      </w:pPr>
      <w:r w:rsidRPr="00F33424">
        <w:rPr>
          <w:rFonts w:ascii="Verdana" w:hAnsi="Verdana"/>
          <w:b/>
          <w:lang w:val="en-US" w:eastAsia="es-ES_tradnl"/>
        </w:rPr>
        <w:t>LINA MARIA MAFLA OSPINA</w:t>
      </w:r>
    </w:p>
    <w:p w14:paraId="583D9006" w14:textId="77777777" w:rsidR="001D7FC9" w:rsidRPr="0017711F" w:rsidRDefault="001D7FC9" w:rsidP="001D7FC9">
      <w:pPr>
        <w:pStyle w:val="Sinespaciado"/>
        <w:rPr>
          <w:rFonts w:ascii="Verdana" w:hAnsi="Verdana"/>
          <w:lang w:val="it-IT"/>
        </w:rPr>
      </w:pPr>
      <w:hyperlink r:id="rId11" w:history="1">
        <w:r w:rsidRPr="00A16901">
          <w:rPr>
            <w:rStyle w:val="Hipervnculo"/>
            <w:rFonts w:ascii="Verdana" w:hAnsi="Verdana"/>
            <w:lang w:val="it-IT"/>
          </w:rPr>
          <w:t>limaflao@gmail.com</w:t>
        </w:r>
      </w:hyperlink>
    </w:p>
    <w:p w14:paraId="4CCB2BF7" w14:textId="2772FB99" w:rsidR="001D7FC9" w:rsidRPr="0017711F" w:rsidRDefault="001D7FC9" w:rsidP="001D7FC9">
      <w:pPr>
        <w:pStyle w:val="Sinespaciado"/>
        <w:rPr>
          <w:rFonts w:ascii="Verdana" w:hAnsi="Verdana"/>
          <w:lang w:val="it-IT" w:eastAsia="es-ES_tradnl"/>
        </w:rPr>
      </w:pPr>
      <w:r w:rsidRPr="0017711F">
        <w:rPr>
          <w:rFonts w:ascii="Verdana" w:hAnsi="Verdana"/>
          <w:lang w:val="it-IT" w:eastAsia="es-ES_tradnl"/>
        </w:rPr>
        <w:t>Armen</w:t>
      </w:r>
      <w:r>
        <w:rPr>
          <w:rFonts w:ascii="Verdana" w:hAnsi="Verdana"/>
          <w:lang w:val="it-IT" w:eastAsia="es-ES_tradnl"/>
        </w:rPr>
        <w:t>i</w:t>
      </w:r>
      <w:r w:rsidRPr="0017711F">
        <w:rPr>
          <w:rFonts w:ascii="Verdana" w:hAnsi="Verdana"/>
          <w:lang w:val="it-IT" w:eastAsia="es-ES_tradnl"/>
        </w:rPr>
        <w:t>a, Quind</w:t>
      </w:r>
      <w:r>
        <w:rPr>
          <w:rFonts w:ascii="Verdana" w:hAnsi="Verdana"/>
          <w:lang w:val="it-IT" w:eastAsia="es-ES_tradnl"/>
        </w:rPr>
        <w:t>í</w:t>
      </w:r>
      <w:r w:rsidRPr="0017711F">
        <w:rPr>
          <w:rFonts w:ascii="Verdana" w:hAnsi="Verdana"/>
          <w:lang w:val="it-IT" w:eastAsia="es-ES_tradnl"/>
        </w:rPr>
        <w:t>o</w:t>
      </w:r>
    </w:p>
    <w:p w14:paraId="29629140" w14:textId="77777777" w:rsidR="001D7FC9" w:rsidRPr="0017711F" w:rsidRDefault="001D7FC9" w:rsidP="001D7FC9">
      <w:pPr>
        <w:pStyle w:val="Sinespaciado"/>
        <w:rPr>
          <w:rFonts w:ascii="Verdana" w:eastAsia="Calibri" w:hAnsi="Verdana" w:cs="Arial"/>
          <w:b/>
          <w:lang w:val="it-IT" w:eastAsia="es-ES_tradnl"/>
        </w:rPr>
      </w:pPr>
      <w:r w:rsidRPr="0017711F">
        <w:rPr>
          <w:rFonts w:ascii="Verdana" w:hAnsi="Verdana"/>
          <w:lang w:val="it-IT" w:eastAsia="es-ES_tradnl"/>
        </w:rPr>
        <w:t xml:space="preserve"> </w:t>
      </w:r>
    </w:p>
    <w:p w14:paraId="456B1B04" w14:textId="77777777" w:rsidR="001D7FC9" w:rsidRPr="0017711F" w:rsidRDefault="001D7FC9" w:rsidP="001D7FC9">
      <w:pPr>
        <w:spacing w:after="0" w:line="240" w:lineRule="auto"/>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D7FC9" w:rsidRPr="00F71A6A" w14:paraId="4C80A259" w14:textId="77777777" w:rsidTr="008709B4">
        <w:trPr>
          <w:trHeight w:val="162"/>
        </w:trPr>
        <w:tc>
          <w:tcPr>
            <w:tcW w:w="2689" w:type="dxa"/>
          </w:tcPr>
          <w:p w14:paraId="38F84F55" w14:textId="77777777" w:rsidR="001D7FC9" w:rsidRPr="0017711F" w:rsidRDefault="001D7FC9" w:rsidP="008709B4">
            <w:pPr>
              <w:jc w:val="both"/>
              <w:rPr>
                <w:rFonts w:ascii="Verdana" w:eastAsia="Calibri" w:hAnsi="Verdana" w:cs="Arial"/>
                <w:b/>
                <w:bCs/>
                <w:color w:val="7030A0"/>
                <w:lang w:val="it-IT" w:eastAsia="es-ES_tradnl"/>
              </w:rPr>
            </w:pPr>
          </w:p>
        </w:tc>
        <w:tc>
          <w:tcPr>
            <w:tcW w:w="6100" w:type="dxa"/>
          </w:tcPr>
          <w:p w14:paraId="2908326B" w14:textId="77777777" w:rsidR="001D7FC9" w:rsidRDefault="001D7FC9" w:rsidP="008709B4">
            <w:pPr>
              <w:jc w:val="both"/>
              <w:rPr>
                <w:rFonts w:ascii="Verdana" w:eastAsia="Calibri" w:hAnsi="Verdana" w:cs="Arial"/>
                <w:b/>
                <w:bCs/>
                <w:lang w:val="es-ES" w:eastAsia="es-ES"/>
              </w:rPr>
            </w:pPr>
            <w:r>
              <w:rPr>
                <w:rFonts w:ascii="Verdana" w:eastAsia="Calibri" w:hAnsi="Verdana" w:cs="Arial"/>
                <w:b/>
                <w:bCs/>
                <w:lang w:val="es-ES" w:eastAsia="es-ES"/>
              </w:rPr>
              <w:t xml:space="preserve">Concepto </w:t>
            </w:r>
            <w:r w:rsidRPr="006E593D">
              <w:rPr>
                <w:rFonts w:ascii="Verdana" w:eastAsia="Calibri" w:hAnsi="Verdana" w:cs="Arial"/>
                <w:b/>
                <w:bCs/>
                <w:lang w:val="es-ES" w:eastAsia="es-ES"/>
              </w:rPr>
              <w:t>C</w:t>
            </w:r>
            <w:r>
              <w:rPr>
                <w:rFonts w:ascii="Verdana" w:eastAsia="Calibri" w:hAnsi="Verdana" w:cs="Arial"/>
                <w:b/>
                <w:bCs/>
                <w:lang w:val="es-ES" w:eastAsia="es-ES"/>
              </w:rPr>
              <w:t xml:space="preserve"> </w:t>
            </w:r>
            <w:r w:rsidRPr="006E593D">
              <w:rPr>
                <w:rFonts w:ascii="Verdana" w:eastAsia="Calibri" w:hAnsi="Verdana" w:cs="Arial"/>
                <w:b/>
                <w:bCs/>
                <w:lang w:val="es-ES" w:eastAsia="es-ES"/>
              </w:rPr>
              <w:t>-</w:t>
            </w:r>
            <w:r>
              <w:rPr>
                <w:rFonts w:ascii="Verdana" w:eastAsia="Calibri" w:hAnsi="Verdana" w:cs="Arial"/>
                <w:b/>
                <w:bCs/>
                <w:lang w:val="es-ES" w:eastAsia="es-ES"/>
              </w:rPr>
              <w:t>1820</w:t>
            </w:r>
            <w:r w:rsidRPr="006E593D">
              <w:rPr>
                <w:rFonts w:ascii="Verdana" w:eastAsia="Calibri" w:hAnsi="Verdana" w:cs="Arial"/>
                <w:b/>
                <w:bCs/>
                <w:lang w:val="es-ES" w:eastAsia="es-ES"/>
              </w:rPr>
              <w:t xml:space="preserve"> de 2025</w:t>
            </w:r>
          </w:p>
          <w:p w14:paraId="3A82F1BD" w14:textId="77777777" w:rsidR="001D7FC9" w:rsidRPr="003C7BF7" w:rsidRDefault="001D7FC9" w:rsidP="008709B4">
            <w:pPr>
              <w:jc w:val="both"/>
              <w:rPr>
                <w:rFonts w:ascii="Verdana" w:eastAsia="Calibri" w:hAnsi="Verdana" w:cs="Arial"/>
                <w:b/>
                <w:bCs/>
                <w:color w:val="7030A0"/>
                <w:lang w:val="es-ES" w:eastAsia="es-ES"/>
              </w:rPr>
            </w:pPr>
          </w:p>
        </w:tc>
      </w:tr>
      <w:tr w:rsidR="001D7FC9" w:rsidRPr="00F71A6A" w14:paraId="4FEA4B2D" w14:textId="77777777" w:rsidTr="008709B4">
        <w:trPr>
          <w:trHeight w:val="884"/>
        </w:trPr>
        <w:tc>
          <w:tcPr>
            <w:tcW w:w="2689" w:type="dxa"/>
          </w:tcPr>
          <w:p w14:paraId="7DE0FD21" w14:textId="77777777" w:rsidR="001D7FC9" w:rsidRPr="00F71A6A" w:rsidRDefault="001D7FC9" w:rsidP="008709B4">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tcPr>
          <w:p w14:paraId="3B5BE229" w14:textId="1C6D4814" w:rsidR="001D7FC9" w:rsidRDefault="001D7FC9" w:rsidP="008709B4">
            <w:pPr>
              <w:jc w:val="both"/>
              <w:rPr>
                <w:rFonts w:ascii="Verdana" w:eastAsia="Calibri" w:hAnsi="Verdana" w:cs="Arial"/>
                <w:lang w:val="es-ES" w:eastAsia="es-ES"/>
              </w:rPr>
            </w:pPr>
            <w:r w:rsidRPr="00CE03E0">
              <w:rPr>
                <w:rFonts w:ascii="Verdana" w:eastAsia="Calibri" w:hAnsi="Verdana" w:cs="Arial"/>
                <w:lang w:val="es-MX"/>
              </w:rPr>
              <w:t xml:space="preserve">REQUISITOS DE PERFECCIONAMIENTO DE LOS CONTRATOS ESTATALES – Celebración del contrato estatal – ELEMENTOS DEL CONTRATO – Elementos de la esencia – Elementos de la naturaleza – Elementos accidentales </w:t>
            </w:r>
            <w:r>
              <w:rPr>
                <w:rFonts w:ascii="Verdana" w:eastAsia="Calibri" w:hAnsi="Verdana" w:cs="Arial"/>
                <w:lang w:val="es-MX"/>
              </w:rPr>
              <w:t>/</w:t>
            </w:r>
            <w:r w:rsidRPr="00C7633E">
              <w:rPr>
                <w:rFonts w:ascii="Verdana" w:eastAsia="Calibri" w:hAnsi="Verdana" w:cs="Arial"/>
                <w:b/>
                <w:bCs/>
                <w:lang w:val="es-ES_tradnl"/>
              </w:rPr>
              <w:t xml:space="preserve"> </w:t>
            </w:r>
            <w:r w:rsidRPr="00A17F9E">
              <w:rPr>
                <w:rFonts w:ascii="Verdana" w:eastAsia="Calibri" w:hAnsi="Verdana" w:cs="Arial"/>
                <w:lang w:val="es-ES_tradnl"/>
              </w:rPr>
              <w:t>CARACTERÍSTICAS DE LOS CONTRATOS ESTATALES – Contratos consensuales – Contratos reales – Contratos solemnes –</w:t>
            </w:r>
            <w:r>
              <w:rPr>
                <w:rFonts w:ascii="Verdana" w:eastAsia="Calibri" w:hAnsi="Verdana" w:cs="Arial"/>
                <w:lang w:val="es-MX"/>
              </w:rPr>
              <w:t>/</w:t>
            </w:r>
            <w:r w:rsidRPr="00515AC9">
              <w:rPr>
                <w:rFonts w:ascii="Verdana" w:eastAsia="Calibri" w:hAnsi="Verdana" w:cs="Arial"/>
                <w:lang w:val="es-MX"/>
              </w:rPr>
              <w:t xml:space="preserve">REQUISITOS DE EJECUCIÓN – Diferencias entre requisitos de perfeccionamiento y ejecución – Requisitos de ejecución legales y convencionales </w:t>
            </w:r>
            <w:r w:rsidRPr="00023D7E">
              <w:rPr>
                <w:rFonts w:ascii="Verdana" w:eastAsia="Calibri" w:hAnsi="Verdana" w:cs="Arial"/>
                <w:lang w:val="es-ES" w:eastAsia="es-ES"/>
              </w:rPr>
              <w:t xml:space="preserve">/ </w:t>
            </w:r>
            <w:r w:rsidRPr="00EE5A18">
              <w:rPr>
                <w:rFonts w:ascii="Verdana" w:eastAsia="Calibri" w:hAnsi="Verdana" w:cs="Arial"/>
                <w:lang w:val="es-ES" w:eastAsia="es-ES"/>
              </w:rPr>
              <w:t>APROBACIÓN DE GARANTIAS –Requisito de ejecución legal</w:t>
            </w:r>
            <w:r>
              <w:rPr>
                <w:rFonts w:ascii="Verdana" w:eastAsia="Calibri" w:hAnsi="Verdana" w:cs="Arial"/>
                <w:lang w:val="es-ES" w:eastAsia="es-ES"/>
              </w:rPr>
              <w:t xml:space="preserve"> /</w:t>
            </w:r>
            <w:r w:rsidRPr="00023D7E">
              <w:rPr>
                <w:rFonts w:ascii="Verdana" w:eastAsia="Calibri" w:hAnsi="Verdana" w:cs="Arial"/>
                <w:lang w:val="es-ES" w:eastAsia="es-ES"/>
              </w:rPr>
              <w:t>REGISTRO PRESUPUESTAL – Expedición – Oportunidad – Requisito de ejecución</w:t>
            </w:r>
          </w:p>
          <w:p w14:paraId="4F000C72" w14:textId="77777777" w:rsidR="001D7FC9" w:rsidRPr="009D426D" w:rsidRDefault="001D7FC9" w:rsidP="008709B4">
            <w:pPr>
              <w:rPr>
                <w:rFonts w:ascii="Verdana" w:eastAsia="Calibri" w:hAnsi="Verdana" w:cs="Arial"/>
                <w:lang w:eastAsia="es-ES"/>
              </w:rPr>
            </w:pPr>
          </w:p>
        </w:tc>
      </w:tr>
      <w:tr w:rsidR="001D7FC9" w:rsidRPr="00F71A6A" w14:paraId="7FD22BAA" w14:textId="77777777" w:rsidTr="008709B4">
        <w:tc>
          <w:tcPr>
            <w:tcW w:w="2689" w:type="dxa"/>
          </w:tcPr>
          <w:p w14:paraId="6A52EE6A" w14:textId="77777777" w:rsidR="001D7FC9" w:rsidRPr="00F71A6A" w:rsidRDefault="001D7FC9" w:rsidP="008709B4">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0A913606" w14:textId="4E0A174B" w:rsidR="001D7FC9" w:rsidRPr="00D91D20" w:rsidRDefault="001D7FC9" w:rsidP="008709B4">
            <w:pPr>
              <w:jc w:val="both"/>
              <w:rPr>
                <w:rFonts w:ascii="Verdana" w:eastAsia="Calibri" w:hAnsi="Verdana" w:cs="Arial"/>
                <w:lang w:val="es-ES_tradnl" w:eastAsia="es-ES_tradnl"/>
              </w:rPr>
            </w:pPr>
            <w:r w:rsidRPr="00D91D20">
              <w:rPr>
                <w:rFonts w:ascii="Verdana" w:eastAsia="Calibri" w:hAnsi="Verdana" w:cs="Arial"/>
                <w:lang w:val="es-ES_tradnl" w:eastAsia="es-ES_tradnl"/>
              </w:rPr>
              <w:t xml:space="preserve">Respuesta a consulta con radicados </w:t>
            </w:r>
            <w:r w:rsidR="00A16901" w:rsidRPr="00A16901">
              <w:rPr>
                <w:rFonts w:ascii="Verdana" w:eastAsia="Calibri" w:hAnsi="Verdana" w:cs="Arial"/>
                <w:lang w:val="es-ES_tradnl" w:eastAsia="es-ES_tradnl"/>
              </w:rPr>
              <w:t xml:space="preserve">No. </w:t>
            </w:r>
            <w:r w:rsidRPr="00A402C8">
              <w:rPr>
                <w:rFonts w:ascii="Verdana" w:hAnsi="Verdana"/>
              </w:rPr>
              <w:t>1_2025_12_12_013932</w:t>
            </w:r>
          </w:p>
        </w:tc>
      </w:tr>
    </w:tbl>
    <w:p w14:paraId="3CE20E65" w14:textId="019263C9" w:rsidR="001D7FC9" w:rsidRDefault="001D7FC9" w:rsidP="00876454">
      <w:pPr>
        <w:spacing w:after="0" w:line="240" w:lineRule="auto"/>
        <w:jc w:val="both"/>
        <w:rPr>
          <w:rFonts w:ascii="Verdana" w:eastAsia="Calibri" w:hAnsi="Verdana" w:cs="Arial"/>
          <w:lang w:val="es-ES" w:eastAsia="es-ES"/>
        </w:rPr>
      </w:pPr>
    </w:p>
    <w:p w14:paraId="680AD03D" w14:textId="77777777" w:rsidR="00A16901" w:rsidRPr="00A16901" w:rsidRDefault="00A16901" w:rsidP="00876454">
      <w:pPr>
        <w:spacing w:after="0" w:line="240" w:lineRule="auto"/>
        <w:jc w:val="both"/>
        <w:rPr>
          <w:rFonts w:ascii="Verdana" w:eastAsia="Calibri" w:hAnsi="Verdana" w:cs="Arial"/>
          <w:lang w:val="es-ES" w:eastAsia="es-ES"/>
        </w:rPr>
      </w:pPr>
    </w:p>
    <w:p w14:paraId="474F196C" w14:textId="77777777" w:rsidR="001D7FC9" w:rsidRPr="00F71A6A" w:rsidRDefault="001D7FC9" w:rsidP="001D7FC9">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w:t>
      </w:r>
      <w:r>
        <w:rPr>
          <w:rFonts w:ascii="Verdana" w:eastAsia="Calibri" w:hAnsi="Verdana" w:cs="Arial"/>
          <w:lang w:val="es-ES" w:eastAsia="es-ES"/>
        </w:rPr>
        <w:t>da señora Mafla:</w:t>
      </w:r>
      <w:r w:rsidRPr="00F71A6A">
        <w:rPr>
          <w:rFonts w:ascii="Verdana" w:eastAsia="Calibri" w:hAnsi="Verdana" w:cs="Arial"/>
          <w:lang w:val="es-ES" w:eastAsia="es-ES"/>
        </w:rPr>
        <w:t xml:space="preserve"> </w:t>
      </w:r>
    </w:p>
    <w:p w14:paraId="408F312E" w14:textId="77777777" w:rsidR="001D7FC9" w:rsidRPr="00F71A6A" w:rsidRDefault="001D7FC9" w:rsidP="001D7FC9">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505E8F98" w14:textId="77777777" w:rsidR="001D7FC9" w:rsidRPr="00F71A6A" w:rsidRDefault="001D7FC9" w:rsidP="001D7FC9">
      <w:pPr>
        <w:spacing w:after="0" w:line="276" w:lineRule="auto"/>
        <w:jc w:val="both"/>
        <w:rPr>
          <w:rFonts w:ascii="Verdana" w:eastAsia="Calibri" w:hAnsi="Verdana" w:cs="Arial"/>
          <w:lang w:val="es-ES" w:eastAsia="es-ES"/>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así como lo establecido por la Resolución 469 de 2025 expedida por esta Entidad</w:t>
      </w:r>
      <w:r w:rsidRPr="007338A3">
        <w:rPr>
          <w:rFonts w:ascii="Verdana" w:eastAsia="Calibri" w:hAnsi="Verdana" w:cs="Arial"/>
          <w:color w:val="000000" w:themeColor="text1"/>
          <w:lang w:val="es-ES" w:eastAsia="es-ES"/>
        </w:rPr>
        <w:t xml:space="preserve">, la Agencia Nacional de Contratación Pública – Colombia Compra Eficiente– responde su solicitud de consulta de fecha </w:t>
      </w:r>
      <w:r>
        <w:rPr>
          <w:rFonts w:ascii="Verdana" w:eastAsia="Calibri" w:hAnsi="Verdana" w:cs="Arial"/>
          <w:lang w:eastAsia="es-ES"/>
        </w:rPr>
        <w:t xml:space="preserve">12 de diciembre de 2025, </w:t>
      </w:r>
      <w:r w:rsidRPr="00F71A6A">
        <w:rPr>
          <w:rFonts w:ascii="Verdana" w:eastAsia="Calibri" w:hAnsi="Verdana" w:cs="Arial"/>
          <w:lang w:val="es-ES" w:eastAsia="es-ES"/>
        </w:rPr>
        <w:t xml:space="preserve">en la cual manifiesta lo siguiente: </w:t>
      </w:r>
    </w:p>
    <w:p w14:paraId="56B7AAE9" w14:textId="77777777" w:rsidR="001D7FC9" w:rsidRPr="000643DA" w:rsidRDefault="001D7FC9" w:rsidP="001D7FC9">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F248DAD" w14:textId="77777777" w:rsidR="001D7FC9" w:rsidRDefault="001D7FC9" w:rsidP="001D7FC9">
      <w:pPr>
        <w:spacing w:after="0" w:line="240" w:lineRule="auto"/>
        <w:ind w:left="709" w:right="902"/>
        <w:jc w:val="both"/>
        <w:rPr>
          <w:rFonts w:ascii="Verdana" w:eastAsia="Century Gothic" w:hAnsi="Verdana" w:cs="Century Gothic"/>
          <w:sz w:val="20"/>
          <w:szCs w:val="20"/>
        </w:rPr>
      </w:pPr>
      <w:bookmarkStart w:id="4" w:name="_Hlk192699624"/>
      <w:r w:rsidRPr="00835A24">
        <w:rPr>
          <w:rFonts w:ascii="Verdana" w:eastAsia="Century Gothic" w:hAnsi="Verdana" w:cs="Century Gothic"/>
          <w:sz w:val="20"/>
          <w:szCs w:val="20"/>
        </w:rPr>
        <w:lastRenderedPageBreak/>
        <w:t xml:space="preserve">“(…) </w:t>
      </w:r>
      <w:r w:rsidRPr="00284804">
        <w:rPr>
          <w:rFonts w:ascii="Verdana" w:eastAsia="Century Gothic" w:hAnsi="Verdana" w:cs="Century Gothic"/>
          <w:sz w:val="20"/>
          <w:szCs w:val="20"/>
        </w:rPr>
        <w:t xml:space="preserve">Desde la Corporación Concejo Municipal de Armenia, de manera atenta solicitamos orientación en relación con la aplicación de la Ley de Garantías Electorales en materia contractual. En las diversas capacitaciones y orientaciones impartidas por esa Entidad se ha indicado que los contratos de prestación de servicios pueden iniciar su ejecución a partir del mes de febrero. No obstante, tenemos la duda respecto de si existe algún inconveniente en que la expedición del Registro Presupuestal (RP) también se realice durante el mismo mes de febrero, teniendo en cuenta que dicho RP y la fecha de inicio del contrato deben coincidir como requisitos para el inicio de la ejecución contractual. Agradecemos la información que puedan brindar con el fin de garantizar el adecuado cumplimiento de las disposiciones normativas vigentes. </w:t>
      </w:r>
    </w:p>
    <w:p w14:paraId="185C084E" w14:textId="77777777" w:rsidR="001D7FC9" w:rsidRDefault="001D7FC9" w:rsidP="001D7FC9">
      <w:pPr>
        <w:spacing w:after="0" w:line="240" w:lineRule="auto"/>
        <w:ind w:left="709" w:right="902"/>
        <w:jc w:val="both"/>
        <w:rPr>
          <w:rFonts w:ascii="Verdana" w:eastAsia="Century Gothic" w:hAnsi="Verdana" w:cs="Century Gothic"/>
          <w:sz w:val="20"/>
          <w:szCs w:val="20"/>
        </w:rPr>
      </w:pPr>
    </w:p>
    <w:p w14:paraId="1DB765BD" w14:textId="77777777" w:rsidR="001D7FC9" w:rsidRDefault="001D7FC9" w:rsidP="001D7FC9">
      <w:pPr>
        <w:spacing w:after="0" w:line="240" w:lineRule="auto"/>
        <w:ind w:left="709" w:right="902"/>
        <w:jc w:val="both"/>
        <w:rPr>
          <w:rFonts w:ascii="Verdana" w:eastAsia="Century Gothic" w:hAnsi="Verdana" w:cs="Century Gothic"/>
          <w:sz w:val="20"/>
          <w:szCs w:val="20"/>
        </w:rPr>
      </w:pPr>
      <w:r w:rsidRPr="00835A24">
        <w:rPr>
          <w:rFonts w:ascii="Verdana" w:eastAsia="Century Gothic" w:hAnsi="Verdana" w:cs="Century Gothic"/>
          <w:sz w:val="20"/>
          <w:szCs w:val="20"/>
        </w:rPr>
        <w:t>(…)”.</w:t>
      </w:r>
      <w:bookmarkEnd w:id="4"/>
    </w:p>
    <w:p w14:paraId="1FC6CF7D" w14:textId="77777777" w:rsidR="001D7FC9" w:rsidRPr="000C1A52" w:rsidRDefault="001D7FC9" w:rsidP="001D7FC9">
      <w:pPr>
        <w:spacing w:after="0" w:line="240" w:lineRule="auto"/>
        <w:ind w:left="709" w:right="902"/>
        <w:jc w:val="both"/>
        <w:rPr>
          <w:rFonts w:ascii="Verdana" w:eastAsia="Century Gothic" w:hAnsi="Verdana" w:cs="Century Gothic"/>
          <w:sz w:val="20"/>
          <w:szCs w:val="20"/>
        </w:rPr>
      </w:pPr>
    </w:p>
    <w:p w14:paraId="2912C15C" w14:textId="77777777" w:rsidR="001D7FC9" w:rsidRPr="00995CAD" w:rsidRDefault="001D7FC9" w:rsidP="001D7FC9">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4F909CD2" w14:textId="77777777" w:rsidR="001D7FC9" w:rsidRPr="00995CAD" w:rsidRDefault="001D7FC9" w:rsidP="001D7FC9">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79DCF92E" w14:textId="77777777" w:rsidR="001D7FC9" w:rsidRPr="00F71A6A" w:rsidRDefault="001D7FC9" w:rsidP="001D7FC9">
      <w:pPr>
        <w:spacing w:after="0" w:line="276" w:lineRule="auto"/>
        <w:ind w:firstLine="709"/>
        <w:jc w:val="both"/>
        <w:rPr>
          <w:rFonts w:ascii="Verdana" w:eastAsia="Calibri" w:hAnsi="Verdana" w:cs="Arial"/>
          <w:color w:val="000000"/>
          <w:lang w:val="es-ES" w:eastAsia="es-ES"/>
        </w:rPr>
      </w:pPr>
    </w:p>
    <w:p w14:paraId="2D505232" w14:textId="77777777" w:rsidR="001D7FC9" w:rsidRPr="00F71A6A" w:rsidRDefault="001D7FC9" w:rsidP="001D7FC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7D6E24FF" w14:textId="77777777" w:rsidR="001D7FC9" w:rsidRPr="00F71A6A" w:rsidRDefault="001D7FC9" w:rsidP="001D7FC9">
      <w:pPr>
        <w:tabs>
          <w:tab w:val="left" w:pos="426"/>
        </w:tabs>
        <w:spacing w:after="0" w:line="276" w:lineRule="auto"/>
        <w:jc w:val="both"/>
        <w:rPr>
          <w:rFonts w:ascii="Verdana" w:eastAsia="Century Gothic" w:hAnsi="Verdana" w:cs="Century Gothic"/>
          <w:lang w:val="es-ES"/>
        </w:rPr>
      </w:pPr>
    </w:p>
    <w:p w14:paraId="058E4CDE" w14:textId="3C8DE315" w:rsidR="001D7FC9" w:rsidRPr="00CA1320" w:rsidRDefault="001D7FC9" w:rsidP="001D7FC9">
      <w:pPr>
        <w:spacing w:after="0" w:line="276" w:lineRule="auto"/>
        <w:jc w:val="both"/>
        <w:rPr>
          <w:rFonts w:ascii="Verdana" w:eastAsia="Century Gothic" w:hAnsi="Verdana" w:cs="Century Gothic"/>
        </w:rPr>
      </w:pPr>
      <w:r w:rsidRPr="007A4C25">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CA1320">
        <w:rPr>
          <w:rFonts w:ascii="Verdana" w:eastAsia="Century Gothic" w:hAnsi="Verdana" w:cs="Century Gothic"/>
        </w:rPr>
        <w:t>: ¿</w:t>
      </w:r>
      <w:r w:rsidR="001A614D" w:rsidRPr="001A614D">
        <w:rPr>
          <w:rFonts w:ascii="Verdana" w:hAnsi="Verdana"/>
        </w:rPr>
        <w:t xml:space="preserve">La expedición del Registro Presupuestal (RP) durante la </w:t>
      </w:r>
      <w:r w:rsidR="001A614D" w:rsidRPr="001A614D">
        <w:rPr>
          <w:rFonts w:ascii="Verdana" w:hAnsi="Verdana"/>
        </w:rPr>
        <w:lastRenderedPageBreak/>
        <w:t xml:space="preserve">vigencia de las restricciones previstas en la Ley de Garantías Electorales puede considerarse contraria a las disposiciones </w:t>
      </w:r>
      <w:r w:rsidR="00A16901">
        <w:rPr>
          <w:rFonts w:ascii="Verdana" w:hAnsi="Verdana"/>
        </w:rPr>
        <w:t>contenidas en</w:t>
      </w:r>
      <w:r w:rsidR="001A614D" w:rsidRPr="001A614D">
        <w:rPr>
          <w:rFonts w:ascii="Verdana" w:hAnsi="Verdana"/>
        </w:rPr>
        <w:t xml:space="preserve"> dicha Ley</w:t>
      </w:r>
      <w:r w:rsidRPr="00A65C71">
        <w:rPr>
          <w:rFonts w:ascii="Verdana" w:hAnsi="Verdana"/>
        </w:rPr>
        <w:t>?</w:t>
      </w:r>
    </w:p>
    <w:p w14:paraId="3F278870" w14:textId="77777777" w:rsidR="001D7FC9" w:rsidRPr="00445C41" w:rsidRDefault="001D7FC9" w:rsidP="001D7FC9">
      <w:pPr>
        <w:spacing w:after="0" w:line="276" w:lineRule="auto"/>
        <w:jc w:val="both"/>
        <w:rPr>
          <w:rFonts w:ascii="Verdana" w:eastAsia="Century Gothic" w:hAnsi="Verdana" w:cs="Century Gothic"/>
        </w:rPr>
      </w:pPr>
    </w:p>
    <w:p w14:paraId="6AA9F578" w14:textId="77777777" w:rsidR="001D7FC9" w:rsidRPr="00E42343" w:rsidRDefault="001D7FC9" w:rsidP="001D7FC9">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E42343">
        <w:rPr>
          <w:rFonts w:ascii="Verdana" w:eastAsia="Century Gothic" w:hAnsi="Verdana" w:cs="Century Gothic"/>
          <w:b/>
          <w:bCs/>
        </w:rPr>
        <w:t>Respuesta:</w:t>
      </w:r>
    </w:p>
    <w:p w14:paraId="153AF30F" w14:textId="77777777" w:rsidR="001D7FC9" w:rsidRPr="00F71A6A" w:rsidRDefault="001D7FC9" w:rsidP="001D7FC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1D7FC9" w:rsidRPr="00F71A6A" w14:paraId="116DE417" w14:textId="77777777" w:rsidTr="008709B4">
        <w:tc>
          <w:tcPr>
            <w:tcW w:w="8828" w:type="dxa"/>
          </w:tcPr>
          <w:p w14:paraId="118B4099" w14:textId="74DE4F70" w:rsidR="001D7FC9" w:rsidRDefault="001D7FC9" w:rsidP="00876454">
            <w:pPr>
              <w:spacing w:after="120" w:line="276" w:lineRule="auto"/>
              <w:jc w:val="both"/>
              <w:rPr>
                <w:rFonts w:ascii="Verdana" w:eastAsia="Calibri" w:hAnsi="Verdana" w:cs="Arial"/>
              </w:rPr>
            </w:pPr>
            <w:r>
              <w:rPr>
                <w:rFonts w:ascii="Verdana" w:eastAsia="Calibri" w:hAnsi="Verdana" w:cs="Arial"/>
              </w:rPr>
              <w:t>L</w:t>
            </w:r>
            <w:r w:rsidRPr="00FF007A">
              <w:rPr>
                <w:rFonts w:ascii="Verdana" w:eastAsia="Calibri" w:hAnsi="Verdana" w:cs="Arial"/>
              </w:rPr>
              <w:t>a</w:t>
            </w:r>
            <w:r w:rsidRPr="003C4660">
              <w:rPr>
                <w:rFonts w:ascii="Verdana" w:eastAsia="Calibri" w:hAnsi="Verdana" w:cs="Arial"/>
              </w:rPr>
              <w:t xml:space="preserve"> Ley 996 de 2005 establece restricciones a la contratación directa y a los convenios interadministrativos, con el fin </w:t>
            </w:r>
            <w:r w:rsidRPr="00A350B8">
              <w:rPr>
                <w:rFonts w:ascii="Verdana" w:eastAsia="Calibri" w:hAnsi="Verdana" w:cs="Arial"/>
              </w:rPr>
              <w:t xml:space="preserve">de asegurar la transparencia y la igualdad en los procesos democráticos. </w:t>
            </w:r>
            <w:r w:rsidRPr="003C4660">
              <w:rPr>
                <w:rFonts w:ascii="Verdana" w:eastAsia="Calibri" w:hAnsi="Verdana" w:cs="Arial"/>
              </w:rPr>
              <w:t>La restricción a la celebración de convenios interadministrativos</w:t>
            </w:r>
            <w:r w:rsidR="00A16901">
              <w:rPr>
                <w:rFonts w:ascii="Verdana" w:eastAsia="Calibri" w:hAnsi="Verdana" w:cs="Arial"/>
              </w:rPr>
              <w:t>, contenida en el parágrafo del artículo 38 ibidem,</w:t>
            </w:r>
            <w:r w:rsidRPr="003C4660">
              <w:rPr>
                <w:rFonts w:ascii="Verdana" w:eastAsia="Calibri" w:hAnsi="Verdana" w:cs="Arial"/>
              </w:rPr>
              <w:t xml:space="preserve"> aplicable a las entidades territoriales y sus entes descentralizados inici</w:t>
            </w:r>
            <w:r>
              <w:rPr>
                <w:rFonts w:ascii="Verdana" w:eastAsia="Calibri" w:hAnsi="Verdana" w:cs="Arial"/>
              </w:rPr>
              <w:t>ó</w:t>
            </w:r>
            <w:r w:rsidRPr="003C4660">
              <w:rPr>
                <w:rFonts w:ascii="Verdana" w:eastAsia="Calibri" w:hAnsi="Verdana" w:cs="Arial"/>
              </w:rPr>
              <w:t xml:space="preserve"> el 8 de noviembre de 2025, mientras que la restricción general a la contratación directa</w:t>
            </w:r>
            <w:r w:rsidR="00A16901">
              <w:rPr>
                <w:rFonts w:ascii="Verdana" w:eastAsia="Calibri" w:hAnsi="Verdana" w:cs="Arial"/>
              </w:rPr>
              <w:t>, dispuesta en el artículo 33,</w:t>
            </w:r>
            <w:r w:rsidRPr="003C4660">
              <w:rPr>
                <w:rFonts w:ascii="Verdana" w:eastAsia="Calibri" w:hAnsi="Verdana" w:cs="Arial"/>
              </w:rPr>
              <w:t xml:space="preserve"> que cobija a todas la</w:t>
            </w:r>
            <w:r>
              <w:rPr>
                <w:rFonts w:ascii="Verdana" w:eastAsia="Calibri" w:hAnsi="Verdana" w:cs="Arial"/>
              </w:rPr>
              <w:t>s</w:t>
            </w:r>
            <w:r w:rsidRPr="003C4660">
              <w:rPr>
                <w:rFonts w:ascii="Verdana" w:eastAsia="Calibri" w:hAnsi="Verdana" w:cs="Arial"/>
              </w:rPr>
              <w:t xml:space="preserve"> Entidades Estatales</w:t>
            </w:r>
            <w:r w:rsidR="00A16901">
              <w:rPr>
                <w:rFonts w:ascii="Verdana" w:eastAsia="Calibri" w:hAnsi="Verdana" w:cs="Arial"/>
              </w:rPr>
              <w:t>,</w:t>
            </w:r>
            <w:r w:rsidRPr="003C4660">
              <w:rPr>
                <w:rFonts w:ascii="Verdana" w:eastAsia="Calibri" w:hAnsi="Verdana" w:cs="Arial"/>
              </w:rPr>
              <w:t xml:space="preserve"> comienza a regir a partir del 31 de enero de 2026. Ambas restricciones se mantendrán hasta el 31 de mayo, o hasta el 21 de junio en caso de requerirse segunda vuelta en las elecciones presidenciales.</w:t>
            </w:r>
          </w:p>
          <w:p w14:paraId="2639DF43" w14:textId="2A4D7F29" w:rsidR="001D7FC9" w:rsidRDefault="001D7FC9" w:rsidP="008709B4">
            <w:pPr>
              <w:widowControl w:val="0"/>
              <w:autoSpaceDE w:val="0"/>
              <w:autoSpaceDN w:val="0"/>
              <w:spacing w:line="276" w:lineRule="auto"/>
              <w:ind w:firstLine="709"/>
              <w:jc w:val="both"/>
              <w:rPr>
                <w:rFonts w:ascii="Verdana" w:eastAsia="Calibri" w:hAnsi="Verdana" w:cs="Arial"/>
                <w:lang w:val="es-ES"/>
              </w:rPr>
            </w:pPr>
            <w:r w:rsidRPr="79F3ED1A">
              <w:rPr>
                <w:rFonts w:ascii="Verdana" w:eastAsia="Calibri" w:hAnsi="Verdana" w:cs="Arial"/>
              </w:rPr>
              <w:t xml:space="preserve">En consecuencia, las entidades estatales podrán </w:t>
            </w:r>
            <w:r w:rsidRPr="00734692">
              <w:rPr>
                <w:rFonts w:ascii="Verdana" w:eastAsia="Calibri" w:hAnsi="Verdana" w:cs="Arial"/>
                <w:i/>
                <w:iCs/>
              </w:rPr>
              <w:t>celebrar contratos</w:t>
            </w:r>
            <w:r w:rsidRPr="79F3ED1A">
              <w:rPr>
                <w:rFonts w:ascii="Verdana" w:eastAsia="Calibri" w:hAnsi="Verdana" w:cs="Arial"/>
              </w:rPr>
              <w:t xml:space="preserve"> bajo la modalidad de contratación directa para la vigencia 2026 a partir del primero (1) de enero de 2026 y hasta el 30 de enero de 2026, siempre que se cumplan los requisitos legales y se haya adelantado oportunamente la planeación contractual</w:t>
            </w:r>
            <w:r w:rsidR="00A16901">
              <w:rPr>
                <w:rFonts w:ascii="Verdana" w:eastAsia="Calibri" w:hAnsi="Verdana" w:cs="Arial"/>
              </w:rPr>
              <w:t>. Así las cosas,</w:t>
            </w:r>
            <w:r>
              <w:rPr>
                <w:rFonts w:ascii="Verdana" w:eastAsia="Calibri" w:hAnsi="Verdana" w:cs="Arial"/>
              </w:rPr>
              <w:t xml:space="preserve"> </w:t>
            </w:r>
            <w:r>
              <w:rPr>
                <w:rFonts w:ascii="Verdana" w:eastAsia="Calibri" w:hAnsi="Verdana" w:cs="Arial"/>
                <w:lang w:val="es-ES"/>
              </w:rPr>
              <w:t xml:space="preserve">es importante precisar que la prohibición recae sobre la celebración del contrato, no sobre el cumplimiento de los requisitos de ejecución. </w:t>
            </w:r>
            <w:r>
              <w:rPr>
                <w:rFonts w:ascii="Verdana" w:eastAsia="Calibri" w:hAnsi="Verdana" w:cs="Arial"/>
              </w:rPr>
              <w:t>En consecuencia, l</w:t>
            </w:r>
            <w:r w:rsidRPr="006C703F">
              <w:rPr>
                <w:rFonts w:ascii="Verdana" w:eastAsia="Calibri" w:hAnsi="Verdana" w:cs="Arial"/>
                <w:lang w:val="es-ES"/>
              </w:rPr>
              <w:t>a expedición del R</w:t>
            </w:r>
            <w:r>
              <w:rPr>
                <w:rFonts w:ascii="Verdana" w:eastAsia="Calibri" w:hAnsi="Verdana" w:cs="Arial"/>
                <w:lang w:val="es-ES"/>
              </w:rPr>
              <w:t xml:space="preserve">egistro presupuestal </w:t>
            </w:r>
            <w:r w:rsidRPr="006C703F">
              <w:rPr>
                <w:rFonts w:ascii="Verdana" w:eastAsia="Calibri" w:hAnsi="Verdana" w:cs="Arial"/>
                <w:lang w:val="es-ES"/>
              </w:rPr>
              <w:t xml:space="preserve">durante la Ley de Garantías </w:t>
            </w:r>
            <w:r w:rsidR="00A16901">
              <w:rPr>
                <w:rFonts w:ascii="Verdana" w:eastAsia="Calibri" w:hAnsi="Verdana" w:cs="Arial"/>
                <w:lang w:val="es-ES"/>
              </w:rPr>
              <w:t xml:space="preserve">Electorales </w:t>
            </w:r>
            <w:r w:rsidRPr="006C703F">
              <w:rPr>
                <w:rFonts w:ascii="Verdana" w:eastAsia="Calibri" w:hAnsi="Verdana" w:cs="Arial"/>
                <w:lang w:val="es-ES"/>
              </w:rPr>
              <w:t>no vulnera la norma si el contrato ya estaba perfeccionado antes del inicio de las restricciones</w:t>
            </w:r>
            <w:r>
              <w:rPr>
                <w:rFonts w:ascii="Verdana" w:eastAsia="Calibri" w:hAnsi="Verdana" w:cs="Arial"/>
                <w:lang w:val="es-ES"/>
              </w:rPr>
              <w:t xml:space="preserve"> impuestas por </w:t>
            </w:r>
            <w:r>
              <w:rPr>
                <w:rFonts w:ascii="Verdana" w:eastAsia="Calibri" w:hAnsi="Verdana" w:cs="Arial"/>
              </w:rPr>
              <w:t>l</w:t>
            </w:r>
            <w:r w:rsidRPr="00FF007A">
              <w:rPr>
                <w:rFonts w:ascii="Verdana" w:eastAsia="Calibri" w:hAnsi="Verdana" w:cs="Arial"/>
              </w:rPr>
              <w:t>a</w:t>
            </w:r>
            <w:r w:rsidRPr="003C4660">
              <w:rPr>
                <w:rFonts w:ascii="Verdana" w:eastAsia="Calibri" w:hAnsi="Verdana" w:cs="Arial"/>
              </w:rPr>
              <w:t xml:space="preserve"> Ley 996 de 2005</w:t>
            </w:r>
            <w:r w:rsidRPr="006C703F">
              <w:rPr>
                <w:rFonts w:ascii="Verdana" w:eastAsia="Calibri" w:hAnsi="Verdana" w:cs="Arial"/>
                <w:lang w:val="es-ES"/>
              </w:rPr>
              <w:t>.</w:t>
            </w:r>
          </w:p>
          <w:p w14:paraId="3157D407" w14:textId="3EBA8AC7" w:rsidR="001D7FC9" w:rsidRPr="007260FE" w:rsidRDefault="00A16901" w:rsidP="00876454">
            <w:pPr>
              <w:spacing w:before="120" w:after="120" w:line="276" w:lineRule="auto"/>
              <w:ind w:firstLine="709"/>
              <w:jc w:val="both"/>
              <w:rPr>
                <w:rFonts w:ascii="Verdana" w:eastAsia="Calibri" w:hAnsi="Verdana" w:cs="Arial"/>
              </w:rPr>
            </w:pPr>
            <w:r>
              <w:rPr>
                <w:rFonts w:ascii="Verdana" w:eastAsia="Calibri" w:hAnsi="Verdana" w:cs="Arial"/>
                <w:lang w:val="es-ES"/>
              </w:rPr>
              <w:t>Finalment</w:t>
            </w:r>
            <w:r w:rsidR="001D7FC9">
              <w:rPr>
                <w:rFonts w:ascii="Verdana" w:eastAsia="Calibri" w:hAnsi="Verdana" w:cs="Arial"/>
              </w:rPr>
              <w:t xml:space="preserve">e, </w:t>
            </w:r>
            <w:r>
              <w:rPr>
                <w:rFonts w:ascii="Verdana" w:eastAsia="Calibri" w:hAnsi="Verdana" w:cs="Arial"/>
              </w:rPr>
              <w:t>la Agencia Nacional de Contratación Pública -</w:t>
            </w:r>
            <w:r w:rsidR="001D7FC9">
              <w:rPr>
                <w:rFonts w:ascii="Verdana" w:eastAsia="Calibri" w:hAnsi="Verdana" w:cs="Arial"/>
              </w:rPr>
              <w:t xml:space="preserve"> </w:t>
            </w:r>
            <w:r w:rsidR="001D7FC9" w:rsidRPr="003C4660">
              <w:rPr>
                <w:rFonts w:ascii="Verdana" w:eastAsia="Calibri" w:hAnsi="Verdana" w:cs="Arial"/>
              </w:rPr>
              <w:t>Colombia Compra Eficiente</w:t>
            </w:r>
            <w:r w:rsidR="001D7FC9">
              <w:rPr>
                <w:rFonts w:ascii="Verdana" w:eastAsia="Calibri" w:hAnsi="Verdana" w:cs="Arial"/>
              </w:rPr>
              <w:t xml:space="preserve"> le</w:t>
            </w:r>
            <w:r w:rsidR="001D7FC9" w:rsidRPr="003C4660">
              <w:rPr>
                <w:rFonts w:ascii="Verdana" w:eastAsia="Calibri" w:hAnsi="Verdana" w:cs="Arial"/>
              </w:rPr>
              <w:t xml:space="preserve"> invita a consultar la Circular Externa 006 de 2025, donde se detallan las disposiciones, excepciones y lineamientos para las entidades estatales y la ciudadanía</w:t>
            </w:r>
            <w:r w:rsidR="001D7FC9">
              <w:rPr>
                <w:rFonts w:ascii="Verdana" w:eastAsia="Calibri" w:hAnsi="Verdana" w:cs="Arial"/>
              </w:rPr>
              <w:t>, la cual puede ser consultada en el siguiente enlace:</w:t>
            </w:r>
            <w:hyperlink r:id="rId12" w:history="1">
              <w:r w:rsidR="001D7FC9" w:rsidRPr="00A350B8">
                <w:rPr>
                  <w:rStyle w:val="Hipervnculo"/>
                  <w:rFonts w:ascii="Verdana" w:eastAsia="Calibri" w:hAnsi="Verdana" w:cs="Arial"/>
                </w:rPr>
                <w:t>https://www.colombiacompra.gov.co/archivos/circular/circular-externa-006-de-2025</w:t>
              </w:r>
            </w:hyperlink>
          </w:p>
        </w:tc>
      </w:tr>
    </w:tbl>
    <w:p w14:paraId="2DB9CD1C" w14:textId="77777777" w:rsidR="00A16901" w:rsidRDefault="00A16901" w:rsidP="00A16901">
      <w:pPr>
        <w:tabs>
          <w:tab w:val="left" w:pos="142"/>
          <w:tab w:val="left" w:pos="284"/>
        </w:tabs>
        <w:spacing w:after="0" w:line="276" w:lineRule="auto"/>
        <w:rPr>
          <w:rFonts w:ascii="Verdana" w:eastAsia="Century Gothic" w:hAnsi="Verdana" w:cs="Century Gothic"/>
          <w:b/>
          <w:bCs/>
        </w:rPr>
      </w:pPr>
    </w:p>
    <w:p w14:paraId="452F2F01" w14:textId="2832537E" w:rsidR="001D7FC9" w:rsidRPr="005B64DF" w:rsidRDefault="001D7FC9" w:rsidP="001D7FC9">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3. </w:t>
      </w:r>
      <w:r w:rsidRPr="005B64DF">
        <w:rPr>
          <w:rFonts w:ascii="Verdana" w:eastAsia="Century Gothic" w:hAnsi="Verdana" w:cs="Century Gothic"/>
          <w:b/>
          <w:bCs/>
        </w:rPr>
        <w:t>Razones de la respuesta:</w:t>
      </w:r>
      <w:bookmarkStart w:id="5" w:name="_Hlk192104360"/>
    </w:p>
    <w:p w14:paraId="3E2B0E7B" w14:textId="77777777" w:rsidR="001D7FC9" w:rsidRDefault="001D7FC9" w:rsidP="001D7FC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4D76BB7" w14:textId="77777777" w:rsidR="001D7FC9" w:rsidRPr="00515AC9" w:rsidRDefault="001D7FC9" w:rsidP="001D7FC9">
      <w:pPr>
        <w:spacing w:after="120" w:line="276" w:lineRule="auto"/>
        <w:jc w:val="both"/>
        <w:rPr>
          <w:rFonts w:ascii="Verdana" w:eastAsia="Calibri" w:hAnsi="Verdana" w:cs="Arial"/>
          <w:lang w:val="es-ES"/>
        </w:rPr>
      </w:pPr>
      <w:bookmarkStart w:id="6" w:name="_Hlk199343457"/>
      <w:r w:rsidRPr="573DC269">
        <w:rPr>
          <w:rFonts w:ascii="Verdana" w:eastAsia="Calibri" w:hAnsi="Verdana" w:cs="Arial"/>
          <w:lang w:val="es-ES"/>
        </w:rPr>
        <w:lastRenderedPageBreak/>
        <w:t xml:space="preserve">El Estatuto General de Contratación de la Administración Pública – en adelante EGCAP –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274BF598" w14:textId="77777777" w:rsidR="001D7FC9" w:rsidRDefault="001D7FC9" w:rsidP="001D7FC9">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28197ED8" w14:textId="77777777" w:rsidR="001D7FC9" w:rsidRPr="00515AC9" w:rsidRDefault="001D7FC9" w:rsidP="001D7FC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2"/>
      </w:r>
      <w:r w:rsidRPr="00515AC9">
        <w:rPr>
          <w:rFonts w:ascii="Verdana" w:eastAsia="Calibri" w:hAnsi="Verdana" w:cs="Arial"/>
          <w:lang w:val="es-ES_tradnl"/>
        </w:rPr>
        <w:t>. Los requisitos de perfeccionamiento del contrato estatal ingresan dentro de los elementos de la esencia.</w:t>
      </w:r>
    </w:p>
    <w:p w14:paraId="7523E7E7" w14:textId="77777777" w:rsidR="001D7FC9" w:rsidRPr="00515AC9" w:rsidRDefault="001D7FC9" w:rsidP="001D7FC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3"/>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xml:space="preserve">, por regla general, son solemnes, </w:t>
      </w:r>
      <w:r w:rsidRPr="00515AC9">
        <w:rPr>
          <w:rFonts w:ascii="Verdana" w:eastAsia="Calibri" w:hAnsi="Verdana" w:cs="Arial"/>
          <w:lang w:val="es-ES_tradnl"/>
        </w:rPr>
        <w:lastRenderedPageBreak/>
        <w:t>ya que solo se entienden celebrados si se cumplen ciertas formalidades. Esta regla general solo tiene una excepción</w:t>
      </w:r>
      <w:r>
        <w:rPr>
          <w:rStyle w:val="Refdenotaalpie"/>
          <w:rFonts w:ascii="Verdana" w:eastAsia="Calibri" w:hAnsi="Verdana" w:cs="Arial"/>
          <w:lang w:val="es-ES_tradnl"/>
        </w:rPr>
        <w:footnoteReference w:id="4"/>
      </w:r>
      <w:r w:rsidRPr="00515AC9">
        <w:rPr>
          <w:rFonts w:ascii="Verdana" w:eastAsia="Calibri" w:hAnsi="Verdana" w:cs="Arial"/>
          <w:lang w:val="es-ES_tradnl"/>
        </w:rPr>
        <w:t>.</w:t>
      </w:r>
    </w:p>
    <w:p w14:paraId="7D847509" w14:textId="77777777" w:rsidR="001D7FC9" w:rsidRDefault="001D7FC9" w:rsidP="001D7FC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0102AD36" w14:textId="77777777" w:rsidR="002015CF" w:rsidRDefault="002015CF" w:rsidP="001D7FC9">
      <w:pPr>
        <w:spacing w:after="120" w:line="276" w:lineRule="auto"/>
        <w:ind w:firstLine="709"/>
        <w:jc w:val="both"/>
        <w:rPr>
          <w:rFonts w:ascii="Verdana" w:eastAsia="Calibri" w:hAnsi="Verdana" w:cs="Arial"/>
          <w:lang w:val="es-ES_tradnl"/>
        </w:rPr>
      </w:pPr>
    </w:p>
    <w:p w14:paraId="5D8ADEAB" w14:textId="77777777" w:rsidR="001D7FC9" w:rsidRDefault="001D7FC9" w:rsidP="001D7FC9">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principalmente, solemne, ya que la manifestación de voluntad, si no se expresa bajo la forma ad solemnitatem o ad substantiam actus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5"/>
      </w:r>
      <w:r w:rsidRPr="00515AC9">
        <w:rPr>
          <w:rFonts w:ascii="Verdana" w:eastAsia="Calibri" w:hAnsi="Verdana" w:cs="Arial"/>
          <w:lang w:val="es-ES_tradnl"/>
        </w:rPr>
        <w:t xml:space="preserve">. </w:t>
      </w:r>
    </w:p>
    <w:p w14:paraId="6FBE8B87" w14:textId="77777777" w:rsidR="002015CF" w:rsidRPr="00515AC9" w:rsidRDefault="002015CF" w:rsidP="001D7FC9">
      <w:pPr>
        <w:spacing w:after="120" w:line="276" w:lineRule="auto"/>
        <w:ind w:firstLine="709"/>
        <w:jc w:val="both"/>
        <w:rPr>
          <w:rFonts w:ascii="Verdana" w:eastAsia="Calibri" w:hAnsi="Verdana" w:cs="Arial"/>
          <w:lang w:val="es-ES_tradnl"/>
        </w:rPr>
      </w:pPr>
    </w:p>
    <w:p w14:paraId="338D1E76" w14:textId="77777777" w:rsidR="001D7FC9" w:rsidRPr="00515AC9" w:rsidRDefault="001D7FC9" w:rsidP="001D7FC9">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47D674A0" w14:textId="77777777" w:rsidR="001D7FC9" w:rsidRPr="00515AC9" w:rsidRDefault="001D7FC9" w:rsidP="001D7FC9">
      <w:pPr>
        <w:spacing w:after="0"/>
        <w:jc w:val="both"/>
        <w:rPr>
          <w:rFonts w:ascii="Verdana" w:eastAsia="Calibri" w:hAnsi="Verdana" w:cs="Arial"/>
        </w:rPr>
      </w:pPr>
    </w:p>
    <w:p w14:paraId="0944FD36" w14:textId="77777777" w:rsidR="001D7FC9" w:rsidRPr="00F00E70" w:rsidRDefault="001D7FC9" w:rsidP="00876454">
      <w:pPr>
        <w:spacing w:after="0" w:line="240" w:lineRule="auto"/>
        <w:ind w:left="709"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ii) por virtud de lo dispuesto en la Ley 80 de 1993 el contrato estatal </w:t>
      </w:r>
      <w:r w:rsidRPr="00F00E70">
        <w:rPr>
          <w:rFonts w:ascii="Verdana" w:eastAsia="Calibri" w:hAnsi="Verdana" w:cs="Arial"/>
          <w:sz w:val="20"/>
          <w:szCs w:val="20"/>
        </w:rPr>
        <w:lastRenderedPageBreak/>
        <w:t>existe, esto es, “se perfecciona” cuando “se logra acuerdo sobre el objeto y la contraprestación y éste se eleve a escrito”; iii)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iv)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6"/>
      </w:r>
      <w:r w:rsidRPr="00F00E70">
        <w:rPr>
          <w:rFonts w:ascii="Verdana" w:eastAsia="Calibri" w:hAnsi="Verdana" w:cs="Arial"/>
          <w:sz w:val="20"/>
          <w:szCs w:val="20"/>
        </w:rPr>
        <w:t>.</w:t>
      </w:r>
    </w:p>
    <w:p w14:paraId="36B2C75A" w14:textId="77777777" w:rsidR="001D7FC9" w:rsidRPr="00F00E70" w:rsidRDefault="001D7FC9" w:rsidP="001D7FC9">
      <w:pPr>
        <w:spacing w:after="0" w:line="276" w:lineRule="auto"/>
        <w:ind w:left="708"/>
        <w:jc w:val="both"/>
        <w:rPr>
          <w:rFonts w:ascii="Verdana" w:eastAsia="Calibri" w:hAnsi="Verdana" w:cs="Arial"/>
        </w:rPr>
      </w:pPr>
    </w:p>
    <w:p w14:paraId="03968D28" w14:textId="77777777" w:rsidR="001D7FC9" w:rsidRPr="00515AC9" w:rsidRDefault="001D7FC9" w:rsidP="00876454">
      <w:pPr>
        <w:spacing w:after="120" w:line="276" w:lineRule="auto"/>
        <w:ind w:firstLine="709"/>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41B1F99E" w14:textId="77777777" w:rsidR="001D7FC9" w:rsidRPr="00515AC9" w:rsidRDefault="001D7FC9" w:rsidP="001D7FC9">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63C2042E" w14:textId="77777777" w:rsidR="001D7FC9" w:rsidRPr="00515AC9" w:rsidRDefault="001D7FC9" w:rsidP="001D7FC9">
      <w:pPr>
        <w:spacing w:after="0" w:line="276" w:lineRule="auto"/>
        <w:jc w:val="both"/>
        <w:rPr>
          <w:rFonts w:ascii="Verdana" w:eastAsia="Calibri" w:hAnsi="Verdana" w:cs="Arial"/>
          <w:i/>
          <w:iCs/>
        </w:rPr>
      </w:pPr>
    </w:p>
    <w:p w14:paraId="25273420" w14:textId="77777777" w:rsidR="001D7FC9" w:rsidRPr="00B41137" w:rsidRDefault="001D7FC9" w:rsidP="001D7FC9">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6C077A2D" w14:textId="77777777" w:rsidR="001D7FC9" w:rsidRPr="00515AC9" w:rsidRDefault="001D7FC9" w:rsidP="001D7FC9">
      <w:pPr>
        <w:spacing w:after="0" w:line="276" w:lineRule="auto"/>
        <w:jc w:val="both"/>
        <w:rPr>
          <w:rFonts w:ascii="Verdana" w:eastAsia="Calibri" w:hAnsi="Verdana" w:cs="Arial"/>
          <w:lang w:val="es-ES_tradnl"/>
        </w:rPr>
      </w:pPr>
    </w:p>
    <w:p w14:paraId="75E70648" w14:textId="77777777" w:rsidR="001D7FC9" w:rsidRPr="00515AC9" w:rsidRDefault="001D7FC9" w:rsidP="001D7FC9">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(ii) la existencia de la apropiación presupuestal correspondiente y (iii) la acreditación del cumplimiento de las obligaciones con el Sistema de Seguridad Social Integral. </w:t>
      </w:r>
      <w:r>
        <w:tab/>
      </w:r>
    </w:p>
    <w:p w14:paraId="3AE8F4C3" w14:textId="77777777" w:rsidR="001D7FC9" w:rsidRDefault="001D7FC9" w:rsidP="001D7FC9">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 xml:space="preserve">aquellos que no se encuentran consagrados en la ley, sino que se pactan en la minuta del contrato </w:t>
      </w:r>
      <w:r w:rsidRPr="573DC269">
        <w:rPr>
          <w:rFonts w:ascii="Verdana" w:eastAsia="Calibri" w:hAnsi="Verdana" w:cs="Arial"/>
          <w:lang w:val="es-ES"/>
        </w:rPr>
        <w:lastRenderedPageBreak/>
        <w:t>o que el contratista acepta al momento de adherirse al clausulado del pliego de condiciones o documento equivalente</w:t>
      </w:r>
      <w:r>
        <w:rPr>
          <w:rFonts w:ascii="Verdana" w:eastAsia="Calibri" w:hAnsi="Verdana" w:cs="Arial"/>
          <w:lang w:val="es-ES"/>
        </w:rPr>
        <w:t>, como por ejemplo el acta de inicio</w:t>
      </w:r>
      <w:r w:rsidRPr="573DC269">
        <w:rPr>
          <w:rFonts w:ascii="Verdana" w:eastAsia="Calibri" w:hAnsi="Verdana" w:cs="Arial"/>
          <w:lang w:val="es-ES"/>
        </w:rPr>
        <w:t>.</w:t>
      </w:r>
    </w:p>
    <w:p w14:paraId="1602B961" w14:textId="77777777" w:rsidR="001D7FC9" w:rsidRDefault="001D7FC9" w:rsidP="001D7FC9">
      <w:pPr>
        <w:spacing w:after="120" w:line="276" w:lineRule="auto"/>
        <w:ind w:firstLine="708"/>
        <w:jc w:val="both"/>
        <w:rPr>
          <w:rFonts w:ascii="Verdana" w:hAnsi="Verdana" w:cs="Arial"/>
          <w:color w:val="000000" w:themeColor="text1"/>
          <w:lang w:eastAsia="es-CO"/>
        </w:rPr>
      </w:pPr>
      <w:r>
        <w:rPr>
          <w:rFonts w:ascii="Verdana" w:eastAsia="Calibri" w:hAnsi="Verdana" w:cs="Arial"/>
          <w:lang w:val="es-ES"/>
        </w:rPr>
        <w:t>En relación con</w:t>
      </w:r>
      <w:r w:rsidRPr="001C5D9A">
        <w:rPr>
          <w:rFonts w:ascii="Verdana" w:eastAsia="Calibri" w:hAnsi="Verdana" w:cs="Arial"/>
          <w:lang w:val="es-ES"/>
        </w:rPr>
        <w:t xml:space="preserve"> los requisitos legales de ejecución</w:t>
      </w:r>
      <w:r>
        <w:rPr>
          <w:rFonts w:ascii="Verdana" w:eastAsia="Calibri" w:hAnsi="Verdana" w:cs="Arial"/>
          <w:lang w:val="es-ES"/>
        </w:rPr>
        <w:t>,</w:t>
      </w:r>
      <w:r w:rsidRPr="001C5D9A">
        <w:rPr>
          <w:rFonts w:ascii="Verdana" w:eastAsia="Calibri" w:hAnsi="Verdana" w:cs="Arial"/>
          <w:lang w:val="es-ES"/>
        </w:rPr>
        <w:t xml:space="preserve"> </w:t>
      </w:r>
      <w:r>
        <w:rPr>
          <w:rFonts w:ascii="Verdana" w:eastAsia="Calibri" w:hAnsi="Verdana" w:cs="Arial"/>
          <w:lang w:val="es-ES"/>
        </w:rPr>
        <w:t>en primer lugar,</w:t>
      </w:r>
      <w:r w:rsidRPr="001C5D9A">
        <w:rPr>
          <w:rFonts w:ascii="Verdana" w:eastAsia="Calibri" w:hAnsi="Verdana" w:cs="Arial"/>
          <w:lang w:val="es-ES"/>
        </w:rPr>
        <w:t xml:space="preserve"> se tiene como uno de ellos, la </w:t>
      </w:r>
      <w:r w:rsidRPr="573DC269">
        <w:rPr>
          <w:rFonts w:ascii="Verdana" w:eastAsia="Calibri" w:hAnsi="Verdana" w:cs="Arial"/>
          <w:lang w:val="es-ES"/>
        </w:rPr>
        <w:t>aprobación de las garantías exigidas en el contrato</w:t>
      </w:r>
      <w:r>
        <w:rPr>
          <w:rFonts w:ascii="Verdana" w:eastAsia="Calibri" w:hAnsi="Verdana" w:cs="Arial"/>
          <w:lang w:val="es-ES"/>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w:t>
      </w:r>
      <w:r w:rsidRPr="00C31767">
        <w:rPr>
          <w:rFonts w:ascii="Verdana" w:hAnsi="Verdana" w:cs="Arial"/>
          <w:color w:val="000000" w:themeColor="text1"/>
          <w:lang w:val="es-MX"/>
        </w:rPr>
        <w:t>establece que “P</w:t>
      </w:r>
      <w:r w:rsidRPr="00C31767">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r>
        <w:rPr>
          <w:rFonts w:ascii="Verdana" w:hAnsi="Verdana" w:cs="Arial"/>
          <w:color w:val="000000" w:themeColor="text1"/>
          <w:lang w:eastAsia="es-CO"/>
        </w:rPr>
        <w:t xml:space="preserve"> en caso que se hayan solicitado</w:t>
      </w:r>
      <w:r w:rsidRPr="00C31767">
        <w:rPr>
          <w:rFonts w:ascii="Verdana" w:hAnsi="Verdana" w:cs="Arial"/>
          <w:color w:val="000000" w:themeColor="text1"/>
          <w:lang w:eastAsia="es-CO"/>
        </w:rPr>
        <w:t>.</w:t>
      </w:r>
    </w:p>
    <w:p w14:paraId="018E7E3B" w14:textId="77777777" w:rsidR="001D7FC9" w:rsidRPr="00C31767" w:rsidRDefault="001D7FC9" w:rsidP="00876454">
      <w:pPr>
        <w:spacing w:after="120"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w:t>
      </w:r>
      <w:r>
        <w:rPr>
          <w:rFonts w:ascii="Verdana" w:hAnsi="Verdana" w:cs="Arial"/>
          <w:color w:val="000000" w:themeColor="text1"/>
          <w:lang w:eastAsia="es-CO"/>
        </w:rPr>
        <w:t>el inicio</w:t>
      </w:r>
      <w:r w:rsidRPr="00C31767">
        <w:rPr>
          <w:rFonts w:ascii="Verdana" w:hAnsi="Verdana" w:cs="Arial"/>
          <w:color w:val="000000" w:themeColor="text1"/>
          <w:lang w:eastAsia="es-CO"/>
        </w:rPr>
        <w:t xml:space="preserve"> del contrato, el contratista debe cumplir con la obligación de constituir las garantías</w:t>
      </w:r>
      <w:r>
        <w:rPr>
          <w:rFonts w:ascii="Verdana" w:hAnsi="Verdana" w:cs="Arial"/>
          <w:color w:val="000000" w:themeColor="text1"/>
          <w:lang w:eastAsia="es-CO"/>
        </w:rPr>
        <w:t xml:space="preserve"> solicitadas</w:t>
      </w:r>
      <w:r w:rsidRPr="00C31767">
        <w:rPr>
          <w:rFonts w:ascii="Verdana" w:hAnsi="Verdana" w:cs="Arial"/>
          <w:color w:val="000000" w:themeColor="text1"/>
          <w:lang w:eastAsia="es-CO"/>
        </w:rPr>
        <w:t xml:space="preserve">,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C31767">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C31767">
        <w:rPr>
          <w:rStyle w:val="Refdenotaalpie"/>
          <w:rFonts w:ascii="Verdana" w:hAnsi="Verdana" w:cs="Arial"/>
          <w:color w:val="000000" w:themeColor="text1"/>
          <w:lang w:val="es-ES_tradnl" w:eastAsia="es-CO"/>
        </w:rPr>
        <w:footnoteReference w:id="7"/>
      </w:r>
      <w:r>
        <w:rPr>
          <w:rFonts w:ascii="Verdana" w:hAnsi="Verdana" w:cs="Arial"/>
          <w:color w:val="000000" w:themeColor="text1"/>
          <w:lang w:val="es-ES_tradnl" w:eastAsia="es-CO"/>
        </w:rPr>
        <w:t xml:space="preserve"> en caso de que se haya solicitado</w:t>
      </w:r>
      <w:r w:rsidRPr="00C31767">
        <w:rPr>
          <w:rFonts w:ascii="Verdana" w:hAnsi="Verdana" w:cs="Arial"/>
          <w:color w:val="000000" w:themeColor="text1"/>
          <w:lang w:val="es-ES_tradnl" w:eastAsia="es-CO"/>
        </w:rPr>
        <w:t>.</w:t>
      </w:r>
    </w:p>
    <w:p w14:paraId="528D558E" w14:textId="77777777" w:rsidR="001D7FC9" w:rsidRPr="00C31767" w:rsidRDefault="001D7FC9" w:rsidP="00876454">
      <w:pPr>
        <w:spacing w:after="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8"/>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 xml:space="preserve">a aprobación de las garantías pactadas en el contrato, la entidad debe realizar la respectiva verificación de los amparos </w:t>
      </w:r>
      <w:r w:rsidRPr="00C31767">
        <w:rPr>
          <w:rFonts w:ascii="Verdana" w:hAnsi="Verdana" w:cs="Arial"/>
          <w:color w:val="000000" w:themeColor="text1"/>
          <w:lang w:val="es-ES_tradnl"/>
        </w:rPr>
        <w:lastRenderedPageBreak/>
        <w:t>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1318044D" w14:textId="77777777" w:rsidR="001D7FC9" w:rsidRPr="00C31767" w:rsidRDefault="001D7FC9" w:rsidP="00876454">
      <w:pPr>
        <w:spacing w:after="12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9"/>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su posterior liquidación. </w:t>
      </w:r>
    </w:p>
    <w:p w14:paraId="1B69C981" w14:textId="6E9C6DAA" w:rsidR="001D7FC9" w:rsidRDefault="001D7FC9" w:rsidP="00D15F2A">
      <w:pPr>
        <w:spacing w:after="0" w:line="276" w:lineRule="auto"/>
        <w:ind w:firstLine="709"/>
        <w:jc w:val="both"/>
        <w:rPr>
          <w:rFonts w:ascii="Verdana" w:eastAsia="Times New Roman" w:hAnsi="Verdana" w:cs="Arial"/>
          <w:color w:val="1A1A1A" w:themeColor="background1" w:themeShade="1A"/>
          <w:lang w:eastAsia="es-ES_tradnl"/>
        </w:rPr>
      </w:pPr>
      <w:r>
        <w:rPr>
          <w:rFonts w:ascii="Verdana" w:eastAsia="Calibri" w:hAnsi="Verdana" w:cs="Arial"/>
          <w:lang w:val="es-ES_tradnl"/>
        </w:rPr>
        <w:t>En segundo lugar</w:t>
      </w:r>
      <w:r w:rsidRPr="00E670BC">
        <w:rPr>
          <w:rFonts w:ascii="Verdana" w:eastAsia="Calibri" w:hAnsi="Verdana" w:cs="Arial"/>
          <w:lang w:val="es-ES_tradnl"/>
        </w:rPr>
        <w:t xml:space="preserve">, </w:t>
      </w:r>
      <w:r>
        <w:rPr>
          <w:rFonts w:ascii="Verdana" w:eastAsia="Times New Roman" w:hAnsi="Verdana" w:cs="Arial"/>
          <w:color w:val="1A1A1A" w:themeColor="background1" w:themeShade="1A"/>
          <w:lang w:eastAsia="es-ES_tradnl"/>
        </w:rPr>
        <w:t>como requisito de ejecución también se tiene que</w:t>
      </w:r>
      <w:r w:rsidRPr="00E670BC">
        <w:rPr>
          <w:rFonts w:ascii="Verdana" w:eastAsia="Times New Roman" w:hAnsi="Verdana" w:cs="Arial"/>
          <w:color w:val="1A1A1A" w:themeColor="background1" w:themeShade="1A"/>
          <w:lang w:eastAsia="es-ES_tradnl"/>
        </w:rPr>
        <w:t xml:space="preserve"> el Registro Presupuestal</w:t>
      </w:r>
      <w:r>
        <w:rPr>
          <w:rFonts w:ascii="Verdana" w:eastAsia="Times New Roman" w:hAnsi="Verdana" w:cs="Arial"/>
          <w:color w:val="1A1A1A" w:themeColor="background1" w:themeShade="1A"/>
          <w:lang w:eastAsia="es-ES_tradnl"/>
        </w:rPr>
        <w:t xml:space="preserve">, </w:t>
      </w:r>
      <w:r w:rsidR="00D15F2A">
        <w:rPr>
          <w:rFonts w:ascii="Verdana" w:eastAsia="Times New Roman" w:hAnsi="Verdana" w:cs="Arial"/>
          <w:color w:val="1A1A1A" w:themeColor="background1" w:themeShade="1A"/>
          <w:lang w:eastAsia="es-ES_tradnl"/>
        </w:rPr>
        <w:t xml:space="preserve">al cual se hace referencia en su consulta, </w:t>
      </w:r>
      <w:r>
        <w:rPr>
          <w:rFonts w:ascii="Verdana" w:eastAsia="Times New Roman" w:hAnsi="Verdana" w:cs="Arial"/>
          <w:color w:val="1A1A1A" w:themeColor="background1" w:themeShade="1A"/>
          <w:lang w:eastAsia="es-ES_tradnl"/>
        </w:rPr>
        <w:t xml:space="preserve">este </w:t>
      </w:r>
      <w:r w:rsidRPr="00E670BC">
        <w:rPr>
          <w:rFonts w:ascii="Verdana" w:eastAsia="Times New Roman" w:hAnsi="Verdana" w:cs="Arial"/>
          <w:color w:val="1A1A1A" w:themeColor="background1" w:themeShade="1A"/>
          <w:lang w:eastAsia="es-ES_tradnl"/>
        </w:rPr>
        <w:t>es necesario para iniciar la ejecución del contrato, una vez se tenga definido el valor y el plazo. En concordancia con lo anterior, el Consejo de Estado expresó respecto de la disponibilidad y el compromiso presupuestal, que:</w:t>
      </w:r>
    </w:p>
    <w:p w14:paraId="0AB707D4" w14:textId="77777777" w:rsidR="00D15F2A" w:rsidRPr="00C35401" w:rsidRDefault="00D15F2A" w:rsidP="00876454">
      <w:pPr>
        <w:spacing w:after="0" w:line="276" w:lineRule="auto"/>
        <w:ind w:firstLine="709"/>
        <w:jc w:val="both"/>
        <w:rPr>
          <w:rFonts w:ascii="Verdana" w:eastAsia="Calibri" w:hAnsi="Verdana" w:cs="Arial"/>
          <w:lang w:val="es-ES"/>
        </w:rPr>
      </w:pPr>
    </w:p>
    <w:p w14:paraId="6AE16D66" w14:textId="77777777" w:rsidR="00F35773" w:rsidRDefault="001D7FC9" w:rsidP="001D7FC9">
      <w:pPr>
        <w:pStyle w:val="Prrafodelista"/>
        <w:tabs>
          <w:tab w:val="left" w:pos="8222"/>
        </w:tabs>
        <w:spacing w:after="0" w:line="240" w:lineRule="auto"/>
        <w:ind w:left="851" w:right="616"/>
        <w:jc w:val="both"/>
        <w:rPr>
          <w:rFonts w:ascii="Verdana" w:eastAsia="Times New Roman" w:hAnsi="Verdana" w:cs="Arial"/>
          <w:color w:val="000000" w:themeColor="text1"/>
          <w:sz w:val="20"/>
          <w:szCs w:val="20"/>
          <w:u w:val="single"/>
          <w:lang w:eastAsia="es-ES_tradnl"/>
        </w:rPr>
      </w:pPr>
      <w:r w:rsidRPr="005671C4">
        <w:rPr>
          <w:rFonts w:ascii="Verdana" w:eastAsia="Times New Roman" w:hAnsi="Verdana" w:cs="Arial"/>
          <w:color w:val="000000" w:themeColor="text1"/>
          <w:sz w:val="20"/>
          <w:szCs w:val="20"/>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w:t>
      </w:r>
      <w:r w:rsidRPr="00E670BC">
        <w:rPr>
          <w:rFonts w:ascii="Verdana" w:eastAsia="Times New Roman" w:hAnsi="Verdana" w:cs="Arial"/>
          <w:color w:val="000000" w:themeColor="text1"/>
          <w:sz w:val="20"/>
          <w:szCs w:val="20"/>
          <w:u w:val="single"/>
          <w:lang w:eastAsia="es-ES_tradnl"/>
        </w:rPr>
        <w:t xml:space="preserve">el registro presupuestal es el mecanismo mediante el cual se afecta la apropiación de forma definitiva, acto que si bien a su turno se traduce en el perfeccionamiento del compromiso presupuestal no es lo mismo que el perfeccionamiento del contrato en </w:t>
      </w:r>
    </w:p>
    <w:p w14:paraId="446410F0" w14:textId="1EBD9A9E" w:rsidR="001D7FC9" w:rsidRPr="00E670BC" w:rsidRDefault="001D7FC9" w:rsidP="001D7FC9">
      <w:pPr>
        <w:pStyle w:val="Prrafodelista"/>
        <w:tabs>
          <w:tab w:val="left" w:pos="8222"/>
        </w:tabs>
        <w:spacing w:after="0" w:line="240" w:lineRule="auto"/>
        <w:ind w:left="851" w:right="616"/>
        <w:jc w:val="both"/>
        <w:rPr>
          <w:rFonts w:ascii="Verdana" w:eastAsia="Times New Roman" w:hAnsi="Verdana" w:cs="Arial"/>
          <w:color w:val="000000" w:themeColor="text1"/>
          <w:sz w:val="20"/>
          <w:szCs w:val="20"/>
          <w:u w:val="single"/>
          <w:lang w:eastAsia="es-ES_tradnl"/>
        </w:rPr>
      </w:pPr>
      <w:r w:rsidRPr="00E670BC">
        <w:rPr>
          <w:rFonts w:ascii="Verdana" w:eastAsia="Times New Roman" w:hAnsi="Verdana" w:cs="Arial"/>
          <w:color w:val="000000" w:themeColor="text1"/>
          <w:sz w:val="20"/>
          <w:szCs w:val="20"/>
          <w:u w:val="single"/>
          <w:lang w:eastAsia="es-ES_tradnl"/>
        </w:rPr>
        <w:lastRenderedPageBreak/>
        <w:t>tanto el registro se obtiene luego de que el contrato nace a la vida jurídica y no antes y además no consulta un consenso entre las</w:t>
      </w:r>
      <w:r w:rsidRPr="00E670BC">
        <w:rPr>
          <w:rFonts w:ascii="Verdana" w:eastAsia="Times New Roman" w:hAnsi="Verdana" w:cs="Arial"/>
          <w:color w:val="000000" w:themeColor="text1"/>
          <w:spacing w:val="-3"/>
          <w:sz w:val="20"/>
          <w:szCs w:val="20"/>
          <w:u w:val="single"/>
          <w:lang w:eastAsia="es-ES_tradnl"/>
        </w:rPr>
        <w:t xml:space="preserve"> </w:t>
      </w:r>
      <w:r w:rsidRPr="00E670BC">
        <w:rPr>
          <w:rFonts w:ascii="Verdana" w:eastAsia="Times New Roman" w:hAnsi="Verdana" w:cs="Arial"/>
          <w:color w:val="000000" w:themeColor="text1"/>
          <w:sz w:val="20"/>
          <w:szCs w:val="20"/>
          <w:u w:val="single"/>
          <w:lang w:eastAsia="es-ES_tradnl"/>
        </w:rPr>
        <w:t>partes</w:t>
      </w:r>
      <w:r>
        <w:rPr>
          <w:rStyle w:val="Refdenotaalpie"/>
          <w:rFonts w:ascii="Verdana" w:eastAsia="Times New Roman" w:hAnsi="Verdana" w:cs="Arial"/>
          <w:color w:val="000000" w:themeColor="text1"/>
          <w:sz w:val="20"/>
          <w:szCs w:val="20"/>
          <w:u w:val="single"/>
          <w:lang w:eastAsia="es-ES_tradnl"/>
        </w:rPr>
        <w:footnoteReference w:id="10"/>
      </w:r>
      <w:r w:rsidRPr="00E670BC">
        <w:rPr>
          <w:rFonts w:ascii="Verdana" w:eastAsia="Times New Roman" w:hAnsi="Verdana" w:cs="Arial"/>
          <w:color w:val="000000" w:themeColor="text1"/>
          <w:sz w:val="20"/>
          <w:szCs w:val="20"/>
          <w:u w:val="single"/>
          <w:lang w:eastAsia="es-ES_tradnl"/>
        </w:rPr>
        <w:t>.</w:t>
      </w:r>
      <w:r w:rsidRPr="00E670BC">
        <w:rPr>
          <w:rFonts w:ascii="Verdana" w:eastAsia="Times New Roman" w:hAnsi="Verdana" w:cs="Arial"/>
          <w:color w:val="000000" w:themeColor="text1"/>
          <w:sz w:val="20"/>
          <w:szCs w:val="20"/>
          <w:lang w:eastAsia="es-ES_tradnl"/>
        </w:rPr>
        <w:t xml:space="preserve"> (</w:t>
      </w:r>
      <w:r>
        <w:rPr>
          <w:rFonts w:ascii="Verdana" w:eastAsia="Times New Roman" w:hAnsi="Verdana" w:cs="Arial"/>
          <w:color w:val="000000" w:themeColor="text1"/>
          <w:sz w:val="20"/>
          <w:szCs w:val="20"/>
          <w:lang w:eastAsia="es-ES_tradnl"/>
        </w:rPr>
        <w:t xml:space="preserve">Subrayado </w:t>
      </w:r>
      <w:r w:rsidRPr="00E670BC">
        <w:rPr>
          <w:rFonts w:ascii="Verdana" w:eastAsia="Times New Roman" w:hAnsi="Verdana" w:cs="Arial"/>
          <w:color w:val="000000" w:themeColor="text1"/>
          <w:sz w:val="20"/>
          <w:szCs w:val="20"/>
          <w:lang w:eastAsia="es-ES_tradnl"/>
        </w:rPr>
        <w:t>fuera de texto)</w:t>
      </w:r>
    </w:p>
    <w:p w14:paraId="4DEA8E12" w14:textId="77777777" w:rsidR="001D7FC9" w:rsidRPr="005671C4" w:rsidRDefault="001D7FC9" w:rsidP="001D7FC9">
      <w:pPr>
        <w:pStyle w:val="Prrafodelista"/>
        <w:spacing w:after="0" w:line="240" w:lineRule="auto"/>
        <w:ind w:left="851" w:right="616"/>
        <w:jc w:val="both"/>
        <w:rPr>
          <w:rFonts w:ascii="Verdana" w:eastAsia="Times New Roman" w:hAnsi="Verdana" w:cs="Arial"/>
          <w:color w:val="000000" w:themeColor="text1"/>
          <w:sz w:val="20"/>
          <w:szCs w:val="20"/>
          <w:lang w:eastAsia="es-ES_tradnl"/>
        </w:rPr>
      </w:pPr>
    </w:p>
    <w:p w14:paraId="3A591BEF" w14:textId="77777777" w:rsidR="001D7FC9" w:rsidRPr="005671C4" w:rsidRDefault="001D7FC9" w:rsidP="001D7FC9">
      <w:pPr>
        <w:pStyle w:val="Prrafodelista"/>
        <w:spacing w:after="0" w:line="240" w:lineRule="auto"/>
        <w:ind w:left="851" w:right="616"/>
        <w:rPr>
          <w:rFonts w:ascii="Verdana" w:eastAsia="Times New Roman" w:hAnsi="Verdana" w:cs="Arial"/>
          <w:color w:val="000000" w:themeColor="text1"/>
          <w:sz w:val="20"/>
          <w:szCs w:val="20"/>
          <w:lang w:eastAsia="es-ES_tradnl"/>
        </w:rPr>
      </w:pPr>
      <w:r w:rsidRPr="005671C4">
        <w:rPr>
          <w:rFonts w:ascii="Verdana" w:eastAsia="Times New Roman" w:hAnsi="Verdana" w:cs="Arial"/>
          <w:sz w:val="20"/>
          <w:szCs w:val="20"/>
          <w:lang w:eastAsia="es-ES_tradnl"/>
        </w:rPr>
        <w:t>[…]</w:t>
      </w:r>
    </w:p>
    <w:p w14:paraId="07918009" w14:textId="77777777" w:rsidR="001D7FC9" w:rsidRPr="005671C4" w:rsidRDefault="001D7FC9" w:rsidP="001D7FC9">
      <w:pPr>
        <w:pStyle w:val="Prrafodelista"/>
        <w:spacing w:after="0" w:line="240" w:lineRule="auto"/>
        <w:ind w:left="1491" w:right="357"/>
        <w:jc w:val="both"/>
        <w:rPr>
          <w:rFonts w:ascii="Verdana" w:eastAsia="Times New Roman" w:hAnsi="Verdana" w:cs="Arial"/>
          <w:color w:val="000000" w:themeColor="text1"/>
          <w:sz w:val="20"/>
          <w:szCs w:val="20"/>
          <w:lang w:eastAsia="es-ES_tradnl"/>
        </w:rPr>
      </w:pPr>
    </w:p>
    <w:p w14:paraId="73E9956F" w14:textId="77777777" w:rsidR="001D7FC9" w:rsidRPr="006F2FC9" w:rsidRDefault="001D7FC9" w:rsidP="001D7FC9">
      <w:pPr>
        <w:spacing w:after="120" w:line="276" w:lineRule="auto"/>
        <w:ind w:firstLine="709"/>
        <w:jc w:val="both"/>
        <w:rPr>
          <w:rFonts w:ascii="Verdana" w:eastAsia="Times New Roman" w:hAnsi="Verdana" w:cs="Arial"/>
          <w:color w:val="1A1A1A" w:themeColor="background1" w:themeShade="1A"/>
          <w:lang w:eastAsia="es-ES_tradnl"/>
        </w:rPr>
      </w:pPr>
      <w:r w:rsidRPr="00E670BC">
        <w:rPr>
          <w:rFonts w:ascii="Verdana" w:eastAsia="Times New Roman" w:hAnsi="Verdana" w:cs="Arial"/>
          <w:color w:val="1A1A1A" w:themeColor="background1" w:themeShade="1A"/>
          <w:lang w:eastAsia="es-ES_tradnl"/>
        </w:rPr>
        <w:t xml:space="preserve">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w:t>
      </w:r>
      <w:r w:rsidRPr="006F2FC9">
        <w:rPr>
          <w:rFonts w:ascii="Verdana" w:eastAsia="Times New Roman" w:hAnsi="Verdana" w:cs="Arial"/>
          <w:color w:val="1A1A1A" w:themeColor="background1" w:themeShade="1A"/>
          <w:lang w:eastAsia="es-ES_tradnl"/>
        </w:rPr>
        <w:t>expedición previa no afecta la validez del contrato estatal.</w:t>
      </w:r>
    </w:p>
    <w:p w14:paraId="6316BE0E" w14:textId="77777777" w:rsidR="001D7FC9" w:rsidRDefault="001D7FC9" w:rsidP="00876454">
      <w:pPr>
        <w:spacing w:after="0" w:line="276" w:lineRule="auto"/>
        <w:ind w:firstLine="357"/>
        <w:jc w:val="both"/>
        <w:rPr>
          <w:rFonts w:ascii="Verdana" w:eastAsia="Arial" w:hAnsi="Verdana" w:cs="Arial"/>
        </w:rPr>
      </w:pPr>
      <w:r w:rsidRPr="001C5D9A">
        <w:rPr>
          <w:rFonts w:ascii="Verdana" w:eastAsia="Calibri" w:hAnsi="Verdana" w:cs="Arial"/>
          <w:lang w:val="es-ES"/>
        </w:rPr>
        <w:t xml:space="preserve">En tercer lugar, como requisito de ejecución se encuentra </w:t>
      </w:r>
      <w:r w:rsidRPr="006F2FC9">
        <w:rPr>
          <w:rFonts w:ascii="Verdana" w:eastAsia="Calibri" w:hAnsi="Verdana" w:cs="Arial"/>
          <w:lang w:val="es-ES"/>
        </w:rPr>
        <w:t xml:space="preserve">la acreditación del cumplimiento de las obligaciones con el Sistema de Seguridad Social Integral, al respecto </w:t>
      </w:r>
      <w:r w:rsidRPr="006F2FC9">
        <w:rPr>
          <w:rFonts w:ascii="Verdana" w:eastAsia="Arial" w:hAnsi="Verdana" w:cs="Arial"/>
        </w:rPr>
        <w:t>el texto original del artículo 41 de la Ley 80 de 1993 dispuso que los</w:t>
      </w:r>
      <w:r w:rsidRPr="000471DA">
        <w:rPr>
          <w:rFonts w:ascii="Verdana" w:eastAsia="Arial" w:hAnsi="Verdana" w:cs="Arial"/>
        </w:rPr>
        <w:t xml:space="preserve"> requisitos para perfeccionar</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contrato</w:t>
      </w:r>
      <w:r w:rsidRPr="000471DA">
        <w:rPr>
          <w:rFonts w:ascii="Verdana" w:eastAsia="Arial" w:hAnsi="Verdana" w:cs="Arial"/>
          <w:spacing w:val="-7"/>
        </w:rPr>
        <w:t xml:space="preserve"> </w:t>
      </w:r>
      <w:r w:rsidRPr="000471DA">
        <w:rPr>
          <w:rFonts w:ascii="Verdana" w:eastAsia="Arial" w:hAnsi="Verdana" w:cs="Arial"/>
        </w:rPr>
        <w:t>son:</w:t>
      </w:r>
      <w:r w:rsidRPr="000471DA">
        <w:rPr>
          <w:rFonts w:ascii="Verdana" w:eastAsia="Arial" w:hAnsi="Verdana" w:cs="Arial"/>
          <w:spacing w:val="-7"/>
        </w:rPr>
        <w:t xml:space="preserve"> </w:t>
      </w:r>
      <w:r w:rsidRPr="000471DA">
        <w:rPr>
          <w:rFonts w:ascii="Verdana" w:eastAsia="Arial" w:hAnsi="Verdana" w:cs="Arial"/>
        </w:rPr>
        <w:t>i)</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acuerdo</w:t>
      </w:r>
      <w:r w:rsidRPr="000471DA">
        <w:rPr>
          <w:rFonts w:ascii="Verdana" w:eastAsia="Arial" w:hAnsi="Verdana" w:cs="Arial"/>
          <w:spacing w:val="-6"/>
        </w:rPr>
        <w:t xml:space="preserve"> </w:t>
      </w:r>
      <w:r w:rsidRPr="000471DA">
        <w:rPr>
          <w:rFonts w:ascii="Verdana" w:eastAsia="Arial" w:hAnsi="Verdana" w:cs="Arial"/>
        </w:rPr>
        <w:t>sobre</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objeto</w:t>
      </w:r>
      <w:r w:rsidRPr="000471DA">
        <w:rPr>
          <w:rFonts w:ascii="Verdana" w:eastAsia="Arial" w:hAnsi="Verdana" w:cs="Arial"/>
          <w:spacing w:val="-7"/>
        </w:rPr>
        <w:t xml:space="preserve"> </w:t>
      </w:r>
      <w:r w:rsidRPr="000471DA">
        <w:rPr>
          <w:rFonts w:ascii="Verdana" w:eastAsia="Arial" w:hAnsi="Verdana" w:cs="Arial"/>
        </w:rPr>
        <w:t>y</w:t>
      </w:r>
      <w:r w:rsidRPr="000471DA">
        <w:rPr>
          <w:rFonts w:ascii="Verdana" w:eastAsia="Arial" w:hAnsi="Verdana" w:cs="Arial"/>
          <w:spacing w:val="-7"/>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contraprestación, y ii) que conste por escrito. Por su parte, para iniciar la ejecución se requiere: i) la constitución</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7"/>
        </w:rPr>
        <w:t xml:space="preserve"> </w:t>
      </w:r>
      <w:r w:rsidRPr="000471DA">
        <w:rPr>
          <w:rFonts w:ascii="Verdana" w:eastAsia="Arial" w:hAnsi="Verdana" w:cs="Arial"/>
        </w:rPr>
        <w:t>aprobación</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garantía</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6"/>
        </w:rPr>
        <w:t xml:space="preserve"> </w:t>
      </w:r>
      <w:r w:rsidRPr="000471DA">
        <w:rPr>
          <w:rFonts w:ascii="Verdana" w:eastAsia="Arial" w:hAnsi="Verdana" w:cs="Arial"/>
        </w:rPr>
        <w:t>ii)</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existencia</w:t>
      </w:r>
      <w:r w:rsidRPr="000471DA">
        <w:rPr>
          <w:rFonts w:ascii="Verdana" w:eastAsia="Arial" w:hAnsi="Verdana" w:cs="Arial"/>
          <w:spacing w:val="-16"/>
        </w:rPr>
        <w:t xml:space="preserve"> </w:t>
      </w:r>
      <w:r w:rsidRPr="000471DA">
        <w:rPr>
          <w:rFonts w:ascii="Verdana" w:eastAsia="Arial" w:hAnsi="Verdana" w:cs="Arial"/>
        </w:rPr>
        <w:t>del</w:t>
      </w:r>
      <w:r w:rsidRPr="000471DA">
        <w:rPr>
          <w:rFonts w:ascii="Verdana" w:eastAsia="Arial" w:hAnsi="Verdana" w:cs="Arial"/>
          <w:spacing w:val="-16"/>
        </w:rPr>
        <w:t xml:space="preserve"> </w:t>
      </w:r>
      <w:r w:rsidRPr="000471DA">
        <w:rPr>
          <w:rFonts w:ascii="Verdana" w:eastAsia="Arial" w:hAnsi="Verdana" w:cs="Arial"/>
        </w:rPr>
        <w:t>registro</w:t>
      </w:r>
      <w:r w:rsidRPr="000471DA">
        <w:rPr>
          <w:rFonts w:ascii="Verdana" w:eastAsia="Arial" w:hAnsi="Verdana" w:cs="Arial"/>
          <w:spacing w:val="-16"/>
        </w:rPr>
        <w:t xml:space="preserve"> </w:t>
      </w:r>
      <w:r w:rsidRPr="000471DA">
        <w:rPr>
          <w:rFonts w:ascii="Verdana" w:eastAsia="Arial" w:hAnsi="Verdana" w:cs="Arial"/>
        </w:rPr>
        <w:t>presupuestal,</w:t>
      </w:r>
      <w:r w:rsidRPr="000471DA">
        <w:rPr>
          <w:rFonts w:ascii="Verdana" w:eastAsia="Arial" w:hAnsi="Verdana" w:cs="Arial"/>
          <w:spacing w:val="-16"/>
        </w:rPr>
        <w:t xml:space="preserve"> </w:t>
      </w:r>
      <w:r w:rsidRPr="000471DA">
        <w:rPr>
          <w:rFonts w:ascii="Verdana" w:eastAsia="Arial" w:hAnsi="Verdana" w:cs="Arial"/>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0471DA">
        <w:rPr>
          <w:rFonts w:ascii="Verdana" w:eastAsia="Arial" w:hAnsi="Verdana" w:cs="Arial"/>
          <w:spacing w:val="-26"/>
        </w:rPr>
        <w:t xml:space="preserve"> </w:t>
      </w:r>
      <w:r w:rsidRPr="000471DA">
        <w:rPr>
          <w:rFonts w:ascii="Verdana" w:eastAsia="Arial" w:hAnsi="Verdana" w:cs="Arial"/>
        </w:rPr>
        <w:t>Integral</w:t>
      </w:r>
      <w:r>
        <w:rPr>
          <w:rFonts w:ascii="Verdana" w:eastAsia="Arial" w:hAnsi="Verdana" w:cs="Arial"/>
        </w:rPr>
        <w:t>, así:</w:t>
      </w:r>
    </w:p>
    <w:p w14:paraId="014A8620" w14:textId="77777777" w:rsidR="00D15F2A" w:rsidRDefault="00D15F2A" w:rsidP="00876454">
      <w:pPr>
        <w:spacing w:after="0" w:line="276" w:lineRule="auto"/>
        <w:ind w:left="425" w:right="760"/>
        <w:jc w:val="both"/>
        <w:rPr>
          <w:rFonts w:ascii="Verdana" w:hAnsi="Verdana" w:cs="Arial"/>
          <w:sz w:val="20"/>
          <w:szCs w:val="20"/>
        </w:rPr>
      </w:pPr>
    </w:p>
    <w:p w14:paraId="7A860D4D" w14:textId="3F8C37EE" w:rsidR="001D7FC9" w:rsidRDefault="001D7FC9" w:rsidP="00876454">
      <w:pPr>
        <w:spacing w:after="0" w:line="240" w:lineRule="auto"/>
        <w:ind w:left="709" w:right="709"/>
        <w:jc w:val="both"/>
        <w:rPr>
          <w:rFonts w:ascii="Verdana" w:hAnsi="Verdana" w:cs="Arial"/>
          <w:sz w:val="20"/>
          <w:szCs w:val="20"/>
        </w:rPr>
      </w:pPr>
      <w:r>
        <w:rPr>
          <w:rFonts w:ascii="Verdana" w:hAnsi="Verdana" w:cs="Arial"/>
          <w:sz w:val="20"/>
          <w:szCs w:val="20"/>
        </w:rPr>
        <w:t>“</w:t>
      </w:r>
      <w:r w:rsidRPr="00E34471">
        <w:rPr>
          <w:rFonts w:ascii="Verdana" w:hAnsi="Verdana" w:cs="Arial"/>
          <w:sz w:val="20"/>
          <w:szCs w:val="20"/>
        </w:rPr>
        <w:t>ARTÍCULO </w:t>
      </w:r>
      <w:bookmarkStart w:id="7" w:name="BM41"/>
      <w:bookmarkStart w:id="8" w:name="41"/>
      <w:bookmarkEnd w:id="7"/>
      <w:bookmarkEnd w:id="8"/>
      <w:r w:rsidRPr="00E34471">
        <w:rPr>
          <w:rFonts w:ascii="Verdana" w:hAnsi="Verdana" w:cs="Arial"/>
          <w:sz w:val="20"/>
          <w:szCs w:val="20"/>
        </w:rPr>
        <w:t>41.-</w:t>
      </w:r>
      <w:r w:rsidRPr="00EE020F">
        <w:rPr>
          <w:rFonts w:ascii="Verdana" w:hAnsi="Verdana" w:cs="Arial"/>
          <w:b/>
          <w:bCs/>
          <w:sz w:val="20"/>
          <w:szCs w:val="20"/>
        </w:rPr>
        <w:t> </w:t>
      </w:r>
      <w:r w:rsidRPr="00EE020F">
        <w:rPr>
          <w:rFonts w:ascii="Verdana" w:hAnsi="Verdana" w:cs="Arial"/>
          <w:i/>
          <w:iCs/>
          <w:sz w:val="20"/>
          <w:szCs w:val="20"/>
        </w:rPr>
        <w:t>Del Perfeccionamiento del Contrato</w:t>
      </w:r>
      <w:r w:rsidRPr="00EE020F">
        <w:rPr>
          <w:rFonts w:ascii="Verdana" w:hAnsi="Verdana" w:cs="Arial"/>
          <w:sz w:val="20"/>
          <w:szCs w:val="20"/>
        </w:rPr>
        <w:t xml:space="preserve">. Los contratos del Estado se perfeccionan cuando se logre acuerdo sobre el objeto y la contraprestación y éste se eleve a escrito. </w:t>
      </w:r>
    </w:p>
    <w:p w14:paraId="03B94A99" w14:textId="77777777" w:rsidR="001D7FC9" w:rsidRDefault="001D7FC9" w:rsidP="00876454">
      <w:pPr>
        <w:spacing w:after="0" w:line="240" w:lineRule="auto"/>
        <w:ind w:left="709" w:right="709"/>
        <w:jc w:val="both"/>
        <w:rPr>
          <w:rFonts w:ascii="Verdana" w:hAnsi="Verdana" w:cs="Arial"/>
          <w:sz w:val="20"/>
          <w:szCs w:val="20"/>
        </w:rPr>
      </w:pPr>
      <w:r w:rsidRPr="008053CC">
        <w:rPr>
          <w:rFonts w:ascii="Verdana" w:hAnsi="Verdana" w:cs="Arial"/>
          <w:i/>
          <w:iCs/>
          <w:sz w:val="20"/>
          <w:szCs w:val="20"/>
        </w:rPr>
        <w:t>Para la ejecución se requerirá de la aprobación de la garantía y de la existencia de las disponibilidades presupuestales correspondientes</w:t>
      </w:r>
      <w:r w:rsidRPr="00E34471">
        <w:rPr>
          <w:rFonts w:ascii="Verdana" w:hAnsi="Verdana" w:cs="Arial"/>
          <w:sz w:val="20"/>
          <w:szCs w:val="20"/>
        </w:rPr>
        <w:t xml:space="preserve">,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w:t>
      </w:r>
      <w:r w:rsidRPr="00E34471">
        <w:rPr>
          <w:rFonts w:ascii="Verdana" w:hAnsi="Verdana" w:cs="Arial"/>
          <w:sz w:val="20"/>
          <w:szCs w:val="20"/>
        </w:rPr>
        <w:lastRenderedPageBreak/>
        <w:t>Integral, así como los propios del Sena, ICBF y Cajas de Compensación Familiar, cuando corresponda.</w:t>
      </w:r>
    </w:p>
    <w:p w14:paraId="766F7A5D" w14:textId="77777777" w:rsidR="001D7FC9" w:rsidRPr="00E34471" w:rsidRDefault="001D7FC9" w:rsidP="00876454">
      <w:pPr>
        <w:spacing w:after="0" w:line="240" w:lineRule="auto"/>
        <w:ind w:left="709" w:right="709"/>
        <w:jc w:val="both"/>
        <w:rPr>
          <w:rFonts w:ascii="Verdana" w:hAnsi="Verdana" w:cs="Arial"/>
          <w:sz w:val="20"/>
          <w:szCs w:val="20"/>
        </w:rPr>
      </w:pPr>
      <w:r>
        <w:rPr>
          <w:rFonts w:ascii="Verdana" w:hAnsi="Verdana" w:cs="Arial"/>
          <w:sz w:val="20"/>
          <w:szCs w:val="20"/>
        </w:rPr>
        <w:t>(…)”</w:t>
      </w:r>
    </w:p>
    <w:p w14:paraId="2DB63720" w14:textId="77777777" w:rsidR="001D7FC9" w:rsidRPr="00876454" w:rsidRDefault="001D7FC9" w:rsidP="001D7FC9">
      <w:pPr>
        <w:spacing w:after="0" w:line="240" w:lineRule="auto"/>
        <w:ind w:left="426" w:right="758"/>
        <w:jc w:val="both"/>
        <w:rPr>
          <w:rFonts w:ascii="Verdana" w:hAnsi="Verdana" w:cs="Arial"/>
        </w:rPr>
      </w:pPr>
    </w:p>
    <w:p w14:paraId="426D8B7C" w14:textId="2C0AF79E" w:rsidR="001D7FC9" w:rsidRDefault="001D7FC9" w:rsidP="001D7FC9">
      <w:pPr>
        <w:spacing w:after="120" w:line="276" w:lineRule="auto"/>
        <w:ind w:firstLine="709"/>
        <w:jc w:val="both"/>
        <w:rPr>
          <w:rFonts w:ascii="Verdana" w:eastAsia="Calibri" w:hAnsi="Verdana" w:cs="Arial"/>
        </w:rPr>
      </w:pPr>
      <w:r>
        <w:rPr>
          <w:rFonts w:ascii="Verdana" w:eastAsia="Calibri" w:hAnsi="Verdana" w:cs="Arial"/>
          <w:lang w:val="es-ES"/>
        </w:rPr>
        <w:t xml:space="preserve">Ahora bien, </w:t>
      </w:r>
      <w:r>
        <w:rPr>
          <w:rFonts w:ascii="Verdana" w:eastAsia="Calibri" w:hAnsi="Verdana" w:cs="Arial"/>
        </w:rPr>
        <w:t>l</w:t>
      </w:r>
      <w:r w:rsidRPr="00FF007A">
        <w:rPr>
          <w:rFonts w:ascii="Verdana" w:eastAsia="Calibri" w:hAnsi="Verdana" w:cs="Arial"/>
        </w:rPr>
        <w:t>a</w:t>
      </w:r>
      <w:r w:rsidRPr="003C4660">
        <w:rPr>
          <w:rFonts w:ascii="Verdana" w:eastAsia="Calibri" w:hAnsi="Verdana" w:cs="Arial"/>
        </w:rPr>
        <w:t xml:space="preserve"> Ley 996 de 2005 establece restricciones a la contratación directa y a los convenios interadministrativos, con el fin </w:t>
      </w:r>
      <w:r w:rsidRPr="00A350B8">
        <w:rPr>
          <w:rFonts w:ascii="Verdana" w:eastAsia="Calibri" w:hAnsi="Verdana" w:cs="Arial"/>
        </w:rPr>
        <w:t xml:space="preserve">de asegurar la transparencia y la igualdad en los procesos democráticos. </w:t>
      </w:r>
      <w:r w:rsidRPr="003C4660">
        <w:rPr>
          <w:rFonts w:ascii="Verdana" w:eastAsia="Calibri" w:hAnsi="Verdana" w:cs="Arial"/>
        </w:rPr>
        <w:t>La restricción a la celebración de convenios interadministrativos</w:t>
      </w:r>
      <w:r w:rsidR="00D15F2A">
        <w:rPr>
          <w:rFonts w:ascii="Verdana" w:eastAsia="Calibri" w:hAnsi="Verdana" w:cs="Arial"/>
        </w:rPr>
        <w:t xml:space="preserve">, contenida en el parágrafo del artículo 38 </w:t>
      </w:r>
      <w:r w:rsidR="00F66221">
        <w:rPr>
          <w:rFonts w:ascii="Verdana" w:eastAsia="Calibri" w:hAnsi="Verdana" w:cs="Arial"/>
        </w:rPr>
        <w:t>ibídem</w:t>
      </w:r>
      <w:r w:rsidR="00D15F2A">
        <w:rPr>
          <w:rFonts w:ascii="Verdana" w:eastAsia="Calibri" w:hAnsi="Verdana" w:cs="Arial"/>
        </w:rPr>
        <w:t>,</w:t>
      </w:r>
      <w:r w:rsidRPr="003C4660">
        <w:rPr>
          <w:rFonts w:ascii="Verdana" w:eastAsia="Calibri" w:hAnsi="Verdana" w:cs="Arial"/>
        </w:rPr>
        <w:t xml:space="preserve"> aplicable a las entidades territoriales y sus entes descentralizados</w:t>
      </w:r>
      <w:r w:rsidR="00D15F2A">
        <w:rPr>
          <w:rFonts w:ascii="Verdana" w:eastAsia="Calibri" w:hAnsi="Verdana" w:cs="Arial"/>
        </w:rPr>
        <w:t>,</w:t>
      </w:r>
      <w:r w:rsidRPr="003C4660">
        <w:rPr>
          <w:rFonts w:ascii="Verdana" w:eastAsia="Calibri" w:hAnsi="Verdana" w:cs="Arial"/>
        </w:rPr>
        <w:t> inici</w:t>
      </w:r>
      <w:r>
        <w:rPr>
          <w:rFonts w:ascii="Verdana" w:eastAsia="Calibri" w:hAnsi="Verdana" w:cs="Arial"/>
        </w:rPr>
        <w:t>ó</w:t>
      </w:r>
      <w:r w:rsidRPr="003C4660">
        <w:rPr>
          <w:rFonts w:ascii="Verdana" w:eastAsia="Calibri" w:hAnsi="Verdana" w:cs="Arial"/>
        </w:rPr>
        <w:t xml:space="preserve"> el 8 de noviembre de 2025, mientras que la restricción general a la contratación directa</w:t>
      </w:r>
      <w:r w:rsidR="00D15F2A">
        <w:rPr>
          <w:rFonts w:ascii="Verdana" w:eastAsia="Calibri" w:hAnsi="Verdana" w:cs="Arial"/>
        </w:rPr>
        <w:t>, dispuesta en el artículo 33,</w:t>
      </w:r>
      <w:r w:rsidRPr="003C4660">
        <w:rPr>
          <w:rFonts w:ascii="Verdana" w:eastAsia="Calibri" w:hAnsi="Verdana" w:cs="Arial"/>
        </w:rPr>
        <w:t xml:space="preserve"> que cobija a todas la</w:t>
      </w:r>
      <w:r>
        <w:rPr>
          <w:rFonts w:ascii="Verdana" w:eastAsia="Calibri" w:hAnsi="Verdana" w:cs="Arial"/>
        </w:rPr>
        <w:t>s</w:t>
      </w:r>
      <w:r w:rsidRPr="003C4660">
        <w:rPr>
          <w:rFonts w:ascii="Verdana" w:eastAsia="Calibri" w:hAnsi="Verdana" w:cs="Arial"/>
        </w:rPr>
        <w:t xml:space="preserve"> Entidades Estatales</w:t>
      </w:r>
      <w:r w:rsidR="00D15F2A">
        <w:rPr>
          <w:rFonts w:ascii="Verdana" w:eastAsia="Calibri" w:hAnsi="Verdana" w:cs="Arial"/>
        </w:rPr>
        <w:t>,</w:t>
      </w:r>
      <w:r w:rsidRPr="003C4660">
        <w:rPr>
          <w:rFonts w:ascii="Verdana" w:eastAsia="Calibri" w:hAnsi="Verdana" w:cs="Arial"/>
        </w:rPr>
        <w:t xml:space="preserve"> comienza a regir a partir del 31 de enero de 2026. Ambas restricciones se mantendrán hasta el 31 de mayo, o hasta el 21 de junio en caso de requerirse segunda vuelta en las elecciones presidenciales.</w:t>
      </w:r>
    </w:p>
    <w:p w14:paraId="2F7A2A9D" w14:textId="77777777" w:rsidR="00F66221" w:rsidRDefault="001D7FC9" w:rsidP="007F645C">
      <w:pPr>
        <w:widowControl w:val="0"/>
        <w:autoSpaceDE w:val="0"/>
        <w:autoSpaceDN w:val="0"/>
        <w:spacing w:after="120" w:line="276" w:lineRule="auto"/>
        <w:jc w:val="both"/>
        <w:rPr>
          <w:rFonts w:ascii="Verdana" w:eastAsia="Calibri" w:hAnsi="Verdana" w:cs="Arial"/>
        </w:rPr>
      </w:pPr>
      <w:r w:rsidRPr="79F3ED1A">
        <w:rPr>
          <w:rFonts w:ascii="Verdana" w:eastAsia="Calibri" w:hAnsi="Verdana" w:cs="Arial"/>
        </w:rPr>
        <w:t xml:space="preserve">En consecuencia, las entidades estatales podrán </w:t>
      </w:r>
      <w:r w:rsidRPr="00734692">
        <w:rPr>
          <w:rFonts w:ascii="Verdana" w:eastAsia="Calibri" w:hAnsi="Verdana" w:cs="Arial"/>
          <w:i/>
          <w:iCs/>
        </w:rPr>
        <w:t>celebrar contratos</w:t>
      </w:r>
      <w:r w:rsidRPr="79F3ED1A">
        <w:rPr>
          <w:rFonts w:ascii="Verdana" w:eastAsia="Calibri" w:hAnsi="Verdana" w:cs="Arial"/>
        </w:rPr>
        <w:t xml:space="preserve"> bajo la modalidad de contratación directa para la vigencia 2026 a partir del primero (1) de enero de 2026 y hasta el 30 de enero de 2026, siempre que se cumplan los requisitos legales y se haya adelantado oportunamente la planeación contractual</w:t>
      </w:r>
      <w:r w:rsidR="007F645C">
        <w:rPr>
          <w:rFonts w:ascii="Verdana" w:eastAsia="Calibri" w:hAnsi="Verdana" w:cs="Arial"/>
        </w:rPr>
        <w:t xml:space="preserve">. </w:t>
      </w:r>
    </w:p>
    <w:p w14:paraId="024B9D3B" w14:textId="7646526F" w:rsidR="001D7FC9" w:rsidRDefault="007F645C" w:rsidP="00876454">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rPr>
        <w:t xml:space="preserve">Conforme a lo expuesto, </w:t>
      </w:r>
      <w:r w:rsidR="001D7FC9">
        <w:rPr>
          <w:rFonts w:ascii="Verdana" w:eastAsia="Calibri" w:hAnsi="Verdana" w:cs="Arial"/>
        </w:rPr>
        <w:t xml:space="preserve"> </w:t>
      </w:r>
      <w:r w:rsidR="001D7FC9">
        <w:rPr>
          <w:rFonts w:ascii="Verdana" w:eastAsia="Calibri" w:hAnsi="Verdana" w:cs="Arial"/>
          <w:lang w:val="es-ES"/>
        </w:rPr>
        <w:t xml:space="preserve">es importante precisar que la prohibición recae sobre la celebración del contrato, no sobre el cumplimiento de los requisitos de ejecución. </w:t>
      </w:r>
      <w:r w:rsidR="001D7FC9">
        <w:rPr>
          <w:rFonts w:ascii="Verdana" w:eastAsia="Calibri" w:hAnsi="Verdana" w:cs="Arial"/>
        </w:rPr>
        <w:t>En consecuencia, l</w:t>
      </w:r>
      <w:r w:rsidR="001D7FC9" w:rsidRPr="006C703F">
        <w:rPr>
          <w:rFonts w:ascii="Verdana" w:eastAsia="Calibri" w:hAnsi="Verdana" w:cs="Arial"/>
          <w:lang w:val="es-ES"/>
        </w:rPr>
        <w:t>a expedición del R</w:t>
      </w:r>
      <w:r w:rsidR="001D7FC9">
        <w:rPr>
          <w:rFonts w:ascii="Verdana" w:eastAsia="Calibri" w:hAnsi="Verdana" w:cs="Arial"/>
          <w:lang w:val="es-ES"/>
        </w:rPr>
        <w:t>egistro presupuestal</w:t>
      </w:r>
      <w:r>
        <w:rPr>
          <w:rFonts w:ascii="Verdana" w:eastAsia="Calibri" w:hAnsi="Verdana" w:cs="Arial"/>
          <w:lang w:val="es-ES"/>
        </w:rPr>
        <w:t xml:space="preserve">, al que se refiere en su consulta, </w:t>
      </w:r>
      <w:r w:rsidR="001D7FC9" w:rsidRPr="006C703F">
        <w:rPr>
          <w:rFonts w:ascii="Verdana" w:eastAsia="Calibri" w:hAnsi="Verdana" w:cs="Arial"/>
          <w:lang w:val="es-ES"/>
        </w:rPr>
        <w:t xml:space="preserve">durante la Ley de Garantías </w:t>
      </w:r>
      <w:r>
        <w:rPr>
          <w:rFonts w:ascii="Verdana" w:eastAsia="Calibri" w:hAnsi="Verdana" w:cs="Arial"/>
          <w:lang w:val="es-ES"/>
        </w:rPr>
        <w:t>Electorales</w:t>
      </w:r>
      <w:r w:rsidR="001D7FC9" w:rsidRPr="007F645C">
        <w:rPr>
          <w:rFonts w:ascii="Verdana" w:eastAsia="Calibri" w:hAnsi="Verdana" w:cs="Arial"/>
          <w:lang w:val="es-ES"/>
        </w:rPr>
        <w:t xml:space="preserve"> </w:t>
      </w:r>
      <w:r w:rsidR="001D7FC9" w:rsidRPr="006C703F">
        <w:rPr>
          <w:rFonts w:ascii="Verdana" w:eastAsia="Calibri" w:hAnsi="Verdana" w:cs="Arial"/>
          <w:lang w:val="es-ES"/>
        </w:rPr>
        <w:t>no vulnera la norma si el contrato ya estaba perfeccionado antes del inicio de las restricciones</w:t>
      </w:r>
      <w:r w:rsidR="001D7FC9">
        <w:rPr>
          <w:rFonts w:ascii="Verdana" w:eastAsia="Calibri" w:hAnsi="Verdana" w:cs="Arial"/>
          <w:lang w:val="es-ES"/>
        </w:rPr>
        <w:t xml:space="preserve"> impuestas por </w:t>
      </w:r>
      <w:r w:rsidR="001D7FC9">
        <w:rPr>
          <w:rFonts w:ascii="Verdana" w:eastAsia="Calibri" w:hAnsi="Verdana" w:cs="Arial"/>
        </w:rPr>
        <w:t>l</w:t>
      </w:r>
      <w:r w:rsidR="001D7FC9" w:rsidRPr="00FF007A">
        <w:rPr>
          <w:rFonts w:ascii="Verdana" w:eastAsia="Calibri" w:hAnsi="Verdana" w:cs="Arial"/>
        </w:rPr>
        <w:t>a</w:t>
      </w:r>
      <w:r w:rsidR="001D7FC9" w:rsidRPr="003C4660">
        <w:rPr>
          <w:rFonts w:ascii="Verdana" w:eastAsia="Calibri" w:hAnsi="Verdana" w:cs="Arial"/>
        </w:rPr>
        <w:t xml:space="preserve"> Ley 996 de 2005</w:t>
      </w:r>
      <w:r>
        <w:rPr>
          <w:rFonts w:ascii="Verdana" w:eastAsia="Calibri" w:hAnsi="Verdana" w:cs="Arial"/>
        </w:rPr>
        <w:t>, por no ser un requisito de perfeccionamiento del contrato sino de ejecución</w:t>
      </w:r>
      <w:r w:rsidR="001D7FC9" w:rsidRPr="006C703F">
        <w:rPr>
          <w:rFonts w:ascii="Verdana" w:eastAsia="Calibri" w:hAnsi="Verdana" w:cs="Arial"/>
          <w:lang w:val="es-ES"/>
        </w:rPr>
        <w:t>.</w:t>
      </w:r>
      <w:r>
        <w:rPr>
          <w:rFonts w:ascii="Verdana" w:eastAsia="Calibri" w:hAnsi="Verdana" w:cs="Arial"/>
          <w:lang w:val="es-ES"/>
        </w:rPr>
        <w:t xml:space="preserve"> </w:t>
      </w:r>
      <w:r w:rsidR="001D7FC9">
        <w:rPr>
          <w:rFonts w:ascii="Verdana" w:eastAsia="Calibri" w:hAnsi="Verdana" w:cs="Arial"/>
          <w:lang w:val="es-ES"/>
        </w:rPr>
        <w:t>Por lo anterior</w:t>
      </w:r>
      <w:r w:rsidR="001D7FC9" w:rsidRPr="000E1704">
        <w:rPr>
          <w:rFonts w:ascii="Verdana" w:eastAsia="Calibri" w:hAnsi="Verdana" w:cs="Arial"/>
          <w:lang w:val="es-ES"/>
        </w:rPr>
        <w:t xml:space="preserve">, la fecha </w:t>
      </w:r>
      <w:r w:rsidR="001D7FC9">
        <w:rPr>
          <w:rFonts w:ascii="Verdana" w:eastAsia="Calibri" w:hAnsi="Verdana" w:cs="Arial"/>
          <w:lang w:val="es-ES"/>
        </w:rPr>
        <w:t>de inicio de</w:t>
      </w:r>
      <w:r w:rsidR="001D7FC9" w:rsidRPr="000E1704">
        <w:rPr>
          <w:rFonts w:ascii="Verdana" w:eastAsia="Calibri" w:hAnsi="Verdana" w:cs="Arial"/>
          <w:lang w:val="es-ES"/>
        </w:rPr>
        <w:t xml:space="preserve"> la ejecución del contrato puede ser </w:t>
      </w:r>
      <w:r w:rsidR="001D7FC9">
        <w:rPr>
          <w:rFonts w:ascii="Verdana" w:eastAsia="Calibri" w:hAnsi="Verdana" w:cs="Arial"/>
          <w:lang w:val="es-ES"/>
        </w:rPr>
        <w:t>posterior a la celebración del mismo</w:t>
      </w:r>
      <w:bookmarkEnd w:id="6"/>
      <w:r>
        <w:rPr>
          <w:rFonts w:ascii="Verdana" w:eastAsia="Calibri" w:hAnsi="Verdana" w:cs="Arial"/>
          <w:lang w:val="es-ES"/>
        </w:rPr>
        <w:t xml:space="preserve">. </w:t>
      </w:r>
    </w:p>
    <w:p w14:paraId="29DB8167" w14:textId="77777777" w:rsidR="001D7FC9" w:rsidRPr="00876454" w:rsidRDefault="001D7FC9" w:rsidP="00876454">
      <w:pPr>
        <w:spacing w:after="120" w:line="276" w:lineRule="auto"/>
        <w:ind w:firstLine="709"/>
        <w:jc w:val="both"/>
        <w:rPr>
          <w:rFonts w:ascii="Verdana" w:hAnsi="Verdana"/>
        </w:rPr>
      </w:pPr>
      <w:r>
        <w:rPr>
          <w:rFonts w:ascii="Verdana" w:eastAsia="Calibri" w:hAnsi="Verdana" w:cs="Arial"/>
        </w:rPr>
        <w:t xml:space="preserve">Adicionalmente, </w:t>
      </w:r>
      <w:r w:rsidRPr="003C4660">
        <w:rPr>
          <w:rFonts w:ascii="Verdana" w:eastAsia="Calibri" w:hAnsi="Verdana" w:cs="Arial"/>
        </w:rPr>
        <w:t>Colombia Compra Eficiente</w:t>
      </w:r>
      <w:r>
        <w:rPr>
          <w:rFonts w:ascii="Verdana" w:eastAsia="Calibri" w:hAnsi="Verdana" w:cs="Arial"/>
        </w:rPr>
        <w:t xml:space="preserve"> le</w:t>
      </w:r>
      <w:r w:rsidRPr="003C4660">
        <w:rPr>
          <w:rFonts w:ascii="Verdana" w:eastAsia="Calibri" w:hAnsi="Verdana" w:cs="Arial"/>
        </w:rPr>
        <w:t xml:space="preserve"> invita a consultar la Circular Externa 006 de 2025, donde se detallan las disposiciones, excepciones y lineamientos para las entidades estatales y la ciudadanía</w:t>
      </w:r>
      <w:r>
        <w:rPr>
          <w:rFonts w:ascii="Verdana" w:eastAsia="Calibri" w:hAnsi="Verdana" w:cs="Arial"/>
        </w:rPr>
        <w:t>, la cual puede ser consultada en el siguiente enlace:</w:t>
      </w:r>
      <w:hyperlink r:id="rId13" w:history="1">
        <w:r w:rsidRPr="00D15F2A">
          <w:rPr>
            <w:rStyle w:val="Hipervnculo"/>
            <w:rFonts w:ascii="Verdana" w:eastAsia="Calibri" w:hAnsi="Verdana" w:cs="Arial"/>
          </w:rPr>
          <w:t>https://www.colombiacompra.gov.co/archivos/circular/circular-externa-006-de-2025</w:t>
        </w:r>
      </w:hyperlink>
    </w:p>
    <w:p w14:paraId="65002343" w14:textId="77777777" w:rsidR="001D7FC9" w:rsidRPr="00FF007A" w:rsidRDefault="001D7FC9" w:rsidP="00876454">
      <w:pPr>
        <w:spacing w:after="0" w:line="276" w:lineRule="auto"/>
        <w:ind w:firstLine="709"/>
        <w:jc w:val="both"/>
        <w:rPr>
          <w:rFonts w:ascii="Verdana" w:eastAsia="Times New Roman" w:hAnsi="Verdana" w:cs="Arial"/>
          <w:bCs/>
          <w:lang w:eastAsia="es-CO"/>
        </w:rPr>
      </w:pPr>
      <w:r w:rsidRPr="00FF007A">
        <w:rPr>
          <w:rFonts w:ascii="Verdana" w:eastAsia="Arial" w:hAnsi="Verdana" w:cs="Arial"/>
          <w:color w:val="000000" w:themeColor="text1"/>
        </w:rPr>
        <w:lastRenderedPageBreak/>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51559FD3" w14:textId="77777777" w:rsidR="001D7FC9" w:rsidRPr="00D54BE1" w:rsidRDefault="001D7FC9" w:rsidP="001D7FC9">
      <w:pPr>
        <w:widowControl w:val="0"/>
        <w:autoSpaceDE w:val="0"/>
        <w:autoSpaceDN w:val="0"/>
        <w:spacing w:after="0" w:line="276" w:lineRule="auto"/>
        <w:ind w:firstLine="709"/>
        <w:jc w:val="both"/>
        <w:rPr>
          <w:rFonts w:ascii="Verdana" w:eastAsia="Calibri" w:hAnsi="Verdana" w:cs="Arial"/>
          <w:lang w:val="es-ES"/>
        </w:rPr>
      </w:pPr>
    </w:p>
    <w:bookmarkEnd w:id="5"/>
    <w:p w14:paraId="5CE13D5D" w14:textId="77777777" w:rsidR="001D7FC9" w:rsidRPr="00ED7249" w:rsidRDefault="001D7FC9" w:rsidP="001D7FC9">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47FBFF36" w14:textId="77777777" w:rsidR="001D7FC9" w:rsidRPr="000074D5" w:rsidRDefault="001D7FC9" w:rsidP="001D7FC9">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D7FC9" w:rsidRPr="00F72403" w14:paraId="33C3EF9D" w14:textId="77777777" w:rsidTr="008709B4">
        <w:trPr>
          <w:trHeight w:val="632"/>
        </w:trPr>
        <w:tc>
          <w:tcPr>
            <w:tcW w:w="8647" w:type="dxa"/>
          </w:tcPr>
          <w:p w14:paraId="297AA012" w14:textId="77777777" w:rsidR="001D7FC9" w:rsidRDefault="001D7FC9" w:rsidP="00876454">
            <w:pPr>
              <w:pStyle w:val="Prrafodelista"/>
              <w:numPr>
                <w:ilvl w:val="0"/>
                <w:numId w:val="17"/>
              </w:numPr>
              <w:spacing w:line="276" w:lineRule="auto"/>
              <w:contextualSpacing w:val="0"/>
              <w:jc w:val="both"/>
              <w:rPr>
                <w:rFonts w:ascii="Verdana" w:hAnsi="Verdana"/>
              </w:rPr>
            </w:pPr>
            <w:r>
              <w:rPr>
                <w:rFonts w:ascii="Verdana" w:hAnsi="Verdana"/>
              </w:rPr>
              <w:t xml:space="preserve">Código Civil. Artículos 28 y 1501. </w:t>
            </w:r>
          </w:p>
          <w:p w14:paraId="605BAA21" w14:textId="77777777" w:rsidR="001D7FC9" w:rsidRDefault="001D7FC9" w:rsidP="00876454">
            <w:pPr>
              <w:pStyle w:val="Prrafodelista"/>
              <w:numPr>
                <w:ilvl w:val="0"/>
                <w:numId w:val="17"/>
              </w:numPr>
              <w:spacing w:line="276" w:lineRule="auto"/>
              <w:contextualSpacing w:val="0"/>
              <w:jc w:val="both"/>
              <w:rPr>
                <w:rFonts w:ascii="Verdana" w:hAnsi="Verdana"/>
              </w:rPr>
            </w:pPr>
            <w:r>
              <w:rPr>
                <w:rFonts w:ascii="Verdana" w:hAnsi="Verdana"/>
              </w:rPr>
              <w:t xml:space="preserve">Ley 80 de 1993. Artículo 40, 41. </w:t>
            </w:r>
          </w:p>
          <w:p w14:paraId="379A9ACA" w14:textId="77777777" w:rsidR="001D7FC9" w:rsidRDefault="001D7FC9" w:rsidP="00876454">
            <w:pPr>
              <w:pStyle w:val="Prrafodelista"/>
              <w:numPr>
                <w:ilvl w:val="0"/>
                <w:numId w:val="17"/>
              </w:numPr>
              <w:spacing w:line="276" w:lineRule="auto"/>
              <w:contextualSpacing w:val="0"/>
              <w:jc w:val="both"/>
              <w:rPr>
                <w:rFonts w:ascii="Verdana" w:hAnsi="Verdana"/>
              </w:rPr>
            </w:pPr>
            <w:r>
              <w:rPr>
                <w:rFonts w:ascii="Verdana" w:hAnsi="Verdana"/>
              </w:rPr>
              <w:t xml:space="preserve">Ley 1150 de 2007. Artículo 23. </w:t>
            </w:r>
          </w:p>
          <w:p w14:paraId="41311950" w14:textId="77777777" w:rsidR="001D7FC9" w:rsidRPr="00984360" w:rsidRDefault="001D7FC9" w:rsidP="00876454">
            <w:pPr>
              <w:pStyle w:val="Prrafodelista"/>
              <w:numPr>
                <w:ilvl w:val="0"/>
                <w:numId w:val="17"/>
              </w:numPr>
              <w:spacing w:line="276" w:lineRule="auto"/>
              <w:contextualSpacing w:val="0"/>
              <w:jc w:val="both"/>
              <w:rPr>
                <w:rFonts w:ascii="Verdana" w:hAnsi="Verdana"/>
              </w:rPr>
            </w:pPr>
            <w:r w:rsidRPr="00984360">
              <w:rPr>
                <w:rFonts w:ascii="Verdana" w:hAnsi="Verdana"/>
              </w:rPr>
              <w:t>Consejo de Estado. Sala de lo Contencioso Administrativo. Sección Tercera. Subsección A. Sentencia del del 24 de febrero de 2016. Exp. 46.185. C.P. Marta Nubia Velásquez Rico.</w:t>
            </w:r>
          </w:p>
          <w:p w14:paraId="13A4FB6A" w14:textId="77777777" w:rsidR="001D7FC9" w:rsidRPr="00D54BE1" w:rsidRDefault="001D7FC9" w:rsidP="00876454">
            <w:pPr>
              <w:pStyle w:val="Prrafodelista"/>
              <w:numPr>
                <w:ilvl w:val="0"/>
                <w:numId w:val="17"/>
              </w:numPr>
              <w:spacing w:line="276" w:lineRule="auto"/>
              <w:contextualSpacing w:val="0"/>
              <w:jc w:val="both"/>
              <w:rPr>
                <w:rFonts w:ascii="Verdana" w:hAnsi="Verdana"/>
              </w:rPr>
            </w:pPr>
            <w:r w:rsidRPr="00D54BE1">
              <w:rPr>
                <w:rFonts w:ascii="Verdana" w:hAnsi="Verdana"/>
              </w:rPr>
              <w:t xml:space="preserve">Consejo de Estado. </w:t>
            </w:r>
            <w:r>
              <w:rPr>
                <w:rFonts w:ascii="Verdana" w:hAnsi="Verdana"/>
              </w:rPr>
              <w:t xml:space="preserve">Sala de lo Contencioso Administrativo. </w:t>
            </w:r>
            <w:r w:rsidRPr="00D54BE1">
              <w:rPr>
                <w:rFonts w:ascii="Verdana" w:hAnsi="Verdana"/>
              </w:rPr>
              <w:t xml:space="preserve">Sección </w:t>
            </w:r>
            <w:r>
              <w:rPr>
                <w:rFonts w:ascii="Verdana" w:hAnsi="Verdana"/>
              </w:rPr>
              <w:t>T</w:t>
            </w:r>
            <w:r w:rsidRPr="00D54BE1">
              <w:rPr>
                <w:rFonts w:ascii="Verdana" w:hAnsi="Verdana"/>
              </w:rPr>
              <w:t xml:space="preserve">ercera. </w:t>
            </w:r>
            <w:r>
              <w:rPr>
                <w:rFonts w:ascii="Verdana" w:hAnsi="Verdana"/>
              </w:rPr>
              <w:t xml:space="preserve">Subsección B. </w:t>
            </w:r>
            <w:r w:rsidRPr="00D54BE1">
              <w:rPr>
                <w:rFonts w:ascii="Verdana" w:hAnsi="Verdana"/>
              </w:rPr>
              <w:t>Sentencia del 10 de mayo de 2018. Exp. 41.186. C.P. Stella Conto Díaz del Castillo.</w:t>
            </w:r>
          </w:p>
          <w:p w14:paraId="3B4DD3D2" w14:textId="77777777" w:rsidR="001D7FC9" w:rsidRPr="00E670BC" w:rsidRDefault="001D7FC9" w:rsidP="00876454">
            <w:pPr>
              <w:pStyle w:val="Prrafodelista"/>
              <w:numPr>
                <w:ilvl w:val="0"/>
                <w:numId w:val="17"/>
              </w:numPr>
              <w:spacing w:line="276" w:lineRule="auto"/>
              <w:contextualSpacing w:val="0"/>
              <w:jc w:val="both"/>
              <w:rPr>
                <w:rFonts w:ascii="Verdana" w:hAnsi="Verdana"/>
              </w:rPr>
            </w:pPr>
            <w:r w:rsidRPr="00D54BE1">
              <w:rPr>
                <w:rFonts w:ascii="Verdana" w:hAnsi="Verdana"/>
              </w:rPr>
              <w:t>EXPÓSITO VÉLEZ, Juan Carlos. Forma y contenido del contrato estatal. Bogotá: Universidad Externado de Colombia, 2013. pp. 28-29.</w:t>
            </w:r>
          </w:p>
        </w:tc>
      </w:tr>
    </w:tbl>
    <w:p w14:paraId="7ECC2915" w14:textId="77777777" w:rsidR="001D7FC9" w:rsidRPr="00F72403" w:rsidRDefault="001D7FC9" w:rsidP="001D7FC9">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7950FCAB" w14:textId="77777777" w:rsidR="001D7FC9" w:rsidRPr="00436E82" w:rsidRDefault="001D7FC9" w:rsidP="001D7FC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32FA17A5" w14:textId="77777777" w:rsidR="001D7FC9" w:rsidRPr="00F72403" w:rsidRDefault="001D7FC9" w:rsidP="001D7FC9">
      <w:pPr>
        <w:spacing w:after="0" w:line="276" w:lineRule="auto"/>
        <w:jc w:val="both"/>
        <w:rPr>
          <w:rFonts w:ascii="Verdana" w:eastAsia="Calibri" w:hAnsi="Verdana" w:cs="Arial"/>
          <w:highlight w:val="yellow"/>
          <w:lang w:eastAsia="es-ES_tradnl"/>
        </w:rPr>
      </w:pPr>
    </w:p>
    <w:p w14:paraId="3F69E198" w14:textId="77777777" w:rsidR="001D7FC9" w:rsidRPr="00D54BE1" w:rsidRDefault="001D7FC9" w:rsidP="001D7FC9">
      <w:pPr>
        <w:spacing w:after="0" w:line="276" w:lineRule="auto"/>
        <w:jc w:val="both"/>
        <w:rPr>
          <w:rFonts w:ascii="Verdana" w:hAnsi="Verdana" w:cs="Arial"/>
          <w:shd w:val="clear" w:color="auto" w:fill="FFFFFF"/>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los requisitos de perfeccionamiento y ejecución de los contratos estatales en los </w:t>
      </w:r>
      <w:r w:rsidRPr="00382853">
        <w:rPr>
          <w:rFonts w:ascii="Verdana" w:eastAsia="Calibri" w:hAnsi="Verdana" w:cs="Arial"/>
          <w:shd w:val="clear" w:color="auto" w:fill="FFFFFF"/>
        </w:rPr>
        <w:t xml:space="preserve">conceptos </w:t>
      </w:r>
      <w:r w:rsidRPr="00945DBF">
        <w:rPr>
          <w:rStyle w:val="normaltextrun"/>
          <w:rFonts w:ascii="Verdana" w:hAnsi="Verdana" w:cs="Arial"/>
          <w:shd w:val="clear" w:color="auto" w:fill="FFFFFF"/>
          <w:lang w:val="es-ES"/>
        </w:rPr>
        <w:t>C-042 de 5 de febrero de 2020</w:t>
      </w:r>
      <w:r>
        <w:rPr>
          <w:rStyle w:val="normaltextrun"/>
          <w:rFonts w:ascii="Verdana" w:hAnsi="Verdana" w:cs="Arial"/>
          <w:shd w:val="clear" w:color="auto" w:fill="FFFFFF"/>
          <w:lang w:val="es-ES"/>
        </w:rPr>
        <w:t xml:space="preserve">, </w:t>
      </w:r>
      <w:r w:rsidRPr="00382853">
        <w:rPr>
          <w:rFonts w:ascii="Verdana" w:eastAsia="Calibri" w:hAnsi="Verdana" w:cs="Arial"/>
          <w:shd w:val="clear" w:color="auto" w:fill="FFFFFF"/>
        </w:rPr>
        <w:t xml:space="preserve">C-797 del 22 de enero de 2021, </w:t>
      </w:r>
      <w:r w:rsidRPr="00382853">
        <w:rPr>
          <w:rFonts w:ascii="Verdana" w:eastAsia="Calibri" w:hAnsi="Verdana" w:cs="Arial"/>
          <w:lang w:val="es-ES"/>
        </w:rPr>
        <w:t xml:space="preserve">C–638 de 2022, </w:t>
      </w:r>
      <w:r>
        <w:rPr>
          <w:rFonts w:ascii="Verdana" w:eastAsia="Calibri" w:hAnsi="Verdana" w:cs="Arial"/>
          <w:lang w:val="es-ES"/>
        </w:rPr>
        <w:t xml:space="preserve">C-545 del 11 de octubre de 2024, C-801 del 12 de diciembre de 2024 y </w:t>
      </w:r>
      <w:r w:rsidRPr="00382853">
        <w:rPr>
          <w:rFonts w:ascii="Verdana" w:eastAsia="Calibri" w:hAnsi="Verdana" w:cs="Arial"/>
          <w:lang w:val="es-ES"/>
        </w:rPr>
        <w:t xml:space="preserve">C-464 del 16 de mayo de 2025, </w:t>
      </w:r>
      <w:r w:rsidRPr="001C5D9A">
        <w:rPr>
          <w:rFonts w:ascii="Verdana" w:eastAsia="Calibri" w:hAnsi="Verdana" w:cs="Arial"/>
          <w:lang w:val="es-ES" w:eastAsia="es-ES"/>
        </w:rPr>
        <w:t>C- 857 del 6 de agosto 2025</w:t>
      </w:r>
      <w:r w:rsidRPr="00D54BE1">
        <w:rPr>
          <w:rFonts w:ascii="Verdana" w:hAnsi="Verdana" w:cs="Arial"/>
          <w:shd w:val="clear" w:color="auto" w:fill="FFFFFF"/>
        </w:rPr>
        <w:t>,</w:t>
      </w:r>
      <w:r>
        <w:rPr>
          <w:rFonts w:ascii="Verdana" w:hAnsi="Verdana" w:cs="Arial"/>
          <w:shd w:val="clear" w:color="auto" w:fill="FFFFFF"/>
        </w:rPr>
        <w:t xml:space="preserve"> </w:t>
      </w:r>
      <w:r w:rsidRPr="00107AC4">
        <w:rPr>
          <w:rFonts w:ascii="Verdana" w:eastAsia="Calibri" w:hAnsi="Verdana" w:cs="Arial"/>
          <w:lang w:val="es-ES" w:eastAsia="es-ES"/>
        </w:rPr>
        <w:t>C- 5</w:t>
      </w:r>
      <w:r w:rsidRPr="00107AC4">
        <w:rPr>
          <w:rFonts w:ascii="Verdana" w:eastAsia="Calibri" w:hAnsi="Verdana" w:cs="Arial"/>
          <w:lang w:eastAsia="es-ES"/>
        </w:rPr>
        <w:t>36</w:t>
      </w:r>
      <w:r w:rsidRPr="00107AC4">
        <w:rPr>
          <w:rFonts w:ascii="Verdana" w:eastAsia="Calibri" w:hAnsi="Verdana" w:cs="Arial"/>
          <w:lang w:val="es-ES" w:eastAsia="es-ES"/>
        </w:rPr>
        <w:t xml:space="preserve"> </w:t>
      </w:r>
      <w:r w:rsidRPr="00DB0CF3">
        <w:rPr>
          <w:rFonts w:ascii="Verdana" w:eastAsia="Calibri" w:hAnsi="Verdana" w:cs="Arial"/>
          <w:lang w:val="es-ES" w:eastAsia="es-ES"/>
        </w:rPr>
        <w:t xml:space="preserve">del 11 de junio de </w:t>
      </w:r>
      <w:r w:rsidRPr="00107AC4">
        <w:rPr>
          <w:rFonts w:ascii="Verdana" w:eastAsia="Calibri" w:hAnsi="Verdana" w:cs="Arial"/>
          <w:lang w:val="es-ES" w:eastAsia="es-ES"/>
        </w:rPr>
        <w:t>2025</w:t>
      </w:r>
      <w:r>
        <w:rPr>
          <w:rFonts w:ascii="Verdana" w:eastAsia="Calibri" w:hAnsi="Verdana" w:cs="Arial"/>
          <w:lang w:val="es-ES" w:eastAsia="es-ES"/>
        </w:rPr>
        <w:t xml:space="preserve"> y </w:t>
      </w:r>
      <w:r w:rsidRPr="00B06D46">
        <w:rPr>
          <w:rFonts w:ascii="Verdana" w:eastAsia="Calibri" w:hAnsi="Verdana" w:cs="Arial"/>
          <w:lang w:val="es-ES" w:eastAsia="es-ES"/>
        </w:rPr>
        <w:t>C -1481 de</w:t>
      </w:r>
      <w:r>
        <w:rPr>
          <w:rFonts w:ascii="Verdana" w:eastAsia="Calibri" w:hAnsi="Verdana" w:cs="Arial"/>
          <w:lang w:val="es-ES" w:eastAsia="es-ES"/>
        </w:rPr>
        <w:t>l 30 de octubre de</w:t>
      </w:r>
      <w:r w:rsidRPr="00B06D46">
        <w:rPr>
          <w:rFonts w:ascii="Verdana" w:eastAsia="Calibri" w:hAnsi="Verdana" w:cs="Arial"/>
          <w:lang w:val="es-ES" w:eastAsia="es-ES"/>
        </w:rPr>
        <w:t xml:space="preserve"> 2025</w:t>
      </w:r>
      <w:r>
        <w:rPr>
          <w:rFonts w:ascii="Verdana" w:eastAsia="Calibri" w:hAnsi="Verdana" w:cs="Arial"/>
          <w:lang w:val="es-ES" w:eastAsia="es-ES"/>
        </w:rPr>
        <w:t xml:space="preserve"> </w:t>
      </w:r>
      <w:r w:rsidRPr="00382853">
        <w:rPr>
          <w:rFonts w:ascii="Verdana" w:eastAsia="Calibri" w:hAnsi="Verdana" w:cs="Arial"/>
          <w:lang w:val="es-ES"/>
        </w:rPr>
        <w:t xml:space="preserve">entre </w:t>
      </w:r>
      <w:r w:rsidRPr="00382853">
        <w:rPr>
          <w:rFonts w:ascii="Verdana" w:eastAsia="Calibri" w:hAnsi="Verdana" w:cs="Arial"/>
          <w:lang w:val="es-ES"/>
        </w:rPr>
        <w:lastRenderedPageBreak/>
        <w:t xml:space="preserve">otros. </w:t>
      </w:r>
      <w:r w:rsidRPr="00B93241">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D15F2A">
        <w:rPr>
          <w:rFonts w:ascii="Verdana" w:hAnsi="Verdana" w:cs="Arial"/>
          <w:shd w:val="clear" w:color="auto" w:fill="FFFFFF"/>
        </w:rPr>
        <w:t>Accede a través del siguiente enlace: </w:t>
      </w:r>
      <w:hyperlink r:id="rId14" w:tgtFrame="_blank" w:tooltip="Dirección URL original: https://relatoria.colombiacompra.gov.co/. Haga clic o pulse si confía en este vínculo." w:history="1">
        <w:r w:rsidRPr="00D15F2A">
          <w:rPr>
            <w:rStyle w:val="Hipervnculo"/>
            <w:rFonts w:ascii="Verdana" w:hAnsi="Verdana" w:cs="Arial"/>
            <w:shd w:val="clear" w:color="auto" w:fill="FFFFFF"/>
          </w:rPr>
          <w:t>https://relatoria.colombiacompra.gov.co/</w:t>
        </w:r>
      </w:hyperlink>
      <w:r w:rsidRPr="00D15F2A">
        <w:rPr>
          <w:rFonts w:ascii="Verdana" w:hAnsi="Verdana" w:cs="Arial"/>
          <w:shd w:val="clear" w:color="auto" w:fill="FFFFFF"/>
        </w:rPr>
        <w:t>.</w:t>
      </w:r>
    </w:p>
    <w:p w14:paraId="5C005717" w14:textId="77777777" w:rsidR="001D7FC9" w:rsidRDefault="001D7FC9" w:rsidP="001D7FC9">
      <w:pPr>
        <w:spacing w:after="0" w:line="276" w:lineRule="auto"/>
        <w:jc w:val="both"/>
        <w:rPr>
          <w:rFonts w:ascii="Verdana" w:eastAsia="Calibri" w:hAnsi="Verdana" w:cs="Arial"/>
          <w:lang w:eastAsia="es-ES"/>
        </w:rPr>
      </w:pPr>
    </w:p>
    <w:p w14:paraId="1419E327" w14:textId="77777777" w:rsidR="001D7FC9" w:rsidRPr="00542EFB" w:rsidRDefault="001D7FC9" w:rsidP="001D7FC9">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B679E6">
        <w:rPr>
          <w:rStyle w:val="normaltextrun"/>
          <w:rFonts w:ascii="Verdana" w:hAnsi="Verdana" w:cs="Arial"/>
          <w:color w:val="000000" w:themeColor="text1"/>
          <w:shd w:val="clear" w:color="auto" w:fill="FFFFFF"/>
          <w:lang w:val="es-ES"/>
        </w:rPr>
        <w:t xml:space="preserve">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w:t>
      </w:r>
      <w:r w:rsidRPr="00D15F2A">
        <w:rPr>
          <w:rStyle w:val="normaltextrun"/>
          <w:rFonts w:ascii="Verdana" w:hAnsi="Verdana" w:cs="Arial"/>
          <w:color w:val="000000" w:themeColor="text1"/>
          <w:shd w:val="clear" w:color="auto" w:fill="FFFFFF"/>
          <w:lang w:val="es-ES"/>
        </w:rPr>
        <w:t>Puede consultar la versión actualizada en el siguiente</w:t>
      </w:r>
      <w:r w:rsidRPr="00D15F2A">
        <w:rPr>
          <w:rFonts w:ascii="Verdana" w:hAnsi="Verdana"/>
        </w:rPr>
        <w:t xml:space="preserve"> enlace: </w:t>
      </w:r>
      <w:hyperlink r:id="rId15" w:tgtFrame="_blank" w:tooltip="Dirección URL original: https://www.colombiacompra.gov.co/manuales-guias-y-pliegos-tipo/manuales-y-guias/cartilla-para-incentivar-y-fortalecer-el-acceso-las. Haga clic o pulse si confía en este vínculo." w:history="1">
        <w:r w:rsidRPr="00D15F2A">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402C01D2" w14:textId="77777777" w:rsidR="001D7FC9" w:rsidRDefault="001D7FC9" w:rsidP="001D7FC9">
      <w:pPr>
        <w:spacing w:after="0" w:line="276" w:lineRule="auto"/>
        <w:jc w:val="both"/>
        <w:rPr>
          <w:rFonts w:ascii="Verdana" w:hAnsi="Verdana"/>
        </w:rPr>
      </w:pPr>
    </w:p>
    <w:p w14:paraId="734EA708" w14:textId="77777777" w:rsidR="001D7FC9" w:rsidRPr="00116940" w:rsidRDefault="001D7FC9" w:rsidP="00876454">
      <w:pPr>
        <w:spacing w:after="0" w:line="276" w:lineRule="auto"/>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B6AE4A1" w14:textId="77777777" w:rsidR="001D7FC9" w:rsidRPr="00116940" w:rsidRDefault="001D7FC9" w:rsidP="00876454">
      <w:pPr>
        <w:spacing w:after="0" w:line="276" w:lineRule="auto"/>
        <w:jc w:val="both"/>
        <w:rPr>
          <w:rFonts w:ascii="Verdana" w:hAnsi="Verdana"/>
        </w:rPr>
      </w:pPr>
    </w:p>
    <w:p w14:paraId="3ED1BEBE" w14:textId="77777777" w:rsidR="001D7FC9" w:rsidRPr="00116940" w:rsidRDefault="001D7FC9" w:rsidP="00876454">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F8F5917" w14:textId="77777777" w:rsidR="001D7FC9" w:rsidRPr="00116940" w:rsidRDefault="001D7FC9" w:rsidP="00876454">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9598793" w14:textId="77777777" w:rsidR="001D7FC9" w:rsidRPr="00116940" w:rsidRDefault="001D7FC9" w:rsidP="00876454">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4AB2B911" w14:textId="77777777" w:rsidR="001D7FC9" w:rsidRPr="00116940" w:rsidRDefault="001D7FC9" w:rsidP="00876454">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5729086" w14:textId="77777777" w:rsidR="001D7FC9" w:rsidRPr="00116940" w:rsidRDefault="001D7FC9" w:rsidP="00876454">
      <w:pPr>
        <w:spacing w:after="0" w:line="276" w:lineRule="auto"/>
        <w:ind w:left="720"/>
        <w:jc w:val="both"/>
        <w:rPr>
          <w:rFonts w:ascii="Verdana" w:hAnsi="Verdana"/>
        </w:rPr>
      </w:pPr>
    </w:p>
    <w:p w14:paraId="571F4C3B" w14:textId="77777777" w:rsidR="001D7FC9" w:rsidRPr="00116940" w:rsidRDefault="001D7FC9" w:rsidP="00876454">
      <w:pPr>
        <w:spacing w:after="0" w:line="276"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18" w:tgtFrame="_blank" w:tooltip="https://forms.office.com/r/pphywvs2sz" w:history="1">
        <w:r w:rsidRPr="00D15F2A">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6BC4E52" w14:textId="77777777" w:rsidR="001D7FC9" w:rsidRPr="00116940" w:rsidRDefault="001D7FC9" w:rsidP="00876454">
      <w:pPr>
        <w:spacing w:after="0" w:line="276" w:lineRule="auto"/>
        <w:rPr>
          <w:rFonts w:ascii="Verdana" w:hAnsi="Verdana"/>
        </w:rPr>
      </w:pPr>
    </w:p>
    <w:p w14:paraId="6115864A" w14:textId="77777777" w:rsidR="001D7FC9" w:rsidRPr="00116940" w:rsidRDefault="001D7FC9" w:rsidP="00876454">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1CDB14F" w14:textId="77777777" w:rsidR="001D7FC9" w:rsidRPr="00116940" w:rsidRDefault="001D7FC9" w:rsidP="00876454">
      <w:pPr>
        <w:spacing w:after="0" w:line="276" w:lineRule="auto"/>
        <w:jc w:val="both"/>
        <w:rPr>
          <w:rFonts w:ascii="Verdana" w:hAnsi="Verdana"/>
        </w:rPr>
      </w:pPr>
    </w:p>
    <w:p w14:paraId="1B17D0CF" w14:textId="77777777" w:rsidR="001D7FC9" w:rsidRPr="00116940" w:rsidRDefault="001D7FC9" w:rsidP="00876454">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BB25602" w14:textId="77777777" w:rsidR="001D7FC9" w:rsidRPr="00116940" w:rsidRDefault="001D7FC9" w:rsidP="00876454">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039A8F81" w14:textId="77777777" w:rsidR="001D7FC9" w:rsidRPr="00116940" w:rsidRDefault="001D7FC9" w:rsidP="00876454">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B7FF63E" w14:textId="77777777" w:rsidR="001D7FC9" w:rsidRPr="00116940" w:rsidRDefault="001D7FC9" w:rsidP="00876454">
      <w:pPr>
        <w:spacing w:after="0" w:line="276" w:lineRule="auto"/>
        <w:jc w:val="both"/>
        <w:rPr>
          <w:rFonts w:ascii="Verdana" w:hAnsi="Verdana"/>
        </w:rPr>
      </w:pPr>
    </w:p>
    <w:p w14:paraId="57169312" w14:textId="77777777" w:rsidR="001D7FC9" w:rsidRPr="00AB70DD" w:rsidRDefault="001D7FC9" w:rsidP="00876454">
      <w:pPr>
        <w:spacing w:after="0" w:line="27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878CE82" w14:textId="77777777" w:rsidR="001D7FC9" w:rsidRDefault="001D7FC9" w:rsidP="001D7FC9">
      <w:pPr>
        <w:spacing w:after="0" w:line="276" w:lineRule="auto"/>
        <w:jc w:val="both"/>
        <w:rPr>
          <w:rFonts w:ascii="Verdana" w:hAnsi="Verdana"/>
        </w:rPr>
      </w:pPr>
    </w:p>
    <w:p w14:paraId="4D974CA2" w14:textId="77777777" w:rsidR="001D7FC9" w:rsidRPr="005B7C42" w:rsidRDefault="001D7FC9" w:rsidP="001D7FC9">
      <w:pPr>
        <w:spacing w:after="0" w:line="276" w:lineRule="auto"/>
        <w:jc w:val="both"/>
        <w:rPr>
          <w:rFonts w:ascii="Verdana" w:eastAsia="Times New Roman" w:hAnsi="Verdana" w:cs="Arial"/>
          <w:lang w:eastAsia="es-CO"/>
        </w:rPr>
      </w:pPr>
      <w:bookmarkStart w:id="9" w:name="_Hlk117695077"/>
      <w:bookmarkEnd w:id="1"/>
      <w:bookmarkEnd w:id="2"/>
      <w:bookmarkEnd w:id="3"/>
      <w:r w:rsidRPr="005B7C42">
        <w:rPr>
          <w:rFonts w:ascii="Verdana" w:eastAsia="Times New Roman" w:hAnsi="Verdana" w:cs="Arial"/>
          <w:lang w:eastAsia="es-CO"/>
        </w:rPr>
        <w:t>Atentamente,</w:t>
      </w:r>
    </w:p>
    <w:bookmarkEnd w:id="9"/>
    <w:p w14:paraId="4E3C191C" w14:textId="7F06961B" w:rsidR="001D7FC9" w:rsidRDefault="00FD2F6B" w:rsidP="00876454">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3AB992DA" wp14:editId="7C43979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D7FC9" w:rsidRPr="007A0E81" w14:paraId="2B1F9503" w14:textId="77777777" w:rsidTr="008709B4">
        <w:trPr>
          <w:trHeight w:val="315"/>
        </w:trPr>
        <w:tc>
          <w:tcPr>
            <w:tcW w:w="893" w:type="dxa"/>
            <w:vAlign w:val="center"/>
            <w:hideMark/>
          </w:tcPr>
          <w:p w14:paraId="729C1FA9" w14:textId="77777777" w:rsidR="001D7FC9" w:rsidRPr="007A0E81" w:rsidRDefault="001D7FC9" w:rsidP="008709B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6A778416" w14:textId="77777777" w:rsidR="001D7FC9" w:rsidRPr="007A0E81" w:rsidRDefault="001D7FC9" w:rsidP="008709B4">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06133D34" w14:textId="77777777" w:rsidR="001D7FC9" w:rsidRPr="007A0E81" w:rsidRDefault="001D7FC9" w:rsidP="008709B4">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1D7FC9" w:rsidRPr="007A0E81" w14:paraId="2454A70A" w14:textId="77777777" w:rsidTr="008709B4">
        <w:trPr>
          <w:trHeight w:val="330"/>
        </w:trPr>
        <w:tc>
          <w:tcPr>
            <w:tcW w:w="893" w:type="dxa"/>
            <w:vAlign w:val="center"/>
            <w:hideMark/>
          </w:tcPr>
          <w:p w14:paraId="75A45281" w14:textId="77777777" w:rsidR="001D7FC9" w:rsidRPr="007A0E81" w:rsidRDefault="001D7FC9" w:rsidP="008709B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BFE0477" w14:textId="77777777" w:rsidR="001D7FC9" w:rsidRPr="007A0E81" w:rsidRDefault="001D7FC9" w:rsidP="008709B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1AFE2EC3" w14:textId="77777777" w:rsidR="001D7FC9" w:rsidRPr="007A0E81" w:rsidRDefault="001D7FC9" w:rsidP="008709B4">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1D7FC9" w:rsidRPr="007A0E81" w14:paraId="02F06A14" w14:textId="77777777" w:rsidTr="008709B4">
        <w:trPr>
          <w:trHeight w:val="300"/>
        </w:trPr>
        <w:tc>
          <w:tcPr>
            <w:tcW w:w="893" w:type="dxa"/>
            <w:vAlign w:val="center"/>
          </w:tcPr>
          <w:p w14:paraId="5E98E6F3" w14:textId="77777777" w:rsidR="001D7FC9" w:rsidRPr="007A0E81" w:rsidRDefault="001D7FC9" w:rsidP="008709B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AE0DA96" w14:textId="77777777" w:rsidR="001D7FC9" w:rsidRPr="007A0E81" w:rsidRDefault="001D7FC9" w:rsidP="008709B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0F2E6BF6" w14:textId="77777777" w:rsidR="001D7FC9" w:rsidRPr="007A0E81" w:rsidRDefault="001D7FC9" w:rsidP="008709B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0F293BF4" w14:textId="04F5F960" w:rsidR="00127233" w:rsidRPr="001D7FC9" w:rsidRDefault="00127233" w:rsidP="001D7FC9">
      <w:pPr>
        <w:spacing w:after="0" w:line="240" w:lineRule="auto"/>
        <w:jc w:val="both"/>
        <w:textAlignment w:val="baseline"/>
        <w:rPr>
          <w:rFonts w:ascii="Verdana" w:eastAsia="Times New Roman" w:hAnsi="Verdana" w:cs="Segoe UI"/>
          <w:lang w:val="es-ES" w:eastAsia="es-CO"/>
        </w:rPr>
      </w:pPr>
    </w:p>
    <w:sectPr w:rsidR="00127233" w:rsidRPr="001D7FC9" w:rsidSect="00295E0A">
      <w:headerReference w:type="default" r:id="rId20"/>
      <w:footerReference w:type="default" r:id="rId21"/>
      <w:pgSz w:w="12240" w:h="15840" w:code="1"/>
      <w:pgMar w:top="1417" w:right="1701" w:bottom="1417" w:left="1701" w:header="709" w:footer="100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0004C" w14:textId="77777777" w:rsidR="00C61C42" w:rsidRDefault="00C61C42" w:rsidP="004A1847">
      <w:pPr>
        <w:spacing w:after="0" w:line="240" w:lineRule="auto"/>
      </w:pPr>
      <w:r>
        <w:separator/>
      </w:r>
    </w:p>
  </w:endnote>
  <w:endnote w:type="continuationSeparator" w:id="0">
    <w:p w14:paraId="07FB0E2E" w14:textId="77777777" w:rsidR="00C61C42" w:rsidRDefault="00C61C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49DF0" w14:textId="77777777" w:rsidR="00C61C42" w:rsidRDefault="00C61C42" w:rsidP="004A1847">
      <w:pPr>
        <w:spacing w:after="0" w:line="240" w:lineRule="auto"/>
      </w:pPr>
      <w:r>
        <w:separator/>
      </w:r>
    </w:p>
  </w:footnote>
  <w:footnote w:type="continuationSeparator" w:id="0">
    <w:p w14:paraId="1FA09F47" w14:textId="77777777" w:rsidR="00C61C42" w:rsidRDefault="00C61C42" w:rsidP="004A1847">
      <w:pPr>
        <w:spacing w:after="0" w:line="240" w:lineRule="auto"/>
      </w:pPr>
      <w:r>
        <w:continuationSeparator/>
      </w:r>
    </w:p>
  </w:footnote>
  <w:footnote w:id="1">
    <w:p w14:paraId="5617D7F7" w14:textId="77777777" w:rsidR="007821E6" w:rsidRPr="00AC4B25" w:rsidRDefault="007821E6" w:rsidP="007821E6">
      <w:pPr>
        <w:pStyle w:val="Textonotapie"/>
        <w:ind w:firstLine="708"/>
        <w:jc w:val="both"/>
        <w:rPr>
          <w:rFonts w:ascii="Verdana" w:hAnsi="Verdana" w:cs="Arial"/>
          <w:sz w:val="16"/>
          <w:szCs w:val="16"/>
          <w:shd w:val="clear" w:color="auto" w:fill="FFFFFF"/>
        </w:rPr>
      </w:pPr>
      <w:r w:rsidRPr="00AC4B25">
        <w:rPr>
          <w:rStyle w:val="Refdenotaalpie"/>
          <w:rFonts w:ascii="Verdana" w:hAnsi="Verdana" w:cs="Arial"/>
          <w:sz w:val="16"/>
          <w:szCs w:val="16"/>
        </w:rPr>
        <w:footnoteRef/>
      </w:r>
      <w:r w:rsidRPr="00AC4B25">
        <w:rPr>
          <w:rFonts w:ascii="Verdana" w:hAnsi="Verdana" w:cs="Arial"/>
          <w:sz w:val="16"/>
          <w:szCs w:val="16"/>
        </w:rPr>
        <w:t xml:space="preserve"> De conformidad con el artículo </w:t>
      </w:r>
      <w:r w:rsidRPr="001C5D9A">
        <w:rPr>
          <w:rStyle w:val="Textoennegrita"/>
          <w:rFonts w:ascii="Verdana" w:hAnsi="Verdana" w:cs="Arial"/>
          <w:b w:val="0"/>
          <w:bCs w:val="0"/>
          <w:sz w:val="16"/>
          <w:szCs w:val="16"/>
          <w:shd w:val="clear" w:color="auto" w:fill="FFFFFF"/>
        </w:rPr>
        <w:t>2.2.1.2.3.1.5</w:t>
      </w:r>
      <w:r w:rsidRPr="00AC4B25">
        <w:rPr>
          <w:rFonts w:ascii="Verdana" w:hAnsi="Verdana" w:cs="Arial"/>
          <w:sz w:val="16"/>
          <w:szCs w:val="16"/>
          <w:shd w:val="clear" w:color="auto" w:fill="FFFFFF"/>
        </w:rPr>
        <w:t xml:space="preserve"> del Decreto 1082 de 2015, </w:t>
      </w:r>
      <w:r w:rsidRPr="00AC4B25">
        <w:rPr>
          <w:rFonts w:ascii="Verdana" w:hAnsi="Verdana" w:cs="Arial"/>
          <w:sz w:val="16"/>
          <w:szCs w:val="16"/>
        </w:rPr>
        <w:t>“</w:t>
      </w:r>
      <w:r w:rsidRPr="00AC4B25">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AC4B25">
        <w:rPr>
          <w:rFonts w:ascii="Verdana" w:hAnsi="Verdana" w:cs="Arial"/>
          <w:sz w:val="16"/>
          <w:szCs w:val="16"/>
        </w:rPr>
        <w:t>”</w:t>
      </w:r>
      <w:r w:rsidRPr="00AC4B25">
        <w:rPr>
          <w:rFonts w:ascii="Verdana" w:hAnsi="Verdana" w:cs="Arial"/>
          <w:sz w:val="16"/>
          <w:szCs w:val="16"/>
          <w:shd w:val="clear" w:color="auto" w:fill="FFFFFF"/>
        </w:rPr>
        <w:t>.</w:t>
      </w:r>
    </w:p>
  </w:footnote>
  <w:footnote w:id="2">
    <w:p w14:paraId="674469B7" w14:textId="77777777" w:rsidR="001D7FC9" w:rsidRPr="00876454" w:rsidRDefault="001D7FC9" w:rsidP="001D7FC9">
      <w:pPr>
        <w:spacing w:after="0" w:line="240" w:lineRule="auto"/>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46988672" w14:textId="77777777" w:rsidR="001D7FC9" w:rsidRPr="00876454" w:rsidRDefault="001D7FC9" w:rsidP="001D7FC9">
      <w:pPr>
        <w:spacing w:after="0" w:line="240" w:lineRule="auto"/>
        <w:ind w:firstLine="709"/>
        <w:jc w:val="both"/>
        <w:rPr>
          <w:rFonts w:ascii="Verdana" w:hAnsi="Verdana" w:cs="Arial"/>
          <w:sz w:val="14"/>
          <w:szCs w:val="14"/>
          <w:lang w:val="es-ES"/>
        </w:rPr>
      </w:pPr>
    </w:p>
  </w:footnote>
  <w:footnote w:id="3">
    <w:p w14:paraId="646A8BA5" w14:textId="77777777" w:rsidR="001D7FC9" w:rsidRPr="00876454" w:rsidRDefault="001D7FC9" w:rsidP="001D7FC9">
      <w:pPr>
        <w:spacing w:after="0" w:line="240" w:lineRule="auto"/>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67C16AD" w14:textId="77777777" w:rsidR="001D7FC9" w:rsidRPr="00876454" w:rsidRDefault="001D7FC9" w:rsidP="001D7FC9">
      <w:pPr>
        <w:spacing w:after="0" w:line="240" w:lineRule="auto"/>
        <w:ind w:firstLine="709"/>
        <w:jc w:val="both"/>
        <w:rPr>
          <w:rFonts w:ascii="Verdana" w:hAnsi="Verdana" w:cs="Arial"/>
          <w:sz w:val="14"/>
          <w:szCs w:val="14"/>
          <w:lang w:val="es-ES"/>
        </w:rPr>
      </w:pPr>
    </w:p>
  </w:footnote>
  <w:footnote w:id="4">
    <w:p w14:paraId="417ECD9A" w14:textId="77777777" w:rsidR="001D7FC9" w:rsidRPr="00876454" w:rsidRDefault="001D7FC9" w:rsidP="001D7FC9">
      <w:pPr>
        <w:spacing w:after="0" w:line="240" w:lineRule="auto"/>
        <w:ind w:firstLine="709"/>
        <w:jc w:val="both"/>
        <w:rPr>
          <w:rFonts w:ascii="Verdana" w:eastAsia="Calibri" w:hAnsi="Verdana" w:cs="Arial"/>
          <w:sz w:val="14"/>
          <w:szCs w:val="14"/>
          <w:lang w:val="es-ES"/>
        </w:rPr>
      </w:pPr>
      <w:r w:rsidRPr="00876454">
        <w:rPr>
          <w:rStyle w:val="Refdenotaalpie"/>
          <w:rFonts w:ascii="Verdana" w:hAnsi="Verdana"/>
          <w:sz w:val="14"/>
          <w:szCs w:val="14"/>
        </w:rPr>
        <w:footnoteRef/>
      </w:r>
      <w:r w:rsidRPr="00876454">
        <w:rPr>
          <w:rFonts w:ascii="Verdana" w:hAnsi="Verdana"/>
          <w:sz w:val="14"/>
          <w:szCs w:val="14"/>
        </w:rPr>
        <w:t xml:space="preserve"> </w:t>
      </w:r>
      <w:r w:rsidRPr="00876454">
        <w:rPr>
          <w:rFonts w:ascii="Verdana" w:eastAsia="Calibri" w:hAnsi="Verdana" w:cs="Arial"/>
          <w:sz w:val="14"/>
          <w:szCs w:val="14"/>
          <w:lang w:val="es-ES"/>
        </w:rPr>
        <w:t>La excepción a la anterior regla se encuentra en el cuarto inciso del mismo artículo, según el cual, “</w:t>
      </w:r>
      <w:r w:rsidRPr="00876454">
        <w:rPr>
          <w:rFonts w:ascii="Verdana" w:eastAsia="Calibri" w:hAnsi="Verdana" w:cs="Arial"/>
          <w:i/>
          <w:sz w:val="14"/>
          <w:szCs w:val="14"/>
          <w:lang w:val="es-ES"/>
        </w:rPr>
        <w:t>En caso de situaciones de urgencia manifiesta a que se refiere el artículo </w:t>
      </w:r>
      <w:hyperlink r:id="rId1" w:anchor="42" w:history="1">
        <w:r w:rsidRPr="00876454">
          <w:rPr>
            <w:rStyle w:val="Hipervnculo"/>
            <w:rFonts w:ascii="Verdana" w:eastAsia="Calibri" w:hAnsi="Verdana" w:cs="Arial"/>
            <w:i/>
            <w:iCs/>
            <w:color w:val="auto"/>
            <w:sz w:val="14"/>
            <w:szCs w:val="14"/>
            <w:u w:val="none"/>
            <w:lang w:val="es-ES"/>
          </w:rPr>
          <w:t>42</w:t>
        </w:r>
      </w:hyperlink>
      <w:r w:rsidRPr="00876454">
        <w:rPr>
          <w:rFonts w:ascii="Verdana" w:eastAsia="Calibri" w:hAnsi="Verdana" w:cs="Arial"/>
          <w:i/>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876454">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38A27638" w14:textId="77777777" w:rsidR="001D7FC9" w:rsidRPr="00876454" w:rsidRDefault="001D7FC9" w:rsidP="001D7FC9">
      <w:pPr>
        <w:pStyle w:val="Textonotapie"/>
        <w:rPr>
          <w:rFonts w:ascii="Verdana" w:hAnsi="Verdana"/>
          <w:sz w:val="14"/>
          <w:szCs w:val="14"/>
          <w:lang w:val="es-ES"/>
        </w:rPr>
      </w:pPr>
    </w:p>
  </w:footnote>
  <w:footnote w:id="5">
    <w:p w14:paraId="4B9E240D" w14:textId="77777777" w:rsidR="001D7FC9" w:rsidRPr="00876454" w:rsidRDefault="001D7FC9" w:rsidP="001D7FC9">
      <w:pPr>
        <w:pStyle w:val="Textonotapie"/>
        <w:ind w:firstLine="709"/>
        <w:jc w:val="both"/>
        <w:rPr>
          <w:rFonts w:ascii="Verdana" w:hAnsi="Verdana" w:cs="Arial"/>
          <w:sz w:val="14"/>
          <w:szCs w:val="14"/>
          <w:lang w:val="es-ES"/>
        </w:rPr>
      </w:pPr>
      <w:r w:rsidRPr="00876454">
        <w:rPr>
          <w:rStyle w:val="Refdenotaalpie"/>
          <w:rFonts w:ascii="Verdana" w:hAnsi="Verdana" w:cs="Arial"/>
          <w:sz w:val="14"/>
          <w:szCs w:val="14"/>
        </w:rPr>
        <w:footnoteRef/>
      </w:r>
      <w:r w:rsidRPr="00876454">
        <w:rPr>
          <w:rFonts w:ascii="Verdana" w:hAnsi="Verdana" w:cs="Arial"/>
          <w:sz w:val="14"/>
          <w:szCs w:val="14"/>
        </w:rPr>
        <w:t xml:space="preserve"> </w:t>
      </w:r>
      <w:r w:rsidRPr="00876454">
        <w:rPr>
          <w:rFonts w:ascii="Verdana" w:hAnsi="Verdana" w:cs="Arial"/>
          <w:sz w:val="14"/>
          <w:szCs w:val="14"/>
          <w:lang w:val="es-ES"/>
        </w:rPr>
        <w:t>EXPÓSITO VÉLEZ, Juan Carlos. Forma y contenido del contrato estatal. Bogotá: Universidad Externado de Colombia, 2013. pp. 28-29.</w:t>
      </w:r>
    </w:p>
    <w:p w14:paraId="0CD9DB2C" w14:textId="77777777" w:rsidR="001D7FC9" w:rsidRPr="00B41137" w:rsidRDefault="001D7FC9" w:rsidP="001D7FC9">
      <w:pPr>
        <w:pStyle w:val="Textonotapie"/>
        <w:ind w:firstLine="709"/>
        <w:jc w:val="both"/>
        <w:rPr>
          <w:rFonts w:ascii="Verdana" w:hAnsi="Verdana" w:cs="Arial"/>
          <w:sz w:val="14"/>
          <w:szCs w:val="14"/>
          <w:lang w:val="es-ES"/>
        </w:rPr>
      </w:pPr>
    </w:p>
  </w:footnote>
  <w:footnote w:id="6">
    <w:p w14:paraId="1CB9CF4C" w14:textId="77777777" w:rsidR="001D7FC9" w:rsidRPr="00876454" w:rsidRDefault="001D7FC9" w:rsidP="001D7FC9">
      <w:pPr>
        <w:pStyle w:val="Textonotapie"/>
        <w:ind w:firstLine="709"/>
        <w:jc w:val="both"/>
        <w:rPr>
          <w:rFonts w:ascii="Verdana" w:hAnsi="Verdana" w:cs="Arial"/>
          <w:color w:val="000000" w:themeColor="text1"/>
          <w:sz w:val="14"/>
          <w:szCs w:val="14"/>
        </w:rPr>
      </w:pPr>
      <w:r w:rsidRPr="00876454">
        <w:rPr>
          <w:rStyle w:val="Refdenotaalpie"/>
          <w:rFonts w:ascii="Verdana" w:hAnsi="Verdana" w:cs="Arial"/>
          <w:sz w:val="14"/>
          <w:szCs w:val="14"/>
        </w:rPr>
        <w:footnoteRef/>
      </w:r>
      <w:r w:rsidRPr="00876454">
        <w:rPr>
          <w:rFonts w:ascii="Verdana" w:hAnsi="Verdana" w:cs="Arial"/>
          <w:color w:val="000000" w:themeColor="text1"/>
          <w:sz w:val="14"/>
          <w:szCs w:val="14"/>
        </w:rPr>
        <w:t xml:space="preserve"> Consejo de Estado. Sala de lo Contencioso Administrativo. Sección Tercera. Subsección B. Sentencia del 10 de mayo de 2018. Exp. 41.186. C.P. Stella Conto Díaz del Castillo.</w:t>
      </w:r>
    </w:p>
    <w:p w14:paraId="1F5265D0" w14:textId="77777777" w:rsidR="001D7FC9" w:rsidRPr="00B41137" w:rsidRDefault="001D7FC9" w:rsidP="001D7FC9">
      <w:pPr>
        <w:pStyle w:val="Textonotapie"/>
        <w:ind w:firstLine="709"/>
        <w:jc w:val="both"/>
        <w:rPr>
          <w:rFonts w:ascii="Verdana" w:hAnsi="Verdana" w:cs="Arial"/>
          <w:color w:val="000000" w:themeColor="text1"/>
          <w:sz w:val="14"/>
          <w:szCs w:val="14"/>
          <w:lang w:val="es-ES"/>
        </w:rPr>
      </w:pPr>
    </w:p>
  </w:footnote>
  <w:footnote w:id="7">
    <w:p w14:paraId="37188FD0" w14:textId="652BD2F0" w:rsidR="001D7FC9" w:rsidRDefault="001D7FC9" w:rsidP="001D7FC9">
      <w:pPr>
        <w:pStyle w:val="Textonotapie"/>
        <w:ind w:firstLine="708"/>
        <w:jc w:val="both"/>
        <w:rPr>
          <w:rFonts w:ascii="Verdana" w:hAnsi="Verdana" w:cs="Arial"/>
          <w:sz w:val="14"/>
          <w:szCs w:val="14"/>
          <w:shd w:val="clear" w:color="auto" w:fill="FFFFFF"/>
        </w:rPr>
      </w:pPr>
      <w:r w:rsidRPr="00876454">
        <w:rPr>
          <w:rStyle w:val="Refdenotaalpie"/>
          <w:rFonts w:ascii="Verdana" w:hAnsi="Verdana" w:cs="Arial"/>
          <w:sz w:val="14"/>
          <w:szCs w:val="14"/>
        </w:rPr>
        <w:footnoteRef/>
      </w:r>
      <w:r w:rsidRPr="00876454">
        <w:rPr>
          <w:rFonts w:ascii="Verdana" w:hAnsi="Verdana" w:cs="Arial"/>
          <w:sz w:val="14"/>
          <w:szCs w:val="14"/>
        </w:rPr>
        <w:t xml:space="preserve"> De conformidad con el artículo </w:t>
      </w:r>
      <w:r w:rsidRPr="00876454">
        <w:rPr>
          <w:rStyle w:val="Textoennegrita"/>
          <w:rFonts w:ascii="Verdana" w:hAnsi="Verdana" w:cs="Arial"/>
          <w:b w:val="0"/>
          <w:sz w:val="14"/>
          <w:szCs w:val="14"/>
          <w:shd w:val="clear" w:color="auto" w:fill="FFFFFF"/>
        </w:rPr>
        <w:t>2.2.1.2.3.1.5</w:t>
      </w:r>
      <w:r w:rsidRPr="00876454">
        <w:rPr>
          <w:rFonts w:ascii="Verdana" w:hAnsi="Verdana" w:cs="Arial"/>
          <w:sz w:val="14"/>
          <w:szCs w:val="14"/>
          <w:shd w:val="clear" w:color="auto" w:fill="FFFFFF"/>
        </w:rPr>
        <w:t xml:space="preserve"> del Decreto 1082 de 2015, </w:t>
      </w:r>
      <w:r w:rsidRPr="00876454">
        <w:rPr>
          <w:rFonts w:ascii="Verdana" w:hAnsi="Verdana" w:cs="Arial"/>
          <w:sz w:val="14"/>
          <w:szCs w:val="14"/>
        </w:rPr>
        <w:t>“</w:t>
      </w:r>
      <w:r w:rsidRPr="00876454">
        <w:rPr>
          <w:rFonts w:ascii="Verdana" w:hAnsi="Verdana" w:cs="Arial"/>
          <w:sz w:val="14"/>
          <w:szCs w:val="14"/>
          <w:shd w:val="clear" w:color="auto" w:fill="FFFFFF"/>
        </w:rPr>
        <w:t>La responsabilidad extracontractual de la administración derivada de las actuaciones, hechos u omisiones de sus contratistas o subcontratistas solamente puede ser amparada con un contrato de seguro</w:t>
      </w:r>
      <w:r w:rsidRPr="00876454">
        <w:rPr>
          <w:rFonts w:ascii="Verdana" w:hAnsi="Verdana" w:cs="Arial"/>
          <w:sz w:val="14"/>
          <w:szCs w:val="14"/>
        </w:rPr>
        <w:t>”</w:t>
      </w:r>
      <w:r w:rsidRPr="00876454">
        <w:rPr>
          <w:rFonts w:ascii="Verdana" w:hAnsi="Verdana" w:cs="Arial"/>
          <w:sz w:val="14"/>
          <w:szCs w:val="14"/>
          <w:shd w:val="clear" w:color="auto" w:fill="FFFFFF"/>
        </w:rPr>
        <w:t>.</w:t>
      </w:r>
    </w:p>
    <w:p w14:paraId="5D481C39" w14:textId="77777777" w:rsidR="001D7FC9" w:rsidRPr="006F7BDE" w:rsidRDefault="001D7FC9" w:rsidP="001D7FC9">
      <w:pPr>
        <w:pStyle w:val="Textonotapie"/>
        <w:ind w:firstLine="708"/>
        <w:jc w:val="both"/>
        <w:rPr>
          <w:rFonts w:ascii="Verdana" w:hAnsi="Verdana" w:cs="Arial"/>
          <w:sz w:val="14"/>
          <w:szCs w:val="14"/>
          <w:shd w:val="clear" w:color="auto" w:fill="FFFFFF"/>
        </w:rPr>
      </w:pPr>
    </w:p>
  </w:footnote>
  <w:footnote w:id="8">
    <w:p w14:paraId="445201B1" w14:textId="326FAB26" w:rsidR="001D7FC9" w:rsidRDefault="001D7FC9" w:rsidP="001D7FC9">
      <w:pPr>
        <w:pStyle w:val="Textonotapie"/>
        <w:ind w:firstLine="709"/>
        <w:jc w:val="both"/>
        <w:rPr>
          <w:rFonts w:ascii="Verdana" w:hAnsi="Verdana" w:cs="Arial"/>
          <w:sz w:val="14"/>
          <w:szCs w:val="14"/>
        </w:rPr>
      </w:pPr>
      <w:r w:rsidRPr="00876454">
        <w:rPr>
          <w:rStyle w:val="Refdenotaalpie"/>
          <w:rFonts w:ascii="Verdana" w:hAnsi="Verdana" w:cs="Arial"/>
          <w:sz w:val="14"/>
          <w:szCs w:val="14"/>
        </w:rPr>
        <w:footnoteRef/>
      </w:r>
      <w:r w:rsidRPr="00876454">
        <w:rPr>
          <w:rFonts w:ascii="Verdana" w:hAnsi="Verdana" w:cs="Arial"/>
          <w:sz w:val="14"/>
          <w:szCs w:val="14"/>
        </w:rPr>
        <w:t xml:space="preserve"> Consejo de Estado, Sección Tercera, Subsección A. Sentencia del 14 de junio del 2019. Radicación número: 11001 03 26 000 2009 00047 00 (36860)</w:t>
      </w:r>
      <w:r w:rsidRPr="00876454">
        <w:rPr>
          <w:rFonts w:ascii="Verdana" w:hAnsi="Verdana" w:cs="Arial"/>
          <w:sz w:val="14"/>
          <w:szCs w:val="14"/>
          <w:lang w:val="es-CO"/>
        </w:rPr>
        <w:t xml:space="preserve">. </w:t>
      </w:r>
      <w:r w:rsidRPr="00876454">
        <w:rPr>
          <w:rFonts w:ascii="Verdana" w:hAnsi="Verdana" w:cs="Arial"/>
          <w:sz w:val="14"/>
          <w:szCs w:val="14"/>
        </w:rPr>
        <w:t>C.P: Carlos Alberto Zambrano Barrera.</w:t>
      </w:r>
    </w:p>
    <w:p w14:paraId="01058EA0" w14:textId="77777777" w:rsidR="001D7FC9" w:rsidRPr="006F7BDE" w:rsidRDefault="001D7FC9" w:rsidP="001D7FC9">
      <w:pPr>
        <w:pStyle w:val="Textonotapie"/>
        <w:ind w:firstLine="709"/>
        <w:jc w:val="both"/>
        <w:rPr>
          <w:rFonts w:ascii="Verdana" w:hAnsi="Verdana" w:cs="Arial"/>
          <w:sz w:val="14"/>
          <w:szCs w:val="14"/>
        </w:rPr>
      </w:pPr>
    </w:p>
  </w:footnote>
  <w:footnote w:id="9">
    <w:p w14:paraId="1917C90E" w14:textId="4D3D3DFB" w:rsidR="001D7FC9" w:rsidRDefault="001D7FC9" w:rsidP="001D7FC9">
      <w:pPr>
        <w:pStyle w:val="Textonotapie"/>
        <w:ind w:firstLine="709"/>
        <w:jc w:val="both"/>
        <w:rPr>
          <w:rFonts w:ascii="Verdana" w:hAnsi="Verdana" w:cs="Arial"/>
          <w:sz w:val="14"/>
          <w:szCs w:val="14"/>
        </w:rPr>
      </w:pPr>
      <w:r w:rsidRPr="00876454">
        <w:rPr>
          <w:rStyle w:val="Refdenotaalpie"/>
          <w:rFonts w:ascii="Verdana" w:hAnsi="Verdana" w:cs="Arial"/>
          <w:sz w:val="14"/>
          <w:szCs w:val="14"/>
        </w:rPr>
        <w:footnoteRef/>
      </w:r>
      <w:r w:rsidRPr="00876454">
        <w:rPr>
          <w:rFonts w:ascii="Verdana" w:hAnsi="Verdana" w:cs="Arial"/>
          <w:sz w:val="14"/>
          <w:szCs w:val="14"/>
        </w:rPr>
        <w:t xml:space="preserve"> Consejo de Estado, Sección Segunda, Subsección A. Sentencia del 25 de enero del 2018. Radicación número: </w:t>
      </w:r>
      <w:r w:rsidRPr="00876454">
        <w:rPr>
          <w:rFonts w:ascii="Verdana" w:hAnsi="Verdana" w:cs="Arial"/>
          <w:sz w:val="14"/>
          <w:szCs w:val="14"/>
          <w:lang w:val="es-CO"/>
        </w:rPr>
        <w:t>11001-03-25-000-2011-00489-00(1924-11).</w:t>
      </w:r>
      <w:r w:rsidRPr="00876454">
        <w:rPr>
          <w:rFonts w:ascii="Verdana" w:hAnsi="Verdana" w:cs="Arial"/>
          <w:b/>
          <w:sz w:val="14"/>
          <w:szCs w:val="14"/>
          <w:lang w:val="es-CO"/>
        </w:rPr>
        <w:t xml:space="preserve"> </w:t>
      </w:r>
      <w:r w:rsidRPr="00876454">
        <w:rPr>
          <w:rFonts w:ascii="Verdana" w:hAnsi="Verdana" w:cs="Arial"/>
          <w:sz w:val="14"/>
          <w:szCs w:val="14"/>
        </w:rPr>
        <w:t>C.P: Gabriel Valbuena Hernández.</w:t>
      </w:r>
    </w:p>
    <w:p w14:paraId="417FA651" w14:textId="77777777" w:rsidR="001D7FC9" w:rsidRPr="00876454" w:rsidRDefault="001D7FC9" w:rsidP="001D7FC9">
      <w:pPr>
        <w:pStyle w:val="Textonotapie"/>
        <w:ind w:firstLine="709"/>
        <w:jc w:val="both"/>
        <w:rPr>
          <w:rFonts w:ascii="Verdana" w:hAnsi="Verdana" w:cs="Arial"/>
          <w:sz w:val="14"/>
          <w:szCs w:val="14"/>
          <w:lang w:val="es-CO"/>
        </w:rPr>
      </w:pPr>
    </w:p>
  </w:footnote>
  <w:footnote w:id="10">
    <w:p w14:paraId="4088EB30" w14:textId="77777777" w:rsidR="001D7FC9" w:rsidRPr="00E670BC" w:rsidRDefault="001D7FC9" w:rsidP="001D7FC9">
      <w:pPr>
        <w:pStyle w:val="Textonotapie"/>
        <w:ind w:firstLine="708"/>
        <w:jc w:val="both"/>
        <w:rPr>
          <w:rFonts w:ascii="Verdana" w:hAnsi="Verdana"/>
          <w:sz w:val="14"/>
          <w:szCs w:val="14"/>
          <w:lang w:val="es-CO"/>
        </w:rPr>
      </w:pPr>
      <w:r w:rsidRPr="00E670BC">
        <w:rPr>
          <w:rStyle w:val="Refdenotaalpie"/>
          <w:rFonts w:ascii="Verdana" w:hAnsi="Verdana"/>
          <w:sz w:val="14"/>
          <w:szCs w:val="14"/>
        </w:rPr>
        <w:footnoteRef/>
      </w:r>
      <w:r w:rsidRPr="00E670BC">
        <w:rPr>
          <w:rFonts w:ascii="Verdana" w:hAnsi="Verdana"/>
          <w:sz w:val="14"/>
          <w:szCs w:val="14"/>
        </w:rPr>
        <w:t xml:space="preserve"> </w:t>
      </w:r>
      <w:r w:rsidRPr="00E670BC">
        <w:rPr>
          <w:rFonts w:ascii="Verdana" w:hAnsi="Verdana" w:cs="Arial"/>
          <w:color w:val="1A1A1A" w:themeColor="background1" w:themeShade="1A"/>
          <w:sz w:val="14"/>
          <w:szCs w:val="14"/>
        </w:rPr>
        <w:t>C</w:t>
      </w:r>
      <w:r>
        <w:rPr>
          <w:rFonts w:ascii="Verdana" w:hAnsi="Verdana" w:cs="Arial"/>
          <w:color w:val="1A1A1A" w:themeColor="background1" w:themeShade="1A"/>
          <w:sz w:val="14"/>
          <w:szCs w:val="14"/>
        </w:rPr>
        <w:t xml:space="preserve">onsejo de Estado. Sala de lo Contencioso Administrativo. </w:t>
      </w:r>
      <w:r w:rsidRPr="00E670BC">
        <w:rPr>
          <w:rFonts w:ascii="Verdana" w:hAnsi="Verdana" w:cs="Arial"/>
          <w:color w:val="1A1A1A" w:themeColor="background1" w:themeShade="1A"/>
          <w:sz w:val="14"/>
          <w:szCs w:val="14"/>
        </w:rPr>
        <w:t>Sección Tercera. Subsección A. Sentencia del del 24 de febrero de 2016. Exp. 46.185. C.P. Marta Nubia Velásquez Rico.</w:t>
      </w:r>
    </w:p>
    <w:p w14:paraId="5FB366C1" w14:textId="77777777" w:rsidR="001D7FC9" w:rsidRPr="00E670BC" w:rsidRDefault="001D7FC9" w:rsidP="001D7FC9">
      <w:pPr>
        <w:pStyle w:val="Textonotapie"/>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95839020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616350903" name="Imagen 1616350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C82633"/>
    <w:multiLevelType w:val="hybridMultilevel"/>
    <w:tmpl w:val="55FE6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8951170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5D"/>
    <w:rsid w:val="00016F78"/>
    <w:rsid w:val="00046945"/>
    <w:rsid w:val="00061B2A"/>
    <w:rsid w:val="00082362"/>
    <w:rsid w:val="000A683E"/>
    <w:rsid w:val="000B19B9"/>
    <w:rsid w:val="000D0334"/>
    <w:rsid w:val="000D5DA7"/>
    <w:rsid w:val="000E3A17"/>
    <w:rsid w:val="000F6486"/>
    <w:rsid w:val="0010172E"/>
    <w:rsid w:val="00116940"/>
    <w:rsid w:val="00125105"/>
    <w:rsid w:val="00127233"/>
    <w:rsid w:val="0015699B"/>
    <w:rsid w:val="00172458"/>
    <w:rsid w:val="001A33BF"/>
    <w:rsid w:val="001A614D"/>
    <w:rsid w:val="001B5E55"/>
    <w:rsid w:val="001D7FC9"/>
    <w:rsid w:val="001E4177"/>
    <w:rsid w:val="001F0B24"/>
    <w:rsid w:val="001F7DC6"/>
    <w:rsid w:val="002015CF"/>
    <w:rsid w:val="00205496"/>
    <w:rsid w:val="0022400B"/>
    <w:rsid w:val="002421BB"/>
    <w:rsid w:val="0025796E"/>
    <w:rsid w:val="002707A2"/>
    <w:rsid w:val="002951A0"/>
    <w:rsid w:val="00295E0A"/>
    <w:rsid w:val="002962BC"/>
    <w:rsid w:val="002A093D"/>
    <w:rsid w:val="002A0DD0"/>
    <w:rsid w:val="002A49AC"/>
    <w:rsid w:val="002A64FD"/>
    <w:rsid w:val="002B13C2"/>
    <w:rsid w:val="002C7A84"/>
    <w:rsid w:val="002E2BF8"/>
    <w:rsid w:val="002E4FD9"/>
    <w:rsid w:val="0030657A"/>
    <w:rsid w:val="00322A85"/>
    <w:rsid w:val="00324168"/>
    <w:rsid w:val="00330834"/>
    <w:rsid w:val="003448F4"/>
    <w:rsid w:val="00374F5E"/>
    <w:rsid w:val="00377E3E"/>
    <w:rsid w:val="003A779E"/>
    <w:rsid w:val="003C6D85"/>
    <w:rsid w:val="003D0F4D"/>
    <w:rsid w:val="003D5B0D"/>
    <w:rsid w:val="003E0499"/>
    <w:rsid w:val="003E4F80"/>
    <w:rsid w:val="003E6439"/>
    <w:rsid w:val="003F3941"/>
    <w:rsid w:val="00406575"/>
    <w:rsid w:val="00414C74"/>
    <w:rsid w:val="0042722E"/>
    <w:rsid w:val="0044528D"/>
    <w:rsid w:val="00466E39"/>
    <w:rsid w:val="004A1847"/>
    <w:rsid w:val="004A305D"/>
    <w:rsid w:val="004D2BFA"/>
    <w:rsid w:val="004E7E29"/>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F7BDE"/>
    <w:rsid w:val="00706C16"/>
    <w:rsid w:val="007340C3"/>
    <w:rsid w:val="0075235A"/>
    <w:rsid w:val="00756841"/>
    <w:rsid w:val="007649AB"/>
    <w:rsid w:val="00771D0C"/>
    <w:rsid w:val="007821E6"/>
    <w:rsid w:val="007833AC"/>
    <w:rsid w:val="0079739B"/>
    <w:rsid w:val="007B268C"/>
    <w:rsid w:val="007B7171"/>
    <w:rsid w:val="007C0C0F"/>
    <w:rsid w:val="007C3DC2"/>
    <w:rsid w:val="007E5497"/>
    <w:rsid w:val="007F645C"/>
    <w:rsid w:val="00806F5F"/>
    <w:rsid w:val="00820278"/>
    <w:rsid w:val="008258C9"/>
    <w:rsid w:val="00844AE9"/>
    <w:rsid w:val="00867F95"/>
    <w:rsid w:val="00876454"/>
    <w:rsid w:val="008843B6"/>
    <w:rsid w:val="00891928"/>
    <w:rsid w:val="008A446D"/>
    <w:rsid w:val="008B25F1"/>
    <w:rsid w:val="008D180B"/>
    <w:rsid w:val="008F0EA7"/>
    <w:rsid w:val="00923EEF"/>
    <w:rsid w:val="009419F9"/>
    <w:rsid w:val="0095417D"/>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6901"/>
    <w:rsid w:val="00A17F13"/>
    <w:rsid w:val="00A20739"/>
    <w:rsid w:val="00A23AF9"/>
    <w:rsid w:val="00A26861"/>
    <w:rsid w:val="00A33C78"/>
    <w:rsid w:val="00AA5F32"/>
    <w:rsid w:val="00AB0ADB"/>
    <w:rsid w:val="00AB2835"/>
    <w:rsid w:val="00AD4ACD"/>
    <w:rsid w:val="00B00C0E"/>
    <w:rsid w:val="00B01B1A"/>
    <w:rsid w:val="00B0381D"/>
    <w:rsid w:val="00B15FCA"/>
    <w:rsid w:val="00B44A47"/>
    <w:rsid w:val="00B72CD3"/>
    <w:rsid w:val="00B72FFF"/>
    <w:rsid w:val="00B83763"/>
    <w:rsid w:val="00BC3D36"/>
    <w:rsid w:val="00BD54A6"/>
    <w:rsid w:val="00BD7F72"/>
    <w:rsid w:val="00BF7425"/>
    <w:rsid w:val="00C04FB3"/>
    <w:rsid w:val="00C11D8B"/>
    <w:rsid w:val="00C15139"/>
    <w:rsid w:val="00C330EB"/>
    <w:rsid w:val="00C50D69"/>
    <w:rsid w:val="00C525DC"/>
    <w:rsid w:val="00C5271D"/>
    <w:rsid w:val="00C5365C"/>
    <w:rsid w:val="00C61C42"/>
    <w:rsid w:val="00C754BE"/>
    <w:rsid w:val="00C76B1C"/>
    <w:rsid w:val="00C925AC"/>
    <w:rsid w:val="00CB6357"/>
    <w:rsid w:val="00CC1B26"/>
    <w:rsid w:val="00D15F2A"/>
    <w:rsid w:val="00D361FD"/>
    <w:rsid w:val="00D423A2"/>
    <w:rsid w:val="00D44E26"/>
    <w:rsid w:val="00D520D8"/>
    <w:rsid w:val="00D63AC2"/>
    <w:rsid w:val="00D7383B"/>
    <w:rsid w:val="00D7788A"/>
    <w:rsid w:val="00DA231B"/>
    <w:rsid w:val="00DC39FC"/>
    <w:rsid w:val="00DF4BB8"/>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5773"/>
    <w:rsid w:val="00F462B3"/>
    <w:rsid w:val="00F5664F"/>
    <w:rsid w:val="00F66221"/>
    <w:rsid w:val="00F666C4"/>
    <w:rsid w:val="00F76AFC"/>
    <w:rsid w:val="00FA47C0"/>
    <w:rsid w:val="00FB5DD1"/>
    <w:rsid w:val="00FC2B5D"/>
    <w:rsid w:val="00FD2F6B"/>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7FC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D7FC9"/>
    <w:rPr>
      <w:rFonts w:ascii="Geomanist Light" w:hAnsi="Geomanist Light"/>
      <w:lang w:val="es-ES"/>
    </w:rPr>
  </w:style>
  <w:style w:type="character" w:styleId="Textoennegrita">
    <w:name w:val="Strong"/>
    <w:basedOn w:val="Fuentedeprrafopredeter"/>
    <w:uiPriority w:val="22"/>
    <w:qFormat/>
    <w:rsid w:val="001D7FC9"/>
    <w:rPr>
      <w:b/>
      <w:bCs/>
    </w:rPr>
  </w:style>
  <w:style w:type="paragraph" w:styleId="Sinespaciado">
    <w:name w:val="No Spacing"/>
    <w:uiPriority w:val="1"/>
    <w:qFormat/>
    <w:rsid w:val="001D7F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maflao@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666E8F4-ABD2-4B1F-B498-293ABCC55E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5085</Words>
  <Characters>27766</Characters>
  <Application>Microsoft Office Word</Application>
  <DocSecurity>0</DocSecurity>
  <Lines>590</Lines>
  <Paragraphs>125</Paragraphs>
  <ScaleCrop>false</ScaleCrop>
  <Company/>
  <LinksUpToDate>false</LinksUpToDate>
  <CharactersWithSpaces>32726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60</cp:revision>
  <cp:lastPrinted>2023-01-10T21:18:00Z</cp:lastPrinted>
  <dcterms:created xsi:type="dcterms:W3CDTF">2025-08-19T13:43:00Z</dcterms:created>
  <dcterms:modified xsi:type="dcterms:W3CDTF">2025-12-24T16:26:00Z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