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7708F" w14:textId="77777777" w:rsidR="001079E4" w:rsidRPr="001079E4" w:rsidRDefault="001079E4" w:rsidP="002E467B">
      <w:pPr>
        <w:spacing w:after="0" w:line="240" w:lineRule="auto"/>
        <w:jc w:val="both"/>
        <w:rPr>
          <w:rFonts w:ascii="Verdana" w:hAnsi="Verdana" w:cs="Arial"/>
          <w:b/>
          <w:bCs/>
          <w:lang w:eastAsia="es-ES"/>
        </w:rPr>
      </w:pPr>
      <w:bookmarkStart w:id="0" w:name="_Hlk143780582"/>
      <w:r w:rsidRPr="001079E4">
        <w:rPr>
          <w:rFonts w:ascii="Verdana" w:hAnsi="Verdana" w:cs="Arial"/>
          <w:b/>
          <w:bCs/>
          <w:lang w:eastAsia="es-ES"/>
        </w:rPr>
        <w:t>E</w:t>
      </w:r>
      <w:r w:rsidRPr="001079E4">
        <w:rPr>
          <w:rFonts w:ascii="Verdana" w:hAnsi="Verdana" w:cs="Arial"/>
          <w:b/>
          <w:bCs/>
          <w:lang w:eastAsia="es-ES"/>
        </w:rPr>
        <w:t>XPERIENCIA – Noción – Concepto</w:t>
      </w:r>
    </w:p>
    <w:p w14:paraId="001B695D" w14:textId="4F92032D" w:rsidR="001079E4" w:rsidRPr="001079E4" w:rsidRDefault="001079E4" w:rsidP="002E467B">
      <w:pPr>
        <w:spacing w:after="0" w:line="240" w:lineRule="auto"/>
        <w:jc w:val="both"/>
        <w:rPr>
          <w:rFonts w:ascii="Verdana" w:hAnsi="Verdana" w:cs="Arial"/>
          <w:bCs/>
          <w:sz w:val="20"/>
          <w:lang w:eastAsia="es-ES"/>
        </w:rPr>
      </w:pPr>
    </w:p>
    <w:p w14:paraId="5BAAC68F" w14:textId="1E60BFAE" w:rsidR="001079E4" w:rsidRDefault="001079E4" w:rsidP="002E467B">
      <w:pPr>
        <w:spacing w:after="0" w:line="240" w:lineRule="auto"/>
        <w:jc w:val="both"/>
        <w:rPr>
          <w:rFonts w:ascii="Verdana" w:hAnsi="Verdana" w:cs="Arial"/>
          <w:bCs/>
          <w:sz w:val="20"/>
          <w:lang w:eastAsia="es-ES"/>
        </w:rPr>
      </w:pPr>
      <w:r w:rsidRPr="001079E4">
        <w:rPr>
          <w:rFonts w:ascii="Verdana" w:hAnsi="Verdana" w:cs="Arial"/>
          <w:bCs/>
          <w:sz w:val="20"/>
          <w:lang w:eastAsia="es-ES"/>
        </w:rPr>
        <w:t xml:space="preserve">La Ley 1150 de 2007, en el artículo 5, dispone que 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 </w:t>
      </w:r>
    </w:p>
    <w:p w14:paraId="00A63F58" w14:textId="77777777" w:rsidR="001079E4" w:rsidRPr="001079E4" w:rsidRDefault="001079E4" w:rsidP="002E467B">
      <w:pPr>
        <w:spacing w:after="0" w:line="240" w:lineRule="auto"/>
        <w:jc w:val="both"/>
        <w:rPr>
          <w:rFonts w:ascii="Verdana" w:hAnsi="Verdana" w:cs="Arial"/>
          <w:bCs/>
          <w:sz w:val="20"/>
          <w:lang w:eastAsia="es-ES"/>
        </w:rPr>
      </w:pPr>
    </w:p>
    <w:p w14:paraId="41904646" w14:textId="40CF7B8F" w:rsidR="001079E4" w:rsidRDefault="001079E4" w:rsidP="002E467B">
      <w:pPr>
        <w:spacing w:after="0" w:line="240" w:lineRule="auto"/>
        <w:jc w:val="both"/>
        <w:rPr>
          <w:rFonts w:ascii="Verdana" w:hAnsi="Verdana" w:cs="Arial"/>
          <w:bCs/>
          <w:sz w:val="20"/>
          <w:lang w:eastAsia="es-ES"/>
        </w:rPr>
      </w:pPr>
      <w:r w:rsidRPr="001079E4">
        <w:rPr>
          <w:rFonts w:ascii="Verdana" w:hAnsi="Verdana" w:cs="Arial"/>
          <w:bCs/>
          <w:sz w:val="20"/>
          <w:lang w:eastAsia="es-ES"/>
        </w:rPr>
        <w:t>Para ello, el artículo 6 de la Ley 1150 de 2007 señala que todas las personas naturales o jurídicas, nacionales o extranjeras, domiciliadas o con sucursal en Colombia, que aspiren celebrar contratos con las entidades estatales deberán estar inscritas en el Registro Único de Proponentes (RUP). En dicho registro constará la información relacionada con la experiencia, la capacidad jurídica, financiera y de organización del proponente y su clasificación. En este registro constan los requisitos habilitantes que se evalúan exclusivamente con este documento, que es plena prueba, sin que la entidad o el proponente puedan, en principio, solicitar o aportar otra documentación.</w:t>
      </w:r>
    </w:p>
    <w:p w14:paraId="72C3E6D3" w14:textId="77777777" w:rsidR="001079E4" w:rsidRPr="001079E4" w:rsidRDefault="001079E4" w:rsidP="002E467B">
      <w:pPr>
        <w:spacing w:after="0" w:line="240" w:lineRule="auto"/>
        <w:jc w:val="both"/>
        <w:rPr>
          <w:rFonts w:ascii="Verdana" w:hAnsi="Verdana" w:cs="Arial"/>
          <w:bCs/>
          <w:sz w:val="20"/>
          <w:lang w:eastAsia="es-ES"/>
        </w:rPr>
      </w:pPr>
    </w:p>
    <w:p w14:paraId="56E4BB9A" w14:textId="24E1ED30" w:rsidR="001079E4" w:rsidRPr="001079E4" w:rsidRDefault="001079E4" w:rsidP="002E467B">
      <w:pPr>
        <w:spacing w:after="0" w:line="240" w:lineRule="auto"/>
        <w:jc w:val="both"/>
        <w:rPr>
          <w:rFonts w:ascii="Verdana" w:hAnsi="Verdana" w:cs="Arial"/>
          <w:bCs/>
          <w:sz w:val="20"/>
          <w:lang w:eastAsia="es-ES"/>
        </w:rPr>
      </w:pPr>
      <w:r w:rsidRPr="001079E4">
        <w:rPr>
          <w:rFonts w:ascii="Verdana" w:hAnsi="Verdana" w:cs="Arial"/>
          <w:bCs/>
          <w:sz w:val="20"/>
          <w:lang w:eastAsia="es-ES"/>
        </w:rPr>
        <w:t xml:space="preserve">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2F90BE06" w14:textId="77777777" w:rsidR="001079E4" w:rsidRPr="001079E4" w:rsidRDefault="001079E4" w:rsidP="002E467B">
      <w:pPr>
        <w:spacing w:after="0" w:line="240" w:lineRule="auto"/>
        <w:jc w:val="both"/>
        <w:rPr>
          <w:rFonts w:ascii="Verdana" w:hAnsi="Verdana" w:cs="Arial"/>
          <w:b/>
          <w:bCs/>
          <w:lang w:eastAsia="es-ES"/>
        </w:rPr>
      </w:pPr>
    </w:p>
    <w:p w14:paraId="20EB1EED" w14:textId="77777777" w:rsidR="001079E4" w:rsidRPr="001079E4" w:rsidRDefault="001079E4" w:rsidP="002E467B">
      <w:pPr>
        <w:spacing w:after="0" w:line="240" w:lineRule="auto"/>
        <w:jc w:val="both"/>
        <w:rPr>
          <w:rFonts w:ascii="Verdana" w:hAnsi="Verdana" w:cs="Arial"/>
          <w:b/>
          <w:bCs/>
          <w:lang w:eastAsia="es-ES"/>
        </w:rPr>
      </w:pPr>
      <w:r w:rsidRPr="001079E4">
        <w:rPr>
          <w:rFonts w:ascii="Verdana" w:hAnsi="Verdana" w:cs="Arial"/>
          <w:b/>
          <w:bCs/>
          <w:lang w:eastAsia="es-ES"/>
        </w:rPr>
        <w:t>EXPERIENCIA – Transferencia – Accionistas, socios o constituyentes – Decreto 1082 de 2015</w:t>
      </w:r>
      <w:r w:rsidRPr="001079E4">
        <w:rPr>
          <w:rFonts w:ascii="Verdana" w:hAnsi="Verdana" w:cs="Arial"/>
          <w:b/>
          <w:bCs/>
          <w:lang w:eastAsia="es-ES"/>
        </w:rPr>
        <w:t xml:space="preserve"> </w:t>
      </w:r>
    </w:p>
    <w:p w14:paraId="5C25C731" w14:textId="77C6EF3F" w:rsidR="001079E4" w:rsidRDefault="001079E4" w:rsidP="002E467B">
      <w:pPr>
        <w:spacing w:after="0" w:line="240" w:lineRule="auto"/>
        <w:jc w:val="both"/>
        <w:rPr>
          <w:rFonts w:ascii="Verdana" w:hAnsi="Verdana" w:cs="Arial"/>
          <w:b/>
          <w:bCs/>
          <w:lang w:eastAsia="es-ES"/>
        </w:rPr>
      </w:pPr>
    </w:p>
    <w:p w14:paraId="66691DE9" w14:textId="77777777" w:rsidR="002E467B" w:rsidRDefault="002E467B" w:rsidP="002E467B">
      <w:pPr>
        <w:spacing w:after="0" w:line="240" w:lineRule="auto"/>
        <w:jc w:val="both"/>
        <w:rPr>
          <w:rFonts w:ascii="Verdana" w:hAnsi="Verdana" w:cs="Arial"/>
          <w:bCs/>
          <w:sz w:val="20"/>
          <w:lang w:eastAsia="es-ES"/>
        </w:rPr>
      </w:pPr>
      <w:r w:rsidRPr="002E467B">
        <w:rPr>
          <w:rFonts w:ascii="Verdana" w:hAnsi="Verdana" w:cs="Arial"/>
          <w:bCs/>
          <w:sz w:val="20"/>
          <w:lang w:eastAsia="es-ES"/>
        </w:rPr>
        <w:t>El numeral 2.5 del precitado artículo dispone que la persona jurídica se registrará aportando los certificados de la experiencia en la provisión de los bienes, obras y servicios que ofrecerá a las entidades estatales, los cuales deben expedirse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677CE49F" w14:textId="32C5B979" w:rsidR="002E467B" w:rsidRPr="002E467B" w:rsidRDefault="002E467B" w:rsidP="002E467B">
      <w:pPr>
        <w:spacing w:after="0" w:line="240" w:lineRule="auto"/>
        <w:jc w:val="both"/>
        <w:rPr>
          <w:rFonts w:ascii="Verdana" w:hAnsi="Verdana" w:cs="Arial"/>
          <w:bCs/>
          <w:sz w:val="20"/>
          <w:lang w:eastAsia="es-ES"/>
        </w:rPr>
      </w:pPr>
      <w:r w:rsidRPr="002E467B">
        <w:rPr>
          <w:rFonts w:ascii="Verdana" w:hAnsi="Verdana" w:cs="Arial"/>
          <w:bCs/>
          <w:sz w:val="20"/>
          <w:lang w:eastAsia="es-ES"/>
        </w:rPr>
        <w:t xml:space="preserve"> </w:t>
      </w:r>
    </w:p>
    <w:p w14:paraId="3D5B9CE0" w14:textId="77777777" w:rsidR="002E467B" w:rsidRPr="002E467B" w:rsidRDefault="002E467B" w:rsidP="002E467B">
      <w:pPr>
        <w:spacing w:after="0" w:line="240" w:lineRule="auto"/>
        <w:jc w:val="both"/>
        <w:rPr>
          <w:rFonts w:ascii="Verdana" w:hAnsi="Verdana" w:cs="Arial"/>
          <w:bCs/>
          <w:sz w:val="20"/>
          <w:lang w:val="es-ES" w:eastAsia="es-ES"/>
        </w:rPr>
      </w:pPr>
      <w:r w:rsidRPr="002E467B">
        <w:rPr>
          <w:rFonts w:ascii="Verdana" w:hAnsi="Verdana" w:cs="Arial"/>
          <w:bCs/>
          <w:sz w:val="20"/>
          <w:lang w:eastAsia="es-ES"/>
        </w:rPr>
        <w:t xml:space="preserve">Además, el mismo numeral 2.5 establece que, si la constitución del interesado es menor a tres (3) años, puede acreditar la experiencia de sus accionistas, socios o constituyentes. De esta manera,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 con menos de tres (3) años de </w:t>
      </w:r>
      <w:r w:rsidRPr="002E467B">
        <w:rPr>
          <w:rFonts w:ascii="Verdana" w:hAnsi="Verdana" w:cs="Arial"/>
          <w:bCs/>
          <w:sz w:val="20"/>
          <w:lang w:eastAsia="es-ES"/>
        </w:rPr>
        <w:lastRenderedPageBreak/>
        <w:t>constitución ─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que las sociedades recién constituidas utilicen la experiencia de sus accionistas o socios para acreditar su capacidad en procesos de contratación pública.</w:t>
      </w:r>
    </w:p>
    <w:p w14:paraId="25D5346F" w14:textId="77777777" w:rsidR="002E467B" w:rsidRPr="002E467B" w:rsidRDefault="002E467B" w:rsidP="002E467B">
      <w:pPr>
        <w:spacing w:after="0" w:line="240" w:lineRule="auto"/>
        <w:jc w:val="both"/>
        <w:rPr>
          <w:rFonts w:ascii="Verdana" w:hAnsi="Verdana" w:cs="Arial"/>
          <w:b/>
          <w:bCs/>
          <w:lang w:val="es-ES" w:eastAsia="es-ES"/>
        </w:rPr>
      </w:pPr>
    </w:p>
    <w:p w14:paraId="4B002CF3" w14:textId="77777777" w:rsidR="001079E4" w:rsidRPr="001079E4" w:rsidRDefault="001079E4" w:rsidP="002E467B">
      <w:pPr>
        <w:spacing w:after="0" w:line="240" w:lineRule="auto"/>
        <w:jc w:val="both"/>
        <w:rPr>
          <w:rFonts w:ascii="Verdana" w:hAnsi="Verdana" w:cs="Arial"/>
          <w:b/>
          <w:bCs/>
          <w:lang w:eastAsia="es-ES"/>
        </w:rPr>
      </w:pPr>
      <w:r w:rsidRPr="001079E4">
        <w:rPr>
          <w:rFonts w:ascii="Verdana" w:hAnsi="Verdana" w:cs="Arial"/>
          <w:b/>
          <w:bCs/>
          <w:lang w:eastAsia="es-ES"/>
        </w:rPr>
        <w:t>EXPERIENCIA – Rol de la Entidad</w:t>
      </w:r>
      <w:r w:rsidRPr="001079E4">
        <w:rPr>
          <w:rFonts w:ascii="Verdana" w:hAnsi="Verdana" w:cs="Arial"/>
          <w:b/>
          <w:bCs/>
          <w:lang w:eastAsia="es-ES"/>
        </w:rPr>
        <w:t xml:space="preserve"> </w:t>
      </w:r>
    </w:p>
    <w:p w14:paraId="42465756" w14:textId="4C4FA9B8" w:rsidR="001079E4" w:rsidRDefault="001079E4" w:rsidP="002E467B">
      <w:pPr>
        <w:spacing w:after="0" w:line="240" w:lineRule="auto"/>
        <w:jc w:val="both"/>
        <w:rPr>
          <w:rFonts w:ascii="Verdana" w:hAnsi="Verdana" w:cs="Arial"/>
          <w:b/>
          <w:bCs/>
          <w:lang w:eastAsia="es-ES"/>
        </w:rPr>
      </w:pPr>
    </w:p>
    <w:p w14:paraId="4AB86E37" w14:textId="38F4955B" w:rsidR="002E467B" w:rsidRDefault="002E467B" w:rsidP="002E467B">
      <w:pPr>
        <w:spacing w:after="0" w:line="240" w:lineRule="auto"/>
        <w:jc w:val="both"/>
        <w:rPr>
          <w:rFonts w:ascii="Verdana" w:hAnsi="Verdana" w:cs="Arial"/>
          <w:bCs/>
          <w:sz w:val="20"/>
          <w:lang w:eastAsia="es-ES"/>
        </w:rPr>
      </w:pPr>
      <w:r w:rsidRPr="002E467B">
        <w:rPr>
          <w:rFonts w:ascii="Verdana" w:hAnsi="Verdana" w:cs="Arial"/>
          <w:bCs/>
          <w:sz w:val="20"/>
          <w:lang w:eastAsia="es-ES"/>
        </w:rPr>
        <w:t>En tal sentido, en los procesos de contratación, en los que sea exigible el RUP, las entidades estatales sí están obligadas a aceptar y reconocer la experiencia del socio cuando esta se encuentra debidamente acreditada, certificada e inscrita en el Registro Único de Proponentes (RUP). Esto se debe a que el RUP constituye plena prueba de la información contenida en este para acreditar los requisitos habilitantes en los procesos de contratación estatal. Por tanto, una vez la experiencia está incorporada en el RUP, la entidad no puede desconocerla, solicitar documentos adicionales ni imponer cargas probatorias distintas a las previstas en el Sistema de Compras Públicas.</w:t>
      </w:r>
    </w:p>
    <w:p w14:paraId="1A1295E2" w14:textId="77777777" w:rsidR="002E467B" w:rsidRPr="002E467B" w:rsidRDefault="002E467B" w:rsidP="002E467B">
      <w:pPr>
        <w:spacing w:after="0" w:line="240" w:lineRule="auto"/>
        <w:jc w:val="both"/>
        <w:rPr>
          <w:rFonts w:ascii="Verdana" w:hAnsi="Verdana" w:cs="Arial"/>
          <w:bCs/>
          <w:sz w:val="20"/>
          <w:lang w:eastAsia="es-ES"/>
        </w:rPr>
      </w:pPr>
    </w:p>
    <w:p w14:paraId="20691577" w14:textId="77777777" w:rsidR="002E467B" w:rsidRPr="002E467B" w:rsidRDefault="002E467B" w:rsidP="002E467B">
      <w:pPr>
        <w:spacing w:after="0" w:line="240" w:lineRule="auto"/>
        <w:jc w:val="both"/>
        <w:rPr>
          <w:rFonts w:ascii="Verdana" w:hAnsi="Verdana" w:cs="Arial"/>
          <w:bCs/>
          <w:sz w:val="20"/>
          <w:lang w:eastAsia="es-ES"/>
        </w:rPr>
      </w:pPr>
      <w:r w:rsidRPr="002E467B">
        <w:rPr>
          <w:rFonts w:ascii="Verdana" w:hAnsi="Verdana" w:cs="Arial"/>
          <w:bCs/>
          <w:sz w:val="20"/>
          <w:lang w:eastAsia="es-ES"/>
        </w:rPr>
        <w:t>En consecuencia, la entidad no puede recalificar, reinterpretar, desagregar, desconocer o modificar la experiencia registrada en el RUP, pues implicaría sustituir la función certificadora de la Cámara de Comercio y vulnerar los principios de legalidad, buena fe y confianza legítima. Su competencia se limita a verificar si lo certificado en el RUP cumple o no con lo exigido en el pliego de condiciones del respectivo proceso de contratación, sin introducir criterios adicionales ni reinterpretaciones discrecionales que desconozca la libre competencia y la selección objetiva.</w:t>
      </w:r>
    </w:p>
    <w:p w14:paraId="272ECBD7" w14:textId="77777777" w:rsidR="002E467B" w:rsidRPr="001079E4" w:rsidRDefault="002E467B" w:rsidP="002E467B">
      <w:pPr>
        <w:spacing w:after="0" w:line="240" w:lineRule="auto"/>
        <w:jc w:val="both"/>
        <w:rPr>
          <w:rFonts w:ascii="Verdana" w:hAnsi="Verdana" w:cs="Arial"/>
          <w:b/>
          <w:bCs/>
          <w:lang w:eastAsia="es-ES"/>
        </w:rPr>
      </w:pPr>
    </w:p>
    <w:p w14:paraId="51A2B4CE" w14:textId="4E58EAE1" w:rsidR="001079E4" w:rsidRDefault="001079E4" w:rsidP="002E467B">
      <w:pPr>
        <w:spacing w:after="0" w:line="240" w:lineRule="auto"/>
        <w:jc w:val="both"/>
        <w:rPr>
          <w:rFonts w:ascii="Verdana" w:hAnsi="Verdana" w:cs="Arial"/>
          <w:b/>
          <w:bCs/>
          <w:lang w:eastAsia="es-ES"/>
        </w:rPr>
      </w:pPr>
      <w:r w:rsidRPr="001079E4">
        <w:rPr>
          <w:rFonts w:ascii="Verdana" w:hAnsi="Verdana" w:cs="Arial"/>
          <w:b/>
          <w:bCs/>
          <w:lang w:eastAsia="es-ES"/>
        </w:rPr>
        <w:t xml:space="preserve">EXPERIENCIA PERSONA JURÍDICA – Independencia – Accionistas, Socios y Constituyentes. </w:t>
      </w:r>
    </w:p>
    <w:p w14:paraId="443786B1" w14:textId="7D698C0D" w:rsidR="001079E4" w:rsidRDefault="001079E4" w:rsidP="002E467B">
      <w:pPr>
        <w:spacing w:after="0" w:line="240" w:lineRule="auto"/>
        <w:jc w:val="both"/>
        <w:rPr>
          <w:rFonts w:ascii="Verdana" w:hAnsi="Verdana" w:cs="Arial"/>
          <w:b/>
          <w:bCs/>
          <w:lang w:eastAsia="es-ES"/>
        </w:rPr>
      </w:pPr>
    </w:p>
    <w:p w14:paraId="49659E23" w14:textId="77777777" w:rsidR="002E467B" w:rsidRPr="00AE5BC5" w:rsidRDefault="002E467B" w:rsidP="002E467B">
      <w:pPr>
        <w:spacing w:after="0" w:line="240" w:lineRule="auto"/>
        <w:jc w:val="both"/>
        <w:rPr>
          <w:rFonts w:ascii="Verdana" w:eastAsia="Calibri" w:hAnsi="Verdana" w:cs="Arial"/>
          <w:sz w:val="20"/>
          <w:szCs w:val="20"/>
        </w:rPr>
      </w:pPr>
      <w:r w:rsidRPr="00AE5BC5">
        <w:rPr>
          <w:rFonts w:ascii="Verdana" w:eastAsia="Calibri" w:hAnsi="Verdana" w:cs="Arial"/>
          <w:color w:val="000000"/>
          <w:sz w:val="20"/>
          <w:szCs w:val="20"/>
        </w:rPr>
        <w:t xml:space="preserve">[…] </w:t>
      </w:r>
      <w:r w:rsidRPr="00AE5BC5">
        <w:rPr>
          <w:rFonts w:ascii="Verdana" w:eastAsia="Calibri" w:hAnsi="Verdana" w:cs="Arial"/>
          <w:sz w:val="20"/>
          <w:szCs w:val="20"/>
        </w:rPr>
        <w:t xml:space="preserve">la constitución en debida forma del ente societario implica, a su vez, que la misma obtenga plena capacidad y representación autónoma, y en consecuencia se desligue de los socios constituyentes, dándole vida de este modo a una nueva persona. Esto evidencia que el ente societario constituye también una persona diferente a la de sus accionistas, socios o constituyentes individualmente considerados, pues, el ejercicio de sus actividades se realiza en nombre de dicha persona jurídica. </w:t>
      </w:r>
    </w:p>
    <w:p w14:paraId="5A708AEA" w14:textId="77777777" w:rsidR="002E467B" w:rsidRPr="00AE5BC5" w:rsidRDefault="002E467B" w:rsidP="002E467B">
      <w:pPr>
        <w:spacing w:after="0" w:line="240" w:lineRule="auto"/>
        <w:jc w:val="both"/>
        <w:rPr>
          <w:rFonts w:ascii="Verdana" w:eastAsia="Calibri" w:hAnsi="Verdana" w:cs="Arial"/>
          <w:color w:val="000000"/>
          <w:sz w:val="20"/>
          <w:szCs w:val="20"/>
        </w:rPr>
      </w:pPr>
    </w:p>
    <w:p w14:paraId="2A8E29EC" w14:textId="77777777" w:rsidR="002E467B" w:rsidRPr="00AE5BC5" w:rsidRDefault="002E467B" w:rsidP="002E467B">
      <w:pPr>
        <w:spacing w:after="0" w:line="240" w:lineRule="auto"/>
        <w:jc w:val="both"/>
        <w:rPr>
          <w:rFonts w:ascii="Verdana" w:eastAsia="Calibri" w:hAnsi="Verdana" w:cs="Arial"/>
          <w:sz w:val="20"/>
          <w:szCs w:val="20"/>
        </w:rPr>
      </w:pPr>
      <w:r w:rsidRPr="00AE5BC5">
        <w:rPr>
          <w:rFonts w:ascii="Verdana" w:eastAsia="Calibri" w:hAnsi="Verdana" w:cs="Arial"/>
          <w:sz w:val="20"/>
          <w:szCs w:val="20"/>
        </w:rPr>
        <w:t>En línea con lo anterior, es evidente que los contratos suscritos por una sociedad son celebrados en nombre y representación de la persona jurídica, razón por la cual hacen parte de la experiencia adquirida por la persona ficticia capaz de ejercer derechos y contraer obligaciones, sin que ella pueda hacer parte de la experiencia de las personas que la conforman, esto es, sus accionistas, socios o constituyentes individualmente considerados.</w:t>
      </w:r>
    </w:p>
    <w:p w14:paraId="2AEB0054" w14:textId="77777777" w:rsidR="002E467B" w:rsidRPr="00AE5BC5" w:rsidRDefault="002E467B" w:rsidP="002E467B">
      <w:pPr>
        <w:spacing w:after="0" w:line="240" w:lineRule="auto"/>
        <w:jc w:val="both"/>
        <w:rPr>
          <w:rFonts w:ascii="Verdana" w:eastAsia="Calibri" w:hAnsi="Verdana" w:cs="Arial"/>
          <w:sz w:val="20"/>
          <w:szCs w:val="20"/>
        </w:rPr>
      </w:pPr>
    </w:p>
    <w:p w14:paraId="147855D5" w14:textId="77777777" w:rsidR="002E467B" w:rsidRPr="00AE5BC5" w:rsidRDefault="002E467B" w:rsidP="002E467B">
      <w:pPr>
        <w:spacing w:after="0" w:line="240" w:lineRule="auto"/>
        <w:jc w:val="both"/>
        <w:rPr>
          <w:rFonts w:ascii="Verdana" w:eastAsia="Calibri" w:hAnsi="Verdana" w:cs="Arial"/>
          <w:sz w:val="20"/>
          <w:szCs w:val="20"/>
        </w:rPr>
      </w:pPr>
      <w:r w:rsidRPr="00AE5BC5">
        <w:rPr>
          <w:rFonts w:ascii="Verdana" w:eastAsia="Calibri" w:hAnsi="Verdana" w:cs="Arial"/>
          <w:sz w:val="20"/>
          <w:szCs w:val="20"/>
        </w:rPr>
        <w:lastRenderedPageBreak/>
        <w:t>En conclusión, un accionista, socio o constituyente de una sociedad no podría tomar como propia e individual la experiencia adquirida por la sociedad como persona ficticia. Es decir, el artículo 2.5 del artículo 2.2.1.1.1.5.2 del Decreto 1082 de 2015 consagra la posibilidad de que la persona jurídica pueda acreditar la experiencia de sus accionistas, socios o constituyentes en las condiciones descritas por la norma, descartando la posibilidad de que la experiencia se transfiera de la sociedad a las personas que la conforman.</w:t>
      </w:r>
    </w:p>
    <w:p w14:paraId="552EC2A3" w14:textId="49A9B648" w:rsidR="002E467B" w:rsidRDefault="002E467B" w:rsidP="001079E4">
      <w:pPr>
        <w:spacing w:after="0" w:line="276" w:lineRule="auto"/>
        <w:jc w:val="both"/>
        <w:rPr>
          <w:rFonts w:ascii="Verdana" w:hAnsi="Verdana" w:cs="Arial"/>
          <w:b/>
          <w:bCs/>
          <w:lang w:eastAsia="es-ES"/>
        </w:rPr>
      </w:pPr>
    </w:p>
    <w:p w14:paraId="0EC2C931" w14:textId="3FC0D426" w:rsidR="002E467B" w:rsidRDefault="002E467B" w:rsidP="001079E4">
      <w:pPr>
        <w:spacing w:after="0" w:line="276" w:lineRule="auto"/>
        <w:jc w:val="both"/>
        <w:rPr>
          <w:rFonts w:ascii="Verdana" w:hAnsi="Verdana" w:cs="Arial"/>
          <w:b/>
          <w:bCs/>
          <w:lang w:eastAsia="es-ES"/>
        </w:rPr>
      </w:pPr>
    </w:p>
    <w:p w14:paraId="63978AD9" w14:textId="71CC8CC9" w:rsidR="002E467B" w:rsidRDefault="002E467B" w:rsidP="001079E4">
      <w:pPr>
        <w:spacing w:after="0" w:line="276" w:lineRule="auto"/>
        <w:jc w:val="both"/>
        <w:rPr>
          <w:rFonts w:ascii="Verdana" w:hAnsi="Verdana" w:cs="Arial"/>
          <w:b/>
          <w:bCs/>
          <w:lang w:eastAsia="es-ES"/>
        </w:rPr>
      </w:pPr>
    </w:p>
    <w:p w14:paraId="4F41EF9B" w14:textId="740D613A" w:rsidR="002E467B" w:rsidRDefault="002E467B" w:rsidP="001079E4">
      <w:pPr>
        <w:spacing w:after="0" w:line="276" w:lineRule="auto"/>
        <w:jc w:val="both"/>
        <w:rPr>
          <w:rFonts w:ascii="Verdana" w:hAnsi="Verdana" w:cs="Arial"/>
          <w:b/>
          <w:bCs/>
          <w:lang w:eastAsia="es-ES"/>
        </w:rPr>
      </w:pPr>
    </w:p>
    <w:p w14:paraId="4057D971" w14:textId="60B6CDE5" w:rsidR="002E467B" w:rsidRDefault="002E467B" w:rsidP="001079E4">
      <w:pPr>
        <w:spacing w:after="0" w:line="276" w:lineRule="auto"/>
        <w:jc w:val="both"/>
        <w:rPr>
          <w:rFonts w:ascii="Verdana" w:hAnsi="Verdana" w:cs="Arial"/>
          <w:b/>
          <w:bCs/>
          <w:lang w:eastAsia="es-ES"/>
        </w:rPr>
      </w:pPr>
    </w:p>
    <w:p w14:paraId="6005B869" w14:textId="0EA95C23" w:rsidR="002E467B" w:rsidRDefault="002E467B" w:rsidP="001079E4">
      <w:pPr>
        <w:spacing w:after="0" w:line="276" w:lineRule="auto"/>
        <w:jc w:val="both"/>
        <w:rPr>
          <w:rFonts w:ascii="Verdana" w:hAnsi="Verdana" w:cs="Arial"/>
          <w:b/>
          <w:bCs/>
          <w:lang w:eastAsia="es-ES"/>
        </w:rPr>
      </w:pPr>
    </w:p>
    <w:p w14:paraId="12405C2C" w14:textId="4477302D" w:rsidR="002E467B" w:rsidRDefault="002E467B" w:rsidP="001079E4">
      <w:pPr>
        <w:spacing w:after="0" w:line="276" w:lineRule="auto"/>
        <w:jc w:val="both"/>
        <w:rPr>
          <w:rFonts w:ascii="Verdana" w:hAnsi="Verdana" w:cs="Arial"/>
          <w:b/>
          <w:bCs/>
          <w:lang w:eastAsia="es-ES"/>
        </w:rPr>
      </w:pPr>
    </w:p>
    <w:p w14:paraId="2B8018AC" w14:textId="50B43390" w:rsidR="002E467B" w:rsidRDefault="002E467B" w:rsidP="001079E4">
      <w:pPr>
        <w:spacing w:after="0" w:line="276" w:lineRule="auto"/>
        <w:jc w:val="both"/>
        <w:rPr>
          <w:rFonts w:ascii="Verdana" w:hAnsi="Verdana" w:cs="Arial"/>
          <w:b/>
          <w:bCs/>
          <w:lang w:eastAsia="es-ES"/>
        </w:rPr>
      </w:pPr>
    </w:p>
    <w:p w14:paraId="2C2AF17B" w14:textId="604C3BE4" w:rsidR="002E467B" w:rsidRDefault="002E467B" w:rsidP="001079E4">
      <w:pPr>
        <w:spacing w:after="0" w:line="276" w:lineRule="auto"/>
        <w:jc w:val="both"/>
        <w:rPr>
          <w:rFonts w:ascii="Verdana" w:hAnsi="Verdana" w:cs="Arial"/>
          <w:b/>
          <w:bCs/>
          <w:lang w:eastAsia="es-ES"/>
        </w:rPr>
      </w:pPr>
    </w:p>
    <w:p w14:paraId="67A2771D" w14:textId="5DF7F1E9" w:rsidR="002E467B" w:rsidRDefault="002E467B" w:rsidP="001079E4">
      <w:pPr>
        <w:spacing w:after="0" w:line="276" w:lineRule="auto"/>
        <w:jc w:val="both"/>
        <w:rPr>
          <w:rFonts w:ascii="Verdana" w:hAnsi="Verdana" w:cs="Arial"/>
          <w:b/>
          <w:bCs/>
          <w:lang w:eastAsia="es-ES"/>
        </w:rPr>
      </w:pPr>
    </w:p>
    <w:p w14:paraId="0C086F89" w14:textId="1C6947D4" w:rsidR="002E467B" w:rsidRDefault="002E467B" w:rsidP="001079E4">
      <w:pPr>
        <w:spacing w:after="0" w:line="276" w:lineRule="auto"/>
        <w:jc w:val="both"/>
        <w:rPr>
          <w:rFonts w:ascii="Verdana" w:hAnsi="Verdana" w:cs="Arial"/>
          <w:b/>
          <w:bCs/>
          <w:lang w:eastAsia="es-ES"/>
        </w:rPr>
      </w:pPr>
    </w:p>
    <w:p w14:paraId="0DF553E7" w14:textId="6C3A0533" w:rsidR="002E467B" w:rsidRDefault="002E467B" w:rsidP="001079E4">
      <w:pPr>
        <w:spacing w:after="0" w:line="276" w:lineRule="auto"/>
        <w:jc w:val="both"/>
        <w:rPr>
          <w:rFonts w:ascii="Verdana" w:hAnsi="Verdana" w:cs="Arial"/>
          <w:b/>
          <w:bCs/>
          <w:lang w:eastAsia="es-ES"/>
        </w:rPr>
      </w:pPr>
    </w:p>
    <w:p w14:paraId="08E6779B" w14:textId="12CB1DBC" w:rsidR="002E467B" w:rsidRDefault="002E467B" w:rsidP="001079E4">
      <w:pPr>
        <w:spacing w:after="0" w:line="276" w:lineRule="auto"/>
        <w:jc w:val="both"/>
        <w:rPr>
          <w:rFonts w:ascii="Verdana" w:hAnsi="Verdana" w:cs="Arial"/>
          <w:b/>
          <w:bCs/>
          <w:lang w:eastAsia="es-ES"/>
        </w:rPr>
      </w:pPr>
    </w:p>
    <w:p w14:paraId="154063AE" w14:textId="0372130B" w:rsidR="002E467B" w:rsidRDefault="002E467B" w:rsidP="001079E4">
      <w:pPr>
        <w:spacing w:after="0" w:line="276" w:lineRule="auto"/>
        <w:jc w:val="both"/>
        <w:rPr>
          <w:rFonts w:ascii="Verdana" w:hAnsi="Verdana" w:cs="Arial"/>
          <w:b/>
          <w:bCs/>
          <w:lang w:eastAsia="es-ES"/>
        </w:rPr>
      </w:pPr>
    </w:p>
    <w:p w14:paraId="4A513F33" w14:textId="3BBF19A5" w:rsidR="002E467B" w:rsidRDefault="002E467B" w:rsidP="001079E4">
      <w:pPr>
        <w:spacing w:after="0" w:line="276" w:lineRule="auto"/>
        <w:jc w:val="both"/>
        <w:rPr>
          <w:rFonts w:ascii="Verdana" w:hAnsi="Verdana" w:cs="Arial"/>
          <w:b/>
          <w:bCs/>
          <w:lang w:eastAsia="es-ES"/>
        </w:rPr>
      </w:pPr>
    </w:p>
    <w:p w14:paraId="2D479F91" w14:textId="215FB4E7" w:rsidR="002E467B" w:rsidRDefault="002E467B" w:rsidP="001079E4">
      <w:pPr>
        <w:spacing w:after="0" w:line="276" w:lineRule="auto"/>
        <w:jc w:val="both"/>
        <w:rPr>
          <w:rFonts w:ascii="Verdana" w:hAnsi="Verdana" w:cs="Arial"/>
          <w:b/>
          <w:bCs/>
          <w:lang w:eastAsia="es-ES"/>
        </w:rPr>
      </w:pPr>
    </w:p>
    <w:p w14:paraId="6FABC247" w14:textId="50996848" w:rsidR="002E467B" w:rsidRDefault="002E467B" w:rsidP="001079E4">
      <w:pPr>
        <w:spacing w:after="0" w:line="276" w:lineRule="auto"/>
        <w:jc w:val="both"/>
        <w:rPr>
          <w:rFonts w:ascii="Verdana" w:hAnsi="Verdana" w:cs="Arial"/>
          <w:b/>
          <w:bCs/>
          <w:lang w:eastAsia="es-ES"/>
        </w:rPr>
      </w:pPr>
    </w:p>
    <w:p w14:paraId="284276DD" w14:textId="5AA81478" w:rsidR="002E467B" w:rsidRDefault="002E467B" w:rsidP="001079E4">
      <w:pPr>
        <w:spacing w:after="0" w:line="276" w:lineRule="auto"/>
        <w:jc w:val="both"/>
        <w:rPr>
          <w:rFonts w:ascii="Verdana" w:hAnsi="Verdana" w:cs="Arial"/>
          <w:b/>
          <w:bCs/>
          <w:lang w:eastAsia="es-ES"/>
        </w:rPr>
      </w:pPr>
    </w:p>
    <w:p w14:paraId="7D262A37" w14:textId="327A30E5" w:rsidR="002E467B" w:rsidRDefault="002E467B" w:rsidP="001079E4">
      <w:pPr>
        <w:spacing w:after="0" w:line="276" w:lineRule="auto"/>
        <w:jc w:val="both"/>
        <w:rPr>
          <w:rFonts w:ascii="Verdana" w:hAnsi="Verdana" w:cs="Arial"/>
          <w:b/>
          <w:bCs/>
          <w:lang w:eastAsia="es-ES"/>
        </w:rPr>
      </w:pPr>
    </w:p>
    <w:p w14:paraId="14B285FB" w14:textId="6FCCC28D" w:rsidR="002E467B" w:rsidRDefault="002E467B" w:rsidP="001079E4">
      <w:pPr>
        <w:spacing w:after="0" w:line="276" w:lineRule="auto"/>
        <w:jc w:val="both"/>
        <w:rPr>
          <w:rFonts w:ascii="Verdana" w:hAnsi="Verdana" w:cs="Arial"/>
          <w:b/>
          <w:bCs/>
          <w:lang w:eastAsia="es-ES"/>
        </w:rPr>
      </w:pPr>
    </w:p>
    <w:p w14:paraId="1D509668" w14:textId="7502A68A" w:rsidR="002E467B" w:rsidRDefault="002E467B" w:rsidP="001079E4">
      <w:pPr>
        <w:spacing w:after="0" w:line="276" w:lineRule="auto"/>
        <w:jc w:val="both"/>
        <w:rPr>
          <w:rFonts w:ascii="Verdana" w:hAnsi="Verdana" w:cs="Arial"/>
          <w:b/>
          <w:bCs/>
          <w:lang w:eastAsia="es-ES"/>
        </w:rPr>
      </w:pPr>
    </w:p>
    <w:p w14:paraId="01BBEEA1" w14:textId="0A57DF29" w:rsidR="002E467B" w:rsidRDefault="002E467B" w:rsidP="001079E4">
      <w:pPr>
        <w:spacing w:after="0" w:line="276" w:lineRule="auto"/>
        <w:jc w:val="both"/>
        <w:rPr>
          <w:rFonts w:ascii="Verdana" w:hAnsi="Verdana" w:cs="Arial"/>
          <w:b/>
          <w:bCs/>
          <w:lang w:eastAsia="es-ES"/>
        </w:rPr>
      </w:pPr>
    </w:p>
    <w:p w14:paraId="6818EA47" w14:textId="72E0DCFC" w:rsidR="002E467B" w:rsidRDefault="002E467B" w:rsidP="001079E4">
      <w:pPr>
        <w:spacing w:after="0" w:line="276" w:lineRule="auto"/>
        <w:jc w:val="both"/>
        <w:rPr>
          <w:rFonts w:ascii="Verdana" w:hAnsi="Verdana" w:cs="Arial"/>
          <w:b/>
          <w:bCs/>
          <w:lang w:eastAsia="es-ES"/>
        </w:rPr>
      </w:pPr>
    </w:p>
    <w:p w14:paraId="378AB273" w14:textId="39810A91" w:rsidR="002E467B" w:rsidRDefault="002E467B" w:rsidP="001079E4">
      <w:pPr>
        <w:spacing w:after="0" w:line="276" w:lineRule="auto"/>
        <w:jc w:val="both"/>
        <w:rPr>
          <w:rFonts w:ascii="Verdana" w:hAnsi="Verdana" w:cs="Arial"/>
          <w:b/>
          <w:bCs/>
          <w:lang w:eastAsia="es-ES"/>
        </w:rPr>
      </w:pPr>
    </w:p>
    <w:p w14:paraId="267F2CED" w14:textId="3CF2E4E4" w:rsidR="002E467B" w:rsidRDefault="002E467B" w:rsidP="001079E4">
      <w:pPr>
        <w:spacing w:after="0" w:line="276" w:lineRule="auto"/>
        <w:jc w:val="both"/>
        <w:rPr>
          <w:rFonts w:ascii="Verdana" w:hAnsi="Verdana" w:cs="Arial"/>
          <w:b/>
          <w:bCs/>
          <w:lang w:eastAsia="es-ES"/>
        </w:rPr>
      </w:pPr>
    </w:p>
    <w:p w14:paraId="4D43D36C" w14:textId="3A48BAC7" w:rsidR="002E467B" w:rsidRDefault="002E467B" w:rsidP="001079E4">
      <w:pPr>
        <w:spacing w:after="0" w:line="276" w:lineRule="auto"/>
        <w:jc w:val="both"/>
        <w:rPr>
          <w:rFonts w:ascii="Verdana" w:hAnsi="Verdana" w:cs="Arial"/>
          <w:b/>
          <w:bCs/>
          <w:lang w:eastAsia="es-ES"/>
        </w:rPr>
      </w:pPr>
    </w:p>
    <w:p w14:paraId="13323837" w14:textId="4AB1B779" w:rsidR="002E467B" w:rsidRDefault="002E467B" w:rsidP="001079E4">
      <w:pPr>
        <w:spacing w:after="0" w:line="276" w:lineRule="auto"/>
        <w:jc w:val="both"/>
        <w:rPr>
          <w:rFonts w:ascii="Verdana" w:hAnsi="Verdana" w:cs="Arial"/>
          <w:b/>
          <w:bCs/>
          <w:lang w:eastAsia="es-ES"/>
        </w:rPr>
      </w:pPr>
    </w:p>
    <w:p w14:paraId="1ED87526" w14:textId="3CD2AFCA" w:rsidR="002E467B" w:rsidRDefault="002E467B" w:rsidP="001079E4">
      <w:pPr>
        <w:spacing w:after="0" w:line="276" w:lineRule="auto"/>
        <w:jc w:val="both"/>
        <w:rPr>
          <w:rFonts w:ascii="Verdana" w:hAnsi="Verdana" w:cs="Arial"/>
          <w:b/>
          <w:bCs/>
          <w:lang w:eastAsia="es-ES"/>
        </w:rPr>
      </w:pPr>
    </w:p>
    <w:p w14:paraId="79AEBC1C" w14:textId="7085D279" w:rsidR="002E467B" w:rsidRDefault="002E467B" w:rsidP="001079E4">
      <w:pPr>
        <w:spacing w:after="0" w:line="276" w:lineRule="auto"/>
        <w:jc w:val="both"/>
        <w:rPr>
          <w:rFonts w:ascii="Verdana" w:hAnsi="Verdana" w:cs="Arial"/>
          <w:b/>
          <w:bCs/>
          <w:lang w:eastAsia="es-ES"/>
        </w:rPr>
      </w:pPr>
    </w:p>
    <w:p w14:paraId="58E87287" w14:textId="5EF322C0" w:rsidR="002E467B" w:rsidRDefault="002E467B" w:rsidP="001079E4">
      <w:pPr>
        <w:spacing w:after="0" w:line="276" w:lineRule="auto"/>
        <w:jc w:val="both"/>
        <w:rPr>
          <w:rFonts w:ascii="Verdana" w:hAnsi="Verdana" w:cs="Arial"/>
          <w:b/>
          <w:bCs/>
          <w:lang w:eastAsia="es-ES"/>
        </w:rPr>
      </w:pPr>
    </w:p>
    <w:p w14:paraId="5CCB4430" w14:textId="5B57852A" w:rsidR="008C1CAA" w:rsidRPr="00D1624A" w:rsidRDefault="001079E4" w:rsidP="008C1CAA">
      <w:pPr>
        <w:spacing w:after="0" w:line="240" w:lineRule="auto"/>
        <w:rPr>
          <w:rFonts w:ascii="Verdana" w:hAnsi="Verdana"/>
        </w:rPr>
      </w:pPr>
      <w:bookmarkStart w:id="1" w:name="_GoBack"/>
      <w:r w:rsidRPr="001079E4">
        <w:rPr>
          <w:rFonts w:ascii="Verdana" w:hAnsi="Verdana"/>
          <w:noProof/>
          <w:lang w:val="en-US"/>
        </w:rPr>
        <w:lastRenderedPageBreak/>
        <w:drawing>
          <wp:anchor distT="0" distB="0" distL="114300" distR="114300" simplePos="0" relativeHeight="251658240" behindDoc="0" locked="0" layoutInCell="1" allowOverlap="1" wp14:anchorId="319A4D3E" wp14:editId="4FE53DAA">
            <wp:simplePos x="0" y="0"/>
            <wp:positionH relativeFrom="column">
              <wp:posOffset>2598004</wp:posOffset>
            </wp:positionH>
            <wp:positionV relativeFrom="paragraph">
              <wp:posOffset>234906</wp:posOffset>
            </wp:positionV>
            <wp:extent cx="2994660" cy="82677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94660" cy="82677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
      <w:r w:rsidR="008C1CAA" w:rsidRPr="0024624F">
        <w:rPr>
          <w:rFonts w:ascii="Verdana" w:hAnsi="Verdana"/>
        </w:rPr>
        <w:t xml:space="preserve">Bogotá D.C., </w:t>
      </w:r>
      <w:r>
        <w:rPr>
          <w:rFonts w:ascii="Verdana" w:hAnsi="Verdana"/>
        </w:rPr>
        <w:t>30 de diciembre de 2025</w:t>
      </w:r>
      <w:r w:rsidR="008C1CAA" w:rsidRPr="000E2B93">
        <w:rPr>
          <w:rFonts w:ascii="Verdana" w:hAnsi="Verdana"/>
        </w:rPr>
        <w:tab/>
      </w:r>
      <w:r w:rsidR="008C1CAA" w:rsidRPr="000E2B93">
        <w:rPr>
          <w:rFonts w:ascii="Verdana" w:hAnsi="Verdana"/>
        </w:rPr>
        <w:br/>
      </w:r>
    </w:p>
    <w:p w14:paraId="7D03C98A" w14:textId="75D85F71" w:rsidR="008C1CAA" w:rsidRPr="00D1624A" w:rsidRDefault="008C1CAA" w:rsidP="008C1CAA">
      <w:pPr>
        <w:spacing w:after="0" w:line="240" w:lineRule="auto"/>
        <w:rPr>
          <w:rFonts w:ascii="Verdana" w:hAnsi="Verdana"/>
        </w:rPr>
      </w:pPr>
    </w:p>
    <w:p w14:paraId="1557A6C0" w14:textId="77777777" w:rsidR="008C1CAA" w:rsidRPr="00D1624A" w:rsidRDefault="008C1CAA" w:rsidP="008C1CAA">
      <w:pPr>
        <w:spacing w:after="0" w:line="240" w:lineRule="auto"/>
        <w:rPr>
          <w:rFonts w:ascii="Verdana" w:eastAsia="Calibri" w:hAnsi="Verdana" w:cs="Times New Roman"/>
          <w:lang w:val="es-MX"/>
        </w:rPr>
      </w:pPr>
      <w:r w:rsidRPr="00D1624A">
        <w:rPr>
          <w:rFonts w:ascii="Verdana" w:eastAsia="Calibri" w:hAnsi="Verdana" w:cs="Times New Roman"/>
          <w:lang w:val="es-MX"/>
        </w:rPr>
        <w:t>Señor</w:t>
      </w:r>
    </w:p>
    <w:p w14:paraId="5EA4D1B7" w14:textId="77777777" w:rsidR="008C1CAA" w:rsidRPr="00D1624A" w:rsidRDefault="008C1CAA" w:rsidP="008C1CAA">
      <w:pPr>
        <w:spacing w:after="0" w:line="240" w:lineRule="auto"/>
        <w:rPr>
          <w:rFonts w:ascii="Verdana" w:eastAsia="Calibri" w:hAnsi="Verdana" w:cs="Times New Roman"/>
          <w:b/>
          <w:bCs/>
          <w:lang w:val="es-MX"/>
        </w:rPr>
      </w:pPr>
      <w:r w:rsidRPr="00D1624A">
        <w:rPr>
          <w:rFonts w:ascii="Verdana" w:eastAsia="Calibri" w:hAnsi="Verdana" w:cs="Times New Roman"/>
          <w:b/>
          <w:bCs/>
          <w:lang w:val="es-MX"/>
        </w:rPr>
        <w:t>Eustorgio Rodado Fuentes</w:t>
      </w:r>
    </w:p>
    <w:p w14:paraId="740E3BA2" w14:textId="77777777" w:rsidR="008C1CAA" w:rsidRPr="00D1624A" w:rsidRDefault="00CA1097" w:rsidP="008C1CAA">
      <w:pPr>
        <w:spacing w:after="0" w:line="240" w:lineRule="auto"/>
        <w:rPr>
          <w:rFonts w:ascii="Verdana" w:hAnsi="Verdana"/>
        </w:rPr>
      </w:pPr>
      <w:hyperlink r:id="rId12" w:history="1">
        <w:r w:rsidR="008C1CAA" w:rsidRPr="00D1624A">
          <w:rPr>
            <w:rStyle w:val="Hipervnculo"/>
            <w:rFonts w:ascii="Verdana" w:hAnsi="Verdana"/>
          </w:rPr>
          <w:t>contacto@fingerprintsas.com</w:t>
        </w:r>
      </w:hyperlink>
      <w:r w:rsidR="008C1CAA" w:rsidRPr="00D1624A">
        <w:rPr>
          <w:rFonts w:ascii="Verdana" w:hAnsi="Verdana"/>
        </w:rPr>
        <w:t xml:space="preserve"> </w:t>
      </w:r>
    </w:p>
    <w:p w14:paraId="6112B41B" w14:textId="77777777" w:rsidR="008C1CAA" w:rsidRPr="00D1624A" w:rsidRDefault="008C1CAA" w:rsidP="008C1CAA">
      <w:pPr>
        <w:spacing w:after="0" w:line="240" w:lineRule="auto"/>
        <w:rPr>
          <w:rFonts w:ascii="Verdana" w:eastAsia="Calibri" w:hAnsi="Verdana" w:cs="Times New Roman"/>
        </w:rPr>
      </w:pPr>
      <w:r w:rsidRPr="00D1624A">
        <w:rPr>
          <w:rFonts w:ascii="Verdana" w:eastAsia="Calibri" w:hAnsi="Verdana" w:cs="Times New Roman"/>
        </w:rPr>
        <w:t>Bogotá D.C.</w:t>
      </w:r>
    </w:p>
    <w:p w14:paraId="25944C32" w14:textId="77777777" w:rsidR="008C1CAA" w:rsidRPr="00D1624A" w:rsidRDefault="008C1CAA" w:rsidP="008C1CAA">
      <w:pPr>
        <w:spacing w:after="0" w:line="240" w:lineRule="auto"/>
        <w:rPr>
          <w:rFonts w:ascii="Verdana" w:eastAsia="Calibri" w:hAnsi="Verdana" w:cs="Times New Roman"/>
        </w:rPr>
      </w:pPr>
    </w:p>
    <w:p w14:paraId="453BF294" w14:textId="77777777" w:rsidR="008C1CAA" w:rsidRPr="00D1624A" w:rsidRDefault="008C1CAA" w:rsidP="008C1CAA">
      <w:pPr>
        <w:spacing w:after="0" w:line="240" w:lineRule="auto"/>
        <w:rPr>
          <w:rFonts w:ascii="Verdana" w:eastAsia="Calibri" w:hAnsi="Verdana" w:cs="Times New Roman"/>
        </w:rPr>
      </w:pPr>
    </w:p>
    <w:p w14:paraId="27D5FE7E" w14:textId="77777777" w:rsidR="008C1CAA" w:rsidRPr="00B57A1B" w:rsidRDefault="008C1CAA" w:rsidP="008C1CAA">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C–1823 de 2025</w:t>
      </w:r>
    </w:p>
    <w:p w14:paraId="579102BC" w14:textId="77777777" w:rsidR="008C1CAA" w:rsidRPr="00B57A1B" w:rsidRDefault="008C1CAA" w:rsidP="008C1CAA">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8C1CAA" w:rsidRPr="00B57A1B" w14:paraId="1F7DAAF4" w14:textId="77777777" w:rsidTr="0029587D">
        <w:trPr>
          <w:trHeight w:val="645"/>
        </w:trPr>
        <w:tc>
          <w:tcPr>
            <w:tcW w:w="2685" w:type="dxa"/>
            <w:hideMark/>
          </w:tcPr>
          <w:p w14:paraId="7122D3C4" w14:textId="77777777" w:rsidR="008C1CAA" w:rsidRPr="00B57A1B" w:rsidRDefault="008C1CAA" w:rsidP="0029587D">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6022EE80" w14:textId="77777777" w:rsidR="008C1CAA" w:rsidRPr="00A6235D" w:rsidRDefault="008C1CAA" w:rsidP="0029587D">
            <w:pPr>
              <w:spacing w:line="276" w:lineRule="auto"/>
              <w:jc w:val="both"/>
              <w:rPr>
                <w:rFonts w:ascii="Verdana" w:hAnsi="Verdana" w:cs="Arial"/>
                <w:bCs/>
                <w:lang w:eastAsia="es-ES"/>
              </w:rPr>
            </w:pPr>
            <w:r w:rsidRPr="00307AFD">
              <w:rPr>
                <w:rFonts w:ascii="Verdana" w:hAnsi="Verdana" w:cs="Arial"/>
                <w:bCs/>
                <w:lang w:eastAsia="es-ES"/>
              </w:rPr>
              <w:t>EXPERIENCIA – Noción – Concepto / EXPERIENCIA – Transferencia – Accionistas, socios o constituyentes – Decreto 1082 de 2015</w:t>
            </w:r>
            <w:r>
              <w:rPr>
                <w:rFonts w:ascii="Verdana" w:hAnsi="Verdana" w:cs="Arial"/>
                <w:bCs/>
                <w:lang w:eastAsia="es-ES"/>
              </w:rPr>
              <w:t xml:space="preserve"> / EXPERIENCIA – Rol de la Entidad</w:t>
            </w:r>
            <w:r w:rsidRPr="00307AFD">
              <w:rPr>
                <w:rFonts w:ascii="Verdana" w:hAnsi="Verdana" w:cs="Arial"/>
                <w:bCs/>
                <w:lang w:eastAsia="es-ES"/>
              </w:rPr>
              <w:t xml:space="preserve"> / EXPERIENCIA PERSONA JURÍDICA – Independencia – Accionistas, Socios y Constituyentes</w:t>
            </w:r>
            <w:r>
              <w:rPr>
                <w:rFonts w:ascii="Verdana" w:hAnsi="Verdana" w:cs="Arial"/>
                <w:bCs/>
                <w:lang w:eastAsia="es-ES"/>
              </w:rPr>
              <w:t xml:space="preserve">. </w:t>
            </w:r>
          </w:p>
          <w:p w14:paraId="37249EB5" w14:textId="77777777" w:rsidR="008C1CAA" w:rsidRPr="007025D7" w:rsidRDefault="008C1CAA" w:rsidP="0029587D">
            <w:pPr>
              <w:spacing w:line="276" w:lineRule="auto"/>
              <w:jc w:val="both"/>
              <w:rPr>
                <w:rFonts w:ascii="Verdana" w:hAnsi="Verdana" w:cs="Arial"/>
                <w:bCs/>
                <w:lang w:val="es-ES_tradnl" w:eastAsia="es-ES"/>
              </w:rPr>
            </w:pPr>
          </w:p>
        </w:tc>
        <w:tc>
          <w:tcPr>
            <w:tcW w:w="6237" w:type="dxa"/>
          </w:tcPr>
          <w:p w14:paraId="12E96969" w14:textId="77777777" w:rsidR="008C1CAA" w:rsidRPr="004140B3" w:rsidRDefault="008C1CAA" w:rsidP="0029587D">
            <w:pPr>
              <w:spacing w:line="256" w:lineRule="auto"/>
              <w:rPr>
                <w:rFonts w:ascii="Verdana" w:hAnsi="Verdana"/>
                <w:lang w:val="es-ES"/>
              </w:rPr>
            </w:pPr>
          </w:p>
        </w:tc>
      </w:tr>
      <w:tr w:rsidR="008C1CAA" w:rsidRPr="00B57A1B" w14:paraId="789A69CC" w14:textId="77777777" w:rsidTr="0029587D">
        <w:tc>
          <w:tcPr>
            <w:tcW w:w="2685" w:type="dxa"/>
          </w:tcPr>
          <w:p w14:paraId="331402E5" w14:textId="77777777" w:rsidR="008C1CAA" w:rsidRPr="00B57A1B" w:rsidRDefault="008C1CAA" w:rsidP="0029587D">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21BFE422" w14:textId="77777777" w:rsidR="008C1CAA" w:rsidRPr="0068664A" w:rsidRDefault="008C1CAA" w:rsidP="0029587D">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4708AE">
              <w:rPr>
                <w:rFonts w:ascii="Verdana" w:hAnsi="Verdana"/>
              </w:rPr>
              <w:t>1_2025_12_12_013924</w:t>
            </w:r>
          </w:p>
          <w:p w14:paraId="599FB721" w14:textId="77777777" w:rsidR="008C1CAA" w:rsidRPr="00B57A1B" w:rsidRDefault="008C1CAA" w:rsidP="0029587D">
            <w:pPr>
              <w:spacing w:line="257" w:lineRule="auto"/>
              <w:jc w:val="both"/>
              <w:rPr>
                <w:rFonts w:ascii="Verdana" w:hAnsi="Verdana"/>
              </w:rPr>
            </w:pPr>
          </w:p>
          <w:p w14:paraId="5F415177" w14:textId="77777777" w:rsidR="008C1CAA" w:rsidRPr="00B57A1B" w:rsidRDefault="008C1CAA" w:rsidP="0029587D">
            <w:pPr>
              <w:spacing w:line="257" w:lineRule="auto"/>
              <w:jc w:val="both"/>
              <w:rPr>
                <w:rFonts w:ascii="Verdana" w:hAnsi="Verdana"/>
              </w:rPr>
            </w:pPr>
          </w:p>
        </w:tc>
        <w:tc>
          <w:tcPr>
            <w:tcW w:w="6237" w:type="dxa"/>
          </w:tcPr>
          <w:p w14:paraId="67DF3252" w14:textId="77777777" w:rsidR="008C1CAA" w:rsidRPr="00B57A1B" w:rsidRDefault="008C1CAA" w:rsidP="0029587D">
            <w:pPr>
              <w:spacing w:line="256" w:lineRule="auto"/>
              <w:rPr>
                <w:rFonts w:ascii="Verdana" w:hAnsi="Verdana"/>
                <w:lang w:val="es-ES_tradnl"/>
              </w:rPr>
            </w:pPr>
          </w:p>
        </w:tc>
      </w:tr>
    </w:tbl>
    <w:p w14:paraId="56D9BA88" w14:textId="77777777" w:rsidR="008C1CAA" w:rsidRPr="00B57A1B" w:rsidRDefault="008C1CAA" w:rsidP="008C1CAA">
      <w:pPr>
        <w:spacing w:after="0" w:line="256" w:lineRule="auto"/>
        <w:rPr>
          <w:rFonts w:ascii="Verdana" w:eastAsia="Calibri" w:hAnsi="Verdana" w:cs="Times New Roman"/>
          <w:lang w:val="es-ES"/>
        </w:rPr>
      </w:pPr>
      <w:r>
        <w:rPr>
          <w:rFonts w:ascii="Verdana" w:eastAsia="Calibri" w:hAnsi="Verdana" w:cs="Times New Roman"/>
          <w:lang w:val="es-ES"/>
        </w:rPr>
        <w:t>Estimado Señor Rodado:</w:t>
      </w:r>
    </w:p>
    <w:p w14:paraId="79D5E452" w14:textId="77777777" w:rsidR="008C1CAA" w:rsidRPr="00B57A1B" w:rsidRDefault="008C1CAA" w:rsidP="008C1CAA">
      <w:pPr>
        <w:spacing w:after="0" w:line="256" w:lineRule="auto"/>
        <w:rPr>
          <w:rFonts w:ascii="Verdana" w:eastAsia="Calibri" w:hAnsi="Verdana" w:cs="Times New Roman"/>
          <w:lang w:val="es-ES"/>
        </w:rPr>
      </w:pPr>
    </w:p>
    <w:p w14:paraId="1DA513BB" w14:textId="77777777" w:rsidR="008C1CAA" w:rsidRDefault="008C1CAA" w:rsidP="008C1CAA">
      <w:pPr>
        <w:spacing w:after="0" w:line="276" w:lineRule="auto"/>
        <w:jc w:val="both"/>
        <w:rPr>
          <w:rFonts w:ascii="Verdana" w:eastAsia="Calibri" w:hAnsi="Verdana" w:cs="Times New Roman"/>
          <w:bCs/>
          <w:lang w:val="es-ES" w:bidi="es-ES"/>
        </w:rPr>
      </w:pPr>
      <w:r w:rsidRPr="008F6705">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w:t>
      </w:r>
      <w:r>
        <w:rPr>
          <w:rFonts w:ascii="Verdana" w:eastAsia="Calibri" w:hAnsi="Verdana" w:cs="Times New Roman"/>
          <w:bCs/>
          <w:lang w:bidi="es-ES"/>
        </w:rPr>
        <w:t>así como lo establecido en la Re</w:t>
      </w:r>
      <w:r w:rsidRPr="008F6705">
        <w:rPr>
          <w:rFonts w:ascii="Verdana" w:eastAsia="Calibri" w:hAnsi="Verdana" w:cs="Times New Roman"/>
          <w:bCs/>
          <w:lang w:bidi="es-ES"/>
        </w:rPr>
        <w:t xml:space="preserve">solución N° 469 del 2025 expedida por esta Agencia, </w:t>
      </w:r>
      <w:r>
        <w:rPr>
          <w:rFonts w:ascii="Verdana" w:eastAsia="Calibri" w:hAnsi="Verdana" w:cs="Times New Roman"/>
          <w:bCs/>
          <w:lang w:val="es-ES" w:bidi="es-ES"/>
        </w:rPr>
        <w:t>responde la solicitud de consulta del 12 de diciembre de 2025</w:t>
      </w:r>
      <w:r w:rsidRPr="00B57A1B">
        <w:rPr>
          <w:rFonts w:ascii="Verdana" w:eastAsia="Calibri" w:hAnsi="Verdana" w:cs="Times New Roman"/>
          <w:bCs/>
          <w:lang w:val="es-ES" w:bidi="es-ES"/>
        </w:rPr>
        <w:t xml:space="preserve">, en la cual manifiesta: </w:t>
      </w:r>
    </w:p>
    <w:p w14:paraId="60F29CD0" w14:textId="77777777" w:rsidR="008C1CAA" w:rsidRPr="00586328" w:rsidRDefault="008C1CAA" w:rsidP="008C1CAA">
      <w:pPr>
        <w:spacing w:after="0" w:line="240" w:lineRule="auto"/>
        <w:jc w:val="both"/>
        <w:rPr>
          <w:rFonts w:ascii="Verdana" w:eastAsia="Calibri" w:hAnsi="Verdana" w:cs="Times New Roman"/>
          <w:bCs/>
          <w:lang w:bidi="es-ES"/>
        </w:rPr>
      </w:pPr>
    </w:p>
    <w:p w14:paraId="5676B406" w14:textId="77777777" w:rsidR="008C1CAA" w:rsidRPr="00A6235D" w:rsidRDefault="008C1CAA" w:rsidP="008C1CAA">
      <w:pPr>
        <w:spacing w:after="0" w:line="240" w:lineRule="auto"/>
        <w:ind w:left="709" w:right="709"/>
        <w:jc w:val="both"/>
        <w:rPr>
          <w:rFonts w:ascii="Verdana" w:eastAsia="Calibri" w:hAnsi="Verdana" w:cs="Times New Roman"/>
          <w:bCs/>
          <w:sz w:val="20"/>
          <w:szCs w:val="20"/>
          <w:lang w:bidi="es-ES"/>
        </w:rPr>
      </w:pPr>
      <w:r w:rsidRPr="00A6235D">
        <w:rPr>
          <w:rFonts w:ascii="Verdana" w:eastAsia="Calibri" w:hAnsi="Verdana" w:cs="Times New Roman"/>
          <w:bCs/>
          <w:sz w:val="20"/>
          <w:szCs w:val="20"/>
          <w:lang w:bidi="es-ES"/>
        </w:rPr>
        <w:t xml:space="preserve">“1. Emitir un </w:t>
      </w:r>
      <w:r w:rsidRPr="00A6235D">
        <w:rPr>
          <w:rFonts w:ascii="Verdana" w:eastAsia="Calibri" w:hAnsi="Verdana" w:cs="Times New Roman"/>
          <w:b/>
          <w:bCs/>
          <w:sz w:val="20"/>
          <w:szCs w:val="20"/>
          <w:lang w:bidi="es-ES"/>
        </w:rPr>
        <w:t>concepto jurídico claro, expreso y completo</w:t>
      </w:r>
      <w:r w:rsidRPr="00A6235D">
        <w:rPr>
          <w:rFonts w:ascii="Verdana" w:eastAsia="Calibri" w:hAnsi="Verdana" w:cs="Times New Roman"/>
          <w:bCs/>
          <w:sz w:val="20"/>
          <w:szCs w:val="20"/>
          <w:lang w:bidi="es-ES"/>
        </w:rPr>
        <w:t xml:space="preserve">, que responda de manera inequívoca: </w:t>
      </w:r>
    </w:p>
    <w:p w14:paraId="22E52991" w14:textId="77777777" w:rsidR="008C1CAA" w:rsidRPr="00A6235D" w:rsidRDefault="008C1CAA" w:rsidP="008C1CAA">
      <w:pPr>
        <w:spacing w:after="0" w:line="240" w:lineRule="auto"/>
        <w:ind w:left="709" w:right="709"/>
        <w:jc w:val="both"/>
        <w:rPr>
          <w:rFonts w:ascii="Verdana" w:eastAsia="Calibri" w:hAnsi="Verdana" w:cs="Times New Roman"/>
          <w:bCs/>
          <w:sz w:val="20"/>
          <w:szCs w:val="20"/>
          <w:lang w:bidi="es-ES"/>
        </w:rPr>
      </w:pPr>
      <w:r w:rsidRPr="00A6235D">
        <w:rPr>
          <w:rFonts w:ascii="Verdana" w:eastAsia="Calibri" w:hAnsi="Verdana" w:cs="Times New Roman"/>
          <w:b/>
          <w:bCs/>
          <w:sz w:val="20"/>
          <w:szCs w:val="20"/>
          <w:lang w:bidi="es-ES"/>
        </w:rPr>
        <w:t xml:space="preserve">¿Las entidades estatales están legalmente obligadas a aceptar y reconocer la experiencia del socio cuando esta se encuentra debidamente acreditada, certificada e inscrita en el RUP del proponente por la Cámara de Comercio competente? </w:t>
      </w:r>
    </w:p>
    <w:p w14:paraId="4C785BEB" w14:textId="77777777" w:rsidR="008C1CAA" w:rsidRPr="00A6235D" w:rsidRDefault="008C1CAA" w:rsidP="008C1CAA">
      <w:pPr>
        <w:spacing w:after="0" w:line="240" w:lineRule="auto"/>
        <w:ind w:left="709" w:right="709"/>
        <w:jc w:val="both"/>
        <w:rPr>
          <w:rFonts w:ascii="Verdana" w:eastAsia="Calibri" w:hAnsi="Verdana" w:cs="Times New Roman"/>
          <w:bCs/>
          <w:sz w:val="20"/>
          <w:szCs w:val="20"/>
          <w:lang w:bidi="es-ES"/>
        </w:rPr>
      </w:pPr>
      <w:r w:rsidRPr="00A6235D">
        <w:rPr>
          <w:rFonts w:ascii="Verdana" w:eastAsia="Calibri" w:hAnsi="Verdana" w:cs="Times New Roman"/>
          <w:bCs/>
          <w:sz w:val="20"/>
          <w:szCs w:val="20"/>
          <w:lang w:bidi="es-ES"/>
        </w:rPr>
        <w:t xml:space="preserve">2. Precisar si las entidades estatales </w:t>
      </w:r>
      <w:r w:rsidRPr="00A6235D">
        <w:rPr>
          <w:rFonts w:ascii="Verdana" w:eastAsia="Calibri" w:hAnsi="Verdana" w:cs="Times New Roman"/>
          <w:b/>
          <w:bCs/>
          <w:sz w:val="20"/>
          <w:szCs w:val="20"/>
          <w:lang w:bidi="es-ES"/>
        </w:rPr>
        <w:t xml:space="preserve">pueden o no desconocer, limitar o rechazar </w:t>
      </w:r>
      <w:r w:rsidRPr="00A6235D">
        <w:rPr>
          <w:rFonts w:ascii="Verdana" w:eastAsia="Calibri" w:hAnsi="Verdana" w:cs="Times New Roman"/>
          <w:bCs/>
          <w:sz w:val="20"/>
          <w:szCs w:val="20"/>
          <w:lang w:bidi="es-ES"/>
        </w:rPr>
        <w:t xml:space="preserve">dicha experiencia sin vulnerar el </w:t>
      </w:r>
      <w:r w:rsidRPr="00A6235D">
        <w:rPr>
          <w:rFonts w:ascii="Verdana" w:eastAsia="Calibri" w:hAnsi="Verdana" w:cs="Times New Roman"/>
          <w:b/>
          <w:bCs/>
          <w:sz w:val="20"/>
          <w:szCs w:val="20"/>
          <w:lang w:bidi="es-ES"/>
        </w:rPr>
        <w:t>artículo 6 de la Ley 1150 de 2007 y el Decreto 1082 de 2015</w:t>
      </w:r>
      <w:r w:rsidRPr="00A6235D">
        <w:rPr>
          <w:rFonts w:ascii="Verdana" w:eastAsia="Calibri" w:hAnsi="Verdana" w:cs="Times New Roman"/>
          <w:bCs/>
          <w:sz w:val="20"/>
          <w:szCs w:val="20"/>
          <w:lang w:bidi="es-ES"/>
        </w:rPr>
        <w:t xml:space="preserve">. </w:t>
      </w:r>
    </w:p>
    <w:p w14:paraId="406B21B5" w14:textId="77777777" w:rsidR="008C1CAA" w:rsidRPr="00A6235D" w:rsidRDefault="008C1CAA" w:rsidP="008C1CAA">
      <w:pPr>
        <w:spacing w:after="0" w:line="240" w:lineRule="auto"/>
        <w:ind w:left="709" w:right="709"/>
        <w:jc w:val="both"/>
        <w:rPr>
          <w:rFonts w:ascii="Verdana" w:eastAsia="Calibri" w:hAnsi="Verdana" w:cs="Times New Roman"/>
          <w:bCs/>
          <w:sz w:val="20"/>
          <w:szCs w:val="20"/>
          <w:lang w:bidi="es-ES"/>
        </w:rPr>
      </w:pPr>
      <w:r w:rsidRPr="00A6235D">
        <w:rPr>
          <w:rFonts w:ascii="Verdana" w:eastAsia="Calibri" w:hAnsi="Verdana" w:cs="Times New Roman"/>
          <w:bCs/>
          <w:sz w:val="20"/>
          <w:szCs w:val="20"/>
          <w:lang w:bidi="es-ES"/>
        </w:rPr>
        <w:lastRenderedPageBreak/>
        <w:t xml:space="preserve">3. Indicar expresamente si las entidades </w:t>
      </w:r>
      <w:r w:rsidRPr="00A6235D">
        <w:rPr>
          <w:rFonts w:ascii="Verdana" w:eastAsia="Calibri" w:hAnsi="Verdana" w:cs="Times New Roman"/>
          <w:b/>
          <w:bCs/>
          <w:sz w:val="20"/>
          <w:szCs w:val="20"/>
          <w:lang w:bidi="es-ES"/>
        </w:rPr>
        <w:t xml:space="preserve">carecen de competencia legal </w:t>
      </w:r>
      <w:r w:rsidRPr="00A6235D">
        <w:rPr>
          <w:rFonts w:ascii="Verdana" w:eastAsia="Calibri" w:hAnsi="Verdana" w:cs="Times New Roman"/>
          <w:bCs/>
          <w:sz w:val="20"/>
          <w:szCs w:val="20"/>
          <w:lang w:bidi="es-ES"/>
        </w:rPr>
        <w:t xml:space="preserve">para recalificar o reinterpretar la experiencia inscrita en el RUP. </w:t>
      </w:r>
    </w:p>
    <w:p w14:paraId="68F906B3" w14:textId="77777777" w:rsidR="008C1CAA" w:rsidRPr="00A6235D" w:rsidRDefault="008C1CAA" w:rsidP="008C1CAA">
      <w:pPr>
        <w:spacing w:after="0" w:line="240" w:lineRule="auto"/>
        <w:ind w:left="709" w:right="709"/>
        <w:jc w:val="both"/>
        <w:rPr>
          <w:rFonts w:ascii="Verdana" w:eastAsia="Calibri" w:hAnsi="Verdana" w:cs="Times New Roman"/>
          <w:bCs/>
          <w:sz w:val="20"/>
          <w:szCs w:val="20"/>
          <w:lang w:bidi="es-ES"/>
        </w:rPr>
      </w:pPr>
      <w:r w:rsidRPr="00A6235D">
        <w:rPr>
          <w:rFonts w:ascii="Verdana" w:eastAsia="Calibri" w:hAnsi="Verdana" w:cs="Times New Roman"/>
          <w:bCs/>
          <w:sz w:val="20"/>
          <w:szCs w:val="20"/>
          <w:lang w:bidi="es-ES"/>
        </w:rPr>
        <w:t xml:space="preserve">4. Emitir </w:t>
      </w:r>
      <w:r w:rsidRPr="00A6235D">
        <w:rPr>
          <w:rFonts w:ascii="Verdana" w:eastAsia="Calibri" w:hAnsi="Verdana" w:cs="Times New Roman"/>
          <w:b/>
          <w:bCs/>
          <w:sz w:val="20"/>
          <w:szCs w:val="20"/>
          <w:lang w:bidi="es-ES"/>
        </w:rPr>
        <w:t xml:space="preserve">lineamientos institucionales claros </w:t>
      </w:r>
      <w:r w:rsidRPr="00A6235D">
        <w:rPr>
          <w:rFonts w:ascii="Verdana" w:eastAsia="Calibri" w:hAnsi="Verdana" w:cs="Times New Roman"/>
          <w:bCs/>
          <w:sz w:val="20"/>
          <w:szCs w:val="20"/>
          <w:lang w:bidi="es-ES"/>
        </w:rPr>
        <w:t xml:space="preserve">para garantizar la aplicación uniforme del RUP por parte de las entidades estatales. </w:t>
      </w:r>
    </w:p>
    <w:p w14:paraId="3482FB16" w14:textId="77777777" w:rsidR="008C1CAA" w:rsidRPr="00A6235D" w:rsidRDefault="008C1CAA" w:rsidP="008C1CAA">
      <w:pPr>
        <w:spacing w:after="0" w:line="240" w:lineRule="auto"/>
        <w:ind w:left="709" w:right="709"/>
        <w:jc w:val="both"/>
        <w:rPr>
          <w:rFonts w:ascii="Verdana" w:eastAsia="Calibri" w:hAnsi="Verdana" w:cs="Times New Roman"/>
          <w:bCs/>
          <w:sz w:val="20"/>
          <w:szCs w:val="20"/>
          <w:lang w:bidi="es-ES"/>
        </w:rPr>
      </w:pPr>
      <w:r w:rsidRPr="00A6235D">
        <w:rPr>
          <w:rFonts w:ascii="Verdana" w:eastAsia="Calibri" w:hAnsi="Verdana" w:cs="Times New Roman"/>
          <w:bCs/>
          <w:sz w:val="20"/>
          <w:szCs w:val="20"/>
          <w:lang w:bidi="es-ES"/>
        </w:rPr>
        <w:t xml:space="preserve">5. Señalar si el concepto emitido </w:t>
      </w:r>
      <w:r w:rsidRPr="00A6235D">
        <w:rPr>
          <w:rFonts w:ascii="Verdana" w:eastAsia="Calibri" w:hAnsi="Verdana" w:cs="Times New Roman"/>
          <w:b/>
          <w:bCs/>
          <w:sz w:val="20"/>
          <w:szCs w:val="20"/>
          <w:lang w:bidi="es-ES"/>
        </w:rPr>
        <w:t xml:space="preserve">tiene carácter orientador obligatorio </w:t>
      </w:r>
      <w:r w:rsidRPr="00A6235D">
        <w:rPr>
          <w:rFonts w:ascii="Verdana" w:eastAsia="Calibri" w:hAnsi="Verdana" w:cs="Times New Roman"/>
          <w:bCs/>
          <w:sz w:val="20"/>
          <w:szCs w:val="20"/>
          <w:lang w:bidi="es-ES"/>
        </w:rPr>
        <w:t>dentro del Sistema de Compra Pública (énfasis dentro de texto).</w:t>
      </w:r>
    </w:p>
    <w:p w14:paraId="1FE750B6" w14:textId="77777777" w:rsidR="008C1CAA" w:rsidRPr="004140B3" w:rsidRDefault="008C1CAA" w:rsidP="008C1CAA">
      <w:pPr>
        <w:spacing w:after="0" w:line="240" w:lineRule="auto"/>
        <w:ind w:left="709" w:right="709"/>
        <w:jc w:val="both"/>
        <w:rPr>
          <w:rFonts w:ascii="Verdana" w:eastAsia="Calibri" w:hAnsi="Verdana" w:cs="Times New Roman"/>
          <w:bCs/>
          <w:sz w:val="21"/>
          <w:szCs w:val="21"/>
          <w:lang w:bidi="es-ES"/>
        </w:rPr>
      </w:pPr>
    </w:p>
    <w:p w14:paraId="0810282B" w14:textId="77777777" w:rsidR="008C1CAA" w:rsidRPr="00B57A1B" w:rsidRDefault="008C1CAA" w:rsidP="008C1CAA">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EE1A920" w14:textId="77777777" w:rsidR="008C1CAA" w:rsidRPr="00B57A1B" w:rsidRDefault="008C1CAA" w:rsidP="008C1CAA">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w:t>
      </w:r>
    </w:p>
    <w:p w14:paraId="6222109B" w14:textId="77777777" w:rsidR="008C1CAA" w:rsidRPr="00B57A1B" w:rsidRDefault="008C1CAA" w:rsidP="008C1CAA">
      <w:pPr>
        <w:spacing w:after="0" w:line="256" w:lineRule="auto"/>
        <w:rPr>
          <w:rFonts w:ascii="Verdana" w:eastAsia="Calibri" w:hAnsi="Verdana" w:cs="Times New Roman"/>
          <w:lang w:val="es-ES"/>
        </w:rPr>
      </w:pPr>
    </w:p>
    <w:p w14:paraId="4FE3FE5F" w14:textId="77777777" w:rsidR="008C1CAA" w:rsidRPr="00B57A1B" w:rsidRDefault="008C1CAA" w:rsidP="008C1CAA">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78A26A36" w14:textId="77777777" w:rsidR="008C1CAA" w:rsidRPr="00B57A1B" w:rsidRDefault="008C1CAA" w:rsidP="008C1CAA">
      <w:pPr>
        <w:spacing w:after="0" w:line="256" w:lineRule="auto"/>
        <w:rPr>
          <w:rFonts w:ascii="Verdana" w:eastAsia="Calibri" w:hAnsi="Verdana" w:cs="Times New Roman"/>
        </w:rPr>
      </w:pPr>
    </w:p>
    <w:p w14:paraId="09D18272" w14:textId="77777777" w:rsidR="008C1CAA" w:rsidRDefault="008C1CAA" w:rsidP="008C1CAA">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 xml:space="preserve">ta Agencia lo condensa en el siguiente problema jurídico: </w:t>
      </w:r>
      <w:r w:rsidRPr="00F419D2">
        <w:rPr>
          <w:rFonts w:ascii="Verdana" w:eastAsia="Calibri" w:hAnsi="Verdana" w:cs="Times New Roman"/>
        </w:rPr>
        <w:t>¿Están las entidades estatales obligadas a aceptar y reconocer la experiencia del socio debidamente acreditada, certificada e inscrita en el RUP, o pueden recalificarla o reinterpretarla durante un proceso de contratación</w:t>
      </w:r>
      <w:r>
        <w:rPr>
          <w:rFonts w:ascii="Verdana" w:eastAsia="Calibri" w:hAnsi="Verdana" w:cs="Times New Roman"/>
        </w:rPr>
        <w:t>?</w:t>
      </w:r>
    </w:p>
    <w:p w14:paraId="45860763" w14:textId="77777777" w:rsidR="008C1CAA" w:rsidRPr="00B57A1B" w:rsidRDefault="008C1CAA" w:rsidP="008C1CAA">
      <w:pPr>
        <w:spacing w:after="0" w:line="276" w:lineRule="auto"/>
        <w:jc w:val="both"/>
        <w:rPr>
          <w:rFonts w:ascii="Verdana" w:eastAsia="Calibri" w:hAnsi="Verdana" w:cs="Times New Roman"/>
          <w:i/>
          <w:iCs/>
          <w:lang w:val="es-ES"/>
        </w:rPr>
      </w:pPr>
    </w:p>
    <w:p w14:paraId="41D62EBE" w14:textId="77777777" w:rsidR="008C1CAA" w:rsidRPr="00B57A1B" w:rsidRDefault="008C1CAA" w:rsidP="008C1CAA">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50CBF754" w14:textId="77777777" w:rsidR="008C1CAA" w:rsidRPr="00B57A1B" w:rsidRDefault="008C1CAA" w:rsidP="008C1CAA">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8C1CAA" w:rsidRPr="00B57A1B" w14:paraId="0CCFB18F" w14:textId="77777777" w:rsidTr="0029587D">
        <w:trPr>
          <w:trHeight w:val="345"/>
          <w:jc w:val="center"/>
        </w:trPr>
        <w:tc>
          <w:tcPr>
            <w:tcW w:w="8784" w:type="dxa"/>
            <w:tcBorders>
              <w:bottom w:val="single" w:sz="4" w:space="0" w:color="auto"/>
            </w:tcBorders>
          </w:tcPr>
          <w:p w14:paraId="3BDC3638" w14:textId="77777777" w:rsidR="008C1CAA" w:rsidRPr="00307AFD" w:rsidRDefault="008C1CAA" w:rsidP="0029587D">
            <w:pPr>
              <w:spacing w:after="120" w:line="276" w:lineRule="auto"/>
              <w:jc w:val="both"/>
              <w:rPr>
                <w:rFonts w:ascii="Verdana" w:eastAsia="Calibri" w:hAnsi="Verdana" w:cs="Arial"/>
                <w:lang w:val="es-ES"/>
              </w:rPr>
            </w:pPr>
            <w:r w:rsidRPr="00B57A1B">
              <w:rPr>
                <w:rFonts w:ascii="Verdana" w:eastAsia="Calibri" w:hAnsi="Verdana" w:cs="Times New Roman"/>
              </w:rPr>
              <w:lastRenderedPageBreak/>
              <w:t>En cuanto</w:t>
            </w:r>
            <w:r>
              <w:rPr>
                <w:rFonts w:ascii="Verdana" w:eastAsia="Calibri" w:hAnsi="Verdana" w:cs="Times New Roman"/>
              </w:rPr>
              <w:t xml:space="preserve"> al problema jurídico, objeto de consulta, se </w:t>
            </w:r>
            <w:r>
              <w:rPr>
                <w:rFonts w:ascii="Verdana" w:eastAsia="Calibri" w:hAnsi="Verdana" w:cs="Arial"/>
              </w:rPr>
              <w:t xml:space="preserve">precisa </w:t>
            </w:r>
            <w:r w:rsidRPr="00307AFD">
              <w:rPr>
                <w:rFonts w:ascii="Verdana" w:eastAsia="Calibri" w:hAnsi="Verdana" w:cs="Arial"/>
              </w:rPr>
              <w:t xml:space="preserve">regla general es que la experiencia se acredite a través del RUP y, en consecuencia, la evaluación de la experiencia, como requisito habilitante, no puede </w:t>
            </w:r>
            <w:r>
              <w:rPr>
                <w:rFonts w:ascii="Verdana" w:eastAsia="Calibri" w:hAnsi="Verdana" w:cs="Arial"/>
              </w:rPr>
              <w:t xml:space="preserve">realizarse </w:t>
            </w:r>
            <w:r w:rsidRPr="00307AFD">
              <w:rPr>
                <w:rFonts w:ascii="Verdana" w:eastAsia="Calibri" w:hAnsi="Verdana" w:cs="Arial"/>
              </w:rPr>
              <w:t xml:space="preserve">nuevamente por la entidad pública a partir de otros criterios distintos a los contenidos en el Registro Único de Proponentes. </w:t>
            </w:r>
            <w:r>
              <w:rPr>
                <w:rFonts w:ascii="Verdana" w:eastAsia="Calibri" w:hAnsi="Verdana" w:cs="Arial"/>
              </w:rPr>
              <w:t xml:space="preserve">Ahora bien, frente a la experiencia de los socios, el </w:t>
            </w:r>
            <w:r w:rsidRPr="00307AFD">
              <w:rPr>
                <w:rFonts w:ascii="Verdana" w:eastAsia="Calibri" w:hAnsi="Verdana" w:cs="Arial"/>
              </w:rPr>
              <w:t xml:space="preserve">numeral 2.5 </w:t>
            </w:r>
            <w:r>
              <w:rPr>
                <w:rFonts w:ascii="Verdana" w:eastAsia="Calibri" w:hAnsi="Verdana" w:cs="Arial"/>
              </w:rPr>
              <w:t xml:space="preserve">del </w:t>
            </w:r>
            <w:r w:rsidRPr="0056682A">
              <w:rPr>
                <w:rFonts w:ascii="Verdana" w:eastAsia="Calibri" w:hAnsi="Verdana" w:cs="Arial"/>
              </w:rPr>
              <w:t xml:space="preserve">2.2.1.1.1.5.2 del Decreto 1082 de 2015 </w:t>
            </w:r>
            <w:r w:rsidRPr="00307AFD">
              <w:rPr>
                <w:rFonts w:ascii="Verdana" w:eastAsia="Calibri" w:hAnsi="Verdana" w:cs="Arial"/>
              </w:rPr>
              <w:t>establece que, si la constitución del interesado es menor a tres (3) años, puede acreditar la experiencia de sus accionistas, socios o constituyentes. De esta manera,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 con menos de tres (3) años de constitución ─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que las sociedades recién constituidas utilicen la experiencia de sus accionistas o socios para acreditar su capacidad en procesos de contratación pública.</w:t>
            </w:r>
          </w:p>
          <w:p w14:paraId="0A18E0FB" w14:textId="77777777" w:rsidR="008C1CAA" w:rsidRDefault="008C1CAA" w:rsidP="0029587D">
            <w:pPr>
              <w:spacing w:after="120" w:line="276" w:lineRule="auto"/>
              <w:ind w:firstLine="708"/>
              <w:jc w:val="both"/>
              <w:rPr>
                <w:rFonts w:ascii="Verdana" w:eastAsia="Calibri" w:hAnsi="Verdana" w:cs="Arial"/>
              </w:rPr>
            </w:pPr>
            <w:r w:rsidRPr="00307AFD">
              <w:rPr>
                <w:rFonts w:ascii="Verdana" w:eastAsia="Times New Roman" w:hAnsi="Verdana" w:cs="Calibri"/>
                <w:lang w:val="es-ES"/>
              </w:rPr>
              <w:t>No debe perderse de vista que el Decreto 1082 de 2015 solo permite que una sociedad acredite la experiencia de quienes tienen la calidad de accionistas, socios o constituyentes durante los primeros tres (3) años de su constitución, sin establecer alguna exigencia o precisar condiciones diferentes respecto del tipo de persona (natural o jurídica) que ostente la calidad de accionistas, socios o constituyentes. Así las cosas</w:t>
            </w:r>
            <w:r w:rsidRPr="00307AFD">
              <w:rPr>
                <w:rFonts w:ascii="Verdana" w:eastAsia="Calibri" w:hAnsi="Verdana" w:cs="Arial"/>
              </w:rPr>
              <w:t>, si se carece o se pierden estas calidades, como sucedería cuando solo se tiene la calidad de representante legal de dicha o de otra empresa, no sería posible que la sociedad acredite la experiencia aportada por la persona mencionada.</w:t>
            </w:r>
            <w:r>
              <w:rPr>
                <w:rFonts w:ascii="Verdana" w:eastAsia="Calibri" w:hAnsi="Verdana" w:cs="Arial"/>
              </w:rPr>
              <w:t xml:space="preserve"> </w:t>
            </w:r>
          </w:p>
          <w:p w14:paraId="777BC077" w14:textId="77777777" w:rsidR="008C1CAA" w:rsidRDefault="008C1CAA" w:rsidP="0029587D">
            <w:pPr>
              <w:spacing w:after="120" w:line="276" w:lineRule="auto"/>
              <w:ind w:firstLine="708"/>
              <w:jc w:val="both"/>
              <w:rPr>
                <w:rFonts w:ascii="Verdana" w:eastAsia="Calibri" w:hAnsi="Verdana" w:cs="Arial"/>
              </w:rPr>
            </w:pPr>
            <w:r>
              <w:rPr>
                <w:rFonts w:ascii="Verdana" w:eastAsia="Calibri" w:hAnsi="Verdana" w:cs="Arial"/>
              </w:rPr>
              <w:t>En tal sentido, en los procesos de contratación, en los que sea exigible el RUP, l</w:t>
            </w:r>
            <w:r w:rsidRPr="000E0C86">
              <w:rPr>
                <w:rFonts w:ascii="Verdana" w:eastAsia="Calibri" w:hAnsi="Verdana" w:cs="Arial"/>
              </w:rPr>
              <w:t xml:space="preserve">as entidades estatales sí están obligadas a aceptar y reconocer la experiencia del socio cuando esta se encuentra debidamente acreditada, certificada e inscrita en el Registro Único de Proponentes (RUP). Esto se debe </w:t>
            </w:r>
            <w:r w:rsidRPr="000E0C86">
              <w:rPr>
                <w:rFonts w:ascii="Verdana" w:eastAsia="Calibri" w:hAnsi="Verdana" w:cs="Arial"/>
              </w:rPr>
              <w:lastRenderedPageBreak/>
              <w:t xml:space="preserve">a que el RUP constituye </w:t>
            </w:r>
            <w:r>
              <w:rPr>
                <w:rFonts w:ascii="Verdana" w:eastAsia="Calibri" w:hAnsi="Verdana" w:cs="Arial"/>
              </w:rPr>
              <w:t xml:space="preserve">plena prueba de la información contenida en este </w:t>
            </w:r>
            <w:r w:rsidRPr="000E0C86">
              <w:rPr>
                <w:rFonts w:ascii="Verdana" w:eastAsia="Calibri" w:hAnsi="Verdana" w:cs="Arial"/>
              </w:rPr>
              <w:t xml:space="preserve">para acreditar los requisitos habilitantes en los procesos de contratación estatal. Por tanto, una vez la experiencia está incorporada en el RUP, la entidad no puede desconocerla, solicitar documentos adicionales ni imponer cargas probatorias distintas a las previstas en </w:t>
            </w:r>
            <w:r>
              <w:rPr>
                <w:rFonts w:ascii="Verdana" w:eastAsia="Calibri" w:hAnsi="Verdana" w:cs="Arial"/>
              </w:rPr>
              <w:t>el Sistema de Compras Públicas.</w:t>
            </w:r>
          </w:p>
          <w:p w14:paraId="619399C7" w14:textId="77777777" w:rsidR="008C1CAA" w:rsidRDefault="008C1CAA" w:rsidP="0029587D">
            <w:pPr>
              <w:spacing w:after="120" w:line="276" w:lineRule="auto"/>
              <w:ind w:firstLine="708"/>
              <w:jc w:val="both"/>
              <w:rPr>
                <w:rFonts w:ascii="Verdana" w:eastAsia="Calibri" w:hAnsi="Verdana" w:cs="Arial"/>
              </w:rPr>
            </w:pPr>
            <w:r>
              <w:rPr>
                <w:rFonts w:ascii="Verdana" w:eastAsia="Calibri" w:hAnsi="Verdana" w:cs="Arial"/>
              </w:rPr>
              <w:t>En consecuencia, l</w:t>
            </w:r>
            <w:r w:rsidRPr="00540933">
              <w:rPr>
                <w:rFonts w:ascii="Verdana" w:eastAsia="Calibri" w:hAnsi="Verdana" w:cs="Arial"/>
              </w:rPr>
              <w:t xml:space="preserve">a entidad no puede recalificar, reinterpretar, desagregar, desconocer o modificar la experiencia registrada en el RUP, pues implicaría sustituir la función certificadora de la Cámara de Comercio y vulnerar los principios de legalidad, buena fe y confianza legítima. Su competencia se </w:t>
            </w:r>
            <w:r>
              <w:rPr>
                <w:rFonts w:ascii="Verdana" w:eastAsia="Calibri" w:hAnsi="Verdana" w:cs="Arial"/>
              </w:rPr>
              <w:t>limita</w:t>
            </w:r>
            <w:r w:rsidRPr="00540933">
              <w:rPr>
                <w:rFonts w:ascii="Verdana" w:eastAsia="Calibri" w:hAnsi="Verdana" w:cs="Arial"/>
              </w:rPr>
              <w:t xml:space="preserve"> a verificar si lo certificado </w:t>
            </w:r>
            <w:r>
              <w:rPr>
                <w:rFonts w:ascii="Verdana" w:eastAsia="Calibri" w:hAnsi="Verdana" w:cs="Arial"/>
              </w:rPr>
              <w:t xml:space="preserve">en el RUP </w:t>
            </w:r>
            <w:r w:rsidRPr="00540933">
              <w:rPr>
                <w:rFonts w:ascii="Verdana" w:eastAsia="Calibri" w:hAnsi="Verdana" w:cs="Arial"/>
              </w:rPr>
              <w:t>cumple o no con lo exigido en el pliego</w:t>
            </w:r>
            <w:r>
              <w:rPr>
                <w:rFonts w:ascii="Verdana" w:eastAsia="Calibri" w:hAnsi="Verdana" w:cs="Arial"/>
              </w:rPr>
              <w:t xml:space="preserve"> de condiciones del respectivo proceso de contratación</w:t>
            </w:r>
            <w:r w:rsidRPr="00540933">
              <w:rPr>
                <w:rFonts w:ascii="Verdana" w:eastAsia="Calibri" w:hAnsi="Verdana" w:cs="Arial"/>
              </w:rPr>
              <w:t>, sin introducir criterios adicionales ni reinterpretaciones discrecionales</w:t>
            </w:r>
            <w:r>
              <w:rPr>
                <w:rFonts w:ascii="Verdana" w:eastAsia="Calibri" w:hAnsi="Verdana" w:cs="Arial"/>
              </w:rPr>
              <w:t xml:space="preserve"> que desconozca la libre competencia y la selección objetiva</w:t>
            </w:r>
            <w:r w:rsidRPr="00540933">
              <w:rPr>
                <w:rFonts w:ascii="Verdana" w:eastAsia="Calibri" w:hAnsi="Verdana" w:cs="Arial"/>
              </w:rPr>
              <w:t>.</w:t>
            </w:r>
          </w:p>
          <w:p w14:paraId="767F4D91" w14:textId="77777777" w:rsidR="008C1CAA" w:rsidRPr="00CD0DCD" w:rsidRDefault="008C1CAA" w:rsidP="0029587D">
            <w:pPr>
              <w:spacing w:after="12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w:t>
            </w:r>
            <w:r>
              <w:rPr>
                <w:rFonts w:ascii="Verdana" w:hAnsi="Verdana" w:cs="Arial"/>
                <w:lang w:val="es-ES" w:eastAsia="es-ES"/>
              </w:rPr>
              <w:t>el consultante 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16DB746C" w14:textId="77777777" w:rsidR="008C1CAA" w:rsidRPr="00B57A1B" w:rsidRDefault="008C1CAA" w:rsidP="008C1CAA">
      <w:pPr>
        <w:spacing w:after="0" w:line="276" w:lineRule="auto"/>
        <w:jc w:val="both"/>
        <w:rPr>
          <w:rFonts w:ascii="Verdana" w:eastAsia="Calibri" w:hAnsi="Verdana" w:cs="Arial"/>
          <w:bCs/>
          <w:color w:val="000000" w:themeColor="text1"/>
        </w:rPr>
      </w:pPr>
    </w:p>
    <w:p w14:paraId="7C0E12EC" w14:textId="77777777" w:rsidR="008C1CAA" w:rsidRPr="00B57A1B" w:rsidRDefault="008C1CAA" w:rsidP="008C1CAA">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42F8D0B6" w14:textId="77777777" w:rsidR="008C1CAA" w:rsidRPr="00B57A1B" w:rsidRDefault="008C1CAA" w:rsidP="008C1CAA">
      <w:pPr>
        <w:spacing w:after="0" w:line="256" w:lineRule="auto"/>
        <w:rPr>
          <w:rFonts w:ascii="Verdana" w:eastAsia="Calibri" w:hAnsi="Verdana" w:cs="Times New Roman"/>
          <w:b/>
          <w:bCs/>
          <w:lang w:val="es-ES"/>
        </w:rPr>
      </w:pPr>
    </w:p>
    <w:p w14:paraId="5E6B9C06" w14:textId="77777777" w:rsidR="008C1CAA" w:rsidRDefault="008C1CAA" w:rsidP="008C1CAA">
      <w:pPr>
        <w:spacing w:after="0" w:line="276" w:lineRule="auto"/>
        <w:jc w:val="both"/>
        <w:rPr>
          <w:rFonts w:ascii="Verdana" w:eastAsia="Calibri" w:hAnsi="Verdana" w:cs="Arial"/>
          <w:lang w:val="es-ES"/>
        </w:rPr>
      </w:pPr>
      <w:r w:rsidRPr="00B57A1B">
        <w:rPr>
          <w:rFonts w:ascii="Verdana" w:eastAsia="Calibri" w:hAnsi="Verdana" w:cs="Arial"/>
          <w:lang w:val="es-ES"/>
        </w:rPr>
        <w:t>Lo anterior se sustenta en las siguientes consideraciones:</w:t>
      </w:r>
    </w:p>
    <w:p w14:paraId="614D7E13" w14:textId="77777777" w:rsidR="008C1CAA" w:rsidRPr="00307AFD" w:rsidRDefault="008C1CAA" w:rsidP="008C1CAA">
      <w:pPr>
        <w:spacing w:after="0" w:line="240" w:lineRule="auto"/>
        <w:jc w:val="both"/>
        <w:rPr>
          <w:rFonts w:ascii="Verdana" w:eastAsia="Calibri" w:hAnsi="Verdana" w:cs="Arial"/>
          <w:b/>
          <w:lang w:val="es-ES_tradnl" w:eastAsia="es-CO"/>
        </w:rPr>
      </w:pPr>
      <w:bookmarkStart w:id="2" w:name="_Hlk136184980"/>
      <w:bookmarkStart w:id="3" w:name="_Hlk78820161"/>
    </w:p>
    <w:p w14:paraId="74EA8E51" w14:textId="77777777" w:rsidR="008C1CAA" w:rsidRPr="00307AFD" w:rsidRDefault="008C1CAA" w:rsidP="008C1CAA">
      <w:pPr>
        <w:spacing w:after="120" w:line="276" w:lineRule="auto"/>
        <w:jc w:val="both"/>
        <w:rPr>
          <w:rFonts w:ascii="Verdana" w:eastAsia="Calibri" w:hAnsi="Verdana" w:cs="Arial"/>
        </w:rPr>
      </w:pPr>
      <w:r w:rsidRPr="00307AFD">
        <w:rPr>
          <w:rFonts w:ascii="Verdana" w:eastAsia="Times New Roman" w:hAnsi="Verdana" w:cs="Arial"/>
          <w:lang w:eastAsia="es-ES_tradnl"/>
        </w:rPr>
        <w:t xml:space="preserve">i. </w:t>
      </w:r>
      <w:bookmarkStart w:id="4" w:name="_Hlk91599456"/>
      <w:bookmarkEnd w:id="2"/>
      <w:r w:rsidRPr="00307AFD">
        <w:rPr>
          <w:rFonts w:ascii="Verdana" w:eastAsia="Calibri" w:hAnsi="Verdana" w:cs="Arial"/>
        </w:rPr>
        <w:t xml:space="preserve">La Ley 1150 de 2007, en el artículo 5, </w:t>
      </w:r>
      <w:r w:rsidRPr="00307AFD">
        <w:rPr>
          <w:rFonts w:ascii="Verdana" w:hAnsi="Verdana" w:cs="Arial"/>
        </w:rPr>
        <w:t xml:space="preserve">dispone que </w:t>
      </w:r>
      <w:r w:rsidRPr="00307AFD">
        <w:rPr>
          <w:rFonts w:ascii="Verdana" w:eastAsia="Calibri" w:hAnsi="Verdana" w:cs="Arial"/>
        </w:rPr>
        <w:t xml:space="preserve">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 </w:t>
      </w:r>
    </w:p>
    <w:p w14:paraId="6562BD73" w14:textId="77777777" w:rsidR="008C1CAA" w:rsidRPr="00307AFD" w:rsidRDefault="008C1CAA" w:rsidP="008C1CAA">
      <w:pPr>
        <w:spacing w:after="120" w:line="276" w:lineRule="auto"/>
        <w:ind w:firstLine="709"/>
        <w:jc w:val="both"/>
        <w:rPr>
          <w:rFonts w:ascii="Verdana" w:eastAsia="Calibri" w:hAnsi="Verdana" w:cs="Arial"/>
        </w:rPr>
      </w:pPr>
      <w:r w:rsidRPr="00307AFD">
        <w:rPr>
          <w:rFonts w:ascii="Verdana" w:eastAsia="Calibri" w:hAnsi="Verdana" w:cs="Arial"/>
        </w:rPr>
        <w:t xml:space="preserve">Para ello, </w:t>
      </w:r>
      <w:r w:rsidRPr="00307AFD">
        <w:rPr>
          <w:rFonts w:ascii="Verdana" w:hAnsi="Verdana" w:cs="Arial"/>
        </w:rPr>
        <w:t xml:space="preserve">el artículo 6 de la Ley 1150 de 2007 señala que todas las personas naturales o jurídicas, nacionales o extranjeras, domiciliadas o con </w:t>
      </w:r>
      <w:r w:rsidRPr="00307AFD">
        <w:rPr>
          <w:rFonts w:ascii="Verdana" w:hAnsi="Verdana" w:cs="Arial"/>
        </w:rPr>
        <w:lastRenderedPageBreak/>
        <w:t>sucursal en Colombia, que aspiren celebrar contratos con las entidades estatales deberán estar inscritas en el Registro Único de Proponentes (RUP). En dicho registro constará la información relacionada con la experiencia, la capacidad jurídica, financiera y de organización del proponente y su clasificación.</w:t>
      </w:r>
      <w:r w:rsidRPr="00307AFD">
        <w:rPr>
          <w:rFonts w:ascii="Verdana" w:eastAsia="Calibri" w:hAnsi="Verdana" w:cs="Arial"/>
        </w:rPr>
        <w:t xml:space="preserve"> </w:t>
      </w:r>
      <w:bookmarkEnd w:id="4"/>
      <w:r w:rsidRPr="00307AFD">
        <w:rPr>
          <w:rFonts w:ascii="Verdana" w:eastAsia="Calibri" w:hAnsi="Verdana" w:cs="Arial"/>
        </w:rPr>
        <w:t>En este registro constan los requisitos habilitantes que se evalúan exclusivamente con este documento, que es plena prueba, sin que la entidad o el proponente puedan, en principio, solicitar o aportar otra documentación</w:t>
      </w:r>
      <w:r w:rsidRPr="00307AFD">
        <w:rPr>
          <w:rFonts w:ascii="Verdana" w:eastAsia="Calibri" w:hAnsi="Verdana" w:cs="Arial"/>
          <w:vertAlign w:val="superscript"/>
        </w:rPr>
        <w:footnoteReference w:id="1"/>
      </w:r>
      <w:r w:rsidRPr="00307AFD">
        <w:rPr>
          <w:rFonts w:ascii="Verdana" w:eastAsia="Calibri" w:hAnsi="Verdana" w:cs="Arial"/>
        </w:rPr>
        <w:t>.</w:t>
      </w:r>
    </w:p>
    <w:p w14:paraId="180AC0B8" w14:textId="77777777" w:rsidR="008C1CAA" w:rsidRPr="00307AFD" w:rsidRDefault="008C1CAA" w:rsidP="008C1CAA">
      <w:pPr>
        <w:spacing w:after="120" w:line="276" w:lineRule="auto"/>
        <w:ind w:firstLine="709"/>
        <w:jc w:val="both"/>
        <w:rPr>
          <w:rFonts w:ascii="Verdana" w:eastAsia="Calibri" w:hAnsi="Verdana" w:cs="Arial"/>
        </w:rPr>
      </w:pPr>
      <w:r w:rsidRPr="00307AFD">
        <w:rPr>
          <w:rFonts w:ascii="Verdana" w:eastAsia="Calibri" w:hAnsi="Verdana" w:cs="Arial"/>
        </w:rPr>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w:t>
      </w:r>
      <w:r w:rsidRPr="00307AFD">
        <w:rPr>
          <w:rFonts w:ascii="Verdana" w:eastAsia="Calibri" w:hAnsi="Verdana" w:cs="Arial"/>
          <w:vertAlign w:val="superscript"/>
        </w:rPr>
        <w:footnoteReference w:id="2"/>
      </w:r>
      <w:r w:rsidRPr="00307AFD">
        <w:rPr>
          <w:rFonts w:ascii="Verdana" w:eastAsia="Calibri" w:hAnsi="Verdana" w:cs="Arial"/>
        </w:rPr>
        <w:t xml:space="preserve">. De esta manera, con el RUP se verifica que el proponente tenga experiencia en la ejecución del objeto que pretende contratar la entidad, esto es, que haya celebrado y ejecutado contratos que se </w:t>
      </w:r>
      <w:r w:rsidRPr="00307AFD">
        <w:rPr>
          <w:rFonts w:ascii="Verdana" w:eastAsia="Calibri" w:hAnsi="Verdana" w:cs="Arial"/>
        </w:rPr>
        <w:lastRenderedPageBreak/>
        <w:t xml:space="preserve">asimilen a la necesidad que la entidad requiere satisfacer con el procedimiento contractual, sin que sea necesario que su objeto sea idéntico. </w:t>
      </w:r>
    </w:p>
    <w:p w14:paraId="6F900172" w14:textId="77777777" w:rsidR="008C1CAA" w:rsidRPr="00307AFD" w:rsidRDefault="008C1CAA" w:rsidP="008C1CAA">
      <w:pPr>
        <w:spacing w:after="120" w:line="276" w:lineRule="auto"/>
        <w:ind w:firstLine="709"/>
        <w:jc w:val="both"/>
        <w:rPr>
          <w:rFonts w:ascii="Verdana" w:eastAsia="Calibri" w:hAnsi="Verdana" w:cs="Arial"/>
        </w:rPr>
      </w:pPr>
      <w:r w:rsidRPr="00307AFD">
        <w:rPr>
          <w:rFonts w:ascii="Verdana" w:eastAsia="Calibri" w:hAnsi="Verdana" w:cs="Arial"/>
        </w:rPr>
        <w:t xml:space="preserve">Así mismo, de manera correlativa a este deber de los proponentes, la norma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“exclusivamente con el respectivo certificado del RUP en donde deberán constar dichas condiciones”. </w:t>
      </w:r>
    </w:p>
    <w:p w14:paraId="029471DF" w14:textId="77777777" w:rsidR="008C1CAA" w:rsidRPr="00307AFD" w:rsidRDefault="008C1CAA" w:rsidP="008C1CAA">
      <w:pPr>
        <w:spacing w:after="120" w:line="276" w:lineRule="auto"/>
        <w:ind w:firstLine="709"/>
        <w:jc w:val="both"/>
        <w:rPr>
          <w:rFonts w:ascii="Verdana" w:eastAsia="Calibri" w:hAnsi="Verdana" w:cs="Arial"/>
        </w:rPr>
      </w:pPr>
      <w:r>
        <w:rPr>
          <w:rFonts w:ascii="Verdana" w:eastAsia="Calibri" w:hAnsi="Verdana" w:cs="Arial"/>
        </w:rPr>
        <w:t xml:space="preserve">La </w:t>
      </w:r>
      <w:r w:rsidRPr="00307AFD">
        <w:rPr>
          <w:rFonts w:ascii="Verdana" w:eastAsia="Calibri" w:hAnsi="Verdana" w:cs="Arial"/>
        </w:rPr>
        <w:t xml:space="preserve">norma establece que a las entidades les está prohibido exigir otros documentos para efectuar la inscripción en el registro, salvo lo dispuesto en el inciso 3 del numeral 6.1. del artículo 6 de la Ley 1150 de 2007, en el que se prevé que la entidad podrá verificar requisitos adicionales a los contenidos en el registro cuando se requiera en virtud de la naturaleza del objeto a contratar. La norma señala que solo en este último evento la entidad podrá hacer la verificación en forma directa, es decir, cuando por el objeto del contrato se requieran verificar requisitos adicionales a los contenidos en el registro.  </w:t>
      </w:r>
    </w:p>
    <w:p w14:paraId="13E12A71" w14:textId="77777777" w:rsidR="008C1CAA" w:rsidRPr="00307AFD" w:rsidRDefault="008C1CAA" w:rsidP="008C1CAA">
      <w:pPr>
        <w:spacing w:after="120" w:line="276" w:lineRule="auto"/>
        <w:ind w:firstLine="709"/>
        <w:jc w:val="both"/>
        <w:rPr>
          <w:rFonts w:ascii="Verdana" w:eastAsia="Calibri" w:hAnsi="Verdana" w:cs="Arial"/>
        </w:rPr>
      </w:pPr>
      <w:r w:rsidRPr="00307AFD">
        <w:rPr>
          <w:rFonts w:ascii="Verdana" w:eastAsia="Calibri" w:hAnsi="Verdana" w:cs="Arial"/>
        </w:rPr>
        <w:t>De lo anterior se concluye que la regla general es que la experiencia se acredite a través del RUP y, en consecuencia, la evaluación de la experiencia, como requisito habilitante, no puede ser realizada nuevamente por la entidad pública a partir de otros criterios distintos a los contenidos en el Registro Único de Proponentes. No obstante, existen procesos señalados en la norma donde no es exigible el RUP, principalmente en los procesos de mínima cuantía y contratación directa, entre otros. Allí la entidad realizará la verificación directa del cumplimiento de los requisitos habilitantes por los proponentes.</w:t>
      </w:r>
    </w:p>
    <w:p w14:paraId="4025EDE5" w14:textId="77777777" w:rsidR="008C1CAA" w:rsidRPr="00307AFD" w:rsidRDefault="008C1CAA" w:rsidP="008C1CAA">
      <w:pPr>
        <w:spacing w:after="120" w:line="276" w:lineRule="auto"/>
        <w:ind w:firstLine="709"/>
        <w:jc w:val="both"/>
        <w:rPr>
          <w:rFonts w:ascii="Verdana" w:eastAsia="Calibri" w:hAnsi="Verdana" w:cs="Arial"/>
        </w:rPr>
      </w:pPr>
      <w:r w:rsidRPr="00307AFD">
        <w:rPr>
          <w:rFonts w:ascii="Verdana" w:eastAsia="Calibri" w:hAnsi="Verdana" w:cs="Arial"/>
        </w:rPr>
        <w:t xml:space="preserve">Sobre la información que se debe presentar ante las cámaras de comercio para la inscripción, renovación o actualización del RUP, el numeral 2 del artículo 2.2.1.1.1.5.2 del Decreto 1082 de 2015 establece que si una persona natural se inscribe en el RUP aportará los certificados de experiencia en provisión de bienes, obras y servicios, los cuales deben ser expedidos por terceros que hayan recibido </w:t>
      </w:r>
      <w:r w:rsidRPr="00307AFD">
        <w:rPr>
          <w:rFonts w:ascii="Verdana" w:eastAsia="Calibri" w:hAnsi="Verdana" w:cs="Arial"/>
        </w:rPr>
        <w:lastRenderedPageBreak/>
        <w:t>tales bienes, obras y servicios, y deben corresponder a contratos ejecutados o a copias de los contratos, cuando el interesado no puede obtener tal certificado</w:t>
      </w:r>
      <w:r w:rsidRPr="00307AFD">
        <w:rPr>
          <w:rFonts w:ascii="Verdana" w:eastAsia="Calibri" w:hAnsi="Verdana" w:cs="Arial"/>
          <w:vertAlign w:val="superscript"/>
        </w:rPr>
        <w:footnoteReference w:id="3"/>
      </w:r>
      <w:r w:rsidRPr="00307AFD">
        <w:rPr>
          <w:rFonts w:ascii="Verdana" w:eastAsia="Calibri" w:hAnsi="Verdana" w:cs="Arial"/>
        </w:rPr>
        <w:t xml:space="preserve">.  </w:t>
      </w:r>
    </w:p>
    <w:p w14:paraId="0A24478E" w14:textId="77777777" w:rsidR="008C1CAA" w:rsidRPr="00307AFD" w:rsidRDefault="008C1CAA" w:rsidP="008C1CAA">
      <w:pPr>
        <w:spacing w:after="120" w:line="276" w:lineRule="auto"/>
        <w:ind w:firstLine="708"/>
        <w:jc w:val="both"/>
        <w:rPr>
          <w:rFonts w:ascii="Verdana" w:eastAsia="Calibri" w:hAnsi="Verdana" w:cs="Arial"/>
        </w:rPr>
      </w:pPr>
      <w:r w:rsidRPr="00307AFD">
        <w:rPr>
          <w:rFonts w:ascii="Verdana" w:eastAsia="Calibri" w:hAnsi="Verdana" w:cs="Arial"/>
        </w:rPr>
        <w:t>El numeral 2.5</w:t>
      </w:r>
      <w:r w:rsidRPr="00307AFD">
        <w:rPr>
          <w:rFonts w:ascii="Verdana" w:eastAsia="Calibri" w:hAnsi="Verdana" w:cs="Arial"/>
          <w:vertAlign w:val="superscript"/>
        </w:rPr>
        <w:footnoteReference w:id="4"/>
      </w:r>
      <w:r w:rsidRPr="00307AFD">
        <w:rPr>
          <w:rFonts w:ascii="Verdana" w:eastAsia="Calibri" w:hAnsi="Verdana" w:cs="Arial"/>
        </w:rPr>
        <w:t xml:space="preserve"> del </w:t>
      </w:r>
      <w:r>
        <w:rPr>
          <w:rFonts w:ascii="Verdana" w:eastAsia="Calibri" w:hAnsi="Verdana" w:cs="Arial"/>
        </w:rPr>
        <w:t>precitado</w:t>
      </w:r>
      <w:r w:rsidRPr="00307AFD">
        <w:rPr>
          <w:rFonts w:ascii="Verdana" w:eastAsia="Calibri" w:hAnsi="Verdana" w:cs="Arial"/>
        </w:rPr>
        <w:t xml:space="preserve"> artículo </w:t>
      </w:r>
      <w:r>
        <w:rPr>
          <w:rFonts w:ascii="Verdana" w:eastAsia="Calibri" w:hAnsi="Verdana" w:cs="Arial"/>
        </w:rPr>
        <w:t>dispone</w:t>
      </w:r>
      <w:r w:rsidRPr="00307AFD">
        <w:rPr>
          <w:rFonts w:ascii="Verdana" w:eastAsia="Calibri" w:hAnsi="Verdana" w:cs="Arial"/>
        </w:rPr>
        <w:t xml:space="preserve"> que la persona jurídica se registrará aportando los certificados de la experiencia en la provisión de los bienes, obras y servicios que ofrecerá a las entidades estatales, los cuales deben </w:t>
      </w:r>
      <w:r>
        <w:rPr>
          <w:rFonts w:ascii="Verdana" w:eastAsia="Calibri" w:hAnsi="Verdana" w:cs="Arial"/>
        </w:rPr>
        <w:t xml:space="preserve">expedirse </w:t>
      </w:r>
      <w:r w:rsidRPr="00307AFD">
        <w:rPr>
          <w:rFonts w:ascii="Verdana" w:eastAsia="Calibri" w:hAnsi="Verdana" w:cs="Arial"/>
        </w:rPr>
        <w:t xml:space="preserve">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2CD9D280" w14:textId="77777777" w:rsidR="008C1CAA" w:rsidRPr="00307AFD" w:rsidRDefault="008C1CAA" w:rsidP="008C1CAA">
      <w:pPr>
        <w:spacing w:after="120" w:line="276" w:lineRule="auto"/>
        <w:ind w:firstLine="708"/>
        <w:jc w:val="both"/>
        <w:rPr>
          <w:rFonts w:ascii="Verdana" w:eastAsia="Calibri" w:hAnsi="Verdana" w:cs="Arial"/>
          <w:lang w:val="es-ES"/>
        </w:rPr>
      </w:pPr>
      <w:r w:rsidRPr="00307AFD">
        <w:rPr>
          <w:rFonts w:ascii="Verdana" w:eastAsia="Calibri" w:hAnsi="Verdana" w:cs="Arial"/>
        </w:rPr>
        <w:t>Además, el mismo numeral 2.5 establece que, si la constitución del interesado es menor a tres (3) años, puede acreditar la experiencia de sus accionistas, socios o constituyentes.</w:t>
      </w:r>
      <w:bookmarkStart w:id="5" w:name="_Hlk67496603"/>
      <w:r w:rsidRPr="00307AFD">
        <w:rPr>
          <w:rFonts w:ascii="Verdana" w:eastAsia="Calibri" w:hAnsi="Verdana" w:cs="Arial"/>
        </w:rPr>
        <w:t xml:space="preserve"> De esta manera, </w:t>
      </w:r>
      <w:bookmarkStart w:id="6" w:name="_Hlk94016717"/>
      <w:r w:rsidRPr="00307AFD">
        <w:rPr>
          <w:rFonts w:ascii="Verdana" w:eastAsia="Calibri" w:hAnsi="Verdana" w:cs="Arial"/>
        </w:rPr>
        <w:t>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 con menos de tres (3) años de constitución ─ puedan acreditar como experiencia en el RUP la de sus accionistas, socios o constituyentes</w:t>
      </w:r>
      <w:bookmarkEnd w:id="6"/>
      <w:r w:rsidRPr="00307AFD">
        <w:rPr>
          <w:rFonts w:ascii="Verdana" w:eastAsia="Calibri" w:hAnsi="Verdana" w:cs="Arial"/>
        </w:rPr>
        <w:t xml:space="preserve">. A pesar de que la experiencia es inherente a la persona que la </w:t>
      </w:r>
      <w:r w:rsidRPr="00307AFD">
        <w:rPr>
          <w:rFonts w:ascii="Verdana" w:eastAsia="Calibri" w:hAnsi="Verdana" w:cs="Arial"/>
        </w:rPr>
        <w:lastRenderedPageBreak/>
        <w:t>ha obtenido, razón por la cual es intransferible en virtud de su carácter personalísimo, por disposición legal o reglamentaria, en casos excepcionales, como el descrito por el artículo mencionado, se permite que las sociedades recién constituidas utilicen la experiencia de sus accionistas o socios para acreditar su capacidad en procesos de contratación pública.</w:t>
      </w:r>
    </w:p>
    <w:p w14:paraId="3B6D5004" w14:textId="77777777" w:rsidR="008C1CAA" w:rsidRPr="00307AFD" w:rsidRDefault="008C1CAA" w:rsidP="008C1CAA">
      <w:pPr>
        <w:spacing w:after="120" w:line="276" w:lineRule="auto"/>
        <w:ind w:firstLine="708"/>
        <w:jc w:val="both"/>
        <w:rPr>
          <w:rFonts w:ascii="Verdana" w:eastAsia="Calibri" w:hAnsi="Verdana" w:cs="Arial"/>
        </w:rPr>
      </w:pPr>
      <w:r w:rsidRPr="00307AFD">
        <w:rPr>
          <w:rFonts w:ascii="Verdana" w:eastAsia="Calibri" w:hAnsi="Verdana" w:cs="Arial"/>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accionista, socio o constituyente transfiere la experiencia adquirida directamente a la sociedad de la que es parte, para que esta, como persona jurídica independiente, pueda cumplir con los requisitos que establezcan las entidades estatales en sus procesos de contratación, y de esta forma promover el desarrollo de la empresa y la pluralidad de oferentes en la contratación pública.</w:t>
      </w:r>
      <w:bookmarkEnd w:id="5"/>
    </w:p>
    <w:p w14:paraId="6BA38949" w14:textId="77777777" w:rsidR="008C1CAA" w:rsidRDefault="008C1CAA" w:rsidP="008C1CAA">
      <w:pPr>
        <w:spacing w:after="120" w:line="276" w:lineRule="auto"/>
        <w:ind w:firstLine="708"/>
        <w:jc w:val="both"/>
        <w:rPr>
          <w:rFonts w:ascii="Verdana" w:eastAsia="Calibri" w:hAnsi="Verdana" w:cs="Arial"/>
        </w:rPr>
      </w:pPr>
      <w:r w:rsidRPr="00307AFD">
        <w:rPr>
          <w:rFonts w:ascii="Verdana" w:eastAsia="Times New Roman" w:hAnsi="Verdana" w:cs="Calibri"/>
          <w:lang w:val="es-ES"/>
        </w:rPr>
        <w:t>No debe perderse de vista que el Decreto 1082 de 2015 solo permite que una sociedad acredite la experiencia de quienes tienen la calidad de accionistas, socios o constituyentes durante los primeros tres (3) años de su constitución, sin establecer alguna exigencia o precisar condiciones diferentes respecto del tipo de persona (natural o jurídica) que ostente la calidad de accionistas, socios o constituyentes. Así las cosas</w:t>
      </w:r>
      <w:r w:rsidRPr="00307AFD">
        <w:rPr>
          <w:rFonts w:ascii="Verdana" w:eastAsia="Calibri" w:hAnsi="Verdana" w:cs="Arial"/>
        </w:rPr>
        <w:t>, si se carece o se pierden estas calidades, como sucedería cuando solo se tiene la calidad de representante legal de dicha o de otra empresa, no sería posible que la sociedad acredite la experiencia aportada por la persona mencionada.</w:t>
      </w:r>
    </w:p>
    <w:p w14:paraId="7BD69B92" w14:textId="77777777" w:rsidR="008C1CAA" w:rsidRDefault="008C1CAA" w:rsidP="008C1CAA">
      <w:pPr>
        <w:spacing w:after="120" w:line="276" w:lineRule="auto"/>
        <w:ind w:firstLine="708"/>
        <w:jc w:val="both"/>
        <w:rPr>
          <w:rFonts w:ascii="Verdana" w:eastAsia="Calibri" w:hAnsi="Verdana" w:cs="Arial"/>
        </w:rPr>
      </w:pPr>
      <w:r>
        <w:rPr>
          <w:rFonts w:ascii="Verdana" w:eastAsia="Calibri" w:hAnsi="Verdana" w:cs="Arial"/>
        </w:rPr>
        <w:t>En tal sentido, en los procesos de contratación, en los que sea exigible el RUP, l</w:t>
      </w:r>
      <w:r w:rsidRPr="000E0C86">
        <w:rPr>
          <w:rFonts w:ascii="Verdana" w:eastAsia="Calibri" w:hAnsi="Verdana" w:cs="Arial"/>
        </w:rPr>
        <w:t xml:space="preserve">as entidades estatales sí están obligadas a aceptar y reconocer la experiencia del socio cuando esta se encuentra debidamente acreditada, certificada e inscrita en el Registro Único de Proponentes (RUP). Esto se debe a que el RUP constituye </w:t>
      </w:r>
      <w:r>
        <w:rPr>
          <w:rFonts w:ascii="Verdana" w:eastAsia="Calibri" w:hAnsi="Verdana" w:cs="Arial"/>
        </w:rPr>
        <w:t xml:space="preserve">plena prueba de la información contenida en este </w:t>
      </w:r>
      <w:r w:rsidRPr="000E0C86">
        <w:rPr>
          <w:rFonts w:ascii="Verdana" w:eastAsia="Calibri" w:hAnsi="Verdana" w:cs="Arial"/>
        </w:rPr>
        <w:t xml:space="preserve">para acreditar los requisitos habilitantes en los procesos de contratación estatal. Por tanto, una vez la experiencia está incorporada en el RUP, la entidad no puede desconocerla, solicitar documentos adicionales ni imponer cargas probatorias distintas a las previstas en </w:t>
      </w:r>
      <w:r>
        <w:rPr>
          <w:rFonts w:ascii="Verdana" w:eastAsia="Calibri" w:hAnsi="Verdana" w:cs="Arial"/>
        </w:rPr>
        <w:t>el Sistema de Compras Públicas.</w:t>
      </w:r>
    </w:p>
    <w:p w14:paraId="731B1929" w14:textId="77777777" w:rsidR="008C1CAA" w:rsidRPr="00307AFD" w:rsidRDefault="008C1CAA" w:rsidP="008C1CAA">
      <w:pPr>
        <w:spacing w:after="120" w:line="276" w:lineRule="auto"/>
        <w:ind w:firstLine="708"/>
        <w:jc w:val="both"/>
        <w:rPr>
          <w:rFonts w:ascii="Verdana" w:eastAsia="Calibri" w:hAnsi="Verdana" w:cs="Arial"/>
        </w:rPr>
      </w:pPr>
      <w:r>
        <w:rPr>
          <w:rFonts w:ascii="Verdana" w:eastAsia="Calibri" w:hAnsi="Verdana" w:cs="Arial"/>
        </w:rPr>
        <w:t>En consecuencia, l</w:t>
      </w:r>
      <w:r w:rsidRPr="00540933">
        <w:rPr>
          <w:rFonts w:ascii="Verdana" w:eastAsia="Calibri" w:hAnsi="Verdana" w:cs="Arial"/>
        </w:rPr>
        <w:t xml:space="preserve">a entidad no puede recalificar, reinterpretar, desagregar, desconocer o modificar la experiencia registrada en el RUP, pues </w:t>
      </w:r>
      <w:r w:rsidRPr="00540933">
        <w:rPr>
          <w:rFonts w:ascii="Verdana" w:eastAsia="Calibri" w:hAnsi="Verdana" w:cs="Arial"/>
        </w:rPr>
        <w:lastRenderedPageBreak/>
        <w:t xml:space="preserve">implicaría sustituir la función certificadora de la Cámara de Comercio y vulnerar los principios de legalidad, buena fe y confianza legítima. Su competencia se </w:t>
      </w:r>
      <w:r>
        <w:rPr>
          <w:rFonts w:ascii="Verdana" w:eastAsia="Calibri" w:hAnsi="Verdana" w:cs="Arial"/>
        </w:rPr>
        <w:t>limita</w:t>
      </w:r>
      <w:r w:rsidRPr="00540933">
        <w:rPr>
          <w:rFonts w:ascii="Verdana" w:eastAsia="Calibri" w:hAnsi="Verdana" w:cs="Arial"/>
        </w:rPr>
        <w:t xml:space="preserve"> a verificar si lo certificado </w:t>
      </w:r>
      <w:r>
        <w:rPr>
          <w:rFonts w:ascii="Verdana" w:eastAsia="Calibri" w:hAnsi="Verdana" w:cs="Arial"/>
        </w:rPr>
        <w:t xml:space="preserve">en el RUP </w:t>
      </w:r>
      <w:r w:rsidRPr="00540933">
        <w:rPr>
          <w:rFonts w:ascii="Verdana" w:eastAsia="Calibri" w:hAnsi="Verdana" w:cs="Arial"/>
        </w:rPr>
        <w:t>cumple o no con lo exigido en el pliego</w:t>
      </w:r>
      <w:r>
        <w:rPr>
          <w:rFonts w:ascii="Verdana" w:eastAsia="Calibri" w:hAnsi="Verdana" w:cs="Arial"/>
        </w:rPr>
        <w:t xml:space="preserve"> de condiciones del respectivo proceso de contratación</w:t>
      </w:r>
      <w:r w:rsidRPr="00540933">
        <w:rPr>
          <w:rFonts w:ascii="Verdana" w:eastAsia="Calibri" w:hAnsi="Verdana" w:cs="Arial"/>
        </w:rPr>
        <w:t>, sin introducir criterios adicionales ni reinterpretaciones discrecionales</w:t>
      </w:r>
      <w:r>
        <w:rPr>
          <w:rFonts w:ascii="Verdana" w:eastAsia="Calibri" w:hAnsi="Verdana" w:cs="Arial"/>
        </w:rPr>
        <w:t xml:space="preserve"> </w:t>
      </w:r>
      <w:r w:rsidRPr="002A12FF">
        <w:rPr>
          <w:rFonts w:ascii="Verdana" w:eastAsia="Calibri" w:hAnsi="Verdana" w:cs="Arial"/>
        </w:rPr>
        <w:t>que desconozca la libre competencia y la selección objetiva.</w:t>
      </w:r>
    </w:p>
    <w:p w14:paraId="71A1341A" w14:textId="77777777" w:rsidR="008C1CAA" w:rsidRPr="00307AFD" w:rsidRDefault="008C1CAA" w:rsidP="008C1CAA">
      <w:pPr>
        <w:spacing w:after="120" w:line="276" w:lineRule="auto"/>
        <w:ind w:firstLine="708"/>
        <w:jc w:val="both"/>
        <w:rPr>
          <w:rFonts w:ascii="Verdana" w:eastAsia="Calibri" w:hAnsi="Verdana" w:cs="Arial"/>
        </w:rPr>
      </w:pPr>
      <w:r>
        <w:rPr>
          <w:rFonts w:ascii="Verdana" w:eastAsia="Calibri" w:hAnsi="Verdana" w:cs="Arial"/>
        </w:rPr>
        <w:t>Ahora bien</w:t>
      </w:r>
      <w:r w:rsidRPr="00307AFD">
        <w:rPr>
          <w:rFonts w:ascii="Verdana" w:eastAsia="Calibri" w:hAnsi="Verdana" w:cs="Arial"/>
        </w:rPr>
        <w:t>, es importante señalar que el artículo 2.2.1.1.1.5.3 del Decreto 1082 de 2015 dispone que las cámaras de comercio deben verificar y certificar, entre otros, el requisito habilitante de experiencia, en los siguientes términos:</w:t>
      </w:r>
      <w:bookmarkStart w:id="7" w:name="2.2.1.1.1.5.3.1"/>
      <w:bookmarkEnd w:id="7"/>
      <w:r w:rsidRPr="00307AFD">
        <w:rPr>
          <w:rFonts w:ascii="Verdana" w:eastAsia="Calibri" w:hAnsi="Verdana" w:cs="Arial"/>
        </w:rPr>
        <w:t xml:space="preserve"> </w:t>
      </w:r>
    </w:p>
    <w:p w14:paraId="5058AD2D" w14:textId="77777777" w:rsidR="008C1CAA" w:rsidRPr="00307AFD" w:rsidRDefault="008C1CAA" w:rsidP="008C1CAA">
      <w:pPr>
        <w:spacing w:after="0" w:line="276" w:lineRule="auto"/>
        <w:ind w:firstLine="709"/>
        <w:jc w:val="both"/>
        <w:rPr>
          <w:rFonts w:ascii="Verdana" w:eastAsia="Calibri" w:hAnsi="Verdana" w:cs="Arial"/>
        </w:rPr>
      </w:pPr>
    </w:p>
    <w:p w14:paraId="74F86831" w14:textId="77777777" w:rsidR="008C1CAA" w:rsidRPr="00307AFD" w:rsidRDefault="008C1CAA" w:rsidP="008C1CAA">
      <w:pPr>
        <w:spacing w:after="0" w:line="240" w:lineRule="auto"/>
        <w:ind w:left="709" w:right="709"/>
        <w:jc w:val="both"/>
        <w:rPr>
          <w:rFonts w:ascii="Verdana" w:eastAsia="Calibri" w:hAnsi="Verdana" w:cs="Arial"/>
          <w:sz w:val="20"/>
          <w:szCs w:val="20"/>
        </w:rPr>
      </w:pPr>
      <w:bookmarkStart w:id="8" w:name="_Hlk217422431"/>
      <w:r w:rsidRPr="00307AFD">
        <w:rPr>
          <w:rFonts w:ascii="Verdana" w:eastAsia="Calibri" w:hAnsi="Verdana" w:cs="Arial"/>
          <w:sz w:val="20"/>
          <w:szCs w:val="20"/>
        </w:rPr>
        <w:t xml:space="preserve">ARTÍCULO 2.2.1.1.1.5.3. </w:t>
      </w:r>
      <w:bookmarkEnd w:id="8"/>
      <w:r w:rsidRPr="00307AFD">
        <w:rPr>
          <w:rFonts w:ascii="Verdana" w:eastAsia="Calibri" w:hAnsi="Verdana" w:cs="Arial"/>
          <w:sz w:val="20"/>
          <w:szCs w:val="20"/>
        </w:rPr>
        <w:t>Requisitos habilitantes contenidos en el RUP. Las cámaras de comercio, con base en la información a la que hace referencia el artículo anterior, deben verificar y certificar los siguientes requisitos habilitantes:</w:t>
      </w:r>
    </w:p>
    <w:p w14:paraId="78C21FA0" w14:textId="77777777" w:rsidR="008C1CAA" w:rsidRPr="00307AFD" w:rsidRDefault="008C1CAA" w:rsidP="008C1CAA">
      <w:pPr>
        <w:spacing w:after="0" w:line="240" w:lineRule="auto"/>
        <w:ind w:left="709" w:right="709"/>
        <w:jc w:val="both"/>
        <w:rPr>
          <w:rFonts w:ascii="Verdana" w:eastAsia="Calibri" w:hAnsi="Verdana" w:cs="Arial"/>
          <w:sz w:val="20"/>
          <w:szCs w:val="20"/>
        </w:rPr>
      </w:pPr>
    </w:p>
    <w:p w14:paraId="4A4438D5" w14:textId="77777777" w:rsidR="008C1CAA" w:rsidRPr="00307AFD" w:rsidRDefault="008C1CAA" w:rsidP="008C1CAA">
      <w:pPr>
        <w:spacing w:after="0" w:line="240" w:lineRule="auto"/>
        <w:ind w:left="709" w:right="709"/>
        <w:jc w:val="both"/>
        <w:rPr>
          <w:rFonts w:ascii="Verdana" w:eastAsia="Calibri" w:hAnsi="Verdana" w:cs="Arial"/>
          <w:sz w:val="20"/>
          <w:szCs w:val="20"/>
        </w:rPr>
      </w:pPr>
      <w:r w:rsidRPr="00307AFD">
        <w:rPr>
          <w:rFonts w:ascii="Verdana" w:eastAsia="Calibri" w:hAnsi="Verdana" w:cs="Arial"/>
          <w:sz w:val="20"/>
          <w:szCs w:val="20"/>
        </w:rPr>
        <w:t>1. Experiencia - Los contratos celebrados por el interesado para cada uno de los bienes, obras y servicios que ofrecerá a las Entidades Estatales, identificados con el Clasificador de Bienes y Servicios en el tercer nivel y su valor expresado en SMMLV.</w:t>
      </w:r>
    </w:p>
    <w:p w14:paraId="36451906" w14:textId="77777777" w:rsidR="008C1CAA" w:rsidRPr="00307AFD" w:rsidRDefault="008C1CAA" w:rsidP="008C1CAA">
      <w:pPr>
        <w:spacing w:after="0" w:line="240" w:lineRule="auto"/>
        <w:ind w:left="709" w:right="709"/>
        <w:jc w:val="both"/>
        <w:rPr>
          <w:rFonts w:ascii="Verdana" w:eastAsia="Calibri" w:hAnsi="Verdana" w:cs="Arial"/>
          <w:sz w:val="20"/>
          <w:szCs w:val="20"/>
        </w:rPr>
      </w:pPr>
    </w:p>
    <w:p w14:paraId="13DDC643" w14:textId="77777777" w:rsidR="008C1CAA" w:rsidRPr="00307AFD" w:rsidRDefault="008C1CAA" w:rsidP="008C1CAA">
      <w:pPr>
        <w:spacing w:after="0" w:line="240" w:lineRule="auto"/>
        <w:ind w:left="709" w:right="709"/>
        <w:jc w:val="both"/>
        <w:rPr>
          <w:rFonts w:ascii="Verdana" w:eastAsia="Calibri" w:hAnsi="Verdana" w:cs="Arial"/>
          <w:sz w:val="20"/>
          <w:szCs w:val="20"/>
        </w:rPr>
      </w:pPr>
      <w:r w:rsidRPr="00307AFD">
        <w:rPr>
          <w:rFonts w:ascii="Verdana" w:eastAsia="Calibri" w:hAnsi="Verdana" w:cs="Arial"/>
          <w:sz w:val="20"/>
          <w:szCs w:val="20"/>
        </w:rPr>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w:t>
      </w:r>
    </w:p>
    <w:p w14:paraId="3E0BABF7" w14:textId="77777777" w:rsidR="008C1CAA" w:rsidRPr="00307AFD" w:rsidRDefault="008C1CAA" w:rsidP="008C1CAA">
      <w:pPr>
        <w:spacing w:after="0" w:line="240" w:lineRule="auto"/>
        <w:ind w:left="709" w:right="709"/>
        <w:jc w:val="both"/>
        <w:rPr>
          <w:rFonts w:ascii="Verdana" w:eastAsia="Calibri" w:hAnsi="Verdana" w:cs="Arial"/>
          <w:sz w:val="20"/>
          <w:szCs w:val="20"/>
        </w:rPr>
      </w:pPr>
      <w:r w:rsidRPr="00307AFD">
        <w:rPr>
          <w:rFonts w:ascii="Verdana" w:eastAsia="Calibri" w:hAnsi="Verdana" w:cs="Arial"/>
          <w:sz w:val="20"/>
          <w:szCs w:val="20"/>
        </w:rPr>
        <w:t>(…)</w:t>
      </w:r>
    </w:p>
    <w:p w14:paraId="60D10256" w14:textId="77777777" w:rsidR="008C1CAA" w:rsidRPr="00307AFD" w:rsidRDefault="008C1CAA" w:rsidP="008C1CAA">
      <w:pPr>
        <w:spacing w:after="120" w:line="276" w:lineRule="auto"/>
        <w:ind w:firstLine="708"/>
        <w:jc w:val="both"/>
        <w:rPr>
          <w:rFonts w:ascii="Verdana" w:eastAsia="Calibri" w:hAnsi="Verdana" w:cs="Arial"/>
        </w:rPr>
      </w:pPr>
    </w:p>
    <w:p w14:paraId="4D5394C1" w14:textId="77777777" w:rsidR="008C1CAA" w:rsidRPr="00307AFD" w:rsidRDefault="008C1CAA" w:rsidP="008C1CAA">
      <w:pPr>
        <w:widowControl w:val="0"/>
        <w:autoSpaceDE w:val="0"/>
        <w:autoSpaceDN w:val="0"/>
        <w:spacing w:after="120" w:line="276" w:lineRule="auto"/>
        <w:ind w:right="102" w:firstLine="607"/>
        <w:jc w:val="both"/>
        <w:rPr>
          <w:rFonts w:ascii="Verdana" w:eastAsia="Calibri" w:hAnsi="Verdana" w:cs="Arial"/>
          <w:lang w:eastAsia="es-CO"/>
        </w:rPr>
      </w:pPr>
      <w:r w:rsidRPr="00307AFD">
        <w:rPr>
          <w:rFonts w:ascii="Verdana" w:eastAsia="Times New Roman" w:hAnsi="Verdana" w:cs="Arial"/>
          <w:lang w:val="es-ES"/>
        </w:rPr>
        <w:t xml:space="preserve">Con respecto a lo anterior, se </w:t>
      </w:r>
      <w:r w:rsidRPr="00307AFD">
        <w:rPr>
          <w:rFonts w:ascii="Verdana" w:eastAsia="Calibri" w:hAnsi="Verdana" w:cs="Arial"/>
          <w:bCs/>
          <w:lang w:eastAsia="es-CO"/>
        </w:rPr>
        <w:t xml:space="preserve">establece que las cámaras de comercio deben verificar y certificar la experiencia que son aquellos contratos suscritos por el </w:t>
      </w:r>
      <w:r w:rsidRPr="00307AFD">
        <w:rPr>
          <w:rFonts w:ascii="Verdana" w:eastAsia="Calibri" w:hAnsi="Verdana" w:cs="Arial"/>
        </w:rPr>
        <w:t xml:space="preserve">interesado para cada uno de los bienes, obras y servicios que ofrece a las Entidades Estatales, identificados con el Clasificador de Bienes y Servicios en el tercer nivel y su valor expresado en SMMLV. </w:t>
      </w:r>
      <w:r w:rsidRPr="00307AFD">
        <w:rPr>
          <w:rFonts w:ascii="Verdana" w:eastAsia="Calibri" w:hAnsi="Verdana" w:cs="Arial"/>
          <w:lang w:eastAsia="es-CO"/>
        </w:rPr>
        <w:t xml:space="preserve">Los contratos celebrados por proponentes plurales, como los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 </w:t>
      </w:r>
    </w:p>
    <w:p w14:paraId="1A7E7F17" w14:textId="77777777" w:rsidR="008C1CAA" w:rsidRPr="00307AFD" w:rsidRDefault="008C1CAA" w:rsidP="008C1CAA">
      <w:pPr>
        <w:widowControl w:val="0"/>
        <w:autoSpaceDE w:val="0"/>
        <w:autoSpaceDN w:val="0"/>
        <w:spacing w:after="120" w:line="276" w:lineRule="auto"/>
        <w:ind w:right="102" w:firstLine="607"/>
        <w:jc w:val="both"/>
        <w:rPr>
          <w:rFonts w:ascii="Verdana" w:eastAsia="Calibri" w:hAnsi="Verdana" w:cs="Arial"/>
          <w:lang w:eastAsia="es-CO"/>
        </w:rPr>
      </w:pPr>
      <w:r w:rsidRPr="00307AFD">
        <w:rPr>
          <w:rFonts w:ascii="Verdana" w:eastAsia="Calibri" w:hAnsi="Verdana" w:cs="Arial"/>
          <w:lang w:val="es-ES_tradnl" w:eastAsia="es-CO"/>
        </w:rPr>
        <w:lastRenderedPageBreak/>
        <w:t xml:space="preserve">Esto significa que </w:t>
      </w:r>
      <w:r w:rsidRPr="00307AFD">
        <w:rPr>
          <w:rFonts w:ascii="Verdana" w:eastAsia="Calibri" w:hAnsi="Verdana" w:cs="Arial"/>
          <w:lang w:eastAsia="es-CO"/>
        </w:rPr>
        <w:t>la experiencia registrada en el Registro Único de Proponentes (RUP) debe clasificarse conforme a dos criterios esenciales: el objeto del contrato y su valor económico, expresado en salarios mínimos legales mensuales vigentes (SMLMV), lo cual implica que la experiencia acreditada en el RUP debe derivarse de contratos que hayan generado una contraprestación económica, permitiendo su cuantificación.</w:t>
      </w:r>
    </w:p>
    <w:p w14:paraId="01DE5A12" w14:textId="77777777" w:rsidR="008C1CAA" w:rsidRPr="00307AFD" w:rsidRDefault="008C1CAA" w:rsidP="008C1CAA">
      <w:pPr>
        <w:widowControl w:val="0"/>
        <w:autoSpaceDE w:val="0"/>
        <w:autoSpaceDN w:val="0"/>
        <w:spacing w:after="120" w:line="276" w:lineRule="auto"/>
        <w:ind w:right="102" w:firstLine="607"/>
        <w:jc w:val="both"/>
        <w:rPr>
          <w:rFonts w:ascii="Verdana" w:eastAsia="Times New Roman" w:hAnsi="Verdana" w:cs="Arial"/>
          <w:lang w:val="es-ES_tradnl"/>
        </w:rPr>
      </w:pPr>
      <w:r w:rsidRPr="00307AFD">
        <w:rPr>
          <w:rFonts w:ascii="Verdana" w:eastAsia="Calibri" w:hAnsi="Verdana" w:cs="Arial"/>
          <w:lang w:eastAsia="es-CO"/>
        </w:rPr>
        <w:t xml:space="preserve">Esta exigencia de la experiencia hechas por las cámaras de comercio, implica que la experiencia que establezca las entidades estatales en procesos de contratación, donde sea obligatoria el RUP debe ser coherente a esta, es decir, atender a los Códigos de Clasificación de Bienes y Servicios en el tener nivel y su valor cuantificado en SMMLV. </w:t>
      </w:r>
      <w:r w:rsidRPr="00307AFD">
        <w:rPr>
          <w:rFonts w:ascii="Verdana" w:eastAsia="Times New Roman" w:hAnsi="Verdana" w:cs="Arial"/>
          <w:lang w:val="es-ES"/>
        </w:rPr>
        <w:t xml:space="preserve">En estos términos, para efectos de evaluar la experiencia en los pliegos de condiciones, </w:t>
      </w:r>
      <w:r w:rsidRPr="00307AFD">
        <w:rPr>
          <w:rFonts w:ascii="Verdana" w:eastAsia="Times New Roman" w:hAnsi="Verdana" w:cs="Arial"/>
          <w:lang w:val="es-ES_tradnl"/>
        </w:rPr>
        <w:t xml:space="preserve">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 expresada en SMMLV. </w:t>
      </w:r>
    </w:p>
    <w:p w14:paraId="4A32074E" w14:textId="77777777" w:rsidR="008C1CAA" w:rsidRPr="00307AFD" w:rsidRDefault="008C1CAA" w:rsidP="008C1CAA">
      <w:pPr>
        <w:spacing w:after="120" w:line="276" w:lineRule="auto"/>
        <w:ind w:firstLine="708"/>
        <w:jc w:val="both"/>
        <w:rPr>
          <w:rFonts w:ascii="Verdana" w:eastAsia="Calibri" w:hAnsi="Verdana" w:cs="Arial"/>
        </w:rPr>
      </w:pPr>
      <w:r w:rsidRPr="00307AFD">
        <w:rPr>
          <w:rFonts w:ascii="Verdana" w:eastAsia="Calibri" w:hAnsi="Verdana" w:cs="Arial"/>
        </w:rPr>
        <w:t>Sobre el particular, es pertinente indicar que el “Manual para determinar y verificar requisitos habilitantes en los Procesos de Contratación</w:t>
      </w:r>
      <w:r w:rsidRPr="00307AFD">
        <w:rPr>
          <w:rFonts w:ascii="Verdana" w:hAnsi="Verdana" w:cs="Arial"/>
        </w:rPr>
        <w:t>” expedido por l</w:t>
      </w:r>
      <w:r w:rsidRPr="00307AFD">
        <w:rPr>
          <w:rFonts w:ascii="Verdana" w:eastAsia="Calibri" w:hAnsi="Verdana" w:cs="Arial"/>
        </w:rPr>
        <w:t xml:space="preserve">a Agencia Nacional de Contratación Pública – Colombia Compra Eficiente indica que </w:t>
      </w:r>
      <w:r w:rsidRPr="00307AFD">
        <w:rPr>
          <w:rFonts w:ascii="Verdana" w:hAnsi="Verdana"/>
        </w:rPr>
        <w:t>los proponentes deben registrar en el RUP, sin restricción alguna de cantidad o fecha de suscripción, los contratos que hayan celebrado para suministrar bienes, obras y/o servicios, identificándolos con el Clasificador de Bienes y Servicios en el tercer nivel y expresar el valor del acuerdo de voluntades respectivo en SMMLV. Lo anterior, en la medida que la experiencia no se agota con el paso del tiempo y, por el contrario, ello supone que los proponentes adquieren mayor experiencia siempre que continúen con el desarrollo de sus actividades.</w:t>
      </w:r>
      <w:r>
        <w:rPr>
          <w:rFonts w:ascii="Verdana" w:eastAsia="Calibri" w:hAnsi="Verdana" w:cs="Arial"/>
        </w:rPr>
        <w:t xml:space="preserve"> </w:t>
      </w:r>
      <w:r w:rsidRPr="00307AFD">
        <w:rPr>
          <w:rFonts w:ascii="Verdana" w:eastAsia="Calibri" w:hAnsi="Verdana" w:cs="Arial"/>
        </w:rPr>
        <w:t>Asimismo, se señala que</w:t>
      </w:r>
      <w:r w:rsidRPr="00307AFD">
        <w:t xml:space="preserve"> </w:t>
      </w:r>
      <w:r w:rsidRPr="00307AFD">
        <w:rPr>
          <w:rFonts w:ascii="Verdana" w:eastAsia="Calibri" w:hAnsi="Verdana" w:cs="Arial"/>
        </w:rPr>
        <w:t xml:space="preserve">la experiencia puede </w:t>
      </w:r>
      <w:r>
        <w:rPr>
          <w:rFonts w:ascii="Verdana" w:eastAsia="Calibri" w:hAnsi="Verdana" w:cs="Arial"/>
        </w:rPr>
        <w:t xml:space="preserve">adquirirse </w:t>
      </w:r>
      <w:r w:rsidRPr="00307AFD">
        <w:rPr>
          <w:rFonts w:ascii="Verdana" w:eastAsia="Calibri" w:hAnsi="Verdana" w:cs="Arial"/>
        </w:rPr>
        <w:t>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 Por tratarse de esquemas asociativos, en estos casos la experiencia es compartida.</w:t>
      </w:r>
    </w:p>
    <w:p w14:paraId="7C4F1FF7" w14:textId="77777777" w:rsidR="008C1CAA" w:rsidRPr="00307AFD" w:rsidRDefault="008C1CAA" w:rsidP="008C1CAA">
      <w:pPr>
        <w:spacing w:after="120" w:line="276" w:lineRule="auto"/>
        <w:ind w:firstLine="708"/>
        <w:jc w:val="both"/>
        <w:rPr>
          <w:rFonts w:ascii="Verdana" w:eastAsia="Calibri" w:hAnsi="Verdana" w:cs="Arial"/>
        </w:rPr>
      </w:pPr>
      <w:r w:rsidRPr="00307AFD">
        <w:rPr>
          <w:rFonts w:ascii="Verdana" w:eastAsia="Calibri" w:hAnsi="Verdana" w:cs="Arial"/>
        </w:rPr>
        <w:lastRenderedPageBreak/>
        <w:t xml:space="preserve">Lo anterior es determinante, porque no es posible adquirir la experiencia si en la práctica no se han ejecutado actividades previas. Precisamente, de la experiencia se deriva el conocimiento del proponente, lo cual es importante para la contratación pública, pues ello garantiza que no habrá improvisación ni mayores costos por errores o dificultades originadas en realizar una actividad por primera vez. </w:t>
      </w:r>
    </w:p>
    <w:p w14:paraId="028A3567" w14:textId="77777777" w:rsidR="008C1CAA" w:rsidRDefault="008C1CAA" w:rsidP="008C1CAA">
      <w:pPr>
        <w:spacing w:after="120" w:line="276" w:lineRule="auto"/>
        <w:ind w:firstLine="708"/>
        <w:jc w:val="both"/>
        <w:rPr>
          <w:rFonts w:ascii="Verdana" w:eastAsia="Calibri" w:hAnsi="Verdana" w:cs="Arial"/>
        </w:rPr>
      </w:pPr>
      <w:r w:rsidRPr="00307AFD">
        <w:rPr>
          <w:rFonts w:ascii="Verdana" w:eastAsia="Calibri" w:hAnsi="Verdana" w:cs="Arial"/>
        </w:rPr>
        <w:t>En este sentido, el inciso segundo del numeral 1 “Experiencia” del artículo</w:t>
      </w:r>
      <w:r w:rsidRPr="00307AFD">
        <w:rPr>
          <w:rFonts w:ascii="Verdana" w:eastAsia="Calibri" w:hAnsi="Verdana" w:cs="Arial"/>
          <w:sz w:val="20"/>
          <w:szCs w:val="20"/>
        </w:rPr>
        <w:t xml:space="preserve"> </w:t>
      </w:r>
      <w:r w:rsidRPr="00307AFD">
        <w:rPr>
          <w:rFonts w:ascii="Verdana" w:eastAsia="Calibri" w:hAnsi="Verdana" w:cs="Arial"/>
        </w:rPr>
        <w:t>2.2.1.1.1.5.3. del Decreto 1082 de 2015, se refiere a la verificación que deben realizar las cámaras de comercio en relación con los contratos presentado por los proponentes plurales, en los cuales se deberá</w:t>
      </w:r>
      <w:r w:rsidRPr="00307AFD">
        <w:rPr>
          <w:rFonts w:ascii="Verdana" w:eastAsia="Calibri" w:hAnsi="Verdana" w:cs="Arial"/>
          <w:lang w:eastAsia="es-CO"/>
        </w:rPr>
        <w:t xml:space="preserve"> atender a los Códigos de Clasificación de Bienes y Servicios en el tener nivel y su valor cuantificado en SMMLV y tener en cuenta que, tratándose de esquemas asociativos, como los consorcio y uniones temporales, la experiencia </w:t>
      </w:r>
      <w:r w:rsidRPr="00307AFD">
        <w:rPr>
          <w:rFonts w:ascii="Verdana" w:eastAsia="Calibri" w:hAnsi="Verdana" w:cs="Arial"/>
        </w:rPr>
        <w:t>se evalúa de forma proporcional a la participación de los miembros en los respectivos consorcios y/o uniones temporales</w:t>
      </w:r>
      <w:r>
        <w:rPr>
          <w:rFonts w:ascii="Verdana" w:eastAsia="Calibri" w:hAnsi="Verdana" w:cs="Arial"/>
        </w:rPr>
        <w:t>.</w:t>
      </w:r>
    </w:p>
    <w:p w14:paraId="0B2F6ED6" w14:textId="77777777" w:rsidR="008C1CAA" w:rsidRDefault="008C1CAA" w:rsidP="008C1CAA">
      <w:pPr>
        <w:spacing w:after="120" w:line="276" w:lineRule="auto"/>
        <w:ind w:firstLine="708"/>
        <w:jc w:val="both"/>
        <w:rPr>
          <w:rFonts w:ascii="Verdana" w:eastAsia="Calibri" w:hAnsi="Verdana" w:cs="Arial"/>
        </w:rPr>
      </w:pPr>
    </w:p>
    <w:p w14:paraId="35BBC6FC" w14:textId="77777777" w:rsidR="008C1CAA" w:rsidRPr="00307AFD" w:rsidRDefault="008C1CAA" w:rsidP="008C1CAA">
      <w:pPr>
        <w:spacing w:after="120" w:line="276" w:lineRule="auto"/>
        <w:jc w:val="both"/>
        <w:rPr>
          <w:rFonts w:ascii="Verdana" w:eastAsia="Calibri" w:hAnsi="Verdana" w:cs="Arial"/>
        </w:rPr>
      </w:pPr>
      <w:r w:rsidRPr="00307AFD">
        <w:rPr>
          <w:rFonts w:ascii="Verdana" w:eastAsia="Calibri" w:hAnsi="Verdana" w:cs="Arial"/>
        </w:rPr>
        <w:t xml:space="preserve">ii. </w:t>
      </w:r>
      <w:r>
        <w:rPr>
          <w:rFonts w:ascii="Verdana" w:eastAsia="Calibri" w:hAnsi="Verdana" w:cs="Arial"/>
        </w:rPr>
        <w:t xml:space="preserve">Es </w:t>
      </w:r>
      <w:r w:rsidRPr="00307AFD">
        <w:rPr>
          <w:rFonts w:ascii="Verdana" w:eastAsia="Calibri" w:hAnsi="Verdana" w:cs="Arial"/>
        </w:rPr>
        <w:t>importante señalar que quienes ostenten la calidad de accionistas, socios o constituyentes, pueden a su vez ser personas naturales o jurídicas.</w:t>
      </w:r>
      <w:bookmarkStart w:id="9" w:name="_Hlk95310517"/>
      <w:r w:rsidRPr="00307AFD">
        <w:rPr>
          <w:rFonts w:ascii="Verdana" w:eastAsia="Calibri" w:hAnsi="Verdana" w:cs="Arial"/>
        </w:rPr>
        <w:t xml:space="preserve"> Lo anterior, al tenor del artículo 73 del Código Civil Colombiano, que establece: “Las personas son naturales o jurídicas”. En tal sentido, el artículo 633 ibidem señala que “Se llama persona jurídica, una persona ficticia, capaz de ejercer derechos y contraer obligaciones civiles, y de ser representada judicial y extrajudicialmente”, lo que significa que la personalidad jurídica implica que estas personas, por sí mismas, son capaces de ejercer derechos y contraer obligaciones, así como de ser representadas judicial y extrajudicialmente. Esta definición presenta a la persona jurídica como una ficción creada por el legislador. En consecuencia, hace a la misma un ente inasible, etéreo, inmaterial; pero le suministra capacidad jurídica y poder de representación. Dicha ficción no es más que una práctica jurídica que pretende separar las autonomías patrimoniales de las personas constituyentes y el ente societario naciente.</w:t>
      </w:r>
    </w:p>
    <w:p w14:paraId="7FCD87B4" w14:textId="77777777" w:rsidR="008C1CAA" w:rsidRPr="00307AFD" w:rsidRDefault="008C1CAA" w:rsidP="008C1CAA">
      <w:pPr>
        <w:spacing w:after="120" w:line="276" w:lineRule="auto"/>
        <w:ind w:firstLine="708"/>
        <w:jc w:val="both"/>
        <w:rPr>
          <w:rFonts w:ascii="Verdana" w:eastAsia="Calibri" w:hAnsi="Verdana" w:cs="Arial"/>
        </w:rPr>
      </w:pPr>
      <w:r w:rsidRPr="00307AFD">
        <w:rPr>
          <w:rFonts w:ascii="Verdana" w:eastAsia="Calibri" w:hAnsi="Verdana" w:cs="Arial"/>
        </w:rPr>
        <w:t xml:space="preserve">El Código de Comercio, en su artículo 98, define el contrato de sociedad como aquel en virtud del cual dos o más personas se obligan a hacer un aporte con el fin de repartirse entre sí las utilidades obtenidas en la empresa o actividad </w:t>
      </w:r>
      <w:r w:rsidRPr="00307AFD">
        <w:rPr>
          <w:rFonts w:ascii="Verdana" w:eastAsia="Calibri" w:hAnsi="Verdana" w:cs="Arial"/>
        </w:rPr>
        <w:lastRenderedPageBreak/>
        <w:t>social. Además, señala que la sociedad, una vez constituida legamente, forma una persona jurídica distinta de los socios individualmente considerados</w:t>
      </w:r>
      <w:bookmarkEnd w:id="9"/>
      <w:r w:rsidRPr="00307AFD">
        <w:rPr>
          <w:rFonts w:ascii="Verdana" w:eastAsia="Calibri" w:hAnsi="Verdana" w:cs="Arial"/>
        </w:rPr>
        <w:t>. De la lectura detallada del enunciado anterior podría inferirse el origen de la personalidad jurídica de las sociedades comerciales, con la pretensión de dotar de autonomía al nuevo ente constituido, otorgándole atributos propios que lo diferencien plenamente de los socios que lo conforman.</w:t>
      </w:r>
    </w:p>
    <w:p w14:paraId="0ADBF0F7" w14:textId="77777777" w:rsidR="008C1CAA" w:rsidRPr="00307AFD" w:rsidRDefault="008C1CAA" w:rsidP="008C1CAA">
      <w:pPr>
        <w:spacing w:before="120" w:after="120" w:line="276" w:lineRule="auto"/>
        <w:ind w:firstLine="709"/>
        <w:jc w:val="both"/>
        <w:rPr>
          <w:rFonts w:ascii="Verdana" w:eastAsia="Calibri" w:hAnsi="Verdana" w:cs="Arial"/>
        </w:rPr>
      </w:pPr>
      <w:r w:rsidRPr="00307AFD">
        <w:rPr>
          <w:rFonts w:ascii="Verdana" w:eastAsia="Calibri" w:hAnsi="Verdana" w:cs="Arial"/>
        </w:rPr>
        <w:t>Sobre la noción de personalidad jurídica en las sociedades mercantiles, la Superintendencia de Sociedades expresó, en oficio 220–054019, del 6 de mayo de 2011, previa enunciación de los artículos 633, 637 y 638 del Código Civil, 24 y 80 de la ley 57 de 1887, que “[…] por virtud de la personalidad jurídica una persona jurídica, entidad o asociación, adquiere capacidad para adquirir derechos y contraer obligaciones, condición de la que se deriva la plena responsabilidad jurídica frente a sí misma y frente a terceros, como sujeto distinto de las personas que la conforman […]”. De lo anterior, se desprende que al igual que las personas naturales o físicas, las sociedades comerciales, como cualquier tipo de ente moral, son sujetos con capacidad para ejecutar todos los actos y contratos relacionados directamente con el objeto social o derivados del mismo –artículos 98 y 99 del Código de Comercio–.</w:t>
      </w:r>
    </w:p>
    <w:p w14:paraId="32B7EEDA" w14:textId="77777777" w:rsidR="008C1CAA" w:rsidRPr="00307AFD" w:rsidRDefault="008C1CAA" w:rsidP="008C1CAA">
      <w:pPr>
        <w:spacing w:before="120" w:after="120" w:line="276" w:lineRule="auto"/>
        <w:ind w:firstLine="709"/>
        <w:jc w:val="both"/>
        <w:rPr>
          <w:rFonts w:ascii="Verdana" w:eastAsia="Calibri" w:hAnsi="Verdana" w:cs="Arial"/>
        </w:rPr>
      </w:pPr>
      <w:r w:rsidRPr="00307AFD">
        <w:rPr>
          <w:rFonts w:ascii="Verdana" w:eastAsia="Calibri" w:hAnsi="Verdana" w:cs="Arial"/>
        </w:rPr>
        <w:t xml:space="preserve">Conforme a lo anterior, la constitución en debida forma del ente societario implica, a su vez, que la misma obtenga plena capacidad y representación autónoma, y en consecuencia se desligue de los socios constituyentes, dándole vida de este modo a una nueva persona. Esto evidencia que el ente societario constituye también una persona diferente a la de sus </w:t>
      </w:r>
      <w:r w:rsidRPr="00307AFD">
        <w:rPr>
          <w:rFonts w:ascii="Verdana" w:hAnsi="Verdana" w:cs="Arial"/>
        </w:rPr>
        <w:t>accionistas, socios o constituyentes</w:t>
      </w:r>
      <w:r w:rsidRPr="00307AFD">
        <w:rPr>
          <w:rFonts w:ascii="Verdana" w:eastAsia="Calibri" w:hAnsi="Verdana" w:cs="Arial"/>
        </w:rPr>
        <w:t xml:space="preserve"> individualmente considerados, pues, el ejercicio de sus actividades se realiza en nombre de dicha persona jurídica. </w:t>
      </w:r>
    </w:p>
    <w:p w14:paraId="5552E0BC" w14:textId="77777777" w:rsidR="008C1CAA" w:rsidRPr="00307AFD" w:rsidRDefault="008C1CAA" w:rsidP="008C1CAA">
      <w:pPr>
        <w:spacing w:line="276" w:lineRule="auto"/>
        <w:ind w:firstLine="709"/>
        <w:jc w:val="both"/>
        <w:rPr>
          <w:rFonts w:ascii="Verdana" w:hAnsi="Verdana" w:cs="Arial"/>
        </w:rPr>
      </w:pPr>
      <w:r w:rsidRPr="00307AFD">
        <w:rPr>
          <w:rFonts w:ascii="Verdana" w:eastAsia="Calibri" w:hAnsi="Verdana" w:cs="Arial"/>
        </w:rPr>
        <w:t xml:space="preserve">En línea con lo anterior, es evidente que los contratos suscritos por una sociedad son celebrados en nombre y representación de la persona jurídica, razón por la cual hacen parte de la experiencia adquirida por la persona ficticia capaz de ejercer derechos y contraer obligaciones, sin que ella pueda hacer parte de la experiencia de las personas que la conforman, esto es, sus </w:t>
      </w:r>
      <w:r w:rsidRPr="00307AFD">
        <w:rPr>
          <w:rFonts w:ascii="Verdana" w:hAnsi="Verdana" w:cs="Arial"/>
        </w:rPr>
        <w:t>accionistas, socios o constituyentes</w:t>
      </w:r>
      <w:r w:rsidRPr="00307AFD">
        <w:rPr>
          <w:rFonts w:ascii="Verdana" w:eastAsia="Calibri" w:hAnsi="Verdana" w:cs="Arial"/>
        </w:rPr>
        <w:t xml:space="preserve"> individualmente considerados.</w:t>
      </w:r>
      <w:r w:rsidRPr="00307AFD">
        <w:rPr>
          <w:rFonts w:ascii="Verdana" w:hAnsi="Verdana" w:cs="Arial"/>
        </w:rPr>
        <w:t xml:space="preserve"> En conclusión, reiterando la tesis expuesta en el concepto C-517 del 11 de agosto de 2022, un accionista, socio o constituyente de una sociedad no podría tomar como propia e individual la experiencia adquirida por la sociedad como </w:t>
      </w:r>
      <w:r w:rsidRPr="00307AFD">
        <w:rPr>
          <w:rFonts w:ascii="Verdana" w:eastAsia="Calibri" w:hAnsi="Verdana" w:cs="Arial"/>
        </w:rPr>
        <w:t>persona ficticia.</w:t>
      </w:r>
      <w:r w:rsidRPr="00307AFD">
        <w:rPr>
          <w:rFonts w:ascii="Verdana" w:hAnsi="Verdana" w:cs="Arial"/>
        </w:rPr>
        <w:t xml:space="preserve"> Es decir, el </w:t>
      </w:r>
      <w:r w:rsidRPr="00307AFD">
        <w:rPr>
          <w:rFonts w:ascii="Verdana" w:hAnsi="Verdana" w:cs="Arial"/>
        </w:rPr>
        <w:lastRenderedPageBreak/>
        <w:t xml:space="preserve">artículo 2.5 del artículo 2.2.1.1.1.5.2 del Decreto 1082 de 2015 consagra la posibilidad de que la persona jurídica pueda acreditar la experiencia de sus accionistas, socios o constituyentes en las condiciones descritas por la norma, descartando la posibilidad de que la experiencia se transfiera de la sociedad a las personas que la conforman.  </w:t>
      </w:r>
    </w:p>
    <w:p w14:paraId="67846755" w14:textId="77777777" w:rsidR="008C1CAA" w:rsidRPr="00A6235D" w:rsidRDefault="008C1CAA" w:rsidP="008C1CAA">
      <w:pPr>
        <w:spacing w:after="120" w:line="276" w:lineRule="auto"/>
        <w:jc w:val="both"/>
        <w:rPr>
          <w:rFonts w:ascii="Verdana" w:eastAsia="Calibri" w:hAnsi="Verdana"/>
          <w:color w:val="000000" w:themeColor="text1"/>
        </w:rPr>
      </w:pPr>
    </w:p>
    <w:bookmarkEnd w:id="3"/>
    <w:p w14:paraId="5D7D1C51" w14:textId="77777777" w:rsidR="008C1CAA" w:rsidRPr="00555D1D" w:rsidRDefault="008C1CAA" w:rsidP="008C1CAA">
      <w:pPr>
        <w:spacing w:after="120" w:line="276" w:lineRule="auto"/>
        <w:jc w:val="both"/>
        <w:rPr>
          <w:rFonts w:ascii="Verdana" w:eastAsia="Calibri" w:hAnsi="Verdana" w:cs="Arial"/>
          <w:color w:val="000000"/>
          <w:lang w:val="es-ES"/>
        </w:rPr>
      </w:pPr>
      <w:r>
        <w:rPr>
          <w:rFonts w:ascii="Verdana" w:eastAsia="Calibri" w:hAnsi="Verdana"/>
          <w:color w:val="000000" w:themeColor="text1"/>
        </w:rPr>
        <w:t>iii</w:t>
      </w:r>
      <w:r>
        <w:rPr>
          <w:rFonts w:ascii="Verdana" w:eastAsia="Calibri" w:hAnsi="Verdana" w:cs="Arial"/>
          <w:color w:val="000000" w:themeColor="text1"/>
          <w:lang w:val="es-ES"/>
        </w:rPr>
        <w:t xml:space="preserve">.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3B4339B" w14:textId="77777777" w:rsidR="008C1CAA" w:rsidRPr="00B17041" w:rsidRDefault="008C1CAA" w:rsidP="008C1CAA">
      <w:pPr>
        <w:spacing w:after="120" w:line="276" w:lineRule="auto"/>
        <w:ind w:firstLine="709"/>
        <w:jc w:val="both"/>
        <w:rPr>
          <w:rFonts w:ascii="Verdana" w:hAnsi="Verdana" w:cs="Arial"/>
          <w:lang w:val="es-ES" w:eastAsia="es-ES"/>
        </w:rPr>
      </w:pPr>
      <w:r>
        <w:rPr>
          <w:rFonts w:ascii="Verdana" w:hAnsi="Verdana" w:cs="Arial"/>
          <w:lang w:val="es-ES" w:eastAsia="es-ES"/>
        </w:rPr>
        <w:t>Dentro de este marco, el consultante 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32C9587" w14:textId="77777777" w:rsidR="008C1CAA" w:rsidRPr="00307AFD" w:rsidRDefault="008C1CAA" w:rsidP="008C1CAA">
      <w:pPr>
        <w:widowControl w:val="0"/>
        <w:autoSpaceDE w:val="0"/>
        <w:autoSpaceDN w:val="0"/>
        <w:spacing w:after="0" w:line="276" w:lineRule="auto"/>
        <w:jc w:val="both"/>
        <w:rPr>
          <w:rFonts w:ascii="Verdana" w:eastAsia="Arial" w:hAnsi="Verdana" w:cs="Arial"/>
          <w:lang w:val="es-ES"/>
        </w:rPr>
      </w:pPr>
    </w:p>
    <w:p w14:paraId="70713C2C" w14:textId="77777777" w:rsidR="008C1CAA" w:rsidRPr="00A6235D" w:rsidRDefault="008C1CAA" w:rsidP="008C1CAA">
      <w:pPr>
        <w:pStyle w:val="Prrafodelista"/>
        <w:numPr>
          <w:ilvl w:val="0"/>
          <w:numId w:val="16"/>
        </w:numPr>
        <w:tabs>
          <w:tab w:val="left" w:pos="142"/>
          <w:tab w:val="left" w:pos="284"/>
        </w:tabs>
        <w:spacing w:after="0" w:line="276" w:lineRule="auto"/>
        <w:jc w:val="both"/>
        <w:rPr>
          <w:rFonts w:ascii="Verdana" w:eastAsia="Century Gothic" w:hAnsi="Verdana" w:cs="Century Gothic"/>
          <w:b/>
          <w:bCs/>
        </w:rPr>
      </w:pPr>
      <w:r w:rsidRPr="00A6235D">
        <w:rPr>
          <w:rFonts w:ascii="Verdana" w:eastAsia="Century Gothic" w:hAnsi="Verdana" w:cs="Century Gothic"/>
          <w:b/>
          <w:bCs/>
        </w:rPr>
        <w:t>Referencias normativas:</w:t>
      </w:r>
    </w:p>
    <w:p w14:paraId="431E65E9" w14:textId="77777777" w:rsidR="008C1CAA" w:rsidRPr="00307AFD" w:rsidRDefault="008C1CAA" w:rsidP="008C1CA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C1CAA" w:rsidRPr="00307AFD" w14:paraId="2CE5EC3D" w14:textId="77777777" w:rsidTr="0029587D">
        <w:trPr>
          <w:trHeight w:val="410"/>
          <w:jc w:val="center"/>
        </w:trPr>
        <w:tc>
          <w:tcPr>
            <w:tcW w:w="8647" w:type="dxa"/>
          </w:tcPr>
          <w:p w14:paraId="0038744A" w14:textId="77777777" w:rsidR="008C1CAA" w:rsidRPr="00307AFD" w:rsidRDefault="008C1CAA" w:rsidP="0029587D">
            <w:pPr>
              <w:ind w:firstLine="720"/>
              <w:jc w:val="both"/>
              <w:rPr>
                <w:rFonts w:ascii="Verdana" w:hAnsi="Verdana" w:cs="Arial"/>
                <w:sz w:val="16"/>
                <w:szCs w:val="16"/>
              </w:rPr>
            </w:pPr>
          </w:p>
          <w:p w14:paraId="10D1E9CB" w14:textId="77777777" w:rsidR="008C1CAA" w:rsidRPr="00307AFD" w:rsidRDefault="008C1CAA" w:rsidP="008C1CAA">
            <w:pPr>
              <w:widowControl w:val="0"/>
              <w:numPr>
                <w:ilvl w:val="0"/>
                <w:numId w:val="17"/>
              </w:numPr>
              <w:tabs>
                <w:tab w:val="left" w:pos="8419"/>
              </w:tabs>
              <w:autoSpaceDE w:val="0"/>
              <w:autoSpaceDN w:val="0"/>
              <w:spacing w:after="120" w:line="276" w:lineRule="auto"/>
              <w:ind w:left="453" w:hanging="357"/>
              <w:jc w:val="both"/>
              <w:rPr>
                <w:rFonts w:ascii="Verdana" w:eastAsia="Calibri" w:hAnsi="Verdana" w:cs="Arial"/>
                <w:lang w:val="es-MX"/>
              </w:rPr>
            </w:pPr>
            <w:r w:rsidRPr="00307AFD">
              <w:rPr>
                <w:rFonts w:ascii="Verdana" w:eastAsia="Calibri" w:hAnsi="Verdana" w:cs="Arial"/>
                <w:lang w:val="es-MX"/>
              </w:rPr>
              <w:t>Código Civil Colombiano, artículos</w:t>
            </w:r>
            <w:r w:rsidRPr="00307AFD">
              <w:rPr>
                <w:rFonts w:ascii="Verdana" w:eastAsia="Calibri" w:hAnsi="Verdana" w:cs="Arial"/>
              </w:rPr>
              <w:t xml:space="preserve"> 633, 637 y 638.</w:t>
            </w:r>
          </w:p>
          <w:p w14:paraId="6002B8FC" w14:textId="77777777" w:rsidR="008C1CAA" w:rsidRPr="00307AFD" w:rsidRDefault="008C1CAA" w:rsidP="008C1CAA">
            <w:pPr>
              <w:widowControl w:val="0"/>
              <w:numPr>
                <w:ilvl w:val="0"/>
                <w:numId w:val="17"/>
              </w:numPr>
              <w:tabs>
                <w:tab w:val="left" w:pos="8419"/>
              </w:tabs>
              <w:autoSpaceDE w:val="0"/>
              <w:autoSpaceDN w:val="0"/>
              <w:spacing w:after="120" w:line="276" w:lineRule="auto"/>
              <w:ind w:left="453" w:hanging="357"/>
              <w:jc w:val="both"/>
              <w:rPr>
                <w:rFonts w:ascii="Verdana" w:eastAsia="Calibri" w:hAnsi="Verdana" w:cs="Arial"/>
                <w:lang w:val="es-MX"/>
              </w:rPr>
            </w:pPr>
            <w:r w:rsidRPr="00307AFD">
              <w:rPr>
                <w:rFonts w:ascii="Verdana" w:eastAsia="Calibri" w:hAnsi="Verdana" w:cs="Arial"/>
                <w:lang w:val="es-MX"/>
              </w:rPr>
              <w:t xml:space="preserve">Código de Comercio, artículos 98 y </w:t>
            </w:r>
            <w:r w:rsidRPr="00307AFD">
              <w:rPr>
                <w:rFonts w:ascii="Verdana" w:eastAsia="Calibri" w:hAnsi="Verdana" w:cs="Arial"/>
              </w:rPr>
              <w:t>110.</w:t>
            </w:r>
          </w:p>
          <w:p w14:paraId="637F7225" w14:textId="77777777" w:rsidR="008C1CAA" w:rsidRPr="00307AFD" w:rsidRDefault="008C1CAA" w:rsidP="008C1CAA">
            <w:pPr>
              <w:widowControl w:val="0"/>
              <w:numPr>
                <w:ilvl w:val="0"/>
                <w:numId w:val="17"/>
              </w:numPr>
              <w:tabs>
                <w:tab w:val="left" w:pos="8419"/>
              </w:tabs>
              <w:autoSpaceDE w:val="0"/>
              <w:autoSpaceDN w:val="0"/>
              <w:spacing w:after="120" w:line="276" w:lineRule="auto"/>
              <w:ind w:left="453" w:hanging="357"/>
              <w:jc w:val="both"/>
              <w:rPr>
                <w:rFonts w:ascii="Verdana" w:hAnsi="Verdana" w:cs="Arial"/>
                <w:lang w:val="es-MX"/>
              </w:rPr>
            </w:pPr>
            <w:r w:rsidRPr="00307AFD">
              <w:rPr>
                <w:rFonts w:ascii="Verdana" w:hAnsi="Verdana" w:cs="Arial"/>
                <w:lang w:val="es-MX"/>
              </w:rPr>
              <w:t xml:space="preserve">Ley 1150 de 2007, artículo 6 </w:t>
            </w:r>
          </w:p>
          <w:p w14:paraId="2B4AD640" w14:textId="77777777" w:rsidR="008C1CAA" w:rsidRPr="00307AFD" w:rsidRDefault="008C1CAA" w:rsidP="008C1CAA">
            <w:pPr>
              <w:widowControl w:val="0"/>
              <w:numPr>
                <w:ilvl w:val="0"/>
                <w:numId w:val="17"/>
              </w:numPr>
              <w:tabs>
                <w:tab w:val="left" w:pos="8419"/>
              </w:tabs>
              <w:autoSpaceDE w:val="0"/>
              <w:autoSpaceDN w:val="0"/>
              <w:spacing w:after="120" w:line="276" w:lineRule="auto"/>
              <w:ind w:left="453" w:hanging="357"/>
              <w:jc w:val="both"/>
              <w:rPr>
                <w:rFonts w:ascii="Verdana" w:eastAsia="Calibri" w:hAnsi="Verdana" w:cs="Arial"/>
                <w:lang w:val="es-MX"/>
              </w:rPr>
            </w:pPr>
            <w:r w:rsidRPr="00307AFD">
              <w:rPr>
                <w:rFonts w:ascii="Verdana" w:eastAsia="Calibri" w:hAnsi="Verdana" w:cs="Arial"/>
                <w:lang w:val="es-MX"/>
              </w:rPr>
              <w:t xml:space="preserve">Decreto 1082 de 2015, artículos 2.2.1.1.1.5.2, y </w:t>
            </w:r>
            <w:r w:rsidRPr="00307AFD">
              <w:rPr>
                <w:rFonts w:ascii="Verdana" w:eastAsia="Calibri" w:hAnsi="Verdana" w:cs="Arial"/>
              </w:rPr>
              <w:t>2.2.1.1.1.5.3</w:t>
            </w:r>
          </w:p>
          <w:p w14:paraId="710A22CC" w14:textId="77777777" w:rsidR="008C1CAA" w:rsidRPr="00307AFD" w:rsidRDefault="008C1CAA" w:rsidP="008C1CAA">
            <w:pPr>
              <w:widowControl w:val="0"/>
              <w:numPr>
                <w:ilvl w:val="0"/>
                <w:numId w:val="17"/>
              </w:numPr>
              <w:tabs>
                <w:tab w:val="left" w:pos="8419"/>
              </w:tabs>
              <w:autoSpaceDE w:val="0"/>
              <w:autoSpaceDN w:val="0"/>
              <w:spacing w:after="120" w:line="276" w:lineRule="auto"/>
              <w:ind w:left="453" w:hanging="357"/>
              <w:jc w:val="both"/>
              <w:rPr>
                <w:rFonts w:ascii="Verdana" w:eastAsia="Calibri" w:hAnsi="Verdana" w:cs="Arial"/>
                <w:lang w:val="es-MX"/>
              </w:rPr>
            </w:pPr>
            <w:r w:rsidRPr="00307AFD">
              <w:rPr>
                <w:rFonts w:ascii="Verdana" w:eastAsia="Calibri" w:hAnsi="Verdana" w:cs="Arial"/>
                <w:lang w:val="es-MX"/>
              </w:rPr>
              <w:t xml:space="preserve">Manual para determinar y verificar requisitos habilitantes en los procesos </w:t>
            </w:r>
            <w:r w:rsidRPr="00307AFD">
              <w:rPr>
                <w:rFonts w:ascii="Verdana" w:eastAsia="Calibri" w:hAnsi="Verdana" w:cs="Arial"/>
                <w:lang w:val="es-MX"/>
              </w:rPr>
              <w:lastRenderedPageBreak/>
              <w:t>de contratación, disponible en el siguiente link:</w:t>
            </w:r>
            <w:r w:rsidRPr="00307AFD">
              <w:rPr>
                <w:rFonts w:ascii="Verdana" w:eastAsia="Calibri" w:hAnsi="Verdana" w:cs="Arial"/>
                <w:lang w:val="es-MX"/>
              </w:rPr>
              <w:tab/>
              <w:t xml:space="preserve"> </w:t>
            </w:r>
            <w:hyperlink r:id="rId13" w:history="1">
              <w:r w:rsidRPr="00307AFD">
                <w:rPr>
                  <w:rFonts w:ascii="Verdana" w:eastAsia="Calibri" w:hAnsi="Verdana" w:cs="Arial"/>
                  <w:color w:val="0563C1" w:themeColor="hyperlink"/>
                  <w:u w:val="single"/>
                  <w:lang w:val="es-MX"/>
                </w:rPr>
                <w:t>https://www.colombiacompra.gov.co/sites/cce_public/files/cce_documents/cce-eicp-ma-04._manual_requisitos_habilitantes_v3_29-09-2023.pdf</w:t>
              </w:r>
            </w:hyperlink>
            <w:r w:rsidRPr="00307AFD">
              <w:rPr>
                <w:rFonts w:ascii="Verdana" w:eastAsia="Calibri" w:hAnsi="Verdana" w:cs="Arial"/>
                <w:lang w:val="es-MX"/>
              </w:rPr>
              <w:t xml:space="preserve"> </w:t>
            </w:r>
          </w:p>
        </w:tc>
      </w:tr>
    </w:tbl>
    <w:p w14:paraId="0BA4AB04" w14:textId="77777777" w:rsidR="008C1CAA" w:rsidRPr="00307AFD" w:rsidRDefault="008C1CAA" w:rsidP="008C1CAA">
      <w:pPr>
        <w:widowControl w:val="0"/>
        <w:autoSpaceDE w:val="0"/>
        <w:autoSpaceDN w:val="0"/>
        <w:spacing w:after="0" w:line="276" w:lineRule="auto"/>
        <w:jc w:val="both"/>
        <w:rPr>
          <w:rFonts w:ascii="Verdana" w:hAnsi="Verdana" w:cs="Arial"/>
        </w:rPr>
      </w:pPr>
    </w:p>
    <w:p w14:paraId="47417D89" w14:textId="77777777" w:rsidR="008C1CAA" w:rsidRPr="00307AFD" w:rsidRDefault="008C1CAA" w:rsidP="008C1CAA">
      <w:pPr>
        <w:numPr>
          <w:ilvl w:val="0"/>
          <w:numId w:val="16"/>
        </w:numPr>
        <w:tabs>
          <w:tab w:val="left" w:pos="142"/>
          <w:tab w:val="left" w:pos="284"/>
        </w:tabs>
        <w:spacing w:after="0" w:line="276" w:lineRule="auto"/>
        <w:jc w:val="both"/>
        <w:rPr>
          <w:rFonts w:ascii="Verdana" w:eastAsia="Century Gothic" w:hAnsi="Verdana" w:cs="Century Gothic"/>
          <w:b/>
          <w:bCs/>
        </w:rPr>
      </w:pPr>
      <w:r w:rsidRPr="00307AFD">
        <w:rPr>
          <w:rFonts w:ascii="Verdana" w:eastAsia="Century Gothic" w:hAnsi="Verdana" w:cs="Century Gothic"/>
          <w:b/>
          <w:bCs/>
        </w:rPr>
        <w:t>Doctrina de la Agencia Nacional de Contratación Pública:</w:t>
      </w:r>
    </w:p>
    <w:p w14:paraId="3679DCBE" w14:textId="77777777" w:rsidR="008C1CAA" w:rsidRPr="00307AFD" w:rsidRDefault="008C1CAA" w:rsidP="008C1CAA">
      <w:pPr>
        <w:widowControl w:val="0"/>
        <w:autoSpaceDE w:val="0"/>
        <w:autoSpaceDN w:val="0"/>
        <w:spacing w:after="0" w:line="276" w:lineRule="auto"/>
        <w:jc w:val="both"/>
        <w:rPr>
          <w:rFonts w:ascii="Verdana" w:hAnsi="Verdana" w:cs="Arial"/>
        </w:rPr>
      </w:pPr>
    </w:p>
    <w:p w14:paraId="7C16350B" w14:textId="77777777" w:rsidR="008C1CAA" w:rsidRPr="00307AFD" w:rsidRDefault="008C1CAA" w:rsidP="008C1CAA">
      <w:pPr>
        <w:widowControl w:val="0"/>
        <w:autoSpaceDE w:val="0"/>
        <w:autoSpaceDN w:val="0"/>
        <w:spacing w:after="120" w:line="276" w:lineRule="auto"/>
        <w:jc w:val="both"/>
        <w:rPr>
          <w:rFonts w:ascii="Verdana" w:hAnsi="Verdana" w:cs="Arial"/>
          <w:shd w:val="clear" w:color="auto" w:fill="FFFFFF"/>
        </w:rPr>
      </w:pPr>
      <w:r w:rsidRPr="00307AFD">
        <w:rPr>
          <w:rFonts w:ascii="Verdana" w:hAnsi="Verdana" w:cs="Arial"/>
          <w:bCs/>
          <w:shd w:val="clear" w:color="auto" w:fill="FFFFFF"/>
        </w:rPr>
        <w:t xml:space="preserve">La Agencia Nacional de Contratación Pública – Colombia Compra Eficiente, se ha pronunciado </w:t>
      </w:r>
      <w:r>
        <w:rPr>
          <w:rFonts w:ascii="Verdana" w:hAnsi="Verdana" w:cs="Arial"/>
          <w:bCs/>
          <w:shd w:val="clear" w:color="auto" w:fill="FFFFFF"/>
        </w:rPr>
        <w:t xml:space="preserve">en torno al tema, </w:t>
      </w:r>
      <w:r w:rsidRPr="00307AFD">
        <w:rPr>
          <w:rFonts w:ascii="Verdana" w:hAnsi="Verdana" w:cs="Arial"/>
          <w:bCs/>
          <w:shd w:val="clear" w:color="auto" w:fill="FFFFFF"/>
        </w:rPr>
        <w:t xml:space="preserve">en </w:t>
      </w:r>
      <w:r w:rsidRPr="00307AFD">
        <w:rPr>
          <w:rFonts w:ascii="Verdana" w:hAnsi="Verdana" w:cs="Arial"/>
          <w:bCs/>
          <w:shd w:val="clear" w:color="auto" w:fill="FFFFFF"/>
          <w:lang w:val="es-ES"/>
        </w:rPr>
        <w:t xml:space="preserve">los Conceptos con radicado No 2201913000007980 del 24 de octubre de 2019, C-868 del 19 de diciembre de 2022, C-877 del 26 de diciembre de 2022, C-417 del 27 de septiembre de 2023, C-432 del 23 de octubre de 2023, C-174 del 23 de julio de 2024, C- 530 del 4 de octubre de 2024, C-595 del 24 de octubre 2024, C-648 del 6 de noviembre 2024, C-116 del 11 de marzo de 2025, C-275 del 10 de abril de 2025, C- 397 del 7 de mayo de 2025, C-659 del 7 de julio de 2025, </w:t>
      </w:r>
      <w:r>
        <w:rPr>
          <w:rFonts w:ascii="Verdana" w:hAnsi="Verdana" w:cs="Arial"/>
          <w:bCs/>
          <w:shd w:val="clear" w:color="auto" w:fill="FFFFFF"/>
          <w:lang w:val="es-ES"/>
        </w:rPr>
        <w:t xml:space="preserve">C-1687 del 24 de diciembre de 2025, C-1627 del 16 de diciembre de 2025, C-1727 del 24 de diciembre de 2025, C-1711 del 29 de diciembre de 2025, </w:t>
      </w:r>
      <w:r w:rsidRPr="00307AFD">
        <w:rPr>
          <w:rFonts w:ascii="Verdana" w:hAnsi="Verdana" w:cs="Arial"/>
          <w:bCs/>
          <w:shd w:val="clear" w:color="auto" w:fill="FFFFFF"/>
          <w:lang w:val="es-ES"/>
        </w:rPr>
        <w:t>entre otros</w:t>
      </w:r>
      <w:r w:rsidRPr="00307AFD">
        <w:rPr>
          <w:rFonts w:ascii="Verdana" w:hAnsi="Verdana" w:cs="Arial"/>
          <w:bCs/>
          <w:shd w:val="clear" w:color="auto" w:fill="FFFFFF"/>
        </w:rPr>
        <w:t xml:space="preserve">. </w:t>
      </w:r>
      <w:r w:rsidRPr="00307AFD">
        <w:rPr>
          <w:rFonts w:ascii="Verdana" w:hAnsi="Verdana" w:cs="Arial"/>
          <w:shd w:val="clear" w:color="auto" w:fill="FFFFFF"/>
        </w:rPr>
        <w:t>Es</w:t>
      </w:r>
      <w:r w:rsidRPr="00307AFD">
        <w:rPr>
          <w:rFonts w:ascii="Verdana" w:hAnsi="Verdana"/>
        </w:rPr>
        <w:t>te y otros conceptos se encuentran disponibles para consulta en el Sistema de relatoría de la Agencia, al cual se puede acceder a través del siguiente enlace:</w:t>
      </w:r>
      <w:r w:rsidRPr="00307AFD">
        <w:rPr>
          <w:rFonts w:ascii="Verdana" w:hAnsi="Verdana" w:cs="Arial"/>
          <w:shd w:val="clear" w:color="auto" w:fill="FFFFFF"/>
        </w:rPr>
        <w:t xml:space="preserve"> </w:t>
      </w:r>
      <w:hyperlink r:id="rId14" w:history="1">
        <w:r w:rsidRPr="00307AFD">
          <w:rPr>
            <w:rFonts w:ascii="Verdana" w:hAnsi="Verdana" w:cs="Arial"/>
            <w:color w:val="0000FF"/>
            <w:u w:val="single"/>
            <w:shd w:val="clear" w:color="auto" w:fill="FFFFFF"/>
          </w:rPr>
          <w:t>https://relatoria.colombiacompra.gov.co/</w:t>
        </w:r>
      </w:hyperlink>
      <w:r w:rsidRPr="00307AFD">
        <w:rPr>
          <w:rFonts w:ascii="Verdana" w:hAnsi="Verdana" w:cs="Arial"/>
          <w:shd w:val="clear" w:color="auto" w:fill="FFFFFF"/>
        </w:rPr>
        <w:t xml:space="preserve"> .</w:t>
      </w:r>
    </w:p>
    <w:p w14:paraId="7AFDE6E5" w14:textId="77777777" w:rsidR="008C1CAA" w:rsidRPr="00307AFD" w:rsidRDefault="008C1CAA" w:rsidP="008C1CAA">
      <w:pPr>
        <w:shd w:val="clear" w:color="auto" w:fill="FFFFFF"/>
        <w:spacing w:after="0" w:line="276" w:lineRule="auto"/>
        <w:jc w:val="both"/>
        <w:rPr>
          <w:rFonts w:ascii="Verdana" w:hAnsi="Verdana"/>
          <w:color w:val="467886"/>
          <w:u w:val="single"/>
        </w:rPr>
      </w:pPr>
      <w:r w:rsidRPr="00307AFD">
        <w:rPr>
          <w:rFonts w:ascii="Verdana" w:hAnsi="Verdana"/>
          <w:color w:val="000000"/>
        </w:rPr>
        <w:t>Te informamos que ya se encuentra disponible la </w:t>
      </w:r>
      <w:r w:rsidRPr="00307AFD">
        <w:rPr>
          <w:rFonts w:ascii="Verdana" w:hAnsi="Verdana"/>
          <w:b/>
          <w:bCs/>
          <w:color w:val="000000"/>
        </w:rPr>
        <w:t>Guía de lineamientos de transparencia y selección objetiva para el departamento de La Guajira – Objetivo sexto constitucional de la Sentencia T-302 del 2017. </w:t>
      </w:r>
      <w:r w:rsidRPr="00307AFD">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307AFD">
          <w:rPr>
            <w:rFonts w:ascii="Verdana" w:hAnsi="Verdana"/>
            <w:color w:val="0000FF"/>
            <w:u w:val="single"/>
          </w:rPr>
          <w:t>Guía de lineamientos de transparencia y selección objetiva para el departamento de La Guajira – Objetivo sexto constitucional de la Sentencia T-302 del 2017</w:t>
        </w:r>
      </w:hyperlink>
      <w:r w:rsidRPr="00307AFD">
        <w:rPr>
          <w:rFonts w:ascii="Verdana" w:hAnsi="Verdana"/>
          <w:color w:val="000000"/>
          <w:u w:val="single"/>
        </w:rPr>
        <w:t>.</w:t>
      </w:r>
    </w:p>
    <w:p w14:paraId="798FE1CA" w14:textId="77777777" w:rsidR="008C1CAA" w:rsidRPr="00A6235D" w:rsidRDefault="008C1CAA" w:rsidP="008C1CAA">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1FD5F34D" w14:textId="77777777" w:rsidR="008C1CAA" w:rsidRPr="00B57A1B" w:rsidRDefault="008C1CAA" w:rsidP="008C1CAA">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B57A1B">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6DE3A09E" w14:textId="77777777" w:rsidR="008C1CAA" w:rsidRPr="00B57A1B" w:rsidRDefault="008C1CAA" w:rsidP="008C1CAA">
      <w:pPr>
        <w:spacing w:after="0" w:line="256" w:lineRule="auto"/>
        <w:jc w:val="both"/>
        <w:rPr>
          <w:rFonts w:ascii="Verdana" w:eastAsia="Calibri" w:hAnsi="Verdana" w:cs="Times New Roman"/>
        </w:rPr>
      </w:pPr>
    </w:p>
    <w:p w14:paraId="5095D0D2" w14:textId="586AB535" w:rsidR="008C1CAA" w:rsidRDefault="008C1CAA" w:rsidP="008C1CAA">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10B68A4C" w14:textId="77777777" w:rsidR="002E467B" w:rsidRDefault="002E467B" w:rsidP="008C1CAA">
      <w:pPr>
        <w:spacing w:after="0" w:line="256" w:lineRule="auto"/>
        <w:jc w:val="both"/>
        <w:rPr>
          <w:rFonts w:ascii="Verdana" w:eastAsia="Calibri" w:hAnsi="Verdana" w:cs="Times New Roman"/>
        </w:rPr>
      </w:pPr>
    </w:p>
    <w:p w14:paraId="1E78F935" w14:textId="2E428A46" w:rsidR="008C1CAA" w:rsidRPr="002D3F44" w:rsidRDefault="001079E4" w:rsidP="008C1CAA">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49BF73F3" wp14:editId="50D01DEC">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C1CAA" w:rsidRPr="00593A5F" w14:paraId="0A23504B" w14:textId="77777777" w:rsidTr="0029587D">
        <w:trPr>
          <w:trHeight w:val="315"/>
        </w:trPr>
        <w:tc>
          <w:tcPr>
            <w:tcW w:w="893" w:type="dxa"/>
            <w:vAlign w:val="center"/>
            <w:hideMark/>
          </w:tcPr>
          <w:p w14:paraId="21FD35D4" w14:textId="77777777" w:rsidR="008C1CAA" w:rsidRPr="003751C7" w:rsidRDefault="008C1CAA" w:rsidP="0029587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A06DC1D" w14:textId="77777777" w:rsidR="008C1CAA" w:rsidRPr="00254A7A" w:rsidRDefault="008C1CAA" w:rsidP="0029587D">
            <w:pPr>
              <w:contextualSpacing/>
              <w:rPr>
                <w:rStyle w:val="normaltextrun"/>
                <w:rFonts w:ascii="Verdana" w:hAnsi="Verdana"/>
                <w:sz w:val="16"/>
                <w:szCs w:val="16"/>
              </w:rPr>
            </w:pPr>
            <w:r w:rsidRPr="00254A7A">
              <w:rPr>
                <w:rStyle w:val="normaltextrun"/>
                <w:rFonts w:ascii="Verdana" w:hAnsi="Verdana"/>
                <w:sz w:val="16"/>
                <w:szCs w:val="16"/>
              </w:rPr>
              <w:t>J</w:t>
            </w:r>
            <w:r>
              <w:rPr>
                <w:rStyle w:val="normaltextrun"/>
                <w:rFonts w:ascii="Verdana" w:hAnsi="Verdana"/>
                <w:sz w:val="16"/>
                <w:szCs w:val="16"/>
              </w:rPr>
              <w:t>osé Luis Sánchez Cardona</w:t>
            </w:r>
          </w:p>
          <w:p w14:paraId="4436ECB2" w14:textId="77777777" w:rsidR="008C1CAA" w:rsidRPr="00254A7A" w:rsidRDefault="008C1CAA" w:rsidP="0029587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8C1CAA" w:rsidRPr="00593A5F" w14:paraId="031A4CEA" w14:textId="77777777" w:rsidTr="0029587D">
        <w:trPr>
          <w:trHeight w:val="330"/>
        </w:trPr>
        <w:tc>
          <w:tcPr>
            <w:tcW w:w="893" w:type="dxa"/>
            <w:vAlign w:val="center"/>
            <w:hideMark/>
          </w:tcPr>
          <w:p w14:paraId="07CC08BE" w14:textId="77777777" w:rsidR="008C1CAA" w:rsidRPr="003751C7" w:rsidRDefault="008C1CAA" w:rsidP="0029587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781D0B" w14:textId="77777777" w:rsidR="008C1CAA" w:rsidRPr="001B6B73" w:rsidRDefault="008C1CAA" w:rsidP="0029587D">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4FFEF56E" w14:textId="77777777" w:rsidR="008C1CAA" w:rsidRPr="00254A7A" w:rsidRDefault="008C1CAA" w:rsidP="0029587D">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8C1CAA" w:rsidRPr="00593A5F" w14:paraId="526512A6" w14:textId="77777777" w:rsidTr="0029587D">
        <w:trPr>
          <w:trHeight w:val="300"/>
        </w:trPr>
        <w:tc>
          <w:tcPr>
            <w:tcW w:w="893" w:type="dxa"/>
            <w:vAlign w:val="center"/>
          </w:tcPr>
          <w:p w14:paraId="23055938" w14:textId="77777777" w:rsidR="008C1CAA" w:rsidRPr="003751C7" w:rsidRDefault="008C1CAA" w:rsidP="0029587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3C7345" w14:textId="77777777" w:rsidR="008C1CAA" w:rsidRPr="003751C7" w:rsidRDefault="008C1CAA" w:rsidP="0029587D">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6D1ED1D7" w14:textId="77777777" w:rsidR="008C1CAA" w:rsidRPr="003751C7" w:rsidRDefault="008C1CAA" w:rsidP="0029587D">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bookmarkEnd w:id="0"/>
    </w:tbl>
    <w:p w14:paraId="5D64733D" w14:textId="16390C1B" w:rsidR="007A1830" w:rsidRPr="008C1CAA" w:rsidRDefault="007A1830" w:rsidP="008C1CAA"/>
    <w:sectPr w:rsidR="007A1830" w:rsidRPr="008C1CA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81976C" w14:textId="77777777" w:rsidR="00CA1097" w:rsidRDefault="00CA1097" w:rsidP="004A1847">
      <w:pPr>
        <w:spacing w:after="0" w:line="240" w:lineRule="auto"/>
      </w:pPr>
      <w:r>
        <w:separator/>
      </w:r>
    </w:p>
  </w:endnote>
  <w:endnote w:type="continuationSeparator" w:id="0">
    <w:p w14:paraId="54D4109F" w14:textId="77777777" w:rsidR="00CA1097" w:rsidRDefault="00CA109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1577CB98"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2E467B" w:rsidRPr="002E467B">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722561" w14:textId="77777777" w:rsidR="00CA1097" w:rsidRDefault="00CA1097" w:rsidP="004A1847">
      <w:pPr>
        <w:spacing w:after="0" w:line="240" w:lineRule="auto"/>
      </w:pPr>
      <w:r>
        <w:separator/>
      </w:r>
    </w:p>
  </w:footnote>
  <w:footnote w:type="continuationSeparator" w:id="0">
    <w:p w14:paraId="3782D905" w14:textId="77777777" w:rsidR="00CA1097" w:rsidRDefault="00CA1097" w:rsidP="004A1847">
      <w:pPr>
        <w:spacing w:after="0" w:line="240" w:lineRule="auto"/>
      </w:pPr>
      <w:r>
        <w:continuationSeparator/>
      </w:r>
    </w:p>
  </w:footnote>
  <w:footnote w:id="1">
    <w:p w14:paraId="6471B2B8" w14:textId="77777777" w:rsidR="008C1CAA" w:rsidRPr="001079E4" w:rsidRDefault="008C1CAA" w:rsidP="008C1CAA">
      <w:pPr>
        <w:pStyle w:val="Textonotapie"/>
        <w:ind w:firstLine="709"/>
        <w:jc w:val="both"/>
        <w:rPr>
          <w:rFonts w:ascii="Verdana" w:hAnsi="Verdana" w:cs="Arial"/>
          <w:sz w:val="16"/>
          <w:szCs w:val="16"/>
        </w:rPr>
      </w:pPr>
      <w:r w:rsidRPr="001079E4">
        <w:rPr>
          <w:rStyle w:val="Refdenotaalpie"/>
          <w:rFonts w:ascii="Verdana" w:hAnsi="Verdana" w:cs="Arial"/>
          <w:sz w:val="16"/>
          <w:szCs w:val="16"/>
        </w:rPr>
        <w:footnoteRef/>
      </w:r>
      <w:r w:rsidRPr="001079E4">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8E21E2C" w14:textId="77777777" w:rsidR="008C1CAA" w:rsidRPr="001079E4" w:rsidRDefault="008C1CAA" w:rsidP="008C1CAA">
      <w:pPr>
        <w:pStyle w:val="Textonotapie"/>
        <w:ind w:firstLine="709"/>
        <w:jc w:val="both"/>
        <w:rPr>
          <w:rFonts w:ascii="Verdana" w:hAnsi="Verdana" w:cs="Arial"/>
          <w:sz w:val="16"/>
          <w:szCs w:val="16"/>
        </w:rPr>
      </w:pPr>
      <w:r w:rsidRPr="001079E4">
        <w:rPr>
          <w:rFonts w:ascii="Verdana" w:hAnsi="Verdana" w:cs="Arial"/>
          <w:sz w:val="16"/>
          <w:szCs w:val="16"/>
        </w:rPr>
        <w:t>[...]</w:t>
      </w:r>
    </w:p>
    <w:p w14:paraId="15AC7C51" w14:textId="77777777" w:rsidR="008C1CAA" w:rsidRPr="001079E4" w:rsidRDefault="008C1CAA" w:rsidP="008C1CAA">
      <w:pPr>
        <w:pStyle w:val="Textonotapie"/>
        <w:ind w:firstLine="709"/>
        <w:jc w:val="both"/>
        <w:rPr>
          <w:rFonts w:ascii="Verdana" w:hAnsi="Verdana" w:cs="Arial"/>
          <w:sz w:val="16"/>
          <w:szCs w:val="16"/>
        </w:rPr>
      </w:pPr>
      <w:r w:rsidRPr="001079E4">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1529EC7F" w14:textId="77777777" w:rsidR="008C1CAA" w:rsidRPr="001079E4" w:rsidRDefault="008C1CAA" w:rsidP="008C1CAA">
      <w:pPr>
        <w:pStyle w:val="Textonotapie"/>
        <w:ind w:firstLine="709"/>
        <w:jc w:val="both"/>
        <w:rPr>
          <w:rFonts w:ascii="Verdana" w:hAnsi="Verdana" w:cs="Arial"/>
          <w:sz w:val="16"/>
          <w:szCs w:val="16"/>
        </w:rPr>
      </w:pPr>
      <w:r w:rsidRPr="001079E4">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0462790A" w14:textId="77777777" w:rsidR="008C1CAA" w:rsidRPr="001079E4" w:rsidRDefault="008C1CAA" w:rsidP="008C1CAA">
      <w:pPr>
        <w:pStyle w:val="Textonotapie"/>
        <w:ind w:firstLine="709"/>
        <w:jc w:val="both"/>
        <w:rPr>
          <w:rFonts w:ascii="Verdana" w:hAnsi="Verdana" w:cs="Arial"/>
          <w:sz w:val="16"/>
          <w:szCs w:val="16"/>
        </w:rPr>
      </w:pPr>
    </w:p>
  </w:footnote>
  <w:footnote w:id="2">
    <w:p w14:paraId="50CA3140" w14:textId="77777777" w:rsidR="008C1CAA" w:rsidRPr="001079E4" w:rsidRDefault="008C1CAA" w:rsidP="008C1CAA">
      <w:pPr>
        <w:pStyle w:val="Textonotapie"/>
        <w:ind w:firstLine="709"/>
        <w:jc w:val="both"/>
        <w:rPr>
          <w:rFonts w:ascii="Verdana" w:hAnsi="Verdana" w:cs="Arial"/>
          <w:sz w:val="16"/>
          <w:szCs w:val="16"/>
        </w:rPr>
      </w:pPr>
      <w:r w:rsidRPr="001079E4">
        <w:rPr>
          <w:rStyle w:val="Refdenotaalpie"/>
          <w:rFonts w:ascii="Verdana" w:hAnsi="Verdana" w:cs="Arial"/>
          <w:sz w:val="16"/>
          <w:szCs w:val="16"/>
        </w:rPr>
        <w:footnoteRef/>
      </w:r>
      <w:r w:rsidRPr="001079E4">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77D03C10" w14:textId="77777777" w:rsidR="008C1CAA" w:rsidRPr="001079E4" w:rsidRDefault="008C1CAA" w:rsidP="008C1CAA">
      <w:pPr>
        <w:pStyle w:val="Textonotapie"/>
        <w:ind w:firstLine="709"/>
        <w:jc w:val="both"/>
        <w:rPr>
          <w:rFonts w:ascii="Verdana" w:hAnsi="Verdana" w:cs="Arial"/>
          <w:sz w:val="16"/>
          <w:szCs w:val="16"/>
        </w:rPr>
      </w:pPr>
      <w:r w:rsidRPr="001079E4">
        <w:rPr>
          <w:rFonts w:ascii="Verdana" w:hAnsi="Verdana" w:cs="Arial"/>
          <w:sz w:val="16"/>
          <w:szCs w:val="16"/>
        </w:rPr>
        <w:t>1.    Si es una persona natural:</w:t>
      </w:r>
    </w:p>
    <w:p w14:paraId="0A9D2D86" w14:textId="77777777" w:rsidR="008C1CAA" w:rsidRPr="001079E4" w:rsidRDefault="008C1CAA" w:rsidP="008C1CAA">
      <w:pPr>
        <w:pStyle w:val="Textonotapie"/>
        <w:ind w:firstLine="709"/>
        <w:jc w:val="both"/>
        <w:rPr>
          <w:rFonts w:ascii="Verdana" w:hAnsi="Verdana" w:cs="Arial"/>
          <w:sz w:val="16"/>
          <w:szCs w:val="16"/>
        </w:rPr>
      </w:pPr>
      <w:r w:rsidRPr="001079E4">
        <w:rPr>
          <w:rFonts w:ascii="Verdana" w:hAnsi="Verdana" w:cs="Arial"/>
          <w:sz w:val="16"/>
          <w:szCs w:val="16"/>
        </w:rPr>
        <w:t>1.1. Bienes, obras y servicios que ofrecerá a las Entidades Estatales, identificados con el Clasificador de Bienes y Servicios en el tercer nivel.</w:t>
      </w:r>
    </w:p>
    <w:p w14:paraId="4AE81CF6" w14:textId="77777777" w:rsidR="008C1CAA" w:rsidRPr="001079E4" w:rsidRDefault="008C1CAA" w:rsidP="008C1CAA">
      <w:pPr>
        <w:pStyle w:val="Textonotapie"/>
        <w:ind w:firstLine="709"/>
        <w:jc w:val="both"/>
        <w:rPr>
          <w:rFonts w:ascii="Verdana" w:hAnsi="Verdana" w:cs="Arial"/>
          <w:sz w:val="16"/>
          <w:szCs w:val="16"/>
        </w:rPr>
      </w:pPr>
      <w:r w:rsidRPr="001079E4">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1079E4">
        <w:rPr>
          <w:rFonts w:ascii="Verdana" w:hAnsi="Verdana" w:cs="Arial"/>
          <w:sz w:val="16"/>
          <w:szCs w:val="16"/>
        </w:rPr>
        <w:softHyphen/>
        <w:t>sificador de Bienes y Servicios en el tercer nivel”.</w:t>
      </w:r>
    </w:p>
    <w:p w14:paraId="45ABD472" w14:textId="77777777" w:rsidR="008C1CAA" w:rsidRPr="001079E4" w:rsidRDefault="008C1CAA" w:rsidP="008C1CAA">
      <w:pPr>
        <w:pStyle w:val="Textonotapie"/>
        <w:ind w:firstLine="709"/>
        <w:jc w:val="both"/>
        <w:rPr>
          <w:rFonts w:ascii="Verdana" w:hAnsi="Verdana" w:cs="Arial"/>
          <w:sz w:val="16"/>
          <w:szCs w:val="16"/>
          <w:lang w:val="es-ES"/>
        </w:rPr>
      </w:pPr>
    </w:p>
  </w:footnote>
  <w:footnote w:id="3">
    <w:p w14:paraId="6C01F367" w14:textId="77777777" w:rsidR="008C1CAA" w:rsidRPr="001079E4" w:rsidRDefault="008C1CAA" w:rsidP="008C1CAA">
      <w:pPr>
        <w:pStyle w:val="Textonotapie"/>
        <w:ind w:firstLine="709"/>
        <w:jc w:val="both"/>
        <w:rPr>
          <w:rFonts w:ascii="Verdana" w:hAnsi="Verdana" w:cs="Arial"/>
          <w:sz w:val="16"/>
          <w:szCs w:val="16"/>
        </w:rPr>
      </w:pPr>
      <w:r w:rsidRPr="001079E4">
        <w:rPr>
          <w:rStyle w:val="Refdenotaalpie"/>
          <w:rFonts w:ascii="Verdana" w:hAnsi="Verdana" w:cs="Arial"/>
          <w:sz w:val="16"/>
          <w:szCs w:val="16"/>
        </w:rPr>
        <w:footnoteRef/>
      </w:r>
      <w:r w:rsidRPr="001079E4">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1E39607" w14:textId="77777777" w:rsidR="008C1CAA" w:rsidRPr="001079E4" w:rsidRDefault="008C1CAA" w:rsidP="008C1CAA">
      <w:pPr>
        <w:pStyle w:val="Textonotapie"/>
        <w:ind w:firstLine="709"/>
        <w:jc w:val="both"/>
        <w:rPr>
          <w:rFonts w:ascii="Verdana" w:hAnsi="Verdana" w:cs="Arial"/>
          <w:sz w:val="16"/>
          <w:szCs w:val="16"/>
        </w:rPr>
      </w:pPr>
      <w:r w:rsidRPr="001079E4">
        <w:rPr>
          <w:rFonts w:ascii="Verdana" w:hAnsi="Verdana" w:cs="Arial"/>
          <w:sz w:val="16"/>
          <w:szCs w:val="16"/>
        </w:rPr>
        <w:t>[…]</w:t>
      </w:r>
    </w:p>
    <w:p w14:paraId="32FF5BB1" w14:textId="77777777" w:rsidR="008C1CAA" w:rsidRPr="001079E4" w:rsidRDefault="008C1CAA" w:rsidP="008C1CAA">
      <w:pPr>
        <w:pStyle w:val="Textonotapie"/>
        <w:ind w:firstLine="709"/>
        <w:jc w:val="both"/>
        <w:rPr>
          <w:rFonts w:ascii="Verdana" w:hAnsi="Verdana" w:cs="Arial"/>
          <w:sz w:val="16"/>
          <w:szCs w:val="16"/>
        </w:rPr>
      </w:pPr>
      <w:r w:rsidRPr="001079E4">
        <w:rPr>
          <w:rFonts w:ascii="Verdana" w:hAnsi="Verdana" w:cs="Arial"/>
          <w:sz w:val="16"/>
          <w:szCs w:val="16"/>
          <w:shd w:val="clear" w:color="auto" w:fill="FFFFFF"/>
        </w:rPr>
        <w:t>2.1.   Bienes, obras y servicios que ofrecerá a las Entidades Estatales, identificados con el Clasificador de Bienes y Servicios en el tercer nivel”.</w:t>
      </w:r>
    </w:p>
    <w:p w14:paraId="096D6447" w14:textId="77777777" w:rsidR="008C1CAA" w:rsidRPr="001079E4" w:rsidRDefault="008C1CAA" w:rsidP="008C1CAA">
      <w:pPr>
        <w:pStyle w:val="Textonotapie"/>
        <w:ind w:firstLine="709"/>
        <w:jc w:val="both"/>
        <w:rPr>
          <w:rFonts w:ascii="Verdana" w:hAnsi="Verdana" w:cs="Arial"/>
          <w:sz w:val="16"/>
          <w:szCs w:val="16"/>
          <w:lang w:val="es-CO"/>
        </w:rPr>
      </w:pPr>
    </w:p>
  </w:footnote>
  <w:footnote w:id="4">
    <w:p w14:paraId="44ACBC81" w14:textId="77777777" w:rsidR="008C1CAA" w:rsidRPr="001079E4" w:rsidRDefault="008C1CAA" w:rsidP="008C1CAA">
      <w:pPr>
        <w:pStyle w:val="Textonotapie"/>
        <w:ind w:firstLine="709"/>
        <w:jc w:val="both"/>
        <w:rPr>
          <w:rFonts w:ascii="Verdana" w:hAnsi="Verdana" w:cs="Arial"/>
          <w:sz w:val="16"/>
          <w:szCs w:val="16"/>
        </w:rPr>
      </w:pPr>
      <w:r w:rsidRPr="001079E4">
        <w:rPr>
          <w:rStyle w:val="Refdenotaalpie"/>
          <w:rFonts w:ascii="Verdana" w:hAnsi="Verdana" w:cs="Arial"/>
          <w:sz w:val="16"/>
          <w:szCs w:val="16"/>
        </w:rPr>
        <w:footnoteRef/>
      </w:r>
      <w:r w:rsidRPr="001079E4">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1C869FF" w14:textId="77777777" w:rsidR="008C1CAA" w:rsidRPr="001079E4" w:rsidRDefault="008C1CAA" w:rsidP="008C1CAA">
      <w:pPr>
        <w:pStyle w:val="Textonotapie"/>
        <w:ind w:firstLine="709"/>
        <w:jc w:val="both"/>
        <w:rPr>
          <w:rFonts w:ascii="Verdana" w:hAnsi="Verdana" w:cs="Arial"/>
          <w:sz w:val="16"/>
          <w:szCs w:val="16"/>
        </w:rPr>
      </w:pPr>
      <w:r w:rsidRPr="001079E4">
        <w:rPr>
          <w:rFonts w:ascii="Verdana" w:hAnsi="Verdana" w:cs="Arial"/>
          <w:sz w:val="16"/>
          <w:szCs w:val="16"/>
        </w:rPr>
        <w:t>[…]</w:t>
      </w:r>
    </w:p>
    <w:p w14:paraId="709719E6" w14:textId="77777777" w:rsidR="008C1CAA" w:rsidRPr="001079E4" w:rsidRDefault="008C1CAA" w:rsidP="008C1CAA">
      <w:pPr>
        <w:pStyle w:val="Textonotapie"/>
        <w:ind w:firstLine="709"/>
        <w:jc w:val="both"/>
        <w:rPr>
          <w:rFonts w:ascii="Verdana" w:hAnsi="Verdana" w:cs="Arial"/>
          <w:sz w:val="16"/>
          <w:szCs w:val="16"/>
          <w:lang w:val="es-CO"/>
        </w:rPr>
      </w:pPr>
      <w:r w:rsidRPr="001079E4">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1079E4">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1079E4">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6pt;height:11.6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A7571E"/>
    <w:multiLevelType w:val="hybridMultilevel"/>
    <w:tmpl w:val="AECC7D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A6E25A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75AE0D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6B1B3725"/>
    <w:multiLevelType w:val="hybridMultilevel"/>
    <w:tmpl w:val="76D66C2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8A80D29"/>
    <w:multiLevelType w:val="hybridMultilevel"/>
    <w:tmpl w:val="2DC657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9"/>
  </w:num>
  <w:num w:numId="2">
    <w:abstractNumId w:val="3"/>
  </w:num>
  <w:num w:numId="3">
    <w:abstractNumId w:val="6"/>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9"/>
  </w:num>
  <w:num w:numId="7">
    <w:abstractNumId w:val="8"/>
  </w:num>
  <w:num w:numId="8">
    <w:abstractNumId w:val="18"/>
  </w:num>
  <w:num w:numId="9">
    <w:abstractNumId w:val="10"/>
  </w:num>
  <w:num w:numId="10">
    <w:abstractNumId w:val="17"/>
  </w:num>
  <w:num w:numId="11">
    <w:abstractNumId w:val="11"/>
  </w:num>
  <w:num w:numId="12">
    <w:abstractNumId w:val="1"/>
  </w:num>
  <w:num w:numId="13">
    <w:abstractNumId w:val="4"/>
  </w:num>
  <w:num w:numId="14">
    <w:abstractNumId w:val="20"/>
  </w:num>
  <w:num w:numId="15">
    <w:abstractNumId w:val="14"/>
  </w:num>
  <w:num w:numId="16">
    <w:abstractNumId w:val="5"/>
  </w:num>
  <w:num w:numId="17">
    <w:abstractNumId w:val="12"/>
  </w:num>
  <w:num w:numId="18">
    <w:abstractNumId w:val="22"/>
  </w:num>
  <w:num w:numId="19">
    <w:abstractNumId w:val="2"/>
  </w:num>
  <w:num w:numId="20">
    <w:abstractNumId w:val="21"/>
  </w:num>
  <w:num w:numId="21">
    <w:abstractNumId w:val="16"/>
  </w:num>
  <w:num w:numId="22">
    <w:abstractNumId w:val="7"/>
  </w:num>
  <w:num w:numId="23">
    <w:abstractNumId w:val="13"/>
  </w:num>
  <w:num w:numId="24">
    <w:abstractNumId w:val="15"/>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6F78"/>
    <w:rsid w:val="00026FF3"/>
    <w:rsid w:val="000416C0"/>
    <w:rsid w:val="00046945"/>
    <w:rsid w:val="00061B2A"/>
    <w:rsid w:val="000711CF"/>
    <w:rsid w:val="00082362"/>
    <w:rsid w:val="00085788"/>
    <w:rsid w:val="000A683E"/>
    <w:rsid w:val="000B19B9"/>
    <w:rsid w:val="000D0334"/>
    <w:rsid w:val="000D5DA7"/>
    <w:rsid w:val="000E0C86"/>
    <w:rsid w:val="000F6486"/>
    <w:rsid w:val="00105C57"/>
    <w:rsid w:val="0010720D"/>
    <w:rsid w:val="001079E4"/>
    <w:rsid w:val="00116940"/>
    <w:rsid w:val="00125105"/>
    <w:rsid w:val="00127233"/>
    <w:rsid w:val="001328F3"/>
    <w:rsid w:val="0015699B"/>
    <w:rsid w:val="001A33BF"/>
    <w:rsid w:val="001E2E05"/>
    <w:rsid w:val="001E4177"/>
    <w:rsid w:val="001F0B24"/>
    <w:rsid w:val="001F7DC6"/>
    <w:rsid w:val="0022400B"/>
    <w:rsid w:val="00225B0B"/>
    <w:rsid w:val="002318C9"/>
    <w:rsid w:val="002421BB"/>
    <w:rsid w:val="0025796E"/>
    <w:rsid w:val="002707A2"/>
    <w:rsid w:val="0028012F"/>
    <w:rsid w:val="0028778F"/>
    <w:rsid w:val="002951A0"/>
    <w:rsid w:val="002962BC"/>
    <w:rsid w:val="002A093D"/>
    <w:rsid w:val="002A0DD0"/>
    <w:rsid w:val="002A12FF"/>
    <w:rsid w:val="002A49AC"/>
    <w:rsid w:val="002A64FD"/>
    <w:rsid w:val="002B730F"/>
    <w:rsid w:val="002C7A84"/>
    <w:rsid w:val="002E2BF8"/>
    <w:rsid w:val="002E467B"/>
    <w:rsid w:val="002E4FD9"/>
    <w:rsid w:val="002F1507"/>
    <w:rsid w:val="0030657A"/>
    <w:rsid w:val="00316053"/>
    <w:rsid w:val="00322A85"/>
    <w:rsid w:val="00324168"/>
    <w:rsid w:val="00330834"/>
    <w:rsid w:val="003448F4"/>
    <w:rsid w:val="00374F5E"/>
    <w:rsid w:val="00377E3E"/>
    <w:rsid w:val="00381BAB"/>
    <w:rsid w:val="003A779E"/>
    <w:rsid w:val="003A7C87"/>
    <w:rsid w:val="003B1CE4"/>
    <w:rsid w:val="003C03F6"/>
    <w:rsid w:val="003D0F4D"/>
    <w:rsid w:val="003D3224"/>
    <w:rsid w:val="003D5B0D"/>
    <w:rsid w:val="003E0499"/>
    <w:rsid w:val="003E4F80"/>
    <w:rsid w:val="003E6439"/>
    <w:rsid w:val="003F3941"/>
    <w:rsid w:val="00406575"/>
    <w:rsid w:val="004140B3"/>
    <w:rsid w:val="00414C74"/>
    <w:rsid w:val="00415516"/>
    <w:rsid w:val="0042722E"/>
    <w:rsid w:val="00443523"/>
    <w:rsid w:val="0044528D"/>
    <w:rsid w:val="004555EA"/>
    <w:rsid w:val="0046365D"/>
    <w:rsid w:val="00466E39"/>
    <w:rsid w:val="004708AE"/>
    <w:rsid w:val="00480D98"/>
    <w:rsid w:val="00494F04"/>
    <w:rsid w:val="004A1847"/>
    <w:rsid w:val="004A305D"/>
    <w:rsid w:val="004B3DAC"/>
    <w:rsid w:val="004F21C4"/>
    <w:rsid w:val="004F60E6"/>
    <w:rsid w:val="004F685F"/>
    <w:rsid w:val="00535F0D"/>
    <w:rsid w:val="00540933"/>
    <w:rsid w:val="00546EBA"/>
    <w:rsid w:val="00555D1D"/>
    <w:rsid w:val="005566E8"/>
    <w:rsid w:val="0056682A"/>
    <w:rsid w:val="00574867"/>
    <w:rsid w:val="00591460"/>
    <w:rsid w:val="005A65E0"/>
    <w:rsid w:val="005C0881"/>
    <w:rsid w:val="005C3777"/>
    <w:rsid w:val="005C5CDC"/>
    <w:rsid w:val="005D476C"/>
    <w:rsid w:val="005F20A4"/>
    <w:rsid w:val="00603C5B"/>
    <w:rsid w:val="006200BF"/>
    <w:rsid w:val="0062143E"/>
    <w:rsid w:val="006219F8"/>
    <w:rsid w:val="006302F7"/>
    <w:rsid w:val="00646B9F"/>
    <w:rsid w:val="00665D70"/>
    <w:rsid w:val="00684F67"/>
    <w:rsid w:val="0068664A"/>
    <w:rsid w:val="006900D9"/>
    <w:rsid w:val="006A2BE4"/>
    <w:rsid w:val="006F5A18"/>
    <w:rsid w:val="007025D7"/>
    <w:rsid w:val="00706C16"/>
    <w:rsid w:val="00731F30"/>
    <w:rsid w:val="007340C3"/>
    <w:rsid w:val="00736DFF"/>
    <w:rsid w:val="0075235A"/>
    <w:rsid w:val="00752490"/>
    <w:rsid w:val="00756841"/>
    <w:rsid w:val="007649AB"/>
    <w:rsid w:val="00771D0C"/>
    <w:rsid w:val="007735B4"/>
    <w:rsid w:val="007739D1"/>
    <w:rsid w:val="007833AC"/>
    <w:rsid w:val="00795086"/>
    <w:rsid w:val="007A1830"/>
    <w:rsid w:val="007B268C"/>
    <w:rsid w:val="007B7171"/>
    <w:rsid w:val="007C0C0F"/>
    <w:rsid w:val="007C3DC2"/>
    <w:rsid w:val="007D3058"/>
    <w:rsid w:val="007E5497"/>
    <w:rsid w:val="00801142"/>
    <w:rsid w:val="00806F5F"/>
    <w:rsid w:val="00820278"/>
    <w:rsid w:val="008258C9"/>
    <w:rsid w:val="00844AE9"/>
    <w:rsid w:val="008611FD"/>
    <w:rsid w:val="00867F95"/>
    <w:rsid w:val="008843B6"/>
    <w:rsid w:val="00891928"/>
    <w:rsid w:val="008A446D"/>
    <w:rsid w:val="008B25F1"/>
    <w:rsid w:val="008C1CAA"/>
    <w:rsid w:val="008D180B"/>
    <w:rsid w:val="008F0EA7"/>
    <w:rsid w:val="008F17DC"/>
    <w:rsid w:val="008F4334"/>
    <w:rsid w:val="008F6705"/>
    <w:rsid w:val="0090499C"/>
    <w:rsid w:val="00921C4D"/>
    <w:rsid w:val="00923EEF"/>
    <w:rsid w:val="009419F9"/>
    <w:rsid w:val="0095685E"/>
    <w:rsid w:val="00961B09"/>
    <w:rsid w:val="00965334"/>
    <w:rsid w:val="0097093E"/>
    <w:rsid w:val="009805F4"/>
    <w:rsid w:val="009925C3"/>
    <w:rsid w:val="009A0486"/>
    <w:rsid w:val="009A0DFA"/>
    <w:rsid w:val="009B2D26"/>
    <w:rsid w:val="009C71FA"/>
    <w:rsid w:val="009C72E7"/>
    <w:rsid w:val="009C7F7E"/>
    <w:rsid w:val="009D3058"/>
    <w:rsid w:val="009F1293"/>
    <w:rsid w:val="009F3A13"/>
    <w:rsid w:val="00A0334B"/>
    <w:rsid w:val="00A03BCA"/>
    <w:rsid w:val="00A122D3"/>
    <w:rsid w:val="00A14468"/>
    <w:rsid w:val="00A17F13"/>
    <w:rsid w:val="00A20739"/>
    <w:rsid w:val="00A23AF9"/>
    <w:rsid w:val="00A31A76"/>
    <w:rsid w:val="00A33C78"/>
    <w:rsid w:val="00A6235D"/>
    <w:rsid w:val="00A73F45"/>
    <w:rsid w:val="00AB0ADB"/>
    <w:rsid w:val="00B00C0E"/>
    <w:rsid w:val="00B01B1A"/>
    <w:rsid w:val="00B30DDA"/>
    <w:rsid w:val="00B44A47"/>
    <w:rsid w:val="00B54271"/>
    <w:rsid w:val="00B64681"/>
    <w:rsid w:val="00B72CD3"/>
    <w:rsid w:val="00B72FFF"/>
    <w:rsid w:val="00B74092"/>
    <w:rsid w:val="00BA0FE7"/>
    <w:rsid w:val="00BB46CC"/>
    <w:rsid w:val="00BC3D36"/>
    <w:rsid w:val="00BC70CB"/>
    <w:rsid w:val="00BD54A6"/>
    <w:rsid w:val="00BD7F72"/>
    <w:rsid w:val="00BF41EA"/>
    <w:rsid w:val="00BF5C08"/>
    <w:rsid w:val="00BF7425"/>
    <w:rsid w:val="00C04FB3"/>
    <w:rsid w:val="00C11D8B"/>
    <w:rsid w:val="00C330EB"/>
    <w:rsid w:val="00C50D69"/>
    <w:rsid w:val="00C5365C"/>
    <w:rsid w:val="00C754BE"/>
    <w:rsid w:val="00C76B1C"/>
    <w:rsid w:val="00C925AC"/>
    <w:rsid w:val="00CA1097"/>
    <w:rsid w:val="00CA7B44"/>
    <w:rsid w:val="00CB6357"/>
    <w:rsid w:val="00CC1B26"/>
    <w:rsid w:val="00CD2FB8"/>
    <w:rsid w:val="00D00853"/>
    <w:rsid w:val="00D06146"/>
    <w:rsid w:val="00D0699E"/>
    <w:rsid w:val="00D1624A"/>
    <w:rsid w:val="00D2012C"/>
    <w:rsid w:val="00D334DD"/>
    <w:rsid w:val="00D361FD"/>
    <w:rsid w:val="00D423A2"/>
    <w:rsid w:val="00D44E26"/>
    <w:rsid w:val="00D520D8"/>
    <w:rsid w:val="00D62B9C"/>
    <w:rsid w:val="00D63AC2"/>
    <w:rsid w:val="00D7383B"/>
    <w:rsid w:val="00D7788A"/>
    <w:rsid w:val="00D81BFE"/>
    <w:rsid w:val="00DA231B"/>
    <w:rsid w:val="00DA60DB"/>
    <w:rsid w:val="00DC39FC"/>
    <w:rsid w:val="00DC7CCB"/>
    <w:rsid w:val="00DF5254"/>
    <w:rsid w:val="00E02524"/>
    <w:rsid w:val="00E16408"/>
    <w:rsid w:val="00E20894"/>
    <w:rsid w:val="00E21DBA"/>
    <w:rsid w:val="00E245AB"/>
    <w:rsid w:val="00E2764C"/>
    <w:rsid w:val="00E27F2E"/>
    <w:rsid w:val="00E30DC6"/>
    <w:rsid w:val="00E33B14"/>
    <w:rsid w:val="00E50AFE"/>
    <w:rsid w:val="00E5477F"/>
    <w:rsid w:val="00E75C92"/>
    <w:rsid w:val="00E771DC"/>
    <w:rsid w:val="00E8772A"/>
    <w:rsid w:val="00E90F6B"/>
    <w:rsid w:val="00E92C27"/>
    <w:rsid w:val="00E948BD"/>
    <w:rsid w:val="00EA0E3D"/>
    <w:rsid w:val="00EC38A7"/>
    <w:rsid w:val="00EC7BF8"/>
    <w:rsid w:val="00EE1AA8"/>
    <w:rsid w:val="00EF5E13"/>
    <w:rsid w:val="00EF647F"/>
    <w:rsid w:val="00F2205D"/>
    <w:rsid w:val="00F23FEA"/>
    <w:rsid w:val="00F27B7B"/>
    <w:rsid w:val="00F31EDC"/>
    <w:rsid w:val="00F37C6B"/>
    <w:rsid w:val="00F419D2"/>
    <w:rsid w:val="00F462B3"/>
    <w:rsid w:val="00F53DEF"/>
    <w:rsid w:val="00F5664F"/>
    <w:rsid w:val="00F666C4"/>
    <w:rsid w:val="00F76AFC"/>
    <w:rsid w:val="00F808DD"/>
    <w:rsid w:val="00FA47C0"/>
    <w:rsid w:val="00FB5DD1"/>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1CAA"/>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independiente">
    <w:name w:val="Body Text"/>
    <w:basedOn w:val="Normal"/>
    <w:link w:val="TextoindependienteCar"/>
    <w:uiPriority w:val="99"/>
    <w:semiHidden/>
    <w:unhideWhenUsed/>
    <w:rsid w:val="007739D1"/>
    <w:pPr>
      <w:spacing w:after="120"/>
    </w:pPr>
  </w:style>
  <w:style w:type="character" w:customStyle="1" w:styleId="TextoindependienteCar">
    <w:name w:val="Texto independiente Car"/>
    <w:basedOn w:val="Fuentedeprrafopredeter"/>
    <w:link w:val="Textoindependiente"/>
    <w:uiPriority w:val="99"/>
    <w:semiHidden/>
    <w:rsid w:val="007739D1"/>
  </w:style>
  <w:style w:type="character" w:customStyle="1" w:styleId="Mencinsinresolver2">
    <w:name w:val="Mención sin resolver2"/>
    <w:basedOn w:val="Fuentedeprrafopredeter"/>
    <w:uiPriority w:val="99"/>
    <w:semiHidden/>
    <w:unhideWhenUsed/>
    <w:rsid w:val="00A03BCA"/>
    <w:rPr>
      <w:color w:val="605E5C"/>
      <w:shd w:val="clear" w:color="auto" w:fill="E1DFDD"/>
    </w:rPr>
  </w:style>
  <w:style w:type="character" w:customStyle="1" w:styleId="Mencinsinresolver3">
    <w:name w:val="Mención sin resolver3"/>
    <w:basedOn w:val="Fuentedeprrafopredeter"/>
    <w:uiPriority w:val="99"/>
    <w:semiHidden/>
    <w:unhideWhenUsed/>
    <w:rsid w:val="00546EBA"/>
    <w:rPr>
      <w:color w:val="605E5C"/>
      <w:shd w:val="clear" w:color="auto" w:fill="E1DFDD"/>
    </w:rPr>
  </w:style>
  <w:style w:type="character" w:customStyle="1" w:styleId="Mencinsinresolver4">
    <w:name w:val="Mención sin resolver4"/>
    <w:basedOn w:val="Fuentedeprrafopredeter"/>
    <w:uiPriority w:val="99"/>
    <w:semiHidden/>
    <w:unhideWhenUsed/>
    <w:rsid w:val="00D162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33013606">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tacto@fingerprintsas.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B0AE70-164A-44BB-B4FF-0D20C8E7B500}"/>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D88245B7-CA66-40FB-B327-2E88725C7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18</Pages>
  <Words>5608</Words>
  <Characters>31970</Characters>
  <Application>Microsoft Office Word</Application>
  <DocSecurity>0</DocSecurity>
  <Lines>266</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2025-12-30T13:53:00Z</dcterms:created>
  <dcterms:modified xsi:type="dcterms:W3CDTF">2025-12-30T15:03:00Z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