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40105" w14:textId="30815AA6" w:rsidR="00CC0E3B" w:rsidRPr="00CC0E3B" w:rsidRDefault="00CC0E3B" w:rsidP="00CC0E3B">
      <w:pPr>
        <w:rPr>
          <w:rFonts w:ascii="Verdana" w:hAnsi="Verdana" w:cs="Arial"/>
          <w:b/>
          <w:color w:val="000000" w:themeColor="text1"/>
          <w:lang w:val="es-ES_tradnl"/>
        </w:rPr>
      </w:pPr>
      <w:bookmarkStart w:id="0" w:name="_Hlk143780582"/>
      <w:r w:rsidRPr="00CC0E3B">
        <w:rPr>
          <w:rFonts w:ascii="Verdana" w:hAnsi="Verdana" w:cs="Arial"/>
          <w:b/>
          <w:color w:val="000000" w:themeColor="text1"/>
          <w:lang w:val="es-ES_tradnl"/>
        </w:rPr>
        <w:t xml:space="preserve">ESTUDIOS PREVIOS – Convenios interadministrativos </w:t>
      </w:r>
    </w:p>
    <w:p w14:paraId="47B02F4D" w14:textId="77777777" w:rsidR="00CC0E3B" w:rsidRDefault="00CC0E3B" w:rsidP="00CC0E3B">
      <w:pPr>
        <w:tabs>
          <w:tab w:val="left" w:pos="597"/>
        </w:tabs>
        <w:spacing w:after="120" w:line="276" w:lineRule="auto"/>
        <w:jc w:val="both"/>
        <w:rPr>
          <w:rFonts w:ascii="Verdana" w:hAnsi="Verdana"/>
          <w:lang w:val="es-MX"/>
        </w:rPr>
      </w:pPr>
      <w:r>
        <w:rPr>
          <w:rFonts w:ascii="Verdana" w:hAnsi="Verdana"/>
          <w:lang w:val="es-MX"/>
        </w:rPr>
        <w:t>En relación con la elaboración de estudios y documentos previos a la celebración de un convenio interadministrativo, e</w:t>
      </w:r>
      <w:r w:rsidRPr="00F252D7">
        <w:rPr>
          <w:rFonts w:ascii="Verdana" w:eastAsia="Calibri" w:hAnsi="Verdana" w:cs="Arial"/>
          <w:bCs/>
          <w:lang w:val="es-MX" w:eastAsia="es-ES_tradnl"/>
        </w:rPr>
        <w:t xml:space="preserve">l Estatuto General de Contratación de la Administración Pública – EGCAP – contiene disposiciones que exigen a las Entidades Estatales el deber de realizar </w:t>
      </w:r>
      <w:r w:rsidRPr="00D42F08">
        <w:rPr>
          <w:rFonts w:ascii="Verdana" w:eastAsia="Calibri" w:hAnsi="Verdana" w:cs="Arial"/>
          <w:bCs/>
          <w:lang w:val="es-ES_tradnl" w:eastAsia="es-MX"/>
        </w:rPr>
        <w:t>planeación</w:t>
      </w:r>
      <w:r w:rsidRPr="00F252D7">
        <w:rPr>
          <w:rFonts w:ascii="Verdana" w:eastAsia="Calibri" w:hAnsi="Verdana" w:cs="Arial"/>
          <w:bCs/>
          <w:lang w:val="es-MX" w:eastAsia="es-ES_tradnl"/>
        </w:rPr>
        <w:t xml:space="preserve">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r w:rsidRPr="006A6285">
        <w:rPr>
          <w:rFonts w:ascii="Verdana" w:hAnsi="Verdana"/>
          <w:lang w:val="es-MX"/>
        </w:rPr>
        <w:t xml:space="preserve">. </w:t>
      </w:r>
    </w:p>
    <w:p w14:paraId="03539811" w14:textId="4D1376D0" w:rsidR="00CC0E3B" w:rsidRPr="00CC0E3B" w:rsidRDefault="00CC0E3B" w:rsidP="00CC0E3B">
      <w:pPr>
        <w:rPr>
          <w:rFonts w:ascii="Verdana" w:eastAsia="Calibri" w:hAnsi="Verdana" w:cs="Arial"/>
          <w:b/>
          <w:bCs/>
          <w:lang w:val="es-ES" w:eastAsia="es-ES"/>
        </w:rPr>
      </w:pPr>
      <w:r w:rsidRPr="00CC0E3B">
        <w:rPr>
          <w:rFonts w:ascii="Verdana" w:eastAsia="Calibri" w:hAnsi="Verdana" w:cs="Arial"/>
          <w:b/>
          <w:bCs/>
          <w:lang w:val="es-ES" w:eastAsia="es-ES"/>
        </w:rPr>
        <w:t xml:space="preserve">ANÁLISIS DEL SECTOR – Definición </w:t>
      </w:r>
    </w:p>
    <w:p w14:paraId="7EC1DB3B" w14:textId="6D7A26C8" w:rsidR="00CC0E3B" w:rsidRDefault="00CC0E3B" w:rsidP="00CC0E3B">
      <w:pPr>
        <w:jc w:val="both"/>
        <w:rPr>
          <w:rFonts w:ascii="Verdana" w:eastAsia="Calibri" w:hAnsi="Verdana" w:cs="Arial"/>
          <w:lang w:val="es-ES" w:eastAsia="es-ES"/>
        </w:rPr>
      </w:pPr>
      <w:r>
        <w:rPr>
          <w:rFonts w:ascii="Verdana" w:eastAsia="Calibri" w:hAnsi="Verdana" w:cs="Arial"/>
          <w:lang w:val="es-ES" w:eastAsia="es-ES"/>
        </w:rPr>
        <w:t xml:space="preserve">[…] </w:t>
      </w:r>
      <w:r w:rsidRPr="00F252D7">
        <w:rPr>
          <w:rFonts w:ascii="Verdana" w:eastAsia="Calibri" w:hAnsi="Verdana" w:cs="Arial"/>
          <w:bCs/>
          <w:lang w:val="es-ES_tradnl" w:eastAsia="es-MX"/>
        </w:rPr>
        <w:t>En este sentido, el análisis del sector de las perspectivas legal, comercial, financiera, organizacional, técnica, y de análisis de Riesgo, al que se refiere el artículo 2.2.1.1.1.6.1 del Decreto 1082 de 2015, constituye un insumo importante para determinar factores que pudieran determinar el valor del contrato y orientar a la entidad en torno al monto de la disponibilidad presupuestal que requiere para realizar la contratación</w:t>
      </w:r>
      <w:r>
        <w:rPr>
          <w:rFonts w:ascii="Verdana" w:eastAsia="Calibri" w:hAnsi="Verdana" w:cs="Arial"/>
          <w:bCs/>
          <w:lang w:val="es-ES_tradnl" w:eastAsia="es-MX"/>
        </w:rPr>
        <w:t>.</w:t>
      </w:r>
    </w:p>
    <w:p w14:paraId="7EBAA90A" w14:textId="022EA60B" w:rsidR="00CC0E3B" w:rsidRPr="00CC0E3B" w:rsidRDefault="00CC0E3B" w:rsidP="00CC0E3B">
      <w:pPr>
        <w:rPr>
          <w:rFonts w:ascii="Verdana" w:eastAsia="Calibri" w:hAnsi="Verdana" w:cs="Arial"/>
          <w:b/>
          <w:bCs/>
          <w:lang w:val="es-ES" w:eastAsia="es-ES"/>
        </w:rPr>
      </w:pPr>
      <w:r w:rsidRPr="00CC0E3B">
        <w:rPr>
          <w:rFonts w:ascii="Verdana" w:eastAsia="Calibri" w:hAnsi="Verdana" w:cs="Arial"/>
          <w:b/>
          <w:bCs/>
          <w:lang w:val="es-ES" w:eastAsia="es-ES"/>
        </w:rPr>
        <w:t>ESTUDIOS DE MERCADO – Finalidad - Recomendaciones – Colombia compra eficiente – Guía de elaboración de estudios del sector</w:t>
      </w:r>
    </w:p>
    <w:p w14:paraId="53957930" w14:textId="77777777" w:rsidR="00CC0E3B" w:rsidRDefault="00CC0E3B" w:rsidP="00CC0E3B">
      <w:pPr>
        <w:spacing w:before="120" w:after="120" w:line="276" w:lineRule="auto"/>
        <w:jc w:val="both"/>
        <w:rPr>
          <w:rFonts w:ascii="Verdana" w:eastAsia="Calibri" w:hAnsi="Verdana" w:cs="Arial"/>
          <w:bCs/>
          <w:szCs w:val="24"/>
          <w:lang w:val="es-ES" w:eastAsia="es-ES_tradnl"/>
        </w:rPr>
      </w:pPr>
      <w:r>
        <w:rPr>
          <w:rFonts w:ascii="Verdana" w:eastAsia="Times New Roman" w:hAnsi="Verdana" w:cs="Arial"/>
          <w:bCs/>
          <w:lang w:val="es-ES" w:eastAsia="es-ES"/>
        </w:rPr>
        <w:t>L</w:t>
      </w:r>
      <w:r w:rsidRPr="00FC6F34">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color w:val="000000" w:themeColor="text1"/>
          <w:lang w:val="es-ES" w:eastAsia="es-ES"/>
        </w:rPr>
        <w:t xml:space="preserve"> no cuenta con lineamientos sobre la celebración de convenios interadministrativos, no obstante se expidió la </w:t>
      </w:r>
      <w:r w:rsidRPr="00F252D7">
        <w:rPr>
          <w:rFonts w:ascii="Verdana" w:eastAsia="Calibri" w:hAnsi="Verdana" w:cs="Arial"/>
          <w:bCs/>
          <w:lang w:val="es-ES_tradnl" w:eastAsia="es-MX"/>
        </w:rPr>
        <w:t>“Guía para la Elaboración de Estudios del Sector”,</w:t>
      </w:r>
      <w:r>
        <w:rPr>
          <w:rFonts w:ascii="Verdana" w:eastAsia="Calibri" w:hAnsi="Verdana" w:cs="Arial"/>
          <w:bCs/>
          <w:lang w:val="es-ES_tradnl" w:eastAsia="es-MX"/>
        </w:rPr>
        <w:t xml:space="preserve"> que es transversal a todos los procesos de contratación incluida la celebración de convenios interadministrativos, y es un</w:t>
      </w:r>
      <w:r w:rsidRPr="00F252D7">
        <w:rPr>
          <w:rFonts w:ascii="Verdana" w:eastAsia="Calibri" w:hAnsi="Verdana" w:cs="Arial"/>
          <w:bCs/>
          <w:lang w:val="es-ES_tradnl" w:eastAsia="es-MX"/>
        </w:rPr>
        <w:t xml:space="preserve">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w:t>
      </w:r>
      <w:r w:rsidRPr="00F252D7">
        <w:rPr>
          <w:rFonts w:ascii="Verdana" w:eastAsia="Calibri" w:hAnsi="Verdana" w:cs="Arial"/>
          <w:bCs/>
          <w:szCs w:val="24"/>
          <w:lang w:val="es-ES" w:eastAsia="es-ES_tradnl"/>
        </w:rPr>
        <w:lastRenderedPageBreak/>
        <w:t xml:space="preserve">sector depende de la complejidad y particularidades de cada Proceso de Contratación. </w:t>
      </w:r>
    </w:p>
    <w:p w14:paraId="52A4B050" w14:textId="77777777" w:rsidR="00CC0E3B" w:rsidRDefault="00CC0E3B" w:rsidP="00CC0E3B">
      <w:pPr>
        <w:rPr>
          <w:rFonts w:ascii="Verdana" w:eastAsia="Calibri" w:hAnsi="Verdana" w:cs="Arial"/>
          <w:lang w:val="es-ES" w:eastAsia="es-ES"/>
        </w:rPr>
      </w:pPr>
    </w:p>
    <w:p w14:paraId="59F3DC97" w14:textId="77777777" w:rsidR="00CC0E3B" w:rsidRPr="000A3FCA" w:rsidRDefault="00CC0E3B" w:rsidP="00CC0E3B">
      <w:pPr>
        <w:rPr>
          <w:rFonts w:ascii="Verdana" w:hAnsi="Verdana" w:cs="Arial"/>
          <w:bCs/>
          <w:color w:val="000000" w:themeColor="text1"/>
          <w:highlight w:val="yellow"/>
          <w:lang w:val="es-ES_tradnl"/>
        </w:rPr>
      </w:pPr>
    </w:p>
    <w:p w14:paraId="631C0907" w14:textId="77777777" w:rsidR="00CC0E3B" w:rsidRDefault="00CC0E3B" w:rsidP="00C15139">
      <w:pPr>
        <w:spacing w:after="0"/>
        <w:rPr>
          <w:rFonts w:ascii="Verdana" w:hAnsi="Verdana"/>
        </w:rPr>
      </w:pPr>
    </w:p>
    <w:p w14:paraId="3B4D10C1" w14:textId="77777777" w:rsidR="00CC0E3B" w:rsidRDefault="00CC0E3B" w:rsidP="00C15139">
      <w:pPr>
        <w:spacing w:after="0"/>
        <w:rPr>
          <w:rFonts w:ascii="Verdana" w:hAnsi="Verdana"/>
        </w:rPr>
      </w:pPr>
    </w:p>
    <w:p w14:paraId="117D3CD9" w14:textId="74123CFC" w:rsidR="00CC0E3B" w:rsidRDefault="00CC0E3B" w:rsidP="00C15139">
      <w:pPr>
        <w:spacing w:after="0"/>
        <w:rPr>
          <w:rFonts w:ascii="Verdana" w:hAnsi="Verdana"/>
        </w:rPr>
      </w:pPr>
    </w:p>
    <w:p w14:paraId="7ABA8961" w14:textId="61353590" w:rsidR="00CC0E3B" w:rsidRDefault="00CC0E3B" w:rsidP="00C15139">
      <w:pPr>
        <w:spacing w:after="0"/>
        <w:rPr>
          <w:rFonts w:ascii="Verdana" w:hAnsi="Verdana"/>
        </w:rPr>
      </w:pPr>
    </w:p>
    <w:p w14:paraId="5154C1BC" w14:textId="3B991CC5" w:rsidR="00CC0E3B" w:rsidRDefault="00CC0E3B" w:rsidP="00C15139">
      <w:pPr>
        <w:spacing w:after="0"/>
        <w:rPr>
          <w:rFonts w:ascii="Verdana" w:hAnsi="Verdana"/>
        </w:rPr>
      </w:pPr>
    </w:p>
    <w:p w14:paraId="7BF17260" w14:textId="78BDD1A5" w:rsidR="00CC0E3B" w:rsidRDefault="00CC0E3B" w:rsidP="00C15139">
      <w:pPr>
        <w:spacing w:after="0"/>
        <w:rPr>
          <w:rFonts w:ascii="Verdana" w:hAnsi="Verdana"/>
        </w:rPr>
      </w:pPr>
    </w:p>
    <w:p w14:paraId="2520A20D" w14:textId="6FF590FB" w:rsidR="00CC0E3B" w:rsidRDefault="00CC0E3B" w:rsidP="00C15139">
      <w:pPr>
        <w:spacing w:after="0"/>
        <w:rPr>
          <w:rFonts w:ascii="Verdana" w:hAnsi="Verdana"/>
        </w:rPr>
      </w:pPr>
    </w:p>
    <w:p w14:paraId="3AC7D93B" w14:textId="1FE58394" w:rsidR="00CC0E3B" w:rsidRDefault="00CC0E3B" w:rsidP="00C15139">
      <w:pPr>
        <w:spacing w:after="0"/>
        <w:rPr>
          <w:rFonts w:ascii="Verdana" w:hAnsi="Verdana"/>
        </w:rPr>
      </w:pPr>
    </w:p>
    <w:p w14:paraId="42F581C2" w14:textId="5F7FC3C5" w:rsidR="00CC0E3B" w:rsidRDefault="00CC0E3B" w:rsidP="00C15139">
      <w:pPr>
        <w:spacing w:after="0"/>
        <w:rPr>
          <w:rFonts w:ascii="Verdana" w:hAnsi="Verdana"/>
        </w:rPr>
      </w:pPr>
    </w:p>
    <w:p w14:paraId="438643AB" w14:textId="10DECE91" w:rsidR="00CC0E3B" w:rsidRDefault="00CC0E3B" w:rsidP="00C15139">
      <w:pPr>
        <w:spacing w:after="0"/>
        <w:rPr>
          <w:rFonts w:ascii="Verdana" w:hAnsi="Verdana"/>
        </w:rPr>
      </w:pPr>
    </w:p>
    <w:p w14:paraId="4EA7432D" w14:textId="01C8FF86" w:rsidR="00CC0E3B" w:rsidRDefault="00CC0E3B" w:rsidP="00C15139">
      <w:pPr>
        <w:spacing w:after="0"/>
        <w:rPr>
          <w:rFonts w:ascii="Verdana" w:hAnsi="Verdana"/>
        </w:rPr>
      </w:pPr>
    </w:p>
    <w:p w14:paraId="16FF79EB" w14:textId="61F4F5BA" w:rsidR="00CC0E3B" w:rsidRDefault="00CC0E3B" w:rsidP="00C15139">
      <w:pPr>
        <w:spacing w:after="0"/>
        <w:rPr>
          <w:rFonts w:ascii="Verdana" w:hAnsi="Verdana"/>
        </w:rPr>
      </w:pPr>
    </w:p>
    <w:p w14:paraId="0D83CABF" w14:textId="1405C3A0" w:rsidR="00CC0E3B" w:rsidRDefault="00CC0E3B" w:rsidP="00C15139">
      <w:pPr>
        <w:spacing w:after="0"/>
        <w:rPr>
          <w:rFonts w:ascii="Verdana" w:hAnsi="Verdana"/>
        </w:rPr>
      </w:pPr>
    </w:p>
    <w:p w14:paraId="3C2E9A7B" w14:textId="62E933DA" w:rsidR="00CC0E3B" w:rsidRDefault="00CC0E3B" w:rsidP="00C15139">
      <w:pPr>
        <w:spacing w:after="0"/>
        <w:rPr>
          <w:rFonts w:ascii="Verdana" w:hAnsi="Verdana"/>
        </w:rPr>
      </w:pPr>
    </w:p>
    <w:p w14:paraId="277723DD" w14:textId="20A79DD1" w:rsidR="00CC0E3B" w:rsidRDefault="00CC0E3B" w:rsidP="00C15139">
      <w:pPr>
        <w:spacing w:after="0"/>
        <w:rPr>
          <w:rFonts w:ascii="Verdana" w:hAnsi="Verdana"/>
        </w:rPr>
      </w:pPr>
    </w:p>
    <w:p w14:paraId="595E2E2B" w14:textId="2856F989" w:rsidR="00CC0E3B" w:rsidRDefault="00CC0E3B" w:rsidP="00C15139">
      <w:pPr>
        <w:spacing w:after="0"/>
        <w:rPr>
          <w:rFonts w:ascii="Verdana" w:hAnsi="Verdana"/>
        </w:rPr>
      </w:pPr>
    </w:p>
    <w:p w14:paraId="2BAFC11B" w14:textId="108FF577" w:rsidR="00CC0E3B" w:rsidRDefault="00CC0E3B" w:rsidP="00C15139">
      <w:pPr>
        <w:spacing w:after="0"/>
        <w:rPr>
          <w:rFonts w:ascii="Verdana" w:hAnsi="Verdana"/>
        </w:rPr>
      </w:pPr>
    </w:p>
    <w:p w14:paraId="7DC882BC" w14:textId="77777777" w:rsidR="00CC0E3B" w:rsidRDefault="00CC0E3B" w:rsidP="00C15139">
      <w:pPr>
        <w:spacing w:after="0"/>
        <w:rPr>
          <w:rFonts w:ascii="Verdana" w:hAnsi="Verdana"/>
        </w:rPr>
      </w:pPr>
    </w:p>
    <w:p w14:paraId="57C84863" w14:textId="398DD196" w:rsidR="00CC0E3B" w:rsidRDefault="00CC0E3B" w:rsidP="00C15139">
      <w:pPr>
        <w:spacing w:after="0"/>
        <w:rPr>
          <w:rFonts w:ascii="Verdana" w:hAnsi="Verdana"/>
        </w:rPr>
      </w:pPr>
    </w:p>
    <w:p w14:paraId="10AE363F" w14:textId="0663BEB2" w:rsidR="00CC0E3B" w:rsidRDefault="00CC0E3B" w:rsidP="00C15139">
      <w:pPr>
        <w:spacing w:after="0"/>
        <w:rPr>
          <w:rFonts w:ascii="Verdana" w:hAnsi="Verdana"/>
        </w:rPr>
      </w:pPr>
    </w:p>
    <w:p w14:paraId="3B9761CB" w14:textId="398F8C40" w:rsidR="00CC0E3B" w:rsidRDefault="00CC0E3B" w:rsidP="00C15139">
      <w:pPr>
        <w:spacing w:after="0"/>
        <w:rPr>
          <w:rFonts w:ascii="Verdana" w:hAnsi="Verdana"/>
        </w:rPr>
      </w:pPr>
    </w:p>
    <w:p w14:paraId="5304557B" w14:textId="68502E8A" w:rsidR="00CC0E3B" w:rsidRDefault="00CC0E3B" w:rsidP="00C15139">
      <w:pPr>
        <w:spacing w:after="0"/>
        <w:rPr>
          <w:rFonts w:ascii="Verdana" w:hAnsi="Verdana"/>
        </w:rPr>
      </w:pPr>
    </w:p>
    <w:p w14:paraId="671662AF" w14:textId="60D4CBC2" w:rsidR="00CC0E3B" w:rsidRDefault="00CC0E3B" w:rsidP="00C15139">
      <w:pPr>
        <w:spacing w:after="0"/>
        <w:rPr>
          <w:rFonts w:ascii="Verdana" w:hAnsi="Verdana"/>
        </w:rPr>
      </w:pPr>
    </w:p>
    <w:p w14:paraId="5E99B8CD" w14:textId="4A537CD2" w:rsidR="00CC0E3B" w:rsidRDefault="00CC0E3B" w:rsidP="00C15139">
      <w:pPr>
        <w:spacing w:after="0"/>
        <w:rPr>
          <w:rFonts w:ascii="Verdana" w:hAnsi="Verdana"/>
        </w:rPr>
      </w:pPr>
    </w:p>
    <w:p w14:paraId="7FE850CA" w14:textId="0E7040AF" w:rsidR="00CC0E3B" w:rsidRDefault="00CC0E3B" w:rsidP="00C15139">
      <w:pPr>
        <w:spacing w:after="0"/>
        <w:rPr>
          <w:rFonts w:ascii="Verdana" w:hAnsi="Verdana"/>
        </w:rPr>
      </w:pPr>
    </w:p>
    <w:p w14:paraId="036E3140" w14:textId="35641627" w:rsidR="00CC0E3B" w:rsidRDefault="00CC0E3B" w:rsidP="00C15139">
      <w:pPr>
        <w:spacing w:after="0"/>
        <w:rPr>
          <w:rFonts w:ascii="Verdana" w:hAnsi="Verdana"/>
        </w:rPr>
      </w:pPr>
    </w:p>
    <w:p w14:paraId="5BB2AEF5" w14:textId="70EED035" w:rsidR="00CC0E3B" w:rsidRDefault="00CC0E3B" w:rsidP="00C15139">
      <w:pPr>
        <w:spacing w:after="0"/>
        <w:rPr>
          <w:rFonts w:ascii="Verdana" w:hAnsi="Verdana"/>
        </w:rPr>
      </w:pPr>
    </w:p>
    <w:p w14:paraId="14B66DFA" w14:textId="77777777" w:rsidR="00CC0E3B" w:rsidRDefault="00CC0E3B" w:rsidP="00C15139">
      <w:pPr>
        <w:spacing w:after="0"/>
        <w:rPr>
          <w:rFonts w:ascii="Verdana" w:hAnsi="Verdana"/>
        </w:rPr>
      </w:pPr>
    </w:p>
    <w:p w14:paraId="29027381" w14:textId="77777777" w:rsidR="00CC0E3B" w:rsidRDefault="00CC0E3B" w:rsidP="00C15139">
      <w:pPr>
        <w:spacing w:after="0"/>
        <w:rPr>
          <w:rFonts w:ascii="Verdana" w:hAnsi="Verdana"/>
        </w:rPr>
      </w:pPr>
    </w:p>
    <w:p w14:paraId="0BBF0939" w14:textId="77777777" w:rsidR="00CC0E3B" w:rsidRDefault="00CC0E3B" w:rsidP="00C15139">
      <w:pPr>
        <w:spacing w:after="0"/>
        <w:rPr>
          <w:rFonts w:ascii="Verdana" w:hAnsi="Verdana"/>
        </w:rPr>
      </w:pPr>
    </w:p>
    <w:p w14:paraId="107A8C94" w14:textId="77777777" w:rsidR="00CC0E3B" w:rsidRDefault="00CC0E3B" w:rsidP="00C15139">
      <w:pPr>
        <w:spacing w:after="0"/>
        <w:rPr>
          <w:rFonts w:ascii="Verdana" w:hAnsi="Verdana"/>
        </w:rPr>
      </w:pPr>
    </w:p>
    <w:p w14:paraId="05425C97" w14:textId="77777777" w:rsidR="00CC0E3B" w:rsidRDefault="00CC0E3B" w:rsidP="00C15139">
      <w:pPr>
        <w:spacing w:after="0"/>
        <w:rPr>
          <w:rFonts w:ascii="Verdana" w:hAnsi="Verdana"/>
        </w:rPr>
      </w:pPr>
    </w:p>
    <w:p w14:paraId="1468C46D" w14:textId="52D1E8A7" w:rsidR="00C15139" w:rsidRPr="0024624F" w:rsidRDefault="00CC0E3B"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1715200F" wp14:editId="357DAB1F">
            <wp:simplePos x="0" y="0"/>
            <wp:positionH relativeFrom="column">
              <wp:posOffset>2906498</wp:posOffset>
            </wp:positionH>
            <wp:positionV relativeFrom="paragraph">
              <wp:posOffset>180561</wp:posOffset>
            </wp:positionV>
            <wp:extent cx="2527430" cy="78744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27430" cy="78744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29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4D4E6051" w:rsidR="00C15139" w:rsidRPr="0024624F" w:rsidRDefault="00C15139" w:rsidP="00C15139">
      <w:pPr>
        <w:spacing w:after="0"/>
        <w:rPr>
          <w:rFonts w:ascii="Verdana" w:hAnsi="Verdana"/>
        </w:rPr>
      </w:pPr>
    </w:p>
    <w:bookmarkEnd w:id="0"/>
    <w:p w14:paraId="575D06F1" w14:textId="77777777" w:rsidR="00D03C5F" w:rsidRPr="0051487B" w:rsidRDefault="00D03C5F" w:rsidP="00D03C5F">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r>
        <w:rPr>
          <w:rFonts w:ascii="Verdana" w:eastAsia="Calibri" w:hAnsi="Verdana" w:cs="Arial"/>
          <w:lang w:val="de-DE" w:eastAsia="es-ES"/>
        </w:rPr>
        <w:t>a</w:t>
      </w:r>
    </w:p>
    <w:p w14:paraId="26E041DD" w14:textId="77777777" w:rsidR="00D03C5F" w:rsidRPr="0051487B" w:rsidRDefault="00D03C5F" w:rsidP="00D03C5F">
      <w:pPr>
        <w:spacing w:after="0" w:line="240" w:lineRule="auto"/>
        <w:rPr>
          <w:rFonts w:ascii="Verdana" w:eastAsia="Calibri" w:hAnsi="Verdana" w:cs="Arial"/>
          <w:b/>
          <w:lang w:val="de-DE" w:eastAsia="es-ES"/>
        </w:rPr>
      </w:pPr>
      <w:r>
        <w:rPr>
          <w:rFonts w:ascii="Verdana" w:eastAsia="Calibri" w:hAnsi="Verdana" w:cs="Arial"/>
          <w:b/>
          <w:lang w:val="de-DE" w:eastAsia="es-ES"/>
        </w:rPr>
        <w:t>Glenys Oviedo Castro</w:t>
      </w:r>
    </w:p>
    <w:p w14:paraId="044B8DDC" w14:textId="77777777" w:rsidR="00D03C5F" w:rsidRPr="0051487B" w:rsidRDefault="00457582" w:rsidP="00D03C5F">
      <w:pPr>
        <w:spacing w:after="0" w:line="240" w:lineRule="auto"/>
        <w:rPr>
          <w:rFonts w:ascii="Verdana" w:hAnsi="Verdana" w:cs="ArialMT"/>
          <w:lang w:val="de-DE"/>
        </w:rPr>
      </w:pPr>
      <w:hyperlink r:id="rId11" w:history="1">
        <w:r w:rsidR="00D03C5F" w:rsidRPr="00365FF9">
          <w:rPr>
            <w:rStyle w:val="Hipervnculo"/>
            <w:rFonts w:ascii="Verdana" w:hAnsi="Verdana" w:cs="ArialMT"/>
            <w:lang w:val="de-DE"/>
          </w:rPr>
          <w:t>goviedo@corantioquia.gov.co</w:t>
        </w:r>
      </w:hyperlink>
      <w:r w:rsidR="00D03C5F">
        <w:rPr>
          <w:rFonts w:ascii="Verdana" w:hAnsi="Verdana" w:cs="ArialMT"/>
          <w:lang w:val="de-DE"/>
        </w:rPr>
        <w:t xml:space="preserve"> </w:t>
      </w:r>
      <w:r w:rsidR="00D03C5F" w:rsidRPr="0051487B">
        <w:rPr>
          <w:rFonts w:ascii="Verdana" w:hAnsi="Verdana" w:cs="ArialMT"/>
          <w:lang w:val="de-DE"/>
        </w:rPr>
        <w:t xml:space="preserve">   </w:t>
      </w:r>
    </w:p>
    <w:p w14:paraId="618DEAD7" w14:textId="77777777" w:rsidR="00D03C5F" w:rsidRPr="00C53B42" w:rsidRDefault="00D03C5F" w:rsidP="00D03C5F">
      <w:pPr>
        <w:spacing w:after="0" w:line="240" w:lineRule="auto"/>
        <w:rPr>
          <w:rFonts w:ascii="Verdana" w:hAnsi="Verdana" w:cs="ArialMT"/>
        </w:rPr>
      </w:pPr>
      <w:r>
        <w:rPr>
          <w:rFonts w:ascii="Verdana" w:eastAsia="Calibri" w:hAnsi="Verdana" w:cs="Arial"/>
          <w:lang w:val="es-ES" w:eastAsia="es-ES"/>
        </w:rPr>
        <w:t>Medellín, Antioquia</w:t>
      </w:r>
    </w:p>
    <w:p w14:paraId="1C77239B" w14:textId="77777777" w:rsidR="00D03C5F" w:rsidRPr="00C53B42" w:rsidRDefault="00D03C5F" w:rsidP="00D03C5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D03C5F" w:rsidRPr="00C53B42" w14:paraId="4637C37D" w14:textId="77777777" w:rsidTr="00FF2A29">
        <w:trPr>
          <w:trHeight w:val="218"/>
        </w:trPr>
        <w:tc>
          <w:tcPr>
            <w:tcW w:w="2175" w:type="dxa"/>
          </w:tcPr>
          <w:p w14:paraId="219DC18F" w14:textId="77777777" w:rsidR="00D03C5F" w:rsidRPr="00C53B42" w:rsidRDefault="00D03C5F" w:rsidP="00FF2A29">
            <w:pPr>
              <w:jc w:val="both"/>
              <w:rPr>
                <w:rFonts w:ascii="Verdana" w:eastAsia="Calibri" w:hAnsi="Verdana" w:cs="Arial"/>
                <w:b/>
                <w:bCs/>
                <w:color w:val="7030A0"/>
                <w:lang w:val="es-ES_tradnl" w:eastAsia="es-ES_tradnl"/>
              </w:rPr>
            </w:pPr>
          </w:p>
        </w:tc>
        <w:tc>
          <w:tcPr>
            <w:tcW w:w="6614" w:type="dxa"/>
            <w:hideMark/>
          </w:tcPr>
          <w:p w14:paraId="3C175308" w14:textId="77777777" w:rsidR="00D03C5F" w:rsidRDefault="00D03C5F" w:rsidP="00FF2A29">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1825</w:t>
            </w:r>
            <w:r w:rsidRPr="00C53B42">
              <w:rPr>
                <w:rFonts w:ascii="Verdana" w:eastAsia="Calibri" w:hAnsi="Verdana" w:cs="Arial"/>
                <w:b/>
                <w:bCs/>
                <w:lang w:val="es-ES" w:eastAsia="es-ES"/>
              </w:rPr>
              <w:t xml:space="preserve"> de 2025</w:t>
            </w:r>
          </w:p>
          <w:p w14:paraId="65D929B4" w14:textId="77777777" w:rsidR="00D03C5F" w:rsidRPr="00C53B42" w:rsidRDefault="00D03C5F" w:rsidP="00FF2A29">
            <w:pPr>
              <w:jc w:val="both"/>
              <w:rPr>
                <w:rFonts w:ascii="Verdana" w:eastAsia="Calibri" w:hAnsi="Verdana" w:cs="Arial"/>
                <w:b/>
                <w:bCs/>
                <w:lang w:val="es-ES" w:eastAsia="es-ES"/>
              </w:rPr>
            </w:pPr>
          </w:p>
          <w:p w14:paraId="5721C963" w14:textId="77777777" w:rsidR="00D03C5F" w:rsidRPr="00C53B42" w:rsidRDefault="00D03C5F" w:rsidP="00FF2A29">
            <w:pPr>
              <w:jc w:val="both"/>
              <w:rPr>
                <w:rFonts w:ascii="Verdana" w:eastAsia="Calibri" w:hAnsi="Verdana" w:cs="Arial"/>
                <w:b/>
                <w:bCs/>
                <w:lang w:val="es-ES" w:eastAsia="es-ES"/>
              </w:rPr>
            </w:pPr>
          </w:p>
        </w:tc>
      </w:tr>
      <w:tr w:rsidR="00D03C5F" w:rsidRPr="00C53B42" w14:paraId="6804D973" w14:textId="77777777" w:rsidTr="00FF2A29">
        <w:trPr>
          <w:trHeight w:val="884"/>
        </w:trPr>
        <w:tc>
          <w:tcPr>
            <w:tcW w:w="2175" w:type="dxa"/>
            <w:hideMark/>
          </w:tcPr>
          <w:p w14:paraId="64537B28" w14:textId="77777777" w:rsidR="00D03C5F" w:rsidRPr="00C53B42" w:rsidRDefault="00D03C5F" w:rsidP="00FF2A29">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71A8AB2F" w14:textId="77777777" w:rsidR="00D03C5F" w:rsidRDefault="00D03C5F" w:rsidP="00FF2A29">
            <w:pPr>
              <w:jc w:val="both"/>
              <w:rPr>
                <w:rFonts w:ascii="Verdana" w:eastAsia="Calibri" w:hAnsi="Verdana" w:cs="Arial"/>
                <w:lang w:val="es-ES" w:eastAsia="es-ES"/>
              </w:rPr>
            </w:pPr>
            <w:r w:rsidRPr="0035481C">
              <w:rPr>
                <w:rFonts w:ascii="Verdana" w:hAnsi="Verdana" w:cs="Arial"/>
                <w:bCs/>
                <w:color w:val="000000" w:themeColor="text1"/>
                <w:lang w:val="es-ES_tradnl"/>
              </w:rPr>
              <w:t xml:space="preserve">ESTUDIOS PREVIOS – Convenios interadministrativos / </w:t>
            </w:r>
            <w:r w:rsidRPr="0035481C">
              <w:rPr>
                <w:rFonts w:ascii="Verdana" w:eastAsia="Calibri" w:hAnsi="Verdana" w:cs="Arial"/>
                <w:lang w:val="es-ES" w:eastAsia="es-ES"/>
              </w:rPr>
              <w:t>ANÁLISIS DEL SECTOR – Definición / ESTUDIOS DE MERCADO</w:t>
            </w:r>
            <w:r w:rsidRPr="00522D5F">
              <w:rPr>
                <w:rFonts w:ascii="Verdana" w:eastAsia="Calibri" w:hAnsi="Verdana" w:cs="Arial"/>
                <w:lang w:val="es-ES" w:eastAsia="es-ES"/>
              </w:rPr>
              <w:t xml:space="preserve"> – Finalidad - Recomendaciones – Colombia compra eficiente – Guía de elaboración de estudios del sector</w:t>
            </w:r>
          </w:p>
          <w:p w14:paraId="6EBC1B5D" w14:textId="77777777" w:rsidR="00D03C5F" w:rsidRPr="000A3FCA" w:rsidRDefault="00D03C5F" w:rsidP="00FF2A29">
            <w:pPr>
              <w:jc w:val="both"/>
              <w:rPr>
                <w:rFonts w:ascii="Verdana" w:hAnsi="Verdana" w:cs="Arial"/>
                <w:bCs/>
                <w:color w:val="000000" w:themeColor="text1"/>
                <w:highlight w:val="yellow"/>
                <w:lang w:val="es-ES_tradnl"/>
              </w:rPr>
            </w:pPr>
          </w:p>
          <w:p w14:paraId="4172B133" w14:textId="77777777" w:rsidR="00D03C5F" w:rsidRPr="000A3FCA" w:rsidRDefault="00D03C5F" w:rsidP="00FF2A29">
            <w:pPr>
              <w:jc w:val="both"/>
              <w:rPr>
                <w:rFonts w:ascii="Verdana" w:eastAsia="Calibri" w:hAnsi="Verdana" w:cs="Arial"/>
                <w:highlight w:val="yellow"/>
                <w:lang w:val="es-ES" w:eastAsia="es-ES"/>
              </w:rPr>
            </w:pPr>
          </w:p>
        </w:tc>
      </w:tr>
      <w:tr w:rsidR="00D03C5F" w14:paraId="0FAB8A8F" w14:textId="77777777" w:rsidTr="00FF2A29">
        <w:trPr>
          <w:trHeight w:val="360"/>
        </w:trPr>
        <w:tc>
          <w:tcPr>
            <w:tcW w:w="2175" w:type="dxa"/>
            <w:hideMark/>
          </w:tcPr>
          <w:p w14:paraId="1D170E82" w14:textId="77777777" w:rsidR="00D03C5F" w:rsidRPr="00C53B42" w:rsidRDefault="00D03C5F" w:rsidP="00FF2A29">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18946320" w14:textId="77777777" w:rsidR="00D03C5F" w:rsidRPr="00C53B42" w:rsidRDefault="00D03C5F" w:rsidP="00FF2A29">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0A3FCA">
              <w:rPr>
                <w:rFonts w:ascii="Verdana" w:eastAsia="Calibri" w:hAnsi="Verdana" w:cs="Arial"/>
                <w:lang w:val="es-ES_tradnl" w:eastAsia="es-ES_tradnl"/>
              </w:rPr>
              <w:t>1_2025_12_11_013911</w:t>
            </w:r>
          </w:p>
        </w:tc>
      </w:tr>
    </w:tbl>
    <w:p w14:paraId="42EF51D0" w14:textId="77777777" w:rsidR="00D03C5F" w:rsidRDefault="00D03C5F" w:rsidP="00D03C5F">
      <w:pPr>
        <w:spacing w:after="0" w:line="240" w:lineRule="auto"/>
        <w:jc w:val="both"/>
        <w:rPr>
          <w:rFonts w:ascii="Verdana" w:eastAsia="Calibri" w:hAnsi="Verdana" w:cs="Arial"/>
          <w:color w:val="000000"/>
          <w:lang w:val="es-ES_tradnl" w:eastAsia="es-ES_tradnl"/>
        </w:rPr>
      </w:pPr>
    </w:p>
    <w:p w14:paraId="72226570" w14:textId="77777777" w:rsidR="00D03C5F" w:rsidRDefault="00D03C5F" w:rsidP="00D03C5F">
      <w:pPr>
        <w:spacing w:after="0" w:line="240" w:lineRule="auto"/>
        <w:jc w:val="both"/>
        <w:rPr>
          <w:rFonts w:ascii="Verdana" w:eastAsia="Calibri" w:hAnsi="Verdana" w:cs="Arial"/>
          <w:color w:val="000000"/>
          <w:lang w:val="es-ES_tradnl" w:eastAsia="es-ES_tradnl"/>
        </w:rPr>
      </w:pPr>
    </w:p>
    <w:p w14:paraId="2C9A6177" w14:textId="77777777" w:rsidR="00D03C5F" w:rsidRDefault="00D03C5F" w:rsidP="00D03C5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Oviedo,</w:t>
      </w:r>
    </w:p>
    <w:p w14:paraId="3999DBBC" w14:textId="77777777" w:rsidR="00D03C5F" w:rsidRDefault="00D03C5F" w:rsidP="00D03C5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E8F9C67" w14:textId="77777777" w:rsidR="00D03C5F" w:rsidRDefault="00D03C5F" w:rsidP="00D03C5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11 de diciembre de 2025, en la cual manifiesta lo siguiente: </w:t>
      </w:r>
    </w:p>
    <w:p w14:paraId="467004D8" w14:textId="77777777" w:rsidR="00D03C5F" w:rsidRDefault="00D03C5F" w:rsidP="00D03C5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2769BBF" w14:textId="77777777" w:rsidR="00D03C5F" w:rsidRDefault="00D03C5F" w:rsidP="00D03C5F">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t>¿Es obligatorio la elaboración de estudios de mercado para efectos del análisis técnico - económico en los contratos y convenios interadministrativos destinados a la selección del contratista o conveniante en la modalidad de contratación directa? Y en caso de que sea obligatorio la elaboración de estudios de mercado, ¿cuáles son los aspectos que deben considerarse para la realización del análisis y el desarrollo de dicho estudio?”</w:t>
      </w:r>
      <w:r w:rsidRPr="006D53C3">
        <w:rPr>
          <w:rFonts w:ascii="Verdana" w:eastAsia="Century Gothic" w:hAnsi="Verdana" w:cs="Century Gothic"/>
          <w:sz w:val="20"/>
          <w:szCs w:val="20"/>
          <w:lang w:val="es-ES"/>
        </w:rPr>
        <w:t xml:space="preserve"> </w:t>
      </w:r>
    </w:p>
    <w:p w14:paraId="2B41E0F4" w14:textId="77777777" w:rsidR="00D03C5F" w:rsidRPr="00924340" w:rsidRDefault="00D03C5F" w:rsidP="00D03C5F">
      <w:pPr>
        <w:autoSpaceDE w:val="0"/>
        <w:autoSpaceDN w:val="0"/>
        <w:adjustRightInd w:val="0"/>
        <w:spacing w:after="0" w:line="240" w:lineRule="auto"/>
        <w:ind w:left="709" w:right="709"/>
        <w:jc w:val="both"/>
        <w:rPr>
          <w:rFonts w:ascii="Verdana" w:eastAsia="Century Gothic" w:hAnsi="Verdana" w:cs="Century Gothic"/>
          <w:b/>
        </w:rPr>
      </w:pPr>
    </w:p>
    <w:p w14:paraId="195FC011" w14:textId="77777777" w:rsidR="00D03C5F" w:rsidRDefault="00D03C5F" w:rsidP="00D03C5F">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9581456" w14:textId="77777777" w:rsidR="00D03C5F" w:rsidRDefault="00D03C5F" w:rsidP="00D03C5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1310D7A6" w14:textId="77777777" w:rsidR="00D03C5F" w:rsidRDefault="00D03C5F" w:rsidP="00D03C5F">
      <w:pPr>
        <w:spacing w:after="0" w:line="276" w:lineRule="auto"/>
        <w:ind w:firstLine="709"/>
        <w:jc w:val="both"/>
        <w:rPr>
          <w:rFonts w:ascii="Verdana" w:eastAsia="Calibri" w:hAnsi="Verdana" w:cs="Arial"/>
          <w:color w:val="000000"/>
          <w:lang w:val="es-ES" w:eastAsia="es-ES"/>
        </w:rPr>
      </w:pPr>
    </w:p>
    <w:p w14:paraId="082DBBD2" w14:textId="77777777" w:rsidR="00D03C5F" w:rsidRDefault="00D03C5F" w:rsidP="00D03C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D8B29D3" w14:textId="77777777" w:rsidR="00D03C5F" w:rsidRDefault="00D03C5F" w:rsidP="00D03C5F">
      <w:pPr>
        <w:tabs>
          <w:tab w:val="left" w:pos="426"/>
        </w:tabs>
        <w:spacing w:after="0" w:line="276" w:lineRule="auto"/>
        <w:jc w:val="both"/>
        <w:rPr>
          <w:rFonts w:ascii="Verdana" w:eastAsia="Century Gothic" w:hAnsi="Verdana" w:cs="Century Gothic"/>
          <w:lang w:val="es-ES"/>
        </w:rPr>
      </w:pPr>
    </w:p>
    <w:p w14:paraId="3ED068E2" w14:textId="77777777" w:rsidR="00D03C5F" w:rsidRPr="00B8195A" w:rsidRDefault="00D03C5F" w:rsidP="00D03C5F">
      <w:pPr>
        <w:spacing w:after="0" w:line="276" w:lineRule="auto"/>
        <w:jc w:val="both"/>
        <w:rPr>
          <w:rFonts w:ascii="Verdana" w:eastAsia="Calibri" w:hAnsi="Verdana" w:cs="Times New Roman"/>
          <w:bCs/>
          <w:iCs/>
        </w:rPr>
      </w:pPr>
      <w:r>
        <w:rPr>
          <w:rFonts w:ascii="Verdana" w:eastAsia="Century Gothic" w:hAnsi="Verdana" w:cs="Century Gothic"/>
        </w:rPr>
        <w:t>De acuerdo con el contenido de su solicitud, esta Agencia resolverá el siguiente problema jurídico: i</w:t>
      </w:r>
      <w:r>
        <w:rPr>
          <w:rFonts w:ascii="Verdana" w:eastAsia="Century Gothic" w:hAnsi="Verdana" w:cs="Century Gothic"/>
          <w:color w:val="000000" w:themeColor="text1"/>
          <w:lang w:val="es-ES"/>
        </w:rPr>
        <w:t xml:space="preserve">) ¿Cuál es la normativa aplicable a los convenios interadministrativos para realizar los estudios </w:t>
      </w:r>
      <w:r w:rsidRPr="00B8195A">
        <w:rPr>
          <w:rFonts w:ascii="Verdana" w:eastAsia="Century Gothic" w:hAnsi="Verdana" w:cs="Century Gothic"/>
          <w:color w:val="000000" w:themeColor="text1"/>
          <w:lang w:val="es-ES"/>
        </w:rPr>
        <w:t>previos?, y ii)</w:t>
      </w:r>
      <w:r w:rsidRPr="00B8195A">
        <w:rPr>
          <w:rFonts w:ascii="Verdana" w:hAnsi="Verdana"/>
        </w:rPr>
        <w:t xml:space="preserve"> </w:t>
      </w:r>
      <w:r w:rsidRPr="00B8195A">
        <w:rPr>
          <w:rFonts w:ascii="Verdana" w:eastAsia="Century Gothic" w:hAnsi="Verdana" w:cs="Century Gothic"/>
          <w:color w:val="000000" w:themeColor="text1"/>
          <w:lang w:val="es-ES"/>
        </w:rPr>
        <w:t>¿</w:t>
      </w:r>
      <w:r w:rsidRPr="00B8195A">
        <w:rPr>
          <w:rFonts w:ascii="Verdana" w:hAnsi="Verdana"/>
        </w:rPr>
        <w:t>Qué aspectos deben tenerse en cuenta para realizar el análisis del sector</w:t>
      </w:r>
      <w:r w:rsidRPr="00B8195A">
        <w:rPr>
          <w:rFonts w:ascii="Verdana" w:eastAsia="Century Gothic" w:hAnsi="Verdana" w:cs="Century Gothic"/>
          <w:color w:val="000000" w:themeColor="text1"/>
          <w:lang w:val="es-ES"/>
        </w:rPr>
        <w:t>?</w:t>
      </w:r>
    </w:p>
    <w:p w14:paraId="5C5468C9" w14:textId="77777777" w:rsidR="00D03C5F" w:rsidRDefault="00D03C5F" w:rsidP="00D03C5F">
      <w:pPr>
        <w:spacing w:after="0" w:line="276" w:lineRule="auto"/>
        <w:jc w:val="both"/>
        <w:rPr>
          <w:rFonts w:ascii="Verdana" w:eastAsia="Calibri" w:hAnsi="Verdana" w:cs="Arial"/>
          <w:color w:val="7030A0"/>
          <w:lang w:val="es-ES"/>
        </w:rPr>
      </w:pPr>
    </w:p>
    <w:p w14:paraId="2D44DA30" w14:textId="77777777" w:rsidR="00D03C5F" w:rsidRDefault="00D03C5F" w:rsidP="00D03C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5731DE2" w14:textId="77777777" w:rsidR="00D03C5F" w:rsidRDefault="00D03C5F" w:rsidP="00D03C5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03C5F" w:rsidRPr="00DE5508" w14:paraId="4C4E7E4E" w14:textId="77777777" w:rsidTr="00FF2A29">
        <w:tc>
          <w:tcPr>
            <w:tcW w:w="8828" w:type="dxa"/>
            <w:tcBorders>
              <w:top w:val="dotted" w:sz="4" w:space="0" w:color="auto"/>
              <w:left w:val="dotted" w:sz="4" w:space="0" w:color="auto"/>
              <w:bottom w:val="dotted" w:sz="4" w:space="0" w:color="auto"/>
              <w:right w:val="dotted" w:sz="4" w:space="0" w:color="auto"/>
            </w:tcBorders>
          </w:tcPr>
          <w:p w14:paraId="6C4E34A6" w14:textId="77777777" w:rsidR="00D03C5F" w:rsidRDefault="00D03C5F" w:rsidP="00FF2A29">
            <w:pPr>
              <w:tabs>
                <w:tab w:val="left" w:pos="597"/>
              </w:tabs>
              <w:spacing w:after="120" w:line="276" w:lineRule="auto"/>
              <w:jc w:val="both"/>
              <w:rPr>
                <w:rFonts w:ascii="Verdana" w:hAnsi="Verdana"/>
                <w:lang w:val="es-MX"/>
              </w:rPr>
            </w:pPr>
            <w:r>
              <w:rPr>
                <w:rFonts w:ascii="Verdana" w:hAnsi="Verdana"/>
                <w:lang w:val="es-MX"/>
              </w:rPr>
              <w:t>En relación con la elaboración de estudios y documentos previos a la celebración de un convenio interadministrativo, e</w:t>
            </w:r>
            <w:r w:rsidRPr="00F252D7">
              <w:rPr>
                <w:rFonts w:ascii="Verdana" w:eastAsia="Calibri" w:hAnsi="Verdana" w:cs="Arial"/>
                <w:bCs/>
                <w:lang w:val="es-MX" w:eastAsia="es-ES_tradnl"/>
              </w:rPr>
              <w:t xml:space="preserve">l Estatuto General de Contratación de la Administración Pública – EGCAP – contiene disposiciones que exigen a las Entidades Estatales el deber de realizar </w:t>
            </w:r>
            <w:r w:rsidRPr="00D42F08">
              <w:rPr>
                <w:rFonts w:ascii="Verdana" w:eastAsia="Calibri" w:hAnsi="Verdana" w:cs="Arial"/>
                <w:bCs/>
                <w:lang w:val="es-ES_tradnl" w:eastAsia="es-MX"/>
              </w:rPr>
              <w:t>planeación</w:t>
            </w:r>
            <w:r w:rsidRPr="00F252D7">
              <w:rPr>
                <w:rFonts w:ascii="Verdana" w:eastAsia="Calibri" w:hAnsi="Verdana" w:cs="Arial"/>
                <w:bCs/>
                <w:lang w:val="es-MX" w:eastAsia="es-ES_tradnl"/>
              </w:rPr>
              <w:t xml:space="preserve">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r w:rsidRPr="006A6285">
              <w:rPr>
                <w:rFonts w:ascii="Verdana" w:hAnsi="Verdana"/>
                <w:lang w:val="es-MX"/>
              </w:rPr>
              <w:t xml:space="preserve">. </w:t>
            </w:r>
          </w:p>
          <w:p w14:paraId="0F46C46F" w14:textId="17101489" w:rsidR="00D03C5F" w:rsidRDefault="00D03C5F" w:rsidP="00FF2A29">
            <w:pPr>
              <w:tabs>
                <w:tab w:val="left" w:pos="597"/>
              </w:tabs>
              <w:spacing w:after="120" w:line="276" w:lineRule="auto"/>
              <w:ind w:firstLine="595"/>
              <w:jc w:val="both"/>
              <w:rPr>
                <w:rFonts w:ascii="Verdana" w:eastAsia="Calibri" w:hAnsi="Verdana" w:cs="Arial"/>
                <w:lang w:val="es-ES" w:eastAsia="es-MX"/>
              </w:rPr>
            </w:pPr>
            <w:r>
              <w:rPr>
                <w:rFonts w:ascii="Verdana" w:hAnsi="Verdana"/>
                <w:lang w:val="es-MX"/>
              </w:rPr>
              <w:t>E</w:t>
            </w:r>
            <w:r w:rsidRPr="006A6285">
              <w:rPr>
                <w:rFonts w:ascii="Verdana" w:hAnsi="Verdana"/>
                <w:lang w:val="es-MX"/>
              </w:rPr>
              <w:t>l Decreto Único Reglamentario del Sector Administrativo de Planeación Nacional –Decreto 1082 de 2015–, dispone en el artículo 2.2.1.1.2.1.1 el contenido mínimo de los estudios y documentos previos</w:t>
            </w:r>
            <w:r>
              <w:rPr>
                <w:rFonts w:ascii="Verdana" w:hAnsi="Verdana"/>
                <w:lang w:val="es-MX"/>
              </w:rPr>
              <w:t xml:space="preserve">, por lo que las entidades deberán tener en cuenta esta normativa para determinar cómo se hacen las gestiones previas para celebrar un convenio interadministrativo, y </w:t>
            </w:r>
            <w:r>
              <w:rPr>
                <w:rFonts w:ascii="Verdana" w:hAnsi="Verdana"/>
                <w:lang w:val="es-MX"/>
              </w:rPr>
              <w:lastRenderedPageBreak/>
              <w:t xml:space="preserve">en caso de que lo estimen conveniente también podrán tener en cuenta las recomendaciones de </w:t>
            </w:r>
            <w:r w:rsidR="6AA451F7" w:rsidRPr="7F7EB33C">
              <w:rPr>
                <w:rFonts w:ascii="Verdana" w:hAnsi="Verdana"/>
                <w:lang w:val="es-MX"/>
              </w:rPr>
              <w:t>l</w:t>
            </w:r>
            <w:r w:rsidRPr="7F7EB33C">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Agencia Nacional de Contratación Pública – Colombia Compra Eficiente–</w:t>
            </w:r>
            <w:r>
              <w:rPr>
                <w:rFonts w:ascii="Verdana" w:eastAsia="Calibri" w:hAnsi="Verdana" w:cs="Arial"/>
                <w:color w:val="000000" w:themeColor="text1"/>
                <w:lang w:val="es-ES" w:eastAsia="es-ES"/>
              </w:rPr>
              <w:t xml:space="preserve"> dispuestas en la </w:t>
            </w:r>
            <w:r w:rsidRPr="7F7EB33C">
              <w:rPr>
                <w:rFonts w:ascii="Verdana" w:eastAsia="Calibri" w:hAnsi="Verdana" w:cs="Arial"/>
                <w:lang w:val="es-ES" w:eastAsia="es-MX"/>
              </w:rPr>
              <w:t>“Guía para la Elaboración de Estudios del Sector”, cuyo contenido no es obligatorio, sino facultativo.</w:t>
            </w:r>
          </w:p>
          <w:p w14:paraId="28EAA12E" w14:textId="77777777" w:rsidR="00D03C5F" w:rsidRDefault="00D03C5F" w:rsidP="00FF2A29">
            <w:pPr>
              <w:spacing w:line="276" w:lineRule="auto"/>
              <w:ind w:firstLine="708"/>
              <w:jc w:val="both"/>
              <w:rPr>
                <w:rFonts w:ascii="Verdana" w:eastAsia="Calibri" w:hAnsi="Verdana" w:cs="Arial"/>
                <w:bCs/>
                <w:lang w:val="es-ES_tradnl"/>
              </w:rPr>
            </w:pPr>
            <w:r w:rsidRPr="00B7290B">
              <w:rPr>
                <w:rFonts w:ascii="Verdana" w:eastAsia="Calibri" w:hAnsi="Verdana" w:cs="Arial"/>
                <w:bCs/>
                <w:lang w:val="es-MX"/>
              </w:rPr>
              <w:t xml:space="preserve">Adicionalmente, en </w:t>
            </w:r>
            <w:r w:rsidRPr="00B7290B">
              <w:rPr>
                <w:rFonts w:ascii="Verdana" w:eastAsia="Calibri" w:hAnsi="Verdana" w:cs="Arial"/>
                <w:bCs/>
                <w:lang w:val="es-ES_tradnl"/>
              </w:rPr>
              <w:t>el artículo 2.2.1.1.1.6.1 del Decreto 1082 de 2015 se dispone que:</w:t>
            </w:r>
          </w:p>
          <w:p w14:paraId="4C3626CB" w14:textId="77777777" w:rsidR="00D03C5F" w:rsidRPr="004F47F3" w:rsidRDefault="00D03C5F" w:rsidP="00FF2A29">
            <w:pPr>
              <w:spacing w:line="276" w:lineRule="auto"/>
              <w:ind w:firstLine="708"/>
              <w:jc w:val="both"/>
              <w:rPr>
                <w:rFonts w:ascii="Verdana" w:eastAsia="Calibri" w:hAnsi="Verdana" w:cs="Arial"/>
                <w:bCs/>
                <w:sz w:val="20"/>
                <w:szCs w:val="20"/>
                <w:lang w:val="es-ES_tradnl"/>
              </w:rPr>
            </w:pPr>
          </w:p>
          <w:p w14:paraId="547B25B8" w14:textId="77777777" w:rsidR="00D03C5F" w:rsidRDefault="00D03C5F" w:rsidP="00FF2A29">
            <w:pPr>
              <w:ind w:left="708" w:right="709"/>
              <w:jc w:val="both"/>
              <w:rPr>
                <w:rFonts w:ascii="Verdana" w:eastAsia="Calibri" w:hAnsi="Verdana" w:cs="Arial"/>
                <w:bCs/>
                <w:sz w:val="20"/>
                <w:szCs w:val="20"/>
                <w:lang w:val="es-ES_tradnl"/>
              </w:rPr>
            </w:pPr>
            <w:r w:rsidRPr="004F47F3">
              <w:rPr>
                <w:rFonts w:ascii="Verdana" w:eastAsia="Calibri" w:hAnsi="Verdana" w:cs="Arial"/>
                <w:bCs/>
                <w:sz w:val="20"/>
                <w:szCs w:val="20"/>
                <w:lang w:val="es-ES_tradnl"/>
              </w:rPr>
              <w:t>“La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1362D3DF" w14:textId="77777777" w:rsidR="00D03C5F" w:rsidRDefault="00D03C5F" w:rsidP="00FF2A29">
            <w:pPr>
              <w:tabs>
                <w:tab w:val="left" w:pos="597"/>
              </w:tabs>
              <w:spacing w:after="120" w:line="276" w:lineRule="auto"/>
              <w:ind w:firstLine="595"/>
              <w:jc w:val="both"/>
              <w:rPr>
                <w:rFonts w:ascii="Verdana" w:hAnsi="Verdana"/>
                <w:lang w:val="es-MX"/>
              </w:rPr>
            </w:pPr>
          </w:p>
          <w:p w14:paraId="5166C530" w14:textId="544F99C7" w:rsidR="00D03C5F" w:rsidRPr="0035481C" w:rsidRDefault="00D03C5F" w:rsidP="00FF2A29">
            <w:pPr>
              <w:spacing w:before="120" w:after="120" w:line="276" w:lineRule="auto"/>
              <w:ind w:firstLine="708"/>
              <w:jc w:val="both"/>
              <w:rPr>
                <w:rFonts w:ascii="Verdana" w:eastAsia="Calibri" w:hAnsi="Verdana" w:cs="Arial"/>
                <w:lang w:val="es-ES" w:eastAsia="es-MX"/>
              </w:rPr>
            </w:pPr>
            <w:r w:rsidRPr="7F7EB33C">
              <w:rPr>
                <w:rFonts w:ascii="Verdana" w:eastAsia="Calibri" w:hAnsi="Verdana" w:cs="Arial"/>
                <w:lang w:val="es-ES" w:eastAsia="es-MX"/>
              </w:rPr>
              <w:t>Así, si bien la normativa en materia de contratación estatal establece la obligatoriedad de realizar el análisis necesario para conocer el sector relativo al objeto del Proceso de Contratación, no determinan un procedimiento específico para efectuar</w:t>
            </w:r>
            <w:r w:rsidR="006235C5">
              <w:rPr>
                <w:rFonts w:ascii="Verdana" w:eastAsia="Calibri" w:hAnsi="Verdana" w:cs="Arial"/>
                <w:lang w:val="es-ES" w:eastAsia="es-MX"/>
              </w:rPr>
              <w:t>lo</w:t>
            </w:r>
            <w:r w:rsidR="003711FE">
              <w:rPr>
                <w:rFonts w:ascii="Verdana" w:eastAsia="Calibri" w:hAnsi="Verdana" w:cs="Arial"/>
                <w:lang w:val="es-ES" w:eastAsia="es-MX"/>
              </w:rPr>
              <w:t>.</w:t>
            </w:r>
            <w:r w:rsidRPr="7F7EB33C">
              <w:rPr>
                <w:rFonts w:ascii="Verdana" w:eastAsia="Calibri" w:hAnsi="Verdana" w:cs="Arial"/>
                <w:lang w:val="es-ES" w:eastAsia="es-MX"/>
              </w:rPr>
              <w:t xml:space="preserve"> </w:t>
            </w:r>
            <w:r w:rsidR="003711FE">
              <w:rPr>
                <w:rFonts w:ascii="Verdana" w:eastAsia="Calibri" w:hAnsi="Verdana" w:cs="Arial"/>
                <w:lang w:val="es-ES" w:eastAsia="es-MX"/>
              </w:rPr>
              <w:t>P</w:t>
            </w:r>
            <w:r w:rsidRPr="7F7EB33C">
              <w:rPr>
                <w:rFonts w:ascii="Verdana" w:eastAsia="Calibri" w:hAnsi="Verdana" w:cs="Arial"/>
                <w:lang w:val="es-ES" w:eastAsia="es-MX"/>
              </w:rPr>
              <w:t xml:space="preserve">or lo que las entidades </w:t>
            </w:r>
            <w:r w:rsidRPr="7F7EB33C">
              <w:rPr>
                <w:rFonts w:ascii="Verdana" w:eastAsia="Times New Roman" w:hAnsi="Verdana" w:cs="Arial"/>
                <w:lang w:val="es-ES" w:eastAsia="es-CO"/>
              </w:rPr>
              <w:t>son autónomas para estructurarlo, p</w:t>
            </w:r>
            <w:r w:rsidR="0070219B">
              <w:rPr>
                <w:rFonts w:ascii="Verdana" w:eastAsia="Times New Roman" w:hAnsi="Verdana" w:cs="Arial"/>
                <w:lang w:val="es-ES" w:eastAsia="es-CO"/>
              </w:rPr>
              <w:t xml:space="preserve">ero siempre cumpliendo lo </w:t>
            </w:r>
            <w:r w:rsidRPr="7F7EB33C">
              <w:rPr>
                <w:rFonts w:ascii="Verdana" w:eastAsia="Times New Roman" w:hAnsi="Verdana" w:cs="Arial"/>
                <w:lang w:val="es-ES" w:eastAsia="es-CO"/>
              </w:rPr>
              <w:t xml:space="preserve">dispuesto en el artículo </w:t>
            </w:r>
            <w:r w:rsidRPr="7F7EB33C">
              <w:rPr>
                <w:rFonts w:ascii="Verdana" w:eastAsia="Calibri" w:hAnsi="Verdana" w:cs="Arial"/>
                <w:lang w:val="es-ES" w:eastAsia="es-MX"/>
              </w:rPr>
              <w:t>2.2.1.1.1.6.1 del Decreto 1082 de 2015</w:t>
            </w:r>
            <w:r w:rsidR="00D9158C">
              <w:rPr>
                <w:rFonts w:ascii="Verdana" w:eastAsia="Calibri" w:hAnsi="Verdana" w:cs="Arial"/>
                <w:lang w:val="es-ES" w:eastAsia="es-MX"/>
              </w:rPr>
              <w:t>.</w:t>
            </w:r>
          </w:p>
          <w:p w14:paraId="6EA79E99" w14:textId="77777777" w:rsidR="00D03C5F" w:rsidRDefault="00D03C5F" w:rsidP="00FF2A29">
            <w:pPr>
              <w:spacing w:before="120" w:after="120" w:line="276" w:lineRule="auto"/>
              <w:ind w:firstLine="708"/>
              <w:jc w:val="both"/>
              <w:rPr>
                <w:rFonts w:ascii="Verdana" w:eastAsia="Calibri" w:hAnsi="Verdana" w:cs="Arial"/>
                <w:bCs/>
                <w:szCs w:val="24"/>
                <w:lang w:val="es-ES" w:eastAsia="es-ES_tradnl"/>
              </w:rPr>
            </w:pPr>
            <w:r>
              <w:rPr>
                <w:rFonts w:ascii="Verdana" w:eastAsia="Times New Roman" w:hAnsi="Verdana" w:cs="Arial"/>
                <w:bCs/>
                <w:lang w:val="es-ES" w:eastAsia="es-ES"/>
              </w:rPr>
              <w:t>L</w:t>
            </w:r>
            <w:r w:rsidRPr="00FC6F34">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color w:val="000000" w:themeColor="text1"/>
                <w:lang w:val="es-ES" w:eastAsia="es-ES"/>
              </w:rPr>
              <w:t xml:space="preserve"> no cuenta con lineamientos sobre la celebración de convenios interadministrativos, no obstante se expidió la </w:t>
            </w:r>
            <w:r w:rsidRPr="00F252D7">
              <w:rPr>
                <w:rFonts w:ascii="Verdana" w:eastAsia="Calibri" w:hAnsi="Verdana" w:cs="Arial"/>
                <w:bCs/>
                <w:lang w:val="es-ES_tradnl" w:eastAsia="es-MX"/>
              </w:rPr>
              <w:t>“Guía para la Elaboración de Estudios del Sector”,</w:t>
            </w:r>
            <w:r>
              <w:rPr>
                <w:rFonts w:ascii="Verdana" w:eastAsia="Calibri" w:hAnsi="Verdana" w:cs="Arial"/>
                <w:bCs/>
                <w:lang w:val="es-ES_tradnl" w:eastAsia="es-MX"/>
              </w:rPr>
              <w:t xml:space="preserve"> que es transversal a todos los procesos de contratación incluida la celebración de convenios interadministrativos, y es un</w:t>
            </w:r>
            <w:r w:rsidRPr="00F252D7">
              <w:rPr>
                <w:rFonts w:ascii="Verdana" w:eastAsia="Calibri" w:hAnsi="Verdana" w:cs="Arial"/>
                <w:bCs/>
                <w:lang w:val="es-ES_tradnl" w:eastAsia="es-MX"/>
              </w:rPr>
              <w:t xml:space="preserve">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2F7C3D75" w14:textId="77777777" w:rsidR="00D03C5F" w:rsidRPr="0035481C" w:rsidRDefault="00D03C5F" w:rsidP="00FF2A29">
            <w:pPr>
              <w:spacing w:after="120" w:line="276" w:lineRule="auto"/>
              <w:ind w:firstLine="708"/>
              <w:jc w:val="both"/>
              <w:rPr>
                <w:rFonts w:ascii="Verdana" w:eastAsia="Times New Roman" w:hAnsi="Verdana" w:cs="Arial"/>
                <w:color w:val="000000" w:themeColor="text1"/>
                <w:lang w:val="es-ES" w:eastAsia="es-ES"/>
              </w:rPr>
            </w:pPr>
            <w:r w:rsidRPr="00FC6F34">
              <w:rPr>
                <w:rFonts w:ascii="Verdana" w:eastAsia="Arial" w:hAnsi="Verdana" w:cs="Arial"/>
                <w:color w:val="000000" w:themeColor="text1"/>
                <w:lang w:val="es-ES"/>
              </w:rPr>
              <w:lastRenderedPageBreak/>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 xml:space="preserve">statal que considera celebrar un contrato específico definir </w:t>
            </w:r>
            <w:r>
              <w:rPr>
                <w:rFonts w:ascii="Verdana" w:eastAsia="Times New Roman" w:hAnsi="Verdana" w:cs="Arial"/>
                <w:lang w:val="es-ES"/>
              </w:rPr>
              <w:t>cómo adelantará el procedimiento correspondiente</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7A505724" w14:textId="77777777" w:rsidR="00D03C5F" w:rsidRPr="00DE5508" w:rsidRDefault="00D03C5F" w:rsidP="00D03C5F">
      <w:pPr>
        <w:tabs>
          <w:tab w:val="left" w:pos="142"/>
          <w:tab w:val="left" w:pos="284"/>
        </w:tabs>
        <w:spacing w:after="0" w:line="276" w:lineRule="auto"/>
        <w:jc w:val="both"/>
        <w:rPr>
          <w:rFonts w:ascii="Verdana" w:eastAsia="Century Gothic" w:hAnsi="Verdana" w:cs="Century Gothic"/>
          <w:b/>
          <w:bCs/>
          <w:lang w:val="es-ES"/>
        </w:rPr>
      </w:pPr>
    </w:p>
    <w:p w14:paraId="772BF3FD" w14:textId="77777777" w:rsidR="00D03C5F" w:rsidRDefault="00D03C5F" w:rsidP="00D03C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6C3C311C" w14:textId="77777777" w:rsidR="00D03C5F" w:rsidRDefault="00D03C5F" w:rsidP="00D03C5F">
      <w:pPr>
        <w:spacing w:after="0" w:line="276" w:lineRule="auto"/>
        <w:jc w:val="both"/>
        <w:rPr>
          <w:rFonts w:ascii="Verdana" w:eastAsia="Calibri" w:hAnsi="Verdana" w:cs="Arial"/>
          <w:color w:val="7030A0"/>
          <w:lang w:val="es-ES"/>
        </w:rPr>
      </w:pPr>
    </w:p>
    <w:p w14:paraId="5C34F748" w14:textId="77777777" w:rsidR="00D03C5F" w:rsidRDefault="00D03C5F" w:rsidP="00D03C5F">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76FF6596" w14:textId="77777777" w:rsidR="00D03C5F" w:rsidRPr="00F252D7" w:rsidRDefault="00D03C5F" w:rsidP="00D03C5F">
      <w:pPr>
        <w:spacing w:before="120" w:after="120" w:line="276" w:lineRule="auto"/>
        <w:jc w:val="both"/>
        <w:rPr>
          <w:rFonts w:ascii="Verdana" w:eastAsia="Times New Roman" w:hAnsi="Verdana" w:cs="Arial"/>
          <w:lang w:val="es-ES_tradnl" w:eastAsia="es-MX"/>
        </w:rPr>
      </w:pPr>
      <w:bookmarkStart w:id="1" w:name="_Hlk54011258"/>
      <w:r>
        <w:rPr>
          <w:rFonts w:ascii="Verdana" w:eastAsia="Arial" w:hAnsi="Verdana" w:cs="Arial"/>
          <w:lang w:val="es-ES" w:eastAsia="es-ES" w:bidi="es-ES"/>
        </w:rPr>
        <w:t>L</w:t>
      </w:r>
      <w:r w:rsidRPr="00F252D7">
        <w:rPr>
          <w:rFonts w:ascii="Verdana" w:eastAsia="Calibri" w:hAnsi="Verdana" w:cs="Arial"/>
          <w:bCs/>
          <w:lang w:val="es-ES_tradnl" w:eastAsia="es-MX"/>
        </w:rPr>
        <w:t>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1"/>
      <w:r w:rsidRPr="00F252D7">
        <w:rPr>
          <w:rFonts w:ascii="Verdana" w:eastAsia="Calibri" w:hAnsi="Verdana" w:cs="Arial"/>
          <w:bCs/>
          <w:lang w:val="es-ES_tradnl" w:eastAsia="es-MX"/>
        </w:rPr>
        <w:t>.</w:t>
      </w:r>
    </w:p>
    <w:p w14:paraId="3EE922EE" w14:textId="77777777" w:rsidR="00D03C5F" w:rsidRPr="00F252D7" w:rsidRDefault="00D03C5F" w:rsidP="00D03C5F">
      <w:pPr>
        <w:spacing w:before="120" w:after="120" w:line="276" w:lineRule="auto"/>
        <w:ind w:firstLine="708"/>
        <w:jc w:val="both"/>
        <w:rPr>
          <w:rFonts w:ascii="Verdana" w:eastAsia="Calibri" w:hAnsi="Verdana" w:cs="Arial"/>
          <w:bCs/>
          <w:lang w:val="es-ES" w:eastAsia="es-ES_tradnl"/>
        </w:rPr>
      </w:pPr>
      <w:r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w:t>
      </w:r>
      <w:r w:rsidRPr="00D42F08">
        <w:rPr>
          <w:rFonts w:ascii="Verdana" w:eastAsia="Calibri" w:hAnsi="Verdana" w:cs="Arial"/>
          <w:bCs/>
          <w:lang w:val="es-ES_tradnl" w:eastAsia="es-MX"/>
        </w:rPr>
        <w:t>planeación</w:t>
      </w:r>
      <w:r w:rsidRPr="00F252D7">
        <w:rPr>
          <w:rFonts w:ascii="Verdana" w:eastAsia="Calibri" w:hAnsi="Verdana" w:cs="Arial"/>
          <w:bCs/>
          <w:lang w:val="es-MX" w:eastAsia="es-ES_tradnl"/>
        </w:rPr>
        <w:t xml:space="preserve">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10EDCC9F" w14:textId="77777777" w:rsidR="00D03C5F" w:rsidRPr="00F252D7" w:rsidRDefault="00D03C5F" w:rsidP="00D03C5F">
      <w:pPr>
        <w:spacing w:after="0" w:line="276" w:lineRule="auto"/>
        <w:ind w:firstLine="709"/>
        <w:jc w:val="both"/>
        <w:rPr>
          <w:rFonts w:ascii="Verdana" w:eastAsia="Calibri" w:hAnsi="Verdana" w:cs="Arial"/>
          <w:bCs/>
          <w:lang w:val="es-ES" w:eastAsia="es-ES_tradnl"/>
        </w:rPr>
      </w:pPr>
    </w:p>
    <w:p w14:paraId="0DCFA02B" w14:textId="77777777" w:rsidR="00D03C5F" w:rsidRPr="00D42F08" w:rsidRDefault="00D03C5F" w:rsidP="00D03C5F">
      <w:pPr>
        <w:spacing w:after="120" w:line="240" w:lineRule="auto"/>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“7o. La conveniencia o inconveniencia del objeto a contratar y las autorizaciones y aprobaciones para ello, se analizarán o impartirán con antelación al inicio del proceso de selección del contratista o al de la firma del contrato, según el caso.</w:t>
      </w:r>
    </w:p>
    <w:p w14:paraId="71405222" w14:textId="77777777" w:rsidR="00D03C5F" w:rsidRPr="00D42F08" w:rsidRDefault="00D03C5F" w:rsidP="00D03C5F">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w:t>
      </w:r>
    </w:p>
    <w:p w14:paraId="4B9BCB40" w14:textId="77777777" w:rsidR="00D03C5F" w:rsidRPr="00D42F08" w:rsidRDefault="00D03C5F" w:rsidP="00D03C5F">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2D13B7B" w14:textId="77777777" w:rsidR="00D03C5F" w:rsidRPr="00D42F08" w:rsidRDefault="00D03C5F" w:rsidP="00D03C5F">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1FE3A05F" w14:textId="77777777" w:rsidR="00D03C5F" w:rsidRPr="00D42F08" w:rsidRDefault="00D03C5F" w:rsidP="00D03C5F">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7A8C294F" w14:textId="77777777" w:rsidR="00D03C5F" w:rsidRPr="00D42F08" w:rsidRDefault="00D03C5F" w:rsidP="00D03C5F">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6E19C2DE" w14:textId="77777777" w:rsidR="00D03C5F" w:rsidRPr="00F252D7" w:rsidRDefault="00D03C5F" w:rsidP="00D03C5F">
      <w:pPr>
        <w:spacing w:after="0" w:line="276" w:lineRule="auto"/>
        <w:jc w:val="both"/>
        <w:rPr>
          <w:rFonts w:ascii="Verdana" w:eastAsia="Times New Roman" w:hAnsi="Verdana" w:cs="Arial"/>
          <w:lang w:val="es-ES_tradnl" w:eastAsia="es-MX"/>
        </w:rPr>
      </w:pPr>
    </w:p>
    <w:p w14:paraId="6D55B28F" w14:textId="77777777" w:rsidR="00D03C5F" w:rsidRDefault="00D03C5F" w:rsidP="00D03C5F">
      <w:pPr>
        <w:spacing w:before="120" w:after="120" w:line="276" w:lineRule="auto"/>
        <w:ind w:firstLine="708"/>
        <w:jc w:val="both"/>
        <w:rPr>
          <w:rFonts w:ascii="Verdana" w:eastAsia="Times New Roman" w:hAnsi="Verdana" w:cs="Arial"/>
          <w:lang w:val="es-ES_tradnl" w:eastAsia="es-MX"/>
        </w:rPr>
      </w:pPr>
      <w:r w:rsidRPr="00F252D7">
        <w:rPr>
          <w:rFonts w:ascii="Verdana" w:eastAsia="Times New Roman" w:hAnsi="Verdana" w:cs="Arial"/>
          <w:lang w:val="es-ES_tradnl" w:eastAsia="es-MX"/>
        </w:rPr>
        <w:t xml:space="preserve">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w:t>
      </w:r>
      <w:r w:rsidRPr="00F252D7">
        <w:rPr>
          <w:rFonts w:ascii="Verdana" w:eastAsia="Times New Roman" w:hAnsi="Verdana" w:cs="Arial"/>
          <w:lang w:val="es-ES_tradnl" w:eastAsia="es-MX"/>
        </w:rPr>
        <w:lastRenderedPageBreak/>
        <w:t>disciplinarias, mayores costos o mayor permanencia de la obra y, en general, el fracaso en la ejecución de contratos estatales”</w:t>
      </w:r>
      <w:r w:rsidRPr="00F252D7">
        <w:rPr>
          <w:rFonts w:ascii="Geomanist Light" w:hAnsi="Geomanist Light"/>
          <w:vertAlign w:val="superscript"/>
          <w:lang w:val="es-ES" w:eastAsia="es-MX"/>
        </w:rPr>
        <w:footnoteReference w:id="2"/>
      </w:r>
      <w:r w:rsidRPr="00F252D7">
        <w:rPr>
          <w:rFonts w:ascii="Verdana" w:eastAsia="Times New Roman" w:hAnsi="Verdana" w:cs="Arial"/>
          <w:lang w:val="es-ES_tradnl" w:eastAsia="es-MX"/>
        </w:rPr>
        <w:t xml:space="preserve">. </w:t>
      </w:r>
    </w:p>
    <w:p w14:paraId="0BB01828" w14:textId="77777777" w:rsidR="00D03C5F" w:rsidRPr="00F252D7" w:rsidRDefault="00D03C5F" w:rsidP="00D03C5F">
      <w:pPr>
        <w:spacing w:before="120" w:after="120" w:line="276" w:lineRule="auto"/>
        <w:ind w:firstLine="708"/>
        <w:jc w:val="both"/>
        <w:rPr>
          <w:rFonts w:ascii="Verdana" w:eastAsia="Times New Roman" w:hAnsi="Verdana" w:cs="Arial"/>
          <w:lang w:val="es-ES_tradnl" w:eastAsia="es-MX"/>
        </w:rPr>
      </w:pPr>
      <w:r w:rsidRPr="00F252D7">
        <w:rPr>
          <w:rFonts w:ascii="Verdana" w:eastAsia="Times New Roman" w:hAnsi="Verdana" w:cs="Arial"/>
          <w:lang w:val="es-ES_tradnl" w:eastAsia="es-MX"/>
        </w:rPr>
        <w:t>En congruencia con el artículo 25 de la Ley 80 de 1993, el Decreto Único Reglamentario del Sector Administrativo de Planeación Nacional –Decreto 1082 de 2015–, dispone en el artículo 2.2.1.1.2.1.1 el contenido mínimo de los estudios y documentos previos:</w:t>
      </w:r>
    </w:p>
    <w:p w14:paraId="7D9B61E9" w14:textId="77777777" w:rsidR="00D03C5F" w:rsidRPr="007E50DC" w:rsidRDefault="00D03C5F" w:rsidP="00D03C5F">
      <w:pPr>
        <w:spacing w:after="0" w:line="240" w:lineRule="auto"/>
        <w:ind w:left="709" w:right="709"/>
        <w:rPr>
          <w:rFonts w:ascii="Verdana" w:eastAsia="Times New Roman" w:hAnsi="Verdana" w:cs="Arial"/>
          <w:sz w:val="21"/>
          <w:szCs w:val="21"/>
          <w:lang w:val="es-ES_tradnl" w:eastAsia="es-CO"/>
        </w:rPr>
      </w:pPr>
    </w:p>
    <w:p w14:paraId="4D082E5D"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4DE79667"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1. La descripción de la necesidad que la Entidad Estatal pretende satisfacer con el Proceso de Contratación. </w:t>
      </w:r>
      <w:r w:rsidRPr="007E50DC">
        <w:rPr>
          <w:rFonts w:ascii="Arial" w:hAnsi="Arial" w:cs="Arial"/>
          <w:color w:val="000000" w:themeColor="text1"/>
          <w:sz w:val="21"/>
          <w:szCs w:val="21"/>
          <w:lang w:val="es-ES" w:eastAsia="es-CO"/>
        </w:rPr>
        <w:t>​</w:t>
      </w:r>
    </w:p>
    <w:p w14:paraId="4881C77B"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2. El objeto a contratar, con sus especificaciones, las autorizaciones, permisos y licencias requeridos para su ejecución, y cuando el contrato incluye diseño y construcción, los documentos técnicos para el desarrollo del proyecto. </w:t>
      </w:r>
    </w:p>
    <w:p w14:paraId="35CEA043"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3. La modalidad de selección del contratista y su justificación, incluyendo los fundamentos jurídicos. </w:t>
      </w:r>
    </w:p>
    <w:p w14:paraId="52E6F75E"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01ACA080"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5. Los criterios para seleccionar la oferta más favorable. </w:t>
      </w:r>
    </w:p>
    <w:p w14:paraId="56960FB0"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6. El análisis de Riesgo y la forma de mitigarlo. </w:t>
      </w:r>
    </w:p>
    <w:p w14:paraId="55E4ADD4"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7. Las garantías que la Entidad Estatal contempla exigir en el proceso de contratación. </w:t>
      </w:r>
    </w:p>
    <w:p w14:paraId="40ED7528" w14:textId="77777777" w:rsidR="00D03C5F" w:rsidRPr="007E50DC"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lastRenderedPageBreak/>
        <w:t xml:space="preserve">8. La indicación de si el proceso de contratación está cobijado por un acuerdo comercial. </w:t>
      </w:r>
    </w:p>
    <w:p w14:paraId="70B462E2" w14:textId="77777777" w:rsidR="00D03C5F" w:rsidRDefault="00D03C5F" w:rsidP="00D03C5F">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El presente artículo no es aplicable a la contratación por mínima cuantía”.</w:t>
      </w:r>
    </w:p>
    <w:p w14:paraId="534272C2" w14:textId="77777777" w:rsidR="00D03C5F" w:rsidRDefault="00D03C5F" w:rsidP="00D03C5F">
      <w:pPr>
        <w:spacing w:after="0" w:line="276" w:lineRule="auto"/>
        <w:ind w:firstLine="708"/>
        <w:jc w:val="both"/>
        <w:rPr>
          <w:rFonts w:ascii="Verdana" w:eastAsia="Calibri" w:hAnsi="Verdana" w:cs="Arial"/>
          <w:bCs/>
          <w:lang w:val="es-ES_tradnl"/>
        </w:rPr>
      </w:pPr>
      <w:r w:rsidRPr="00B7290B">
        <w:rPr>
          <w:rFonts w:ascii="Verdana" w:eastAsia="Calibri" w:hAnsi="Verdana" w:cs="Arial"/>
          <w:bCs/>
          <w:lang w:val="es-MX"/>
        </w:rPr>
        <w:t xml:space="preserve">Adicionalmente, en </w:t>
      </w:r>
      <w:r w:rsidRPr="00B7290B">
        <w:rPr>
          <w:rFonts w:ascii="Verdana" w:eastAsia="Calibri" w:hAnsi="Verdana" w:cs="Arial"/>
          <w:bCs/>
          <w:lang w:val="es-ES_tradnl"/>
        </w:rPr>
        <w:t>el artículo 2.2.1.1.1.6.1 del Decreto 1082 de 2015 se dispone que:</w:t>
      </w:r>
    </w:p>
    <w:p w14:paraId="373963A7" w14:textId="77777777" w:rsidR="00D03C5F" w:rsidRPr="004F47F3" w:rsidRDefault="00D03C5F" w:rsidP="00D03C5F">
      <w:pPr>
        <w:spacing w:after="0" w:line="276" w:lineRule="auto"/>
        <w:ind w:firstLine="708"/>
        <w:jc w:val="both"/>
        <w:rPr>
          <w:rFonts w:ascii="Verdana" w:eastAsia="Calibri" w:hAnsi="Verdana" w:cs="Arial"/>
          <w:bCs/>
          <w:sz w:val="20"/>
          <w:szCs w:val="20"/>
          <w:lang w:val="es-ES_tradnl"/>
        </w:rPr>
      </w:pPr>
    </w:p>
    <w:p w14:paraId="2FB0DC14" w14:textId="77777777" w:rsidR="00D03C5F" w:rsidRDefault="00D03C5F" w:rsidP="00D03C5F">
      <w:pPr>
        <w:spacing w:after="0" w:line="240" w:lineRule="auto"/>
        <w:ind w:left="708" w:right="709"/>
        <w:jc w:val="both"/>
        <w:rPr>
          <w:rFonts w:ascii="Verdana" w:eastAsia="Calibri" w:hAnsi="Verdana" w:cs="Arial"/>
          <w:bCs/>
          <w:sz w:val="20"/>
          <w:szCs w:val="20"/>
          <w:lang w:val="es-ES_tradnl"/>
        </w:rPr>
      </w:pPr>
      <w:r w:rsidRPr="004F47F3">
        <w:rPr>
          <w:rFonts w:ascii="Verdana" w:eastAsia="Calibri" w:hAnsi="Verdana" w:cs="Arial"/>
          <w:bCs/>
          <w:sz w:val="20"/>
          <w:szCs w:val="20"/>
          <w:lang w:val="es-ES_tradnl"/>
        </w:rPr>
        <w:t>“La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2EF7C003" w14:textId="77777777" w:rsidR="00D03C5F" w:rsidRPr="002D3DAC" w:rsidRDefault="00D03C5F" w:rsidP="00D03C5F">
      <w:pPr>
        <w:spacing w:line="240" w:lineRule="auto"/>
        <w:ind w:left="709" w:right="709"/>
        <w:jc w:val="both"/>
        <w:rPr>
          <w:rFonts w:ascii="Verdana" w:hAnsi="Verdana" w:cs="Arial"/>
          <w:color w:val="000000" w:themeColor="text1"/>
          <w:sz w:val="21"/>
          <w:szCs w:val="21"/>
          <w:lang w:val="es-ES" w:eastAsia="es-CO"/>
        </w:rPr>
      </w:pPr>
    </w:p>
    <w:p w14:paraId="718DF746" w14:textId="77777777" w:rsidR="00D03C5F" w:rsidRPr="00F252D7" w:rsidRDefault="00D03C5F" w:rsidP="00D03C5F">
      <w:pPr>
        <w:spacing w:before="120" w:after="120" w:line="276" w:lineRule="auto"/>
        <w:ind w:firstLine="708"/>
        <w:jc w:val="both"/>
        <w:rPr>
          <w:rFonts w:ascii="Verdana" w:eastAsia="Times New Roman" w:hAnsi="Verdana" w:cs="Arial"/>
          <w:lang w:val="es-ES" w:eastAsia="es-MX"/>
        </w:rPr>
      </w:pPr>
      <w:bookmarkStart w:id="2" w:name="_Hlk54011351"/>
      <w:r w:rsidRPr="67DE658D">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w:t>
      </w:r>
      <w:r w:rsidRPr="00D42F08">
        <w:rPr>
          <w:rFonts w:ascii="Verdana" w:eastAsia="Times New Roman" w:hAnsi="Verdana" w:cs="Arial"/>
          <w:lang w:val="es-ES_tradnl" w:eastAsia="es-MX"/>
        </w:rPr>
        <w:t>características</w:t>
      </w:r>
      <w:r w:rsidRPr="67DE658D">
        <w:rPr>
          <w:rFonts w:ascii="Verdana" w:eastAsia="Times New Roman" w:hAnsi="Verdana" w:cs="Arial"/>
          <w:lang w:val="es-ES" w:eastAsia="es-MX"/>
        </w:rPr>
        <w:t xml:space="preserve">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 La consideración de todos estos aspectos </w:t>
      </w:r>
      <w:bookmarkEnd w:id="2"/>
      <w:r w:rsidRPr="67DE658D">
        <w:rPr>
          <w:rFonts w:ascii="Verdana" w:eastAsia="Calibri" w:hAnsi="Verdana" w:cs="Arial"/>
          <w:lang w:val="es-ES" w:eastAsia="es-MX"/>
        </w:rPr>
        <w:t xml:space="preserve">permite que los contratos resultantes de la planeación cuenten con el sustento técnico, económico y jurídico que incidirá </w:t>
      </w:r>
      <w:r w:rsidRPr="67DE658D">
        <w:rPr>
          <w:rFonts w:ascii="Verdana" w:eastAsia="Times New Roman" w:hAnsi="Verdana" w:cs="Arial"/>
          <w:lang w:val="es-ES" w:eastAsia="es-MX"/>
        </w:rPr>
        <w:t>en una adecuada ejecución.</w:t>
      </w:r>
    </w:p>
    <w:p w14:paraId="6E541D81" w14:textId="77777777" w:rsidR="00D03C5F" w:rsidRPr="00F252D7" w:rsidRDefault="00D03C5F" w:rsidP="00D03C5F">
      <w:pPr>
        <w:spacing w:before="120" w:after="120" w:line="276" w:lineRule="auto"/>
        <w:ind w:firstLine="708"/>
        <w:jc w:val="both"/>
        <w:rPr>
          <w:rFonts w:ascii="Verdana" w:eastAsia="Times New Roman" w:hAnsi="Verdana" w:cs="Arial"/>
          <w:lang w:val="es-ES_tradnl" w:eastAsia="es-MX"/>
        </w:rPr>
      </w:pPr>
      <w:r w:rsidRPr="00F252D7">
        <w:rPr>
          <w:rFonts w:ascii="Verdana" w:eastAsia="Times New Roman" w:hAnsi="Verdana" w:cs="Arial"/>
          <w:lang w:val="es-ES_tradnl" w:eastAsia="es-MX"/>
        </w:rPr>
        <w:t xml:space="preserve">Más allá del cumplimiento de la normativa, “los estudios y documentos previos son el soporte </w:t>
      </w:r>
      <w:r w:rsidRPr="00FA0B53">
        <w:rPr>
          <w:rFonts w:ascii="Verdana" w:eastAsia="Times New Roman" w:hAnsi="Verdana" w:cs="Arial"/>
          <w:lang w:val="es-ES" w:eastAsia="es-MX"/>
        </w:rPr>
        <w:t>para</w:t>
      </w:r>
      <w:r w:rsidRPr="00F252D7">
        <w:rPr>
          <w:rFonts w:ascii="Verdana" w:eastAsia="Times New Roman" w:hAnsi="Verdana" w:cs="Arial"/>
          <w:lang w:val="es-ES_tradnl" w:eastAsia="es-MX"/>
        </w:rPr>
        <w:t xml:space="preserve"> elaborar el proyecto de pliegos, los pliegos de </w:t>
      </w:r>
      <w:r w:rsidRPr="00F252D7">
        <w:rPr>
          <w:rFonts w:ascii="Verdana" w:eastAsia="Times New Roman" w:hAnsi="Verdana" w:cs="Arial"/>
          <w:lang w:val="es-ES_tradnl" w:eastAsia="es-MX"/>
        </w:rPr>
        <w:lastRenderedPageBreak/>
        <w:t>condiciones, y el contrato”</w:t>
      </w:r>
      <w:r w:rsidRPr="00F252D7">
        <w:rPr>
          <w:rFonts w:ascii="Geomanist Light" w:hAnsi="Geomanist Light"/>
          <w:vertAlign w:val="superscript"/>
          <w:lang w:val="es-ES" w:eastAsia="es-MX"/>
        </w:rPr>
        <w:footnoteReference w:id="3"/>
      </w:r>
      <w:r w:rsidRPr="00F252D7">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4" w:name="_Hlk54011438"/>
      <w:r w:rsidRPr="00F252D7">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4"/>
      <w:r w:rsidRPr="00F252D7">
        <w:rPr>
          <w:rFonts w:ascii="Geomanist Light" w:hAnsi="Geomanist Light"/>
          <w:vertAlign w:val="superscript"/>
          <w:lang w:val="es-ES" w:eastAsia="es-MX"/>
        </w:rPr>
        <w:footnoteReference w:id="4"/>
      </w:r>
      <w:r w:rsidRPr="00F252D7">
        <w:rPr>
          <w:rFonts w:ascii="Verdana" w:eastAsia="Times New Roman" w:hAnsi="Verdana" w:cs="Arial"/>
          <w:lang w:val="es-ES_tradnl" w:eastAsia="es-MX"/>
        </w:rPr>
        <w:t>.</w:t>
      </w:r>
    </w:p>
    <w:p w14:paraId="2BFCDF6A" w14:textId="77777777" w:rsidR="00D03C5F" w:rsidRPr="00F252D7" w:rsidRDefault="00D03C5F" w:rsidP="00D03C5F">
      <w:pPr>
        <w:spacing w:before="120" w:after="120" w:line="276" w:lineRule="auto"/>
        <w:ind w:firstLine="708"/>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w:t>
      </w:r>
      <w:r w:rsidRPr="00BF6D7B">
        <w:rPr>
          <w:rFonts w:ascii="Verdana" w:eastAsia="Times New Roman" w:hAnsi="Verdana" w:cs="Arial"/>
          <w:lang w:val="es-ES_tradnl" w:eastAsia="es-MX"/>
        </w:rPr>
        <w:t>específicos</w:t>
      </w:r>
      <w:r w:rsidRPr="00F252D7">
        <w:rPr>
          <w:rFonts w:ascii="Verdana" w:eastAsia="Times New Roman" w:hAnsi="Verdana" w:cs="Arial"/>
          <w:szCs w:val="24"/>
          <w:lang w:val="es-ES" w:eastAsia="es-ES_tradnl"/>
        </w:rPr>
        <w:t xml:space="preserve">: i) previo a la apertura de un proceso de selección y ii) previo a la firma del contrato en el caso en que la modalidad de selección sea contratación directa. </w:t>
      </w:r>
    </w:p>
    <w:p w14:paraId="1F13C199" w14:textId="77777777" w:rsidR="00D03C5F" w:rsidRPr="00F252D7" w:rsidRDefault="00D03C5F" w:rsidP="00D03C5F">
      <w:pPr>
        <w:spacing w:before="120" w:after="120" w:line="276" w:lineRule="auto"/>
        <w:ind w:firstLine="708"/>
        <w:jc w:val="both"/>
        <w:rPr>
          <w:rFonts w:ascii="Verdana" w:eastAsia="Calibri" w:hAnsi="Verdana" w:cs="Arial"/>
          <w:bCs/>
          <w:lang w:val="es-ES_tradnl" w:eastAsia="es-MX"/>
        </w:rPr>
      </w:pPr>
      <w:r w:rsidRPr="00F23A0B">
        <w:rPr>
          <w:rFonts w:ascii="Verdana" w:eastAsia="Times New Roman" w:hAnsi="Verdana" w:cs="Arial"/>
          <w:szCs w:val="24"/>
          <w:lang w:val="es-ES" w:eastAsia="es-ES_tradnl"/>
        </w:rPr>
        <w:t>Por</w:t>
      </w:r>
      <w:r w:rsidRPr="00F252D7">
        <w:rPr>
          <w:rFonts w:ascii="Verdana" w:eastAsia="Times New Roman" w:hAnsi="Verdana" w:cs="Arial"/>
          <w:lang w:val="es-ES_tradnl" w:eastAsia="es-MX"/>
        </w:rPr>
        <w:t xml:space="preserve">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5"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6" w:name="_Hlk36117416"/>
      <w:r w:rsidRPr="00F252D7">
        <w:rPr>
          <w:rFonts w:ascii="Verdana" w:eastAsia="Calibri" w:hAnsi="Verdana" w:cs="Arial"/>
          <w:bCs/>
          <w:lang w:val="es-ES_tradnl" w:eastAsia="es-MX"/>
        </w:rPr>
        <w:t>2.2.1.1.1.6.1 del Decreto 1082 de 2015</w:t>
      </w:r>
      <w:bookmarkEnd w:id="6"/>
      <w:r w:rsidRPr="00F252D7">
        <w:rPr>
          <w:rFonts w:ascii="Verdana" w:eastAsia="Calibri" w:hAnsi="Verdana" w:cs="Arial"/>
          <w:bCs/>
          <w:lang w:val="es-ES_tradnl" w:eastAsia="es-MX"/>
        </w:rPr>
        <w:t xml:space="preserve">, constituye un insumo importante para determinar factores que pudieran determinar el valor del </w:t>
      </w:r>
      <w:r w:rsidRPr="00F252D7">
        <w:rPr>
          <w:rFonts w:ascii="Verdana" w:eastAsia="Calibri" w:hAnsi="Verdana" w:cs="Arial"/>
          <w:bCs/>
          <w:lang w:val="es-ES_tradnl" w:eastAsia="es-MX"/>
        </w:rPr>
        <w:lastRenderedPageBreak/>
        <w:t>contrato y orientar a la entidad en torno al monto de la disponibilidad presupuestal que requiere para realizar la contratación</w:t>
      </w:r>
      <w:bookmarkEnd w:id="5"/>
      <w:r w:rsidRPr="00F252D7">
        <w:rPr>
          <w:rFonts w:ascii="Geomanist Light" w:eastAsia="Calibri" w:hAnsi="Geomanist Light"/>
          <w:bCs/>
          <w:vertAlign w:val="superscript"/>
          <w:lang w:val="es-ES" w:eastAsia="es-MX"/>
        </w:rPr>
        <w:footnoteReference w:id="5"/>
      </w:r>
      <w:r w:rsidRPr="00F252D7">
        <w:rPr>
          <w:rFonts w:ascii="Verdana" w:eastAsia="Calibri" w:hAnsi="Verdana" w:cs="Arial"/>
          <w:bCs/>
          <w:lang w:val="es-ES_tradnl" w:eastAsia="es-MX"/>
        </w:rPr>
        <w:t xml:space="preserve">.  </w:t>
      </w:r>
    </w:p>
    <w:p w14:paraId="53F6C720" w14:textId="77777777" w:rsidR="00D03C5F" w:rsidRPr="00F252D7" w:rsidRDefault="00D03C5F" w:rsidP="00D03C5F">
      <w:pPr>
        <w:spacing w:before="120" w:after="120" w:line="276" w:lineRule="auto"/>
        <w:ind w:firstLine="708"/>
        <w:jc w:val="both"/>
        <w:rPr>
          <w:rFonts w:ascii="Verdana" w:eastAsia="Calibri" w:hAnsi="Verdana" w:cs="Arial"/>
          <w:lang w:val="es-ES" w:eastAsia="es-MX"/>
        </w:rPr>
      </w:pPr>
      <w:r w:rsidRPr="41260AC2">
        <w:rPr>
          <w:rFonts w:ascii="Verdana" w:eastAsia="Calibri" w:hAnsi="Verdana" w:cs="Arial"/>
          <w:lang w:val="es-ES" w:eastAsia="es-MX"/>
        </w:rPr>
        <w:t xml:space="preserve">De acuerdo con la norma citada, </w:t>
      </w:r>
      <w:bookmarkStart w:id="7" w:name="_Hlk36140682"/>
      <w:r w:rsidRPr="41260AC2">
        <w:rPr>
          <w:rFonts w:ascii="Verdana" w:eastAsia="Calibri" w:hAnsi="Verdana" w:cs="Arial"/>
          <w:lang w:val="es-ES" w:eastAsia="es-MX"/>
        </w:rPr>
        <w:t xml:space="preserve">la entidad debe realizar el análisis necesario para conocer el sector relativo al objeto del Proceso de Contratación, sin que sea </w:t>
      </w:r>
      <w:r w:rsidRPr="00123CBC">
        <w:rPr>
          <w:rFonts w:ascii="Verdana" w:eastAsia="Calibri" w:hAnsi="Verdana" w:cs="Arial"/>
          <w:bCs/>
          <w:lang w:val="es-ES_tradnl" w:eastAsia="es-MX"/>
        </w:rPr>
        <w:t>relevante</w:t>
      </w:r>
      <w:r w:rsidRPr="41260AC2">
        <w:rPr>
          <w:rFonts w:ascii="Verdana" w:eastAsia="Calibri" w:hAnsi="Verdana" w:cs="Arial"/>
          <w:lang w:val="es-ES" w:eastAsia="es-MX"/>
        </w:rPr>
        <w:t xml:space="preserv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3D41E779" w14:textId="77777777" w:rsidR="00D03C5F" w:rsidRPr="00F252D7" w:rsidRDefault="00D03C5F" w:rsidP="00D03C5F">
      <w:pPr>
        <w:spacing w:before="120"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w:t>
      </w:r>
      <w:r w:rsidRPr="00123CBC">
        <w:rPr>
          <w:rFonts w:ascii="Verdana" w:eastAsia="Calibri" w:hAnsi="Verdana" w:cs="Arial"/>
          <w:lang w:val="es-ES" w:eastAsia="es-MX"/>
        </w:rPr>
        <w:t>servicio</w:t>
      </w:r>
      <w:r w:rsidRPr="00F252D7">
        <w:rPr>
          <w:rFonts w:ascii="Verdana" w:eastAsia="Calibri" w:hAnsi="Verdana" w:cs="Arial"/>
          <w:bCs/>
          <w:lang w:val="es-ES_tradnl" w:eastAsia="es-MX"/>
        </w:rPr>
        <w:t xml:space="preserve"> con el contratista. En este último punto, el análisis del sector permite sustentar la decisión de realizar un Proceso de Contratación desde el punto de vista de la eficiencia, eficacia y economía.</w:t>
      </w:r>
    </w:p>
    <w:p w14:paraId="2459E66C" w14:textId="77777777" w:rsidR="00D03C5F" w:rsidRPr="00F252D7" w:rsidRDefault="00D03C5F" w:rsidP="00D03C5F">
      <w:pPr>
        <w:spacing w:before="120" w:after="120" w:line="276" w:lineRule="auto"/>
        <w:ind w:firstLine="708"/>
        <w:jc w:val="both"/>
        <w:rPr>
          <w:rFonts w:ascii="Verdana" w:eastAsia="Calibri" w:hAnsi="Verdana" w:cs="Arial"/>
          <w:lang w:val="es-ES" w:eastAsia="es-MX"/>
        </w:rPr>
      </w:pPr>
      <w:r w:rsidRPr="7F7EB33C">
        <w:rPr>
          <w:rFonts w:ascii="Verdana" w:eastAsia="Calibri" w:hAnsi="Verdana" w:cs="Arial"/>
          <w:lang w:val="es-ES"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w:t>
      </w:r>
      <w:r w:rsidRPr="7F7EB33C">
        <w:rPr>
          <w:rFonts w:ascii="Verdana" w:eastAsia="Calibri" w:hAnsi="Verdana" w:cs="Arial"/>
          <w:lang w:val="es-ES" w:eastAsia="es-MX"/>
        </w:rPr>
        <w:lastRenderedPageBreak/>
        <w:t xml:space="preserve">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3960B731" w14:textId="77777777" w:rsidR="00E96ADE" w:rsidRPr="0035481C" w:rsidRDefault="00E96ADE" w:rsidP="00E96ADE">
      <w:pPr>
        <w:spacing w:before="120" w:after="120" w:line="276" w:lineRule="auto"/>
        <w:ind w:firstLine="708"/>
        <w:jc w:val="both"/>
        <w:rPr>
          <w:rFonts w:ascii="Verdana" w:eastAsia="Calibri" w:hAnsi="Verdana" w:cs="Arial"/>
          <w:lang w:val="es-ES" w:eastAsia="es-MX"/>
        </w:rPr>
      </w:pPr>
      <w:r w:rsidRPr="7F7EB33C">
        <w:rPr>
          <w:rFonts w:ascii="Verdana" w:eastAsia="Calibri" w:hAnsi="Verdana" w:cs="Arial"/>
          <w:lang w:val="es-ES" w:eastAsia="es-MX"/>
        </w:rPr>
        <w:t>Así, si bien la normativa en materia de contratación estatal establece la obligatoriedad de realizar el análisis necesario para conocer el sector relativo al objeto del Proceso de Contratación, no determinan un procedimiento específico para efectuar</w:t>
      </w:r>
      <w:r>
        <w:rPr>
          <w:rFonts w:ascii="Verdana" w:eastAsia="Calibri" w:hAnsi="Verdana" w:cs="Arial"/>
          <w:lang w:val="es-ES" w:eastAsia="es-MX"/>
        </w:rPr>
        <w:t>lo.</w:t>
      </w:r>
      <w:r w:rsidRPr="7F7EB33C">
        <w:rPr>
          <w:rFonts w:ascii="Verdana" w:eastAsia="Calibri" w:hAnsi="Verdana" w:cs="Arial"/>
          <w:lang w:val="es-ES" w:eastAsia="es-MX"/>
        </w:rPr>
        <w:t xml:space="preserve"> </w:t>
      </w:r>
      <w:r>
        <w:rPr>
          <w:rFonts w:ascii="Verdana" w:eastAsia="Calibri" w:hAnsi="Verdana" w:cs="Arial"/>
          <w:lang w:val="es-ES" w:eastAsia="es-MX"/>
        </w:rPr>
        <w:t>P</w:t>
      </w:r>
      <w:r w:rsidRPr="7F7EB33C">
        <w:rPr>
          <w:rFonts w:ascii="Verdana" w:eastAsia="Calibri" w:hAnsi="Verdana" w:cs="Arial"/>
          <w:lang w:val="es-ES" w:eastAsia="es-MX"/>
        </w:rPr>
        <w:t xml:space="preserve">or lo que las entidades </w:t>
      </w:r>
      <w:r w:rsidRPr="7F7EB33C">
        <w:rPr>
          <w:rFonts w:ascii="Verdana" w:eastAsia="Times New Roman" w:hAnsi="Verdana" w:cs="Arial"/>
          <w:lang w:val="es-ES" w:eastAsia="es-CO"/>
        </w:rPr>
        <w:t>son autónomas para estructurarlo, p</w:t>
      </w:r>
      <w:r>
        <w:rPr>
          <w:rFonts w:ascii="Verdana" w:eastAsia="Times New Roman" w:hAnsi="Verdana" w:cs="Arial"/>
          <w:lang w:val="es-ES" w:eastAsia="es-CO"/>
        </w:rPr>
        <w:t xml:space="preserve">ero siempre cumpliendo lo </w:t>
      </w:r>
      <w:r w:rsidRPr="7F7EB33C">
        <w:rPr>
          <w:rFonts w:ascii="Verdana" w:eastAsia="Times New Roman" w:hAnsi="Verdana" w:cs="Arial"/>
          <w:lang w:val="es-ES" w:eastAsia="es-CO"/>
        </w:rPr>
        <w:t xml:space="preserve">dispuesto en el artículo </w:t>
      </w:r>
      <w:r w:rsidRPr="7F7EB33C">
        <w:rPr>
          <w:rFonts w:ascii="Verdana" w:eastAsia="Calibri" w:hAnsi="Verdana" w:cs="Arial"/>
          <w:lang w:val="es-ES" w:eastAsia="es-MX"/>
        </w:rPr>
        <w:t>2.2.1.1.1.6.1 del Decreto 1082 de 2015</w:t>
      </w:r>
      <w:r>
        <w:rPr>
          <w:rFonts w:ascii="Verdana" w:eastAsia="Calibri" w:hAnsi="Verdana" w:cs="Arial"/>
          <w:lang w:val="es-ES" w:eastAsia="es-MX"/>
        </w:rPr>
        <w:t>.</w:t>
      </w:r>
    </w:p>
    <w:p w14:paraId="46A34D98" w14:textId="77777777" w:rsidR="00D03C5F" w:rsidRDefault="00D03C5F" w:rsidP="00D03C5F">
      <w:pPr>
        <w:spacing w:before="120" w:after="120" w:line="276" w:lineRule="auto"/>
        <w:ind w:firstLine="708"/>
        <w:jc w:val="both"/>
        <w:rPr>
          <w:rFonts w:ascii="Verdana" w:eastAsia="Calibri" w:hAnsi="Verdana" w:cs="Arial"/>
          <w:bCs/>
          <w:szCs w:val="24"/>
          <w:lang w:val="es-ES" w:eastAsia="es-ES_tradnl"/>
        </w:rPr>
      </w:pPr>
      <w:bookmarkStart w:id="8" w:name="_Hlk139466113"/>
      <w:bookmarkEnd w:id="7"/>
      <w:r w:rsidRPr="00F252D7">
        <w:rPr>
          <w:rFonts w:ascii="Verdana" w:eastAsia="Calibri" w:hAnsi="Verdana" w:cs="Arial"/>
          <w:bCs/>
          <w:lang w:val="es-ES_tradnl" w:eastAsia="es-MX"/>
        </w:rPr>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6"/>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8"/>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01E48C93" w14:textId="77777777" w:rsidR="00D03C5F" w:rsidRPr="00B7290B" w:rsidRDefault="00D03C5F" w:rsidP="00D03C5F">
      <w:pPr>
        <w:spacing w:after="120" w:line="276" w:lineRule="auto"/>
        <w:ind w:firstLine="709"/>
        <w:jc w:val="both"/>
        <w:rPr>
          <w:rFonts w:ascii="Verdana" w:eastAsia="Calibri" w:hAnsi="Verdana" w:cs="Arial"/>
          <w:lang w:val="es-ES"/>
        </w:rPr>
      </w:pPr>
      <w:r w:rsidRPr="7F7EB33C">
        <w:rPr>
          <w:rFonts w:ascii="Verdana" w:eastAsia="Calibri" w:hAnsi="Verdana" w:cs="Arial"/>
          <w:lang w:val="es-ES"/>
        </w:rPr>
        <w:t xml:space="preserve">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w:t>
      </w:r>
      <w:r w:rsidRPr="7F7EB33C">
        <w:rPr>
          <w:rFonts w:ascii="Verdana" w:eastAsia="Calibri" w:hAnsi="Verdana" w:cs="Arial"/>
          <w:lang w:val="es-ES"/>
        </w:rPr>
        <w:lastRenderedPageBreak/>
        <w:t>precios, las cargas tributarias, la tasa de cambio, las garantías, los gastos de transporte, etc.</w:t>
      </w:r>
    </w:p>
    <w:p w14:paraId="37F19A67" w14:textId="77777777" w:rsidR="00D03C5F" w:rsidRPr="00D32067" w:rsidRDefault="00D03C5F" w:rsidP="00D03C5F">
      <w:pPr>
        <w:spacing w:after="120" w:line="276" w:lineRule="auto"/>
        <w:ind w:firstLine="709"/>
        <w:jc w:val="both"/>
        <w:rPr>
          <w:rFonts w:ascii="Verdana" w:eastAsia="Calibri" w:hAnsi="Verdana" w:cs="Arial"/>
          <w:bCs/>
          <w:lang w:val="es-ES_tradnl"/>
        </w:rPr>
      </w:pPr>
      <w:r w:rsidRPr="00B7290B">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estudio de la oferta y el estudio del mercado. </w:t>
      </w:r>
      <w:r w:rsidRPr="00D32067">
        <w:rPr>
          <w:rFonts w:ascii="Verdana" w:eastAsia="Calibri" w:hAnsi="Verdana" w:cs="Arial"/>
          <w:bCs/>
          <w:lang w:val="es-ES_tradnl"/>
        </w:rPr>
        <w:t xml:space="preserve">En </w:t>
      </w:r>
      <w:r w:rsidRPr="00D32067">
        <w:rPr>
          <w:rFonts w:ascii="Verdana" w:eastAsia="Calibri" w:hAnsi="Verdana" w:cs="Arial"/>
          <w:bCs/>
          <w:lang w:val="es-ES"/>
        </w:rPr>
        <w:t xml:space="preserve">el marco del </w:t>
      </w:r>
      <w:r w:rsidRPr="004F47F3">
        <w:rPr>
          <w:rFonts w:ascii="Verdana" w:eastAsia="Calibri" w:hAnsi="Verdana" w:cs="Arial"/>
          <w:bCs/>
          <w:i/>
          <w:iCs/>
          <w:lang w:val="es-ES"/>
        </w:rPr>
        <w:t>comportamiento del gasto histórico</w:t>
      </w:r>
      <w:r w:rsidRPr="00D32067">
        <w:rPr>
          <w:rFonts w:ascii="Verdana" w:eastAsia="Calibri" w:hAnsi="Verdana" w:cs="Arial"/>
          <w:bCs/>
          <w:lang w:val="es-ES"/>
        </w:rPr>
        <w:t xml:space="preserve">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D32067">
        <w:rPr>
          <w:rFonts w:ascii="Verdana" w:eastAsia="Arial MT" w:hAnsi="Verdana" w:cs="Arial"/>
          <w:lang w:val="es-ES"/>
        </w:rPr>
        <w:t>desarrolladas por esta Agencia en el marco del modelo de abastecimiento estratégico</w:t>
      </w:r>
      <w:r w:rsidRPr="00D32067">
        <w:rPr>
          <w:rFonts w:ascii="Verdana" w:eastAsia="Arial MT" w:hAnsi="Verdana" w:cs="Arial"/>
          <w:vertAlign w:val="superscript"/>
          <w:lang w:val="es-ES"/>
        </w:rPr>
        <w:footnoteReference w:id="7"/>
      </w:r>
      <w:r w:rsidRPr="00D32067">
        <w:rPr>
          <w:rFonts w:ascii="Verdana" w:eastAsia="Arial MT" w:hAnsi="Verdana" w:cs="Arial"/>
          <w:lang w:val="es-ES"/>
        </w:rPr>
        <w:t xml:space="preserve">. </w:t>
      </w:r>
    </w:p>
    <w:p w14:paraId="4ABD2155" w14:textId="77777777" w:rsidR="00D03C5F" w:rsidRDefault="00D03C5F" w:rsidP="00D03C5F">
      <w:pPr>
        <w:spacing w:after="0" w:line="276" w:lineRule="auto"/>
        <w:ind w:firstLine="709"/>
        <w:jc w:val="both"/>
        <w:rPr>
          <w:rFonts w:ascii="Verdana" w:eastAsia="Calibri" w:hAnsi="Verdana" w:cs="Arial"/>
          <w:lang w:val="es-ES"/>
        </w:rPr>
      </w:pPr>
      <w:r>
        <w:rPr>
          <w:rFonts w:ascii="Verdana" w:eastAsia="Calibri" w:hAnsi="Verdana" w:cs="Arial"/>
          <w:color w:val="000000" w:themeColor="text1"/>
          <w:lang w:val="es-ES"/>
        </w:rPr>
        <w:t xml:space="preserve">Respecto al </w:t>
      </w:r>
      <w:r w:rsidRPr="004F47F3">
        <w:rPr>
          <w:rFonts w:ascii="Verdana" w:eastAsia="Calibri" w:hAnsi="Verdana" w:cs="Arial"/>
          <w:i/>
          <w:iCs/>
          <w:color w:val="000000" w:themeColor="text1"/>
          <w:lang w:val="es-ES"/>
        </w:rPr>
        <w:t>estudio del mercado</w:t>
      </w:r>
      <w:r>
        <w:rPr>
          <w:rFonts w:ascii="Verdana" w:eastAsia="Calibri" w:hAnsi="Verdana" w:cs="Arial"/>
          <w:lang w:val="es-ES"/>
        </w:rPr>
        <w:t>,</w:t>
      </w:r>
      <w:r w:rsidRPr="00B7290B">
        <w:rPr>
          <w:rFonts w:ascii="Verdana" w:eastAsia="Calibri" w:hAnsi="Verdana" w:cs="Arial"/>
          <w:lang w:val="es-ES"/>
        </w:rPr>
        <w:t xml:space="preserve"> en el numeral 1.3.4, la Guía explica que “</w:t>
      </w:r>
      <w:r w:rsidRPr="00B7290B">
        <w:rPr>
          <w:rFonts w:ascii="Verdana" w:eastAsia="Calibri" w:hAnsi="Verdana" w:cs="Arial"/>
          <w:i/>
          <w:iCs/>
          <w:lang w:val="es-ES"/>
        </w:rPr>
        <w:t>el estudio de mercado permite comprender la dinámica de los precios y establecer el presupuesto oficial de la contratación. Este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w:t>
      </w:r>
      <w:r>
        <w:rPr>
          <w:rFonts w:ascii="Verdana" w:eastAsia="Calibri" w:hAnsi="Verdana" w:cs="Arial"/>
          <w:lang w:val="es-ES"/>
        </w:rPr>
        <w:t xml:space="preserve"> y</w:t>
      </w:r>
      <w:r w:rsidRPr="00B7290B">
        <w:rPr>
          <w:rFonts w:ascii="Verdana" w:eastAsia="Calibri" w:hAnsi="Verdana" w:cs="Arial"/>
          <w:lang w:val="es-ES"/>
        </w:rPr>
        <w:t xml:space="preserve"> propone a las Entidades Estatales los siguientes mecanismos para su elaboración: </w:t>
      </w:r>
    </w:p>
    <w:p w14:paraId="54B4A866" w14:textId="77777777" w:rsidR="00D03C5F" w:rsidRPr="00B7290B" w:rsidRDefault="00D03C5F" w:rsidP="00D03C5F">
      <w:pPr>
        <w:spacing w:after="0" w:line="276" w:lineRule="auto"/>
        <w:ind w:firstLine="709"/>
        <w:jc w:val="both"/>
        <w:rPr>
          <w:rFonts w:ascii="Verdana" w:eastAsia="Calibri" w:hAnsi="Verdana" w:cs="Arial"/>
          <w:lang w:val="es-ES"/>
        </w:rPr>
      </w:pPr>
    </w:p>
    <w:p w14:paraId="31AD27D3" w14:textId="77777777" w:rsidR="00D03C5F" w:rsidRPr="004F47F3" w:rsidRDefault="00D03C5F" w:rsidP="00D03C5F">
      <w:pPr>
        <w:spacing w:before="125" w:after="0" w:line="240" w:lineRule="auto"/>
        <w:ind w:left="709" w:right="709"/>
        <w:contextualSpacing/>
        <w:jc w:val="both"/>
        <w:rPr>
          <w:rFonts w:ascii="Verdana" w:eastAsia="Calibri" w:hAnsi="Verdana" w:cs="Arial"/>
          <w:i/>
          <w:iCs/>
          <w:sz w:val="20"/>
          <w:szCs w:val="20"/>
          <w:lang w:val="es-ES"/>
        </w:rPr>
      </w:pPr>
      <w:bookmarkStart w:id="9" w:name="_Hlk176860475"/>
      <w:r w:rsidRPr="004F47F3">
        <w:rPr>
          <w:rFonts w:ascii="Verdana" w:eastAsia="Calibri" w:hAnsi="Verdana" w:cs="Arial"/>
          <w:sz w:val="20"/>
          <w:szCs w:val="20"/>
          <w:lang w:val="es-ES"/>
        </w:rPr>
        <w:t>“</w:t>
      </w:r>
      <w:r w:rsidRPr="004F47F3">
        <w:rPr>
          <w:rFonts w:ascii="Verdana" w:eastAsia="Calibri" w:hAnsi="Verdana" w:cs="Arial"/>
          <w:i/>
          <w:iCs/>
          <w:sz w:val="20"/>
          <w:szCs w:val="20"/>
          <w:lang w:val="es-ES"/>
        </w:rPr>
        <w:t>1. Revisión de precios por solicitud de cotizaciones</w:t>
      </w:r>
      <w:bookmarkEnd w:id="9"/>
      <w:r w:rsidRPr="004F47F3">
        <w:rPr>
          <w:rFonts w:ascii="Verdana" w:eastAsia="Calibri" w:hAnsi="Verdana" w:cs="Arial"/>
          <w:i/>
          <w:iCs/>
          <w:sz w:val="20"/>
          <w:szCs w:val="20"/>
          <w:lang w:val="es-ES"/>
        </w:rPr>
        <w:t>: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como por ejemplo, especificaciones técnicas del bien o servicio a contratar, plazo del contrato, así como toda aquella información relevante que incida en el precio del bien o servicio.</w:t>
      </w:r>
    </w:p>
    <w:p w14:paraId="5ADD8A2A" w14:textId="77777777" w:rsidR="00D03C5F" w:rsidRPr="004F47F3" w:rsidRDefault="00D03C5F" w:rsidP="00D03C5F">
      <w:pPr>
        <w:spacing w:before="125" w:after="0" w:line="240" w:lineRule="auto"/>
        <w:ind w:left="709" w:right="709"/>
        <w:contextualSpacing/>
        <w:jc w:val="both"/>
        <w:rPr>
          <w:rFonts w:ascii="Verdana" w:eastAsia="Calibri" w:hAnsi="Verdana" w:cs="Arial"/>
          <w:sz w:val="20"/>
          <w:szCs w:val="20"/>
          <w:lang w:val="es-ES"/>
        </w:rPr>
      </w:pPr>
    </w:p>
    <w:p w14:paraId="000A5629" w14:textId="77777777" w:rsidR="00D03C5F" w:rsidRPr="004F47F3" w:rsidRDefault="00D03C5F" w:rsidP="00D03C5F">
      <w:pPr>
        <w:spacing w:before="125"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lastRenderedPageBreak/>
        <w:t>2. Al recibir las cotizaciones, debe verificarse la ocurrencia de circunstancias que eventualmente pueden distorsionar los precios del mercado, como ofertas especiales de almacenes de cadena, fenómenos de escasez o abundancia del producto, entre otros aspectos.</w:t>
      </w:r>
    </w:p>
    <w:p w14:paraId="279821C3" w14:textId="77777777" w:rsidR="00D03C5F" w:rsidRPr="004F47F3" w:rsidRDefault="00D03C5F" w:rsidP="00D03C5F">
      <w:pPr>
        <w:spacing w:before="125" w:after="0" w:line="240" w:lineRule="auto"/>
        <w:ind w:left="709" w:right="709"/>
        <w:contextualSpacing/>
        <w:jc w:val="both"/>
        <w:rPr>
          <w:rFonts w:ascii="Verdana" w:eastAsia="Calibri" w:hAnsi="Verdana" w:cs="Arial"/>
          <w:sz w:val="20"/>
          <w:szCs w:val="20"/>
          <w:lang w:val="es-ES"/>
        </w:rPr>
      </w:pPr>
    </w:p>
    <w:p w14:paraId="1253F888" w14:textId="77777777" w:rsidR="00D03C5F" w:rsidRPr="004F47F3" w:rsidRDefault="00D03C5F" w:rsidP="00D03C5F">
      <w:pPr>
        <w:spacing w:before="125"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t>3. 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3A722D7B" w14:textId="77777777" w:rsidR="00D03C5F" w:rsidRPr="004F47F3" w:rsidRDefault="00D03C5F" w:rsidP="00D03C5F">
      <w:pPr>
        <w:spacing w:before="125" w:after="0" w:line="240" w:lineRule="auto"/>
        <w:ind w:left="709" w:right="709"/>
        <w:contextualSpacing/>
        <w:jc w:val="both"/>
        <w:rPr>
          <w:rFonts w:ascii="Verdana" w:eastAsia="Calibri" w:hAnsi="Verdana" w:cs="Arial"/>
          <w:sz w:val="20"/>
          <w:szCs w:val="20"/>
          <w:lang w:val="es-ES"/>
        </w:rPr>
      </w:pPr>
    </w:p>
    <w:p w14:paraId="4947AABD" w14:textId="77777777" w:rsidR="00D03C5F" w:rsidRPr="004F47F3" w:rsidRDefault="00D03C5F" w:rsidP="00D03C5F">
      <w:pPr>
        <w:spacing w:before="125"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t>4. 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p>
    <w:p w14:paraId="5D6DF371" w14:textId="77777777" w:rsidR="00D03C5F" w:rsidRPr="00B7290B" w:rsidRDefault="00D03C5F" w:rsidP="00D03C5F">
      <w:pPr>
        <w:spacing w:after="0" w:line="276" w:lineRule="auto"/>
        <w:ind w:firstLine="709"/>
        <w:jc w:val="both"/>
        <w:rPr>
          <w:rFonts w:ascii="Verdana" w:eastAsia="Calibri" w:hAnsi="Verdana" w:cs="Arial"/>
          <w:color w:val="000000" w:themeColor="text1"/>
          <w:lang w:val="es-ES"/>
        </w:rPr>
      </w:pPr>
    </w:p>
    <w:p w14:paraId="5E212DA3" w14:textId="77777777" w:rsidR="00D03C5F" w:rsidRPr="0035481C" w:rsidRDefault="00D03C5F" w:rsidP="00D03C5F">
      <w:pPr>
        <w:spacing w:after="120" w:line="276" w:lineRule="auto"/>
        <w:ind w:firstLine="709"/>
        <w:jc w:val="both"/>
        <w:rPr>
          <w:rFonts w:ascii="Verdana" w:eastAsia="Calibri" w:hAnsi="Verdana" w:cs="Arial"/>
          <w:color w:val="000000" w:themeColor="text1"/>
          <w:lang w:val="es-ES"/>
        </w:rPr>
      </w:pPr>
      <w:bookmarkStart w:id="10" w:name="_Hlk139466471"/>
      <w:r w:rsidRPr="00D32067">
        <w:rPr>
          <w:rFonts w:ascii="Verdana" w:eastAsia="Calibri" w:hAnsi="Verdana" w:cs="Arial"/>
          <w:color w:val="000000" w:themeColor="text1"/>
          <w:lang w:val="es-ES"/>
        </w:rPr>
        <w:t>Como se observa, la “Guía de</w:t>
      </w:r>
      <w:r>
        <w:rPr>
          <w:rFonts w:ascii="Verdana" w:eastAsia="Calibri" w:hAnsi="Verdana" w:cs="Arial"/>
          <w:color w:val="000000" w:themeColor="text1"/>
          <w:lang w:val="es-ES"/>
        </w:rPr>
        <w:t xml:space="preserve"> </w:t>
      </w:r>
      <w:r w:rsidRPr="00D32067">
        <w:rPr>
          <w:rFonts w:ascii="Verdana" w:eastAsia="Calibri" w:hAnsi="Verdana" w:cs="Arial"/>
          <w:color w:val="000000" w:themeColor="text1"/>
          <w:lang w:val="es-ES"/>
        </w:rPr>
        <w:t xml:space="preserve">Elaboración de Estudios del Sector” recomienda como mecanismo para la elaboración de </w:t>
      </w:r>
      <w:r w:rsidRPr="00D32067">
        <w:rPr>
          <w:rFonts w:ascii="Verdana" w:eastAsia="Calibri" w:hAnsi="Verdana" w:cs="Arial"/>
          <w:i/>
          <w:iCs/>
          <w:color w:val="000000" w:themeColor="text1"/>
          <w:lang w:val="es-ES"/>
        </w:rPr>
        <w:t>estudios del mercado</w:t>
      </w:r>
      <w:r w:rsidRPr="00D32067">
        <w:rPr>
          <w:rFonts w:ascii="Verdana" w:eastAsia="Calibri" w:hAnsi="Verdana" w:cs="Arial"/>
          <w:color w:val="000000" w:themeColor="text1"/>
          <w:lang w:val="es-ES"/>
        </w:rPr>
        <w:t xml:space="preserve">, que sirvan para entender la dinámica de los precios y establecer el presupuesto oficial de la contratación, </w:t>
      </w:r>
      <w:r w:rsidRPr="00D32067">
        <w:rPr>
          <w:rFonts w:ascii="Verdana" w:eastAsia="Calibri" w:hAnsi="Verdana" w:cs="Arial"/>
          <w:i/>
          <w:color w:val="000000" w:themeColor="text1"/>
          <w:lang w:val="es-ES"/>
        </w:rPr>
        <w:t>requerir a los potenciales proveedores</w:t>
      </w:r>
      <w:r w:rsidRPr="00D32067">
        <w:rPr>
          <w:rFonts w:ascii="Verdana" w:eastAsia="Calibri" w:hAnsi="Verdana" w:cs="Arial"/>
          <w:color w:val="000000" w:themeColor="text1"/>
          <w:lang w:val="es-ES"/>
        </w:rPr>
        <w:t xml:space="preserve"> a fin de que remitan la información necesaria para determinar diversos aspectos de los bienes o servicios a contratar, entre ellos su valor, especificaciones técnicas, el plazo, entre otra información relevante. </w:t>
      </w:r>
      <w:bookmarkEnd w:id="10"/>
    </w:p>
    <w:p w14:paraId="39E09C29" w14:textId="77777777" w:rsidR="00D03C5F" w:rsidRDefault="00D03C5F" w:rsidP="00D03C5F">
      <w:pPr>
        <w:widowControl w:val="0"/>
        <w:autoSpaceDE w:val="0"/>
        <w:autoSpaceDN w:val="0"/>
        <w:spacing w:after="0" w:line="276" w:lineRule="auto"/>
        <w:jc w:val="both"/>
        <w:rPr>
          <w:rFonts w:ascii="Verdana" w:hAnsi="Verdana" w:cs="Arial"/>
        </w:rPr>
      </w:pPr>
    </w:p>
    <w:p w14:paraId="78D3917B" w14:textId="77777777" w:rsidR="00D03C5F" w:rsidRDefault="00D03C5F" w:rsidP="00D03C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67810B8D" w14:textId="77777777" w:rsidR="00D03C5F" w:rsidRDefault="00D03C5F" w:rsidP="00D03C5F">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03C5F" w14:paraId="07C69265" w14:textId="77777777" w:rsidTr="00FF2A29">
        <w:trPr>
          <w:trHeight w:val="870"/>
        </w:trPr>
        <w:tc>
          <w:tcPr>
            <w:tcW w:w="8647" w:type="dxa"/>
            <w:tcBorders>
              <w:top w:val="dotted" w:sz="4" w:space="0" w:color="auto"/>
              <w:left w:val="dotted" w:sz="4" w:space="0" w:color="auto"/>
              <w:bottom w:val="dotted" w:sz="4" w:space="0" w:color="auto"/>
              <w:right w:val="dotted" w:sz="4" w:space="0" w:color="auto"/>
            </w:tcBorders>
            <w:hideMark/>
          </w:tcPr>
          <w:p w14:paraId="5CA50167" w14:textId="77777777" w:rsidR="00D03C5F" w:rsidRDefault="00D03C5F" w:rsidP="00FF2A29">
            <w:pPr>
              <w:pStyle w:val="Prrafodelista"/>
              <w:numPr>
                <w:ilvl w:val="0"/>
                <w:numId w:val="17"/>
              </w:numPr>
              <w:spacing w:line="276" w:lineRule="auto"/>
              <w:jc w:val="both"/>
              <w:rPr>
                <w:rFonts w:ascii="Verdana" w:hAnsi="Verdana" w:cs="Arial"/>
              </w:rPr>
            </w:pPr>
            <w:r w:rsidRPr="00FC6F34">
              <w:rPr>
                <w:rFonts w:ascii="Verdana" w:hAnsi="Verdana" w:cs="Arial"/>
              </w:rPr>
              <w:t>Ley 80 de 1993, artículo</w:t>
            </w:r>
            <w:r>
              <w:rPr>
                <w:rFonts w:ascii="Verdana" w:hAnsi="Verdana" w:cs="Arial"/>
              </w:rPr>
              <w:t xml:space="preserve"> </w:t>
            </w:r>
            <w:r w:rsidRPr="00FC6F34">
              <w:rPr>
                <w:rFonts w:ascii="Verdana" w:hAnsi="Verdana" w:cs="Arial"/>
              </w:rPr>
              <w:t>2</w:t>
            </w:r>
            <w:r>
              <w:rPr>
                <w:rFonts w:ascii="Verdana" w:hAnsi="Verdana" w:cs="Arial"/>
              </w:rPr>
              <w:t xml:space="preserve"> y 25</w:t>
            </w:r>
            <w:r w:rsidRPr="00FC6F34">
              <w:rPr>
                <w:rFonts w:ascii="Verdana" w:hAnsi="Verdana" w:cs="Arial"/>
              </w:rPr>
              <w:t>.</w:t>
            </w:r>
          </w:p>
          <w:p w14:paraId="4133BCD0" w14:textId="77777777" w:rsidR="00D03C5F" w:rsidRDefault="00D03C5F" w:rsidP="00FF2A29">
            <w:pPr>
              <w:widowControl w:val="0"/>
              <w:numPr>
                <w:ilvl w:val="0"/>
                <w:numId w:val="17"/>
              </w:numPr>
              <w:autoSpaceDE w:val="0"/>
              <w:autoSpaceDN w:val="0"/>
              <w:spacing w:line="276" w:lineRule="auto"/>
              <w:contextualSpacing/>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rtículo</w:t>
            </w:r>
            <w:r>
              <w:rPr>
                <w:rFonts w:ascii="Verdana" w:eastAsia="Arial MT" w:hAnsi="Verdana" w:cs="Arial"/>
                <w:lang w:val="es-ES" w:eastAsia="es-ES" w:bidi="es-ES"/>
              </w:rPr>
              <w:t>s 2 y</w:t>
            </w:r>
            <w:r w:rsidRPr="00FC6F34">
              <w:rPr>
                <w:rFonts w:ascii="Verdana" w:eastAsia="Arial MT" w:hAnsi="Verdana" w:cs="Arial"/>
                <w:lang w:val="es-ES" w:eastAsia="es-ES" w:bidi="es-ES"/>
              </w:rPr>
              <w:t xml:space="preserve"> </w:t>
            </w:r>
            <w:r>
              <w:rPr>
                <w:rFonts w:ascii="Verdana" w:eastAsia="Arial MT" w:hAnsi="Verdana" w:cs="Arial"/>
                <w:lang w:val="es-ES" w:eastAsia="es-ES" w:bidi="es-ES"/>
              </w:rPr>
              <w:t>3</w:t>
            </w:r>
            <w:r w:rsidRPr="00FC6F34">
              <w:rPr>
                <w:rFonts w:ascii="Verdana" w:eastAsia="Arial MT" w:hAnsi="Verdana" w:cs="Arial"/>
                <w:lang w:val="es-ES" w:eastAsia="es-ES" w:bidi="es-ES"/>
              </w:rPr>
              <w:t xml:space="preserve">. </w:t>
            </w:r>
          </w:p>
          <w:p w14:paraId="78DF3CB8" w14:textId="77777777" w:rsidR="00D03C5F" w:rsidRPr="00602369" w:rsidRDefault="00D03C5F" w:rsidP="00FF2A29">
            <w:pPr>
              <w:widowControl w:val="0"/>
              <w:numPr>
                <w:ilvl w:val="0"/>
                <w:numId w:val="17"/>
              </w:numPr>
              <w:autoSpaceDE w:val="0"/>
              <w:autoSpaceDN w:val="0"/>
              <w:spacing w:line="276" w:lineRule="auto"/>
              <w:contextualSpacing/>
              <w:jc w:val="both"/>
              <w:rPr>
                <w:rFonts w:ascii="Verdana" w:hAnsi="Verdana" w:cs="Arial"/>
                <w:lang w:val="es-ES"/>
              </w:rPr>
            </w:pPr>
            <w:r>
              <w:rPr>
                <w:rFonts w:ascii="Verdana" w:hAnsi="Verdana" w:cs="Arial"/>
                <w:lang w:val="es-ES"/>
              </w:rPr>
              <w:t>Decreto 1082 de 2015, artículos 2.2.1.1.2.1.1. y 2.2.1.1.1.6.1</w:t>
            </w:r>
          </w:p>
          <w:p w14:paraId="272951C9" w14:textId="77777777" w:rsidR="00D03C5F" w:rsidRDefault="00D03C5F" w:rsidP="00FF2A29">
            <w:pPr>
              <w:widowControl w:val="0"/>
              <w:numPr>
                <w:ilvl w:val="0"/>
                <w:numId w:val="17"/>
              </w:numPr>
              <w:tabs>
                <w:tab w:val="left" w:pos="8419"/>
              </w:tabs>
              <w:autoSpaceDE w:val="0"/>
              <w:autoSpaceDN w:val="0"/>
              <w:spacing w:after="120" w:line="276" w:lineRule="auto"/>
              <w:jc w:val="both"/>
              <w:rPr>
                <w:rFonts w:ascii="Verdana" w:hAnsi="Verdana" w:cs="Arial"/>
                <w:lang w:val="es-ES"/>
              </w:rPr>
            </w:pPr>
            <w:r>
              <w:rPr>
                <w:rFonts w:ascii="Verdana" w:hAnsi="Verdana" w:cs="Arial"/>
                <w:lang w:val="es-ES"/>
              </w:rPr>
              <w:t xml:space="preserve">Colombia Compra Eficiente, Guía de Elaboración de Estudios de Sector - GEES del 24 de junio de 2022. Disponible en: </w:t>
            </w:r>
            <w:r>
              <w:rPr>
                <w:rFonts w:ascii="Geomanist Light" w:hAnsi="Geomanist Light"/>
                <w:lang w:val="es-ES"/>
              </w:rPr>
              <w:t xml:space="preserve"> </w:t>
            </w:r>
            <w:r>
              <w:rPr>
                <w:rFonts w:ascii="Verdana" w:hAnsi="Verdana" w:cs="Arial"/>
                <w:lang w:val="es-ES"/>
              </w:rPr>
              <w:t>chrome-extension://efaidnbmnnnibpcajpcglclefindmkaj/https://www.colombiacompra.gov.co/sites/cce_public/files/cce_documentos/cce-eicp-gi-18._gees_v.2_2.pdf</w:t>
            </w:r>
          </w:p>
          <w:p w14:paraId="77335812" w14:textId="77777777" w:rsidR="00D03C5F" w:rsidRPr="0035481C" w:rsidRDefault="00D03C5F" w:rsidP="00FF2A29">
            <w:pPr>
              <w:widowControl w:val="0"/>
              <w:numPr>
                <w:ilvl w:val="0"/>
                <w:numId w:val="17"/>
              </w:numPr>
              <w:tabs>
                <w:tab w:val="left" w:pos="8419"/>
              </w:tabs>
              <w:autoSpaceDE w:val="0"/>
              <w:autoSpaceDN w:val="0"/>
              <w:spacing w:after="120" w:line="276" w:lineRule="auto"/>
              <w:jc w:val="both"/>
              <w:rPr>
                <w:rFonts w:ascii="Verdana" w:hAnsi="Verdana" w:cs="Arial"/>
                <w:lang w:val="es-ES"/>
              </w:rPr>
            </w:pPr>
            <w:r>
              <w:rPr>
                <w:rFonts w:ascii="Verdana" w:hAnsi="Verdana" w:cs="Arial"/>
                <w:lang w:val="es-ES"/>
              </w:rPr>
              <w:t>DEIK ACOSTAMADIEDO, Carolina, Guía de Contratación Estatal: Deber de planeación y modalidades de selección, Buenos Aires, 2015.</w:t>
            </w:r>
          </w:p>
        </w:tc>
      </w:tr>
    </w:tbl>
    <w:p w14:paraId="67EAD6E0" w14:textId="77777777" w:rsidR="00D03C5F" w:rsidRDefault="00D03C5F" w:rsidP="00D03C5F">
      <w:pPr>
        <w:widowControl w:val="0"/>
        <w:autoSpaceDE w:val="0"/>
        <w:autoSpaceDN w:val="0"/>
        <w:spacing w:after="0" w:line="276" w:lineRule="auto"/>
        <w:jc w:val="both"/>
        <w:rPr>
          <w:rFonts w:ascii="Verdana" w:hAnsi="Verdana" w:cs="Arial"/>
        </w:rPr>
      </w:pPr>
    </w:p>
    <w:p w14:paraId="37423355" w14:textId="77777777" w:rsidR="00D03C5F" w:rsidRDefault="00D03C5F" w:rsidP="00D03C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1B80333" w14:textId="77777777" w:rsidR="00D03C5F" w:rsidRDefault="00D03C5F" w:rsidP="00D03C5F">
      <w:pPr>
        <w:widowControl w:val="0"/>
        <w:autoSpaceDE w:val="0"/>
        <w:autoSpaceDN w:val="0"/>
        <w:spacing w:after="0" w:line="276" w:lineRule="auto"/>
        <w:jc w:val="both"/>
        <w:rPr>
          <w:rFonts w:ascii="Verdana" w:hAnsi="Verdana" w:cs="Arial"/>
        </w:rPr>
      </w:pPr>
    </w:p>
    <w:p w14:paraId="0B5F5B4D" w14:textId="77777777" w:rsidR="00D03C5F" w:rsidRPr="00FE3C84" w:rsidRDefault="00D03C5F" w:rsidP="00D03C5F">
      <w:pPr>
        <w:widowControl w:val="0"/>
        <w:autoSpaceDE w:val="0"/>
        <w:autoSpaceDN w:val="0"/>
        <w:spacing w:after="0" w:line="276" w:lineRule="auto"/>
        <w:jc w:val="both"/>
        <w:rPr>
          <w:rStyle w:val="normaltextrun"/>
          <w:rFonts w:ascii="Verdana" w:hAnsi="Verdana"/>
          <w:color w:val="FF0000"/>
          <w:shd w:val="clear" w:color="auto" w:fill="FFFFFF"/>
          <w:lang w:val="es-ES"/>
        </w:rPr>
      </w:pPr>
      <w:r w:rsidRPr="0035481C">
        <w:rPr>
          <w:rStyle w:val="normaltextrun"/>
          <w:rFonts w:ascii="Verdana" w:hAnsi="Verdana" w:cs="Arial"/>
          <w:shd w:val="clear" w:color="auto" w:fill="FFFFFF"/>
          <w:lang w:val="es-ES"/>
        </w:rPr>
        <w:t xml:space="preserve">La Agencia Nacional de Contratación Pública – Colombia Compra Eficiente se ha referido sobre los convenios interadministrativos y los estudios previos en los conceptos con radicado 4201913000004536 del 17 julio de 2019, 4201913000006540  del 21 de octubre de 019, C−023 del 13 de febrero de 2020, C−086 del 16 de marzo de 2020, C−101 del 16 de marzo de 2020, C−157 del 16 de marzo de 2020, C−220 del 13 de abril de 2020, C−227 del 07 de abril del 2020, C-593 del 09 de octubre 2020, C-637 del 28 de octubre de 2020, C−680 del 18 de noviembre del 2020, C−681 del 19 de noviembre de 2020, C–691 del 27 de noviembre de 2020, C-077 del 16 de marzo de 2021, C-173 del 19 de abril de 2021, C-771 de 29 de diciembre de 2022, C-046 del 14 de abril de 2023, C-155 del 19 de julio de 2024, entre otros.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643E4D0C" w14:textId="77777777" w:rsidR="00D03C5F" w:rsidRDefault="00D03C5F" w:rsidP="00D03C5F">
      <w:pPr>
        <w:spacing w:after="0" w:line="276" w:lineRule="auto"/>
        <w:jc w:val="both"/>
        <w:rPr>
          <w:rFonts w:ascii="Verdana" w:hAnsi="Verdana"/>
        </w:rPr>
      </w:pPr>
    </w:p>
    <w:p w14:paraId="451EBF69" w14:textId="77777777" w:rsidR="00D03C5F" w:rsidRDefault="00D03C5F" w:rsidP="00D03C5F">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47A1E594" w14:textId="77777777" w:rsidR="00D03C5F" w:rsidRDefault="00D03C5F" w:rsidP="00D03C5F">
      <w:pPr>
        <w:spacing w:after="0" w:line="276" w:lineRule="auto"/>
        <w:jc w:val="both"/>
        <w:rPr>
          <w:rFonts w:ascii="Verdana" w:hAnsi="Verdana"/>
        </w:rPr>
      </w:pPr>
    </w:p>
    <w:p w14:paraId="28F12EB7" w14:textId="77777777" w:rsidR="00D03C5F" w:rsidRDefault="00D03C5F" w:rsidP="00D03C5F">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799F50D" w14:textId="77777777" w:rsidR="00D03C5F" w:rsidRDefault="00D03C5F" w:rsidP="00D03C5F">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785AD401" w14:textId="77777777" w:rsidR="00D03C5F" w:rsidRDefault="00D03C5F" w:rsidP="00D03C5F">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F8413DD" w14:textId="77777777" w:rsidR="00D03C5F" w:rsidRDefault="00D03C5F" w:rsidP="00D03C5F">
      <w:pPr>
        <w:widowControl w:val="0"/>
        <w:autoSpaceDE w:val="0"/>
        <w:autoSpaceDN w:val="0"/>
        <w:spacing w:after="0" w:line="276" w:lineRule="auto"/>
        <w:jc w:val="both"/>
        <w:rPr>
          <w:rFonts w:ascii="Verdana" w:hAnsi="Verdana" w:cs="Arial"/>
        </w:rPr>
      </w:pPr>
    </w:p>
    <w:p w14:paraId="18FAD589" w14:textId="77777777" w:rsidR="00D03C5F" w:rsidRDefault="00D03C5F" w:rsidP="00D03C5F">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69DEB0D9" w14:textId="77777777" w:rsidR="00D03C5F" w:rsidRDefault="00D03C5F" w:rsidP="00D03C5F">
      <w:pPr>
        <w:widowControl w:val="0"/>
        <w:autoSpaceDE w:val="0"/>
        <w:autoSpaceDN w:val="0"/>
        <w:spacing w:after="0" w:line="276" w:lineRule="auto"/>
        <w:jc w:val="both"/>
        <w:rPr>
          <w:rFonts w:ascii="Verdana" w:hAnsi="Verdana" w:cs="Arial"/>
        </w:rPr>
      </w:pPr>
    </w:p>
    <w:p w14:paraId="1F336AFF" w14:textId="77777777" w:rsidR="00D03C5F" w:rsidRDefault="00D03C5F" w:rsidP="00D03C5F">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129C7D46" w14:textId="3203A2AD" w:rsidR="00D03C5F" w:rsidRDefault="00CC0E3B" w:rsidP="00D03C5F">
      <w:pPr>
        <w:spacing w:after="0" w:line="276" w:lineRule="auto"/>
        <w:jc w:val="center"/>
      </w:pPr>
      <w:r>
        <w:rPr>
          <w:noProof/>
        </w:rPr>
        <w:lastRenderedPageBreak/>
        <w:drawing>
          <wp:inline distT="0" distB="0" distL="0" distR="0" wp14:anchorId="5084A149" wp14:editId="0B2C5094">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03C5F" w14:paraId="7988E4DF" w14:textId="77777777" w:rsidTr="00FF2A29">
        <w:trPr>
          <w:trHeight w:val="315"/>
        </w:trPr>
        <w:tc>
          <w:tcPr>
            <w:tcW w:w="893" w:type="dxa"/>
            <w:vAlign w:val="center"/>
            <w:hideMark/>
          </w:tcPr>
          <w:p w14:paraId="187EA898" w14:textId="77777777" w:rsidR="00D03C5F" w:rsidRDefault="00D03C5F" w:rsidP="00FF2A29">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E16919B" w14:textId="77777777" w:rsidR="00D03C5F" w:rsidRDefault="00D03C5F" w:rsidP="00FF2A29">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52DCBE99" w14:textId="77777777" w:rsidR="00D03C5F" w:rsidRDefault="00D03C5F" w:rsidP="00FF2A29">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D03C5F" w14:paraId="70183467" w14:textId="77777777" w:rsidTr="00FF2A29">
        <w:trPr>
          <w:trHeight w:val="330"/>
        </w:trPr>
        <w:tc>
          <w:tcPr>
            <w:tcW w:w="893" w:type="dxa"/>
            <w:vAlign w:val="center"/>
            <w:hideMark/>
          </w:tcPr>
          <w:p w14:paraId="13C1316E" w14:textId="77777777" w:rsidR="00D03C5F" w:rsidRDefault="00D03C5F" w:rsidP="00FF2A2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920A85" w14:textId="77777777" w:rsidR="00D03C5F" w:rsidRDefault="00D03C5F" w:rsidP="00FF2A29">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7EAA8E0B" w14:textId="77777777" w:rsidR="00D03C5F" w:rsidRDefault="00D03C5F" w:rsidP="00FF2A29">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D03C5F" w14:paraId="0C7414ED" w14:textId="77777777" w:rsidTr="00FF2A29">
        <w:trPr>
          <w:trHeight w:val="300"/>
        </w:trPr>
        <w:tc>
          <w:tcPr>
            <w:tcW w:w="893" w:type="dxa"/>
            <w:vAlign w:val="center"/>
            <w:hideMark/>
          </w:tcPr>
          <w:p w14:paraId="6B9F4FB9" w14:textId="77777777" w:rsidR="00D03C5F" w:rsidRDefault="00D03C5F" w:rsidP="00FF2A2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C2533B" w14:textId="77777777" w:rsidR="00D03C5F" w:rsidRDefault="00D03C5F" w:rsidP="00FF2A29">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0EFFF559" w14:textId="77777777" w:rsidR="00D03C5F" w:rsidRDefault="00D03C5F" w:rsidP="00FF2A2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5C538769" w14:textId="77777777" w:rsidR="00D03C5F" w:rsidRPr="001249F1" w:rsidRDefault="00D03C5F" w:rsidP="00D03C5F"/>
    <w:p w14:paraId="0B7EB3A5" w14:textId="77777777" w:rsidR="00D03C5F" w:rsidRPr="0044528D" w:rsidRDefault="00D03C5F" w:rsidP="00D03C5F">
      <w:pPr>
        <w:spacing w:after="0"/>
        <w:rPr>
          <w:rFonts w:ascii="Verdana" w:eastAsia="Times New Roman" w:hAnsi="Verdana" w:cs="Segoe UI"/>
          <w:b/>
          <w:bCs/>
          <w:color w:val="46589C"/>
          <w:lang w:val="es-ES" w:eastAsia="es-CO"/>
        </w:rPr>
      </w:pPr>
    </w:p>
    <w:p w14:paraId="16BE7505" w14:textId="77777777" w:rsidR="00D03C5F" w:rsidRPr="00046945" w:rsidRDefault="00D03C5F" w:rsidP="00D03C5F">
      <w:pPr>
        <w:spacing w:after="0"/>
        <w:rPr>
          <w:rFonts w:ascii="Verdana" w:eastAsia="Times New Roman" w:hAnsi="Verdana" w:cs="Segoe UI"/>
          <w:sz w:val="18"/>
          <w:szCs w:val="18"/>
          <w:lang w:eastAsia="es-CO"/>
        </w:rPr>
      </w:pPr>
    </w:p>
    <w:p w14:paraId="239BFD83" w14:textId="77777777" w:rsidR="00D03C5F" w:rsidRPr="0044528D" w:rsidRDefault="00D03C5F" w:rsidP="00D03C5F">
      <w:pPr>
        <w:spacing w:after="0"/>
        <w:rPr>
          <w:rFonts w:ascii="Verdana" w:hAnsi="Verdana"/>
        </w:rPr>
      </w:pPr>
    </w:p>
    <w:p w14:paraId="32594303" w14:textId="77777777" w:rsidR="00D03C5F" w:rsidRPr="0015699B" w:rsidRDefault="00D03C5F" w:rsidP="00D03C5F">
      <w:pPr>
        <w:spacing w:after="0"/>
        <w:rPr>
          <w:rFonts w:ascii="Verdana" w:eastAsia="Times New Roman" w:hAnsi="Verdana" w:cs="Segoe UI"/>
          <w:lang w:eastAsia="es-CO"/>
        </w:rPr>
      </w:pPr>
    </w:p>
    <w:p w14:paraId="0F293BF4" w14:textId="1ED00022" w:rsidR="00127233" w:rsidRPr="0015699B" w:rsidRDefault="00127233" w:rsidP="00D03C5F">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DF2B6" w14:textId="77777777" w:rsidR="00457582" w:rsidRDefault="00457582" w:rsidP="004A1847">
      <w:pPr>
        <w:spacing w:after="0" w:line="240" w:lineRule="auto"/>
      </w:pPr>
      <w:r>
        <w:separator/>
      </w:r>
    </w:p>
  </w:endnote>
  <w:endnote w:type="continuationSeparator" w:id="0">
    <w:p w14:paraId="0F0CA568" w14:textId="77777777" w:rsidR="00457582" w:rsidRDefault="00457582" w:rsidP="004A1847">
      <w:pPr>
        <w:spacing w:after="0" w:line="240" w:lineRule="auto"/>
      </w:pPr>
      <w:r>
        <w:continuationSeparator/>
      </w:r>
    </w:p>
  </w:endnote>
  <w:endnote w:type="continuationNotice" w:id="1">
    <w:p w14:paraId="66F4FE89" w14:textId="77777777" w:rsidR="00457582" w:rsidRDefault="004575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057E7" w14:textId="77777777" w:rsidR="00457582" w:rsidRDefault="00457582" w:rsidP="004A1847">
      <w:pPr>
        <w:spacing w:after="0" w:line="240" w:lineRule="auto"/>
      </w:pPr>
      <w:r>
        <w:separator/>
      </w:r>
    </w:p>
  </w:footnote>
  <w:footnote w:type="continuationSeparator" w:id="0">
    <w:p w14:paraId="1C020FE3" w14:textId="77777777" w:rsidR="00457582" w:rsidRDefault="00457582" w:rsidP="004A1847">
      <w:pPr>
        <w:spacing w:after="0" w:line="240" w:lineRule="auto"/>
      </w:pPr>
      <w:r>
        <w:continuationSeparator/>
      </w:r>
    </w:p>
  </w:footnote>
  <w:footnote w:type="continuationNotice" w:id="1">
    <w:p w14:paraId="22E978D7" w14:textId="77777777" w:rsidR="00457582" w:rsidRDefault="00457582">
      <w:pPr>
        <w:spacing w:after="0" w:line="240" w:lineRule="auto"/>
      </w:pPr>
    </w:p>
  </w:footnote>
  <w:footnote w:id="2">
    <w:p w14:paraId="58186750" w14:textId="77777777" w:rsidR="00D03C5F" w:rsidRPr="00D42F08" w:rsidRDefault="00D03C5F" w:rsidP="00D03C5F">
      <w:pPr>
        <w:spacing w:after="0" w:line="240" w:lineRule="auto"/>
        <w:ind w:firstLine="707"/>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position w:val="6"/>
          <w:sz w:val="16"/>
          <w:szCs w:val="16"/>
        </w:rPr>
        <w:t xml:space="preserve"> </w:t>
      </w:r>
      <w:r w:rsidRPr="00D42F08">
        <w:rPr>
          <w:rFonts w:ascii="Verdana" w:hAnsi="Verdana" w:cs="Arial"/>
          <w:sz w:val="16"/>
          <w:szCs w:val="16"/>
        </w:rPr>
        <w:t>DEIK ACOSTAMADIEDO, Carolina, Guía de Contratación Estatal: Deber de planeación y modalidades de selección, Buenos Aires, 2015, p. 59.</w:t>
      </w:r>
    </w:p>
    <w:p w14:paraId="3B4057EE" w14:textId="77777777" w:rsidR="00D03C5F" w:rsidRPr="00D42F08" w:rsidRDefault="00D03C5F" w:rsidP="00D03C5F">
      <w:pPr>
        <w:pStyle w:val="Textonotapie"/>
        <w:contextualSpacing/>
        <w:jc w:val="both"/>
        <w:rPr>
          <w:rFonts w:ascii="Verdana" w:hAnsi="Verdana" w:cs="Arial"/>
          <w:sz w:val="16"/>
          <w:szCs w:val="16"/>
        </w:rPr>
      </w:pPr>
    </w:p>
  </w:footnote>
  <w:footnote w:id="3">
    <w:p w14:paraId="2E7A2692" w14:textId="77777777" w:rsidR="00D03C5F" w:rsidRPr="00D42F08" w:rsidRDefault="00D03C5F" w:rsidP="00D03C5F">
      <w:pPr>
        <w:pStyle w:val="Textoindependiente"/>
        <w:spacing w:after="0" w:line="240" w:lineRule="auto"/>
        <w:ind w:firstLine="709"/>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“Artículo </w:t>
      </w:r>
      <w:bookmarkStart w:id="3" w:name="_Hlk54173885"/>
      <w:r w:rsidRPr="00D42F08">
        <w:rPr>
          <w:rFonts w:ascii="Verdana" w:hAnsi="Verdana" w:cs="Arial"/>
          <w:sz w:val="16"/>
          <w:szCs w:val="16"/>
        </w:rPr>
        <w:t>2.2.1.1.2.1.1</w:t>
      </w:r>
      <w:bookmarkEnd w:id="3"/>
      <w:r w:rsidRPr="00D42F08">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1F26721A" w14:textId="77777777" w:rsidR="00D03C5F" w:rsidRPr="00D42F08" w:rsidRDefault="00D03C5F" w:rsidP="00D03C5F">
      <w:pPr>
        <w:pStyle w:val="Textoindependiente"/>
        <w:spacing w:after="0" w:line="240" w:lineRule="auto"/>
        <w:ind w:firstLine="709"/>
        <w:contextualSpacing/>
        <w:jc w:val="both"/>
        <w:rPr>
          <w:rFonts w:ascii="Verdana" w:hAnsi="Verdana" w:cs="Arial"/>
          <w:sz w:val="16"/>
          <w:szCs w:val="16"/>
        </w:rPr>
      </w:pPr>
    </w:p>
    <w:p w14:paraId="20F418BA" w14:textId="77777777" w:rsidR="00D03C5F" w:rsidRPr="00D42F08" w:rsidRDefault="00D03C5F" w:rsidP="00D03C5F">
      <w:pPr>
        <w:pStyle w:val="Textonotapie"/>
        <w:ind w:firstLine="709"/>
        <w:contextualSpacing/>
        <w:jc w:val="both"/>
        <w:rPr>
          <w:rFonts w:ascii="Verdana" w:hAnsi="Verdana" w:cs="Arial"/>
          <w:sz w:val="16"/>
          <w:szCs w:val="16"/>
        </w:rPr>
      </w:pPr>
    </w:p>
  </w:footnote>
  <w:footnote w:id="4">
    <w:p w14:paraId="4F6563C6" w14:textId="77777777" w:rsidR="00D03C5F" w:rsidRPr="00D42F08" w:rsidRDefault="00D03C5F" w:rsidP="00D03C5F">
      <w:pPr>
        <w:pStyle w:val="Textoindependiente"/>
        <w:spacing w:after="0" w:line="240" w:lineRule="auto"/>
        <w:ind w:firstLine="709"/>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7FB1725A" w14:textId="77777777" w:rsidR="00D03C5F" w:rsidRPr="00D42F08" w:rsidRDefault="00D03C5F" w:rsidP="00D03C5F">
      <w:pPr>
        <w:pStyle w:val="Textonotapie"/>
        <w:contextualSpacing/>
        <w:jc w:val="both"/>
        <w:rPr>
          <w:rFonts w:ascii="Verdana" w:hAnsi="Verdana" w:cs="Arial"/>
          <w:sz w:val="16"/>
          <w:szCs w:val="16"/>
        </w:rPr>
      </w:pPr>
    </w:p>
  </w:footnote>
  <w:footnote w:id="5">
    <w:p w14:paraId="557CD537" w14:textId="77777777" w:rsidR="00D03C5F" w:rsidRPr="00D42F08" w:rsidRDefault="00D03C5F" w:rsidP="00D03C5F">
      <w:pPr>
        <w:pStyle w:val="Textonotapie"/>
        <w:ind w:firstLine="708"/>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6">
    <w:p w14:paraId="310C75D3" w14:textId="77777777" w:rsidR="00D03C5F" w:rsidRPr="00D42F08" w:rsidRDefault="00D03C5F" w:rsidP="00D03C5F">
      <w:pPr>
        <w:pStyle w:val="Textonotapie"/>
        <w:ind w:firstLine="708"/>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Colombia Compra Eficiente. </w:t>
      </w:r>
      <w:r w:rsidRPr="00D42F08">
        <w:rPr>
          <w:rFonts w:ascii="Verdana" w:eastAsia="Calibri" w:hAnsi="Verdana" w:cs="Arial"/>
          <w:bCs/>
          <w:sz w:val="16"/>
          <w:szCs w:val="16"/>
          <w:lang w:val="es-ES_tradnl" w:eastAsia="es-ES_tradnl"/>
        </w:rPr>
        <w:t>Guía de Elaboración de Estudios del Sector</w:t>
      </w:r>
      <w:r w:rsidRPr="00D42F08">
        <w:rPr>
          <w:rFonts w:ascii="Verdana" w:hAnsi="Verdana" w:cs="Arial"/>
          <w:sz w:val="16"/>
          <w:szCs w:val="16"/>
        </w:rPr>
        <w:t xml:space="preserve">. Disponible en: </w:t>
      </w:r>
      <w:hyperlink r:id="rId1" w:history="1">
        <w:r w:rsidRPr="00D42F08">
          <w:rPr>
            <w:rStyle w:val="Hipervnculo"/>
            <w:rFonts w:ascii="Verdana" w:hAnsi="Verdana" w:cs="Arial"/>
            <w:sz w:val="16"/>
            <w:szCs w:val="16"/>
          </w:rPr>
          <w:t>https://www.colombiacompra.gov.co/manuales-guias-y-pliegos-tipo/manuales-y-guias</w:t>
        </w:r>
      </w:hyperlink>
      <w:r w:rsidRPr="00D42F08">
        <w:rPr>
          <w:rFonts w:ascii="Verdana" w:hAnsi="Verdana" w:cs="Arial"/>
          <w:sz w:val="16"/>
          <w:szCs w:val="16"/>
        </w:rPr>
        <w:t xml:space="preserve"> </w:t>
      </w:r>
    </w:p>
    <w:p w14:paraId="4610E722" w14:textId="77777777" w:rsidR="00D03C5F" w:rsidRPr="00D42F08" w:rsidRDefault="00D03C5F" w:rsidP="00D03C5F">
      <w:pPr>
        <w:pStyle w:val="Textonotapie"/>
        <w:ind w:firstLine="708"/>
        <w:contextualSpacing/>
        <w:jc w:val="both"/>
        <w:rPr>
          <w:rFonts w:ascii="Verdana" w:hAnsi="Verdana" w:cs="Arial"/>
          <w:sz w:val="16"/>
          <w:szCs w:val="16"/>
          <w:lang w:val="es-CO"/>
        </w:rPr>
      </w:pPr>
    </w:p>
  </w:footnote>
  <w:footnote w:id="7">
    <w:p w14:paraId="117FE822" w14:textId="77777777" w:rsidR="00D03C5F" w:rsidRPr="00797430" w:rsidRDefault="00D03C5F" w:rsidP="00D03C5F">
      <w:pPr>
        <w:pStyle w:val="Textonotapie"/>
        <w:ind w:firstLine="709"/>
        <w:jc w:val="both"/>
        <w:rPr>
          <w:rFonts w:ascii="Verdana" w:hAnsi="Verdana" w:cs="Arial"/>
          <w:sz w:val="14"/>
          <w:szCs w:val="14"/>
          <w:lang w:val="es-ES"/>
        </w:rPr>
      </w:pPr>
      <w:r w:rsidRPr="00797430">
        <w:rPr>
          <w:rStyle w:val="Refdenotaalpie"/>
          <w:rFonts w:ascii="Verdana" w:hAnsi="Verdana" w:cs="Arial"/>
          <w:sz w:val="14"/>
          <w:szCs w:val="14"/>
        </w:rPr>
        <w:footnoteRef/>
      </w:r>
      <w:r w:rsidRPr="00797430">
        <w:rPr>
          <w:rFonts w:ascii="Verdana" w:hAnsi="Verdana" w:cs="Arial"/>
          <w:sz w:val="14"/>
          <w:szCs w:val="14"/>
        </w:rPr>
        <w:t xml:space="preserve"> De conformidad con lo indicado en la Guía, e</w:t>
      </w:r>
      <w:r w:rsidRPr="00797430">
        <w:rPr>
          <w:rFonts w:ascii="Verdana" w:hAnsi="Verdana" w:cs="Arial"/>
          <w:sz w:val="14"/>
          <w:szCs w:val="14"/>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9" type="#_x0000_t75" style="width:12.55pt;height:12.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3B75"/>
    <w:rsid w:val="002C7A84"/>
    <w:rsid w:val="002D5F4A"/>
    <w:rsid w:val="002E2BF8"/>
    <w:rsid w:val="002E4FD9"/>
    <w:rsid w:val="0030657A"/>
    <w:rsid w:val="00322A85"/>
    <w:rsid w:val="00324168"/>
    <w:rsid w:val="00330834"/>
    <w:rsid w:val="003448F4"/>
    <w:rsid w:val="003711FE"/>
    <w:rsid w:val="00374F5E"/>
    <w:rsid w:val="00377E3E"/>
    <w:rsid w:val="003A779E"/>
    <w:rsid w:val="003D0F4D"/>
    <w:rsid w:val="003D5B0D"/>
    <w:rsid w:val="003E0499"/>
    <w:rsid w:val="003E4F80"/>
    <w:rsid w:val="003E6439"/>
    <w:rsid w:val="003F3941"/>
    <w:rsid w:val="00406575"/>
    <w:rsid w:val="00414C74"/>
    <w:rsid w:val="0042722E"/>
    <w:rsid w:val="0044528D"/>
    <w:rsid w:val="00457582"/>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235C5"/>
    <w:rsid w:val="006302F7"/>
    <w:rsid w:val="00646B9F"/>
    <w:rsid w:val="00665D70"/>
    <w:rsid w:val="006900D9"/>
    <w:rsid w:val="0070219B"/>
    <w:rsid w:val="00706C16"/>
    <w:rsid w:val="007340C3"/>
    <w:rsid w:val="0075235A"/>
    <w:rsid w:val="00755EC1"/>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0E3B"/>
    <w:rsid w:val="00CC1B26"/>
    <w:rsid w:val="00D03C5F"/>
    <w:rsid w:val="00D361FD"/>
    <w:rsid w:val="00D37FA3"/>
    <w:rsid w:val="00D423A2"/>
    <w:rsid w:val="00D44E26"/>
    <w:rsid w:val="00D520D8"/>
    <w:rsid w:val="00D63AC2"/>
    <w:rsid w:val="00D7383B"/>
    <w:rsid w:val="00D7788A"/>
    <w:rsid w:val="00D9158C"/>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6ADE"/>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41D80818"/>
    <w:rsid w:val="69614A15"/>
    <w:rsid w:val="6AA451F7"/>
    <w:rsid w:val="7BB183BC"/>
    <w:rsid w:val="7F7EB33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03C5F"/>
    <w:rPr>
      <w:rFonts w:ascii="Geomanist Light" w:hAnsi="Geomanist Light"/>
      <w:lang w:val="es-ES"/>
    </w:rPr>
  </w:style>
  <w:style w:type="paragraph" w:customStyle="1" w:styleId="Appelnotedebasde">
    <w:name w:val="Appel note de bas de..."/>
    <w:basedOn w:val="Normal"/>
    <w:link w:val="Refdenotaalpie"/>
    <w:uiPriority w:val="99"/>
    <w:rsid w:val="00D03C5F"/>
    <w:pPr>
      <w:spacing w:line="240" w:lineRule="exact"/>
    </w:pPr>
    <w:rPr>
      <w:vertAlign w:val="superscript"/>
    </w:rPr>
  </w:style>
  <w:style w:type="paragraph" w:styleId="Textoindependiente">
    <w:name w:val="Body Text"/>
    <w:basedOn w:val="Normal"/>
    <w:link w:val="TextoindependienteCar"/>
    <w:uiPriority w:val="99"/>
    <w:unhideWhenUsed/>
    <w:qFormat/>
    <w:rsid w:val="00D03C5F"/>
    <w:pPr>
      <w:spacing w:after="120"/>
    </w:pPr>
  </w:style>
  <w:style w:type="character" w:customStyle="1" w:styleId="TextoindependienteCar">
    <w:name w:val="Texto independiente Car"/>
    <w:basedOn w:val="Fuentedeprrafopredeter"/>
    <w:link w:val="Textoindependiente"/>
    <w:uiPriority w:val="99"/>
    <w:rsid w:val="00D03C5F"/>
  </w:style>
  <w:style w:type="paragraph" w:styleId="Textocomentario">
    <w:name w:val="annotation text"/>
    <w:basedOn w:val="Normal"/>
    <w:link w:val="TextocomentarioCar"/>
    <w:uiPriority w:val="99"/>
    <w:semiHidden/>
    <w:unhideWhenUsed/>
    <w:rsid w:val="00D37FA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37FA3"/>
    <w:rPr>
      <w:sz w:val="20"/>
      <w:szCs w:val="20"/>
    </w:rPr>
  </w:style>
  <w:style w:type="character" w:styleId="Refdecomentario">
    <w:name w:val="annotation reference"/>
    <w:basedOn w:val="Fuentedeprrafopredeter"/>
    <w:uiPriority w:val="99"/>
    <w:semiHidden/>
    <w:unhideWhenUsed/>
    <w:rsid w:val="00D37FA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oviedo@corantioqui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D0925C-4D0D-4652-B386-E9126020E7C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4656</Words>
  <Characters>25609</Characters>
  <Application>Microsoft Office Word</Application>
  <DocSecurity>0</DocSecurity>
  <Lines>213</Lines>
  <Paragraphs>60</Paragraphs>
  <ScaleCrop>false</ScaleCrop>
  <Company/>
  <LinksUpToDate>false</LinksUpToDate>
  <CharactersWithSpaces>30205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2025-12-29T19:25:00Z</dcterms:created>
  <dcterms:modified xsi:type="dcterms:W3CDTF">2025-12-31T02:18:00Z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