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9B877" w14:textId="77777777" w:rsidR="007B7F85" w:rsidRPr="00817382" w:rsidRDefault="007B7F85" w:rsidP="007B7F85">
      <w:pPr>
        <w:tabs>
          <w:tab w:val="left" w:pos="709"/>
        </w:tabs>
        <w:spacing w:after="0" w:line="240" w:lineRule="auto"/>
        <w:jc w:val="both"/>
        <w:rPr>
          <w:rFonts w:ascii="Verdana" w:eastAsia="Calibri" w:hAnsi="Verdana" w:cs="Arial"/>
          <w:bCs/>
          <w:sz w:val="20"/>
          <w:szCs w:val="20"/>
          <w:lang w:val="es-ES_tradnl" w:eastAsia="es-ES_tradnl"/>
        </w:rPr>
      </w:pPr>
    </w:p>
    <w:p w14:paraId="7A665CF5" w14:textId="77777777" w:rsidR="007B7F85" w:rsidRPr="00817382" w:rsidRDefault="007B7F85" w:rsidP="007B7F85">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440917E4" w14:textId="77777777" w:rsidR="007B7F85" w:rsidRPr="00817382" w:rsidRDefault="007B7F85" w:rsidP="007B7F85">
      <w:pPr>
        <w:spacing w:after="0" w:line="240" w:lineRule="auto"/>
        <w:jc w:val="both"/>
        <w:rPr>
          <w:rFonts w:ascii="Verdana" w:eastAsia="Calibri" w:hAnsi="Verdana" w:cs="Arial"/>
          <w:bCs/>
          <w:color w:val="000000" w:themeColor="text1"/>
          <w:sz w:val="20"/>
          <w:szCs w:val="20"/>
          <w:lang w:val="es-ES_tradnl"/>
        </w:rPr>
      </w:pPr>
    </w:p>
    <w:p w14:paraId="2BE66D75" w14:textId="77777777" w:rsidR="007B7F85" w:rsidRPr="00817382" w:rsidRDefault="007B7F85" w:rsidP="007B7F8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4201DCFF" w14:textId="77777777" w:rsidR="007B7F85" w:rsidRPr="00817382" w:rsidRDefault="007B7F85" w:rsidP="007B7F85">
      <w:pPr>
        <w:spacing w:after="0" w:line="240" w:lineRule="auto"/>
        <w:jc w:val="both"/>
        <w:rPr>
          <w:rFonts w:ascii="Verdana" w:eastAsia="Calibri" w:hAnsi="Verdana" w:cs="Arial"/>
          <w:bCs/>
          <w:color w:val="000000" w:themeColor="text1"/>
          <w:sz w:val="20"/>
          <w:szCs w:val="20"/>
          <w:lang w:val="es-ES_tradnl" w:eastAsia="es-ES_tradnl"/>
        </w:rPr>
      </w:pPr>
    </w:p>
    <w:p w14:paraId="5C880504" w14:textId="77777777" w:rsidR="007B7F85" w:rsidRPr="00817382" w:rsidRDefault="007B7F85" w:rsidP="007B7F8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935573F" w14:textId="77777777" w:rsidR="007B7F85" w:rsidRPr="00817382" w:rsidRDefault="007B7F85" w:rsidP="007B7F8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3E610233" w14:textId="77777777" w:rsidR="007B7F85" w:rsidRPr="00817382" w:rsidRDefault="007B7F85" w:rsidP="007B7F85">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2A9E311A" w14:textId="77777777" w:rsidR="007B7F85" w:rsidRDefault="007B7F85" w:rsidP="007B7F85">
      <w:pPr>
        <w:spacing w:after="0" w:line="240" w:lineRule="auto"/>
        <w:rPr>
          <w:rFonts w:ascii="Verdana" w:eastAsia="Geomanist Light" w:hAnsi="Verdana" w:cs="Arial"/>
          <w:color w:val="000000" w:themeColor="text1"/>
          <w:sz w:val="20"/>
          <w:szCs w:val="20"/>
          <w:lang w:val="es-ES_tradnl"/>
        </w:rPr>
      </w:pPr>
    </w:p>
    <w:p w14:paraId="11CE6C5E" w14:textId="77777777" w:rsidR="007B7F85" w:rsidRPr="00817382" w:rsidRDefault="007B7F85" w:rsidP="007B7F85">
      <w:pPr>
        <w:spacing w:after="0" w:line="240" w:lineRule="auto"/>
        <w:jc w:val="both"/>
        <w:rPr>
          <w:rFonts w:ascii="Verdana" w:eastAsia="Calibri" w:hAnsi="Verdana" w:cs="Arial"/>
          <w:b/>
          <w:lang w:val="es-ES_tradnl"/>
        </w:rPr>
      </w:pPr>
      <w:r>
        <w:rPr>
          <w:rFonts w:ascii="Verdana" w:eastAsia="Calibri" w:hAnsi="Verdana" w:cs="Arial"/>
          <w:b/>
          <w:lang w:val="es-ES_tradnl"/>
        </w:rPr>
        <w:t>CONTRATOS INTERADMINISTRATIVOS</w:t>
      </w:r>
      <w:r w:rsidRPr="00817382">
        <w:rPr>
          <w:rFonts w:ascii="Verdana" w:eastAsia="Calibri" w:hAnsi="Verdana" w:cs="Arial"/>
          <w:b/>
          <w:lang w:val="es-ES_tradnl"/>
        </w:rPr>
        <w:t xml:space="preserve"> – </w:t>
      </w:r>
      <w:r>
        <w:rPr>
          <w:rFonts w:ascii="Verdana" w:eastAsia="Calibri" w:hAnsi="Verdana" w:cs="Arial"/>
          <w:b/>
          <w:lang w:val="es-ES_tradnl"/>
        </w:rPr>
        <w:t>Criterio orgánico – Independencia de la modalidad de selección</w:t>
      </w:r>
    </w:p>
    <w:p w14:paraId="37201549" w14:textId="77777777" w:rsidR="007B7F85" w:rsidRPr="00817382" w:rsidRDefault="007B7F85" w:rsidP="007B7F85">
      <w:pPr>
        <w:spacing w:after="0" w:line="240" w:lineRule="auto"/>
        <w:jc w:val="both"/>
        <w:rPr>
          <w:rFonts w:ascii="Verdana" w:eastAsia="Calibri" w:hAnsi="Verdana" w:cs="Arial"/>
          <w:b/>
          <w:sz w:val="20"/>
          <w:szCs w:val="20"/>
          <w:lang w:val="es-ES_tradnl"/>
        </w:rPr>
      </w:pPr>
    </w:p>
    <w:p w14:paraId="64DD61C4" w14:textId="77777777" w:rsidR="007B7F85" w:rsidRDefault="007B7F85" w:rsidP="007B7F85">
      <w:pPr>
        <w:spacing w:after="0" w:line="240" w:lineRule="auto"/>
        <w:jc w:val="both"/>
        <w:rPr>
          <w:rFonts w:ascii="Verdana" w:eastAsia="Calibri" w:hAnsi="Verdana" w:cs="Arial"/>
          <w:bCs/>
          <w:sz w:val="20"/>
          <w:szCs w:val="20"/>
          <w:lang w:val="es-ES_tradnl"/>
        </w:rPr>
      </w:pPr>
      <w:r w:rsidRPr="003415F4">
        <w:rPr>
          <w:rFonts w:ascii="Verdana" w:eastAsia="Calibri" w:hAnsi="Verdana" w:cs="Arial"/>
          <w:bCs/>
          <w:sz w:val="20"/>
          <w:szCs w:val="20"/>
          <w:lang w:val="es-ES_tradnl"/>
        </w:rPr>
        <w:t>Aunque la ley no la definió ni desarrolló, el Decreto 1082 de 2015 califica a los contratos interadministrativos como aquella contratación entre entidades estatales. De acuerdo con lo anterior, el contrato interadministrativo es el acuerdo donde concurre la voluntad de dos o más personas jurídicas de derecho público con la finalidad de cumplir, en el marco de sus objetivos misionales y sus competencias, con los fines del Estado. Es decir, los contratos interadministrativos están determinados por un criterio orgánico, pues es necesario que los extremos de la relación contractual sean entidades estatales.</w:t>
      </w:r>
    </w:p>
    <w:p w14:paraId="1BFC8AA6" w14:textId="77777777" w:rsidR="007B7F85" w:rsidRPr="003415F4" w:rsidRDefault="007B7F85" w:rsidP="007B7F85">
      <w:pPr>
        <w:spacing w:after="0" w:line="240" w:lineRule="auto"/>
        <w:jc w:val="both"/>
        <w:rPr>
          <w:rFonts w:ascii="Verdana" w:eastAsia="Calibri" w:hAnsi="Verdana" w:cs="Arial"/>
          <w:bCs/>
          <w:sz w:val="20"/>
          <w:szCs w:val="20"/>
          <w:lang w:val="es-ES_tradnl"/>
        </w:rPr>
      </w:pPr>
    </w:p>
    <w:p w14:paraId="425FD21A" w14:textId="77777777" w:rsidR="007B7F85" w:rsidRPr="00817382" w:rsidRDefault="007B7F85" w:rsidP="007B7F85">
      <w:pPr>
        <w:spacing w:after="0" w:line="240" w:lineRule="auto"/>
        <w:jc w:val="both"/>
        <w:rPr>
          <w:rFonts w:ascii="Verdana" w:eastAsia="Calibri" w:hAnsi="Verdana" w:cs="Arial"/>
          <w:bCs/>
          <w:sz w:val="20"/>
          <w:szCs w:val="20"/>
          <w:lang w:val="es-ES_tradnl"/>
        </w:rPr>
      </w:pPr>
      <w:r w:rsidRPr="003415F4">
        <w:rPr>
          <w:rFonts w:ascii="Verdana" w:eastAsia="Calibri" w:hAnsi="Verdana" w:cs="Arial"/>
          <w:bCs/>
          <w:sz w:val="20"/>
          <w:szCs w:val="20"/>
          <w:lang w:val="es-ES_tradnl"/>
        </w:rPr>
        <w:t xml:space="preserve">Un contrato interadministrativo no está determinado por la modalidad de selección utilizada para celebrarlo. La Ley 1150 de 2007 establece que pueden celebrarse directamente, siempre que las obligaciones derivadas del mismo tengan relación directa </w:t>
      </w:r>
      <w:r w:rsidRPr="003415F4">
        <w:rPr>
          <w:rFonts w:ascii="Verdana" w:eastAsia="Calibri" w:hAnsi="Verdana" w:cs="Arial"/>
          <w:bCs/>
          <w:sz w:val="20"/>
          <w:szCs w:val="20"/>
          <w:lang w:val="es-ES_tradnl"/>
        </w:rPr>
        <w:lastRenderedPageBreak/>
        <w:t>con el objeto de la entidad ejecutora, señalado en la ley o en sus reglamentos, a menos que, según las excepciones previstas en dicha ley, deba adelantarse un procedimiento con pluralidad de oferentes. Nótese que, en este caso, lo que cambia es la modalidad de selección y no la naturaleza de contrato interadministrativo.</w:t>
      </w:r>
    </w:p>
    <w:p w14:paraId="710C1A71" w14:textId="77777777" w:rsidR="007B7F85" w:rsidRPr="00817382" w:rsidRDefault="007B7F85" w:rsidP="007B7F85">
      <w:pPr>
        <w:spacing w:after="0" w:line="240" w:lineRule="auto"/>
        <w:rPr>
          <w:rFonts w:ascii="Verdana" w:eastAsia="Geomanist Light" w:hAnsi="Verdana" w:cs="Arial"/>
          <w:color w:val="000000" w:themeColor="text1"/>
          <w:sz w:val="20"/>
          <w:szCs w:val="20"/>
          <w:lang w:val="es-ES_tradnl"/>
        </w:rPr>
      </w:pPr>
    </w:p>
    <w:p w14:paraId="785F4993" w14:textId="77777777" w:rsidR="007B7F85" w:rsidRPr="00817382" w:rsidRDefault="007B7F85" w:rsidP="007B7F85">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7A967539" w14:textId="77777777" w:rsidR="007B7F85" w:rsidRPr="00817382" w:rsidRDefault="007B7F85" w:rsidP="007B7F85">
      <w:pPr>
        <w:spacing w:after="0" w:line="240" w:lineRule="auto"/>
        <w:jc w:val="both"/>
        <w:rPr>
          <w:rFonts w:ascii="Verdana" w:eastAsia="Calibri" w:hAnsi="Verdana" w:cs="Arial"/>
          <w:b/>
          <w:sz w:val="20"/>
          <w:szCs w:val="20"/>
          <w:lang w:val="es-ES_tradnl"/>
        </w:rPr>
      </w:pPr>
    </w:p>
    <w:p w14:paraId="791C1067" w14:textId="77777777" w:rsidR="007B7F85" w:rsidRPr="00817382" w:rsidRDefault="007B7F85" w:rsidP="007B7F85">
      <w:pPr>
        <w:spacing w:after="0" w:line="240" w:lineRule="auto"/>
        <w:jc w:val="both"/>
        <w:rPr>
          <w:rFonts w:ascii="Verdana" w:eastAsia="Calibri" w:hAnsi="Verdana" w:cs="Arial"/>
          <w:bCs/>
          <w:sz w:val="20"/>
          <w:szCs w:val="20"/>
          <w:lang w:val="es-ES_tradnl"/>
        </w:rPr>
      </w:pPr>
      <w:r w:rsidRPr="00817382">
        <w:rPr>
          <w:rFonts w:ascii="Verdana" w:eastAsia="Calibri" w:hAnsi="Verdana" w:cs="Arial"/>
          <w:bCs/>
          <w:sz w:val="20"/>
          <w:szCs w:val="20"/>
          <w:lang w:val="es-ES_tradnl"/>
        </w:rPr>
        <w:t xml:space="preserve">[…] aunque tenga una influencia limitada, las </w:t>
      </w:r>
      <w:r w:rsidRPr="00817382">
        <w:rPr>
          <w:rFonts w:ascii="Verdana" w:eastAsia="Calibri" w:hAnsi="Verdana" w:cs="Arial"/>
          <w:bCs/>
          <w:i/>
          <w:iCs/>
          <w:sz w:val="20"/>
          <w:szCs w:val="20"/>
          <w:lang w:val="es-ES_tradnl"/>
        </w:rPr>
        <w:t>entidades del régimen exceptuado</w:t>
      </w:r>
      <w:r w:rsidRPr="00817382">
        <w:rPr>
          <w:rFonts w:ascii="Verdana" w:eastAsia="Calibri" w:hAnsi="Verdana" w:cs="Arial"/>
          <w:bCs/>
          <w:sz w:val="20"/>
          <w:szCs w:val="20"/>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817382">
        <w:rPr>
          <w:rFonts w:ascii="Verdana" w:eastAsia="Calibri" w:hAnsi="Verdana" w:cs="Arial"/>
          <w:color w:val="000000"/>
          <w:sz w:val="20"/>
          <w:szCs w:val="20"/>
          <w:lang w:val="es-ES_tradnl"/>
        </w:rPr>
        <w:t>.</w:t>
      </w:r>
    </w:p>
    <w:p w14:paraId="44AE33A2" w14:textId="77777777" w:rsidR="007B7F85" w:rsidRPr="00817382" w:rsidRDefault="007B7F85" w:rsidP="007B7F85">
      <w:pPr>
        <w:spacing w:after="0" w:line="240" w:lineRule="auto"/>
        <w:jc w:val="both"/>
        <w:rPr>
          <w:rFonts w:ascii="Verdana" w:hAnsi="Verdana" w:cs="Arial"/>
          <w:color w:val="000000" w:themeColor="text1"/>
          <w:sz w:val="21"/>
          <w:szCs w:val="21"/>
          <w:lang w:val="es-ES_tradnl"/>
        </w:rPr>
      </w:pPr>
    </w:p>
    <w:p w14:paraId="69FF9D33" w14:textId="77777777" w:rsidR="007B7F85" w:rsidRPr="00817382" w:rsidRDefault="007B7F85" w:rsidP="007B7F85">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0E3E9515" w14:textId="77777777" w:rsidR="007B7F85" w:rsidRPr="00817382" w:rsidRDefault="007B7F85" w:rsidP="007B7F85">
      <w:pPr>
        <w:spacing w:after="0" w:line="240" w:lineRule="auto"/>
        <w:jc w:val="both"/>
        <w:rPr>
          <w:rFonts w:ascii="Verdana" w:eastAsia="Calibri" w:hAnsi="Verdana" w:cs="Arial"/>
          <w:b/>
          <w:color w:val="000000" w:themeColor="text1"/>
          <w:lang w:val="es-ES_tradnl"/>
        </w:rPr>
      </w:pPr>
    </w:p>
    <w:p w14:paraId="11E9FB28" w14:textId="77777777" w:rsidR="007B7F85" w:rsidRPr="00817382" w:rsidRDefault="007B7F85" w:rsidP="007B7F8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5854EDAB" w14:textId="77777777" w:rsidR="007B7F85" w:rsidRPr="00817382" w:rsidRDefault="007B7F85" w:rsidP="007B7F85">
      <w:pPr>
        <w:spacing w:after="0" w:line="240" w:lineRule="auto"/>
        <w:jc w:val="both"/>
        <w:rPr>
          <w:rFonts w:ascii="Verdana" w:hAnsi="Verdana" w:cs="Arial"/>
          <w:color w:val="000000" w:themeColor="text1"/>
          <w:sz w:val="20"/>
          <w:szCs w:val="20"/>
          <w:lang w:val="es-ES_tradnl"/>
        </w:rPr>
      </w:pPr>
    </w:p>
    <w:p w14:paraId="4D2EA58B" w14:textId="77777777" w:rsidR="007B7F85" w:rsidRPr="00817382" w:rsidRDefault="007B7F85" w:rsidP="007B7F8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hAnsi="Verdana" w:cs="Arial"/>
          <w:i/>
          <w:color w:val="000000" w:themeColor="text1"/>
          <w:sz w:val="20"/>
          <w:szCs w:val="20"/>
          <w:lang w:val="es-ES_tradnl"/>
        </w:rPr>
        <w:t>manual de contratación</w:t>
      </w:r>
      <w:r w:rsidRPr="00817382">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119198F8" w14:textId="77777777" w:rsidR="007B7F85" w:rsidRPr="00817382" w:rsidRDefault="007B7F85" w:rsidP="007B7F85">
      <w:pPr>
        <w:spacing w:after="0" w:line="240" w:lineRule="auto"/>
        <w:jc w:val="both"/>
        <w:rPr>
          <w:rFonts w:ascii="Verdana" w:hAnsi="Verdana" w:cs="Arial"/>
          <w:color w:val="000000" w:themeColor="text1"/>
          <w:sz w:val="20"/>
          <w:szCs w:val="20"/>
          <w:lang w:val="es-ES_tradnl"/>
        </w:rPr>
      </w:pPr>
    </w:p>
    <w:p w14:paraId="19A622E9" w14:textId="77777777" w:rsidR="007B7F85" w:rsidRPr="00817382" w:rsidRDefault="007B7F85" w:rsidP="007B7F8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lastRenderedPageBreak/>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hAnsi="Verdana" w:cs="Arial"/>
          <w:color w:val="000000" w:themeColor="text1"/>
          <w:sz w:val="20"/>
          <w:szCs w:val="20"/>
          <w:lang w:val="es-ES_tradnl"/>
        </w:rPr>
        <w:t>ii</w:t>
      </w:r>
      <w:proofErr w:type="spellEnd"/>
      <w:r w:rsidRPr="00817382">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817382">
        <w:rPr>
          <w:rFonts w:ascii="Verdana" w:hAnsi="Verdana" w:cs="Arial"/>
          <w:color w:val="000000" w:themeColor="text1"/>
          <w:sz w:val="20"/>
          <w:szCs w:val="20"/>
          <w:lang w:val="es-ES_tradnl"/>
        </w:rPr>
        <w:t>iii</w:t>
      </w:r>
      <w:proofErr w:type="spellEnd"/>
      <w:r w:rsidRPr="00817382">
        <w:rPr>
          <w:rFonts w:ascii="Verdana" w:hAnsi="Verdana" w:cs="Arial"/>
          <w:color w:val="000000" w:themeColor="text1"/>
          <w:sz w:val="20"/>
          <w:szCs w:val="20"/>
          <w:lang w:val="es-ES_tradnl"/>
        </w:rPr>
        <w:t xml:space="preserve">) procedimientos para su imposición, </w:t>
      </w:r>
      <w:proofErr w:type="spellStart"/>
      <w:r w:rsidRPr="00817382">
        <w:rPr>
          <w:rFonts w:ascii="Verdana" w:hAnsi="Verdana" w:cs="Arial"/>
          <w:color w:val="000000" w:themeColor="text1"/>
          <w:sz w:val="20"/>
          <w:szCs w:val="20"/>
          <w:lang w:val="es-ES_tradnl"/>
        </w:rPr>
        <w:t>iv</w:t>
      </w:r>
      <w:proofErr w:type="spellEnd"/>
      <w:r w:rsidRPr="00817382">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1595FCB2" w14:textId="77777777" w:rsidR="007B7F85" w:rsidRDefault="007B7F85" w:rsidP="007B7F85">
      <w:pPr>
        <w:spacing w:after="0"/>
        <w:jc w:val="both"/>
        <w:rPr>
          <w:rFonts w:ascii="Verdana" w:eastAsia="Arial" w:hAnsi="Verdana" w:cs="Arial"/>
          <w:bCs/>
          <w:color w:val="000000"/>
          <w:sz w:val="20"/>
          <w:szCs w:val="20"/>
        </w:rPr>
      </w:pPr>
    </w:p>
    <w:p w14:paraId="360BE70C" w14:textId="77777777" w:rsidR="007B7F85" w:rsidRPr="00C72F17" w:rsidRDefault="007B7F85" w:rsidP="007B7F85">
      <w:pPr>
        <w:spacing w:after="0"/>
        <w:jc w:val="both"/>
        <w:rPr>
          <w:rFonts w:ascii="Verdana" w:eastAsia="Arial" w:hAnsi="Verdana" w:cs="Arial"/>
          <w:b/>
          <w:color w:val="000000"/>
        </w:rPr>
      </w:pPr>
      <w:r w:rsidRPr="00632FFA">
        <w:rPr>
          <w:rFonts w:ascii="Verdana" w:eastAsia="Arial" w:hAnsi="Verdana" w:cs="Arial"/>
          <w:b/>
          <w:color w:val="000000"/>
        </w:rPr>
        <w:t>SOCIEDADES DE ECONOMÍA MIXTA</w:t>
      </w:r>
      <w:r w:rsidRPr="00C72F17">
        <w:rPr>
          <w:rFonts w:ascii="Verdana" w:eastAsia="Arial" w:hAnsi="Verdana" w:cs="Arial"/>
          <w:b/>
          <w:color w:val="000000"/>
        </w:rPr>
        <w:t xml:space="preserve"> –</w:t>
      </w:r>
      <w:r>
        <w:rPr>
          <w:rFonts w:ascii="Verdana" w:eastAsia="Arial" w:hAnsi="Verdana" w:cs="Arial"/>
          <w:b/>
          <w:color w:val="000000"/>
        </w:rPr>
        <w:t xml:space="preserve"> Participación Mayoritaria del Estado –</w:t>
      </w:r>
      <w:r w:rsidRPr="00C72F17">
        <w:rPr>
          <w:rFonts w:ascii="Verdana" w:eastAsia="Arial" w:hAnsi="Verdana" w:cs="Arial"/>
          <w:b/>
          <w:color w:val="000000"/>
        </w:rPr>
        <w:t xml:space="preserve"> Régimen contractual – Ley 80 de 1993 – Derecho privado  </w:t>
      </w:r>
    </w:p>
    <w:p w14:paraId="01AB7B8C" w14:textId="77777777" w:rsidR="007B7F85" w:rsidRPr="00C72F17" w:rsidRDefault="007B7F85" w:rsidP="007B7F85">
      <w:pPr>
        <w:spacing w:after="0"/>
        <w:jc w:val="both"/>
        <w:rPr>
          <w:rFonts w:ascii="Verdana" w:eastAsia="Arial" w:hAnsi="Verdana" w:cs="Arial"/>
          <w:bCs/>
          <w:color w:val="000000"/>
          <w:sz w:val="20"/>
          <w:szCs w:val="20"/>
        </w:rPr>
      </w:pPr>
    </w:p>
    <w:p w14:paraId="2AAF6893" w14:textId="77777777" w:rsidR="007B7F85" w:rsidRDefault="007B7F85" w:rsidP="007B7F85">
      <w:pPr>
        <w:spacing w:after="0"/>
        <w:jc w:val="both"/>
        <w:rPr>
          <w:rFonts w:ascii="Verdana" w:eastAsia="Arial" w:hAnsi="Verdana" w:cs="Arial"/>
          <w:bCs/>
          <w:color w:val="000000"/>
          <w:sz w:val="20"/>
          <w:szCs w:val="20"/>
        </w:rPr>
      </w:pPr>
      <w:r>
        <w:rPr>
          <w:rFonts w:ascii="Verdana" w:eastAsia="Arial" w:hAnsi="Verdana" w:cs="Arial"/>
          <w:bCs/>
          <w:color w:val="000000"/>
          <w:sz w:val="20"/>
          <w:szCs w:val="20"/>
        </w:rPr>
        <w:t>E</w:t>
      </w:r>
      <w:r w:rsidRPr="00632FFA">
        <w:rPr>
          <w:rFonts w:ascii="Verdana" w:eastAsia="Arial" w:hAnsi="Verdana" w:cs="Arial"/>
          <w:bCs/>
          <w:color w:val="000000"/>
          <w:sz w:val="20"/>
          <w:szCs w:val="20"/>
        </w:rPr>
        <w:t>l régimen contractual de las sociedades de economía mixta en las que el Estado tenga participación superior al cincuenta por ciento (50%)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sociedades de economía mixta en las que el Estado tenga participación superior al cincuenta por ciento (50%) que no estén en competencia ni desarrollen su actividad en mercados regulados están sometidas al Estatuto General de Contratación de la Administración Pública y las normas que lo complementan, como lo dispone el artículo 14 de la Ley 1150 de 2007.</w:t>
      </w:r>
      <w:r w:rsidRPr="00C72F17">
        <w:rPr>
          <w:rFonts w:ascii="Verdana" w:eastAsia="Arial" w:hAnsi="Verdana" w:cs="Arial"/>
          <w:bCs/>
          <w:color w:val="000000"/>
          <w:sz w:val="20"/>
          <w:szCs w:val="20"/>
        </w:rPr>
        <w:t xml:space="preserve">  </w:t>
      </w:r>
    </w:p>
    <w:p w14:paraId="264BAA85" w14:textId="77777777" w:rsidR="007B7F85" w:rsidRDefault="007B7F85" w:rsidP="007B7F85">
      <w:pPr>
        <w:spacing w:after="0"/>
        <w:jc w:val="both"/>
        <w:rPr>
          <w:rFonts w:ascii="Verdana" w:eastAsia="Arial" w:hAnsi="Verdana" w:cs="Arial"/>
          <w:bCs/>
          <w:color w:val="000000"/>
          <w:sz w:val="20"/>
          <w:szCs w:val="20"/>
        </w:rPr>
      </w:pPr>
    </w:p>
    <w:p w14:paraId="3FD97600" w14:textId="77777777" w:rsidR="007B7F85" w:rsidRPr="003E2DCA" w:rsidRDefault="007B7F85" w:rsidP="007B7F85">
      <w:pPr>
        <w:spacing w:after="0"/>
        <w:jc w:val="both"/>
        <w:rPr>
          <w:rFonts w:ascii="Verdana" w:eastAsia="Arial" w:hAnsi="Verdana" w:cs="Arial"/>
          <w:b/>
          <w:color w:val="000000"/>
        </w:rPr>
      </w:pPr>
      <w:r w:rsidRPr="003E2DCA">
        <w:rPr>
          <w:rFonts w:ascii="Verdana" w:eastAsia="Arial" w:hAnsi="Verdana" w:cs="Arial"/>
          <w:b/>
          <w:color w:val="000000"/>
        </w:rPr>
        <w:t>CONTRATOS DE CONCESIÓN – Sociedades de economía mixta – Modalidad de selección</w:t>
      </w:r>
    </w:p>
    <w:p w14:paraId="1490B4FF" w14:textId="77777777" w:rsidR="007B7F85" w:rsidRDefault="007B7F85" w:rsidP="007B7F85">
      <w:pPr>
        <w:spacing w:after="0"/>
        <w:jc w:val="both"/>
        <w:rPr>
          <w:rFonts w:ascii="Verdana" w:eastAsia="Arial" w:hAnsi="Verdana" w:cs="Arial"/>
          <w:bCs/>
          <w:color w:val="000000"/>
          <w:sz w:val="20"/>
          <w:szCs w:val="20"/>
        </w:rPr>
      </w:pPr>
    </w:p>
    <w:p w14:paraId="0E7C49B2" w14:textId="77777777" w:rsidR="007B7F85" w:rsidRDefault="007B7F85" w:rsidP="007B7F85">
      <w:pPr>
        <w:spacing w:after="0" w:line="240" w:lineRule="auto"/>
        <w:jc w:val="both"/>
        <w:rPr>
          <w:rFonts w:ascii="Verdana" w:eastAsia="Calibri" w:hAnsi="Verdana" w:cs="Arial"/>
          <w:color w:val="000000"/>
          <w:sz w:val="20"/>
          <w:szCs w:val="20"/>
        </w:rPr>
      </w:pPr>
      <w:r w:rsidRPr="003E2DCA">
        <w:rPr>
          <w:rFonts w:ascii="Verdana" w:eastAsia="Calibri" w:hAnsi="Verdana" w:cs="Arial"/>
          <w:color w:val="000000"/>
          <w:sz w:val="20"/>
          <w:szCs w:val="20"/>
        </w:rPr>
        <w:t xml:space="preserve">Respecto a los contratos de concesión de las entidades sometidas a la Ley 80 de 1993, éstos se tipifican en el artículo 32.4 del EGCAP. En desarrollo del literal g) del artículo 2.2 de la Ley 1150 de 2007, el 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 Esto significa que, para las sociedades de economía mixta sometidas al EGCAP, la contratación directa de las concesiones sólo será posible dentro de las causales del </w:t>
      </w:r>
      <w:r w:rsidRPr="003E2DCA">
        <w:rPr>
          <w:rFonts w:ascii="Verdana" w:eastAsia="Calibri" w:hAnsi="Verdana" w:cs="Arial"/>
          <w:color w:val="000000"/>
          <w:sz w:val="20"/>
          <w:szCs w:val="20"/>
        </w:rPr>
        <w:lastRenderedPageBreak/>
        <w:t xml:space="preserve">artículo 2.4 de la Ley 1150 de 2007, pues la regla general es la pluralidad de oferentes en los proceso de selección. </w:t>
      </w:r>
    </w:p>
    <w:p w14:paraId="5123E7D6" w14:textId="77777777" w:rsidR="007B7F85" w:rsidRPr="003E2DCA" w:rsidRDefault="007B7F85" w:rsidP="007B7F85">
      <w:pPr>
        <w:spacing w:after="0" w:line="240" w:lineRule="auto"/>
        <w:jc w:val="both"/>
        <w:rPr>
          <w:rFonts w:ascii="Verdana" w:eastAsia="Calibri" w:hAnsi="Verdana" w:cs="Arial"/>
          <w:color w:val="000000"/>
          <w:sz w:val="20"/>
          <w:szCs w:val="20"/>
        </w:rPr>
      </w:pPr>
    </w:p>
    <w:p w14:paraId="6981E318" w14:textId="77777777" w:rsidR="007B7F85" w:rsidRPr="00632FFA" w:rsidRDefault="007B7F85" w:rsidP="007B7F85">
      <w:pPr>
        <w:spacing w:after="0" w:line="240" w:lineRule="auto"/>
        <w:jc w:val="both"/>
        <w:rPr>
          <w:rFonts w:ascii="Verdana" w:eastAsia="Calibri" w:hAnsi="Verdana" w:cs="Arial"/>
          <w:color w:val="000000"/>
          <w:sz w:val="20"/>
          <w:szCs w:val="20"/>
        </w:rPr>
      </w:pPr>
      <w:r w:rsidRPr="003E2DCA">
        <w:rPr>
          <w:rFonts w:ascii="Verdana" w:eastAsia="Calibri" w:hAnsi="Verdana" w:cs="Arial"/>
          <w:color w:val="000000"/>
          <w:sz w:val="20"/>
          <w:szCs w:val="20"/>
        </w:rPr>
        <w:t>Por el contrario, la concesión en un contrato atípico en el derecho privado. Además, el artículo 2 de la Ley 1150 de 2007 no aplica a las sociedades de economía mixta excluidas de la Ley 80 de 1993. Luego, el procedimiento para la suscripción de dichos negocios será competitivo o no competitivo en función de lo que establezcan sus manuales de contratación.</w:t>
      </w:r>
    </w:p>
    <w:p w14:paraId="36F1EE34" w14:textId="77777777" w:rsidR="007B7F85" w:rsidRDefault="007B7F85" w:rsidP="007B7F85">
      <w:pPr>
        <w:spacing w:after="0" w:line="240" w:lineRule="auto"/>
        <w:rPr>
          <w:rFonts w:ascii="Verdana" w:eastAsia="Calibri" w:hAnsi="Verdana" w:cs="Arial"/>
          <w:color w:val="000000"/>
          <w:sz w:val="20"/>
          <w:szCs w:val="20"/>
          <w:lang w:val="es-MX"/>
        </w:rPr>
      </w:pPr>
    </w:p>
    <w:p w14:paraId="065102D2" w14:textId="77777777" w:rsidR="007B7F85" w:rsidRDefault="007B7F85" w:rsidP="00BC2521">
      <w:pPr>
        <w:spacing w:after="0" w:line="240" w:lineRule="auto"/>
        <w:rPr>
          <w:rFonts w:ascii="Verdana" w:eastAsia="Geomanist Light" w:hAnsi="Verdana" w:cs="Arial"/>
          <w:color w:val="000000" w:themeColor="text1"/>
          <w:lang w:val="es-MX"/>
        </w:rPr>
      </w:pPr>
    </w:p>
    <w:p w14:paraId="3BCDDC75" w14:textId="77777777" w:rsidR="007B7F85" w:rsidRDefault="007B7F85" w:rsidP="00BC2521">
      <w:pPr>
        <w:spacing w:after="0" w:line="240" w:lineRule="auto"/>
        <w:rPr>
          <w:rFonts w:ascii="Verdana" w:eastAsia="Geomanist Light" w:hAnsi="Verdana" w:cs="Arial"/>
          <w:color w:val="000000" w:themeColor="text1"/>
          <w:lang w:val="es-MX"/>
        </w:rPr>
      </w:pPr>
    </w:p>
    <w:p w14:paraId="09EBAC98" w14:textId="77777777" w:rsidR="007B7F85" w:rsidRDefault="007B7F85" w:rsidP="00BC2521">
      <w:pPr>
        <w:spacing w:after="0" w:line="240" w:lineRule="auto"/>
        <w:rPr>
          <w:rFonts w:ascii="Verdana" w:eastAsia="Geomanist Light" w:hAnsi="Verdana" w:cs="Arial"/>
          <w:color w:val="000000" w:themeColor="text1"/>
          <w:lang w:val="es-MX"/>
        </w:rPr>
      </w:pPr>
    </w:p>
    <w:p w14:paraId="596BC278" w14:textId="77777777" w:rsidR="007B7F85" w:rsidRDefault="007B7F85" w:rsidP="00BC2521">
      <w:pPr>
        <w:spacing w:after="0" w:line="240" w:lineRule="auto"/>
        <w:rPr>
          <w:rFonts w:ascii="Verdana" w:eastAsia="Geomanist Light" w:hAnsi="Verdana" w:cs="Arial"/>
          <w:color w:val="000000" w:themeColor="text1"/>
          <w:lang w:val="es-MX"/>
        </w:rPr>
      </w:pPr>
    </w:p>
    <w:p w14:paraId="0DA9C5A2" w14:textId="77777777" w:rsidR="007B7F85" w:rsidRDefault="007B7F85" w:rsidP="00BC2521">
      <w:pPr>
        <w:spacing w:after="0" w:line="240" w:lineRule="auto"/>
        <w:rPr>
          <w:rFonts w:ascii="Verdana" w:eastAsia="Geomanist Light" w:hAnsi="Verdana" w:cs="Arial"/>
          <w:color w:val="000000" w:themeColor="text1"/>
          <w:lang w:val="es-MX"/>
        </w:rPr>
      </w:pPr>
    </w:p>
    <w:p w14:paraId="01F35516" w14:textId="77777777" w:rsidR="007B7F85" w:rsidRDefault="007B7F85" w:rsidP="00BC2521">
      <w:pPr>
        <w:spacing w:after="0" w:line="240" w:lineRule="auto"/>
        <w:rPr>
          <w:rFonts w:ascii="Verdana" w:eastAsia="Geomanist Light" w:hAnsi="Verdana" w:cs="Arial"/>
          <w:color w:val="000000" w:themeColor="text1"/>
          <w:lang w:val="es-MX"/>
        </w:rPr>
      </w:pPr>
    </w:p>
    <w:p w14:paraId="684C70A1" w14:textId="77777777" w:rsidR="007B7F85" w:rsidRDefault="007B7F85" w:rsidP="00BC2521">
      <w:pPr>
        <w:spacing w:after="0" w:line="240" w:lineRule="auto"/>
        <w:rPr>
          <w:rFonts w:ascii="Verdana" w:eastAsia="Geomanist Light" w:hAnsi="Verdana" w:cs="Arial"/>
          <w:color w:val="000000" w:themeColor="text1"/>
          <w:lang w:val="es-MX"/>
        </w:rPr>
      </w:pPr>
    </w:p>
    <w:p w14:paraId="5985D119" w14:textId="77777777" w:rsidR="007B7F85" w:rsidRDefault="007B7F85" w:rsidP="00BC2521">
      <w:pPr>
        <w:spacing w:after="0" w:line="240" w:lineRule="auto"/>
        <w:rPr>
          <w:rFonts w:ascii="Verdana" w:eastAsia="Geomanist Light" w:hAnsi="Verdana" w:cs="Arial"/>
          <w:color w:val="000000" w:themeColor="text1"/>
          <w:lang w:val="es-MX"/>
        </w:rPr>
      </w:pPr>
    </w:p>
    <w:p w14:paraId="6BFFF693" w14:textId="77777777" w:rsidR="007B7F85" w:rsidRDefault="007B7F85" w:rsidP="00BC2521">
      <w:pPr>
        <w:spacing w:after="0" w:line="240" w:lineRule="auto"/>
        <w:rPr>
          <w:rFonts w:ascii="Verdana" w:eastAsia="Geomanist Light" w:hAnsi="Verdana" w:cs="Arial"/>
          <w:color w:val="000000" w:themeColor="text1"/>
          <w:lang w:val="es-MX"/>
        </w:rPr>
      </w:pPr>
    </w:p>
    <w:p w14:paraId="777B08B1" w14:textId="77777777" w:rsidR="007B7F85" w:rsidRDefault="007B7F85" w:rsidP="00BC2521">
      <w:pPr>
        <w:spacing w:after="0" w:line="240" w:lineRule="auto"/>
        <w:rPr>
          <w:rFonts w:ascii="Verdana" w:eastAsia="Geomanist Light" w:hAnsi="Verdana" w:cs="Arial"/>
          <w:color w:val="000000" w:themeColor="text1"/>
          <w:lang w:val="es-MX"/>
        </w:rPr>
      </w:pPr>
    </w:p>
    <w:p w14:paraId="71F28744" w14:textId="77777777" w:rsidR="007B7F85" w:rsidRDefault="007B7F85" w:rsidP="00BC2521">
      <w:pPr>
        <w:spacing w:after="0" w:line="240" w:lineRule="auto"/>
        <w:rPr>
          <w:rFonts w:ascii="Verdana" w:eastAsia="Geomanist Light" w:hAnsi="Verdana" w:cs="Arial"/>
          <w:color w:val="000000" w:themeColor="text1"/>
          <w:lang w:val="es-MX"/>
        </w:rPr>
      </w:pPr>
    </w:p>
    <w:p w14:paraId="21462B4B" w14:textId="77777777" w:rsidR="007B7F85" w:rsidRDefault="007B7F85" w:rsidP="00BC2521">
      <w:pPr>
        <w:spacing w:after="0" w:line="240" w:lineRule="auto"/>
        <w:rPr>
          <w:rFonts w:ascii="Verdana" w:eastAsia="Geomanist Light" w:hAnsi="Verdana" w:cs="Arial"/>
          <w:color w:val="000000" w:themeColor="text1"/>
          <w:lang w:val="es-MX"/>
        </w:rPr>
      </w:pPr>
    </w:p>
    <w:p w14:paraId="04C45B96" w14:textId="77777777" w:rsidR="007B7F85" w:rsidRDefault="007B7F85" w:rsidP="00BC2521">
      <w:pPr>
        <w:spacing w:after="0" w:line="240" w:lineRule="auto"/>
        <w:rPr>
          <w:rFonts w:ascii="Verdana" w:eastAsia="Geomanist Light" w:hAnsi="Verdana" w:cs="Arial"/>
          <w:color w:val="000000" w:themeColor="text1"/>
          <w:lang w:val="es-MX"/>
        </w:rPr>
      </w:pPr>
    </w:p>
    <w:p w14:paraId="4A0A6761" w14:textId="77777777" w:rsidR="007B7F85" w:rsidRDefault="007B7F85" w:rsidP="00BC2521">
      <w:pPr>
        <w:spacing w:after="0" w:line="240" w:lineRule="auto"/>
        <w:rPr>
          <w:rFonts w:ascii="Verdana" w:eastAsia="Geomanist Light" w:hAnsi="Verdana" w:cs="Arial"/>
          <w:color w:val="000000" w:themeColor="text1"/>
          <w:lang w:val="es-MX"/>
        </w:rPr>
      </w:pPr>
    </w:p>
    <w:p w14:paraId="2C01FCED" w14:textId="77777777" w:rsidR="007B7F85" w:rsidRDefault="007B7F85" w:rsidP="00BC2521">
      <w:pPr>
        <w:spacing w:after="0" w:line="240" w:lineRule="auto"/>
        <w:rPr>
          <w:rFonts w:ascii="Verdana" w:eastAsia="Geomanist Light" w:hAnsi="Verdana" w:cs="Arial"/>
          <w:color w:val="000000" w:themeColor="text1"/>
          <w:lang w:val="es-MX"/>
        </w:rPr>
      </w:pPr>
    </w:p>
    <w:p w14:paraId="2DDB9F86" w14:textId="77777777" w:rsidR="007B7F85" w:rsidRDefault="007B7F85" w:rsidP="00BC2521">
      <w:pPr>
        <w:spacing w:after="0" w:line="240" w:lineRule="auto"/>
        <w:rPr>
          <w:rFonts w:ascii="Verdana" w:eastAsia="Geomanist Light" w:hAnsi="Verdana" w:cs="Arial"/>
          <w:color w:val="000000" w:themeColor="text1"/>
          <w:lang w:val="es-MX"/>
        </w:rPr>
      </w:pPr>
    </w:p>
    <w:p w14:paraId="1BDCFF6E" w14:textId="77777777" w:rsidR="007B7F85" w:rsidRDefault="007B7F85" w:rsidP="00BC2521">
      <w:pPr>
        <w:spacing w:after="0" w:line="240" w:lineRule="auto"/>
        <w:rPr>
          <w:rFonts w:ascii="Verdana" w:eastAsia="Geomanist Light" w:hAnsi="Verdana" w:cs="Arial"/>
          <w:color w:val="000000" w:themeColor="text1"/>
          <w:lang w:val="es-MX"/>
        </w:rPr>
      </w:pPr>
    </w:p>
    <w:p w14:paraId="12CC6C1F" w14:textId="77777777" w:rsidR="007B7F85" w:rsidRDefault="007B7F85" w:rsidP="00BC2521">
      <w:pPr>
        <w:spacing w:after="0" w:line="240" w:lineRule="auto"/>
        <w:rPr>
          <w:rFonts w:ascii="Verdana" w:eastAsia="Geomanist Light" w:hAnsi="Verdana" w:cs="Arial"/>
          <w:color w:val="000000" w:themeColor="text1"/>
          <w:lang w:val="es-MX"/>
        </w:rPr>
      </w:pPr>
    </w:p>
    <w:p w14:paraId="48410B9F" w14:textId="77777777" w:rsidR="007B7F85" w:rsidRDefault="007B7F85" w:rsidP="00BC2521">
      <w:pPr>
        <w:spacing w:after="0" w:line="240" w:lineRule="auto"/>
        <w:rPr>
          <w:rFonts w:ascii="Verdana" w:eastAsia="Geomanist Light" w:hAnsi="Verdana" w:cs="Arial"/>
          <w:color w:val="000000" w:themeColor="text1"/>
          <w:lang w:val="es-MX"/>
        </w:rPr>
      </w:pPr>
    </w:p>
    <w:p w14:paraId="5F24584E" w14:textId="77777777" w:rsidR="007B7F85" w:rsidRDefault="007B7F85" w:rsidP="00BC2521">
      <w:pPr>
        <w:spacing w:after="0" w:line="240" w:lineRule="auto"/>
        <w:rPr>
          <w:rFonts w:ascii="Verdana" w:eastAsia="Geomanist Light" w:hAnsi="Verdana" w:cs="Arial"/>
          <w:color w:val="000000" w:themeColor="text1"/>
          <w:lang w:val="es-MX"/>
        </w:rPr>
      </w:pPr>
    </w:p>
    <w:p w14:paraId="49709036" w14:textId="77777777" w:rsidR="007B7F85" w:rsidRDefault="007B7F85" w:rsidP="00BC2521">
      <w:pPr>
        <w:spacing w:after="0" w:line="240" w:lineRule="auto"/>
        <w:rPr>
          <w:rFonts w:ascii="Verdana" w:eastAsia="Geomanist Light" w:hAnsi="Verdana" w:cs="Arial"/>
          <w:color w:val="000000" w:themeColor="text1"/>
          <w:lang w:val="es-MX"/>
        </w:rPr>
      </w:pPr>
    </w:p>
    <w:p w14:paraId="3FF7A546" w14:textId="77777777" w:rsidR="007B7F85" w:rsidRDefault="007B7F85" w:rsidP="00BC2521">
      <w:pPr>
        <w:spacing w:after="0" w:line="240" w:lineRule="auto"/>
        <w:rPr>
          <w:rFonts w:ascii="Verdana" w:eastAsia="Geomanist Light" w:hAnsi="Verdana" w:cs="Arial"/>
          <w:color w:val="000000" w:themeColor="text1"/>
          <w:lang w:val="es-MX"/>
        </w:rPr>
      </w:pPr>
    </w:p>
    <w:p w14:paraId="1102A4A8" w14:textId="77777777" w:rsidR="007B7F85" w:rsidRDefault="007B7F85" w:rsidP="00BC2521">
      <w:pPr>
        <w:spacing w:after="0" w:line="240" w:lineRule="auto"/>
        <w:rPr>
          <w:rFonts w:ascii="Verdana" w:eastAsia="Geomanist Light" w:hAnsi="Verdana" w:cs="Arial"/>
          <w:color w:val="000000" w:themeColor="text1"/>
          <w:lang w:val="es-MX"/>
        </w:rPr>
      </w:pPr>
    </w:p>
    <w:p w14:paraId="44574DB9" w14:textId="77777777" w:rsidR="007B7F85" w:rsidRDefault="007B7F85" w:rsidP="00BC2521">
      <w:pPr>
        <w:spacing w:after="0" w:line="240" w:lineRule="auto"/>
        <w:rPr>
          <w:rFonts w:ascii="Verdana" w:eastAsia="Geomanist Light" w:hAnsi="Verdana" w:cs="Arial"/>
          <w:color w:val="000000" w:themeColor="text1"/>
          <w:lang w:val="es-MX"/>
        </w:rPr>
      </w:pPr>
    </w:p>
    <w:p w14:paraId="0CAF494C" w14:textId="77777777" w:rsidR="007B7F85" w:rsidRDefault="007B7F85" w:rsidP="00BC2521">
      <w:pPr>
        <w:spacing w:after="0" w:line="240" w:lineRule="auto"/>
        <w:rPr>
          <w:rFonts w:ascii="Verdana" w:eastAsia="Geomanist Light" w:hAnsi="Verdana" w:cs="Arial"/>
          <w:color w:val="000000" w:themeColor="text1"/>
          <w:lang w:val="es-MX"/>
        </w:rPr>
      </w:pPr>
    </w:p>
    <w:p w14:paraId="59D15FE8" w14:textId="77777777" w:rsidR="007B7F85" w:rsidRDefault="007B7F85" w:rsidP="00BC2521">
      <w:pPr>
        <w:spacing w:after="0" w:line="240" w:lineRule="auto"/>
        <w:rPr>
          <w:rFonts w:ascii="Verdana" w:eastAsia="Geomanist Light" w:hAnsi="Verdana" w:cs="Arial"/>
          <w:color w:val="000000" w:themeColor="text1"/>
          <w:lang w:val="es-MX"/>
        </w:rPr>
      </w:pPr>
    </w:p>
    <w:p w14:paraId="09049528" w14:textId="77777777" w:rsidR="007B7F85" w:rsidRDefault="007B7F85" w:rsidP="00BC2521">
      <w:pPr>
        <w:spacing w:after="0" w:line="240" w:lineRule="auto"/>
        <w:rPr>
          <w:rFonts w:ascii="Verdana" w:eastAsia="Geomanist Light" w:hAnsi="Verdana" w:cs="Arial"/>
          <w:color w:val="000000" w:themeColor="text1"/>
          <w:lang w:val="es-MX"/>
        </w:rPr>
      </w:pPr>
    </w:p>
    <w:p w14:paraId="5B4AA976" w14:textId="77777777" w:rsidR="007B7F85" w:rsidRDefault="007B7F85" w:rsidP="00BC2521">
      <w:pPr>
        <w:spacing w:after="0" w:line="240" w:lineRule="auto"/>
        <w:rPr>
          <w:rFonts w:ascii="Verdana" w:eastAsia="Geomanist Light" w:hAnsi="Verdana" w:cs="Arial"/>
          <w:color w:val="000000" w:themeColor="text1"/>
          <w:lang w:val="es-MX"/>
        </w:rPr>
      </w:pPr>
    </w:p>
    <w:p w14:paraId="6556966F" w14:textId="77777777" w:rsidR="007B7F85" w:rsidRDefault="007B7F85" w:rsidP="00BC2521">
      <w:pPr>
        <w:spacing w:after="0" w:line="240" w:lineRule="auto"/>
        <w:rPr>
          <w:rFonts w:ascii="Verdana" w:eastAsia="Geomanist Light" w:hAnsi="Verdana" w:cs="Arial"/>
          <w:color w:val="000000" w:themeColor="text1"/>
          <w:lang w:val="es-MX"/>
        </w:rPr>
      </w:pPr>
    </w:p>
    <w:p w14:paraId="418B39A6" w14:textId="77777777" w:rsidR="007B7F85" w:rsidRDefault="007B7F85" w:rsidP="00BC2521">
      <w:pPr>
        <w:spacing w:after="0" w:line="240" w:lineRule="auto"/>
        <w:rPr>
          <w:rFonts w:ascii="Verdana" w:eastAsia="Geomanist Light" w:hAnsi="Verdana" w:cs="Arial"/>
          <w:color w:val="000000" w:themeColor="text1"/>
          <w:lang w:val="es-MX"/>
        </w:rPr>
      </w:pPr>
    </w:p>
    <w:p w14:paraId="563B01F6" w14:textId="77777777" w:rsidR="007B7F85" w:rsidRDefault="007B7F85" w:rsidP="00BC2521">
      <w:pPr>
        <w:spacing w:after="0" w:line="240" w:lineRule="auto"/>
        <w:rPr>
          <w:rFonts w:ascii="Verdana" w:eastAsia="Geomanist Light" w:hAnsi="Verdana" w:cs="Arial"/>
          <w:color w:val="000000" w:themeColor="text1"/>
          <w:lang w:val="es-MX"/>
        </w:rPr>
      </w:pPr>
    </w:p>
    <w:p w14:paraId="5F4B1357" w14:textId="77777777" w:rsidR="007B7F85" w:rsidRDefault="007B7F85" w:rsidP="00BC2521">
      <w:pPr>
        <w:spacing w:after="0" w:line="240" w:lineRule="auto"/>
        <w:rPr>
          <w:rFonts w:ascii="Verdana" w:eastAsia="Geomanist Light" w:hAnsi="Verdana" w:cs="Arial"/>
          <w:color w:val="000000" w:themeColor="text1"/>
          <w:lang w:val="es-MX"/>
        </w:rPr>
      </w:pPr>
    </w:p>
    <w:p w14:paraId="4B981745" w14:textId="77777777" w:rsidR="007B7F85" w:rsidRDefault="007B7F85" w:rsidP="00BC2521">
      <w:pPr>
        <w:spacing w:after="0" w:line="240" w:lineRule="auto"/>
        <w:rPr>
          <w:rFonts w:ascii="Verdana" w:eastAsia="Geomanist Light" w:hAnsi="Verdana" w:cs="Arial"/>
          <w:color w:val="000000" w:themeColor="text1"/>
          <w:lang w:val="es-MX"/>
        </w:rPr>
      </w:pPr>
    </w:p>
    <w:p w14:paraId="12165924" w14:textId="6CE5EBE8" w:rsidR="00BC2521" w:rsidRPr="00593A5F" w:rsidRDefault="00BC2521" w:rsidP="00BC2521">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FA26BA">
        <w:rPr>
          <w:rFonts w:ascii="Verdana" w:eastAsia="Geomanist Light" w:hAnsi="Verdana" w:cs="Arial"/>
          <w:color w:val="000000" w:themeColor="text1"/>
          <w:lang w:val="es-MX"/>
        </w:rPr>
        <w:t>23 de Diciembre de 2025</w:t>
      </w:r>
    </w:p>
    <w:p w14:paraId="7E667FD5" w14:textId="77777777" w:rsidR="00BC2521" w:rsidRDefault="00BC2521" w:rsidP="00BC2521">
      <w:pPr>
        <w:spacing w:after="0" w:line="240" w:lineRule="auto"/>
        <w:jc w:val="both"/>
        <w:rPr>
          <w:rFonts w:ascii="Verdana" w:eastAsia="Calibri" w:hAnsi="Verdana" w:cs="Arial"/>
          <w:color w:val="000000"/>
          <w:lang w:val="es-ES"/>
        </w:rPr>
      </w:pPr>
    </w:p>
    <w:p w14:paraId="38EAF52C" w14:textId="24C05759" w:rsidR="007B7F85" w:rsidRDefault="0030752D" w:rsidP="0030752D">
      <w:pPr>
        <w:spacing w:after="0" w:line="240" w:lineRule="auto"/>
        <w:jc w:val="right"/>
        <w:rPr>
          <w:rFonts w:ascii="Verdana" w:eastAsia="Calibri" w:hAnsi="Verdana" w:cs="Arial"/>
          <w:color w:val="000000"/>
          <w:lang w:val="es-ES"/>
        </w:rPr>
      </w:pPr>
      <w:r w:rsidRPr="0030752D">
        <w:rPr>
          <w:rFonts w:ascii="Verdana" w:eastAsia="Calibri" w:hAnsi="Verdana" w:cs="Arial"/>
          <w:noProof/>
          <w:color w:val="000000"/>
          <w:lang w:val="es-ES"/>
        </w:rPr>
        <w:drawing>
          <wp:inline distT="0" distB="0" distL="0" distR="0" wp14:anchorId="01E3AC9B" wp14:editId="16615D6D">
            <wp:extent cx="3238500" cy="901700"/>
            <wp:effectExtent l="0" t="0" r="0" b="0"/>
            <wp:docPr id="15227076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707691" name=""/>
                    <pic:cNvPicPr/>
                  </pic:nvPicPr>
                  <pic:blipFill>
                    <a:blip r:embed="rId10"/>
                    <a:stretch>
                      <a:fillRect/>
                    </a:stretch>
                  </pic:blipFill>
                  <pic:spPr>
                    <a:xfrm>
                      <a:off x="0" y="0"/>
                      <a:ext cx="3238500" cy="901700"/>
                    </a:xfrm>
                    <a:prstGeom prst="rect">
                      <a:avLst/>
                    </a:prstGeom>
                  </pic:spPr>
                </pic:pic>
              </a:graphicData>
            </a:graphic>
          </wp:inline>
        </w:drawing>
      </w:r>
    </w:p>
    <w:p w14:paraId="3D4312B4" w14:textId="77777777" w:rsidR="00BC2521" w:rsidRPr="00593A5F" w:rsidRDefault="00BC2521" w:rsidP="00BC2521">
      <w:pPr>
        <w:spacing w:after="0" w:line="240" w:lineRule="auto"/>
        <w:jc w:val="both"/>
        <w:rPr>
          <w:rFonts w:ascii="Verdana" w:eastAsia="Calibri" w:hAnsi="Verdana" w:cs="Arial"/>
          <w:color w:val="000000"/>
          <w:lang w:val="es-ES"/>
        </w:rPr>
      </w:pPr>
    </w:p>
    <w:p w14:paraId="513154B0" w14:textId="77777777" w:rsidR="00BC2521" w:rsidRPr="00B96799" w:rsidRDefault="00BC2521" w:rsidP="00BC2521">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C8AC0D9" w14:textId="77777777" w:rsidR="00BC2521" w:rsidRPr="0085423D" w:rsidRDefault="00BC2521" w:rsidP="00BC2521">
      <w:pPr>
        <w:spacing w:after="0" w:line="240" w:lineRule="auto"/>
        <w:rPr>
          <w:rFonts w:ascii="Verdana" w:eastAsia="Calibri" w:hAnsi="Verdana" w:cs="Arial"/>
          <w:b/>
          <w:lang w:val="es-ES_tradnl" w:eastAsia="es-ES_tradnl"/>
        </w:rPr>
      </w:pPr>
      <w:r w:rsidRPr="005E5D91">
        <w:rPr>
          <w:rFonts w:ascii="Verdana" w:eastAsia="Calibri" w:hAnsi="Verdana" w:cs="Arial"/>
          <w:b/>
          <w:lang w:val="es-ES_tradnl" w:eastAsia="es-ES_tradnl"/>
        </w:rPr>
        <w:t>Mario Fernando Reyes Delgado</w:t>
      </w:r>
      <w:r>
        <w:rPr>
          <w:rFonts w:ascii="Verdana" w:eastAsia="Calibri" w:hAnsi="Verdana" w:cs="Arial"/>
          <w:b/>
          <w:lang w:val="es-ES_tradnl" w:eastAsia="es-ES_tradnl"/>
        </w:rPr>
        <w:t xml:space="preserve"> </w:t>
      </w:r>
    </w:p>
    <w:p w14:paraId="221527AA" w14:textId="77777777" w:rsidR="00BC2521" w:rsidRPr="005E5D91" w:rsidRDefault="00BC2521" w:rsidP="00BC2521">
      <w:pPr>
        <w:spacing w:after="0" w:line="240" w:lineRule="auto"/>
        <w:rPr>
          <w:rFonts w:ascii="Verdana" w:eastAsia="Calibri" w:hAnsi="Verdana" w:cs="Arial"/>
          <w:lang w:val="es-ES" w:eastAsia="es-ES"/>
        </w:rPr>
      </w:pPr>
      <w:hyperlink r:id="rId11" w:history="1">
        <w:r w:rsidRPr="00805577">
          <w:rPr>
            <w:rStyle w:val="Hipervnculo"/>
            <w:rFonts w:ascii="Verdana" w:hAnsi="Verdana"/>
          </w:rPr>
          <w:t>urbanittech@gmail.com</w:t>
        </w:r>
      </w:hyperlink>
      <w:r>
        <w:rPr>
          <w:rFonts w:ascii="Verdana" w:hAnsi="Verdana"/>
        </w:rPr>
        <w:t xml:space="preserve"> </w:t>
      </w:r>
      <w:r w:rsidRPr="005E5D91">
        <w:rPr>
          <w:rFonts w:ascii="Verdana" w:hAnsi="Verdana"/>
        </w:rPr>
        <w:t xml:space="preserve">               </w:t>
      </w:r>
      <w:r w:rsidRPr="005E5D91">
        <w:rPr>
          <w:rFonts w:ascii="Verdana" w:eastAsia="Calibri" w:hAnsi="Verdana" w:cs="Arial"/>
          <w:lang w:val="es-ES" w:eastAsia="es-ES"/>
        </w:rPr>
        <w:t xml:space="preserve">    </w:t>
      </w:r>
    </w:p>
    <w:p w14:paraId="209F6EB7" w14:textId="77777777" w:rsidR="00BC2521" w:rsidRDefault="00BC2521" w:rsidP="00BC2521">
      <w:pPr>
        <w:spacing w:after="0" w:line="240" w:lineRule="auto"/>
        <w:rPr>
          <w:rFonts w:ascii="Verdana" w:eastAsia="Calibri" w:hAnsi="Verdana" w:cs="Arial"/>
          <w:lang w:val="es-ES" w:eastAsia="es-ES"/>
        </w:rPr>
      </w:pPr>
      <w:r w:rsidRPr="00C73A53">
        <w:rPr>
          <w:rFonts w:ascii="Verdana" w:eastAsia="Calibri" w:hAnsi="Verdana" w:cs="Arial"/>
          <w:lang w:val="es-ES" w:eastAsia="es-ES"/>
        </w:rPr>
        <w:t>Tocancipá</w:t>
      </w:r>
      <w:r>
        <w:rPr>
          <w:rFonts w:ascii="Verdana" w:eastAsia="Calibri" w:hAnsi="Verdana" w:cs="Arial"/>
          <w:lang w:val="es-ES" w:eastAsia="es-ES"/>
        </w:rPr>
        <w:t>,</w:t>
      </w:r>
      <w:r w:rsidRPr="00C73A53">
        <w:rPr>
          <w:rFonts w:ascii="Verdana" w:eastAsia="Calibri" w:hAnsi="Verdana" w:cs="Arial"/>
          <w:lang w:val="es-ES" w:eastAsia="es-ES"/>
        </w:rPr>
        <w:t xml:space="preserve"> Cundinamarca</w:t>
      </w:r>
      <w:r>
        <w:rPr>
          <w:rFonts w:ascii="Verdana" w:eastAsia="Calibri" w:hAnsi="Verdana" w:cs="Arial"/>
          <w:lang w:val="es-ES" w:eastAsia="es-ES"/>
        </w:rPr>
        <w:t xml:space="preserve"> </w:t>
      </w:r>
    </w:p>
    <w:p w14:paraId="1F6720AC" w14:textId="77777777" w:rsidR="00BC2521" w:rsidRPr="00593A5F" w:rsidRDefault="00BC2521" w:rsidP="00BC2521">
      <w:pPr>
        <w:spacing w:after="0" w:line="240" w:lineRule="auto"/>
        <w:rPr>
          <w:rFonts w:ascii="Verdana" w:eastAsia="Calibri" w:hAnsi="Verdana" w:cs="Arial"/>
          <w:b/>
          <w:bCs/>
          <w:color w:val="000000"/>
          <w:lang w:val="es-ES_tradnl" w:eastAsia="es-ES_tradnl"/>
        </w:rPr>
      </w:pPr>
    </w:p>
    <w:p w14:paraId="525D372E" w14:textId="77777777" w:rsidR="00BC2521" w:rsidRPr="00593A5F" w:rsidRDefault="00BC2521" w:rsidP="00BC252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C2521" w:rsidRPr="00593A5F" w14:paraId="224B1C7C" w14:textId="77777777" w:rsidTr="00111739">
        <w:trPr>
          <w:trHeight w:val="884"/>
        </w:trPr>
        <w:tc>
          <w:tcPr>
            <w:tcW w:w="2689" w:type="dxa"/>
          </w:tcPr>
          <w:p w14:paraId="5D1AD19A" w14:textId="77777777" w:rsidR="00BC2521" w:rsidRPr="00C00976" w:rsidRDefault="00BC2521" w:rsidP="00111739">
            <w:pPr>
              <w:jc w:val="both"/>
              <w:rPr>
                <w:rFonts w:ascii="Verdana" w:eastAsia="Calibri" w:hAnsi="Verdana" w:cs="Arial"/>
                <w:b/>
                <w:bCs/>
                <w:color w:val="7030A0"/>
                <w:lang w:val="es-ES_tradnl" w:eastAsia="es-ES_tradnl"/>
              </w:rPr>
            </w:pPr>
          </w:p>
        </w:tc>
        <w:tc>
          <w:tcPr>
            <w:tcW w:w="6100" w:type="dxa"/>
          </w:tcPr>
          <w:p w14:paraId="68E7DE61" w14:textId="77777777" w:rsidR="00BC2521" w:rsidRPr="00C00976" w:rsidRDefault="00BC2521" w:rsidP="0011173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1831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BC2521" w:rsidRPr="00593A5F" w14:paraId="1177A899" w14:textId="77777777" w:rsidTr="00111739">
        <w:trPr>
          <w:trHeight w:val="884"/>
        </w:trPr>
        <w:tc>
          <w:tcPr>
            <w:tcW w:w="2689" w:type="dxa"/>
          </w:tcPr>
          <w:p w14:paraId="36909471" w14:textId="77777777" w:rsidR="00BC2521" w:rsidRPr="00593A5F" w:rsidRDefault="00BC2521" w:rsidP="0011173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39B9342" w14:textId="77777777" w:rsidR="00BC2521" w:rsidRPr="00A11406" w:rsidRDefault="00BC2521" w:rsidP="00111739">
            <w:pPr>
              <w:spacing w:line="276" w:lineRule="auto"/>
              <w:jc w:val="both"/>
              <w:rPr>
                <w:rFonts w:ascii="Verdana" w:eastAsia="Calibri" w:hAnsi="Verdana" w:cs="Arial"/>
                <w:lang w:val="es-ES" w:eastAsia="es-ES"/>
              </w:rPr>
            </w:pPr>
            <w:r w:rsidRPr="00817382">
              <w:rPr>
                <w:rFonts w:ascii="Verdana" w:eastAsia="Calibri" w:hAnsi="Verdana" w:cs="Arial"/>
                <w:lang w:val="es-ES_tradnl" w:eastAsia="es-ES"/>
              </w:rPr>
              <w:t>EGCAP – Ámbito de aplicación – Entidades estatales /</w:t>
            </w:r>
            <w:r>
              <w:t xml:space="preserve"> </w:t>
            </w:r>
            <w:r w:rsidRPr="003415F4">
              <w:rPr>
                <w:rFonts w:ascii="Verdana" w:eastAsia="Calibri" w:hAnsi="Verdana" w:cs="Arial"/>
                <w:lang w:val="es-ES_tradnl" w:eastAsia="es-ES"/>
              </w:rPr>
              <w:t>CONTRATOS INTERADMINISTRATIVOS – Criterio orgánico – Independencia de la modalidad de selección</w:t>
            </w:r>
            <w:r>
              <w:rPr>
                <w:rFonts w:ascii="Verdana" w:eastAsia="Calibri" w:hAnsi="Verdana" w:cs="Arial"/>
                <w:lang w:val="es-ES_tradnl" w:eastAsia="es-ES"/>
              </w:rPr>
              <w:t xml:space="preserve"> /</w:t>
            </w:r>
            <w:r w:rsidRPr="00817382">
              <w:rPr>
                <w:rFonts w:ascii="Verdana" w:eastAsia="Calibri" w:hAnsi="Verdana" w:cs="Arial"/>
                <w:lang w:val="es-ES_tradnl" w:eastAsia="es-ES"/>
              </w:rPr>
              <w:t xml:space="preserve"> ENTIDADES EXCEPTUADAS – Aplicación de normas de derecho público / CONTRATOS ESTATALES – Régimen especial – Obligaciones transversales – Manual de contratación – Límites /</w:t>
            </w:r>
            <w:r>
              <w:rPr>
                <w:rFonts w:ascii="Verdana" w:eastAsia="Calibri" w:hAnsi="Verdana" w:cs="Arial"/>
                <w:lang w:val="es-ES_tradnl" w:eastAsia="es-ES"/>
              </w:rPr>
              <w:t xml:space="preserve"> </w:t>
            </w:r>
            <w:r w:rsidRPr="00632FFA">
              <w:rPr>
                <w:rFonts w:ascii="Verdana" w:eastAsia="Calibri" w:hAnsi="Verdana" w:cs="Arial"/>
                <w:lang w:val="es-ES_tradnl" w:eastAsia="es-ES"/>
              </w:rPr>
              <w:t>SOCIEDADES DE ECONOMÍA MIXTA – Participación Mayoritaria del Estado – Régimen contractual – Ley 80 de 1993 – Derecho privado</w:t>
            </w:r>
            <w:r>
              <w:rPr>
                <w:rFonts w:ascii="Verdana" w:eastAsia="Calibri" w:hAnsi="Verdana" w:cs="Arial"/>
                <w:lang w:val="es-ES_tradnl" w:eastAsia="es-ES"/>
              </w:rPr>
              <w:t xml:space="preserve"> / </w:t>
            </w:r>
            <w:r w:rsidRPr="003E2DCA">
              <w:rPr>
                <w:rFonts w:ascii="Verdana" w:eastAsia="Calibri" w:hAnsi="Verdana" w:cs="Arial"/>
                <w:lang w:val="es-ES_tradnl" w:eastAsia="es-ES"/>
              </w:rPr>
              <w:t>CONTRATOS DE CONCESIÓN – Sociedades de economía mixta – Modalidad de selección</w:t>
            </w:r>
            <w:r>
              <w:rPr>
                <w:rFonts w:ascii="Verdana" w:eastAsia="Calibri" w:hAnsi="Verdana" w:cs="Arial"/>
                <w:lang w:val="es-ES_tradnl"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26D2D81" w14:textId="77777777" w:rsidR="00BC2521" w:rsidRPr="00593A5F" w:rsidRDefault="00BC2521" w:rsidP="0011173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C2521" w:rsidRPr="008E6AD9" w14:paraId="00C10B22" w14:textId="77777777" w:rsidTr="00111739">
        <w:tc>
          <w:tcPr>
            <w:tcW w:w="2689" w:type="dxa"/>
          </w:tcPr>
          <w:p w14:paraId="368BBD4A" w14:textId="77777777" w:rsidR="00BC2521" w:rsidRPr="008E6AD9" w:rsidRDefault="00BC2521" w:rsidP="00111739">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9E99334" w14:textId="77777777" w:rsidR="00BC2521" w:rsidRPr="00B92340" w:rsidRDefault="00BC2521" w:rsidP="00111739">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91070B">
              <w:rPr>
                <w:rFonts w:ascii="Verdana" w:eastAsia="Calibri" w:hAnsi="Verdana" w:cs="Arial"/>
                <w:lang w:val="es-ES_tradnl" w:eastAsia="es-ES_tradnl"/>
              </w:rPr>
              <w:t xml:space="preserve">1_2025_12_15_013974 </w:t>
            </w:r>
            <w:r>
              <w:rPr>
                <w:rFonts w:ascii="Verdana" w:eastAsia="Calibri" w:hAnsi="Verdana" w:cs="Arial"/>
                <w:lang w:val="es-ES_tradnl" w:eastAsia="es-ES_tradnl"/>
              </w:rPr>
              <w:t xml:space="preserve">y </w:t>
            </w:r>
            <w:r w:rsidRPr="0091070B">
              <w:rPr>
                <w:rFonts w:ascii="Verdana" w:eastAsia="Calibri" w:hAnsi="Verdana" w:cs="Arial"/>
                <w:lang w:val="es-ES_tradnl" w:eastAsia="es-ES_tradnl"/>
              </w:rPr>
              <w:t>1_2025_12_16_014041</w:t>
            </w:r>
            <w:r>
              <w:rPr>
                <w:rFonts w:ascii="Verdana" w:eastAsia="Calibri" w:hAnsi="Verdana" w:cs="Arial"/>
                <w:lang w:val="es-ES_tradnl" w:eastAsia="es-ES_tradnl"/>
              </w:rPr>
              <w:t xml:space="preserve">       –Acumulados–                                  </w:t>
            </w:r>
          </w:p>
        </w:tc>
      </w:tr>
    </w:tbl>
    <w:p w14:paraId="08D4D7A5" w14:textId="77777777" w:rsidR="00BC2521" w:rsidRPr="00593A5F" w:rsidRDefault="00BC2521" w:rsidP="00BC2521">
      <w:pPr>
        <w:spacing w:after="0" w:line="240" w:lineRule="auto"/>
        <w:jc w:val="both"/>
        <w:rPr>
          <w:rFonts w:ascii="Verdana" w:eastAsia="Calibri" w:hAnsi="Verdana" w:cs="Arial"/>
          <w:color w:val="000000"/>
          <w:lang w:val="es-ES_tradnl" w:eastAsia="es-ES_tradnl"/>
        </w:rPr>
      </w:pPr>
    </w:p>
    <w:p w14:paraId="68618292" w14:textId="77777777" w:rsidR="00BC2521" w:rsidRPr="00593A5F" w:rsidRDefault="00BC2521" w:rsidP="00BC2521">
      <w:pPr>
        <w:spacing w:after="0" w:line="240" w:lineRule="auto"/>
        <w:jc w:val="both"/>
        <w:rPr>
          <w:rFonts w:ascii="Verdana" w:eastAsia="Calibri" w:hAnsi="Verdana" w:cs="Arial"/>
          <w:color w:val="000000"/>
          <w:lang w:val="es-ES_tradnl" w:eastAsia="es-ES_tradnl"/>
        </w:rPr>
      </w:pPr>
    </w:p>
    <w:p w14:paraId="7FDB1821" w14:textId="77777777" w:rsidR="00BC2521" w:rsidRPr="008E6AD9" w:rsidRDefault="00BC2521" w:rsidP="00BC252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2F3074">
        <w:rPr>
          <w:rFonts w:ascii="Verdana" w:eastAsia="Calibri" w:hAnsi="Verdana" w:cs="Arial"/>
          <w:lang w:val="es-ES" w:eastAsia="es-ES"/>
        </w:rPr>
        <w:t>Reyes Delgado</w:t>
      </w:r>
      <w:r w:rsidRPr="008E6AD9">
        <w:rPr>
          <w:rFonts w:ascii="Verdana" w:eastAsia="Calibri" w:hAnsi="Verdana" w:cs="Arial"/>
          <w:lang w:val="es-ES" w:eastAsia="es-ES"/>
        </w:rPr>
        <w:t xml:space="preserve">: </w:t>
      </w:r>
    </w:p>
    <w:p w14:paraId="1339A09A" w14:textId="01280E3D" w:rsidR="00BC2521" w:rsidRDefault="00BC2521" w:rsidP="00BC2521">
      <w:pPr>
        <w:tabs>
          <w:tab w:val="left" w:pos="3768"/>
        </w:tabs>
        <w:spacing w:after="0" w:line="276" w:lineRule="auto"/>
        <w:jc w:val="both"/>
        <w:rPr>
          <w:rFonts w:ascii="Verdana" w:eastAsia="Calibri" w:hAnsi="Verdana" w:cs="Arial"/>
          <w:color w:val="000000" w:themeColor="text1"/>
          <w:lang w:val="es-ES" w:eastAsia="es-ES"/>
        </w:rPr>
      </w:pPr>
    </w:p>
    <w:p w14:paraId="24D2FC1A" w14:textId="77777777" w:rsidR="00BC2521" w:rsidRPr="00593A5F" w:rsidRDefault="00BC2521" w:rsidP="00BC252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w:t>
      </w:r>
      <w:r>
        <w:rPr>
          <w:rFonts w:ascii="Verdana" w:hAnsi="Verdana" w:cs="Arial"/>
        </w:rPr>
        <w:lastRenderedPageBreak/>
        <w:t xml:space="preserve">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s 15 y 16 de diciembre de 2025, donde pregunta lo siguiente</w:t>
      </w:r>
      <w:r w:rsidRPr="008E6AD9">
        <w:rPr>
          <w:rFonts w:ascii="Verdana" w:eastAsia="Calibri" w:hAnsi="Verdana" w:cs="Arial"/>
          <w:lang w:val="es-ES" w:eastAsia="es-ES"/>
        </w:rPr>
        <w:t xml:space="preserve">: </w:t>
      </w:r>
    </w:p>
    <w:p w14:paraId="4D1E4836" w14:textId="77777777" w:rsidR="00BC2521" w:rsidRPr="00272A7B" w:rsidRDefault="00BC2521" w:rsidP="00BC2521">
      <w:pPr>
        <w:pStyle w:val="Prrafodelista"/>
        <w:tabs>
          <w:tab w:val="left" w:pos="142"/>
          <w:tab w:val="left" w:pos="284"/>
        </w:tabs>
        <w:spacing w:after="0" w:line="276" w:lineRule="auto"/>
        <w:ind w:left="0"/>
        <w:jc w:val="both"/>
        <w:rPr>
          <w:rFonts w:ascii="Verdana" w:eastAsia="Century Gothic" w:hAnsi="Verdana" w:cs="Century Gothic"/>
          <w:b/>
          <w:bCs/>
        </w:rPr>
      </w:pPr>
    </w:p>
    <w:p w14:paraId="1DC5267F" w14:textId="78B6F49A" w:rsidR="00BC2521" w:rsidRPr="001904AF" w:rsidRDefault="00BC2521" w:rsidP="00BC2521">
      <w:pPr>
        <w:spacing w:after="0" w:line="240" w:lineRule="auto"/>
        <w:ind w:left="709" w:right="709"/>
        <w:jc w:val="both"/>
        <w:rPr>
          <w:rFonts w:ascii="Verdana" w:eastAsia="Century Gothic" w:hAnsi="Verdana" w:cs="Century Gothic"/>
          <w:sz w:val="20"/>
          <w:szCs w:val="20"/>
          <w:lang w:val="es-ES"/>
        </w:rPr>
      </w:pPr>
      <w:bookmarkStart w:id="1" w:name="_Hlk95313578"/>
      <w:r w:rsidRPr="001904AF">
        <w:rPr>
          <w:rFonts w:ascii="Verdana" w:eastAsia="Century Gothic" w:hAnsi="Verdana" w:cs="Century Gothic"/>
          <w:sz w:val="20"/>
          <w:szCs w:val="20"/>
          <w:lang w:val="es-ES"/>
        </w:rPr>
        <w:t>“</w:t>
      </w:r>
      <w:bookmarkEnd w:id="1"/>
      <w:r w:rsidRPr="00FE5C41">
        <w:rPr>
          <w:rFonts w:ascii="Verdana" w:eastAsia="Century Gothic" w:hAnsi="Verdana" w:cs="Century Gothic"/>
          <w:sz w:val="20"/>
          <w:szCs w:val="20"/>
          <w:lang w:val="es-ES"/>
        </w:rPr>
        <w:t xml:space="preserve">¿Es jurídicamente viable que dos entidades estatales (Sociedad de Economía Mixta con participación mayoritaria pública del 51%) celebren conforme al numeral 4 del </w:t>
      </w:r>
      <w:r w:rsidR="00042D91" w:rsidRPr="00FE5C41">
        <w:rPr>
          <w:rFonts w:ascii="Verdana" w:eastAsia="Century Gothic" w:hAnsi="Verdana" w:cs="Century Gothic"/>
          <w:sz w:val="20"/>
          <w:szCs w:val="20"/>
          <w:lang w:val="es-ES"/>
        </w:rPr>
        <w:t>artículo</w:t>
      </w:r>
      <w:r w:rsidRPr="00FE5C41">
        <w:rPr>
          <w:rFonts w:ascii="Verdana" w:eastAsia="Century Gothic" w:hAnsi="Verdana" w:cs="Century Gothic"/>
          <w:sz w:val="20"/>
          <w:szCs w:val="20"/>
          <w:lang w:val="es-ES"/>
        </w:rPr>
        <w:t xml:space="preserve"> 32 de la ley 80 de 1993 un contrato de concesión destinado a la prestación de servicios de tránsito y movilidad mediante la modalidad de contratación directa — contrato interadministrativo y diferentes de los establecidos en la ley 1508 de 2012 considerando que el Estatuto General de Contratación Pública no establece una modalidad de selección obligatoria específica para las concesiones bajo el estatuto de contratación estatal?</w:t>
      </w:r>
      <w:r w:rsidRPr="001904AF">
        <w:rPr>
          <w:rFonts w:ascii="Verdana" w:eastAsia="Century Gothic" w:hAnsi="Verdana" w:cs="Century Gothic"/>
          <w:sz w:val="20"/>
          <w:szCs w:val="20"/>
          <w:lang w:val="es-ES"/>
        </w:rPr>
        <w:t>”.</w:t>
      </w:r>
    </w:p>
    <w:p w14:paraId="2F6298AD" w14:textId="77777777" w:rsidR="00BC2521" w:rsidRPr="008E6AD9" w:rsidRDefault="00BC2521" w:rsidP="00BC2521">
      <w:pPr>
        <w:pStyle w:val="Prrafodelista"/>
        <w:tabs>
          <w:tab w:val="left" w:pos="142"/>
          <w:tab w:val="left" w:pos="284"/>
        </w:tabs>
        <w:spacing w:after="0" w:line="276" w:lineRule="auto"/>
        <w:ind w:left="0"/>
        <w:jc w:val="both"/>
        <w:rPr>
          <w:rFonts w:ascii="Verdana" w:eastAsia="Century Gothic" w:hAnsi="Verdana" w:cs="Century Gothic"/>
          <w:b/>
          <w:bCs/>
        </w:rPr>
      </w:pPr>
    </w:p>
    <w:p w14:paraId="7487E3B6" w14:textId="77777777" w:rsidR="00BC2521" w:rsidRPr="00A652FF" w:rsidRDefault="00BC2521" w:rsidP="00BC252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C37A62B" w14:textId="77777777" w:rsidR="00BC2521" w:rsidRDefault="00BC2521" w:rsidP="00BC252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DEE8C6D" w14:textId="77777777" w:rsidR="00BC2521" w:rsidRPr="00593A5F" w:rsidRDefault="00BC2521" w:rsidP="00BC2521">
      <w:pPr>
        <w:spacing w:after="0" w:line="276" w:lineRule="auto"/>
        <w:ind w:firstLine="709"/>
        <w:jc w:val="both"/>
        <w:rPr>
          <w:rFonts w:ascii="Verdana" w:eastAsia="Calibri" w:hAnsi="Verdana" w:cs="Arial"/>
          <w:color w:val="000000"/>
          <w:lang w:val="es-ES" w:eastAsia="es-ES"/>
        </w:rPr>
      </w:pPr>
    </w:p>
    <w:p w14:paraId="638DEC0A" w14:textId="77777777" w:rsidR="00BC2521" w:rsidRPr="00593A5F" w:rsidRDefault="00BC2521" w:rsidP="00BC252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6A52F8C" w14:textId="77777777" w:rsidR="00BC2521" w:rsidRPr="00593A5F" w:rsidRDefault="00BC2521" w:rsidP="00BC2521">
      <w:pPr>
        <w:tabs>
          <w:tab w:val="left" w:pos="426"/>
        </w:tabs>
        <w:spacing w:after="0" w:line="276" w:lineRule="auto"/>
        <w:jc w:val="both"/>
        <w:rPr>
          <w:rFonts w:ascii="Verdana" w:eastAsia="Century Gothic" w:hAnsi="Verdana" w:cs="Century Gothic"/>
          <w:lang w:val="es-ES"/>
        </w:rPr>
      </w:pPr>
    </w:p>
    <w:p w14:paraId="1A1DE7A0" w14:textId="7AED07C6" w:rsidR="00BC2521" w:rsidRPr="00593A5F" w:rsidRDefault="00BC2521" w:rsidP="00BC252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510073">
        <w:rPr>
          <w:rFonts w:ascii="Verdana" w:eastAsia="Century Gothic" w:hAnsi="Verdana" w:cs="Century Gothic"/>
        </w:rPr>
        <w:t>¿</w:t>
      </w:r>
      <w:r w:rsidR="001F7C1B">
        <w:rPr>
          <w:rFonts w:ascii="Verdana" w:eastAsia="Century Gothic" w:hAnsi="Verdana" w:cs="Century Gothic"/>
        </w:rPr>
        <w:t>c</w:t>
      </w:r>
      <w:r w:rsidRPr="00510073">
        <w:rPr>
          <w:rFonts w:ascii="Verdana" w:eastAsia="Century Gothic" w:hAnsi="Verdana" w:cs="Century Gothic"/>
        </w:rPr>
        <w:t xml:space="preserve">uál </w:t>
      </w:r>
      <w:r>
        <w:rPr>
          <w:rFonts w:ascii="Verdana" w:eastAsia="Century Gothic" w:hAnsi="Verdana" w:cs="Century Gothic"/>
        </w:rPr>
        <w:t>régimen contractual aplicable a la</w:t>
      </w:r>
      <w:r w:rsidR="00EB5834">
        <w:rPr>
          <w:rFonts w:ascii="Verdana" w:eastAsia="Century Gothic" w:hAnsi="Verdana" w:cs="Century Gothic"/>
        </w:rPr>
        <w:t>s</w:t>
      </w:r>
      <w:r>
        <w:rPr>
          <w:rFonts w:ascii="Verdana" w:eastAsia="Century Gothic" w:hAnsi="Verdana" w:cs="Century Gothic"/>
        </w:rPr>
        <w:t xml:space="preserve"> sociedades de </w:t>
      </w:r>
      <w:r>
        <w:rPr>
          <w:rFonts w:ascii="Verdana" w:eastAsia="Century Gothic" w:hAnsi="Verdana" w:cs="Century Gothic"/>
        </w:rPr>
        <w:lastRenderedPageBreak/>
        <w:t>economía mixta para efectos del procedimiento de selección aplicable en los contratos de concesión</w:t>
      </w:r>
      <w:r w:rsidRPr="00510073">
        <w:rPr>
          <w:rFonts w:ascii="Verdana" w:eastAsia="Century Gothic" w:hAnsi="Verdana" w:cs="Century Gothic"/>
        </w:rPr>
        <w:t>?</w:t>
      </w:r>
    </w:p>
    <w:p w14:paraId="084BAFD5" w14:textId="77777777" w:rsidR="00BC2521" w:rsidRPr="004B140F" w:rsidRDefault="00BC2521" w:rsidP="00BC2521">
      <w:pPr>
        <w:spacing w:after="0" w:line="276" w:lineRule="auto"/>
        <w:jc w:val="both"/>
        <w:rPr>
          <w:rFonts w:ascii="Verdana" w:eastAsia="Calibri" w:hAnsi="Verdana" w:cs="Arial"/>
          <w:color w:val="7030A0"/>
        </w:rPr>
      </w:pPr>
    </w:p>
    <w:p w14:paraId="5AA53586" w14:textId="77777777" w:rsidR="00BC2521" w:rsidRPr="00593A5F" w:rsidRDefault="00BC2521" w:rsidP="00BC25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F0349E6" w14:textId="77777777" w:rsidR="00BC2521" w:rsidRPr="00593A5F" w:rsidRDefault="00BC2521" w:rsidP="00BC252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C2521" w:rsidRPr="00593A5F" w14:paraId="225FF29B" w14:textId="77777777">
        <w:trPr>
          <w:jc w:val="center"/>
        </w:trPr>
        <w:tc>
          <w:tcPr>
            <w:tcW w:w="8828" w:type="dxa"/>
          </w:tcPr>
          <w:p w14:paraId="0C36A578" w14:textId="77777777" w:rsidR="00BC2521" w:rsidRDefault="00BC2521" w:rsidP="00111739">
            <w:pPr>
              <w:spacing w:after="120" w:line="276" w:lineRule="auto"/>
              <w:jc w:val="both"/>
              <w:rPr>
                <w:rFonts w:ascii="Verdana" w:eastAsia="Calibri" w:hAnsi="Verdana" w:cs="Arial"/>
                <w:color w:val="000000" w:themeColor="text1"/>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9B6C67">
              <w:rPr>
                <w:rFonts w:ascii="Verdana" w:eastAsia="Calibri" w:hAnsi="Verdana" w:cs="Arial"/>
                <w:color w:val="000000" w:themeColor="text1"/>
              </w:rPr>
              <w:t>como lo dispone el artículo 14 de la Ley 1150 de 2007</w:t>
            </w:r>
            <w:r>
              <w:rPr>
                <w:rFonts w:ascii="Verdana" w:eastAsia="Calibri" w:hAnsi="Verdana" w:cs="Arial"/>
                <w:color w:val="000000" w:themeColor="text1"/>
              </w:rPr>
              <w:t xml:space="preserve">, </w:t>
            </w:r>
            <w:r w:rsidRPr="009B6C67">
              <w:rPr>
                <w:rFonts w:ascii="Verdana" w:eastAsia="Calibri" w:hAnsi="Verdana" w:cs="Arial"/>
                <w:color w:val="000000" w:themeColor="text1"/>
              </w:rPr>
              <w:t xml:space="preserve">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w:t>
            </w:r>
          </w:p>
          <w:p w14:paraId="2776A6D1" w14:textId="77777777" w:rsidR="00BC2521" w:rsidRDefault="00BC2521" w:rsidP="0011173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Las sociedades de economía mixta excluidas del EGCAP pueden celebrar contratos interadministrativos con sujeción a las causales que establezca el manual de contratación. En contraste, aquellas sometidas a Ley 80 de 1993 pueden suscribir estos negocios directamente con fundamento en la causal del literal c) del artículo 2.4 de la Ley 1150 de 2007, “[…] </w:t>
            </w:r>
            <w:r w:rsidRPr="006A07DF">
              <w:rPr>
                <w:rFonts w:ascii="Verdana" w:eastAsia="Calibri" w:hAnsi="Verdana" w:cs="Arial"/>
                <w:color w:val="000000" w:themeColor="text1"/>
              </w:rPr>
              <w:t xml:space="preserve">siempre que las obligaciones derivadas del mismo tengan relación directa con el objeto de la entidad ejecutora señalado en la ley o en sus reglamentos”. No obstante, se requerirán procesos con pluralidad de oferentes </w:t>
            </w:r>
            <w:r>
              <w:rPr>
                <w:rFonts w:ascii="Verdana" w:eastAsia="Calibri" w:hAnsi="Verdana" w:cs="Arial"/>
                <w:color w:val="000000" w:themeColor="text1"/>
              </w:rPr>
              <w:t>tratándose de</w:t>
            </w:r>
            <w:r w:rsidRPr="006A07DF">
              <w:rPr>
                <w:rFonts w:ascii="Verdana" w:eastAsia="Calibri" w:hAnsi="Verdana" w:cs="Arial"/>
                <w:color w:val="000000" w:themeColor="text1"/>
              </w:rPr>
              <w:t xml:space="preserve"> “[…]</w:t>
            </w:r>
            <w:r>
              <w:rPr>
                <w:rFonts w:ascii="Verdana" w:eastAsia="Calibri" w:hAnsi="Verdana" w:cs="Arial"/>
                <w:color w:val="000000" w:themeColor="text1"/>
              </w:rPr>
              <w:t xml:space="preserve"> </w:t>
            </w:r>
            <w:r w:rsidRPr="006A07DF">
              <w:rPr>
                <w:rFonts w:ascii="Verdana" w:eastAsia="Calibri" w:hAnsi="Verdana" w:cs="Arial"/>
                <w:color w:val="000000" w:themeColor="text1"/>
              </w:rPr>
              <w:t>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w:t>
            </w:r>
            <w:r>
              <w:rPr>
                <w:rFonts w:ascii="Verdana" w:eastAsia="Calibri" w:hAnsi="Verdana" w:cs="Arial"/>
                <w:color w:val="000000" w:themeColor="text1"/>
              </w:rPr>
              <w:t xml:space="preserve"> […]”. </w:t>
            </w:r>
          </w:p>
          <w:p w14:paraId="0DEA5893" w14:textId="77777777" w:rsidR="00BC2521" w:rsidRDefault="00BC2521" w:rsidP="0011173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lastRenderedPageBreak/>
              <w:t xml:space="preserve">Respecto a los contratos de concesión de las entidades sometidas a la Ley 80 de 1993, éstos se tipifican en el artículo 32.4 del EGCAP. En desarrollo del </w:t>
            </w:r>
            <w:r w:rsidRPr="00341285">
              <w:rPr>
                <w:rFonts w:ascii="Verdana" w:eastAsia="Calibri" w:hAnsi="Verdana" w:cs="Arial"/>
                <w:color w:val="000000" w:themeColor="text1"/>
              </w:rPr>
              <w:t>literal g) del artículo 2.2 de la Ley 1150 de 2007</w:t>
            </w:r>
            <w:r>
              <w:rPr>
                <w:rFonts w:ascii="Verdana" w:eastAsia="Calibri" w:hAnsi="Verdana" w:cs="Arial"/>
                <w:color w:val="000000" w:themeColor="text1"/>
              </w:rPr>
              <w:t xml:space="preserve">, el </w:t>
            </w:r>
            <w:r w:rsidRPr="00341285">
              <w:rPr>
                <w:rFonts w:ascii="Verdana" w:eastAsia="Calibri" w:hAnsi="Verdana" w:cs="Arial"/>
                <w:color w:val="000000" w:themeColor="text1"/>
              </w:rPr>
              <w:t>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r>
              <w:rPr>
                <w:rFonts w:ascii="Verdana" w:eastAsia="Calibri" w:hAnsi="Verdana" w:cs="Arial"/>
                <w:color w:val="000000" w:themeColor="text1"/>
              </w:rPr>
              <w:t xml:space="preserve">. Esto significa que, para las sociedades de economía mixta sometidas al EGCAP, la contratación directa de las concesiones sólo será posible dentro de las causales del artículo 2.4 de la Ley 1150 de 2007, pues la regla general es la pluralidad de oferentes en los proceso de selección. </w:t>
            </w:r>
          </w:p>
          <w:p w14:paraId="7254BF2A" w14:textId="77777777" w:rsidR="00BC2521" w:rsidRPr="00CD371C" w:rsidRDefault="00BC2521" w:rsidP="0011173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el contrario, la concesión en un contrato atípico en el derecho privado. Además, el artículo 2 de la Ley 1150 de 2007 no aplica a las sociedades de economía mixta excluidas de la Ley 80 de 1993. Luego, el procedimiento para la suscripción de dichos negocios será competitivo o no competitivo en función de lo que establezcan sus manuales de contratación.</w:t>
            </w:r>
          </w:p>
          <w:p w14:paraId="38369E34" w14:textId="77777777" w:rsidR="00BC2521" w:rsidRPr="001941FD" w:rsidRDefault="00BC2521" w:rsidP="00111739">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5EAE33F" w14:textId="77777777" w:rsidR="00BC2521" w:rsidRPr="00593A5F" w:rsidRDefault="00BC2521" w:rsidP="00BC2521">
      <w:pPr>
        <w:tabs>
          <w:tab w:val="left" w:pos="142"/>
          <w:tab w:val="left" w:pos="284"/>
        </w:tabs>
        <w:spacing w:after="0" w:line="276" w:lineRule="auto"/>
        <w:jc w:val="both"/>
        <w:rPr>
          <w:rFonts w:ascii="Verdana" w:eastAsia="Century Gothic" w:hAnsi="Verdana" w:cs="Century Gothic"/>
          <w:b/>
          <w:bCs/>
          <w:lang w:val="es-ES"/>
        </w:rPr>
      </w:pPr>
    </w:p>
    <w:bookmarkEnd w:id="2"/>
    <w:p w14:paraId="2F1CD7E8" w14:textId="77777777" w:rsidR="00BC2521" w:rsidRPr="00593A5F" w:rsidRDefault="00BC2521" w:rsidP="00BC25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093A7F7" w14:textId="77777777" w:rsidR="00BC2521" w:rsidRPr="00593A5F" w:rsidRDefault="00BC2521" w:rsidP="00BC2521">
      <w:pPr>
        <w:spacing w:after="0" w:line="276" w:lineRule="auto"/>
        <w:jc w:val="both"/>
        <w:rPr>
          <w:rFonts w:ascii="Verdana" w:eastAsia="Calibri" w:hAnsi="Verdana" w:cs="Arial"/>
          <w:color w:val="7030A0"/>
          <w:lang w:val="es-ES"/>
        </w:rPr>
      </w:pPr>
    </w:p>
    <w:p w14:paraId="3B9F698D" w14:textId="77777777" w:rsidR="00BC2521" w:rsidRDefault="00BC2521" w:rsidP="00BC252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DA11040" w14:textId="77777777" w:rsidR="00BC2521" w:rsidRPr="00415608" w:rsidRDefault="00BC2521" w:rsidP="00BC2521">
      <w:pPr>
        <w:spacing w:after="0" w:line="276" w:lineRule="auto"/>
        <w:jc w:val="both"/>
        <w:rPr>
          <w:rFonts w:ascii="Verdana" w:eastAsia="Calibri" w:hAnsi="Verdana" w:cs="Arial"/>
          <w:lang w:val="es-ES"/>
        </w:rPr>
      </w:pPr>
    </w:p>
    <w:p w14:paraId="56F95E3C" w14:textId="77777777" w:rsidR="00BC2521" w:rsidRPr="00817382" w:rsidRDefault="00BC2521" w:rsidP="00BC2521">
      <w:pPr>
        <w:spacing w:after="120" w:line="276" w:lineRule="auto"/>
        <w:jc w:val="both"/>
        <w:rPr>
          <w:rFonts w:ascii="Verdana" w:hAnsi="Verdana" w:cs="Arial"/>
          <w:lang w:val="es-ES_tradnl"/>
        </w:rPr>
      </w:pPr>
      <w:r w:rsidRPr="00817382">
        <w:rPr>
          <w:rFonts w:ascii="Verdana" w:hAnsi="Verdana" w:cs="Arial"/>
          <w:lang w:val="es-ES_tradnl"/>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hAnsi="Verdana" w:cs="Arial"/>
          <w:i/>
          <w:iCs/>
          <w:lang w:val="es-ES_tradnl"/>
        </w:rPr>
        <w:t>entidades estatales</w:t>
      </w:r>
      <w:r w:rsidRPr="00817382">
        <w:rPr>
          <w:rFonts w:ascii="Verdana" w:hAnsi="Verdana" w:cs="Arial"/>
          <w:lang w:val="es-ES_tradnl"/>
        </w:rPr>
        <w:t xml:space="preserve">, esto es, aquellas previstas en los literales a) y b) del numeral 1 del artículo 2 </w:t>
      </w:r>
      <w:r w:rsidRPr="00817382">
        <w:rPr>
          <w:rFonts w:ascii="Verdana" w:hAnsi="Verdana" w:cs="Arial"/>
          <w:i/>
          <w:iCs/>
          <w:lang w:val="es-ES_tradnl"/>
        </w:rPr>
        <w:t>ibidem</w:t>
      </w:r>
      <w:r w:rsidRPr="00817382">
        <w:rPr>
          <w:rFonts w:ascii="Verdana" w:hAnsi="Verdana" w:cs="Arial"/>
          <w:lang w:val="es-ES_tradnl"/>
        </w:rPr>
        <w:t xml:space="preserve">. La norma citada define la competencia contractual en los siguientes términos: </w:t>
      </w:r>
    </w:p>
    <w:p w14:paraId="37A10EB8" w14:textId="77777777" w:rsidR="00BC2521" w:rsidRPr="00817382" w:rsidRDefault="00BC2521" w:rsidP="00BC2521">
      <w:pPr>
        <w:spacing w:after="120" w:line="276" w:lineRule="auto"/>
        <w:ind w:firstLine="708"/>
        <w:jc w:val="both"/>
        <w:rPr>
          <w:rFonts w:ascii="Verdana" w:hAnsi="Verdana" w:cs="Arial"/>
          <w:lang w:val="es-ES_tradnl"/>
        </w:rPr>
      </w:pPr>
      <w:r w:rsidRPr="00817382">
        <w:rPr>
          <w:rFonts w:ascii="Verdana" w:hAnsi="Verdana" w:cs="Arial"/>
          <w:lang w:val="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8BE8A67" w14:textId="77777777" w:rsidR="00BC2521" w:rsidRPr="00817382" w:rsidRDefault="00BC2521" w:rsidP="00BC2521">
      <w:pPr>
        <w:spacing w:after="120" w:line="276" w:lineRule="auto"/>
        <w:ind w:firstLine="708"/>
        <w:jc w:val="both"/>
        <w:rPr>
          <w:rFonts w:ascii="Verdana" w:hAnsi="Verdana" w:cs="Arial"/>
          <w:lang w:val="es-ES_tradnl"/>
        </w:rPr>
      </w:pPr>
      <w:r w:rsidRPr="00817382">
        <w:rPr>
          <w:rFonts w:ascii="Verdana" w:hAnsi="Verdana" w:cs="Arial"/>
          <w:lang w:val="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Style w:val="Refdenotaalpie"/>
          <w:rFonts w:ascii="Verdana" w:hAnsi="Verdana" w:cs="Arial"/>
          <w:lang w:val="es-ES_tradnl"/>
        </w:rPr>
        <w:footnoteReference w:id="2"/>
      </w:r>
      <w:r w:rsidRPr="00817382">
        <w:rPr>
          <w:rFonts w:ascii="Verdana" w:hAnsi="Verdana" w:cs="Arial"/>
          <w:lang w:val="es-ES_tradnl"/>
        </w:rPr>
        <w:t xml:space="preserve">. </w:t>
      </w:r>
    </w:p>
    <w:p w14:paraId="00D057EE" w14:textId="77777777" w:rsidR="00BC2521" w:rsidRPr="00817382" w:rsidRDefault="00BC2521" w:rsidP="00BC2521">
      <w:pPr>
        <w:spacing w:after="0" w:line="276" w:lineRule="auto"/>
        <w:ind w:firstLine="709"/>
        <w:jc w:val="both"/>
        <w:rPr>
          <w:rFonts w:ascii="Verdana" w:hAnsi="Verdana" w:cs="Arial"/>
          <w:bCs/>
          <w:lang w:val="es-ES_tradnl"/>
        </w:rPr>
      </w:pPr>
      <w:r w:rsidRPr="00817382">
        <w:rPr>
          <w:rFonts w:ascii="Verdana" w:hAnsi="Verdana" w:cs="Arial"/>
          <w:lang w:val="es-ES_tradnl"/>
        </w:rPr>
        <w:lastRenderedPageBreak/>
        <w:t xml:space="preserve">Para las entidades de los párrafos anteriores, sin perjuicio de las excepciones puntales a la aplicación del EGCAP, los procesos de selección se rigen por el artículo 2 de la Ley 1150 de 2007. El </w:t>
      </w:r>
      <w:r w:rsidRPr="00817382">
        <w:rPr>
          <w:rFonts w:ascii="Verdana" w:hAnsi="Verdana" w:cs="Arial"/>
          <w:bCs/>
          <w:lang w:val="es-ES_tradnl"/>
        </w:rPr>
        <w:t xml:space="preserve">numeral uno, inciso primero, dispone que “La escogencia del contratista se efectuará por </w:t>
      </w:r>
      <w:r w:rsidRPr="00817382">
        <w:rPr>
          <w:rFonts w:ascii="Verdana" w:hAnsi="Verdana" w:cs="Arial"/>
          <w:bCs/>
          <w:i/>
          <w:iCs/>
          <w:lang w:val="es-ES_tradnl"/>
        </w:rPr>
        <w:t>regla general</w:t>
      </w:r>
      <w:r w:rsidRPr="00817382">
        <w:rPr>
          <w:rFonts w:ascii="Verdana" w:hAnsi="Verdana" w:cs="Arial"/>
          <w:bCs/>
          <w:lang w:val="es-ES_tradnl"/>
        </w:rPr>
        <w:t xml:space="preserve"> a través de licitación pública, con las </w:t>
      </w:r>
      <w:r w:rsidRPr="00817382">
        <w:rPr>
          <w:rFonts w:ascii="Verdana" w:hAnsi="Verdana" w:cs="Arial"/>
          <w:bCs/>
          <w:i/>
          <w:iCs/>
          <w:lang w:val="es-ES_tradnl"/>
        </w:rPr>
        <w:t>excepciones</w:t>
      </w:r>
      <w:r w:rsidRPr="00817382">
        <w:rPr>
          <w:rFonts w:ascii="Verdana" w:hAnsi="Verdana" w:cs="Arial"/>
          <w:bCs/>
          <w:lang w:val="es-ES_tradnl"/>
        </w:rPr>
        <w:t xml:space="preserve"> que se señalan en los numerales 2, 3 y 4 del presente artículo” (Énfasis fuera de texto), norma que sustituye el derogado numeral 1 del artículo 24 de la Ley 80 de 1993 sobre el principio de transparencia</w:t>
      </w:r>
      <w:r w:rsidRPr="00817382">
        <w:rPr>
          <w:rFonts w:ascii="Verdana" w:hAnsi="Verdana" w:cs="Arial"/>
          <w:bCs/>
          <w:vertAlign w:val="superscript"/>
          <w:lang w:val="es-ES_tradnl"/>
        </w:rPr>
        <w:footnoteReference w:id="3"/>
      </w:r>
      <w:r w:rsidRPr="00817382">
        <w:rPr>
          <w:rFonts w:ascii="Verdana" w:hAnsi="Verdana" w:cs="Arial"/>
          <w:bCs/>
          <w:lang w:val="es-ES_tradnl"/>
        </w:rPr>
        <w:t>. En este contexto, salvo norma especial que ordene la celebración del negocio jurídico por selección abreviada, concurso de méritos, mínima cuantía o contratación directa, debe aplicarse la regla general de licitación pública</w:t>
      </w:r>
      <w:r w:rsidRPr="00817382">
        <w:rPr>
          <w:rFonts w:ascii="Verdana" w:hAnsi="Verdana" w:cs="Arial"/>
          <w:bCs/>
          <w:vertAlign w:val="superscript"/>
          <w:lang w:val="es-ES_tradnl"/>
        </w:rPr>
        <w:footnoteReference w:id="4"/>
      </w:r>
      <w:r w:rsidRPr="00817382">
        <w:rPr>
          <w:rFonts w:ascii="Verdana" w:hAnsi="Verdana" w:cs="Arial"/>
          <w:bCs/>
          <w:lang w:val="es-ES_tradnl"/>
        </w:rPr>
        <w:t>.</w:t>
      </w:r>
    </w:p>
    <w:p w14:paraId="53C9F603" w14:textId="77777777" w:rsidR="00BC2521" w:rsidRPr="00817382" w:rsidRDefault="00BC2521" w:rsidP="00BC2521">
      <w:pPr>
        <w:spacing w:after="0" w:line="276" w:lineRule="auto"/>
        <w:ind w:firstLine="709"/>
        <w:jc w:val="both"/>
        <w:rPr>
          <w:rFonts w:ascii="Verdana" w:hAnsi="Verdana" w:cs="Arial"/>
          <w:bCs/>
          <w:lang w:val="es-ES_tradnl"/>
        </w:rPr>
      </w:pPr>
    </w:p>
    <w:p w14:paraId="05EFC5E8" w14:textId="77777777" w:rsidR="00BC2521" w:rsidRPr="009E105D" w:rsidRDefault="00BC2521" w:rsidP="00BC2521">
      <w:pPr>
        <w:widowControl w:val="0"/>
        <w:autoSpaceDE w:val="0"/>
        <w:autoSpaceDN w:val="0"/>
        <w:spacing w:after="120" w:line="276" w:lineRule="auto"/>
        <w:jc w:val="both"/>
        <w:rPr>
          <w:rFonts w:ascii="Verdana" w:eastAsia="Arial" w:hAnsi="Verdana" w:cs="Arial"/>
          <w:lang w:val="es-ES" w:eastAsia="es-ES" w:bidi="es-ES"/>
        </w:rPr>
      </w:pPr>
      <w:proofErr w:type="spellStart"/>
      <w:r w:rsidRPr="00817382">
        <w:rPr>
          <w:rFonts w:ascii="Verdana" w:hAnsi="Verdana" w:cs="Arial"/>
          <w:bCs/>
          <w:lang w:val="es-ES_tradnl"/>
        </w:rPr>
        <w:t>ii</w:t>
      </w:r>
      <w:proofErr w:type="spellEnd"/>
      <w:r w:rsidRPr="00817382">
        <w:rPr>
          <w:rFonts w:ascii="Verdana" w:hAnsi="Verdana" w:cs="Arial"/>
          <w:bCs/>
          <w:lang w:val="es-ES_tradnl"/>
        </w:rPr>
        <w:t xml:space="preserve">. </w:t>
      </w:r>
      <w:r w:rsidRPr="009566AF">
        <w:rPr>
          <w:rFonts w:ascii="Verdana" w:eastAsia="Times New Roman" w:hAnsi="Verdana" w:cs="Arial"/>
          <w:lang w:eastAsia="es-MX"/>
        </w:rPr>
        <w:t>A</w:t>
      </w:r>
      <w:proofErr w:type="spellStart"/>
      <w:r w:rsidRPr="009E105D">
        <w:rPr>
          <w:rFonts w:ascii="Verdana" w:eastAsia="Arial" w:hAnsi="Verdana" w:cs="Arial"/>
          <w:lang w:val="es-ES" w:eastAsia="es-ES" w:bidi="es-ES"/>
        </w:rPr>
        <w:t>unque</w:t>
      </w:r>
      <w:proofErr w:type="spellEnd"/>
      <w:r w:rsidRPr="009E105D">
        <w:rPr>
          <w:rFonts w:ascii="Verdana" w:eastAsia="Arial" w:hAnsi="Verdana" w:cs="Arial"/>
          <w:lang w:val="es-ES" w:eastAsia="es-ES" w:bidi="es-ES"/>
        </w:rPr>
        <w:t xml:space="preserve"> la ley no la definió ni desarrolló, el Decreto 1082 de 2015 califica a los contratos interadministrativos como aquella contratación entre entidades estatales</w:t>
      </w:r>
      <w:r w:rsidRPr="009E105D">
        <w:rPr>
          <w:rFonts w:ascii="Verdana" w:eastAsia="Arial" w:hAnsi="Verdana" w:cs="Arial"/>
          <w:vertAlign w:val="superscript"/>
          <w:lang w:val="es-ES" w:eastAsia="es-ES" w:bidi="es-ES"/>
        </w:rPr>
        <w:footnoteReference w:id="5"/>
      </w:r>
      <w:r w:rsidRPr="009E105D">
        <w:rPr>
          <w:rFonts w:ascii="Verdana" w:eastAsia="Arial" w:hAnsi="Verdana" w:cs="Arial"/>
          <w:lang w:val="es-ES" w:eastAsia="es-ES" w:bidi="es-ES"/>
        </w:rPr>
        <w:t xml:space="preserve">. De acuerdo con lo anterior, el contrato interadministrativo es el </w:t>
      </w:r>
      <w:r w:rsidRPr="009E105D">
        <w:rPr>
          <w:rFonts w:ascii="Verdana" w:eastAsia="Arial" w:hAnsi="Verdana" w:cs="Arial"/>
          <w:lang w:val="es-ES" w:eastAsia="es-ES" w:bidi="es-ES"/>
        </w:rPr>
        <w:lastRenderedPageBreak/>
        <w:t>acuerdo donde concurre la voluntad de dos o más personas jurídicas de derecho público con la finalidad de cumplir, en el marco de sus objetivos misionales y sus competencias, con los fines del Estado. Es decir, los contratos interadministrativos están determinados por un criterio orgánico, pues es necesario que los extremos de la relación contractual sean entidades</w:t>
      </w:r>
      <w:r w:rsidRPr="009E105D">
        <w:rPr>
          <w:rFonts w:ascii="Verdana" w:eastAsia="Arial" w:hAnsi="Verdana" w:cs="Arial"/>
          <w:spacing w:val="-6"/>
          <w:lang w:val="es-ES" w:eastAsia="es-ES" w:bidi="es-ES"/>
        </w:rPr>
        <w:t xml:space="preserve"> </w:t>
      </w:r>
      <w:r w:rsidRPr="009E105D">
        <w:rPr>
          <w:rFonts w:ascii="Verdana" w:eastAsia="Arial" w:hAnsi="Verdana" w:cs="Arial"/>
          <w:lang w:val="es-ES" w:eastAsia="es-ES" w:bidi="es-ES"/>
        </w:rPr>
        <w:t>estatales.</w:t>
      </w:r>
    </w:p>
    <w:p w14:paraId="5A881B0A" w14:textId="77777777" w:rsidR="00BC2521" w:rsidRPr="009E105D" w:rsidRDefault="00BC2521" w:rsidP="00BC2521">
      <w:pPr>
        <w:widowControl w:val="0"/>
        <w:autoSpaceDE w:val="0"/>
        <w:autoSpaceDN w:val="0"/>
        <w:spacing w:before="117" w:after="120" w:line="276" w:lineRule="auto"/>
        <w:ind w:firstLine="707"/>
        <w:jc w:val="both"/>
        <w:rPr>
          <w:rFonts w:ascii="Verdana" w:eastAsia="Calibri" w:hAnsi="Verdana" w:cs="Arial"/>
          <w:lang w:val="es-ES"/>
        </w:rPr>
      </w:pPr>
      <w:bookmarkStart w:id="3" w:name="_Hlk78820654"/>
      <w:r w:rsidRPr="009E105D">
        <w:rPr>
          <w:rFonts w:ascii="Verdana" w:eastAsia="Arial" w:hAnsi="Verdana" w:cs="Arial"/>
          <w:lang w:val="es-ES" w:eastAsia="es-ES" w:bidi="es-ES"/>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w:t>
      </w:r>
      <w:r w:rsidRPr="009E105D">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32822C98" w14:textId="77777777" w:rsidR="00BC2521" w:rsidRPr="009E105D" w:rsidRDefault="00BC2521" w:rsidP="00BC2521">
      <w:pPr>
        <w:widowControl w:val="0"/>
        <w:autoSpaceDE w:val="0"/>
        <w:autoSpaceDN w:val="0"/>
        <w:spacing w:before="121" w:after="120" w:line="276" w:lineRule="auto"/>
        <w:ind w:firstLine="707"/>
        <w:jc w:val="both"/>
        <w:rPr>
          <w:rFonts w:ascii="Verdana" w:eastAsia="Arial" w:hAnsi="Verdana" w:cs="Arial"/>
          <w:lang w:val="es-ES" w:eastAsia="es-ES" w:bidi="es-ES"/>
        </w:rPr>
      </w:pPr>
      <w:bookmarkStart w:id="4" w:name="_Hlk99578261"/>
      <w:bookmarkEnd w:id="3"/>
      <w:r w:rsidRPr="009E105D">
        <w:rPr>
          <w:rFonts w:ascii="Verdana" w:eastAsia="Arial" w:hAnsi="Verdana" w:cs="Arial"/>
          <w:lang w:val="es-ES" w:eastAsia="es-ES" w:bidi="es-ES"/>
        </w:rPr>
        <w:t>Un contrato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9E105D">
        <w:rPr>
          <w:rFonts w:ascii="Verdana" w:eastAsia="Arial" w:hAnsi="Verdana" w:cs="Arial"/>
          <w:vertAlign w:val="superscript"/>
          <w:lang w:val="es-ES" w:eastAsia="es-ES" w:bidi="es-ES"/>
        </w:rPr>
        <w:footnoteReference w:id="6"/>
      </w:r>
      <w:r w:rsidRPr="009E105D">
        <w:rPr>
          <w:rFonts w:ascii="Verdana" w:eastAsia="Arial" w:hAnsi="Verdana" w:cs="Arial"/>
          <w:lang w:val="es-ES" w:eastAsia="es-ES" w:bidi="es-ES"/>
        </w:rPr>
        <w:t>. Nótese que, en este caso, lo que cambia es la modalidad de selección y no la naturaleza de contrato</w:t>
      </w:r>
      <w:r w:rsidRPr="009E105D">
        <w:rPr>
          <w:rFonts w:ascii="Verdana" w:eastAsia="Arial" w:hAnsi="Verdana" w:cs="Arial"/>
          <w:spacing w:val="-18"/>
          <w:lang w:val="es-ES" w:eastAsia="es-ES" w:bidi="es-ES"/>
        </w:rPr>
        <w:t xml:space="preserve"> </w:t>
      </w:r>
      <w:r w:rsidRPr="009E105D">
        <w:rPr>
          <w:rFonts w:ascii="Verdana" w:eastAsia="Arial" w:hAnsi="Verdana" w:cs="Arial"/>
          <w:lang w:val="es-ES" w:eastAsia="es-ES" w:bidi="es-ES"/>
        </w:rPr>
        <w:t>interadministrativo.</w:t>
      </w:r>
    </w:p>
    <w:bookmarkEnd w:id="4"/>
    <w:p w14:paraId="46F59484" w14:textId="77777777" w:rsidR="00BC2521" w:rsidRPr="009E105D" w:rsidRDefault="00BC2521" w:rsidP="00BC2521">
      <w:pPr>
        <w:widowControl w:val="0"/>
        <w:autoSpaceDE w:val="0"/>
        <w:autoSpaceDN w:val="0"/>
        <w:spacing w:before="114" w:after="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lastRenderedPageBreak/>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considera lo siguiente:</w:t>
      </w:r>
    </w:p>
    <w:p w14:paraId="564F68DD" w14:textId="77777777" w:rsidR="00BC2521" w:rsidRPr="009E105D" w:rsidRDefault="00BC2521" w:rsidP="00BC2521">
      <w:pPr>
        <w:widowControl w:val="0"/>
        <w:autoSpaceDE w:val="0"/>
        <w:autoSpaceDN w:val="0"/>
        <w:spacing w:after="0" w:line="276" w:lineRule="auto"/>
        <w:contextualSpacing/>
        <w:jc w:val="both"/>
        <w:rPr>
          <w:rFonts w:ascii="Verdana" w:eastAsia="Arial" w:hAnsi="Verdana" w:cs="Arial"/>
          <w:lang w:val="es-ES" w:eastAsia="es-ES" w:bidi="es-ES"/>
        </w:rPr>
      </w:pPr>
    </w:p>
    <w:p w14:paraId="3F76C91E" w14:textId="77777777" w:rsidR="00BC2521" w:rsidRPr="009566AF" w:rsidRDefault="00BC2521" w:rsidP="00BC2521">
      <w:pPr>
        <w:spacing w:after="0" w:line="240" w:lineRule="auto"/>
        <w:ind w:left="709" w:right="709"/>
        <w:contextualSpacing/>
        <w:jc w:val="both"/>
        <w:rPr>
          <w:rFonts w:ascii="Verdana" w:eastAsia="Calibri" w:hAnsi="Verdana" w:cs="Arial"/>
          <w:sz w:val="20"/>
          <w:szCs w:val="20"/>
          <w:lang w:val="es-MX"/>
        </w:rPr>
      </w:pPr>
      <w:r w:rsidRPr="009566AF">
        <w:rPr>
          <w:rFonts w:ascii="Verdana" w:eastAsia="Calibri" w:hAnsi="Verdana" w:cs="Arial"/>
          <w:sz w:val="20"/>
          <w:szCs w:val="20"/>
          <w:lang w:val="es-MX"/>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9566AF">
        <w:rPr>
          <w:rFonts w:ascii="Verdana" w:eastAsia="Calibri" w:hAnsi="Verdana" w:cs="Arial"/>
          <w:sz w:val="20"/>
          <w:szCs w:val="20"/>
          <w:vertAlign w:val="superscript"/>
          <w:lang w:val="es-MX"/>
        </w:rPr>
        <w:footnoteReference w:id="7"/>
      </w:r>
      <w:r w:rsidRPr="009566AF">
        <w:rPr>
          <w:rFonts w:ascii="Verdana" w:eastAsia="Calibri" w:hAnsi="Verdana" w:cs="Arial"/>
          <w:sz w:val="20"/>
          <w:szCs w:val="20"/>
          <w:lang w:val="es-MX"/>
        </w:rPr>
        <w:t>.</w:t>
      </w:r>
    </w:p>
    <w:p w14:paraId="4B0E4DC7" w14:textId="77777777" w:rsidR="00BC2521" w:rsidRPr="009E105D" w:rsidRDefault="00BC2521" w:rsidP="00BC2521">
      <w:pPr>
        <w:spacing w:after="0" w:line="276" w:lineRule="auto"/>
        <w:ind w:left="709" w:right="709"/>
        <w:contextualSpacing/>
        <w:jc w:val="both"/>
        <w:rPr>
          <w:rFonts w:ascii="Verdana" w:eastAsia="Calibri" w:hAnsi="Verdana" w:cs="Arial"/>
          <w:lang w:val="es-MX"/>
        </w:rPr>
      </w:pPr>
    </w:p>
    <w:p w14:paraId="7ECAA8E0" w14:textId="77777777" w:rsidR="00BC2521" w:rsidRPr="009E105D" w:rsidRDefault="00BC2521" w:rsidP="00BC2521">
      <w:pPr>
        <w:widowControl w:val="0"/>
        <w:autoSpaceDE w:val="0"/>
        <w:autoSpaceDN w:val="0"/>
        <w:spacing w:after="12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En ese sentido, los contratos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3FBD948F" w14:textId="77777777" w:rsidR="00BC2521" w:rsidRPr="009E105D" w:rsidRDefault="00BC2521" w:rsidP="00BC2521">
      <w:pPr>
        <w:widowControl w:val="0"/>
        <w:autoSpaceDE w:val="0"/>
        <w:autoSpaceDN w:val="0"/>
        <w:spacing w:before="119" w:after="12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 xml:space="preserve">Así las cosas, la ley no limitó la celebración de contratos </w:t>
      </w:r>
      <w:r w:rsidRPr="009E105D">
        <w:rPr>
          <w:rFonts w:ascii="Verdana" w:eastAsia="Arial" w:hAnsi="Verdana" w:cs="Arial"/>
          <w:lang w:val="es-ES" w:eastAsia="es-ES" w:bidi="es-ES"/>
        </w:rPr>
        <w:lastRenderedPageBreak/>
        <w:t>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9E105D">
        <w:rPr>
          <w:rFonts w:ascii="Verdana" w:eastAsia="Arial" w:hAnsi="Verdana" w:cs="Arial"/>
          <w:spacing w:val="-3"/>
          <w:lang w:val="es-ES" w:eastAsia="es-ES" w:bidi="es-ES"/>
        </w:rPr>
        <w:t xml:space="preserve"> </w:t>
      </w:r>
      <w:r w:rsidRPr="009E105D">
        <w:rPr>
          <w:rFonts w:ascii="Verdana" w:eastAsia="Arial" w:hAnsi="Verdana" w:cs="Arial"/>
          <w:lang w:val="es-ES" w:eastAsia="es-ES" w:bidi="es-ES"/>
        </w:rPr>
        <w:t>estatales.</w:t>
      </w:r>
    </w:p>
    <w:p w14:paraId="66F8FD1A" w14:textId="77777777" w:rsidR="00BC2521" w:rsidRPr="005D043D" w:rsidRDefault="00BC2521" w:rsidP="00BC2521">
      <w:pPr>
        <w:widowControl w:val="0"/>
        <w:autoSpaceDE w:val="0"/>
        <w:autoSpaceDN w:val="0"/>
        <w:spacing w:before="122" w:after="0" w:line="276" w:lineRule="auto"/>
        <w:ind w:firstLine="708"/>
        <w:jc w:val="both"/>
        <w:rPr>
          <w:rFonts w:ascii="Verdana" w:eastAsia="Calibri" w:hAnsi="Verdana" w:cs="Arial"/>
          <w:color w:val="000000" w:themeColor="text1"/>
          <w:lang w:eastAsia="en-GB"/>
        </w:rPr>
      </w:pPr>
      <w:r w:rsidRPr="009E105D">
        <w:rPr>
          <w:rFonts w:ascii="Verdana" w:eastAsia="Arial" w:hAnsi="Verdana" w:cs="Arial"/>
          <w:lang w:val="es-ES" w:eastAsia="es-ES" w:bidi="es-ES"/>
        </w:rPr>
        <w:t xml:space="preserve">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w:t>
      </w:r>
      <w:r>
        <w:rPr>
          <w:rFonts w:ascii="Verdana" w:eastAsia="Arial" w:hAnsi="Verdana" w:cs="Arial"/>
          <w:lang w:val="es-ES" w:eastAsia="es-ES" w:bidi="es-ES"/>
        </w:rPr>
        <w:t xml:space="preserve">Esto </w:t>
      </w:r>
      <w:r w:rsidRPr="009E105D">
        <w:rPr>
          <w:rFonts w:ascii="Verdana" w:eastAsia="Calibri" w:hAnsi="Verdana" w:cs="Arial"/>
          <w:color w:val="000000" w:themeColor="text1"/>
          <w:lang w:eastAsia="en-GB"/>
        </w:rPr>
        <w:t xml:space="preserve">no implica asumir que los contratos y los convenios sean figuras idénticas, sino simplemente que sus diferencias, en determinados casos, no resultan relevantes o determinantes para </w:t>
      </w:r>
      <w:r>
        <w:rPr>
          <w:rFonts w:ascii="Verdana" w:eastAsia="Calibri" w:hAnsi="Verdana" w:cs="Arial"/>
          <w:color w:val="000000" w:themeColor="text1"/>
          <w:lang w:eastAsia="en-GB"/>
        </w:rPr>
        <w:t>determinados efectos jurídicos</w:t>
      </w:r>
      <w:r w:rsidRPr="009E105D">
        <w:rPr>
          <w:rFonts w:ascii="Verdana" w:eastAsia="Calibri" w:hAnsi="Verdana" w:cs="Arial"/>
          <w:color w:val="000000" w:themeColor="text1"/>
          <w:lang w:eastAsia="en-GB"/>
        </w:rPr>
        <w:t xml:space="preserve">. </w:t>
      </w:r>
    </w:p>
    <w:p w14:paraId="7912AF66" w14:textId="77777777" w:rsidR="00BC2521" w:rsidRDefault="00BC2521" w:rsidP="00BC2521">
      <w:pPr>
        <w:spacing w:after="0" w:line="276" w:lineRule="auto"/>
        <w:jc w:val="both"/>
        <w:rPr>
          <w:rFonts w:ascii="Verdana" w:hAnsi="Verdana" w:cs="Arial"/>
          <w:bCs/>
          <w:lang w:val="es-ES_tradnl"/>
        </w:rPr>
      </w:pPr>
    </w:p>
    <w:p w14:paraId="5CDFDDE7" w14:textId="77777777" w:rsidR="00BC2521" w:rsidRPr="00817382" w:rsidRDefault="00BC2521" w:rsidP="00BC2521">
      <w:pPr>
        <w:spacing w:after="120" w:line="276" w:lineRule="auto"/>
        <w:jc w:val="both"/>
        <w:rPr>
          <w:rFonts w:ascii="Verdana" w:hAnsi="Verdana" w:cs="Arial"/>
          <w:lang w:val="es-ES"/>
        </w:rPr>
      </w:pPr>
      <w:proofErr w:type="spellStart"/>
      <w:r w:rsidRPr="01336852">
        <w:rPr>
          <w:rFonts w:ascii="Verdana" w:hAnsi="Verdana" w:cs="Arial"/>
          <w:lang w:val="es-ES"/>
        </w:rPr>
        <w:t>iii</w:t>
      </w:r>
      <w:proofErr w:type="spellEnd"/>
      <w:r w:rsidRPr="01336852">
        <w:rPr>
          <w:rFonts w:ascii="Verdana" w:hAnsi="Verdana" w:cs="Arial"/>
          <w:lang w:val="es-ES"/>
        </w:rPr>
        <w:t xml:space="preserve">. No resulta extraño que el sistema de compras públicas se apoye en normas de derecho civil y comercial, ya que la figura del contrato es transversal a todo el ordenamiento jurídico. Respecto a las </w:t>
      </w:r>
      <w:r w:rsidRPr="01336852">
        <w:rPr>
          <w:rFonts w:ascii="Verdana" w:hAnsi="Verdana" w:cs="Arial"/>
          <w:i/>
          <w:lang w:val="es-ES"/>
        </w:rPr>
        <w:t>entidades sometidas a la Ley 80 de 1993</w:t>
      </w:r>
      <w:r w:rsidRPr="01336852">
        <w:rPr>
          <w:rFonts w:ascii="Verdana" w:hAnsi="Verdana" w:cs="Arial"/>
          <w:lang w:val="es-E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1350DEE2" w14:textId="77777777" w:rsidR="00BC2521" w:rsidRPr="00817382" w:rsidRDefault="00BC2521" w:rsidP="00BC2521">
      <w:pPr>
        <w:spacing w:after="120" w:line="276" w:lineRule="auto"/>
        <w:ind w:firstLine="708"/>
        <w:jc w:val="both"/>
        <w:rPr>
          <w:rFonts w:ascii="Verdana" w:hAnsi="Verdana" w:cs="Arial"/>
          <w:bCs/>
          <w:lang w:val="es-ES_tradnl"/>
        </w:rPr>
      </w:pPr>
      <w:r w:rsidRPr="00817382">
        <w:rPr>
          <w:rFonts w:ascii="Verdana" w:hAnsi="Verdana" w:cs="Arial"/>
          <w:bCs/>
          <w:lang w:val="es-ES_tradnl"/>
        </w:rPr>
        <w:t xml:space="preserve">No obstante, aunque tenga una influencia limitada, las </w:t>
      </w:r>
      <w:r w:rsidRPr="00817382">
        <w:rPr>
          <w:rFonts w:ascii="Verdana" w:hAnsi="Verdana" w:cs="Arial"/>
          <w:bCs/>
          <w:i/>
          <w:iCs/>
          <w:lang w:val="es-ES_tradnl"/>
        </w:rPr>
        <w:t>entidades del régimen exceptuado</w:t>
      </w:r>
      <w:r w:rsidRPr="00817382">
        <w:rPr>
          <w:rFonts w:ascii="Verdana" w:hAnsi="Verdana" w:cs="Arial"/>
          <w:bCs/>
          <w:lang w:val="es-ES_tradnl"/>
        </w:rPr>
        <w:t xml:space="preserve"> no se deslingan por completo de las normas de derecho </w:t>
      </w:r>
      <w:r w:rsidRPr="00817382">
        <w:rPr>
          <w:rFonts w:ascii="Verdana" w:hAnsi="Verdana" w:cs="Arial"/>
          <w:bCs/>
          <w:lang w:val="es-ES_tradnl"/>
        </w:rPr>
        <w:lastRenderedPageBreak/>
        <w:t>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0833029" w14:textId="77777777" w:rsidR="00BC2521" w:rsidRPr="00817382" w:rsidRDefault="00BC2521" w:rsidP="00BC2521">
      <w:pPr>
        <w:spacing w:after="0" w:line="276" w:lineRule="auto"/>
        <w:ind w:firstLine="709"/>
        <w:jc w:val="both"/>
        <w:rPr>
          <w:rFonts w:ascii="Verdana" w:hAnsi="Verdana" w:cs="Arial"/>
          <w:lang w:val="es-ES"/>
        </w:rPr>
      </w:pPr>
      <w:r w:rsidRPr="01336852">
        <w:rPr>
          <w:rFonts w:ascii="Verdana" w:hAnsi="Verdana" w:cs="Arial"/>
          <w:lang w:val="es-E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1336852">
        <w:rPr>
          <w:rFonts w:ascii="Verdana" w:hAnsi="Verdana" w:cs="Arial"/>
          <w:lang w:val="es-ES"/>
        </w:rPr>
        <w:t>ii</w:t>
      </w:r>
      <w:proofErr w:type="spellEnd"/>
      <w:r w:rsidRPr="01336852">
        <w:rPr>
          <w:rFonts w:ascii="Verdana" w:hAnsi="Verdana" w:cs="Arial"/>
          <w:lang w:val="es-ES"/>
        </w:rPr>
        <w:t xml:space="preserve">) flexibilizar el ejercicio de la función administrativa –como en los contratos del Banco de la República o los de ciencia y tecnología– o </w:t>
      </w:r>
      <w:proofErr w:type="spellStart"/>
      <w:r w:rsidRPr="01336852">
        <w:rPr>
          <w:rFonts w:ascii="Verdana" w:hAnsi="Verdana" w:cs="Arial"/>
          <w:lang w:val="es-ES"/>
        </w:rPr>
        <w:t>iii</w:t>
      </w:r>
      <w:proofErr w:type="spellEnd"/>
      <w:r w:rsidRPr="01336852">
        <w:rPr>
          <w:rFonts w:ascii="Verdana" w:hAnsi="Verdana" w:cs="Arial"/>
          <w:lang w:val="es-ES"/>
        </w:rPr>
        <w:t>) establecer un régimen especial sin excluir por completo la aplicación de la Ley 80 de 1993 –como ocurre en la operaciones del crédito público–</w:t>
      </w:r>
      <w:r w:rsidRPr="01336852">
        <w:rPr>
          <w:rFonts w:ascii="Verdana" w:hAnsi="Verdana" w:cs="Arial"/>
          <w:vertAlign w:val="superscript"/>
          <w:lang w:val="es-ES"/>
        </w:rPr>
        <w:footnoteReference w:id="8"/>
      </w:r>
      <w:r w:rsidRPr="01336852">
        <w:rPr>
          <w:rFonts w:ascii="Verdana" w:hAnsi="Verdana" w:cs="Arial"/>
          <w:lang w:val="es-ES"/>
        </w:rPr>
        <w:t xml:space="preserve">.  Para estos efectos, la doctrina ha identificado 171 entidades y contratos que manejan un régimen excepcional, los cuales se clasifican de acuerdo i) al sector económico, </w:t>
      </w:r>
      <w:proofErr w:type="spellStart"/>
      <w:r w:rsidRPr="01336852">
        <w:rPr>
          <w:rFonts w:ascii="Verdana" w:hAnsi="Verdana" w:cs="Arial"/>
          <w:lang w:val="es-ES"/>
        </w:rPr>
        <w:t>ii</w:t>
      </w:r>
      <w:proofErr w:type="spellEnd"/>
      <w:r w:rsidRPr="01336852">
        <w:rPr>
          <w:rFonts w:ascii="Verdana" w:hAnsi="Verdana" w:cs="Arial"/>
          <w:lang w:val="es-ES"/>
        </w:rPr>
        <w:t xml:space="preserve">) la asignación de un esquema legal especial, </w:t>
      </w:r>
      <w:proofErr w:type="spellStart"/>
      <w:r w:rsidRPr="01336852">
        <w:rPr>
          <w:rFonts w:ascii="Verdana" w:hAnsi="Verdana" w:cs="Arial"/>
          <w:lang w:val="es-ES"/>
        </w:rPr>
        <w:t>iii</w:t>
      </w:r>
      <w:proofErr w:type="spellEnd"/>
      <w:r w:rsidRPr="01336852">
        <w:rPr>
          <w:rFonts w:ascii="Verdana" w:hAnsi="Verdana" w:cs="Arial"/>
          <w:lang w:val="es-ES"/>
        </w:rPr>
        <w:t xml:space="preserve">) el objeto del contrato celebrado y </w:t>
      </w:r>
      <w:proofErr w:type="spellStart"/>
      <w:r w:rsidRPr="01336852">
        <w:rPr>
          <w:rFonts w:ascii="Verdana" w:hAnsi="Verdana" w:cs="Arial"/>
          <w:lang w:val="es-ES"/>
        </w:rPr>
        <w:t>iv</w:t>
      </w:r>
      <w:proofErr w:type="spellEnd"/>
      <w:r w:rsidRPr="01336852">
        <w:rPr>
          <w:rFonts w:ascii="Verdana" w:hAnsi="Verdana" w:cs="Arial"/>
          <w:lang w:val="es-ES"/>
        </w:rPr>
        <w:t>) la existencia de fondos que administran recursos públicos</w:t>
      </w:r>
      <w:r w:rsidRPr="01336852">
        <w:rPr>
          <w:rFonts w:ascii="Verdana" w:hAnsi="Verdana" w:cs="Arial"/>
          <w:vertAlign w:val="superscript"/>
          <w:lang w:val="es-ES"/>
        </w:rPr>
        <w:footnoteReference w:id="9"/>
      </w:r>
      <w:r w:rsidRPr="01336852">
        <w:rPr>
          <w:rFonts w:ascii="Verdana" w:hAnsi="Verdana" w:cs="Arial"/>
          <w:lang w:val="es-ES"/>
        </w:rPr>
        <w:t>.</w:t>
      </w:r>
    </w:p>
    <w:p w14:paraId="63DB673D" w14:textId="77777777" w:rsidR="00BC2521" w:rsidRPr="00817382" w:rsidRDefault="00BC2521" w:rsidP="00BC2521">
      <w:pPr>
        <w:spacing w:after="0" w:line="276" w:lineRule="auto"/>
        <w:ind w:firstLine="709"/>
        <w:jc w:val="both"/>
        <w:rPr>
          <w:rFonts w:ascii="Verdana" w:hAnsi="Verdana" w:cs="Arial"/>
          <w:bCs/>
          <w:lang w:val="es-ES_tradnl"/>
        </w:rPr>
      </w:pPr>
    </w:p>
    <w:p w14:paraId="731480E6" w14:textId="77777777" w:rsidR="00BC2521" w:rsidRPr="00817382" w:rsidRDefault="00BC2521" w:rsidP="00BC2521">
      <w:pPr>
        <w:tabs>
          <w:tab w:val="left" w:pos="426"/>
        </w:tabs>
        <w:spacing w:line="276" w:lineRule="auto"/>
        <w:jc w:val="both"/>
        <w:rPr>
          <w:rFonts w:ascii="Verdana" w:eastAsia="Calibri" w:hAnsi="Verdana" w:cs="Arial"/>
          <w:b/>
          <w:color w:val="000000" w:themeColor="text1"/>
          <w:lang w:val="es-ES"/>
        </w:rPr>
      </w:pPr>
      <w:proofErr w:type="spellStart"/>
      <w:r w:rsidRPr="01336852">
        <w:rPr>
          <w:rFonts w:ascii="Verdana" w:hAnsi="Verdana" w:cs="Arial"/>
          <w:lang w:val="es-ES"/>
        </w:rPr>
        <w:t>iv</w:t>
      </w:r>
      <w:proofErr w:type="spellEnd"/>
      <w:r w:rsidRPr="01336852">
        <w:rPr>
          <w:rFonts w:ascii="Verdana" w:hAnsi="Verdana" w:cs="Arial"/>
          <w:lang w:val="es-ES"/>
        </w:rPr>
        <w:t xml:space="preserve">. </w:t>
      </w:r>
      <w:r w:rsidRPr="01336852">
        <w:rPr>
          <w:rFonts w:ascii="Verdana" w:eastAsia="Calibri" w:hAnsi="Verdana" w:cs="Arial"/>
          <w:color w:val="000000" w:themeColor="text1"/>
          <w:lang w:val="es-ES"/>
        </w:rPr>
        <w:t xml:space="preserve">Las </w:t>
      </w:r>
      <w:r w:rsidRPr="01336852">
        <w:rPr>
          <w:rFonts w:ascii="Verdana" w:eastAsia="Calibri" w:hAnsi="Verdana" w:cs="Arial"/>
          <w:i/>
          <w:color w:val="000000" w:themeColor="text1"/>
          <w:lang w:val="es-ES"/>
        </w:rPr>
        <w:t>entidades de régimen especial</w:t>
      </w:r>
      <w:r w:rsidRPr="01336852">
        <w:rPr>
          <w:rFonts w:ascii="Verdana" w:eastAsia="Calibri" w:hAnsi="Verdana" w:cs="Arial"/>
          <w:color w:val="000000" w:themeColor="text1"/>
          <w:lang w:val="es-ES"/>
        </w:rPr>
        <w:t xml:space="preserve">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74A1ED6A" w14:textId="77777777" w:rsidR="00BC2521" w:rsidRPr="00817382" w:rsidRDefault="00BC2521" w:rsidP="00BC2521">
      <w:pPr>
        <w:spacing w:before="120" w:after="120" w:line="276" w:lineRule="auto"/>
        <w:jc w:val="both"/>
        <w:rPr>
          <w:rFonts w:ascii="Verdana" w:eastAsia="Calibri" w:hAnsi="Verdana" w:cs="Arial"/>
          <w:color w:val="000000" w:themeColor="text1"/>
          <w:lang w:val="es-ES"/>
        </w:rPr>
      </w:pPr>
      <w:r w:rsidRPr="00817382">
        <w:rPr>
          <w:rFonts w:ascii="Verdana" w:eastAsia="Calibri" w:hAnsi="Verdana" w:cs="Arial"/>
          <w:color w:val="000000" w:themeColor="text1"/>
          <w:lang w:val="es-ES_tradnl"/>
        </w:rPr>
        <w:tab/>
      </w:r>
      <w:r w:rsidRPr="01336852">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w:t>
      </w:r>
      <w:r w:rsidRPr="01336852">
        <w:rPr>
          <w:rFonts w:ascii="Verdana" w:eastAsia="Calibri" w:hAnsi="Verdana" w:cs="Arial"/>
          <w:color w:val="000000" w:themeColor="text1"/>
          <w:lang w:val="es-ES"/>
        </w:rPr>
        <w:lastRenderedPageBreak/>
        <w:t>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01336852">
        <w:rPr>
          <w:rStyle w:val="Refdenotaalpie"/>
          <w:rFonts w:ascii="Verdana" w:eastAsia="Calibri" w:hAnsi="Verdana" w:cs="Arial"/>
          <w:color w:val="000000" w:themeColor="text1"/>
          <w:lang w:val="es-ES"/>
        </w:rPr>
        <w:footnoteReference w:id="10"/>
      </w:r>
      <w:r w:rsidRPr="01336852">
        <w:rPr>
          <w:rFonts w:ascii="Verdana" w:eastAsia="Calibri" w:hAnsi="Verdana" w:cs="Arial"/>
          <w:color w:val="000000" w:themeColor="text1"/>
          <w:lang w:val="es-ES"/>
        </w:rPr>
        <w:t>.</w:t>
      </w:r>
    </w:p>
    <w:p w14:paraId="031DF113" w14:textId="77777777" w:rsidR="00BC2521" w:rsidRPr="00817382" w:rsidRDefault="00BC2521" w:rsidP="00BC2521">
      <w:pPr>
        <w:spacing w:after="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2EB6193B" w14:textId="77777777" w:rsidR="00BC2521" w:rsidRPr="00817382" w:rsidRDefault="00BC2521" w:rsidP="00BC2521">
      <w:pPr>
        <w:spacing w:after="0" w:line="276" w:lineRule="auto"/>
        <w:jc w:val="both"/>
        <w:rPr>
          <w:rFonts w:ascii="Verdana" w:eastAsia="Calibri" w:hAnsi="Verdana" w:cs="Arial"/>
          <w:color w:val="000000" w:themeColor="text1"/>
          <w:lang w:val="es-ES_tradnl"/>
        </w:rPr>
      </w:pPr>
    </w:p>
    <w:p w14:paraId="1AF2B02C" w14:textId="77777777" w:rsidR="00BC2521" w:rsidRPr="00DE5519" w:rsidRDefault="00BC2521" w:rsidP="00BC2521">
      <w:pPr>
        <w:spacing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B5D5A41" w14:textId="77777777" w:rsidR="00BC2521" w:rsidRPr="00DE5519" w:rsidRDefault="00BC2521" w:rsidP="00BC2521">
      <w:pPr>
        <w:spacing w:line="240" w:lineRule="auto"/>
        <w:ind w:left="709" w:right="709"/>
        <w:jc w:val="both"/>
        <w:rPr>
          <w:rFonts w:ascii="Verdana" w:eastAsia="Calibri" w:hAnsi="Verdana" w:cs="Arial"/>
          <w:color w:val="000000" w:themeColor="text1"/>
          <w:sz w:val="20"/>
          <w:szCs w:val="20"/>
          <w:lang w:val="es-ES"/>
        </w:rPr>
      </w:pPr>
      <w:r w:rsidRPr="01336852">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775C5A62" w14:textId="77777777" w:rsidR="00BC2521" w:rsidRPr="00DE5519" w:rsidRDefault="00BC2521" w:rsidP="00BC2521">
      <w:pPr>
        <w:spacing w:after="0"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w:t>
      </w:r>
      <w:r w:rsidRPr="00DE5519">
        <w:rPr>
          <w:rFonts w:ascii="Verdana" w:eastAsia="Calibri" w:hAnsi="Verdana" w:cs="Arial"/>
          <w:color w:val="000000" w:themeColor="text1"/>
          <w:sz w:val="20"/>
          <w:szCs w:val="20"/>
          <w:lang w:val="es-ES_tradnl"/>
        </w:rPr>
        <w:lastRenderedPageBreak/>
        <w:t>Estado, la trasparencia y en general los demás valores propios de la gestión de lo público”</w:t>
      </w:r>
      <w:r w:rsidRPr="00DE5519">
        <w:rPr>
          <w:rStyle w:val="Refdenotaalpie"/>
          <w:rFonts w:ascii="Verdana" w:eastAsia="Calibri" w:hAnsi="Verdana" w:cs="Arial"/>
          <w:color w:val="000000" w:themeColor="text1"/>
          <w:sz w:val="20"/>
          <w:szCs w:val="20"/>
          <w:lang w:val="es-ES_tradnl"/>
        </w:rPr>
        <w:footnoteReference w:id="11"/>
      </w:r>
      <w:r w:rsidRPr="00DE5519">
        <w:rPr>
          <w:rFonts w:ascii="Verdana" w:eastAsia="Calibri" w:hAnsi="Verdana" w:cs="Arial"/>
          <w:color w:val="000000" w:themeColor="text1"/>
          <w:sz w:val="20"/>
          <w:szCs w:val="20"/>
          <w:lang w:val="es-ES_tradnl"/>
        </w:rPr>
        <w:t>.</w:t>
      </w:r>
    </w:p>
    <w:p w14:paraId="2D045BA9" w14:textId="77777777" w:rsidR="00BC2521" w:rsidRPr="00817382" w:rsidRDefault="00BC2521" w:rsidP="00BC2521">
      <w:pPr>
        <w:spacing w:after="0" w:line="276" w:lineRule="auto"/>
        <w:ind w:left="709" w:right="709"/>
        <w:jc w:val="both"/>
        <w:rPr>
          <w:rFonts w:ascii="Verdana" w:eastAsia="Calibri" w:hAnsi="Verdana" w:cs="Arial"/>
          <w:color w:val="000000" w:themeColor="text1"/>
          <w:lang w:val="es-ES_tradnl"/>
        </w:rPr>
      </w:pPr>
    </w:p>
    <w:p w14:paraId="1B3D3831" w14:textId="77777777" w:rsidR="00BC2521" w:rsidRPr="00817382" w:rsidRDefault="00BC2521" w:rsidP="00BC2521">
      <w:pPr>
        <w:spacing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16A16275" w14:textId="77777777" w:rsidR="00BC2521" w:rsidRPr="00817382" w:rsidRDefault="00BC2521" w:rsidP="00BC2521">
      <w:pPr>
        <w:spacing w:before="120" w:after="120"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14:paraId="484ACDE3" w14:textId="77777777" w:rsidR="00BC2521" w:rsidRDefault="00BC2521" w:rsidP="00BC2521">
      <w:pPr>
        <w:spacing w:after="0" w:line="276" w:lineRule="auto"/>
        <w:ind w:firstLine="709"/>
        <w:jc w:val="both"/>
        <w:rPr>
          <w:rFonts w:ascii="Verdana" w:eastAsia="Calibri" w:hAnsi="Verdana" w:cs="Arial"/>
          <w:color w:val="000000" w:themeColor="text1"/>
          <w:lang w:val="es-ES"/>
        </w:rPr>
      </w:pPr>
      <w:r w:rsidRPr="01336852">
        <w:rPr>
          <w:rFonts w:ascii="Verdana" w:eastAsia="Calibri" w:hAnsi="Verdana" w:cs="Arial"/>
          <w:color w:val="000000" w:themeColor="text1"/>
          <w:lang w:val="es-ES"/>
        </w:rPr>
        <w:t>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por regla general, debe acudir al juez competente.</w:t>
      </w:r>
    </w:p>
    <w:p w14:paraId="78C95DD2" w14:textId="77777777" w:rsidR="00BC2521" w:rsidRPr="00817382" w:rsidRDefault="00BC2521" w:rsidP="00BC2521">
      <w:pPr>
        <w:spacing w:after="0" w:line="276" w:lineRule="auto"/>
        <w:ind w:firstLine="709"/>
        <w:jc w:val="both"/>
        <w:rPr>
          <w:rFonts w:ascii="Verdana" w:eastAsia="Calibri" w:hAnsi="Verdana" w:cs="Arial"/>
          <w:color w:val="000000" w:themeColor="text1"/>
          <w:lang w:val="es-ES_tradnl"/>
        </w:rPr>
      </w:pPr>
    </w:p>
    <w:p w14:paraId="602131C1" w14:textId="77777777" w:rsidR="00BC2521" w:rsidRPr="00817382" w:rsidRDefault="00BC2521" w:rsidP="00BC2521">
      <w:pPr>
        <w:spacing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v. </w:t>
      </w:r>
      <w:r w:rsidRPr="00817382">
        <w:rPr>
          <w:rFonts w:ascii="Verdana" w:eastAsia="Calibri" w:hAnsi="Verdana" w:cs="Arial"/>
          <w:color w:val="000000" w:themeColor="text1"/>
          <w:lang w:val="es-ES_tradnl"/>
        </w:rPr>
        <w:t xml:space="preserve">Como se explicó, el hecho de que algunas entidades estatales se rijan por el derecho privado en materia contractual no puede entenderse como una negación de lo que establece el artículo 13 de la Ley 1150 de 2007. Este enunciado </w:t>
      </w:r>
      <w:r w:rsidRPr="00817382">
        <w:rPr>
          <w:rFonts w:ascii="Verdana" w:eastAsia="Calibri" w:hAnsi="Verdana" w:cs="Arial"/>
          <w:color w:val="000000" w:themeColor="text1"/>
          <w:lang w:val="es-ES_tradnl"/>
        </w:rPr>
        <w:lastRenderedPageBreak/>
        <w:t>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00817382">
        <w:rPr>
          <w:rStyle w:val="Refdenotaalpie"/>
          <w:rFonts w:ascii="Verdana" w:eastAsia="Calibri" w:hAnsi="Verdana" w:cs="Arial"/>
          <w:color w:val="000000" w:themeColor="text1"/>
          <w:lang w:val="es-ES_tradnl"/>
        </w:rPr>
        <w:footnoteReference w:id="12"/>
      </w:r>
      <w:r w:rsidRPr="00817382">
        <w:rPr>
          <w:rFonts w:ascii="Verdana" w:eastAsia="Calibri" w:hAnsi="Verdana" w:cs="Arial"/>
          <w:color w:val="000000" w:themeColor="text1"/>
          <w:lang w:val="es-ES_tradnl"/>
        </w:rPr>
        <w:t xml:space="preserve">. </w:t>
      </w:r>
    </w:p>
    <w:p w14:paraId="747EABAD" w14:textId="77777777" w:rsidR="00BC2521" w:rsidRPr="00817382" w:rsidRDefault="00BC2521" w:rsidP="00BC2521">
      <w:pPr>
        <w:spacing w:before="12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Adicionalmente, las entidades estatales que, por disposición legal, cuentan con un régimen especial</w:t>
      </w:r>
      <w:r w:rsidRPr="00817382">
        <w:rPr>
          <w:rStyle w:val="Refdenotaalpie"/>
          <w:rFonts w:ascii="Verdana" w:eastAsia="Calibri" w:hAnsi="Verdana" w:cs="Arial"/>
          <w:color w:val="000000" w:themeColor="text1"/>
          <w:lang w:val="es-ES_tradnl"/>
        </w:rPr>
        <w:footnoteReference w:id="13"/>
      </w:r>
      <w:r w:rsidRPr="00817382">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817382">
        <w:rPr>
          <w:rStyle w:val="Refdenotaalpie"/>
          <w:rFonts w:ascii="Verdana" w:eastAsia="Calibri" w:hAnsi="Verdana" w:cs="Arial"/>
          <w:color w:val="000000" w:themeColor="text1"/>
          <w:lang w:val="es-ES_tradnl"/>
        </w:rPr>
        <w:footnoteReference w:id="14"/>
      </w:r>
      <w:r w:rsidRPr="00817382">
        <w:rPr>
          <w:rFonts w:ascii="Verdana" w:eastAsia="Calibri" w:hAnsi="Verdana" w:cs="Arial"/>
          <w:color w:val="000000" w:themeColor="text1"/>
          <w:lang w:val="es-ES_tradnl"/>
        </w:rPr>
        <w:t xml:space="preserve">–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3A8D01A3" w14:textId="77777777" w:rsidR="00BC2521" w:rsidRDefault="00BC2521" w:rsidP="00BC2521">
      <w:pPr>
        <w:spacing w:before="120" w:after="0" w:line="276" w:lineRule="auto"/>
        <w:ind w:firstLine="709"/>
        <w:jc w:val="both"/>
        <w:rPr>
          <w:rFonts w:ascii="Verdana" w:eastAsia="Calibri" w:hAnsi="Verdana" w:cs="Arial"/>
          <w:color w:val="000000" w:themeColor="text1"/>
          <w:lang w:val="es-ES"/>
        </w:rPr>
      </w:pPr>
      <w:r w:rsidRPr="01336852">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1336852">
        <w:rPr>
          <w:rFonts w:ascii="Verdana" w:eastAsia="Calibri" w:hAnsi="Verdana" w:cs="Arial"/>
          <w:color w:val="000000" w:themeColor="text1"/>
          <w:lang w:val="es-ES"/>
        </w:rPr>
        <w:t>ii</w:t>
      </w:r>
      <w:proofErr w:type="spellEnd"/>
      <w:r w:rsidRPr="01336852">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01336852">
        <w:rPr>
          <w:rFonts w:ascii="Verdana" w:eastAsia="Calibri" w:hAnsi="Verdana" w:cs="Arial"/>
          <w:color w:val="000000" w:themeColor="text1"/>
          <w:lang w:val="es-ES"/>
        </w:rPr>
        <w:t>iii</w:t>
      </w:r>
      <w:proofErr w:type="spellEnd"/>
      <w:r w:rsidRPr="01336852">
        <w:rPr>
          <w:rFonts w:ascii="Verdana" w:eastAsia="Calibri" w:hAnsi="Verdana" w:cs="Arial"/>
          <w:color w:val="000000" w:themeColor="text1"/>
          <w:lang w:val="es-ES"/>
        </w:rPr>
        <w:t xml:space="preserve">) procedimientos para su </w:t>
      </w:r>
      <w:r w:rsidRPr="01336852">
        <w:rPr>
          <w:rFonts w:ascii="Verdana" w:eastAsia="Calibri" w:hAnsi="Verdana" w:cs="Arial"/>
          <w:color w:val="000000" w:themeColor="text1"/>
          <w:lang w:val="es-ES"/>
        </w:rPr>
        <w:lastRenderedPageBreak/>
        <w:t xml:space="preserve">imposición, </w:t>
      </w:r>
      <w:proofErr w:type="spellStart"/>
      <w:r w:rsidRPr="01336852">
        <w:rPr>
          <w:rFonts w:ascii="Verdana" w:eastAsia="Calibri" w:hAnsi="Verdana" w:cs="Arial"/>
          <w:color w:val="000000" w:themeColor="text1"/>
          <w:lang w:val="es-ES"/>
        </w:rPr>
        <w:t>iv</w:t>
      </w:r>
      <w:proofErr w:type="spellEnd"/>
      <w:r w:rsidRPr="01336852">
        <w:rPr>
          <w:rFonts w:ascii="Verdana" w:eastAsia="Calibri" w:hAnsi="Verdana" w:cs="Arial"/>
          <w:color w:val="000000" w:themeColor="text1"/>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01336852">
        <w:rPr>
          <w:rStyle w:val="Refdenotaalpie"/>
          <w:rFonts w:ascii="Verdana" w:eastAsia="Calibri" w:hAnsi="Verdana" w:cs="Arial"/>
          <w:color w:val="000000" w:themeColor="text1"/>
          <w:lang w:val="es-ES"/>
        </w:rPr>
        <w:footnoteReference w:id="15"/>
      </w:r>
      <w:r w:rsidRPr="01336852">
        <w:rPr>
          <w:rFonts w:ascii="Verdana" w:eastAsia="Calibri" w:hAnsi="Verdana" w:cs="Arial"/>
          <w:color w:val="000000" w:themeColor="text1"/>
          <w:lang w:val="es-ES"/>
        </w:rPr>
        <w:t>.</w:t>
      </w:r>
    </w:p>
    <w:p w14:paraId="4E84925F" w14:textId="77777777" w:rsidR="00BC2521" w:rsidRDefault="00BC2521" w:rsidP="00BC2521">
      <w:pPr>
        <w:spacing w:after="0" w:line="276" w:lineRule="auto"/>
        <w:ind w:firstLine="709"/>
        <w:jc w:val="both"/>
        <w:rPr>
          <w:rFonts w:ascii="Verdana" w:eastAsia="Calibri" w:hAnsi="Verdana" w:cs="Arial"/>
          <w:color w:val="000000" w:themeColor="text1"/>
          <w:lang w:val="es-ES_tradnl"/>
        </w:rPr>
      </w:pPr>
    </w:p>
    <w:p w14:paraId="4EF01D47" w14:textId="77777777" w:rsidR="00BC2521" w:rsidRPr="009B6C67" w:rsidRDefault="00BC2521" w:rsidP="00BC2521">
      <w:pPr>
        <w:spacing w:after="120" w:line="276" w:lineRule="auto"/>
        <w:jc w:val="both"/>
        <w:rPr>
          <w:rFonts w:ascii="Verdana" w:eastAsia="Calibri" w:hAnsi="Verdana" w:cs="Arial"/>
          <w:b/>
          <w:bCs/>
          <w:color w:val="000000" w:themeColor="text1"/>
        </w:rPr>
      </w:pPr>
      <w:r>
        <w:rPr>
          <w:rFonts w:ascii="Verdana" w:eastAsia="Calibri" w:hAnsi="Verdana" w:cs="Arial"/>
          <w:color w:val="000000" w:themeColor="text1"/>
          <w:lang w:val="es-ES_tradnl"/>
        </w:rPr>
        <w:t xml:space="preserve">vi. </w:t>
      </w:r>
      <w:r>
        <w:rPr>
          <w:rFonts w:ascii="Verdana" w:eastAsia="Calibri" w:hAnsi="Verdana" w:cs="Arial"/>
          <w:color w:val="000000" w:themeColor="text1"/>
        </w:rPr>
        <w:t>En l</w:t>
      </w:r>
      <w:r w:rsidRPr="009B6C67">
        <w:rPr>
          <w:rFonts w:ascii="Verdana" w:eastAsia="Calibri" w:hAnsi="Verdana" w:cs="Arial"/>
          <w:color w:val="000000" w:themeColor="text1"/>
        </w:rPr>
        <w:t xml:space="preserve">a estructura de la Administración pública se encuentran las entidades descentralizadas por servicios, y dentro de dicha categoría se ubican las </w:t>
      </w:r>
      <w:r w:rsidRPr="00DF4C6C">
        <w:rPr>
          <w:rFonts w:ascii="Verdana" w:eastAsia="Calibri" w:hAnsi="Verdana" w:cs="Arial"/>
          <w:color w:val="000000" w:themeColor="text1"/>
        </w:rPr>
        <w:t>sociedades de economía mixta</w:t>
      </w:r>
      <w:r w:rsidRPr="009B6C67">
        <w:rPr>
          <w:rFonts w:ascii="Verdana" w:eastAsia="Calibri" w:hAnsi="Verdana" w:cs="Arial"/>
          <w:color w:val="000000" w:themeColor="text1"/>
        </w:rPr>
        <w:t>, las cuales –sin perjuicio del control de tutela– tienen personería jurídica, autonomía administrativa y patrimonio propio.</w:t>
      </w:r>
      <w:r w:rsidRPr="009B6C67">
        <w:rPr>
          <w:rFonts w:ascii="Verdana" w:eastAsia="Calibri" w:hAnsi="Verdana" w:cs="Arial"/>
          <w:b/>
          <w:bCs/>
          <w:color w:val="000000" w:themeColor="text1"/>
        </w:rPr>
        <w:t xml:space="preserve"> </w:t>
      </w:r>
      <w:r>
        <w:rPr>
          <w:rFonts w:ascii="Verdana" w:eastAsia="Calibri" w:hAnsi="Verdana" w:cs="Arial"/>
          <w:color w:val="000000" w:themeColor="text1"/>
        </w:rPr>
        <w:t xml:space="preserve">El inciso primero del artículo 97 de la Ley 489 de 1998 las define como “[…] </w:t>
      </w:r>
      <w:r w:rsidRPr="00DF4C6C">
        <w:rPr>
          <w:rFonts w:ascii="Verdana" w:eastAsia="Calibri" w:hAnsi="Verdana" w:cs="Arial"/>
          <w:color w:val="000000" w:themeColor="text1"/>
        </w:rPr>
        <w:t>organismos autorizados por la ley, constituidos bajo la forma de sociedades comerciales con aportes estatales y de capital privado, que desarrollan actividades de naturaleza industrial o comercial conforme a las reglas de Derecho Privado, salvo las excepciones que consagra la ley</w:t>
      </w:r>
      <w:r>
        <w:rPr>
          <w:rFonts w:ascii="Verdana" w:eastAsia="Calibri" w:hAnsi="Verdana" w:cs="Arial"/>
          <w:color w:val="000000" w:themeColor="text1"/>
        </w:rPr>
        <w:t>”</w:t>
      </w:r>
      <w:r w:rsidRPr="009B6C67">
        <w:rPr>
          <w:rFonts w:ascii="Verdana" w:eastAsia="Calibri" w:hAnsi="Verdana" w:cs="Arial"/>
          <w:color w:val="000000" w:themeColor="text1"/>
        </w:rPr>
        <w:t xml:space="preserve">. Así, por ejemplo, son </w:t>
      </w:r>
      <w:r>
        <w:rPr>
          <w:rFonts w:ascii="Verdana" w:eastAsia="Calibri" w:hAnsi="Verdana" w:cs="Arial"/>
          <w:color w:val="000000" w:themeColor="text1"/>
        </w:rPr>
        <w:t>sociedades de economía mixta la Previsora SA, la Fiduciaria de Comercio Exterior</w:t>
      </w:r>
      <w:r w:rsidRPr="009B6C67">
        <w:rPr>
          <w:rFonts w:ascii="Verdana" w:eastAsia="Calibri" w:hAnsi="Verdana" w:cs="Arial"/>
          <w:color w:val="000000" w:themeColor="text1"/>
        </w:rPr>
        <w:t xml:space="preserve">, </w:t>
      </w:r>
      <w:r>
        <w:rPr>
          <w:rFonts w:ascii="Verdana" w:eastAsia="Calibri" w:hAnsi="Verdana" w:cs="Arial"/>
          <w:color w:val="000000" w:themeColor="text1"/>
        </w:rPr>
        <w:t xml:space="preserve">la </w:t>
      </w:r>
      <w:r w:rsidRPr="00A22A66">
        <w:rPr>
          <w:rFonts w:ascii="Verdana" w:eastAsia="Calibri" w:hAnsi="Verdana" w:cs="Arial"/>
          <w:color w:val="000000" w:themeColor="text1"/>
        </w:rPr>
        <w:t>Corporación de la Industria Aeronáutica Colombiana</w:t>
      </w:r>
      <w:r>
        <w:rPr>
          <w:rFonts w:ascii="Verdana" w:eastAsia="Calibri" w:hAnsi="Verdana" w:cs="Arial"/>
          <w:color w:val="000000" w:themeColor="text1"/>
        </w:rPr>
        <w:t>, la Financiera de Desarrollo Territorial,</w:t>
      </w:r>
      <w:r w:rsidRPr="00A22A66">
        <w:rPr>
          <w:rFonts w:ascii="Verdana" w:eastAsia="Calibri" w:hAnsi="Verdana" w:cs="Arial"/>
          <w:color w:val="000000" w:themeColor="text1"/>
        </w:rPr>
        <w:t xml:space="preserve"> </w:t>
      </w:r>
      <w:r w:rsidRPr="009B6C67">
        <w:rPr>
          <w:rFonts w:ascii="Verdana" w:eastAsia="Calibri" w:hAnsi="Verdana" w:cs="Arial"/>
          <w:color w:val="000000" w:themeColor="text1"/>
        </w:rPr>
        <w:t>entre otras.</w:t>
      </w:r>
    </w:p>
    <w:p w14:paraId="6CA013AB" w14:textId="77777777" w:rsidR="00BC2521" w:rsidRPr="009B6C67" w:rsidRDefault="00BC2521" w:rsidP="00BC2521">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lastRenderedPageBreak/>
        <w:tab/>
        <w:t xml:space="preserve">Considerando la actividad desarrollada, se itera, de carácter industrial o comercial,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excepciones legales.         </w:t>
      </w:r>
    </w:p>
    <w:p w14:paraId="541F7005" w14:textId="77777777" w:rsidR="00BC2521" w:rsidRPr="009B6C67" w:rsidRDefault="00BC2521" w:rsidP="00BC2521">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Sobre el régimen de contratación, el artículo 2 de la Ley 80 de 1993  incorporó</w:t>
      </w:r>
      <w:r>
        <w:rPr>
          <w:rFonts w:ascii="Verdana" w:eastAsia="Calibri" w:hAnsi="Verdana" w:cs="Arial"/>
          <w:color w:val="000000" w:themeColor="text1"/>
        </w:rPr>
        <w:t xml:space="preserve"> a</w:t>
      </w:r>
      <w:r w:rsidRPr="009B6C67">
        <w:rPr>
          <w:rFonts w:ascii="Verdana" w:eastAsia="Calibri" w:hAnsi="Verdana" w:cs="Arial"/>
          <w:color w:val="000000" w:themeColor="text1"/>
        </w:rPr>
        <w:t xml:space="preserv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dentro de la categoría de entidades estatales</w:t>
      </w:r>
      <w:r w:rsidRPr="009B6C67">
        <w:rPr>
          <w:rStyle w:val="Refdenotaalpie"/>
          <w:rFonts w:ascii="Verdana" w:eastAsia="Calibri" w:hAnsi="Verdana" w:cs="Arial"/>
          <w:color w:val="000000" w:themeColor="text1"/>
        </w:rPr>
        <w:footnoteReference w:id="16"/>
      </w:r>
      <w:r w:rsidRPr="009B6C67">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B6C67">
        <w:rPr>
          <w:rStyle w:val="Refdenotaalpie"/>
          <w:rFonts w:ascii="Verdana" w:eastAsia="Calibri" w:hAnsi="Verdana" w:cs="Arial"/>
          <w:color w:val="000000" w:themeColor="text1"/>
        </w:rPr>
        <w:footnoteReference w:id="17"/>
      </w:r>
      <w:r w:rsidRPr="009B6C67">
        <w:rPr>
          <w:rFonts w:ascii="Verdana" w:eastAsia="Calibri" w:hAnsi="Verdana" w:cs="Arial"/>
          <w:color w:val="000000" w:themeColor="text1"/>
        </w:rPr>
        <w:t xml:space="preserve">. </w:t>
      </w:r>
    </w:p>
    <w:p w14:paraId="5519550B" w14:textId="77777777" w:rsidR="00BC2521" w:rsidRPr="009B6C67" w:rsidRDefault="00BC2521" w:rsidP="00BC2521">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Actualmente, el artículo 14 de Ley 1150 de 2007 distingue entre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desarrollan sus actividades en competencia con los particulares y las que no: mientras los contratos de estas últimas regresan a las normas de la Ley 80 de 1993, los de aquellas permanecen dentro del Código Civil y de Comercio, lo que –respecto al contenido del artículo </w:t>
      </w:r>
      <w:r>
        <w:rPr>
          <w:rFonts w:ascii="Verdana" w:eastAsia="Calibri" w:hAnsi="Verdana" w:cs="Arial"/>
          <w:color w:val="000000" w:themeColor="text1"/>
        </w:rPr>
        <w:t>97</w:t>
      </w:r>
      <w:r w:rsidRPr="009B6C67">
        <w:rPr>
          <w:rFonts w:ascii="Verdana" w:eastAsia="Calibri" w:hAnsi="Verdana" w:cs="Arial"/>
          <w:color w:val="000000" w:themeColor="text1"/>
        </w:rPr>
        <w:t xml:space="preserve"> de la Ley 489 de 1998– implica un retorno parcial del derecho administrativo. La norma anteriormente citada dispone lo siguiente:</w:t>
      </w:r>
    </w:p>
    <w:p w14:paraId="47E0700C" w14:textId="77777777" w:rsidR="00BC2521" w:rsidRPr="009B6C67" w:rsidRDefault="00BC2521" w:rsidP="00BC2521">
      <w:pPr>
        <w:spacing w:after="0" w:line="276" w:lineRule="auto"/>
        <w:jc w:val="both"/>
        <w:rPr>
          <w:rFonts w:ascii="Verdana" w:eastAsia="Calibri" w:hAnsi="Verdana" w:cs="Arial"/>
          <w:color w:val="000000" w:themeColor="text1"/>
        </w:rPr>
      </w:pPr>
    </w:p>
    <w:p w14:paraId="0837492A" w14:textId="77777777" w:rsidR="00BC2521" w:rsidRPr="008606D3" w:rsidRDefault="00BC2521" w:rsidP="00BC2521">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 xml:space="preserve">“Artículo 14. Modificado por la Ley 1474 de 2011, artículo 93. Las Empresas Industriales y Comerciales del Estado, las Sociedades de Economía Mixta en las que el Estado tenga participación superior al cincuenta por ciento (50%), sus filiales y las Sociedades entre Entidades </w:t>
      </w:r>
      <w:r w:rsidRPr="008606D3">
        <w:rPr>
          <w:rFonts w:ascii="Verdana" w:eastAsia="Calibri" w:hAnsi="Verdana" w:cs="Arial"/>
          <w:color w:val="000000" w:themeColor="text1"/>
          <w:sz w:val="20"/>
          <w:szCs w:val="20"/>
        </w:rPr>
        <w:lastRenderedPageBreak/>
        <w:t>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BFE8AB4" w14:textId="77777777" w:rsidR="00BC2521" w:rsidRPr="009B6C67" w:rsidRDefault="00BC2521" w:rsidP="00BC2521">
      <w:pPr>
        <w:spacing w:after="0" w:line="276" w:lineRule="auto"/>
        <w:ind w:left="709" w:right="709"/>
        <w:jc w:val="both"/>
        <w:rPr>
          <w:rFonts w:ascii="Verdana" w:eastAsia="Calibri" w:hAnsi="Verdana" w:cs="Arial"/>
          <w:color w:val="000000" w:themeColor="text1"/>
        </w:rPr>
      </w:pPr>
    </w:p>
    <w:p w14:paraId="7F1BE8F0" w14:textId="77777777" w:rsidR="00BC2521" w:rsidRPr="009B6C67" w:rsidRDefault="00BC2521" w:rsidP="00BC2521">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En esta medida, 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 En contraste, 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se encuentren en competencia o en mercados regulados es el propio 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6CC43F50" w14:textId="77777777" w:rsidR="00BC2521" w:rsidRPr="009B6C67" w:rsidRDefault="00BC2521" w:rsidP="00BC2521">
      <w:pPr>
        <w:spacing w:after="0" w:line="276" w:lineRule="auto"/>
        <w:jc w:val="both"/>
        <w:rPr>
          <w:rFonts w:ascii="Verdana" w:eastAsia="Calibri" w:hAnsi="Verdana" w:cs="Arial"/>
          <w:color w:val="000000" w:themeColor="text1"/>
        </w:rPr>
      </w:pPr>
    </w:p>
    <w:p w14:paraId="3FBDD121" w14:textId="77777777" w:rsidR="00BC2521" w:rsidRPr="008606D3" w:rsidRDefault="00BC2521" w:rsidP="00BC2521">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700CBC92" w14:textId="77777777" w:rsidR="00BC2521" w:rsidRPr="008606D3" w:rsidRDefault="00BC2521" w:rsidP="00BC2521">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33AB2839" w14:textId="77777777" w:rsidR="00BC2521" w:rsidRPr="008606D3" w:rsidRDefault="00BC2521" w:rsidP="00BC2521">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lastRenderedPageBreak/>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8606D3">
        <w:rPr>
          <w:rStyle w:val="Refdenotaalpie"/>
          <w:rFonts w:ascii="Verdana" w:eastAsia="Calibri" w:hAnsi="Verdana" w:cs="Arial"/>
          <w:color w:val="000000" w:themeColor="text1"/>
          <w:sz w:val="20"/>
          <w:szCs w:val="20"/>
        </w:rPr>
        <w:footnoteReference w:id="18"/>
      </w:r>
      <w:r w:rsidRPr="008606D3">
        <w:rPr>
          <w:rFonts w:ascii="Verdana" w:eastAsia="Calibri" w:hAnsi="Verdana" w:cs="Arial"/>
          <w:color w:val="000000" w:themeColor="text1"/>
          <w:sz w:val="20"/>
          <w:szCs w:val="20"/>
        </w:rPr>
        <w:t>.</w:t>
      </w:r>
    </w:p>
    <w:p w14:paraId="4832DDDC" w14:textId="77777777" w:rsidR="00BC2521" w:rsidRPr="009B6C67" w:rsidRDefault="00BC2521" w:rsidP="00BC2521">
      <w:pPr>
        <w:spacing w:after="0" w:line="276" w:lineRule="auto"/>
        <w:jc w:val="both"/>
        <w:rPr>
          <w:rFonts w:ascii="Verdana" w:eastAsia="Calibri" w:hAnsi="Verdana" w:cs="Arial"/>
          <w:color w:val="000000" w:themeColor="text1"/>
        </w:rPr>
      </w:pPr>
    </w:p>
    <w:p w14:paraId="627621E1" w14:textId="77777777" w:rsidR="00BC2521" w:rsidRDefault="00BC2521" w:rsidP="00BC2521">
      <w:pPr>
        <w:spacing w:after="120" w:line="276" w:lineRule="auto"/>
        <w:ind w:firstLine="709"/>
        <w:jc w:val="both"/>
        <w:rPr>
          <w:rFonts w:ascii="Verdana" w:eastAsia="Calibri" w:hAnsi="Verdana" w:cs="Arial"/>
          <w:color w:val="000000" w:themeColor="text1"/>
        </w:rPr>
      </w:pPr>
      <w:r w:rsidRPr="009B6C67">
        <w:rPr>
          <w:rFonts w:ascii="Verdana" w:eastAsia="Calibri" w:hAnsi="Verdana" w:cs="Arial"/>
          <w:color w:val="000000" w:themeColor="text1"/>
        </w:rPr>
        <w:t xml:space="preserve">Por lo tanto, 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como lo dispone el artículo 14 de la Ley 1150 de 2007.</w:t>
      </w:r>
    </w:p>
    <w:p w14:paraId="68FE9039" w14:textId="77777777" w:rsidR="00BC2521" w:rsidRDefault="00BC2521" w:rsidP="00BC252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Las sociedades de economía mixta excluidas del EGCAP pueden celebrar contratos interadministrativos con sujeción a las causales que establezca el manual de contratación. En contraste, aquellas sometidas a Ley 80 de 1993 pueden suscribir estos negocios directamente con fundamento en la causal del literal c) del artículo 2.4 de la Ley 1150 de 2007, “[…] </w:t>
      </w:r>
      <w:r w:rsidRPr="006A07DF">
        <w:rPr>
          <w:rFonts w:ascii="Verdana" w:eastAsia="Calibri" w:hAnsi="Verdana" w:cs="Arial"/>
          <w:color w:val="000000" w:themeColor="text1"/>
        </w:rPr>
        <w:t xml:space="preserve">siempre que las obligaciones derivadas del mismo tengan relación directa con el objeto de la entidad ejecutora señalado en la ley o en sus reglamentos”. No obstante, se requerirán procesos con pluralidad de oferentes </w:t>
      </w:r>
      <w:r>
        <w:rPr>
          <w:rFonts w:ascii="Verdana" w:eastAsia="Calibri" w:hAnsi="Verdana" w:cs="Arial"/>
          <w:color w:val="000000" w:themeColor="text1"/>
        </w:rPr>
        <w:t>tratándose de</w:t>
      </w:r>
      <w:r w:rsidRPr="006A07DF">
        <w:rPr>
          <w:rFonts w:ascii="Verdana" w:eastAsia="Calibri" w:hAnsi="Verdana" w:cs="Arial"/>
          <w:color w:val="000000" w:themeColor="text1"/>
        </w:rPr>
        <w:t xml:space="preserve"> “[…]</w:t>
      </w:r>
      <w:r>
        <w:rPr>
          <w:rFonts w:ascii="Verdana" w:eastAsia="Calibri" w:hAnsi="Verdana" w:cs="Arial"/>
          <w:color w:val="000000" w:themeColor="text1"/>
        </w:rPr>
        <w:t xml:space="preserve"> </w:t>
      </w:r>
      <w:r w:rsidRPr="006A07DF">
        <w:rPr>
          <w:rFonts w:ascii="Verdana" w:eastAsia="Calibri" w:hAnsi="Verdana" w:cs="Arial"/>
          <w:color w:val="000000" w:themeColor="text1"/>
        </w:rPr>
        <w:t xml:space="preserve">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w:t>
      </w:r>
      <w:r w:rsidRPr="006A07DF">
        <w:rPr>
          <w:rFonts w:ascii="Verdana" w:eastAsia="Calibri" w:hAnsi="Verdana" w:cs="Arial"/>
          <w:color w:val="000000" w:themeColor="text1"/>
        </w:rPr>
        <w:lastRenderedPageBreak/>
        <w:t>sin ánimo de lucro conformadas por la asociación de entidades públicas, o las federaciones de entidades territoriales sean las ejecutoras</w:t>
      </w:r>
      <w:r>
        <w:rPr>
          <w:rFonts w:ascii="Verdana" w:eastAsia="Calibri" w:hAnsi="Verdana" w:cs="Arial"/>
          <w:color w:val="000000" w:themeColor="text1"/>
        </w:rPr>
        <w:t xml:space="preserve"> […]”</w:t>
      </w:r>
      <w:r>
        <w:rPr>
          <w:rStyle w:val="Refdenotaalpie"/>
          <w:rFonts w:ascii="Verdana" w:eastAsia="Calibri" w:hAnsi="Verdana" w:cs="Arial"/>
          <w:color w:val="000000" w:themeColor="text1"/>
        </w:rPr>
        <w:footnoteReference w:id="19"/>
      </w:r>
      <w:r>
        <w:rPr>
          <w:rFonts w:ascii="Verdana" w:eastAsia="Calibri" w:hAnsi="Verdana" w:cs="Arial"/>
          <w:color w:val="000000" w:themeColor="text1"/>
        </w:rPr>
        <w:t xml:space="preserve">. </w:t>
      </w:r>
    </w:p>
    <w:p w14:paraId="08EFD299" w14:textId="77777777" w:rsidR="00BC2521" w:rsidRDefault="00BC2521" w:rsidP="00BC252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Respecto a los contratos de concesión de las entidades sometidas a la Ley 80 de 1993, éstos se tipifican en el artículo 32.4 del EGCAP</w:t>
      </w:r>
      <w:r>
        <w:rPr>
          <w:rStyle w:val="Refdenotaalpie"/>
          <w:rFonts w:ascii="Verdana" w:eastAsia="Calibri" w:hAnsi="Verdana" w:cs="Arial"/>
          <w:color w:val="000000" w:themeColor="text1"/>
        </w:rPr>
        <w:footnoteReference w:id="20"/>
      </w:r>
      <w:r>
        <w:rPr>
          <w:rFonts w:ascii="Verdana" w:eastAsia="Calibri" w:hAnsi="Verdana" w:cs="Arial"/>
          <w:color w:val="000000" w:themeColor="text1"/>
        </w:rPr>
        <w:t xml:space="preserve">. En desarrollo del </w:t>
      </w:r>
      <w:r w:rsidRPr="00341285">
        <w:rPr>
          <w:rFonts w:ascii="Verdana" w:eastAsia="Calibri" w:hAnsi="Verdana" w:cs="Arial"/>
          <w:color w:val="000000" w:themeColor="text1"/>
        </w:rPr>
        <w:t>literal g) del artículo 2.2 de la Ley 1150 de 2007</w:t>
      </w:r>
      <w:r>
        <w:rPr>
          <w:rFonts w:ascii="Verdana" w:eastAsia="Calibri" w:hAnsi="Verdana" w:cs="Arial"/>
          <w:color w:val="000000" w:themeColor="text1"/>
        </w:rPr>
        <w:t xml:space="preserve">, el </w:t>
      </w:r>
      <w:r w:rsidRPr="00341285">
        <w:rPr>
          <w:rFonts w:ascii="Verdana" w:eastAsia="Calibri" w:hAnsi="Verdana" w:cs="Arial"/>
          <w:color w:val="000000" w:themeColor="text1"/>
        </w:rPr>
        <w:t>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r>
        <w:rPr>
          <w:rFonts w:ascii="Verdana" w:eastAsia="Calibri" w:hAnsi="Verdana" w:cs="Arial"/>
          <w:color w:val="000000" w:themeColor="text1"/>
        </w:rPr>
        <w:t xml:space="preserve">. Esto significa que, para las sociedades de economía mixta sometidas al EGCAP, la contratación directa de las concesiones sólo será posible dentro de las causales del artículo 2.4 de la Ley 1150 de 2007, pues la regla general es la pluralidad de oferentes en los proceso de selección. </w:t>
      </w:r>
    </w:p>
    <w:p w14:paraId="736EDCAB" w14:textId="77777777" w:rsidR="00BC2521" w:rsidRDefault="00BC2521" w:rsidP="00BC2521">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Por el contrario, la concesión en un contrato atípico en el derecho privado</w:t>
      </w:r>
      <w:r w:rsidRPr="00737A80">
        <w:rPr>
          <w:rStyle w:val="Refdenotaalpie"/>
          <w:rFonts w:ascii="Verdana" w:eastAsia="Calibri" w:hAnsi="Verdana" w:cs="Arial"/>
          <w:color w:val="000000" w:themeColor="text1"/>
        </w:rPr>
        <w:footnoteReference w:id="21"/>
      </w:r>
      <w:r>
        <w:rPr>
          <w:rFonts w:ascii="Verdana" w:eastAsia="Calibri" w:hAnsi="Verdana" w:cs="Arial"/>
          <w:color w:val="000000" w:themeColor="text1"/>
        </w:rPr>
        <w:t>. Además, el artículo 2 de la Ley 1150 de 2007 no aplica a las sociedades de economía mixta excluidas de la Ley 80 de 1993. Luego, el procedimiento para la suscripción de dichos negocios será competitivo o no competitivo en función de lo que establezcan sus manuales de contratación.</w:t>
      </w:r>
    </w:p>
    <w:p w14:paraId="7F1488F3" w14:textId="77777777" w:rsidR="00BC2521" w:rsidRPr="004E5B9F" w:rsidRDefault="00BC2521" w:rsidP="00BC2521">
      <w:pPr>
        <w:spacing w:after="0" w:line="276" w:lineRule="auto"/>
        <w:ind w:firstLine="709"/>
        <w:jc w:val="both"/>
        <w:rPr>
          <w:rFonts w:ascii="Verdana" w:eastAsia="Calibri" w:hAnsi="Verdana" w:cs="Arial"/>
          <w:color w:val="000000" w:themeColor="text1"/>
        </w:rPr>
      </w:pPr>
    </w:p>
    <w:p w14:paraId="51D6C3A5" w14:textId="77777777" w:rsidR="00BC2521" w:rsidRPr="003A380F" w:rsidRDefault="00BC2521" w:rsidP="00BC2521">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w:t>
      </w:r>
      <w:r>
        <w:rPr>
          <w:rFonts w:ascii="Verdana" w:eastAsia="Calibri" w:hAnsi="Verdana" w:cs="Arial"/>
          <w:bCs/>
          <w:color w:val="000000" w:themeColor="text1"/>
        </w:rPr>
        <w:t xml:space="preserve"> </w:t>
      </w:r>
      <w:r w:rsidRPr="003A380F">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71C640A" w14:textId="77777777" w:rsidR="00BC2521" w:rsidRPr="00185EE9" w:rsidRDefault="00BC2521" w:rsidP="00BC2521">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573697F7" w14:textId="77777777" w:rsidR="00BC2521" w:rsidRPr="00182C89" w:rsidRDefault="00BC2521" w:rsidP="00BC2521">
      <w:pPr>
        <w:tabs>
          <w:tab w:val="left" w:pos="709"/>
        </w:tabs>
        <w:spacing w:after="0" w:line="276" w:lineRule="auto"/>
        <w:jc w:val="both"/>
        <w:rPr>
          <w:rFonts w:ascii="Verdana" w:eastAsia="Calibri" w:hAnsi="Verdana" w:cs="Arial"/>
          <w:color w:val="000000" w:themeColor="text1"/>
        </w:rPr>
      </w:pPr>
    </w:p>
    <w:p w14:paraId="6470D1BE" w14:textId="77777777" w:rsidR="00BC2521" w:rsidRPr="00593A5F" w:rsidRDefault="00BC2521" w:rsidP="00BC25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72B5F42" w14:textId="77777777" w:rsidR="00BC2521" w:rsidRPr="00593A5F" w:rsidRDefault="00BC2521" w:rsidP="00BC252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C2521" w:rsidRPr="002407CE" w14:paraId="150183B5" w14:textId="77777777" w:rsidTr="00111739">
        <w:trPr>
          <w:trHeight w:val="870"/>
          <w:jc w:val="center"/>
        </w:trPr>
        <w:tc>
          <w:tcPr>
            <w:tcW w:w="8647" w:type="dxa"/>
          </w:tcPr>
          <w:p w14:paraId="35F23CC5" w14:textId="77777777" w:rsidR="00BC2521"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267 y 352.</w:t>
            </w:r>
          </w:p>
          <w:p w14:paraId="29122A95" w14:textId="77777777" w:rsidR="00BC2521"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rPr>
              <w:t xml:space="preserve">Ley 80 de 1993, artículos </w:t>
            </w:r>
            <w:r>
              <w:rPr>
                <w:rFonts w:ascii="Verdana" w:hAnsi="Verdana" w:cs="Arial"/>
              </w:rPr>
              <w:t>2, 13, 32 y 40.</w:t>
            </w:r>
          </w:p>
          <w:p w14:paraId="38F867E0" w14:textId="77777777" w:rsidR="00BC2521"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97.</w:t>
            </w:r>
          </w:p>
          <w:p w14:paraId="2CB5DCBC" w14:textId="77777777" w:rsidR="00BC2521"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13 y 14.</w:t>
            </w:r>
          </w:p>
          <w:p w14:paraId="57E1E266" w14:textId="77777777" w:rsidR="00BC2521"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artículos 53 y 56.</w:t>
            </w:r>
          </w:p>
          <w:p w14:paraId="0FB7558C" w14:textId="77777777" w:rsidR="00BC2521" w:rsidRPr="00D85592" w:rsidRDefault="00BC2521" w:rsidP="0011173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111 de 1996, artículo 110.</w:t>
            </w:r>
          </w:p>
          <w:p w14:paraId="0759A452" w14:textId="77777777" w:rsidR="00BC2521" w:rsidRPr="00F803DB" w:rsidRDefault="00BC2521" w:rsidP="00111739">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D85592">
              <w:rPr>
                <w:rFonts w:ascii="Verdana" w:hAnsi="Verdana" w:cs="Arial"/>
                <w:color w:val="000000" w:themeColor="text1"/>
                <w:lang w:val="es-ES_tradnl"/>
              </w:rPr>
              <w:t>Decreto 1082 de 2015</w:t>
            </w:r>
            <w:r>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w:t>
            </w:r>
            <w:r>
              <w:rPr>
                <w:rFonts w:ascii="Verdana" w:hAnsi="Verdana" w:cs="Arial"/>
                <w:color w:val="000000" w:themeColor="text1"/>
                <w:lang w:val="es-ES_tradnl"/>
              </w:rPr>
              <w:t>s</w:t>
            </w:r>
            <w:r w:rsidRPr="00D85592">
              <w:rPr>
                <w:rFonts w:ascii="Verdana" w:hAnsi="Verdana" w:cs="Arial"/>
                <w:color w:val="000000" w:themeColor="text1"/>
                <w:lang w:val="es-ES_tradnl"/>
              </w:rPr>
              <w:t xml:space="preserve"> </w:t>
            </w:r>
            <w:r w:rsidRPr="00C50B2B">
              <w:rPr>
                <w:rFonts w:ascii="Verdana" w:hAnsi="Verdana" w:cs="Arial"/>
                <w:color w:val="000000" w:themeColor="text1"/>
                <w:lang w:val="es-ES_tradnl"/>
              </w:rPr>
              <w:t>2.2.1.2.1.4.4</w:t>
            </w:r>
            <w:r>
              <w:rPr>
                <w:rFonts w:ascii="Verdana" w:hAnsi="Verdana" w:cs="Arial"/>
                <w:color w:val="000000" w:themeColor="text1"/>
                <w:lang w:val="es-ES_tradnl"/>
              </w:rPr>
              <w:t>.</w:t>
            </w:r>
          </w:p>
        </w:tc>
      </w:tr>
    </w:tbl>
    <w:p w14:paraId="762666C8" w14:textId="77777777" w:rsidR="00BC2521" w:rsidRPr="002407CE" w:rsidRDefault="00BC2521" w:rsidP="00BC2521">
      <w:pPr>
        <w:widowControl w:val="0"/>
        <w:autoSpaceDE w:val="0"/>
        <w:autoSpaceDN w:val="0"/>
        <w:spacing w:after="0" w:line="276" w:lineRule="auto"/>
        <w:jc w:val="both"/>
        <w:rPr>
          <w:rFonts w:ascii="Verdana" w:hAnsi="Verdana" w:cs="Arial"/>
        </w:rPr>
      </w:pPr>
    </w:p>
    <w:p w14:paraId="3A41F10E" w14:textId="77777777" w:rsidR="00BC2521" w:rsidRPr="00593A5F" w:rsidRDefault="00BC2521" w:rsidP="00BC25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EC97D3B" w14:textId="77777777" w:rsidR="00BC2521" w:rsidRPr="00593A5F" w:rsidRDefault="00BC2521" w:rsidP="00BC2521">
      <w:pPr>
        <w:widowControl w:val="0"/>
        <w:autoSpaceDE w:val="0"/>
        <w:autoSpaceDN w:val="0"/>
        <w:spacing w:after="0" w:line="276" w:lineRule="auto"/>
        <w:jc w:val="both"/>
        <w:rPr>
          <w:rFonts w:ascii="Verdana" w:hAnsi="Verdana" w:cs="Arial"/>
        </w:rPr>
      </w:pPr>
    </w:p>
    <w:p w14:paraId="62D5FD6C" w14:textId="77777777" w:rsidR="00BC2521" w:rsidRPr="00ED0098" w:rsidRDefault="00BC2521" w:rsidP="00BC2521">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lastRenderedPageBreak/>
        <w:t>Est</w:t>
      </w:r>
      <w:r>
        <w:rPr>
          <w:rFonts w:ascii="Verdana" w:hAnsi="Verdana" w:cs="Arial"/>
          <w:shd w:val="clear" w:color="auto" w:fill="FFFFFF"/>
        </w:rPr>
        <w:t>e</w:t>
      </w:r>
      <w:r w:rsidRPr="00DD0AFF">
        <w:rPr>
          <w:rFonts w:ascii="Verdana" w:hAnsi="Verdana" w:cs="Arial"/>
          <w:shd w:val="clear" w:color="auto" w:fill="FFFFFF"/>
        </w:rPr>
        <w:t xml:space="preserve"> y otros </w:t>
      </w:r>
      <w:r>
        <w:rPr>
          <w:rFonts w:ascii="Verdana" w:hAnsi="Verdana" w:cs="Arial"/>
          <w:shd w:val="clear" w:color="auto" w:fill="FFFFFF"/>
        </w:rPr>
        <w:t xml:space="preserve">conceptos de la Subdirección de Gestión Contractual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66812E4" w14:textId="77777777" w:rsidR="00BC2521" w:rsidRPr="00096788" w:rsidRDefault="00BC2521" w:rsidP="00BC2521">
      <w:pPr>
        <w:widowControl w:val="0"/>
        <w:autoSpaceDE w:val="0"/>
        <w:autoSpaceDN w:val="0"/>
        <w:spacing w:after="0" w:line="276" w:lineRule="auto"/>
        <w:jc w:val="both"/>
        <w:rPr>
          <w:rFonts w:ascii="Verdana" w:hAnsi="Verdana" w:cs="Arial"/>
          <w:color w:val="000000" w:themeColor="text1"/>
          <w:shd w:val="clear" w:color="auto" w:fill="FFFFFF"/>
        </w:rPr>
      </w:pPr>
    </w:p>
    <w:p w14:paraId="21A99BEE" w14:textId="77777777" w:rsidR="00BC2521" w:rsidRPr="00E440FD" w:rsidRDefault="00BC2521" w:rsidP="00BC2521">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2CFD0E8" w14:textId="77777777" w:rsidR="00BC2521" w:rsidRDefault="00BC2521" w:rsidP="00BC2521">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798E06C8" w14:textId="77777777" w:rsidR="00BC2521" w:rsidRPr="00116940" w:rsidRDefault="00BC2521" w:rsidP="00BC2521">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8A710D5" w14:textId="77777777" w:rsidR="00BC2521" w:rsidRPr="00116940" w:rsidRDefault="00BC2521" w:rsidP="00BC2521">
      <w:pPr>
        <w:spacing w:after="0"/>
        <w:jc w:val="both"/>
        <w:rPr>
          <w:rFonts w:ascii="Verdana" w:hAnsi="Verdana"/>
        </w:rPr>
      </w:pPr>
    </w:p>
    <w:p w14:paraId="1C3D949F" w14:textId="77777777" w:rsidR="00BC2521" w:rsidRPr="00116940" w:rsidRDefault="00BC2521" w:rsidP="00BC2521">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17B580E" w14:textId="77777777" w:rsidR="00BC2521" w:rsidRPr="00116940" w:rsidRDefault="00BC2521" w:rsidP="00BC2521">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3EDBEB7" w14:textId="77777777" w:rsidR="00BC2521" w:rsidRPr="00116940" w:rsidRDefault="00BC2521" w:rsidP="00BC252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02BA6414" w14:textId="77777777" w:rsidR="00BC2521" w:rsidRPr="00116940" w:rsidRDefault="00BC2521" w:rsidP="00BC2521">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439DFA01" w14:textId="77777777" w:rsidR="00BC2521" w:rsidRPr="00116940" w:rsidRDefault="00BC2521" w:rsidP="00BC2521">
      <w:pPr>
        <w:spacing w:after="0" w:line="240" w:lineRule="auto"/>
        <w:ind w:left="720"/>
        <w:jc w:val="both"/>
        <w:rPr>
          <w:rFonts w:ascii="Verdana" w:hAnsi="Verdana"/>
        </w:rPr>
      </w:pPr>
    </w:p>
    <w:p w14:paraId="1E8CCEAF" w14:textId="77777777" w:rsidR="00BC2521" w:rsidRPr="00116940" w:rsidRDefault="00BC2521" w:rsidP="00BC2521">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AE1E3A5" w14:textId="77777777" w:rsidR="00BC2521" w:rsidRPr="00116940" w:rsidRDefault="00BC2521" w:rsidP="00BC2521">
      <w:pPr>
        <w:spacing w:after="0" w:line="240" w:lineRule="auto"/>
        <w:rPr>
          <w:rFonts w:ascii="Verdana" w:hAnsi="Verdana"/>
        </w:rPr>
      </w:pPr>
    </w:p>
    <w:p w14:paraId="66E70323" w14:textId="77777777" w:rsidR="00BC2521" w:rsidRPr="00116940" w:rsidRDefault="00BC2521" w:rsidP="00BC252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7703985" w14:textId="77777777" w:rsidR="00BC2521" w:rsidRPr="00116940" w:rsidRDefault="00BC2521" w:rsidP="00BC2521">
      <w:pPr>
        <w:spacing w:after="0" w:line="240" w:lineRule="auto"/>
        <w:jc w:val="both"/>
        <w:rPr>
          <w:rFonts w:ascii="Verdana" w:hAnsi="Verdana"/>
        </w:rPr>
      </w:pPr>
    </w:p>
    <w:p w14:paraId="375B7B0F" w14:textId="77777777" w:rsidR="00BC2521" w:rsidRPr="00116940" w:rsidRDefault="00BC2521" w:rsidP="00BC252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B8CBCD3" w14:textId="77777777" w:rsidR="00BC2521" w:rsidRPr="00116940" w:rsidRDefault="00BC2521" w:rsidP="00BC252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134C457" w14:textId="77777777" w:rsidR="00BC2521" w:rsidRPr="00116940" w:rsidRDefault="00BC2521" w:rsidP="00BC252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05D27B5" w14:textId="77777777" w:rsidR="00BC2521" w:rsidRPr="009C4035" w:rsidRDefault="00BC2521" w:rsidP="00BC2521">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0C90605" w14:textId="77777777" w:rsidR="00BC2521" w:rsidRPr="00593A5F" w:rsidRDefault="00BC2521" w:rsidP="00BC252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AF8E1A8" w14:textId="77777777" w:rsidR="00BC2521" w:rsidRPr="00593A5F" w:rsidRDefault="00BC2521" w:rsidP="00BC2521">
      <w:pPr>
        <w:widowControl w:val="0"/>
        <w:autoSpaceDE w:val="0"/>
        <w:autoSpaceDN w:val="0"/>
        <w:spacing w:after="0" w:line="276" w:lineRule="auto"/>
        <w:jc w:val="both"/>
        <w:rPr>
          <w:rFonts w:ascii="Verdana" w:hAnsi="Verdana" w:cs="Arial"/>
        </w:rPr>
      </w:pPr>
    </w:p>
    <w:p w14:paraId="58F5BCD3" w14:textId="77777777" w:rsidR="00BC2521" w:rsidRPr="00593A5F" w:rsidRDefault="00BC2521" w:rsidP="00BC252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659DFD7" w14:textId="2EDEE29E" w:rsidR="00BC2521" w:rsidRPr="00593A5F" w:rsidRDefault="00B745AA" w:rsidP="00BC2521">
      <w:pPr>
        <w:spacing w:line="276" w:lineRule="auto"/>
        <w:jc w:val="center"/>
        <w:rPr>
          <w:rFonts w:ascii="Verdana" w:hAnsi="Verdana" w:cs="Arial"/>
          <w:color w:val="000000"/>
          <w:lang w:val="es-ES_tradnl" w:eastAsia="es-CO"/>
        </w:rPr>
      </w:pPr>
      <w:r>
        <w:rPr>
          <w:noProof/>
        </w:rPr>
        <w:drawing>
          <wp:inline distT="0" distB="0" distL="0" distR="0" wp14:anchorId="37A88C42" wp14:editId="5819970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C2521" w:rsidRPr="00593A5F" w14:paraId="5FBF7D3F" w14:textId="77777777" w:rsidTr="00111739">
        <w:trPr>
          <w:trHeight w:val="315"/>
        </w:trPr>
        <w:tc>
          <w:tcPr>
            <w:tcW w:w="893" w:type="dxa"/>
            <w:vAlign w:val="center"/>
            <w:hideMark/>
          </w:tcPr>
          <w:p w14:paraId="20ED183E" w14:textId="77777777" w:rsidR="00BC2521" w:rsidRPr="003751C7" w:rsidRDefault="00BC2521" w:rsidP="0011173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C7D3E5" w14:textId="77777777" w:rsidR="00BC2521" w:rsidRPr="00254A7A" w:rsidRDefault="00BC2521" w:rsidP="0011173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718DC13" w14:textId="77777777" w:rsidR="00BC2521" w:rsidRPr="00254A7A" w:rsidRDefault="00BC2521" w:rsidP="0011173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C2521" w:rsidRPr="00593A5F" w14:paraId="588B4BDF" w14:textId="77777777" w:rsidTr="00111739">
        <w:trPr>
          <w:trHeight w:val="330"/>
        </w:trPr>
        <w:tc>
          <w:tcPr>
            <w:tcW w:w="893" w:type="dxa"/>
            <w:vAlign w:val="center"/>
            <w:hideMark/>
          </w:tcPr>
          <w:p w14:paraId="5034CA81" w14:textId="77777777" w:rsidR="00BC2521" w:rsidRPr="003751C7" w:rsidRDefault="00BC2521" w:rsidP="0011173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4990EE" w14:textId="77777777" w:rsidR="00BC2521" w:rsidRPr="00FE00BE" w:rsidRDefault="00BC2521" w:rsidP="00111739">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6549BAAC" w14:textId="77777777" w:rsidR="00BC2521" w:rsidRPr="00FE00BE" w:rsidRDefault="00BC2521" w:rsidP="00111739">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BC2521" w:rsidRPr="00593A5F" w14:paraId="7B56AA49" w14:textId="77777777" w:rsidTr="00111739">
        <w:trPr>
          <w:trHeight w:val="300"/>
        </w:trPr>
        <w:tc>
          <w:tcPr>
            <w:tcW w:w="893" w:type="dxa"/>
            <w:vAlign w:val="center"/>
          </w:tcPr>
          <w:p w14:paraId="72EA9FB9" w14:textId="77777777" w:rsidR="00BC2521" w:rsidRPr="003751C7" w:rsidRDefault="00BC2521" w:rsidP="0011173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FE63C2" w14:textId="77777777" w:rsidR="00BC2521" w:rsidRPr="00FE00BE" w:rsidRDefault="00BC2521" w:rsidP="00111739">
            <w:pPr>
              <w:contextualSpacing/>
              <w:rPr>
                <w:rFonts w:ascii="Verdana" w:eastAsia="Calibri" w:hAnsi="Verdana" w:cs="Arial"/>
                <w:sz w:val="16"/>
                <w:szCs w:val="16"/>
                <w:lang w:val="es-ES" w:eastAsia="es-ES"/>
              </w:rPr>
            </w:pPr>
            <w:r w:rsidRPr="01336852">
              <w:rPr>
                <w:rFonts w:ascii="Verdana" w:eastAsia="Calibri" w:hAnsi="Verdana" w:cs="Arial"/>
                <w:sz w:val="16"/>
                <w:szCs w:val="16"/>
                <w:lang w:val="es-ES" w:eastAsia="es-ES"/>
              </w:rPr>
              <w:t>Carolina Quintero Gacharná</w:t>
            </w:r>
          </w:p>
          <w:p w14:paraId="1345E45E" w14:textId="77777777" w:rsidR="00BC2521" w:rsidRPr="00FE00BE" w:rsidRDefault="00BC2521" w:rsidP="00111739">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46CF9EF1" w14:textId="77777777" w:rsidR="00BC2521" w:rsidRPr="00543BFE" w:rsidRDefault="00BC2521" w:rsidP="00BC2521"/>
    <w:p w14:paraId="0F293BF4" w14:textId="2F854EC6" w:rsidR="00127233" w:rsidRPr="004E40D2" w:rsidRDefault="00127233" w:rsidP="004E40D2"/>
    <w:sectPr w:rsidR="00127233" w:rsidRPr="004E40D2"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7E9CBB" w14:textId="77777777" w:rsidR="003001CA" w:rsidRDefault="003001CA" w:rsidP="004A1847">
      <w:pPr>
        <w:spacing w:after="0" w:line="240" w:lineRule="auto"/>
      </w:pPr>
      <w:r>
        <w:separator/>
      </w:r>
    </w:p>
  </w:endnote>
  <w:endnote w:type="continuationSeparator" w:id="0">
    <w:p w14:paraId="3FF8D475" w14:textId="77777777" w:rsidR="003001CA" w:rsidRDefault="003001CA" w:rsidP="004A1847">
      <w:pPr>
        <w:spacing w:after="0" w:line="240" w:lineRule="auto"/>
      </w:pPr>
      <w:r>
        <w:continuationSeparator/>
      </w:r>
    </w:p>
  </w:endnote>
  <w:endnote w:type="continuationNotice" w:id="1">
    <w:p w14:paraId="144F9B99" w14:textId="77777777" w:rsidR="003001CA" w:rsidRDefault="003001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691BAC"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691BAC">
      <w:rPr>
        <w:rFonts w:ascii="Century Gothic" w:eastAsia="Geo" w:hAnsi="Century Gothic" w:cs="Geo"/>
        <w:b/>
        <w:color w:val="000000" w:themeColor="text1"/>
        <w:sz w:val="16"/>
        <w:szCs w:val="16"/>
        <w:lang w:val="pt-BR" w:eastAsia="es-CO"/>
      </w:rPr>
      <w:t xml:space="preserve">Código: </w:t>
    </w:r>
    <w:r w:rsidRPr="00691BAC">
      <w:rPr>
        <w:rFonts w:ascii="Century Gothic" w:eastAsia="Geo" w:hAnsi="Century Gothic" w:cs="Geo"/>
        <w:color w:val="000000" w:themeColor="text1"/>
        <w:sz w:val="16"/>
        <w:szCs w:val="16"/>
        <w:lang w:val="pt-BR" w:eastAsia="es-CO"/>
      </w:rPr>
      <w:t xml:space="preserve">CCE-REC-FM-17 </w:t>
    </w:r>
    <w:r w:rsidRPr="00691BAC">
      <w:rPr>
        <w:rFonts w:ascii="Century Gothic" w:eastAsia="Geo" w:hAnsi="Century Gothic" w:cs="Geo"/>
        <w:b/>
        <w:color w:val="000000" w:themeColor="text1"/>
        <w:sz w:val="16"/>
        <w:szCs w:val="16"/>
        <w:lang w:val="pt-BR" w:eastAsia="es-CO"/>
      </w:rPr>
      <w:t>V</w:t>
    </w:r>
    <w:r w:rsidRPr="00691BAC">
      <w:rPr>
        <w:rFonts w:ascii="Century Gothic" w:eastAsia="Arial Nova" w:hAnsi="Century Gothic" w:cs="Arial Nova"/>
        <w:b/>
        <w:color w:val="000000" w:themeColor="text1"/>
        <w:sz w:val="16"/>
        <w:szCs w:val="16"/>
        <w:lang w:val="pt-BR" w:eastAsia="es-CO"/>
      </w:rPr>
      <w:t xml:space="preserve">: </w:t>
    </w:r>
    <w:r w:rsidRPr="00691BAC">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9373B" w14:textId="77777777" w:rsidR="003001CA" w:rsidRDefault="003001CA" w:rsidP="004A1847">
      <w:pPr>
        <w:spacing w:after="0" w:line="240" w:lineRule="auto"/>
      </w:pPr>
      <w:r>
        <w:separator/>
      </w:r>
    </w:p>
  </w:footnote>
  <w:footnote w:type="continuationSeparator" w:id="0">
    <w:p w14:paraId="5B6C28A0" w14:textId="77777777" w:rsidR="003001CA" w:rsidRDefault="003001CA" w:rsidP="004A1847">
      <w:pPr>
        <w:spacing w:after="0" w:line="240" w:lineRule="auto"/>
      </w:pPr>
      <w:r>
        <w:continuationSeparator/>
      </w:r>
    </w:p>
  </w:footnote>
  <w:footnote w:type="continuationNotice" w:id="1">
    <w:p w14:paraId="6BBBFD58" w14:textId="77777777" w:rsidR="003001CA" w:rsidRDefault="003001CA">
      <w:pPr>
        <w:spacing w:after="0" w:line="240" w:lineRule="auto"/>
      </w:pPr>
    </w:p>
  </w:footnote>
  <w:footnote w:id="2">
    <w:p w14:paraId="7DEAF592" w14:textId="77777777" w:rsidR="00BC2521" w:rsidRPr="001244F3" w:rsidRDefault="00BC2521" w:rsidP="00BC2521">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39DBDD86" w14:textId="77777777" w:rsidR="00BC2521" w:rsidRPr="001244F3" w:rsidRDefault="00BC2521" w:rsidP="00BC2521">
      <w:pPr>
        <w:pStyle w:val="Textonotapie"/>
        <w:ind w:firstLine="708"/>
        <w:jc w:val="both"/>
        <w:rPr>
          <w:rFonts w:ascii="Verdana" w:hAnsi="Verdana"/>
          <w:sz w:val="16"/>
          <w:szCs w:val="16"/>
        </w:rPr>
      </w:pPr>
      <w:r w:rsidRPr="001244F3">
        <w:rPr>
          <w:rFonts w:ascii="Verdana" w:hAnsi="Verdana"/>
          <w:sz w:val="16"/>
          <w:szCs w:val="16"/>
        </w:rPr>
        <w:t>[…]</w:t>
      </w:r>
    </w:p>
    <w:p w14:paraId="42CE3545" w14:textId="77777777" w:rsidR="00BC2521" w:rsidRPr="001244F3" w:rsidRDefault="00BC2521" w:rsidP="00BC2521">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7BDE7EDD" w14:textId="77777777" w:rsidR="00BC2521" w:rsidRPr="001244F3" w:rsidRDefault="00BC2521" w:rsidP="00BC2521">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3">
    <w:p w14:paraId="21B5EC95" w14:textId="77777777" w:rsidR="00BC2521" w:rsidRPr="001244F3" w:rsidRDefault="00BC2521" w:rsidP="00BC2521">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5B41D330" w14:textId="77777777" w:rsidR="00BC2521" w:rsidRPr="001244F3" w:rsidRDefault="00BC2521" w:rsidP="00BC2521">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074FC816" w14:textId="77777777" w:rsidR="00BC2521" w:rsidRPr="00D501E8" w:rsidRDefault="00BC2521" w:rsidP="00BC2521">
      <w:pPr>
        <w:spacing w:after="0" w:line="240" w:lineRule="auto"/>
        <w:ind w:firstLine="709"/>
        <w:contextualSpacing/>
        <w:jc w:val="both"/>
        <w:rPr>
          <w:rFonts w:ascii="Verdana" w:hAnsi="Verdana" w:cs="Arial"/>
          <w:sz w:val="16"/>
          <w:szCs w:val="16"/>
        </w:rPr>
      </w:pPr>
      <w:r w:rsidRPr="00D501E8">
        <w:rPr>
          <w:rStyle w:val="Refdenotaalpie"/>
          <w:rFonts w:ascii="Verdana" w:hAnsi="Verdana" w:cs="Arial"/>
          <w:sz w:val="16"/>
          <w:szCs w:val="16"/>
        </w:rPr>
        <w:footnoteRef/>
      </w:r>
      <w:r w:rsidRPr="00D501E8">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ABB99D5" w14:textId="77777777" w:rsidR="00BC2521" w:rsidRPr="00D501E8" w:rsidRDefault="00BC2521" w:rsidP="00BC2521">
      <w:pPr>
        <w:spacing w:after="0" w:line="240" w:lineRule="auto"/>
        <w:ind w:firstLine="709"/>
        <w:contextualSpacing/>
        <w:jc w:val="both"/>
        <w:rPr>
          <w:rFonts w:ascii="Verdana" w:hAnsi="Verdana" w:cs="Arial"/>
          <w:sz w:val="16"/>
          <w:szCs w:val="16"/>
        </w:rPr>
      </w:pPr>
      <w:r w:rsidRPr="00D501E8">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501E8">
        <w:rPr>
          <w:rFonts w:ascii="Verdana" w:hAnsi="Verdana" w:cs="Arial"/>
          <w:spacing w:val="-1"/>
          <w:sz w:val="16"/>
          <w:szCs w:val="16"/>
        </w:rPr>
        <w:t xml:space="preserve"> </w:t>
      </w:r>
      <w:r w:rsidRPr="00D501E8">
        <w:rPr>
          <w:rFonts w:ascii="Verdana" w:hAnsi="Verdana" w:cs="Arial"/>
          <w:sz w:val="16"/>
          <w:szCs w:val="16"/>
        </w:rPr>
        <w:t>Estatales”.</w:t>
      </w:r>
    </w:p>
  </w:footnote>
  <w:footnote w:id="6">
    <w:p w14:paraId="2A094FCE" w14:textId="77777777" w:rsidR="00BC2521" w:rsidRPr="00D501E8" w:rsidRDefault="00BC2521" w:rsidP="00BC2521">
      <w:pPr>
        <w:spacing w:after="0" w:line="240" w:lineRule="auto"/>
        <w:ind w:firstLine="709"/>
        <w:contextualSpacing/>
        <w:jc w:val="both"/>
        <w:rPr>
          <w:rFonts w:ascii="Verdana" w:hAnsi="Verdana" w:cs="Arial"/>
          <w:sz w:val="16"/>
          <w:szCs w:val="16"/>
        </w:rPr>
      </w:pPr>
      <w:r w:rsidRPr="00D501E8">
        <w:rPr>
          <w:rStyle w:val="Refdenotaalpie"/>
          <w:rFonts w:ascii="Verdana" w:hAnsi="Verdana" w:cs="Arial"/>
          <w:sz w:val="16"/>
          <w:szCs w:val="16"/>
        </w:rPr>
        <w:footnoteRef/>
      </w:r>
      <w:r w:rsidRPr="00D501E8">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501E8">
        <w:rPr>
          <w:rFonts w:ascii="Verdana" w:hAnsi="Verdana" w:cs="Arial"/>
          <w:spacing w:val="-6"/>
          <w:sz w:val="16"/>
          <w:szCs w:val="16"/>
        </w:rPr>
        <w:t xml:space="preserve"> </w:t>
      </w:r>
      <w:r w:rsidRPr="00D501E8">
        <w:rPr>
          <w:rFonts w:ascii="Verdana" w:hAnsi="Verdana" w:cs="Arial"/>
          <w:sz w:val="16"/>
          <w:szCs w:val="16"/>
        </w:rPr>
        <w:t>artículo”.</w:t>
      </w:r>
    </w:p>
  </w:footnote>
  <w:footnote w:id="7">
    <w:p w14:paraId="424759FE" w14:textId="77777777" w:rsidR="00BC2521" w:rsidRPr="00D501E8" w:rsidRDefault="00BC2521" w:rsidP="00BC2521">
      <w:pPr>
        <w:spacing w:after="0" w:line="240" w:lineRule="auto"/>
        <w:ind w:firstLine="709"/>
        <w:contextualSpacing/>
        <w:jc w:val="both"/>
        <w:rPr>
          <w:rFonts w:ascii="Verdana" w:hAnsi="Verdana" w:cs="Arial"/>
          <w:sz w:val="16"/>
          <w:szCs w:val="16"/>
        </w:rPr>
      </w:pPr>
      <w:r w:rsidRPr="00D501E8">
        <w:rPr>
          <w:rStyle w:val="Refdenotaalpie"/>
          <w:rFonts w:ascii="Verdana" w:hAnsi="Verdana" w:cs="Arial"/>
          <w:sz w:val="16"/>
          <w:szCs w:val="16"/>
        </w:rPr>
        <w:footnoteRef/>
      </w:r>
      <w:r w:rsidRPr="00D501E8">
        <w:rPr>
          <w:rFonts w:ascii="Verdana" w:hAnsi="Verdana" w:cs="Arial"/>
          <w:position w:val="7"/>
          <w:sz w:val="16"/>
          <w:szCs w:val="16"/>
        </w:rPr>
        <w:t xml:space="preserve"> </w:t>
      </w:r>
      <w:r w:rsidRPr="00D501E8">
        <w:rPr>
          <w:rFonts w:ascii="Verdana" w:hAnsi="Verdana" w:cs="Arial"/>
          <w:sz w:val="16"/>
          <w:szCs w:val="16"/>
        </w:rPr>
        <w:t>Consejo de Estado. Sección Tercera. Sentencia del 23 de junio de 2010. Radicación No. 66001-23-31-000-1998-00261-01(17.860). Consejero Ponente: Mauricio Fajardo Gómez.</w:t>
      </w:r>
    </w:p>
  </w:footnote>
  <w:footnote w:id="8">
    <w:p w14:paraId="46543C0A" w14:textId="77777777" w:rsidR="00BC2521" w:rsidRPr="001244F3" w:rsidRDefault="00BC2521" w:rsidP="00BC2521">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9">
    <w:p w14:paraId="28903283" w14:textId="77777777" w:rsidR="00BC2521" w:rsidRPr="001244F3" w:rsidRDefault="00BC2521" w:rsidP="00BC2521">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10">
    <w:p w14:paraId="3EEE8E20"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11">
    <w:p w14:paraId="60CF46DA"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12">
    <w:p w14:paraId="0ADE0240"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13">
    <w:p w14:paraId="0208F7B1" w14:textId="77777777" w:rsidR="00BC2521" w:rsidRPr="001244F3" w:rsidRDefault="00BC2521" w:rsidP="00BC2521">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4">
    <w:p w14:paraId="2D12FBBF" w14:textId="77777777" w:rsidR="00BC2521" w:rsidRPr="001244F3" w:rsidRDefault="00BC2521" w:rsidP="00BC2521">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5">
    <w:p w14:paraId="4C509BF0"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4B7B36F4"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50F816A4"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58896FE9"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2B9731C9" w14:textId="77777777" w:rsidR="00BC2521" w:rsidRPr="001244F3" w:rsidRDefault="00BC2521" w:rsidP="00BC2521">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Exp. 25.801 C.P. Enrique Gil Botero). </w:t>
      </w:r>
    </w:p>
  </w:footnote>
  <w:footnote w:id="16">
    <w:p w14:paraId="625DB453" w14:textId="77777777" w:rsidR="00BC2521" w:rsidRPr="00D87760" w:rsidRDefault="00BC2521" w:rsidP="00BC2521">
      <w:pPr>
        <w:pStyle w:val="Textonotapie"/>
        <w:ind w:firstLine="708"/>
        <w:jc w:val="both"/>
        <w:rPr>
          <w:rFonts w:ascii="Verdana" w:hAnsi="Verdana" w:cs="Arial"/>
          <w:color w:val="000000" w:themeColor="text1"/>
          <w:sz w:val="16"/>
          <w:szCs w:val="16"/>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A22A66">
        <w:rPr>
          <w:rFonts w:ascii="Verdana" w:hAnsi="Verdana" w:cs="Arial"/>
          <w:color w:val="000000" w:themeColor="text1"/>
          <w:sz w:val="16"/>
          <w:szCs w:val="16"/>
        </w:rPr>
        <w:t>las empresas industriales y comerciales del Estado</w:t>
      </w:r>
      <w:r w:rsidRPr="00D87760">
        <w:rPr>
          <w:rFonts w:ascii="Verdana" w:hAnsi="Verdana" w:cs="Arial"/>
          <w:color w:val="000000" w:themeColor="text1"/>
          <w:sz w:val="16"/>
          <w:szCs w:val="16"/>
        </w:rPr>
        <w:t xml:space="preserve">, </w:t>
      </w:r>
      <w:r w:rsidRPr="00A22A66">
        <w:rPr>
          <w:rFonts w:ascii="Verdana" w:hAnsi="Verdana" w:cs="Arial"/>
          <w:i/>
          <w:iCs/>
          <w:color w:val="000000" w:themeColor="text1"/>
          <w:sz w:val="16"/>
          <w:szCs w:val="16"/>
        </w:rPr>
        <w:t>las sociedades de economía mixta en las que el Estado tenga participación superior al cincuenta por ciento (50%)</w:t>
      </w:r>
      <w:r w:rsidRPr="00D87760">
        <w:rPr>
          <w:rFonts w:ascii="Verdana" w:hAnsi="Verdana" w:cs="Arial"/>
          <w:color w:val="000000" w:themeColor="text1"/>
          <w:sz w:val="16"/>
          <w:szCs w:val="16"/>
        </w:rPr>
        <w:t>, así como las entidades descentralizadas indirectas y las demás personas jurídicas en las que exista dicha participación pública mayoritaria, cualquiera sea la denominación que ellas adopten, en todos los órdenes y niveles” (Énfasis fuera de texto).</w:t>
      </w:r>
    </w:p>
  </w:footnote>
  <w:footnote w:id="17">
    <w:p w14:paraId="3FDBB8DB" w14:textId="77777777" w:rsidR="00BC2521" w:rsidRPr="00D87760" w:rsidRDefault="00BC2521" w:rsidP="00BC2521">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18">
    <w:p w14:paraId="6B4F8831" w14:textId="77777777" w:rsidR="00BC2521" w:rsidRPr="00D87760" w:rsidRDefault="00BC2521" w:rsidP="00BC2521">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CONSEJO DE ESTADO. Sección Tercera. Sentencia del 19 de agosto de 2004. Exp. 12.342. C.P. Ramiro Saavedra Becerra. </w:t>
      </w:r>
    </w:p>
  </w:footnote>
  <w:footnote w:id="19">
    <w:p w14:paraId="6528A973" w14:textId="77777777" w:rsidR="00BC2521" w:rsidRPr="00AE4590" w:rsidRDefault="00BC2521" w:rsidP="00BC2521">
      <w:pPr>
        <w:pStyle w:val="Textonotapie"/>
        <w:ind w:firstLine="708"/>
        <w:jc w:val="both"/>
        <w:rPr>
          <w:rFonts w:ascii="Verdana" w:hAnsi="Verdana"/>
          <w:sz w:val="16"/>
          <w:szCs w:val="16"/>
          <w:lang w:val="es-CO"/>
        </w:rPr>
      </w:pPr>
      <w:r w:rsidRPr="00AE4590">
        <w:rPr>
          <w:rStyle w:val="Refdenotaalpie"/>
          <w:rFonts w:ascii="Verdana" w:hAnsi="Verdana"/>
          <w:sz w:val="16"/>
          <w:szCs w:val="16"/>
        </w:rPr>
        <w:footnoteRef/>
      </w:r>
      <w:r w:rsidRPr="00AE4590">
        <w:rPr>
          <w:rFonts w:ascii="Verdana" w:hAnsi="Verdana"/>
          <w:sz w:val="16"/>
          <w:szCs w:val="16"/>
        </w:rPr>
        <w:t xml:space="preserve"> En todo caso, </w:t>
      </w:r>
      <w:r>
        <w:rPr>
          <w:rFonts w:ascii="Verdana" w:hAnsi="Verdana"/>
          <w:sz w:val="16"/>
          <w:szCs w:val="16"/>
        </w:rPr>
        <w:t xml:space="preserve">se reitera que </w:t>
      </w:r>
      <w:r w:rsidRPr="00AE4590">
        <w:rPr>
          <w:rFonts w:ascii="Verdana" w:hAnsi="Verdana"/>
          <w:sz w:val="16"/>
          <w:szCs w:val="16"/>
        </w:rPr>
        <w:t xml:space="preserve">el literal citado también dispone </w:t>
      </w:r>
      <w:r>
        <w:rPr>
          <w:rFonts w:ascii="Verdana" w:hAnsi="Verdana"/>
          <w:sz w:val="16"/>
          <w:szCs w:val="16"/>
        </w:rPr>
        <w:t>lo siguiente:</w:t>
      </w:r>
      <w:r w:rsidRPr="00AE4590">
        <w:rPr>
          <w:rFonts w:ascii="Verdana" w:hAnsi="Verdana"/>
          <w:sz w:val="16"/>
          <w:szCs w:val="16"/>
        </w:rPr>
        <w:t xml:space="preserve"> “En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footnote>
  <w:footnote w:id="20">
    <w:p w14:paraId="63F97EF6" w14:textId="77777777" w:rsidR="00BC2521" w:rsidRPr="00AE4590" w:rsidRDefault="00BC2521" w:rsidP="00BC2521">
      <w:pPr>
        <w:pStyle w:val="Textonotapie"/>
        <w:ind w:firstLine="708"/>
        <w:jc w:val="both"/>
        <w:rPr>
          <w:rFonts w:ascii="Verdana" w:hAnsi="Verdana"/>
          <w:sz w:val="16"/>
          <w:szCs w:val="16"/>
          <w:lang w:val="es-CO"/>
        </w:rPr>
      </w:pPr>
      <w:r w:rsidRPr="00AE4590">
        <w:rPr>
          <w:rStyle w:val="Refdenotaalpie"/>
          <w:rFonts w:ascii="Verdana" w:hAnsi="Verdana"/>
          <w:sz w:val="16"/>
          <w:szCs w:val="16"/>
        </w:rPr>
        <w:footnoteRef/>
      </w:r>
      <w:r w:rsidRPr="00AE4590">
        <w:rPr>
          <w:rFonts w:ascii="Verdana" w:hAnsi="Verdana"/>
          <w:sz w:val="16"/>
          <w:szCs w:val="16"/>
        </w:rPr>
        <w:t xml:space="preserve"> </w:t>
      </w:r>
      <w:r>
        <w:rPr>
          <w:rFonts w:ascii="Verdana" w:hAnsi="Verdana"/>
          <w:sz w:val="16"/>
          <w:szCs w:val="16"/>
        </w:rPr>
        <w:t>El artículo 32.4 de la Ley 80 de 1993 prescribe que “</w:t>
      </w:r>
      <w:r w:rsidRPr="00AE4590">
        <w:rPr>
          <w:rFonts w:ascii="Verdana" w:hAnsi="Verdana"/>
          <w:sz w:val="16"/>
          <w:szCs w:val="16"/>
        </w:rPr>
        <w:t>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r>
        <w:rPr>
          <w:rFonts w:ascii="Verdana" w:hAnsi="Verdana"/>
          <w:sz w:val="16"/>
          <w:szCs w:val="16"/>
        </w:rPr>
        <w:t>”</w:t>
      </w:r>
      <w:r w:rsidRPr="00AE4590">
        <w:rPr>
          <w:rFonts w:ascii="Verdana" w:hAnsi="Verdana"/>
          <w:sz w:val="16"/>
          <w:szCs w:val="16"/>
        </w:rPr>
        <w:t>.</w:t>
      </w:r>
    </w:p>
  </w:footnote>
  <w:footnote w:id="21">
    <w:p w14:paraId="75888991" w14:textId="77777777" w:rsidR="00BC2521" w:rsidRPr="00737A80" w:rsidRDefault="00BC2521" w:rsidP="00BC2521">
      <w:pPr>
        <w:pStyle w:val="Textonotapie"/>
        <w:ind w:firstLine="708"/>
        <w:jc w:val="both"/>
        <w:rPr>
          <w:rFonts w:ascii="Verdana" w:hAnsi="Verdana" w:cs="Arial"/>
          <w:sz w:val="16"/>
          <w:szCs w:val="16"/>
        </w:rPr>
      </w:pPr>
      <w:r w:rsidRPr="00737A80">
        <w:rPr>
          <w:rStyle w:val="Refdenotaalpie"/>
          <w:rFonts w:ascii="Verdana" w:hAnsi="Verdana" w:cs="Arial"/>
          <w:sz w:val="16"/>
          <w:szCs w:val="16"/>
        </w:rPr>
        <w:footnoteRef/>
      </w:r>
      <w:r w:rsidRPr="00737A80">
        <w:rPr>
          <w:rFonts w:ascii="Verdana" w:hAnsi="Verdana" w:cs="Arial"/>
          <w:sz w:val="16"/>
          <w:szCs w:val="16"/>
        </w:rPr>
        <w:t xml:space="preserve"> Según la doctrina, </w:t>
      </w:r>
      <w:r>
        <w:rPr>
          <w:rFonts w:ascii="Verdana" w:hAnsi="Verdana" w:cs="Arial"/>
          <w:sz w:val="16"/>
          <w:szCs w:val="16"/>
        </w:rPr>
        <w:t>“</w:t>
      </w:r>
      <w:r w:rsidRPr="00737A80">
        <w:rPr>
          <w:rFonts w:ascii="Verdana" w:hAnsi="Verdana" w:cs="Arial"/>
          <w:sz w:val="16"/>
          <w:szCs w:val="16"/>
        </w:rPr>
        <w:t xml:space="preserve">[…] el contrato de concesión debe ser calificado como </w:t>
      </w:r>
      <w:r w:rsidRPr="00737A80">
        <w:rPr>
          <w:rFonts w:ascii="Verdana" w:hAnsi="Verdana" w:cs="Arial"/>
          <w:i/>
          <w:iCs/>
          <w:sz w:val="16"/>
          <w:szCs w:val="16"/>
        </w:rPr>
        <w:t>atípico puro</w:t>
      </w:r>
      <w:r w:rsidRPr="00737A80">
        <w:rPr>
          <w:rFonts w:ascii="Verdana" w:hAnsi="Verdana" w:cs="Arial"/>
          <w:sz w:val="16"/>
          <w:szCs w:val="16"/>
        </w:rPr>
        <w:t>, entendiendo por éste el contrato cuyas prestaciones en conjunto aparecen combinadas de tal manera que imposibilitan la ubicación del contrato en algún tipo legal, aunque alguno o todos los elementos, individualmente considerados, puedan identificarse con similares de otros contratos típicos</w:t>
      </w:r>
      <w:r>
        <w:rPr>
          <w:rFonts w:ascii="Verdana" w:hAnsi="Verdana" w:cs="Arial"/>
          <w:sz w:val="16"/>
          <w:szCs w:val="16"/>
        </w:rPr>
        <w:t>”</w:t>
      </w:r>
      <w:r w:rsidRPr="00737A80">
        <w:rPr>
          <w:rFonts w:ascii="Verdana" w:hAnsi="Verdana" w:cs="Arial"/>
          <w:sz w:val="16"/>
          <w:szCs w:val="16"/>
        </w:rPr>
        <w:t xml:space="preserve"> (GASTALDI, José María. El contrato de concesión privada. Buenos Aires: Astrea, 1974. p. 104, énfasis dentro del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D91"/>
    <w:rsid w:val="00046945"/>
    <w:rsid w:val="00061B2A"/>
    <w:rsid w:val="00082362"/>
    <w:rsid w:val="000A683E"/>
    <w:rsid w:val="000B19B9"/>
    <w:rsid w:val="000B1BD6"/>
    <w:rsid w:val="000D0334"/>
    <w:rsid w:val="000D5DA7"/>
    <w:rsid w:val="000F6486"/>
    <w:rsid w:val="00116940"/>
    <w:rsid w:val="00125105"/>
    <w:rsid w:val="00127233"/>
    <w:rsid w:val="00150555"/>
    <w:rsid w:val="00155A63"/>
    <w:rsid w:val="0015699B"/>
    <w:rsid w:val="00172CEA"/>
    <w:rsid w:val="001A33BF"/>
    <w:rsid w:val="001B0A0E"/>
    <w:rsid w:val="001C6360"/>
    <w:rsid w:val="001E4177"/>
    <w:rsid w:val="001F0B24"/>
    <w:rsid w:val="001F7C1B"/>
    <w:rsid w:val="001F7DC6"/>
    <w:rsid w:val="0022400B"/>
    <w:rsid w:val="002421BB"/>
    <w:rsid w:val="002457C7"/>
    <w:rsid w:val="0025796E"/>
    <w:rsid w:val="002707A2"/>
    <w:rsid w:val="002951A0"/>
    <w:rsid w:val="002962BC"/>
    <w:rsid w:val="002A093D"/>
    <w:rsid w:val="002A0DD0"/>
    <w:rsid w:val="002A49AC"/>
    <w:rsid w:val="002A64FD"/>
    <w:rsid w:val="002C7A84"/>
    <w:rsid w:val="002E1B2E"/>
    <w:rsid w:val="002E2BF8"/>
    <w:rsid w:val="002E4FD9"/>
    <w:rsid w:val="003001CA"/>
    <w:rsid w:val="0030657A"/>
    <w:rsid w:val="0030752D"/>
    <w:rsid w:val="00322A85"/>
    <w:rsid w:val="00324168"/>
    <w:rsid w:val="00330834"/>
    <w:rsid w:val="00344288"/>
    <w:rsid w:val="003448F4"/>
    <w:rsid w:val="00374F5E"/>
    <w:rsid w:val="00377E3E"/>
    <w:rsid w:val="00394895"/>
    <w:rsid w:val="003A396B"/>
    <w:rsid w:val="003A779E"/>
    <w:rsid w:val="003D0F4D"/>
    <w:rsid w:val="003D5B0D"/>
    <w:rsid w:val="003E0499"/>
    <w:rsid w:val="003E4F80"/>
    <w:rsid w:val="003E6439"/>
    <w:rsid w:val="003F3941"/>
    <w:rsid w:val="003F44C7"/>
    <w:rsid w:val="00406575"/>
    <w:rsid w:val="00414C74"/>
    <w:rsid w:val="00420223"/>
    <w:rsid w:val="0042722E"/>
    <w:rsid w:val="0044528D"/>
    <w:rsid w:val="00466E39"/>
    <w:rsid w:val="0047175B"/>
    <w:rsid w:val="00486C5F"/>
    <w:rsid w:val="004A1847"/>
    <w:rsid w:val="004A305D"/>
    <w:rsid w:val="004E40D2"/>
    <w:rsid w:val="004F21C4"/>
    <w:rsid w:val="004F685F"/>
    <w:rsid w:val="005473E7"/>
    <w:rsid w:val="00551358"/>
    <w:rsid w:val="005566E8"/>
    <w:rsid w:val="00556807"/>
    <w:rsid w:val="00574867"/>
    <w:rsid w:val="00591460"/>
    <w:rsid w:val="005A65E0"/>
    <w:rsid w:val="005C3777"/>
    <w:rsid w:val="005C5CDC"/>
    <w:rsid w:val="005D476C"/>
    <w:rsid w:val="006200BF"/>
    <w:rsid w:val="006219F8"/>
    <w:rsid w:val="006302F7"/>
    <w:rsid w:val="00646B9F"/>
    <w:rsid w:val="00665D70"/>
    <w:rsid w:val="006665AE"/>
    <w:rsid w:val="006900D9"/>
    <w:rsid w:val="006918E2"/>
    <w:rsid w:val="00691BAC"/>
    <w:rsid w:val="00692BE4"/>
    <w:rsid w:val="006A5236"/>
    <w:rsid w:val="00706C16"/>
    <w:rsid w:val="007311D7"/>
    <w:rsid w:val="007340C3"/>
    <w:rsid w:val="0075235A"/>
    <w:rsid w:val="00756841"/>
    <w:rsid w:val="007630C4"/>
    <w:rsid w:val="007649AB"/>
    <w:rsid w:val="00771D0C"/>
    <w:rsid w:val="00774B40"/>
    <w:rsid w:val="007833AC"/>
    <w:rsid w:val="007B268C"/>
    <w:rsid w:val="007B7171"/>
    <w:rsid w:val="007B7F85"/>
    <w:rsid w:val="007C0C0F"/>
    <w:rsid w:val="007C2995"/>
    <w:rsid w:val="007C3DC2"/>
    <w:rsid w:val="007E5497"/>
    <w:rsid w:val="007F3A97"/>
    <w:rsid w:val="007F570D"/>
    <w:rsid w:val="00806F5F"/>
    <w:rsid w:val="00810D91"/>
    <w:rsid w:val="00820278"/>
    <w:rsid w:val="008258C9"/>
    <w:rsid w:val="00844AE9"/>
    <w:rsid w:val="00867F95"/>
    <w:rsid w:val="008843B6"/>
    <w:rsid w:val="00891928"/>
    <w:rsid w:val="008A446D"/>
    <w:rsid w:val="008B25F1"/>
    <w:rsid w:val="008D180B"/>
    <w:rsid w:val="008E0E20"/>
    <w:rsid w:val="008F0EA7"/>
    <w:rsid w:val="009104B3"/>
    <w:rsid w:val="009228B4"/>
    <w:rsid w:val="00923EEF"/>
    <w:rsid w:val="009419CD"/>
    <w:rsid w:val="009419F9"/>
    <w:rsid w:val="0095685E"/>
    <w:rsid w:val="00961B09"/>
    <w:rsid w:val="00965334"/>
    <w:rsid w:val="0097093E"/>
    <w:rsid w:val="009A0DFA"/>
    <w:rsid w:val="009A1C6F"/>
    <w:rsid w:val="009B0B73"/>
    <w:rsid w:val="009B2D26"/>
    <w:rsid w:val="009C71FA"/>
    <w:rsid w:val="009C72E7"/>
    <w:rsid w:val="009C7F7E"/>
    <w:rsid w:val="009D3058"/>
    <w:rsid w:val="009E0582"/>
    <w:rsid w:val="009F3A13"/>
    <w:rsid w:val="00A122D3"/>
    <w:rsid w:val="00A14468"/>
    <w:rsid w:val="00A17F13"/>
    <w:rsid w:val="00A20739"/>
    <w:rsid w:val="00A23AF9"/>
    <w:rsid w:val="00A33C78"/>
    <w:rsid w:val="00A97702"/>
    <w:rsid w:val="00AA0510"/>
    <w:rsid w:val="00AB0ADB"/>
    <w:rsid w:val="00AE0657"/>
    <w:rsid w:val="00AE7683"/>
    <w:rsid w:val="00B00C0E"/>
    <w:rsid w:val="00B01B1A"/>
    <w:rsid w:val="00B0381D"/>
    <w:rsid w:val="00B44A47"/>
    <w:rsid w:val="00B72CD3"/>
    <w:rsid w:val="00B72FFF"/>
    <w:rsid w:val="00B745AA"/>
    <w:rsid w:val="00BC2521"/>
    <w:rsid w:val="00BC3D36"/>
    <w:rsid w:val="00BD54A6"/>
    <w:rsid w:val="00BD7F72"/>
    <w:rsid w:val="00BF7425"/>
    <w:rsid w:val="00C04FB3"/>
    <w:rsid w:val="00C11D8B"/>
    <w:rsid w:val="00C15139"/>
    <w:rsid w:val="00C330EB"/>
    <w:rsid w:val="00C5076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74B9"/>
    <w:rsid w:val="00DF5254"/>
    <w:rsid w:val="00E02524"/>
    <w:rsid w:val="00E16408"/>
    <w:rsid w:val="00E20894"/>
    <w:rsid w:val="00E245AB"/>
    <w:rsid w:val="00E2764C"/>
    <w:rsid w:val="00E27F2E"/>
    <w:rsid w:val="00E50AFE"/>
    <w:rsid w:val="00E60539"/>
    <w:rsid w:val="00E75C92"/>
    <w:rsid w:val="00E771DC"/>
    <w:rsid w:val="00E8772A"/>
    <w:rsid w:val="00E90F6B"/>
    <w:rsid w:val="00E92C27"/>
    <w:rsid w:val="00EA0E3D"/>
    <w:rsid w:val="00EB25A9"/>
    <w:rsid w:val="00EB5834"/>
    <w:rsid w:val="00EC38A7"/>
    <w:rsid w:val="00EE1AA8"/>
    <w:rsid w:val="00F23FEA"/>
    <w:rsid w:val="00F31EDC"/>
    <w:rsid w:val="00F462B3"/>
    <w:rsid w:val="00F5664F"/>
    <w:rsid w:val="00F666C4"/>
    <w:rsid w:val="00F76AFC"/>
    <w:rsid w:val="00FA26BA"/>
    <w:rsid w:val="00FA47C0"/>
    <w:rsid w:val="00FB5DD1"/>
    <w:rsid w:val="00FC2B5D"/>
    <w:rsid w:val="00FF1449"/>
    <w:rsid w:val="00FF7963"/>
    <w:rsid w:val="01336852"/>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C252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C2521"/>
    <w:rPr>
      <w:rFonts w:ascii="Geomanist Light" w:hAnsi="Geomanist Light"/>
      <w:lang w:val="es-ES"/>
    </w:rPr>
  </w:style>
  <w:style w:type="character" w:customStyle="1" w:styleId="s15">
    <w:name w:val="s15"/>
    <w:basedOn w:val="Fuentedeprrafopredeter"/>
    <w:rsid w:val="00BC25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urbanittech@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47FFB2B7-761B-476D-9605-C125A2B5CC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25</Pages>
  <Words>8042</Words>
  <Characters>44314</Characters>
  <Application>Microsoft Office Word</Application>
  <DocSecurity>0</DocSecurity>
  <Lines>852</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52215</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393250</vt:i4>
      </vt:variant>
      <vt:variant>
        <vt:i4>0</vt:i4>
      </vt:variant>
      <vt:variant>
        <vt:i4>0</vt:i4>
      </vt:variant>
      <vt:variant>
        <vt:i4>5</vt:i4>
      </vt:variant>
      <vt:variant>
        <vt:lpwstr>mailto:urbanittech@gmail.com</vt:lpwstr>
      </vt:variant>
      <vt:variant>
        <vt:lpwstr/>
      </vt:variant>
      <vt:variant>
        <vt:i4>4063346</vt:i4>
      </vt:variant>
      <vt:variant>
        <vt:i4>0</vt:i4>
      </vt:variant>
      <vt:variant>
        <vt:i4>0</vt:i4>
      </vt:variant>
      <vt:variant>
        <vt:i4>5</vt:i4>
      </vt:variant>
      <vt:variant>
        <vt:lpwstr>https://recyt.fecyt.es/index.php/RAP/article/view/67033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2025-12-23T03:27:00Z</dcterms:created>
  <dcterms:modified xsi:type="dcterms:W3CDTF">2025-12-27T22:45:00Z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