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16CE10" w14:textId="77777777" w:rsidR="00D72A21" w:rsidRPr="00AF1555" w:rsidRDefault="00D72A21" w:rsidP="00D72A21">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RÉGIMEN DE INHABILIDADES E INCOMPATIBILIDADES</w:t>
      </w:r>
      <w:r w:rsidRPr="00E95799">
        <w:rPr>
          <w:rFonts w:ascii="Verdana" w:eastAsia="Calibri" w:hAnsi="Verdana" w:cs="Arial"/>
          <w:b/>
          <w:color w:val="000000" w:themeColor="text1"/>
          <w:lang w:val="es-ES"/>
        </w:rPr>
        <w:t xml:space="preserve"> – Definición – </w:t>
      </w:r>
      <w:r>
        <w:rPr>
          <w:rFonts w:ascii="Verdana" w:eastAsia="Calibri" w:hAnsi="Verdana" w:cs="Arial"/>
          <w:b/>
          <w:color w:val="000000" w:themeColor="text1"/>
          <w:lang w:val="es-ES"/>
        </w:rPr>
        <w:t>Taxatividad – Interpretación restrictiva</w:t>
      </w:r>
      <w:r w:rsidRPr="00AF1555">
        <w:rPr>
          <w:rFonts w:ascii="Verdana" w:eastAsia="Calibri" w:hAnsi="Verdana" w:cs="Arial"/>
          <w:b/>
          <w:color w:val="000000" w:themeColor="text1"/>
          <w:lang w:val="es-ES"/>
        </w:rPr>
        <w:t xml:space="preserve"> </w:t>
      </w:r>
    </w:p>
    <w:p w14:paraId="5DEC1B6B" w14:textId="77777777" w:rsidR="00D72A21" w:rsidRPr="00AF1555" w:rsidRDefault="00D72A21" w:rsidP="00D72A21">
      <w:pPr>
        <w:spacing w:after="0" w:line="240" w:lineRule="auto"/>
        <w:jc w:val="both"/>
        <w:rPr>
          <w:rFonts w:ascii="Verdana" w:eastAsia="Calibri" w:hAnsi="Verdana" w:cs="Arial"/>
          <w:bCs/>
          <w:color w:val="000000" w:themeColor="text1"/>
          <w:sz w:val="20"/>
          <w:szCs w:val="20"/>
          <w:lang w:val="es-ES"/>
        </w:rPr>
      </w:pPr>
    </w:p>
    <w:p w14:paraId="45E4CF62" w14:textId="77777777" w:rsidR="00D72A21" w:rsidRDefault="00D72A21" w:rsidP="00D72A21">
      <w:pPr>
        <w:spacing w:after="0" w:line="240" w:lineRule="auto"/>
        <w:jc w:val="both"/>
        <w:rPr>
          <w:rFonts w:ascii="Verdana" w:eastAsia="Calibri" w:hAnsi="Verdana" w:cs="Arial"/>
          <w:color w:val="000000" w:themeColor="text1"/>
          <w:sz w:val="20"/>
          <w:szCs w:val="20"/>
          <w:lang w:eastAsia="es-ES_tradnl"/>
        </w:rPr>
      </w:pPr>
      <w:r w:rsidRPr="00960035">
        <w:rPr>
          <w:rFonts w:ascii="Verdana" w:eastAsia="Calibri" w:hAnsi="Verdana" w:cs="Arial"/>
          <w:color w:val="000000" w:themeColor="text1"/>
          <w:sz w:val="20"/>
          <w:szCs w:val="20"/>
          <w:lang w:eastAsia="es-ES_tradnl"/>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960035">
        <w:rPr>
          <w:rFonts w:ascii="Verdana" w:eastAsia="Calibri" w:hAnsi="Verdana" w:cs="Arial"/>
          <w:color w:val="000000" w:themeColor="text1"/>
          <w:sz w:val="20"/>
          <w:szCs w:val="20"/>
          <w:lang w:val="es-ES_tradnl" w:eastAsia="es-ES_tradnl"/>
        </w:rPr>
        <w:t xml:space="preserve">, el carácter reconocidamente taxativo del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960035">
        <w:rPr>
          <w:rFonts w:ascii="Verdana" w:eastAsia="Calibri" w:hAnsi="Verdana" w:cs="Arial"/>
          <w:color w:val="000000" w:themeColor="text1"/>
          <w:sz w:val="20"/>
          <w:szCs w:val="20"/>
          <w:lang w:eastAsia="es-ES_tradnl"/>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75F4B193" w14:textId="77777777" w:rsidR="00D72A21" w:rsidRPr="00960035" w:rsidRDefault="00D72A21" w:rsidP="00D72A21">
      <w:pPr>
        <w:spacing w:after="0" w:line="240" w:lineRule="auto"/>
        <w:jc w:val="both"/>
        <w:rPr>
          <w:rFonts w:ascii="Verdana" w:eastAsia="Calibri" w:hAnsi="Verdana" w:cs="Arial"/>
          <w:color w:val="000000" w:themeColor="text1"/>
          <w:sz w:val="20"/>
          <w:szCs w:val="20"/>
          <w:lang w:eastAsia="es-ES_tradnl"/>
        </w:rPr>
      </w:pPr>
    </w:p>
    <w:p w14:paraId="7988F486" w14:textId="4406F2C4" w:rsidR="00D72A21" w:rsidRPr="00EE55BF" w:rsidRDefault="00D72A21" w:rsidP="00EE55BF">
      <w:pPr>
        <w:spacing w:after="0" w:line="240" w:lineRule="auto"/>
        <w:jc w:val="both"/>
        <w:rPr>
          <w:rFonts w:ascii="Verdana" w:eastAsia="Calibri" w:hAnsi="Verdana" w:cs="Arial"/>
          <w:color w:val="000000" w:themeColor="text1"/>
          <w:sz w:val="20"/>
          <w:szCs w:val="20"/>
          <w:lang w:val="es-ES_tradnl"/>
        </w:rPr>
      </w:pPr>
      <w:r w:rsidRPr="00960035">
        <w:rPr>
          <w:rFonts w:ascii="Verdana" w:eastAsia="Calibri" w:hAnsi="Verdana" w:cs="Arial"/>
          <w:color w:val="000000" w:themeColor="text1"/>
          <w:sz w:val="20"/>
          <w:szCs w:val="20"/>
          <w:lang w:val="es-ES_tradnl" w:eastAsia="es-ES_tradnl"/>
        </w:rPr>
        <w:t xml:space="preserve">De esta manera,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960035">
        <w:rPr>
          <w:rFonts w:ascii="Verdana" w:eastAsia="Calibri" w:hAnsi="Verdana" w:cs="Arial"/>
          <w:i/>
          <w:iCs/>
          <w:color w:val="000000" w:themeColor="text1"/>
          <w:sz w:val="20"/>
          <w:szCs w:val="20"/>
          <w:lang w:val="es-ES_tradnl" w:eastAsia="es-ES_tradnl"/>
        </w:rPr>
        <w:t>restrictiva</w:t>
      </w:r>
      <w:r w:rsidRPr="00960035">
        <w:rPr>
          <w:rFonts w:ascii="Verdana" w:eastAsia="Calibri" w:hAnsi="Verdana" w:cs="Arial"/>
          <w:color w:val="000000" w:themeColor="text1"/>
          <w:sz w:val="20"/>
          <w:szCs w:val="20"/>
          <w:lang w:val="es-ES_tradnl" w:eastAsia="es-ES_tradnl"/>
        </w:rPr>
        <w:t>. En contraste, si se admitiera una interpretación amplia, extensiva, analógica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Pr>
          <w:rFonts w:ascii="Verdana" w:eastAsia="Calibri" w:hAnsi="Verdana" w:cs="Arial"/>
          <w:color w:val="000000" w:themeColor="text1"/>
          <w:sz w:val="20"/>
          <w:szCs w:val="20"/>
          <w:lang w:val="es-ES_tradnl" w:eastAsia="es-ES_tradnl"/>
        </w:rPr>
        <w:t>.</w:t>
      </w:r>
    </w:p>
    <w:p w14:paraId="1A8118E3" w14:textId="77777777" w:rsidR="002F32DF" w:rsidRDefault="002F32DF" w:rsidP="00D72A21">
      <w:pPr>
        <w:tabs>
          <w:tab w:val="left" w:pos="426"/>
        </w:tabs>
        <w:spacing w:after="0" w:line="240" w:lineRule="auto"/>
        <w:jc w:val="both"/>
        <w:rPr>
          <w:rFonts w:ascii="Verdana" w:eastAsia="Calibri" w:hAnsi="Verdana" w:cs="Arial"/>
          <w:b/>
          <w:lang w:val="es-ES"/>
        </w:rPr>
      </w:pPr>
    </w:p>
    <w:p w14:paraId="74EDAE1A" w14:textId="7B6B1AFD" w:rsidR="002F32DF" w:rsidRPr="00AB24AB" w:rsidRDefault="00AB24AB" w:rsidP="00D72A21">
      <w:pPr>
        <w:tabs>
          <w:tab w:val="left" w:pos="426"/>
        </w:tabs>
        <w:spacing w:after="0" w:line="240" w:lineRule="auto"/>
        <w:jc w:val="both"/>
        <w:rPr>
          <w:rFonts w:ascii="Verdana" w:eastAsia="Calibri" w:hAnsi="Verdana" w:cs="Arial"/>
          <w:b/>
          <w:bCs/>
          <w:lang w:val="es-ES"/>
        </w:rPr>
      </w:pPr>
      <w:r w:rsidRPr="00AB24AB">
        <w:rPr>
          <w:rFonts w:ascii="Verdana" w:eastAsia="Calibri" w:hAnsi="Verdana" w:cs="Arial"/>
          <w:b/>
          <w:lang w:val="es-ES"/>
        </w:rPr>
        <w:t>CONSORCIOS Y UNIONES TEMPORALES</w:t>
      </w:r>
      <w:r w:rsidR="00EE55BF">
        <w:rPr>
          <w:rFonts w:ascii="Verdana" w:eastAsia="Calibri" w:hAnsi="Verdana" w:cs="Arial"/>
          <w:b/>
          <w:lang w:val="es-ES"/>
        </w:rPr>
        <w:t xml:space="preserve"> </w:t>
      </w:r>
      <w:r w:rsidR="00EE55BF" w:rsidRPr="00EE55BF">
        <w:rPr>
          <w:rFonts w:ascii="Verdana" w:eastAsia="Calibri" w:hAnsi="Verdana" w:cs="Arial"/>
          <w:b/>
          <w:bCs/>
          <w:lang w:val="es-ES"/>
        </w:rPr>
        <w:t>–</w:t>
      </w:r>
      <w:r w:rsidRPr="00AB24AB">
        <w:rPr>
          <w:rFonts w:ascii="Verdana" w:eastAsia="Calibri" w:hAnsi="Verdana" w:cs="Arial"/>
          <w:b/>
          <w:lang w:val="es-ES"/>
        </w:rPr>
        <w:t xml:space="preserve"> Verificación del Régimen de Inhabilidades</w:t>
      </w:r>
      <w:r w:rsidR="00EE55BF">
        <w:rPr>
          <w:rFonts w:ascii="Verdana" w:eastAsia="Calibri" w:hAnsi="Verdana" w:cs="Arial"/>
          <w:b/>
          <w:lang w:val="es-ES"/>
        </w:rPr>
        <w:t xml:space="preserve"> </w:t>
      </w:r>
      <w:r w:rsidR="00EE55BF" w:rsidRPr="00EE55BF">
        <w:rPr>
          <w:rFonts w:ascii="Verdana" w:eastAsia="Calibri" w:hAnsi="Verdana" w:cs="Arial"/>
          <w:b/>
          <w:bCs/>
          <w:lang w:val="es-ES"/>
        </w:rPr>
        <w:t>–</w:t>
      </w:r>
      <w:r w:rsidRPr="00AB24AB">
        <w:rPr>
          <w:rFonts w:ascii="Verdana" w:eastAsia="Calibri" w:hAnsi="Verdana" w:cs="Arial"/>
        </w:rPr>
        <w:t xml:space="preserve"> </w:t>
      </w:r>
      <w:r w:rsidRPr="00AB24AB">
        <w:rPr>
          <w:rFonts w:ascii="Verdana" w:eastAsia="Calibri" w:hAnsi="Verdana" w:cs="Arial"/>
          <w:b/>
          <w:bCs/>
        </w:rPr>
        <w:t>Prohibición Legal Para Contratar Con El Estado</w:t>
      </w:r>
    </w:p>
    <w:p w14:paraId="7895E669" w14:textId="77777777" w:rsidR="002F32DF" w:rsidRDefault="002F32DF" w:rsidP="00D72A21">
      <w:pPr>
        <w:tabs>
          <w:tab w:val="left" w:pos="426"/>
        </w:tabs>
        <w:spacing w:after="0" w:line="240" w:lineRule="auto"/>
        <w:jc w:val="both"/>
        <w:rPr>
          <w:rFonts w:ascii="Verdana" w:eastAsia="Calibri" w:hAnsi="Verdana" w:cs="Arial"/>
          <w:b/>
          <w:lang w:val="es-ES"/>
        </w:rPr>
      </w:pPr>
    </w:p>
    <w:p w14:paraId="11A3BA8B" w14:textId="77777777" w:rsidR="00AB24AB" w:rsidRPr="00AB24AB" w:rsidRDefault="00AB24AB" w:rsidP="00AB24AB">
      <w:pPr>
        <w:pBdr>
          <w:top w:val="nil"/>
          <w:left w:val="nil"/>
          <w:bottom w:val="nil"/>
          <w:right w:val="nil"/>
          <w:between w:val="nil"/>
        </w:pBdr>
        <w:spacing w:after="0" w:line="240" w:lineRule="auto"/>
        <w:jc w:val="both"/>
        <w:rPr>
          <w:rFonts w:ascii="Verdana" w:eastAsia="Calibri" w:hAnsi="Verdana" w:cs="Arial"/>
          <w:sz w:val="20"/>
          <w:szCs w:val="20"/>
        </w:rPr>
      </w:pPr>
      <w:r w:rsidRPr="00AB24AB">
        <w:rPr>
          <w:rFonts w:ascii="Verdana" w:eastAsia="Calibri" w:hAnsi="Verdana" w:cs="Arial"/>
          <w:sz w:val="20"/>
          <w:szCs w:val="20"/>
        </w:rPr>
        <w:t xml:space="preserve">Conforme a lo anterior y atendiendo a lo dispuesto en el artículo 7 de la Ley 80 de 1993, los consorcios y las uniones temporales son proponentes plurales que, si bien no constituyen personas jurídicas, cuentan con capacidad para presentar ofertas y celebrar contratos estatales a través de la actuación conjunta de sus integrantes. </w:t>
      </w:r>
      <w:proofErr w:type="gramStart"/>
      <w:r w:rsidRPr="00AB24AB">
        <w:rPr>
          <w:rFonts w:ascii="Verdana" w:eastAsia="Calibri" w:hAnsi="Verdana" w:cs="Arial"/>
          <w:sz w:val="20"/>
          <w:szCs w:val="20"/>
        </w:rPr>
        <w:t>En razón de</w:t>
      </w:r>
      <w:proofErr w:type="gramEnd"/>
      <w:r w:rsidRPr="00AB24AB">
        <w:rPr>
          <w:rFonts w:ascii="Verdana" w:eastAsia="Calibri" w:hAnsi="Verdana" w:cs="Arial"/>
          <w:sz w:val="20"/>
          <w:szCs w:val="20"/>
        </w:rPr>
        <w:t xml:space="preserve"> dicha naturaleza, la verificación de los requisitos habilitantes de carácter jurídico, incluido el régimen de inhabilidades e incompatibilidades, debe realizarse respecto de cada uno de los miembros que conforman el proponente plural.</w:t>
      </w:r>
    </w:p>
    <w:p w14:paraId="513812DA" w14:textId="77777777" w:rsidR="00AB24AB" w:rsidRPr="00AB24AB" w:rsidRDefault="00AB24AB" w:rsidP="00AB24AB">
      <w:pPr>
        <w:pBdr>
          <w:top w:val="nil"/>
          <w:left w:val="nil"/>
          <w:bottom w:val="nil"/>
          <w:right w:val="nil"/>
          <w:between w:val="nil"/>
        </w:pBdr>
        <w:spacing w:after="0" w:line="240" w:lineRule="auto"/>
        <w:jc w:val="both"/>
        <w:rPr>
          <w:rFonts w:ascii="Verdana" w:eastAsia="Calibri" w:hAnsi="Verdana" w:cs="Arial"/>
          <w:sz w:val="20"/>
          <w:szCs w:val="20"/>
        </w:rPr>
      </w:pPr>
    </w:p>
    <w:p w14:paraId="6F38236A" w14:textId="77777777" w:rsidR="00AB24AB" w:rsidRPr="00AB24AB" w:rsidRDefault="00AB24AB" w:rsidP="00AB24AB">
      <w:pPr>
        <w:pBdr>
          <w:top w:val="nil"/>
          <w:left w:val="nil"/>
          <w:bottom w:val="nil"/>
          <w:right w:val="nil"/>
          <w:between w:val="nil"/>
        </w:pBdr>
        <w:spacing w:after="0" w:line="240" w:lineRule="auto"/>
        <w:jc w:val="both"/>
        <w:rPr>
          <w:rFonts w:ascii="Verdana" w:eastAsia="Calibri" w:hAnsi="Verdana" w:cs="Arial"/>
          <w:sz w:val="20"/>
          <w:szCs w:val="20"/>
        </w:rPr>
      </w:pPr>
      <w:r w:rsidRPr="00AB24AB">
        <w:rPr>
          <w:rFonts w:ascii="Verdana" w:eastAsia="Calibri" w:hAnsi="Verdana" w:cs="Arial"/>
          <w:sz w:val="20"/>
          <w:szCs w:val="20"/>
        </w:rPr>
        <w:t xml:space="preserve">En el caso de las uniones temporales y consorcios, resulta jurídicamente necesario analizar de manera individual la situación jurídica de cada uno de sus integrantes, dado que estas formas asociativas no constituyen personas jurídicas, sino que actúan como proponentes plurales. En consecuencia, la verificación del régimen de inhabilidades e incompatibilidades debe realizarse respecto de cada persona natural o jurídica que conforma el proponente plural, atendiendo al carácter taxativo y de interpretación </w:t>
      </w:r>
      <w:r w:rsidRPr="00AB24AB">
        <w:rPr>
          <w:rFonts w:ascii="Verdana" w:eastAsia="Calibri" w:hAnsi="Verdana" w:cs="Arial"/>
          <w:sz w:val="20"/>
          <w:szCs w:val="20"/>
        </w:rPr>
        <w:lastRenderedPageBreak/>
        <w:t>restrictiva de dichas causales, las cuales recaen directamente sobre los sujetos respecto de los cuales el legislador ha previsto expresamente esa consecuencia.</w:t>
      </w:r>
    </w:p>
    <w:p w14:paraId="57B37AC3" w14:textId="77777777" w:rsidR="00AB24AB" w:rsidRPr="00AB24AB" w:rsidRDefault="00AB24AB" w:rsidP="00AB24AB">
      <w:pPr>
        <w:pBdr>
          <w:top w:val="nil"/>
          <w:left w:val="nil"/>
          <w:bottom w:val="nil"/>
          <w:right w:val="nil"/>
          <w:between w:val="nil"/>
        </w:pBdr>
        <w:spacing w:after="0" w:line="240" w:lineRule="auto"/>
        <w:ind w:firstLine="708"/>
        <w:jc w:val="both"/>
        <w:rPr>
          <w:rFonts w:ascii="Verdana" w:eastAsia="Calibri" w:hAnsi="Verdana" w:cs="Arial"/>
          <w:sz w:val="20"/>
          <w:szCs w:val="20"/>
        </w:rPr>
      </w:pPr>
    </w:p>
    <w:p w14:paraId="2A25F330" w14:textId="44FD7F92" w:rsidR="002F32DF" w:rsidRPr="00EE55BF" w:rsidRDefault="00AB24AB" w:rsidP="00EE55BF">
      <w:pPr>
        <w:pBdr>
          <w:top w:val="nil"/>
          <w:left w:val="nil"/>
          <w:bottom w:val="nil"/>
          <w:right w:val="nil"/>
          <w:between w:val="nil"/>
        </w:pBdr>
        <w:spacing w:after="0" w:line="240" w:lineRule="auto"/>
        <w:jc w:val="both"/>
        <w:rPr>
          <w:rFonts w:ascii="Verdana" w:eastAsia="Calibri" w:hAnsi="Verdana" w:cs="Arial"/>
        </w:rPr>
      </w:pPr>
      <w:r w:rsidRPr="00AB24AB">
        <w:rPr>
          <w:rFonts w:ascii="Verdana" w:eastAsia="Calibri" w:hAnsi="Verdana" w:cs="Arial"/>
          <w:sz w:val="20"/>
          <w:szCs w:val="20"/>
        </w:rPr>
        <w:t xml:space="preserve">Así, cuando uno de los integrantes ha sido declarado responsable fiscalmente y figura en el Boletín de </w:t>
      </w:r>
      <w:proofErr w:type="gramStart"/>
      <w:r w:rsidRPr="00AB24AB">
        <w:rPr>
          <w:rFonts w:ascii="Verdana" w:eastAsia="Calibri" w:hAnsi="Verdana" w:cs="Arial"/>
          <w:sz w:val="20"/>
          <w:szCs w:val="20"/>
        </w:rPr>
        <w:t>Responsables</w:t>
      </w:r>
      <w:proofErr w:type="gramEnd"/>
      <w:r w:rsidRPr="00AB24AB">
        <w:rPr>
          <w:rFonts w:ascii="Verdana" w:eastAsia="Calibri" w:hAnsi="Verdana" w:cs="Arial"/>
          <w:sz w:val="20"/>
          <w:szCs w:val="20"/>
        </w:rPr>
        <w:t xml:space="preserve"> Fiscales de la Contraloría General de la República, se configura frente a dicho integrante una prohibición legal para contratar con el Estado, en los términos del artículo 60 de la Ley 610 de 2000 y del parágrafo primero del artículo 42 de la Ley 1952 de 2019, mientras no se haya satisfecho la obligación fiscal o se haya producido su exclusión del boletín</w:t>
      </w:r>
      <w:r w:rsidRPr="00C705A6">
        <w:rPr>
          <w:rFonts w:ascii="Verdana" w:eastAsia="Calibri" w:hAnsi="Verdana" w:cs="Arial"/>
        </w:rPr>
        <w:t>.</w:t>
      </w:r>
    </w:p>
    <w:p w14:paraId="0A9CF507" w14:textId="77777777" w:rsidR="002F32DF" w:rsidRDefault="002F32DF" w:rsidP="00D72A21">
      <w:pPr>
        <w:tabs>
          <w:tab w:val="left" w:pos="426"/>
        </w:tabs>
        <w:spacing w:after="0" w:line="240" w:lineRule="auto"/>
        <w:jc w:val="both"/>
        <w:rPr>
          <w:rFonts w:ascii="Verdana" w:eastAsia="Calibri" w:hAnsi="Verdana" w:cs="Arial"/>
          <w:b/>
          <w:lang w:val="es-ES"/>
        </w:rPr>
      </w:pPr>
    </w:p>
    <w:p w14:paraId="2335927A" w14:textId="19DB1B79" w:rsidR="00D72A21" w:rsidRPr="00AF1555" w:rsidRDefault="00AB24AB" w:rsidP="00D72A21">
      <w:pPr>
        <w:tabs>
          <w:tab w:val="left" w:pos="426"/>
        </w:tabs>
        <w:spacing w:after="0" w:line="240" w:lineRule="auto"/>
        <w:jc w:val="both"/>
        <w:rPr>
          <w:rFonts w:ascii="Verdana" w:hAnsi="Verdana" w:cs="Arial"/>
          <w:b/>
          <w:lang w:eastAsia="es-CO"/>
        </w:rPr>
      </w:pPr>
      <w:r>
        <w:rPr>
          <w:rFonts w:ascii="Verdana" w:hAnsi="Verdana" w:cs="Arial"/>
          <w:b/>
          <w:lang w:eastAsia="es-CO"/>
        </w:rPr>
        <w:t xml:space="preserve">RESPONSABILIDAD FISCAL POR DAÑO AL PATRIMONIO PÚBLICO </w:t>
      </w:r>
      <w:r w:rsidR="00D72A21">
        <w:rPr>
          <w:rFonts w:ascii="Verdana" w:hAnsi="Verdana" w:cs="Arial"/>
          <w:b/>
          <w:lang w:eastAsia="es-CO"/>
        </w:rPr>
        <w:t>– Alcance</w:t>
      </w:r>
      <w:r w:rsidR="00D72A21" w:rsidRPr="00AF1555">
        <w:rPr>
          <w:rFonts w:ascii="Verdana" w:hAnsi="Verdana" w:cs="Arial"/>
          <w:b/>
          <w:lang w:eastAsia="es-CO"/>
        </w:rPr>
        <w:t xml:space="preserve"> </w:t>
      </w:r>
    </w:p>
    <w:p w14:paraId="59410ABD" w14:textId="0BDD85FA" w:rsidR="00D72A21" w:rsidRPr="00AF1555" w:rsidRDefault="00D72A21" w:rsidP="00D72A21">
      <w:pPr>
        <w:tabs>
          <w:tab w:val="left" w:pos="426"/>
        </w:tabs>
        <w:spacing w:after="0" w:line="240" w:lineRule="auto"/>
        <w:jc w:val="both"/>
        <w:rPr>
          <w:rFonts w:ascii="Verdana" w:hAnsi="Verdana" w:cs="Arial"/>
          <w:b/>
          <w:sz w:val="20"/>
          <w:szCs w:val="20"/>
          <w:lang w:eastAsia="es-CO"/>
        </w:rPr>
      </w:pPr>
    </w:p>
    <w:p w14:paraId="2F45EC3F" w14:textId="675DAF22" w:rsidR="00D72A21" w:rsidRDefault="00D72A21" w:rsidP="00D72A21">
      <w:pPr>
        <w:spacing w:after="0" w:line="240" w:lineRule="auto"/>
        <w:jc w:val="both"/>
        <w:rPr>
          <w:rFonts w:ascii="Verdana" w:hAnsi="Verdana" w:cs="Arial"/>
          <w:bCs/>
          <w:sz w:val="20"/>
          <w:szCs w:val="20"/>
          <w:lang w:val="es-ES_tradnl" w:eastAsia="es-CO"/>
        </w:rPr>
      </w:pPr>
      <w:r>
        <w:rPr>
          <w:rFonts w:ascii="Verdana" w:hAnsi="Verdana" w:cs="Arial"/>
          <w:bCs/>
          <w:sz w:val="20"/>
          <w:szCs w:val="20"/>
          <w:lang w:val="es-ES" w:eastAsia="es-CO"/>
        </w:rPr>
        <w:t>L</w:t>
      </w:r>
      <w:r w:rsidRPr="00960035">
        <w:rPr>
          <w:rFonts w:ascii="Verdana" w:hAnsi="Verdana" w:cs="Arial"/>
          <w:bCs/>
          <w:sz w:val="20"/>
          <w:szCs w:val="20"/>
          <w:lang w:val="es-ES" w:eastAsia="es-CO"/>
        </w:rPr>
        <w:t xml:space="preserve">a causal del </w:t>
      </w:r>
      <w:r w:rsidRPr="00960035">
        <w:rPr>
          <w:rFonts w:ascii="Verdana" w:hAnsi="Verdana" w:cs="Arial"/>
          <w:bCs/>
          <w:sz w:val="20"/>
          <w:szCs w:val="20"/>
          <w:lang w:val="es-ES_tradnl" w:eastAsia="es-CO"/>
        </w:rPr>
        <w:t>artículo 90 de la Ley 1474 de 2011</w:t>
      </w:r>
      <w:r>
        <w:rPr>
          <w:rFonts w:ascii="Verdana" w:hAnsi="Verdana" w:cs="Arial"/>
          <w:bCs/>
          <w:sz w:val="20"/>
          <w:szCs w:val="20"/>
          <w:lang w:val="es-ES_tradnl" w:eastAsia="es-CO"/>
        </w:rPr>
        <w:t xml:space="preserve"> </w:t>
      </w:r>
      <w:r w:rsidRPr="00960035">
        <w:rPr>
          <w:rFonts w:ascii="Verdana" w:hAnsi="Verdana" w:cs="Arial"/>
          <w:bCs/>
          <w:sz w:val="20"/>
          <w:szCs w:val="20"/>
          <w:lang w:val="es-ES" w:eastAsia="es-CO"/>
        </w:rPr>
        <w:t>afecta principalmente al contratista incumplido. Sin embargo, el parágrafo de la norma citada prescribe que “La inhabilidad a que se refiere el presente artículo se extenderá a los socios de sociedades de personas a las cuales se haya declarado esta inhabilidad, así como a las sociedades de personas de las que aquellos formen parte con posterioridad a dicha declaratoria”. Por tanto, pese a la separación de la persona jurídica y quienes la integran</w:t>
      </w:r>
      <w:r w:rsidRPr="00960035">
        <w:rPr>
          <w:rFonts w:ascii="Verdana" w:hAnsi="Verdana" w:cs="Arial"/>
          <w:bCs/>
          <w:sz w:val="20"/>
          <w:szCs w:val="20"/>
          <w:lang w:val="es-ES_tradnl" w:eastAsia="es-CO"/>
        </w:rPr>
        <w:t xml:space="preserve">, el legislador dispone explícitamente que la restricción para contratar pasa de la sociedad a los socios; asimismo, si estos últimos constituyen nuevas sociedades, también les transmiten dicha limitación. Esta extensión sólo es aplicable a las </w:t>
      </w:r>
      <w:r w:rsidRPr="00960035">
        <w:rPr>
          <w:rFonts w:ascii="Verdana" w:hAnsi="Verdana" w:cs="Arial"/>
          <w:bCs/>
          <w:i/>
          <w:iCs/>
          <w:sz w:val="20"/>
          <w:szCs w:val="20"/>
          <w:lang w:val="es-ES_tradnl" w:eastAsia="es-CO"/>
        </w:rPr>
        <w:t>sociedades de personas</w:t>
      </w:r>
      <w:r w:rsidRPr="00960035">
        <w:rPr>
          <w:rFonts w:ascii="Verdana" w:hAnsi="Verdana" w:cs="Arial"/>
          <w:bCs/>
          <w:sz w:val="20"/>
          <w:szCs w:val="20"/>
          <w:lang w:val="es-ES_tradnl" w:eastAsia="es-CO"/>
        </w:rPr>
        <w:t xml:space="preserve">, es decir, están excluidas las </w:t>
      </w:r>
      <w:r w:rsidRPr="00960035">
        <w:rPr>
          <w:rFonts w:ascii="Verdana" w:hAnsi="Verdana" w:cs="Arial"/>
          <w:bCs/>
          <w:i/>
          <w:iCs/>
          <w:sz w:val="20"/>
          <w:szCs w:val="20"/>
          <w:lang w:val="es-ES_tradnl" w:eastAsia="es-CO"/>
        </w:rPr>
        <w:t>sociedades de capita</w:t>
      </w:r>
      <w:r>
        <w:rPr>
          <w:rFonts w:ascii="Verdana" w:hAnsi="Verdana" w:cs="Arial"/>
          <w:bCs/>
          <w:i/>
          <w:iCs/>
          <w:sz w:val="20"/>
          <w:szCs w:val="20"/>
          <w:lang w:val="es-ES_tradnl" w:eastAsia="es-CO"/>
        </w:rPr>
        <w:t>l</w:t>
      </w:r>
      <w:r w:rsidRPr="00960035">
        <w:rPr>
          <w:rFonts w:ascii="Verdana" w:hAnsi="Verdana" w:cs="Arial"/>
          <w:bCs/>
          <w:sz w:val="20"/>
          <w:szCs w:val="20"/>
          <w:lang w:val="es-ES_tradnl" w:eastAsia="es-CO"/>
        </w:rPr>
        <w:t>.</w:t>
      </w:r>
    </w:p>
    <w:p w14:paraId="288502D5" w14:textId="77777777" w:rsidR="00D72A21" w:rsidRDefault="00D72A21" w:rsidP="00D72A21">
      <w:pPr>
        <w:spacing w:after="0" w:line="240" w:lineRule="auto"/>
        <w:jc w:val="both"/>
        <w:rPr>
          <w:rFonts w:ascii="Verdana" w:hAnsi="Verdana" w:cs="Arial"/>
          <w:bCs/>
          <w:sz w:val="20"/>
          <w:szCs w:val="20"/>
          <w:lang w:val="es-ES_tradnl" w:eastAsia="es-CO"/>
        </w:rPr>
      </w:pPr>
    </w:p>
    <w:p w14:paraId="11CA65F8" w14:textId="7A7B0D6B" w:rsidR="00D72A21" w:rsidRPr="00E0146D" w:rsidRDefault="00D72A21" w:rsidP="00D72A21">
      <w:pPr>
        <w:spacing w:after="0" w:line="240" w:lineRule="auto"/>
        <w:jc w:val="both"/>
        <w:rPr>
          <w:rFonts w:ascii="Verdana" w:hAnsi="Verdana" w:cs="Arial"/>
          <w:bCs/>
          <w:sz w:val="20"/>
          <w:szCs w:val="20"/>
          <w:lang w:val="es-ES_tradnl" w:eastAsia="es-CO"/>
        </w:rPr>
      </w:pPr>
      <w:r w:rsidRPr="00E0146D">
        <w:rPr>
          <w:rFonts w:ascii="Verdana" w:hAnsi="Verdana" w:cs="Arial"/>
          <w:bCs/>
          <w:sz w:val="20"/>
          <w:szCs w:val="20"/>
          <w:lang w:val="es-ES" w:eastAsia="es-CO"/>
        </w:rPr>
        <w:t>Contrario a la inhabilidad por incumplimiento reiterado, del artículo 60 de la Ley 610 de 2000 o del parágrafo primero del artículo 42 de la Ley 1952 de 2019</w:t>
      </w:r>
      <w:r>
        <w:rPr>
          <w:rFonts w:ascii="Verdana" w:hAnsi="Verdana" w:cs="Arial"/>
          <w:bCs/>
          <w:sz w:val="20"/>
          <w:szCs w:val="20"/>
          <w:lang w:val="es-ES" w:eastAsia="es-CO"/>
        </w:rPr>
        <w:t xml:space="preserve"> </w:t>
      </w:r>
      <w:r w:rsidRPr="00E0146D">
        <w:rPr>
          <w:rFonts w:ascii="Verdana" w:hAnsi="Verdana" w:cs="Arial"/>
          <w:bCs/>
          <w:sz w:val="20"/>
          <w:szCs w:val="20"/>
          <w:lang w:val="es-ES" w:eastAsia="es-CO"/>
        </w:rPr>
        <w:t xml:space="preserve">no se desprende un mecanismo de extensión similar al previsto en el parágrafo del </w:t>
      </w:r>
      <w:r w:rsidRPr="00E0146D">
        <w:rPr>
          <w:rFonts w:ascii="Verdana" w:hAnsi="Verdana" w:cs="Arial"/>
          <w:bCs/>
          <w:sz w:val="20"/>
          <w:szCs w:val="20"/>
          <w:lang w:val="es-ES_tradnl" w:eastAsia="es-CO"/>
        </w:rPr>
        <w:t>artículo 90 de la Ley 1474 de 2011, por lo que la restricción afecta principalmente a quien haya sido declarado responsable fiscalmente mientras no haya pagado el daño a los intereses patrimoniales del Estado o, en su defecto, no haya sido excluido del boletín de la Contraloría. Cuando el legislador extiende el alcance de las inhabilidades lo hace de forma expresa, como sucede –por ejemplo– con la inhabilidad por actos de corrupción del literal j del numeral 1° del artículo 8 de la Ley 80 de 1993. En este contexto, salvo que otra norma indique lo contrario, la limitación aplica a “Quien haya sido declarado responsable fiscalmente […]”, sin posibilidad de extenderla a supuestos no regulados.</w:t>
      </w:r>
    </w:p>
    <w:p w14:paraId="1CB6A49A" w14:textId="77777777" w:rsidR="00D72A21" w:rsidRPr="00E0146D" w:rsidRDefault="00D72A21" w:rsidP="00D72A21">
      <w:pPr>
        <w:spacing w:after="0" w:line="240" w:lineRule="auto"/>
        <w:jc w:val="both"/>
        <w:rPr>
          <w:rFonts w:ascii="Verdana" w:hAnsi="Verdana" w:cs="Arial"/>
          <w:bCs/>
          <w:lang w:val="es-ES_tradnl" w:eastAsia="es-CO"/>
        </w:rPr>
      </w:pPr>
    </w:p>
    <w:p w14:paraId="25D562B1" w14:textId="0AF78853" w:rsidR="00D72A21" w:rsidRDefault="00D72A21" w:rsidP="00D72A21">
      <w:pPr>
        <w:spacing w:after="0" w:line="240" w:lineRule="auto"/>
        <w:jc w:val="both"/>
        <w:rPr>
          <w:rFonts w:ascii="Verdana" w:hAnsi="Verdana" w:cs="Arial"/>
          <w:b/>
          <w:lang w:eastAsia="es-CO"/>
        </w:rPr>
      </w:pPr>
    </w:p>
    <w:p w14:paraId="0637E35E" w14:textId="77777777" w:rsidR="00D72A21" w:rsidRDefault="00D72A21" w:rsidP="00D72A21">
      <w:pPr>
        <w:spacing w:after="0" w:line="240" w:lineRule="auto"/>
        <w:rPr>
          <w:rFonts w:ascii="Verdana" w:hAnsi="Verdana" w:cs="Arial"/>
          <w:b/>
          <w:lang w:eastAsia="es-CO"/>
        </w:rPr>
      </w:pPr>
    </w:p>
    <w:p w14:paraId="291A3011" w14:textId="29377800" w:rsidR="00D72A21" w:rsidRDefault="00D72A21" w:rsidP="00D72A21">
      <w:pPr>
        <w:spacing w:after="0" w:line="240" w:lineRule="auto"/>
        <w:rPr>
          <w:rFonts w:ascii="Verdana" w:hAnsi="Verdana" w:cs="Arial"/>
          <w:b/>
          <w:lang w:eastAsia="es-CO"/>
        </w:rPr>
      </w:pPr>
    </w:p>
    <w:p w14:paraId="6CB2C860" w14:textId="77777777" w:rsidR="00D72A21" w:rsidRDefault="00D72A21" w:rsidP="00D72A21">
      <w:pPr>
        <w:spacing w:after="0" w:line="240" w:lineRule="auto"/>
        <w:rPr>
          <w:rFonts w:ascii="Verdana" w:hAnsi="Verdana" w:cs="Arial"/>
          <w:b/>
          <w:lang w:eastAsia="es-CO"/>
        </w:rPr>
      </w:pPr>
    </w:p>
    <w:p w14:paraId="21BE00AA" w14:textId="085B24EF" w:rsidR="00D72A21" w:rsidRDefault="00D72A21" w:rsidP="00D72A21">
      <w:pPr>
        <w:spacing w:after="0" w:line="240" w:lineRule="auto"/>
        <w:rPr>
          <w:rFonts w:ascii="Verdana" w:hAnsi="Verdana" w:cs="Arial"/>
          <w:b/>
          <w:lang w:eastAsia="es-CO"/>
        </w:rPr>
      </w:pPr>
    </w:p>
    <w:p w14:paraId="112C41EB" w14:textId="77777777" w:rsidR="00D72A21" w:rsidRDefault="00D72A21" w:rsidP="00D72A21">
      <w:pPr>
        <w:spacing w:after="0" w:line="240" w:lineRule="auto"/>
        <w:rPr>
          <w:rFonts w:ascii="Verdana" w:eastAsia="Geomanist Light" w:hAnsi="Verdana" w:cs="Arial"/>
          <w:color w:val="000000" w:themeColor="text1"/>
          <w:lang w:val="es-MX"/>
        </w:rPr>
      </w:pPr>
    </w:p>
    <w:p w14:paraId="35EB9071" w14:textId="77777777" w:rsidR="00EE55BF" w:rsidRDefault="00EE55BF" w:rsidP="00D72A21">
      <w:pPr>
        <w:spacing w:after="0" w:line="240" w:lineRule="auto"/>
        <w:rPr>
          <w:rFonts w:ascii="Verdana" w:eastAsia="Geomanist Light" w:hAnsi="Verdana" w:cs="Arial"/>
        </w:rPr>
      </w:pPr>
    </w:p>
    <w:p w14:paraId="0BEFA2CD" w14:textId="77777777" w:rsidR="00EE55BF" w:rsidRDefault="00EE55BF" w:rsidP="00D72A21">
      <w:pPr>
        <w:spacing w:after="0" w:line="240" w:lineRule="auto"/>
        <w:rPr>
          <w:rFonts w:ascii="Verdana" w:eastAsia="Geomanist Light" w:hAnsi="Verdana" w:cs="Arial"/>
        </w:rPr>
      </w:pPr>
    </w:p>
    <w:p w14:paraId="309F95B9" w14:textId="2910FE11" w:rsidR="00D72A21" w:rsidRPr="00960F72" w:rsidRDefault="00D72A21" w:rsidP="00D72A21">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753FA595" w14:textId="448A63AB" w:rsidR="00D72A21" w:rsidRDefault="00D72A21" w:rsidP="00D72A21">
      <w:pPr>
        <w:spacing w:after="0" w:line="240" w:lineRule="auto"/>
        <w:rPr>
          <w:rFonts w:ascii="Verdana" w:eastAsia="Calibri" w:hAnsi="Verdana" w:cs="Arial"/>
          <w:b/>
          <w:bCs/>
          <w:lang w:eastAsia="es-ES_tradnl"/>
        </w:rPr>
      </w:pPr>
    </w:p>
    <w:p w14:paraId="25C03AFE" w14:textId="50035358" w:rsidR="00D72A21" w:rsidRDefault="00EE55BF" w:rsidP="00D72A21">
      <w:pPr>
        <w:spacing w:after="0" w:line="240" w:lineRule="auto"/>
        <w:rPr>
          <w:rFonts w:ascii="Verdana" w:eastAsia="Calibri" w:hAnsi="Verdana" w:cs="Arial"/>
          <w:lang w:eastAsia="es-ES_tradnl"/>
        </w:rPr>
      </w:pPr>
      <w:r w:rsidRPr="009A469B">
        <w:rPr>
          <w:rFonts w:ascii="Verdana" w:eastAsia="Calibri" w:hAnsi="Verdana" w:cs="Arial"/>
          <w:noProof/>
          <w:lang w:eastAsia="es-ES_tradnl"/>
        </w:rPr>
        <w:drawing>
          <wp:anchor distT="0" distB="0" distL="114300" distR="114300" simplePos="0" relativeHeight="251658240" behindDoc="1" locked="0" layoutInCell="1" allowOverlap="1" wp14:anchorId="3249236D" wp14:editId="5EF32EC6">
            <wp:simplePos x="0" y="0"/>
            <wp:positionH relativeFrom="column">
              <wp:posOffset>3173730</wp:posOffset>
            </wp:positionH>
            <wp:positionV relativeFrom="paragraph">
              <wp:posOffset>1270</wp:posOffset>
            </wp:positionV>
            <wp:extent cx="2310130" cy="842645"/>
            <wp:effectExtent l="0" t="0" r="0" b="0"/>
            <wp:wrapSquare wrapText="bothSides"/>
            <wp:docPr id="190701186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011862"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10130" cy="842645"/>
                    </a:xfrm>
                    <a:prstGeom prst="rect">
                      <a:avLst/>
                    </a:prstGeom>
                  </pic:spPr>
                </pic:pic>
              </a:graphicData>
            </a:graphic>
            <wp14:sizeRelH relativeFrom="page">
              <wp14:pctWidth>0</wp14:pctWidth>
            </wp14:sizeRelH>
            <wp14:sizeRelV relativeFrom="page">
              <wp14:pctHeight>0</wp14:pctHeight>
            </wp14:sizeRelV>
          </wp:anchor>
        </w:drawing>
      </w:r>
      <w:r w:rsidR="00D72A21">
        <w:rPr>
          <w:rFonts w:ascii="Verdana" w:eastAsia="Calibri" w:hAnsi="Verdana" w:cs="Arial"/>
          <w:lang w:eastAsia="es-ES_tradnl"/>
        </w:rPr>
        <w:t>Señor</w:t>
      </w:r>
    </w:p>
    <w:p w14:paraId="5AA3F179" w14:textId="77777777" w:rsidR="00D72A21" w:rsidRDefault="00D72A21" w:rsidP="00D72A21">
      <w:pPr>
        <w:spacing w:after="0" w:line="240" w:lineRule="auto"/>
        <w:rPr>
          <w:rFonts w:ascii="Verdana" w:eastAsia="Calibri" w:hAnsi="Verdana" w:cs="Arial"/>
          <w:b/>
          <w:bCs/>
          <w:lang w:eastAsia="es-ES_tradnl"/>
        </w:rPr>
      </w:pPr>
      <w:r>
        <w:rPr>
          <w:rFonts w:ascii="Verdana" w:eastAsia="Calibri" w:hAnsi="Verdana" w:cs="Arial"/>
          <w:b/>
          <w:bCs/>
          <w:lang w:eastAsia="es-ES_tradnl"/>
        </w:rPr>
        <w:t>Franky Salas Palacios</w:t>
      </w:r>
    </w:p>
    <w:p w14:paraId="5E738892" w14:textId="77777777" w:rsidR="00D72A21" w:rsidRPr="00197C13" w:rsidRDefault="00D72A21" w:rsidP="00D72A21">
      <w:pPr>
        <w:spacing w:after="0" w:line="240" w:lineRule="auto"/>
        <w:rPr>
          <w:rFonts w:ascii="Verdana" w:eastAsia="Calibri" w:hAnsi="Verdana" w:cs="Arial"/>
          <w:lang w:eastAsia="es-ES_tradnl"/>
        </w:rPr>
      </w:pPr>
      <w:r>
        <w:rPr>
          <w:rFonts w:ascii="Verdana" w:eastAsia="Calibri" w:hAnsi="Verdana" w:cs="Arial"/>
          <w:lang w:eastAsia="es-ES_tradnl"/>
        </w:rPr>
        <w:t>Coordinadora Grupo Interno de Trabajo de Control Disciplinario Interno</w:t>
      </w:r>
    </w:p>
    <w:p w14:paraId="114B2C2C" w14:textId="77777777" w:rsidR="00D72A21" w:rsidRDefault="00D72A21" w:rsidP="00D72A21">
      <w:pPr>
        <w:spacing w:after="0" w:line="240" w:lineRule="auto"/>
        <w:rPr>
          <w:rFonts w:ascii="Verdana" w:eastAsia="Calibri" w:hAnsi="Verdana" w:cs="Arial"/>
          <w:lang w:eastAsia="es-ES_tradnl"/>
        </w:rPr>
      </w:pPr>
      <w:r>
        <w:rPr>
          <w:rFonts w:ascii="Verdana" w:eastAsia="Calibri" w:hAnsi="Verdana" w:cs="Arial"/>
          <w:lang w:eastAsia="es-ES_tradnl"/>
        </w:rPr>
        <w:t>Ministerio de Vivienda, Ciudad y Territorio</w:t>
      </w:r>
    </w:p>
    <w:p w14:paraId="0BEA5361" w14:textId="77777777" w:rsidR="00D72A21" w:rsidRPr="007211E4" w:rsidRDefault="00D72A21" w:rsidP="00D72A21">
      <w:pPr>
        <w:spacing w:after="0" w:line="240" w:lineRule="auto"/>
        <w:rPr>
          <w:rFonts w:ascii="Verdana" w:eastAsia="Calibri" w:hAnsi="Verdana" w:cs="Arial"/>
          <w:lang w:eastAsia="es-ES_tradnl"/>
        </w:rPr>
      </w:pPr>
      <w:r>
        <w:rPr>
          <w:rFonts w:ascii="Verdana" w:eastAsia="Calibri" w:hAnsi="Verdana" w:cs="Arial"/>
          <w:lang w:eastAsia="es-ES_tradnl"/>
        </w:rPr>
        <w:t>Bogotá, Cundinamarca</w:t>
      </w:r>
    </w:p>
    <w:p w14:paraId="378D56FA" w14:textId="77777777" w:rsidR="00D72A21" w:rsidRPr="00514983" w:rsidRDefault="00D72A21" w:rsidP="00D72A21">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72A21" w:rsidRPr="00960F72" w14:paraId="7172535E" w14:textId="77777777" w:rsidTr="00DC606A">
        <w:trPr>
          <w:trHeight w:val="190"/>
        </w:trPr>
        <w:tc>
          <w:tcPr>
            <w:tcW w:w="2689" w:type="dxa"/>
          </w:tcPr>
          <w:p w14:paraId="444E8B23" w14:textId="77777777" w:rsidR="00D72A21" w:rsidRPr="00960F72" w:rsidRDefault="00D72A21" w:rsidP="00DC606A">
            <w:pPr>
              <w:jc w:val="both"/>
              <w:rPr>
                <w:rFonts w:ascii="Verdana" w:eastAsia="Calibri" w:hAnsi="Verdana" w:cs="Arial"/>
                <w:b/>
                <w:bCs/>
                <w:lang w:eastAsia="es-ES_tradnl"/>
              </w:rPr>
            </w:pPr>
          </w:p>
        </w:tc>
        <w:tc>
          <w:tcPr>
            <w:tcW w:w="6100" w:type="dxa"/>
          </w:tcPr>
          <w:p w14:paraId="143CA126" w14:textId="77777777" w:rsidR="00D72A21" w:rsidRPr="00960F72" w:rsidRDefault="00D72A21" w:rsidP="00DC606A">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837</w:t>
            </w:r>
            <w:r w:rsidRPr="00960F72">
              <w:rPr>
                <w:rFonts w:ascii="Verdana" w:eastAsia="Calibri" w:hAnsi="Verdana" w:cs="Arial"/>
                <w:b/>
                <w:bCs/>
                <w:lang w:eastAsia="es-ES"/>
              </w:rPr>
              <w:t xml:space="preserve"> de 2025</w:t>
            </w:r>
          </w:p>
          <w:p w14:paraId="74FEE3B3" w14:textId="77777777" w:rsidR="00D72A21" w:rsidRPr="00960F72" w:rsidRDefault="00D72A21" w:rsidP="00DC606A">
            <w:pPr>
              <w:jc w:val="both"/>
              <w:rPr>
                <w:rFonts w:ascii="Verdana" w:eastAsia="Calibri" w:hAnsi="Verdana" w:cs="Arial"/>
                <w:b/>
                <w:bCs/>
                <w:lang w:eastAsia="es-ES"/>
              </w:rPr>
            </w:pPr>
          </w:p>
        </w:tc>
      </w:tr>
      <w:tr w:rsidR="00D72A21" w:rsidRPr="00960F72" w14:paraId="4C710BC8" w14:textId="77777777" w:rsidTr="00DC606A">
        <w:trPr>
          <w:trHeight w:val="884"/>
        </w:trPr>
        <w:tc>
          <w:tcPr>
            <w:tcW w:w="2689" w:type="dxa"/>
          </w:tcPr>
          <w:p w14:paraId="49F53B67" w14:textId="77777777" w:rsidR="00D72A21" w:rsidRPr="00960F72" w:rsidRDefault="00D72A21" w:rsidP="00DC606A">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755D9365" w14:textId="77777777" w:rsidR="00AB24AB" w:rsidRPr="00AB24AB" w:rsidRDefault="00D72A21" w:rsidP="00AB24AB">
            <w:pPr>
              <w:spacing w:line="276" w:lineRule="auto"/>
              <w:jc w:val="both"/>
              <w:rPr>
                <w:rFonts w:ascii="Verdana" w:eastAsia="Calibri" w:hAnsi="Verdana" w:cs="Arial"/>
                <w:lang w:val="es-ES" w:eastAsia="es-ES"/>
              </w:rPr>
            </w:pPr>
            <w:r w:rsidRPr="00E0146D">
              <w:rPr>
                <w:rFonts w:ascii="Verdana" w:eastAsia="Calibri" w:hAnsi="Verdana" w:cs="Arial"/>
                <w:lang w:val="es-ES" w:eastAsia="es-ES"/>
              </w:rPr>
              <w:t>RÉGIMEN DE INHABILIDADES E INCOMPATIBILIDADES – Definición – Taxatividad – Interpretación restrictiva</w:t>
            </w:r>
            <w:r>
              <w:rPr>
                <w:rFonts w:ascii="Verdana" w:eastAsia="Calibri" w:hAnsi="Verdana" w:cs="Arial"/>
                <w:lang w:val="es-ES" w:eastAsia="es-ES"/>
              </w:rPr>
              <w:t xml:space="preserve"> /</w:t>
            </w:r>
          </w:p>
          <w:p w14:paraId="5FF4BACE" w14:textId="19698F95" w:rsidR="00D72A21" w:rsidRDefault="00AB24AB" w:rsidP="00AB24AB">
            <w:pPr>
              <w:spacing w:line="276" w:lineRule="auto"/>
              <w:jc w:val="both"/>
              <w:rPr>
                <w:rFonts w:ascii="Verdana" w:eastAsia="Calibri" w:hAnsi="Verdana" w:cs="Arial"/>
                <w:lang w:val="es-ES" w:eastAsia="es-ES"/>
              </w:rPr>
            </w:pPr>
            <w:r w:rsidRPr="00AB24AB">
              <w:rPr>
                <w:rFonts w:ascii="Verdana" w:eastAsia="Calibri" w:hAnsi="Verdana" w:cs="Arial"/>
                <w:lang w:val="es-ES" w:eastAsia="es-ES"/>
              </w:rPr>
              <w:t>CONSORCIOS Y UNIONES TEMPORALES- Verificación del Régimen de Inhabilidades- Prohibición Legal Para Contratar Con El Estado</w:t>
            </w:r>
            <w:r>
              <w:rPr>
                <w:rFonts w:ascii="Verdana" w:eastAsia="Calibri" w:hAnsi="Verdana" w:cs="Arial"/>
                <w:lang w:val="es-ES" w:eastAsia="es-ES"/>
              </w:rPr>
              <w:t>/</w:t>
            </w:r>
            <w:r w:rsidR="00D72A21" w:rsidRPr="00E0146D">
              <w:rPr>
                <w:rFonts w:ascii="Verdana" w:eastAsia="Calibri" w:hAnsi="Verdana" w:cs="Arial"/>
                <w:lang w:val="es-ES" w:eastAsia="es-ES"/>
              </w:rPr>
              <w:t xml:space="preserve"> Responsabilidad fiscal por daño al patrimonio público – Alcance </w:t>
            </w:r>
          </w:p>
          <w:p w14:paraId="4AAF4940" w14:textId="77777777" w:rsidR="00D72A21" w:rsidRPr="00A11406" w:rsidRDefault="00D72A21" w:rsidP="00DC606A">
            <w:pPr>
              <w:spacing w:line="276" w:lineRule="auto"/>
              <w:jc w:val="both"/>
              <w:rPr>
                <w:rFonts w:ascii="Verdana" w:eastAsia="Calibri" w:hAnsi="Verdana" w:cs="Arial"/>
                <w:lang w:val="es-ES" w:eastAsia="es-ES"/>
              </w:rPr>
            </w:pPr>
          </w:p>
          <w:p w14:paraId="419A02FA" w14:textId="77777777" w:rsidR="00D72A21" w:rsidRPr="001F1B6C" w:rsidRDefault="00D72A21" w:rsidP="00DC606A">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D72A21" w:rsidRPr="00960F72" w14:paraId="0B7A2BF2" w14:textId="77777777" w:rsidTr="00DC606A">
        <w:tc>
          <w:tcPr>
            <w:tcW w:w="2689" w:type="dxa"/>
          </w:tcPr>
          <w:p w14:paraId="27DDE521" w14:textId="77777777" w:rsidR="00D72A21" w:rsidRPr="00960F72" w:rsidRDefault="00D72A21" w:rsidP="00DC606A">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06ABE4EE" w14:textId="77777777" w:rsidR="00D72A21" w:rsidRPr="00960F72" w:rsidRDefault="00D72A21" w:rsidP="00DC606A">
            <w:pPr>
              <w:jc w:val="both"/>
              <w:rPr>
                <w:rFonts w:ascii="Verdana" w:eastAsia="Calibri" w:hAnsi="Verdana" w:cs="Arial"/>
                <w:lang w:eastAsia="es-ES_tradnl"/>
              </w:rPr>
            </w:pPr>
            <w:r w:rsidRPr="00960F72">
              <w:rPr>
                <w:rFonts w:ascii="Verdana" w:eastAsia="Calibri" w:hAnsi="Verdana" w:cs="Arial"/>
                <w:lang w:eastAsia="es-ES_tradnl"/>
              </w:rPr>
              <w:t>Respuesta a consulta con radicado No.</w:t>
            </w:r>
            <w:r w:rsidRPr="003C2C84">
              <w:rPr>
                <w:rFonts w:ascii="Segoe UI" w:hAnsi="Segoe UI" w:cs="Segoe UI"/>
                <w:color w:val="2B2B2B"/>
                <w:sz w:val="27"/>
                <w:szCs w:val="27"/>
                <w:shd w:val="clear" w:color="auto" w:fill="FFFFFF"/>
              </w:rPr>
              <w:t xml:space="preserve"> </w:t>
            </w:r>
            <w:r w:rsidRPr="00EE55BF">
              <w:rPr>
                <w:rFonts w:ascii="Verdana" w:hAnsi="Verdana" w:cs="Segoe UI"/>
                <w:shd w:val="clear" w:color="auto" w:fill="FFFFFF"/>
              </w:rPr>
              <w:t>1_2025_12_16_014031</w:t>
            </w:r>
          </w:p>
        </w:tc>
      </w:tr>
    </w:tbl>
    <w:p w14:paraId="68F4A034" w14:textId="77777777" w:rsidR="00D72A21" w:rsidRPr="00960F72" w:rsidRDefault="00D72A21" w:rsidP="00D72A21">
      <w:pPr>
        <w:spacing w:after="0" w:line="240" w:lineRule="auto"/>
        <w:jc w:val="both"/>
        <w:rPr>
          <w:rFonts w:ascii="Verdana" w:eastAsia="Calibri" w:hAnsi="Verdana" w:cs="Arial"/>
          <w:lang w:eastAsia="es-ES_tradnl"/>
        </w:rPr>
      </w:pPr>
    </w:p>
    <w:p w14:paraId="0BB2DB10" w14:textId="77777777" w:rsidR="00D72A21" w:rsidRPr="00960F72" w:rsidRDefault="00D72A21" w:rsidP="00D72A21">
      <w:pPr>
        <w:spacing w:after="0" w:line="276" w:lineRule="auto"/>
        <w:jc w:val="both"/>
        <w:rPr>
          <w:rFonts w:ascii="Verdana" w:eastAsia="Calibri" w:hAnsi="Verdana" w:cs="Arial"/>
          <w:lang w:eastAsia="es-ES"/>
        </w:rPr>
      </w:pPr>
      <w:r>
        <w:rPr>
          <w:rFonts w:ascii="Verdana" w:eastAsia="Calibri" w:hAnsi="Verdana" w:cs="Arial"/>
          <w:lang w:eastAsia="es-ES"/>
        </w:rPr>
        <w:t>Estimado señor Salas:</w:t>
      </w:r>
    </w:p>
    <w:p w14:paraId="678AA510" w14:textId="77777777" w:rsidR="00D72A21" w:rsidRPr="00960F72" w:rsidRDefault="00D72A21" w:rsidP="00D72A21">
      <w:pPr>
        <w:tabs>
          <w:tab w:val="left" w:pos="3768"/>
        </w:tabs>
        <w:spacing w:after="0" w:line="276" w:lineRule="auto"/>
        <w:jc w:val="both"/>
        <w:rPr>
          <w:rFonts w:ascii="Verdana" w:eastAsia="Calibri" w:hAnsi="Verdana" w:cs="Arial"/>
          <w:lang w:eastAsia="es-ES"/>
        </w:rPr>
      </w:pPr>
    </w:p>
    <w:p w14:paraId="4CEB561D" w14:textId="77777777" w:rsidR="00D72A21" w:rsidRPr="00960F72" w:rsidRDefault="00D72A21" w:rsidP="00D72A21">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16 </w:t>
      </w:r>
      <w:r w:rsidRPr="00960F72">
        <w:rPr>
          <w:rFonts w:ascii="Verdana" w:eastAsia="Calibri" w:hAnsi="Verdana" w:cs="Arial"/>
          <w:lang w:eastAsia="es-ES"/>
        </w:rPr>
        <w:t xml:space="preserve">de </w:t>
      </w:r>
      <w:r>
        <w:rPr>
          <w:rFonts w:ascii="Verdana" w:eastAsia="Calibri" w:hAnsi="Verdana" w:cs="Arial"/>
          <w:lang w:eastAsia="es-ES"/>
        </w:rPr>
        <w:t>diciembre</w:t>
      </w:r>
      <w:r w:rsidRPr="00960F72">
        <w:rPr>
          <w:rFonts w:ascii="Verdana" w:eastAsia="Calibri" w:hAnsi="Verdana" w:cs="Arial"/>
          <w:lang w:eastAsia="es-ES"/>
        </w:rPr>
        <w:t xml:space="preserve"> de 2025, en la cual manifiesta lo siguiente: </w:t>
      </w:r>
    </w:p>
    <w:p w14:paraId="7B5387AC" w14:textId="77777777" w:rsidR="00D72A21" w:rsidRPr="00960F72" w:rsidRDefault="00D72A21" w:rsidP="00D72A21">
      <w:pPr>
        <w:spacing w:after="0" w:line="276" w:lineRule="auto"/>
        <w:jc w:val="both"/>
        <w:rPr>
          <w:rFonts w:ascii="Verdana" w:eastAsia="Calibri" w:hAnsi="Verdana" w:cs="Arial"/>
          <w:lang w:eastAsia="es-ES"/>
        </w:rPr>
      </w:pPr>
    </w:p>
    <w:p w14:paraId="4E88DC53" w14:textId="77777777" w:rsidR="00D72A21" w:rsidRDefault="00D72A21" w:rsidP="00D72A21">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“…1. Si, de conformidad con el régimen general de contratación estatal Ley 80 de 1993, Ley 1150 de 2007, Decreto 1082 de 2015 y normas concordantes, los participantes en un proceso de selección pueden presentar oferta, resultar adjudicatarios o celebrar contratos estatales cuando alguno de sus integrantes se encuentra reportado en el Boletín de </w:t>
      </w:r>
      <w:proofErr w:type="gramStart"/>
      <w:r>
        <w:rPr>
          <w:rFonts w:ascii="Verdana" w:eastAsia="Calibri" w:hAnsi="Verdana" w:cs="Arial"/>
          <w:sz w:val="20"/>
          <w:szCs w:val="20"/>
          <w:lang w:eastAsia="es-ES"/>
        </w:rPr>
        <w:t>Responsables</w:t>
      </w:r>
      <w:proofErr w:type="gramEnd"/>
      <w:r>
        <w:rPr>
          <w:rFonts w:ascii="Verdana" w:eastAsia="Calibri" w:hAnsi="Verdana" w:cs="Arial"/>
          <w:sz w:val="20"/>
          <w:szCs w:val="20"/>
          <w:lang w:eastAsia="es-ES"/>
        </w:rPr>
        <w:t xml:space="preserve"> Fiscales de la Contraloría General de la República, precisando los efectos jurídicos que se derivan de dicha situación.</w:t>
      </w:r>
    </w:p>
    <w:p w14:paraId="6765C16A" w14:textId="77777777" w:rsidR="009A469B" w:rsidRDefault="009A469B" w:rsidP="00D72A21">
      <w:pPr>
        <w:spacing w:after="0" w:line="276" w:lineRule="auto"/>
        <w:ind w:left="709" w:right="709"/>
        <w:jc w:val="both"/>
        <w:rPr>
          <w:rFonts w:ascii="Verdana" w:eastAsia="Calibri" w:hAnsi="Verdana" w:cs="Arial"/>
          <w:sz w:val="20"/>
          <w:szCs w:val="20"/>
          <w:lang w:eastAsia="es-ES"/>
        </w:rPr>
      </w:pPr>
    </w:p>
    <w:p w14:paraId="73794C51" w14:textId="77777777" w:rsidR="00D72A21" w:rsidRDefault="00D72A21" w:rsidP="00D72A21">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lastRenderedPageBreak/>
        <w:t xml:space="preserve">2. Si la existencia de reportes en el Boletín de </w:t>
      </w:r>
      <w:proofErr w:type="gramStart"/>
      <w:r>
        <w:rPr>
          <w:rFonts w:ascii="Verdana" w:eastAsia="Calibri" w:hAnsi="Verdana" w:cs="Arial"/>
          <w:sz w:val="20"/>
          <w:szCs w:val="20"/>
          <w:lang w:eastAsia="es-ES"/>
        </w:rPr>
        <w:t>Responsables</w:t>
      </w:r>
      <w:proofErr w:type="gramEnd"/>
      <w:r>
        <w:rPr>
          <w:rFonts w:ascii="Verdana" w:eastAsia="Calibri" w:hAnsi="Verdana" w:cs="Arial"/>
          <w:sz w:val="20"/>
          <w:szCs w:val="20"/>
          <w:lang w:eastAsia="es-ES"/>
        </w:rPr>
        <w:t xml:space="preserve"> Fiscales constituye, por sí misma, una causal de inhabilidad o incompatibilidad para contratar con el Estado, o si dicha consecuencia depende del estado del proceso fiscal, del tipo de procedimiento de selección o de la calidad del participante (persona natural, persona jurídica o integrante de una unión temporal). </w:t>
      </w:r>
    </w:p>
    <w:p w14:paraId="0F71BC69" w14:textId="77777777" w:rsidR="00D72A21" w:rsidRDefault="00D72A21" w:rsidP="00D72A21">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3. En el caso específico de uniones temporales, indicar si la eventual inhabilidad o restricción que recaiga sobre uno de sus integrantes se extiende a la totalidad de la unión, y bajo qué supuestos normativos, doctrinales o jurisprudenciales se produce dicho efecto.</w:t>
      </w:r>
    </w:p>
    <w:p w14:paraId="1955BAB9" w14:textId="77777777" w:rsidR="00D72A21" w:rsidRPr="003C2C84" w:rsidRDefault="00D72A21" w:rsidP="00D72A21">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4. Precisar si, para el tipo de proceso de selección adelantado que dio lugar a la celebración del Contrato de Gestión No 004 de 2022, era obligatoria o no la conformación de un comité evaluador, indicando el fundamento normativo, reglamentario o doctrinal que respalde dicha exigencia o su ausencia, así como el alcance de sus funciones dentro de la etapa de evaluación y recomendación de adjudicación.”</w:t>
      </w:r>
    </w:p>
    <w:p w14:paraId="08E915FD" w14:textId="77777777" w:rsidR="00D72A21" w:rsidRPr="00755387" w:rsidRDefault="00D72A21" w:rsidP="00D72A21">
      <w:pPr>
        <w:spacing w:after="0" w:line="276" w:lineRule="auto"/>
        <w:ind w:right="709"/>
        <w:jc w:val="both"/>
        <w:rPr>
          <w:rFonts w:ascii="Verdana" w:eastAsia="Calibri" w:hAnsi="Verdana" w:cs="Arial"/>
          <w:lang w:eastAsia="es-ES"/>
        </w:rPr>
      </w:pPr>
    </w:p>
    <w:p w14:paraId="70FD4906" w14:textId="77777777" w:rsidR="00D72A21" w:rsidRPr="00960F72" w:rsidRDefault="00D72A21" w:rsidP="00D72A21">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3FE75B46" w14:textId="77777777" w:rsidR="00D72A21" w:rsidRPr="00960F72" w:rsidRDefault="00D72A21" w:rsidP="00D72A21">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29A55C15" w14:textId="77777777" w:rsidR="00D72A21" w:rsidRDefault="00D72A21" w:rsidP="00D72A21">
      <w:pPr>
        <w:spacing w:after="0" w:line="276" w:lineRule="auto"/>
        <w:ind w:firstLine="709"/>
        <w:jc w:val="both"/>
        <w:rPr>
          <w:rFonts w:ascii="Verdana" w:eastAsia="Calibri" w:hAnsi="Verdana" w:cs="Arial"/>
          <w:lang w:eastAsia="es-ES"/>
        </w:rPr>
      </w:pPr>
    </w:p>
    <w:p w14:paraId="47CA4854" w14:textId="77777777" w:rsidR="00D72A21" w:rsidRDefault="00D72A21" w:rsidP="00D72A21">
      <w:pPr>
        <w:spacing w:after="0" w:line="276" w:lineRule="auto"/>
        <w:ind w:firstLine="709"/>
        <w:jc w:val="both"/>
        <w:rPr>
          <w:rFonts w:ascii="Verdana" w:eastAsia="Calibri" w:hAnsi="Verdana" w:cs="Arial"/>
          <w:lang w:eastAsia="es-ES"/>
        </w:rPr>
      </w:pPr>
    </w:p>
    <w:p w14:paraId="364588EC" w14:textId="77777777" w:rsidR="00D72A21" w:rsidRDefault="00D72A21" w:rsidP="00D72A21">
      <w:pPr>
        <w:spacing w:after="0" w:line="276" w:lineRule="auto"/>
        <w:ind w:firstLine="709"/>
        <w:jc w:val="both"/>
        <w:rPr>
          <w:rFonts w:ascii="Verdana" w:eastAsia="Calibri" w:hAnsi="Verdana" w:cs="Arial"/>
          <w:lang w:eastAsia="es-ES"/>
        </w:rPr>
      </w:pPr>
    </w:p>
    <w:p w14:paraId="24A28760" w14:textId="77777777" w:rsidR="00D72A21" w:rsidRPr="00960F72" w:rsidRDefault="00D72A21" w:rsidP="00D72A21">
      <w:pPr>
        <w:spacing w:after="0" w:line="276" w:lineRule="auto"/>
        <w:ind w:firstLine="709"/>
        <w:jc w:val="both"/>
        <w:rPr>
          <w:rFonts w:ascii="Verdana" w:eastAsia="Calibri" w:hAnsi="Verdana" w:cs="Arial"/>
          <w:lang w:eastAsia="es-ES"/>
        </w:rPr>
      </w:pPr>
    </w:p>
    <w:p w14:paraId="0A3025DA" w14:textId="77777777" w:rsidR="00D72A21" w:rsidRPr="00960F72" w:rsidRDefault="00D72A21" w:rsidP="00D72A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428C39B" w14:textId="77777777" w:rsidR="00D72A21" w:rsidRPr="00960F72" w:rsidRDefault="00D72A21" w:rsidP="00D72A21">
      <w:pPr>
        <w:tabs>
          <w:tab w:val="left" w:pos="426"/>
        </w:tabs>
        <w:spacing w:after="0" w:line="276" w:lineRule="auto"/>
        <w:jc w:val="both"/>
        <w:rPr>
          <w:rFonts w:ascii="Verdana" w:eastAsia="Century Gothic" w:hAnsi="Verdana" w:cs="Century Gothic"/>
        </w:rPr>
      </w:pPr>
    </w:p>
    <w:p w14:paraId="5AE4FFFA" w14:textId="41AF2A66" w:rsidR="00D72A21" w:rsidRPr="007211E4" w:rsidRDefault="00D72A21" w:rsidP="00D72A21">
      <w:pPr>
        <w:spacing w:after="0" w:line="276" w:lineRule="auto"/>
        <w:jc w:val="both"/>
        <w:rPr>
          <w:rFonts w:ascii="Verdana" w:eastAsia="Century Gothic" w:hAnsi="Verdana" w:cs="Century Gothic"/>
          <w:color w:val="000000" w:themeColor="text1"/>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170A2B">
        <w:rPr>
          <w:rFonts w:ascii="Verdana" w:eastAsia="Century Gothic" w:hAnsi="Verdana" w:cs="Century Gothic"/>
        </w:rPr>
        <w:t>¿</w:t>
      </w:r>
      <w:r w:rsidRPr="00D52F90">
        <w:rPr>
          <w:rFonts w:ascii="Verdana" w:eastAsia="Century Gothic" w:hAnsi="Verdana" w:cs="Century Gothic"/>
        </w:rPr>
        <w:t xml:space="preserve">Es jurídicamente procedente celebrar contratos estatales con una unión temporal cuando uno de sus integrantes se encuentra reportado en el Boletín de </w:t>
      </w:r>
      <w:proofErr w:type="gramStart"/>
      <w:r w:rsidRPr="00D52F90">
        <w:rPr>
          <w:rFonts w:ascii="Verdana" w:eastAsia="Century Gothic" w:hAnsi="Verdana" w:cs="Century Gothic"/>
        </w:rPr>
        <w:t>Responsables</w:t>
      </w:r>
      <w:proofErr w:type="gramEnd"/>
      <w:r w:rsidRPr="00D52F90">
        <w:rPr>
          <w:rFonts w:ascii="Verdana" w:eastAsia="Century Gothic" w:hAnsi="Verdana" w:cs="Century Gothic"/>
        </w:rPr>
        <w:t xml:space="preserve"> Fiscales de la Contraloría General de la República, y si dicho reporte configura una causal de inhabilidad o incompatibilidad extensiva a la totalidad de la unión temporal?</w:t>
      </w:r>
    </w:p>
    <w:p w14:paraId="1E3CFE9A" w14:textId="77777777" w:rsidR="00D72A21" w:rsidRPr="00960F72" w:rsidRDefault="00D72A21" w:rsidP="00D72A21">
      <w:pPr>
        <w:spacing w:after="0" w:line="276" w:lineRule="auto"/>
        <w:jc w:val="both"/>
        <w:rPr>
          <w:rFonts w:ascii="Verdana" w:eastAsia="Century Gothic" w:hAnsi="Verdana" w:cs="Century Gothic"/>
        </w:rPr>
      </w:pPr>
    </w:p>
    <w:p w14:paraId="25001930" w14:textId="77777777" w:rsidR="00D72A21" w:rsidRDefault="00D72A21" w:rsidP="00D72A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0FD3059B" w14:textId="77777777" w:rsidR="00D72A21" w:rsidRPr="00027E7B" w:rsidRDefault="00D72A21" w:rsidP="00D72A21">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72A21" w:rsidRPr="00960F72" w14:paraId="291AE743" w14:textId="77777777" w:rsidTr="30232E32">
        <w:tc>
          <w:tcPr>
            <w:tcW w:w="8828" w:type="dxa"/>
          </w:tcPr>
          <w:p w14:paraId="4EF3D3FA" w14:textId="77777777" w:rsidR="00D12BB3" w:rsidRPr="00D12BB3" w:rsidRDefault="00D12BB3" w:rsidP="00D12BB3">
            <w:pPr>
              <w:tabs>
                <w:tab w:val="left" w:pos="142"/>
                <w:tab w:val="left" w:pos="284"/>
              </w:tabs>
              <w:spacing w:line="276" w:lineRule="auto"/>
              <w:jc w:val="both"/>
              <w:rPr>
                <w:rFonts w:ascii="Verdana" w:hAnsi="Verdana" w:cs="Arial"/>
              </w:rPr>
            </w:pPr>
            <w:r w:rsidRPr="000A3AE1">
              <w:rPr>
                <w:rFonts w:ascii="Verdana" w:hAnsi="Verdana" w:cs="Arial"/>
              </w:rPr>
              <w:t>Tratándose de los consorcios y las uniones temporales, es preciso advertir que estas figuras no constituyen personas jurídicas, sino que surgen de un acuerdo de voluntades mediante el cual dos o más personas deciden concurrir de manera conjunta a un proceso de selección contractual. En dicho acuerdo se regulan, entre otros aspectos, el objeto, la participación de cada integrante, las obligaciones frente al proyecto, el régimen de responsabilidad, las reglas de funcionamiento interno y la forma de relacionamiento con la entidad estatal, a través de la designación de un representante, conforme a lo dispuesto en el parágrafo 1 del artículo 7 de la Ley 80 de 1993.</w:t>
            </w:r>
          </w:p>
          <w:p w14:paraId="34FB573F" w14:textId="77777777" w:rsidR="00D12BB3" w:rsidRPr="00D12BB3" w:rsidRDefault="00D12BB3" w:rsidP="00D12BB3">
            <w:pPr>
              <w:tabs>
                <w:tab w:val="left" w:pos="142"/>
                <w:tab w:val="left" w:pos="284"/>
              </w:tabs>
              <w:spacing w:line="276" w:lineRule="auto"/>
              <w:jc w:val="both"/>
              <w:rPr>
                <w:rFonts w:ascii="Verdana" w:hAnsi="Verdana" w:cs="Arial"/>
              </w:rPr>
            </w:pPr>
          </w:p>
          <w:p w14:paraId="4F253164" w14:textId="77777777" w:rsidR="00D12BB3" w:rsidRPr="00D12BB3" w:rsidRDefault="00D12BB3" w:rsidP="00D12BB3">
            <w:pPr>
              <w:tabs>
                <w:tab w:val="left" w:pos="142"/>
                <w:tab w:val="left" w:pos="284"/>
              </w:tabs>
              <w:spacing w:line="276" w:lineRule="auto"/>
              <w:jc w:val="both"/>
              <w:rPr>
                <w:rFonts w:ascii="Verdana" w:hAnsi="Verdana" w:cs="Arial"/>
              </w:rPr>
            </w:pPr>
            <w:r w:rsidRPr="00D12BB3">
              <w:rPr>
                <w:rFonts w:ascii="Verdana" w:hAnsi="Verdana" w:cs="Arial"/>
              </w:rPr>
              <w:t xml:space="preserve">      </w:t>
            </w:r>
            <w:r w:rsidRPr="000A3AE1">
              <w:rPr>
                <w:rFonts w:ascii="Verdana" w:hAnsi="Verdana" w:cs="Arial"/>
              </w:rPr>
              <w:t>El citado artículo establece que el consorcio o la unión temporal se configura “cuando dos o más personas en forma conjunta presentan una misma propuesta para la adjudicación, celebración y ejecución de un contrato”. En ese sentido, la capacidad para participar en la adjudicación, celebración y ejecución de contratos estatales no surge de manera automática, sino que está condicionada a la decisión conjunta y efectiva de presentar una única propuesta dentro de un proceso de selección. Existe, por tanto, una clara relación de medio a fin: sin la presentación válida de la oferta, no se configura la habilitación legal que permite desplegar las demás etapas contractuales.</w:t>
            </w:r>
          </w:p>
          <w:p w14:paraId="5533BB9C" w14:textId="77777777" w:rsidR="00D12BB3" w:rsidRPr="00D12BB3" w:rsidRDefault="00D12BB3" w:rsidP="00D12BB3">
            <w:pPr>
              <w:tabs>
                <w:tab w:val="left" w:pos="142"/>
                <w:tab w:val="left" w:pos="284"/>
              </w:tabs>
              <w:spacing w:line="276" w:lineRule="auto"/>
              <w:jc w:val="both"/>
              <w:rPr>
                <w:rFonts w:ascii="Verdana" w:hAnsi="Verdana" w:cs="Arial"/>
              </w:rPr>
            </w:pPr>
          </w:p>
          <w:p w14:paraId="7B151A1E" w14:textId="77777777" w:rsidR="00D12BB3" w:rsidRPr="00D12BB3" w:rsidRDefault="00D12BB3" w:rsidP="00D12BB3">
            <w:pPr>
              <w:tabs>
                <w:tab w:val="left" w:pos="142"/>
                <w:tab w:val="left" w:pos="284"/>
              </w:tabs>
              <w:spacing w:line="276" w:lineRule="auto"/>
              <w:jc w:val="both"/>
              <w:rPr>
                <w:rFonts w:ascii="Verdana" w:hAnsi="Verdana" w:cs="Arial"/>
              </w:rPr>
            </w:pPr>
            <w:r w:rsidRPr="00D12BB3">
              <w:rPr>
                <w:rFonts w:ascii="Verdana" w:hAnsi="Verdana" w:cs="Arial"/>
              </w:rPr>
              <w:t xml:space="preserve">      </w:t>
            </w:r>
            <w:r w:rsidRPr="000A3AE1">
              <w:rPr>
                <w:rFonts w:ascii="Verdana" w:hAnsi="Verdana" w:cs="Arial"/>
              </w:rPr>
              <w:t xml:space="preserve">En el caso específico de las uniones temporales, y teniendo en cuenta que estas no tienen personería jurídica y actúan exclusivamente como proponentes plurales, la verificación del régimen de inhabilidades e incompatibilidades debe </w:t>
            </w:r>
            <w:r w:rsidRPr="000A3AE1">
              <w:rPr>
                <w:rFonts w:ascii="Verdana" w:hAnsi="Verdana" w:cs="Arial"/>
              </w:rPr>
              <w:lastRenderedPageBreak/>
              <w:t>realizarse de manera individual respecto de cada uno de sus integrantes, tal como se deriva del artículo 7 de la Ley 80 de 1993.</w:t>
            </w:r>
          </w:p>
          <w:p w14:paraId="19141D87" w14:textId="77777777" w:rsidR="00D12BB3" w:rsidRPr="00D12BB3" w:rsidRDefault="00D12BB3" w:rsidP="00D12BB3">
            <w:pPr>
              <w:tabs>
                <w:tab w:val="left" w:pos="142"/>
                <w:tab w:val="left" w:pos="284"/>
              </w:tabs>
              <w:spacing w:line="276" w:lineRule="auto"/>
              <w:jc w:val="both"/>
              <w:rPr>
                <w:rFonts w:ascii="Verdana" w:hAnsi="Verdana" w:cs="Arial"/>
              </w:rPr>
            </w:pPr>
          </w:p>
          <w:p w14:paraId="5586BDC8" w14:textId="77777777" w:rsidR="00D12BB3" w:rsidRPr="00D12BB3" w:rsidRDefault="00D12BB3" w:rsidP="00D12BB3">
            <w:pPr>
              <w:tabs>
                <w:tab w:val="left" w:pos="142"/>
                <w:tab w:val="left" w:pos="284"/>
              </w:tabs>
              <w:spacing w:line="276" w:lineRule="auto"/>
              <w:jc w:val="both"/>
              <w:rPr>
                <w:rFonts w:ascii="Verdana" w:hAnsi="Verdana" w:cs="Arial"/>
              </w:rPr>
            </w:pPr>
            <w:r w:rsidRPr="00D12BB3">
              <w:rPr>
                <w:rFonts w:ascii="Verdana" w:hAnsi="Verdana" w:cs="Arial"/>
              </w:rPr>
              <w:t xml:space="preserve">      </w:t>
            </w:r>
            <w:r w:rsidRPr="000A3AE1">
              <w:rPr>
                <w:rFonts w:ascii="Verdana" w:hAnsi="Verdana" w:cs="Arial"/>
              </w:rPr>
              <w:t xml:space="preserve">Así, cuando uno de los miembros de una unión temporal ha sido declarado responsable fiscalmente y figura en el Boletín de </w:t>
            </w:r>
            <w:proofErr w:type="gramStart"/>
            <w:r w:rsidRPr="000A3AE1">
              <w:rPr>
                <w:rFonts w:ascii="Verdana" w:hAnsi="Verdana" w:cs="Arial"/>
              </w:rPr>
              <w:t>Responsables</w:t>
            </w:r>
            <w:proofErr w:type="gramEnd"/>
            <w:r w:rsidRPr="000A3AE1">
              <w:rPr>
                <w:rFonts w:ascii="Verdana" w:hAnsi="Verdana" w:cs="Arial"/>
              </w:rPr>
              <w:t xml:space="preserve"> Fiscales de la Contraloría General de la República, dicha situación constituye una inhabilidad personal para contratar con el Estado, en los términos del artículo 60 de la Ley 610 de 2000 y del parágrafo primero del artículo 42 de la Ley 1952 de 2019, mientras no se haya cancelado la obligación fiscal o se haya producido su exclusión del boletín.</w:t>
            </w:r>
          </w:p>
          <w:p w14:paraId="5CDF023D" w14:textId="77777777" w:rsidR="00D12BB3" w:rsidRPr="00D12BB3" w:rsidRDefault="00D12BB3" w:rsidP="00D12BB3">
            <w:pPr>
              <w:tabs>
                <w:tab w:val="left" w:pos="142"/>
                <w:tab w:val="left" w:pos="284"/>
              </w:tabs>
              <w:spacing w:line="276" w:lineRule="auto"/>
              <w:jc w:val="both"/>
              <w:rPr>
                <w:rFonts w:ascii="Verdana" w:hAnsi="Verdana" w:cs="Arial"/>
              </w:rPr>
            </w:pPr>
          </w:p>
          <w:p w14:paraId="4182415E" w14:textId="77777777" w:rsidR="00D12BB3" w:rsidRPr="00D12BB3" w:rsidRDefault="00D12BB3" w:rsidP="00D12BB3">
            <w:pPr>
              <w:tabs>
                <w:tab w:val="left" w:pos="142"/>
                <w:tab w:val="left" w:pos="284"/>
              </w:tabs>
              <w:spacing w:line="276" w:lineRule="auto"/>
              <w:jc w:val="both"/>
              <w:rPr>
                <w:rFonts w:ascii="Verdana" w:hAnsi="Verdana" w:cs="Arial"/>
              </w:rPr>
            </w:pPr>
            <w:r w:rsidRPr="00D12BB3">
              <w:rPr>
                <w:rFonts w:ascii="Verdana" w:hAnsi="Verdana" w:cs="Arial"/>
              </w:rPr>
              <w:t xml:space="preserve">      </w:t>
            </w:r>
            <w:r w:rsidRPr="000A3AE1">
              <w:rPr>
                <w:rFonts w:ascii="Verdana" w:hAnsi="Verdana" w:cs="Arial"/>
              </w:rPr>
              <w:t>En este escenario, la unión temporal no puede celebrar el contrato estatal, no porque la inhabilidad se extienda a los demás integrantes, sino porque uno de sus miembros carece de capacidad jurídica para contratar, lo que impide la conformación válida del proponente plural. En efecto, la participación en una unión temporal exige que todos sus integrantes sean jurídicamente hábiles, de modo que la inhabilidad de uno de ellos compromete la viabilidad jurídica de la propuesta en su conjunto.</w:t>
            </w:r>
          </w:p>
          <w:p w14:paraId="35EA924F" w14:textId="77777777" w:rsidR="00D12BB3" w:rsidRPr="00D12BB3" w:rsidRDefault="00D12BB3" w:rsidP="00D12BB3">
            <w:pPr>
              <w:tabs>
                <w:tab w:val="left" w:pos="142"/>
                <w:tab w:val="left" w:pos="284"/>
              </w:tabs>
              <w:spacing w:line="276" w:lineRule="auto"/>
              <w:jc w:val="both"/>
              <w:rPr>
                <w:rFonts w:ascii="Verdana" w:hAnsi="Verdana" w:cs="Arial"/>
              </w:rPr>
            </w:pPr>
          </w:p>
          <w:p w14:paraId="1E89C31C" w14:textId="65695753" w:rsidR="00D12BB3" w:rsidRPr="000A3AE1" w:rsidRDefault="00D12BB3" w:rsidP="000A3AE1">
            <w:pPr>
              <w:tabs>
                <w:tab w:val="left" w:pos="142"/>
                <w:tab w:val="left" w:pos="284"/>
              </w:tabs>
              <w:spacing w:line="276" w:lineRule="auto"/>
              <w:jc w:val="both"/>
              <w:rPr>
                <w:rFonts w:ascii="Verdana" w:hAnsi="Verdana" w:cs="Arial"/>
              </w:rPr>
            </w:pPr>
            <w:r w:rsidRPr="00D12BB3">
              <w:rPr>
                <w:rFonts w:ascii="Verdana" w:hAnsi="Verdana" w:cs="Arial"/>
              </w:rPr>
              <w:t xml:space="preserve">      </w:t>
            </w:r>
            <w:r w:rsidRPr="000A3AE1">
              <w:rPr>
                <w:rFonts w:ascii="Verdana" w:hAnsi="Verdana" w:cs="Arial"/>
              </w:rPr>
              <w:t>Finalmente, debe precisarse que el análisis concreto de situaciones relacionadas con inhabilidades e incompatibilidades corresponde a los interesados, quienes, con el acompañamiento de sus asesores, deberán adoptar las decisiones que consideren procedentes. En caso de controversia, la determinación definitiva de dichas situaciones es competencia de las autoridades judiciales, fiscales o disciplinarias, según la naturaleza del asunto.</w:t>
            </w:r>
          </w:p>
          <w:p w14:paraId="7B5FE681" w14:textId="77777777" w:rsidR="00D72A21" w:rsidRPr="00EB66F0" w:rsidRDefault="00D72A21" w:rsidP="00D12BB3">
            <w:pPr>
              <w:spacing w:line="276" w:lineRule="auto"/>
              <w:jc w:val="both"/>
              <w:rPr>
                <w:rFonts w:ascii="Verdana" w:hAnsi="Verdana" w:cs="Arial"/>
                <w:lang w:eastAsia="es-ES"/>
              </w:rPr>
            </w:pPr>
          </w:p>
        </w:tc>
      </w:tr>
    </w:tbl>
    <w:p w14:paraId="0826CDAF" w14:textId="77777777" w:rsidR="00D72A21" w:rsidRPr="00960F72" w:rsidRDefault="00D72A21" w:rsidP="00D72A21">
      <w:pPr>
        <w:tabs>
          <w:tab w:val="left" w:pos="142"/>
          <w:tab w:val="left" w:pos="284"/>
        </w:tabs>
        <w:spacing w:after="0" w:line="276" w:lineRule="auto"/>
        <w:jc w:val="both"/>
        <w:rPr>
          <w:rFonts w:ascii="Verdana" w:eastAsia="Century Gothic" w:hAnsi="Verdana" w:cs="Century Gothic"/>
          <w:b/>
          <w:bCs/>
        </w:rPr>
      </w:pPr>
    </w:p>
    <w:p w14:paraId="53AD6BF8" w14:textId="77777777" w:rsidR="00D72A21" w:rsidRDefault="00D72A21" w:rsidP="00D72A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3F13E82E" w14:textId="77777777" w:rsidR="00D72A21" w:rsidRDefault="00D72A21" w:rsidP="00D72A21">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79BEF371" w14:textId="77777777" w:rsidR="00D72A21" w:rsidRDefault="00D72A21" w:rsidP="00D72A21">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D8E21E0" w14:textId="77777777" w:rsidR="00D72A21" w:rsidRPr="000C6D8F" w:rsidRDefault="00D72A21" w:rsidP="00D72A21">
      <w:pPr>
        <w:spacing w:after="0" w:line="276" w:lineRule="auto"/>
        <w:jc w:val="both"/>
        <w:rPr>
          <w:rFonts w:ascii="Verdana" w:eastAsia="Calibri" w:hAnsi="Verdana" w:cs="Arial"/>
          <w:lang w:val="es-ES"/>
        </w:rPr>
      </w:pPr>
    </w:p>
    <w:p w14:paraId="40B65089" w14:textId="311D4DCB" w:rsidR="00D72A21" w:rsidRDefault="00D72A21" w:rsidP="00D72A21">
      <w:pPr>
        <w:pStyle w:val="Sinespaciado"/>
        <w:spacing w:line="276" w:lineRule="auto"/>
        <w:jc w:val="both"/>
        <w:rPr>
          <w:rFonts w:ascii="Verdana" w:hAnsi="Verdana" w:cs="Arial"/>
          <w:color w:val="000000" w:themeColor="text1"/>
          <w:sz w:val="22"/>
        </w:rPr>
      </w:pPr>
      <w:r>
        <w:rPr>
          <w:rFonts w:ascii="Verdana" w:hAnsi="Verdana" w:cs="Arial"/>
          <w:color w:val="000000" w:themeColor="text1"/>
          <w:sz w:val="22"/>
        </w:rPr>
        <w:t>L</w:t>
      </w:r>
      <w:r w:rsidRPr="000C6D8F">
        <w:rPr>
          <w:rFonts w:ascii="Verdana" w:hAnsi="Verdana" w:cs="Arial"/>
          <w:color w:val="000000" w:themeColor="text1"/>
          <w:sz w:val="22"/>
        </w:rPr>
        <w:t xml:space="preserve">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w:t>
      </w:r>
      <w:r w:rsidRPr="000C6D8F">
        <w:rPr>
          <w:rFonts w:ascii="Verdana" w:hAnsi="Verdana" w:cs="Arial"/>
          <w:color w:val="000000" w:themeColor="text1"/>
          <w:sz w:val="22"/>
        </w:rPr>
        <w:lastRenderedPageBreak/>
        <w:t xml:space="preserve">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209 de la Constitución Política, con especial énfasis en el de moralidad. Así lo ha entendido el Consejo de Estado: </w:t>
      </w:r>
    </w:p>
    <w:p w14:paraId="2D3C8085" w14:textId="77777777" w:rsidR="00D72A21" w:rsidRPr="00507921" w:rsidRDefault="00D72A21" w:rsidP="00D72A21">
      <w:pPr>
        <w:pStyle w:val="Sinespaciado"/>
        <w:spacing w:line="276" w:lineRule="auto"/>
        <w:jc w:val="both"/>
        <w:rPr>
          <w:rFonts w:ascii="Verdana" w:hAnsi="Verdana" w:cs="Arial"/>
          <w:color w:val="000000" w:themeColor="text1"/>
          <w:sz w:val="22"/>
          <w:lang w:val="es-ES"/>
        </w:rPr>
      </w:pPr>
    </w:p>
    <w:p w14:paraId="051B459D" w14:textId="77777777" w:rsidR="00D72A21" w:rsidRPr="000C6D8F" w:rsidRDefault="00D72A21" w:rsidP="00D72A21">
      <w:pPr>
        <w:pStyle w:val="NormalWeb"/>
        <w:shd w:val="clear" w:color="auto" w:fill="FFFFFF"/>
        <w:spacing w:before="0" w:beforeAutospacing="0" w:after="120" w:afterAutospacing="0"/>
        <w:ind w:left="709" w:right="709"/>
        <w:jc w:val="both"/>
        <w:rPr>
          <w:rFonts w:ascii="Verdana" w:hAnsi="Verdana" w:cs="Arial"/>
          <w:color w:val="000000" w:themeColor="text1"/>
          <w:sz w:val="21"/>
          <w:szCs w:val="21"/>
          <w:lang w:val="es-ES"/>
        </w:rPr>
      </w:pPr>
      <w:r w:rsidRPr="000C6D8F">
        <w:rPr>
          <w:rFonts w:ascii="Verdana" w:hAnsi="Verdana" w:cs="Arial"/>
          <w:color w:val="000000" w:themeColor="text1"/>
          <w:sz w:val="21"/>
          <w:szCs w:val="21"/>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024A3C9B" w14:textId="77777777" w:rsidR="00D72A21" w:rsidRPr="00507921" w:rsidRDefault="00D72A21" w:rsidP="00D72A21">
      <w:pPr>
        <w:pStyle w:val="NormalWeb"/>
        <w:shd w:val="clear" w:color="auto" w:fill="FFFFFF"/>
        <w:spacing w:before="0" w:beforeAutospacing="0" w:after="0"/>
        <w:ind w:left="709" w:right="709"/>
        <w:jc w:val="both"/>
        <w:rPr>
          <w:rFonts w:ascii="Verdana" w:hAnsi="Verdana" w:cs="Arial"/>
          <w:color w:val="000000" w:themeColor="text1"/>
          <w:sz w:val="21"/>
          <w:szCs w:val="21"/>
          <w:lang w:val="es-ES"/>
        </w:rPr>
      </w:pPr>
      <w:r w:rsidRPr="000C6D8F">
        <w:rPr>
          <w:rFonts w:ascii="Verdana" w:hAnsi="Verdana" w:cs="Arial"/>
          <w:color w:val="000000" w:themeColor="text1"/>
          <w:sz w:val="21"/>
          <w:szCs w:val="21"/>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0C6D8F">
        <w:rPr>
          <w:rStyle w:val="Refdenotaalpie"/>
          <w:rFonts w:ascii="Verdana" w:hAnsi="Verdana" w:cs="Arial"/>
          <w:color w:val="000000" w:themeColor="text1"/>
          <w:sz w:val="21"/>
          <w:szCs w:val="21"/>
          <w:lang w:val="es-ES"/>
        </w:rPr>
        <w:footnoteReference w:id="1"/>
      </w:r>
      <w:r w:rsidRPr="000C6D8F">
        <w:rPr>
          <w:rFonts w:ascii="Verdana" w:hAnsi="Verdana" w:cs="Arial"/>
          <w:color w:val="000000" w:themeColor="text1"/>
          <w:sz w:val="21"/>
          <w:szCs w:val="21"/>
          <w:lang w:val="es-ES"/>
        </w:rPr>
        <w:t xml:space="preserve">. </w:t>
      </w:r>
    </w:p>
    <w:p w14:paraId="7503ABFF" w14:textId="77777777" w:rsidR="00D72A21" w:rsidRDefault="00D72A21" w:rsidP="00D72A21">
      <w:pPr>
        <w:spacing w:after="120" w:line="276" w:lineRule="auto"/>
        <w:ind w:firstLine="708"/>
        <w:jc w:val="both"/>
        <w:rPr>
          <w:rFonts w:ascii="Verdana" w:hAnsi="Verdana" w:cs="Arial"/>
          <w:color w:val="000000" w:themeColor="text1"/>
        </w:rPr>
      </w:pPr>
      <w:r w:rsidRPr="000C6D8F">
        <w:rPr>
          <w:rFonts w:ascii="Verdana" w:hAnsi="Verdana" w:cs="Arial"/>
          <w:color w:val="000000" w:themeColor="text1"/>
        </w:rPr>
        <w:t xml:space="preserve">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w:t>
      </w:r>
      <w:r w:rsidRPr="000C6D8F">
        <w:rPr>
          <w:rFonts w:ascii="Verdana" w:hAnsi="Verdana" w:cs="Arial"/>
          <w:color w:val="000000" w:themeColor="text1"/>
        </w:rPr>
        <w:lastRenderedPageBreak/>
        <w:t>contratos con la Administración. Asimismo</w:t>
      </w:r>
      <w:r w:rsidRPr="000C6D8F">
        <w:rPr>
          <w:rFonts w:ascii="Verdana" w:eastAsia="Calibri" w:hAnsi="Verdana" w:cs="Arial"/>
          <w:color w:val="000000" w:themeColor="text1"/>
          <w:lang w:val="es-ES_tradnl"/>
        </w:rPr>
        <w:t xml:space="preserve">, el carácter reconocidamente taxativo </w:t>
      </w:r>
      <w:r>
        <w:rPr>
          <w:rFonts w:ascii="Verdana" w:eastAsia="Calibri" w:hAnsi="Verdana" w:cs="Arial"/>
          <w:color w:val="000000" w:themeColor="text1"/>
          <w:lang w:val="es-ES_tradnl"/>
        </w:rPr>
        <w:t>del</w:t>
      </w:r>
      <w:r w:rsidRPr="000C6D8F">
        <w:rPr>
          <w:rFonts w:ascii="Verdana" w:eastAsia="Calibri" w:hAnsi="Verdana" w:cs="Arial"/>
          <w:color w:val="000000" w:themeColor="text1"/>
          <w:lang w:val="es-ES_tradnl"/>
        </w:rPr>
        <w:t xml:space="preserv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0C6D8F">
        <w:rPr>
          <w:rFonts w:ascii="Verdana" w:hAnsi="Verdana" w:cs="Arial"/>
          <w:color w:val="000000" w:themeColor="text1"/>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26E57FB1" w14:textId="41BF7887" w:rsidR="00D72A21" w:rsidRDefault="00D72A21" w:rsidP="00B36665">
      <w:pPr>
        <w:spacing w:after="0" w:line="276" w:lineRule="auto"/>
        <w:ind w:firstLine="709"/>
        <w:jc w:val="both"/>
        <w:rPr>
          <w:rFonts w:ascii="Verdana" w:eastAsia="Calibri" w:hAnsi="Verdana" w:cs="Arial"/>
          <w:lang w:val="es-ES_tradnl"/>
        </w:rPr>
      </w:pPr>
      <w:r>
        <w:rPr>
          <w:rFonts w:ascii="Verdana" w:eastAsia="Calibri" w:hAnsi="Verdana" w:cs="Arial"/>
          <w:lang w:val="es-ES_tradnl"/>
        </w:rPr>
        <w:t>De esta manera</w:t>
      </w:r>
      <w:r w:rsidRPr="000C6D8F">
        <w:rPr>
          <w:rFonts w:ascii="Verdana" w:eastAsia="Calibri" w:hAnsi="Verdana" w:cs="Arial"/>
          <w:lang w:val="es-ES_tradnl"/>
        </w:rPr>
        <w:t xml:space="preserve">,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0C6D8F">
        <w:rPr>
          <w:rFonts w:ascii="Verdana" w:eastAsia="Calibri" w:hAnsi="Verdana" w:cs="Arial"/>
          <w:i/>
          <w:iCs/>
          <w:lang w:val="es-ES_tradnl"/>
        </w:rPr>
        <w:t>restrictiva</w:t>
      </w:r>
      <w:r w:rsidRPr="000C6D8F">
        <w:rPr>
          <w:rFonts w:ascii="Verdana" w:eastAsia="Calibri" w:hAnsi="Verdana" w:cs="Arial"/>
          <w:lang w:val="es-ES_tradnl"/>
        </w:rPr>
        <w:t>. En contraste, si se admitiera una interpretación amplia, extensiva</w:t>
      </w:r>
      <w:r>
        <w:rPr>
          <w:rFonts w:ascii="Verdana" w:eastAsia="Calibri" w:hAnsi="Verdana" w:cs="Arial"/>
          <w:lang w:val="es-ES_tradnl"/>
        </w:rPr>
        <w:t>, analógica</w:t>
      </w:r>
      <w:r w:rsidRPr="000C6D8F">
        <w:rPr>
          <w:rFonts w:ascii="Verdana" w:eastAsia="Calibri" w:hAnsi="Verdana" w:cs="Arial"/>
          <w:lang w:val="es-ES_tradnl"/>
        </w:rPr>
        <w:t xml:space="preserve">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Pr>
          <w:rStyle w:val="Refdenotaalpie"/>
          <w:rFonts w:ascii="Verdana" w:eastAsia="Calibri" w:hAnsi="Verdana" w:cs="Arial"/>
          <w:lang w:val="es-ES_tradnl"/>
        </w:rPr>
        <w:footnoteReference w:id="2"/>
      </w:r>
      <w:r w:rsidRPr="000C6D8F">
        <w:rPr>
          <w:rFonts w:ascii="Verdana" w:eastAsia="Calibri" w:hAnsi="Verdana" w:cs="Arial"/>
          <w:lang w:val="es-ES_tradnl"/>
        </w:rPr>
        <w:t>.</w:t>
      </w:r>
    </w:p>
    <w:p w14:paraId="63B05968" w14:textId="77777777" w:rsidR="00B36665" w:rsidRDefault="00B36665" w:rsidP="00B36665">
      <w:pPr>
        <w:spacing w:after="0" w:line="276" w:lineRule="auto"/>
        <w:ind w:firstLine="709"/>
        <w:jc w:val="both"/>
        <w:rPr>
          <w:rFonts w:ascii="Verdana" w:eastAsia="Calibri" w:hAnsi="Verdana" w:cs="Arial"/>
          <w:lang w:val="es-ES_tradnl"/>
        </w:rPr>
      </w:pPr>
    </w:p>
    <w:p w14:paraId="049C615F" w14:textId="7BDBB20C" w:rsidR="00162FED" w:rsidRPr="00162FED" w:rsidRDefault="001C4E94" w:rsidP="00162FED">
      <w:pPr>
        <w:pBdr>
          <w:top w:val="nil"/>
          <w:left w:val="nil"/>
          <w:bottom w:val="nil"/>
          <w:right w:val="nil"/>
          <w:between w:val="nil"/>
        </w:pBdr>
        <w:spacing w:after="0" w:line="276" w:lineRule="auto"/>
        <w:jc w:val="both"/>
        <w:rPr>
          <w:rFonts w:ascii="Verdana" w:eastAsia="Calibri" w:hAnsi="Verdana" w:cs="Arial"/>
          <w:lang w:val="es-ES"/>
        </w:rPr>
      </w:pPr>
      <w:r>
        <w:rPr>
          <w:rFonts w:ascii="Verdana" w:eastAsia="Calibri" w:hAnsi="Verdana" w:cs="Arial"/>
          <w:lang w:val="es-ES"/>
        </w:rPr>
        <w:t xml:space="preserve">     Ahora bien,</w:t>
      </w:r>
      <w:r w:rsidR="00162FED" w:rsidRPr="00162FED">
        <w:t xml:space="preserve"> </w:t>
      </w:r>
      <w:r w:rsidR="00162FED" w:rsidRPr="00162FED">
        <w:rPr>
          <w:rFonts w:ascii="Verdana" w:eastAsia="Calibri" w:hAnsi="Verdana" w:cs="Arial"/>
          <w:lang w:val="es-ES"/>
        </w:rPr>
        <w:t xml:space="preserve">Tratándose de los consorcios y las uniones temporales, es preciso advertir que estas figuras no constituyen personas jurídicas, sino que corresponden a estructuras contractuales de colaboración que surgen de un </w:t>
      </w:r>
      <w:r w:rsidR="00162FED" w:rsidRPr="00162FED">
        <w:rPr>
          <w:rFonts w:ascii="Verdana" w:eastAsia="Calibri" w:hAnsi="Verdana" w:cs="Arial"/>
          <w:lang w:val="es-ES"/>
        </w:rPr>
        <w:lastRenderedPageBreak/>
        <w:t>acuerdo de voluntades celebrado entre dos o más personas naturales o jurídicas, públicas o privadas, con el propósito específico de concurrir de manera conjunta a un proceso de selección adelantado por una entidad estatal. Su existencia y alcance se encuentran estrictamente delimitados por la finalidad contractual que las origina, sin que puedan entenderse como sujetos autónomos de derechos y obligaciones al margen de sus integrantes.</w:t>
      </w:r>
    </w:p>
    <w:p w14:paraId="7E501CE0" w14:textId="77777777" w:rsidR="00162FED" w:rsidRPr="00162FED" w:rsidRDefault="00162FED" w:rsidP="00162FED">
      <w:pPr>
        <w:pBdr>
          <w:top w:val="nil"/>
          <w:left w:val="nil"/>
          <w:bottom w:val="nil"/>
          <w:right w:val="nil"/>
          <w:between w:val="nil"/>
        </w:pBdr>
        <w:spacing w:after="0" w:line="276" w:lineRule="auto"/>
        <w:jc w:val="both"/>
        <w:rPr>
          <w:rFonts w:ascii="Verdana" w:eastAsia="Calibri" w:hAnsi="Verdana" w:cs="Arial"/>
          <w:lang w:val="es-ES"/>
        </w:rPr>
      </w:pPr>
    </w:p>
    <w:p w14:paraId="6270B363" w14:textId="77777777" w:rsidR="00162FED" w:rsidRPr="00162FED" w:rsidRDefault="00162FED" w:rsidP="000A3AE1">
      <w:pPr>
        <w:pBdr>
          <w:top w:val="nil"/>
          <w:left w:val="nil"/>
          <w:bottom w:val="nil"/>
          <w:right w:val="nil"/>
          <w:between w:val="nil"/>
        </w:pBdr>
        <w:spacing w:after="0" w:line="276" w:lineRule="auto"/>
        <w:ind w:firstLine="708"/>
        <w:jc w:val="both"/>
        <w:rPr>
          <w:rFonts w:ascii="Verdana" w:eastAsia="Calibri" w:hAnsi="Verdana" w:cs="Arial"/>
          <w:lang w:val="es-ES"/>
        </w:rPr>
      </w:pPr>
      <w:r w:rsidRPr="00162FED">
        <w:rPr>
          <w:rFonts w:ascii="Verdana" w:eastAsia="Calibri" w:hAnsi="Verdana" w:cs="Arial"/>
          <w:lang w:val="es-ES"/>
        </w:rPr>
        <w:t>En virtud de dicho acuerdo, los miembros de la estructura plural definen aspectos esenciales para su funcionamiento, tales como el objeto común, el porcentaje de participación de cada integrante, la asignación de obligaciones técnicas, financieras y administrativas, el régimen de responsabilidad frente a la entidad contratante, las reglas que gobiernan sus relaciones internas, así como la designación de un representante, quien actúa como vocero único ante la administración durante las etapas de selección, celebración y ejecución del contrato. Todo ello, de conformidad con lo dispuesto en el parágrafo 1 del artículo 7 de la Ley 80 de 1993.</w:t>
      </w:r>
    </w:p>
    <w:p w14:paraId="189EBA1A" w14:textId="77777777" w:rsidR="00162FED" w:rsidRPr="00162FED" w:rsidRDefault="00162FED" w:rsidP="00162FED">
      <w:pPr>
        <w:pBdr>
          <w:top w:val="nil"/>
          <w:left w:val="nil"/>
          <w:bottom w:val="nil"/>
          <w:right w:val="nil"/>
          <w:between w:val="nil"/>
        </w:pBdr>
        <w:spacing w:after="0" w:line="276" w:lineRule="auto"/>
        <w:jc w:val="both"/>
        <w:rPr>
          <w:rFonts w:ascii="Verdana" w:eastAsia="Calibri" w:hAnsi="Verdana" w:cs="Arial"/>
          <w:lang w:val="es-ES"/>
        </w:rPr>
      </w:pPr>
    </w:p>
    <w:p w14:paraId="1C5648D2" w14:textId="77777777" w:rsidR="00162FED" w:rsidRPr="00162FED" w:rsidRDefault="00162FED" w:rsidP="000A3AE1">
      <w:pPr>
        <w:pBdr>
          <w:top w:val="nil"/>
          <w:left w:val="nil"/>
          <w:bottom w:val="nil"/>
          <w:right w:val="nil"/>
          <w:between w:val="nil"/>
        </w:pBdr>
        <w:spacing w:after="0" w:line="276" w:lineRule="auto"/>
        <w:ind w:firstLine="708"/>
        <w:jc w:val="both"/>
        <w:rPr>
          <w:rFonts w:ascii="Verdana" w:eastAsia="Calibri" w:hAnsi="Verdana" w:cs="Arial"/>
          <w:lang w:val="es-ES"/>
        </w:rPr>
      </w:pPr>
      <w:r w:rsidRPr="00162FED">
        <w:rPr>
          <w:rFonts w:ascii="Verdana" w:eastAsia="Calibri" w:hAnsi="Verdana" w:cs="Arial"/>
          <w:lang w:val="es-ES"/>
        </w:rPr>
        <w:t>El citado artículo señala expresamente que el consorcio o la unión temporal se configura “cuando dos o más personas en forma conjunta presentan una misma propuesta para la adjudicación, celebración y ejecución de un contrato”. Esta previsión normativa pone de presente que la capacidad para interactuar válidamente con la administración pública no deriva del simple acuerdo privado entre los interesados, sino que se materializa únicamente a partir de la presentación conjunta y válida de una única oferta dentro de un proceso de selección.</w:t>
      </w:r>
    </w:p>
    <w:p w14:paraId="49D9731D" w14:textId="77777777" w:rsidR="00162FED" w:rsidRPr="00162FED" w:rsidRDefault="00162FED" w:rsidP="00162FED">
      <w:pPr>
        <w:pBdr>
          <w:top w:val="nil"/>
          <w:left w:val="nil"/>
          <w:bottom w:val="nil"/>
          <w:right w:val="nil"/>
          <w:between w:val="nil"/>
        </w:pBdr>
        <w:spacing w:after="0" w:line="276" w:lineRule="auto"/>
        <w:jc w:val="both"/>
        <w:rPr>
          <w:rFonts w:ascii="Verdana" w:eastAsia="Calibri" w:hAnsi="Verdana" w:cs="Arial"/>
          <w:lang w:val="es-ES"/>
        </w:rPr>
      </w:pPr>
    </w:p>
    <w:p w14:paraId="3621F99A" w14:textId="77777777" w:rsidR="00162FED" w:rsidRPr="00162FED" w:rsidRDefault="00162FED" w:rsidP="000A3AE1">
      <w:pPr>
        <w:pBdr>
          <w:top w:val="nil"/>
          <w:left w:val="nil"/>
          <w:bottom w:val="nil"/>
          <w:right w:val="nil"/>
          <w:between w:val="nil"/>
        </w:pBdr>
        <w:spacing w:after="0" w:line="276" w:lineRule="auto"/>
        <w:ind w:firstLine="708"/>
        <w:jc w:val="both"/>
        <w:rPr>
          <w:rFonts w:ascii="Verdana" w:eastAsia="Calibri" w:hAnsi="Verdana" w:cs="Arial"/>
          <w:lang w:val="es-ES"/>
        </w:rPr>
      </w:pPr>
      <w:r w:rsidRPr="00162FED">
        <w:rPr>
          <w:rFonts w:ascii="Verdana" w:eastAsia="Calibri" w:hAnsi="Verdana" w:cs="Arial"/>
          <w:lang w:val="es-ES"/>
        </w:rPr>
        <w:t>En lo que respecta específicamente a las uniones temporales, debe resaltarse que el legislador optó por un modelo en el que sus integrantes mantienen su individualidad jurídica, aun cuando actúan de manera coordinada frente a la administración. En efecto, al no contar con personería jurídica propia, la unión temporal opera exclusivamente como un proponente plural, lo que implica que los derechos, obligaciones, responsabilidades y condiciones de habilitación jurídica se predican directamente de cada uno de sus miembros, y no de la estructura asociativa en sí misma.</w:t>
      </w:r>
    </w:p>
    <w:p w14:paraId="50714928" w14:textId="77777777" w:rsidR="00162FED" w:rsidRPr="00162FED" w:rsidRDefault="00162FED" w:rsidP="00162FED">
      <w:pPr>
        <w:pBdr>
          <w:top w:val="nil"/>
          <w:left w:val="nil"/>
          <w:bottom w:val="nil"/>
          <w:right w:val="nil"/>
          <w:between w:val="nil"/>
        </w:pBdr>
        <w:spacing w:after="0" w:line="276" w:lineRule="auto"/>
        <w:jc w:val="both"/>
        <w:rPr>
          <w:rFonts w:ascii="Verdana" w:eastAsia="Calibri" w:hAnsi="Verdana" w:cs="Arial"/>
          <w:lang w:val="es-ES"/>
        </w:rPr>
      </w:pPr>
    </w:p>
    <w:p w14:paraId="5E352889" w14:textId="364A6A80" w:rsidR="00162FED" w:rsidRDefault="00162FED" w:rsidP="000A3AE1">
      <w:pPr>
        <w:pBdr>
          <w:top w:val="nil"/>
          <w:left w:val="nil"/>
          <w:bottom w:val="nil"/>
          <w:right w:val="nil"/>
          <w:between w:val="nil"/>
        </w:pBdr>
        <w:spacing w:after="0" w:line="276" w:lineRule="auto"/>
        <w:ind w:firstLine="708"/>
        <w:jc w:val="both"/>
        <w:rPr>
          <w:rFonts w:ascii="Verdana" w:eastAsia="Calibri" w:hAnsi="Verdana" w:cs="Arial"/>
          <w:lang w:val="es-ES"/>
        </w:rPr>
      </w:pPr>
      <w:r w:rsidRPr="00162FED">
        <w:rPr>
          <w:rFonts w:ascii="Verdana" w:eastAsia="Calibri" w:hAnsi="Verdana" w:cs="Arial"/>
          <w:lang w:val="es-ES"/>
        </w:rPr>
        <w:lastRenderedPageBreak/>
        <w:t>En consecuencia, la verificación del régimen de inhabilidades e incompatibilidades debe realizarse de manera individual respecto de cada integrante, en atención a su situación jurídica particular, tal como se desprende del artículo 7 de la Ley 80 de 1993 y de los principios que rigen la contratación estatal. Esta exigencia responde a la necesidad de garantizar que todos los sujetos que, de manera directa o indirecta, participarán en la ejecución del contrato, cuenten con plena capacidad jurídica para contratar con el Estado, preservando así los principios de legalidad, transparencia y moralidad administrativa.</w:t>
      </w:r>
    </w:p>
    <w:p w14:paraId="0AF670D6" w14:textId="77777777" w:rsidR="00162FED" w:rsidRDefault="00162FED" w:rsidP="00D72A21">
      <w:pPr>
        <w:pBdr>
          <w:top w:val="nil"/>
          <w:left w:val="nil"/>
          <w:bottom w:val="nil"/>
          <w:right w:val="nil"/>
          <w:between w:val="nil"/>
        </w:pBdr>
        <w:spacing w:after="0" w:line="276" w:lineRule="auto"/>
        <w:jc w:val="both"/>
        <w:rPr>
          <w:rFonts w:ascii="Verdana" w:eastAsia="Calibri" w:hAnsi="Verdana" w:cs="Arial"/>
          <w:lang w:val="es-ES"/>
        </w:rPr>
      </w:pPr>
    </w:p>
    <w:p w14:paraId="4D605FA0" w14:textId="5B011B48" w:rsidR="00D72A21" w:rsidRDefault="00647BB8" w:rsidP="000A3AE1">
      <w:pPr>
        <w:pBdr>
          <w:top w:val="nil"/>
          <w:left w:val="nil"/>
          <w:bottom w:val="nil"/>
          <w:right w:val="nil"/>
          <w:between w:val="nil"/>
        </w:pBdr>
        <w:spacing w:after="0" w:line="276" w:lineRule="auto"/>
        <w:ind w:firstLine="708"/>
        <w:jc w:val="both"/>
        <w:rPr>
          <w:rFonts w:ascii="Verdana" w:eastAsia="Calibri" w:hAnsi="Verdana" w:cs="Arial"/>
          <w:lang w:val="es-ES"/>
        </w:rPr>
      </w:pPr>
      <w:r>
        <w:rPr>
          <w:rFonts w:ascii="Verdana" w:eastAsia="Calibri" w:hAnsi="Verdana" w:cs="Arial"/>
          <w:lang w:val="es-ES"/>
        </w:rPr>
        <w:t xml:space="preserve">En cuanto a </w:t>
      </w:r>
      <w:r w:rsidR="00D72A21" w:rsidRPr="7C111E66">
        <w:rPr>
          <w:rFonts w:ascii="Verdana" w:eastAsia="Calibri" w:hAnsi="Verdana" w:cs="Arial"/>
          <w:lang w:val="es-ES"/>
        </w:rPr>
        <w:t>la declaratoria de responsabilidad fiscal</w:t>
      </w:r>
      <w:r>
        <w:rPr>
          <w:rFonts w:ascii="Verdana" w:eastAsia="Calibri" w:hAnsi="Verdana" w:cs="Arial"/>
          <w:lang w:val="es-ES"/>
        </w:rPr>
        <w:t>, debe precisarse que esta</w:t>
      </w:r>
      <w:r w:rsidR="00D72A21" w:rsidRPr="7C111E66">
        <w:rPr>
          <w:rFonts w:ascii="Verdana" w:eastAsia="Calibri" w:hAnsi="Verdana" w:cs="Arial"/>
          <w:lang w:val="es-ES"/>
        </w:rPr>
        <w:t xml:space="preserve"> origina una inhabilidad para celebrar contratos con el Estado. De acuerdo con el artículo 60 de la Ley 610 de 2000, “La Contraloría General de la República publicará con periodicidad trimestral un boletín que contendrá los nombres de las personas naturales o jurídicas a quienes se les haya dictado fallo con responsabilidad fiscal en firme y ejecutoriado y no hayan satisfecho la obligación contenida en él” –inc. 1–, de manera que “Los representantes legales, así como los nominadores y demás funcionarios competentes, deberán abstenerse de nombrar, dar posesión o celebrar cualquier tipo de contrato con quienes aparezcan en el boletín de responsables […]” –inc. 3–. Igualmente, el parágrafo primero del artículo 42 de la Ley 1952 de 2019 dispone que:</w:t>
      </w:r>
    </w:p>
    <w:p w14:paraId="05414B0E" w14:textId="77777777" w:rsidR="00D72A21" w:rsidRDefault="00D72A21" w:rsidP="00D72A21">
      <w:pPr>
        <w:pBdr>
          <w:top w:val="nil"/>
          <w:left w:val="nil"/>
          <w:bottom w:val="nil"/>
          <w:right w:val="nil"/>
          <w:between w:val="nil"/>
        </w:pBdr>
        <w:spacing w:after="0" w:line="276" w:lineRule="auto"/>
        <w:jc w:val="both"/>
        <w:rPr>
          <w:rFonts w:ascii="Verdana" w:eastAsia="Calibri" w:hAnsi="Verdana" w:cs="Arial"/>
          <w:lang w:val="es-ES_tradnl"/>
        </w:rPr>
      </w:pPr>
    </w:p>
    <w:p w14:paraId="34E907F7" w14:textId="77777777" w:rsidR="00D72A21" w:rsidRPr="00DF1B4C" w:rsidRDefault="00D72A21" w:rsidP="00D72A21">
      <w:pPr>
        <w:pBdr>
          <w:top w:val="nil"/>
          <w:left w:val="nil"/>
          <w:bottom w:val="nil"/>
          <w:right w:val="nil"/>
          <w:between w:val="nil"/>
        </w:pBdr>
        <w:spacing w:after="120" w:line="240" w:lineRule="auto"/>
        <w:ind w:left="709" w:right="709"/>
        <w:jc w:val="both"/>
        <w:rPr>
          <w:rFonts w:ascii="Verdana" w:eastAsia="Calibri" w:hAnsi="Verdana" w:cs="Arial"/>
          <w:sz w:val="21"/>
          <w:szCs w:val="21"/>
          <w:lang w:val="es-ES"/>
        </w:rPr>
      </w:pPr>
      <w:r w:rsidRPr="00DF1B4C">
        <w:rPr>
          <w:rFonts w:ascii="Verdana" w:eastAsia="Calibri" w:hAnsi="Verdana" w:cs="Arial"/>
          <w:sz w:val="21"/>
          <w:szCs w:val="21"/>
          <w:lang w:val="es-ES_tradnl"/>
        </w:rPr>
        <w:t>“</w:t>
      </w:r>
      <w:r w:rsidRPr="00DF1B4C">
        <w:rPr>
          <w:rFonts w:ascii="Verdana" w:eastAsia="Calibri" w:hAnsi="Verdana" w:cs="Arial"/>
          <w:sz w:val="21"/>
          <w:szCs w:val="21"/>
          <w:lang w:val="es-ES"/>
        </w:rPr>
        <w:t xml:space="preserve">Quien haya sido declarado responsable fiscalmente será inhábil para el ejercicio de cargos públicos y para contratar con el Estado durante los cinco (5) años siguientes a la ejecutoria del fallo correspondiente. Esta inhabilidad cesará cuando la Contraloría competente declare haber recibido el pago o, si este no fuere procedente, cuando la Contraloría General de la República excluya al responsable del boletín de responsables fiscales. </w:t>
      </w:r>
    </w:p>
    <w:p w14:paraId="6AE36B31" w14:textId="77777777" w:rsidR="00D72A21" w:rsidRPr="00DF1B4C" w:rsidRDefault="00D72A21" w:rsidP="00D72A21">
      <w:pPr>
        <w:pBdr>
          <w:top w:val="nil"/>
          <w:left w:val="nil"/>
          <w:bottom w:val="nil"/>
          <w:right w:val="nil"/>
          <w:between w:val="nil"/>
        </w:pBdr>
        <w:spacing w:after="0" w:line="240" w:lineRule="auto"/>
        <w:ind w:left="709" w:right="709"/>
        <w:jc w:val="both"/>
        <w:rPr>
          <w:rFonts w:ascii="Verdana" w:eastAsia="Calibri" w:hAnsi="Verdana" w:cs="Arial"/>
          <w:sz w:val="21"/>
          <w:szCs w:val="21"/>
          <w:lang w:val="es-ES"/>
        </w:rPr>
      </w:pPr>
      <w:r w:rsidRPr="00DF1B4C">
        <w:rPr>
          <w:rFonts w:ascii="Verdana" w:eastAsia="Calibri" w:hAnsi="Verdana" w:cs="Arial"/>
          <w:sz w:val="21"/>
          <w:szCs w:val="21"/>
          <w:lang w:val="es-ES"/>
        </w:rPr>
        <w:t xml:space="preserve">Si pasados cinco años desde la ejecutoria de la providencia, quien haya sido declarado responsable fiscalmente no hubiere pagado la suma establecida en el fallo ni hubiere sido excluido del boletín de responsables fiscales, continuará siendo inhábil por cinco años si la cuantía, al momento de la declaración de responsabilidad fiscal, fuere superior a 100 salarios mínimos legales mensuales vigentes; por dos años si la cuantía fuere superior a 50 sin exceder de 100 salarios mínimos legales mensuales vigentes; por un año si la cuantía fuere superior a 10 salarios mínimos legales mensuales vigentes sin exceder </w:t>
      </w:r>
      <w:r w:rsidRPr="00DF1B4C">
        <w:rPr>
          <w:rFonts w:ascii="Verdana" w:eastAsia="Calibri" w:hAnsi="Verdana" w:cs="Arial"/>
          <w:sz w:val="21"/>
          <w:szCs w:val="21"/>
          <w:lang w:val="es-ES"/>
        </w:rPr>
        <w:lastRenderedPageBreak/>
        <w:t>de 50, y por tres meses si la cuantía fuere igual o inferior a 10 salarios mínimos legales mensuales vigentes”.</w:t>
      </w:r>
    </w:p>
    <w:p w14:paraId="31941630" w14:textId="77777777" w:rsidR="00D72A21" w:rsidRDefault="00D72A21" w:rsidP="00D72A21">
      <w:pPr>
        <w:pBdr>
          <w:top w:val="nil"/>
          <w:left w:val="nil"/>
          <w:bottom w:val="nil"/>
          <w:right w:val="nil"/>
          <w:between w:val="nil"/>
        </w:pBdr>
        <w:spacing w:after="0" w:line="276" w:lineRule="auto"/>
        <w:jc w:val="both"/>
        <w:rPr>
          <w:rFonts w:ascii="Verdana" w:eastAsia="Calibri" w:hAnsi="Verdana" w:cs="Arial"/>
          <w:lang w:val="es-ES"/>
        </w:rPr>
      </w:pPr>
    </w:p>
    <w:p w14:paraId="12182D6C" w14:textId="16D22E2B" w:rsidR="00D72A21" w:rsidRDefault="00D72A21" w:rsidP="00D72A21">
      <w:pPr>
        <w:pBdr>
          <w:top w:val="nil"/>
          <w:left w:val="nil"/>
          <w:bottom w:val="nil"/>
          <w:right w:val="nil"/>
          <w:between w:val="nil"/>
        </w:pBdr>
        <w:spacing w:after="0" w:line="276" w:lineRule="auto"/>
        <w:jc w:val="both"/>
        <w:rPr>
          <w:rFonts w:ascii="Verdana" w:eastAsia="Calibri" w:hAnsi="Verdana" w:cs="Arial"/>
          <w:lang w:val="es-ES_tradnl"/>
        </w:rPr>
      </w:pPr>
      <w:r>
        <w:rPr>
          <w:rFonts w:ascii="Verdana" w:eastAsia="Calibri" w:hAnsi="Verdana" w:cs="Arial"/>
          <w:lang w:val="es-ES"/>
        </w:rPr>
        <w:tab/>
      </w:r>
    </w:p>
    <w:p w14:paraId="449347B3" w14:textId="005B60E4" w:rsidR="00D72A21" w:rsidRPr="0017121C" w:rsidRDefault="00647BB8" w:rsidP="00D72A21">
      <w:pPr>
        <w:pBdr>
          <w:top w:val="nil"/>
          <w:left w:val="nil"/>
          <w:bottom w:val="nil"/>
          <w:right w:val="nil"/>
          <w:between w:val="nil"/>
        </w:pBdr>
        <w:spacing w:after="0" w:line="276" w:lineRule="auto"/>
        <w:ind w:firstLine="708"/>
        <w:jc w:val="both"/>
        <w:rPr>
          <w:rFonts w:ascii="Verdana" w:eastAsia="Calibri" w:hAnsi="Verdana" w:cs="Arial"/>
        </w:rPr>
      </w:pPr>
      <w:r>
        <w:rPr>
          <w:rFonts w:ascii="Verdana" w:eastAsia="Calibri" w:hAnsi="Verdana" w:cs="Arial"/>
        </w:rPr>
        <w:t>Conforme a lo anterior y atendiendo a lo dispuesto en</w:t>
      </w:r>
      <w:r w:rsidR="00D72A21" w:rsidRPr="0017121C">
        <w:rPr>
          <w:rFonts w:ascii="Verdana" w:eastAsia="Calibri" w:hAnsi="Verdana" w:cs="Arial"/>
        </w:rPr>
        <w:t xml:space="preserve"> el artículo 7 de la Ley 80 de 1993, los consorcios y las uniones temporales son proponentes plurales que, si bien no constituyen personas jurídicas, cuentan con capacidad para presentar ofertas y celebrar contratos estatales a través de la actuación conjunta de sus integrantes. </w:t>
      </w:r>
      <w:proofErr w:type="gramStart"/>
      <w:r w:rsidR="00D72A21" w:rsidRPr="0017121C">
        <w:rPr>
          <w:rFonts w:ascii="Verdana" w:eastAsia="Calibri" w:hAnsi="Verdana" w:cs="Arial"/>
        </w:rPr>
        <w:t>En razón de</w:t>
      </w:r>
      <w:proofErr w:type="gramEnd"/>
      <w:r w:rsidR="00D72A21" w:rsidRPr="0017121C">
        <w:rPr>
          <w:rFonts w:ascii="Verdana" w:eastAsia="Calibri" w:hAnsi="Verdana" w:cs="Arial"/>
        </w:rPr>
        <w:t xml:space="preserve"> dicha naturaleza, la verificación de los requisitos habilitantes de carácter jurídico, incluido el régimen de inhabilidades e incompatibilidades, debe realizarse respecto de cada uno de los miembros que conforman el proponente plural.</w:t>
      </w:r>
    </w:p>
    <w:p w14:paraId="61327218" w14:textId="77777777" w:rsidR="00D72A21" w:rsidRPr="0017121C" w:rsidRDefault="00D72A21" w:rsidP="00D72A21">
      <w:pPr>
        <w:pBdr>
          <w:top w:val="nil"/>
          <w:left w:val="nil"/>
          <w:bottom w:val="nil"/>
          <w:right w:val="nil"/>
          <w:between w:val="nil"/>
        </w:pBdr>
        <w:spacing w:after="0" w:line="276" w:lineRule="auto"/>
        <w:jc w:val="both"/>
        <w:rPr>
          <w:rFonts w:ascii="Verdana" w:eastAsia="Calibri" w:hAnsi="Verdana" w:cs="Arial"/>
        </w:rPr>
      </w:pPr>
    </w:p>
    <w:p w14:paraId="674FFB47" w14:textId="77777777" w:rsidR="00D72A21" w:rsidRDefault="00D72A21" w:rsidP="00D72A21">
      <w:pPr>
        <w:pBdr>
          <w:top w:val="nil"/>
          <w:left w:val="nil"/>
          <w:bottom w:val="nil"/>
          <w:right w:val="nil"/>
          <w:between w:val="nil"/>
        </w:pBdr>
        <w:spacing w:after="0" w:line="276" w:lineRule="auto"/>
        <w:ind w:firstLine="708"/>
        <w:jc w:val="both"/>
        <w:rPr>
          <w:rFonts w:ascii="Verdana" w:eastAsia="Calibri" w:hAnsi="Verdana" w:cs="Arial"/>
        </w:rPr>
      </w:pPr>
      <w:r w:rsidRPr="00C705A6">
        <w:rPr>
          <w:rFonts w:ascii="Verdana" w:eastAsia="Calibri" w:hAnsi="Verdana" w:cs="Arial"/>
        </w:rPr>
        <w:t>En el caso de las uniones temporales y consorcios, resulta jurídicamente necesario analizar de manera individual la situación jurídica de cada uno de sus integrantes, dado que estas formas asociativas no constituyen personas jurídicas, sino que actúan como proponentes plurales. En consecuencia, la verificación del régimen de inhabilidades e incompatibilidades debe realizarse respecto de cada persona natural o jurídica que conforma el proponente plural, atendiendo al carácter taxativo y de interpretación restrictiva de dichas causales, las cuales recaen directamente sobre los sujetos respecto de los cuales el legislador ha previsto expresamente esa consecuencia.</w:t>
      </w:r>
    </w:p>
    <w:p w14:paraId="0267B69A" w14:textId="77777777" w:rsidR="00D72A21" w:rsidRPr="00C705A6" w:rsidRDefault="00D72A21" w:rsidP="00D72A21">
      <w:pPr>
        <w:pBdr>
          <w:top w:val="nil"/>
          <w:left w:val="nil"/>
          <w:bottom w:val="nil"/>
          <w:right w:val="nil"/>
          <w:between w:val="nil"/>
        </w:pBdr>
        <w:spacing w:after="0" w:line="276" w:lineRule="auto"/>
        <w:ind w:firstLine="708"/>
        <w:jc w:val="both"/>
        <w:rPr>
          <w:rFonts w:ascii="Verdana" w:eastAsia="Calibri" w:hAnsi="Verdana" w:cs="Arial"/>
        </w:rPr>
      </w:pPr>
    </w:p>
    <w:p w14:paraId="5FD4E352" w14:textId="77777777" w:rsidR="00D72A21" w:rsidRPr="00C705A6" w:rsidRDefault="00D72A21" w:rsidP="00D72A21">
      <w:pPr>
        <w:pBdr>
          <w:top w:val="nil"/>
          <w:left w:val="nil"/>
          <w:bottom w:val="nil"/>
          <w:right w:val="nil"/>
          <w:between w:val="nil"/>
        </w:pBdr>
        <w:spacing w:after="0" w:line="276" w:lineRule="auto"/>
        <w:ind w:firstLine="708"/>
        <w:jc w:val="both"/>
        <w:rPr>
          <w:rFonts w:ascii="Verdana" w:eastAsia="Calibri" w:hAnsi="Verdana" w:cs="Arial"/>
        </w:rPr>
      </w:pPr>
      <w:r w:rsidRPr="00C705A6">
        <w:rPr>
          <w:rFonts w:ascii="Verdana" w:eastAsia="Calibri" w:hAnsi="Verdana" w:cs="Arial"/>
        </w:rPr>
        <w:t xml:space="preserve">Así, cuando uno de los integrantes ha sido declarado responsable fiscalmente y figura en el Boletín de </w:t>
      </w:r>
      <w:proofErr w:type="gramStart"/>
      <w:r w:rsidRPr="00C705A6">
        <w:rPr>
          <w:rFonts w:ascii="Verdana" w:eastAsia="Calibri" w:hAnsi="Verdana" w:cs="Arial"/>
        </w:rPr>
        <w:t>Responsables</w:t>
      </w:r>
      <w:proofErr w:type="gramEnd"/>
      <w:r w:rsidRPr="00C705A6">
        <w:rPr>
          <w:rFonts w:ascii="Verdana" w:eastAsia="Calibri" w:hAnsi="Verdana" w:cs="Arial"/>
        </w:rPr>
        <w:t xml:space="preserve"> Fiscales de la Contraloría General de la República, se configura frente a dicho integrante una prohibición legal para contratar con el Estado, en los términos del artículo 60 de la Ley 610 de 2000 y del parágrafo primero del artículo 42 de la Ley 1952 de 2019, mientras no se haya satisfecho la obligación fiscal o se haya producido su exclusión del boletín.</w:t>
      </w:r>
    </w:p>
    <w:p w14:paraId="0521B589" w14:textId="77777777" w:rsidR="00D72A21" w:rsidRDefault="00D72A21" w:rsidP="00D72A21">
      <w:pPr>
        <w:pBdr>
          <w:top w:val="nil"/>
          <w:left w:val="nil"/>
          <w:bottom w:val="nil"/>
          <w:right w:val="nil"/>
          <w:between w:val="nil"/>
        </w:pBdr>
        <w:spacing w:after="0" w:line="276" w:lineRule="auto"/>
        <w:jc w:val="both"/>
        <w:rPr>
          <w:rFonts w:ascii="Verdana" w:eastAsia="Calibri" w:hAnsi="Verdana" w:cs="Arial"/>
        </w:rPr>
      </w:pPr>
    </w:p>
    <w:p w14:paraId="793DECBB" w14:textId="77777777" w:rsidR="00D72A21" w:rsidRPr="00C705A6" w:rsidRDefault="00D72A21" w:rsidP="00D72A21">
      <w:pPr>
        <w:pBdr>
          <w:top w:val="nil"/>
          <w:left w:val="nil"/>
          <w:bottom w:val="nil"/>
          <w:right w:val="nil"/>
          <w:between w:val="nil"/>
        </w:pBdr>
        <w:spacing w:after="0" w:line="276" w:lineRule="auto"/>
        <w:ind w:firstLine="708"/>
        <w:jc w:val="both"/>
        <w:rPr>
          <w:rFonts w:ascii="Verdana" w:eastAsia="Calibri" w:hAnsi="Verdana" w:cs="Arial"/>
        </w:rPr>
      </w:pPr>
      <w:r w:rsidRPr="00C705A6">
        <w:rPr>
          <w:rFonts w:ascii="Verdana" w:eastAsia="Calibri" w:hAnsi="Verdana" w:cs="Arial"/>
        </w:rPr>
        <w:t xml:space="preserve">En particular, el artículo 60 de la Ley 610 de 2000 impone a los representantes legales y a los funcionarios competentes el deber de abstenerse de celebrar contratos estatales con quienes se encuentren reportados en el mencionado boletín. En tratándose de consorcios y uniones temporales, dicha restricción recae sobre el integrante reportado; sin embargo, su permanencia dentro del proponente plural impide la celebración válida del contrato por parte </w:t>
      </w:r>
      <w:r w:rsidRPr="00C705A6">
        <w:rPr>
          <w:rFonts w:ascii="Verdana" w:eastAsia="Calibri" w:hAnsi="Verdana" w:cs="Arial"/>
        </w:rPr>
        <w:lastRenderedPageBreak/>
        <w:t>del consorcio o la unión temporal, en tanto uno de sus miembros carece de capacidad jurídica para contratar.</w:t>
      </w:r>
    </w:p>
    <w:p w14:paraId="57AFC954" w14:textId="77777777" w:rsidR="00D72A21" w:rsidRDefault="00D72A21" w:rsidP="00D72A21">
      <w:pPr>
        <w:pBdr>
          <w:top w:val="nil"/>
          <w:left w:val="nil"/>
          <w:bottom w:val="nil"/>
          <w:right w:val="nil"/>
          <w:between w:val="nil"/>
        </w:pBdr>
        <w:spacing w:after="0" w:line="276" w:lineRule="auto"/>
        <w:jc w:val="both"/>
        <w:rPr>
          <w:rFonts w:ascii="Verdana" w:eastAsia="Calibri" w:hAnsi="Verdana" w:cs="Arial"/>
        </w:rPr>
      </w:pPr>
    </w:p>
    <w:p w14:paraId="0DCB7E0D" w14:textId="77777777" w:rsidR="00D72A21" w:rsidRPr="00C705A6" w:rsidRDefault="00D72A21" w:rsidP="00D72A21">
      <w:pPr>
        <w:pBdr>
          <w:top w:val="nil"/>
          <w:left w:val="nil"/>
          <w:bottom w:val="nil"/>
          <w:right w:val="nil"/>
          <w:between w:val="nil"/>
        </w:pBdr>
        <w:spacing w:after="0" w:line="276" w:lineRule="auto"/>
        <w:ind w:firstLine="708"/>
        <w:jc w:val="both"/>
        <w:rPr>
          <w:rFonts w:ascii="Verdana" w:eastAsia="Calibri" w:hAnsi="Verdana" w:cs="Arial"/>
        </w:rPr>
      </w:pPr>
      <w:r w:rsidRPr="00C705A6">
        <w:rPr>
          <w:rFonts w:ascii="Verdana" w:eastAsia="Calibri" w:hAnsi="Verdana" w:cs="Arial"/>
        </w:rPr>
        <w:t>En consecuencia, no es jurídicamente procedente que una unión temporal o consorcio celebre un contrato estatal cuando uno de sus integrantes se encuentra incurso en una causal de inhabilidad vigente, mientras dicho integrante haga parte del proponente plural. Ello no obedece a una extensión de la inhabilidad a los demás miembros, sino a que la participación en estas formas asociativas exige que todos sus integrantes sean jurídicamente hábiles para contratar con el Estado, lo cual debe ser verificado de manera individual por la entidad contratante para determinar la viabilidad jurídica del proponente plural en su conjunto, conforme al régimen legal aplicable.</w:t>
      </w:r>
    </w:p>
    <w:p w14:paraId="52AF66BA" w14:textId="77777777" w:rsidR="00D72A21" w:rsidRPr="00C705A6" w:rsidRDefault="00D72A21" w:rsidP="00D72A21">
      <w:pPr>
        <w:pBdr>
          <w:top w:val="nil"/>
          <w:left w:val="nil"/>
          <w:bottom w:val="nil"/>
          <w:right w:val="nil"/>
          <w:between w:val="nil"/>
        </w:pBdr>
        <w:spacing w:after="0" w:line="276" w:lineRule="auto"/>
        <w:jc w:val="both"/>
        <w:rPr>
          <w:rFonts w:ascii="Verdana" w:eastAsia="Calibri" w:hAnsi="Verdana" w:cs="Arial"/>
          <w:lang w:val="es-ES_tradnl"/>
        </w:rPr>
      </w:pPr>
    </w:p>
    <w:p w14:paraId="2E04DBA4" w14:textId="1F8C071B" w:rsidR="00D72A21" w:rsidRPr="007A47F9" w:rsidRDefault="00D72A21" w:rsidP="000A3AE1">
      <w:pPr>
        <w:widowControl w:val="0"/>
        <w:autoSpaceDE w:val="0"/>
        <w:autoSpaceDN w:val="0"/>
        <w:spacing w:after="0" w:line="276" w:lineRule="auto"/>
        <w:ind w:firstLine="708"/>
        <w:jc w:val="both"/>
        <w:rPr>
          <w:rFonts w:ascii="Verdana" w:hAnsi="Verdana" w:cs="Arial"/>
          <w:lang w:eastAsia="es-ES"/>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w:t>
      </w:r>
      <w:r>
        <w:rPr>
          <w:rFonts w:ascii="Verdana" w:eastAsia="Calibri" w:hAnsi="Verdana" w:cs="Arial"/>
          <w:bCs/>
          <w:color w:val="000000" w:themeColor="text1"/>
        </w:rPr>
        <w:t>las inhabilidades e incompatibilidades</w:t>
      </w:r>
      <w:r>
        <w:rPr>
          <w:rFonts w:ascii="Verdana" w:hAnsi="Verdana" w:cs="Arial"/>
          <w:lang w:eastAsia="es-ES"/>
        </w:rPr>
        <w:t xml:space="preserve">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0B6AF5E7" w14:textId="77777777" w:rsidR="00D72A21" w:rsidRDefault="00D72A21" w:rsidP="00D72A21">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15B9800D" w14:textId="77777777" w:rsidR="00D72A21" w:rsidRPr="00182C89" w:rsidRDefault="00D72A21" w:rsidP="00D72A21">
      <w:pPr>
        <w:tabs>
          <w:tab w:val="left" w:pos="709"/>
        </w:tabs>
        <w:spacing w:after="0" w:line="276" w:lineRule="auto"/>
        <w:jc w:val="both"/>
        <w:rPr>
          <w:rFonts w:ascii="Verdana" w:eastAsia="Calibri" w:hAnsi="Verdana" w:cs="Arial"/>
          <w:color w:val="000000" w:themeColor="text1"/>
        </w:rPr>
      </w:pPr>
    </w:p>
    <w:p w14:paraId="08723DF4" w14:textId="77777777" w:rsidR="00D72A21" w:rsidRPr="00593A5F" w:rsidRDefault="00D72A21" w:rsidP="00D72A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1BF7B34" w14:textId="77777777" w:rsidR="00D72A21" w:rsidRPr="00593A5F" w:rsidRDefault="00D72A21" w:rsidP="00D72A2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72A21" w:rsidRPr="002407CE" w14:paraId="21267649" w14:textId="77777777" w:rsidTr="00DC606A">
        <w:trPr>
          <w:trHeight w:val="870"/>
          <w:jc w:val="center"/>
        </w:trPr>
        <w:tc>
          <w:tcPr>
            <w:tcW w:w="8647" w:type="dxa"/>
          </w:tcPr>
          <w:p w14:paraId="49E65142" w14:textId="77777777" w:rsidR="00D72A21" w:rsidRDefault="00D72A21" w:rsidP="00D72A2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7918BA">
              <w:rPr>
                <w:rFonts w:ascii="Verdana" w:hAnsi="Verdana" w:cs="Arial"/>
              </w:rPr>
              <w:lastRenderedPageBreak/>
              <w:t>Constitución Política de 1991, artículo</w:t>
            </w:r>
            <w:r>
              <w:rPr>
                <w:rFonts w:ascii="Verdana" w:hAnsi="Verdana" w:cs="Arial"/>
              </w:rPr>
              <w:t>s 150 y 209</w:t>
            </w:r>
            <w:r w:rsidRPr="007918BA">
              <w:rPr>
                <w:rFonts w:ascii="Verdana" w:hAnsi="Verdana" w:cs="Arial"/>
              </w:rPr>
              <w:t>.</w:t>
            </w:r>
          </w:p>
          <w:p w14:paraId="23C822E0" w14:textId="77777777" w:rsidR="00D72A21" w:rsidRDefault="00D72A21" w:rsidP="00D72A2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8.</w:t>
            </w:r>
          </w:p>
          <w:p w14:paraId="4FEEB34E" w14:textId="77777777" w:rsidR="00D72A21" w:rsidRDefault="00D72A21" w:rsidP="00D72A2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610 de 2000, artículo 60.</w:t>
            </w:r>
          </w:p>
          <w:p w14:paraId="13619F90" w14:textId="77777777" w:rsidR="00D72A21" w:rsidRDefault="00D72A21" w:rsidP="00D72A2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1474 de 2011, artículo 90.</w:t>
            </w:r>
          </w:p>
          <w:p w14:paraId="23332431" w14:textId="77777777" w:rsidR="00D72A21" w:rsidRPr="007918BA" w:rsidRDefault="00D72A21" w:rsidP="00D72A2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1952 de 2019, artículo 42.</w:t>
            </w:r>
          </w:p>
          <w:p w14:paraId="7C002D36" w14:textId="77777777" w:rsidR="00D72A21" w:rsidRDefault="00D72A21" w:rsidP="00D72A2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7918BA">
              <w:rPr>
                <w:rFonts w:ascii="Verdana" w:hAnsi="Verdana" w:cs="Arial"/>
              </w:rPr>
              <w:t>Código Civil, artículo</w:t>
            </w:r>
            <w:r>
              <w:rPr>
                <w:rFonts w:ascii="Verdana" w:hAnsi="Verdana" w:cs="Arial"/>
              </w:rPr>
              <w:t xml:space="preserve"> 633</w:t>
            </w:r>
            <w:r w:rsidRPr="007918BA">
              <w:rPr>
                <w:rFonts w:ascii="Verdana" w:hAnsi="Verdana" w:cs="Arial"/>
              </w:rPr>
              <w:t>.</w:t>
            </w:r>
          </w:p>
          <w:p w14:paraId="2DD36069" w14:textId="77777777" w:rsidR="00D72A21" w:rsidRPr="007918BA" w:rsidRDefault="00D72A21" w:rsidP="00D72A2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Código de Comercio, artículo 98.</w:t>
            </w:r>
          </w:p>
        </w:tc>
      </w:tr>
    </w:tbl>
    <w:p w14:paraId="5B9495B3" w14:textId="77777777" w:rsidR="00D72A21" w:rsidRPr="002407CE" w:rsidRDefault="00D72A21" w:rsidP="00D72A21">
      <w:pPr>
        <w:widowControl w:val="0"/>
        <w:autoSpaceDE w:val="0"/>
        <w:autoSpaceDN w:val="0"/>
        <w:spacing w:after="0" w:line="276" w:lineRule="auto"/>
        <w:jc w:val="both"/>
        <w:rPr>
          <w:rFonts w:ascii="Verdana" w:hAnsi="Verdana" w:cs="Arial"/>
        </w:rPr>
      </w:pPr>
    </w:p>
    <w:p w14:paraId="6E3FE34B" w14:textId="77777777" w:rsidR="00D72A21" w:rsidRPr="00593A5F" w:rsidRDefault="00D72A21" w:rsidP="00D72A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3FFAA56" w14:textId="77777777" w:rsidR="00D72A21" w:rsidRPr="00593A5F" w:rsidRDefault="00D72A21" w:rsidP="00D72A21">
      <w:pPr>
        <w:widowControl w:val="0"/>
        <w:autoSpaceDE w:val="0"/>
        <w:autoSpaceDN w:val="0"/>
        <w:spacing w:after="0" w:line="276" w:lineRule="auto"/>
        <w:jc w:val="both"/>
        <w:rPr>
          <w:rFonts w:ascii="Verdana" w:hAnsi="Verdana" w:cs="Arial"/>
        </w:rPr>
      </w:pPr>
    </w:p>
    <w:p w14:paraId="223662E9" w14:textId="77777777" w:rsidR="00D72A21" w:rsidRDefault="00D72A21" w:rsidP="00D72A21">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DD781E">
        <w:rPr>
          <w:rStyle w:val="normaltextrun"/>
          <w:rFonts w:ascii="Verdana" w:hAnsi="Verdana" w:cs="Arial"/>
          <w:shd w:val="clear" w:color="auto" w:fill="FFFFFF"/>
          <w:lang w:val="es-ES"/>
        </w:rPr>
        <w:t xml:space="preserve">Esta Subdirección se ha pronunciado sobre </w:t>
      </w:r>
      <w:r>
        <w:rPr>
          <w:rStyle w:val="normaltextrun"/>
          <w:rFonts w:ascii="Verdana" w:hAnsi="Verdana" w:cs="Arial"/>
          <w:shd w:val="clear" w:color="auto" w:fill="FFFFFF"/>
          <w:lang w:val="es-ES"/>
        </w:rPr>
        <w:t>el régimen de inhabilidades</w:t>
      </w:r>
      <w:r w:rsidRPr="00916093">
        <w:rPr>
          <w:rStyle w:val="normaltextrun"/>
          <w:rFonts w:ascii="Verdana" w:hAnsi="Verdana" w:cs="Arial"/>
          <w:shd w:val="clear" w:color="auto" w:fill="FFFFFF"/>
          <w:lang w:val="es-ES"/>
        </w:rPr>
        <w:t xml:space="preserve"> en los </w:t>
      </w:r>
      <w:r>
        <w:rPr>
          <w:rStyle w:val="normaltextrun"/>
          <w:rFonts w:ascii="Verdana" w:hAnsi="Verdana" w:cs="Arial"/>
          <w:shd w:val="clear" w:color="auto" w:fill="FFFFFF"/>
          <w:lang w:val="es-ES"/>
        </w:rPr>
        <w:t>C</w:t>
      </w:r>
      <w:r w:rsidRPr="00916093">
        <w:rPr>
          <w:rStyle w:val="normaltextrun"/>
          <w:rFonts w:ascii="Verdana" w:hAnsi="Verdana" w:cs="Arial"/>
          <w:shd w:val="clear" w:color="auto" w:fill="FFFFFF"/>
          <w:lang w:val="es-ES"/>
        </w:rPr>
        <w:t>onceptos</w:t>
      </w:r>
      <w:r>
        <w:rPr>
          <w:rStyle w:val="normaltextrun"/>
          <w:rFonts w:ascii="Verdana" w:hAnsi="Verdana" w:cs="Arial"/>
          <w:shd w:val="clear" w:color="auto" w:fill="FFFFFF"/>
          <w:lang w:val="es-ES"/>
        </w:rPr>
        <w:t xml:space="preserve"> </w:t>
      </w:r>
      <w:r w:rsidRPr="005E688A">
        <w:rPr>
          <w:rStyle w:val="normaltextrun"/>
          <w:rFonts w:ascii="Verdana" w:hAnsi="Verdana" w:cs="Arial"/>
          <w:shd w:val="clear" w:color="auto" w:fill="FFFFFF"/>
          <w:lang w:val="es-ES"/>
        </w:rPr>
        <w:t>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C-090 del 24 de febrero de 2020, C-125 del 3 de marzo de 2020, C-157 del 17 de marzo de 2020, 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C-028 del 28 de febrero de 2022, C-318 del 18 de mayo de 2022, C-252 del 30 de mayo de 2022</w:t>
      </w:r>
      <w:r>
        <w:rPr>
          <w:rStyle w:val="normaltextrun"/>
          <w:rFonts w:ascii="Verdana" w:hAnsi="Verdana" w:cs="Arial"/>
          <w:shd w:val="clear" w:color="auto" w:fill="FFFFFF"/>
          <w:lang w:val="es-ES"/>
        </w:rPr>
        <w:t>,</w:t>
      </w:r>
      <w:r w:rsidRPr="005E688A">
        <w:rPr>
          <w:rStyle w:val="normaltextrun"/>
          <w:rFonts w:ascii="Verdana" w:hAnsi="Verdana" w:cs="Arial"/>
          <w:shd w:val="clear" w:color="auto" w:fill="FFFFFF"/>
          <w:lang w:val="es-ES"/>
        </w:rPr>
        <w:t xml:space="preserve"> C-175 del 4 de mayo de 2023</w:t>
      </w:r>
      <w:r>
        <w:rPr>
          <w:rStyle w:val="normaltextrun"/>
          <w:rFonts w:ascii="Verdana" w:hAnsi="Verdana" w:cs="Arial"/>
          <w:shd w:val="clear" w:color="auto" w:fill="FFFFFF"/>
          <w:lang w:val="es-ES"/>
        </w:rPr>
        <w:t>, C-234 del 5 de julio de 2023 y C-408 del 21 de agosto de 2024</w:t>
      </w:r>
      <w:r w:rsidRPr="008D0AB0">
        <w:rPr>
          <w:rStyle w:val="normaltextrun"/>
          <w:rFonts w:ascii="Verdana" w:hAnsi="Verdana" w:cs="Arial"/>
          <w:shd w:val="clear" w:color="auto" w:fill="FFFFFF"/>
        </w:rPr>
        <w:t xml:space="preserve">. Estos y otros 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B7D4AEE" w14:textId="77777777" w:rsidR="00D72A21" w:rsidRDefault="00D72A21" w:rsidP="00D72A21">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0B04E79" w14:textId="77777777" w:rsidR="00D72A21" w:rsidRPr="00A1554D" w:rsidRDefault="00D72A21" w:rsidP="00D72A21">
      <w:pPr>
        <w:widowControl w:val="0"/>
        <w:autoSpaceDE w:val="0"/>
        <w:autoSpaceDN w:val="0"/>
        <w:spacing w:after="0" w:line="276" w:lineRule="auto"/>
        <w:jc w:val="both"/>
        <w:rPr>
          <w:rStyle w:val="normaltextrun"/>
          <w:rFonts w:ascii="Verdana" w:hAnsi="Verdana" w:cs="Arial"/>
          <w:color w:val="FF0000"/>
          <w:shd w:val="clear" w:color="auto" w:fill="FFFFFF"/>
          <w:lang w:val="es-MX"/>
        </w:rPr>
      </w:pPr>
      <w:r w:rsidRPr="004D35F4">
        <w:rPr>
          <w:rStyle w:val="normaltextrun"/>
          <w:rFonts w:ascii="Verdana" w:hAnsi="Verdana" w:cs="Arial"/>
          <w:color w:val="000000" w:themeColor="text1"/>
          <w:shd w:val="clear" w:color="auto" w:fill="FFFFFF"/>
          <w:lang w:val="es-ES"/>
        </w:rPr>
        <w:t>Te invitamos a consultar las versiones V</w:t>
      </w:r>
      <w:r>
        <w:rPr>
          <w:rStyle w:val="normaltextrun"/>
          <w:rFonts w:ascii="Verdana" w:hAnsi="Verdana" w:cs="Arial"/>
          <w:color w:val="000000" w:themeColor="text1"/>
          <w:shd w:val="clear" w:color="auto" w:fill="FFFFFF"/>
          <w:lang w:val="es-ES"/>
        </w:rPr>
        <w:t>II</w:t>
      </w:r>
      <w:r w:rsidRPr="004D35F4">
        <w:rPr>
          <w:rStyle w:val="normaltextrun"/>
          <w:rFonts w:ascii="Verdana" w:hAnsi="Verdana" w:cs="Arial"/>
          <w:color w:val="000000" w:themeColor="text1"/>
          <w:shd w:val="clear" w:color="auto" w:fill="FFFFFF"/>
          <w:lang w:val="es-ES"/>
        </w:rPr>
        <w:t xml:space="preserve"> y V</w:t>
      </w:r>
      <w:r>
        <w:rPr>
          <w:rStyle w:val="normaltextrun"/>
          <w:rFonts w:ascii="Verdana" w:hAnsi="Verdana" w:cs="Arial"/>
          <w:color w:val="000000" w:themeColor="text1"/>
          <w:shd w:val="clear" w:color="auto" w:fill="FFFFFF"/>
          <w:lang w:val="es-ES"/>
        </w:rPr>
        <w:t>III</w:t>
      </w:r>
      <w:r w:rsidRPr="004D35F4">
        <w:rPr>
          <w:rStyle w:val="normaltextrun"/>
          <w:rFonts w:ascii="Verdana" w:hAnsi="Verdana" w:cs="Arial"/>
          <w:color w:val="000000" w:themeColor="text1"/>
          <w:shd w:val="clear" w:color="auto" w:fill="FFFFFF"/>
          <w:lang w:val="es-ES"/>
        </w:rPr>
        <w:t xml:space="preserve"> de 2024 del Boletín de Relatoría </w:t>
      </w:r>
      <w:r w:rsidRPr="004D35F4">
        <w:rPr>
          <w:rStyle w:val="normaltextrun"/>
          <w:rFonts w:ascii="Verdana" w:hAnsi="Verdana" w:cs="Arial"/>
          <w:color w:val="000000" w:themeColor="text1"/>
          <w:shd w:val="clear" w:color="auto" w:fill="FFFFFF"/>
          <w:lang w:val="es-ES"/>
        </w:rPr>
        <w:lastRenderedPageBreak/>
        <w:t xml:space="preserve">de la Subdirección de Gestión Contractual, los cuales se pueden descargar en la página web de la Agencia: </w:t>
      </w:r>
      <w:hyperlink r:id="rId12" w:history="1">
        <w:r w:rsidRPr="00E03876">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000000" w:themeColor="text1"/>
          <w:shd w:val="clear" w:color="auto" w:fill="FFFFFF"/>
          <w:lang w:val="es-ES"/>
        </w:rPr>
        <w:t>.</w:t>
      </w:r>
      <w:r w:rsidRPr="004D35F4">
        <w:rPr>
          <w:rStyle w:val="normaltextrun"/>
          <w:rFonts w:ascii="Verdana" w:hAnsi="Verdana" w:cs="Arial"/>
          <w:color w:val="000000" w:themeColor="text1"/>
          <w:shd w:val="clear" w:color="auto" w:fill="FFFFFF"/>
          <w:lang w:val="es-ES"/>
        </w:rPr>
        <w:t xml:space="preserve">    </w:t>
      </w: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76BF52C4" w14:textId="77777777" w:rsidR="00D72A21" w:rsidRPr="00593A5F" w:rsidRDefault="00D72A21" w:rsidP="00D72A21">
      <w:pPr>
        <w:widowControl w:val="0"/>
        <w:autoSpaceDE w:val="0"/>
        <w:autoSpaceDN w:val="0"/>
        <w:spacing w:after="0" w:line="276" w:lineRule="auto"/>
        <w:jc w:val="both"/>
        <w:rPr>
          <w:rFonts w:ascii="Verdana" w:hAnsi="Verdana" w:cs="Arial"/>
        </w:rPr>
      </w:pPr>
    </w:p>
    <w:p w14:paraId="24D72F1A" w14:textId="77777777" w:rsidR="00D72A21" w:rsidRPr="00593A5F" w:rsidRDefault="00D72A21" w:rsidP="00D72A2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E36C2B2" w14:textId="77777777" w:rsidR="00D72A21" w:rsidRPr="00593A5F" w:rsidRDefault="00D72A21" w:rsidP="00D72A21">
      <w:pPr>
        <w:widowControl w:val="0"/>
        <w:autoSpaceDE w:val="0"/>
        <w:autoSpaceDN w:val="0"/>
        <w:spacing w:after="0" w:line="276" w:lineRule="auto"/>
        <w:jc w:val="both"/>
        <w:rPr>
          <w:rFonts w:ascii="Verdana" w:hAnsi="Verdana" w:cs="Arial"/>
        </w:rPr>
      </w:pPr>
    </w:p>
    <w:p w14:paraId="45D82717" w14:textId="77777777" w:rsidR="00D72A21" w:rsidRPr="00593A5F" w:rsidRDefault="00D72A21" w:rsidP="00D72A21">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0608416" w14:textId="1DAA77C8" w:rsidR="00D72A21" w:rsidRDefault="009A469B" w:rsidP="00D72A21">
      <w:pPr>
        <w:spacing w:after="0" w:line="276" w:lineRule="auto"/>
        <w:jc w:val="center"/>
        <w:rPr>
          <w:rFonts w:ascii="Verdana" w:hAnsi="Verdana"/>
          <w:lang w:val="es-ES_tradnl"/>
        </w:rPr>
      </w:pPr>
      <w:r>
        <w:rPr>
          <w:rFonts w:ascii="Verdana" w:hAnsi="Verdana"/>
          <w:noProof/>
          <w:lang w:val="es-ES_tradnl"/>
        </w:rPr>
        <w:drawing>
          <wp:inline distT="0" distB="0" distL="0" distR="0" wp14:anchorId="2FC1F6DE" wp14:editId="189AC9D6">
            <wp:extent cx="3639058" cy="1343212"/>
            <wp:effectExtent l="0" t="0" r="0" b="0"/>
            <wp:docPr id="4142290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22905"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72A21" w:rsidRPr="00D53651" w14:paraId="725B6FFC" w14:textId="77777777" w:rsidTr="00DC606A">
        <w:trPr>
          <w:trHeight w:val="315"/>
        </w:trPr>
        <w:tc>
          <w:tcPr>
            <w:tcW w:w="893" w:type="dxa"/>
            <w:vAlign w:val="center"/>
            <w:hideMark/>
          </w:tcPr>
          <w:p w14:paraId="61B7F497" w14:textId="77777777" w:rsidR="00D72A21" w:rsidRPr="00D53651" w:rsidRDefault="00D72A21" w:rsidP="00DC606A">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692F3253" w14:textId="77777777" w:rsidR="00D72A21" w:rsidRPr="00D53651" w:rsidRDefault="00D72A21" w:rsidP="00DC606A">
            <w:pPr>
              <w:spacing w:line="276" w:lineRule="auto"/>
              <w:jc w:val="both"/>
              <w:rPr>
                <w:rFonts w:ascii="Verdana" w:hAnsi="Verdana"/>
                <w:sz w:val="16"/>
                <w:szCs w:val="16"/>
              </w:rPr>
            </w:pPr>
            <w:r>
              <w:rPr>
                <w:rFonts w:ascii="Verdana" w:hAnsi="Verdana"/>
                <w:sz w:val="16"/>
                <w:szCs w:val="16"/>
              </w:rPr>
              <w:t>Gloria Elizabeth Arango Builes</w:t>
            </w:r>
          </w:p>
          <w:p w14:paraId="52AA8274" w14:textId="77777777" w:rsidR="00D72A21" w:rsidRPr="00D53651" w:rsidRDefault="00D72A21" w:rsidP="00DC606A">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D72A21" w:rsidRPr="00D53651" w14:paraId="58A123E0" w14:textId="77777777" w:rsidTr="00DC606A">
        <w:trPr>
          <w:trHeight w:val="330"/>
        </w:trPr>
        <w:tc>
          <w:tcPr>
            <w:tcW w:w="893" w:type="dxa"/>
            <w:vAlign w:val="center"/>
            <w:hideMark/>
          </w:tcPr>
          <w:p w14:paraId="38E3FA34" w14:textId="77777777" w:rsidR="00D72A21" w:rsidRPr="00D53651" w:rsidRDefault="00D72A21" w:rsidP="00DC606A">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1D0266D9" w14:textId="77777777" w:rsidR="00D72A21" w:rsidRPr="00D53651" w:rsidRDefault="00D72A21" w:rsidP="00DC606A">
            <w:pPr>
              <w:spacing w:line="276" w:lineRule="auto"/>
              <w:jc w:val="both"/>
              <w:rPr>
                <w:rFonts w:ascii="Verdana" w:hAnsi="Verdana"/>
                <w:sz w:val="16"/>
                <w:szCs w:val="16"/>
              </w:rPr>
            </w:pPr>
            <w:r>
              <w:rPr>
                <w:rFonts w:ascii="Verdana" w:hAnsi="Verdana"/>
                <w:sz w:val="16"/>
                <w:szCs w:val="16"/>
              </w:rPr>
              <w:t>Juan Carlos González Vásquez</w:t>
            </w:r>
          </w:p>
          <w:p w14:paraId="00305107" w14:textId="77777777" w:rsidR="00D72A21" w:rsidRPr="00D53651" w:rsidRDefault="00D72A21" w:rsidP="00DC606A">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D72A21" w:rsidRPr="00D53651" w14:paraId="7C4FDAC4" w14:textId="77777777" w:rsidTr="00DC606A">
        <w:trPr>
          <w:trHeight w:val="300"/>
        </w:trPr>
        <w:tc>
          <w:tcPr>
            <w:tcW w:w="893" w:type="dxa"/>
            <w:vAlign w:val="center"/>
            <w:hideMark/>
          </w:tcPr>
          <w:p w14:paraId="38EA3A45" w14:textId="77777777" w:rsidR="00D72A21" w:rsidRPr="00D53651" w:rsidRDefault="00D72A21" w:rsidP="00DC606A">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0CCA2E87" w14:textId="77777777" w:rsidR="00D72A21" w:rsidRPr="00D53651" w:rsidRDefault="00D72A21" w:rsidP="00DC606A">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4367B321" w14:textId="77777777" w:rsidR="00D72A21" w:rsidRPr="00D53651" w:rsidRDefault="00D72A21" w:rsidP="00DC606A">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1E8892FB" w14:textId="77777777" w:rsidR="00D72A21" w:rsidRPr="000931E9" w:rsidRDefault="00D72A21" w:rsidP="00D72A21"/>
    <w:p w14:paraId="787B71BC" w14:textId="77777777" w:rsidR="00D72A21" w:rsidRPr="0044528D" w:rsidRDefault="00D72A21" w:rsidP="00D72A21">
      <w:pPr>
        <w:spacing w:after="0"/>
        <w:rPr>
          <w:rFonts w:ascii="Verdana" w:hAnsi="Verdana"/>
        </w:rPr>
      </w:pPr>
    </w:p>
    <w:p w14:paraId="32C72F3C" w14:textId="77777777" w:rsidR="00D72A21" w:rsidRPr="00FA01E0" w:rsidRDefault="00D72A21" w:rsidP="00D72A21">
      <w:pPr>
        <w:spacing w:after="0" w:line="276" w:lineRule="auto"/>
        <w:jc w:val="both"/>
        <w:rPr>
          <w:rFonts w:ascii="Verdana" w:eastAsia="Calibri" w:hAnsi="Verdana" w:cs="Arial"/>
          <w:lang w:val="es-ES"/>
        </w:rPr>
      </w:pPr>
    </w:p>
    <w:p w14:paraId="1E6BE70B" w14:textId="77777777" w:rsidR="00D72A21" w:rsidRPr="00514983" w:rsidRDefault="00D72A21" w:rsidP="00D72A21"/>
    <w:p w14:paraId="2C8B4719" w14:textId="77777777" w:rsidR="00D72A21" w:rsidRPr="00FF4E35" w:rsidRDefault="00D72A21" w:rsidP="00D72A21"/>
    <w:p w14:paraId="0F293BF4" w14:textId="7BA578A0" w:rsidR="00127233" w:rsidRPr="00D72A21" w:rsidRDefault="00127233" w:rsidP="00D72A21"/>
    <w:sectPr w:rsidR="00127233" w:rsidRPr="00D72A2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56E2E" w14:textId="77777777" w:rsidR="0008537A" w:rsidRDefault="0008537A" w:rsidP="004A1847">
      <w:pPr>
        <w:spacing w:after="0" w:line="240" w:lineRule="auto"/>
      </w:pPr>
      <w:r>
        <w:separator/>
      </w:r>
    </w:p>
  </w:endnote>
  <w:endnote w:type="continuationSeparator" w:id="0">
    <w:p w14:paraId="1B13EC1B" w14:textId="77777777" w:rsidR="0008537A" w:rsidRDefault="0008537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8945F" w14:textId="77777777" w:rsidR="0008537A" w:rsidRDefault="0008537A" w:rsidP="004A1847">
      <w:pPr>
        <w:spacing w:after="0" w:line="240" w:lineRule="auto"/>
      </w:pPr>
      <w:r>
        <w:separator/>
      </w:r>
    </w:p>
  </w:footnote>
  <w:footnote w:type="continuationSeparator" w:id="0">
    <w:p w14:paraId="2B2A6CB6" w14:textId="77777777" w:rsidR="0008537A" w:rsidRDefault="0008537A" w:rsidP="004A1847">
      <w:pPr>
        <w:spacing w:after="0" w:line="240" w:lineRule="auto"/>
      </w:pPr>
      <w:r>
        <w:continuationSeparator/>
      </w:r>
    </w:p>
  </w:footnote>
  <w:footnote w:id="1">
    <w:p w14:paraId="118E1110" w14:textId="77777777" w:rsidR="00D72A21" w:rsidRPr="00B03307" w:rsidRDefault="00D72A21" w:rsidP="00D72A21">
      <w:pPr>
        <w:pStyle w:val="Textonotapie"/>
        <w:ind w:firstLine="708"/>
        <w:jc w:val="both"/>
        <w:rPr>
          <w:rFonts w:ascii="Century Gothic" w:hAnsi="Century Gothic" w:cs="Arial"/>
          <w:color w:val="000000" w:themeColor="text1"/>
          <w:sz w:val="16"/>
          <w:szCs w:val="16"/>
        </w:rPr>
      </w:pPr>
      <w:r w:rsidRPr="00B03307">
        <w:rPr>
          <w:rStyle w:val="Refdenotaalpie"/>
          <w:rFonts w:ascii="Century Gothic" w:hAnsi="Century Gothic" w:cs="Arial"/>
          <w:color w:val="000000" w:themeColor="text1"/>
          <w:sz w:val="16"/>
          <w:szCs w:val="16"/>
        </w:rPr>
        <w:footnoteRef/>
      </w:r>
      <w:r w:rsidRPr="00B03307">
        <w:rPr>
          <w:rFonts w:ascii="Century Gothic" w:hAnsi="Century Gothic" w:cs="Arial"/>
          <w:color w:val="000000" w:themeColor="text1"/>
          <w:sz w:val="16"/>
          <w:szCs w:val="16"/>
        </w:rPr>
        <w:t xml:space="preserve"> CONSEJO DE ESTADO. Sección Tercera, Subsección A. Sentencia del 13 de noviembre de 2013. Rad. 25.646.C.P. Mauricio Fajardo Gómez. </w:t>
      </w:r>
    </w:p>
  </w:footnote>
  <w:footnote w:id="2">
    <w:p w14:paraId="12315667" w14:textId="77777777" w:rsidR="00D72A21" w:rsidRDefault="00D72A21" w:rsidP="00D72A21">
      <w:pPr>
        <w:pStyle w:val="Textonotapie"/>
        <w:ind w:firstLine="708"/>
        <w:jc w:val="both"/>
        <w:rPr>
          <w:rFonts w:ascii="Verdana" w:hAnsi="Verdana"/>
          <w:sz w:val="16"/>
          <w:szCs w:val="16"/>
        </w:rPr>
      </w:pPr>
      <w:r w:rsidRPr="001664CE">
        <w:rPr>
          <w:rStyle w:val="Refdenotaalpie"/>
          <w:rFonts w:ascii="Verdana" w:hAnsi="Verdana"/>
          <w:sz w:val="16"/>
          <w:szCs w:val="16"/>
        </w:rPr>
        <w:footnoteRef/>
      </w:r>
      <w:r w:rsidRPr="001664CE">
        <w:rPr>
          <w:rFonts w:ascii="Verdana" w:hAnsi="Verdana"/>
          <w:sz w:val="16"/>
          <w:szCs w:val="16"/>
        </w:rPr>
        <w:t xml:space="preserve"> </w:t>
      </w:r>
      <w:r>
        <w:rPr>
          <w:rFonts w:ascii="Verdana" w:hAnsi="Verdana"/>
          <w:sz w:val="16"/>
          <w:szCs w:val="16"/>
        </w:rPr>
        <w:t>Por ejemplo</w:t>
      </w:r>
      <w:r w:rsidRPr="001664CE">
        <w:rPr>
          <w:rFonts w:ascii="Verdana" w:hAnsi="Verdana"/>
          <w:sz w:val="16"/>
          <w:szCs w:val="16"/>
        </w:rPr>
        <w:t>,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Pr>
          <w:rFonts w:ascii="Verdana" w:hAnsi="Verdana"/>
          <w:sz w:val="16"/>
          <w:szCs w:val="16"/>
        </w:rPr>
        <w:t xml:space="preserve"> (Cfr. </w:t>
      </w:r>
      <w:r w:rsidRPr="001664CE">
        <w:rPr>
          <w:rFonts w:ascii="Verdana" w:hAnsi="Verdana"/>
          <w:sz w:val="16"/>
          <w:szCs w:val="16"/>
        </w:rPr>
        <w:t>CORTE CONSTITUCIONAL. Sentencia T-1039 de 2006. M.P. Humberto Sierra Porto. La Corte Constitucional ha mantenido este criterio en las sentencias: C-903 de 2008. M.P. Jaime Araujo Rentería; C-101 de 2018. M.P. Gloria Stella Ortiz Delgado; entre otras</w:t>
      </w:r>
      <w:r>
        <w:rPr>
          <w:rFonts w:ascii="Verdana" w:hAnsi="Verdana"/>
          <w:sz w:val="16"/>
          <w:szCs w:val="16"/>
        </w:rPr>
        <w:t>)</w:t>
      </w:r>
      <w:r w:rsidRPr="001664CE">
        <w:rPr>
          <w:rFonts w:ascii="Verdana" w:hAnsi="Verdana"/>
          <w:sz w:val="16"/>
          <w:szCs w:val="16"/>
        </w:rPr>
        <w:t>.</w:t>
      </w:r>
      <w:r>
        <w:rPr>
          <w:rFonts w:ascii="Verdana" w:hAnsi="Verdana"/>
          <w:sz w:val="16"/>
          <w:szCs w:val="16"/>
        </w:rPr>
        <w:t xml:space="preserve"> </w:t>
      </w:r>
    </w:p>
    <w:p w14:paraId="09CC5AC1" w14:textId="77777777" w:rsidR="00D72A21" w:rsidRPr="001664CE" w:rsidRDefault="00D72A21" w:rsidP="00D72A21">
      <w:pPr>
        <w:pStyle w:val="Textonotapie"/>
        <w:ind w:firstLine="708"/>
        <w:jc w:val="both"/>
        <w:rPr>
          <w:rFonts w:ascii="Verdana" w:hAnsi="Verdana"/>
          <w:sz w:val="16"/>
          <w:szCs w:val="16"/>
          <w:lang w:val="es-CO"/>
        </w:rPr>
      </w:pPr>
      <w:r w:rsidRPr="001664CE">
        <w:rPr>
          <w:rFonts w:ascii="Verdana" w:hAnsi="Verdana"/>
          <w:sz w:val="16"/>
          <w:szCs w:val="16"/>
        </w:rPr>
        <w:t xml:space="preserve">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w:t>
      </w:r>
      <w:r>
        <w:rPr>
          <w:rFonts w:ascii="Verdana" w:hAnsi="Verdana"/>
          <w:sz w:val="16"/>
          <w:szCs w:val="16"/>
        </w:rPr>
        <w:t>‘</w:t>
      </w:r>
      <w:r w:rsidRPr="001664CE">
        <w:rPr>
          <w:rFonts w:ascii="Verdana" w:hAnsi="Verdana"/>
          <w:sz w:val="16"/>
          <w:szCs w:val="16"/>
        </w:rPr>
        <w:t>Los particulares sólo son responsables ante las autoridades por infringir la Constitución y las leyes</w:t>
      </w:r>
      <w:r>
        <w:rPr>
          <w:rFonts w:ascii="Verdana" w:hAnsi="Verdana"/>
          <w:sz w:val="16"/>
          <w:szCs w:val="16"/>
        </w:rPr>
        <w:t>’</w:t>
      </w:r>
      <w:r w:rsidRPr="001664CE">
        <w:rPr>
          <w:rFonts w:ascii="Verdana" w:hAnsi="Verdana"/>
          <w:sz w:val="16"/>
          <w:szCs w:val="16"/>
        </w:rPr>
        <w:t xml:space="preserve"> lo que se traduce en que pueden hacer todo aquello que no les esté expresamente prohibido”</w:t>
      </w:r>
      <w:r>
        <w:rPr>
          <w:rFonts w:ascii="Verdana" w:hAnsi="Verdana"/>
          <w:sz w:val="16"/>
          <w:szCs w:val="16"/>
        </w:rPr>
        <w:t xml:space="preserve"> (Cfr. </w:t>
      </w:r>
      <w:r w:rsidRPr="001664CE">
        <w:rPr>
          <w:rFonts w:ascii="Verdana" w:hAnsi="Verdana"/>
          <w:sz w:val="16"/>
          <w:szCs w:val="16"/>
        </w:rPr>
        <w:t>CONSEJO DE ESTADO. Sala de Consulta y Servicio Civil. Concepto del 30 de abril de 2015. Exp. 2251. C.P. Álvaro Namén Vargas.</w:t>
      </w:r>
      <w:r>
        <w:rPr>
          <w:rFonts w:ascii="Verdana" w:hAnsi="Verdana"/>
          <w:sz w:val="16"/>
          <w:szCs w:val="16"/>
        </w:rPr>
        <w:t xml:space="preserve"> En un sentido similar, </w:t>
      </w:r>
      <w:r w:rsidRPr="001664CE">
        <w:rPr>
          <w:rFonts w:ascii="Verdana" w:hAnsi="Verdana"/>
          <w:sz w:val="16"/>
          <w:szCs w:val="16"/>
        </w:rPr>
        <w:t>Sección Tercera. Subsección A. Sentencia del 24 de junio de 2015. Exp. 40.635. C.P. Hernán Andrade Rincón (E)</w:t>
      </w:r>
      <w:r>
        <w:rPr>
          <w:rFonts w:ascii="Verdana" w:hAnsi="Verdana"/>
          <w:sz w:val="16"/>
          <w:szCs w:val="16"/>
        </w:rPr>
        <w:t xml:space="preserve"> y </w:t>
      </w:r>
      <w:r w:rsidRPr="001664CE">
        <w:rPr>
          <w:rFonts w:ascii="Verdana" w:hAnsi="Verdana"/>
          <w:sz w:val="16"/>
          <w:szCs w:val="16"/>
        </w:rPr>
        <w:t>Sección Tercera. Subsección C. Sentencia del 22 de mayo de 2013. Rad. 24.057. C.P. Olga Mélida Valle De De La Hoz</w:t>
      </w:r>
      <w:r>
        <w:rPr>
          <w:rFonts w:ascii="Verdana" w:hAnsi="Verdana"/>
          <w:sz w:val="16"/>
          <w:szCs w:val="16"/>
        </w:rPr>
        <w:t>)</w:t>
      </w:r>
      <w:r w:rsidRPr="001664CE">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952"/>
    <w:rsid w:val="00046945"/>
    <w:rsid w:val="00061B2A"/>
    <w:rsid w:val="00082362"/>
    <w:rsid w:val="0008537A"/>
    <w:rsid w:val="000A3AE1"/>
    <w:rsid w:val="000A683E"/>
    <w:rsid w:val="000B19B9"/>
    <w:rsid w:val="000B3687"/>
    <w:rsid w:val="000D0334"/>
    <w:rsid w:val="000D5DA7"/>
    <w:rsid w:val="000F6486"/>
    <w:rsid w:val="00112FE4"/>
    <w:rsid w:val="00116940"/>
    <w:rsid w:val="001229E4"/>
    <w:rsid w:val="00125105"/>
    <w:rsid w:val="00127233"/>
    <w:rsid w:val="0015699B"/>
    <w:rsid w:val="00162FED"/>
    <w:rsid w:val="001A33BF"/>
    <w:rsid w:val="001C4E94"/>
    <w:rsid w:val="001D49D0"/>
    <w:rsid w:val="001E4177"/>
    <w:rsid w:val="001E678F"/>
    <w:rsid w:val="001F0B24"/>
    <w:rsid w:val="001F7DC6"/>
    <w:rsid w:val="0022400B"/>
    <w:rsid w:val="002421BB"/>
    <w:rsid w:val="0025796E"/>
    <w:rsid w:val="002707A2"/>
    <w:rsid w:val="002951A0"/>
    <w:rsid w:val="002962BC"/>
    <w:rsid w:val="002A093D"/>
    <w:rsid w:val="002A0DD0"/>
    <w:rsid w:val="002A49AC"/>
    <w:rsid w:val="002A64FD"/>
    <w:rsid w:val="002C1DA9"/>
    <w:rsid w:val="002C7A84"/>
    <w:rsid w:val="002E2BF8"/>
    <w:rsid w:val="002E4FD9"/>
    <w:rsid w:val="002F32DF"/>
    <w:rsid w:val="0030657A"/>
    <w:rsid w:val="00322A85"/>
    <w:rsid w:val="00324168"/>
    <w:rsid w:val="00330834"/>
    <w:rsid w:val="003448F4"/>
    <w:rsid w:val="00374F5E"/>
    <w:rsid w:val="00377E3E"/>
    <w:rsid w:val="00382E21"/>
    <w:rsid w:val="003A779E"/>
    <w:rsid w:val="003D0F4D"/>
    <w:rsid w:val="003D1AB6"/>
    <w:rsid w:val="003D5B0D"/>
    <w:rsid w:val="003E0499"/>
    <w:rsid w:val="003E4F80"/>
    <w:rsid w:val="003E6439"/>
    <w:rsid w:val="003F3941"/>
    <w:rsid w:val="00406575"/>
    <w:rsid w:val="00414C74"/>
    <w:rsid w:val="0042722E"/>
    <w:rsid w:val="00430288"/>
    <w:rsid w:val="0044528D"/>
    <w:rsid w:val="00466E39"/>
    <w:rsid w:val="00493D66"/>
    <w:rsid w:val="004A1847"/>
    <w:rsid w:val="004A305D"/>
    <w:rsid w:val="004F21C4"/>
    <w:rsid w:val="004F685F"/>
    <w:rsid w:val="004F7740"/>
    <w:rsid w:val="005051E2"/>
    <w:rsid w:val="00526566"/>
    <w:rsid w:val="00541812"/>
    <w:rsid w:val="005566E8"/>
    <w:rsid w:val="00574867"/>
    <w:rsid w:val="00591460"/>
    <w:rsid w:val="005A65E0"/>
    <w:rsid w:val="005C3777"/>
    <w:rsid w:val="005C5CDC"/>
    <w:rsid w:val="005D476C"/>
    <w:rsid w:val="006200BF"/>
    <w:rsid w:val="006219F8"/>
    <w:rsid w:val="006302F7"/>
    <w:rsid w:val="00646B9F"/>
    <w:rsid w:val="00647BB8"/>
    <w:rsid w:val="00665D70"/>
    <w:rsid w:val="006900D9"/>
    <w:rsid w:val="00706C16"/>
    <w:rsid w:val="007340C3"/>
    <w:rsid w:val="0075235A"/>
    <w:rsid w:val="00756841"/>
    <w:rsid w:val="007649AB"/>
    <w:rsid w:val="00771D0C"/>
    <w:rsid w:val="007833AC"/>
    <w:rsid w:val="00793562"/>
    <w:rsid w:val="007B268C"/>
    <w:rsid w:val="007B7171"/>
    <w:rsid w:val="007C0C0F"/>
    <w:rsid w:val="007C3DC2"/>
    <w:rsid w:val="007E5497"/>
    <w:rsid w:val="00806F5F"/>
    <w:rsid w:val="00820278"/>
    <w:rsid w:val="008258C9"/>
    <w:rsid w:val="00844AE9"/>
    <w:rsid w:val="00867F95"/>
    <w:rsid w:val="008843A1"/>
    <w:rsid w:val="008843B6"/>
    <w:rsid w:val="00891928"/>
    <w:rsid w:val="008A446D"/>
    <w:rsid w:val="008B25F1"/>
    <w:rsid w:val="008D180B"/>
    <w:rsid w:val="008E6D2A"/>
    <w:rsid w:val="008F0EA7"/>
    <w:rsid w:val="00921775"/>
    <w:rsid w:val="00923EEF"/>
    <w:rsid w:val="009419F9"/>
    <w:rsid w:val="0095685E"/>
    <w:rsid w:val="00961B09"/>
    <w:rsid w:val="00965334"/>
    <w:rsid w:val="0097093E"/>
    <w:rsid w:val="009A0DFA"/>
    <w:rsid w:val="009A1C6F"/>
    <w:rsid w:val="009A469B"/>
    <w:rsid w:val="009B0760"/>
    <w:rsid w:val="009B2D26"/>
    <w:rsid w:val="009C71FA"/>
    <w:rsid w:val="009C72E7"/>
    <w:rsid w:val="009C7F7E"/>
    <w:rsid w:val="009D3058"/>
    <w:rsid w:val="009F3A13"/>
    <w:rsid w:val="00A02212"/>
    <w:rsid w:val="00A122D3"/>
    <w:rsid w:val="00A14468"/>
    <w:rsid w:val="00A17F13"/>
    <w:rsid w:val="00A20739"/>
    <w:rsid w:val="00A23AF9"/>
    <w:rsid w:val="00A33C78"/>
    <w:rsid w:val="00AB0ADB"/>
    <w:rsid w:val="00AB24AB"/>
    <w:rsid w:val="00AB504F"/>
    <w:rsid w:val="00B00C0E"/>
    <w:rsid w:val="00B01B1A"/>
    <w:rsid w:val="00B0381D"/>
    <w:rsid w:val="00B36665"/>
    <w:rsid w:val="00B44A47"/>
    <w:rsid w:val="00B72CD3"/>
    <w:rsid w:val="00B72FFF"/>
    <w:rsid w:val="00BC3D36"/>
    <w:rsid w:val="00BD54A6"/>
    <w:rsid w:val="00BD7F72"/>
    <w:rsid w:val="00BF7425"/>
    <w:rsid w:val="00C04FB3"/>
    <w:rsid w:val="00C11D8B"/>
    <w:rsid w:val="00C15139"/>
    <w:rsid w:val="00C252FA"/>
    <w:rsid w:val="00C330EB"/>
    <w:rsid w:val="00C50D69"/>
    <w:rsid w:val="00C5365C"/>
    <w:rsid w:val="00C754BE"/>
    <w:rsid w:val="00C76B1C"/>
    <w:rsid w:val="00C925AC"/>
    <w:rsid w:val="00CA52C3"/>
    <w:rsid w:val="00CB618E"/>
    <w:rsid w:val="00CB6357"/>
    <w:rsid w:val="00CC1B26"/>
    <w:rsid w:val="00CE31C9"/>
    <w:rsid w:val="00D12BB3"/>
    <w:rsid w:val="00D361FD"/>
    <w:rsid w:val="00D423A2"/>
    <w:rsid w:val="00D44E26"/>
    <w:rsid w:val="00D520D8"/>
    <w:rsid w:val="00D63AC2"/>
    <w:rsid w:val="00D72A21"/>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51B1"/>
    <w:rsid w:val="00EE1AA8"/>
    <w:rsid w:val="00EE55BF"/>
    <w:rsid w:val="00F23FEA"/>
    <w:rsid w:val="00F26409"/>
    <w:rsid w:val="00F31EDC"/>
    <w:rsid w:val="00F462B3"/>
    <w:rsid w:val="00F5664F"/>
    <w:rsid w:val="00F666C4"/>
    <w:rsid w:val="00F76AFC"/>
    <w:rsid w:val="00F94E88"/>
    <w:rsid w:val="00F96811"/>
    <w:rsid w:val="00FA47C0"/>
    <w:rsid w:val="00FB5DD1"/>
    <w:rsid w:val="00FC2B5D"/>
    <w:rsid w:val="00FF1449"/>
    <w:rsid w:val="00FF7963"/>
    <w:rsid w:val="02FD97EA"/>
    <w:rsid w:val="071B8F93"/>
    <w:rsid w:val="09908A09"/>
    <w:rsid w:val="0FF4CCA8"/>
    <w:rsid w:val="13CFC91B"/>
    <w:rsid w:val="19A2EC2C"/>
    <w:rsid w:val="2859CA1B"/>
    <w:rsid w:val="297A0500"/>
    <w:rsid w:val="2C4D5D22"/>
    <w:rsid w:val="2E61FD2A"/>
    <w:rsid w:val="30232E32"/>
    <w:rsid w:val="30DDE02F"/>
    <w:rsid w:val="32A4F9CF"/>
    <w:rsid w:val="356CEDFD"/>
    <w:rsid w:val="3AA8974C"/>
    <w:rsid w:val="3F8C11BA"/>
    <w:rsid w:val="434B1F86"/>
    <w:rsid w:val="5F55A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9681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96811"/>
    <w:rPr>
      <w:rFonts w:ascii="Geomanist Light" w:hAnsi="Geomanist Light"/>
      <w:lang w:val="es-ES"/>
    </w:rPr>
  </w:style>
  <w:style w:type="character" w:customStyle="1" w:styleId="NormalWebCar">
    <w:name w:val="Normal (Web) Car"/>
    <w:link w:val="NormalWeb"/>
    <w:uiPriority w:val="99"/>
    <w:locked/>
    <w:rsid w:val="00F96811"/>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F96811"/>
    <w:pPr>
      <w:spacing w:after="0" w:line="240" w:lineRule="auto"/>
    </w:pPr>
    <w:rPr>
      <w:sz w:val="24"/>
      <w:lang w:val="es-MX"/>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67928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59179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77745019">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72442862">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ala-de-prensa/boletin-digita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1159BE-ED03-49B6-9C63-F4E8E641F6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14</Pages>
  <Words>4626</Words>
  <Characters>25582</Characters>
  <Application>Microsoft Office Word</Application>
  <DocSecurity>0</DocSecurity>
  <Lines>511</Lines>
  <Paragraphs>99</Paragraphs>
  <ScaleCrop>false</ScaleCrop>
  <Company/>
  <LinksUpToDate>false</LinksUpToDate>
  <CharactersWithSpaces>30109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2025-12-31T01:06:00Z</dcterms:created>
  <dcterms:modified xsi:type="dcterms:W3CDTF">2025-12-31T15:05:00Z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