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1610D4" w14:textId="77777777" w:rsidR="00A90B10" w:rsidRPr="00647611" w:rsidRDefault="00A90B10" w:rsidP="00A90B10">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379049FE" w14:textId="77777777" w:rsidR="00A90B10" w:rsidRPr="00647611" w:rsidRDefault="00A90B10" w:rsidP="00A90B10">
      <w:pPr>
        <w:spacing w:after="0" w:line="240" w:lineRule="auto"/>
        <w:jc w:val="both"/>
        <w:rPr>
          <w:rFonts w:ascii="Verdana" w:hAnsi="Verdana" w:cs="Arial"/>
          <w:b/>
          <w:sz w:val="20"/>
          <w:szCs w:val="20"/>
          <w:lang w:val="es-MX" w:eastAsia="es-ES_tradnl"/>
        </w:rPr>
      </w:pPr>
    </w:p>
    <w:p w14:paraId="357358DC" w14:textId="77777777" w:rsidR="00A90B10" w:rsidRPr="00647611" w:rsidRDefault="00A90B10" w:rsidP="00A90B10">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2524C39E" w14:textId="77777777" w:rsidR="00A90B10" w:rsidRPr="00647611" w:rsidRDefault="00A90B10" w:rsidP="00A90B10">
      <w:pPr>
        <w:spacing w:after="0" w:line="240" w:lineRule="auto"/>
        <w:jc w:val="both"/>
        <w:rPr>
          <w:rFonts w:ascii="Verdana" w:hAnsi="Verdana" w:cs="Arial"/>
          <w:b/>
          <w:sz w:val="20"/>
          <w:szCs w:val="20"/>
          <w:lang w:val="es-MX" w:eastAsia="es-ES_tradnl"/>
        </w:rPr>
      </w:pPr>
    </w:p>
    <w:p w14:paraId="0E715A1F" w14:textId="77777777" w:rsidR="00A90B10" w:rsidRPr="00647611" w:rsidRDefault="00A90B10" w:rsidP="00A90B10">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w:t>
      </w:r>
      <w:r>
        <w:rPr>
          <w:rFonts w:ascii="Verdana" w:hAnsi="Verdana" w:cs="Arial"/>
          <w:b/>
          <w:lang w:val="es-MX" w:eastAsia="es-ES_tradnl"/>
        </w:rPr>
        <w:t>C</w:t>
      </w:r>
      <w:r w:rsidRPr="00647611">
        <w:rPr>
          <w:rFonts w:ascii="Verdana" w:hAnsi="Verdana" w:cs="Arial"/>
          <w:b/>
          <w:lang w:val="es-MX" w:eastAsia="es-ES_tradnl"/>
        </w:rPr>
        <w:t>elebración</w:t>
      </w:r>
      <w:r>
        <w:rPr>
          <w:rFonts w:ascii="Verdana" w:hAnsi="Verdana" w:cs="Arial"/>
          <w:b/>
          <w:lang w:val="es-MX" w:eastAsia="es-ES_tradnl"/>
        </w:rPr>
        <w:t xml:space="preserve"> –</w:t>
      </w:r>
      <w:r w:rsidRPr="00647611">
        <w:rPr>
          <w:rFonts w:ascii="Verdana" w:hAnsi="Verdana" w:cs="Arial"/>
          <w:b/>
          <w:lang w:val="es-MX" w:eastAsia="es-ES_tradnl"/>
        </w:rPr>
        <w:t xml:space="preserve"> </w:t>
      </w:r>
      <w:r>
        <w:rPr>
          <w:rFonts w:ascii="Verdana" w:hAnsi="Verdana" w:cs="Arial"/>
          <w:b/>
          <w:lang w:val="es-MX" w:eastAsia="es-ES_tradnl"/>
        </w:rPr>
        <w:t>L</w:t>
      </w:r>
      <w:r w:rsidRPr="00647611">
        <w:rPr>
          <w:rFonts w:ascii="Verdana" w:hAnsi="Verdana" w:cs="Arial"/>
          <w:b/>
          <w:lang w:val="es-MX" w:eastAsia="es-ES_tradnl"/>
        </w:rPr>
        <w:t>ímite</w:t>
      </w:r>
    </w:p>
    <w:p w14:paraId="2D9B02F2" w14:textId="77777777" w:rsidR="00A90B10" w:rsidRPr="00647611" w:rsidRDefault="00A90B10" w:rsidP="00A90B10">
      <w:pPr>
        <w:spacing w:after="0" w:line="240" w:lineRule="auto"/>
        <w:jc w:val="both"/>
        <w:rPr>
          <w:rFonts w:ascii="Verdana" w:hAnsi="Verdana" w:cs="Arial"/>
          <w:b/>
          <w:sz w:val="20"/>
          <w:szCs w:val="20"/>
          <w:lang w:val="es-MX" w:eastAsia="es-ES_tradnl"/>
        </w:rPr>
      </w:pPr>
    </w:p>
    <w:p w14:paraId="2ECCD3C9" w14:textId="77777777" w:rsidR="00A90B10" w:rsidRPr="00647611" w:rsidRDefault="00A90B10" w:rsidP="00A90B10">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2E57FA5" w14:textId="77777777" w:rsidR="00A90B10" w:rsidRPr="00647611" w:rsidRDefault="00A90B10" w:rsidP="00A90B10">
      <w:pPr>
        <w:spacing w:after="0" w:line="240" w:lineRule="auto"/>
        <w:jc w:val="both"/>
        <w:rPr>
          <w:rFonts w:ascii="Verdana" w:eastAsia="Calibri" w:hAnsi="Verdana" w:cs="Arial"/>
          <w:sz w:val="20"/>
          <w:szCs w:val="20"/>
        </w:rPr>
      </w:pPr>
    </w:p>
    <w:p w14:paraId="395E8434" w14:textId="77777777" w:rsidR="00A90B10" w:rsidRPr="00647611" w:rsidRDefault="00A90B10" w:rsidP="00A90B10">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7A029F9F" w14:textId="77777777" w:rsidR="00A90B10" w:rsidRPr="00647611" w:rsidRDefault="00A90B10" w:rsidP="00A90B10">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51B29AB6" w14:textId="77777777" w:rsidR="00A90B10" w:rsidRPr="00647611" w:rsidRDefault="00A90B10" w:rsidP="00A90B10">
      <w:pPr>
        <w:spacing w:after="0" w:line="240" w:lineRule="auto"/>
        <w:jc w:val="both"/>
        <w:rPr>
          <w:rFonts w:ascii="Verdana" w:eastAsia="Times New Roman" w:hAnsi="Verdana" w:cs="Arial"/>
          <w:bCs/>
          <w:sz w:val="20"/>
          <w:szCs w:val="20"/>
          <w:lang w:val="es-ES" w:eastAsia="es-CO"/>
        </w:rPr>
      </w:pPr>
      <w:r w:rsidRPr="00647611">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7611">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647611">
        <w:rPr>
          <w:rFonts w:ascii="Verdana" w:eastAsia="Times New Roman" w:hAnsi="Verdana" w:cs="Arial"/>
          <w:bCs/>
          <w:i/>
          <w:sz w:val="20"/>
          <w:szCs w:val="20"/>
          <w:lang w:val="es-ES" w:eastAsia="es-CO"/>
        </w:rPr>
        <w:t>ibídem</w:t>
      </w:r>
      <w:proofErr w:type="spellEnd"/>
      <w:r w:rsidRPr="00647611">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BE60D03" w14:textId="77777777" w:rsidR="00A90B10" w:rsidRPr="00647611" w:rsidRDefault="00A90B10" w:rsidP="00A90B10">
      <w:pPr>
        <w:spacing w:after="0" w:line="240" w:lineRule="auto"/>
        <w:jc w:val="both"/>
        <w:rPr>
          <w:rFonts w:ascii="Verdana" w:hAnsi="Verdana" w:cs="Arial"/>
          <w:b/>
          <w:sz w:val="20"/>
          <w:szCs w:val="20"/>
          <w:lang w:val="es-MX" w:eastAsia="es-ES_tradnl"/>
        </w:rPr>
      </w:pPr>
    </w:p>
    <w:p w14:paraId="538DFE36" w14:textId="77777777" w:rsidR="00A90B10" w:rsidRPr="00647611" w:rsidRDefault="00A90B10" w:rsidP="00A90B10">
      <w:pPr>
        <w:spacing w:after="0" w:line="240" w:lineRule="auto"/>
        <w:jc w:val="both"/>
        <w:rPr>
          <w:rFonts w:ascii="Verdana" w:hAnsi="Verdana" w:cs="Arial"/>
          <w:b/>
          <w:lang w:val="es-MX" w:eastAsia="es-ES_tradnl"/>
        </w:rPr>
      </w:pPr>
      <w:r w:rsidRPr="00647611">
        <w:rPr>
          <w:rFonts w:ascii="Verdana" w:hAnsi="Verdana" w:cs="Arial"/>
          <w:b/>
          <w:lang w:val="es-MX" w:eastAsia="es-ES_tradnl"/>
        </w:rPr>
        <w:lastRenderedPageBreak/>
        <w:t xml:space="preserve">LEY DE GARANTÍAS ELECTORALES – Prohibición artículo 33 – Contratación directa – Alcance </w:t>
      </w:r>
    </w:p>
    <w:p w14:paraId="095E3A75" w14:textId="77777777" w:rsidR="00A90B10" w:rsidRPr="00647611" w:rsidRDefault="00A90B10" w:rsidP="00A90B10">
      <w:pPr>
        <w:spacing w:after="0" w:line="240" w:lineRule="auto"/>
        <w:jc w:val="both"/>
        <w:rPr>
          <w:rFonts w:ascii="Verdana" w:hAnsi="Verdana" w:cs="Arial"/>
          <w:b/>
          <w:sz w:val="20"/>
          <w:szCs w:val="20"/>
          <w:lang w:val="es-MX" w:eastAsia="es-ES_tradnl"/>
        </w:rPr>
      </w:pPr>
    </w:p>
    <w:p w14:paraId="7EF55000" w14:textId="77777777" w:rsidR="00A90B10" w:rsidRPr="00647611" w:rsidRDefault="00A90B10" w:rsidP="00A90B10">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240B045E" w14:textId="77777777" w:rsidR="00A90B10" w:rsidRPr="00647611" w:rsidRDefault="00A90B10" w:rsidP="00A90B10">
      <w:pPr>
        <w:spacing w:after="0" w:line="240" w:lineRule="auto"/>
        <w:jc w:val="both"/>
        <w:rPr>
          <w:rFonts w:ascii="Verdana" w:hAnsi="Verdana" w:cs="Arial"/>
          <w:b/>
          <w:sz w:val="20"/>
          <w:szCs w:val="20"/>
          <w:lang w:eastAsia="es-ES_tradnl"/>
        </w:rPr>
      </w:pPr>
    </w:p>
    <w:p w14:paraId="55B34112" w14:textId="77777777" w:rsidR="00A90B10" w:rsidRPr="00647611" w:rsidRDefault="00A90B10" w:rsidP="00A90B10">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58D42ED9" w14:textId="77777777" w:rsidR="00A90B10" w:rsidRPr="00647611" w:rsidRDefault="00A90B10" w:rsidP="00A90B10">
      <w:pPr>
        <w:spacing w:after="0" w:line="240" w:lineRule="auto"/>
        <w:jc w:val="both"/>
        <w:rPr>
          <w:rFonts w:ascii="Verdana" w:hAnsi="Verdana" w:cs="Arial"/>
          <w:b/>
          <w:sz w:val="20"/>
          <w:szCs w:val="20"/>
          <w:lang w:val="es-MX" w:eastAsia="es-ES_tradnl"/>
        </w:rPr>
      </w:pPr>
    </w:p>
    <w:p w14:paraId="5F161678" w14:textId="77777777" w:rsidR="00A90B10" w:rsidRPr="00647611" w:rsidRDefault="00A90B10" w:rsidP="00A90B10">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D68D90D" w14:textId="77777777" w:rsidR="00A90B10" w:rsidRPr="00647611" w:rsidRDefault="00A90B10" w:rsidP="00A90B10">
      <w:pPr>
        <w:spacing w:after="0" w:line="240" w:lineRule="auto"/>
        <w:jc w:val="both"/>
        <w:rPr>
          <w:rFonts w:ascii="Verdana" w:hAnsi="Verdana" w:cs="Arial"/>
          <w:b/>
          <w:sz w:val="20"/>
          <w:szCs w:val="20"/>
          <w:lang w:val="es-MX" w:eastAsia="es-ES_tradnl"/>
        </w:rPr>
      </w:pPr>
    </w:p>
    <w:p w14:paraId="6A5BB14B" w14:textId="77777777" w:rsidR="00A90B10" w:rsidRPr="00647611" w:rsidRDefault="00A90B10" w:rsidP="00A90B10">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5AAD87E6" w14:textId="77777777" w:rsidR="00A90B10" w:rsidRPr="00647611" w:rsidRDefault="00A90B10" w:rsidP="00A90B10">
      <w:pPr>
        <w:spacing w:after="0" w:line="240" w:lineRule="auto"/>
        <w:rPr>
          <w:rFonts w:ascii="Verdana" w:hAnsi="Verdana" w:cs="Arial"/>
          <w:sz w:val="20"/>
          <w:szCs w:val="20"/>
          <w:lang w:val="es-MX" w:eastAsia="es-ES_tradnl"/>
        </w:rPr>
      </w:pPr>
    </w:p>
    <w:p w14:paraId="4E4373D9" w14:textId="77777777" w:rsidR="00A90B10" w:rsidRPr="00647611" w:rsidRDefault="00A90B10" w:rsidP="00A90B10">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0CC017E3" w14:textId="77777777" w:rsidR="00A90B10" w:rsidRPr="00647611" w:rsidRDefault="00A90B10" w:rsidP="00A90B10">
      <w:pPr>
        <w:spacing w:after="0" w:line="240" w:lineRule="auto"/>
        <w:rPr>
          <w:rFonts w:ascii="Verdana" w:hAnsi="Verdana"/>
          <w:sz w:val="20"/>
          <w:szCs w:val="20"/>
        </w:rPr>
      </w:pPr>
    </w:p>
    <w:p w14:paraId="406120F4" w14:textId="77777777" w:rsidR="00A90B10" w:rsidRPr="00647611" w:rsidRDefault="00A90B10" w:rsidP="00A90B10">
      <w:pPr>
        <w:spacing w:after="0" w:line="240" w:lineRule="auto"/>
        <w:jc w:val="both"/>
        <w:rPr>
          <w:rFonts w:ascii="Verdana" w:hAnsi="Verdana"/>
          <w:b/>
        </w:rPr>
      </w:pPr>
      <w:r w:rsidRPr="00647611">
        <w:rPr>
          <w:rFonts w:ascii="Verdana" w:hAnsi="Verdana" w:cs="Arial"/>
          <w:b/>
          <w:lang w:val="es-MX" w:eastAsia="es-ES_tradnl"/>
        </w:rPr>
        <w:t>LEY DE GARANTÍAS ELECTORALES – Condiciones de igualdad – Contratación directa</w:t>
      </w:r>
    </w:p>
    <w:p w14:paraId="693A0109" w14:textId="77777777" w:rsidR="00A90B10" w:rsidRPr="00647611" w:rsidRDefault="00A90B10" w:rsidP="00A90B10">
      <w:pPr>
        <w:spacing w:after="0" w:line="240" w:lineRule="auto"/>
        <w:rPr>
          <w:rFonts w:ascii="Verdana" w:hAnsi="Verdana"/>
          <w:sz w:val="20"/>
          <w:szCs w:val="20"/>
        </w:rPr>
      </w:pPr>
    </w:p>
    <w:p w14:paraId="7146B2A6" w14:textId="77777777" w:rsidR="00A90B10" w:rsidRDefault="00A90B10" w:rsidP="00A90B10">
      <w:pPr>
        <w:spacing w:after="0" w:line="240" w:lineRule="auto"/>
        <w:jc w:val="both"/>
        <w:rPr>
          <w:rFonts w:ascii="Verdana" w:eastAsia="Times New Roman" w:hAnsi="Verdana" w:cs="Arial"/>
          <w:bCs/>
          <w:sz w:val="20"/>
          <w:szCs w:val="20"/>
          <w:lang w:val="es-MX" w:eastAsia="x-none"/>
        </w:rPr>
      </w:pPr>
      <w:r w:rsidRPr="00647611">
        <w:rPr>
          <w:rFonts w:ascii="Verdana" w:eastAsia="Times New Roman" w:hAnsi="Verdana" w:cs="Arial"/>
          <w:bCs/>
          <w:sz w:val="20"/>
          <w:szCs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4040783A" w14:textId="77777777" w:rsidR="00A90B10" w:rsidRPr="00647611" w:rsidRDefault="00A90B10" w:rsidP="00A90B10">
      <w:pPr>
        <w:spacing w:after="0" w:line="240" w:lineRule="auto"/>
        <w:rPr>
          <w:rFonts w:ascii="Verdana" w:hAnsi="Verdana"/>
          <w:sz w:val="20"/>
          <w:szCs w:val="20"/>
        </w:rPr>
      </w:pPr>
    </w:p>
    <w:p w14:paraId="04510E88" w14:textId="77777777" w:rsidR="00A90B10" w:rsidRPr="00647611" w:rsidRDefault="00A90B10" w:rsidP="00A90B10">
      <w:pPr>
        <w:spacing w:after="0" w:line="240" w:lineRule="auto"/>
        <w:jc w:val="both"/>
        <w:rPr>
          <w:rFonts w:ascii="Verdana" w:hAnsi="Verdana"/>
          <w:b/>
        </w:rPr>
      </w:pPr>
      <w:r>
        <w:rPr>
          <w:rFonts w:ascii="Verdana" w:hAnsi="Verdana" w:cs="Arial"/>
          <w:b/>
          <w:bCs/>
          <w:color w:val="000000" w:themeColor="text1"/>
          <w:lang w:val="es-ES_tradnl"/>
        </w:rPr>
        <w:t>CONTRATACIÓN DIRECTA</w:t>
      </w:r>
      <w:r w:rsidRPr="00FD1291">
        <w:rPr>
          <w:rFonts w:ascii="Verdana" w:hAnsi="Verdana" w:cs="Arial"/>
          <w:b/>
          <w:bCs/>
          <w:color w:val="000000" w:themeColor="text1"/>
          <w:lang w:val="es-ES_tradnl"/>
        </w:rPr>
        <w:t xml:space="preserve"> – </w:t>
      </w:r>
      <w:r>
        <w:rPr>
          <w:rFonts w:ascii="Verdana" w:hAnsi="Verdana" w:cs="Arial"/>
          <w:b/>
          <w:bCs/>
          <w:color w:val="000000" w:themeColor="text1"/>
          <w:lang w:val="es-ES_tradnl"/>
        </w:rPr>
        <w:t>Arrendamiento</w:t>
      </w:r>
      <w:r w:rsidRPr="00FD1291">
        <w:rPr>
          <w:rFonts w:ascii="Verdana" w:hAnsi="Verdana" w:cs="Arial"/>
          <w:b/>
          <w:bCs/>
          <w:color w:val="000000" w:themeColor="text1"/>
          <w:lang w:val="es-ES_tradnl"/>
        </w:rPr>
        <w:t xml:space="preserve"> – </w:t>
      </w:r>
      <w:r>
        <w:rPr>
          <w:rFonts w:ascii="Verdana" w:hAnsi="Verdana" w:cs="Arial"/>
          <w:b/>
          <w:bCs/>
          <w:color w:val="000000" w:themeColor="text1"/>
          <w:lang w:val="es-ES_tradnl"/>
        </w:rPr>
        <w:t>Bienes inmuebles – Alcance</w:t>
      </w:r>
    </w:p>
    <w:p w14:paraId="34A7397E" w14:textId="77777777" w:rsidR="00A90B10" w:rsidRPr="00647611" w:rsidRDefault="00A90B10" w:rsidP="00A90B10">
      <w:pPr>
        <w:spacing w:after="0" w:line="240" w:lineRule="auto"/>
        <w:rPr>
          <w:rFonts w:ascii="Verdana" w:hAnsi="Verdana"/>
          <w:sz w:val="20"/>
          <w:szCs w:val="20"/>
        </w:rPr>
      </w:pPr>
    </w:p>
    <w:p w14:paraId="0E55788F" w14:textId="77777777" w:rsidR="00A90B10" w:rsidRDefault="00A90B10" w:rsidP="00A90B10">
      <w:pPr>
        <w:spacing w:after="0" w:line="240" w:lineRule="auto"/>
        <w:jc w:val="both"/>
        <w:rPr>
          <w:rFonts w:ascii="Verdana" w:eastAsia="Times New Roman" w:hAnsi="Verdana" w:cs="Arial"/>
          <w:bCs/>
          <w:sz w:val="20"/>
          <w:szCs w:val="20"/>
          <w:lang w:val="es-MX" w:eastAsia="x-none"/>
        </w:rPr>
      </w:pPr>
      <w:r>
        <w:rPr>
          <w:rFonts w:ascii="Verdana" w:eastAsia="Times New Roman" w:hAnsi="Verdana" w:cs="Arial"/>
          <w:bCs/>
          <w:sz w:val="20"/>
          <w:szCs w:val="20"/>
          <w:lang w:val="es-MX" w:eastAsia="x-none"/>
        </w:rPr>
        <w:t>E</w:t>
      </w:r>
      <w:r w:rsidRPr="00EF1386">
        <w:rPr>
          <w:rFonts w:ascii="Verdana" w:eastAsia="Times New Roman" w:hAnsi="Verdana" w:cs="Arial"/>
          <w:bCs/>
          <w:sz w:val="20"/>
          <w:szCs w:val="20"/>
          <w:lang w:val="es-MX" w:eastAsia="x-none"/>
        </w:rPr>
        <w:t xml:space="preserve">l literal i) del artículo 2.4 de la Ley 1150 de 2011 permite la contratación directa tratándose de “El arrendamiento […] de inmuebles”. 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 </w:t>
      </w:r>
    </w:p>
    <w:p w14:paraId="7FFEBAFF" w14:textId="77777777" w:rsidR="00A90B10" w:rsidRPr="00EF1386" w:rsidRDefault="00A90B10" w:rsidP="00A90B10">
      <w:pPr>
        <w:spacing w:after="0" w:line="240" w:lineRule="auto"/>
        <w:jc w:val="both"/>
        <w:rPr>
          <w:rFonts w:ascii="Verdana" w:eastAsia="Times New Roman" w:hAnsi="Verdana" w:cs="Arial"/>
          <w:bCs/>
          <w:sz w:val="20"/>
          <w:szCs w:val="20"/>
          <w:lang w:val="es-MX" w:eastAsia="x-none"/>
        </w:rPr>
      </w:pPr>
    </w:p>
    <w:p w14:paraId="6A58B98D" w14:textId="77777777" w:rsidR="00A90B10" w:rsidRPr="00647611" w:rsidRDefault="00A90B10" w:rsidP="00A90B10">
      <w:pPr>
        <w:spacing w:after="0" w:line="240" w:lineRule="auto"/>
        <w:jc w:val="both"/>
        <w:rPr>
          <w:rFonts w:ascii="Verdana" w:eastAsia="Times New Roman" w:hAnsi="Verdana" w:cs="Arial"/>
          <w:bCs/>
          <w:sz w:val="20"/>
          <w:szCs w:val="20"/>
          <w:lang w:eastAsia="x-none"/>
        </w:rPr>
      </w:pPr>
      <w:r w:rsidRPr="00EF1386">
        <w:rPr>
          <w:rFonts w:ascii="Verdana" w:eastAsia="Times New Roman" w:hAnsi="Verdana" w:cs="Arial"/>
          <w:bCs/>
          <w:sz w:val="20"/>
          <w:szCs w:val="20"/>
          <w:lang w:val="es-MX" w:eastAsia="x-none"/>
        </w:rPr>
        <w:t>Cuando la entidad estatal actúe como arrendadora puede evaluar si, en razón de lo explicado en los párrafos anteriores, es conveniente adelantar una convocatoria pública en garantía del principio de libre concurrencia. No obstante, lo cierto es que</w:t>
      </w:r>
      <w:r>
        <w:rPr>
          <w:rFonts w:ascii="Verdana" w:eastAsia="Times New Roman" w:hAnsi="Verdana" w:cs="Arial"/>
          <w:bCs/>
          <w:sz w:val="20"/>
          <w:szCs w:val="20"/>
          <w:lang w:val="es-MX" w:eastAsia="x-none"/>
        </w:rPr>
        <w:t xml:space="preserve"> </w:t>
      </w:r>
      <w:r w:rsidRPr="00F32DBA">
        <w:rPr>
          <w:rFonts w:ascii="Verdana" w:eastAsia="Times New Roman" w:hAnsi="Verdana" w:cs="Arial"/>
          <w:bCs/>
          <w:sz w:val="20"/>
          <w:szCs w:val="20"/>
          <w:lang w:val="es-MX" w:eastAsia="x-none"/>
        </w:rPr>
        <w:t>–dentro del marco normativo vigente–</w:t>
      </w:r>
      <w:r w:rsidRPr="00EF1386">
        <w:rPr>
          <w:rFonts w:ascii="Verdana" w:eastAsia="Times New Roman" w:hAnsi="Verdana" w:cs="Arial"/>
          <w:bCs/>
          <w:sz w:val="20"/>
          <w:szCs w:val="20"/>
          <w:lang w:val="es-MX" w:eastAsia="x-none"/>
        </w:rPr>
        <w:t xml:space="preserve"> las entidades públicas son autónomas y responsables tanto de la estructuración de sus procesos de contratación como de determinar la modalidad de selección aplicable para suplir sus necesidades.</w:t>
      </w:r>
      <w:r w:rsidRPr="00647611">
        <w:rPr>
          <w:rFonts w:ascii="Verdana" w:eastAsia="Times New Roman" w:hAnsi="Verdana" w:cs="Arial"/>
          <w:bCs/>
          <w:sz w:val="20"/>
          <w:szCs w:val="20"/>
          <w:lang w:val="es-MX" w:eastAsia="x-none"/>
        </w:rPr>
        <w:t xml:space="preserve"> </w:t>
      </w:r>
    </w:p>
    <w:p w14:paraId="68D34C3C" w14:textId="77777777" w:rsidR="00A90B10" w:rsidRPr="00647611" w:rsidRDefault="00A90B10" w:rsidP="00A90B10">
      <w:pPr>
        <w:spacing w:after="0" w:line="240" w:lineRule="auto"/>
        <w:jc w:val="both"/>
        <w:rPr>
          <w:rFonts w:ascii="Verdana" w:eastAsia="Times New Roman" w:hAnsi="Verdana" w:cs="Arial"/>
          <w:bCs/>
          <w:sz w:val="20"/>
          <w:szCs w:val="20"/>
          <w:lang w:eastAsia="x-none"/>
        </w:rPr>
      </w:pPr>
    </w:p>
    <w:p w14:paraId="0D2076DC" w14:textId="77777777" w:rsidR="00A90B10" w:rsidRDefault="00A90B10" w:rsidP="00A90B10">
      <w:pPr>
        <w:spacing w:after="0" w:line="240" w:lineRule="auto"/>
        <w:jc w:val="both"/>
        <w:rPr>
          <w:rFonts w:ascii="Verdana" w:eastAsia="Geomanist Light" w:hAnsi="Verdana" w:cs="Arial"/>
          <w:color w:val="000000" w:themeColor="text1"/>
          <w:lang w:val="es-MX"/>
        </w:rPr>
      </w:pPr>
    </w:p>
    <w:p w14:paraId="317CA054" w14:textId="77777777" w:rsidR="00A90B10" w:rsidRDefault="00A90B10" w:rsidP="00A90B10">
      <w:pPr>
        <w:spacing w:after="0" w:line="240" w:lineRule="auto"/>
        <w:jc w:val="both"/>
        <w:rPr>
          <w:rFonts w:ascii="Verdana" w:eastAsia="Geomanist Light" w:hAnsi="Verdana" w:cs="Arial"/>
          <w:color w:val="000000" w:themeColor="text1"/>
          <w:lang w:val="es-MX"/>
        </w:rPr>
      </w:pPr>
    </w:p>
    <w:p w14:paraId="151F7828" w14:textId="77777777" w:rsidR="00A90B10" w:rsidRDefault="00A90B10" w:rsidP="00A90B10">
      <w:pPr>
        <w:spacing w:after="0" w:line="240" w:lineRule="auto"/>
        <w:jc w:val="both"/>
        <w:rPr>
          <w:rFonts w:ascii="Verdana" w:eastAsia="Geomanist Light" w:hAnsi="Verdana" w:cs="Arial"/>
          <w:color w:val="000000" w:themeColor="text1"/>
          <w:lang w:val="es-MX"/>
        </w:rPr>
      </w:pPr>
    </w:p>
    <w:p w14:paraId="73514E80" w14:textId="77777777" w:rsidR="00A90B10" w:rsidRDefault="00A90B10" w:rsidP="00A90B10">
      <w:pPr>
        <w:spacing w:after="0" w:line="240" w:lineRule="auto"/>
        <w:jc w:val="both"/>
        <w:rPr>
          <w:rFonts w:ascii="Verdana" w:eastAsia="Geomanist Light" w:hAnsi="Verdana" w:cs="Arial"/>
          <w:color w:val="000000" w:themeColor="text1"/>
          <w:lang w:val="es-MX"/>
        </w:rPr>
      </w:pPr>
    </w:p>
    <w:p w14:paraId="113D78A4" w14:textId="77777777" w:rsidR="00A90B10" w:rsidRDefault="00A90B10" w:rsidP="00A90B10">
      <w:pPr>
        <w:spacing w:after="0" w:line="240" w:lineRule="auto"/>
        <w:jc w:val="both"/>
        <w:rPr>
          <w:rFonts w:ascii="Verdana" w:eastAsia="Geomanist Light" w:hAnsi="Verdana" w:cs="Arial"/>
          <w:color w:val="000000" w:themeColor="text1"/>
          <w:lang w:val="es-MX"/>
        </w:rPr>
      </w:pPr>
    </w:p>
    <w:p w14:paraId="7E49F3E1" w14:textId="77777777" w:rsidR="00A90B10" w:rsidRDefault="00A90B10" w:rsidP="00A90B10">
      <w:pPr>
        <w:spacing w:after="0" w:line="240" w:lineRule="auto"/>
        <w:jc w:val="both"/>
        <w:rPr>
          <w:rFonts w:ascii="Verdana" w:eastAsia="Geomanist Light" w:hAnsi="Verdana" w:cs="Arial"/>
          <w:color w:val="000000" w:themeColor="text1"/>
          <w:lang w:val="es-MX"/>
        </w:rPr>
      </w:pPr>
    </w:p>
    <w:p w14:paraId="761E09CD" w14:textId="77777777" w:rsidR="00A90B10" w:rsidRDefault="00A90B10" w:rsidP="00A90B10">
      <w:pPr>
        <w:spacing w:after="0" w:line="240" w:lineRule="auto"/>
        <w:jc w:val="both"/>
        <w:rPr>
          <w:rFonts w:ascii="Verdana" w:eastAsia="Geomanist Light" w:hAnsi="Verdana" w:cs="Arial"/>
          <w:color w:val="000000" w:themeColor="text1"/>
          <w:lang w:val="es-MX"/>
        </w:rPr>
      </w:pPr>
    </w:p>
    <w:p w14:paraId="796B0278" w14:textId="77777777" w:rsidR="00A90B10" w:rsidRDefault="00A90B10" w:rsidP="00A90B10">
      <w:pPr>
        <w:spacing w:after="0" w:line="240" w:lineRule="auto"/>
        <w:jc w:val="both"/>
        <w:rPr>
          <w:rFonts w:ascii="Verdana" w:eastAsia="Geomanist Light" w:hAnsi="Verdana" w:cs="Arial"/>
          <w:color w:val="000000" w:themeColor="text1"/>
          <w:lang w:val="es-MX"/>
        </w:rPr>
      </w:pPr>
    </w:p>
    <w:p w14:paraId="194A9F52" w14:textId="77777777" w:rsidR="00A90B10" w:rsidRDefault="00A90B10" w:rsidP="00A90B10">
      <w:pPr>
        <w:spacing w:after="0" w:line="240" w:lineRule="auto"/>
        <w:jc w:val="both"/>
        <w:rPr>
          <w:rFonts w:ascii="Verdana" w:eastAsia="Geomanist Light" w:hAnsi="Verdana" w:cs="Arial"/>
          <w:color w:val="000000" w:themeColor="text1"/>
          <w:lang w:val="es-MX"/>
        </w:rPr>
      </w:pPr>
    </w:p>
    <w:p w14:paraId="3898C4A5" w14:textId="77777777" w:rsidR="00A90B10" w:rsidRDefault="00A90B10" w:rsidP="0066632B">
      <w:pPr>
        <w:spacing w:after="0" w:line="240" w:lineRule="auto"/>
        <w:jc w:val="both"/>
        <w:rPr>
          <w:rFonts w:ascii="Verdana" w:eastAsia="Geomanist Light" w:hAnsi="Verdana" w:cs="Arial"/>
          <w:color w:val="000000" w:themeColor="text1"/>
          <w:lang w:val="es-MX"/>
        </w:rPr>
      </w:pPr>
    </w:p>
    <w:p w14:paraId="3703B6C6" w14:textId="4BEC056B" w:rsidR="0066632B" w:rsidRPr="00A505D5" w:rsidRDefault="0066632B" w:rsidP="0066632B">
      <w:pPr>
        <w:spacing w:after="0" w:line="240" w:lineRule="auto"/>
        <w:jc w:val="both"/>
        <w:rPr>
          <w:rFonts w:ascii="Verdana" w:eastAsia="Calibri" w:hAnsi="Verdana" w:cs="Arial"/>
          <w:sz w:val="20"/>
          <w:szCs w:val="20"/>
          <w:lang w:eastAsia="es-ES"/>
        </w:rPr>
      </w:pPr>
      <w:r w:rsidRPr="00593A5F">
        <w:rPr>
          <w:rFonts w:ascii="Verdana" w:eastAsia="Geomanist Light" w:hAnsi="Verdana" w:cs="Arial"/>
          <w:color w:val="000000" w:themeColor="text1"/>
          <w:lang w:val="es-MX"/>
        </w:rPr>
        <w:lastRenderedPageBreak/>
        <w:t>Bogotá D.C., </w:t>
      </w:r>
      <w:r w:rsidR="00A505D5" w:rsidRPr="00A505D5">
        <w:rPr>
          <w:rFonts w:ascii="Verdana" w:eastAsia="Geomanist Light" w:hAnsi="Verdana" w:cs="Arial"/>
          <w:color w:val="000000" w:themeColor="text1"/>
          <w:lang w:val="es-MX"/>
        </w:rPr>
        <w:t>21 de Enero de 2026</w:t>
      </w:r>
    </w:p>
    <w:p w14:paraId="24879C34" w14:textId="77777777" w:rsidR="0066632B" w:rsidRDefault="0066632B" w:rsidP="0066632B">
      <w:pPr>
        <w:spacing w:after="0" w:line="240" w:lineRule="auto"/>
        <w:jc w:val="both"/>
        <w:rPr>
          <w:rFonts w:ascii="Verdana" w:eastAsia="Calibri" w:hAnsi="Verdana" w:cs="Arial"/>
          <w:color w:val="000000"/>
          <w:lang w:val="es-ES"/>
        </w:rPr>
      </w:pPr>
    </w:p>
    <w:p w14:paraId="11931394" w14:textId="210648AF" w:rsidR="008464C7" w:rsidRDefault="008464C7" w:rsidP="008464C7">
      <w:pPr>
        <w:spacing w:after="0" w:line="240" w:lineRule="auto"/>
        <w:jc w:val="right"/>
        <w:rPr>
          <w:rFonts w:ascii="Verdana" w:eastAsia="Calibri" w:hAnsi="Verdana" w:cs="Arial"/>
          <w:color w:val="000000"/>
          <w:lang w:val="es-ES"/>
        </w:rPr>
      </w:pPr>
      <w:r w:rsidRPr="008464C7">
        <w:rPr>
          <w:rFonts w:ascii="Verdana" w:eastAsia="Calibri" w:hAnsi="Verdana" w:cs="Arial"/>
          <w:noProof/>
          <w:color w:val="000000"/>
          <w:lang w:val="es-ES"/>
        </w:rPr>
        <w:drawing>
          <wp:anchor distT="0" distB="0" distL="114300" distR="114300" simplePos="0" relativeHeight="251658240" behindDoc="0" locked="0" layoutInCell="1" allowOverlap="1" wp14:anchorId="091F1E58" wp14:editId="5182E878">
            <wp:simplePos x="0" y="0"/>
            <wp:positionH relativeFrom="margin">
              <wp:align>right</wp:align>
            </wp:positionH>
            <wp:positionV relativeFrom="paragraph">
              <wp:posOffset>170815</wp:posOffset>
            </wp:positionV>
            <wp:extent cx="2638425" cy="734695"/>
            <wp:effectExtent l="0" t="0" r="9525" b="8255"/>
            <wp:wrapSquare wrapText="bothSides"/>
            <wp:docPr id="1784745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74595" name=""/>
                    <pic:cNvPicPr/>
                  </pic:nvPicPr>
                  <pic:blipFill>
                    <a:blip r:embed="rId10">
                      <a:extLst>
                        <a:ext uri="{28A0092B-C50C-407E-A947-70E740481C1C}">
                          <a14:useLocalDpi xmlns:a14="http://schemas.microsoft.com/office/drawing/2010/main" val="0"/>
                        </a:ext>
                      </a:extLst>
                    </a:blip>
                    <a:stretch>
                      <a:fillRect/>
                    </a:stretch>
                  </pic:blipFill>
                  <pic:spPr>
                    <a:xfrm>
                      <a:off x="0" y="0"/>
                      <a:ext cx="2638425" cy="734695"/>
                    </a:xfrm>
                    <a:prstGeom prst="rect">
                      <a:avLst/>
                    </a:prstGeom>
                  </pic:spPr>
                </pic:pic>
              </a:graphicData>
            </a:graphic>
            <wp14:sizeRelH relativeFrom="margin">
              <wp14:pctWidth>0</wp14:pctWidth>
            </wp14:sizeRelH>
            <wp14:sizeRelV relativeFrom="margin">
              <wp14:pctHeight>0</wp14:pctHeight>
            </wp14:sizeRelV>
          </wp:anchor>
        </w:drawing>
      </w:r>
    </w:p>
    <w:p w14:paraId="01803B4E" w14:textId="77777777" w:rsidR="0066632B" w:rsidRPr="00593A5F" w:rsidRDefault="0066632B" w:rsidP="0066632B">
      <w:pPr>
        <w:spacing w:after="0" w:line="240" w:lineRule="auto"/>
        <w:jc w:val="both"/>
        <w:rPr>
          <w:rFonts w:ascii="Verdana" w:eastAsia="Calibri" w:hAnsi="Verdana" w:cs="Arial"/>
          <w:color w:val="000000"/>
          <w:lang w:val="es-ES"/>
        </w:rPr>
      </w:pPr>
    </w:p>
    <w:p w14:paraId="2F6FCC98" w14:textId="77777777" w:rsidR="0066632B" w:rsidRPr="000C555D" w:rsidRDefault="0066632B" w:rsidP="0066632B">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6F08B1F8" w14:textId="77777777" w:rsidR="0066632B" w:rsidRPr="0066632B" w:rsidRDefault="0066632B" w:rsidP="0066632B">
      <w:pPr>
        <w:spacing w:after="0" w:line="240" w:lineRule="auto"/>
        <w:rPr>
          <w:rFonts w:ascii="Verdana" w:eastAsia="Calibri" w:hAnsi="Verdana" w:cs="Arial"/>
          <w:b/>
          <w:lang w:eastAsia="es-ES"/>
        </w:rPr>
      </w:pPr>
      <w:proofErr w:type="spellStart"/>
      <w:r w:rsidRPr="0066632B">
        <w:rPr>
          <w:rFonts w:ascii="Verdana" w:eastAsia="Calibri" w:hAnsi="Verdana" w:cs="Arial"/>
          <w:b/>
          <w:lang w:eastAsia="es-ES"/>
        </w:rPr>
        <w:t>Heidy</w:t>
      </w:r>
      <w:proofErr w:type="spellEnd"/>
      <w:r w:rsidRPr="0066632B">
        <w:rPr>
          <w:rFonts w:ascii="Verdana" w:eastAsia="Calibri" w:hAnsi="Verdana" w:cs="Arial"/>
          <w:b/>
          <w:lang w:eastAsia="es-ES"/>
        </w:rPr>
        <w:t xml:space="preserve"> Yobanna Moreno </w:t>
      </w:r>
      <w:proofErr w:type="spellStart"/>
      <w:r w:rsidRPr="0066632B">
        <w:rPr>
          <w:rFonts w:ascii="Verdana" w:eastAsia="Calibri" w:hAnsi="Verdana" w:cs="Arial"/>
          <w:b/>
          <w:lang w:eastAsia="es-ES"/>
        </w:rPr>
        <w:t>Moreno</w:t>
      </w:r>
      <w:proofErr w:type="spellEnd"/>
    </w:p>
    <w:p w14:paraId="3BA058C3" w14:textId="77777777" w:rsidR="0066632B" w:rsidRPr="0066632B" w:rsidRDefault="0066632B" w:rsidP="0066632B">
      <w:pPr>
        <w:spacing w:after="0" w:line="240" w:lineRule="auto"/>
        <w:rPr>
          <w:rFonts w:ascii="Verdana" w:eastAsia="Calibri" w:hAnsi="Verdana" w:cs="Arial"/>
          <w:lang w:eastAsia="es-ES"/>
        </w:rPr>
      </w:pPr>
      <w:hyperlink r:id="rId11" w:history="1">
        <w:r w:rsidRPr="0066632B">
          <w:rPr>
            <w:rStyle w:val="Hipervnculo"/>
            <w:rFonts w:ascii="Verdana" w:hAnsi="Verdana"/>
          </w:rPr>
          <w:t>heidy.moreno@idartes.gov.co</w:t>
        </w:r>
      </w:hyperlink>
      <w:r w:rsidRPr="0066632B">
        <w:rPr>
          <w:rFonts w:ascii="Verdana" w:hAnsi="Verdana"/>
        </w:rPr>
        <w:t xml:space="preserve">   </w:t>
      </w:r>
      <w:r w:rsidRPr="0066632B">
        <w:rPr>
          <w:rFonts w:ascii="Verdana" w:eastAsia="Calibri" w:hAnsi="Verdana" w:cs="Arial"/>
          <w:lang w:eastAsia="es-ES"/>
        </w:rPr>
        <w:t xml:space="preserve">  </w:t>
      </w:r>
    </w:p>
    <w:p w14:paraId="117A1506" w14:textId="77777777" w:rsidR="0066632B" w:rsidRDefault="0066632B" w:rsidP="0066632B">
      <w:pPr>
        <w:spacing w:after="0" w:line="240" w:lineRule="auto"/>
        <w:rPr>
          <w:rFonts w:ascii="Verdana" w:eastAsia="Calibri" w:hAnsi="Verdana" w:cs="Arial"/>
          <w:lang w:val="es-ES" w:eastAsia="es-ES"/>
        </w:rPr>
      </w:pPr>
      <w:r w:rsidRPr="00867D8E">
        <w:rPr>
          <w:rFonts w:ascii="Verdana" w:eastAsia="Calibri" w:hAnsi="Verdana" w:cs="Arial"/>
          <w:lang w:val="es-ES" w:eastAsia="es-ES"/>
        </w:rPr>
        <w:t>Bogotá D.C.</w:t>
      </w:r>
      <w:r>
        <w:rPr>
          <w:rFonts w:ascii="Verdana" w:eastAsia="Calibri" w:hAnsi="Verdana" w:cs="Arial"/>
          <w:lang w:val="es-ES" w:eastAsia="es-ES"/>
        </w:rPr>
        <w:t xml:space="preserve"> </w:t>
      </w:r>
    </w:p>
    <w:p w14:paraId="1385350A" w14:textId="77777777" w:rsidR="0066632B" w:rsidRPr="00593A5F" w:rsidRDefault="0066632B" w:rsidP="0066632B">
      <w:pPr>
        <w:spacing w:after="0" w:line="240" w:lineRule="auto"/>
        <w:rPr>
          <w:rFonts w:ascii="Verdana" w:eastAsia="Calibri" w:hAnsi="Verdana" w:cs="Arial"/>
          <w:b/>
          <w:bCs/>
          <w:color w:val="000000"/>
          <w:lang w:val="es-ES_tradnl" w:eastAsia="es-ES_tradnl"/>
        </w:rPr>
      </w:pPr>
    </w:p>
    <w:p w14:paraId="78507A66" w14:textId="77777777" w:rsidR="0066632B" w:rsidRPr="00593A5F" w:rsidRDefault="0066632B" w:rsidP="0066632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6632B" w:rsidRPr="00593A5F" w14:paraId="2293B12E" w14:textId="77777777" w:rsidTr="00024F5A">
        <w:trPr>
          <w:trHeight w:val="884"/>
        </w:trPr>
        <w:tc>
          <w:tcPr>
            <w:tcW w:w="2689" w:type="dxa"/>
          </w:tcPr>
          <w:p w14:paraId="42749CFB" w14:textId="77777777" w:rsidR="0066632B" w:rsidRPr="00C00976" w:rsidRDefault="0066632B" w:rsidP="00024F5A">
            <w:pPr>
              <w:jc w:val="both"/>
              <w:rPr>
                <w:rFonts w:ascii="Verdana" w:eastAsia="Calibri" w:hAnsi="Verdana" w:cs="Arial"/>
                <w:b/>
                <w:bCs/>
                <w:color w:val="7030A0"/>
                <w:lang w:val="es-ES_tradnl" w:eastAsia="es-ES_tradnl"/>
              </w:rPr>
            </w:pPr>
          </w:p>
        </w:tc>
        <w:tc>
          <w:tcPr>
            <w:tcW w:w="6100" w:type="dxa"/>
          </w:tcPr>
          <w:p w14:paraId="0EB721AD" w14:textId="4DCA3773" w:rsidR="0066632B" w:rsidRPr="00C00976" w:rsidRDefault="0066632B" w:rsidP="00024F5A">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0</w:t>
            </w:r>
            <w:r w:rsidR="00421B46">
              <w:rPr>
                <w:rFonts w:ascii="Verdana" w:eastAsia="Calibri" w:hAnsi="Verdana" w:cs="Arial"/>
                <w:b/>
                <w:bCs/>
                <w:lang w:val="es-ES" w:eastAsia="es-ES"/>
              </w:rPr>
              <w:t>01</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66632B" w:rsidRPr="00593A5F" w14:paraId="3783153F" w14:textId="77777777" w:rsidTr="00024F5A">
        <w:trPr>
          <w:trHeight w:val="884"/>
        </w:trPr>
        <w:tc>
          <w:tcPr>
            <w:tcW w:w="2689" w:type="dxa"/>
          </w:tcPr>
          <w:p w14:paraId="1701088E" w14:textId="77777777" w:rsidR="0066632B" w:rsidRPr="00593A5F" w:rsidRDefault="0066632B" w:rsidP="00024F5A">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DB1F712" w14:textId="77777777" w:rsidR="0066632B" w:rsidRPr="00A11406" w:rsidRDefault="0066632B" w:rsidP="00024F5A">
            <w:pPr>
              <w:spacing w:line="276" w:lineRule="auto"/>
              <w:jc w:val="both"/>
              <w:rPr>
                <w:rFonts w:ascii="Verdana" w:eastAsia="Calibri" w:hAnsi="Verdana" w:cs="Arial"/>
                <w:lang w:val="es-ES" w:eastAsia="es-ES"/>
              </w:rPr>
            </w:pPr>
            <w:r w:rsidRPr="00177E85">
              <w:rPr>
                <w:rFonts w:ascii="Verdana" w:eastAsia="Calibri" w:hAnsi="Verdana" w:cs="Arial"/>
                <w:lang w:val="es-ES" w:eastAsia="es-ES"/>
              </w:rPr>
              <w:t>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w:t>
            </w:r>
            <w:r>
              <w:rPr>
                <w:rFonts w:ascii="Verdana" w:eastAsia="Calibri" w:hAnsi="Verdana" w:cs="Arial"/>
                <w:lang w:val="es-ES" w:eastAsia="es-ES"/>
              </w:rPr>
              <w:t xml:space="preserve"> / </w:t>
            </w:r>
            <w:r w:rsidRPr="00EF1386">
              <w:rPr>
                <w:rFonts w:ascii="Verdana" w:eastAsia="Calibri" w:hAnsi="Verdana" w:cs="Arial"/>
                <w:lang w:val="es-ES" w:eastAsia="es-ES"/>
              </w:rPr>
              <w:t>CONTRATACIÓN DIRECTA – Arrendamiento – Bienes inmuebles – Alcance</w:t>
            </w:r>
          </w:p>
          <w:p w14:paraId="4F602BF4" w14:textId="77777777" w:rsidR="0066632B" w:rsidRPr="00593A5F" w:rsidRDefault="0066632B" w:rsidP="00024F5A">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66632B" w:rsidRPr="008E6AD9" w14:paraId="6552B2D6" w14:textId="77777777" w:rsidTr="00024F5A">
        <w:tc>
          <w:tcPr>
            <w:tcW w:w="2689" w:type="dxa"/>
          </w:tcPr>
          <w:p w14:paraId="3AD2D10D" w14:textId="77777777" w:rsidR="0066632B" w:rsidRPr="008E6AD9" w:rsidRDefault="0066632B" w:rsidP="00024F5A">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4AABE48" w14:textId="77777777" w:rsidR="0066632B" w:rsidRPr="00B92340" w:rsidRDefault="0066632B" w:rsidP="00024F5A">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401979">
              <w:rPr>
                <w:rFonts w:ascii="Verdana" w:eastAsia="Calibri" w:hAnsi="Verdana" w:cs="Arial"/>
                <w:lang w:val="es-ES_tradnl" w:eastAsia="es-ES_tradnl"/>
              </w:rPr>
              <w:t>1_2026_01_15_000404</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0A39E0D" w14:textId="77777777" w:rsidR="0066632B" w:rsidRPr="00593A5F" w:rsidRDefault="0066632B" w:rsidP="0066632B">
      <w:pPr>
        <w:spacing w:after="0" w:line="240" w:lineRule="auto"/>
        <w:jc w:val="both"/>
        <w:rPr>
          <w:rFonts w:ascii="Verdana" w:eastAsia="Calibri" w:hAnsi="Verdana" w:cs="Arial"/>
          <w:color w:val="000000"/>
          <w:lang w:val="es-ES_tradnl" w:eastAsia="es-ES_tradnl"/>
        </w:rPr>
      </w:pPr>
    </w:p>
    <w:p w14:paraId="0FF31831" w14:textId="77777777" w:rsidR="0066632B" w:rsidRPr="00593A5F" w:rsidRDefault="0066632B" w:rsidP="0066632B">
      <w:pPr>
        <w:spacing w:after="0" w:line="240" w:lineRule="auto"/>
        <w:jc w:val="both"/>
        <w:rPr>
          <w:rFonts w:ascii="Verdana" w:eastAsia="Calibri" w:hAnsi="Verdana" w:cs="Arial"/>
          <w:color w:val="000000"/>
          <w:lang w:val="es-ES_tradnl" w:eastAsia="es-ES_tradnl"/>
        </w:rPr>
      </w:pPr>
    </w:p>
    <w:p w14:paraId="7BF3BD81" w14:textId="77777777" w:rsidR="0066632B" w:rsidRPr="008E6AD9" w:rsidRDefault="0066632B" w:rsidP="0066632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401979">
        <w:rPr>
          <w:rFonts w:ascii="Verdana" w:eastAsia="Calibri" w:hAnsi="Verdana" w:cs="Arial"/>
          <w:lang w:val="es-ES" w:eastAsia="es-ES"/>
        </w:rPr>
        <w:t xml:space="preserve">Moreno </w:t>
      </w:r>
      <w:proofErr w:type="spellStart"/>
      <w:r w:rsidRPr="00401979">
        <w:rPr>
          <w:rFonts w:ascii="Verdana" w:eastAsia="Calibri" w:hAnsi="Verdana" w:cs="Arial"/>
          <w:lang w:val="es-ES" w:eastAsia="es-ES"/>
        </w:rPr>
        <w:t>Moreno</w:t>
      </w:r>
      <w:proofErr w:type="spellEnd"/>
      <w:r w:rsidRPr="008E6AD9">
        <w:rPr>
          <w:rFonts w:ascii="Verdana" w:eastAsia="Calibri" w:hAnsi="Verdana" w:cs="Arial"/>
          <w:lang w:val="es-ES" w:eastAsia="es-ES"/>
        </w:rPr>
        <w:t xml:space="preserve">: </w:t>
      </w:r>
    </w:p>
    <w:p w14:paraId="50B9F66C" w14:textId="77777777" w:rsidR="0066632B" w:rsidRDefault="0066632B" w:rsidP="0066632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92F711E" w14:textId="77777777" w:rsidR="0066632B" w:rsidRPr="00593A5F" w:rsidRDefault="0066632B" w:rsidP="0066632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15 de enero de 2026, en la cual manifiesta lo siguiente:</w:t>
      </w:r>
      <w:r w:rsidRPr="008E6AD9">
        <w:rPr>
          <w:rFonts w:ascii="Verdana" w:eastAsia="Calibri" w:hAnsi="Verdana" w:cs="Arial"/>
          <w:lang w:val="es-ES" w:eastAsia="es-ES"/>
        </w:rPr>
        <w:t xml:space="preserve"> </w:t>
      </w:r>
    </w:p>
    <w:p w14:paraId="7C13443E" w14:textId="77777777" w:rsidR="0066632B" w:rsidRPr="00272A7B" w:rsidRDefault="0066632B" w:rsidP="0066632B">
      <w:pPr>
        <w:pStyle w:val="Prrafodelista"/>
        <w:tabs>
          <w:tab w:val="left" w:pos="142"/>
          <w:tab w:val="left" w:pos="284"/>
        </w:tabs>
        <w:spacing w:after="0" w:line="276" w:lineRule="auto"/>
        <w:ind w:left="0"/>
        <w:jc w:val="both"/>
        <w:rPr>
          <w:rFonts w:ascii="Verdana" w:eastAsia="Century Gothic" w:hAnsi="Verdana" w:cs="Century Gothic"/>
          <w:b/>
          <w:bCs/>
        </w:rPr>
      </w:pPr>
    </w:p>
    <w:p w14:paraId="0A2DEF25" w14:textId="77777777" w:rsidR="0066632B" w:rsidRPr="00596B57" w:rsidRDefault="0066632B" w:rsidP="0066632B">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lastRenderedPageBreak/>
        <w:t>“</w:t>
      </w:r>
      <w:r w:rsidRPr="00596B57">
        <w:rPr>
          <w:rFonts w:ascii="Verdana" w:eastAsia="Century Gothic" w:hAnsi="Verdana" w:cs="Century Gothic"/>
          <w:sz w:val="20"/>
          <w:szCs w:val="20"/>
          <w:lang w:val="es-ES"/>
        </w:rPr>
        <w:t xml:space="preserve">En consideración de las restricciones previstas en el artículo 33 de la Ley 996 de 2005, la cual, en materia contractual, restringe la contratación directa (en todas sus causales), durante los cuatro (4) meses anteriores a las elecciones presidenciales -es decir desde las 00:00 horas del 31 de enero de 2026 - y hasta la realización de la segunda vuelta electoral, si fuere el caso, ninguna entidad del Estado podrá realizar contratación directa. </w:t>
      </w:r>
    </w:p>
    <w:p w14:paraId="1F3C1238" w14:textId="77777777" w:rsidR="0066632B" w:rsidRPr="00596B57" w:rsidRDefault="0066632B" w:rsidP="0066632B">
      <w:pPr>
        <w:spacing w:after="120" w:line="240" w:lineRule="auto"/>
        <w:ind w:left="709" w:right="709"/>
        <w:jc w:val="both"/>
        <w:rPr>
          <w:rFonts w:ascii="Verdana" w:eastAsia="Century Gothic" w:hAnsi="Verdana" w:cs="Century Gothic"/>
          <w:sz w:val="20"/>
          <w:szCs w:val="20"/>
          <w:lang w:val="es-ES"/>
        </w:rPr>
      </w:pPr>
      <w:r w:rsidRPr="00596B57">
        <w:rPr>
          <w:rFonts w:ascii="Verdana" w:eastAsia="Century Gothic" w:hAnsi="Verdana" w:cs="Century Gothic"/>
          <w:sz w:val="20"/>
          <w:szCs w:val="20"/>
          <w:lang w:val="es-ES"/>
        </w:rPr>
        <w:t>Para ello se debe tener en cuenta qué, debe entenderse como contratación directa, cualquier sistema de selección o procedimiento de contratación utilizado por las entidades estatales que no incluya la convocatoria pública en alguna de sus etapas, ni permita la posible participación de una pluralidad de oferentes.</w:t>
      </w:r>
    </w:p>
    <w:p w14:paraId="5E93B586" w14:textId="77777777" w:rsidR="0066632B" w:rsidRPr="00596B57" w:rsidRDefault="0066632B" w:rsidP="0066632B">
      <w:pPr>
        <w:spacing w:after="120" w:line="240" w:lineRule="auto"/>
        <w:ind w:left="709" w:right="709"/>
        <w:jc w:val="both"/>
        <w:rPr>
          <w:rFonts w:ascii="Verdana" w:eastAsia="Century Gothic" w:hAnsi="Verdana" w:cs="Century Gothic"/>
          <w:sz w:val="20"/>
          <w:szCs w:val="20"/>
          <w:lang w:val="es-ES"/>
        </w:rPr>
      </w:pPr>
      <w:r w:rsidRPr="00596B57">
        <w:rPr>
          <w:rFonts w:ascii="Verdana" w:eastAsia="Century Gothic" w:hAnsi="Verdana" w:cs="Century Gothic"/>
          <w:sz w:val="20"/>
          <w:szCs w:val="20"/>
          <w:lang w:val="es-ES"/>
        </w:rPr>
        <w:t xml:space="preserve">Considerando que dentro de las funciones del Instituto Distrital de las Artes – IDARTES -, están las de gestionar el aprovechamiento y mejoramiento de los escenarios culturales territoriales a su cargo, con programación y actividades que permitan su auto sostenimiento, lo cual implica la celebración de contratos de arrendamiento, en los cuales la entidad estatal es arrendadora por plazos que pueden ser de horas o días y se extienden según la necesidad del solicitante, </w:t>
      </w:r>
      <w:r w:rsidRPr="00596B57">
        <w:rPr>
          <w:rFonts w:ascii="Verdana" w:eastAsia="Century Gothic" w:hAnsi="Verdana" w:cs="Century Gothic"/>
          <w:sz w:val="20"/>
          <w:szCs w:val="20"/>
          <w:u w:val="single"/>
          <w:lang w:val="es-ES"/>
        </w:rPr>
        <w:t>en los que no hay erogación de recursos de la entidad</w:t>
      </w:r>
      <w:r w:rsidRPr="00596B57">
        <w:rPr>
          <w:rFonts w:ascii="Verdana" w:eastAsia="Century Gothic" w:hAnsi="Verdana" w:cs="Century Gothic"/>
          <w:sz w:val="20"/>
          <w:szCs w:val="20"/>
          <w:lang w:val="es-ES"/>
        </w:rPr>
        <w:t xml:space="preserve"> (la entidad recibe el canon de arrendamiento) y </w:t>
      </w:r>
      <w:r w:rsidRPr="00596B57">
        <w:rPr>
          <w:rFonts w:ascii="Verdana" w:eastAsia="Century Gothic" w:hAnsi="Verdana" w:cs="Century Gothic"/>
          <w:sz w:val="20"/>
          <w:szCs w:val="20"/>
          <w:u w:val="single"/>
          <w:lang w:val="es-ES"/>
        </w:rPr>
        <w:t>tampoco es un proceso de selección propiamente dicho</w:t>
      </w:r>
      <w:r w:rsidRPr="00596B57">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r w:rsidRPr="00596B57">
        <w:rPr>
          <w:rFonts w:ascii="Verdana" w:eastAsia="Century Gothic" w:hAnsi="Verdana" w:cs="Century Gothic"/>
          <w:sz w:val="20"/>
          <w:szCs w:val="20"/>
          <w:lang w:val="es-ES"/>
        </w:rPr>
        <w:t>por cuanto la entidad es la escogida por el interesado para el desarrollo</w:t>
      </w:r>
      <w:r>
        <w:rPr>
          <w:rFonts w:ascii="Verdana" w:eastAsia="Century Gothic" w:hAnsi="Verdana" w:cs="Century Gothic"/>
          <w:sz w:val="20"/>
          <w:szCs w:val="20"/>
          <w:lang w:val="es-ES"/>
        </w:rPr>
        <w:t xml:space="preserve"> </w:t>
      </w:r>
      <w:r w:rsidRPr="00596B57">
        <w:rPr>
          <w:rFonts w:ascii="Verdana" w:eastAsia="Century Gothic" w:hAnsi="Verdana" w:cs="Century Gothic"/>
          <w:sz w:val="20"/>
          <w:szCs w:val="20"/>
          <w:lang w:val="es-ES"/>
        </w:rPr>
        <w:t>de sus actividades, es decir, no se trata de que la entidad funja como seleccionador del contratista, sino al contrario es la escogida por los interesados, es preciso indagar:</w:t>
      </w:r>
    </w:p>
    <w:p w14:paraId="63A7C4F2" w14:textId="77777777" w:rsidR="0066632B" w:rsidRPr="00596B57" w:rsidRDefault="0066632B" w:rsidP="0066632B">
      <w:pPr>
        <w:spacing w:after="120" w:line="240" w:lineRule="auto"/>
        <w:ind w:left="709" w:right="709"/>
        <w:jc w:val="both"/>
        <w:rPr>
          <w:rFonts w:ascii="Verdana" w:eastAsia="Century Gothic" w:hAnsi="Verdana" w:cs="Century Gothic"/>
          <w:sz w:val="20"/>
          <w:szCs w:val="20"/>
          <w:lang w:val="es-ES"/>
        </w:rPr>
      </w:pPr>
      <w:r w:rsidRPr="00596B57">
        <w:rPr>
          <w:rFonts w:ascii="Verdana" w:eastAsia="Century Gothic" w:hAnsi="Verdana" w:cs="Century Gothic"/>
          <w:b/>
          <w:bCs/>
          <w:sz w:val="20"/>
          <w:szCs w:val="20"/>
          <w:lang w:val="es-ES"/>
        </w:rPr>
        <w:t>1.</w:t>
      </w:r>
      <w:r w:rsidRPr="00596B57">
        <w:rPr>
          <w:rFonts w:ascii="Verdana" w:eastAsia="Century Gothic" w:hAnsi="Verdana" w:cs="Century Gothic"/>
          <w:sz w:val="20"/>
          <w:szCs w:val="20"/>
          <w:lang w:val="es-ES"/>
        </w:rPr>
        <w:t xml:space="preserve"> Los contratos de arrendamiento de los equipamientos culturales propios o administrados por el Instituto Distrital de las Artes – </w:t>
      </w:r>
      <w:proofErr w:type="spellStart"/>
      <w:r w:rsidRPr="00596B57">
        <w:rPr>
          <w:rFonts w:ascii="Verdana" w:eastAsia="Century Gothic" w:hAnsi="Verdana" w:cs="Century Gothic"/>
          <w:sz w:val="20"/>
          <w:szCs w:val="20"/>
          <w:lang w:val="es-ES"/>
        </w:rPr>
        <w:t>Idartes</w:t>
      </w:r>
      <w:proofErr w:type="spellEnd"/>
      <w:r w:rsidRPr="00596B57">
        <w:rPr>
          <w:rFonts w:ascii="Verdana" w:eastAsia="Century Gothic" w:hAnsi="Verdana" w:cs="Century Gothic"/>
          <w:sz w:val="20"/>
          <w:szCs w:val="20"/>
          <w:lang w:val="es-ES"/>
        </w:rPr>
        <w:t xml:space="preserve">, ¿estarían restringidos por la Ley 996 de 2005? </w:t>
      </w:r>
    </w:p>
    <w:p w14:paraId="363B6E01" w14:textId="77777777" w:rsidR="0066632B" w:rsidRPr="004B35AC" w:rsidRDefault="0066632B" w:rsidP="0066632B">
      <w:pPr>
        <w:spacing w:after="0" w:line="240" w:lineRule="auto"/>
        <w:ind w:left="709" w:right="709"/>
        <w:jc w:val="both"/>
        <w:rPr>
          <w:rFonts w:ascii="Verdana" w:eastAsia="Century Gothic" w:hAnsi="Verdana" w:cs="Century Gothic"/>
          <w:sz w:val="20"/>
          <w:szCs w:val="20"/>
          <w:lang w:val="es-ES"/>
        </w:rPr>
      </w:pPr>
      <w:r w:rsidRPr="00596B57">
        <w:rPr>
          <w:rFonts w:ascii="Verdana" w:eastAsia="Century Gothic" w:hAnsi="Verdana" w:cs="Century Gothic"/>
          <w:b/>
          <w:bCs/>
          <w:sz w:val="20"/>
          <w:szCs w:val="20"/>
          <w:lang w:val="es-ES"/>
        </w:rPr>
        <w:t>2.</w:t>
      </w:r>
      <w:r w:rsidRPr="00596B57">
        <w:rPr>
          <w:rFonts w:ascii="Verdana" w:eastAsia="Century Gothic" w:hAnsi="Verdana" w:cs="Century Gothic"/>
          <w:sz w:val="20"/>
          <w:szCs w:val="20"/>
          <w:lang w:val="es-ES"/>
        </w:rPr>
        <w:t xml:space="preserve"> De ser afirmativa la respuesta, ¿qué tipo de negocios jurídicos podrían celebrase para cumplir con las funciones asignadas?</w:t>
      </w:r>
      <w:r w:rsidRPr="00D10E3B">
        <w:rPr>
          <w:rFonts w:ascii="Verdana" w:eastAsia="Century Gothic" w:hAnsi="Verdana" w:cs="Century Gothic"/>
          <w:sz w:val="20"/>
          <w:szCs w:val="20"/>
        </w:rPr>
        <w:t>”.</w:t>
      </w:r>
      <w:r>
        <w:rPr>
          <w:rFonts w:ascii="Verdana" w:eastAsia="Century Gothic" w:hAnsi="Verdana" w:cs="Century Gothic"/>
          <w:sz w:val="20"/>
          <w:szCs w:val="20"/>
        </w:rPr>
        <w:t xml:space="preserve"> (Énfasis dentro del texto)</w:t>
      </w:r>
    </w:p>
    <w:p w14:paraId="20F7DA08" w14:textId="77777777" w:rsidR="0066632B" w:rsidRPr="008E6AD9" w:rsidRDefault="0066632B" w:rsidP="0066632B">
      <w:pPr>
        <w:pStyle w:val="Prrafodelista"/>
        <w:tabs>
          <w:tab w:val="left" w:pos="142"/>
          <w:tab w:val="left" w:pos="284"/>
        </w:tabs>
        <w:spacing w:after="0" w:line="276" w:lineRule="auto"/>
        <w:ind w:left="0"/>
        <w:jc w:val="both"/>
        <w:rPr>
          <w:rFonts w:ascii="Verdana" w:eastAsia="Century Gothic" w:hAnsi="Verdana" w:cs="Century Gothic"/>
          <w:b/>
          <w:bCs/>
        </w:rPr>
      </w:pPr>
    </w:p>
    <w:p w14:paraId="5F742B30" w14:textId="77777777" w:rsidR="0066632B" w:rsidRPr="00A652FF" w:rsidRDefault="0066632B" w:rsidP="0066632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w:t>
      </w:r>
      <w:r w:rsidRPr="00593A5F">
        <w:rPr>
          <w:rFonts w:ascii="Verdana" w:eastAsia="Calibri" w:hAnsi="Verdana" w:cs="Arial"/>
          <w:color w:val="000000"/>
          <w:lang w:val="es-ES" w:eastAsia="es-ES"/>
        </w:rPr>
        <w:lastRenderedPageBreak/>
        <w:t xml:space="preserve">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6A9B8D1" w14:textId="77777777" w:rsidR="0066632B" w:rsidRPr="00423BE7" w:rsidRDefault="0066632B" w:rsidP="0066632B">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823DE60" w14:textId="77777777" w:rsidR="0066632B" w:rsidRPr="00593A5F" w:rsidRDefault="0066632B" w:rsidP="0066632B">
      <w:pPr>
        <w:spacing w:after="0" w:line="276" w:lineRule="auto"/>
        <w:ind w:firstLine="709"/>
        <w:jc w:val="both"/>
        <w:rPr>
          <w:rFonts w:ascii="Verdana" w:eastAsia="Calibri" w:hAnsi="Verdana" w:cs="Arial"/>
          <w:color w:val="000000"/>
          <w:lang w:val="es-ES" w:eastAsia="es-ES"/>
        </w:rPr>
      </w:pPr>
    </w:p>
    <w:p w14:paraId="5316E868" w14:textId="77777777" w:rsidR="0066632B" w:rsidRPr="00593A5F" w:rsidRDefault="0066632B" w:rsidP="0066632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0DECE53" w14:textId="77777777" w:rsidR="0066632B" w:rsidRPr="00593A5F" w:rsidRDefault="0066632B" w:rsidP="0066632B">
      <w:pPr>
        <w:tabs>
          <w:tab w:val="left" w:pos="426"/>
        </w:tabs>
        <w:spacing w:after="0" w:line="276" w:lineRule="auto"/>
        <w:jc w:val="both"/>
        <w:rPr>
          <w:rFonts w:ascii="Verdana" w:eastAsia="Century Gothic" w:hAnsi="Verdana" w:cs="Century Gothic"/>
          <w:lang w:val="es-ES"/>
        </w:rPr>
      </w:pPr>
    </w:p>
    <w:p w14:paraId="6E9E193F" w14:textId="4DB48E17" w:rsidR="0066632B" w:rsidRPr="00593A5F" w:rsidRDefault="0066632B" w:rsidP="0066632B">
      <w:pPr>
        <w:spacing w:after="0" w:line="276" w:lineRule="auto"/>
        <w:jc w:val="both"/>
        <w:rPr>
          <w:rFonts w:ascii="Verdana" w:eastAsia="Century Gothic" w:hAnsi="Verdana" w:cs="Century Gothic"/>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¿cuál en el ámbito de aplicación y las excepciones de la prohibición del artículo 33 de la Ley de Garantías en relación con la causal de contratación del </w:t>
      </w:r>
      <w:r>
        <w:rPr>
          <w:rFonts w:ascii="Verdana" w:eastAsia="Times New Roman" w:hAnsi="Verdana" w:cs="Arial"/>
          <w:lang w:eastAsia="es-MX"/>
        </w:rPr>
        <w:t xml:space="preserve">literal i) del artículo 2.4 de la Ley 1150 de </w:t>
      </w:r>
      <w:r w:rsidR="002F2410">
        <w:rPr>
          <w:rFonts w:ascii="Verdana" w:eastAsia="Times New Roman" w:hAnsi="Verdana" w:cs="Arial"/>
          <w:lang w:eastAsia="es-MX"/>
        </w:rPr>
        <w:t>2007</w:t>
      </w:r>
      <w:r>
        <w:rPr>
          <w:rFonts w:ascii="Verdana" w:eastAsia="Times New Roman" w:hAnsi="Verdana" w:cs="Arial"/>
          <w:lang w:eastAsia="es-MX"/>
        </w:rPr>
        <w:t>?</w:t>
      </w:r>
    </w:p>
    <w:p w14:paraId="423B7096" w14:textId="77777777" w:rsidR="0066632B" w:rsidRPr="004B140F" w:rsidRDefault="0066632B" w:rsidP="0066632B">
      <w:pPr>
        <w:spacing w:after="0" w:line="276" w:lineRule="auto"/>
        <w:jc w:val="both"/>
        <w:rPr>
          <w:rFonts w:ascii="Verdana" w:eastAsia="Calibri" w:hAnsi="Verdana" w:cs="Arial"/>
          <w:color w:val="7030A0"/>
        </w:rPr>
      </w:pPr>
    </w:p>
    <w:p w14:paraId="7D5AF724" w14:textId="77777777" w:rsidR="0066632B" w:rsidRPr="00593A5F" w:rsidRDefault="0066632B" w:rsidP="006663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5C81950" w14:textId="77777777" w:rsidR="0066632B" w:rsidRPr="00593A5F" w:rsidRDefault="0066632B" w:rsidP="0066632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6632B" w:rsidRPr="00593A5F" w14:paraId="6576E0EA" w14:textId="77777777" w:rsidTr="00024F5A">
        <w:trPr>
          <w:jc w:val="center"/>
        </w:trPr>
        <w:tc>
          <w:tcPr>
            <w:tcW w:w="8828" w:type="dxa"/>
          </w:tcPr>
          <w:p w14:paraId="087FE7DC" w14:textId="77777777" w:rsidR="0066632B" w:rsidRDefault="0066632B" w:rsidP="00024F5A">
            <w:pPr>
              <w:spacing w:after="120" w:line="276" w:lineRule="auto"/>
              <w:jc w:val="both"/>
              <w:rPr>
                <w:rFonts w:ascii="Verdana" w:eastAsia="Times New Roman" w:hAnsi="Verdana" w:cs="Arial"/>
                <w:bCs/>
                <w:lang w:val="es-MX" w:eastAsia="x-none"/>
              </w:rPr>
            </w:pPr>
            <w:bookmarkStart w:id="0" w:name="_Hlk171694685"/>
            <w:r w:rsidRPr="00C53E3E">
              <w:rPr>
                <w:rFonts w:ascii="Verdana" w:eastAsia="Calibri" w:hAnsi="Verdana" w:cs="Arial"/>
                <w:lang w:val="es-MX"/>
              </w:rPr>
              <w:t>Conforme a la interpretación general de las normas del sistema de compras públicas, la restricción prevista en el artículo 33 de la Ley 996 de 2005 cobija a cualquier entidad pública independiente del régimen jurídico, que pueda mediante la contratación directa romper el equilibrio entre los candidatos en desarrollo de las elecciones presidenciales.</w:t>
            </w:r>
            <w:r>
              <w:rPr>
                <w:rFonts w:ascii="Verdana" w:eastAsia="Calibri" w:hAnsi="Verdana" w:cs="Arial"/>
                <w:lang w:val="es-MX"/>
              </w:rPr>
              <w:t xml:space="preserve"> </w:t>
            </w:r>
            <w:r>
              <w:rPr>
                <w:rFonts w:ascii="Verdana" w:eastAsia="Times New Roman" w:hAnsi="Verdana" w:cs="Arial"/>
                <w:bCs/>
                <w:lang w:val="es-MX" w:eastAsia="x-none"/>
              </w:rPr>
              <w:t xml:space="preserve">Dicha norma </w:t>
            </w:r>
            <w:r w:rsidRPr="0057193B">
              <w:rPr>
                <w:rFonts w:ascii="Verdana" w:eastAsia="Times New Roman" w:hAnsi="Verdana" w:cs="Arial"/>
                <w:bCs/>
                <w:lang w:val="es-MX" w:eastAsia="x-none"/>
              </w:rPr>
              <w:t xml:space="preserve">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xml:space="preserve">, ya sea en aplicación de normas del Estatuto General de Contratación de la Administración Pública, así como de regímenes especiales. </w:t>
            </w:r>
          </w:p>
          <w:p w14:paraId="2DEE9593" w14:textId="77777777" w:rsidR="0066632B" w:rsidRPr="009D515D" w:rsidRDefault="0066632B" w:rsidP="00024F5A">
            <w:pPr>
              <w:spacing w:after="120" w:line="276" w:lineRule="auto"/>
              <w:ind w:firstLine="737"/>
              <w:jc w:val="both"/>
              <w:rPr>
                <w:rFonts w:ascii="Verdana" w:eastAsia="Calibri" w:hAnsi="Verdana" w:cs="Arial"/>
                <w:lang w:val="es-MX"/>
              </w:rPr>
            </w:pPr>
            <w:r>
              <w:rPr>
                <w:rFonts w:ascii="Verdana" w:eastAsia="Times New Roman" w:hAnsi="Verdana" w:cs="Arial"/>
                <w:bCs/>
                <w:lang w:val="es-MX" w:eastAsia="x-none"/>
              </w:rPr>
              <w:t xml:space="preserve">Lo anterior,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w:t>
            </w:r>
            <w:r w:rsidRPr="00C53E3E">
              <w:rPr>
                <w:rFonts w:ascii="Verdana" w:eastAsia="Calibri" w:hAnsi="Verdana" w:cs="Arial"/>
                <w:lang w:val="es-MX"/>
              </w:rPr>
              <w:t>de la Ley 996 de 2005</w:t>
            </w:r>
            <w:r>
              <w:rPr>
                <w:rFonts w:ascii="Verdana" w:eastAsia="Times New Roman" w:hAnsi="Verdana" w:cs="Arial"/>
                <w:bCs/>
                <w:lang w:val="es-MX" w:eastAsia="x-none"/>
              </w:rPr>
              <w:t xml:space="preserve">, como son: </w:t>
            </w:r>
            <w:r w:rsidRPr="00333EDB">
              <w:rPr>
                <w:rFonts w:ascii="Verdana" w:eastAsia="Times New Roman" w:hAnsi="Verdana" w:cs="Arial"/>
                <w:bCs/>
                <w:lang w:val="es-MX" w:eastAsia="x-none"/>
              </w:rPr>
              <w:t xml:space="preserve">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w:t>
            </w:r>
            <w:r w:rsidRPr="00333EDB">
              <w:rPr>
                <w:rFonts w:ascii="Verdana" w:eastAsia="Times New Roman" w:hAnsi="Verdana" w:cs="Arial"/>
                <w:bCs/>
                <w:lang w:val="es-MX" w:eastAsia="x-none"/>
              </w:rPr>
              <w:lastRenderedPageBreak/>
              <w:t>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4ECFA26" w14:textId="77777777" w:rsidR="0066632B" w:rsidRDefault="0066632B" w:rsidP="00024F5A">
            <w:pPr>
              <w:spacing w:after="120" w:line="276" w:lineRule="auto"/>
              <w:ind w:firstLine="737"/>
              <w:jc w:val="both"/>
              <w:rPr>
                <w:rFonts w:ascii="Verdana" w:eastAsia="Times New Roman" w:hAnsi="Verdana" w:cs="Arial"/>
                <w:lang w:eastAsia="es-MX"/>
              </w:rPr>
            </w:pPr>
            <w:r>
              <w:rPr>
                <w:rFonts w:ascii="Verdana" w:eastAsia="Times New Roman" w:hAnsi="Verdana" w:cs="Arial"/>
                <w:lang w:eastAsia="es-MX"/>
              </w:rPr>
              <w:t>Por lo demás, el literal i) del artículo 2.4 de la Ley 1150 de 2011 permite la contratación directa tratándose de “</w:t>
            </w:r>
            <w:r w:rsidRPr="002835CA">
              <w:rPr>
                <w:rFonts w:ascii="Verdana" w:eastAsia="Times New Roman" w:hAnsi="Verdana" w:cs="Arial"/>
                <w:lang w:eastAsia="es-MX"/>
              </w:rPr>
              <w:t xml:space="preserve">El arrendamiento </w:t>
            </w:r>
            <w:r>
              <w:rPr>
                <w:rFonts w:ascii="Verdana" w:eastAsia="Times New Roman" w:hAnsi="Verdana" w:cs="Arial"/>
                <w:lang w:eastAsia="es-MX"/>
              </w:rPr>
              <w:t>[…]</w:t>
            </w:r>
            <w:r w:rsidRPr="002835CA">
              <w:rPr>
                <w:rFonts w:ascii="Verdana" w:eastAsia="Times New Roman" w:hAnsi="Verdana" w:cs="Arial"/>
                <w:lang w:eastAsia="es-MX"/>
              </w:rPr>
              <w:t xml:space="preserve"> de inmuebles</w:t>
            </w:r>
            <w:r>
              <w:rPr>
                <w:rFonts w:ascii="Verdana" w:eastAsia="Times New Roman" w:hAnsi="Verdana" w:cs="Arial"/>
                <w:lang w:eastAsia="es-MX"/>
              </w:rPr>
              <w:t xml:space="preserve">”. </w:t>
            </w:r>
            <w:r w:rsidRPr="00460F02">
              <w:rPr>
                <w:rFonts w:ascii="Verdana" w:eastAsia="Times New Roman" w:hAnsi="Verdana" w:cs="Arial"/>
                <w:lang w:eastAsia="es-MX"/>
              </w:rPr>
              <w:t>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r>
              <w:rPr>
                <w:rFonts w:ascii="Verdana" w:eastAsia="Times New Roman" w:hAnsi="Verdana" w:cs="Arial"/>
                <w:lang w:eastAsia="es-MX"/>
              </w:rPr>
              <w:t xml:space="preserve"> </w:t>
            </w:r>
          </w:p>
          <w:p w14:paraId="0245642B" w14:textId="22BBEABD" w:rsidR="0066632B" w:rsidRPr="009D515D" w:rsidRDefault="0066632B" w:rsidP="00024F5A">
            <w:pPr>
              <w:spacing w:after="120" w:line="276" w:lineRule="auto"/>
              <w:ind w:firstLine="737"/>
              <w:jc w:val="both"/>
              <w:rPr>
                <w:rFonts w:ascii="Verdana" w:eastAsia="Times New Roman" w:hAnsi="Verdana" w:cs="Arial"/>
                <w:lang w:val="es-MX" w:eastAsia="x-none"/>
              </w:rPr>
            </w:pPr>
            <w:r>
              <w:rPr>
                <w:rFonts w:ascii="Verdana" w:eastAsia="Calibri" w:hAnsi="Verdana" w:cs="Arial"/>
                <w:lang w:val="es-ES"/>
              </w:rPr>
              <w:t xml:space="preserve">Cuando </w:t>
            </w:r>
            <w:r w:rsidRPr="00F04E54">
              <w:rPr>
                <w:rFonts w:ascii="Verdana" w:eastAsia="Calibri" w:hAnsi="Verdana" w:cs="Arial"/>
                <w:lang w:val="es-ES"/>
              </w:rPr>
              <w:t>la entidad estatal actú</w:t>
            </w:r>
            <w:r>
              <w:rPr>
                <w:rFonts w:ascii="Verdana" w:eastAsia="Calibri" w:hAnsi="Verdana" w:cs="Arial"/>
                <w:lang w:val="es-ES"/>
              </w:rPr>
              <w:t>e</w:t>
            </w:r>
            <w:r w:rsidRPr="00F04E54">
              <w:rPr>
                <w:rFonts w:ascii="Verdana" w:eastAsia="Calibri" w:hAnsi="Verdana" w:cs="Arial"/>
                <w:lang w:val="es-ES"/>
              </w:rPr>
              <w:t xml:space="preserve"> como arrendadora </w:t>
            </w:r>
            <w:r>
              <w:rPr>
                <w:rFonts w:ascii="Verdana" w:eastAsia="Calibri" w:hAnsi="Verdana" w:cs="Arial"/>
                <w:lang w:val="es-ES"/>
              </w:rPr>
              <w:t xml:space="preserve">puede evaluar si, </w:t>
            </w:r>
            <w:r w:rsidR="00DA4B58">
              <w:rPr>
                <w:rFonts w:ascii="Verdana" w:eastAsia="Calibri" w:hAnsi="Verdana" w:cs="Arial"/>
                <w:lang w:val="es-ES"/>
              </w:rPr>
              <w:t>debido a</w:t>
            </w:r>
            <w:r>
              <w:rPr>
                <w:rFonts w:ascii="Verdana" w:eastAsia="Calibri" w:hAnsi="Verdana" w:cs="Arial"/>
                <w:lang w:val="es-ES"/>
              </w:rPr>
              <w:t xml:space="preserve"> lo explicado en los párrafos anteriores, es conveniente </w:t>
            </w:r>
            <w:r w:rsidRPr="00F04E54">
              <w:rPr>
                <w:rFonts w:ascii="Verdana" w:eastAsia="Calibri" w:hAnsi="Verdana" w:cs="Arial"/>
                <w:lang w:val="es-ES"/>
              </w:rPr>
              <w:t>adelantar una convocatoria pública</w:t>
            </w:r>
            <w:r>
              <w:rPr>
                <w:rFonts w:ascii="Verdana" w:eastAsia="Calibri" w:hAnsi="Verdana" w:cs="Arial"/>
                <w:lang w:val="es-ES"/>
              </w:rPr>
              <w:t xml:space="preserve"> en garantía del principio de libre concurrencia. No obstante, lo cierto </w:t>
            </w:r>
            <w:r w:rsidRPr="00396C85">
              <w:rPr>
                <w:rFonts w:ascii="Verdana" w:eastAsia="Calibri" w:hAnsi="Verdana" w:cs="Arial"/>
                <w:lang w:val="es-ES"/>
              </w:rPr>
              <w:t>es que</w:t>
            </w:r>
            <w:r>
              <w:rPr>
                <w:rFonts w:ascii="Verdana" w:eastAsia="Calibri" w:hAnsi="Verdana" w:cs="Arial"/>
                <w:lang w:val="es-ES"/>
              </w:rPr>
              <w:t xml:space="preserve"> –dentro del marco normativo vigente–</w:t>
            </w:r>
            <w:r w:rsidRPr="00396C85">
              <w:rPr>
                <w:rFonts w:ascii="Verdana" w:eastAsia="Calibri" w:hAnsi="Verdana" w:cs="Arial"/>
                <w:lang w:val="es-ES"/>
              </w:rPr>
              <w:t xml:space="preserve"> </w:t>
            </w:r>
            <w:r>
              <w:rPr>
                <w:rFonts w:ascii="Verdana" w:eastAsia="Calibri" w:hAnsi="Verdana" w:cs="Arial"/>
                <w:lang w:val="es-ES"/>
              </w:rPr>
              <w:t>las entidades públicas son</w:t>
            </w:r>
            <w:r w:rsidRPr="00396C85">
              <w:rPr>
                <w:rFonts w:ascii="Verdana" w:eastAsia="Calibri" w:hAnsi="Verdana" w:cs="Arial"/>
                <w:lang w:val="es-ES"/>
              </w:rPr>
              <w:t xml:space="preserve"> autónoma</w:t>
            </w:r>
            <w:r>
              <w:rPr>
                <w:rFonts w:ascii="Verdana" w:eastAsia="Calibri" w:hAnsi="Verdana" w:cs="Arial"/>
                <w:lang w:val="es-ES"/>
              </w:rPr>
              <w:t>s</w:t>
            </w:r>
            <w:r w:rsidRPr="00396C85">
              <w:rPr>
                <w:rFonts w:ascii="Verdana" w:eastAsia="Calibri" w:hAnsi="Verdana" w:cs="Arial"/>
                <w:lang w:val="es-ES"/>
              </w:rPr>
              <w:t xml:space="preserve"> y responsable</w:t>
            </w:r>
            <w:r>
              <w:rPr>
                <w:rFonts w:ascii="Verdana" w:eastAsia="Calibri" w:hAnsi="Verdana" w:cs="Arial"/>
                <w:lang w:val="es-ES"/>
              </w:rPr>
              <w:t>s</w:t>
            </w:r>
            <w:r w:rsidRPr="00396C85">
              <w:rPr>
                <w:rFonts w:ascii="Verdana" w:eastAsia="Calibri" w:hAnsi="Verdana" w:cs="Arial"/>
                <w:lang w:val="es-ES"/>
              </w:rPr>
              <w:t xml:space="preserve"> </w:t>
            </w:r>
            <w:r>
              <w:rPr>
                <w:rFonts w:ascii="Verdana" w:eastAsia="Calibri" w:hAnsi="Verdana" w:cs="Arial"/>
                <w:lang w:val="es-ES"/>
              </w:rPr>
              <w:t xml:space="preserve">tanto </w:t>
            </w:r>
            <w:r w:rsidRPr="00396C85">
              <w:rPr>
                <w:rFonts w:ascii="Verdana" w:eastAsia="Calibri" w:hAnsi="Verdana" w:cs="Arial"/>
                <w:lang w:val="es-ES"/>
              </w:rPr>
              <w:t>de la estructuración de sus procesos de contratación</w:t>
            </w:r>
            <w:r>
              <w:rPr>
                <w:rFonts w:ascii="Verdana" w:eastAsia="Calibri" w:hAnsi="Verdana" w:cs="Arial"/>
                <w:lang w:val="es-ES"/>
              </w:rPr>
              <w:t xml:space="preserve"> </w:t>
            </w:r>
            <w:r w:rsidRPr="00396C85">
              <w:rPr>
                <w:rFonts w:ascii="Verdana" w:eastAsia="Calibri" w:hAnsi="Verdana" w:cs="Arial"/>
                <w:lang w:val="es-ES"/>
              </w:rPr>
              <w:t xml:space="preserve">como </w:t>
            </w:r>
            <w:r>
              <w:rPr>
                <w:rFonts w:ascii="Verdana" w:eastAsia="Calibri" w:hAnsi="Verdana" w:cs="Arial"/>
                <w:lang w:val="es-ES"/>
              </w:rPr>
              <w:t xml:space="preserve">de </w:t>
            </w:r>
            <w:r w:rsidRPr="00396C85">
              <w:rPr>
                <w:rFonts w:ascii="Verdana" w:eastAsia="Calibri" w:hAnsi="Verdana" w:cs="Arial"/>
                <w:lang w:val="es-ES"/>
              </w:rPr>
              <w:t xml:space="preserve">determinar la modalidad de selección </w:t>
            </w:r>
            <w:r>
              <w:rPr>
                <w:rFonts w:ascii="Verdana" w:eastAsia="Calibri" w:hAnsi="Verdana" w:cs="Arial"/>
                <w:lang w:val="es-ES"/>
              </w:rPr>
              <w:t>aplicable para suplir sus necesidades.</w:t>
            </w:r>
          </w:p>
          <w:p w14:paraId="3B20695D" w14:textId="77777777" w:rsidR="0066632B" w:rsidRPr="001941FD" w:rsidRDefault="0066632B" w:rsidP="00024F5A">
            <w:pPr>
              <w:spacing w:line="276" w:lineRule="auto"/>
              <w:ind w:right="51" w:firstLine="737"/>
              <w:jc w:val="both"/>
              <w:rPr>
                <w:rFonts w:ascii="Verdana" w:eastAsia="Calibri" w:hAnsi="Verdana" w:cs="Arial"/>
                <w:bCs/>
                <w:color w:val="000000" w:themeColor="text1"/>
              </w:rPr>
            </w:pP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C9F5078" w14:textId="77777777" w:rsidR="0066632B" w:rsidRPr="00593A5F" w:rsidRDefault="0066632B" w:rsidP="0066632B">
      <w:pPr>
        <w:tabs>
          <w:tab w:val="left" w:pos="142"/>
          <w:tab w:val="left" w:pos="284"/>
        </w:tabs>
        <w:spacing w:after="0" w:line="276" w:lineRule="auto"/>
        <w:jc w:val="both"/>
        <w:rPr>
          <w:rFonts w:ascii="Verdana" w:eastAsia="Century Gothic" w:hAnsi="Verdana" w:cs="Century Gothic"/>
          <w:b/>
          <w:bCs/>
          <w:lang w:val="es-ES"/>
        </w:rPr>
      </w:pPr>
    </w:p>
    <w:bookmarkEnd w:id="0"/>
    <w:p w14:paraId="26DECECE" w14:textId="77777777" w:rsidR="0066632B" w:rsidRPr="00593A5F" w:rsidRDefault="0066632B" w:rsidP="006663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CB08C0D" w14:textId="77777777" w:rsidR="0066632B" w:rsidRPr="00593A5F" w:rsidRDefault="0066632B" w:rsidP="0066632B">
      <w:pPr>
        <w:spacing w:after="0" w:line="276" w:lineRule="auto"/>
        <w:jc w:val="both"/>
        <w:rPr>
          <w:rFonts w:ascii="Verdana" w:eastAsia="Calibri" w:hAnsi="Verdana" w:cs="Arial"/>
          <w:color w:val="7030A0"/>
          <w:lang w:val="es-ES"/>
        </w:rPr>
      </w:pPr>
    </w:p>
    <w:p w14:paraId="2BF9B90C" w14:textId="77777777" w:rsidR="0066632B" w:rsidRDefault="0066632B" w:rsidP="0066632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63CD189" w14:textId="77777777" w:rsidR="0066632B" w:rsidRDefault="0066632B" w:rsidP="0066632B">
      <w:pPr>
        <w:spacing w:after="0" w:line="276" w:lineRule="auto"/>
        <w:jc w:val="both"/>
        <w:rPr>
          <w:rFonts w:ascii="Verdana" w:eastAsia="Calibri" w:hAnsi="Verdana" w:cs="Arial"/>
          <w:lang w:val="es-ES"/>
        </w:rPr>
      </w:pPr>
    </w:p>
    <w:p w14:paraId="063F35E3" w14:textId="77777777" w:rsidR="0066632B" w:rsidRPr="002D6B43" w:rsidRDefault="0066632B" w:rsidP="0066632B">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4202F305" w14:textId="77777777" w:rsidR="0066632B" w:rsidRPr="006B14B5" w:rsidRDefault="0066632B" w:rsidP="0066632B">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1"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1"/>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631F171" w14:textId="77777777" w:rsidR="0066632B" w:rsidRPr="00E2397D" w:rsidRDefault="0066632B" w:rsidP="0066632B">
      <w:pPr>
        <w:spacing w:after="0" w:line="276" w:lineRule="auto"/>
        <w:ind w:right="709"/>
        <w:contextualSpacing/>
        <w:jc w:val="both"/>
        <w:rPr>
          <w:rFonts w:ascii="Verdana" w:eastAsia="Times New Roman" w:hAnsi="Verdana" w:cs="Arial"/>
          <w:lang w:val="es-ES" w:eastAsia="es-CO"/>
        </w:rPr>
      </w:pPr>
    </w:p>
    <w:p w14:paraId="450841BC" w14:textId="77777777" w:rsidR="0066632B" w:rsidRPr="00E2397D" w:rsidRDefault="0066632B" w:rsidP="0066632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8CEA049" w14:textId="77777777" w:rsidR="0066632B" w:rsidRDefault="0066632B" w:rsidP="0066632B">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59E80C4D" w14:textId="77777777" w:rsidR="0066632B" w:rsidRPr="000B35C5" w:rsidRDefault="0066632B" w:rsidP="0066632B">
      <w:pPr>
        <w:spacing w:after="0" w:line="240" w:lineRule="auto"/>
        <w:ind w:left="709" w:right="709"/>
        <w:contextualSpacing/>
        <w:jc w:val="both"/>
        <w:rPr>
          <w:rFonts w:ascii="Verdana" w:eastAsia="Times New Roman" w:hAnsi="Verdana" w:cs="Arial"/>
          <w:sz w:val="12"/>
          <w:szCs w:val="12"/>
          <w:lang w:val="es-MX" w:eastAsia="es-CO"/>
        </w:rPr>
      </w:pPr>
    </w:p>
    <w:p w14:paraId="362CC283" w14:textId="77777777" w:rsidR="0066632B" w:rsidRPr="00E2397D" w:rsidRDefault="0066632B" w:rsidP="0066632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w:t>
      </w:r>
      <w:r w:rsidRPr="00E2397D">
        <w:rPr>
          <w:rFonts w:ascii="Verdana" w:eastAsia="Times New Roman" w:hAnsi="Verdana" w:cs="Arial"/>
          <w:sz w:val="20"/>
          <w:szCs w:val="20"/>
          <w:lang w:val="es-MX" w:eastAsia="es-CO"/>
        </w:rPr>
        <w:lastRenderedPageBreak/>
        <w:t>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6E2EDB93" w14:textId="77777777" w:rsidR="0066632B" w:rsidRPr="00E2397D" w:rsidRDefault="0066632B" w:rsidP="0066632B">
      <w:pPr>
        <w:spacing w:after="0" w:line="276" w:lineRule="auto"/>
        <w:ind w:firstLine="709"/>
        <w:jc w:val="both"/>
        <w:rPr>
          <w:rFonts w:ascii="Verdana" w:eastAsia="Times New Roman" w:hAnsi="Verdana" w:cs="Arial"/>
          <w:lang w:val="es-MX" w:eastAsia="es-CO"/>
        </w:rPr>
      </w:pPr>
      <w:bookmarkStart w:id="2" w:name="_Hlk78818186"/>
    </w:p>
    <w:p w14:paraId="16AA9B41" w14:textId="77777777" w:rsidR="0066632B" w:rsidRPr="00E2397D" w:rsidRDefault="0066632B" w:rsidP="0066632B">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2"/>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2A12C20A" w14:textId="77777777" w:rsidR="0066632B" w:rsidRPr="00886C02" w:rsidRDefault="0066632B" w:rsidP="0066632B">
      <w:pPr>
        <w:spacing w:after="0" w:line="276" w:lineRule="auto"/>
        <w:ind w:firstLine="709"/>
        <w:jc w:val="both"/>
        <w:rPr>
          <w:rFonts w:ascii="Verdana" w:eastAsia="Times New Roman" w:hAnsi="Verdana" w:cs="Arial"/>
          <w:lang w:val="es-MX" w:eastAsia="es-CO"/>
        </w:rPr>
      </w:pPr>
    </w:p>
    <w:p w14:paraId="2CAAC0AB" w14:textId="77777777" w:rsidR="0066632B" w:rsidRPr="00E2397D" w:rsidRDefault="0066632B" w:rsidP="0066632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DAE1B17" w14:textId="77777777" w:rsidR="0066632B" w:rsidRPr="000B35C5" w:rsidRDefault="0066632B" w:rsidP="0066632B">
      <w:pPr>
        <w:spacing w:after="0" w:line="240" w:lineRule="auto"/>
        <w:ind w:right="709"/>
        <w:contextualSpacing/>
        <w:jc w:val="both"/>
        <w:rPr>
          <w:rFonts w:ascii="Verdana" w:eastAsia="Times New Roman" w:hAnsi="Verdana" w:cs="Arial"/>
          <w:sz w:val="12"/>
          <w:szCs w:val="12"/>
          <w:lang w:val="es-MX" w:eastAsia="es-CO"/>
        </w:rPr>
      </w:pPr>
    </w:p>
    <w:p w14:paraId="0B521953" w14:textId="77777777" w:rsidR="0066632B" w:rsidRPr="00E2397D" w:rsidRDefault="0066632B" w:rsidP="0066632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E2397D">
        <w:rPr>
          <w:rFonts w:ascii="Verdana" w:eastAsia="Times New Roman" w:hAnsi="Verdana" w:cs="Arial"/>
          <w:sz w:val="20"/>
          <w:szCs w:val="20"/>
          <w:lang w:val="es-MX" w:eastAsia="es-CO"/>
        </w:rPr>
        <w:lastRenderedPageBreak/>
        <w:t>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67A24211" w14:textId="77777777" w:rsidR="0066632B" w:rsidRPr="00E2397D" w:rsidRDefault="0066632B" w:rsidP="0066632B">
      <w:pPr>
        <w:spacing w:after="0" w:line="276" w:lineRule="auto"/>
        <w:jc w:val="both"/>
        <w:rPr>
          <w:rFonts w:ascii="Verdana" w:eastAsia="Calibri" w:hAnsi="Verdana" w:cs="Arial"/>
          <w:bCs/>
          <w:lang w:val="es-ES_tradnl"/>
        </w:rPr>
      </w:pPr>
    </w:p>
    <w:p w14:paraId="56CD79DD" w14:textId="77777777" w:rsidR="0066632B" w:rsidRDefault="0066632B" w:rsidP="0066632B">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3" w:name="_Hlk77236098"/>
      <w:bookmarkStart w:id="4"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3C8FE82" w14:textId="77777777" w:rsidR="0066632B" w:rsidRPr="00E2397D" w:rsidRDefault="0066632B" w:rsidP="0066632B">
      <w:pPr>
        <w:spacing w:after="0" w:line="276" w:lineRule="auto"/>
        <w:ind w:firstLine="709"/>
        <w:jc w:val="both"/>
        <w:rPr>
          <w:rFonts w:ascii="Verdana" w:eastAsia="Arial" w:hAnsi="Verdana" w:cs="Arial"/>
          <w:lang w:val="es-ES" w:eastAsia="es-ES" w:bidi="es-ES"/>
        </w:rPr>
      </w:pPr>
    </w:p>
    <w:p w14:paraId="70D8984A" w14:textId="77777777" w:rsidR="0066632B" w:rsidRPr="00E2397D" w:rsidRDefault="0066632B" w:rsidP="0066632B">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405751A2" w14:textId="77777777" w:rsidR="0066632B" w:rsidRPr="00E2397D" w:rsidRDefault="0066632B" w:rsidP="0066632B">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70E38C57" w14:textId="77777777" w:rsidR="0066632B" w:rsidRDefault="0066632B" w:rsidP="0066632B">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 xml:space="preserve">celebrar convenios interadministrativos para la </w:t>
      </w:r>
      <w:r w:rsidRPr="00E2397D">
        <w:rPr>
          <w:rFonts w:ascii="Verdana" w:eastAsia="Calibri" w:hAnsi="Verdana" w:cs="Arial"/>
          <w:lang w:val="es-MX"/>
        </w:rPr>
        <w:lastRenderedPageBreak/>
        <w:t>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4"/>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648BD34C" w14:textId="77777777" w:rsidR="0066632B" w:rsidRDefault="0066632B" w:rsidP="0066632B">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633607D0" w14:textId="77777777" w:rsidR="0066632B" w:rsidRDefault="0066632B" w:rsidP="0066632B">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2AD6A469" w14:textId="77777777" w:rsidR="0066632B" w:rsidRDefault="0066632B" w:rsidP="0066632B">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w:t>
      </w:r>
      <w:r>
        <w:rPr>
          <w:rFonts w:ascii="Verdana" w:eastAsia="Times New Roman" w:hAnsi="Verdana" w:cs="Arial"/>
          <w:bCs/>
          <w:lang w:val="es-ES" w:eastAsia="es-CO"/>
        </w:rPr>
        <w:lastRenderedPageBreak/>
        <w:t xml:space="preserve">registro presupuestal, o en algunos casos, la firma del acta de inicio, si así se determinó. </w:t>
      </w:r>
    </w:p>
    <w:p w14:paraId="076E0E90" w14:textId="77777777" w:rsidR="0066632B" w:rsidRPr="00894384" w:rsidRDefault="0066632B" w:rsidP="0066632B">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2431698E" w14:textId="77777777" w:rsidR="0066632B" w:rsidRPr="00E2397D" w:rsidRDefault="0066632B" w:rsidP="0066632B">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16AB2BC1" w14:textId="77777777" w:rsidR="0066632B" w:rsidRPr="00E2397D" w:rsidRDefault="0066632B" w:rsidP="0066632B">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3FBA434F" w14:textId="77777777" w:rsidR="0066632B" w:rsidRPr="00E2397D" w:rsidRDefault="0066632B" w:rsidP="0066632B">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E2397D">
        <w:rPr>
          <w:rFonts w:ascii="Verdana" w:eastAsia="Arial" w:hAnsi="Verdana" w:cs="Arial"/>
          <w:sz w:val="20"/>
          <w:szCs w:val="20"/>
          <w:lang w:eastAsia="es-ES" w:bidi="es-ES"/>
        </w:rPr>
        <w:t>se integran parcialmente</w:t>
      </w:r>
      <w:bookmarkEnd w:id="7"/>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67B51061" w14:textId="77777777" w:rsidR="0066632B" w:rsidRPr="00E2397D" w:rsidRDefault="0066632B" w:rsidP="0066632B">
      <w:pPr>
        <w:widowControl w:val="0"/>
        <w:autoSpaceDE w:val="0"/>
        <w:autoSpaceDN w:val="0"/>
        <w:spacing w:after="0" w:line="276" w:lineRule="auto"/>
        <w:contextualSpacing/>
        <w:rPr>
          <w:rFonts w:ascii="Verdana" w:eastAsia="Arial" w:hAnsi="Verdana" w:cs="Arial"/>
          <w:lang w:val="es-ES" w:eastAsia="es-ES" w:bidi="es-ES"/>
        </w:rPr>
      </w:pPr>
    </w:p>
    <w:p w14:paraId="28423B8C" w14:textId="77777777" w:rsidR="0066632B" w:rsidRPr="00E2397D" w:rsidRDefault="0066632B" w:rsidP="0066632B">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w:t>
      </w:r>
      <w:r w:rsidRPr="00E2397D">
        <w:rPr>
          <w:rFonts w:ascii="Verdana" w:eastAsia="Arial" w:hAnsi="Verdana" w:cs="Arial"/>
          <w:lang w:val="es-ES" w:eastAsia="es-ES" w:bidi="es-ES"/>
        </w:rPr>
        <w:lastRenderedPageBreak/>
        <w:t xml:space="preserve">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0FF32954" w14:textId="77777777" w:rsidR="0066632B" w:rsidRPr="00E2397D" w:rsidRDefault="0066632B" w:rsidP="0066632B">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7E852938" w14:textId="77777777" w:rsidR="0066632B" w:rsidRDefault="0066632B" w:rsidP="0066632B">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558B41E7" w14:textId="77777777" w:rsidR="0066632B" w:rsidRPr="00E2397D" w:rsidRDefault="0066632B" w:rsidP="0066632B">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1" w:name="_Hlk78820161"/>
    </w:p>
    <w:p w14:paraId="5A6C1ECC" w14:textId="77777777" w:rsidR="0066632B" w:rsidRPr="0057193B" w:rsidRDefault="0066632B" w:rsidP="0066632B">
      <w:pPr>
        <w:spacing w:after="0"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00E656D3" w14:textId="77777777" w:rsidR="0066632B" w:rsidRPr="00D631B0" w:rsidRDefault="0066632B" w:rsidP="0066632B">
      <w:pPr>
        <w:spacing w:after="0" w:line="276" w:lineRule="auto"/>
        <w:ind w:left="708" w:right="709"/>
        <w:jc w:val="both"/>
        <w:rPr>
          <w:rFonts w:ascii="Verdana" w:eastAsia="Calibri" w:hAnsi="Verdana" w:cs="Arial"/>
          <w:lang w:val="es-MX"/>
        </w:rPr>
      </w:pPr>
    </w:p>
    <w:p w14:paraId="1F9D808C" w14:textId="77777777" w:rsidR="0066632B" w:rsidRPr="00BB5022" w:rsidRDefault="0066632B" w:rsidP="0066632B">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BB502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2"/>
      </w:r>
      <w:r w:rsidRPr="00BB5022">
        <w:rPr>
          <w:rFonts w:ascii="Verdana" w:eastAsia="Calibri" w:hAnsi="Verdana" w:cs="Arial"/>
          <w:sz w:val="20"/>
          <w:szCs w:val="20"/>
          <w:lang w:val="es-MX"/>
        </w:rPr>
        <w:t>.</w:t>
      </w:r>
    </w:p>
    <w:p w14:paraId="78592E8F" w14:textId="77777777" w:rsidR="0066632B" w:rsidRPr="00BB5022" w:rsidRDefault="0066632B" w:rsidP="0066632B">
      <w:pPr>
        <w:spacing w:after="0" w:line="240" w:lineRule="auto"/>
        <w:ind w:left="708" w:right="709"/>
        <w:jc w:val="both"/>
        <w:rPr>
          <w:rFonts w:ascii="Verdana" w:eastAsia="Calibri" w:hAnsi="Verdana" w:cs="Arial"/>
          <w:sz w:val="20"/>
          <w:szCs w:val="20"/>
          <w:lang w:val="es-MX"/>
        </w:rPr>
      </w:pPr>
      <w:r w:rsidRPr="00BB5022">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3"/>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4"/>
      </w:r>
      <w:r w:rsidRPr="00BB5022">
        <w:rPr>
          <w:rFonts w:ascii="Verdana" w:eastAsia="Calibri" w:hAnsi="Verdana" w:cs="Arial"/>
          <w:sz w:val="20"/>
          <w:szCs w:val="20"/>
          <w:lang w:val="es-MX"/>
        </w:rPr>
        <w:t>.</w:t>
      </w:r>
    </w:p>
    <w:p w14:paraId="105C1608" w14:textId="77777777" w:rsidR="0066632B" w:rsidRPr="0057193B" w:rsidRDefault="0066632B" w:rsidP="0066632B">
      <w:pPr>
        <w:shd w:val="clear" w:color="auto" w:fill="FFFFFF"/>
        <w:spacing w:after="0" w:line="276" w:lineRule="auto"/>
        <w:ind w:firstLine="709"/>
        <w:jc w:val="both"/>
        <w:rPr>
          <w:rFonts w:ascii="Verdana" w:eastAsia="Times New Roman" w:hAnsi="Verdana" w:cs="Arial"/>
          <w:lang w:eastAsia="x-none"/>
        </w:rPr>
      </w:pPr>
    </w:p>
    <w:p w14:paraId="37C5E62E" w14:textId="77777777" w:rsidR="0066632B" w:rsidRPr="0057193B" w:rsidRDefault="0066632B" w:rsidP="0066632B">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3E1C522C" w14:textId="77777777" w:rsidR="0066632B" w:rsidRPr="0057193B" w:rsidRDefault="0066632B" w:rsidP="0066632B">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lastRenderedPageBreak/>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5F892532" w14:textId="77777777" w:rsidR="0066632B" w:rsidRPr="0057193B" w:rsidRDefault="0066632B" w:rsidP="0066632B">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2B64C662" w14:textId="77777777" w:rsidR="0066632B" w:rsidRPr="0057193B" w:rsidRDefault="0066632B" w:rsidP="0066632B">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541B6190" w14:textId="77777777" w:rsidR="0066632B" w:rsidRPr="0057193B" w:rsidRDefault="0066632B" w:rsidP="0066632B">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w:t>
      </w:r>
      <w:r w:rsidRPr="0057193B">
        <w:rPr>
          <w:rFonts w:ascii="Verdana" w:eastAsia="Times New Roman" w:hAnsi="Verdana" w:cs="Arial"/>
          <w:bCs/>
          <w:lang w:val="es-MX" w:eastAsia="x-none"/>
        </w:rPr>
        <w:lastRenderedPageBreak/>
        <w:t>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397AA17D" w14:textId="77777777" w:rsidR="0066632B" w:rsidRPr="0057193B" w:rsidRDefault="0066632B" w:rsidP="0066632B">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091F986" w14:textId="77777777" w:rsidR="0066632B" w:rsidRPr="00447D82" w:rsidRDefault="0066632B" w:rsidP="0066632B">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0"/>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6B1E5D99" w14:textId="77777777" w:rsidR="0066632B" w:rsidRPr="0057193B" w:rsidRDefault="0066632B" w:rsidP="0066632B">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w:t>
      </w:r>
      <w:r w:rsidRPr="0057193B">
        <w:rPr>
          <w:rFonts w:ascii="Verdana" w:eastAsia="Times New Roman" w:hAnsi="Verdana" w:cs="Arial"/>
          <w:bCs/>
          <w:lang w:val="es-MX" w:eastAsia="es-CO"/>
        </w:rPr>
        <w:lastRenderedPageBreak/>
        <w:t>adelanta y determinar si las mismas se enmarcan en alguna de las mencionadas excepciones, de manera que se le permita realizar la contratación que necesite en forma directa.</w:t>
      </w:r>
    </w:p>
    <w:p w14:paraId="06F9A135" w14:textId="77777777" w:rsidR="0066632B" w:rsidRPr="0057193B" w:rsidRDefault="0066632B" w:rsidP="0066632B">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1"/>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1AA3403" w14:textId="77777777" w:rsidR="0066632B" w:rsidRDefault="0066632B" w:rsidP="0066632B">
      <w:pPr>
        <w:spacing w:after="0" w:line="276" w:lineRule="auto"/>
        <w:jc w:val="both"/>
        <w:rPr>
          <w:rFonts w:ascii="Verdana" w:eastAsia="Times New Roman" w:hAnsi="Verdana" w:cs="Arial"/>
          <w:bCs/>
          <w:lang w:val="es-MX" w:eastAsia="x-none"/>
        </w:rPr>
      </w:pPr>
    </w:p>
    <w:p w14:paraId="699A350C" w14:textId="77777777" w:rsidR="0066632B" w:rsidRPr="0057193B" w:rsidRDefault="0066632B" w:rsidP="0066632B">
      <w:pPr>
        <w:spacing w:after="0" w:line="276" w:lineRule="auto"/>
        <w:jc w:val="both"/>
        <w:rPr>
          <w:rFonts w:ascii="Verdana" w:eastAsia="Times New Roman" w:hAnsi="Verdana" w:cs="Arial"/>
          <w:bCs/>
          <w:lang w:val="es-MX" w:eastAsia="x-none"/>
        </w:rPr>
      </w:pPr>
      <w:r>
        <w:rPr>
          <w:rFonts w:ascii="Verdana" w:eastAsia="Times New Roman" w:hAnsi="Verdana" w:cs="Arial"/>
          <w:bCs/>
          <w:lang w:val="es-MX" w:eastAsia="x-none"/>
        </w:rPr>
        <w:t xml:space="preserve">iv. </w:t>
      </w: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5BF20505" w14:textId="77777777" w:rsidR="0066632B" w:rsidRPr="0057193B" w:rsidRDefault="0066632B" w:rsidP="0066632B">
      <w:pPr>
        <w:spacing w:after="0" w:line="276" w:lineRule="auto"/>
        <w:jc w:val="both"/>
        <w:rPr>
          <w:rFonts w:ascii="Verdana" w:eastAsia="Times New Roman" w:hAnsi="Verdana" w:cs="Arial"/>
          <w:bCs/>
          <w:lang w:val="es-MX" w:eastAsia="x-none"/>
        </w:rPr>
      </w:pPr>
    </w:p>
    <w:p w14:paraId="6EB76DBA" w14:textId="77777777" w:rsidR="0066632B" w:rsidRPr="00883B81" w:rsidRDefault="0066632B" w:rsidP="0066632B">
      <w:pPr>
        <w:spacing w:after="0" w:line="240" w:lineRule="auto"/>
        <w:ind w:left="708" w:right="709"/>
        <w:jc w:val="both"/>
        <w:rPr>
          <w:rFonts w:ascii="Verdana" w:eastAsia="Times New Roman" w:hAnsi="Verdana" w:cs="Arial"/>
          <w:bCs/>
          <w:sz w:val="20"/>
          <w:szCs w:val="20"/>
          <w:lang w:val="es-MX" w:eastAsia="es-CO"/>
        </w:rPr>
      </w:pPr>
      <w:r w:rsidRPr="00883B81">
        <w:rPr>
          <w:rFonts w:ascii="Verdana" w:eastAsia="Times New Roman" w:hAnsi="Verdana" w:cs="Arial"/>
          <w:bCs/>
          <w:sz w:val="20"/>
          <w:szCs w:val="20"/>
          <w:lang w:val="es-MX"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w:t>
      </w:r>
      <w:r w:rsidRPr="00883B81">
        <w:rPr>
          <w:rFonts w:ascii="Verdana" w:eastAsia="Times New Roman" w:hAnsi="Verdana" w:cs="Arial"/>
          <w:bCs/>
          <w:sz w:val="20"/>
          <w:szCs w:val="20"/>
          <w:lang w:val="es-MX" w:eastAsia="x-none"/>
        </w:rPr>
        <w:lastRenderedPageBreak/>
        <w:t>prestadores directos, incluyendo las excepciones contenidas en el segundo inciso de esta norma”</w:t>
      </w:r>
      <w:r w:rsidRPr="00883B81">
        <w:rPr>
          <w:rFonts w:ascii="Verdana" w:eastAsia="Times New Roman" w:hAnsi="Verdana" w:cs="Arial"/>
          <w:bCs/>
          <w:sz w:val="20"/>
          <w:szCs w:val="20"/>
          <w:vertAlign w:val="superscript"/>
          <w:lang w:val="es-MX" w:eastAsia="x-none"/>
        </w:rPr>
        <w:footnoteReference w:id="22"/>
      </w:r>
      <w:r w:rsidRPr="00883B81">
        <w:rPr>
          <w:rFonts w:ascii="Verdana" w:eastAsia="Times New Roman" w:hAnsi="Verdana" w:cs="Arial"/>
          <w:bCs/>
          <w:sz w:val="20"/>
          <w:szCs w:val="20"/>
          <w:lang w:val="es-MX" w:eastAsia="x-none"/>
        </w:rPr>
        <w:t>.</w:t>
      </w:r>
      <w:r w:rsidRPr="00883B81">
        <w:rPr>
          <w:rFonts w:ascii="Verdana" w:eastAsia="Times New Roman" w:hAnsi="Verdana" w:cs="Arial"/>
          <w:bCs/>
          <w:sz w:val="20"/>
          <w:szCs w:val="20"/>
          <w:lang w:val="es-MX" w:eastAsia="es-CO"/>
        </w:rPr>
        <w:t xml:space="preserve"> </w:t>
      </w:r>
    </w:p>
    <w:p w14:paraId="0DF95B67" w14:textId="77777777" w:rsidR="0066632B" w:rsidRPr="0057193B" w:rsidRDefault="0066632B" w:rsidP="0066632B">
      <w:pPr>
        <w:spacing w:after="0" w:line="276" w:lineRule="auto"/>
        <w:ind w:firstLine="708"/>
        <w:jc w:val="both"/>
        <w:rPr>
          <w:rFonts w:ascii="Verdana" w:eastAsia="Times New Roman" w:hAnsi="Verdana" w:cs="Arial"/>
          <w:bCs/>
          <w:lang w:val="es-MX" w:eastAsia="es-CO"/>
        </w:rPr>
      </w:pPr>
    </w:p>
    <w:p w14:paraId="32344860" w14:textId="77777777" w:rsidR="0066632B" w:rsidRPr="0057193B" w:rsidRDefault="0066632B" w:rsidP="0066632B">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3"/>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1AC94911" w14:textId="77777777" w:rsidR="0066632B" w:rsidRPr="0057193B" w:rsidRDefault="0066632B" w:rsidP="0066632B">
      <w:pPr>
        <w:spacing w:after="0" w:line="276" w:lineRule="auto"/>
        <w:jc w:val="both"/>
        <w:rPr>
          <w:rFonts w:ascii="Verdana" w:eastAsia="Calibri" w:hAnsi="Verdana" w:cs="Arial"/>
          <w:lang w:val="es-MX"/>
        </w:rPr>
      </w:pPr>
    </w:p>
    <w:p w14:paraId="3704E1E0" w14:textId="77777777" w:rsidR="0066632B" w:rsidRPr="001924B7" w:rsidRDefault="0066632B" w:rsidP="0066632B">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w:t>
      </w: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15A19E7" w14:textId="77777777" w:rsidR="0066632B" w:rsidRPr="00883B81" w:rsidRDefault="0066632B" w:rsidP="0066632B">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08A0905B" w14:textId="77777777" w:rsidR="0066632B" w:rsidRPr="001924B7" w:rsidRDefault="0066632B" w:rsidP="0066632B">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 xml:space="preserve">Aplicando este razonamiento a los establecimientos de crédito, a las sociedades de servicios financieros y a las entidades aseguradoras, </w:t>
      </w:r>
      <w:r w:rsidRPr="001924B7">
        <w:rPr>
          <w:rFonts w:ascii="Verdana" w:eastAsia="Times New Roman" w:hAnsi="Verdana" w:cs="Arial"/>
          <w:bCs/>
          <w:sz w:val="20"/>
          <w:szCs w:val="20"/>
          <w:lang w:val="es-MX" w:eastAsia="x-none"/>
        </w:rPr>
        <w:lastRenderedPageBreak/>
        <w:t>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1924B7">
        <w:rPr>
          <w:rFonts w:ascii="Verdana" w:eastAsia="Calibri" w:hAnsi="Verdana" w:cs="Arial"/>
          <w:sz w:val="20"/>
          <w:szCs w:val="20"/>
          <w:vertAlign w:val="superscript"/>
          <w:lang w:val="es-MX"/>
        </w:rPr>
        <w:footnoteReference w:id="24"/>
      </w:r>
      <w:r w:rsidRPr="001924B7">
        <w:rPr>
          <w:rFonts w:ascii="Verdana" w:eastAsia="Times New Roman" w:hAnsi="Verdana" w:cs="Arial"/>
          <w:bCs/>
          <w:sz w:val="20"/>
          <w:szCs w:val="20"/>
          <w:lang w:val="es-MX" w:eastAsia="x-none"/>
        </w:rPr>
        <w:t>.</w:t>
      </w:r>
    </w:p>
    <w:p w14:paraId="12CEB9F2" w14:textId="77777777" w:rsidR="0066632B" w:rsidRPr="0057193B" w:rsidRDefault="0066632B" w:rsidP="0066632B">
      <w:pPr>
        <w:spacing w:after="0" w:line="276" w:lineRule="auto"/>
        <w:jc w:val="both"/>
        <w:rPr>
          <w:rFonts w:ascii="Verdana" w:eastAsia="Calibri" w:hAnsi="Verdana" w:cs="Arial"/>
          <w:lang w:val="es-MX"/>
        </w:rPr>
      </w:pPr>
    </w:p>
    <w:p w14:paraId="1FC025F3" w14:textId="77777777" w:rsidR="0066632B" w:rsidRPr="0057193B" w:rsidRDefault="0066632B" w:rsidP="0066632B">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5"/>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297C9520" w14:textId="77777777" w:rsidR="0066632B" w:rsidRDefault="0066632B" w:rsidP="0066632B">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2B71A8CB" w14:textId="77777777" w:rsidR="0066632B" w:rsidRPr="0086501B" w:rsidRDefault="0066632B" w:rsidP="0066632B">
      <w:pPr>
        <w:spacing w:after="0" w:line="276" w:lineRule="auto"/>
        <w:ind w:firstLine="709"/>
        <w:jc w:val="both"/>
        <w:rPr>
          <w:rFonts w:ascii="Verdana" w:eastAsia="Times New Roman" w:hAnsi="Verdana" w:cs="Arial"/>
          <w:bCs/>
          <w:lang w:val="es-MX" w:eastAsia="x-none"/>
        </w:rPr>
      </w:pPr>
    </w:p>
    <w:p w14:paraId="4265481E" w14:textId="77777777" w:rsidR="0066632B" w:rsidRPr="00396C85" w:rsidRDefault="0066632B" w:rsidP="0066632B">
      <w:pPr>
        <w:spacing w:after="120" w:line="276" w:lineRule="auto"/>
        <w:jc w:val="both"/>
        <w:rPr>
          <w:rFonts w:ascii="Verdana" w:hAnsi="Verdana" w:cs="Arial"/>
          <w:bCs/>
          <w:color w:val="000000" w:themeColor="text1"/>
          <w:lang w:val="es-ES"/>
        </w:rPr>
      </w:pPr>
      <w:r w:rsidRPr="00F4158D">
        <w:rPr>
          <w:rFonts w:ascii="Verdana" w:eastAsia="Calibri" w:hAnsi="Verdana" w:cs="Arial"/>
          <w:lang w:val="es-ES"/>
        </w:rPr>
        <w:t>v.</w:t>
      </w:r>
      <w:bookmarkEnd w:id="11"/>
      <w:r>
        <w:rPr>
          <w:rFonts w:ascii="Verdana" w:eastAsia="Times New Roman" w:hAnsi="Verdana" w:cs="Arial"/>
          <w:lang w:eastAsia="es-MX"/>
        </w:rPr>
        <w:t xml:space="preserve"> Respecto a</w:t>
      </w:r>
      <w:r w:rsidRPr="00C35463">
        <w:rPr>
          <w:rFonts w:ascii="Verdana" w:eastAsia="Times New Roman" w:hAnsi="Verdana" w:cs="Arial"/>
          <w:lang w:eastAsia="es-MX"/>
        </w:rPr>
        <w:t>l literal i) del artículo 2.4 de la Ley 1150 de 2011</w:t>
      </w:r>
      <w:r>
        <w:rPr>
          <w:rFonts w:ascii="Verdana" w:eastAsia="Times New Roman" w:hAnsi="Verdana" w:cs="Arial"/>
          <w:lang w:eastAsia="es-MX"/>
        </w:rPr>
        <w:t xml:space="preserve">, </w:t>
      </w:r>
      <w:r w:rsidRPr="00C35463">
        <w:rPr>
          <w:rFonts w:ascii="Verdana" w:eastAsia="Times New Roman" w:hAnsi="Verdana" w:cs="Arial"/>
          <w:lang w:eastAsia="es-MX"/>
        </w:rPr>
        <w:t>al igual que el literal e) del derogado artículo 24.1 de la Ley 80 de 1993</w:t>
      </w:r>
      <w:r>
        <w:rPr>
          <w:rFonts w:ascii="Verdana" w:eastAsia="Times New Roman" w:hAnsi="Verdana" w:cs="Arial"/>
          <w:lang w:eastAsia="es-MX"/>
        </w:rPr>
        <w:t>,</w:t>
      </w:r>
      <w:r w:rsidRPr="00C35463">
        <w:rPr>
          <w:rFonts w:ascii="Verdana" w:eastAsia="Times New Roman" w:hAnsi="Verdana" w:cs="Arial"/>
          <w:lang w:eastAsia="es-MX"/>
        </w:rPr>
        <w:t xml:space="preserve"> </w:t>
      </w:r>
      <w:r>
        <w:rPr>
          <w:rFonts w:ascii="Verdana" w:eastAsia="Times New Roman" w:hAnsi="Verdana" w:cs="Arial"/>
          <w:lang w:eastAsia="es-MX"/>
        </w:rPr>
        <w:t xml:space="preserve">el EGCAP </w:t>
      </w:r>
      <w:r w:rsidRPr="00C35463">
        <w:rPr>
          <w:rFonts w:ascii="Verdana" w:eastAsia="Times New Roman" w:hAnsi="Verdana" w:cs="Arial"/>
          <w:lang w:eastAsia="es-MX"/>
        </w:rPr>
        <w:t xml:space="preserve">permite la contratación directa tratándose de “El arrendamiento […] de inmuebles”. </w:t>
      </w:r>
      <w:r w:rsidRPr="00C35463">
        <w:rPr>
          <w:rFonts w:ascii="Verdana" w:hAnsi="Verdana" w:cs="Arial"/>
          <w:bCs/>
          <w:color w:val="000000" w:themeColor="text1"/>
          <w:lang w:val="es-ES"/>
        </w:rPr>
        <w:t>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r w:rsidRPr="00C35463">
        <w:rPr>
          <w:rFonts w:ascii="Verdana" w:eastAsia="Times New Roman" w:hAnsi="Verdana" w:cs="Arial"/>
          <w:lang w:eastAsia="es-MX"/>
        </w:rPr>
        <w:t xml:space="preserve"> </w:t>
      </w:r>
    </w:p>
    <w:p w14:paraId="428C6E9B" w14:textId="77777777" w:rsidR="0066632B" w:rsidRPr="00C35463" w:rsidRDefault="0066632B" w:rsidP="0066632B">
      <w:pPr>
        <w:spacing w:after="120" w:line="276" w:lineRule="auto"/>
        <w:ind w:firstLine="709"/>
        <w:jc w:val="both"/>
        <w:rPr>
          <w:rFonts w:ascii="Verdana" w:eastAsia="Times New Roman" w:hAnsi="Verdana" w:cs="Arial"/>
          <w:lang w:eastAsia="es-MX"/>
        </w:rPr>
      </w:pPr>
      <w:r w:rsidRPr="00C35463">
        <w:rPr>
          <w:rFonts w:ascii="Verdana" w:eastAsia="Times New Roman" w:hAnsi="Verdana" w:cs="Arial"/>
          <w:lang w:eastAsia="es-MX"/>
        </w:rPr>
        <w:t xml:space="preserve">Aunque el literal e) del derogado artículo 24.1 de la Ley 80 de 1993 tiene una redacción distinta a la prevista en los mencionados decretos leyes, autores como PINO RICCI entienden que “En el E.C. no se estableció que el evento de contratación directa del contrato de arrendamiento de inmuebles se refiere únicamente al evento en el que una entidad alquila un inmueble para su servicio, es decir, se constituye en arrendataria. </w:t>
      </w:r>
      <w:r w:rsidRPr="00C35463">
        <w:rPr>
          <w:rFonts w:ascii="Verdana" w:eastAsia="Times New Roman" w:hAnsi="Verdana" w:cs="Arial"/>
          <w:i/>
          <w:iCs/>
          <w:lang w:eastAsia="es-MX"/>
        </w:rPr>
        <w:t>Por tanto, también para el caso en el que actúa como arrendadora puede acudir a un evento especial de contratación directa</w:t>
      </w:r>
      <w:r w:rsidRPr="00C35463">
        <w:rPr>
          <w:rFonts w:ascii="Verdana" w:eastAsia="Times New Roman" w:hAnsi="Verdana" w:cs="Arial"/>
          <w:lang w:eastAsia="es-MX"/>
        </w:rPr>
        <w:t xml:space="preserve"> […]”</w:t>
      </w:r>
      <w:r w:rsidRPr="00C35463">
        <w:rPr>
          <w:rStyle w:val="Refdenotaalpie"/>
          <w:rFonts w:ascii="Verdana" w:eastAsia="Times New Roman" w:hAnsi="Verdana" w:cs="Arial"/>
          <w:lang w:eastAsia="es-MX"/>
        </w:rPr>
        <w:footnoteReference w:id="26"/>
      </w:r>
      <w:r w:rsidRPr="00C35463">
        <w:rPr>
          <w:rFonts w:ascii="Verdana" w:eastAsia="Times New Roman" w:hAnsi="Verdana" w:cs="Arial"/>
          <w:lang w:eastAsia="es-MX"/>
        </w:rPr>
        <w:t xml:space="preserve"> (Énfasis fuera de texto). Dicho entendimiento tampoco cambió después de la reforma de la Ley 1150 de 2007, pues DÁVILA VINUEZA considera que “</w:t>
      </w:r>
      <w:r w:rsidRPr="00C35463">
        <w:rPr>
          <w:rFonts w:ascii="Verdana" w:eastAsia="Times New Roman" w:hAnsi="Verdana" w:cs="Arial"/>
          <w:i/>
          <w:iCs/>
          <w:lang w:eastAsia="es-MX"/>
        </w:rPr>
        <w:t>La contratación directa está admitida tanto cuando la entidad es arrendataria como cuando es arrendadora y no se requiere obtener varias ofertas</w:t>
      </w:r>
      <w:r w:rsidRPr="00C35463">
        <w:rPr>
          <w:rFonts w:ascii="Verdana" w:eastAsia="Times New Roman" w:hAnsi="Verdana" w:cs="Arial"/>
          <w:lang w:eastAsia="es-MX"/>
        </w:rPr>
        <w:t xml:space="preserve"> […]”</w:t>
      </w:r>
      <w:r w:rsidRPr="00C35463">
        <w:rPr>
          <w:rStyle w:val="Refdenotaalpie"/>
          <w:rFonts w:ascii="Verdana" w:eastAsia="Times New Roman" w:hAnsi="Verdana" w:cs="Arial"/>
          <w:lang w:eastAsia="es-MX"/>
        </w:rPr>
        <w:footnoteReference w:id="27"/>
      </w:r>
      <w:r w:rsidRPr="00C35463">
        <w:rPr>
          <w:rFonts w:ascii="Verdana" w:eastAsia="Times New Roman" w:hAnsi="Verdana" w:cs="Arial"/>
          <w:lang w:eastAsia="es-MX"/>
        </w:rPr>
        <w:t xml:space="preserve"> (Énfasis fuera de texto); razón por la cual, también debe “[…] asegurarse la aplicación del deber de selección objetiva, que para este caso se materializa, si actúa la Administración como arrendataria, que se trate de un inmueble apto para el servicio, y si es arrendadora, que el canon pactado esté ajustado a un precio real y conveniente”</w:t>
      </w:r>
      <w:r w:rsidRPr="00C35463">
        <w:rPr>
          <w:rStyle w:val="Refdenotaalpie"/>
          <w:rFonts w:ascii="Verdana" w:eastAsia="Times New Roman" w:hAnsi="Verdana" w:cs="Arial"/>
          <w:lang w:eastAsia="es-MX"/>
        </w:rPr>
        <w:footnoteReference w:id="28"/>
      </w:r>
      <w:r w:rsidRPr="00C35463">
        <w:rPr>
          <w:rFonts w:ascii="Verdana" w:eastAsia="Times New Roman" w:hAnsi="Verdana" w:cs="Arial"/>
          <w:lang w:eastAsia="es-MX"/>
        </w:rPr>
        <w:t xml:space="preserve">. </w:t>
      </w:r>
    </w:p>
    <w:p w14:paraId="207C03A2" w14:textId="77777777" w:rsidR="0066632B" w:rsidRPr="00C35463" w:rsidRDefault="0066632B" w:rsidP="0066632B">
      <w:pPr>
        <w:spacing w:after="0" w:line="276" w:lineRule="auto"/>
        <w:ind w:firstLine="709"/>
        <w:jc w:val="both"/>
        <w:rPr>
          <w:rFonts w:ascii="Verdana" w:hAnsi="Verdana" w:cs="Arial"/>
          <w:bCs/>
          <w:color w:val="000000" w:themeColor="text1"/>
          <w:lang w:val="es-ES"/>
        </w:rPr>
      </w:pPr>
      <w:r w:rsidRPr="00C35463">
        <w:rPr>
          <w:rFonts w:ascii="Verdana" w:hAnsi="Verdana" w:cs="Arial"/>
          <w:bCs/>
          <w:color w:val="000000" w:themeColor="text1"/>
          <w:lang w:val="es-ES"/>
        </w:rPr>
        <w:t xml:space="preserve">Adicionalmente, el artículo 2.2.1.2.1.4.11 del Decreto 1082 de 2015 dispone que las entidades estatales pueden alquilar o arrendar inmuebles mediante contratación directa para lo cual deben seguir las siguientes reglas: </w:t>
      </w:r>
    </w:p>
    <w:p w14:paraId="50A410BA" w14:textId="77777777" w:rsidR="0066632B" w:rsidRPr="00C35463" w:rsidRDefault="0066632B" w:rsidP="0066632B">
      <w:pPr>
        <w:spacing w:after="0" w:line="276" w:lineRule="auto"/>
        <w:ind w:firstLine="709"/>
        <w:jc w:val="both"/>
        <w:rPr>
          <w:rFonts w:ascii="Verdana" w:hAnsi="Verdana" w:cs="Arial"/>
          <w:bCs/>
          <w:color w:val="000000" w:themeColor="text1"/>
          <w:lang w:val="es-ES"/>
        </w:rPr>
      </w:pPr>
    </w:p>
    <w:p w14:paraId="41229639" w14:textId="77777777" w:rsidR="0066632B" w:rsidRPr="00C35463" w:rsidRDefault="0066632B" w:rsidP="0066632B">
      <w:pPr>
        <w:spacing w:after="120" w:line="240" w:lineRule="auto"/>
        <w:ind w:left="709" w:right="709"/>
        <w:jc w:val="both"/>
        <w:rPr>
          <w:rFonts w:ascii="Verdana" w:eastAsia="Calibri" w:hAnsi="Verdana" w:cs="Arial"/>
          <w:sz w:val="20"/>
          <w:szCs w:val="20"/>
        </w:rPr>
      </w:pPr>
      <w:r w:rsidRPr="00C35463">
        <w:rPr>
          <w:rFonts w:ascii="Verdana" w:eastAsia="Calibri" w:hAnsi="Verdana" w:cs="Arial"/>
          <w:sz w:val="20"/>
          <w:szCs w:val="20"/>
        </w:rPr>
        <w:lastRenderedPageBreak/>
        <w:t>“1. Verificar las condiciones del mercado inmobiliario en la ciudad en la que la Entidad Estatal requiere el inmueble.</w:t>
      </w:r>
    </w:p>
    <w:p w14:paraId="66E9DCB3" w14:textId="77777777" w:rsidR="0066632B" w:rsidRPr="00C35463" w:rsidRDefault="0066632B" w:rsidP="0066632B">
      <w:pPr>
        <w:spacing w:after="0" w:line="240" w:lineRule="auto"/>
        <w:ind w:left="709" w:right="709"/>
        <w:jc w:val="both"/>
        <w:rPr>
          <w:rFonts w:ascii="Verdana" w:eastAsia="Calibri" w:hAnsi="Verdana" w:cs="Arial"/>
          <w:sz w:val="20"/>
          <w:szCs w:val="20"/>
        </w:rPr>
      </w:pPr>
      <w:r w:rsidRPr="00C35463">
        <w:rPr>
          <w:rFonts w:ascii="Verdana" w:eastAsia="Calibri" w:hAnsi="Verdana" w:cs="Arial"/>
          <w:sz w:val="20"/>
          <w:szCs w:val="20"/>
        </w:rPr>
        <w:t>2. Analizar y comparar las condiciones de los bienes inmuebles que satisfacen las necesidades identificadas y las opciones de arrendamiento, análisis que deberá tener en cuenta los principios y objetivos del sistema de compra y contratación pública”.</w:t>
      </w:r>
    </w:p>
    <w:p w14:paraId="34C4B09F" w14:textId="77777777" w:rsidR="0066632B" w:rsidRPr="00C35463" w:rsidRDefault="0066632B" w:rsidP="0066632B">
      <w:pPr>
        <w:spacing w:after="0" w:line="276" w:lineRule="auto"/>
        <w:ind w:firstLine="708"/>
        <w:jc w:val="both"/>
        <w:rPr>
          <w:rFonts w:ascii="Verdana" w:eastAsia="Calibri" w:hAnsi="Verdana" w:cs="Arial"/>
          <w:color w:val="000000" w:themeColor="text1"/>
        </w:rPr>
      </w:pPr>
    </w:p>
    <w:p w14:paraId="78B88552" w14:textId="77777777" w:rsidR="0066632B" w:rsidRPr="00C35463" w:rsidRDefault="0066632B" w:rsidP="0066632B">
      <w:pPr>
        <w:spacing w:after="120" w:line="276" w:lineRule="auto"/>
        <w:ind w:firstLine="708"/>
        <w:jc w:val="both"/>
        <w:rPr>
          <w:rFonts w:ascii="Verdana" w:eastAsia="Calibri" w:hAnsi="Verdana" w:cs="Arial"/>
          <w:lang w:val="es-ES"/>
        </w:rPr>
      </w:pPr>
      <w:r w:rsidRPr="00C35463">
        <w:rPr>
          <w:rFonts w:ascii="Verdana" w:eastAsia="Calibri" w:hAnsi="Verdana" w:cs="Arial"/>
          <w:lang w:val="es-ES"/>
        </w:rPr>
        <w:t xml:space="preserve">Para autores como GONZÁLEZ LÓPEZ, </w:t>
      </w:r>
      <w:r w:rsidRPr="00C35463">
        <w:rPr>
          <w:rFonts w:ascii="Verdana" w:eastAsia="Calibri" w:hAnsi="Verdana" w:cs="Arial"/>
          <w:sz w:val="20"/>
          <w:szCs w:val="20"/>
          <w:lang w:val="es-ES"/>
        </w:rPr>
        <w:t>“</w:t>
      </w:r>
      <w:r w:rsidRPr="00C35463">
        <w:rPr>
          <w:rFonts w:ascii="Verdana" w:eastAsia="Calibri" w:hAnsi="Verdana" w:cs="Arial"/>
          <w:lang w:val="es-ES"/>
        </w:rPr>
        <w:t xml:space="preserve">[…] la ley se refiere en forma indistinta al arrendamiento de inmuebles, mientras que el reglamento solo alude a cuando la entidad alquile o arriende inmuebles, en su calidad de arrendataria. No obstante, la falta de claridad del reglamento, cuando la ley no distingue no le corresponde al interprete distinguir y, por ende, </w:t>
      </w:r>
      <w:r w:rsidRPr="00C35463">
        <w:rPr>
          <w:rFonts w:ascii="Verdana" w:eastAsia="Calibri" w:hAnsi="Verdana" w:cs="Arial"/>
          <w:i/>
          <w:iCs/>
          <w:lang w:val="es-ES"/>
        </w:rPr>
        <w:t>es viable la modalidad de contratación directa siempre que se trae de un contrato de arrendamiento que suscriba una entidad estatal regulada por la Ley 80 de 1993</w:t>
      </w:r>
      <w:r w:rsidRPr="00C35463">
        <w:rPr>
          <w:rFonts w:ascii="Verdana" w:eastAsia="Calibri" w:hAnsi="Verdana" w:cs="Arial"/>
          <w:lang w:val="es-ES"/>
        </w:rPr>
        <w:t>”</w:t>
      </w:r>
      <w:r w:rsidRPr="00C35463">
        <w:rPr>
          <w:rStyle w:val="Refdenotaalpie"/>
          <w:rFonts w:ascii="Verdana" w:eastAsia="Calibri" w:hAnsi="Verdana" w:cs="Arial"/>
          <w:lang w:val="es-ES"/>
        </w:rPr>
        <w:footnoteReference w:id="29"/>
      </w:r>
      <w:r w:rsidRPr="00C35463">
        <w:rPr>
          <w:rFonts w:ascii="Verdana" w:eastAsia="Calibri" w:hAnsi="Verdana" w:cs="Arial"/>
          <w:lang w:val="es-ES"/>
        </w:rPr>
        <w:t xml:space="preserve"> (Énfasis fuera de texto).</w:t>
      </w:r>
    </w:p>
    <w:p w14:paraId="59DF9884" w14:textId="77777777" w:rsidR="0066632B" w:rsidRDefault="0066632B" w:rsidP="0066632B">
      <w:pPr>
        <w:pStyle w:val="paragraph"/>
        <w:shd w:val="clear" w:color="auto" w:fill="FFFFFF"/>
        <w:spacing w:before="0" w:beforeAutospacing="0" w:after="0" w:afterAutospacing="0" w:line="276" w:lineRule="auto"/>
        <w:ind w:firstLine="708"/>
        <w:jc w:val="both"/>
        <w:textAlignment w:val="baseline"/>
        <w:rPr>
          <w:rFonts w:ascii="Verdana" w:eastAsia="Calibri" w:hAnsi="Verdana" w:cs="Arial"/>
          <w:sz w:val="22"/>
          <w:szCs w:val="22"/>
          <w:lang w:val="es-ES"/>
        </w:rPr>
      </w:pPr>
      <w:r w:rsidRPr="00396C85">
        <w:rPr>
          <w:rFonts w:ascii="Verdana" w:eastAsia="Calibri" w:hAnsi="Verdana" w:cs="Arial"/>
          <w:sz w:val="22"/>
          <w:szCs w:val="22"/>
          <w:lang w:val="es-ES"/>
        </w:rPr>
        <w:t>RICO PUERTA sostiene la misma opinión, pero agrega que “[…] no existe prohibición legal para que, en los eventos en los que la entidad estatal actúa como arrendadora pueda adelantar una convocatoria pública para obtener las mejores condiciones en el negocio y para garantizar el principio de libre concurrencia”</w:t>
      </w:r>
      <w:r w:rsidRPr="00396C85">
        <w:rPr>
          <w:rStyle w:val="Refdenotaalpie"/>
          <w:rFonts w:ascii="Verdana" w:eastAsia="Calibri" w:hAnsi="Verdana" w:cs="Arial"/>
          <w:sz w:val="22"/>
          <w:szCs w:val="22"/>
          <w:lang w:val="es-ES"/>
        </w:rPr>
        <w:footnoteReference w:id="30"/>
      </w:r>
      <w:r w:rsidRPr="00396C85">
        <w:rPr>
          <w:rFonts w:ascii="Verdana" w:eastAsia="Calibri" w:hAnsi="Verdana" w:cs="Arial"/>
          <w:sz w:val="22"/>
          <w:szCs w:val="22"/>
          <w:lang w:val="es-ES"/>
        </w:rPr>
        <w:t>. Aunque existe la discusión sobre la conveniencia de esta postura, lo cierto es que</w:t>
      </w:r>
      <w:r>
        <w:rPr>
          <w:rFonts w:ascii="Verdana" w:eastAsia="Calibri" w:hAnsi="Verdana" w:cs="Arial"/>
          <w:sz w:val="22"/>
          <w:szCs w:val="22"/>
          <w:lang w:val="es-ES"/>
        </w:rPr>
        <w:t xml:space="preserve"> –dentro del marco normativo vigente–</w:t>
      </w:r>
      <w:r w:rsidRPr="00396C85">
        <w:rPr>
          <w:rFonts w:ascii="Verdana" w:eastAsia="Calibri" w:hAnsi="Verdana" w:cs="Arial"/>
          <w:sz w:val="22"/>
          <w:szCs w:val="22"/>
          <w:lang w:val="es-ES"/>
        </w:rPr>
        <w:t xml:space="preserve"> </w:t>
      </w:r>
      <w:r>
        <w:rPr>
          <w:rFonts w:ascii="Verdana" w:eastAsia="Calibri" w:hAnsi="Verdana" w:cs="Arial"/>
          <w:sz w:val="22"/>
          <w:szCs w:val="22"/>
          <w:lang w:val="es-ES"/>
        </w:rPr>
        <w:t>las entidades públicas son</w:t>
      </w:r>
      <w:r w:rsidRPr="00396C85">
        <w:rPr>
          <w:rFonts w:ascii="Verdana" w:eastAsia="Calibri" w:hAnsi="Verdana" w:cs="Arial"/>
          <w:sz w:val="22"/>
          <w:szCs w:val="22"/>
          <w:lang w:val="es-ES"/>
        </w:rPr>
        <w:t xml:space="preserve"> autónoma</w:t>
      </w:r>
      <w:r>
        <w:rPr>
          <w:rFonts w:ascii="Verdana" w:eastAsia="Calibri" w:hAnsi="Verdana" w:cs="Arial"/>
          <w:sz w:val="22"/>
          <w:szCs w:val="22"/>
          <w:lang w:val="es-ES"/>
        </w:rPr>
        <w:t>s</w:t>
      </w:r>
      <w:r w:rsidRPr="00396C85">
        <w:rPr>
          <w:rFonts w:ascii="Verdana" w:eastAsia="Calibri" w:hAnsi="Verdana" w:cs="Arial"/>
          <w:sz w:val="22"/>
          <w:szCs w:val="22"/>
          <w:lang w:val="es-ES"/>
        </w:rPr>
        <w:t xml:space="preserve"> y responsable</w:t>
      </w:r>
      <w:r>
        <w:rPr>
          <w:rFonts w:ascii="Verdana" w:eastAsia="Calibri" w:hAnsi="Verdana" w:cs="Arial"/>
          <w:sz w:val="22"/>
          <w:szCs w:val="22"/>
          <w:lang w:val="es-ES"/>
        </w:rPr>
        <w:t>s</w:t>
      </w:r>
      <w:r w:rsidRPr="00396C85">
        <w:rPr>
          <w:rFonts w:ascii="Verdana" w:eastAsia="Calibri" w:hAnsi="Verdana" w:cs="Arial"/>
          <w:sz w:val="22"/>
          <w:szCs w:val="22"/>
          <w:lang w:val="es-ES"/>
        </w:rPr>
        <w:t xml:space="preserve"> </w:t>
      </w:r>
      <w:r>
        <w:rPr>
          <w:rFonts w:ascii="Verdana" w:eastAsia="Calibri" w:hAnsi="Verdana" w:cs="Arial"/>
          <w:sz w:val="22"/>
          <w:szCs w:val="22"/>
          <w:lang w:val="es-ES"/>
        </w:rPr>
        <w:t xml:space="preserve">tanto </w:t>
      </w:r>
      <w:r w:rsidRPr="00396C85">
        <w:rPr>
          <w:rFonts w:ascii="Verdana" w:eastAsia="Calibri" w:hAnsi="Verdana" w:cs="Arial"/>
          <w:sz w:val="22"/>
          <w:szCs w:val="22"/>
          <w:lang w:val="es-ES"/>
        </w:rPr>
        <w:t>de la estructuración de sus procesos de contratación</w:t>
      </w:r>
      <w:r>
        <w:rPr>
          <w:rFonts w:ascii="Verdana" w:eastAsia="Calibri" w:hAnsi="Verdana" w:cs="Arial"/>
          <w:sz w:val="22"/>
          <w:szCs w:val="22"/>
          <w:lang w:val="es-ES"/>
        </w:rPr>
        <w:t xml:space="preserve"> </w:t>
      </w:r>
      <w:r w:rsidRPr="00396C85">
        <w:rPr>
          <w:rFonts w:ascii="Verdana" w:eastAsia="Calibri" w:hAnsi="Verdana" w:cs="Arial"/>
          <w:sz w:val="22"/>
          <w:szCs w:val="22"/>
          <w:lang w:val="es-ES"/>
        </w:rPr>
        <w:t xml:space="preserve">como </w:t>
      </w:r>
      <w:r>
        <w:rPr>
          <w:rFonts w:ascii="Verdana" w:eastAsia="Calibri" w:hAnsi="Verdana" w:cs="Arial"/>
          <w:sz w:val="22"/>
          <w:szCs w:val="22"/>
          <w:lang w:val="es-ES"/>
        </w:rPr>
        <w:t xml:space="preserve">de </w:t>
      </w:r>
      <w:r w:rsidRPr="00396C85">
        <w:rPr>
          <w:rFonts w:ascii="Verdana" w:eastAsia="Calibri" w:hAnsi="Verdana" w:cs="Arial"/>
          <w:sz w:val="22"/>
          <w:szCs w:val="22"/>
          <w:lang w:val="es-ES"/>
        </w:rPr>
        <w:t xml:space="preserve">determinar la modalidad de selección </w:t>
      </w:r>
      <w:r>
        <w:rPr>
          <w:rFonts w:ascii="Verdana" w:eastAsia="Calibri" w:hAnsi="Verdana" w:cs="Arial"/>
          <w:sz w:val="22"/>
          <w:szCs w:val="22"/>
          <w:lang w:val="es-ES"/>
        </w:rPr>
        <w:t>aplicable para suplir sus necesidades</w:t>
      </w:r>
      <w:r w:rsidRPr="00396C85">
        <w:rPr>
          <w:rStyle w:val="Refdenotaalpie"/>
          <w:rFonts w:ascii="Verdana" w:eastAsia="Calibri" w:hAnsi="Verdana" w:cs="Arial"/>
          <w:sz w:val="22"/>
          <w:szCs w:val="22"/>
          <w:lang w:val="es-ES"/>
        </w:rPr>
        <w:footnoteReference w:id="31"/>
      </w:r>
      <w:r w:rsidRPr="00396C85">
        <w:rPr>
          <w:rFonts w:ascii="Verdana" w:eastAsia="Calibri" w:hAnsi="Verdana" w:cs="Arial"/>
          <w:sz w:val="22"/>
          <w:szCs w:val="22"/>
          <w:lang w:val="es-ES"/>
        </w:rPr>
        <w:t>.</w:t>
      </w:r>
    </w:p>
    <w:p w14:paraId="71EAF836" w14:textId="77777777" w:rsidR="0066632B" w:rsidRDefault="0066632B" w:rsidP="0066632B">
      <w:pPr>
        <w:pStyle w:val="paragraph"/>
        <w:shd w:val="clear" w:color="auto" w:fill="FFFFFF"/>
        <w:spacing w:before="0" w:beforeAutospacing="0" w:after="0" w:afterAutospacing="0" w:line="276" w:lineRule="auto"/>
        <w:ind w:firstLine="708"/>
        <w:jc w:val="both"/>
        <w:textAlignment w:val="baseline"/>
        <w:rPr>
          <w:rFonts w:ascii="Verdana" w:eastAsia="Calibri" w:hAnsi="Verdana" w:cs="Arial"/>
          <w:sz w:val="22"/>
          <w:szCs w:val="22"/>
          <w:lang w:val="es-ES"/>
        </w:rPr>
      </w:pPr>
    </w:p>
    <w:p w14:paraId="5E411DE9" w14:textId="77777777" w:rsidR="0066632B" w:rsidRPr="00F4158D" w:rsidRDefault="0066632B" w:rsidP="0066632B">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 xml:space="preserve">vi. </w:t>
      </w:r>
      <w:r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3255BE0" w14:textId="77777777" w:rsidR="0066632B" w:rsidRPr="00F4158D" w:rsidRDefault="0066632B" w:rsidP="0066632B">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B4246E3" w14:textId="77777777" w:rsidR="0066632B" w:rsidRPr="00F4158D" w:rsidRDefault="0066632B" w:rsidP="0066632B">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48A65A3E" w14:textId="77777777" w:rsidR="0066632B" w:rsidRPr="00593A5F" w:rsidRDefault="0066632B" w:rsidP="006663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0E0DCF5" w14:textId="77777777" w:rsidR="0066632B" w:rsidRPr="00593A5F" w:rsidRDefault="0066632B" w:rsidP="0066632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6632B" w:rsidRPr="002407CE" w14:paraId="0996EAFF" w14:textId="77777777" w:rsidTr="00024F5A">
        <w:trPr>
          <w:trHeight w:val="870"/>
          <w:jc w:val="center"/>
        </w:trPr>
        <w:tc>
          <w:tcPr>
            <w:tcW w:w="8647" w:type="dxa"/>
          </w:tcPr>
          <w:p w14:paraId="3D897414" w14:textId="77777777" w:rsidR="0066632B" w:rsidRDefault="0066632B" w:rsidP="00024F5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127 y 197.</w:t>
            </w:r>
          </w:p>
          <w:p w14:paraId="1EECA543" w14:textId="1A0A936C" w:rsidR="0066632B" w:rsidRPr="00287DE9" w:rsidRDefault="0066632B" w:rsidP="0032290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39 y 41.</w:t>
            </w:r>
          </w:p>
          <w:p w14:paraId="778CC418" w14:textId="77777777" w:rsidR="0066632B" w:rsidRDefault="0066632B" w:rsidP="00024F5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Ley 996 de 2005, artículos 33 y 38.</w:t>
            </w:r>
          </w:p>
          <w:p w14:paraId="6E4BB4DE" w14:textId="77777777" w:rsidR="0066632B" w:rsidRDefault="0066632B" w:rsidP="00024F5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696694EB" w14:textId="77777777" w:rsidR="0066632B" w:rsidRDefault="0066632B" w:rsidP="00024F5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1082 de 2015, artículo </w:t>
            </w:r>
            <w:r w:rsidRPr="00C35463">
              <w:rPr>
                <w:rFonts w:ascii="Verdana" w:hAnsi="Verdana" w:cs="Arial"/>
                <w:bCs/>
                <w:color w:val="000000" w:themeColor="text1"/>
              </w:rPr>
              <w:t>2.2.1.2.1.4.11</w:t>
            </w:r>
            <w:r>
              <w:rPr>
                <w:rFonts w:ascii="Verdana" w:hAnsi="Verdana" w:cs="Arial"/>
                <w:bCs/>
                <w:color w:val="000000" w:themeColor="text1"/>
              </w:rPr>
              <w:t>.</w:t>
            </w:r>
            <w:r>
              <w:rPr>
                <w:rFonts w:ascii="Verdana" w:hAnsi="Verdana" w:cs="Arial"/>
              </w:rPr>
              <w:t xml:space="preserve"> </w:t>
            </w:r>
          </w:p>
          <w:p w14:paraId="1F6BE758" w14:textId="77777777" w:rsidR="0066632B" w:rsidRPr="003630EB" w:rsidRDefault="0066632B" w:rsidP="00024F5A">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 1501.</w:t>
            </w:r>
          </w:p>
        </w:tc>
      </w:tr>
    </w:tbl>
    <w:p w14:paraId="7DC1EBCF" w14:textId="77777777" w:rsidR="0066632B" w:rsidRPr="002407CE" w:rsidRDefault="0066632B" w:rsidP="0066632B">
      <w:pPr>
        <w:widowControl w:val="0"/>
        <w:autoSpaceDE w:val="0"/>
        <w:autoSpaceDN w:val="0"/>
        <w:spacing w:after="0" w:line="276" w:lineRule="auto"/>
        <w:jc w:val="both"/>
        <w:rPr>
          <w:rFonts w:ascii="Verdana" w:hAnsi="Verdana" w:cs="Arial"/>
        </w:rPr>
      </w:pPr>
    </w:p>
    <w:p w14:paraId="138066BA" w14:textId="77777777" w:rsidR="0066632B" w:rsidRPr="00593A5F" w:rsidRDefault="0066632B" w:rsidP="006663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FF1B115" w14:textId="77777777" w:rsidR="0066632B" w:rsidRPr="00593A5F" w:rsidRDefault="0066632B" w:rsidP="0066632B">
      <w:pPr>
        <w:widowControl w:val="0"/>
        <w:autoSpaceDE w:val="0"/>
        <w:autoSpaceDN w:val="0"/>
        <w:spacing w:after="0" w:line="276" w:lineRule="auto"/>
        <w:jc w:val="both"/>
        <w:rPr>
          <w:rFonts w:ascii="Verdana" w:hAnsi="Verdana" w:cs="Arial"/>
        </w:rPr>
      </w:pPr>
    </w:p>
    <w:p w14:paraId="36233F5B" w14:textId="77777777" w:rsidR="0066632B" w:rsidRPr="00ED0098" w:rsidRDefault="0066632B" w:rsidP="0066632B">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w:t>
      </w:r>
      <w:r w:rsidRPr="00177E85">
        <w:rPr>
          <w:rFonts w:ascii="Verdana" w:hAnsi="Verdana" w:cs="Arial"/>
          <w:shd w:val="clear" w:color="auto" w:fill="FFFFFF"/>
        </w:rPr>
        <w:t>entre otros</w:t>
      </w:r>
      <w:r>
        <w:rPr>
          <w:rFonts w:ascii="Verdana" w:hAnsi="Verdana"/>
        </w:rPr>
        <w:t xml:space="preserve">. Asimismo, </w:t>
      </w:r>
      <w:r w:rsidRPr="0094222D">
        <w:rPr>
          <w:rStyle w:val="normaltextrun"/>
          <w:rFonts w:ascii="Verdana" w:hAnsi="Verdana" w:cs="Arial"/>
          <w:shd w:val="clear" w:color="auto" w:fill="FFFFFF"/>
          <w:lang w:val="es-ES_tradnl"/>
        </w:rPr>
        <w:t>se ha pronunciado sobre el régimen jurídico de los contratos de arrendamiento en los Conceptos C-646 del 22 de noviembre de 2021</w:t>
      </w:r>
      <w:r>
        <w:rPr>
          <w:rStyle w:val="normaltextrun"/>
          <w:rFonts w:ascii="Verdana" w:hAnsi="Verdana" w:cs="Arial"/>
          <w:shd w:val="clear" w:color="auto" w:fill="FFFFFF"/>
          <w:lang w:val="es-ES_tradnl"/>
        </w:rPr>
        <w:t>,</w:t>
      </w:r>
      <w:r w:rsidRPr="0094222D">
        <w:rPr>
          <w:rStyle w:val="normaltextrun"/>
          <w:rFonts w:ascii="Verdana" w:hAnsi="Verdana" w:cs="Arial"/>
          <w:shd w:val="clear" w:color="auto" w:fill="FFFFFF"/>
          <w:lang w:val="es-ES_tradnl"/>
        </w:rPr>
        <w:t xml:space="preserve"> C-214 del 22 de abril de 2022</w:t>
      </w:r>
      <w:r>
        <w:rPr>
          <w:rStyle w:val="normaltextrun"/>
          <w:rFonts w:ascii="Verdana" w:hAnsi="Verdana" w:cs="Arial"/>
          <w:shd w:val="clear" w:color="auto" w:fill="FFFFFF"/>
          <w:lang w:val="es-ES_tradnl"/>
        </w:rPr>
        <w:t>, C-830 del 16 de diciembre de 2024, C-159 del 20 de marzo de 2025 y C-1648 del 14 de noviembre de 2025.</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1425FE7" w14:textId="77777777" w:rsidR="0066632B" w:rsidRPr="00096788" w:rsidRDefault="0066632B" w:rsidP="0066632B">
      <w:pPr>
        <w:widowControl w:val="0"/>
        <w:autoSpaceDE w:val="0"/>
        <w:autoSpaceDN w:val="0"/>
        <w:spacing w:after="0" w:line="276" w:lineRule="auto"/>
        <w:jc w:val="both"/>
        <w:rPr>
          <w:rFonts w:ascii="Verdana" w:hAnsi="Verdana" w:cs="Arial"/>
          <w:color w:val="000000" w:themeColor="text1"/>
          <w:shd w:val="clear" w:color="auto" w:fill="FFFFFF"/>
        </w:rPr>
      </w:pPr>
    </w:p>
    <w:p w14:paraId="6A65CC39" w14:textId="77777777" w:rsidR="0066632B" w:rsidRDefault="0066632B" w:rsidP="0066632B">
      <w:pPr>
        <w:shd w:val="clear" w:color="auto" w:fill="FFFFFF"/>
        <w:spacing w:after="0" w:line="276" w:lineRule="auto"/>
        <w:jc w:val="both"/>
        <w:rPr>
          <w:rFonts w:ascii="Verdana" w:hAnsi="Verdana"/>
          <w:color w:val="000000"/>
          <w:u w:val="single"/>
        </w:rPr>
      </w:pPr>
      <w:r w:rsidRPr="00B83C56">
        <w:rPr>
          <w:rFonts w:ascii="Verdana" w:hAnsi="Verdana"/>
          <w:color w:val="000000"/>
        </w:rPr>
        <w:lastRenderedPageBreak/>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5E58A676" w14:textId="77777777" w:rsidR="0066632B" w:rsidRDefault="0066632B" w:rsidP="0066632B">
      <w:pPr>
        <w:shd w:val="clear" w:color="auto" w:fill="FFFFFF"/>
        <w:spacing w:after="0" w:line="276" w:lineRule="auto"/>
        <w:jc w:val="both"/>
        <w:rPr>
          <w:rFonts w:ascii="Verdana" w:hAnsi="Verdana"/>
          <w:color w:val="000000"/>
          <w:u w:val="single"/>
        </w:rPr>
      </w:pPr>
    </w:p>
    <w:p w14:paraId="09F6D68F" w14:textId="77777777" w:rsidR="0066632B" w:rsidRPr="0038088D" w:rsidRDefault="0066632B" w:rsidP="0066632B">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5D91EFAF" w14:textId="77777777" w:rsidR="0066632B" w:rsidRPr="0038088D" w:rsidRDefault="0066632B" w:rsidP="0066632B">
      <w:pPr>
        <w:spacing w:after="0"/>
        <w:jc w:val="both"/>
        <w:rPr>
          <w:rFonts w:ascii="Verdana" w:hAnsi="Verdana"/>
        </w:rPr>
      </w:pPr>
    </w:p>
    <w:p w14:paraId="42A4EE35" w14:textId="77777777" w:rsidR="0066632B" w:rsidRPr="0038088D" w:rsidRDefault="0066632B" w:rsidP="0066632B">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4C5334BB" w14:textId="77777777" w:rsidR="0066632B" w:rsidRPr="0038088D" w:rsidRDefault="0066632B" w:rsidP="0066632B">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r w:rsidRPr="0038088D">
        <w:rPr>
          <w:rStyle w:val="Hipervnculo"/>
          <w:rFonts w:ascii="Verdana" w:hAnsi="Verdana"/>
        </w:rPr>
        <w:t>+57 601 7456788</w:t>
      </w:r>
    </w:p>
    <w:p w14:paraId="2F1ABCBB" w14:textId="77777777" w:rsidR="0066632B" w:rsidRPr="0038088D" w:rsidRDefault="0066632B" w:rsidP="0066632B">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4">
        <w:r w:rsidRPr="0038088D">
          <w:rPr>
            <w:rStyle w:val="Hipervnculo"/>
            <w:rFonts w:ascii="Verdana" w:eastAsia="Verdana" w:hAnsi="Verdana" w:cs="Verdana"/>
          </w:rPr>
          <w:t>ventanilladeradicacion@colombiacompra.gov.co</w:t>
        </w:r>
      </w:hyperlink>
    </w:p>
    <w:p w14:paraId="2FC720C2" w14:textId="77777777" w:rsidR="0066632B" w:rsidRPr="0038088D" w:rsidRDefault="0066632B" w:rsidP="0066632B">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5">
        <w:r w:rsidRPr="0038088D">
          <w:rPr>
            <w:rStyle w:val="Hipervnculo"/>
            <w:rFonts w:ascii="Verdana" w:eastAsia="Verdana" w:hAnsi="Verdana" w:cs="Verdana"/>
          </w:rPr>
          <w:t>https://www.colombiacompra.gov.co/pqrsd/informacion-importante-antes-de-formular-una-pqrsd</w:t>
        </w:r>
      </w:hyperlink>
    </w:p>
    <w:p w14:paraId="05408F9E" w14:textId="77777777" w:rsidR="0066632B" w:rsidRPr="0038088D" w:rsidRDefault="0066632B" w:rsidP="0066632B">
      <w:pPr>
        <w:spacing w:after="0" w:line="240" w:lineRule="auto"/>
        <w:ind w:left="720"/>
        <w:jc w:val="both"/>
        <w:rPr>
          <w:rFonts w:ascii="Verdana" w:hAnsi="Verdana"/>
        </w:rPr>
      </w:pPr>
    </w:p>
    <w:p w14:paraId="18D24B69" w14:textId="77777777" w:rsidR="0066632B" w:rsidRPr="0038088D" w:rsidRDefault="0066632B" w:rsidP="0066632B">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6"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56A3B8A9" w14:textId="77777777" w:rsidR="0066632B" w:rsidRPr="0038088D" w:rsidRDefault="0066632B" w:rsidP="0066632B">
      <w:pPr>
        <w:spacing w:after="0" w:line="240" w:lineRule="auto"/>
        <w:rPr>
          <w:rFonts w:ascii="Verdana" w:hAnsi="Verdana"/>
        </w:rPr>
      </w:pPr>
    </w:p>
    <w:p w14:paraId="61F00A1A" w14:textId="77777777" w:rsidR="0066632B" w:rsidRPr="0038088D" w:rsidRDefault="0066632B" w:rsidP="0066632B">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50C07810" w14:textId="77777777" w:rsidR="0066632B" w:rsidRPr="00116940" w:rsidRDefault="0066632B" w:rsidP="0066632B">
      <w:pPr>
        <w:spacing w:after="0" w:line="240" w:lineRule="auto"/>
        <w:jc w:val="both"/>
        <w:rPr>
          <w:rFonts w:ascii="Verdana" w:hAnsi="Verdana"/>
        </w:rPr>
      </w:pPr>
    </w:p>
    <w:p w14:paraId="02CAD7E1" w14:textId="77777777" w:rsidR="0066632B" w:rsidRPr="00116940" w:rsidRDefault="0066632B" w:rsidP="0066632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AC892F4" w14:textId="77777777" w:rsidR="0066632B" w:rsidRPr="00116940" w:rsidRDefault="0066632B" w:rsidP="0066632B">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BBA67AB" w14:textId="77777777" w:rsidR="0066632B" w:rsidRPr="00E22E6E" w:rsidRDefault="0066632B" w:rsidP="0066632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927F178" w14:textId="77777777" w:rsidR="0066632B" w:rsidRPr="009C4035" w:rsidRDefault="0066632B" w:rsidP="0066632B">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0C678D72" w14:textId="77777777" w:rsidR="0066632B" w:rsidRPr="00593A5F" w:rsidRDefault="0066632B" w:rsidP="0066632B">
      <w:pPr>
        <w:widowControl w:val="0"/>
        <w:autoSpaceDE w:val="0"/>
        <w:autoSpaceDN w:val="0"/>
        <w:spacing w:after="0" w:line="276" w:lineRule="auto"/>
        <w:jc w:val="both"/>
        <w:rPr>
          <w:rFonts w:ascii="Verdana" w:hAnsi="Verdana" w:cs="Arial"/>
          <w:lang w:val="es-ES_tradnl"/>
        </w:rPr>
      </w:pPr>
      <w:r w:rsidRPr="00593A5F">
        <w:rPr>
          <w:rFonts w:ascii="Verdana" w:hAnsi="Verdana" w:cs="Arial"/>
        </w:rPr>
        <w:lastRenderedPageBreak/>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7BAA03D6" w14:textId="77777777" w:rsidR="0066632B" w:rsidRPr="00593A5F" w:rsidRDefault="0066632B" w:rsidP="0066632B">
      <w:pPr>
        <w:widowControl w:val="0"/>
        <w:autoSpaceDE w:val="0"/>
        <w:autoSpaceDN w:val="0"/>
        <w:spacing w:after="0" w:line="276" w:lineRule="auto"/>
        <w:jc w:val="both"/>
        <w:rPr>
          <w:rFonts w:ascii="Verdana" w:hAnsi="Verdana" w:cs="Arial"/>
        </w:rPr>
      </w:pPr>
    </w:p>
    <w:p w14:paraId="44621623" w14:textId="77777777" w:rsidR="0066632B" w:rsidRPr="00593A5F" w:rsidRDefault="0066632B" w:rsidP="0066632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1F81E0D" w14:textId="50C0D5DB" w:rsidR="0066632B" w:rsidRPr="00593A5F" w:rsidRDefault="00B355D2" w:rsidP="0066632B">
      <w:pPr>
        <w:spacing w:line="276" w:lineRule="auto"/>
        <w:jc w:val="center"/>
        <w:rPr>
          <w:rFonts w:ascii="Verdana" w:hAnsi="Verdana" w:cs="Arial"/>
          <w:color w:val="000000"/>
          <w:lang w:val="es-ES_tradnl" w:eastAsia="es-CO"/>
        </w:rPr>
      </w:pPr>
      <w:r>
        <w:rPr>
          <w:noProof/>
        </w:rPr>
        <w:drawing>
          <wp:inline distT="0" distB="0" distL="0" distR="0" wp14:anchorId="10D91F95" wp14:editId="749D559E">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6632B" w:rsidRPr="00593A5F" w14:paraId="0FF873D4" w14:textId="77777777" w:rsidTr="00024F5A">
        <w:trPr>
          <w:trHeight w:val="315"/>
        </w:trPr>
        <w:tc>
          <w:tcPr>
            <w:tcW w:w="893" w:type="dxa"/>
            <w:vAlign w:val="center"/>
            <w:hideMark/>
          </w:tcPr>
          <w:p w14:paraId="26A58A54" w14:textId="77777777" w:rsidR="0066632B" w:rsidRPr="003751C7" w:rsidRDefault="0066632B" w:rsidP="00024F5A">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7B8756F" w14:textId="77777777" w:rsidR="0066632B" w:rsidRPr="00254A7A" w:rsidRDefault="0066632B" w:rsidP="00024F5A">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A7E07A7" w14:textId="77777777" w:rsidR="0066632B" w:rsidRPr="00254A7A" w:rsidRDefault="0066632B" w:rsidP="00024F5A">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66632B" w:rsidRPr="00593A5F" w14:paraId="5E62C3CA" w14:textId="77777777" w:rsidTr="00024F5A">
        <w:trPr>
          <w:trHeight w:val="330"/>
        </w:trPr>
        <w:tc>
          <w:tcPr>
            <w:tcW w:w="893" w:type="dxa"/>
            <w:vAlign w:val="center"/>
            <w:hideMark/>
          </w:tcPr>
          <w:p w14:paraId="49803D8B" w14:textId="77777777" w:rsidR="0066632B" w:rsidRPr="003751C7" w:rsidRDefault="0066632B" w:rsidP="00024F5A">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7C5D9CE" w14:textId="77777777" w:rsidR="0066632B" w:rsidRPr="001B6B73" w:rsidRDefault="0066632B" w:rsidP="00024F5A">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5C41ABA5" w14:textId="77777777" w:rsidR="0066632B" w:rsidRPr="00254A7A" w:rsidRDefault="0066632B" w:rsidP="00024F5A">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66632B" w:rsidRPr="00593A5F" w14:paraId="4275B4BE" w14:textId="77777777" w:rsidTr="00024F5A">
        <w:trPr>
          <w:trHeight w:val="300"/>
        </w:trPr>
        <w:tc>
          <w:tcPr>
            <w:tcW w:w="893" w:type="dxa"/>
            <w:vAlign w:val="center"/>
          </w:tcPr>
          <w:p w14:paraId="0DFDF6F9" w14:textId="77777777" w:rsidR="0066632B" w:rsidRPr="003751C7" w:rsidRDefault="0066632B" w:rsidP="00024F5A">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F87915" w14:textId="77777777" w:rsidR="0066632B" w:rsidRPr="003751C7" w:rsidRDefault="0066632B" w:rsidP="00024F5A">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714A1788" w14:textId="77777777" w:rsidR="0066632B" w:rsidRPr="003751C7" w:rsidRDefault="0066632B" w:rsidP="00024F5A">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38A3ABEC" w14:textId="77777777" w:rsidR="0066632B" w:rsidRPr="00543BFE" w:rsidRDefault="0066632B" w:rsidP="0066632B"/>
    <w:p w14:paraId="7A0760D6" w14:textId="77777777" w:rsidR="0066632B" w:rsidRPr="00B36323" w:rsidRDefault="0066632B" w:rsidP="0066632B"/>
    <w:p w14:paraId="0F293BF4" w14:textId="629CEA27" w:rsidR="00127233" w:rsidRPr="00C7365F" w:rsidRDefault="00127233" w:rsidP="00C7365F"/>
    <w:sectPr w:rsidR="00127233" w:rsidRPr="00C7365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853C3" w14:textId="77777777" w:rsidR="00F51124" w:rsidRDefault="00F51124" w:rsidP="004A1847">
      <w:pPr>
        <w:spacing w:after="0" w:line="240" w:lineRule="auto"/>
      </w:pPr>
      <w:r>
        <w:separator/>
      </w:r>
    </w:p>
  </w:endnote>
  <w:endnote w:type="continuationSeparator" w:id="0">
    <w:p w14:paraId="76F31B60" w14:textId="77777777" w:rsidR="00F51124" w:rsidRDefault="00F51124" w:rsidP="004A1847">
      <w:pPr>
        <w:spacing w:after="0" w:line="240" w:lineRule="auto"/>
      </w:pPr>
      <w:r>
        <w:continuationSeparator/>
      </w:r>
    </w:p>
  </w:endnote>
  <w:endnote w:type="continuationNotice" w:id="1">
    <w:p w14:paraId="086D277C" w14:textId="77777777" w:rsidR="00F51124" w:rsidRDefault="00F511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287DE9"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287DE9">
      <w:rPr>
        <w:rFonts w:ascii="Century Gothic" w:eastAsia="Geo" w:hAnsi="Century Gothic" w:cs="Geo"/>
        <w:b/>
        <w:color w:val="000000" w:themeColor="text1"/>
        <w:sz w:val="16"/>
        <w:szCs w:val="16"/>
        <w:lang w:val="pt-BR" w:eastAsia="es-CO"/>
      </w:rPr>
      <w:t xml:space="preserve">Código: </w:t>
    </w:r>
    <w:r w:rsidRPr="00287DE9">
      <w:rPr>
        <w:rFonts w:ascii="Century Gothic" w:eastAsia="Geo" w:hAnsi="Century Gothic" w:cs="Geo"/>
        <w:color w:val="000000" w:themeColor="text1"/>
        <w:sz w:val="16"/>
        <w:szCs w:val="16"/>
        <w:lang w:val="pt-BR" w:eastAsia="es-CO"/>
      </w:rPr>
      <w:t xml:space="preserve">CCE-REC-FM-17 </w:t>
    </w:r>
    <w:r w:rsidRPr="00287DE9">
      <w:rPr>
        <w:rFonts w:ascii="Century Gothic" w:eastAsia="Geo" w:hAnsi="Century Gothic" w:cs="Geo"/>
        <w:b/>
        <w:color w:val="000000" w:themeColor="text1"/>
        <w:sz w:val="16"/>
        <w:szCs w:val="16"/>
        <w:lang w:val="pt-BR" w:eastAsia="es-CO"/>
      </w:rPr>
      <w:t>V</w:t>
    </w:r>
    <w:r w:rsidRPr="00287DE9">
      <w:rPr>
        <w:rFonts w:ascii="Century Gothic" w:eastAsia="Arial Nova" w:hAnsi="Century Gothic" w:cs="Arial Nova"/>
        <w:b/>
        <w:color w:val="000000" w:themeColor="text1"/>
        <w:sz w:val="16"/>
        <w:szCs w:val="16"/>
        <w:lang w:val="pt-BR" w:eastAsia="es-CO"/>
      </w:rPr>
      <w:t xml:space="preserve">: </w:t>
    </w:r>
    <w:r w:rsidRPr="00287DE9">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4E5CAD" w14:textId="77777777" w:rsidR="00F51124" w:rsidRDefault="00F51124" w:rsidP="004A1847">
      <w:pPr>
        <w:spacing w:after="0" w:line="240" w:lineRule="auto"/>
      </w:pPr>
      <w:r>
        <w:separator/>
      </w:r>
    </w:p>
  </w:footnote>
  <w:footnote w:type="continuationSeparator" w:id="0">
    <w:p w14:paraId="57898D53" w14:textId="77777777" w:rsidR="00F51124" w:rsidRDefault="00F51124" w:rsidP="004A1847">
      <w:pPr>
        <w:spacing w:after="0" w:line="240" w:lineRule="auto"/>
      </w:pPr>
      <w:r>
        <w:continuationSeparator/>
      </w:r>
    </w:p>
  </w:footnote>
  <w:footnote w:type="continuationNotice" w:id="1">
    <w:p w14:paraId="335ECD42" w14:textId="77777777" w:rsidR="00F51124" w:rsidRDefault="00F51124">
      <w:pPr>
        <w:spacing w:after="0" w:line="240" w:lineRule="auto"/>
      </w:pPr>
    </w:p>
  </w:footnote>
  <w:footnote w:id="2">
    <w:p w14:paraId="76F7901E" w14:textId="77777777" w:rsidR="0066632B" w:rsidRPr="004B35AC" w:rsidRDefault="0066632B" w:rsidP="0066632B">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260CD28" w14:textId="77777777" w:rsidR="0066632B" w:rsidRPr="004B35AC" w:rsidRDefault="0066632B" w:rsidP="0066632B">
      <w:pPr>
        <w:pStyle w:val="Textonotapie"/>
        <w:ind w:firstLine="709"/>
        <w:jc w:val="both"/>
        <w:rPr>
          <w:rFonts w:ascii="Verdana" w:hAnsi="Verdana" w:cs="Arial"/>
          <w:sz w:val="16"/>
          <w:szCs w:val="16"/>
        </w:rPr>
      </w:pPr>
      <w:r w:rsidRPr="004B35A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26AB2D8E" w14:textId="77777777" w:rsidR="0066632B" w:rsidRPr="004B35AC" w:rsidRDefault="0066632B" w:rsidP="0066632B">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Gaceta del Congreso de la República No. 71 del 2005.</w:t>
      </w:r>
    </w:p>
  </w:footnote>
  <w:footnote w:id="4">
    <w:p w14:paraId="0FFF7901" w14:textId="77777777" w:rsidR="0066632B" w:rsidRPr="004B35AC" w:rsidRDefault="0066632B" w:rsidP="0066632B">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 C- 1153 de 2005, M.P. Marco Gerardo Monroy Cabra.</w:t>
      </w:r>
    </w:p>
  </w:footnote>
  <w:footnote w:id="5">
    <w:p w14:paraId="56D1DBBA" w14:textId="77777777" w:rsidR="0066632B" w:rsidRPr="004B35AC" w:rsidRDefault="0066632B" w:rsidP="0066632B">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4BE74988" w14:textId="77777777" w:rsidR="0066632B" w:rsidRPr="004B35AC" w:rsidRDefault="0066632B" w:rsidP="0066632B">
      <w:pPr>
        <w:pStyle w:val="Textonotapie"/>
        <w:ind w:firstLine="709"/>
        <w:jc w:val="both"/>
        <w:rPr>
          <w:rFonts w:ascii="Verdana" w:hAnsi="Verdana" w:cs="Arial"/>
          <w:sz w:val="16"/>
          <w:szCs w:val="16"/>
          <w:lang w:val="es-CO"/>
        </w:rPr>
      </w:pPr>
      <w:r w:rsidRPr="004B35AC">
        <w:rPr>
          <w:rStyle w:val="Refdenotaalpie"/>
          <w:rFonts w:ascii="Verdana" w:hAnsi="Verdana" w:cs="Arial"/>
          <w:sz w:val="16"/>
          <w:szCs w:val="16"/>
        </w:rPr>
        <w:footnoteRef/>
      </w:r>
      <w:r w:rsidRPr="004B35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02FCD3E1" w14:textId="77777777" w:rsidR="0066632B" w:rsidRPr="004B35AC" w:rsidRDefault="0066632B" w:rsidP="0066632B">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de fecha 24 de julio de 2013, radicado 2166, C. P. Álvaro Namén Vargas.  </w:t>
      </w:r>
    </w:p>
  </w:footnote>
  <w:footnote w:id="8">
    <w:p w14:paraId="385920AD" w14:textId="77777777" w:rsidR="0066632B" w:rsidRPr="004B35AC" w:rsidRDefault="0066632B" w:rsidP="0066632B">
      <w:pPr>
        <w:spacing w:after="0" w:line="240" w:lineRule="auto"/>
        <w:ind w:firstLine="709"/>
        <w:jc w:val="both"/>
        <w:rPr>
          <w:rFonts w:ascii="Verdana" w:eastAsia="Times New Roman"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5" w:name="33"/>
      <w:r w:rsidRPr="004B35AC">
        <w:rPr>
          <w:rFonts w:ascii="Verdana" w:eastAsia="Calibri" w:hAnsi="Verdana" w:cs="Arial"/>
          <w:color w:val="000000"/>
          <w:sz w:val="16"/>
          <w:szCs w:val="16"/>
        </w:rPr>
        <w:t>“</w:t>
      </w:r>
      <w:r w:rsidRPr="004B35AC">
        <w:rPr>
          <w:rFonts w:ascii="Verdana" w:eastAsia="Times New Roman" w:hAnsi="Verdana" w:cs="Arial"/>
          <w:sz w:val="16"/>
          <w:szCs w:val="16"/>
        </w:rPr>
        <w:t>Artículo 33. Restricciones a la contratación pública.</w:t>
      </w:r>
      <w:bookmarkEnd w:id="5"/>
      <w:r w:rsidRPr="004B35A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4E4760B2" w14:textId="77777777" w:rsidR="0066632B" w:rsidRPr="004B35AC" w:rsidRDefault="0066632B" w:rsidP="0066632B">
      <w:pPr>
        <w:spacing w:after="0" w:line="240" w:lineRule="auto"/>
        <w:ind w:firstLine="709"/>
        <w:jc w:val="both"/>
        <w:rPr>
          <w:rFonts w:ascii="Verdana" w:eastAsia="Times New Roman" w:hAnsi="Verdana" w:cs="Arial"/>
          <w:sz w:val="16"/>
          <w:szCs w:val="16"/>
        </w:rPr>
      </w:pPr>
      <w:r w:rsidRPr="004B35A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B35AC">
        <w:rPr>
          <w:rFonts w:ascii="Verdana" w:eastAsia="Calibri" w:hAnsi="Verdana" w:cs="Arial"/>
          <w:color w:val="000000"/>
          <w:sz w:val="16"/>
          <w:szCs w:val="16"/>
        </w:rPr>
        <w:t>”</w:t>
      </w:r>
      <w:r w:rsidRPr="004B35AC">
        <w:rPr>
          <w:rFonts w:ascii="Verdana" w:eastAsia="Times New Roman" w:hAnsi="Verdana" w:cs="Arial"/>
          <w:sz w:val="16"/>
          <w:szCs w:val="16"/>
        </w:rPr>
        <w:t>.</w:t>
      </w:r>
    </w:p>
  </w:footnote>
  <w:footnote w:id="9">
    <w:p w14:paraId="235560F6" w14:textId="77777777" w:rsidR="0066632B" w:rsidRPr="004B35AC" w:rsidRDefault="0066632B" w:rsidP="0066632B">
      <w:pPr>
        <w:pStyle w:val="NormalWeb"/>
        <w:spacing w:before="0" w:beforeAutospacing="0" w:after="0" w:afterAutospacing="0"/>
        <w:ind w:firstLine="709"/>
        <w:jc w:val="both"/>
        <w:rPr>
          <w:rFonts w:ascii="Verdana" w:hAnsi="Verdana" w:cs="Arial"/>
          <w:sz w:val="16"/>
          <w:szCs w:val="16"/>
          <w:lang w:val="es-MX"/>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6" w:name="38"/>
      <w:r w:rsidRPr="004B35AC">
        <w:rPr>
          <w:rFonts w:ascii="Verdana" w:eastAsia="Calibri" w:hAnsi="Verdana" w:cs="Arial"/>
          <w:color w:val="000000"/>
          <w:sz w:val="16"/>
          <w:szCs w:val="16"/>
        </w:rPr>
        <w:t>“</w:t>
      </w:r>
      <w:r w:rsidRPr="004B35AC">
        <w:rPr>
          <w:rFonts w:ascii="Verdana" w:hAnsi="Verdana" w:cs="Arial"/>
          <w:sz w:val="16"/>
          <w:szCs w:val="16"/>
          <w:lang w:val="es-MX"/>
        </w:rPr>
        <w:t>Artículo 38. Prohibiciones para los servidores públicos. A los empleados del Estado les está prohibido:</w:t>
      </w:r>
      <w:bookmarkEnd w:id="6"/>
      <w:r w:rsidRPr="004B35AC">
        <w:rPr>
          <w:rFonts w:ascii="Verdana" w:hAnsi="Verdana" w:cs="Arial"/>
          <w:sz w:val="16"/>
          <w:szCs w:val="16"/>
          <w:lang w:val="es-MX"/>
        </w:rPr>
        <w:t xml:space="preserve"> […]</w:t>
      </w:r>
    </w:p>
    <w:p w14:paraId="1D757E1C" w14:textId="77777777" w:rsidR="0066632B" w:rsidRPr="004B35AC" w:rsidRDefault="0066632B" w:rsidP="0066632B">
      <w:pPr>
        <w:pStyle w:val="NormalWeb"/>
        <w:spacing w:before="0" w:beforeAutospacing="0" w:after="0" w:afterAutospacing="0"/>
        <w:ind w:firstLine="709"/>
        <w:jc w:val="both"/>
        <w:rPr>
          <w:rFonts w:ascii="Verdana" w:hAnsi="Verdana" w:cs="Arial"/>
          <w:sz w:val="16"/>
          <w:szCs w:val="16"/>
          <w:lang w:val="es-MX"/>
        </w:rPr>
      </w:pPr>
      <w:r w:rsidRPr="004B35AC">
        <w:rPr>
          <w:rStyle w:val="baj"/>
          <w:rFonts w:ascii="Verdana" w:hAnsi="Verdana" w:cs="Arial"/>
          <w:sz w:val="16"/>
          <w:szCs w:val="16"/>
          <w:lang w:val="es-MX"/>
        </w:rPr>
        <w:t>Parágrafo.</w:t>
      </w:r>
      <w:r w:rsidRPr="004B35A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B35AC">
        <w:rPr>
          <w:rFonts w:ascii="Verdana" w:eastAsia="Calibri" w:hAnsi="Verdana" w:cs="Arial"/>
          <w:color w:val="000000"/>
          <w:sz w:val="16"/>
          <w:szCs w:val="16"/>
        </w:rPr>
        <w:t>”</w:t>
      </w:r>
      <w:r w:rsidRPr="004B35AC">
        <w:rPr>
          <w:rFonts w:ascii="Verdana" w:hAnsi="Verdana" w:cs="Arial"/>
          <w:sz w:val="16"/>
          <w:szCs w:val="16"/>
          <w:lang w:val="es-MX"/>
        </w:rPr>
        <w:t>.</w:t>
      </w:r>
    </w:p>
  </w:footnote>
  <w:footnote w:id="10">
    <w:p w14:paraId="3F73A940" w14:textId="77777777" w:rsidR="0066632B" w:rsidRPr="004B35AC" w:rsidRDefault="0066632B" w:rsidP="0066632B">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w:t>
      </w:r>
    </w:p>
  </w:footnote>
  <w:footnote w:id="11">
    <w:p w14:paraId="5330D51D" w14:textId="77777777" w:rsidR="0066632B" w:rsidRPr="004B35AC" w:rsidRDefault="0066632B" w:rsidP="0066632B">
      <w:pPr>
        <w:spacing w:after="0" w:line="240" w:lineRule="auto"/>
        <w:ind w:left="100" w:right="244" w:firstLine="608"/>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136CA3B6" w14:textId="77777777" w:rsidR="0066632B" w:rsidRPr="004B35AC" w:rsidRDefault="0066632B" w:rsidP="0066632B">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[25] </w:t>
      </w:r>
      <w:r w:rsidRPr="004B35AC">
        <w:rPr>
          <w:rFonts w:ascii="Verdana" w:hAnsi="Verdana" w:cs="Arial"/>
          <w:sz w:val="16"/>
          <w:szCs w:val="16"/>
        </w:rPr>
        <w:t>Cfr. Consejo de Estado. Sección Tercera. Sentencia de 3 de diciembre de 2007. Radicados: 24.715, 25.206, 25.409, 24.524, 27.834, 25.410, 26.105, 28.244, 31.447 -acumulados-“.</w:t>
      </w:r>
    </w:p>
  </w:footnote>
  <w:footnote w:id="13">
    <w:p w14:paraId="49D13F5B" w14:textId="77777777" w:rsidR="0066632B" w:rsidRPr="004B35AC" w:rsidRDefault="0066632B" w:rsidP="0066632B">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[26] </w:t>
      </w:r>
      <w:r w:rsidRPr="004B35AC">
        <w:rPr>
          <w:rFonts w:ascii="Verdana" w:hAnsi="Verdana" w:cs="Arial"/>
          <w:sz w:val="16"/>
          <w:szCs w:val="16"/>
        </w:rPr>
        <w:t>Al respecto ver el concepto 1712 de 2 de febrero de 2006. Consejo de Estado Sala de Consulta y Servicio Civil”.</w:t>
      </w:r>
    </w:p>
  </w:footnote>
  <w:footnote w:id="14">
    <w:p w14:paraId="7B784F69" w14:textId="77777777" w:rsidR="0066632B" w:rsidRPr="004B35AC" w:rsidRDefault="0066632B" w:rsidP="0066632B">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518B68AD" w14:textId="77777777" w:rsidR="0066632B" w:rsidRPr="004B35AC" w:rsidRDefault="0066632B" w:rsidP="0066632B">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Artículo 2. </w:t>
      </w:r>
    </w:p>
  </w:footnote>
  <w:footnote w:id="16">
    <w:p w14:paraId="6C3BA683" w14:textId="77777777" w:rsidR="0066632B" w:rsidRPr="004B35AC" w:rsidRDefault="0066632B" w:rsidP="0066632B">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i/>
          <w:sz w:val="16"/>
          <w:szCs w:val="16"/>
          <w:lang w:val="es-ES"/>
        </w:rPr>
        <w:t>Ídem</w:t>
      </w:r>
      <w:r w:rsidRPr="004B35AC">
        <w:rPr>
          <w:rFonts w:ascii="Verdana" w:hAnsi="Verdana" w:cs="Arial"/>
          <w:sz w:val="16"/>
          <w:szCs w:val="16"/>
          <w:lang w:val="es-ES"/>
        </w:rPr>
        <w:t>.</w:t>
      </w:r>
    </w:p>
  </w:footnote>
  <w:footnote w:id="17">
    <w:p w14:paraId="476FDE7C" w14:textId="77777777" w:rsidR="0066632B" w:rsidRPr="004B35AC" w:rsidRDefault="0066632B" w:rsidP="0066632B">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29B70E4B" w14:textId="77777777" w:rsidR="0066632B" w:rsidRPr="004B35AC" w:rsidRDefault="0066632B" w:rsidP="0066632B">
      <w:pPr>
        <w:shd w:val="clear" w:color="auto" w:fill="FFFFFF"/>
        <w:spacing w:after="0" w:line="240" w:lineRule="auto"/>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9">
    <w:p w14:paraId="6EAC2584" w14:textId="77777777" w:rsidR="0066632B" w:rsidRPr="004B35AC" w:rsidRDefault="0066632B" w:rsidP="0066632B">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08 de mayo de 2018. Exp. 2.382. C.P. Álvaro Namén Vargas.</w:t>
      </w:r>
    </w:p>
  </w:footnote>
  <w:footnote w:id="20">
    <w:p w14:paraId="5D2823B9" w14:textId="77777777" w:rsidR="0066632B" w:rsidRPr="004B35AC" w:rsidRDefault="0066632B" w:rsidP="0066632B">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67EF6A43" w14:textId="77777777" w:rsidR="0066632B" w:rsidRPr="004B35AC" w:rsidRDefault="0066632B" w:rsidP="0066632B">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66CC886B" w14:textId="77777777" w:rsidR="0066632B" w:rsidRPr="004B35AC" w:rsidRDefault="0066632B" w:rsidP="0066632B">
      <w:pPr>
        <w:spacing w:after="0" w:line="240" w:lineRule="auto"/>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4F9A6948" w14:textId="77777777" w:rsidR="0066632B" w:rsidRPr="004B35AC" w:rsidRDefault="0066632B" w:rsidP="0066632B">
      <w:pPr>
        <w:pStyle w:val="Textonotapie"/>
        <w:ind w:right="51" w:firstLine="709"/>
        <w:jc w:val="both"/>
        <w:rPr>
          <w:rFonts w:ascii="Verdana" w:eastAsia="Times New Roman" w:hAnsi="Verdana" w:cs="Arial"/>
          <w:bCs/>
          <w:sz w:val="16"/>
          <w:szCs w:val="16"/>
          <w:lang w:eastAsia="x-none"/>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4B35AC">
        <w:rPr>
          <w:rFonts w:ascii="Verdana" w:eastAsia="Times New Roman" w:hAnsi="Verdana" w:cs="Arial"/>
          <w:bCs/>
          <w:sz w:val="16"/>
          <w:szCs w:val="16"/>
          <w:lang w:eastAsia="x-none"/>
        </w:rPr>
        <w:t xml:space="preserve"> “</w:t>
      </w:r>
      <w:r w:rsidRPr="004B35A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B35AC">
        <w:rPr>
          <w:rFonts w:ascii="Verdana" w:eastAsia="Times New Roman" w:hAnsi="Verdana" w:cs="Arial"/>
          <w:bCs/>
          <w:sz w:val="16"/>
          <w:szCs w:val="16"/>
          <w:lang w:eastAsia="x-none"/>
        </w:rPr>
        <w:t>”.</w:t>
      </w:r>
    </w:p>
  </w:footnote>
  <w:footnote w:id="24">
    <w:p w14:paraId="71C5C505" w14:textId="77777777" w:rsidR="0066632B" w:rsidRPr="004B35AC" w:rsidRDefault="0066632B" w:rsidP="0066632B">
      <w:pPr>
        <w:spacing w:after="0" w:line="240" w:lineRule="auto"/>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5">
    <w:p w14:paraId="4B24572A" w14:textId="77777777" w:rsidR="0066632B" w:rsidRPr="004B35AC" w:rsidRDefault="0066632B" w:rsidP="0066632B">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ídem.</w:t>
      </w:r>
    </w:p>
  </w:footnote>
  <w:footnote w:id="26">
    <w:p w14:paraId="4C30B3F5" w14:textId="77777777" w:rsidR="0066632B" w:rsidRPr="00013ED1" w:rsidRDefault="0066632B" w:rsidP="0066632B">
      <w:pPr>
        <w:pStyle w:val="Textonotapie"/>
        <w:ind w:firstLine="708"/>
        <w:jc w:val="both"/>
        <w:rPr>
          <w:rFonts w:ascii="Verdana" w:hAnsi="Verdana"/>
          <w:sz w:val="16"/>
          <w:szCs w:val="16"/>
          <w:lang w:val="es-CO"/>
        </w:rPr>
      </w:pPr>
      <w:r w:rsidRPr="00E73AA2">
        <w:rPr>
          <w:rStyle w:val="Refdenotaalpie"/>
          <w:rFonts w:ascii="Verdana" w:hAnsi="Verdana"/>
          <w:sz w:val="16"/>
          <w:szCs w:val="16"/>
        </w:rPr>
        <w:footnoteRef/>
      </w:r>
      <w:r w:rsidRPr="00E73AA2">
        <w:rPr>
          <w:rFonts w:ascii="Verdana" w:hAnsi="Verdana"/>
          <w:sz w:val="16"/>
          <w:szCs w:val="16"/>
        </w:rPr>
        <w:t xml:space="preserve"> </w:t>
      </w:r>
      <w:r>
        <w:rPr>
          <w:rFonts w:ascii="Verdana" w:hAnsi="Verdana"/>
          <w:sz w:val="16"/>
          <w:szCs w:val="16"/>
        </w:rPr>
        <w:t>PINO RICCI, Jorge. Régimen jurídico de los contratos estatales. Bogotá: Universidad Externado de Colombia, 2005. p. 264.</w:t>
      </w:r>
    </w:p>
  </w:footnote>
  <w:footnote w:id="27">
    <w:p w14:paraId="0374A5B5" w14:textId="77777777" w:rsidR="0066632B" w:rsidRPr="00EA7B5D" w:rsidRDefault="0066632B" w:rsidP="0066632B">
      <w:pPr>
        <w:pStyle w:val="Textonotapie"/>
        <w:ind w:firstLine="708"/>
        <w:rPr>
          <w:rFonts w:ascii="Verdana" w:hAnsi="Verdana"/>
          <w:sz w:val="16"/>
          <w:szCs w:val="16"/>
          <w:lang w:val="es-CO"/>
        </w:rPr>
      </w:pPr>
      <w:r w:rsidRPr="00EA7B5D">
        <w:rPr>
          <w:rStyle w:val="Refdenotaalpie"/>
          <w:rFonts w:ascii="Verdana" w:hAnsi="Verdana"/>
          <w:sz w:val="16"/>
          <w:szCs w:val="16"/>
        </w:rPr>
        <w:footnoteRef/>
      </w:r>
      <w:r w:rsidRPr="00EA7B5D">
        <w:rPr>
          <w:rFonts w:ascii="Verdana" w:hAnsi="Verdana"/>
          <w:sz w:val="16"/>
          <w:szCs w:val="16"/>
        </w:rPr>
        <w:t xml:space="preserve"> DÁVILA VINUEZA</w:t>
      </w:r>
      <w:r>
        <w:rPr>
          <w:rFonts w:ascii="Verdana" w:hAnsi="Verdana"/>
          <w:sz w:val="16"/>
          <w:szCs w:val="16"/>
        </w:rPr>
        <w:t>, Régimen jurídico… Ob. cit., p. 505.</w:t>
      </w:r>
    </w:p>
  </w:footnote>
  <w:footnote w:id="28">
    <w:p w14:paraId="2D05D337" w14:textId="77777777" w:rsidR="0066632B" w:rsidRPr="00396C85" w:rsidRDefault="0066632B" w:rsidP="0066632B">
      <w:pPr>
        <w:pStyle w:val="Textonotapie"/>
        <w:ind w:firstLine="708"/>
        <w:jc w:val="both"/>
        <w:rPr>
          <w:rFonts w:ascii="Verdana" w:hAnsi="Verdana"/>
          <w:sz w:val="16"/>
          <w:szCs w:val="16"/>
          <w:lang w:val="es-CO"/>
        </w:rPr>
      </w:pPr>
      <w:r w:rsidRPr="00E672E3">
        <w:rPr>
          <w:rStyle w:val="Refdenotaalpie"/>
          <w:rFonts w:ascii="Verdana" w:hAnsi="Verdana"/>
          <w:sz w:val="16"/>
          <w:szCs w:val="16"/>
        </w:rPr>
        <w:footnoteRef/>
      </w:r>
      <w:r w:rsidRPr="00E672E3">
        <w:rPr>
          <w:rFonts w:ascii="Verdana" w:hAnsi="Verdana"/>
          <w:sz w:val="16"/>
          <w:szCs w:val="16"/>
        </w:rPr>
        <w:t xml:space="preserve"> </w:t>
      </w:r>
      <w:r w:rsidRPr="00E672E3">
        <w:rPr>
          <w:rFonts w:ascii="Verdana" w:hAnsi="Verdana"/>
          <w:i/>
          <w:iCs/>
          <w:sz w:val="16"/>
          <w:szCs w:val="16"/>
        </w:rPr>
        <w:t>Ibidem</w:t>
      </w:r>
      <w:r>
        <w:rPr>
          <w:rFonts w:ascii="Verdana" w:hAnsi="Verdana"/>
          <w:sz w:val="16"/>
          <w:szCs w:val="16"/>
        </w:rPr>
        <w:t xml:space="preserve">. </w:t>
      </w:r>
    </w:p>
  </w:footnote>
  <w:footnote w:id="29">
    <w:p w14:paraId="5384C33D" w14:textId="77777777" w:rsidR="0066632B" w:rsidRPr="00F04E54" w:rsidRDefault="0066632B" w:rsidP="0066632B">
      <w:pPr>
        <w:pStyle w:val="Textonotapie"/>
        <w:ind w:firstLine="708"/>
        <w:jc w:val="both"/>
        <w:rPr>
          <w:rFonts w:ascii="Verdana" w:hAnsi="Verdana"/>
          <w:sz w:val="16"/>
          <w:szCs w:val="16"/>
        </w:rPr>
      </w:pPr>
      <w:r w:rsidRPr="00E672E3">
        <w:rPr>
          <w:rStyle w:val="Refdenotaalpie"/>
          <w:rFonts w:ascii="Verdana" w:hAnsi="Verdana"/>
          <w:sz w:val="16"/>
          <w:szCs w:val="16"/>
        </w:rPr>
        <w:footnoteRef/>
      </w:r>
      <w:r w:rsidRPr="00E672E3">
        <w:rPr>
          <w:rFonts w:ascii="Verdana" w:hAnsi="Verdana"/>
          <w:sz w:val="16"/>
          <w:szCs w:val="16"/>
        </w:rPr>
        <w:t xml:space="preserve"> </w:t>
      </w:r>
      <w:r w:rsidRPr="002B6A8A">
        <w:rPr>
          <w:rFonts w:ascii="Verdana" w:hAnsi="Verdana"/>
          <w:sz w:val="16"/>
          <w:szCs w:val="16"/>
        </w:rPr>
        <w:t>GONZÁLEZ LÓPEZ</w:t>
      </w:r>
      <w:r>
        <w:rPr>
          <w:rFonts w:ascii="Verdana" w:hAnsi="Verdana"/>
          <w:sz w:val="16"/>
          <w:szCs w:val="16"/>
        </w:rPr>
        <w:t xml:space="preserve">, Edgar. </w:t>
      </w:r>
      <w:r w:rsidRPr="00F04E54">
        <w:rPr>
          <w:rFonts w:ascii="Verdana" w:hAnsi="Verdana"/>
          <w:sz w:val="16"/>
          <w:szCs w:val="16"/>
        </w:rPr>
        <w:t>Los contratos</w:t>
      </w:r>
      <w:r>
        <w:rPr>
          <w:rFonts w:ascii="Verdana" w:hAnsi="Verdana"/>
          <w:sz w:val="16"/>
          <w:szCs w:val="16"/>
        </w:rPr>
        <w:t xml:space="preserve"> </w:t>
      </w:r>
      <w:r w:rsidRPr="00F04E54">
        <w:rPr>
          <w:rFonts w:ascii="Verdana" w:hAnsi="Verdana"/>
          <w:sz w:val="16"/>
          <w:szCs w:val="16"/>
        </w:rPr>
        <w:t>estatales.</w:t>
      </w:r>
      <w:r>
        <w:rPr>
          <w:rFonts w:ascii="Verdana" w:hAnsi="Verdana"/>
          <w:sz w:val="16"/>
          <w:szCs w:val="16"/>
        </w:rPr>
        <w:t xml:space="preserve"> </w:t>
      </w:r>
      <w:r w:rsidRPr="00F04E54">
        <w:rPr>
          <w:rFonts w:ascii="Verdana" w:hAnsi="Verdana"/>
          <w:sz w:val="16"/>
          <w:szCs w:val="16"/>
        </w:rPr>
        <w:t>El proceso de</w:t>
      </w:r>
      <w:r>
        <w:rPr>
          <w:rFonts w:ascii="Verdana" w:hAnsi="Verdana"/>
          <w:sz w:val="16"/>
          <w:szCs w:val="16"/>
        </w:rPr>
        <w:t xml:space="preserve"> </w:t>
      </w:r>
      <w:r w:rsidRPr="00F04E54">
        <w:rPr>
          <w:rFonts w:ascii="Verdana" w:hAnsi="Verdana"/>
          <w:sz w:val="16"/>
          <w:szCs w:val="16"/>
        </w:rPr>
        <w:t>selección y la</w:t>
      </w:r>
      <w:r>
        <w:rPr>
          <w:rFonts w:ascii="Verdana" w:hAnsi="Verdana"/>
          <w:sz w:val="16"/>
          <w:szCs w:val="16"/>
        </w:rPr>
        <w:t xml:space="preserve"> </w:t>
      </w:r>
      <w:r w:rsidRPr="00F04E54">
        <w:rPr>
          <w:rFonts w:ascii="Verdana" w:hAnsi="Verdana"/>
          <w:sz w:val="16"/>
          <w:szCs w:val="16"/>
        </w:rPr>
        <w:t>modificación de</w:t>
      </w:r>
      <w:r>
        <w:rPr>
          <w:rFonts w:ascii="Verdana" w:hAnsi="Verdana"/>
          <w:sz w:val="16"/>
          <w:szCs w:val="16"/>
        </w:rPr>
        <w:t xml:space="preserve"> </w:t>
      </w:r>
      <w:r w:rsidRPr="00F04E54">
        <w:rPr>
          <w:rFonts w:ascii="Verdana" w:hAnsi="Verdana"/>
          <w:sz w:val="16"/>
          <w:szCs w:val="16"/>
        </w:rPr>
        <w:t>los contratos</w:t>
      </w:r>
      <w:r>
        <w:rPr>
          <w:rFonts w:ascii="Verdana" w:hAnsi="Verdana"/>
          <w:sz w:val="16"/>
          <w:szCs w:val="16"/>
        </w:rPr>
        <w:t>. Bógotá: Universidad Externado de Colombia – Tirant lo Blanch, 2023.</w:t>
      </w:r>
      <w:r w:rsidRPr="00F04E54">
        <w:rPr>
          <w:rFonts w:ascii="Verdana" w:hAnsi="Verdana"/>
          <w:sz w:val="16"/>
          <w:szCs w:val="16"/>
        </w:rPr>
        <w:t xml:space="preserve"> </w:t>
      </w:r>
      <w:r>
        <w:rPr>
          <w:rFonts w:ascii="Verdana" w:hAnsi="Verdana"/>
          <w:sz w:val="16"/>
          <w:szCs w:val="16"/>
        </w:rPr>
        <w:t>p. 564.</w:t>
      </w:r>
    </w:p>
  </w:footnote>
  <w:footnote w:id="30">
    <w:p w14:paraId="2742E855" w14:textId="77777777" w:rsidR="0066632B" w:rsidRPr="003A0333" w:rsidRDefault="0066632B" w:rsidP="0066632B">
      <w:pPr>
        <w:pStyle w:val="Textonotapie"/>
        <w:ind w:firstLine="708"/>
        <w:jc w:val="both"/>
        <w:rPr>
          <w:rFonts w:ascii="Verdana" w:hAnsi="Verdana"/>
          <w:sz w:val="16"/>
          <w:szCs w:val="16"/>
        </w:rPr>
      </w:pPr>
      <w:r w:rsidRPr="003A0333">
        <w:rPr>
          <w:rStyle w:val="Refdenotaalpie"/>
          <w:rFonts w:ascii="Verdana" w:hAnsi="Verdana"/>
          <w:sz w:val="16"/>
          <w:szCs w:val="16"/>
        </w:rPr>
        <w:footnoteRef/>
      </w:r>
      <w:r w:rsidRPr="003A0333">
        <w:rPr>
          <w:rFonts w:ascii="Verdana" w:hAnsi="Verdana"/>
          <w:sz w:val="16"/>
          <w:szCs w:val="16"/>
        </w:rPr>
        <w:t xml:space="preserve"> </w:t>
      </w:r>
      <w:r>
        <w:rPr>
          <w:rFonts w:ascii="Verdana" w:hAnsi="Verdana"/>
          <w:sz w:val="16"/>
          <w:szCs w:val="16"/>
        </w:rPr>
        <w:t xml:space="preserve">RICO PUERTA, Luis Alonso. </w:t>
      </w:r>
      <w:r w:rsidRPr="003A0333">
        <w:rPr>
          <w:rFonts w:ascii="Verdana" w:hAnsi="Verdana"/>
          <w:sz w:val="16"/>
          <w:szCs w:val="16"/>
        </w:rPr>
        <w:t>Teoría general</w:t>
      </w:r>
      <w:r>
        <w:rPr>
          <w:rFonts w:ascii="Verdana" w:hAnsi="Verdana"/>
          <w:sz w:val="16"/>
          <w:szCs w:val="16"/>
        </w:rPr>
        <w:t xml:space="preserve"> </w:t>
      </w:r>
      <w:r w:rsidRPr="003A0333">
        <w:rPr>
          <w:rFonts w:ascii="Verdana" w:hAnsi="Verdana"/>
          <w:sz w:val="16"/>
          <w:szCs w:val="16"/>
        </w:rPr>
        <w:t>y práctica de la</w:t>
      </w:r>
      <w:r>
        <w:rPr>
          <w:rFonts w:ascii="Verdana" w:hAnsi="Verdana"/>
          <w:sz w:val="16"/>
          <w:szCs w:val="16"/>
        </w:rPr>
        <w:t xml:space="preserve"> </w:t>
      </w:r>
      <w:r w:rsidRPr="003A0333">
        <w:rPr>
          <w:rFonts w:ascii="Verdana" w:hAnsi="Verdana"/>
          <w:sz w:val="16"/>
          <w:szCs w:val="16"/>
        </w:rPr>
        <w:t>contratación estatal</w:t>
      </w:r>
      <w:r>
        <w:rPr>
          <w:rFonts w:ascii="Verdana" w:hAnsi="Verdana"/>
          <w:sz w:val="16"/>
          <w:szCs w:val="16"/>
        </w:rPr>
        <w:t xml:space="preserve">. Volumen II. </w:t>
      </w:r>
      <w:r w:rsidRPr="003A0333">
        <w:rPr>
          <w:rFonts w:ascii="Verdana" w:hAnsi="Verdana"/>
          <w:sz w:val="16"/>
          <w:szCs w:val="16"/>
        </w:rPr>
        <w:t>Decimotercera edición</w:t>
      </w:r>
      <w:r>
        <w:rPr>
          <w:rFonts w:ascii="Verdana" w:hAnsi="Verdana"/>
          <w:sz w:val="16"/>
          <w:szCs w:val="16"/>
        </w:rPr>
        <w:t xml:space="preserve">. Bogotá: </w:t>
      </w:r>
      <w:r w:rsidRPr="003A0333">
        <w:rPr>
          <w:rFonts w:ascii="Verdana" w:hAnsi="Verdana"/>
          <w:sz w:val="16"/>
          <w:szCs w:val="16"/>
        </w:rPr>
        <w:t>Grupo Editorial Ibañez</w:t>
      </w:r>
      <w:r>
        <w:rPr>
          <w:rFonts w:ascii="Verdana" w:hAnsi="Verdana"/>
          <w:sz w:val="16"/>
          <w:szCs w:val="16"/>
        </w:rPr>
        <w:t>, 2025. p. 1142.</w:t>
      </w:r>
    </w:p>
  </w:footnote>
  <w:footnote w:id="31">
    <w:p w14:paraId="4CD7D14E" w14:textId="77777777" w:rsidR="0066632B" w:rsidRDefault="0066632B" w:rsidP="0066632B">
      <w:pPr>
        <w:pStyle w:val="Textonotapie"/>
        <w:ind w:firstLine="708"/>
        <w:jc w:val="both"/>
        <w:rPr>
          <w:rFonts w:ascii="Verdana" w:hAnsi="Verdana"/>
          <w:sz w:val="16"/>
          <w:szCs w:val="16"/>
        </w:rPr>
      </w:pPr>
      <w:r w:rsidRPr="000A5783">
        <w:rPr>
          <w:rStyle w:val="Refdenotaalpie"/>
          <w:rFonts w:ascii="Verdana" w:hAnsi="Verdana"/>
          <w:sz w:val="16"/>
          <w:szCs w:val="16"/>
        </w:rPr>
        <w:footnoteRef/>
      </w:r>
      <w:r w:rsidRPr="000A5783">
        <w:rPr>
          <w:rFonts w:ascii="Verdana" w:hAnsi="Verdana"/>
          <w:sz w:val="16"/>
          <w:szCs w:val="16"/>
        </w:rPr>
        <w:t xml:space="preserve"> </w:t>
      </w:r>
      <w:r>
        <w:rPr>
          <w:rFonts w:ascii="Verdana" w:hAnsi="Verdana"/>
          <w:sz w:val="16"/>
          <w:szCs w:val="16"/>
        </w:rPr>
        <w:t xml:space="preserve">Por ejemplo, para RODRÍGUEZ TAMAYO “[…] </w:t>
      </w:r>
      <w:r w:rsidRPr="00B73A6D">
        <w:rPr>
          <w:rFonts w:ascii="Verdana" w:hAnsi="Verdana"/>
          <w:sz w:val="16"/>
          <w:szCs w:val="16"/>
        </w:rPr>
        <w:t>resulta inútil la tramitación de convocatorias públicas que hacen algunas entidades estatales, cuando van a entregar en arrendamiento bienes inmuebles de</w:t>
      </w:r>
      <w:r>
        <w:rPr>
          <w:rFonts w:ascii="Verdana" w:hAnsi="Verdana"/>
          <w:sz w:val="16"/>
          <w:szCs w:val="16"/>
        </w:rPr>
        <w:t xml:space="preserve"> </w:t>
      </w:r>
      <w:r w:rsidRPr="00B73A6D">
        <w:rPr>
          <w:rFonts w:ascii="Verdana" w:hAnsi="Verdana"/>
          <w:sz w:val="16"/>
          <w:szCs w:val="16"/>
        </w:rPr>
        <w:t>su propiedad, pues en esos casos, el ordenamiento jurídico no exige tal procedimiento</w:t>
      </w:r>
      <w:r>
        <w:rPr>
          <w:rFonts w:ascii="Verdana" w:hAnsi="Verdana"/>
          <w:sz w:val="16"/>
          <w:szCs w:val="16"/>
        </w:rPr>
        <w:t xml:space="preserve"> </w:t>
      </w:r>
      <w:r w:rsidRPr="00B73A6D">
        <w:rPr>
          <w:rFonts w:ascii="Verdana" w:hAnsi="Verdana"/>
          <w:sz w:val="16"/>
          <w:szCs w:val="16"/>
        </w:rPr>
        <w:t>y, por el contrario, ello se presta para conflictos con los interesados que concurren a dichos llamados. Tanto la ley como el reglamento, dieron flexibilidad a la administración,</w:t>
      </w:r>
      <w:r>
        <w:rPr>
          <w:rFonts w:ascii="Verdana" w:hAnsi="Verdana"/>
          <w:sz w:val="16"/>
          <w:szCs w:val="16"/>
        </w:rPr>
        <w:t xml:space="preserve"> </w:t>
      </w:r>
      <w:r w:rsidRPr="00B73A6D">
        <w:rPr>
          <w:rFonts w:ascii="Verdana" w:hAnsi="Verdana"/>
          <w:sz w:val="16"/>
          <w:szCs w:val="16"/>
        </w:rPr>
        <w:t>ya s</w:t>
      </w:r>
      <w:r>
        <w:rPr>
          <w:rFonts w:ascii="Verdana" w:hAnsi="Verdana"/>
          <w:sz w:val="16"/>
          <w:szCs w:val="16"/>
        </w:rPr>
        <w:t>e</w:t>
      </w:r>
      <w:r w:rsidRPr="00B73A6D">
        <w:rPr>
          <w:rFonts w:ascii="Verdana" w:hAnsi="Verdana"/>
          <w:sz w:val="16"/>
          <w:szCs w:val="16"/>
        </w:rPr>
        <w:t>a para obrar como arrendador o como arrendatario, obviamente, teniendo como</w:t>
      </w:r>
      <w:r>
        <w:rPr>
          <w:rFonts w:ascii="Verdana" w:hAnsi="Verdana"/>
          <w:sz w:val="16"/>
          <w:szCs w:val="16"/>
        </w:rPr>
        <w:t xml:space="preserve"> </w:t>
      </w:r>
      <w:r w:rsidRPr="00B73A6D">
        <w:rPr>
          <w:rFonts w:ascii="Verdana" w:hAnsi="Verdana"/>
          <w:sz w:val="16"/>
          <w:szCs w:val="16"/>
        </w:rPr>
        <w:t>límite los precios del mercado y obrar en sentido contrario, en la práctica, implica regular aspectos no autorizados por la ley</w:t>
      </w:r>
      <w:r>
        <w:rPr>
          <w:rFonts w:ascii="Verdana" w:hAnsi="Verdana"/>
          <w:sz w:val="16"/>
          <w:szCs w:val="16"/>
        </w:rPr>
        <w:t xml:space="preserve">” (RODRÍGUEZ TAMAYO, Mauricio Fernando. </w:t>
      </w:r>
      <w:r w:rsidRPr="005950B7">
        <w:rPr>
          <w:rFonts w:ascii="Verdana" w:hAnsi="Verdana"/>
          <w:sz w:val="16"/>
          <w:szCs w:val="16"/>
        </w:rPr>
        <w:t>Los contratos</w:t>
      </w:r>
      <w:r>
        <w:rPr>
          <w:rFonts w:ascii="Verdana" w:hAnsi="Verdana"/>
          <w:sz w:val="16"/>
          <w:szCs w:val="16"/>
        </w:rPr>
        <w:t xml:space="preserve"> </w:t>
      </w:r>
      <w:r w:rsidRPr="005950B7">
        <w:rPr>
          <w:rFonts w:ascii="Verdana" w:hAnsi="Verdana"/>
          <w:sz w:val="16"/>
          <w:szCs w:val="16"/>
        </w:rPr>
        <w:t>estatales en</w:t>
      </w:r>
      <w:r>
        <w:rPr>
          <w:rFonts w:ascii="Verdana" w:hAnsi="Verdana"/>
          <w:sz w:val="16"/>
          <w:szCs w:val="16"/>
        </w:rPr>
        <w:t xml:space="preserve"> C</w:t>
      </w:r>
      <w:r w:rsidRPr="005950B7">
        <w:rPr>
          <w:rFonts w:ascii="Verdana" w:hAnsi="Verdana"/>
          <w:sz w:val="16"/>
          <w:szCs w:val="16"/>
        </w:rPr>
        <w:t>olombia</w:t>
      </w:r>
      <w:r>
        <w:rPr>
          <w:rFonts w:ascii="Verdana" w:hAnsi="Verdana"/>
          <w:sz w:val="16"/>
          <w:szCs w:val="16"/>
        </w:rPr>
        <w:t>. Bogotá: Tirant lo Blanch, 2022. p. 199).</w:t>
      </w:r>
    </w:p>
    <w:p w14:paraId="0E8581AB" w14:textId="77777777" w:rsidR="0066632B" w:rsidRPr="0086542E" w:rsidRDefault="0066632B" w:rsidP="0066632B">
      <w:pPr>
        <w:pStyle w:val="Textonotapie"/>
        <w:ind w:firstLine="708"/>
        <w:jc w:val="both"/>
        <w:rPr>
          <w:rFonts w:ascii="Verdana" w:hAnsi="Verdana"/>
          <w:sz w:val="16"/>
          <w:szCs w:val="16"/>
        </w:rPr>
      </w:pPr>
      <w:r>
        <w:rPr>
          <w:rFonts w:ascii="Verdana" w:hAnsi="Verdana"/>
          <w:sz w:val="16"/>
          <w:szCs w:val="16"/>
        </w:rPr>
        <w:t xml:space="preserve">En contraste, para SÁNCHEZ ESTRADA “[…] </w:t>
      </w:r>
      <w:r w:rsidRPr="0086542E">
        <w:rPr>
          <w:rFonts w:ascii="Verdana" w:hAnsi="Verdana"/>
          <w:sz w:val="16"/>
          <w:szCs w:val="16"/>
        </w:rPr>
        <w:t>el legislador desaprovechó la oportunidad de</w:t>
      </w:r>
      <w:r>
        <w:rPr>
          <w:rFonts w:ascii="Verdana" w:hAnsi="Verdana"/>
          <w:sz w:val="16"/>
          <w:szCs w:val="16"/>
        </w:rPr>
        <w:t xml:space="preserve"> </w:t>
      </w:r>
      <w:r w:rsidRPr="0086542E">
        <w:rPr>
          <w:rFonts w:ascii="Verdana" w:hAnsi="Verdana"/>
          <w:sz w:val="16"/>
          <w:szCs w:val="16"/>
        </w:rPr>
        <w:t>corregir el yerro que viene desde los decretos 150 de 1976 y 222 de 1983, de</w:t>
      </w:r>
      <w:r>
        <w:rPr>
          <w:rFonts w:ascii="Verdana" w:hAnsi="Verdana"/>
          <w:sz w:val="16"/>
          <w:szCs w:val="16"/>
        </w:rPr>
        <w:t xml:space="preserve"> </w:t>
      </w:r>
      <w:r w:rsidRPr="0086542E">
        <w:rPr>
          <w:rFonts w:ascii="Verdana" w:hAnsi="Verdana"/>
          <w:sz w:val="16"/>
          <w:szCs w:val="16"/>
        </w:rPr>
        <w:t>habilitar la contratación directa tanto cuando la entidad estatal es arrendataria</w:t>
      </w:r>
      <w:r>
        <w:rPr>
          <w:rFonts w:ascii="Verdana" w:hAnsi="Verdana"/>
          <w:sz w:val="16"/>
          <w:szCs w:val="16"/>
        </w:rPr>
        <w:t xml:space="preserve"> </w:t>
      </w:r>
      <w:r w:rsidRPr="0086542E">
        <w:rPr>
          <w:rFonts w:ascii="Verdana" w:hAnsi="Verdana"/>
          <w:sz w:val="16"/>
          <w:szCs w:val="16"/>
        </w:rPr>
        <w:t>como cuando funge de arrendadora. En efecto, en la primera de las hipótesis</w:t>
      </w:r>
      <w:r>
        <w:rPr>
          <w:rFonts w:ascii="Verdana" w:hAnsi="Verdana"/>
          <w:sz w:val="16"/>
          <w:szCs w:val="16"/>
        </w:rPr>
        <w:t xml:space="preserve"> </w:t>
      </w:r>
      <w:r w:rsidRPr="0086542E">
        <w:rPr>
          <w:rFonts w:ascii="Verdana" w:hAnsi="Verdana"/>
          <w:sz w:val="16"/>
          <w:szCs w:val="16"/>
        </w:rPr>
        <w:t>está justificada la causal, pues cuando un ente estatal busca un inmueble el factor</w:t>
      </w:r>
      <w:r>
        <w:rPr>
          <w:rFonts w:ascii="Verdana" w:hAnsi="Verdana"/>
          <w:sz w:val="16"/>
          <w:szCs w:val="16"/>
        </w:rPr>
        <w:t xml:space="preserve"> </w:t>
      </w:r>
      <w:r w:rsidRPr="0086542E">
        <w:rPr>
          <w:rFonts w:ascii="Verdana" w:hAnsi="Verdana"/>
          <w:sz w:val="16"/>
          <w:szCs w:val="16"/>
        </w:rPr>
        <w:t>menos importante termina siendo el precio. La ubicación, funcionalidad,</w:t>
      </w:r>
      <w:r>
        <w:rPr>
          <w:rFonts w:ascii="Verdana" w:hAnsi="Verdana"/>
          <w:sz w:val="16"/>
          <w:szCs w:val="16"/>
        </w:rPr>
        <w:t xml:space="preserve"> </w:t>
      </w:r>
      <w:r w:rsidRPr="0086542E">
        <w:rPr>
          <w:rFonts w:ascii="Verdana" w:hAnsi="Verdana"/>
          <w:sz w:val="16"/>
          <w:szCs w:val="16"/>
        </w:rPr>
        <w:t>capacidad, etc., son criterios determinantes y muy difíciles de evaluar en un</w:t>
      </w:r>
      <w:r>
        <w:rPr>
          <w:rFonts w:ascii="Verdana" w:hAnsi="Verdana"/>
          <w:sz w:val="16"/>
          <w:szCs w:val="16"/>
        </w:rPr>
        <w:t xml:space="preserve"> </w:t>
      </w:r>
      <w:r w:rsidRPr="0086542E">
        <w:rPr>
          <w:rFonts w:ascii="Verdana" w:hAnsi="Verdana"/>
          <w:sz w:val="16"/>
          <w:szCs w:val="16"/>
        </w:rPr>
        <w:t>trámite licitatorio. No ocurre lo mismo cuando se trata de arrendar bienes de</w:t>
      </w:r>
      <w:r>
        <w:rPr>
          <w:rFonts w:ascii="Verdana" w:hAnsi="Verdana"/>
          <w:sz w:val="16"/>
          <w:szCs w:val="16"/>
        </w:rPr>
        <w:t xml:space="preserve"> </w:t>
      </w:r>
      <w:r w:rsidRPr="0086542E">
        <w:rPr>
          <w:rFonts w:ascii="Verdana" w:hAnsi="Verdana"/>
          <w:sz w:val="16"/>
          <w:szCs w:val="16"/>
        </w:rPr>
        <w:t>propiedad el Estado. En ese caso nada le impide a la administración adelantar</w:t>
      </w:r>
      <w:r>
        <w:rPr>
          <w:rFonts w:ascii="Verdana" w:hAnsi="Verdana"/>
          <w:sz w:val="16"/>
          <w:szCs w:val="16"/>
        </w:rPr>
        <w:t xml:space="preserve"> </w:t>
      </w:r>
      <w:r w:rsidRPr="0086542E">
        <w:rPr>
          <w:rFonts w:ascii="Verdana" w:hAnsi="Verdana"/>
          <w:sz w:val="16"/>
          <w:szCs w:val="16"/>
        </w:rPr>
        <w:t>un proceso de selección en el que escoja a quien, cumpliendo unas exigencias</w:t>
      </w:r>
      <w:r>
        <w:rPr>
          <w:rFonts w:ascii="Verdana" w:hAnsi="Verdana"/>
          <w:sz w:val="16"/>
          <w:szCs w:val="16"/>
        </w:rPr>
        <w:t xml:space="preserve"> </w:t>
      </w:r>
      <w:r w:rsidRPr="0086542E">
        <w:rPr>
          <w:rFonts w:ascii="Verdana" w:hAnsi="Verdana"/>
          <w:sz w:val="16"/>
          <w:szCs w:val="16"/>
        </w:rPr>
        <w:t>mínimas, le ofrezca pagar el mejor canon. De hecho, la aplicación amplia de la</w:t>
      </w:r>
      <w:r>
        <w:rPr>
          <w:rFonts w:ascii="Verdana" w:hAnsi="Verdana"/>
          <w:sz w:val="16"/>
          <w:szCs w:val="16"/>
        </w:rPr>
        <w:t xml:space="preserve"> </w:t>
      </w:r>
      <w:r w:rsidRPr="0086542E">
        <w:rPr>
          <w:rFonts w:ascii="Verdana" w:hAnsi="Verdana"/>
          <w:sz w:val="16"/>
          <w:szCs w:val="16"/>
        </w:rPr>
        <w:t>causal ha propiciado el favoritismo a la hora de arrendar bienes del Estado con</w:t>
      </w:r>
      <w:r>
        <w:rPr>
          <w:rFonts w:ascii="Verdana" w:hAnsi="Verdana"/>
          <w:sz w:val="16"/>
          <w:szCs w:val="16"/>
        </w:rPr>
        <w:t xml:space="preserve"> </w:t>
      </w:r>
      <w:r w:rsidRPr="0086542E">
        <w:rPr>
          <w:rFonts w:ascii="Verdana" w:hAnsi="Verdana"/>
          <w:sz w:val="16"/>
          <w:szCs w:val="16"/>
        </w:rPr>
        <w:t>privilegiada ubicación, no sólo en los entes territoriales.</w:t>
      </w:r>
    </w:p>
    <w:p w14:paraId="32CC38EA" w14:textId="77777777" w:rsidR="0066632B" w:rsidRPr="00B73A6D" w:rsidRDefault="0066632B" w:rsidP="0066632B">
      <w:pPr>
        <w:pStyle w:val="Textonotapie"/>
        <w:ind w:firstLine="708"/>
        <w:jc w:val="both"/>
        <w:rPr>
          <w:rFonts w:ascii="Verdana" w:hAnsi="Verdana"/>
          <w:sz w:val="16"/>
          <w:szCs w:val="16"/>
        </w:rPr>
      </w:pPr>
      <w:r w:rsidRPr="0086542E">
        <w:rPr>
          <w:rFonts w:ascii="Verdana" w:hAnsi="Verdana"/>
          <w:sz w:val="16"/>
          <w:szCs w:val="16"/>
        </w:rPr>
        <w:t>A manera de ejemplo, recordemos los recientes contratos de arrendamiento</w:t>
      </w:r>
      <w:r>
        <w:rPr>
          <w:rFonts w:ascii="Verdana" w:hAnsi="Verdana"/>
          <w:sz w:val="16"/>
          <w:szCs w:val="16"/>
        </w:rPr>
        <w:t xml:space="preserve"> </w:t>
      </w:r>
      <w:r w:rsidRPr="0086542E">
        <w:rPr>
          <w:rFonts w:ascii="Verdana" w:hAnsi="Verdana"/>
          <w:sz w:val="16"/>
          <w:szCs w:val="16"/>
        </w:rPr>
        <w:t xml:space="preserve">suscritos por el </w:t>
      </w:r>
      <w:r>
        <w:rPr>
          <w:rFonts w:ascii="Verdana" w:hAnsi="Verdana"/>
          <w:sz w:val="16"/>
          <w:szCs w:val="16"/>
        </w:rPr>
        <w:t>I</w:t>
      </w:r>
      <w:r w:rsidRPr="0086542E">
        <w:rPr>
          <w:rFonts w:ascii="Verdana" w:hAnsi="Verdana"/>
          <w:sz w:val="16"/>
          <w:szCs w:val="16"/>
        </w:rPr>
        <w:t>ncoder-Ministerio de Agricultura con los ocupantes ilegales</w:t>
      </w:r>
      <w:r>
        <w:rPr>
          <w:rFonts w:ascii="Verdana" w:hAnsi="Verdana"/>
          <w:sz w:val="16"/>
          <w:szCs w:val="16"/>
        </w:rPr>
        <w:t xml:space="preserve"> </w:t>
      </w:r>
      <w:r w:rsidRPr="0086542E">
        <w:rPr>
          <w:rFonts w:ascii="Verdana" w:hAnsi="Verdana"/>
          <w:sz w:val="16"/>
          <w:szCs w:val="16"/>
        </w:rPr>
        <w:t xml:space="preserve">de las Islas del Rosario, a quienes se les </w:t>
      </w:r>
      <w:r>
        <w:rPr>
          <w:rFonts w:ascii="Verdana" w:hAnsi="Verdana"/>
          <w:sz w:val="16"/>
          <w:szCs w:val="16"/>
        </w:rPr>
        <w:t>‘</w:t>
      </w:r>
      <w:r w:rsidRPr="0086542E">
        <w:rPr>
          <w:rFonts w:ascii="Verdana" w:hAnsi="Verdana"/>
          <w:sz w:val="16"/>
          <w:szCs w:val="16"/>
        </w:rPr>
        <w:t>sancionó</w:t>
      </w:r>
      <w:r>
        <w:rPr>
          <w:rFonts w:ascii="Verdana" w:hAnsi="Verdana"/>
          <w:sz w:val="16"/>
          <w:szCs w:val="16"/>
        </w:rPr>
        <w:t>’</w:t>
      </w:r>
      <w:r w:rsidRPr="0086542E">
        <w:rPr>
          <w:rFonts w:ascii="Verdana" w:hAnsi="Verdana"/>
          <w:sz w:val="16"/>
          <w:szCs w:val="16"/>
        </w:rPr>
        <w:t xml:space="preserve"> su infracción celebrando</w:t>
      </w:r>
      <w:r>
        <w:rPr>
          <w:rFonts w:ascii="Verdana" w:hAnsi="Verdana"/>
          <w:sz w:val="16"/>
          <w:szCs w:val="16"/>
        </w:rPr>
        <w:t xml:space="preserve"> </w:t>
      </w:r>
      <w:r w:rsidRPr="0086542E">
        <w:rPr>
          <w:rFonts w:ascii="Verdana" w:hAnsi="Verdana"/>
          <w:sz w:val="16"/>
          <w:szCs w:val="16"/>
        </w:rPr>
        <w:t>con ellos, de forma directa y a precios risibles, contratos de arrendamiento. Sin</w:t>
      </w:r>
      <w:r>
        <w:rPr>
          <w:rFonts w:ascii="Verdana" w:hAnsi="Verdana"/>
          <w:sz w:val="16"/>
          <w:szCs w:val="16"/>
        </w:rPr>
        <w:t xml:space="preserve"> </w:t>
      </w:r>
      <w:r w:rsidRPr="0086542E">
        <w:rPr>
          <w:rFonts w:ascii="Verdana" w:hAnsi="Verdana"/>
          <w:sz w:val="16"/>
          <w:szCs w:val="16"/>
        </w:rPr>
        <w:t>duda, de haberse efectuado convocatoria pública, el Estado hubiera conseguido</w:t>
      </w:r>
      <w:r>
        <w:rPr>
          <w:rFonts w:ascii="Verdana" w:hAnsi="Verdana"/>
          <w:sz w:val="16"/>
          <w:szCs w:val="16"/>
        </w:rPr>
        <w:t xml:space="preserve"> </w:t>
      </w:r>
      <w:r w:rsidRPr="0086542E">
        <w:rPr>
          <w:rFonts w:ascii="Verdana" w:hAnsi="Verdana"/>
          <w:sz w:val="16"/>
          <w:szCs w:val="16"/>
        </w:rPr>
        <w:t>mejores contratistas. No entendemos cómo para los casos de compra y venta se</w:t>
      </w:r>
      <w:r>
        <w:rPr>
          <w:rFonts w:ascii="Verdana" w:hAnsi="Verdana"/>
          <w:sz w:val="16"/>
          <w:szCs w:val="16"/>
        </w:rPr>
        <w:t xml:space="preserve"> </w:t>
      </w:r>
      <w:r w:rsidRPr="0086542E">
        <w:rPr>
          <w:rFonts w:ascii="Verdana" w:hAnsi="Verdana"/>
          <w:sz w:val="16"/>
          <w:szCs w:val="16"/>
        </w:rPr>
        <w:t>tienen previstos procedimientos distintos y no ocurre lo mismo cuando se toman</w:t>
      </w:r>
      <w:r>
        <w:rPr>
          <w:rFonts w:ascii="Verdana" w:hAnsi="Verdana"/>
          <w:sz w:val="16"/>
          <w:szCs w:val="16"/>
        </w:rPr>
        <w:t xml:space="preserve"> </w:t>
      </w:r>
      <w:r w:rsidRPr="0086542E">
        <w:rPr>
          <w:rFonts w:ascii="Verdana" w:hAnsi="Verdana"/>
          <w:sz w:val="16"/>
          <w:szCs w:val="16"/>
        </w:rPr>
        <w:t>o dan en arriendo inmuebles de propiedad de las entidades del Estado</w:t>
      </w:r>
      <w:r>
        <w:rPr>
          <w:rFonts w:ascii="Verdana" w:hAnsi="Verdana"/>
          <w:sz w:val="16"/>
          <w:szCs w:val="16"/>
        </w:rPr>
        <w:t>” (</w:t>
      </w:r>
      <w:r w:rsidRPr="00F6336E">
        <w:rPr>
          <w:rFonts w:ascii="Verdana" w:hAnsi="Verdana"/>
          <w:sz w:val="16"/>
          <w:szCs w:val="16"/>
        </w:rPr>
        <w:t>ESTRADA SÁNCHEZ, Juan Pablo. Contratación directa, convenios interadministrativos y contratos de cooperación internacional. En: Contratación estatal. Estudios sobre la reforma del Estatuto Contractual Ley 1150 de 2007. Bogotá: Universidad Externado de Colombia, 2009.</w:t>
      </w:r>
      <w:r>
        <w:rPr>
          <w:rFonts w:ascii="Verdana" w:hAnsi="Verdana"/>
          <w:sz w:val="16"/>
          <w:szCs w:val="16"/>
        </w:rPr>
        <w:t xml:space="preserve"> p</w:t>
      </w:r>
      <w:r w:rsidRPr="0086542E">
        <w:rPr>
          <w:rFonts w:ascii="Verdana" w:hAnsi="Verdana"/>
          <w:sz w:val="16"/>
          <w:szCs w:val="16"/>
        </w:rPr>
        <w:t>.</w:t>
      </w:r>
      <w:r>
        <w:rPr>
          <w:rFonts w:ascii="Verdana" w:hAnsi="Verdana"/>
          <w:sz w:val="16"/>
          <w:szCs w:val="16"/>
        </w:rPr>
        <w:t xml:space="preserve"> 315).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3DA3"/>
    <w:rsid w:val="00061B2A"/>
    <w:rsid w:val="00082362"/>
    <w:rsid w:val="0009693B"/>
    <w:rsid w:val="000A683E"/>
    <w:rsid w:val="000B19B9"/>
    <w:rsid w:val="000D0334"/>
    <w:rsid w:val="000D5DA7"/>
    <w:rsid w:val="000D7CDE"/>
    <w:rsid w:val="000F3D86"/>
    <w:rsid w:val="000F6486"/>
    <w:rsid w:val="00116940"/>
    <w:rsid w:val="00125105"/>
    <w:rsid w:val="00127233"/>
    <w:rsid w:val="0015699B"/>
    <w:rsid w:val="001A33BF"/>
    <w:rsid w:val="001E4177"/>
    <w:rsid w:val="001E62F7"/>
    <w:rsid w:val="001F0B24"/>
    <w:rsid w:val="001F7DC6"/>
    <w:rsid w:val="0022400B"/>
    <w:rsid w:val="002421BB"/>
    <w:rsid w:val="0025796E"/>
    <w:rsid w:val="00265BCE"/>
    <w:rsid w:val="002707A2"/>
    <w:rsid w:val="00287DE9"/>
    <w:rsid w:val="002951A0"/>
    <w:rsid w:val="002962BC"/>
    <w:rsid w:val="002A093D"/>
    <w:rsid w:val="002A0DD0"/>
    <w:rsid w:val="002A49AC"/>
    <w:rsid w:val="002A64FD"/>
    <w:rsid w:val="002C7A84"/>
    <w:rsid w:val="002E2BF8"/>
    <w:rsid w:val="002E4FD9"/>
    <w:rsid w:val="002F2410"/>
    <w:rsid w:val="0030657A"/>
    <w:rsid w:val="00322900"/>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1B46"/>
    <w:rsid w:val="0042722E"/>
    <w:rsid w:val="0044528D"/>
    <w:rsid w:val="00466E39"/>
    <w:rsid w:val="004A1847"/>
    <w:rsid w:val="004A305D"/>
    <w:rsid w:val="004F21C4"/>
    <w:rsid w:val="004F685F"/>
    <w:rsid w:val="005566E8"/>
    <w:rsid w:val="00574867"/>
    <w:rsid w:val="005829BE"/>
    <w:rsid w:val="00591460"/>
    <w:rsid w:val="005A65E0"/>
    <w:rsid w:val="005C3777"/>
    <w:rsid w:val="005C5CDC"/>
    <w:rsid w:val="005D476C"/>
    <w:rsid w:val="005E11FF"/>
    <w:rsid w:val="00617993"/>
    <w:rsid w:val="006200BF"/>
    <w:rsid w:val="006219F8"/>
    <w:rsid w:val="006302F7"/>
    <w:rsid w:val="00646B9F"/>
    <w:rsid w:val="00665D70"/>
    <w:rsid w:val="0066632B"/>
    <w:rsid w:val="006815DE"/>
    <w:rsid w:val="006900D9"/>
    <w:rsid w:val="00704681"/>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64C7"/>
    <w:rsid w:val="00867F95"/>
    <w:rsid w:val="008843B6"/>
    <w:rsid w:val="00891928"/>
    <w:rsid w:val="008A446D"/>
    <w:rsid w:val="008A4CD2"/>
    <w:rsid w:val="008B25F1"/>
    <w:rsid w:val="008B76C4"/>
    <w:rsid w:val="008D180B"/>
    <w:rsid w:val="008F0EA7"/>
    <w:rsid w:val="00923EEF"/>
    <w:rsid w:val="009419F9"/>
    <w:rsid w:val="0095685E"/>
    <w:rsid w:val="00961B09"/>
    <w:rsid w:val="00965334"/>
    <w:rsid w:val="0097093E"/>
    <w:rsid w:val="009A0DFA"/>
    <w:rsid w:val="009A1C6F"/>
    <w:rsid w:val="009B2D26"/>
    <w:rsid w:val="009B7BF7"/>
    <w:rsid w:val="009C71FA"/>
    <w:rsid w:val="009C72E7"/>
    <w:rsid w:val="009C7F7E"/>
    <w:rsid w:val="009D3058"/>
    <w:rsid w:val="009F3A13"/>
    <w:rsid w:val="00A03512"/>
    <w:rsid w:val="00A122D3"/>
    <w:rsid w:val="00A14468"/>
    <w:rsid w:val="00A17F13"/>
    <w:rsid w:val="00A20739"/>
    <w:rsid w:val="00A23AF9"/>
    <w:rsid w:val="00A33C78"/>
    <w:rsid w:val="00A505D5"/>
    <w:rsid w:val="00A90B10"/>
    <w:rsid w:val="00AB0ADB"/>
    <w:rsid w:val="00AC60FC"/>
    <w:rsid w:val="00B00C0E"/>
    <w:rsid w:val="00B01B1A"/>
    <w:rsid w:val="00B0381D"/>
    <w:rsid w:val="00B355D2"/>
    <w:rsid w:val="00B44A47"/>
    <w:rsid w:val="00B72CD3"/>
    <w:rsid w:val="00B72FFF"/>
    <w:rsid w:val="00BA3F2C"/>
    <w:rsid w:val="00BC3D36"/>
    <w:rsid w:val="00BD54A6"/>
    <w:rsid w:val="00BD7F72"/>
    <w:rsid w:val="00BF7425"/>
    <w:rsid w:val="00C04FB3"/>
    <w:rsid w:val="00C05864"/>
    <w:rsid w:val="00C11D8B"/>
    <w:rsid w:val="00C15139"/>
    <w:rsid w:val="00C330EB"/>
    <w:rsid w:val="00C50D69"/>
    <w:rsid w:val="00C5365C"/>
    <w:rsid w:val="00C7365F"/>
    <w:rsid w:val="00C754BE"/>
    <w:rsid w:val="00C76B1C"/>
    <w:rsid w:val="00C925AC"/>
    <w:rsid w:val="00CB6357"/>
    <w:rsid w:val="00CC1B26"/>
    <w:rsid w:val="00D1324F"/>
    <w:rsid w:val="00D361FD"/>
    <w:rsid w:val="00D423A2"/>
    <w:rsid w:val="00D44E26"/>
    <w:rsid w:val="00D520D8"/>
    <w:rsid w:val="00D63AC2"/>
    <w:rsid w:val="00D7383B"/>
    <w:rsid w:val="00D7788A"/>
    <w:rsid w:val="00D872E9"/>
    <w:rsid w:val="00DA231B"/>
    <w:rsid w:val="00DA4B58"/>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28A2"/>
    <w:rsid w:val="00EE5C5B"/>
    <w:rsid w:val="00F23FEA"/>
    <w:rsid w:val="00F31EDC"/>
    <w:rsid w:val="00F462B3"/>
    <w:rsid w:val="00F51124"/>
    <w:rsid w:val="00F5664F"/>
    <w:rsid w:val="00F666C4"/>
    <w:rsid w:val="00F76AFC"/>
    <w:rsid w:val="00FA47C0"/>
    <w:rsid w:val="00FB5DD1"/>
    <w:rsid w:val="00FC0A6A"/>
    <w:rsid w:val="00FC2B5D"/>
    <w:rsid w:val="00FF1449"/>
    <w:rsid w:val="00FF7963"/>
    <w:rsid w:val="071B8F93"/>
    <w:rsid w:val="09908A09"/>
    <w:rsid w:val="0FF4CCA8"/>
    <w:rsid w:val="13CFC91B"/>
    <w:rsid w:val="19A2EC2C"/>
    <w:rsid w:val="2859CA1B"/>
    <w:rsid w:val="32A4F9CF"/>
    <w:rsid w:val="356CEDFD"/>
    <w:rsid w:val="69614A15"/>
    <w:rsid w:val="77CE43B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6632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6632B"/>
    <w:rPr>
      <w:rFonts w:ascii="Geomanist Light" w:hAnsi="Geomanist Light"/>
      <w:lang w:val="es-ES"/>
    </w:rPr>
  </w:style>
  <w:style w:type="character" w:customStyle="1" w:styleId="s15">
    <w:name w:val="s15"/>
    <w:basedOn w:val="Fuentedeprrafopredeter"/>
    <w:rsid w:val="0066632B"/>
  </w:style>
  <w:style w:type="character" w:customStyle="1" w:styleId="NormalWebCar">
    <w:name w:val="Normal (Web) Car"/>
    <w:link w:val="NormalWeb"/>
    <w:uiPriority w:val="99"/>
    <w:locked/>
    <w:rsid w:val="0066632B"/>
    <w:rPr>
      <w:rFonts w:ascii="Times New Roman" w:eastAsia="Times New Roman" w:hAnsi="Times New Roman" w:cs="Times New Roman"/>
      <w:sz w:val="24"/>
      <w:szCs w:val="24"/>
      <w:lang w:eastAsia="es-CO"/>
    </w:rPr>
  </w:style>
  <w:style w:type="character" w:customStyle="1" w:styleId="baj">
    <w:name w:val="b_aj"/>
    <w:basedOn w:val="Fuentedeprrafopredeter"/>
    <w:rsid w:val="006663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9470663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idy.moreno@idartes.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4287774D-63F9-4A9F-8FCE-F197ED1CAD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http://purl.org/dc/terms/"/>
    <ds:schemaRef ds:uri="9d85dbaf-23eb-4e57-a637-93dcacc8b1a1"/>
    <ds:schemaRef ds:uri="http://schemas.microsoft.com/office/2006/documentManagement/types"/>
    <ds:schemaRef ds:uri="http://schemas.microsoft.com/office/infopath/2007/PartnerControls"/>
    <ds:schemaRef ds:uri="http://schemas.openxmlformats.org/package/2006/metadata/core-properties"/>
    <ds:schemaRef ds:uri="a6cb9e4b-f1d1-4245-83ec-6cad768d538a"/>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25</Pages>
  <Words>8475</Words>
  <Characters>45937</Characters>
  <Application>Microsoft Office Word</Application>
  <DocSecurity>0</DocSecurity>
  <Lines>866</Lines>
  <Paragraphs>152</Paragraphs>
  <ScaleCrop>false</ScaleCrop>
  <Company/>
  <LinksUpToDate>false</LinksUpToDate>
  <CharactersWithSpaces>54260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2026-01-30T15:10:00Z</dcterms:created>
  <dcterms:modified xsi:type="dcterms:W3CDTF">2026-01-30T15:10:00Z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