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FD4B" w14:textId="77777777" w:rsidR="00CD2626" w:rsidRPr="00647611" w:rsidRDefault="00CD2626" w:rsidP="00CD2626">
      <w:pPr>
        <w:spacing w:after="0" w:line="240" w:lineRule="auto"/>
        <w:jc w:val="both"/>
        <w:rPr>
          <w:rFonts w:ascii="Verdana" w:eastAsia="Calibri" w:hAnsi="Verdana" w:cs="Arial"/>
          <w:sz w:val="20"/>
          <w:szCs w:val="20"/>
          <w:lang w:val="es-ES_tradnl" w:eastAsia="es-ES"/>
        </w:rPr>
      </w:pPr>
    </w:p>
    <w:p w14:paraId="7FF4D154" w14:textId="77777777" w:rsidR="00CD2626" w:rsidRPr="00647611" w:rsidRDefault="00CD2626" w:rsidP="00CD2626">
      <w:pPr>
        <w:spacing w:after="0" w:line="240" w:lineRule="auto"/>
        <w:jc w:val="both"/>
        <w:rPr>
          <w:rFonts w:ascii="Verdana" w:hAnsi="Verdana" w:cs="Arial"/>
          <w:b/>
          <w:lang w:val="es-MX" w:eastAsia="es-ES_tradnl"/>
        </w:rPr>
      </w:pPr>
      <w:r>
        <w:rPr>
          <w:rFonts w:ascii="Verdana" w:hAnsi="Verdana" w:cs="Arial"/>
          <w:b/>
          <w:lang w:val="es-MX" w:eastAsia="es-ES_tradnl"/>
        </w:rPr>
        <w:t>FRACCIONAMIENTO DE CONTRATOS</w:t>
      </w:r>
      <w:r w:rsidRPr="00647611">
        <w:rPr>
          <w:rFonts w:ascii="Verdana" w:hAnsi="Verdana" w:cs="Arial"/>
          <w:b/>
          <w:lang w:val="es-MX" w:eastAsia="es-ES_tradnl"/>
        </w:rPr>
        <w:t xml:space="preserve"> </w:t>
      </w:r>
      <w:r w:rsidRPr="00647611">
        <w:rPr>
          <w:rFonts w:ascii="Verdana" w:hAnsi="Verdana" w:cs="Arial"/>
          <w:b/>
          <w:bCs/>
          <w:lang w:val="es-MX" w:eastAsia="es-ES_tradnl"/>
        </w:rPr>
        <w:t>‒</w:t>
      </w:r>
      <w:r w:rsidRPr="00647611">
        <w:rPr>
          <w:rFonts w:ascii="Verdana" w:hAnsi="Verdana" w:cs="Arial"/>
          <w:b/>
          <w:lang w:val="es-MX" w:eastAsia="es-ES_tradnl"/>
        </w:rPr>
        <w:t xml:space="preserve"> </w:t>
      </w:r>
      <w:r>
        <w:rPr>
          <w:rFonts w:ascii="Verdana" w:hAnsi="Verdana" w:cs="Arial"/>
          <w:b/>
          <w:lang w:val="es-MX" w:eastAsia="es-ES_tradnl"/>
        </w:rPr>
        <w:t>Definición – Principio de selección objetiva – Vulneración – Consecuencias</w:t>
      </w:r>
      <w:r w:rsidRPr="00647611">
        <w:rPr>
          <w:rFonts w:ascii="Verdana" w:hAnsi="Verdana" w:cs="Arial"/>
          <w:b/>
          <w:lang w:val="es-MX" w:eastAsia="es-ES_tradnl"/>
        </w:rPr>
        <w:t xml:space="preserve"> </w:t>
      </w:r>
    </w:p>
    <w:p w14:paraId="6E0F6E5C" w14:textId="77777777" w:rsidR="00CD2626" w:rsidRPr="00647611" w:rsidRDefault="00CD2626" w:rsidP="00CD2626">
      <w:pPr>
        <w:spacing w:after="0" w:line="240" w:lineRule="auto"/>
        <w:jc w:val="both"/>
        <w:rPr>
          <w:rFonts w:ascii="Verdana" w:hAnsi="Verdana" w:cs="Arial"/>
          <w:b/>
          <w:sz w:val="20"/>
          <w:szCs w:val="20"/>
          <w:lang w:val="es-MX" w:eastAsia="es-ES_tradnl"/>
        </w:rPr>
      </w:pPr>
    </w:p>
    <w:p w14:paraId="6109C05F" w14:textId="77777777" w:rsidR="00CD2626" w:rsidRPr="00647611" w:rsidRDefault="00CD2626" w:rsidP="00CD2626">
      <w:pPr>
        <w:spacing w:after="0" w:line="240" w:lineRule="auto"/>
        <w:jc w:val="both"/>
        <w:rPr>
          <w:rFonts w:ascii="Verdana" w:eastAsia="Times New Roman" w:hAnsi="Verdana" w:cs="Arial"/>
          <w:sz w:val="20"/>
          <w:szCs w:val="20"/>
          <w:lang w:val="es-MX" w:eastAsia="es-CO"/>
        </w:rPr>
      </w:pPr>
      <w:r>
        <w:rPr>
          <w:rFonts w:ascii="Verdana" w:eastAsia="Times New Roman" w:hAnsi="Verdana" w:cs="Arial"/>
          <w:bCs/>
          <w:sz w:val="20"/>
          <w:szCs w:val="20"/>
          <w:lang w:eastAsia="es-CO"/>
        </w:rPr>
        <w:t>E</w:t>
      </w:r>
      <w:r w:rsidRPr="00EB798B">
        <w:rPr>
          <w:rFonts w:ascii="Verdana" w:eastAsia="Times New Roman" w:hAnsi="Verdana" w:cs="Arial"/>
          <w:bCs/>
          <w:sz w:val="20"/>
          <w:szCs w:val="20"/>
          <w:lang w:eastAsia="es-CO"/>
        </w:rPr>
        <w:t xml:space="preserve">l </w:t>
      </w:r>
      <w:r w:rsidRPr="00EB798B">
        <w:rPr>
          <w:rFonts w:ascii="Verdana" w:eastAsia="Times New Roman" w:hAnsi="Verdana" w:cs="Arial"/>
          <w:bCs/>
          <w:i/>
          <w:iCs/>
          <w:sz w:val="20"/>
          <w:szCs w:val="20"/>
          <w:lang w:eastAsia="es-CO"/>
        </w:rPr>
        <w:t>fraccionamiento</w:t>
      </w:r>
      <w:r w:rsidRPr="00EB798B">
        <w:rPr>
          <w:rFonts w:ascii="Verdana" w:eastAsia="Times New Roman" w:hAnsi="Verdana" w:cs="Arial"/>
          <w:bCs/>
          <w:sz w:val="20"/>
          <w:szCs w:val="20"/>
          <w:lang w:eastAsia="es-CO"/>
        </w:rPr>
        <w:t xml:space="preserve"> implica dividir las prestaciones en dos o más contratos que pueden constituir un único negocio jurídico. Para la Corte Suprema de Justicia, ésta “[…] se configura, cuando la administración de manera artificiosa divide la unidad natural del objeto contractual, a fin de seleccionar directamente al contratista cuando debía convocar un proceso de licitación, o para acomodarlo a un proceso menos estricto y riguroso de contratación en defecto del que se imponía seguir atendidos su objeto y cuantía, práctica que riñe con las normas que rigen la contratación estatal, particularmente con los principios de transparencia y de selección objetiva”. Al margen de las posibles repercusiones en el ámbito disciplinario y fiscal, además de viciar de nulidad absoluta los negocios suscritos por objeto o causa ilícita, dicha acción tipifica la conducta punible de celebración de contratos sin cumplimiento de los requisitos legales.</w:t>
      </w:r>
    </w:p>
    <w:p w14:paraId="4E25ED94" w14:textId="77777777" w:rsidR="00CD2626" w:rsidRPr="00647611" w:rsidRDefault="00CD2626" w:rsidP="00CD2626">
      <w:pPr>
        <w:spacing w:after="0" w:line="240" w:lineRule="auto"/>
        <w:jc w:val="both"/>
        <w:rPr>
          <w:rFonts w:ascii="Verdana" w:hAnsi="Verdana" w:cs="Arial"/>
          <w:b/>
          <w:sz w:val="20"/>
          <w:szCs w:val="20"/>
          <w:lang w:val="es-MX" w:eastAsia="es-ES_tradnl"/>
        </w:rPr>
      </w:pPr>
    </w:p>
    <w:p w14:paraId="20182447" w14:textId="77777777" w:rsidR="00CD2626" w:rsidRPr="00647611" w:rsidRDefault="00CD2626" w:rsidP="00CD2626">
      <w:pPr>
        <w:spacing w:after="0" w:line="240" w:lineRule="auto"/>
        <w:jc w:val="both"/>
        <w:rPr>
          <w:rFonts w:ascii="Verdana" w:hAnsi="Verdana" w:cs="Arial"/>
          <w:b/>
          <w:lang w:val="es-MX" w:eastAsia="es-ES_tradnl"/>
        </w:rPr>
      </w:pPr>
      <w:r>
        <w:rPr>
          <w:rFonts w:ascii="Verdana" w:hAnsi="Verdana" w:cs="Arial"/>
          <w:b/>
          <w:lang w:val="es-MX" w:eastAsia="es-ES_tradnl"/>
        </w:rPr>
        <w:t>ADJUDICACIÓN POR LOTES</w:t>
      </w:r>
      <w:r w:rsidRPr="00647611">
        <w:rPr>
          <w:rFonts w:ascii="Verdana" w:hAnsi="Verdana" w:cs="Arial"/>
          <w:b/>
          <w:lang w:val="es-MX" w:eastAsia="es-ES_tradnl"/>
        </w:rPr>
        <w:t xml:space="preserve"> </w:t>
      </w:r>
      <w:r w:rsidRPr="00647611">
        <w:rPr>
          <w:rFonts w:ascii="Verdana" w:hAnsi="Verdana" w:cs="Arial"/>
          <w:b/>
          <w:bCs/>
          <w:lang w:val="es-MX" w:eastAsia="es-ES_tradnl"/>
        </w:rPr>
        <w:t>‒</w:t>
      </w:r>
      <w:r w:rsidRPr="00647611">
        <w:rPr>
          <w:rFonts w:ascii="Verdana" w:hAnsi="Verdana" w:cs="Arial"/>
          <w:b/>
          <w:lang w:val="es-MX" w:eastAsia="es-ES_tradnl"/>
        </w:rPr>
        <w:t xml:space="preserve"> </w:t>
      </w:r>
      <w:r>
        <w:rPr>
          <w:rFonts w:ascii="Verdana" w:hAnsi="Verdana" w:cs="Arial"/>
          <w:b/>
          <w:lang w:val="es-MX" w:eastAsia="es-ES_tradnl"/>
        </w:rPr>
        <w:t>Fraccionamiento de contratos –</w:t>
      </w:r>
      <w:r w:rsidRPr="00647611">
        <w:rPr>
          <w:rFonts w:ascii="Verdana" w:hAnsi="Verdana" w:cs="Arial"/>
          <w:b/>
          <w:lang w:val="es-MX" w:eastAsia="es-ES_tradnl"/>
        </w:rPr>
        <w:t xml:space="preserve"> </w:t>
      </w:r>
      <w:r>
        <w:rPr>
          <w:rFonts w:ascii="Verdana" w:hAnsi="Verdana" w:cs="Arial"/>
          <w:b/>
          <w:lang w:val="es-MX" w:eastAsia="es-ES_tradnl"/>
        </w:rPr>
        <w:t>Diferencias</w:t>
      </w:r>
    </w:p>
    <w:p w14:paraId="593485A4" w14:textId="77777777" w:rsidR="00CD2626" w:rsidRPr="00647611" w:rsidRDefault="00CD2626" w:rsidP="00CD2626">
      <w:pPr>
        <w:spacing w:after="0" w:line="240" w:lineRule="auto"/>
        <w:jc w:val="both"/>
        <w:rPr>
          <w:rFonts w:ascii="Verdana" w:hAnsi="Verdana" w:cs="Arial"/>
          <w:b/>
          <w:sz w:val="20"/>
          <w:szCs w:val="20"/>
          <w:lang w:val="es-MX" w:eastAsia="es-ES_tradnl"/>
        </w:rPr>
      </w:pPr>
    </w:p>
    <w:p w14:paraId="4EF7DA37" w14:textId="77777777" w:rsidR="00CD2626" w:rsidRPr="00647611" w:rsidRDefault="00CD2626" w:rsidP="00CD2626">
      <w:pPr>
        <w:spacing w:after="0" w:line="240" w:lineRule="auto"/>
        <w:jc w:val="both"/>
        <w:rPr>
          <w:rFonts w:ascii="Verdana" w:eastAsia="Times New Roman" w:hAnsi="Verdana" w:cs="Arial"/>
          <w:bCs/>
          <w:sz w:val="20"/>
          <w:szCs w:val="20"/>
          <w:lang w:val="es-ES" w:eastAsia="es-CO"/>
        </w:rPr>
      </w:pPr>
      <w:r>
        <w:rPr>
          <w:rFonts w:ascii="Verdana" w:eastAsia="Calibri" w:hAnsi="Verdana" w:cs="Arial"/>
          <w:bCs/>
          <w:sz w:val="20"/>
          <w:szCs w:val="20"/>
        </w:rPr>
        <w:t>D</w:t>
      </w:r>
      <w:r w:rsidRPr="00EB798B">
        <w:rPr>
          <w:rFonts w:ascii="Verdana" w:eastAsia="Calibri" w:hAnsi="Verdana" w:cs="Arial"/>
          <w:bCs/>
          <w:sz w:val="20"/>
          <w:szCs w:val="20"/>
        </w:rPr>
        <w:t xml:space="preserve">ebe distinguirse el </w:t>
      </w:r>
      <w:r w:rsidRPr="00EB798B">
        <w:rPr>
          <w:rFonts w:ascii="Verdana" w:eastAsia="Calibri" w:hAnsi="Verdana" w:cs="Arial"/>
          <w:bCs/>
          <w:i/>
          <w:iCs/>
          <w:sz w:val="20"/>
          <w:szCs w:val="20"/>
        </w:rPr>
        <w:t>fraccionamiento de contrato</w:t>
      </w:r>
      <w:r w:rsidRPr="00EB798B">
        <w:rPr>
          <w:rFonts w:ascii="Verdana" w:eastAsia="Calibri" w:hAnsi="Verdana" w:cs="Arial"/>
          <w:bCs/>
          <w:sz w:val="20"/>
          <w:szCs w:val="20"/>
        </w:rPr>
        <w:t xml:space="preserve"> de la </w:t>
      </w:r>
      <w:r w:rsidRPr="00EB798B">
        <w:rPr>
          <w:rFonts w:ascii="Verdana" w:eastAsia="Calibri" w:hAnsi="Verdana" w:cs="Arial"/>
          <w:bCs/>
          <w:i/>
          <w:iCs/>
          <w:sz w:val="20"/>
          <w:szCs w:val="20"/>
        </w:rPr>
        <w:t>división en lotes</w:t>
      </w:r>
      <w:r w:rsidRPr="00EB798B">
        <w:rPr>
          <w:rFonts w:ascii="Verdana" w:eastAsia="Calibri" w:hAnsi="Verdana" w:cs="Arial"/>
          <w:bCs/>
          <w:sz w:val="20"/>
          <w:szCs w:val="20"/>
        </w:rPr>
        <w:t>. El primero se encuentra prohibido, porque atenta contra el principio de selección objetiva; mientras que el segundo está permitido, con el propósito facilitar la segmentación de mercado y propiciar que varios contratistas ejecuten porciones puntales del objeto contractual. Sobre este último punto, el artículo 12.6 de la Ley 590 de 2000 –modificado por el artículo 33 de la Ley de Emprendimiento– dispone que “[…] Con el fin de promover el acceso de las MIPYMES al mercado de Compras Públicas, las Entidades Estatales indistintamente de su régimen de contratación, los patrimonios autónomos constituidos por Entidades Estatales y los particulares que ejecuten recursos públicos: […] 6. Promoverán la división del Proceso de Contratación en lotes o segmentos que faciliten la participación de las MIPYMES en el Proceso de Contratación [...]”</w:t>
      </w:r>
      <w:r>
        <w:rPr>
          <w:rFonts w:ascii="Verdana" w:eastAsia="Calibri" w:hAnsi="Verdana" w:cs="Arial"/>
          <w:bCs/>
          <w:sz w:val="20"/>
          <w:szCs w:val="20"/>
        </w:rPr>
        <w:t>.</w:t>
      </w:r>
      <w:r w:rsidRPr="00647611">
        <w:rPr>
          <w:rFonts w:ascii="Verdana" w:eastAsia="Times New Roman" w:hAnsi="Verdana" w:cs="Arial"/>
          <w:bCs/>
          <w:sz w:val="20"/>
          <w:szCs w:val="20"/>
          <w:lang w:val="es-ES" w:eastAsia="es-CO"/>
        </w:rPr>
        <w:t xml:space="preserve"> </w:t>
      </w:r>
    </w:p>
    <w:p w14:paraId="157B5091" w14:textId="77777777" w:rsidR="00CD2626" w:rsidRPr="00647611" w:rsidRDefault="00CD2626" w:rsidP="00CD2626">
      <w:pPr>
        <w:spacing w:after="0" w:line="240" w:lineRule="auto"/>
        <w:jc w:val="both"/>
        <w:rPr>
          <w:rFonts w:ascii="Verdana" w:hAnsi="Verdana" w:cs="Arial"/>
          <w:b/>
          <w:sz w:val="20"/>
          <w:szCs w:val="20"/>
          <w:lang w:val="es-MX" w:eastAsia="es-ES_tradnl"/>
        </w:rPr>
      </w:pPr>
    </w:p>
    <w:p w14:paraId="36CE8353" w14:textId="77777777" w:rsidR="00CD2626" w:rsidRPr="00647611" w:rsidRDefault="00CD2626" w:rsidP="00CD2626">
      <w:pPr>
        <w:spacing w:after="0" w:line="240" w:lineRule="auto"/>
        <w:jc w:val="both"/>
        <w:rPr>
          <w:rFonts w:ascii="Verdana" w:hAnsi="Verdana" w:cs="Arial"/>
          <w:b/>
          <w:lang w:val="es-MX" w:eastAsia="es-ES_tradnl"/>
        </w:rPr>
      </w:pPr>
      <w:r>
        <w:rPr>
          <w:rFonts w:ascii="Verdana" w:hAnsi="Verdana" w:cs="Arial"/>
          <w:b/>
          <w:lang w:val="es-MX" w:eastAsia="es-ES_tradnl"/>
        </w:rPr>
        <w:t>PRINCIPIO DE PLANEACIÓN</w:t>
      </w:r>
      <w:r w:rsidRPr="00647611">
        <w:rPr>
          <w:rFonts w:ascii="Verdana" w:hAnsi="Verdana" w:cs="Arial"/>
          <w:b/>
          <w:lang w:val="es-MX" w:eastAsia="es-ES_tradnl"/>
        </w:rPr>
        <w:t xml:space="preserve"> – </w:t>
      </w:r>
      <w:r>
        <w:rPr>
          <w:rFonts w:ascii="Verdana" w:hAnsi="Verdana" w:cs="Arial"/>
          <w:b/>
          <w:lang w:val="es-MX" w:eastAsia="es-ES_tradnl"/>
        </w:rPr>
        <w:t>Adjudicación por lotes</w:t>
      </w:r>
      <w:r w:rsidRPr="00647611">
        <w:rPr>
          <w:rFonts w:ascii="Verdana" w:hAnsi="Verdana" w:cs="Arial"/>
          <w:b/>
          <w:lang w:val="es-MX" w:eastAsia="es-ES_tradnl"/>
        </w:rPr>
        <w:t xml:space="preserve"> – </w:t>
      </w:r>
      <w:r>
        <w:rPr>
          <w:rFonts w:ascii="Verdana" w:hAnsi="Verdana" w:cs="Arial"/>
          <w:b/>
          <w:lang w:val="es-MX" w:eastAsia="es-ES_tradnl"/>
        </w:rPr>
        <w:t>Análisis de la entidad contratante</w:t>
      </w:r>
      <w:r w:rsidRPr="00647611">
        <w:rPr>
          <w:rFonts w:ascii="Verdana" w:hAnsi="Verdana" w:cs="Arial"/>
          <w:b/>
          <w:lang w:val="es-MX" w:eastAsia="es-ES_tradnl"/>
        </w:rPr>
        <w:t xml:space="preserve"> </w:t>
      </w:r>
    </w:p>
    <w:p w14:paraId="2B90C6EB" w14:textId="77777777" w:rsidR="00CD2626" w:rsidRPr="00647611" w:rsidRDefault="00CD2626" w:rsidP="00CD2626">
      <w:pPr>
        <w:spacing w:after="0" w:line="240" w:lineRule="auto"/>
        <w:jc w:val="both"/>
        <w:rPr>
          <w:rFonts w:ascii="Verdana" w:hAnsi="Verdana" w:cs="Arial"/>
          <w:b/>
          <w:sz w:val="20"/>
          <w:szCs w:val="20"/>
          <w:lang w:val="es-MX" w:eastAsia="es-ES_tradnl"/>
        </w:rPr>
      </w:pPr>
    </w:p>
    <w:p w14:paraId="6C2BEEF3" w14:textId="77777777" w:rsidR="00CD2626" w:rsidRPr="00647611" w:rsidRDefault="00CD2626" w:rsidP="00CD2626">
      <w:pPr>
        <w:spacing w:after="0" w:line="240" w:lineRule="auto"/>
        <w:jc w:val="both"/>
        <w:rPr>
          <w:rFonts w:ascii="Verdana" w:eastAsia="Times New Roman" w:hAnsi="Verdana" w:cs="Arial"/>
          <w:bCs/>
          <w:sz w:val="20"/>
          <w:szCs w:val="20"/>
          <w:lang w:eastAsia="x-none"/>
        </w:rPr>
      </w:pPr>
      <w:r>
        <w:rPr>
          <w:rFonts w:ascii="Verdana" w:eastAsia="Times New Roman" w:hAnsi="Verdana" w:cs="Arial"/>
          <w:bCs/>
          <w:sz w:val="20"/>
          <w:szCs w:val="20"/>
          <w:lang w:eastAsia="x-none"/>
        </w:rPr>
        <w:t>L</w:t>
      </w:r>
      <w:r w:rsidRPr="00EB798B">
        <w:rPr>
          <w:rFonts w:ascii="Verdana" w:eastAsia="Times New Roman" w:hAnsi="Verdana" w:cs="Arial"/>
          <w:bCs/>
          <w:sz w:val="20"/>
          <w:szCs w:val="20"/>
          <w:lang w:eastAsia="x-none"/>
        </w:rPr>
        <w:t>a posibilidad de adjudicar o no por lotes es una decisión de que debe adoptarse de acuerdo al principio de planeación.</w:t>
      </w:r>
      <w:r w:rsidRPr="00647611">
        <w:rPr>
          <w:rFonts w:ascii="Verdana" w:eastAsia="Times New Roman" w:hAnsi="Verdana" w:cs="Arial"/>
          <w:bCs/>
          <w:sz w:val="20"/>
          <w:szCs w:val="20"/>
          <w:lang w:val="es-MX" w:eastAsia="x-none"/>
        </w:rPr>
        <w:t xml:space="preserve"> </w:t>
      </w:r>
      <w:r w:rsidRPr="00EB798B">
        <w:rPr>
          <w:rFonts w:ascii="Verdana" w:eastAsia="Times New Roman" w:hAnsi="Verdana" w:cs="Arial"/>
          <w:bCs/>
          <w:sz w:val="20"/>
          <w:szCs w:val="20"/>
          <w:lang w:val="es-MX" w:eastAsia="x-none"/>
        </w:rPr>
        <w:t>Para estos efectos, el inciso tercero del artículo 2.2.1.2.4.2.19 del Decreto 1082 de 2015 dispone que “La decisión de no adjudicar un contrato en lotes o segmentos podrá obedecer entre otras razones, a que mediante este mecanismo se pueda restringir la competencia o que la segmentación del mercado pueda conducir a que la ejecución del contrato sea imposible desde el punto de vista técnico o económico […]”.</w:t>
      </w:r>
      <w:r>
        <w:rPr>
          <w:rFonts w:ascii="Verdana" w:eastAsia="Times New Roman" w:hAnsi="Verdana" w:cs="Arial"/>
          <w:bCs/>
          <w:sz w:val="20"/>
          <w:szCs w:val="20"/>
          <w:lang w:val="es-MX" w:eastAsia="x-none"/>
        </w:rPr>
        <w:t xml:space="preserve"> </w:t>
      </w:r>
      <w:r w:rsidRPr="00EB798B">
        <w:rPr>
          <w:rFonts w:ascii="Verdana" w:eastAsia="Times New Roman" w:hAnsi="Verdana" w:cs="Arial"/>
          <w:bCs/>
          <w:sz w:val="20"/>
          <w:szCs w:val="20"/>
          <w:lang w:eastAsia="x-none"/>
        </w:rPr>
        <w:t xml:space="preserve">Luego, conforme al marco jurídico vigente, es posible que –siempre que no exista fraccionamiento en la condiciones explicadas </w:t>
      </w:r>
      <w:r w:rsidRPr="00EB798B">
        <w:rPr>
          <w:rFonts w:ascii="Verdana" w:eastAsia="Times New Roman" w:hAnsi="Verdana" w:cs="Arial"/>
          <w:bCs/>
          <w:i/>
          <w:iCs/>
          <w:sz w:val="20"/>
          <w:szCs w:val="20"/>
          <w:lang w:eastAsia="x-none"/>
        </w:rPr>
        <w:t>ut supra</w:t>
      </w:r>
      <w:r w:rsidRPr="00EB798B">
        <w:rPr>
          <w:rFonts w:ascii="Verdana" w:eastAsia="Times New Roman" w:hAnsi="Verdana" w:cs="Arial"/>
          <w:bCs/>
          <w:sz w:val="20"/>
          <w:szCs w:val="20"/>
          <w:lang w:eastAsia="x-none"/>
        </w:rPr>
        <w:t xml:space="preserve">– la entidad contratante adopte la decisión justificada de adelantar varios de procesos de selección en vez de una contratación integral. Como explica la Sala Plena del Consejo de Estado, “La prohibición del fraccionamiento del contrato estatal, siempre y cuando no se manipulen las cuantías </w:t>
      </w:r>
      <w:r w:rsidRPr="00EB798B">
        <w:rPr>
          <w:rFonts w:ascii="Verdana" w:eastAsia="Times New Roman" w:hAnsi="Verdana" w:cs="Arial"/>
          <w:bCs/>
          <w:sz w:val="20"/>
          <w:szCs w:val="20"/>
          <w:lang w:eastAsia="x-none"/>
        </w:rPr>
        <w:lastRenderedPageBreak/>
        <w:t>de los contratos para evadir los mecanismos reglados de selección objetiva, no implica una limitación a la Administración para que, en la planeación de procesos contractuales de envergadura económica o complejidad técnica, disponga la celebración de varios contratos o la desagregación tecnológica en los proyectos de inversión, dispuesta por el artículo 21 de la Ley 80 de 1993”.</w:t>
      </w:r>
    </w:p>
    <w:p w14:paraId="6C7AC85A" w14:textId="77777777" w:rsidR="00CD2626" w:rsidRPr="00647611" w:rsidRDefault="00CD2626" w:rsidP="00CD2626">
      <w:pPr>
        <w:spacing w:after="0" w:line="240" w:lineRule="auto"/>
        <w:jc w:val="both"/>
        <w:rPr>
          <w:rFonts w:ascii="Verdana" w:eastAsia="Times New Roman" w:hAnsi="Verdana" w:cs="Arial"/>
          <w:bCs/>
          <w:sz w:val="20"/>
          <w:szCs w:val="20"/>
          <w:lang w:eastAsia="x-none"/>
        </w:rPr>
      </w:pPr>
    </w:p>
    <w:p w14:paraId="3D650A13" w14:textId="77777777" w:rsidR="00CD2626" w:rsidRDefault="00CD2626" w:rsidP="00CD2626">
      <w:pPr>
        <w:spacing w:after="0" w:line="240" w:lineRule="auto"/>
        <w:jc w:val="both"/>
        <w:rPr>
          <w:rFonts w:ascii="Verdana" w:eastAsia="Geomanist Light" w:hAnsi="Verdana" w:cs="Arial"/>
          <w:color w:val="000000" w:themeColor="text1"/>
          <w:lang w:val="es-MX"/>
        </w:rPr>
      </w:pPr>
    </w:p>
    <w:p w14:paraId="68404B99" w14:textId="77777777" w:rsidR="00CD2626" w:rsidRDefault="00CD2626" w:rsidP="00CD2626">
      <w:pPr>
        <w:spacing w:after="0" w:line="240" w:lineRule="auto"/>
        <w:jc w:val="both"/>
        <w:rPr>
          <w:rFonts w:ascii="Verdana" w:eastAsia="Geomanist Light" w:hAnsi="Verdana" w:cs="Arial"/>
          <w:color w:val="000000" w:themeColor="text1"/>
          <w:lang w:val="es-MX"/>
        </w:rPr>
      </w:pPr>
    </w:p>
    <w:p w14:paraId="05A11E7A" w14:textId="77777777" w:rsidR="00CD2626" w:rsidRDefault="00CD2626" w:rsidP="00CD2626">
      <w:pPr>
        <w:spacing w:after="0" w:line="240" w:lineRule="auto"/>
        <w:jc w:val="both"/>
        <w:rPr>
          <w:rFonts w:ascii="Verdana" w:eastAsia="Geomanist Light" w:hAnsi="Verdana" w:cs="Arial"/>
          <w:color w:val="000000" w:themeColor="text1"/>
          <w:lang w:val="es-MX"/>
        </w:rPr>
      </w:pPr>
    </w:p>
    <w:p w14:paraId="111AE565" w14:textId="77777777" w:rsidR="00CD2626" w:rsidRDefault="00CD2626" w:rsidP="00CD2626">
      <w:pPr>
        <w:spacing w:after="0" w:line="240" w:lineRule="auto"/>
        <w:jc w:val="both"/>
        <w:rPr>
          <w:rFonts w:ascii="Verdana" w:eastAsia="Geomanist Light" w:hAnsi="Verdana" w:cs="Arial"/>
          <w:color w:val="000000" w:themeColor="text1"/>
          <w:lang w:val="es-MX"/>
        </w:rPr>
      </w:pPr>
    </w:p>
    <w:p w14:paraId="4FDF1A93" w14:textId="77777777" w:rsidR="00CD2626" w:rsidRDefault="00CD2626" w:rsidP="00CD2626">
      <w:pPr>
        <w:spacing w:after="0" w:line="240" w:lineRule="auto"/>
        <w:jc w:val="both"/>
        <w:rPr>
          <w:rFonts w:ascii="Verdana" w:eastAsia="Geomanist Light" w:hAnsi="Verdana" w:cs="Arial"/>
          <w:color w:val="000000" w:themeColor="text1"/>
          <w:lang w:val="es-MX"/>
        </w:rPr>
      </w:pPr>
    </w:p>
    <w:p w14:paraId="3D0B4CCC" w14:textId="77777777" w:rsidR="00CD2626" w:rsidRDefault="00CD2626" w:rsidP="00CD2626">
      <w:pPr>
        <w:spacing w:after="0" w:line="240" w:lineRule="auto"/>
        <w:jc w:val="both"/>
        <w:rPr>
          <w:rFonts w:ascii="Verdana" w:eastAsia="Geomanist Light" w:hAnsi="Verdana" w:cs="Arial"/>
          <w:color w:val="000000" w:themeColor="text1"/>
          <w:lang w:val="es-MX"/>
        </w:rPr>
      </w:pPr>
    </w:p>
    <w:p w14:paraId="758E0E50" w14:textId="77777777" w:rsidR="00CD2626" w:rsidRDefault="00CD2626" w:rsidP="00CD2626">
      <w:pPr>
        <w:spacing w:after="0" w:line="240" w:lineRule="auto"/>
        <w:jc w:val="both"/>
        <w:rPr>
          <w:rFonts w:ascii="Verdana" w:eastAsia="Geomanist Light" w:hAnsi="Verdana" w:cs="Arial"/>
          <w:color w:val="000000" w:themeColor="text1"/>
          <w:lang w:val="es-MX"/>
        </w:rPr>
      </w:pPr>
    </w:p>
    <w:p w14:paraId="65C81BF4" w14:textId="77777777" w:rsidR="00CD2626" w:rsidRDefault="00CD2626" w:rsidP="00CD2626">
      <w:pPr>
        <w:spacing w:after="0" w:line="240" w:lineRule="auto"/>
        <w:jc w:val="both"/>
        <w:rPr>
          <w:rFonts w:ascii="Verdana" w:eastAsia="Geomanist Light" w:hAnsi="Verdana" w:cs="Arial"/>
          <w:color w:val="000000" w:themeColor="text1"/>
          <w:lang w:val="es-MX"/>
        </w:rPr>
      </w:pPr>
    </w:p>
    <w:p w14:paraId="48E55A73" w14:textId="77777777" w:rsidR="00CD2626" w:rsidRDefault="00CD2626" w:rsidP="00CD2626">
      <w:pPr>
        <w:spacing w:after="0" w:line="240" w:lineRule="auto"/>
        <w:jc w:val="both"/>
        <w:rPr>
          <w:rFonts w:ascii="Verdana" w:eastAsia="Geomanist Light" w:hAnsi="Verdana" w:cs="Arial"/>
          <w:color w:val="000000" w:themeColor="text1"/>
          <w:lang w:val="es-MX"/>
        </w:rPr>
      </w:pPr>
    </w:p>
    <w:p w14:paraId="21CBBC74" w14:textId="77777777" w:rsidR="00CD2626" w:rsidRDefault="00CD2626" w:rsidP="00CD2626">
      <w:pPr>
        <w:spacing w:after="0" w:line="240" w:lineRule="auto"/>
        <w:jc w:val="both"/>
        <w:rPr>
          <w:rFonts w:ascii="Verdana" w:eastAsia="Geomanist Light" w:hAnsi="Verdana" w:cs="Arial"/>
          <w:color w:val="000000" w:themeColor="text1"/>
          <w:lang w:val="es-MX"/>
        </w:rPr>
      </w:pPr>
    </w:p>
    <w:p w14:paraId="20097D58" w14:textId="77777777" w:rsidR="00CD2626" w:rsidRDefault="00CD2626" w:rsidP="00CD2626">
      <w:pPr>
        <w:spacing w:after="0" w:line="240" w:lineRule="auto"/>
        <w:jc w:val="both"/>
        <w:rPr>
          <w:rFonts w:ascii="Verdana" w:eastAsia="Geomanist Light" w:hAnsi="Verdana" w:cs="Arial"/>
          <w:color w:val="000000" w:themeColor="text1"/>
          <w:lang w:val="es-MX"/>
        </w:rPr>
      </w:pPr>
    </w:p>
    <w:p w14:paraId="271A4C39" w14:textId="77777777" w:rsidR="00CD2626" w:rsidRDefault="00CD2626" w:rsidP="00CD2626">
      <w:pPr>
        <w:spacing w:after="0" w:line="240" w:lineRule="auto"/>
        <w:jc w:val="both"/>
        <w:rPr>
          <w:rFonts w:ascii="Verdana" w:eastAsia="Geomanist Light" w:hAnsi="Verdana" w:cs="Arial"/>
          <w:color w:val="000000" w:themeColor="text1"/>
          <w:lang w:val="es-MX"/>
        </w:rPr>
      </w:pPr>
    </w:p>
    <w:p w14:paraId="36EAE37A" w14:textId="77777777" w:rsidR="00CD2626" w:rsidRDefault="00CD2626" w:rsidP="00CD2626">
      <w:pPr>
        <w:spacing w:after="0" w:line="240" w:lineRule="auto"/>
        <w:jc w:val="both"/>
        <w:rPr>
          <w:rFonts w:ascii="Verdana" w:eastAsia="Geomanist Light" w:hAnsi="Verdana" w:cs="Arial"/>
          <w:color w:val="000000" w:themeColor="text1"/>
          <w:lang w:val="es-MX"/>
        </w:rPr>
      </w:pPr>
    </w:p>
    <w:p w14:paraId="6C257EB5" w14:textId="77777777" w:rsidR="00CD2626" w:rsidRDefault="00CD2626" w:rsidP="00CD2626">
      <w:pPr>
        <w:spacing w:after="0" w:line="240" w:lineRule="auto"/>
        <w:jc w:val="both"/>
        <w:rPr>
          <w:rFonts w:ascii="Verdana" w:eastAsia="Geomanist Light" w:hAnsi="Verdana" w:cs="Arial"/>
          <w:color w:val="000000" w:themeColor="text1"/>
          <w:lang w:val="es-MX"/>
        </w:rPr>
      </w:pPr>
    </w:p>
    <w:p w14:paraId="757AD937" w14:textId="77777777" w:rsidR="00CD2626" w:rsidRDefault="00CD2626" w:rsidP="00CD2626">
      <w:pPr>
        <w:spacing w:after="0" w:line="240" w:lineRule="auto"/>
        <w:jc w:val="both"/>
        <w:rPr>
          <w:rFonts w:ascii="Verdana" w:eastAsia="Geomanist Light" w:hAnsi="Verdana" w:cs="Arial"/>
          <w:color w:val="000000" w:themeColor="text1"/>
          <w:lang w:val="es-MX"/>
        </w:rPr>
      </w:pPr>
    </w:p>
    <w:p w14:paraId="04EC0FBD" w14:textId="77777777" w:rsidR="00CD2626" w:rsidRDefault="00CD2626" w:rsidP="00CD2626">
      <w:pPr>
        <w:spacing w:after="0" w:line="240" w:lineRule="auto"/>
        <w:jc w:val="both"/>
        <w:rPr>
          <w:rFonts w:ascii="Verdana" w:eastAsia="Geomanist Light" w:hAnsi="Verdana" w:cs="Arial"/>
          <w:color w:val="000000" w:themeColor="text1"/>
          <w:lang w:val="es-MX"/>
        </w:rPr>
      </w:pPr>
    </w:p>
    <w:p w14:paraId="6F2489C4" w14:textId="77777777" w:rsidR="00CD2626" w:rsidRDefault="00CD2626" w:rsidP="00CD2626">
      <w:pPr>
        <w:spacing w:after="0" w:line="240" w:lineRule="auto"/>
        <w:jc w:val="both"/>
        <w:rPr>
          <w:rFonts w:ascii="Verdana" w:eastAsia="Geomanist Light" w:hAnsi="Verdana" w:cs="Arial"/>
          <w:color w:val="000000" w:themeColor="text1"/>
          <w:lang w:val="es-MX"/>
        </w:rPr>
      </w:pPr>
    </w:p>
    <w:p w14:paraId="67C628AD" w14:textId="77777777" w:rsidR="00CD2626" w:rsidRDefault="00CD2626" w:rsidP="00CD2626">
      <w:pPr>
        <w:spacing w:after="0" w:line="240" w:lineRule="auto"/>
        <w:jc w:val="both"/>
        <w:rPr>
          <w:rFonts w:ascii="Verdana" w:eastAsia="Geomanist Light" w:hAnsi="Verdana" w:cs="Arial"/>
          <w:color w:val="000000" w:themeColor="text1"/>
          <w:lang w:val="es-MX"/>
        </w:rPr>
      </w:pPr>
    </w:p>
    <w:p w14:paraId="38135415" w14:textId="77777777" w:rsidR="00CD2626" w:rsidRDefault="00CD2626" w:rsidP="00CD2626">
      <w:pPr>
        <w:spacing w:after="0" w:line="240" w:lineRule="auto"/>
        <w:jc w:val="both"/>
        <w:rPr>
          <w:rFonts w:ascii="Verdana" w:eastAsia="Geomanist Light" w:hAnsi="Verdana" w:cs="Arial"/>
          <w:color w:val="000000" w:themeColor="text1"/>
          <w:lang w:val="es-MX"/>
        </w:rPr>
      </w:pPr>
    </w:p>
    <w:p w14:paraId="588D7E4C" w14:textId="77777777" w:rsidR="00CD2626" w:rsidRDefault="00CD2626" w:rsidP="00CD2626">
      <w:pPr>
        <w:spacing w:after="0" w:line="240" w:lineRule="auto"/>
        <w:jc w:val="both"/>
        <w:rPr>
          <w:rFonts w:ascii="Verdana" w:eastAsia="Geomanist Light" w:hAnsi="Verdana" w:cs="Arial"/>
          <w:color w:val="000000" w:themeColor="text1"/>
          <w:lang w:val="es-MX"/>
        </w:rPr>
      </w:pPr>
    </w:p>
    <w:p w14:paraId="47330D30" w14:textId="77777777" w:rsidR="00CD2626" w:rsidRDefault="00CD2626" w:rsidP="00CD2626">
      <w:pPr>
        <w:spacing w:after="0" w:line="240" w:lineRule="auto"/>
        <w:jc w:val="both"/>
        <w:rPr>
          <w:rFonts w:ascii="Verdana" w:eastAsia="Geomanist Light" w:hAnsi="Verdana" w:cs="Arial"/>
          <w:color w:val="000000" w:themeColor="text1"/>
          <w:lang w:val="es-MX"/>
        </w:rPr>
      </w:pPr>
    </w:p>
    <w:p w14:paraId="0C8DD3A4" w14:textId="77777777" w:rsidR="00CD2626" w:rsidRDefault="00CD2626" w:rsidP="00CD2626">
      <w:pPr>
        <w:spacing w:after="0" w:line="240" w:lineRule="auto"/>
        <w:jc w:val="both"/>
        <w:rPr>
          <w:rFonts w:ascii="Verdana" w:eastAsia="Geomanist Light" w:hAnsi="Verdana" w:cs="Arial"/>
          <w:color w:val="000000" w:themeColor="text1"/>
          <w:lang w:val="es-MX"/>
        </w:rPr>
      </w:pPr>
    </w:p>
    <w:p w14:paraId="37FCEEF4" w14:textId="77777777" w:rsidR="00CD2626" w:rsidRDefault="00CD2626" w:rsidP="00CD2626">
      <w:pPr>
        <w:spacing w:after="0" w:line="240" w:lineRule="auto"/>
        <w:jc w:val="both"/>
        <w:rPr>
          <w:rFonts w:ascii="Verdana" w:eastAsia="Geomanist Light" w:hAnsi="Verdana" w:cs="Arial"/>
          <w:color w:val="000000" w:themeColor="text1"/>
          <w:lang w:val="es-MX"/>
        </w:rPr>
      </w:pPr>
    </w:p>
    <w:p w14:paraId="7D67DF34" w14:textId="77777777" w:rsidR="00CD2626" w:rsidRDefault="00CD2626" w:rsidP="00CD2626">
      <w:pPr>
        <w:spacing w:after="0" w:line="240" w:lineRule="auto"/>
        <w:jc w:val="both"/>
        <w:rPr>
          <w:rFonts w:ascii="Verdana" w:eastAsia="Geomanist Light" w:hAnsi="Verdana" w:cs="Arial"/>
          <w:color w:val="000000" w:themeColor="text1"/>
          <w:lang w:val="es-MX"/>
        </w:rPr>
      </w:pPr>
    </w:p>
    <w:p w14:paraId="14EAC28F" w14:textId="77777777" w:rsidR="00CD2626" w:rsidRDefault="00CD2626" w:rsidP="00CD2626">
      <w:pPr>
        <w:spacing w:after="0" w:line="240" w:lineRule="auto"/>
        <w:jc w:val="both"/>
        <w:rPr>
          <w:rFonts w:ascii="Verdana" w:eastAsia="Geomanist Light" w:hAnsi="Verdana" w:cs="Arial"/>
          <w:color w:val="000000" w:themeColor="text1"/>
          <w:lang w:val="es-MX"/>
        </w:rPr>
      </w:pPr>
    </w:p>
    <w:p w14:paraId="0D369463" w14:textId="77777777" w:rsidR="00CD2626" w:rsidRDefault="00CD2626" w:rsidP="00CD2626">
      <w:pPr>
        <w:spacing w:after="0" w:line="240" w:lineRule="auto"/>
        <w:jc w:val="both"/>
        <w:rPr>
          <w:rFonts w:ascii="Verdana" w:eastAsia="Geomanist Light" w:hAnsi="Verdana" w:cs="Arial"/>
          <w:color w:val="000000" w:themeColor="text1"/>
          <w:lang w:val="es-MX"/>
        </w:rPr>
      </w:pPr>
    </w:p>
    <w:p w14:paraId="01E7426E" w14:textId="77777777" w:rsidR="00CD2626" w:rsidRDefault="00CD2626" w:rsidP="00CD2626">
      <w:pPr>
        <w:spacing w:after="0" w:line="240" w:lineRule="auto"/>
        <w:jc w:val="both"/>
        <w:rPr>
          <w:rFonts w:ascii="Verdana" w:eastAsia="Geomanist Light" w:hAnsi="Verdana" w:cs="Arial"/>
          <w:color w:val="000000" w:themeColor="text1"/>
          <w:lang w:val="es-MX"/>
        </w:rPr>
      </w:pPr>
    </w:p>
    <w:p w14:paraId="1FEC2CBC" w14:textId="77777777" w:rsidR="00CD2626" w:rsidRDefault="00CD2626" w:rsidP="00CD2626">
      <w:pPr>
        <w:spacing w:after="0" w:line="240" w:lineRule="auto"/>
        <w:jc w:val="both"/>
        <w:rPr>
          <w:rFonts w:ascii="Verdana" w:eastAsia="Geomanist Light" w:hAnsi="Verdana" w:cs="Arial"/>
          <w:color w:val="000000" w:themeColor="text1"/>
          <w:lang w:val="es-MX"/>
        </w:rPr>
      </w:pPr>
    </w:p>
    <w:p w14:paraId="427CF9AC" w14:textId="77777777" w:rsidR="00CD2626" w:rsidRDefault="00CD2626" w:rsidP="00CD2626">
      <w:pPr>
        <w:spacing w:after="0" w:line="240" w:lineRule="auto"/>
        <w:jc w:val="both"/>
        <w:rPr>
          <w:rFonts w:ascii="Verdana" w:eastAsia="Geomanist Light" w:hAnsi="Verdana" w:cs="Arial"/>
          <w:color w:val="000000" w:themeColor="text1"/>
          <w:lang w:val="es-MX"/>
        </w:rPr>
      </w:pPr>
    </w:p>
    <w:p w14:paraId="4F831001" w14:textId="77777777" w:rsidR="00CD2626" w:rsidRDefault="00CD2626" w:rsidP="00CD2626">
      <w:pPr>
        <w:spacing w:after="0" w:line="240" w:lineRule="auto"/>
        <w:jc w:val="both"/>
        <w:rPr>
          <w:rFonts w:ascii="Verdana" w:eastAsia="Geomanist Light" w:hAnsi="Verdana" w:cs="Arial"/>
          <w:color w:val="000000" w:themeColor="text1"/>
          <w:lang w:val="es-MX"/>
        </w:rPr>
      </w:pPr>
    </w:p>
    <w:p w14:paraId="7209CC01" w14:textId="77777777" w:rsidR="00CD2626" w:rsidRDefault="00CD2626" w:rsidP="00CD2626">
      <w:pPr>
        <w:spacing w:after="0" w:line="240" w:lineRule="auto"/>
        <w:jc w:val="both"/>
        <w:rPr>
          <w:rFonts w:ascii="Verdana" w:eastAsia="Geomanist Light" w:hAnsi="Verdana" w:cs="Arial"/>
          <w:color w:val="000000" w:themeColor="text1"/>
          <w:lang w:val="es-MX"/>
        </w:rPr>
      </w:pPr>
    </w:p>
    <w:p w14:paraId="7CE433CD" w14:textId="77777777" w:rsidR="00CD2626" w:rsidRDefault="00CD2626" w:rsidP="00CD2626">
      <w:pPr>
        <w:spacing w:after="0" w:line="240" w:lineRule="auto"/>
        <w:jc w:val="both"/>
        <w:rPr>
          <w:rFonts w:ascii="Verdana" w:eastAsia="Geomanist Light" w:hAnsi="Verdana" w:cs="Arial"/>
          <w:color w:val="000000" w:themeColor="text1"/>
          <w:lang w:val="es-MX"/>
        </w:rPr>
      </w:pPr>
    </w:p>
    <w:p w14:paraId="59A43FD3" w14:textId="77777777" w:rsidR="00CD2626" w:rsidRDefault="00CD2626" w:rsidP="00CD2626">
      <w:pPr>
        <w:spacing w:after="0" w:line="240" w:lineRule="auto"/>
        <w:jc w:val="both"/>
        <w:rPr>
          <w:rFonts w:ascii="Verdana" w:eastAsia="Geomanist Light" w:hAnsi="Verdana" w:cs="Arial"/>
          <w:color w:val="000000" w:themeColor="text1"/>
          <w:lang w:val="es-MX"/>
        </w:rPr>
      </w:pPr>
    </w:p>
    <w:p w14:paraId="0D316157" w14:textId="77777777" w:rsidR="00CD2626" w:rsidRDefault="00CD2626" w:rsidP="00CD2626">
      <w:pPr>
        <w:spacing w:after="0" w:line="240" w:lineRule="auto"/>
        <w:jc w:val="both"/>
        <w:rPr>
          <w:rFonts w:ascii="Verdana" w:eastAsia="Geomanist Light" w:hAnsi="Verdana" w:cs="Arial"/>
          <w:color w:val="000000" w:themeColor="text1"/>
          <w:lang w:val="es-MX"/>
        </w:rPr>
      </w:pPr>
    </w:p>
    <w:p w14:paraId="3A6FF85C" w14:textId="77777777" w:rsidR="00CD2626" w:rsidRDefault="00CD2626" w:rsidP="00CD2626">
      <w:pPr>
        <w:spacing w:after="0" w:line="240" w:lineRule="auto"/>
        <w:jc w:val="both"/>
        <w:rPr>
          <w:rFonts w:ascii="Verdana" w:eastAsia="Geomanist Light" w:hAnsi="Verdana" w:cs="Arial"/>
          <w:color w:val="000000" w:themeColor="text1"/>
          <w:lang w:val="es-MX"/>
        </w:rPr>
      </w:pPr>
    </w:p>
    <w:p w14:paraId="27B526B3" w14:textId="77777777" w:rsidR="00CD2626" w:rsidRDefault="00CD2626" w:rsidP="00335F7D">
      <w:pPr>
        <w:spacing w:after="0" w:line="240" w:lineRule="auto"/>
        <w:jc w:val="both"/>
        <w:rPr>
          <w:rFonts w:ascii="Verdana" w:eastAsia="Geomanist Light" w:hAnsi="Verdana" w:cs="Arial"/>
          <w:color w:val="000000" w:themeColor="text1"/>
          <w:lang w:val="es-MX"/>
        </w:rPr>
      </w:pPr>
    </w:p>
    <w:p w14:paraId="066F7180" w14:textId="08545E5F" w:rsidR="00335F7D" w:rsidRPr="009F714D" w:rsidRDefault="00335F7D" w:rsidP="00335F7D">
      <w:pPr>
        <w:spacing w:after="0" w:line="240" w:lineRule="auto"/>
        <w:jc w:val="both"/>
        <w:rPr>
          <w:rFonts w:ascii="Verdana" w:eastAsia="Calibri" w:hAnsi="Verdana" w:cs="Arial"/>
          <w:sz w:val="20"/>
          <w:szCs w:val="20"/>
          <w:lang w:eastAsia="es-ES"/>
        </w:rPr>
      </w:pPr>
      <w:r w:rsidRPr="00593A5F">
        <w:rPr>
          <w:rFonts w:ascii="Verdana" w:eastAsia="Geomanist Light" w:hAnsi="Verdana" w:cs="Arial"/>
          <w:color w:val="000000" w:themeColor="text1"/>
          <w:lang w:val="es-MX"/>
        </w:rPr>
        <w:lastRenderedPageBreak/>
        <w:t>Bogotá D.C., </w:t>
      </w:r>
      <w:r w:rsidR="009F714D" w:rsidRPr="009F714D">
        <w:rPr>
          <w:rFonts w:ascii="Verdana" w:eastAsia="Geomanist Light" w:hAnsi="Verdana" w:cs="Arial"/>
          <w:color w:val="000000" w:themeColor="text1"/>
          <w:lang w:val="es-MX"/>
        </w:rPr>
        <w:t>21 de Enero de 2026</w:t>
      </w:r>
    </w:p>
    <w:p w14:paraId="7C61E35C" w14:textId="77777777" w:rsidR="00335F7D" w:rsidRDefault="00335F7D" w:rsidP="00335F7D">
      <w:pPr>
        <w:spacing w:after="0" w:line="240" w:lineRule="auto"/>
        <w:jc w:val="both"/>
        <w:rPr>
          <w:rFonts w:ascii="Verdana" w:eastAsia="Calibri" w:hAnsi="Verdana" w:cs="Arial"/>
          <w:color w:val="000000"/>
          <w:lang w:val="es-ES"/>
        </w:rPr>
      </w:pPr>
    </w:p>
    <w:p w14:paraId="32C3D840" w14:textId="70B9E997" w:rsidR="00495310" w:rsidRDefault="00495310" w:rsidP="00495310">
      <w:pPr>
        <w:spacing w:after="0" w:line="240" w:lineRule="auto"/>
        <w:jc w:val="right"/>
        <w:rPr>
          <w:rFonts w:ascii="Verdana" w:eastAsia="Calibri" w:hAnsi="Verdana" w:cs="Arial"/>
          <w:color w:val="000000"/>
          <w:lang w:val="es-ES"/>
        </w:rPr>
      </w:pPr>
      <w:r w:rsidRPr="00495310">
        <w:rPr>
          <w:rFonts w:ascii="Verdana" w:eastAsia="Calibri" w:hAnsi="Verdana" w:cs="Arial"/>
          <w:noProof/>
          <w:color w:val="000000"/>
          <w:lang w:val="es-ES"/>
        </w:rPr>
        <w:drawing>
          <wp:inline distT="0" distB="0" distL="0" distR="0" wp14:anchorId="274343E3" wp14:editId="5A9022DF">
            <wp:extent cx="3238500" cy="901700"/>
            <wp:effectExtent l="0" t="0" r="0" b="0"/>
            <wp:docPr id="18744042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404249" name=""/>
                    <pic:cNvPicPr/>
                  </pic:nvPicPr>
                  <pic:blipFill>
                    <a:blip r:embed="rId10"/>
                    <a:stretch>
                      <a:fillRect/>
                    </a:stretch>
                  </pic:blipFill>
                  <pic:spPr>
                    <a:xfrm>
                      <a:off x="0" y="0"/>
                      <a:ext cx="3238500" cy="901700"/>
                    </a:xfrm>
                    <a:prstGeom prst="rect">
                      <a:avLst/>
                    </a:prstGeom>
                  </pic:spPr>
                </pic:pic>
              </a:graphicData>
            </a:graphic>
          </wp:inline>
        </w:drawing>
      </w:r>
    </w:p>
    <w:p w14:paraId="525C3289" w14:textId="77777777" w:rsidR="00335F7D" w:rsidRPr="00593A5F" w:rsidRDefault="00335F7D" w:rsidP="00335F7D">
      <w:pPr>
        <w:spacing w:after="0" w:line="240" w:lineRule="auto"/>
        <w:jc w:val="both"/>
        <w:rPr>
          <w:rFonts w:ascii="Verdana" w:eastAsia="Calibri" w:hAnsi="Verdana" w:cs="Arial"/>
          <w:color w:val="000000"/>
          <w:lang w:val="es-ES"/>
        </w:rPr>
      </w:pPr>
    </w:p>
    <w:p w14:paraId="360BA430" w14:textId="77777777" w:rsidR="00335F7D" w:rsidRPr="000C555D" w:rsidRDefault="00335F7D" w:rsidP="00335F7D">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7A686EC" w14:textId="77777777" w:rsidR="00335F7D" w:rsidRDefault="00335F7D" w:rsidP="00335F7D">
      <w:pPr>
        <w:spacing w:after="0" w:line="240" w:lineRule="auto"/>
        <w:rPr>
          <w:rFonts w:ascii="Verdana" w:eastAsia="Calibri" w:hAnsi="Verdana" w:cs="Arial"/>
          <w:b/>
          <w:lang w:eastAsia="es-ES"/>
        </w:rPr>
      </w:pPr>
      <w:proofErr w:type="spellStart"/>
      <w:r w:rsidRPr="00AE63E6">
        <w:rPr>
          <w:rFonts w:ascii="Verdana" w:eastAsia="Calibri" w:hAnsi="Verdana" w:cs="Arial"/>
          <w:b/>
          <w:lang w:eastAsia="es-ES"/>
        </w:rPr>
        <w:t>Giovany</w:t>
      </w:r>
      <w:proofErr w:type="spellEnd"/>
      <w:r w:rsidRPr="00AE63E6">
        <w:rPr>
          <w:rFonts w:ascii="Verdana" w:eastAsia="Calibri" w:hAnsi="Verdana" w:cs="Arial"/>
          <w:b/>
          <w:lang w:eastAsia="es-ES"/>
        </w:rPr>
        <w:t xml:space="preserve"> Alberto Su</w:t>
      </w:r>
      <w:r>
        <w:rPr>
          <w:rFonts w:ascii="Verdana" w:eastAsia="Calibri" w:hAnsi="Verdana" w:cs="Arial"/>
          <w:b/>
          <w:lang w:eastAsia="es-ES"/>
        </w:rPr>
        <w:t>á</w:t>
      </w:r>
      <w:r w:rsidRPr="00AE63E6">
        <w:rPr>
          <w:rFonts w:ascii="Verdana" w:eastAsia="Calibri" w:hAnsi="Verdana" w:cs="Arial"/>
          <w:b/>
          <w:lang w:eastAsia="es-ES"/>
        </w:rPr>
        <w:t>rez Ramírez</w:t>
      </w:r>
    </w:p>
    <w:p w14:paraId="4A93027F" w14:textId="77777777" w:rsidR="00335F7D" w:rsidRPr="00180ED2" w:rsidRDefault="00335F7D" w:rsidP="00335F7D">
      <w:pPr>
        <w:spacing w:after="0" w:line="240" w:lineRule="auto"/>
        <w:rPr>
          <w:rFonts w:ascii="Verdana" w:eastAsia="Calibri" w:hAnsi="Verdana" w:cs="Arial"/>
          <w:lang w:eastAsia="es-ES"/>
        </w:rPr>
      </w:pPr>
      <w:hyperlink r:id="rId11" w:history="1">
        <w:r w:rsidRPr="00180ED2">
          <w:rPr>
            <w:rStyle w:val="Hipervnculo"/>
            <w:rFonts w:ascii="Verdana" w:hAnsi="Verdana"/>
          </w:rPr>
          <w:t>heidy.moreno@idartes.gov.co</w:t>
        </w:r>
      </w:hyperlink>
      <w:r w:rsidRPr="00180ED2">
        <w:rPr>
          <w:rFonts w:ascii="Verdana" w:hAnsi="Verdana"/>
        </w:rPr>
        <w:t xml:space="preserve">   </w:t>
      </w:r>
      <w:r w:rsidRPr="00180ED2">
        <w:rPr>
          <w:rFonts w:ascii="Verdana" w:eastAsia="Calibri" w:hAnsi="Verdana" w:cs="Arial"/>
          <w:lang w:eastAsia="es-ES"/>
        </w:rPr>
        <w:t xml:space="preserve">  </w:t>
      </w:r>
    </w:p>
    <w:p w14:paraId="04D3983C" w14:textId="77777777" w:rsidR="00335F7D" w:rsidRDefault="00335F7D" w:rsidP="00335F7D">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4483DDF5" w14:textId="77777777" w:rsidR="00335F7D" w:rsidRPr="00593A5F" w:rsidRDefault="00335F7D" w:rsidP="00335F7D">
      <w:pPr>
        <w:spacing w:after="0" w:line="240" w:lineRule="auto"/>
        <w:rPr>
          <w:rFonts w:ascii="Verdana" w:eastAsia="Calibri" w:hAnsi="Verdana" w:cs="Arial"/>
          <w:b/>
          <w:bCs/>
          <w:color w:val="000000"/>
          <w:lang w:val="es-ES_tradnl" w:eastAsia="es-ES_tradnl"/>
        </w:rPr>
      </w:pPr>
    </w:p>
    <w:p w14:paraId="11E6E7A2" w14:textId="77777777" w:rsidR="00335F7D" w:rsidRPr="00593A5F" w:rsidRDefault="00335F7D" w:rsidP="00335F7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35F7D" w:rsidRPr="00593A5F" w14:paraId="15C1E221" w14:textId="77777777" w:rsidTr="005D63AD">
        <w:trPr>
          <w:trHeight w:val="884"/>
        </w:trPr>
        <w:tc>
          <w:tcPr>
            <w:tcW w:w="2689" w:type="dxa"/>
          </w:tcPr>
          <w:p w14:paraId="6250ED58" w14:textId="77777777" w:rsidR="00335F7D" w:rsidRPr="00C00976" w:rsidRDefault="00335F7D" w:rsidP="005D63AD">
            <w:pPr>
              <w:jc w:val="both"/>
              <w:rPr>
                <w:rFonts w:ascii="Verdana" w:eastAsia="Calibri" w:hAnsi="Verdana" w:cs="Arial"/>
                <w:b/>
                <w:bCs/>
                <w:color w:val="7030A0"/>
                <w:lang w:val="es-ES_tradnl" w:eastAsia="es-ES_tradnl"/>
              </w:rPr>
            </w:pPr>
          </w:p>
        </w:tc>
        <w:tc>
          <w:tcPr>
            <w:tcW w:w="6100" w:type="dxa"/>
          </w:tcPr>
          <w:p w14:paraId="55AE2B59" w14:textId="2601612B" w:rsidR="00335F7D" w:rsidRPr="00C00976" w:rsidRDefault="00335F7D" w:rsidP="005D63A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0</w:t>
            </w:r>
            <w:r w:rsidR="00964769">
              <w:rPr>
                <w:rFonts w:ascii="Verdana" w:eastAsia="Calibri" w:hAnsi="Verdana" w:cs="Arial"/>
                <w:b/>
                <w:bCs/>
                <w:lang w:val="es-ES" w:eastAsia="es-ES"/>
              </w:rPr>
              <w:t>02</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335F7D" w:rsidRPr="00593A5F" w14:paraId="065DFDFB" w14:textId="77777777" w:rsidTr="005D63AD">
        <w:trPr>
          <w:trHeight w:val="884"/>
        </w:trPr>
        <w:tc>
          <w:tcPr>
            <w:tcW w:w="2689" w:type="dxa"/>
          </w:tcPr>
          <w:p w14:paraId="4A0CDBF0" w14:textId="77777777" w:rsidR="00335F7D" w:rsidRPr="00593A5F" w:rsidRDefault="00335F7D" w:rsidP="005D63A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A5E58C2" w14:textId="77777777" w:rsidR="00335F7D" w:rsidRPr="00A11406" w:rsidRDefault="00335F7D" w:rsidP="005D63AD">
            <w:pPr>
              <w:spacing w:line="276" w:lineRule="auto"/>
              <w:jc w:val="both"/>
              <w:rPr>
                <w:rFonts w:ascii="Verdana" w:eastAsia="Calibri" w:hAnsi="Verdana" w:cs="Arial"/>
                <w:lang w:val="es-ES" w:eastAsia="es-ES"/>
              </w:rPr>
            </w:pPr>
            <w:r w:rsidRPr="00C33192">
              <w:rPr>
                <w:rFonts w:ascii="Verdana" w:eastAsia="Calibri" w:hAnsi="Verdana" w:cs="Arial"/>
                <w:lang w:val="es-ES" w:eastAsia="es-ES"/>
              </w:rPr>
              <w:t>FRACCIONAMIENTO DE CONTRATOS ‒ Definición – Principio de selección objetiva – Vulneración – Consecuencias</w:t>
            </w:r>
            <w:r>
              <w:rPr>
                <w:rFonts w:ascii="Verdana" w:eastAsia="Calibri" w:hAnsi="Verdana" w:cs="Arial"/>
                <w:lang w:val="es-ES" w:eastAsia="es-ES"/>
              </w:rPr>
              <w:t xml:space="preserve"> / </w:t>
            </w:r>
            <w:r w:rsidRPr="00C33192">
              <w:rPr>
                <w:rFonts w:ascii="Verdana" w:eastAsia="Calibri" w:hAnsi="Verdana" w:cs="Arial"/>
                <w:lang w:val="es-ES" w:eastAsia="es-ES"/>
              </w:rPr>
              <w:t>ADJUDICACIÓN POR LOTES ‒ Fraccionamiento de contratos – Diferencias</w:t>
            </w:r>
            <w:r>
              <w:rPr>
                <w:rFonts w:ascii="Verdana" w:eastAsia="Calibri" w:hAnsi="Verdana" w:cs="Arial"/>
                <w:lang w:val="es-ES" w:eastAsia="es-ES"/>
              </w:rPr>
              <w:t xml:space="preserve"> / </w:t>
            </w:r>
            <w:r w:rsidRPr="00C33192">
              <w:rPr>
                <w:rFonts w:ascii="Verdana" w:eastAsia="Calibri" w:hAnsi="Verdana" w:cs="Arial"/>
                <w:lang w:val="es-ES" w:eastAsia="es-ES"/>
              </w:rPr>
              <w:t>PRINCIPIO DE PLANEACIÓN – Adjudicación por lotes – Análisis de la entidad contratante</w:t>
            </w:r>
          </w:p>
          <w:p w14:paraId="407FEAC2" w14:textId="77777777" w:rsidR="00335F7D" w:rsidRPr="00593A5F" w:rsidRDefault="00335F7D" w:rsidP="005D63A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335F7D" w:rsidRPr="008E6AD9" w14:paraId="4242A58F" w14:textId="77777777" w:rsidTr="00ED1660">
        <w:trPr>
          <w:trHeight w:val="256"/>
        </w:trPr>
        <w:tc>
          <w:tcPr>
            <w:tcW w:w="2689" w:type="dxa"/>
          </w:tcPr>
          <w:p w14:paraId="5EE53011" w14:textId="77777777" w:rsidR="00335F7D" w:rsidRPr="008E6AD9" w:rsidRDefault="00335F7D" w:rsidP="005D63A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971EA9F" w14:textId="77777777" w:rsidR="00335F7D" w:rsidRPr="00B92340" w:rsidRDefault="00335F7D" w:rsidP="005D63A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AE63E6">
              <w:rPr>
                <w:rFonts w:ascii="Verdana" w:eastAsia="Calibri" w:hAnsi="Verdana" w:cs="Arial"/>
                <w:lang w:val="es-ES_tradnl" w:eastAsia="es-ES_tradnl"/>
              </w:rPr>
              <w:t>1_2026_01_13_000270</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1D649F3" w14:textId="77777777" w:rsidR="00335F7D" w:rsidRPr="00593A5F" w:rsidRDefault="00335F7D" w:rsidP="00335F7D">
      <w:pPr>
        <w:spacing w:after="0" w:line="240" w:lineRule="auto"/>
        <w:jc w:val="both"/>
        <w:rPr>
          <w:rFonts w:ascii="Verdana" w:eastAsia="Calibri" w:hAnsi="Verdana" w:cs="Arial"/>
          <w:color w:val="000000"/>
          <w:lang w:val="es-ES_tradnl" w:eastAsia="es-ES_tradnl"/>
        </w:rPr>
      </w:pPr>
    </w:p>
    <w:p w14:paraId="64DFB170" w14:textId="77777777" w:rsidR="00335F7D" w:rsidRPr="00593A5F" w:rsidRDefault="00335F7D" w:rsidP="00335F7D">
      <w:pPr>
        <w:spacing w:after="0" w:line="240" w:lineRule="auto"/>
        <w:jc w:val="both"/>
        <w:rPr>
          <w:rFonts w:ascii="Verdana" w:eastAsia="Calibri" w:hAnsi="Verdana" w:cs="Arial"/>
          <w:color w:val="000000"/>
          <w:lang w:val="es-ES_tradnl" w:eastAsia="es-ES_tradnl"/>
        </w:rPr>
      </w:pPr>
    </w:p>
    <w:p w14:paraId="74A6FE6F" w14:textId="77777777" w:rsidR="00335F7D" w:rsidRPr="008E6AD9" w:rsidRDefault="00335F7D" w:rsidP="00335F7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AE63E6">
        <w:rPr>
          <w:rFonts w:ascii="Verdana" w:eastAsia="Calibri" w:hAnsi="Verdana" w:cs="Arial"/>
          <w:lang w:val="es-ES" w:eastAsia="es-ES"/>
        </w:rPr>
        <w:t>Suárez Ramírez</w:t>
      </w:r>
      <w:r w:rsidRPr="008E6AD9">
        <w:rPr>
          <w:rFonts w:ascii="Verdana" w:eastAsia="Calibri" w:hAnsi="Verdana" w:cs="Arial"/>
          <w:lang w:val="es-ES" w:eastAsia="es-ES"/>
        </w:rPr>
        <w:t xml:space="preserve">: </w:t>
      </w:r>
    </w:p>
    <w:p w14:paraId="457BE5FB" w14:textId="77777777" w:rsidR="00335F7D" w:rsidRDefault="00335F7D" w:rsidP="00335F7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D329930" w14:textId="77777777" w:rsidR="00335F7D" w:rsidRPr="00593A5F" w:rsidRDefault="00335F7D" w:rsidP="00335F7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13 de enero de 2026, en la cual pregunta lo siguiente:</w:t>
      </w:r>
      <w:r w:rsidRPr="008E6AD9">
        <w:rPr>
          <w:rFonts w:ascii="Verdana" w:eastAsia="Calibri" w:hAnsi="Verdana" w:cs="Arial"/>
          <w:lang w:val="es-ES" w:eastAsia="es-ES"/>
        </w:rPr>
        <w:t xml:space="preserve"> </w:t>
      </w:r>
    </w:p>
    <w:p w14:paraId="592B9975" w14:textId="77777777" w:rsidR="00335F7D" w:rsidRPr="00272A7B" w:rsidRDefault="00335F7D" w:rsidP="00335F7D">
      <w:pPr>
        <w:pStyle w:val="Prrafodelista"/>
        <w:tabs>
          <w:tab w:val="left" w:pos="142"/>
          <w:tab w:val="left" w:pos="284"/>
        </w:tabs>
        <w:spacing w:after="0" w:line="276" w:lineRule="auto"/>
        <w:ind w:left="0"/>
        <w:jc w:val="both"/>
        <w:rPr>
          <w:rFonts w:ascii="Verdana" w:eastAsia="Century Gothic" w:hAnsi="Verdana" w:cs="Century Gothic"/>
          <w:b/>
          <w:bCs/>
        </w:rPr>
      </w:pPr>
    </w:p>
    <w:p w14:paraId="78AB013B" w14:textId="77777777" w:rsidR="00335F7D" w:rsidRPr="00AE63E6" w:rsidRDefault="00335F7D" w:rsidP="00335F7D">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AE63E6">
        <w:rPr>
          <w:rFonts w:ascii="Verdana" w:eastAsia="Century Gothic" w:hAnsi="Verdana" w:cs="Century Gothic"/>
          <w:sz w:val="20"/>
          <w:szCs w:val="20"/>
          <w:lang w:val="es-ES"/>
        </w:rPr>
        <w:t xml:space="preserve">1. ¿Se configura </w:t>
      </w:r>
      <w:r w:rsidRPr="00AE63E6">
        <w:rPr>
          <w:rFonts w:ascii="Verdana" w:eastAsia="Century Gothic" w:hAnsi="Verdana" w:cs="Century Gothic"/>
          <w:b/>
          <w:bCs/>
          <w:sz w:val="20"/>
          <w:szCs w:val="20"/>
          <w:lang w:val="es-ES"/>
        </w:rPr>
        <w:t>fraccionamiento de contrato</w:t>
      </w:r>
      <w:r w:rsidRPr="00AE63E6">
        <w:rPr>
          <w:rFonts w:ascii="Verdana" w:eastAsia="Century Gothic" w:hAnsi="Verdana" w:cs="Century Gothic"/>
          <w:sz w:val="20"/>
          <w:szCs w:val="20"/>
          <w:lang w:val="es-ES"/>
        </w:rPr>
        <w:t xml:space="preserve"> cuando una entidad estatal separa servicios que son técnica y operativamente </w:t>
      </w:r>
      <w:r w:rsidRPr="00AE63E6">
        <w:rPr>
          <w:rFonts w:ascii="Verdana" w:eastAsia="Century Gothic" w:hAnsi="Verdana" w:cs="Century Gothic"/>
          <w:sz w:val="20"/>
          <w:szCs w:val="20"/>
          <w:lang w:val="es-ES"/>
        </w:rPr>
        <w:lastRenderedPageBreak/>
        <w:t xml:space="preserve">interdependientes (como la esterilización y el albergue animal), teniendo los recursos presupuestales disponibles para una contratación integral? </w:t>
      </w:r>
    </w:p>
    <w:p w14:paraId="535B2B92" w14:textId="77777777" w:rsidR="00335F7D" w:rsidRPr="00AE63E6" w:rsidRDefault="00335F7D" w:rsidP="00335F7D">
      <w:pPr>
        <w:spacing w:after="120" w:line="240" w:lineRule="auto"/>
        <w:ind w:left="709" w:right="709"/>
        <w:jc w:val="both"/>
        <w:rPr>
          <w:rFonts w:ascii="Verdana" w:eastAsia="Century Gothic" w:hAnsi="Verdana" w:cs="Century Gothic"/>
          <w:sz w:val="20"/>
          <w:szCs w:val="20"/>
          <w:lang w:val="es-ES"/>
        </w:rPr>
      </w:pPr>
      <w:r w:rsidRPr="00AE63E6">
        <w:rPr>
          <w:rFonts w:ascii="Verdana" w:eastAsia="Century Gothic" w:hAnsi="Verdana" w:cs="Century Gothic"/>
          <w:sz w:val="20"/>
          <w:szCs w:val="20"/>
          <w:lang w:val="es-ES"/>
        </w:rPr>
        <w:t xml:space="preserve">2. ¿La omisión de analizar a oferentes que pueden prestar el servicio de manera unificada en los estudios previos constituye una vulneración al </w:t>
      </w:r>
      <w:r w:rsidRPr="00AE63E6">
        <w:rPr>
          <w:rFonts w:ascii="Verdana" w:eastAsia="Century Gothic" w:hAnsi="Verdana" w:cs="Century Gothic"/>
          <w:b/>
          <w:bCs/>
          <w:sz w:val="20"/>
          <w:szCs w:val="20"/>
          <w:lang w:val="es-ES"/>
        </w:rPr>
        <w:t>Deber de Planeación</w:t>
      </w:r>
      <w:r w:rsidRPr="00AE63E6">
        <w:rPr>
          <w:rFonts w:ascii="Verdana" w:eastAsia="Century Gothic" w:hAnsi="Verdana" w:cs="Century Gothic"/>
          <w:sz w:val="20"/>
          <w:szCs w:val="20"/>
          <w:lang w:val="es-ES"/>
        </w:rPr>
        <w:t xml:space="preserve"> y al </w:t>
      </w:r>
      <w:r w:rsidRPr="00AE63E6">
        <w:rPr>
          <w:rFonts w:ascii="Verdana" w:eastAsia="Century Gothic" w:hAnsi="Verdana" w:cs="Century Gothic"/>
          <w:b/>
          <w:bCs/>
          <w:sz w:val="20"/>
          <w:szCs w:val="20"/>
          <w:lang w:val="es-ES"/>
        </w:rPr>
        <w:t>Principio de Selección Objetiva</w:t>
      </w:r>
      <w:r w:rsidRPr="00AE63E6">
        <w:rPr>
          <w:rFonts w:ascii="Verdana" w:eastAsia="Century Gothic" w:hAnsi="Verdana" w:cs="Century Gothic"/>
          <w:sz w:val="20"/>
          <w:szCs w:val="20"/>
          <w:lang w:val="es-ES"/>
        </w:rPr>
        <w:t xml:space="preserve">? </w:t>
      </w:r>
    </w:p>
    <w:p w14:paraId="6BA35288" w14:textId="77777777" w:rsidR="00335F7D" w:rsidRPr="004B35AC" w:rsidRDefault="00335F7D" w:rsidP="00335F7D">
      <w:pPr>
        <w:spacing w:after="0" w:line="240" w:lineRule="auto"/>
        <w:ind w:left="709" w:right="709"/>
        <w:jc w:val="both"/>
        <w:rPr>
          <w:rFonts w:ascii="Verdana" w:eastAsia="Century Gothic" w:hAnsi="Verdana" w:cs="Century Gothic"/>
          <w:sz w:val="20"/>
          <w:szCs w:val="20"/>
          <w:lang w:val="es-ES"/>
        </w:rPr>
      </w:pPr>
      <w:r w:rsidRPr="00AE63E6">
        <w:rPr>
          <w:rFonts w:ascii="Verdana" w:eastAsia="Century Gothic" w:hAnsi="Verdana" w:cs="Century Gothic"/>
          <w:sz w:val="20"/>
          <w:szCs w:val="20"/>
          <w:lang w:val="es-ES"/>
        </w:rPr>
        <w:t>3. ¿Cuáles son las consecuencias jurídicas respecto a la validez de los contratos resultantes si se demuestra que la división generó sobrecostos administrativos y logísticos evitables?</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(Énfasis dentro del texto)</w:t>
      </w:r>
    </w:p>
    <w:p w14:paraId="73A22B15" w14:textId="77777777" w:rsidR="00335F7D" w:rsidRPr="008E6AD9" w:rsidRDefault="00335F7D" w:rsidP="00335F7D">
      <w:pPr>
        <w:pStyle w:val="Prrafodelista"/>
        <w:tabs>
          <w:tab w:val="left" w:pos="142"/>
          <w:tab w:val="left" w:pos="284"/>
        </w:tabs>
        <w:spacing w:after="0" w:line="276" w:lineRule="auto"/>
        <w:ind w:left="0"/>
        <w:jc w:val="both"/>
        <w:rPr>
          <w:rFonts w:ascii="Verdana" w:eastAsia="Century Gothic" w:hAnsi="Verdana" w:cs="Century Gothic"/>
          <w:b/>
          <w:bCs/>
        </w:rPr>
      </w:pPr>
    </w:p>
    <w:p w14:paraId="2F5BB240" w14:textId="77777777" w:rsidR="00335F7D" w:rsidRPr="00A652FF" w:rsidRDefault="00335F7D" w:rsidP="00335F7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BD21132" w14:textId="77777777" w:rsidR="00335F7D" w:rsidRPr="00423BE7" w:rsidRDefault="00335F7D" w:rsidP="00335F7D">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4EAA418" w14:textId="77777777" w:rsidR="00335F7D" w:rsidRPr="00593A5F" w:rsidRDefault="00335F7D" w:rsidP="00335F7D">
      <w:pPr>
        <w:spacing w:after="0" w:line="276" w:lineRule="auto"/>
        <w:ind w:firstLine="709"/>
        <w:jc w:val="both"/>
        <w:rPr>
          <w:rFonts w:ascii="Verdana" w:eastAsia="Calibri" w:hAnsi="Verdana" w:cs="Arial"/>
          <w:color w:val="000000"/>
          <w:lang w:val="es-ES" w:eastAsia="es-ES"/>
        </w:rPr>
      </w:pPr>
    </w:p>
    <w:p w14:paraId="68A6335D" w14:textId="77777777" w:rsidR="00335F7D" w:rsidRPr="00593A5F" w:rsidRDefault="00335F7D" w:rsidP="00335F7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B0D605C" w14:textId="77777777" w:rsidR="00335F7D" w:rsidRPr="00593A5F" w:rsidRDefault="00335F7D" w:rsidP="00335F7D">
      <w:pPr>
        <w:tabs>
          <w:tab w:val="left" w:pos="426"/>
        </w:tabs>
        <w:spacing w:after="0" w:line="276" w:lineRule="auto"/>
        <w:jc w:val="both"/>
        <w:rPr>
          <w:rFonts w:ascii="Verdana" w:eastAsia="Century Gothic" w:hAnsi="Verdana" w:cs="Century Gothic"/>
          <w:lang w:val="es-ES"/>
        </w:rPr>
      </w:pPr>
    </w:p>
    <w:p w14:paraId="5B3680A3" w14:textId="77777777" w:rsidR="00335F7D" w:rsidRPr="00593A5F" w:rsidRDefault="00335F7D" w:rsidP="00335F7D">
      <w:pPr>
        <w:spacing w:after="0" w:line="276" w:lineRule="auto"/>
        <w:jc w:val="both"/>
        <w:rPr>
          <w:rFonts w:ascii="Verdana" w:eastAsia="Century Gothic" w:hAnsi="Verdana" w:cs="Century Gothic"/>
        </w:rPr>
      </w:pPr>
      <w:r w:rsidRPr="00601220">
        <w:rPr>
          <w:rFonts w:ascii="Verdana" w:eastAsia="Century Gothic" w:hAnsi="Verdana" w:cs="Century Gothic"/>
        </w:rPr>
        <w:t>De acuerdo con el contenido de su solicitud, esta Agencia resolverá el siguiente problema jurídico: ¿</w:t>
      </w:r>
      <w:r>
        <w:rPr>
          <w:rFonts w:ascii="Verdana" w:eastAsia="Century Gothic" w:hAnsi="Verdana" w:cs="Century Gothic"/>
        </w:rPr>
        <w:t>en qué consiste el fraccionamiento de contratos y cuál es la diferencia con posibilidad de adjudicación por lotes</w:t>
      </w:r>
      <w:r w:rsidRPr="00601220">
        <w:rPr>
          <w:rFonts w:ascii="Verdana" w:eastAsia="Times New Roman" w:hAnsi="Verdana" w:cs="Arial"/>
          <w:lang w:eastAsia="es-MX"/>
        </w:rPr>
        <w:t>?</w:t>
      </w:r>
    </w:p>
    <w:p w14:paraId="54F1D78A" w14:textId="77777777" w:rsidR="00335F7D" w:rsidRPr="004B140F" w:rsidRDefault="00335F7D" w:rsidP="00335F7D">
      <w:pPr>
        <w:spacing w:after="0" w:line="276" w:lineRule="auto"/>
        <w:jc w:val="both"/>
        <w:rPr>
          <w:rFonts w:ascii="Verdana" w:eastAsia="Calibri" w:hAnsi="Verdana" w:cs="Arial"/>
          <w:color w:val="7030A0"/>
        </w:rPr>
      </w:pPr>
    </w:p>
    <w:p w14:paraId="5CE6994E" w14:textId="77777777" w:rsidR="00335F7D" w:rsidRPr="00593A5F" w:rsidRDefault="00335F7D" w:rsidP="00335F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5942CD1" w14:textId="77777777" w:rsidR="00335F7D" w:rsidRPr="00593A5F" w:rsidRDefault="00335F7D" w:rsidP="00335F7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35F7D" w:rsidRPr="00593A5F" w14:paraId="22F1D888" w14:textId="77777777" w:rsidTr="62DBA968">
        <w:trPr>
          <w:jc w:val="center"/>
        </w:trPr>
        <w:tc>
          <w:tcPr>
            <w:tcW w:w="8828" w:type="dxa"/>
          </w:tcPr>
          <w:p w14:paraId="7087FB7B" w14:textId="77777777" w:rsidR="00335F7D" w:rsidRDefault="00335F7D" w:rsidP="005D63AD">
            <w:pPr>
              <w:spacing w:after="120" w:line="276" w:lineRule="auto"/>
              <w:jc w:val="both"/>
              <w:rPr>
                <w:rFonts w:ascii="Verdana" w:eastAsia="Calibri" w:hAnsi="Verdana" w:cs="Arial"/>
                <w:bCs/>
                <w:color w:val="000000" w:themeColor="text1"/>
              </w:rPr>
            </w:pPr>
            <w:bookmarkStart w:id="0" w:name="_Hlk171694685"/>
            <w:r w:rsidRPr="00C53E3E">
              <w:rPr>
                <w:rFonts w:ascii="Verdana" w:eastAsia="Calibri" w:hAnsi="Verdana" w:cs="Arial"/>
                <w:lang w:val="es-MX"/>
              </w:rPr>
              <w:t xml:space="preserve">Conforme a la interpretación general de las normas del sistema de compras públicas, </w:t>
            </w:r>
            <w:r>
              <w:rPr>
                <w:rFonts w:ascii="Verdana" w:eastAsia="Calibri" w:hAnsi="Verdana" w:cs="Arial"/>
                <w:bCs/>
                <w:color w:val="000000" w:themeColor="text1"/>
              </w:rPr>
              <w:t xml:space="preserve">el </w:t>
            </w:r>
            <w:r w:rsidRPr="008B6B73">
              <w:rPr>
                <w:rFonts w:ascii="Verdana" w:eastAsia="Calibri" w:hAnsi="Verdana" w:cs="Arial"/>
                <w:bCs/>
                <w:i/>
                <w:iCs/>
                <w:color w:val="000000" w:themeColor="text1"/>
              </w:rPr>
              <w:t>fraccionamiento</w:t>
            </w:r>
            <w:r>
              <w:rPr>
                <w:rFonts w:ascii="Verdana" w:eastAsia="Calibri" w:hAnsi="Verdana" w:cs="Arial"/>
                <w:bCs/>
                <w:color w:val="000000" w:themeColor="text1"/>
              </w:rPr>
              <w:t xml:space="preserve"> implica </w:t>
            </w:r>
            <w:r w:rsidRPr="000759FD">
              <w:rPr>
                <w:rFonts w:ascii="Verdana" w:eastAsia="Calibri" w:hAnsi="Verdana" w:cs="Arial"/>
                <w:bCs/>
                <w:color w:val="000000" w:themeColor="text1"/>
              </w:rPr>
              <w:t xml:space="preserve">dividir </w:t>
            </w:r>
            <w:r>
              <w:rPr>
                <w:rFonts w:ascii="Verdana" w:eastAsia="Calibri" w:hAnsi="Verdana" w:cs="Arial"/>
                <w:bCs/>
                <w:color w:val="000000" w:themeColor="text1"/>
              </w:rPr>
              <w:t xml:space="preserve">las </w:t>
            </w:r>
            <w:r w:rsidRPr="000759FD">
              <w:rPr>
                <w:rFonts w:ascii="Verdana" w:eastAsia="Calibri" w:hAnsi="Verdana" w:cs="Arial"/>
                <w:bCs/>
                <w:color w:val="000000" w:themeColor="text1"/>
              </w:rPr>
              <w:t xml:space="preserve">prestaciones en dos o más </w:t>
            </w:r>
            <w:r w:rsidRPr="000759FD">
              <w:rPr>
                <w:rFonts w:ascii="Verdana" w:eastAsia="Calibri" w:hAnsi="Verdana" w:cs="Arial"/>
                <w:bCs/>
                <w:color w:val="000000" w:themeColor="text1"/>
              </w:rPr>
              <w:lastRenderedPageBreak/>
              <w:t>contratos que</w:t>
            </w:r>
            <w:r>
              <w:rPr>
                <w:rFonts w:ascii="Verdana" w:eastAsia="Calibri" w:hAnsi="Verdana" w:cs="Arial"/>
                <w:bCs/>
                <w:color w:val="000000" w:themeColor="text1"/>
              </w:rPr>
              <w:t xml:space="preserve"> pueden</w:t>
            </w:r>
            <w:r w:rsidRPr="000759FD">
              <w:rPr>
                <w:rFonts w:ascii="Verdana" w:eastAsia="Calibri" w:hAnsi="Verdana" w:cs="Arial"/>
                <w:bCs/>
                <w:color w:val="000000" w:themeColor="text1"/>
              </w:rPr>
              <w:t xml:space="preserve"> constituir un único </w:t>
            </w:r>
            <w:r>
              <w:rPr>
                <w:rFonts w:ascii="Verdana" w:eastAsia="Calibri" w:hAnsi="Verdana" w:cs="Arial"/>
                <w:bCs/>
                <w:color w:val="000000" w:themeColor="text1"/>
              </w:rPr>
              <w:t xml:space="preserve">negocio jurídico. Para la Corte Suprema de Justicia, ésta </w:t>
            </w:r>
            <w:r w:rsidRPr="00F57151">
              <w:rPr>
                <w:rFonts w:ascii="Verdana" w:eastAsia="Calibri" w:hAnsi="Verdana" w:cs="Arial"/>
                <w:bCs/>
                <w:color w:val="000000" w:themeColor="text1"/>
              </w:rPr>
              <w:t>“[…] se configura, cuando la administración de manera artificiosa divide la unidad natural del objeto contractual, a fin de seleccionar directamente al contratista cuando debía convocar un proceso de licitación, o para acomodarlo a un proceso menos estricto y riguroso de contratación en defecto del que se imponía seguir atendidos su objeto y cuantía, práctica que riñe con las normas que rigen la contratación estatal, particularmente con los principios de transparencia y de selección objetiva”</w:t>
            </w:r>
            <w:r>
              <w:rPr>
                <w:rFonts w:ascii="Verdana" w:eastAsia="Calibri" w:hAnsi="Verdana" w:cs="Arial"/>
                <w:bCs/>
                <w:color w:val="000000" w:themeColor="text1"/>
              </w:rPr>
              <w:t>. Al margen de las posibles repercusiones en el ámbito disciplinario y fiscal, además de viciar de nulidad absoluta los negocios suscritos por objeto o causa ilícita, dicha acción tipifica la conducta punible de celebración de contratos sin cumplimiento de los requisitos legales.</w:t>
            </w:r>
          </w:p>
          <w:p w14:paraId="2BC7884F" w14:textId="141C4D83" w:rsidR="00335F7D" w:rsidRDefault="00335F7D" w:rsidP="005D63AD">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 xml:space="preserve">Con todo, debe distinguirse el </w:t>
            </w:r>
            <w:r w:rsidRPr="008B6B73">
              <w:rPr>
                <w:rFonts w:ascii="Verdana" w:eastAsia="Calibri" w:hAnsi="Verdana" w:cs="Arial"/>
                <w:bCs/>
                <w:i/>
                <w:iCs/>
                <w:color w:val="000000" w:themeColor="text1"/>
              </w:rPr>
              <w:t>fraccionamiento de contrato</w:t>
            </w:r>
            <w:r>
              <w:rPr>
                <w:rFonts w:ascii="Verdana" w:eastAsia="Calibri" w:hAnsi="Verdana" w:cs="Arial"/>
                <w:bCs/>
                <w:color w:val="000000" w:themeColor="text1"/>
              </w:rPr>
              <w:t xml:space="preserve"> de la </w:t>
            </w:r>
            <w:r w:rsidRPr="008B6B73">
              <w:rPr>
                <w:rFonts w:ascii="Verdana" w:eastAsia="Calibri" w:hAnsi="Verdana" w:cs="Arial"/>
                <w:bCs/>
                <w:i/>
                <w:iCs/>
                <w:color w:val="000000" w:themeColor="text1"/>
              </w:rPr>
              <w:t>división en lotes</w:t>
            </w:r>
            <w:r>
              <w:rPr>
                <w:rFonts w:ascii="Verdana" w:eastAsia="Calibri" w:hAnsi="Verdana" w:cs="Arial"/>
                <w:bCs/>
                <w:color w:val="000000" w:themeColor="text1"/>
              </w:rPr>
              <w:t xml:space="preserve">. El primero se encuentra prohibido, porque atenta contra el principio de selección objetiva; mientras que el segundo está permitido, con el propósito facilitar la segmentación de mercado y propiciar que varios contratistas ejecuten porciones puntales del objeto contractual. No obstante, en los términos del inciso tercero del </w:t>
            </w:r>
            <w:r w:rsidRPr="00657B3F">
              <w:rPr>
                <w:rFonts w:ascii="Verdana" w:eastAsia="Calibri" w:hAnsi="Verdana" w:cs="Arial"/>
                <w:bCs/>
                <w:color w:val="000000" w:themeColor="text1"/>
              </w:rPr>
              <w:t>artículo 2.2.1.2.4.2.19 del Decreto 1082 de 2015</w:t>
            </w:r>
            <w:r>
              <w:rPr>
                <w:rFonts w:ascii="Verdana" w:eastAsia="Calibri" w:hAnsi="Verdana" w:cs="Arial"/>
                <w:bCs/>
                <w:color w:val="000000" w:themeColor="text1"/>
              </w:rPr>
              <w:t xml:space="preserve">, la posibilidad de adjudicar o no por lotes es una decisión de que debe adoptarse de acuerdo </w:t>
            </w:r>
            <w:r w:rsidR="000E0DB6">
              <w:rPr>
                <w:rFonts w:ascii="Verdana" w:eastAsia="Calibri" w:hAnsi="Verdana" w:cs="Arial"/>
                <w:bCs/>
                <w:color w:val="000000" w:themeColor="text1"/>
              </w:rPr>
              <w:t>con el</w:t>
            </w:r>
            <w:r>
              <w:rPr>
                <w:rFonts w:ascii="Verdana" w:eastAsia="Calibri" w:hAnsi="Verdana" w:cs="Arial"/>
                <w:bCs/>
                <w:color w:val="000000" w:themeColor="text1"/>
              </w:rPr>
              <w:t xml:space="preserve"> principio de planeación.</w:t>
            </w:r>
          </w:p>
          <w:p w14:paraId="20C50476" w14:textId="2AA5ADDD" w:rsidR="00335F7D" w:rsidRPr="00F57151" w:rsidRDefault="00335F7D" w:rsidP="005D63AD">
            <w:pPr>
              <w:spacing w:after="120" w:line="276" w:lineRule="auto"/>
              <w:ind w:firstLine="737"/>
              <w:jc w:val="both"/>
              <w:rPr>
                <w:rFonts w:ascii="Verdana" w:eastAsia="Times New Roman" w:hAnsi="Verdana" w:cs="Arial"/>
                <w:lang w:eastAsia="x-none"/>
              </w:rPr>
            </w:pPr>
            <w:r>
              <w:rPr>
                <w:rFonts w:ascii="Verdana" w:eastAsia="Calibri" w:hAnsi="Verdana" w:cs="Arial"/>
                <w:bCs/>
                <w:color w:val="000000" w:themeColor="text1"/>
              </w:rPr>
              <w:t xml:space="preserve">Luego, conforme al marco jurídico vigente, es posible que –siempre que no exista fraccionamiento en </w:t>
            </w:r>
            <w:r w:rsidRPr="62DBA968">
              <w:rPr>
                <w:rFonts w:ascii="Verdana" w:eastAsia="Calibri" w:hAnsi="Verdana" w:cs="Arial"/>
                <w:color w:val="000000" w:themeColor="text1"/>
              </w:rPr>
              <w:t>la</w:t>
            </w:r>
            <w:r w:rsidR="6F64A50E" w:rsidRPr="62DBA968">
              <w:rPr>
                <w:rFonts w:ascii="Verdana" w:eastAsia="Calibri" w:hAnsi="Verdana" w:cs="Arial"/>
                <w:color w:val="000000" w:themeColor="text1"/>
              </w:rPr>
              <w:t>s</w:t>
            </w:r>
            <w:r>
              <w:rPr>
                <w:rFonts w:ascii="Verdana" w:eastAsia="Calibri" w:hAnsi="Verdana" w:cs="Arial"/>
                <w:bCs/>
                <w:color w:val="000000" w:themeColor="text1"/>
              </w:rPr>
              <w:t xml:space="preserve"> condiciones explicadas </w:t>
            </w:r>
            <w:r w:rsidRPr="00601220">
              <w:rPr>
                <w:rFonts w:ascii="Verdana" w:eastAsia="Calibri" w:hAnsi="Verdana" w:cs="Arial"/>
                <w:bCs/>
                <w:i/>
                <w:iCs/>
                <w:color w:val="000000" w:themeColor="text1"/>
              </w:rPr>
              <w:t>ut supra</w:t>
            </w:r>
            <w:r>
              <w:rPr>
                <w:rFonts w:ascii="Verdana" w:eastAsia="Calibri" w:hAnsi="Verdana" w:cs="Arial"/>
                <w:bCs/>
                <w:color w:val="000000" w:themeColor="text1"/>
              </w:rPr>
              <w:t>– la entidad contratante adopte la decisión justificada de adelantar varios de procesos de selección en vez de una contratación integral. Como explica la Sala Plena del Consejo de Estado, “</w:t>
            </w:r>
            <w:r w:rsidRPr="005C4C54">
              <w:rPr>
                <w:rFonts w:ascii="Verdana" w:eastAsia="Calibri" w:hAnsi="Verdana" w:cs="Arial"/>
                <w:bCs/>
                <w:color w:val="000000" w:themeColor="text1"/>
              </w:rPr>
              <w:t>La prohibición del fraccionamiento del contrato estatal, siempre y cuando no se manipulen las cuantías de los contratos para evadir los mecanismos reglados de selección objetiva, no implica una limitación a la Administración para que, en la planeación de procesos contractuales de envergadura económica o complejidad técnica, disponga la celebración de varios contratos o la desagregación tecnológica en los proyectos de inversión, dispuesta por el artículo 21 de la Ley 80 de 1993”</w:t>
            </w:r>
            <w:r>
              <w:rPr>
                <w:rFonts w:ascii="Verdana" w:eastAsia="Calibri" w:hAnsi="Verdana" w:cs="Arial"/>
                <w:bCs/>
                <w:color w:val="000000" w:themeColor="text1"/>
              </w:rPr>
              <w:t>.</w:t>
            </w:r>
          </w:p>
          <w:p w14:paraId="4148DA77" w14:textId="77777777" w:rsidR="00335F7D" w:rsidRPr="001941FD" w:rsidRDefault="00335F7D" w:rsidP="005D63AD">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w:t>
            </w:r>
            <w:r w:rsidRPr="00D10E3B">
              <w:rPr>
                <w:rStyle w:val="s15"/>
                <w:rFonts w:ascii="Verdana" w:hAnsi="Verdana"/>
                <w:color w:val="000000"/>
              </w:rPr>
              <w:lastRenderedPageBreak/>
              <w:t>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30C8FF5" w14:textId="77777777" w:rsidR="00335F7D" w:rsidRPr="00593A5F" w:rsidRDefault="00335F7D" w:rsidP="00335F7D">
      <w:pPr>
        <w:tabs>
          <w:tab w:val="left" w:pos="142"/>
          <w:tab w:val="left" w:pos="284"/>
        </w:tabs>
        <w:spacing w:after="0" w:line="276" w:lineRule="auto"/>
        <w:jc w:val="both"/>
        <w:rPr>
          <w:rFonts w:ascii="Verdana" w:eastAsia="Century Gothic" w:hAnsi="Verdana" w:cs="Century Gothic"/>
          <w:b/>
          <w:bCs/>
          <w:lang w:val="es-ES"/>
        </w:rPr>
      </w:pPr>
    </w:p>
    <w:bookmarkEnd w:id="0"/>
    <w:p w14:paraId="03FB667A" w14:textId="77777777" w:rsidR="00335F7D" w:rsidRPr="00593A5F" w:rsidRDefault="00335F7D" w:rsidP="00335F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E96F9D6" w14:textId="77777777" w:rsidR="00335F7D" w:rsidRPr="00593A5F" w:rsidRDefault="00335F7D" w:rsidP="00335F7D">
      <w:pPr>
        <w:spacing w:after="0" w:line="276" w:lineRule="auto"/>
        <w:jc w:val="both"/>
        <w:rPr>
          <w:rFonts w:ascii="Verdana" w:eastAsia="Calibri" w:hAnsi="Verdana" w:cs="Arial"/>
          <w:color w:val="7030A0"/>
          <w:lang w:val="es-ES"/>
        </w:rPr>
      </w:pPr>
    </w:p>
    <w:p w14:paraId="60FB6453" w14:textId="77777777" w:rsidR="00335F7D" w:rsidRDefault="00335F7D" w:rsidP="00335F7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744BF56" w14:textId="77777777" w:rsidR="00335F7D" w:rsidRDefault="00335F7D" w:rsidP="00335F7D">
      <w:pPr>
        <w:spacing w:after="0" w:line="276" w:lineRule="auto"/>
        <w:jc w:val="both"/>
        <w:rPr>
          <w:rFonts w:ascii="Verdana" w:eastAsia="Calibri" w:hAnsi="Verdana" w:cs="Arial"/>
          <w:lang w:val="es-ES"/>
        </w:rPr>
      </w:pPr>
    </w:p>
    <w:p w14:paraId="136D1166" w14:textId="77777777" w:rsidR="00335F7D" w:rsidRDefault="00335F7D" w:rsidP="00335F7D">
      <w:pPr>
        <w:spacing w:after="0" w:line="276" w:lineRule="auto"/>
        <w:jc w:val="both"/>
        <w:rPr>
          <w:rFonts w:ascii="Verdana" w:eastAsia="Calibri" w:hAnsi="Verdana" w:cs="Arial"/>
          <w:bCs/>
          <w:color w:val="000000" w:themeColor="text1"/>
        </w:rPr>
      </w:pPr>
      <w:r>
        <w:rPr>
          <w:rFonts w:ascii="Verdana" w:eastAsia="Calibri" w:hAnsi="Verdana" w:cs="Arial"/>
          <w:lang w:val="es-ES"/>
        </w:rPr>
        <w:t xml:space="preserve">i. </w:t>
      </w:r>
      <w:r>
        <w:rPr>
          <w:rFonts w:ascii="Verdana" w:eastAsia="Calibri" w:hAnsi="Verdana" w:cs="Arial"/>
          <w:lang w:val="es-ES" w:eastAsia="es-ES"/>
        </w:rPr>
        <w:t xml:space="preserve">El </w:t>
      </w:r>
      <w:r w:rsidRPr="00766422">
        <w:rPr>
          <w:rFonts w:ascii="Verdana" w:eastAsia="Calibri" w:hAnsi="Verdana" w:cs="Arial"/>
          <w:i/>
          <w:iCs/>
          <w:lang w:val="es-ES" w:eastAsia="es-ES"/>
        </w:rPr>
        <w:t>fraccionamiento de los contratos</w:t>
      </w:r>
      <w:r>
        <w:rPr>
          <w:rFonts w:ascii="Verdana" w:eastAsia="Calibri" w:hAnsi="Verdana" w:cs="Arial"/>
          <w:lang w:val="es-ES" w:eastAsia="es-ES"/>
        </w:rPr>
        <w:t xml:space="preserve"> se presenta para eludir modalidades de selección </w:t>
      </w:r>
      <w:r>
        <w:rPr>
          <w:rFonts w:ascii="Verdana" w:eastAsia="Calibri" w:hAnsi="Verdana" w:cs="Arial"/>
          <w:bCs/>
          <w:color w:val="000000" w:themeColor="text1"/>
        </w:rPr>
        <w:t>del artículo 2 de la Ley 1150 de 2007 dividiendo, por ejemplo, el monto de una licitación pública o de una selección abreviada de menor cuantía para convertirla en tantas mínimas como sean necesarias para aprovechar un trámite más flexible. Como explica la Sección Tercera del Consejo de Estado:</w:t>
      </w:r>
    </w:p>
    <w:p w14:paraId="5A4130A6" w14:textId="77777777" w:rsidR="00335F7D" w:rsidRDefault="00335F7D" w:rsidP="00335F7D">
      <w:pPr>
        <w:spacing w:after="0" w:line="276" w:lineRule="auto"/>
        <w:jc w:val="both"/>
        <w:rPr>
          <w:rFonts w:ascii="Verdana" w:eastAsia="Calibri" w:hAnsi="Verdana" w:cs="Arial"/>
          <w:bCs/>
          <w:color w:val="000000" w:themeColor="text1"/>
        </w:rPr>
      </w:pPr>
    </w:p>
    <w:p w14:paraId="11F42BCC" w14:textId="77777777" w:rsidR="00335F7D" w:rsidRPr="00731413" w:rsidRDefault="00335F7D" w:rsidP="00335F7D">
      <w:pPr>
        <w:spacing w:after="0" w:line="240" w:lineRule="auto"/>
        <w:ind w:left="709" w:right="709"/>
        <w:jc w:val="both"/>
        <w:rPr>
          <w:rFonts w:ascii="Verdana" w:eastAsia="Calibri" w:hAnsi="Verdana" w:cs="Arial"/>
          <w:bCs/>
          <w:color w:val="000000" w:themeColor="text1"/>
          <w:sz w:val="21"/>
          <w:szCs w:val="21"/>
        </w:rPr>
      </w:pPr>
      <w:r w:rsidRPr="00731413">
        <w:rPr>
          <w:rFonts w:ascii="Verdana" w:eastAsia="Calibri" w:hAnsi="Verdana" w:cs="Arial"/>
          <w:bCs/>
          <w:color w:val="000000" w:themeColor="text1"/>
          <w:sz w:val="21"/>
          <w:szCs w:val="21"/>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w:t>
      </w:r>
      <w:r>
        <w:rPr>
          <w:rStyle w:val="Refdenotaalpie"/>
          <w:rFonts w:ascii="Verdana" w:eastAsia="Calibri" w:hAnsi="Verdana" w:cs="Arial"/>
          <w:bCs/>
          <w:color w:val="000000" w:themeColor="text1"/>
          <w:sz w:val="21"/>
          <w:szCs w:val="21"/>
        </w:rPr>
        <w:footnoteReference w:id="2"/>
      </w:r>
      <w:r w:rsidRPr="00731413">
        <w:rPr>
          <w:rFonts w:ascii="Verdana" w:eastAsia="Calibri" w:hAnsi="Verdana" w:cs="Arial"/>
          <w:bCs/>
          <w:color w:val="000000" w:themeColor="text1"/>
          <w:sz w:val="21"/>
          <w:szCs w:val="21"/>
        </w:rPr>
        <w:t>.</w:t>
      </w:r>
    </w:p>
    <w:p w14:paraId="5F40DC44" w14:textId="77777777" w:rsidR="00335F7D" w:rsidRDefault="00335F7D" w:rsidP="00335F7D">
      <w:pPr>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p>
    <w:p w14:paraId="564F0E85" w14:textId="77777777" w:rsidR="00335F7D" w:rsidRDefault="00335F7D" w:rsidP="00335F7D">
      <w:pPr>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t>Asimismo, para la doctrina:</w:t>
      </w:r>
    </w:p>
    <w:p w14:paraId="31ECDAC9" w14:textId="77777777" w:rsidR="00335F7D" w:rsidRDefault="00335F7D" w:rsidP="00335F7D">
      <w:pPr>
        <w:spacing w:after="0" w:line="276" w:lineRule="auto"/>
        <w:jc w:val="both"/>
        <w:rPr>
          <w:rFonts w:ascii="Verdana" w:eastAsia="Calibri" w:hAnsi="Verdana" w:cs="Arial"/>
          <w:bCs/>
          <w:color w:val="000000" w:themeColor="text1"/>
        </w:rPr>
      </w:pPr>
    </w:p>
    <w:p w14:paraId="66921C05" w14:textId="77777777" w:rsidR="00335F7D" w:rsidRPr="002439E7" w:rsidRDefault="00335F7D" w:rsidP="00335F7D">
      <w:pPr>
        <w:spacing w:after="0" w:line="240" w:lineRule="auto"/>
        <w:ind w:left="709" w:right="709"/>
        <w:jc w:val="both"/>
        <w:rPr>
          <w:rFonts w:ascii="Verdana" w:eastAsia="Calibri" w:hAnsi="Verdana" w:cs="Arial"/>
          <w:bCs/>
          <w:color w:val="000000" w:themeColor="text1"/>
          <w:sz w:val="21"/>
          <w:szCs w:val="21"/>
        </w:rPr>
      </w:pPr>
      <w:r w:rsidRPr="002439E7">
        <w:rPr>
          <w:rFonts w:ascii="Verdana" w:eastAsia="Calibri" w:hAnsi="Verdana" w:cs="Arial"/>
          <w:bCs/>
          <w:color w:val="000000" w:themeColor="text1"/>
          <w:sz w:val="21"/>
          <w:szCs w:val="21"/>
        </w:rPr>
        <w:t xml:space="preserve">“Fraccionar un contrato es dividir en partes aquello que debería contratarse conjuntamente por constituir un todo inseparable, una unidad funcional de la que se derive la imposibilidad de contratar la una parte sin la otra. También es fraccionamiento la contratación de manera separada e injustificada de prestaciones periódicas </w:t>
      </w:r>
      <w:r w:rsidRPr="002439E7">
        <w:rPr>
          <w:rFonts w:ascii="Verdana" w:eastAsia="Calibri" w:hAnsi="Verdana" w:cs="Arial"/>
          <w:bCs/>
          <w:color w:val="000000" w:themeColor="text1"/>
          <w:sz w:val="21"/>
          <w:szCs w:val="21"/>
        </w:rPr>
        <w:lastRenderedPageBreak/>
        <w:t>plenamente previsibles dentro de la actividad ordinaria de los poderes adjudicadores […]”</w:t>
      </w:r>
      <w:r>
        <w:rPr>
          <w:rStyle w:val="Refdenotaalpie"/>
          <w:rFonts w:ascii="Verdana" w:eastAsia="Calibri" w:hAnsi="Verdana" w:cs="Arial"/>
          <w:bCs/>
          <w:color w:val="000000" w:themeColor="text1"/>
          <w:sz w:val="21"/>
          <w:szCs w:val="21"/>
        </w:rPr>
        <w:footnoteReference w:id="3"/>
      </w:r>
      <w:r w:rsidRPr="002439E7">
        <w:rPr>
          <w:rFonts w:ascii="Verdana" w:eastAsia="Calibri" w:hAnsi="Verdana" w:cs="Arial"/>
          <w:bCs/>
          <w:color w:val="000000" w:themeColor="text1"/>
          <w:sz w:val="21"/>
          <w:szCs w:val="21"/>
        </w:rPr>
        <w:t>.</w:t>
      </w:r>
    </w:p>
    <w:p w14:paraId="0E49E534" w14:textId="77777777" w:rsidR="00335F7D" w:rsidRDefault="00335F7D" w:rsidP="00335F7D">
      <w:pPr>
        <w:spacing w:after="0" w:line="276" w:lineRule="auto"/>
        <w:jc w:val="both"/>
        <w:rPr>
          <w:rFonts w:ascii="Verdana" w:eastAsia="Calibri" w:hAnsi="Verdana" w:cs="Arial"/>
          <w:bCs/>
          <w:color w:val="000000" w:themeColor="text1"/>
        </w:rPr>
      </w:pPr>
    </w:p>
    <w:p w14:paraId="43EAB942" w14:textId="77777777" w:rsidR="00335F7D" w:rsidRDefault="00335F7D" w:rsidP="00335F7D">
      <w:pPr>
        <w:spacing w:after="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este contexto, el </w:t>
      </w:r>
      <w:r w:rsidRPr="008B6B73">
        <w:rPr>
          <w:rFonts w:ascii="Verdana" w:eastAsia="Calibri" w:hAnsi="Verdana" w:cs="Arial"/>
          <w:bCs/>
          <w:i/>
          <w:iCs/>
          <w:color w:val="000000" w:themeColor="text1"/>
        </w:rPr>
        <w:t>fraccionamiento</w:t>
      </w:r>
      <w:r>
        <w:rPr>
          <w:rFonts w:ascii="Verdana" w:eastAsia="Calibri" w:hAnsi="Verdana" w:cs="Arial"/>
          <w:bCs/>
          <w:color w:val="000000" w:themeColor="text1"/>
        </w:rPr>
        <w:t xml:space="preserve"> implica </w:t>
      </w:r>
      <w:r w:rsidRPr="000759FD">
        <w:rPr>
          <w:rFonts w:ascii="Verdana" w:eastAsia="Calibri" w:hAnsi="Verdana" w:cs="Arial"/>
          <w:bCs/>
          <w:color w:val="000000" w:themeColor="text1"/>
        </w:rPr>
        <w:t xml:space="preserve">dividir </w:t>
      </w:r>
      <w:r>
        <w:rPr>
          <w:rFonts w:ascii="Verdana" w:eastAsia="Calibri" w:hAnsi="Verdana" w:cs="Arial"/>
          <w:bCs/>
          <w:color w:val="000000" w:themeColor="text1"/>
        </w:rPr>
        <w:t xml:space="preserve">las </w:t>
      </w:r>
      <w:r w:rsidRPr="000759FD">
        <w:rPr>
          <w:rFonts w:ascii="Verdana" w:eastAsia="Calibri" w:hAnsi="Verdana" w:cs="Arial"/>
          <w:bCs/>
          <w:color w:val="000000" w:themeColor="text1"/>
        </w:rPr>
        <w:t>prestaciones en dos o más contratos que</w:t>
      </w:r>
      <w:r>
        <w:rPr>
          <w:rFonts w:ascii="Verdana" w:eastAsia="Calibri" w:hAnsi="Verdana" w:cs="Arial"/>
          <w:bCs/>
          <w:color w:val="000000" w:themeColor="text1"/>
        </w:rPr>
        <w:t xml:space="preserve"> pueden</w:t>
      </w:r>
      <w:r w:rsidRPr="000759FD">
        <w:rPr>
          <w:rFonts w:ascii="Verdana" w:eastAsia="Calibri" w:hAnsi="Verdana" w:cs="Arial"/>
          <w:bCs/>
          <w:color w:val="000000" w:themeColor="text1"/>
        </w:rPr>
        <w:t xml:space="preserve"> constituir un único </w:t>
      </w:r>
      <w:r>
        <w:rPr>
          <w:rFonts w:ascii="Verdana" w:eastAsia="Calibri" w:hAnsi="Verdana" w:cs="Arial"/>
          <w:bCs/>
          <w:color w:val="000000" w:themeColor="text1"/>
        </w:rPr>
        <w:t>negocio jurídico</w:t>
      </w:r>
      <w:r>
        <w:rPr>
          <w:rStyle w:val="Refdenotaalpie"/>
          <w:rFonts w:ascii="Verdana" w:eastAsia="Calibri" w:hAnsi="Verdana" w:cs="Arial"/>
          <w:bCs/>
          <w:color w:val="000000" w:themeColor="text1"/>
        </w:rPr>
        <w:footnoteReference w:id="4"/>
      </w:r>
      <w:r>
        <w:rPr>
          <w:rFonts w:ascii="Verdana" w:eastAsia="Calibri" w:hAnsi="Verdana" w:cs="Arial"/>
          <w:bCs/>
          <w:color w:val="000000" w:themeColor="text1"/>
        </w:rPr>
        <w:t xml:space="preserve">. </w:t>
      </w:r>
      <w:r w:rsidRPr="000759FD">
        <w:rPr>
          <w:rFonts w:ascii="Verdana" w:eastAsia="Calibri" w:hAnsi="Verdana" w:cs="Arial"/>
          <w:bCs/>
          <w:color w:val="000000" w:themeColor="text1"/>
        </w:rPr>
        <w:t>Para demostrar</w:t>
      </w:r>
      <w:r>
        <w:rPr>
          <w:rFonts w:ascii="Verdana" w:eastAsia="Calibri" w:hAnsi="Verdana" w:cs="Arial"/>
          <w:bCs/>
          <w:color w:val="000000" w:themeColor="text1"/>
        </w:rPr>
        <w:t xml:space="preserve">lo </w:t>
      </w:r>
      <w:r w:rsidRPr="000759FD">
        <w:rPr>
          <w:rFonts w:ascii="Verdana" w:eastAsia="Calibri" w:hAnsi="Verdana" w:cs="Arial"/>
          <w:bCs/>
          <w:color w:val="000000" w:themeColor="text1"/>
        </w:rPr>
        <w:t xml:space="preserve">deben concurrir las siguientes circunstancias: i) que sea posible demostrar la unidad del objeto en relación con el contrato cuya legalidad se cuestiona y, de ser así, </w:t>
      </w:r>
      <w:proofErr w:type="spellStart"/>
      <w:r w:rsidRPr="000759FD">
        <w:rPr>
          <w:rFonts w:ascii="Verdana" w:eastAsia="Calibri" w:hAnsi="Verdana" w:cs="Arial"/>
          <w:bCs/>
          <w:color w:val="000000" w:themeColor="text1"/>
        </w:rPr>
        <w:t>ii</w:t>
      </w:r>
      <w:proofErr w:type="spellEnd"/>
      <w:r w:rsidRPr="000759FD">
        <w:rPr>
          <w:rFonts w:ascii="Verdana" w:eastAsia="Calibri" w:hAnsi="Verdana" w:cs="Arial"/>
          <w:bCs/>
          <w:color w:val="000000" w:themeColor="text1"/>
        </w:rPr>
        <w:t xml:space="preserve">) determinar cuáles fueron las circunstancias que condujeron a la </w:t>
      </w:r>
      <w:r>
        <w:rPr>
          <w:rFonts w:ascii="Verdana" w:eastAsia="Calibri" w:hAnsi="Verdana" w:cs="Arial"/>
          <w:bCs/>
          <w:color w:val="000000" w:themeColor="text1"/>
        </w:rPr>
        <w:t>A</w:t>
      </w:r>
      <w:r w:rsidRPr="000759FD">
        <w:rPr>
          <w:rFonts w:ascii="Verdana" w:eastAsia="Calibri" w:hAnsi="Verdana" w:cs="Arial"/>
          <w:bCs/>
          <w:color w:val="000000" w:themeColor="text1"/>
        </w:rPr>
        <w:t>dministración a celebrar varios contratos, pues s</w:t>
      </w:r>
      <w:r>
        <w:rPr>
          <w:rFonts w:ascii="Verdana" w:eastAsia="Calibri" w:hAnsi="Verdana" w:cs="Arial"/>
          <w:bCs/>
          <w:color w:val="000000" w:themeColor="text1"/>
        </w:rPr>
        <w:t>ó</w:t>
      </w:r>
      <w:r w:rsidRPr="000759FD">
        <w:rPr>
          <w:rFonts w:ascii="Verdana" w:eastAsia="Calibri" w:hAnsi="Verdana" w:cs="Arial"/>
          <w:bCs/>
          <w:color w:val="000000" w:themeColor="text1"/>
        </w:rPr>
        <w:t>lo de esta manera puede inferir</w:t>
      </w:r>
      <w:r>
        <w:rPr>
          <w:rFonts w:ascii="Verdana" w:eastAsia="Calibri" w:hAnsi="Verdana" w:cs="Arial"/>
          <w:bCs/>
          <w:color w:val="000000" w:themeColor="text1"/>
        </w:rPr>
        <w:t>se</w:t>
      </w:r>
      <w:r w:rsidRPr="000759FD">
        <w:rPr>
          <w:rFonts w:ascii="Verdana" w:eastAsia="Calibri" w:hAnsi="Verdana" w:cs="Arial"/>
          <w:bCs/>
          <w:color w:val="000000" w:themeColor="text1"/>
        </w:rPr>
        <w:t xml:space="preserve"> si el actuar se basó en criterios razonables de interés público o</w:t>
      </w:r>
      <w:r>
        <w:rPr>
          <w:rFonts w:ascii="Verdana" w:eastAsia="Calibri" w:hAnsi="Verdana" w:cs="Arial"/>
          <w:bCs/>
          <w:color w:val="000000" w:themeColor="text1"/>
        </w:rPr>
        <w:t>,</w:t>
      </w:r>
      <w:r w:rsidRPr="000759FD">
        <w:rPr>
          <w:rFonts w:ascii="Verdana" w:eastAsia="Calibri" w:hAnsi="Verdana" w:cs="Arial"/>
          <w:bCs/>
          <w:color w:val="000000" w:themeColor="text1"/>
        </w:rPr>
        <w:t xml:space="preserve"> si por el contrario, los motivos fueron simulados y orientados a infringir las normas de la contratación pública</w:t>
      </w:r>
      <w:r>
        <w:rPr>
          <w:rStyle w:val="Refdenotaalpie"/>
          <w:rFonts w:ascii="Verdana" w:eastAsia="Calibri" w:hAnsi="Verdana" w:cs="Arial"/>
          <w:bCs/>
          <w:color w:val="000000" w:themeColor="text1"/>
        </w:rPr>
        <w:footnoteReference w:id="5"/>
      </w:r>
      <w:r w:rsidRPr="000759FD">
        <w:rPr>
          <w:rFonts w:ascii="Verdana" w:eastAsia="Calibri" w:hAnsi="Verdana" w:cs="Arial"/>
          <w:bCs/>
          <w:color w:val="000000" w:themeColor="text1"/>
        </w:rPr>
        <w:t>.</w:t>
      </w:r>
      <w:r>
        <w:rPr>
          <w:rFonts w:ascii="Verdana" w:eastAsia="Calibri" w:hAnsi="Verdana" w:cs="Arial"/>
          <w:bCs/>
          <w:color w:val="000000" w:themeColor="text1"/>
        </w:rPr>
        <w:t xml:space="preserve"> Al margen de las posibles repercusiones en el ámbito disciplinario y fiscal, además de viciar de nulidad absoluta los negocios suscritos por objeto o causa ilícita, dicha acción tipifica la conducta punible de celebración de contratos sin cumplimiento de los requisitos legales</w:t>
      </w:r>
      <w:r>
        <w:rPr>
          <w:rStyle w:val="Refdenotaalpie"/>
          <w:rFonts w:ascii="Verdana" w:eastAsia="Calibri" w:hAnsi="Verdana" w:cs="Arial"/>
          <w:bCs/>
          <w:color w:val="000000" w:themeColor="text1"/>
        </w:rPr>
        <w:footnoteReference w:id="6"/>
      </w:r>
      <w:r>
        <w:rPr>
          <w:rFonts w:ascii="Verdana" w:eastAsia="Calibri" w:hAnsi="Verdana" w:cs="Arial"/>
          <w:bCs/>
          <w:color w:val="000000" w:themeColor="text1"/>
        </w:rPr>
        <w:t>. Sobre dicho fenómeno, la jurisprudencia sostiene lo siguiente:</w:t>
      </w:r>
    </w:p>
    <w:p w14:paraId="1ED1E9C0" w14:textId="77777777" w:rsidR="00335F7D" w:rsidRDefault="00335F7D" w:rsidP="00335F7D">
      <w:pPr>
        <w:spacing w:after="0" w:line="276" w:lineRule="auto"/>
        <w:ind w:firstLine="709"/>
        <w:jc w:val="both"/>
        <w:rPr>
          <w:rFonts w:ascii="Verdana" w:eastAsia="Calibri" w:hAnsi="Verdana" w:cs="Arial"/>
          <w:bCs/>
          <w:color w:val="000000" w:themeColor="text1"/>
        </w:rPr>
      </w:pPr>
    </w:p>
    <w:p w14:paraId="76013D3E" w14:textId="77777777" w:rsidR="00335F7D" w:rsidRPr="00407DB2" w:rsidRDefault="00335F7D" w:rsidP="00335F7D">
      <w:pPr>
        <w:spacing w:after="120" w:line="240" w:lineRule="auto"/>
        <w:ind w:left="709" w:right="709"/>
        <w:jc w:val="both"/>
        <w:rPr>
          <w:rFonts w:ascii="Verdana" w:eastAsia="Calibri" w:hAnsi="Verdana" w:cs="Arial"/>
          <w:bCs/>
          <w:color w:val="000000" w:themeColor="text1"/>
          <w:sz w:val="20"/>
          <w:szCs w:val="20"/>
        </w:rPr>
      </w:pPr>
      <w:r w:rsidRPr="00407DB2">
        <w:rPr>
          <w:rFonts w:ascii="Verdana" w:eastAsia="Calibri" w:hAnsi="Verdana" w:cs="Arial"/>
          <w:bCs/>
          <w:color w:val="000000" w:themeColor="text1"/>
          <w:sz w:val="20"/>
          <w:szCs w:val="20"/>
        </w:rPr>
        <w:t>“[…] la regulación de los procesos de selección impide al servidor público, con competencia para contratar, la división del objeto de un contrato estatal en varios, esto es su ‘fraccionamiento’, cuando con ello se manipulen las cuantías exigidas por la ley, pues este proceder irregular implica disminuir artificiosamente el valor del contrato para eludir los procedimientos reglados de selección objetiva, contenidos en normas de orden público.</w:t>
      </w:r>
    </w:p>
    <w:p w14:paraId="28977334" w14:textId="77777777" w:rsidR="00335F7D" w:rsidRPr="00407DB2" w:rsidRDefault="00335F7D" w:rsidP="00335F7D">
      <w:pPr>
        <w:spacing w:after="120" w:line="240" w:lineRule="auto"/>
        <w:ind w:left="709" w:right="709" w:firstLine="709"/>
        <w:jc w:val="both"/>
        <w:rPr>
          <w:rFonts w:ascii="Verdana" w:eastAsia="Calibri" w:hAnsi="Verdana" w:cs="Arial"/>
          <w:bCs/>
          <w:color w:val="000000" w:themeColor="text1"/>
          <w:sz w:val="20"/>
          <w:szCs w:val="20"/>
        </w:rPr>
      </w:pPr>
      <w:r w:rsidRPr="00407DB2">
        <w:rPr>
          <w:rFonts w:ascii="Verdana" w:eastAsia="Calibri" w:hAnsi="Verdana" w:cs="Arial"/>
          <w:bCs/>
          <w:color w:val="000000" w:themeColor="text1"/>
          <w:sz w:val="20"/>
          <w:szCs w:val="20"/>
        </w:rPr>
        <w:lastRenderedPageBreak/>
        <w:t>En otras palabras, al estar obligado el funcionario a aplicar los procesos de selección del contratista, no está autorizado para fraccionar el contrato, aunque tal conducta irregular no esté hoy expresamente prohibida, dado que, en virtud del principio de legalidad, los servidores públicos en el ejercicio de sus funciones solo pueden hacer aquello que les esté expresamente permitido (art 6 C.N.).</w:t>
      </w:r>
    </w:p>
    <w:p w14:paraId="552B5925" w14:textId="77777777" w:rsidR="00335F7D" w:rsidRDefault="00335F7D" w:rsidP="00335F7D">
      <w:pPr>
        <w:spacing w:after="0" w:line="240" w:lineRule="auto"/>
        <w:ind w:left="709" w:right="709" w:firstLine="709"/>
        <w:jc w:val="both"/>
        <w:rPr>
          <w:rFonts w:ascii="Verdana" w:eastAsia="Calibri" w:hAnsi="Verdana" w:cs="Arial"/>
          <w:bCs/>
          <w:color w:val="000000" w:themeColor="text1"/>
        </w:rPr>
      </w:pPr>
      <w:r w:rsidRPr="00407DB2">
        <w:rPr>
          <w:rFonts w:ascii="Verdana" w:eastAsia="Calibri" w:hAnsi="Verdana" w:cs="Arial"/>
          <w:bCs/>
          <w:color w:val="000000" w:themeColor="text1"/>
          <w:sz w:val="20"/>
          <w:szCs w:val="20"/>
        </w:rPr>
        <w:t>La prohibición del fraccionamiento del contrato estatal, siempre y cuando no se manipulen las cuantías de los contratos para evadir los mecanismos reglados de selección objetiva, no implica una limitación a la Administración para que, en la planeación de procesos contractuales de envergadura económica o complejidad técnica, disponga la celebración de varios contratos o la desagregación tecnológica en los proyectos de inversión, dispuesta por el artículo 21 de la Ley 80 de 1993”</w:t>
      </w:r>
      <w:r>
        <w:rPr>
          <w:rStyle w:val="Refdenotaalpie"/>
          <w:rFonts w:ascii="Verdana" w:eastAsia="Calibri" w:hAnsi="Verdana" w:cs="Arial"/>
          <w:bCs/>
          <w:color w:val="000000" w:themeColor="text1"/>
          <w:sz w:val="20"/>
          <w:szCs w:val="20"/>
        </w:rPr>
        <w:footnoteReference w:id="7"/>
      </w:r>
      <w:r w:rsidRPr="00407DB2">
        <w:rPr>
          <w:rFonts w:ascii="Verdana" w:eastAsia="Calibri" w:hAnsi="Verdana" w:cs="Arial"/>
          <w:bCs/>
          <w:color w:val="000000" w:themeColor="text1"/>
          <w:sz w:val="20"/>
          <w:szCs w:val="20"/>
        </w:rPr>
        <w:t>.</w:t>
      </w:r>
    </w:p>
    <w:p w14:paraId="7B07D6AD" w14:textId="77777777" w:rsidR="00335F7D" w:rsidRPr="00F51A1C" w:rsidRDefault="00335F7D" w:rsidP="00335F7D">
      <w:pPr>
        <w:spacing w:after="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 </w:t>
      </w:r>
    </w:p>
    <w:p w14:paraId="76C39CD0" w14:textId="77777777" w:rsidR="00335F7D" w:rsidRDefault="00335F7D" w:rsidP="00335F7D">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Con todo, debe distinguirse el </w:t>
      </w:r>
      <w:r w:rsidRPr="008B6B73">
        <w:rPr>
          <w:rFonts w:ascii="Verdana" w:eastAsia="Calibri" w:hAnsi="Verdana" w:cs="Arial"/>
          <w:bCs/>
          <w:i/>
          <w:iCs/>
          <w:color w:val="000000" w:themeColor="text1"/>
        </w:rPr>
        <w:t>fraccionamiento de contrato</w:t>
      </w:r>
      <w:r>
        <w:rPr>
          <w:rFonts w:ascii="Verdana" w:eastAsia="Calibri" w:hAnsi="Verdana" w:cs="Arial"/>
          <w:bCs/>
          <w:color w:val="000000" w:themeColor="text1"/>
        </w:rPr>
        <w:t xml:space="preserve"> de la </w:t>
      </w:r>
      <w:r w:rsidRPr="008B6B73">
        <w:rPr>
          <w:rFonts w:ascii="Verdana" w:eastAsia="Calibri" w:hAnsi="Verdana" w:cs="Arial"/>
          <w:bCs/>
          <w:i/>
          <w:iCs/>
          <w:color w:val="000000" w:themeColor="text1"/>
        </w:rPr>
        <w:t>división en lotes</w:t>
      </w:r>
      <w:r>
        <w:rPr>
          <w:rFonts w:ascii="Verdana" w:eastAsia="Calibri" w:hAnsi="Verdana" w:cs="Arial"/>
          <w:bCs/>
          <w:color w:val="000000" w:themeColor="text1"/>
        </w:rPr>
        <w:t>. El primero se encuentra prohibido, porque atenta contra el principio de selección objetiva; mientras que el segundo está permitido, con el propósito facilitar la segmentación de mercado y propiciar que varios contratistas ejecuten porciones puntales del objeto contractual. Sobre este último punto, el artículo 12.6 de la Ley 590 de 2000 –modificado por el artículo 33 de la Ley de Emprendimiento– dispone que “[…] C</w:t>
      </w:r>
      <w:r w:rsidRPr="00C67DFF">
        <w:rPr>
          <w:rFonts w:ascii="Verdana" w:eastAsia="Calibri" w:hAnsi="Verdana" w:cs="Arial"/>
          <w:bCs/>
          <w:color w:val="000000" w:themeColor="text1"/>
        </w:rPr>
        <w:t>on el fin de promover el acceso de las MIPYMES al mercado de Compras Públicas, las Entidades Estatales indistintamente de su régimen de contratación, los patrimonios autónomos constituidos por Entidades Estatales y los particulares que ejecuten recursos públicos</w:t>
      </w:r>
      <w:r>
        <w:rPr>
          <w:rFonts w:ascii="Verdana" w:eastAsia="Calibri" w:hAnsi="Verdana" w:cs="Arial"/>
          <w:bCs/>
          <w:color w:val="000000" w:themeColor="text1"/>
        </w:rPr>
        <w:t xml:space="preserve">: […] </w:t>
      </w:r>
      <w:r w:rsidRPr="00C67DFF">
        <w:rPr>
          <w:rFonts w:ascii="Verdana" w:eastAsia="Calibri" w:hAnsi="Verdana" w:cs="Arial"/>
          <w:bCs/>
          <w:color w:val="000000" w:themeColor="text1"/>
        </w:rPr>
        <w:t>6. Promoverán la división del Proceso de Contratación en lotes o segmentos que faciliten la participación de las MIPYMES en el Proceso de Contratación</w:t>
      </w:r>
      <w:r>
        <w:rPr>
          <w:rFonts w:ascii="Verdana" w:eastAsia="Calibri" w:hAnsi="Verdana" w:cs="Arial"/>
          <w:bCs/>
          <w:color w:val="000000" w:themeColor="text1"/>
        </w:rPr>
        <w:t xml:space="preserve"> [..</w:t>
      </w:r>
      <w:r w:rsidRPr="00C67DFF">
        <w:rPr>
          <w:rFonts w:ascii="Verdana" w:eastAsia="Calibri" w:hAnsi="Verdana" w:cs="Arial"/>
          <w:bCs/>
          <w:color w:val="000000" w:themeColor="text1"/>
        </w:rPr>
        <w:t>.</w:t>
      </w:r>
      <w:r>
        <w:rPr>
          <w:rFonts w:ascii="Verdana" w:eastAsia="Calibri" w:hAnsi="Verdana" w:cs="Arial"/>
          <w:bCs/>
          <w:color w:val="000000" w:themeColor="text1"/>
        </w:rPr>
        <w:t xml:space="preserve">]”. Por ello, el artículo </w:t>
      </w:r>
      <w:r w:rsidRPr="00C67DFF">
        <w:rPr>
          <w:rFonts w:ascii="Verdana" w:eastAsia="Calibri" w:hAnsi="Verdana" w:cs="Arial"/>
          <w:bCs/>
          <w:color w:val="000000" w:themeColor="text1"/>
        </w:rPr>
        <w:t>2.2.1.2.4.2.19</w:t>
      </w:r>
      <w:r>
        <w:rPr>
          <w:rFonts w:ascii="Verdana" w:eastAsia="Calibri" w:hAnsi="Verdana" w:cs="Arial"/>
          <w:bCs/>
          <w:color w:val="000000" w:themeColor="text1"/>
        </w:rPr>
        <w:t xml:space="preserve"> del Decreto 1082 de 2015 –adicionado por el artículo 8 del Decreto 142 de 2023– dispone lo siguiente: </w:t>
      </w:r>
    </w:p>
    <w:p w14:paraId="4963BC0B" w14:textId="77777777" w:rsidR="00335F7D" w:rsidRDefault="00335F7D" w:rsidP="00335F7D">
      <w:pPr>
        <w:spacing w:after="0" w:line="276" w:lineRule="auto"/>
        <w:jc w:val="both"/>
        <w:rPr>
          <w:rFonts w:ascii="Verdana" w:eastAsia="Calibri" w:hAnsi="Verdana" w:cs="Arial"/>
          <w:bCs/>
          <w:color w:val="000000" w:themeColor="text1"/>
        </w:rPr>
      </w:pPr>
    </w:p>
    <w:p w14:paraId="1231BBCE" w14:textId="77777777" w:rsidR="00335F7D" w:rsidRPr="008B5B00" w:rsidRDefault="00335F7D" w:rsidP="00335F7D">
      <w:pPr>
        <w:spacing w:after="120" w:line="240" w:lineRule="auto"/>
        <w:ind w:left="709" w:right="709"/>
        <w:jc w:val="both"/>
        <w:rPr>
          <w:rFonts w:ascii="Verdana" w:eastAsia="Calibri" w:hAnsi="Verdana" w:cs="Arial"/>
          <w:bCs/>
          <w:color w:val="000000" w:themeColor="text1"/>
          <w:sz w:val="21"/>
          <w:szCs w:val="21"/>
        </w:rPr>
      </w:pPr>
      <w:r w:rsidRPr="008B5B00">
        <w:rPr>
          <w:rFonts w:ascii="Verdana" w:eastAsia="Calibri" w:hAnsi="Verdana" w:cs="Arial"/>
          <w:bCs/>
          <w:color w:val="000000" w:themeColor="text1"/>
          <w:sz w:val="21"/>
          <w:szCs w:val="21"/>
        </w:rPr>
        <w:t xml:space="preserve">“Las entidades estatales promoverán la división de procesos de contratación en lotes o segmentos que faciliten la participación de las </w:t>
      </w:r>
      <w:proofErr w:type="spellStart"/>
      <w:r w:rsidRPr="008B5B00">
        <w:rPr>
          <w:rFonts w:ascii="Verdana" w:eastAsia="Calibri" w:hAnsi="Verdana" w:cs="Arial"/>
          <w:bCs/>
          <w:color w:val="000000" w:themeColor="text1"/>
          <w:sz w:val="21"/>
          <w:szCs w:val="21"/>
        </w:rPr>
        <w:t>Mipymes</w:t>
      </w:r>
      <w:proofErr w:type="spellEnd"/>
      <w:r w:rsidRPr="008B5B00">
        <w:rPr>
          <w:rFonts w:ascii="Verdana" w:eastAsia="Calibri" w:hAnsi="Verdana" w:cs="Arial"/>
          <w:bCs/>
          <w:color w:val="000000" w:themeColor="text1"/>
          <w:sz w:val="21"/>
          <w:szCs w:val="21"/>
        </w:rPr>
        <w:t xml:space="preserve"> atendiendo a criterios tales como: i) el tipo de entregable, </w:t>
      </w:r>
      <w:proofErr w:type="spellStart"/>
      <w:r w:rsidRPr="008B5B00">
        <w:rPr>
          <w:rFonts w:ascii="Verdana" w:eastAsia="Calibri" w:hAnsi="Verdana" w:cs="Arial"/>
          <w:bCs/>
          <w:color w:val="000000" w:themeColor="text1"/>
          <w:sz w:val="21"/>
          <w:szCs w:val="21"/>
        </w:rPr>
        <w:t>ii</w:t>
      </w:r>
      <w:proofErr w:type="spellEnd"/>
      <w:r w:rsidRPr="008B5B00">
        <w:rPr>
          <w:rFonts w:ascii="Verdana" w:eastAsia="Calibri" w:hAnsi="Verdana" w:cs="Arial"/>
          <w:bCs/>
          <w:color w:val="000000" w:themeColor="text1"/>
          <w:sz w:val="21"/>
          <w:szCs w:val="21"/>
        </w:rPr>
        <w:t xml:space="preserve">) el valor del contrato y </w:t>
      </w:r>
      <w:proofErr w:type="spellStart"/>
      <w:r w:rsidRPr="008B5B00">
        <w:rPr>
          <w:rFonts w:ascii="Verdana" w:eastAsia="Calibri" w:hAnsi="Verdana" w:cs="Arial"/>
          <w:bCs/>
          <w:color w:val="000000" w:themeColor="text1"/>
          <w:sz w:val="21"/>
          <w:szCs w:val="21"/>
        </w:rPr>
        <w:t>iii</w:t>
      </w:r>
      <w:proofErr w:type="spellEnd"/>
      <w:r w:rsidRPr="008B5B00">
        <w:rPr>
          <w:rFonts w:ascii="Verdana" w:eastAsia="Calibri" w:hAnsi="Verdana" w:cs="Arial"/>
          <w:bCs/>
          <w:color w:val="000000" w:themeColor="text1"/>
          <w:sz w:val="21"/>
          <w:szCs w:val="21"/>
        </w:rPr>
        <w:t xml:space="preserve">) el ámbito geográfico de la entrega. Para el efecto: las entidades estatales deberán tener en cuenta el análisis del sector económico y de los oferentes en los términos establecidos en el artículo 2.2.1.1.1.6.1. de presente decreto. </w:t>
      </w:r>
    </w:p>
    <w:p w14:paraId="18FE7E18" w14:textId="77777777" w:rsidR="00335F7D" w:rsidRPr="008B5B00" w:rsidRDefault="00335F7D" w:rsidP="00335F7D">
      <w:pPr>
        <w:spacing w:after="120" w:line="240" w:lineRule="auto"/>
        <w:ind w:left="709" w:right="709"/>
        <w:jc w:val="both"/>
        <w:rPr>
          <w:rFonts w:ascii="Verdana" w:eastAsia="Calibri" w:hAnsi="Verdana" w:cs="Arial"/>
          <w:bCs/>
          <w:color w:val="000000" w:themeColor="text1"/>
          <w:sz w:val="21"/>
          <w:szCs w:val="21"/>
        </w:rPr>
      </w:pPr>
      <w:r w:rsidRPr="008B5B00">
        <w:rPr>
          <w:rFonts w:ascii="Verdana" w:eastAsia="Calibri" w:hAnsi="Verdana" w:cs="Arial"/>
          <w:bCs/>
          <w:color w:val="000000" w:themeColor="text1"/>
          <w:sz w:val="21"/>
          <w:szCs w:val="21"/>
        </w:rPr>
        <w:lastRenderedPageBreak/>
        <w:t xml:space="preserve">Dentro de estas </w:t>
      </w:r>
      <w:proofErr w:type="spellStart"/>
      <w:r w:rsidRPr="008B5B00">
        <w:rPr>
          <w:rFonts w:ascii="Verdana" w:eastAsia="Calibri" w:hAnsi="Verdana" w:cs="Arial"/>
          <w:bCs/>
          <w:color w:val="000000" w:themeColor="text1"/>
          <w:sz w:val="21"/>
          <w:szCs w:val="21"/>
        </w:rPr>
        <w:t>Mipymes</w:t>
      </w:r>
      <w:proofErr w:type="spellEnd"/>
      <w:r w:rsidRPr="008B5B00">
        <w:rPr>
          <w:rFonts w:ascii="Verdana" w:eastAsia="Calibri" w:hAnsi="Verdana" w:cs="Arial"/>
          <w:bCs/>
          <w:color w:val="000000" w:themeColor="text1"/>
          <w:sz w:val="21"/>
          <w:szCs w:val="21"/>
        </w:rPr>
        <w:t xml:space="preserve"> se encuentran entre otras, las cooperativas de acuerdo con los requisitos del artículo 23 de la Ley 2069 de 2020 o las que se constituyan como entidades de economía solidaria de acuerdo con los requisitos del artículo 6° de la Ley 454 de 1998 o la norma que las modifique o sustituya. </w:t>
      </w:r>
    </w:p>
    <w:p w14:paraId="7638114B" w14:textId="77777777" w:rsidR="00335F7D" w:rsidRPr="008B5B00" w:rsidRDefault="00335F7D" w:rsidP="00335F7D">
      <w:pPr>
        <w:spacing w:after="120" w:line="240" w:lineRule="auto"/>
        <w:ind w:left="709" w:right="709"/>
        <w:jc w:val="both"/>
        <w:rPr>
          <w:rFonts w:ascii="Verdana" w:eastAsia="Calibri" w:hAnsi="Verdana" w:cs="Arial"/>
          <w:bCs/>
          <w:color w:val="000000" w:themeColor="text1"/>
          <w:sz w:val="21"/>
          <w:szCs w:val="21"/>
        </w:rPr>
      </w:pPr>
      <w:r w:rsidRPr="008B5B00">
        <w:rPr>
          <w:rFonts w:ascii="Verdana" w:eastAsia="Calibri" w:hAnsi="Verdana" w:cs="Arial"/>
          <w:bCs/>
          <w:color w:val="000000" w:themeColor="text1"/>
          <w:sz w:val="21"/>
          <w:szCs w:val="21"/>
        </w:rPr>
        <w:t xml:space="preserve">Las asociaciones conformadas por sujetos de especial protección constitucional, asociaciones de pequeños productores locales y productores locales agropecuarios cuyos sistemas productivos pertenezcan a la Agricultura Campesina, Familiar y Comunitaria podrán ser clasificadas como </w:t>
      </w:r>
      <w:proofErr w:type="spellStart"/>
      <w:r w:rsidRPr="008B5B00">
        <w:rPr>
          <w:rFonts w:ascii="Verdana" w:eastAsia="Calibri" w:hAnsi="Verdana" w:cs="Arial"/>
          <w:bCs/>
          <w:color w:val="000000" w:themeColor="text1"/>
          <w:sz w:val="21"/>
          <w:szCs w:val="21"/>
        </w:rPr>
        <w:t>Mipymes</w:t>
      </w:r>
      <w:proofErr w:type="spellEnd"/>
      <w:r w:rsidRPr="008B5B00">
        <w:rPr>
          <w:rFonts w:ascii="Verdana" w:eastAsia="Calibri" w:hAnsi="Verdana" w:cs="Arial"/>
          <w:bCs/>
          <w:color w:val="000000" w:themeColor="text1"/>
          <w:sz w:val="21"/>
          <w:szCs w:val="21"/>
        </w:rPr>
        <w:t xml:space="preserve"> en los términos previstos en el artículo 23 de la Ley 2069 de 2020, el artículo 2° de la Ley 590 de 2000 y por el Decreto número 957 de 2019 o las normas que los modifiquen. </w:t>
      </w:r>
    </w:p>
    <w:p w14:paraId="5FFC5B63" w14:textId="77777777" w:rsidR="00335F7D" w:rsidRPr="008B5B00" w:rsidRDefault="00335F7D" w:rsidP="00335F7D">
      <w:pPr>
        <w:spacing w:after="120" w:line="240" w:lineRule="auto"/>
        <w:ind w:left="709" w:right="709"/>
        <w:jc w:val="both"/>
        <w:rPr>
          <w:rFonts w:ascii="Verdana" w:eastAsia="Calibri" w:hAnsi="Verdana" w:cs="Arial"/>
          <w:bCs/>
          <w:color w:val="000000" w:themeColor="text1"/>
          <w:sz w:val="21"/>
          <w:szCs w:val="21"/>
        </w:rPr>
      </w:pPr>
      <w:r w:rsidRPr="008B5B00">
        <w:rPr>
          <w:rFonts w:ascii="Verdana" w:eastAsia="Calibri" w:hAnsi="Verdana" w:cs="Arial"/>
          <w:bCs/>
          <w:color w:val="000000" w:themeColor="text1"/>
          <w:sz w:val="21"/>
          <w:szCs w:val="21"/>
        </w:rPr>
        <w:t xml:space="preserve">Las entidades estatales podrán incluir en el pliego de condiciones mecanismos o reglas que limiten el número de lotes que se adjudican a un mismo proponente, con el fin de evitar que se concentre la contratación, sobre la base de criterios objetivos y no discriminatorios. La decisión de no adjudicar un contrato en lotes o segmentos podrá obedecer entre otras razones, a que mediante este mecanismo se pueda restringir la competencia o que la segmentación del mercado pueda conducir a que la ejecución del contrato sea imposible desde el punto de vista técnico o económico. </w:t>
      </w:r>
    </w:p>
    <w:p w14:paraId="6F4AC971" w14:textId="77777777" w:rsidR="00335F7D" w:rsidRPr="008B5B00" w:rsidRDefault="00335F7D" w:rsidP="00335F7D">
      <w:pPr>
        <w:spacing w:after="0" w:line="240" w:lineRule="auto"/>
        <w:ind w:left="709" w:right="709"/>
        <w:jc w:val="both"/>
        <w:rPr>
          <w:rFonts w:ascii="Verdana" w:eastAsia="Calibri" w:hAnsi="Verdana" w:cs="Arial"/>
          <w:bCs/>
          <w:color w:val="000000" w:themeColor="text1"/>
          <w:sz w:val="21"/>
          <w:szCs w:val="21"/>
        </w:rPr>
      </w:pPr>
      <w:r w:rsidRPr="008B5B00">
        <w:rPr>
          <w:rFonts w:ascii="Verdana" w:eastAsia="Calibri" w:hAnsi="Verdana" w:cs="Arial"/>
          <w:bCs/>
          <w:color w:val="000000" w:themeColor="text1"/>
          <w:sz w:val="21"/>
          <w:szCs w:val="21"/>
        </w:rPr>
        <w:t>Parágrafo. En los Procesos de Contratación adelantados por lotes o grupos deberá aplicarse lo regulado en el artículo 2.2.1.2.4.2.2. del presente Decreto, tornando en consideración el valor del Proceso de Contratación imputable al respectivo lote en el que se solicite su aplicación. De igual manera será aplicable lo previsto en el artículo 2.2.1.2.4.2.3. a partir del lugar de ejecución del contrato asociado al respectivo lote o segmento”.</w:t>
      </w:r>
    </w:p>
    <w:p w14:paraId="231EE425" w14:textId="77777777" w:rsidR="00335F7D" w:rsidRDefault="00335F7D" w:rsidP="00335F7D">
      <w:pPr>
        <w:spacing w:after="0" w:line="276" w:lineRule="auto"/>
        <w:jc w:val="both"/>
        <w:rPr>
          <w:rFonts w:ascii="Verdana" w:eastAsia="Calibri" w:hAnsi="Verdana" w:cs="Arial"/>
          <w:bCs/>
          <w:color w:val="000000" w:themeColor="text1"/>
        </w:rPr>
      </w:pPr>
      <w:r w:rsidRPr="00C67DFF">
        <w:rPr>
          <w:rFonts w:ascii="Verdana" w:eastAsia="Calibri" w:hAnsi="Verdana" w:cs="Arial"/>
          <w:bCs/>
          <w:color w:val="000000" w:themeColor="text1"/>
        </w:rPr>
        <w:t xml:space="preserve"> </w:t>
      </w:r>
    </w:p>
    <w:p w14:paraId="73232F16" w14:textId="77777777" w:rsidR="00335F7D" w:rsidRDefault="00335F7D" w:rsidP="00335F7D">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rPr>
        <w:tab/>
      </w:r>
      <w:r w:rsidRPr="00DA0CEC">
        <w:rPr>
          <w:rFonts w:ascii="Verdana" w:eastAsia="Calibri" w:hAnsi="Verdana" w:cs="Arial"/>
          <w:bCs/>
          <w:color w:val="000000" w:themeColor="text1"/>
          <w:sz w:val="22"/>
          <w:szCs w:val="22"/>
        </w:rPr>
        <w:t xml:space="preserve">Aunque la </w:t>
      </w:r>
      <w:r w:rsidRPr="00DA0CEC">
        <w:rPr>
          <w:rFonts w:ascii="Verdana" w:eastAsia="Calibri" w:hAnsi="Verdana" w:cs="Arial"/>
          <w:bCs/>
          <w:i/>
          <w:iCs/>
          <w:color w:val="000000" w:themeColor="text1"/>
          <w:sz w:val="22"/>
          <w:szCs w:val="22"/>
        </w:rPr>
        <w:t>división en lotes</w:t>
      </w:r>
      <w:r w:rsidRPr="00DA0CEC">
        <w:rPr>
          <w:rFonts w:ascii="Verdana" w:eastAsia="Calibri" w:hAnsi="Verdana" w:cs="Arial"/>
          <w:bCs/>
          <w:color w:val="000000" w:themeColor="text1"/>
          <w:sz w:val="22"/>
          <w:szCs w:val="22"/>
        </w:rPr>
        <w:t xml:space="preserve"> despliega sus efectos en contratos cuantiosos, la norma no distingue entre modalidades de selección. Por tanto, las entidades estatales pueden evaluar la posibilidad económica o técnica de lotear. En esta hipótesis, la sumatoria de los negocios jurídicos suscritos con cada contratista determina el procedimiento aplicable</w:t>
      </w:r>
      <w:r w:rsidRPr="00DA0CEC">
        <w:rPr>
          <w:rStyle w:val="Refdenotaalpie"/>
          <w:rFonts w:ascii="Verdana" w:eastAsia="Calibri" w:hAnsi="Verdana" w:cs="Arial"/>
          <w:bCs/>
          <w:color w:val="000000" w:themeColor="text1"/>
          <w:sz w:val="22"/>
          <w:szCs w:val="22"/>
        </w:rPr>
        <w:footnoteReference w:id="8"/>
      </w:r>
      <w:r w:rsidRPr="00DA0CEC">
        <w:rPr>
          <w:rFonts w:ascii="Verdana" w:eastAsia="Calibri" w:hAnsi="Verdana" w:cs="Arial"/>
          <w:bCs/>
          <w:color w:val="000000" w:themeColor="text1"/>
          <w:sz w:val="22"/>
          <w:szCs w:val="22"/>
        </w:rPr>
        <w:t xml:space="preserve">. En otras palabras, como la </w:t>
      </w:r>
      <w:r w:rsidRPr="00DA0CEC">
        <w:rPr>
          <w:rFonts w:ascii="Verdana" w:eastAsia="Calibri" w:hAnsi="Verdana" w:cs="Arial"/>
          <w:bCs/>
          <w:i/>
          <w:iCs/>
          <w:color w:val="000000" w:themeColor="text1"/>
          <w:sz w:val="22"/>
          <w:szCs w:val="22"/>
        </w:rPr>
        <w:t xml:space="preserve">división en </w:t>
      </w:r>
      <w:r w:rsidRPr="00DA0CEC">
        <w:rPr>
          <w:rFonts w:ascii="Verdana" w:eastAsia="Calibri" w:hAnsi="Verdana" w:cs="Arial"/>
          <w:bCs/>
          <w:i/>
          <w:iCs/>
          <w:color w:val="000000" w:themeColor="text1"/>
          <w:sz w:val="22"/>
          <w:szCs w:val="22"/>
        </w:rPr>
        <w:lastRenderedPageBreak/>
        <w:t>lotes</w:t>
      </w:r>
      <w:r w:rsidRPr="00DA0CEC">
        <w:rPr>
          <w:rFonts w:ascii="Verdana" w:eastAsia="Calibri" w:hAnsi="Verdana" w:cs="Arial"/>
          <w:bCs/>
          <w:color w:val="000000" w:themeColor="text1"/>
          <w:sz w:val="22"/>
          <w:szCs w:val="22"/>
        </w:rPr>
        <w:t xml:space="preserve"> no tiene el objetivo de eludir procedimientos de selección, éste no es un caso de </w:t>
      </w:r>
      <w:r w:rsidRPr="00DA0CEC">
        <w:rPr>
          <w:rFonts w:ascii="Verdana" w:eastAsia="Calibri" w:hAnsi="Verdana" w:cs="Arial"/>
          <w:bCs/>
          <w:i/>
          <w:iCs/>
          <w:color w:val="000000" w:themeColor="text1"/>
          <w:sz w:val="22"/>
          <w:szCs w:val="22"/>
        </w:rPr>
        <w:t>fraccionamiento de contrato</w:t>
      </w:r>
      <w:r w:rsidRPr="00DA0CEC">
        <w:rPr>
          <w:rFonts w:ascii="Verdana" w:eastAsia="Calibri" w:hAnsi="Verdana" w:cs="Arial"/>
          <w:bCs/>
          <w:color w:val="000000" w:themeColor="text1"/>
          <w:sz w:val="22"/>
          <w:szCs w:val="22"/>
        </w:rPr>
        <w:t xml:space="preserve">. </w:t>
      </w:r>
    </w:p>
    <w:p w14:paraId="27D2626B" w14:textId="77777777" w:rsidR="00335F7D" w:rsidRDefault="00335F7D" w:rsidP="00335F7D">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ab/>
        <w:t>Finalmente, la posibilidad de adjudicar o no por lotes es una decisión de que debe adoptarse de acuerdo al principio de planeación. Ésta corresponde a</w:t>
      </w:r>
      <w:r w:rsidRPr="00657B3F">
        <w:rPr>
          <w:rFonts w:ascii="Verdana" w:eastAsia="Calibri" w:hAnsi="Verdana" w:cs="Arial"/>
          <w:bCs/>
          <w:color w:val="000000" w:themeColor="text1"/>
          <w:sz w:val="22"/>
          <w:szCs w:val="22"/>
        </w:rPr>
        <w:t xml:space="preserve"> una herramienta de gerencia pública, la cual exige estructurar el proceso contractual dedicando tiempo y esfuerzos para elaborar estudios previos, con el fin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p>
    <w:p w14:paraId="4D166D46" w14:textId="77777777" w:rsidR="00335F7D" w:rsidRPr="00DA0CEC" w:rsidRDefault="00335F7D" w:rsidP="00335F7D">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ab/>
        <w:t xml:space="preserve">Para estos efectos, el inciso tercero del </w:t>
      </w:r>
      <w:r w:rsidRPr="00657B3F">
        <w:rPr>
          <w:rFonts w:ascii="Verdana" w:eastAsia="Calibri" w:hAnsi="Verdana" w:cs="Arial"/>
          <w:bCs/>
          <w:color w:val="000000" w:themeColor="text1"/>
          <w:sz w:val="22"/>
          <w:szCs w:val="22"/>
        </w:rPr>
        <w:t>artículo 2.2.1.2.4.2.19 del Decreto 1082 de 2015</w:t>
      </w:r>
      <w:r>
        <w:rPr>
          <w:rFonts w:ascii="Verdana" w:eastAsia="Calibri" w:hAnsi="Verdana" w:cs="Arial"/>
          <w:bCs/>
          <w:color w:val="000000" w:themeColor="text1"/>
          <w:sz w:val="22"/>
          <w:szCs w:val="22"/>
        </w:rPr>
        <w:t xml:space="preserve"> dispone que “</w:t>
      </w:r>
      <w:r w:rsidRPr="00657B3F">
        <w:rPr>
          <w:rFonts w:ascii="Verdana" w:eastAsia="Calibri" w:hAnsi="Verdana" w:cs="Arial"/>
          <w:bCs/>
          <w:color w:val="000000" w:themeColor="text1"/>
          <w:sz w:val="22"/>
          <w:szCs w:val="22"/>
        </w:rPr>
        <w:t>La decisión de no adjudicar un contrato en lotes o segmentos podrá obedecer entre otras razones, a que mediante este mecanismo se pueda restringir la competencia o que la segmentación del mercado pueda conducir a que la ejecución del contrato sea imposible desde el punto de vista técnico o económico</w:t>
      </w:r>
      <w:r>
        <w:rPr>
          <w:rFonts w:ascii="Verdana" w:eastAsia="Calibri" w:hAnsi="Verdana" w:cs="Arial"/>
          <w:bCs/>
          <w:color w:val="000000" w:themeColor="text1"/>
          <w:sz w:val="22"/>
          <w:szCs w:val="22"/>
        </w:rPr>
        <w:t xml:space="preserve"> […]”. Luego, conforme al marco jurídico vigente, es posible que –siempre que no exista fraccionamiento en la condiciones explicadas </w:t>
      </w:r>
      <w:r w:rsidRPr="00601220">
        <w:rPr>
          <w:rFonts w:ascii="Verdana" w:eastAsia="Calibri" w:hAnsi="Verdana" w:cs="Arial"/>
          <w:bCs/>
          <w:i/>
          <w:iCs/>
          <w:color w:val="000000" w:themeColor="text1"/>
          <w:sz w:val="22"/>
          <w:szCs w:val="22"/>
        </w:rPr>
        <w:t>ut supra</w:t>
      </w:r>
      <w:r>
        <w:rPr>
          <w:rFonts w:ascii="Verdana" w:eastAsia="Calibri" w:hAnsi="Verdana" w:cs="Arial"/>
          <w:bCs/>
          <w:color w:val="000000" w:themeColor="text1"/>
          <w:sz w:val="22"/>
          <w:szCs w:val="22"/>
        </w:rPr>
        <w:t xml:space="preserve">– la entidad contratante adopte la decisión justificada de adelantar varios de procesos de selección en vez de una contratación integral. </w:t>
      </w:r>
    </w:p>
    <w:p w14:paraId="706AFE6D" w14:textId="77777777" w:rsidR="00335F7D" w:rsidRPr="00F4158D" w:rsidRDefault="00335F7D" w:rsidP="00335F7D">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3AFA04B" w14:textId="77777777" w:rsidR="00335F7D" w:rsidRPr="00F4158D" w:rsidRDefault="00335F7D" w:rsidP="00335F7D">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F4158D">
        <w:rPr>
          <w:rFonts w:ascii="Verdana" w:eastAsia="Calibri" w:hAnsi="Verdana" w:cs="Arial"/>
          <w:bCs/>
          <w:color w:val="000000" w:themeColor="text1"/>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3A55177" w14:textId="77777777" w:rsidR="00335F7D" w:rsidRPr="00F4158D" w:rsidRDefault="00335F7D" w:rsidP="00335F7D">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832EB24" w14:textId="77777777" w:rsidR="00335F7D" w:rsidRPr="00593A5F" w:rsidRDefault="00335F7D" w:rsidP="00335F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473A4A9" w14:textId="77777777" w:rsidR="00335F7D" w:rsidRPr="00593A5F" w:rsidRDefault="00335F7D" w:rsidP="00335F7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5F7D" w:rsidRPr="002407CE" w14:paraId="36AD7FC4" w14:textId="77777777" w:rsidTr="005D63AD">
        <w:trPr>
          <w:trHeight w:val="870"/>
          <w:jc w:val="center"/>
        </w:trPr>
        <w:tc>
          <w:tcPr>
            <w:tcW w:w="8647" w:type="dxa"/>
          </w:tcPr>
          <w:p w14:paraId="4380C667" w14:textId="77777777" w:rsidR="00335F7D" w:rsidRDefault="00335F7D" w:rsidP="005D63A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590 de 2000, artículo 12.</w:t>
            </w:r>
          </w:p>
          <w:p w14:paraId="3E48438C" w14:textId="77777777" w:rsidR="00335F7D" w:rsidRDefault="00335F7D" w:rsidP="005D63A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75541B70" w14:textId="77777777" w:rsidR="00335F7D" w:rsidRPr="005C4C54" w:rsidRDefault="00335F7D" w:rsidP="005D63AD">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 </w:t>
            </w:r>
            <w:r w:rsidRPr="005C4C54">
              <w:rPr>
                <w:rFonts w:ascii="Verdana" w:hAnsi="Verdana" w:cs="Arial"/>
                <w:bCs/>
                <w:color w:val="000000" w:themeColor="text1"/>
              </w:rPr>
              <w:t>2.2.1.2.4.2.19</w:t>
            </w:r>
            <w:r>
              <w:rPr>
                <w:rFonts w:ascii="Verdana" w:hAnsi="Verdana" w:cs="Arial"/>
                <w:bCs/>
                <w:color w:val="000000" w:themeColor="text1"/>
              </w:rPr>
              <w:t>.</w:t>
            </w:r>
            <w:r>
              <w:rPr>
                <w:rFonts w:ascii="Verdana" w:hAnsi="Verdana" w:cs="Arial"/>
              </w:rPr>
              <w:t xml:space="preserve"> </w:t>
            </w:r>
          </w:p>
        </w:tc>
      </w:tr>
    </w:tbl>
    <w:p w14:paraId="390B4138" w14:textId="77777777" w:rsidR="00335F7D" w:rsidRPr="002407CE" w:rsidRDefault="00335F7D" w:rsidP="00335F7D">
      <w:pPr>
        <w:widowControl w:val="0"/>
        <w:autoSpaceDE w:val="0"/>
        <w:autoSpaceDN w:val="0"/>
        <w:spacing w:after="0" w:line="276" w:lineRule="auto"/>
        <w:jc w:val="both"/>
        <w:rPr>
          <w:rFonts w:ascii="Verdana" w:hAnsi="Verdana" w:cs="Arial"/>
        </w:rPr>
      </w:pPr>
    </w:p>
    <w:p w14:paraId="7FD1D1F7" w14:textId="77777777" w:rsidR="00335F7D" w:rsidRPr="00593A5F" w:rsidRDefault="00335F7D" w:rsidP="00335F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F70DBA8" w14:textId="77777777" w:rsidR="00335F7D" w:rsidRPr="00593A5F" w:rsidRDefault="00335F7D" w:rsidP="00335F7D">
      <w:pPr>
        <w:widowControl w:val="0"/>
        <w:autoSpaceDE w:val="0"/>
        <w:autoSpaceDN w:val="0"/>
        <w:spacing w:after="0" w:line="276" w:lineRule="auto"/>
        <w:jc w:val="both"/>
        <w:rPr>
          <w:rFonts w:ascii="Verdana" w:hAnsi="Verdana" w:cs="Arial"/>
        </w:rPr>
      </w:pPr>
    </w:p>
    <w:p w14:paraId="17A7774D" w14:textId="77777777" w:rsidR="00335F7D" w:rsidRPr="00ED0098" w:rsidRDefault="00335F7D" w:rsidP="00335F7D">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w:t>
      </w:r>
      <w:r>
        <w:rPr>
          <w:rFonts w:ascii="Verdana" w:hAnsi="Verdana" w:cs="Arial"/>
          <w:shd w:val="clear" w:color="auto" w:fill="FFFFFF"/>
        </w:rPr>
        <w:t>el fraccionamiento de contratos</w:t>
      </w:r>
      <w:r w:rsidRPr="00177E85">
        <w:rPr>
          <w:rFonts w:ascii="Verdana" w:hAnsi="Verdana" w:cs="Arial"/>
          <w:shd w:val="clear" w:color="auto" w:fill="FFFFFF"/>
        </w:rPr>
        <w:t>, la ANCP</w:t>
      </w:r>
      <w:r>
        <w:rPr>
          <w:rFonts w:ascii="Verdana" w:hAnsi="Verdana" w:cs="Arial"/>
          <w:shd w:val="clear" w:color="auto" w:fill="FFFFFF"/>
        </w:rPr>
        <w:t xml:space="preserve"> –</w:t>
      </w:r>
      <w:r w:rsidRPr="00177E85">
        <w:rPr>
          <w:rFonts w:ascii="Verdana" w:hAnsi="Verdana" w:cs="Arial"/>
          <w:shd w:val="clear" w:color="auto" w:fill="FFFFFF"/>
        </w:rPr>
        <w:t xml:space="preserve"> CCE se ha pronunciado en los Conceptos</w:t>
      </w:r>
      <w:r>
        <w:rPr>
          <w:rFonts w:ascii="Verdana" w:hAnsi="Verdana" w:cs="Arial"/>
          <w:shd w:val="clear" w:color="auto" w:fill="FFFFFF"/>
        </w:rPr>
        <w:t xml:space="preserve"> C-030 del 23 de marzo de 2023, C-122 del 23 de julio de 2024, C-086 del 17 de febrero de 2025, C-305 del 21 de marzo de 2025 y C-843 del 11 de agosto de 2025</w:t>
      </w:r>
      <w:r>
        <w:rPr>
          <w:rStyle w:val="normaltextrun"/>
          <w:rFonts w:ascii="Verdana" w:hAnsi="Verdana" w:cs="Arial"/>
          <w:shd w:val="clear" w:color="auto" w:fill="FFFFFF"/>
          <w:lang w:val="es-ES_tradnl"/>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E989274" w14:textId="77777777" w:rsidR="00335F7D" w:rsidRPr="00096788" w:rsidRDefault="00335F7D" w:rsidP="00335F7D">
      <w:pPr>
        <w:widowControl w:val="0"/>
        <w:autoSpaceDE w:val="0"/>
        <w:autoSpaceDN w:val="0"/>
        <w:spacing w:after="0" w:line="276" w:lineRule="auto"/>
        <w:jc w:val="both"/>
        <w:rPr>
          <w:rFonts w:ascii="Verdana" w:hAnsi="Verdana" w:cs="Arial"/>
          <w:color w:val="000000" w:themeColor="text1"/>
          <w:shd w:val="clear" w:color="auto" w:fill="FFFFFF"/>
        </w:rPr>
      </w:pPr>
    </w:p>
    <w:p w14:paraId="0E371894" w14:textId="77777777" w:rsidR="00335F7D" w:rsidRDefault="00335F7D" w:rsidP="00335F7D">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72B68E39" w14:textId="77777777" w:rsidR="00335F7D" w:rsidRDefault="00335F7D" w:rsidP="00335F7D">
      <w:pPr>
        <w:shd w:val="clear" w:color="auto" w:fill="FFFFFF"/>
        <w:spacing w:after="0" w:line="276" w:lineRule="auto"/>
        <w:jc w:val="both"/>
        <w:rPr>
          <w:rFonts w:ascii="Verdana" w:hAnsi="Verdana"/>
          <w:color w:val="000000"/>
          <w:u w:val="single"/>
        </w:rPr>
      </w:pPr>
    </w:p>
    <w:p w14:paraId="607B2434" w14:textId="77777777" w:rsidR="00335F7D" w:rsidRPr="0038088D" w:rsidRDefault="00335F7D" w:rsidP="00335F7D">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w:t>
      </w:r>
      <w:r w:rsidRPr="00116940">
        <w:rPr>
          <w:rFonts w:ascii="Verdana" w:hAnsi="Verdana"/>
        </w:rPr>
        <w:lastRenderedPageBreak/>
        <w:t xml:space="preserve">peticiones o solicitudes, así como para brindar el apoyo que se requiera en el marco de nuestras funciones a través de nuestros diferentes canales de </w:t>
      </w:r>
      <w:r w:rsidRPr="0038088D">
        <w:rPr>
          <w:rFonts w:ascii="Verdana" w:hAnsi="Verdana"/>
        </w:rPr>
        <w:t xml:space="preserve">atención: </w:t>
      </w:r>
    </w:p>
    <w:p w14:paraId="6F28D6B3" w14:textId="77777777" w:rsidR="00335F7D" w:rsidRPr="0038088D" w:rsidRDefault="00335F7D" w:rsidP="00335F7D">
      <w:pPr>
        <w:spacing w:after="0"/>
        <w:jc w:val="both"/>
        <w:rPr>
          <w:rFonts w:ascii="Verdana" w:hAnsi="Verdana"/>
        </w:rPr>
      </w:pPr>
    </w:p>
    <w:p w14:paraId="0CC17BE1" w14:textId="77777777" w:rsidR="00335F7D" w:rsidRPr="0038088D" w:rsidRDefault="00335F7D" w:rsidP="00335F7D">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75BA1AF6" w14:textId="77777777" w:rsidR="00335F7D" w:rsidRPr="0038088D" w:rsidRDefault="00335F7D" w:rsidP="00335F7D">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7FA9405B" w14:textId="77777777" w:rsidR="00335F7D" w:rsidRPr="0038088D" w:rsidRDefault="00335F7D" w:rsidP="00335F7D">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1B16DFF7" w14:textId="77777777" w:rsidR="00335F7D" w:rsidRPr="0038088D" w:rsidRDefault="00335F7D" w:rsidP="00335F7D">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579AD8C7" w14:textId="77777777" w:rsidR="00335F7D" w:rsidRPr="0038088D" w:rsidRDefault="00335F7D" w:rsidP="00335F7D">
      <w:pPr>
        <w:spacing w:after="0" w:line="240" w:lineRule="auto"/>
        <w:ind w:left="720"/>
        <w:jc w:val="both"/>
        <w:rPr>
          <w:rFonts w:ascii="Verdana" w:hAnsi="Verdana"/>
        </w:rPr>
      </w:pPr>
    </w:p>
    <w:p w14:paraId="6A7B2029" w14:textId="77777777" w:rsidR="00335F7D" w:rsidRPr="0038088D" w:rsidRDefault="00335F7D" w:rsidP="00335F7D">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108DA4E2" w14:textId="77777777" w:rsidR="00335F7D" w:rsidRPr="0038088D" w:rsidRDefault="00335F7D" w:rsidP="00335F7D">
      <w:pPr>
        <w:spacing w:after="0" w:line="240" w:lineRule="auto"/>
        <w:rPr>
          <w:rFonts w:ascii="Verdana" w:hAnsi="Verdana"/>
        </w:rPr>
      </w:pPr>
    </w:p>
    <w:p w14:paraId="24FB195E" w14:textId="77777777" w:rsidR="00335F7D" w:rsidRPr="0038088D" w:rsidRDefault="00335F7D" w:rsidP="00335F7D">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5008E584" w14:textId="77777777" w:rsidR="00335F7D" w:rsidRPr="00116940" w:rsidRDefault="00335F7D" w:rsidP="00335F7D">
      <w:pPr>
        <w:spacing w:after="0" w:line="240" w:lineRule="auto"/>
        <w:jc w:val="both"/>
        <w:rPr>
          <w:rFonts w:ascii="Verdana" w:hAnsi="Verdana"/>
        </w:rPr>
      </w:pPr>
    </w:p>
    <w:p w14:paraId="0059E5E7" w14:textId="77777777" w:rsidR="00335F7D" w:rsidRPr="00116940" w:rsidRDefault="00335F7D" w:rsidP="00335F7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3D58671" w14:textId="77777777" w:rsidR="00335F7D" w:rsidRPr="00116940" w:rsidRDefault="00335F7D" w:rsidP="00335F7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1936763" w14:textId="77777777" w:rsidR="00335F7D" w:rsidRPr="00E22E6E" w:rsidRDefault="00335F7D" w:rsidP="00335F7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EF1E3A4" w14:textId="77777777" w:rsidR="00335F7D" w:rsidRPr="009C4035" w:rsidRDefault="00335F7D" w:rsidP="00335F7D">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0B6C9B9" w14:textId="77777777" w:rsidR="00335F7D" w:rsidRPr="00593A5F" w:rsidRDefault="00335F7D" w:rsidP="00335F7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2F65B01E" w14:textId="77777777" w:rsidR="00335F7D" w:rsidRPr="00593A5F" w:rsidRDefault="00335F7D" w:rsidP="00335F7D">
      <w:pPr>
        <w:widowControl w:val="0"/>
        <w:autoSpaceDE w:val="0"/>
        <w:autoSpaceDN w:val="0"/>
        <w:spacing w:after="0" w:line="276" w:lineRule="auto"/>
        <w:jc w:val="both"/>
        <w:rPr>
          <w:rFonts w:ascii="Verdana" w:hAnsi="Verdana" w:cs="Arial"/>
        </w:rPr>
      </w:pPr>
    </w:p>
    <w:p w14:paraId="6B22448A" w14:textId="77777777" w:rsidR="00335F7D" w:rsidRPr="00593A5F" w:rsidRDefault="00335F7D" w:rsidP="00335F7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CAC5394" w14:textId="03FF2D7E" w:rsidR="00335F7D" w:rsidRPr="00593A5F" w:rsidRDefault="003044FD" w:rsidP="00335F7D">
      <w:pPr>
        <w:spacing w:line="276" w:lineRule="auto"/>
        <w:jc w:val="center"/>
        <w:rPr>
          <w:rFonts w:ascii="Verdana" w:hAnsi="Verdana" w:cs="Arial"/>
          <w:color w:val="000000"/>
          <w:lang w:val="es-ES_tradnl" w:eastAsia="es-CO"/>
        </w:rPr>
      </w:pPr>
      <w:r>
        <w:rPr>
          <w:noProof/>
        </w:rPr>
        <w:drawing>
          <wp:inline distT="0" distB="0" distL="0" distR="0" wp14:anchorId="6F80E255" wp14:editId="3E77D37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35F7D" w:rsidRPr="00593A5F" w14:paraId="509B7537" w14:textId="77777777" w:rsidTr="005D63AD">
        <w:trPr>
          <w:trHeight w:val="315"/>
        </w:trPr>
        <w:tc>
          <w:tcPr>
            <w:tcW w:w="893" w:type="dxa"/>
            <w:vAlign w:val="center"/>
            <w:hideMark/>
          </w:tcPr>
          <w:p w14:paraId="1A0F0865" w14:textId="77777777" w:rsidR="00335F7D" w:rsidRPr="003751C7" w:rsidRDefault="00335F7D" w:rsidP="005D63AD">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4DC1C3F0" w14:textId="77777777" w:rsidR="00335F7D" w:rsidRPr="00254A7A" w:rsidRDefault="00335F7D" w:rsidP="005D63A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D869F56" w14:textId="77777777" w:rsidR="00335F7D" w:rsidRPr="00254A7A" w:rsidRDefault="00335F7D" w:rsidP="005D63A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35F7D" w:rsidRPr="00593A5F" w14:paraId="43D6566A" w14:textId="77777777" w:rsidTr="005D63AD">
        <w:trPr>
          <w:trHeight w:val="330"/>
        </w:trPr>
        <w:tc>
          <w:tcPr>
            <w:tcW w:w="893" w:type="dxa"/>
            <w:vAlign w:val="center"/>
            <w:hideMark/>
          </w:tcPr>
          <w:p w14:paraId="76ECAA0D" w14:textId="77777777" w:rsidR="00335F7D" w:rsidRPr="003751C7" w:rsidRDefault="00335F7D" w:rsidP="005D63A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44A437" w14:textId="77777777" w:rsidR="00335F7D" w:rsidRPr="001B6B73" w:rsidRDefault="00335F7D" w:rsidP="005D63AD">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145CB69D" w14:textId="77777777" w:rsidR="00335F7D" w:rsidRPr="00254A7A" w:rsidRDefault="00335F7D" w:rsidP="005D63AD">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335F7D" w:rsidRPr="00593A5F" w14:paraId="2037B851" w14:textId="77777777" w:rsidTr="005D63AD">
        <w:trPr>
          <w:trHeight w:val="300"/>
        </w:trPr>
        <w:tc>
          <w:tcPr>
            <w:tcW w:w="893" w:type="dxa"/>
            <w:vAlign w:val="center"/>
          </w:tcPr>
          <w:p w14:paraId="10BDEEE3" w14:textId="77777777" w:rsidR="00335F7D" w:rsidRPr="003751C7" w:rsidRDefault="00335F7D" w:rsidP="005D63A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822DCA" w14:textId="77777777" w:rsidR="00335F7D" w:rsidRPr="003751C7" w:rsidRDefault="00335F7D" w:rsidP="005D63AD">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5A23887B" w14:textId="77777777" w:rsidR="00335F7D" w:rsidRPr="003751C7" w:rsidRDefault="00335F7D" w:rsidP="005D63AD">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055972EB" w:rsidR="00127233" w:rsidRPr="00CE42BC" w:rsidRDefault="00127233" w:rsidP="00CE42BC"/>
    <w:sectPr w:rsidR="00127233" w:rsidRPr="00CE42BC"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21AB8" w14:textId="77777777" w:rsidR="00DC1C17" w:rsidRDefault="00DC1C17" w:rsidP="004A1847">
      <w:pPr>
        <w:spacing w:after="0" w:line="240" w:lineRule="auto"/>
      </w:pPr>
      <w:r>
        <w:separator/>
      </w:r>
    </w:p>
  </w:endnote>
  <w:endnote w:type="continuationSeparator" w:id="0">
    <w:p w14:paraId="3F1DDBB9" w14:textId="77777777" w:rsidR="00DC1C17" w:rsidRDefault="00DC1C17" w:rsidP="004A1847">
      <w:pPr>
        <w:spacing w:after="0" w:line="240" w:lineRule="auto"/>
      </w:pPr>
      <w:r>
        <w:continuationSeparator/>
      </w:r>
    </w:p>
  </w:endnote>
  <w:endnote w:type="continuationNotice" w:id="1">
    <w:p w14:paraId="7AF4EC97" w14:textId="77777777" w:rsidR="00DC1C17" w:rsidRDefault="00DC1C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0E0DB6"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0E0DB6">
      <w:rPr>
        <w:rFonts w:ascii="Century Gothic" w:eastAsia="Geo" w:hAnsi="Century Gothic" w:cs="Geo"/>
        <w:b/>
        <w:color w:val="000000" w:themeColor="text1"/>
        <w:sz w:val="16"/>
        <w:szCs w:val="16"/>
        <w:lang w:val="pt-BR" w:eastAsia="es-CO"/>
      </w:rPr>
      <w:t xml:space="preserve">Código: </w:t>
    </w:r>
    <w:r w:rsidRPr="000E0DB6">
      <w:rPr>
        <w:rFonts w:ascii="Century Gothic" w:eastAsia="Geo" w:hAnsi="Century Gothic" w:cs="Geo"/>
        <w:color w:val="000000" w:themeColor="text1"/>
        <w:sz w:val="16"/>
        <w:szCs w:val="16"/>
        <w:lang w:val="pt-BR" w:eastAsia="es-CO"/>
      </w:rPr>
      <w:t xml:space="preserve">CCE-REC-FM-17 </w:t>
    </w:r>
    <w:r w:rsidRPr="000E0DB6">
      <w:rPr>
        <w:rFonts w:ascii="Century Gothic" w:eastAsia="Geo" w:hAnsi="Century Gothic" w:cs="Geo"/>
        <w:b/>
        <w:color w:val="000000" w:themeColor="text1"/>
        <w:sz w:val="16"/>
        <w:szCs w:val="16"/>
        <w:lang w:val="pt-BR" w:eastAsia="es-CO"/>
      </w:rPr>
      <w:t>V</w:t>
    </w:r>
    <w:r w:rsidRPr="000E0DB6">
      <w:rPr>
        <w:rFonts w:ascii="Century Gothic" w:eastAsia="Arial Nova" w:hAnsi="Century Gothic" w:cs="Arial Nova"/>
        <w:b/>
        <w:color w:val="000000" w:themeColor="text1"/>
        <w:sz w:val="16"/>
        <w:szCs w:val="16"/>
        <w:lang w:val="pt-BR" w:eastAsia="es-CO"/>
      </w:rPr>
      <w:t xml:space="preserve">: </w:t>
    </w:r>
    <w:r w:rsidRPr="000E0DB6">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B2AA4" w14:textId="77777777" w:rsidR="00DC1C17" w:rsidRDefault="00DC1C17" w:rsidP="004A1847">
      <w:pPr>
        <w:spacing w:after="0" w:line="240" w:lineRule="auto"/>
      </w:pPr>
      <w:r>
        <w:separator/>
      </w:r>
    </w:p>
  </w:footnote>
  <w:footnote w:type="continuationSeparator" w:id="0">
    <w:p w14:paraId="39E54E73" w14:textId="77777777" w:rsidR="00DC1C17" w:rsidRDefault="00DC1C17" w:rsidP="004A1847">
      <w:pPr>
        <w:spacing w:after="0" w:line="240" w:lineRule="auto"/>
      </w:pPr>
      <w:r>
        <w:continuationSeparator/>
      </w:r>
    </w:p>
  </w:footnote>
  <w:footnote w:type="continuationNotice" w:id="1">
    <w:p w14:paraId="5C520F45" w14:textId="77777777" w:rsidR="00DC1C17" w:rsidRDefault="00DC1C17">
      <w:pPr>
        <w:spacing w:after="0" w:line="240" w:lineRule="auto"/>
      </w:pPr>
    </w:p>
  </w:footnote>
  <w:footnote w:id="2">
    <w:p w14:paraId="012BF755" w14:textId="77777777" w:rsidR="00335F7D" w:rsidRPr="00E931C6" w:rsidRDefault="00335F7D" w:rsidP="00335F7D">
      <w:pPr>
        <w:pStyle w:val="Textonotapie"/>
        <w:ind w:firstLine="708"/>
        <w:jc w:val="both"/>
        <w:rPr>
          <w:rFonts w:ascii="Verdana" w:hAnsi="Verdana"/>
          <w:sz w:val="16"/>
          <w:szCs w:val="16"/>
        </w:rPr>
      </w:pPr>
      <w:r w:rsidRPr="00E931C6">
        <w:rPr>
          <w:rStyle w:val="Refdenotaalpie"/>
          <w:rFonts w:ascii="Verdana" w:hAnsi="Verdana"/>
          <w:sz w:val="16"/>
          <w:szCs w:val="16"/>
        </w:rPr>
        <w:footnoteRef/>
      </w:r>
      <w:r w:rsidRPr="00E931C6">
        <w:rPr>
          <w:rFonts w:ascii="Verdana" w:hAnsi="Verdana"/>
          <w:sz w:val="16"/>
          <w:szCs w:val="16"/>
        </w:rPr>
        <w:t xml:space="preserve"> CONSEJO DE ESTADO. Sección Tercera. Subsección C. Sentencia del 31 de enero de 2011. Rad. 17767. C.P. Olga Melida Valle de De La Hoz.</w:t>
      </w:r>
    </w:p>
  </w:footnote>
  <w:footnote w:id="3">
    <w:p w14:paraId="0EBC3566" w14:textId="77777777" w:rsidR="00335F7D" w:rsidRPr="00E931C6" w:rsidRDefault="00335F7D" w:rsidP="00335F7D">
      <w:pPr>
        <w:pStyle w:val="Textonotapie"/>
        <w:ind w:firstLine="708"/>
        <w:jc w:val="both"/>
        <w:rPr>
          <w:rFonts w:ascii="Verdana" w:hAnsi="Verdana"/>
          <w:sz w:val="16"/>
          <w:szCs w:val="16"/>
        </w:rPr>
      </w:pPr>
      <w:r w:rsidRPr="00E931C6">
        <w:rPr>
          <w:rStyle w:val="Refdenotaalpie"/>
          <w:rFonts w:ascii="Verdana" w:hAnsi="Verdana"/>
          <w:sz w:val="16"/>
          <w:szCs w:val="16"/>
        </w:rPr>
        <w:footnoteRef/>
      </w:r>
      <w:r w:rsidRPr="00E931C6">
        <w:rPr>
          <w:rFonts w:ascii="Verdana" w:hAnsi="Verdana"/>
          <w:sz w:val="16"/>
          <w:szCs w:val="16"/>
        </w:rPr>
        <w:t xml:space="preserve"> MOREO MARROIG, Teresa. Presupuesto base de licitación, valor estimado y precio del contrato. En: tratado de contratos del sector público. Segunda edición. Tomo I. Valencia: Tirant lo Blanch, 2024. p. 874.</w:t>
      </w:r>
    </w:p>
  </w:footnote>
  <w:footnote w:id="4">
    <w:p w14:paraId="65594266" w14:textId="77777777" w:rsidR="00335F7D" w:rsidRPr="00E931C6" w:rsidRDefault="00335F7D" w:rsidP="00335F7D">
      <w:pPr>
        <w:pStyle w:val="Textonotapie"/>
        <w:ind w:firstLine="708"/>
        <w:jc w:val="both"/>
        <w:rPr>
          <w:rFonts w:ascii="Verdana" w:hAnsi="Verdana"/>
          <w:sz w:val="16"/>
          <w:szCs w:val="16"/>
          <w:lang w:val="es-CO"/>
        </w:rPr>
      </w:pPr>
      <w:r w:rsidRPr="00E931C6">
        <w:rPr>
          <w:rStyle w:val="Refdenotaalpie"/>
          <w:rFonts w:ascii="Verdana" w:hAnsi="Verdana"/>
          <w:sz w:val="16"/>
          <w:szCs w:val="16"/>
        </w:rPr>
        <w:footnoteRef/>
      </w:r>
      <w:r w:rsidRPr="00E931C6">
        <w:rPr>
          <w:rFonts w:ascii="Verdana" w:hAnsi="Verdana"/>
          <w:sz w:val="16"/>
          <w:szCs w:val="16"/>
        </w:rPr>
        <w:t xml:space="preserve"> De acuerdo con la jurisprudencia, el fraccionamiento “[…] se configura, cuando la administración de manera artificiosa divide la unidad natural del objeto contractual, a fin de seleccionar directamente al contratista cuando debía convocar un proceso de licitación, o para acomodarlo a un proceso menos estricto y riguroso de contratación en defecto del que se imponía seguir atendidos su objeto y cuantía, práctica que riñe con las normas que rigen la contratación estatal, particularmente con los principios de transparencia y de selección objetiva” (CORTE SUPREMA DE JUSTICIA. Sala Especial de Primera Instancia. Sentencia del 17 de marzo de 2022. Rad. 00267. M.P. Ariel Augusto Torres Rojas).  </w:t>
      </w:r>
    </w:p>
  </w:footnote>
  <w:footnote w:id="5">
    <w:p w14:paraId="2C553F2D" w14:textId="77777777" w:rsidR="00335F7D" w:rsidRPr="00E931C6" w:rsidRDefault="00335F7D" w:rsidP="00335F7D">
      <w:pPr>
        <w:pStyle w:val="Textonotapie"/>
        <w:ind w:firstLine="708"/>
        <w:jc w:val="both"/>
        <w:rPr>
          <w:rFonts w:ascii="Verdana" w:hAnsi="Verdana"/>
          <w:sz w:val="16"/>
          <w:szCs w:val="16"/>
          <w:lang w:val="es-CO"/>
        </w:rPr>
      </w:pPr>
      <w:r w:rsidRPr="00E931C6">
        <w:rPr>
          <w:rStyle w:val="Refdenotaalpie"/>
          <w:rFonts w:ascii="Verdana" w:hAnsi="Verdana"/>
          <w:sz w:val="16"/>
          <w:szCs w:val="16"/>
        </w:rPr>
        <w:footnoteRef/>
      </w:r>
      <w:r w:rsidRPr="00E931C6">
        <w:rPr>
          <w:rFonts w:ascii="Verdana" w:hAnsi="Verdana"/>
          <w:sz w:val="16"/>
          <w:szCs w:val="16"/>
        </w:rPr>
        <w:t xml:space="preserve"> Cfr. CORTE SUPREMA DE JUSTICIA. Sala Especial de Primera Instancia. Sentencia del 23 de marzo de 2006. Rad. 21780. M.P. Edgar Lombana Trujillo.</w:t>
      </w:r>
    </w:p>
  </w:footnote>
  <w:footnote w:id="6">
    <w:p w14:paraId="5D6563BC" w14:textId="77777777" w:rsidR="00335F7D" w:rsidRPr="00F7182F" w:rsidRDefault="00335F7D" w:rsidP="00335F7D">
      <w:pPr>
        <w:pStyle w:val="Textonotapie"/>
        <w:ind w:firstLine="708"/>
        <w:jc w:val="both"/>
        <w:rPr>
          <w:rFonts w:ascii="Verdana" w:hAnsi="Verdana"/>
          <w:sz w:val="16"/>
          <w:szCs w:val="16"/>
        </w:rPr>
      </w:pPr>
      <w:r w:rsidRPr="00F7182F">
        <w:rPr>
          <w:rStyle w:val="Refdenotaalpie"/>
          <w:rFonts w:ascii="Verdana" w:hAnsi="Verdana"/>
          <w:sz w:val="16"/>
          <w:szCs w:val="16"/>
        </w:rPr>
        <w:footnoteRef/>
      </w:r>
      <w:r w:rsidRPr="00F7182F">
        <w:rPr>
          <w:rFonts w:ascii="Verdana" w:hAnsi="Verdana"/>
          <w:sz w:val="16"/>
          <w:szCs w:val="16"/>
        </w:rPr>
        <w:t xml:space="preserve"> </w:t>
      </w:r>
      <w:r>
        <w:rPr>
          <w:rFonts w:ascii="Verdana" w:hAnsi="Verdana"/>
          <w:sz w:val="16"/>
          <w:szCs w:val="16"/>
        </w:rPr>
        <w:t>L</w:t>
      </w:r>
      <w:r w:rsidRPr="00F7182F">
        <w:rPr>
          <w:rFonts w:ascii="Verdana" w:hAnsi="Verdana"/>
          <w:sz w:val="16"/>
          <w:szCs w:val="16"/>
        </w:rPr>
        <w:t>a Fiscalía General de la Nación y la Oficina de las Naciones Unidas contra la Droga y el Delito estiman que son formas de corrupción constitutivas de delito, entre otras, las siguientes: i) la elusión de los procedimientos a través del fraccionamiento de contrato, ii) el direccionamiento de las adjudicaciones, iii) la ejecución de obras sin diseños, iv) la ausencia de disponibilidad presupuestal en la apertura del proceso de selección, v) la legalización de hechos cumplidos, vi) la declaratoria irregular de un estado de paz y salvo, vii) el reconocimiento de sumas de dinero falsamente adeudadas al contratista, etc</w:t>
      </w:r>
      <w:r>
        <w:rPr>
          <w:rFonts w:ascii="Verdana" w:hAnsi="Verdana"/>
          <w:sz w:val="16"/>
          <w:szCs w:val="16"/>
        </w:rPr>
        <w:t>. (Cfr. T</w:t>
      </w:r>
      <w:r w:rsidRPr="00E80B79">
        <w:rPr>
          <w:rFonts w:ascii="Verdana" w:hAnsi="Verdana"/>
          <w:sz w:val="16"/>
          <w:szCs w:val="16"/>
        </w:rPr>
        <w:t>ipologías de</w:t>
      </w:r>
      <w:r>
        <w:rPr>
          <w:rFonts w:ascii="Verdana" w:hAnsi="Verdana"/>
          <w:sz w:val="16"/>
          <w:szCs w:val="16"/>
        </w:rPr>
        <w:t xml:space="preserve"> </w:t>
      </w:r>
      <w:r w:rsidRPr="00E80B79">
        <w:rPr>
          <w:rFonts w:ascii="Verdana" w:hAnsi="Verdana"/>
          <w:sz w:val="16"/>
          <w:szCs w:val="16"/>
        </w:rPr>
        <w:t>corrupción</w:t>
      </w:r>
      <w:r>
        <w:rPr>
          <w:rFonts w:ascii="Verdana" w:hAnsi="Verdana"/>
          <w:sz w:val="16"/>
          <w:szCs w:val="16"/>
        </w:rPr>
        <w:t xml:space="preserve"> </w:t>
      </w:r>
      <w:r w:rsidRPr="00E80B79">
        <w:rPr>
          <w:rFonts w:ascii="Verdana" w:hAnsi="Verdana"/>
          <w:sz w:val="16"/>
          <w:szCs w:val="16"/>
        </w:rPr>
        <w:t xml:space="preserve">en </w:t>
      </w:r>
      <w:r>
        <w:rPr>
          <w:rFonts w:ascii="Verdana" w:hAnsi="Verdana"/>
          <w:sz w:val="16"/>
          <w:szCs w:val="16"/>
        </w:rPr>
        <w:t>C</w:t>
      </w:r>
      <w:r w:rsidRPr="00E80B79">
        <w:rPr>
          <w:rFonts w:ascii="Verdana" w:hAnsi="Verdana"/>
          <w:sz w:val="16"/>
          <w:szCs w:val="16"/>
        </w:rPr>
        <w:t>olombia</w:t>
      </w:r>
      <w:r>
        <w:rPr>
          <w:rFonts w:ascii="Verdana" w:hAnsi="Verdana"/>
          <w:sz w:val="16"/>
          <w:szCs w:val="16"/>
        </w:rPr>
        <w:t>:</w:t>
      </w:r>
      <w:r w:rsidRPr="00E80B79">
        <w:rPr>
          <w:rFonts w:ascii="Verdana" w:hAnsi="Verdana"/>
          <w:sz w:val="16"/>
          <w:szCs w:val="16"/>
        </w:rPr>
        <w:t xml:space="preserve"> </w:t>
      </w:r>
      <w:r>
        <w:rPr>
          <w:rFonts w:ascii="Verdana" w:hAnsi="Verdana"/>
          <w:sz w:val="16"/>
          <w:szCs w:val="16"/>
        </w:rPr>
        <w:t>F</w:t>
      </w:r>
      <w:r w:rsidRPr="00E80B79">
        <w:rPr>
          <w:rFonts w:ascii="Verdana" w:hAnsi="Verdana"/>
          <w:sz w:val="16"/>
          <w:szCs w:val="16"/>
        </w:rPr>
        <w:t>iscales unidos por la transparencia y la integridad</w:t>
      </w:r>
      <w:r>
        <w:rPr>
          <w:rFonts w:ascii="Verdana" w:hAnsi="Verdana"/>
          <w:sz w:val="16"/>
          <w:szCs w:val="16"/>
        </w:rPr>
        <w:t xml:space="preserve">. Tomo III: </w:t>
      </w:r>
      <w:r w:rsidRPr="00C76DE9">
        <w:rPr>
          <w:rFonts w:ascii="Verdana" w:hAnsi="Verdana"/>
          <w:sz w:val="16"/>
          <w:szCs w:val="16"/>
        </w:rPr>
        <w:t>Celebración indebida</w:t>
      </w:r>
      <w:r>
        <w:rPr>
          <w:rFonts w:ascii="Verdana" w:hAnsi="Verdana"/>
          <w:sz w:val="16"/>
          <w:szCs w:val="16"/>
        </w:rPr>
        <w:t xml:space="preserve"> </w:t>
      </w:r>
      <w:r w:rsidRPr="00C76DE9">
        <w:rPr>
          <w:rFonts w:ascii="Verdana" w:hAnsi="Verdana"/>
          <w:sz w:val="16"/>
          <w:szCs w:val="16"/>
        </w:rPr>
        <w:t>de contratos</w:t>
      </w:r>
      <w:r>
        <w:rPr>
          <w:rFonts w:ascii="Verdana" w:hAnsi="Verdana"/>
          <w:sz w:val="16"/>
          <w:szCs w:val="16"/>
        </w:rPr>
        <w:t xml:space="preserve">. Consultado el 29 de septiembre de 2025 en la página web </w:t>
      </w:r>
      <w:hyperlink r:id="rId1" w:history="1">
        <w:r w:rsidRPr="00AA3042">
          <w:rPr>
            <w:rStyle w:val="Hipervnculo"/>
            <w:rFonts w:ascii="Verdana" w:hAnsi="Verdana"/>
            <w:sz w:val="16"/>
            <w:szCs w:val="16"/>
          </w:rPr>
          <w:t>https://www.fiscalia.gov.co/colombia/wp-content/uploads/Tomo-III.pdf</w:t>
        </w:r>
      </w:hyperlink>
      <w:r w:rsidRPr="00F7182F">
        <w:rPr>
          <w:sz w:val="16"/>
          <w:szCs w:val="16"/>
        </w:rPr>
        <w:t>)</w:t>
      </w:r>
      <w:r>
        <w:rPr>
          <w:rFonts w:ascii="Verdana" w:hAnsi="Verdana"/>
          <w:sz w:val="16"/>
          <w:szCs w:val="16"/>
        </w:rPr>
        <w:t xml:space="preserve">. </w:t>
      </w:r>
    </w:p>
  </w:footnote>
  <w:footnote w:id="7">
    <w:p w14:paraId="15AFFA97" w14:textId="77777777" w:rsidR="00335F7D" w:rsidRPr="00407DB2" w:rsidRDefault="00335F7D" w:rsidP="00335F7D">
      <w:pPr>
        <w:pStyle w:val="Textonotapie"/>
        <w:ind w:firstLine="708"/>
        <w:jc w:val="both"/>
        <w:rPr>
          <w:rFonts w:ascii="Verdana" w:hAnsi="Verdana"/>
          <w:sz w:val="16"/>
          <w:szCs w:val="16"/>
        </w:rPr>
      </w:pPr>
      <w:r w:rsidRPr="00407DB2">
        <w:rPr>
          <w:rStyle w:val="Refdenotaalpie"/>
          <w:rFonts w:ascii="Verdana" w:hAnsi="Verdana"/>
          <w:sz w:val="16"/>
          <w:szCs w:val="16"/>
        </w:rPr>
        <w:footnoteRef/>
      </w:r>
      <w:r w:rsidRPr="00407DB2">
        <w:rPr>
          <w:rFonts w:ascii="Verdana" w:hAnsi="Verdana"/>
          <w:sz w:val="16"/>
          <w:szCs w:val="16"/>
        </w:rPr>
        <w:t xml:space="preserve"> </w:t>
      </w:r>
      <w:r>
        <w:rPr>
          <w:rFonts w:ascii="Verdana" w:hAnsi="Verdana"/>
          <w:sz w:val="16"/>
          <w:szCs w:val="16"/>
        </w:rPr>
        <w:t xml:space="preserve">CONSEJO DE ESTADO. Sala Plena. Sentencia del 22 de mayo de 2018. Rad. </w:t>
      </w:r>
      <w:r w:rsidRPr="00407DB2">
        <w:rPr>
          <w:rFonts w:ascii="Verdana" w:hAnsi="Verdana"/>
          <w:sz w:val="16"/>
          <w:szCs w:val="16"/>
        </w:rPr>
        <w:t>11001-03-15-000-2006-00281-00</w:t>
      </w:r>
      <w:r>
        <w:rPr>
          <w:rFonts w:ascii="Verdana" w:hAnsi="Verdana"/>
          <w:sz w:val="16"/>
          <w:szCs w:val="16"/>
        </w:rPr>
        <w:t xml:space="preserve">. C.P. </w:t>
      </w:r>
      <w:r w:rsidRPr="00407DB2">
        <w:rPr>
          <w:rFonts w:ascii="Verdana" w:hAnsi="Verdana"/>
          <w:sz w:val="16"/>
          <w:szCs w:val="16"/>
        </w:rPr>
        <w:t>Guillermo Sánchez Luque</w:t>
      </w:r>
      <w:r>
        <w:rPr>
          <w:rFonts w:ascii="Verdana" w:hAnsi="Verdana"/>
          <w:sz w:val="16"/>
          <w:szCs w:val="16"/>
        </w:rPr>
        <w:t>.</w:t>
      </w:r>
    </w:p>
  </w:footnote>
  <w:footnote w:id="8">
    <w:p w14:paraId="1B2D3DC9" w14:textId="77777777" w:rsidR="00335F7D" w:rsidRPr="00E931C6" w:rsidRDefault="00335F7D" w:rsidP="00335F7D">
      <w:pPr>
        <w:pStyle w:val="Textonotapie"/>
        <w:ind w:firstLine="708"/>
        <w:jc w:val="both"/>
        <w:rPr>
          <w:rFonts w:ascii="Verdana" w:hAnsi="Verdana"/>
          <w:sz w:val="16"/>
          <w:szCs w:val="16"/>
        </w:rPr>
      </w:pPr>
      <w:r w:rsidRPr="00E931C6">
        <w:rPr>
          <w:rStyle w:val="Refdenotaalpie"/>
          <w:rFonts w:ascii="Verdana" w:hAnsi="Verdana"/>
          <w:sz w:val="16"/>
          <w:szCs w:val="16"/>
        </w:rPr>
        <w:footnoteRef/>
      </w:r>
      <w:r w:rsidRPr="00E931C6">
        <w:rPr>
          <w:rFonts w:ascii="Verdana" w:hAnsi="Verdana"/>
          <w:sz w:val="16"/>
          <w:szCs w:val="16"/>
        </w:rPr>
        <w:t xml:space="preserve"> De forma análoga, la doctrina estima que “[…] como regla general, cuando se proceda a dividir el contrato en lotes, las normas procedimentales y los aspectos vinculados al principio de publicidad, que deban aplicarse a cada lote o parcela de prestación diferenciada, se determinará con base en el valor acumulado del conjunto de los lotes, calculado según lo establecido en la propia ley. No obstante lo anterior, se entenderá que cada lote constituirá un contrato, salvo en los casos de las ofertas integradoras adjudicadas, en los cuales se suscribirá un contrato por cada oferta integrada” (Cfr. CANÓNICO SARABIA, Alejandro. La contratación pública estratégica y el acceso de las PYMES. Santiago: Ediciones Olejnik, 2022. pp. 148-149).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0DB6"/>
    <w:rsid w:val="000F6486"/>
    <w:rsid w:val="00101BA6"/>
    <w:rsid w:val="00116940"/>
    <w:rsid w:val="00125105"/>
    <w:rsid w:val="00127233"/>
    <w:rsid w:val="0015699B"/>
    <w:rsid w:val="00195E47"/>
    <w:rsid w:val="001A33BF"/>
    <w:rsid w:val="001E4177"/>
    <w:rsid w:val="001F0B24"/>
    <w:rsid w:val="001F7DC6"/>
    <w:rsid w:val="00202057"/>
    <w:rsid w:val="0022400B"/>
    <w:rsid w:val="002421BB"/>
    <w:rsid w:val="0025796E"/>
    <w:rsid w:val="002707A2"/>
    <w:rsid w:val="002951A0"/>
    <w:rsid w:val="002962BC"/>
    <w:rsid w:val="002A093D"/>
    <w:rsid w:val="002A0DD0"/>
    <w:rsid w:val="002A49AC"/>
    <w:rsid w:val="002A64FD"/>
    <w:rsid w:val="002C7A84"/>
    <w:rsid w:val="002E2BF8"/>
    <w:rsid w:val="002E4FD9"/>
    <w:rsid w:val="002F45C5"/>
    <w:rsid w:val="003044FD"/>
    <w:rsid w:val="0030657A"/>
    <w:rsid w:val="00322A85"/>
    <w:rsid w:val="00324168"/>
    <w:rsid w:val="00330834"/>
    <w:rsid w:val="00335F7D"/>
    <w:rsid w:val="003448F4"/>
    <w:rsid w:val="00374F5E"/>
    <w:rsid w:val="00377E3E"/>
    <w:rsid w:val="003A779E"/>
    <w:rsid w:val="003D0F4D"/>
    <w:rsid w:val="003D5B0D"/>
    <w:rsid w:val="003E0499"/>
    <w:rsid w:val="003E4F80"/>
    <w:rsid w:val="003E6439"/>
    <w:rsid w:val="003F3941"/>
    <w:rsid w:val="00401CAD"/>
    <w:rsid w:val="00406575"/>
    <w:rsid w:val="00414C74"/>
    <w:rsid w:val="0042722E"/>
    <w:rsid w:val="0044528D"/>
    <w:rsid w:val="00466E39"/>
    <w:rsid w:val="00495310"/>
    <w:rsid w:val="004A1847"/>
    <w:rsid w:val="004A305D"/>
    <w:rsid w:val="004F21C4"/>
    <w:rsid w:val="004F685F"/>
    <w:rsid w:val="005566E8"/>
    <w:rsid w:val="00574867"/>
    <w:rsid w:val="00591460"/>
    <w:rsid w:val="005942A1"/>
    <w:rsid w:val="005A65E0"/>
    <w:rsid w:val="005C3777"/>
    <w:rsid w:val="005C5CDC"/>
    <w:rsid w:val="005D476C"/>
    <w:rsid w:val="00617993"/>
    <w:rsid w:val="006200BF"/>
    <w:rsid w:val="006219F8"/>
    <w:rsid w:val="006302F7"/>
    <w:rsid w:val="00646B9F"/>
    <w:rsid w:val="00665D70"/>
    <w:rsid w:val="006900D9"/>
    <w:rsid w:val="006A0422"/>
    <w:rsid w:val="00706C16"/>
    <w:rsid w:val="007340C3"/>
    <w:rsid w:val="0075235A"/>
    <w:rsid w:val="00756841"/>
    <w:rsid w:val="007649AB"/>
    <w:rsid w:val="00771D0C"/>
    <w:rsid w:val="0078026F"/>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3046"/>
    <w:rsid w:val="009419F9"/>
    <w:rsid w:val="0095685E"/>
    <w:rsid w:val="00961B09"/>
    <w:rsid w:val="00964769"/>
    <w:rsid w:val="00965334"/>
    <w:rsid w:val="0097093E"/>
    <w:rsid w:val="00993A66"/>
    <w:rsid w:val="009A0DFA"/>
    <w:rsid w:val="009A1C6F"/>
    <w:rsid w:val="009B2D26"/>
    <w:rsid w:val="009C71FA"/>
    <w:rsid w:val="009C72E7"/>
    <w:rsid w:val="009C7F7E"/>
    <w:rsid w:val="009D3058"/>
    <w:rsid w:val="009F3A13"/>
    <w:rsid w:val="009F714D"/>
    <w:rsid w:val="00A122D3"/>
    <w:rsid w:val="00A14468"/>
    <w:rsid w:val="00A17F13"/>
    <w:rsid w:val="00A20739"/>
    <w:rsid w:val="00A23AF9"/>
    <w:rsid w:val="00A33C78"/>
    <w:rsid w:val="00A907A5"/>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04E7"/>
    <w:rsid w:val="00C330EB"/>
    <w:rsid w:val="00C50D69"/>
    <w:rsid w:val="00C5365C"/>
    <w:rsid w:val="00C74068"/>
    <w:rsid w:val="00C754BE"/>
    <w:rsid w:val="00C76B1C"/>
    <w:rsid w:val="00C925AC"/>
    <w:rsid w:val="00CB6357"/>
    <w:rsid w:val="00CC1B26"/>
    <w:rsid w:val="00CD2626"/>
    <w:rsid w:val="00CE42BC"/>
    <w:rsid w:val="00D17CB1"/>
    <w:rsid w:val="00D361FD"/>
    <w:rsid w:val="00D423A2"/>
    <w:rsid w:val="00D44E26"/>
    <w:rsid w:val="00D520D8"/>
    <w:rsid w:val="00D63AC2"/>
    <w:rsid w:val="00D7383B"/>
    <w:rsid w:val="00D7788A"/>
    <w:rsid w:val="00D95AEC"/>
    <w:rsid w:val="00DA231B"/>
    <w:rsid w:val="00DC1C17"/>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102F"/>
    <w:rsid w:val="00ED1660"/>
    <w:rsid w:val="00EE1AA8"/>
    <w:rsid w:val="00EE28A2"/>
    <w:rsid w:val="00EE5C19"/>
    <w:rsid w:val="00F12E25"/>
    <w:rsid w:val="00F13373"/>
    <w:rsid w:val="00F23FEA"/>
    <w:rsid w:val="00F31EDC"/>
    <w:rsid w:val="00F37E96"/>
    <w:rsid w:val="00F462B3"/>
    <w:rsid w:val="00F5664F"/>
    <w:rsid w:val="00F666C4"/>
    <w:rsid w:val="00F76AFC"/>
    <w:rsid w:val="00FA47C0"/>
    <w:rsid w:val="00FB5DD1"/>
    <w:rsid w:val="00FC0A6A"/>
    <w:rsid w:val="00FC2B5D"/>
    <w:rsid w:val="00FF1449"/>
    <w:rsid w:val="00FF7963"/>
    <w:rsid w:val="071B8F93"/>
    <w:rsid w:val="09908A09"/>
    <w:rsid w:val="0FF4CCA8"/>
    <w:rsid w:val="13CFC91B"/>
    <w:rsid w:val="19A2EC2C"/>
    <w:rsid w:val="2859CA1B"/>
    <w:rsid w:val="32A4F9CF"/>
    <w:rsid w:val="356CEDFD"/>
    <w:rsid w:val="62DBA968"/>
    <w:rsid w:val="69614A15"/>
    <w:rsid w:val="6F64A50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35F7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35F7D"/>
    <w:rPr>
      <w:rFonts w:ascii="Geomanist Light" w:hAnsi="Geomanist Light"/>
      <w:lang w:val="es-ES"/>
    </w:rPr>
  </w:style>
  <w:style w:type="character" w:customStyle="1" w:styleId="s15">
    <w:name w:val="s15"/>
    <w:basedOn w:val="Fuentedeprrafopredeter"/>
    <w:rsid w:val="00335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73901047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idy.moreno@idartes.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fiscalia.gov.co/colombia/wp-content/uploads/Tomo-III.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B84524-7A15-4C33-A548-2701FBEE7F74}"/>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13</Pages>
  <Words>3813</Words>
  <Characters>20975</Characters>
  <Application>Microsoft Office Word</Application>
  <DocSecurity>0</DocSecurity>
  <Lines>174</Lines>
  <Paragraphs>49</Paragraphs>
  <ScaleCrop>false</ScaleCrop>
  <Company/>
  <LinksUpToDate>false</LinksUpToDate>
  <CharactersWithSpaces>24739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2026-01-21T16:23:00Z</dcterms:created>
  <dcterms:modified xsi:type="dcterms:W3CDTF">2026-01-22T15:07:00Z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